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1C93" w14:textId="0D99D790" w:rsidR="00833D5A" w:rsidRPr="0064597D" w:rsidRDefault="008C44B6" w:rsidP="008C44B6">
      <w:pPr>
        <w:tabs>
          <w:tab w:val="left" w:pos="7526"/>
        </w:tabs>
        <w:spacing w:line="240" w:lineRule="auto"/>
        <w:jc w:val="left"/>
        <w:rPr>
          <w:rFonts w:eastAsia="Calibri" w:cs="Calibri"/>
          <w:b/>
          <w:sz w:val="20"/>
          <w:szCs w:val="20"/>
        </w:rPr>
      </w:pPr>
      <w:r w:rsidRPr="0064597D">
        <w:rPr>
          <w:rFonts w:eastAsia="Calibri" w:cs="Calibri"/>
          <w:b/>
          <w:sz w:val="20"/>
          <w:szCs w:val="20"/>
        </w:rPr>
        <w:tab/>
      </w:r>
    </w:p>
    <w:p w14:paraId="22CA0356" w14:textId="77777777" w:rsidR="008C44B6" w:rsidRPr="0064597D" w:rsidRDefault="008C44B6" w:rsidP="00833D5A">
      <w:pPr>
        <w:spacing w:line="240" w:lineRule="auto"/>
        <w:jc w:val="center"/>
        <w:rPr>
          <w:rFonts w:eastAsia="Calibri" w:cs="Calibri"/>
          <w:b/>
          <w:sz w:val="20"/>
          <w:szCs w:val="20"/>
        </w:rPr>
        <w:sectPr w:rsidR="008C44B6" w:rsidRPr="0064597D" w:rsidSect="00B14B06">
          <w:headerReference w:type="default" r:id="rId8"/>
          <w:footerReference w:type="default" r:id="rId9"/>
          <w:pgSz w:w="12240" w:h="15840" w:code="1"/>
          <w:pgMar w:top="1440" w:right="1080" w:bottom="547" w:left="1080" w:header="706" w:footer="706" w:gutter="0"/>
          <w:cols w:space="708"/>
          <w:titlePg/>
          <w:docGrid w:linePitch="360"/>
        </w:sectPr>
      </w:pPr>
    </w:p>
    <w:p w14:paraId="38241C87" w14:textId="1C06DB07" w:rsidR="00833D5A" w:rsidRPr="0064597D" w:rsidRDefault="00833D5A" w:rsidP="00833D5A">
      <w:pPr>
        <w:spacing w:line="240" w:lineRule="auto"/>
        <w:jc w:val="center"/>
        <w:rPr>
          <w:rFonts w:eastAsia="Calibri" w:cs="Calibri"/>
          <w:b/>
          <w:sz w:val="20"/>
          <w:szCs w:val="20"/>
        </w:rPr>
      </w:pPr>
      <w:r w:rsidRPr="0064597D">
        <w:rPr>
          <w:rFonts w:eastAsia="Calibri" w:cs="Calibri"/>
          <w:b/>
          <w:sz w:val="20"/>
          <w:szCs w:val="20"/>
        </w:rPr>
        <w:t>CORTE INTERAMERICANA DE DERECHOS HUMANOS</w:t>
      </w:r>
      <w:r w:rsidR="00745963" w:rsidRPr="0064597D">
        <w:rPr>
          <w:rStyle w:val="Refdenotaalpie"/>
          <w:rFonts w:eastAsia="Calibri" w:cs="Calibri"/>
          <w:b/>
          <w:sz w:val="20"/>
          <w:szCs w:val="20"/>
        </w:rPr>
        <w:footnoteReference w:id="1"/>
      </w:r>
    </w:p>
    <w:p w14:paraId="5C673AE3" w14:textId="3AEECED6" w:rsidR="00833D5A" w:rsidRPr="0064597D" w:rsidRDefault="00833D5A" w:rsidP="00833D5A">
      <w:pPr>
        <w:tabs>
          <w:tab w:val="left" w:pos="720"/>
        </w:tabs>
        <w:spacing w:line="240" w:lineRule="auto"/>
        <w:jc w:val="center"/>
        <w:rPr>
          <w:rFonts w:eastAsia="Calibri" w:cs="Verdana"/>
          <w:b/>
          <w:bCs/>
          <w:caps/>
          <w:snapToGrid w:val="0"/>
          <w:sz w:val="20"/>
          <w:szCs w:val="20"/>
          <w:lang w:eastAsia="es-ES"/>
        </w:rPr>
      </w:pPr>
    </w:p>
    <w:p w14:paraId="7F4AFA1E" w14:textId="74331C53" w:rsidR="00833D5A" w:rsidRPr="0064597D" w:rsidRDefault="00833D5A" w:rsidP="00833D5A">
      <w:pPr>
        <w:spacing w:line="240" w:lineRule="auto"/>
        <w:jc w:val="center"/>
        <w:rPr>
          <w:rFonts w:eastAsia="Calibri" w:cs="Calibri"/>
          <w:b/>
          <w:sz w:val="20"/>
          <w:szCs w:val="20"/>
        </w:rPr>
      </w:pPr>
      <w:r w:rsidRPr="0064597D">
        <w:rPr>
          <w:rFonts w:eastAsia="Calibri" w:cs="Calibri"/>
          <w:b/>
          <w:sz w:val="20"/>
          <w:szCs w:val="20"/>
        </w:rPr>
        <w:t xml:space="preserve">CASO </w:t>
      </w:r>
      <w:r w:rsidR="00E32DA9" w:rsidRPr="0064597D">
        <w:rPr>
          <w:rFonts w:eastAsia="Calibri" w:cs="Calibri"/>
          <w:b/>
          <w:sz w:val="20"/>
          <w:szCs w:val="20"/>
        </w:rPr>
        <w:t>RUIZ FUENTES Y OTRA</w:t>
      </w:r>
      <w:r w:rsidRPr="0064597D">
        <w:rPr>
          <w:rFonts w:eastAsia="Calibri" w:cs="Calibri"/>
          <w:b/>
          <w:i/>
          <w:sz w:val="20"/>
          <w:szCs w:val="20"/>
        </w:rPr>
        <w:t xml:space="preserve"> VS</w:t>
      </w:r>
      <w:r w:rsidRPr="0064597D">
        <w:rPr>
          <w:rFonts w:eastAsia="Calibri" w:cs="Calibri"/>
          <w:b/>
          <w:sz w:val="20"/>
          <w:szCs w:val="20"/>
        </w:rPr>
        <w:t xml:space="preserve">. </w:t>
      </w:r>
      <w:r w:rsidR="00E32DA9" w:rsidRPr="0064597D">
        <w:rPr>
          <w:rFonts w:eastAsia="Calibri" w:cs="Calibri"/>
          <w:b/>
          <w:sz w:val="20"/>
          <w:szCs w:val="20"/>
        </w:rPr>
        <w:t>GUATEMALA</w:t>
      </w:r>
      <w:r w:rsidR="008C44B6" w:rsidRPr="0064597D">
        <w:rPr>
          <w:rStyle w:val="Refdenotaalpie"/>
          <w:rFonts w:eastAsia="Calibri" w:cs="Calibri"/>
          <w:b/>
          <w:sz w:val="20"/>
          <w:szCs w:val="20"/>
        </w:rPr>
        <w:footnoteReference w:customMarkFollows="1" w:id="2"/>
        <w:t>**</w:t>
      </w:r>
    </w:p>
    <w:p w14:paraId="7A6A4110" w14:textId="77777777" w:rsidR="00833D5A" w:rsidRPr="0064597D" w:rsidRDefault="00833D5A" w:rsidP="00833D5A">
      <w:pPr>
        <w:tabs>
          <w:tab w:val="left" w:pos="720"/>
        </w:tabs>
        <w:spacing w:line="240" w:lineRule="auto"/>
        <w:jc w:val="center"/>
        <w:rPr>
          <w:rFonts w:eastAsia="Calibri" w:cs="Verdana"/>
          <w:b/>
          <w:bCs/>
          <w:caps/>
          <w:snapToGrid w:val="0"/>
          <w:sz w:val="20"/>
          <w:szCs w:val="20"/>
          <w:lang w:eastAsia="es-ES"/>
        </w:rPr>
      </w:pPr>
    </w:p>
    <w:p w14:paraId="594EFFDE" w14:textId="16484C35" w:rsidR="00833D5A" w:rsidRPr="0064597D" w:rsidRDefault="00833D5A" w:rsidP="00833D5A">
      <w:pPr>
        <w:tabs>
          <w:tab w:val="left" w:pos="720"/>
        </w:tabs>
        <w:spacing w:line="240" w:lineRule="auto"/>
        <w:jc w:val="center"/>
        <w:rPr>
          <w:rFonts w:eastAsia="Calibri" w:cs="Verdana"/>
          <w:b/>
          <w:bCs/>
          <w:snapToGrid w:val="0"/>
          <w:sz w:val="20"/>
          <w:szCs w:val="20"/>
          <w:lang w:eastAsia="es-ES"/>
        </w:rPr>
      </w:pPr>
      <w:r w:rsidRPr="0064597D">
        <w:rPr>
          <w:rFonts w:eastAsia="Calibri" w:cs="Verdana"/>
          <w:b/>
          <w:bCs/>
          <w:snapToGrid w:val="0"/>
          <w:sz w:val="20"/>
          <w:szCs w:val="20"/>
          <w:lang w:eastAsia="es-ES"/>
        </w:rPr>
        <w:t xml:space="preserve">SENTENCIA DE </w:t>
      </w:r>
      <w:r w:rsidR="00DE123F" w:rsidRPr="0064597D">
        <w:rPr>
          <w:rFonts w:eastAsia="Calibri" w:cs="Verdana"/>
          <w:b/>
          <w:bCs/>
          <w:snapToGrid w:val="0"/>
          <w:sz w:val="20"/>
          <w:szCs w:val="20"/>
          <w:lang w:eastAsia="es-ES"/>
        </w:rPr>
        <w:t>10</w:t>
      </w:r>
      <w:r w:rsidRPr="0064597D">
        <w:rPr>
          <w:rFonts w:eastAsia="Calibri" w:cs="Verdana"/>
          <w:b/>
          <w:bCs/>
          <w:snapToGrid w:val="0"/>
          <w:sz w:val="20"/>
          <w:szCs w:val="20"/>
          <w:lang w:eastAsia="es-ES"/>
        </w:rPr>
        <w:t xml:space="preserve"> DE </w:t>
      </w:r>
      <w:r w:rsidR="00DE123F" w:rsidRPr="0064597D">
        <w:rPr>
          <w:rFonts w:eastAsia="Calibri" w:cs="Verdana"/>
          <w:b/>
          <w:bCs/>
          <w:snapToGrid w:val="0"/>
          <w:sz w:val="20"/>
          <w:szCs w:val="20"/>
          <w:lang w:eastAsia="es-ES"/>
        </w:rPr>
        <w:t>OCTUBRE</w:t>
      </w:r>
      <w:r w:rsidRPr="0064597D">
        <w:rPr>
          <w:rFonts w:eastAsia="Calibri" w:cs="Verdana"/>
          <w:b/>
          <w:bCs/>
          <w:snapToGrid w:val="0"/>
          <w:sz w:val="20"/>
          <w:szCs w:val="20"/>
          <w:lang w:eastAsia="es-ES"/>
        </w:rPr>
        <w:t xml:space="preserve"> DE </w:t>
      </w:r>
      <w:r w:rsidR="00E32DA9" w:rsidRPr="0064597D">
        <w:rPr>
          <w:rFonts w:eastAsia="Calibri" w:cs="Verdana"/>
          <w:b/>
          <w:bCs/>
          <w:snapToGrid w:val="0"/>
          <w:sz w:val="20"/>
          <w:szCs w:val="20"/>
          <w:lang w:eastAsia="es-ES"/>
        </w:rPr>
        <w:t>2019</w:t>
      </w:r>
    </w:p>
    <w:p w14:paraId="46BAC7A2" w14:textId="77777777" w:rsidR="00833D5A" w:rsidRPr="0064597D" w:rsidRDefault="00833D5A" w:rsidP="00833D5A">
      <w:pPr>
        <w:tabs>
          <w:tab w:val="left" w:pos="720"/>
        </w:tabs>
        <w:spacing w:line="240" w:lineRule="auto"/>
        <w:jc w:val="center"/>
        <w:rPr>
          <w:rFonts w:eastAsia="Calibri" w:cs="Verdana"/>
          <w:b/>
          <w:bCs/>
          <w:caps/>
          <w:snapToGrid w:val="0"/>
          <w:sz w:val="20"/>
          <w:szCs w:val="20"/>
          <w:lang w:eastAsia="es-ES"/>
        </w:rPr>
      </w:pPr>
    </w:p>
    <w:p w14:paraId="06895F7B" w14:textId="77777777" w:rsidR="00833D5A" w:rsidRPr="0064597D" w:rsidRDefault="005C543F" w:rsidP="00833D5A">
      <w:pPr>
        <w:tabs>
          <w:tab w:val="left" w:pos="720"/>
        </w:tabs>
        <w:spacing w:line="240" w:lineRule="auto"/>
        <w:jc w:val="center"/>
        <w:rPr>
          <w:rFonts w:eastAsia="Calibri" w:cs="Verdana"/>
          <w:b/>
          <w:bCs/>
          <w:caps/>
          <w:snapToGrid w:val="0"/>
          <w:sz w:val="20"/>
          <w:szCs w:val="20"/>
          <w:lang w:eastAsia="es-ES"/>
        </w:rPr>
      </w:pPr>
      <w:r w:rsidRPr="0064597D">
        <w:rPr>
          <w:rFonts w:eastAsia="Calibri" w:cs="Verdana"/>
          <w:b/>
          <w:bCs/>
          <w:i/>
          <w:iCs/>
          <w:snapToGrid w:val="0"/>
          <w:sz w:val="20"/>
          <w:szCs w:val="20"/>
          <w:lang w:eastAsia="es-ES"/>
        </w:rPr>
        <w:t>(</w:t>
      </w:r>
      <w:r w:rsidR="00A73879" w:rsidRPr="0064597D">
        <w:rPr>
          <w:rFonts w:eastAsia="Calibri" w:cs="Verdana"/>
          <w:b/>
          <w:bCs/>
          <w:i/>
          <w:iCs/>
          <w:snapToGrid w:val="0"/>
          <w:sz w:val="20"/>
          <w:szCs w:val="20"/>
          <w:lang w:eastAsia="es-ES"/>
        </w:rPr>
        <w:t xml:space="preserve">Excepción Preliminar, </w:t>
      </w:r>
      <w:r w:rsidR="00833D5A" w:rsidRPr="0064597D">
        <w:rPr>
          <w:rFonts w:eastAsia="Calibri" w:cs="Verdana"/>
          <w:b/>
          <w:bCs/>
          <w:i/>
          <w:iCs/>
          <w:snapToGrid w:val="0"/>
          <w:sz w:val="20"/>
          <w:szCs w:val="20"/>
          <w:lang w:eastAsia="es-ES"/>
        </w:rPr>
        <w:t>Fondo, Reparaciones y Costas)</w:t>
      </w:r>
    </w:p>
    <w:p w14:paraId="5F20AC0D" w14:textId="77777777" w:rsidR="00833D5A" w:rsidRPr="0064597D" w:rsidRDefault="00DC51F8" w:rsidP="00DC51F8">
      <w:pPr>
        <w:tabs>
          <w:tab w:val="left" w:pos="3819"/>
        </w:tabs>
        <w:spacing w:before="4" w:line="280" w:lineRule="exact"/>
        <w:rPr>
          <w:rFonts w:eastAsia="Calibri"/>
          <w:sz w:val="20"/>
          <w:szCs w:val="20"/>
        </w:rPr>
      </w:pPr>
      <w:r w:rsidRPr="0064597D">
        <w:rPr>
          <w:rFonts w:eastAsia="Calibri"/>
          <w:sz w:val="20"/>
          <w:szCs w:val="20"/>
        </w:rPr>
        <w:tab/>
      </w:r>
    </w:p>
    <w:p w14:paraId="6F10500E" w14:textId="77777777" w:rsidR="00833D5A" w:rsidRPr="0064597D" w:rsidRDefault="00833D5A" w:rsidP="00833D5A">
      <w:pPr>
        <w:tabs>
          <w:tab w:val="left" w:pos="720"/>
        </w:tabs>
        <w:spacing w:line="240" w:lineRule="auto"/>
        <w:rPr>
          <w:rFonts w:eastAsia="Verdana" w:cs="Verdana"/>
          <w:sz w:val="20"/>
          <w:szCs w:val="20"/>
        </w:rPr>
      </w:pPr>
      <w:r w:rsidRPr="0064597D">
        <w:rPr>
          <w:rFonts w:eastAsia="Verdana" w:cs="Verdana"/>
          <w:sz w:val="20"/>
          <w:szCs w:val="20"/>
        </w:rPr>
        <w:t xml:space="preserve">En el caso </w:t>
      </w:r>
      <w:r w:rsidR="00E32DA9" w:rsidRPr="0064597D">
        <w:rPr>
          <w:rFonts w:eastAsia="Verdana" w:cs="Verdana"/>
          <w:i/>
          <w:sz w:val="20"/>
          <w:szCs w:val="20"/>
        </w:rPr>
        <w:t>Ruiz Fuentes y otra</w:t>
      </w:r>
      <w:r w:rsidRPr="0064597D">
        <w:rPr>
          <w:rFonts w:eastAsia="Verdana" w:cs="Verdana"/>
          <w:sz w:val="20"/>
          <w:szCs w:val="20"/>
        </w:rPr>
        <w:t>,</w:t>
      </w:r>
    </w:p>
    <w:p w14:paraId="5FDC0A1E" w14:textId="77777777" w:rsidR="00833D5A" w:rsidRPr="0064597D" w:rsidRDefault="00833D5A" w:rsidP="00833D5A">
      <w:pPr>
        <w:spacing w:before="4" w:line="240" w:lineRule="exact"/>
        <w:rPr>
          <w:rFonts w:eastAsia="Calibri"/>
          <w:sz w:val="20"/>
          <w:szCs w:val="20"/>
        </w:rPr>
      </w:pPr>
    </w:p>
    <w:p w14:paraId="177D036F"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la Corte Interamericana de Derechos Humanos (en adelante “la Corte Interamericana”, “la Corte” o “este Tribunal”), integrada por los siguientes jueces:</w:t>
      </w:r>
      <w:r w:rsidR="00215B98" w:rsidRPr="0064597D">
        <w:rPr>
          <w:rFonts w:eastAsia="Calibri" w:cs="Verdana"/>
          <w:sz w:val="20"/>
          <w:szCs w:val="20"/>
        </w:rPr>
        <w:tab/>
      </w:r>
    </w:p>
    <w:p w14:paraId="31F96755" w14:textId="77777777" w:rsidR="00833D5A" w:rsidRPr="0064597D" w:rsidRDefault="00833D5A" w:rsidP="00833D5A">
      <w:pPr>
        <w:tabs>
          <w:tab w:val="left" w:pos="720"/>
        </w:tabs>
        <w:spacing w:line="240" w:lineRule="auto"/>
        <w:rPr>
          <w:rFonts w:eastAsia="Calibri" w:cs="Verdana"/>
          <w:sz w:val="20"/>
          <w:szCs w:val="20"/>
        </w:rPr>
      </w:pPr>
    </w:p>
    <w:p w14:paraId="47FDEF96"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Eduardo Ferrer Mac-Gregor Poisot, Presidente;</w:t>
      </w:r>
    </w:p>
    <w:p w14:paraId="73DD20CF"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 xml:space="preserve">Eduardo Vio Grossi, </w:t>
      </w:r>
      <w:r w:rsidR="004F53EE" w:rsidRPr="0064597D">
        <w:rPr>
          <w:rFonts w:eastAsia="Calibri" w:cs="Verdana"/>
          <w:sz w:val="20"/>
          <w:szCs w:val="20"/>
        </w:rPr>
        <w:t>Vicepresidente</w:t>
      </w:r>
      <w:r w:rsidRPr="0064597D">
        <w:rPr>
          <w:rFonts w:eastAsia="Calibri" w:cs="Verdana"/>
          <w:sz w:val="20"/>
          <w:szCs w:val="20"/>
        </w:rPr>
        <w:t>;</w:t>
      </w:r>
    </w:p>
    <w:p w14:paraId="0540A4CE"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Humberto Antonio Sierra Porto, Juez;</w:t>
      </w:r>
    </w:p>
    <w:p w14:paraId="1BFF3334" w14:textId="77777777" w:rsidR="00E32DA9" w:rsidRPr="0064597D" w:rsidRDefault="00E32DA9" w:rsidP="00833D5A">
      <w:pPr>
        <w:tabs>
          <w:tab w:val="left" w:pos="720"/>
        </w:tabs>
        <w:spacing w:line="240" w:lineRule="auto"/>
        <w:rPr>
          <w:rFonts w:eastAsia="Calibri" w:cs="Verdana"/>
          <w:sz w:val="20"/>
          <w:szCs w:val="20"/>
        </w:rPr>
      </w:pPr>
      <w:r w:rsidRPr="0064597D">
        <w:rPr>
          <w:rFonts w:eastAsia="Calibri" w:cs="Verdana"/>
          <w:sz w:val="20"/>
          <w:szCs w:val="20"/>
        </w:rPr>
        <w:t>Elizabeth Odio Benito, Jueza;</w:t>
      </w:r>
    </w:p>
    <w:p w14:paraId="6D71D6E1"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L</w:t>
      </w:r>
      <w:r w:rsidR="00E32DA9" w:rsidRPr="0064597D">
        <w:rPr>
          <w:rFonts w:eastAsia="Calibri" w:cs="Verdana"/>
          <w:sz w:val="20"/>
          <w:szCs w:val="20"/>
        </w:rPr>
        <w:t xml:space="preserve">. Patricio Pazmiño Freire, Juez, y </w:t>
      </w:r>
    </w:p>
    <w:p w14:paraId="434D5E0A" w14:textId="77777777" w:rsidR="00E32DA9" w:rsidRPr="0064597D" w:rsidRDefault="00E32DA9" w:rsidP="00E32DA9">
      <w:pPr>
        <w:tabs>
          <w:tab w:val="left" w:pos="720"/>
        </w:tabs>
        <w:spacing w:line="240" w:lineRule="auto"/>
        <w:rPr>
          <w:rFonts w:eastAsia="Calibri" w:cs="Verdana"/>
          <w:sz w:val="20"/>
          <w:szCs w:val="20"/>
        </w:rPr>
      </w:pPr>
      <w:r w:rsidRPr="0064597D">
        <w:rPr>
          <w:rFonts w:eastAsia="Calibri" w:cs="Verdana"/>
          <w:sz w:val="20"/>
          <w:szCs w:val="20"/>
        </w:rPr>
        <w:t>Ricardo Pérez Manrique, Juez;</w:t>
      </w:r>
    </w:p>
    <w:p w14:paraId="0A1D797B" w14:textId="77777777" w:rsidR="00833D5A" w:rsidRPr="0064597D" w:rsidRDefault="00833D5A" w:rsidP="00833D5A">
      <w:pPr>
        <w:tabs>
          <w:tab w:val="left" w:pos="720"/>
        </w:tabs>
        <w:spacing w:line="240" w:lineRule="auto"/>
        <w:rPr>
          <w:rFonts w:eastAsia="Calibri" w:cs="Verdana"/>
          <w:sz w:val="20"/>
          <w:szCs w:val="20"/>
        </w:rPr>
      </w:pPr>
    </w:p>
    <w:p w14:paraId="27CA20FA"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presente además,</w:t>
      </w:r>
    </w:p>
    <w:p w14:paraId="105FE0A1" w14:textId="77777777" w:rsidR="00833D5A" w:rsidRPr="0064597D" w:rsidRDefault="00833D5A" w:rsidP="00833D5A">
      <w:pPr>
        <w:tabs>
          <w:tab w:val="left" w:pos="720"/>
        </w:tabs>
        <w:spacing w:line="240" w:lineRule="auto"/>
        <w:rPr>
          <w:rFonts w:eastAsia="Calibri" w:cs="Verdana"/>
          <w:sz w:val="20"/>
          <w:szCs w:val="20"/>
        </w:rPr>
      </w:pPr>
    </w:p>
    <w:p w14:paraId="493930BE" w14:textId="77777777" w:rsidR="00833D5A" w:rsidRPr="0064597D" w:rsidRDefault="00833D5A" w:rsidP="00E32DA9">
      <w:pPr>
        <w:tabs>
          <w:tab w:val="left" w:pos="720"/>
        </w:tabs>
        <w:spacing w:line="240" w:lineRule="auto"/>
        <w:rPr>
          <w:rFonts w:eastAsia="Calibri" w:cs="Verdana"/>
          <w:sz w:val="20"/>
          <w:szCs w:val="20"/>
        </w:rPr>
      </w:pPr>
      <w:r w:rsidRPr="0064597D">
        <w:rPr>
          <w:rFonts w:eastAsia="Calibri" w:cs="Verdana"/>
          <w:sz w:val="20"/>
          <w:szCs w:val="20"/>
        </w:rPr>
        <w:t>Pablo Saavedra Alessandri, Secretario,</w:t>
      </w:r>
      <w:r w:rsidR="004F53EE" w:rsidRPr="0064597D">
        <w:rPr>
          <w:rFonts w:eastAsia="Calibri" w:cs="Verdana"/>
          <w:sz w:val="20"/>
          <w:szCs w:val="20"/>
        </w:rPr>
        <w:t xml:space="preserve"> </w:t>
      </w:r>
    </w:p>
    <w:p w14:paraId="320FC1F7" w14:textId="77777777" w:rsidR="00833D5A" w:rsidRPr="0064597D" w:rsidRDefault="00833D5A" w:rsidP="00833D5A">
      <w:pPr>
        <w:tabs>
          <w:tab w:val="left" w:pos="720"/>
        </w:tabs>
        <w:spacing w:line="240" w:lineRule="auto"/>
        <w:rPr>
          <w:rFonts w:eastAsia="Calibri" w:cs="Verdana"/>
          <w:sz w:val="20"/>
          <w:szCs w:val="20"/>
        </w:rPr>
      </w:pPr>
    </w:p>
    <w:p w14:paraId="2190EB83" w14:textId="77777777" w:rsidR="00833D5A" w:rsidRPr="0064597D" w:rsidRDefault="00833D5A" w:rsidP="00833D5A">
      <w:pPr>
        <w:tabs>
          <w:tab w:val="left" w:pos="720"/>
        </w:tabs>
        <w:spacing w:line="240" w:lineRule="auto"/>
        <w:rPr>
          <w:rFonts w:eastAsia="Calibri" w:cs="Verdana"/>
          <w:sz w:val="20"/>
          <w:szCs w:val="20"/>
        </w:rPr>
      </w:pPr>
      <w:r w:rsidRPr="0064597D">
        <w:rPr>
          <w:rFonts w:eastAsia="Calibri" w:cs="Verdana"/>
          <w:sz w:val="20"/>
          <w:szCs w:val="20"/>
        </w:rPr>
        <w:t>de conformidad con los artículos 62.3 y 63.1 de la Convención Americana sobre Derechos Humanos (en adelante “la Convención Americana” o “la Convención”) y con los artículos 31, 32, 62, 65 y 67 del Reglamento de la Corte (en adelante “el Reglamento” o “</w:t>
      </w:r>
      <w:r w:rsidR="00B9451F" w:rsidRPr="0064597D">
        <w:rPr>
          <w:rFonts w:eastAsia="Calibri" w:cs="Verdana"/>
          <w:sz w:val="20"/>
          <w:szCs w:val="20"/>
        </w:rPr>
        <w:t xml:space="preserve">el </w:t>
      </w:r>
      <w:r w:rsidRPr="0064597D">
        <w:rPr>
          <w:rFonts w:eastAsia="Calibri" w:cs="Verdana"/>
          <w:sz w:val="20"/>
          <w:szCs w:val="20"/>
        </w:rPr>
        <w:t>Reglamento de la Corte”), dicta la presente Sentencia, que se estructura en el siguiente orden:</w:t>
      </w:r>
    </w:p>
    <w:p w14:paraId="4FA7BEB4" w14:textId="77777777" w:rsidR="00833D5A" w:rsidRPr="0064597D" w:rsidRDefault="00833D5A" w:rsidP="00637174">
      <w:pPr>
        <w:spacing w:before="4" w:line="280" w:lineRule="exact"/>
        <w:rPr>
          <w:rFonts w:eastAsia="Calibri"/>
          <w:sz w:val="20"/>
          <w:szCs w:val="20"/>
        </w:rPr>
      </w:pPr>
    </w:p>
    <w:p w14:paraId="714BEF7B" w14:textId="77777777" w:rsidR="00833D5A" w:rsidRPr="0064597D" w:rsidRDefault="00833D5A" w:rsidP="00637174">
      <w:pPr>
        <w:spacing w:before="4" w:line="280" w:lineRule="exact"/>
        <w:rPr>
          <w:rFonts w:eastAsia="Calibri"/>
          <w:sz w:val="20"/>
          <w:szCs w:val="20"/>
        </w:rPr>
      </w:pPr>
    </w:p>
    <w:p w14:paraId="092F37B3" w14:textId="77777777" w:rsidR="00833D5A" w:rsidRPr="0064597D" w:rsidRDefault="00833D5A" w:rsidP="00833D5A">
      <w:pPr>
        <w:rPr>
          <w:rFonts w:eastAsia="Verdana" w:cs="Verdana"/>
          <w:position w:val="-1"/>
          <w:sz w:val="18"/>
          <w:szCs w:val="18"/>
        </w:rPr>
      </w:pPr>
      <w:r w:rsidRPr="0064597D">
        <w:rPr>
          <w:rFonts w:eastAsia="Verdana" w:cs="Verdana"/>
          <w:position w:val="-1"/>
          <w:sz w:val="18"/>
          <w:szCs w:val="18"/>
        </w:rPr>
        <w:br w:type="page"/>
      </w:r>
    </w:p>
    <w:sdt>
      <w:sdtPr>
        <w:rPr>
          <w:rFonts w:eastAsia="Times New Roman"/>
          <w:b w:val="0"/>
          <w:bCs/>
          <w:caps/>
          <w:noProof w:val="0"/>
          <w:sz w:val="24"/>
          <w:szCs w:val="24"/>
        </w:rPr>
        <w:id w:val="1909802414"/>
        <w:docPartObj>
          <w:docPartGallery w:val="Table of Contents"/>
          <w:docPartUnique/>
        </w:docPartObj>
      </w:sdtPr>
      <w:sdtEndPr>
        <w:rPr>
          <w:bCs w:val="0"/>
          <w:caps w:val="0"/>
        </w:rPr>
      </w:sdtEndPr>
      <w:sdtContent>
        <w:p w14:paraId="6308E3AD" w14:textId="7B48D013" w:rsidR="00DD4469" w:rsidRPr="00DD4469" w:rsidRDefault="003C5D40">
          <w:pPr>
            <w:pStyle w:val="TDC1"/>
            <w:rPr>
              <w:rFonts w:eastAsiaTheme="minorEastAsia" w:cstheme="minorBidi"/>
              <w:b w:val="0"/>
              <w:lang w:val="en-US" w:eastAsia="en-US"/>
            </w:rPr>
          </w:pPr>
          <w:r w:rsidRPr="00DD4469">
            <w:rPr>
              <w:rFonts w:cs="Verdana"/>
              <w:caps/>
              <w:noProof w:val="0"/>
              <w:snapToGrid w:val="0"/>
              <w:lang w:val="en-US" w:eastAsia="ja-JP"/>
            </w:rPr>
            <w:fldChar w:fldCharType="begin"/>
          </w:r>
          <w:r w:rsidRPr="00DD4469">
            <w:instrText xml:space="preserve"> TOC \o "1-3" \h \z \u </w:instrText>
          </w:r>
          <w:r w:rsidRPr="00DD4469">
            <w:rPr>
              <w:rFonts w:cs="Verdana"/>
              <w:caps/>
              <w:noProof w:val="0"/>
              <w:snapToGrid w:val="0"/>
              <w:lang w:val="en-US" w:eastAsia="ja-JP"/>
            </w:rPr>
            <w:fldChar w:fldCharType="separate"/>
          </w:r>
          <w:hyperlink w:anchor="_Toc24014525" w:history="1">
            <w:r w:rsidR="00DD4469" w:rsidRPr="00DD4469">
              <w:rPr>
                <w:rStyle w:val="Hipervnculo"/>
              </w:rPr>
              <w:t>I INTRODUCCIÓN DE LA CAUSA Y OBJETO DE LA CONTROVERSIA</w:t>
            </w:r>
            <w:r w:rsidR="00DD4469" w:rsidRPr="00DD4469">
              <w:rPr>
                <w:webHidden/>
              </w:rPr>
              <w:tab/>
            </w:r>
            <w:r w:rsidR="00DD4469" w:rsidRPr="00DD4469">
              <w:rPr>
                <w:webHidden/>
              </w:rPr>
              <w:fldChar w:fldCharType="begin"/>
            </w:r>
            <w:r w:rsidR="00DD4469" w:rsidRPr="00DD4469">
              <w:rPr>
                <w:webHidden/>
              </w:rPr>
              <w:instrText xml:space="preserve"> PAGEREF _Toc24014525 \h </w:instrText>
            </w:r>
            <w:r w:rsidR="00DD4469" w:rsidRPr="00DD4469">
              <w:rPr>
                <w:webHidden/>
              </w:rPr>
            </w:r>
            <w:r w:rsidR="00DD4469" w:rsidRPr="00DD4469">
              <w:rPr>
                <w:webHidden/>
              </w:rPr>
              <w:fldChar w:fldCharType="separate"/>
            </w:r>
            <w:r w:rsidR="002055E2">
              <w:rPr>
                <w:webHidden/>
              </w:rPr>
              <w:t>4</w:t>
            </w:r>
            <w:r w:rsidR="00DD4469" w:rsidRPr="00DD4469">
              <w:rPr>
                <w:webHidden/>
              </w:rPr>
              <w:fldChar w:fldCharType="end"/>
            </w:r>
          </w:hyperlink>
        </w:p>
        <w:p w14:paraId="671345B4" w14:textId="46D73497" w:rsidR="00DD4469" w:rsidRPr="00DD4469" w:rsidRDefault="00656033">
          <w:pPr>
            <w:pStyle w:val="TDC1"/>
            <w:rPr>
              <w:rFonts w:eastAsiaTheme="minorEastAsia" w:cstheme="minorBidi"/>
              <w:b w:val="0"/>
              <w:lang w:val="en-US" w:eastAsia="en-US"/>
            </w:rPr>
          </w:pPr>
          <w:hyperlink w:anchor="_Toc24014526" w:history="1">
            <w:r w:rsidR="00DD4469" w:rsidRPr="00DD4469">
              <w:rPr>
                <w:rStyle w:val="Hipervnculo"/>
              </w:rPr>
              <w:t>II PROCEDIMIENTO ANTE LA CORTE</w:t>
            </w:r>
            <w:r w:rsidR="00DD4469" w:rsidRPr="00DD4469">
              <w:rPr>
                <w:webHidden/>
              </w:rPr>
              <w:tab/>
            </w:r>
            <w:r w:rsidR="00DD4469" w:rsidRPr="00DD4469">
              <w:rPr>
                <w:webHidden/>
              </w:rPr>
              <w:fldChar w:fldCharType="begin"/>
            </w:r>
            <w:r w:rsidR="00DD4469" w:rsidRPr="00DD4469">
              <w:rPr>
                <w:webHidden/>
              </w:rPr>
              <w:instrText xml:space="preserve"> PAGEREF _Toc24014526 \h </w:instrText>
            </w:r>
            <w:r w:rsidR="00DD4469" w:rsidRPr="00DD4469">
              <w:rPr>
                <w:webHidden/>
              </w:rPr>
            </w:r>
            <w:r w:rsidR="00DD4469" w:rsidRPr="00DD4469">
              <w:rPr>
                <w:webHidden/>
              </w:rPr>
              <w:fldChar w:fldCharType="separate"/>
            </w:r>
            <w:r w:rsidR="002055E2">
              <w:rPr>
                <w:webHidden/>
              </w:rPr>
              <w:t>5</w:t>
            </w:r>
            <w:r w:rsidR="00DD4469" w:rsidRPr="00DD4469">
              <w:rPr>
                <w:webHidden/>
              </w:rPr>
              <w:fldChar w:fldCharType="end"/>
            </w:r>
          </w:hyperlink>
        </w:p>
        <w:p w14:paraId="6965ECC5" w14:textId="08CD3578" w:rsidR="00DD4469" w:rsidRPr="00DD4469" w:rsidRDefault="00656033">
          <w:pPr>
            <w:pStyle w:val="TDC1"/>
            <w:rPr>
              <w:rFonts w:eastAsiaTheme="minorEastAsia" w:cstheme="minorBidi"/>
              <w:b w:val="0"/>
              <w:lang w:val="en-US" w:eastAsia="en-US"/>
            </w:rPr>
          </w:pPr>
          <w:hyperlink w:anchor="_Toc24014527" w:history="1">
            <w:r w:rsidR="00DD4469" w:rsidRPr="00DD4469">
              <w:rPr>
                <w:rStyle w:val="Hipervnculo"/>
              </w:rPr>
              <w:t>III COMPETENCIA</w:t>
            </w:r>
            <w:r w:rsidR="00DD4469" w:rsidRPr="00DD4469">
              <w:rPr>
                <w:webHidden/>
              </w:rPr>
              <w:tab/>
            </w:r>
            <w:r w:rsidR="00DD4469" w:rsidRPr="00DD4469">
              <w:rPr>
                <w:webHidden/>
              </w:rPr>
              <w:fldChar w:fldCharType="begin"/>
            </w:r>
            <w:r w:rsidR="00DD4469" w:rsidRPr="00DD4469">
              <w:rPr>
                <w:webHidden/>
              </w:rPr>
              <w:instrText xml:space="preserve"> PAGEREF _Toc24014527 \h </w:instrText>
            </w:r>
            <w:r w:rsidR="00DD4469" w:rsidRPr="00DD4469">
              <w:rPr>
                <w:webHidden/>
              </w:rPr>
            </w:r>
            <w:r w:rsidR="00DD4469" w:rsidRPr="00DD4469">
              <w:rPr>
                <w:webHidden/>
              </w:rPr>
              <w:fldChar w:fldCharType="separate"/>
            </w:r>
            <w:r w:rsidR="002055E2">
              <w:rPr>
                <w:webHidden/>
              </w:rPr>
              <w:t>6</w:t>
            </w:r>
            <w:r w:rsidR="00DD4469" w:rsidRPr="00DD4469">
              <w:rPr>
                <w:webHidden/>
              </w:rPr>
              <w:fldChar w:fldCharType="end"/>
            </w:r>
          </w:hyperlink>
        </w:p>
        <w:p w14:paraId="06392E5E" w14:textId="75552C64" w:rsidR="00DD4469" w:rsidRPr="00DD4469" w:rsidRDefault="00656033">
          <w:pPr>
            <w:pStyle w:val="TDC1"/>
            <w:rPr>
              <w:rFonts w:eastAsiaTheme="minorEastAsia" w:cstheme="minorBidi"/>
              <w:b w:val="0"/>
              <w:lang w:val="en-US" w:eastAsia="en-US"/>
            </w:rPr>
          </w:pPr>
          <w:hyperlink w:anchor="_Toc24014528" w:history="1">
            <w:r w:rsidR="00DD4469" w:rsidRPr="00DD4469">
              <w:rPr>
                <w:rStyle w:val="Hipervnculo"/>
              </w:rPr>
              <w:t>IV EXCEPCIÓN PRELIMINAR</w:t>
            </w:r>
            <w:r w:rsidR="00DD4469" w:rsidRPr="00DD4469">
              <w:rPr>
                <w:webHidden/>
              </w:rPr>
              <w:tab/>
            </w:r>
            <w:r w:rsidR="00DD4469" w:rsidRPr="00DD4469">
              <w:rPr>
                <w:webHidden/>
              </w:rPr>
              <w:fldChar w:fldCharType="begin"/>
            </w:r>
            <w:r w:rsidR="00DD4469" w:rsidRPr="00DD4469">
              <w:rPr>
                <w:webHidden/>
              </w:rPr>
              <w:instrText xml:space="preserve"> PAGEREF _Toc24014528 \h </w:instrText>
            </w:r>
            <w:r w:rsidR="00DD4469" w:rsidRPr="00DD4469">
              <w:rPr>
                <w:webHidden/>
              </w:rPr>
            </w:r>
            <w:r w:rsidR="00DD4469" w:rsidRPr="00DD4469">
              <w:rPr>
                <w:webHidden/>
              </w:rPr>
              <w:fldChar w:fldCharType="separate"/>
            </w:r>
            <w:r w:rsidR="002055E2">
              <w:rPr>
                <w:webHidden/>
              </w:rPr>
              <w:t>6</w:t>
            </w:r>
            <w:r w:rsidR="00DD4469" w:rsidRPr="00DD4469">
              <w:rPr>
                <w:webHidden/>
              </w:rPr>
              <w:fldChar w:fldCharType="end"/>
            </w:r>
          </w:hyperlink>
        </w:p>
        <w:p w14:paraId="5AB475BB" w14:textId="717F662E" w:rsidR="00DD4469" w:rsidRPr="00DD4469" w:rsidRDefault="00656033">
          <w:pPr>
            <w:pStyle w:val="TDC2"/>
            <w:rPr>
              <w:rFonts w:eastAsiaTheme="minorEastAsia" w:cstheme="minorBidi"/>
              <w:noProof/>
              <w:sz w:val="20"/>
              <w:szCs w:val="20"/>
              <w:lang w:val="en-US" w:eastAsia="en-US"/>
            </w:rPr>
          </w:pPr>
          <w:hyperlink w:anchor="_Toc24014529"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Alegatos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_Toc24014529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6</w:t>
            </w:r>
            <w:r w:rsidR="00DD4469" w:rsidRPr="00DD4469">
              <w:rPr>
                <w:noProof/>
                <w:webHidden/>
                <w:sz w:val="20"/>
                <w:szCs w:val="20"/>
              </w:rPr>
              <w:fldChar w:fldCharType="end"/>
            </w:r>
          </w:hyperlink>
        </w:p>
        <w:p w14:paraId="58157FDE" w14:textId="2B856219" w:rsidR="00DD4469" w:rsidRPr="00DD4469" w:rsidRDefault="00656033">
          <w:pPr>
            <w:pStyle w:val="TDC2"/>
            <w:rPr>
              <w:rFonts w:eastAsiaTheme="minorEastAsia" w:cstheme="minorBidi"/>
              <w:noProof/>
              <w:sz w:val="20"/>
              <w:szCs w:val="20"/>
              <w:lang w:val="en-US" w:eastAsia="en-US"/>
            </w:rPr>
          </w:pPr>
          <w:hyperlink w:anchor="_Toc24014530"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_Toc24014530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7</w:t>
            </w:r>
            <w:r w:rsidR="00DD4469" w:rsidRPr="00DD4469">
              <w:rPr>
                <w:noProof/>
                <w:webHidden/>
                <w:sz w:val="20"/>
                <w:szCs w:val="20"/>
              </w:rPr>
              <w:fldChar w:fldCharType="end"/>
            </w:r>
          </w:hyperlink>
        </w:p>
        <w:p w14:paraId="4BD747EE" w14:textId="269C9EC9" w:rsidR="00DD4469" w:rsidRPr="00DD4469" w:rsidRDefault="00656033">
          <w:pPr>
            <w:pStyle w:val="TDC1"/>
            <w:rPr>
              <w:rFonts w:eastAsiaTheme="minorEastAsia" w:cstheme="minorBidi"/>
              <w:b w:val="0"/>
              <w:lang w:val="en-US" w:eastAsia="en-US"/>
            </w:rPr>
          </w:pPr>
          <w:hyperlink w:anchor="_Toc24014531" w:history="1">
            <w:r w:rsidR="00DD4469" w:rsidRPr="00DD4469">
              <w:rPr>
                <w:rStyle w:val="Hipervnculo"/>
              </w:rPr>
              <w:t>V CONSIDERACIONES PREVIAS</w:t>
            </w:r>
            <w:r w:rsidR="00DD4469" w:rsidRPr="00DD4469">
              <w:rPr>
                <w:webHidden/>
              </w:rPr>
              <w:tab/>
            </w:r>
            <w:r w:rsidR="00DD4469" w:rsidRPr="00DD4469">
              <w:rPr>
                <w:webHidden/>
              </w:rPr>
              <w:fldChar w:fldCharType="begin"/>
            </w:r>
            <w:r w:rsidR="00DD4469" w:rsidRPr="00DD4469">
              <w:rPr>
                <w:webHidden/>
              </w:rPr>
              <w:instrText xml:space="preserve"> PAGEREF _Toc24014531 \h </w:instrText>
            </w:r>
            <w:r w:rsidR="00DD4469" w:rsidRPr="00DD4469">
              <w:rPr>
                <w:webHidden/>
              </w:rPr>
            </w:r>
            <w:r w:rsidR="00DD4469" w:rsidRPr="00DD4469">
              <w:rPr>
                <w:webHidden/>
              </w:rPr>
              <w:fldChar w:fldCharType="separate"/>
            </w:r>
            <w:r w:rsidR="002055E2">
              <w:rPr>
                <w:webHidden/>
              </w:rPr>
              <w:t>7</w:t>
            </w:r>
            <w:r w:rsidR="00DD4469" w:rsidRPr="00DD4469">
              <w:rPr>
                <w:webHidden/>
              </w:rPr>
              <w:fldChar w:fldCharType="end"/>
            </w:r>
          </w:hyperlink>
        </w:p>
        <w:p w14:paraId="1CEF5EF6" w14:textId="28A90F9D" w:rsidR="00DD4469" w:rsidRPr="00DD4469" w:rsidRDefault="00656033">
          <w:pPr>
            <w:pStyle w:val="TDC2"/>
            <w:rPr>
              <w:rFonts w:eastAsiaTheme="minorEastAsia" w:cstheme="minorBidi"/>
              <w:noProof/>
              <w:sz w:val="20"/>
              <w:szCs w:val="20"/>
              <w:lang w:val="en-US" w:eastAsia="en-US"/>
            </w:rPr>
          </w:pPr>
          <w:hyperlink w:anchor="_Toc24014532"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Víctimas del presente caso</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7</w:t>
            </w:r>
            <w:r w:rsidR="00DD4469" w:rsidRPr="00DD4469">
              <w:rPr>
                <w:noProof/>
                <w:webHidden/>
                <w:sz w:val="20"/>
                <w:szCs w:val="20"/>
              </w:rPr>
              <w:fldChar w:fldCharType="end"/>
            </w:r>
          </w:hyperlink>
        </w:p>
        <w:p w14:paraId="261AD39E" w14:textId="46A3E187" w:rsidR="00DD4469" w:rsidRPr="00DD4469" w:rsidRDefault="00656033">
          <w:pPr>
            <w:pStyle w:val="TDC3"/>
            <w:rPr>
              <w:rFonts w:eastAsiaTheme="minorEastAsia" w:cstheme="minorBidi"/>
              <w:noProof/>
              <w:sz w:val="20"/>
              <w:szCs w:val="20"/>
              <w:lang w:val="en-US" w:eastAsia="en-US"/>
            </w:rPr>
          </w:pPr>
          <w:hyperlink w:anchor="_Toc24014533" w:history="1">
            <w:r w:rsidR="00DD4469" w:rsidRPr="00DD4469">
              <w:rPr>
                <w:rStyle w:val="Hipervnculo"/>
                <w:rFonts w:eastAsia="MS Mincho"/>
                <w:noProof/>
                <w:sz w:val="20"/>
                <w:szCs w:val="20"/>
                <w:lang w:eastAsia="en-US"/>
              </w:rPr>
              <w:t xml:space="preserve">a.1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Alegatos del Estado, observaciones de las representantes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_Toc24014533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7</w:t>
            </w:r>
            <w:r w:rsidR="00DD4469" w:rsidRPr="00DD4469">
              <w:rPr>
                <w:noProof/>
                <w:webHidden/>
                <w:sz w:val="20"/>
                <w:szCs w:val="20"/>
              </w:rPr>
              <w:fldChar w:fldCharType="end"/>
            </w:r>
          </w:hyperlink>
        </w:p>
        <w:p w14:paraId="6E351C7A" w14:textId="3260D7DC" w:rsidR="00DD4469" w:rsidRPr="00DD4469" w:rsidRDefault="00656033">
          <w:pPr>
            <w:pStyle w:val="TDC3"/>
            <w:rPr>
              <w:rFonts w:eastAsiaTheme="minorEastAsia" w:cstheme="minorBidi"/>
              <w:noProof/>
              <w:sz w:val="20"/>
              <w:szCs w:val="20"/>
              <w:lang w:val="en-US" w:eastAsia="en-US"/>
            </w:rPr>
          </w:pPr>
          <w:hyperlink w:anchor="_Toc24014534" w:history="1">
            <w:r w:rsidR="00DD4469" w:rsidRPr="00DD4469">
              <w:rPr>
                <w:rStyle w:val="Hipervnculo"/>
                <w:rFonts w:eastAsia="MS Mincho"/>
                <w:noProof/>
                <w:sz w:val="20"/>
                <w:szCs w:val="20"/>
                <w:lang w:eastAsia="en-US"/>
              </w:rPr>
              <w:t xml:space="preserve">a.2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8</w:t>
            </w:r>
            <w:r w:rsidR="00DD4469" w:rsidRPr="00DD4469">
              <w:rPr>
                <w:noProof/>
                <w:webHidden/>
                <w:sz w:val="20"/>
                <w:szCs w:val="20"/>
              </w:rPr>
              <w:fldChar w:fldCharType="end"/>
            </w:r>
          </w:hyperlink>
        </w:p>
        <w:p w14:paraId="06926A7C" w14:textId="3D0ECCB8" w:rsidR="00DD4469" w:rsidRPr="00DD4469" w:rsidRDefault="00656033">
          <w:pPr>
            <w:pStyle w:val="TDC2"/>
            <w:rPr>
              <w:rFonts w:eastAsiaTheme="minorEastAsia" w:cstheme="minorBidi"/>
              <w:noProof/>
              <w:sz w:val="20"/>
              <w:szCs w:val="20"/>
              <w:lang w:val="en-US" w:eastAsia="en-US"/>
            </w:rPr>
          </w:pPr>
          <w:hyperlink w:anchor="_Toc24014535"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Determinación del marco fáctico</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_Toc24014535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8</w:t>
            </w:r>
            <w:r w:rsidR="00DD4469" w:rsidRPr="00DD4469">
              <w:rPr>
                <w:noProof/>
                <w:webHidden/>
                <w:sz w:val="20"/>
                <w:szCs w:val="20"/>
              </w:rPr>
              <w:fldChar w:fldCharType="end"/>
            </w:r>
          </w:hyperlink>
        </w:p>
        <w:p w14:paraId="3A0BDBC2" w14:textId="0AED29AE" w:rsidR="00DD4469" w:rsidRPr="00DD4469" w:rsidRDefault="00656033">
          <w:pPr>
            <w:pStyle w:val="TDC1"/>
            <w:rPr>
              <w:rFonts w:eastAsiaTheme="minorEastAsia" w:cstheme="minorBidi"/>
              <w:b w:val="0"/>
              <w:lang w:val="en-US" w:eastAsia="en-US"/>
            </w:rPr>
          </w:pPr>
          <w:hyperlink w:anchor="_Toc24014536" w:history="1">
            <w:r w:rsidR="00DD4469" w:rsidRPr="00DD4469">
              <w:rPr>
                <w:rStyle w:val="Hipervnculo"/>
              </w:rPr>
              <w:t>VI PRUEBA</w:t>
            </w:r>
            <w:r w:rsidR="00DD4469" w:rsidRPr="00DD4469">
              <w:rPr>
                <w:webHidden/>
              </w:rPr>
              <w:tab/>
            </w:r>
            <w:r w:rsidR="00DD4469" w:rsidRPr="00DD4469">
              <w:rPr>
                <w:webHidden/>
              </w:rPr>
              <w:fldChar w:fldCharType="begin"/>
            </w:r>
            <w:r w:rsidR="00DD4469" w:rsidRPr="00DD4469">
              <w:rPr>
                <w:webHidden/>
              </w:rPr>
              <w:instrText xml:space="preserve"> PAGEREF _Toc24014536 \h </w:instrText>
            </w:r>
            <w:r w:rsidR="00DD4469" w:rsidRPr="00DD4469">
              <w:rPr>
                <w:webHidden/>
              </w:rPr>
            </w:r>
            <w:r w:rsidR="00DD4469" w:rsidRPr="00DD4469">
              <w:rPr>
                <w:webHidden/>
              </w:rPr>
              <w:fldChar w:fldCharType="separate"/>
            </w:r>
            <w:r w:rsidR="002055E2">
              <w:rPr>
                <w:webHidden/>
              </w:rPr>
              <w:t>9</w:t>
            </w:r>
            <w:r w:rsidR="00DD4469" w:rsidRPr="00DD4469">
              <w:rPr>
                <w:webHidden/>
              </w:rPr>
              <w:fldChar w:fldCharType="end"/>
            </w:r>
          </w:hyperlink>
        </w:p>
        <w:p w14:paraId="73FA6A9B" w14:textId="7C54CE05" w:rsidR="00DD4469" w:rsidRPr="00DD4469" w:rsidRDefault="00656033">
          <w:pPr>
            <w:pStyle w:val="TDC2"/>
            <w:rPr>
              <w:rFonts w:eastAsiaTheme="minorEastAsia" w:cstheme="minorBidi"/>
              <w:noProof/>
              <w:sz w:val="20"/>
              <w:szCs w:val="20"/>
              <w:lang w:val="en-US" w:eastAsia="en-US"/>
            </w:rPr>
          </w:pPr>
          <w:hyperlink w:anchor="_Toc24014537"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Admisibilidad de la prueba documental</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_Toc24014537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9</w:t>
            </w:r>
            <w:r w:rsidR="00DD4469" w:rsidRPr="00DD4469">
              <w:rPr>
                <w:noProof/>
                <w:webHidden/>
                <w:sz w:val="20"/>
                <w:szCs w:val="20"/>
              </w:rPr>
              <w:fldChar w:fldCharType="end"/>
            </w:r>
          </w:hyperlink>
        </w:p>
        <w:p w14:paraId="68D8A0EF" w14:textId="654C5A2A" w:rsidR="00DD4469" w:rsidRPr="00DD4469" w:rsidRDefault="00656033">
          <w:pPr>
            <w:pStyle w:val="TDC2"/>
            <w:rPr>
              <w:rFonts w:eastAsiaTheme="minorEastAsia" w:cstheme="minorBidi"/>
              <w:noProof/>
              <w:sz w:val="20"/>
              <w:szCs w:val="20"/>
              <w:lang w:val="en-US" w:eastAsia="en-US"/>
            </w:rPr>
          </w:pPr>
          <w:hyperlink w:anchor="_Toc24014538"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Admisibilidad de la prueba testimonial y pericial</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_Toc24014538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10</w:t>
            </w:r>
            <w:r w:rsidR="00DD4469" w:rsidRPr="00DD4469">
              <w:rPr>
                <w:noProof/>
                <w:webHidden/>
                <w:sz w:val="20"/>
                <w:szCs w:val="20"/>
              </w:rPr>
              <w:fldChar w:fldCharType="end"/>
            </w:r>
          </w:hyperlink>
        </w:p>
        <w:p w14:paraId="59A2EEED" w14:textId="5B87CAF6" w:rsidR="00DD4469" w:rsidRPr="00DD4469" w:rsidRDefault="00656033">
          <w:pPr>
            <w:pStyle w:val="TDC1"/>
            <w:rPr>
              <w:rFonts w:eastAsiaTheme="minorEastAsia" w:cstheme="minorBidi"/>
              <w:b w:val="0"/>
              <w:lang w:val="en-US" w:eastAsia="en-US"/>
            </w:rPr>
          </w:pPr>
          <w:hyperlink w:anchor="_Toc24014539" w:history="1">
            <w:r w:rsidR="00DD4469" w:rsidRPr="00DD4469">
              <w:rPr>
                <w:rStyle w:val="Hipervnculo"/>
              </w:rPr>
              <w:t>VII HECHOS</w:t>
            </w:r>
            <w:r w:rsidR="00DD4469" w:rsidRPr="00DD4469">
              <w:rPr>
                <w:webHidden/>
              </w:rPr>
              <w:tab/>
            </w:r>
            <w:r w:rsidR="00DD4469" w:rsidRPr="00DD4469">
              <w:rPr>
                <w:webHidden/>
              </w:rPr>
              <w:fldChar w:fldCharType="begin"/>
            </w:r>
            <w:r w:rsidR="00DD4469" w:rsidRPr="00DD4469">
              <w:rPr>
                <w:webHidden/>
              </w:rPr>
              <w:instrText xml:space="preserve"> PAGEREF _Toc24014539 \h </w:instrText>
            </w:r>
            <w:r w:rsidR="00DD4469" w:rsidRPr="00DD4469">
              <w:rPr>
                <w:webHidden/>
              </w:rPr>
            </w:r>
            <w:r w:rsidR="00DD4469" w:rsidRPr="00DD4469">
              <w:rPr>
                <w:webHidden/>
              </w:rPr>
              <w:fldChar w:fldCharType="separate"/>
            </w:r>
            <w:r w:rsidR="002055E2">
              <w:rPr>
                <w:webHidden/>
              </w:rPr>
              <w:t>10</w:t>
            </w:r>
            <w:r w:rsidR="00DD4469" w:rsidRPr="00DD4469">
              <w:rPr>
                <w:webHidden/>
              </w:rPr>
              <w:fldChar w:fldCharType="end"/>
            </w:r>
          </w:hyperlink>
        </w:p>
        <w:p w14:paraId="5AB4EED6" w14:textId="3207ECAD" w:rsidR="00DD4469" w:rsidRPr="00DD4469" w:rsidRDefault="00656033">
          <w:pPr>
            <w:pStyle w:val="TDC2"/>
            <w:rPr>
              <w:rFonts w:eastAsiaTheme="minorEastAsia" w:cstheme="minorBidi"/>
              <w:noProof/>
              <w:sz w:val="20"/>
              <w:szCs w:val="20"/>
              <w:lang w:val="en-US" w:eastAsia="en-US"/>
            </w:rPr>
          </w:pPr>
          <w:hyperlink w:anchor="_Toc24014540"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Marco normativo en Guatemala con respecto a la pena de muerte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_Toc24014540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11</w:t>
            </w:r>
            <w:r w:rsidR="00DD4469" w:rsidRPr="00DD4469">
              <w:rPr>
                <w:noProof/>
                <w:webHidden/>
                <w:sz w:val="20"/>
                <w:szCs w:val="20"/>
              </w:rPr>
              <w:fldChar w:fldCharType="end"/>
            </w:r>
          </w:hyperlink>
        </w:p>
        <w:p w14:paraId="6A3B616E" w14:textId="6D076346" w:rsidR="00DD4469" w:rsidRPr="00DD4469" w:rsidRDefault="00656033">
          <w:pPr>
            <w:pStyle w:val="TDC2"/>
            <w:rPr>
              <w:rFonts w:eastAsiaTheme="minorEastAsia" w:cstheme="minorBidi"/>
              <w:noProof/>
              <w:sz w:val="20"/>
              <w:szCs w:val="20"/>
              <w:lang w:val="en-US" w:eastAsia="en-US"/>
            </w:rPr>
          </w:pPr>
          <w:hyperlink w:anchor="_Toc24014541"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Detención del señor Ruiz Fuentes y alegatos de tortura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_Toc24014541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13</w:t>
            </w:r>
            <w:r w:rsidR="00DD4469" w:rsidRPr="00DD4469">
              <w:rPr>
                <w:noProof/>
                <w:webHidden/>
                <w:sz w:val="20"/>
                <w:szCs w:val="20"/>
              </w:rPr>
              <w:fldChar w:fldCharType="end"/>
            </w:r>
          </w:hyperlink>
        </w:p>
        <w:p w14:paraId="0315A310" w14:textId="5919D3E0" w:rsidR="00DD4469" w:rsidRPr="00DD4469" w:rsidRDefault="00656033">
          <w:pPr>
            <w:pStyle w:val="TDC2"/>
            <w:rPr>
              <w:rFonts w:eastAsiaTheme="minorEastAsia" w:cstheme="minorBidi"/>
              <w:noProof/>
              <w:sz w:val="20"/>
              <w:szCs w:val="20"/>
              <w:lang w:val="en-US" w:eastAsia="en-US"/>
            </w:rPr>
          </w:pPr>
          <w:hyperlink w:anchor="_Toc24014542" w:history="1">
            <w:r w:rsidR="00DD4469" w:rsidRPr="00DD4469">
              <w:rPr>
                <w:rStyle w:val="Hipervnculo"/>
                <w:rFonts w:eastAsia="MS Mincho"/>
                <w:noProof/>
                <w:sz w:val="20"/>
                <w:szCs w:val="20"/>
              </w:rPr>
              <w:t>C.</w:t>
            </w:r>
            <w:r w:rsidR="00DD4469">
              <w:rPr>
                <w:rStyle w:val="Hipervnculo"/>
                <w:rFonts w:eastAsia="MS Mincho"/>
                <w:noProof/>
                <w:sz w:val="20"/>
                <w:szCs w:val="20"/>
              </w:rPr>
              <w:t xml:space="preserve"> </w:t>
            </w:r>
            <w:r w:rsidR="00DD4469" w:rsidRPr="00DD4469">
              <w:rPr>
                <w:rStyle w:val="Hipervnculo"/>
                <w:rFonts w:eastAsia="MS Mincho"/>
                <w:noProof/>
                <w:sz w:val="20"/>
                <w:szCs w:val="20"/>
              </w:rPr>
              <w:t>Proceso penal seguido contra 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15</w:t>
            </w:r>
            <w:r w:rsidR="00DD4469" w:rsidRPr="00DD4469">
              <w:rPr>
                <w:noProof/>
                <w:webHidden/>
                <w:sz w:val="20"/>
                <w:szCs w:val="20"/>
              </w:rPr>
              <w:fldChar w:fldCharType="end"/>
            </w:r>
          </w:hyperlink>
        </w:p>
        <w:p w14:paraId="701D5814" w14:textId="54CA1828" w:rsidR="00DD4469" w:rsidRPr="00DD4469" w:rsidRDefault="00656033">
          <w:pPr>
            <w:pStyle w:val="TDC3"/>
            <w:rPr>
              <w:rFonts w:eastAsiaTheme="minorEastAsia" w:cstheme="minorBidi"/>
              <w:noProof/>
              <w:sz w:val="20"/>
              <w:szCs w:val="20"/>
              <w:lang w:val="en-US" w:eastAsia="en-US"/>
            </w:rPr>
          </w:pPr>
          <w:hyperlink w:anchor="_Toc24014543" w:history="1">
            <w:r w:rsidR="00DD4469" w:rsidRPr="00DD4469">
              <w:rPr>
                <w:rStyle w:val="Hipervnculo"/>
                <w:rFonts w:eastAsia="MS Mincho"/>
                <w:noProof/>
                <w:sz w:val="20"/>
                <w:szCs w:val="20"/>
              </w:rPr>
              <w:t xml:space="preserve">c.1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Hechos que dan lugar a la sentencia condenatoria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_Toc24014543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15</w:t>
            </w:r>
            <w:r w:rsidR="00DD4469" w:rsidRPr="00DD4469">
              <w:rPr>
                <w:noProof/>
                <w:webHidden/>
                <w:sz w:val="20"/>
                <w:szCs w:val="20"/>
              </w:rPr>
              <w:fldChar w:fldCharType="end"/>
            </w:r>
          </w:hyperlink>
        </w:p>
        <w:p w14:paraId="30C8EB1C" w14:textId="6C5CB330" w:rsidR="00DD4469" w:rsidRPr="00DD4469" w:rsidRDefault="00656033">
          <w:pPr>
            <w:pStyle w:val="TDC3"/>
            <w:rPr>
              <w:rFonts w:eastAsiaTheme="minorEastAsia" w:cstheme="minorBidi"/>
              <w:noProof/>
              <w:sz w:val="20"/>
              <w:szCs w:val="20"/>
              <w:lang w:val="en-US" w:eastAsia="en-US"/>
            </w:rPr>
          </w:pPr>
          <w:hyperlink w:anchor="_Toc24014544" w:history="1">
            <w:r w:rsidR="00DD4469" w:rsidRPr="00DD4469">
              <w:rPr>
                <w:rStyle w:val="Hipervnculo"/>
                <w:rFonts w:eastAsia="MS Mincho"/>
                <w:noProof/>
                <w:sz w:val="20"/>
                <w:szCs w:val="20"/>
              </w:rPr>
              <w:t xml:space="preserve">c.2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Recursos interpuestos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16</w:t>
            </w:r>
            <w:r w:rsidR="00DD4469" w:rsidRPr="00DD4469">
              <w:rPr>
                <w:noProof/>
                <w:webHidden/>
                <w:sz w:val="20"/>
                <w:szCs w:val="20"/>
              </w:rPr>
              <w:fldChar w:fldCharType="end"/>
            </w:r>
          </w:hyperlink>
        </w:p>
        <w:p w14:paraId="26F054AF" w14:textId="01DEE6D8" w:rsidR="00DD4469" w:rsidRPr="00DD4469" w:rsidRDefault="00656033">
          <w:pPr>
            <w:pStyle w:val="TDC2"/>
            <w:rPr>
              <w:rFonts w:eastAsiaTheme="minorEastAsia" w:cstheme="minorBidi"/>
              <w:noProof/>
              <w:sz w:val="20"/>
              <w:szCs w:val="20"/>
              <w:lang w:val="en-US" w:eastAsia="en-US"/>
            </w:rPr>
          </w:pPr>
          <w:hyperlink w:anchor="_Toc24014545" w:history="1">
            <w:r w:rsidR="00DD4469" w:rsidRPr="00DD4469">
              <w:rPr>
                <w:rStyle w:val="Hipervnculo"/>
                <w:rFonts w:eastAsia="MS Mincho"/>
                <w:noProof/>
                <w:sz w:val="20"/>
                <w:szCs w:val="20"/>
              </w:rPr>
              <w:t>F.</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Fuga de la cárcel “El Infiernito” y posterior muerte del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_Toc24014545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17</w:t>
            </w:r>
            <w:r w:rsidR="00DD4469" w:rsidRPr="00DD4469">
              <w:rPr>
                <w:noProof/>
                <w:webHidden/>
                <w:sz w:val="20"/>
                <w:szCs w:val="20"/>
              </w:rPr>
              <w:fldChar w:fldCharType="end"/>
            </w:r>
          </w:hyperlink>
        </w:p>
        <w:p w14:paraId="6CED8A4C" w14:textId="4E036BC9" w:rsidR="00DD4469" w:rsidRPr="00DD4469" w:rsidRDefault="00656033">
          <w:pPr>
            <w:pStyle w:val="TDC2"/>
            <w:rPr>
              <w:rFonts w:eastAsiaTheme="minorEastAsia" w:cstheme="minorBidi"/>
              <w:noProof/>
              <w:sz w:val="20"/>
              <w:szCs w:val="20"/>
              <w:lang w:val="en-US" w:eastAsia="en-US"/>
            </w:rPr>
          </w:pPr>
          <w:hyperlink w:anchor="_Toc24014546" w:history="1">
            <w:r w:rsidR="00DD4469" w:rsidRPr="00DD4469">
              <w:rPr>
                <w:rStyle w:val="Hipervnculo"/>
                <w:rFonts w:eastAsia="MS Mincho"/>
                <w:noProof/>
                <w:sz w:val="20"/>
                <w:szCs w:val="20"/>
              </w:rPr>
              <w:t>E.</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Investigación y procesos judiciales iniciados por la muerte del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_Toc24014546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18</w:t>
            </w:r>
            <w:r w:rsidR="00DD4469" w:rsidRPr="00DD4469">
              <w:rPr>
                <w:noProof/>
                <w:webHidden/>
                <w:sz w:val="20"/>
                <w:szCs w:val="20"/>
              </w:rPr>
              <w:fldChar w:fldCharType="end"/>
            </w:r>
          </w:hyperlink>
        </w:p>
        <w:p w14:paraId="6FDF85CF" w14:textId="7602E7B2" w:rsidR="00DD4469" w:rsidRPr="00DD4469" w:rsidRDefault="00656033">
          <w:pPr>
            <w:pStyle w:val="TDC1"/>
            <w:rPr>
              <w:rFonts w:eastAsiaTheme="minorEastAsia" w:cstheme="minorBidi"/>
              <w:b w:val="0"/>
              <w:lang w:val="en-US" w:eastAsia="en-US"/>
            </w:rPr>
          </w:pPr>
          <w:hyperlink w:anchor="_Toc24014547" w:history="1">
            <w:r w:rsidR="00DD4469" w:rsidRPr="00DD4469">
              <w:rPr>
                <w:rStyle w:val="Hipervnculo"/>
              </w:rPr>
              <w:t>VIII FONDO</w:t>
            </w:r>
            <w:r w:rsidR="00DD4469" w:rsidRPr="00DD4469">
              <w:rPr>
                <w:webHidden/>
              </w:rPr>
              <w:tab/>
            </w:r>
            <w:r w:rsidR="00DD4469" w:rsidRPr="00DD4469">
              <w:rPr>
                <w:webHidden/>
              </w:rPr>
              <w:fldChar w:fldCharType="begin"/>
            </w:r>
            <w:r w:rsidR="00DD4469" w:rsidRPr="00DD4469">
              <w:rPr>
                <w:webHidden/>
              </w:rPr>
              <w:instrText xml:space="preserve"> PAGEREF _Toc24014547 \h </w:instrText>
            </w:r>
            <w:r w:rsidR="00DD4469" w:rsidRPr="00DD4469">
              <w:rPr>
                <w:webHidden/>
              </w:rPr>
            </w:r>
            <w:r w:rsidR="00DD4469" w:rsidRPr="00DD4469">
              <w:rPr>
                <w:webHidden/>
              </w:rPr>
              <w:fldChar w:fldCharType="separate"/>
            </w:r>
            <w:r w:rsidR="002055E2">
              <w:rPr>
                <w:webHidden/>
              </w:rPr>
              <w:t>19</w:t>
            </w:r>
            <w:r w:rsidR="00DD4469" w:rsidRPr="00DD4469">
              <w:rPr>
                <w:webHidden/>
              </w:rPr>
              <w:fldChar w:fldCharType="end"/>
            </w:r>
          </w:hyperlink>
        </w:p>
        <w:p w14:paraId="6D1D4E4F" w14:textId="7F798DD8" w:rsidR="00DD4469" w:rsidRPr="00DD4469" w:rsidRDefault="00656033">
          <w:pPr>
            <w:pStyle w:val="TDC1"/>
            <w:rPr>
              <w:rFonts w:eastAsiaTheme="minorEastAsia" w:cstheme="minorBidi"/>
              <w:b w:val="0"/>
              <w:lang w:val="en-US" w:eastAsia="en-US"/>
            </w:rPr>
          </w:pPr>
          <w:hyperlink w:anchor="_Toc24014548" w:history="1">
            <w:r w:rsidR="00DD4469" w:rsidRPr="00DD4469">
              <w:rPr>
                <w:rStyle w:val="Hipervnculo"/>
              </w:rPr>
              <w:t>VIII-1 DERECHO A LA VIDA, CON MOTIVO DE LA APLICACIÓN DE LA PENA DE MUERTE AL SEÑOR RUIZ FUENTES</w:t>
            </w:r>
            <w:r w:rsidR="00DD4469" w:rsidRPr="00DD4469">
              <w:rPr>
                <w:webHidden/>
              </w:rPr>
              <w:tab/>
            </w:r>
            <w:r w:rsidR="00DD4469" w:rsidRPr="00DD4469">
              <w:rPr>
                <w:webHidden/>
              </w:rPr>
              <w:fldChar w:fldCharType="begin"/>
            </w:r>
            <w:r w:rsidR="00DD4469" w:rsidRPr="00DD4469">
              <w:rPr>
                <w:webHidden/>
              </w:rPr>
              <w:instrText xml:space="preserve"> PAGEREF _Toc24014548 \h </w:instrText>
            </w:r>
            <w:r w:rsidR="00DD4469" w:rsidRPr="00DD4469">
              <w:rPr>
                <w:webHidden/>
              </w:rPr>
            </w:r>
            <w:r w:rsidR="00DD4469" w:rsidRPr="00DD4469">
              <w:rPr>
                <w:webHidden/>
              </w:rPr>
              <w:fldChar w:fldCharType="separate"/>
            </w:r>
            <w:r w:rsidR="002055E2">
              <w:rPr>
                <w:webHidden/>
              </w:rPr>
              <w:t>20</w:t>
            </w:r>
            <w:r w:rsidR="00DD4469" w:rsidRPr="00DD4469">
              <w:rPr>
                <w:webHidden/>
              </w:rPr>
              <w:fldChar w:fldCharType="end"/>
            </w:r>
          </w:hyperlink>
        </w:p>
        <w:p w14:paraId="18520D22" w14:textId="3BFC205E" w:rsidR="00DD4469" w:rsidRPr="00DD4469" w:rsidRDefault="00656033">
          <w:pPr>
            <w:pStyle w:val="TDC2"/>
            <w:rPr>
              <w:rFonts w:eastAsiaTheme="minorEastAsia" w:cstheme="minorBidi"/>
              <w:noProof/>
              <w:sz w:val="20"/>
              <w:szCs w:val="20"/>
              <w:lang w:val="en-US" w:eastAsia="en-US"/>
            </w:rPr>
          </w:pPr>
          <w:hyperlink w:anchor="_Toc24014549" w:history="1">
            <w:r w:rsidR="00DD4469" w:rsidRPr="00DD4469">
              <w:rPr>
                <w:rStyle w:val="Hipervnculo"/>
                <w:rFonts w:eastAsia="MS Mincho"/>
                <w:noProof/>
                <w:sz w:val="20"/>
                <w:szCs w:val="20"/>
              </w:rPr>
              <w:t>A.</w:t>
            </w:r>
            <w:r w:rsidR="00DD4469">
              <w:rPr>
                <w:rStyle w:val="Hipervnculo"/>
                <w:rFonts w:eastAsia="MS Mincho"/>
                <w:noProof/>
                <w:sz w:val="20"/>
                <w:szCs w:val="20"/>
              </w:rPr>
              <w:t xml:space="preserve">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Argumentos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_Toc24014549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20</w:t>
            </w:r>
            <w:r w:rsidR="00DD4469" w:rsidRPr="00DD4469">
              <w:rPr>
                <w:noProof/>
                <w:webHidden/>
                <w:sz w:val="20"/>
                <w:szCs w:val="20"/>
              </w:rPr>
              <w:fldChar w:fldCharType="end"/>
            </w:r>
          </w:hyperlink>
        </w:p>
        <w:p w14:paraId="1ECEA280" w14:textId="1135A123" w:rsidR="00DD4469" w:rsidRPr="00DD4469" w:rsidRDefault="00656033">
          <w:pPr>
            <w:pStyle w:val="TDC2"/>
            <w:rPr>
              <w:rFonts w:eastAsiaTheme="minorEastAsia" w:cstheme="minorBidi"/>
              <w:noProof/>
              <w:sz w:val="20"/>
              <w:szCs w:val="20"/>
              <w:lang w:val="en-US" w:eastAsia="en-US"/>
            </w:rPr>
          </w:pPr>
          <w:hyperlink w:anchor="_Toc24014550"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_Toc24014550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21</w:t>
            </w:r>
            <w:r w:rsidR="00DD4469" w:rsidRPr="00DD4469">
              <w:rPr>
                <w:noProof/>
                <w:webHidden/>
                <w:sz w:val="20"/>
                <w:szCs w:val="20"/>
              </w:rPr>
              <w:fldChar w:fldCharType="end"/>
            </w:r>
          </w:hyperlink>
        </w:p>
        <w:p w14:paraId="783CD779" w14:textId="536F48A1" w:rsidR="00DD4469" w:rsidRPr="00DD4469" w:rsidRDefault="00656033">
          <w:pPr>
            <w:pStyle w:val="TDC3"/>
            <w:rPr>
              <w:rFonts w:eastAsiaTheme="minorEastAsia" w:cstheme="minorBidi"/>
              <w:noProof/>
              <w:sz w:val="20"/>
              <w:szCs w:val="20"/>
              <w:lang w:val="en-US" w:eastAsia="en-US"/>
            </w:rPr>
          </w:pPr>
          <w:hyperlink w:anchor="_Toc24014551" w:history="1">
            <w:r w:rsidR="00DD4469" w:rsidRPr="00DD4469">
              <w:rPr>
                <w:rStyle w:val="Hipervnculo"/>
                <w:rFonts w:eastAsia="MS Mincho"/>
                <w:noProof/>
                <w:sz w:val="20"/>
                <w:szCs w:val="20"/>
              </w:rPr>
              <w:t xml:space="preserve">b.1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Imposición de la pena de muerte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_Toc24014551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21</w:t>
            </w:r>
            <w:r w:rsidR="00DD4469" w:rsidRPr="00DD4469">
              <w:rPr>
                <w:noProof/>
                <w:webHidden/>
                <w:sz w:val="20"/>
                <w:szCs w:val="20"/>
              </w:rPr>
              <w:fldChar w:fldCharType="end"/>
            </w:r>
          </w:hyperlink>
        </w:p>
        <w:p w14:paraId="51232807" w14:textId="57AA3C7F" w:rsidR="00DD4469" w:rsidRPr="00DD4469" w:rsidRDefault="00656033">
          <w:pPr>
            <w:pStyle w:val="TDC3"/>
            <w:rPr>
              <w:rFonts w:eastAsiaTheme="minorEastAsia" w:cstheme="minorBidi"/>
              <w:noProof/>
              <w:sz w:val="20"/>
              <w:szCs w:val="20"/>
              <w:lang w:val="en-US" w:eastAsia="en-US"/>
            </w:rPr>
          </w:pPr>
          <w:hyperlink w:anchor="_Toc24014552" w:history="1">
            <w:r w:rsidR="00DD4469" w:rsidRPr="00DD4469">
              <w:rPr>
                <w:rStyle w:val="Hipervnculo"/>
                <w:rFonts w:eastAsia="MS Mincho"/>
                <w:noProof/>
                <w:sz w:val="20"/>
                <w:szCs w:val="20"/>
              </w:rPr>
              <w:t xml:space="preserve">b.2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Derecho a solicitar amnistía, indulto o conmutación de la pena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24</w:t>
            </w:r>
            <w:r w:rsidR="00DD4469" w:rsidRPr="00DD4469">
              <w:rPr>
                <w:noProof/>
                <w:webHidden/>
                <w:sz w:val="20"/>
                <w:szCs w:val="20"/>
              </w:rPr>
              <w:fldChar w:fldCharType="end"/>
            </w:r>
          </w:hyperlink>
        </w:p>
        <w:p w14:paraId="4CC3841C" w14:textId="79A90FE7" w:rsidR="00DD4469" w:rsidRPr="00DD4469" w:rsidRDefault="00656033">
          <w:pPr>
            <w:pStyle w:val="TDC3"/>
            <w:rPr>
              <w:rFonts w:eastAsiaTheme="minorEastAsia" w:cstheme="minorBidi"/>
              <w:noProof/>
              <w:sz w:val="20"/>
              <w:szCs w:val="20"/>
              <w:lang w:val="en-US" w:eastAsia="en-US"/>
            </w:rPr>
          </w:pPr>
          <w:hyperlink w:anchor="_Toc24014553" w:history="1">
            <w:r w:rsidR="00DD4469" w:rsidRPr="00DD4469">
              <w:rPr>
                <w:rStyle w:val="Hipervnculo"/>
                <w:rFonts w:eastAsia="MS Mincho"/>
                <w:noProof/>
                <w:sz w:val="20"/>
                <w:szCs w:val="20"/>
              </w:rPr>
              <w:t xml:space="preserve">b.3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Violación del artículo 2 de la Convención Americana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_Toc24014553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24</w:t>
            </w:r>
            <w:r w:rsidR="00DD4469" w:rsidRPr="00DD4469">
              <w:rPr>
                <w:noProof/>
                <w:webHidden/>
                <w:sz w:val="20"/>
                <w:szCs w:val="20"/>
              </w:rPr>
              <w:fldChar w:fldCharType="end"/>
            </w:r>
          </w:hyperlink>
        </w:p>
        <w:p w14:paraId="03B011C6" w14:textId="100F8D23" w:rsidR="00DD4469" w:rsidRPr="00DD4469" w:rsidRDefault="00656033">
          <w:pPr>
            <w:pStyle w:val="TDC3"/>
            <w:rPr>
              <w:rFonts w:eastAsiaTheme="minorEastAsia" w:cstheme="minorBidi"/>
              <w:noProof/>
              <w:sz w:val="20"/>
              <w:szCs w:val="20"/>
              <w:lang w:val="en-US" w:eastAsia="en-US"/>
            </w:rPr>
          </w:pPr>
          <w:hyperlink w:anchor="_Toc24014554" w:history="1">
            <w:r w:rsidR="00DD4469" w:rsidRPr="00DD4469">
              <w:rPr>
                <w:rStyle w:val="Hipervnculo"/>
                <w:rFonts w:eastAsia="MS Mincho"/>
                <w:noProof/>
                <w:sz w:val="20"/>
                <w:szCs w:val="20"/>
              </w:rPr>
              <w:t xml:space="preserve">b.4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Conclusión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25</w:t>
            </w:r>
            <w:r w:rsidR="00DD4469" w:rsidRPr="00DD4469">
              <w:rPr>
                <w:noProof/>
                <w:webHidden/>
                <w:sz w:val="20"/>
                <w:szCs w:val="20"/>
              </w:rPr>
              <w:fldChar w:fldCharType="end"/>
            </w:r>
          </w:hyperlink>
        </w:p>
        <w:p w14:paraId="14A6861D" w14:textId="66B9929D" w:rsidR="00DD4469" w:rsidRPr="00DD4469" w:rsidRDefault="00656033">
          <w:pPr>
            <w:pStyle w:val="TDC1"/>
            <w:rPr>
              <w:rFonts w:eastAsiaTheme="minorEastAsia" w:cstheme="minorBidi"/>
              <w:b w:val="0"/>
              <w:lang w:val="en-US" w:eastAsia="en-US"/>
            </w:rPr>
          </w:pPr>
          <w:hyperlink w:anchor="_Toc24014555" w:history="1">
            <w:r w:rsidR="00DD4469" w:rsidRPr="00DD4469">
              <w:rPr>
                <w:rStyle w:val="Hipervnculo"/>
              </w:rPr>
              <w:t>VIII-2  DERECHO A LA VIDA, CON MOTIVO DE LA MUERTE DEL SEÑOR RUIZ FUENTES</w:t>
            </w:r>
            <w:r w:rsidR="00DD4469" w:rsidRPr="00DD4469">
              <w:rPr>
                <w:webHidden/>
              </w:rPr>
              <w:tab/>
            </w:r>
            <w:r w:rsidR="00DD4469" w:rsidRPr="00DD4469">
              <w:rPr>
                <w:webHidden/>
              </w:rPr>
              <w:fldChar w:fldCharType="begin"/>
            </w:r>
            <w:r w:rsidR="00DD4469" w:rsidRPr="00DD4469">
              <w:rPr>
                <w:webHidden/>
              </w:rPr>
              <w:instrText xml:space="preserve"> PAGEREF _Toc24014555 \h </w:instrText>
            </w:r>
            <w:r w:rsidR="00DD4469" w:rsidRPr="00DD4469">
              <w:rPr>
                <w:webHidden/>
              </w:rPr>
            </w:r>
            <w:r w:rsidR="00DD4469" w:rsidRPr="00DD4469">
              <w:rPr>
                <w:webHidden/>
              </w:rPr>
              <w:fldChar w:fldCharType="separate"/>
            </w:r>
            <w:r w:rsidR="002055E2">
              <w:rPr>
                <w:webHidden/>
              </w:rPr>
              <w:t>25</w:t>
            </w:r>
            <w:r w:rsidR="00DD4469" w:rsidRPr="00DD4469">
              <w:rPr>
                <w:webHidden/>
              </w:rPr>
              <w:fldChar w:fldCharType="end"/>
            </w:r>
          </w:hyperlink>
        </w:p>
        <w:p w14:paraId="5373CE51" w14:textId="78EE4DD2" w:rsidR="00DD4469" w:rsidRPr="00DD4469" w:rsidRDefault="00656033">
          <w:pPr>
            <w:pStyle w:val="TDC2"/>
            <w:rPr>
              <w:rFonts w:eastAsiaTheme="minorEastAsia" w:cstheme="minorBidi"/>
              <w:noProof/>
              <w:sz w:val="20"/>
              <w:szCs w:val="20"/>
              <w:lang w:val="en-US" w:eastAsia="en-US"/>
            </w:rPr>
          </w:pPr>
          <w:hyperlink w:anchor="_Toc24014556"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Argumentos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_Toc24014556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25</w:t>
            </w:r>
            <w:r w:rsidR="00DD4469" w:rsidRPr="00DD4469">
              <w:rPr>
                <w:noProof/>
                <w:webHidden/>
                <w:sz w:val="20"/>
                <w:szCs w:val="20"/>
              </w:rPr>
              <w:fldChar w:fldCharType="end"/>
            </w:r>
          </w:hyperlink>
        </w:p>
        <w:p w14:paraId="1CBED3B8" w14:textId="69BCF880" w:rsidR="00DD4469" w:rsidRPr="00DD4469" w:rsidRDefault="00656033">
          <w:pPr>
            <w:pStyle w:val="TDC2"/>
            <w:rPr>
              <w:rFonts w:eastAsiaTheme="minorEastAsia" w:cstheme="minorBidi"/>
              <w:noProof/>
              <w:sz w:val="20"/>
              <w:szCs w:val="20"/>
              <w:lang w:val="en-US" w:eastAsia="en-US"/>
            </w:rPr>
          </w:pPr>
          <w:hyperlink w:anchor="_Toc24014557" w:history="1">
            <w:r w:rsidR="00DD4469" w:rsidRPr="00DD4469">
              <w:rPr>
                <w:rStyle w:val="Hipervnculo"/>
                <w:rFonts w:eastAsia="MS Mincho"/>
                <w:noProof/>
                <w:sz w:val="20"/>
                <w:szCs w:val="20"/>
              </w:rPr>
              <w:t>B.</w:t>
            </w:r>
            <w:r w:rsidR="00DD4469">
              <w:rPr>
                <w:rStyle w:val="Hipervnculo"/>
                <w:rFonts w:eastAsia="MS Mincho"/>
                <w:noProof/>
                <w:sz w:val="20"/>
                <w:szCs w:val="20"/>
              </w:rPr>
              <w:t xml:space="preserve">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_Toc24014557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26</w:t>
            </w:r>
            <w:r w:rsidR="00DD4469" w:rsidRPr="00DD4469">
              <w:rPr>
                <w:noProof/>
                <w:webHidden/>
                <w:sz w:val="20"/>
                <w:szCs w:val="20"/>
              </w:rPr>
              <w:fldChar w:fldCharType="end"/>
            </w:r>
          </w:hyperlink>
        </w:p>
        <w:p w14:paraId="5FCCE899" w14:textId="4A51B986" w:rsidR="00DD4469" w:rsidRPr="00DD4469" w:rsidRDefault="00656033">
          <w:pPr>
            <w:pStyle w:val="TDC1"/>
            <w:rPr>
              <w:rFonts w:eastAsiaTheme="minorEastAsia" w:cstheme="minorBidi"/>
              <w:b w:val="0"/>
              <w:lang w:val="en-US" w:eastAsia="en-US"/>
            </w:rPr>
          </w:pPr>
          <w:hyperlink w:anchor="_Toc24014558" w:history="1">
            <w:r w:rsidR="00DD4469" w:rsidRPr="00DD4469">
              <w:rPr>
                <w:rStyle w:val="Hipervnculo"/>
              </w:rPr>
              <w:t>VIII-3 DERECHO A LA INTEGRIDAD PERSONAL, PROHIBICIÓN DE LA TORTURA Y OTROS TRATOS CRUELES, INHUMANOS O DEGRADANTES</w:t>
            </w:r>
            <w:r w:rsidR="00DD4469" w:rsidRPr="00DD4469">
              <w:rPr>
                <w:webHidden/>
              </w:rPr>
              <w:tab/>
            </w:r>
            <w:r w:rsidR="00DD4469" w:rsidRPr="00DD4469">
              <w:rPr>
                <w:webHidden/>
              </w:rPr>
              <w:fldChar w:fldCharType="begin"/>
            </w:r>
            <w:r w:rsidR="00DD4469" w:rsidRPr="00DD4469">
              <w:rPr>
                <w:webHidden/>
              </w:rPr>
              <w:instrText xml:space="preserve"> PAGEREF _Toc24014558 \h </w:instrText>
            </w:r>
            <w:r w:rsidR="00DD4469" w:rsidRPr="00DD4469">
              <w:rPr>
                <w:webHidden/>
              </w:rPr>
            </w:r>
            <w:r w:rsidR="00DD4469" w:rsidRPr="00DD4469">
              <w:rPr>
                <w:webHidden/>
              </w:rPr>
              <w:fldChar w:fldCharType="separate"/>
            </w:r>
            <w:r w:rsidR="002055E2">
              <w:rPr>
                <w:webHidden/>
              </w:rPr>
              <w:t>31</w:t>
            </w:r>
            <w:r w:rsidR="00DD4469" w:rsidRPr="00DD4469">
              <w:rPr>
                <w:webHidden/>
              </w:rPr>
              <w:fldChar w:fldCharType="end"/>
            </w:r>
          </w:hyperlink>
        </w:p>
        <w:p w14:paraId="53041C9C" w14:textId="0FE29A3A" w:rsidR="00DD4469" w:rsidRPr="00DD4469" w:rsidRDefault="00656033">
          <w:pPr>
            <w:pStyle w:val="TDC2"/>
            <w:rPr>
              <w:rFonts w:eastAsiaTheme="minorEastAsia" w:cstheme="minorBidi"/>
              <w:noProof/>
              <w:sz w:val="20"/>
              <w:szCs w:val="20"/>
              <w:lang w:val="en-US" w:eastAsia="en-US"/>
            </w:rPr>
          </w:pPr>
          <w:hyperlink w:anchor="_Toc24014559"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Argumentos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_Toc24014559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31</w:t>
            </w:r>
            <w:r w:rsidR="00DD4469" w:rsidRPr="00DD4469">
              <w:rPr>
                <w:noProof/>
                <w:webHidden/>
                <w:sz w:val="20"/>
                <w:szCs w:val="20"/>
              </w:rPr>
              <w:fldChar w:fldCharType="end"/>
            </w:r>
          </w:hyperlink>
        </w:p>
        <w:p w14:paraId="5FCA5D25" w14:textId="477C0021" w:rsidR="00DD4469" w:rsidRPr="00DD4469" w:rsidRDefault="00656033">
          <w:pPr>
            <w:pStyle w:val="TDC2"/>
            <w:rPr>
              <w:rFonts w:eastAsiaTheme="minorEastAsia" w:cstheme="minorBidi"/>
              <w:noProof/>
              <w:sz w:val="20"/>
              <w:szCs w:val="20"/>
              <w:lang w:val="en-US" w:eastAsia="en-US"/>
            </w:rPr>
          </w:pPr>
          <w:hyperlink w:anchor="_Toc24014560"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_Toc24014560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31</w:t>
            </w:r>
            <w:r w:rsidR="00DD4469" w:rsidRPr="00DD4469">
              <w:rPr>
                <w:noProof/>
                <w:webHidden/>
                <w:sz w:val="20"/>
                <w:szCs w:val="20"/>
              </w:rPr>
              <w:fldChar w:fldCharType="end"/>
            </w:r>
          </w:hyperlink>
        </w:p>
        <w:p w14:paraId="7164316D" w14:textId="40B7117A" w:rsidR="00DD4469" w:rsidRPr="00DD4469" w:rsidRDefault="00656033">
          <w:pPr>
            <w:pStyle w:val="TDC3"/>
            <w:rPr>
              <w:rFonts w:eastAsiaTheme="minorEastAsia" w:cstheme="minorBidi"/>
              <w:noProof/>
              <w:sz w:val="20"/>
              <w:szCs w:val="20"/>
              <w:lang w:val="en-US" w:eastAsia="en-US"/>
            </w:rPr>
          </w:pPr>
          <w:hyperlink w:anchor="_Toc24014561" w:history="1">
            <w:r w:rsidR="00DD4469" w:rsidRPr="00DD4469">
              <w:rPr>
                <w:rStyle w:val="Hipervnculo"/>
                <w:rFonts w:eastAsia="MS Mincho"/>
                <w:noProof/>
                <w:sz w:val="20"/>
                <w:szCs w:val="20"/>
                <w:lang w:eastAsia="en-US"/>
              </w:rPr>
              <w:t xml:space="preserve">b.1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Detención del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_Toc24014561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32</w:t>
            </w:r>
            <w:r w:rsidR="00DD4469" w:rsidRPr="00DD4469">
              <w:rPr>
                <w:noProof/>
                <w:webHidden/>
                <w:sz w:val="20"/>
                <w:szCs w:val="20"/>
              </w:rPr>
              <w:fldChar w:fldCharType="end"/>
            </w:r>
          </w:hyperlink>
        </w:p>
        <w:p w14:paraId="2BC90C66" w14:textId="39253BAC" w:rsidR="00DD4469" w:rsidRPr="00DD4469" w:rsidRDefault="00656033">
          <w:pPr>
            <w:pStyle w:val="TDC3"/>
            <w:rPr>
              <w:rFonts w:eastAsiaTheme="minorEastAsia" w:cstheme="minorBidi"/>
              <w:noProof/>
              <w:sz w:val="20"/>
              <w:szCs w:val="20"/>
              <w:lang w:val="en-US" w:eastAsia="en-US"/>
            </w:rPr>
          </w:pPr>
          <w:hyperlink w:anchor="_Toc24014562" w:history="1">
            <w:r w:rsidR="00DD4469" w:rsidRPr="00DD4469">
              <w:rPr>
                <w:rStyle w:val="Hipervnculo"/>
                <w:rFonts w:eastAsia="MS Mincho"/>
                <w:noProof/>
                <w:sz w:val="20"/>
                <w:szCs w:val="20"/>
                <w:lang w:eastAsia="en-US"/>
              </w:rPr>
              <w:t xml:space="preserve">b.2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Corredor de la muerte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35</w:t>
            </w:r>
            <w:r w:rsidR="00DD4469" w:rsidRPr="00DD4469">
              <w:rPr>
                <w:noProof/>
                <w:webHidden/>
                <w:sz w:val="20"/>
                <w:szCs w:val="20"/>
              </w:rPr>
              <w:fldChar w:fldCharType="end"/>
            </w:r>
          </w:hyperlink>
        </w:p>
        <w:p w14:paraId="5AED6AD0" w14:textId="13D3F304" w:rsidR="00DD4469" w:rsidRPr="00DD4469" w:rsidRDefault="00656033">
          <w:pPr>
            <w:pStyle w:val="TDC1"/>
            <w:rPr>
              <w:rFonts w:eastAsiaTheme="minorEastAsia" w:cstheme="minorBidi"/>
              <w:b w:val="0"/>
              <w:lang w:val="en-US" w:eastAsia="en-US"/>
            </w:rPr>
          </w:pPr>
          <w:hyperlink w:anchor="_Toc24014563" w:history="1">
            <w:r w:rsidR="00DD4469" w:rsidRPr="00DD4469">
              <w:rPr>
                <w:rStyle w:val="Hipervnculo"/>
              </w:rPr>
              <w:t>VIII-4 DERECHO A LAS GARANTÍAS JUDICIALES Y A LA PROTECCIÓN JUDICIAL</w:t>
            </w:r>
            <w:r w:rsidR="00DD4469" w:rsidRPr="00DD4469">
              <w:rPr>
                <w:webHidden/>
              </w:rPr>
              <w:tab/>
            </w:r>
            <w:r w:rsidR="00DD4469" w:rsidRPr="00DD4469">
              <w:rPr>
                <w:webHidden/>
              </w:rPr>
              <w:fldChar w:fldCharType="begin"/>
            </w:r>
            <w:r w:rsidR="00DD4469" w:rsidRPr="00DD4469">
              <w:rPr>
                <w:webHidden/>
              </w:rPr>
              <w:instrText xml:space="preserve"> PAGEREF _Toc24014563 \h </w:instrText>
            </w:r>
            <w:r w:rsidR="00DD4469" w:rsidRPr="00DD4469">
              <w:rPr>
                <w:webHidden/>
              </w:rPr>
            </w:r>
            <w:r w:rsidR="00DD4469" w:rsidRPr="00DD4469">
              <w:rPr>
                <w:webHidden/>
              </w:rPr>
              <w:fldChar w:fldCharType="separate"/>
            </w:r>
            <w:r w:rsidR="002055E2">
              <w:rPr>
                <w:webHidden/>
              </w:rPr>
              <w:t>36</w:t>
            </w:r>
            <w:r w:rsidR="00DD4469" w:rsidRPr="00DD4469">
              <w:rPr>
                <w:webHidden/>
              </w:rPr>
              <w:fldChar w:fldCharType="end"/>
            </w:r>
          </w:hyperlink>
        </w:p>
        <w:p w14:paraId="61278B85" w14:textId="43E6C30F" w:rsidR="00DD4469" w:rsidRPr="00DD4469" w:rsidRDefault="00656033">
          <w:pPr>
            <w:pStyle w:val="TDC2"/>
            <w:rPr>
              <w:rFonts w:eastAsiaTheme="minorEastAsia" w:cstheme="minorBidi"/>
              <w:noProof/>
              <w:sz w:val="20"/>
              <w:szCs w:val="20"/>
              <w:lang w:val="en-US" w:eastAsia="en-US"/>
            </w:rPr>
          </w:pPr>
          <w:hyperlink w:anchor="_Toc24014564"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Argumentos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36</w:t>
            </w:r>
            <w:r w:rsidR="00DD4469" w:rsidRPr="00DD4469">
              <w:rPr>
                <w:noProof/>
                <w:webHidden/>
                <w:sz w:val="20"/>
                <w:szCs w:val="20"/>
              </w:rPr>
              <w:fldChar w:fldCharType="end"/>
            </w:r>
          </w:hyperlink>
        </w:p>
        <w:p w14:paraId="452064FA" w14:textId="5A6FC189" w:rsidR="00DD4469" w:rsidRPr="00DD4469" w:rsidRDefault="00656033">
          <w:pPr>
            <w:pStyle w:val="TDC2"/>
            <w:rPr>
              <w:rFonts w:eastAsiaTheme="minorEastAsia" w:cstheme="minorBidi"/>
              <w:noProof/>
              <w:sz w:val="20"/>
              <w:szCs w:val="20"/>
              <w:lang w:val="en-US" w:eastAsia="en-US"/>
            </w:rPr>
          </w:pPr>
          <w:hyperlink w:anchor="_Toc24014565"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_Toc24014565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38</w:t>
            </w:r>
            <w:r w:rsidR="00DD4469" w:rsidRPr="00DD4469">
              <w:rPr>
                <w:noProof/>
                <w:webHidden/>
                <w:sz w:val="20"/>
                <w:szCs w:val="20"/>
              </w:rPr>
              <w:fldChar w:fldCharType="end"/>
            </w:r>
          </w:hyperlink>
        </w:p>
        <w:p w14:paraId="06CEA7BC" w14:textId="6C228123" w:rsidR="00DD4469" w:rsidRPr="00DD4469" w:rsidRDefault="00656033">
          <w:pPr>
            <w:pStyle w:val="TDC3"/>
            <w:rPr>
              <w:rFonts w:eastAsiaTheme="minorEastAsia" w:cstheme="minorBidi"/>
              <w:noProof/>
              <w:sz w:val="20"/>
              <w:szCs w:val="20"/>
              <w:lang w:val="en-US" w:eastAsia="en-US"/>
            </w:rPr>
          </w:pPr>
          <w:hyperlink w:anchor="_Toc24014566" w:history="1">
            <w:r w:rsidR="00DD4469" w:rsidRPr="00DD4469">
              <w:rPr>
                <w:rStyle w:val="Hipervnculo"/>
                <w:rFonts w:eastAsia="MS Mincho"/>
                <w:noProof/>
                <w:sz w:val="20"/>
                <w:szCs w:val="20"/>
              </w:rPr>
              <w:t xml:space="preserve">b.1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Procedimiento penal seguido contra 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_Toc24014566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38</w:t>
            </w:r>
            <w:r w:rsidR="00DD4469" w:rsidRPr="00DD4469">
              <w:rPr>
                <w:noProof/>
                <w:webHidden/>
                <w:sz w:val="20"/>
                <w:szCs w:val="20"/>
              </w:rPr>
              <w:fldChar w:fldCharType="end"/>
            </w:r>
          </w:hyperlink>
        </w:p>
        <w:p w14:paraId="410593C4" w14:textId="414846EF" w:rsidR="00DD4469" w:rsidRPr="00DD4469" w:rsidRDefault="00656033">
          <w:pPr>
            <w:pStyle w:val="TDC3"/>
            <w:rPr>
              <w:rFonts w:eastAsiaTheme="minorEastAsia" w:cstheme="minorBidi"/>
              <w:noProof/>
              <w:sz w:val="20"/>
              <w:szCs w:val="20"/>
              <w:lang w:val="en-US" w:eastAsia="en-US"/>
            </w:rPr>
          </w:pPr>
          <w:hyperlink w:anchor="_Toc24014567" w:history="1">
            <w:r w:rsidR="00DD4469" w:rsidRPr="00DD4469">
              <w:rPr>
                <w:rStyle w:val="Hipervnculo"/>
                <w:rFonts w:eastAsia="MS Mincho"/>
                <w:noProof/>
                <w:sz w:val="20"/>
                <w:szCs w:val="20"/>
              </w:rPr>
              <w:t xml:space="preserve">b.2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Derecho a recurrir la sentencia condenatoria del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_Toc24014567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40</w:t>
            </w:r>
            <w:r w:rsidR="00DD4469" w:rsidRPr="00DD4469">
              <w:rPr>
                <w:noProof/>
                <w:webHidden/>
                <w:sz w:val="20"/>
                <w:szCs w:val="20"/>
              </w:rPr>
              <w:fldChar w:fldCharType="end"/>
            </w:r>
          </w:hyperlink>
        </w:p>
        <w:p w14:paraId="0E029016" w14:textId="0CD076B0" w:rsidR="00DD4469" w:rsidRPr="00DD4469" w:rsidRDefault="00656033">
          <w:pPr>
            <w:pStyle w:val="TDC3"/>
            <w:rPr>
              <w:rFonts w:eastAsiaTheme="minorEastAsia" w:cstheme="minorBidi"/>
              <w:noProof/>
              <w:sz w:val="20"/>
              <w:szCs w:val="20"/>
              <w:lang w:val="en-US" w:eastAsia="en-US"/>
            </w:rPr>
          </w:pPr>
          <w:hyperlink w:anchor="_Toc24014568" w:history="1">
            <w:r w:rsidR="00DD4469" w:rsidRPr="00DD4469">
              <w:rPr>
                <w:rStyle w:val="Hipervnculo"/>
                <w:rFonts w:eastAsia="MS Mincho"/>
                <w:noProof/>
                <w:sz w:val="20"/>
                <w:szCs w:val="20"/>
              </w:rPr>
              <w:t xml:space="preserve">b.3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Investigación de las torturas sufridas por 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_Toc24014568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42</w:t>
            </w:r>
            <w:r w:rsidR="00DD4469" w:rsidRPr="00DD4469">
              <w:rPr>
                <w:noProof/>
                <w:webHidden/>
                <w:sz w:val="20"/>
                <w:szCs w:val="20"/>
              </w:rPr>
              <w:fldChar w:fldCharType="end"/>
            </w:r>
          </w:hyperlink>
        </w:p>
        <w:p w14:paraId="135E5338" w14:textId="43D4993C" w:rsidR="00DD4469" w:rsidRPr="00DD4469" w:rsidRDefault="00656033">
          <w:pPr>
            <w:pStyle w:val="TDC3"/>
            <w:rPr>
              <w:rFonts w:eastAsiaTheme="minorEastAsia" w:cstheme="minorBidi"/>
              <w:noProof/>
              <w:sz w:val="20"/>
              <w:szCs w:val="20"/>
              <w:lang w:val="en-US" w:eastAsia="en-US"/>
            </w:rPr>
          </w:pPr>
          <w:hyperlink w:anchor="_Toc24014569" w:history="1">
            <w:r w:rsidR="00DD4469" w:rsidRPr="00DD4469">
              <w:rPr>
                <w:rStyle w:val="Hipervnculo"/>
                <w:rFonts w:eastAsia="MS Mincho"/>
                <w:noProof/>
                <w:sz w:val="20"/>
                <w:szCs w:val="20"/>
              </w:rPr>
              <w:t xml:space="preserve">b.4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lang w:eastAsia="en-US"/>
              </w:rPr>
              <w:t>Investigación de la muerte del señor Ruiz Fuentes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_Toc24014569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44</w:t>
            </w:r>
            <w:r w:rsidR="00DD4469" w:rsidRPr="00DD4469">
              <w:rPr>
                <w:noProof/>
                <w:webHidden/>
                <w:sz w:val="20"/>
                <w:szCs w:val="20"/>
              </w:rPr>
              <w:fldChar w:fldCharType="end"/>
            </w:r>
          </w:hyperlink>
        </w:p>
        <w:p w14:paraId="24AB39CD" w14:textId="0DB17CF6" w:rsidR="00DD4469" w:rsidRPr="00DD4469" w:rsidRDefault="00656033">
          <w:pPr>
            <w:pStyle w:val="TDC1"/>
            <w:rPr>
              <w:rFonts w:eastAsiaTheme="minorEastAsia" w:cstheme="minorBidi"/>
              <w:b w:val="0"/>
              <w:lang w:val="en-US" w:eastAsia="en-US"/>
            </w:rPr>
          </w:pPr>
          <w:hyperlink w:anchor="_Toc24014570" w:history="1">
            <w:r w:rsidR="00DD4469" w:rsidRPr="00DD4469">
              <w:rPr>
                <w:rStyle w:val="Hipervnculo"/>
                <w:lang w:eastAsia="en-US"/>
              </w:rPr>
              <w:t>VIII-5 DERECHO A LA INTEGRIDAD PERSONAL DE LA HERMANA DEL SEÑOR RUIZ FUENTES</w:t>
            </w:r>
            <w:r w:rsidR="00DD4469" w:rsidRPr="00DD4469">
              <w:rPr>
                <w:webHidden/>
              </w:rPr>
              <w:tab/>
            </w:r>
            <w:r w:rsidR="00DD4469" w:rsidRPr="00DD4469">
              <w:rPr>
                <w:webHidden/>
              </w:rPr>
              <w:fldChar w:fldCharType="begin"/>
            </w:r>
            <w:r w:rsidR="00DD4469" w:rsidRPr="00DD4469">
              <w:rPr>
                <w:webHidden/>
              </w:rPr>
              <w:instrText xml:space="preserve"> PAGEREF _Toc24014570 \h </w:instrText>
            </w:r>
            <w:r w:rsidR="00DD4469" w:rsidRPr="00DD4469">
              <w:rPr>
                <w:webHidden/>
              </w:rPr>
            </w:r>
            <w:r w:rsidR="00DD4469" w:rsidRPr="00DD4469">
              <w:rPr>
                <w:webHidden/>
              </w:rPr>
              <w:fldChar w:fldCharType="separate"/>
            </w:r>
            <w:r w:rsidR="002055E2">
              <w:rPr>
                <w:webHidden/>
              </w:rPr>
              <w:t>46</w:t>
            </w:r>
            <w:r w:rsidR="00DD4469" w:rsidRPr="00DD4469">
              <w:rPr>
                <w:webHidden/>
              </w:rPr>
              <w:fldChar w:fldCharType="end"/>
            </w:r>
          </w:hyperlink>
        </w:p>
        <w:p w14:paraId="57D538A0" w14:textId="22C5AF8B" w:rsidR="00DD4469" w:rsidRPr="00DD4469" w:rsidRDefault="00656033">
          <w:pPr>
            <w:pStyle w:val="TDC2"/>
            <w:rPr>
              <w:rFonts w:eastAsiaTheme="minorEastAsia" w:cstheme="minorBidi"/>
              <w:noProof/>
              <w:sz w:val="20"/>
              <w:szCs w:val="20"/>
              <w:lang w:val="en-US" w:eastAsia="en-US"/>
            </w:rPr>
          </w:pPr>
          <w:hyperlink w:anchor="_Toc24014571"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Argumentos de las partes y de la Comisión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_Toc24014571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46</w:t>
            </w:r>
            <w:r w:rsidR="00DD4469" w:rsidRPr="00DD4469">
              <w:rPr>
                <w:noProof/>
                <w:webHidden/>
                <w:sz w:val="20"/>
                <w:szCs w:val="20"/>
              </w:rPr>
              <w:fldChar w:fldCharType="end"/>
            </w:r>
          </w:hyperlink>
        </w:p>
        <w:p w14:paraId="29EA3315" w14:textId="41690D67" w:rsidR="00DD4469" w:rsidRPr="00DD4469" w:rsidRDefault="00656033">
          <w:pPr>
            <w:pStyle w:val="TDC2"/>
            <w:rPr>
              <w:rFonts w:eastAsiaTheme="minorEastAsia" w:cstheme="minorBidi"/>
              <w:noProof/>
              <w:sz w:val="20"/>
              <w:szCs w:val="20"/>
              <w:lang w:val="en-US" w:eastAsia="en-US"/>
            </w:rPr>
          </w:pPr>
          <w:hyperlink w:anchor="_Toc24014572" w:history="1">
            <w:r w:rsidR="00DD4469" w:rsidRPr="00DD4469">
              <w:rPr>
                <w:rStyle w:val="Hipervnculo"/>
                <w:rFonts w:eastAsia="MS Mincho"/>
                <w:noProof/>
                <w:sz w:val="20"/>
                <w:szCs w:val="20"/>
              </w:rPr>
              <w:t>B.</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Consideraciones de la Corte</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47</w:t>
            </w:r>
            <w:r w:rsidR="00DD4469" w:rsidRPr="00DD4469">
              <w:rPr>
                <w:noProof/>
                <w:webHidden/>
                <w:sz w:val="20"/>
                <w:szCs w:val="20"/>
              </w:rPr>
              <w:fldChar w:fldCharType="end"/>
            </w:r>
          </w:hyperlink>
        </w:p>
        <w:p w14:paraId="18B6881E" w14:textId="46979502" w:rsidR="00DD4469" w:rsidRPr="00DD4469" w:rsidRDefault="00656033">
          <w:pPr>
            <w:pStyle w:val="TDC1"/>
            <w:rPr>
              <w:rFonts w:eastAsiaTheme="minorEastAsia" w:cstheme="minorBidi"/>
              <w:b w:val="0"/>
              <w:lang w:val="en-US" w:eastAsia="en-US"/>
            </w:rPr>
          </w:pPr>
          <w:hyperlink w:anchor="_Toc24014573" w:history="1">
            <w:r w:rsidR="00DD4469" w:rsidRPr="00DD4469">
              <w:rPr>
                <w:rStyle w:val="Hipervnculo"/>
              </w:rPr>
              <w:t>IX REPARACIONES</w:t>
            </w:r>
            <w:r w:rsidR="00DD4469" w:rsidRPr="00DD4469">
              <w:rPr>
                <w:webHidden/>
              </w:rPr>
              <w:tab/>
            </w:r>
            <w:r w:rsidR="00DD4469" w:rsidRPr="00DD4469">
              <w:rPr>
                <w:webHidden/>
              </w:rPr>
              <w:fldChar w:fldCharType="begin"/>
            </w:r>
            <w:r w:rsidR="00DD4469" w:rsidRPr="00DD4469">
              <w:rPr>
                <w:webHidden/>
              </w:rPr>
              <w:instrText xml:space="preserve"> PAGEREF _Toc24014573 \h </w:instrText>
            </w:r>
            <w:r w:rsidR="00DD4469" w:rsidRPr="00DD4469">
              <w:rPr>
                <w:webHidden/>
              </w:rPr>
            </w:r>
            <w:r w:rsidR="00DD4469" w:rsidRPr="00DD4469">
              <w:rPr>
                <w:webHidden/>
              </w:rPr>
              <w:fldChar w:fldCharType="separate"/>
            </w:r>
            <w:r w:rsidR="002055E2">
              <w:rPr>
                <w:webHidden/>
              </w:rPr>
              <w:t>48</w:t>
            </w:r>
            <w:r w:rsidR="00DD4469" w:rsidRPr="00DD4469">
              <w:rPr>
                <w:webHidden/>
              </w:rPr>
              <w:fldChar w:fldCharType="end"/>
            </w:r>
          </w:hyperlink>
        </w:p>
        <w:p w14:paraId="2D90B86C" w14:textId="62C360A8" w:rsidR="00DD4469" w:rsidRPr="00DD4469" w:rsidRDefault="00656033">
          <w:pPr>
            <w:pStyle w:val="TDC2"/>
            <w:rPr>
              <w:rFonts w:eastAsiaTheme="minorEastAsia" w:cstheme="minorBidi"/>
              <w:noProof/>
              <w:sz w:val="20"/>
              <w:szCs w:val="20"/>
              <w:lang w:val="en-US" w:eastAsia="en-US"/>
            </w:rPr>
          </w:pPr>
          <w:hyperlink w:anchor="_Toc24014574" w:history="1">
            <w:r w:rsidR="00DD4469" w:rsidRPr="00DD4469">
              <w:rPr>
                <w:rStyle w:val="Hipervnculo"/>
                <w:rFonts w:eastAsia="MS Mincho"/>
                <w:noProof/>
                <w:sz w:val="20"/>
                <w:szCs w:val="20"/>
              </w:rPr>
              <w:t>A.</w:t>
            </w:r>
            <w:r w:rsidR="00DD4469" w:rsidRPr="00DD4469">
              <w:rPr>
                <w:rFonts w:eastAsiaTheme="minorEastAsia" w:cstheme="minorBidi"/>
                <w:noProof/>
                <w:sz w:val="20"/>
                <w:szCs w:val="20"/>
                <w:lang w:val="en-US" w:eastAsia="en-US"/>
              </w:rPr>
              <w:tab/>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Parte lesionada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48</w:t>
            </w:r>
            <w:r w:rsidR="00DD4469" w:rsidRPr="00DD4469">
              <w:rPr>
                <w:noProof/>
                <w:webHidden/>
                <w:sz w:val="20"/>
                <w:szCs w:val="20"/>
              </w:rPr>
              <w:fldChar w:fldCharType="end"/>
            </w:r>
          </w:hyperlink>
        </w:p>
        <w:p w14:paraId="23FFD2B0" w14:textId="0A505AD6" w:rsidR="00DD4469" w:rsidRPr="00DD4469" w:rsidRDefault="00656033">
          <w:pPr>
            <w:pStyle w:val="TDC2"/>
            <w:rPr>
              <w:rFonts w:eastAsiaTheme="minorEastAsia" w:cstheme="minorBidi"/>
              <w:noProof/>
              <w:sz w:val="20"/>
              <w:szCs w:val="20"/>
              <w:lang w:val="en-US" w:eastAsia="en-US"/>
            </w:rPr>
          </w:pPr>
          <w:hyperlink w:anchor="_Toc24014575" w:history="1">
            <w:r w:rsidR="00DD4469" w:rsidRPr="00DD4469">
              <w:rPr>
                <w:rStyle w:val="Hipervnculo"/>
                <w:rFonts w:eastAsia="MS Mincho"/>
                <w:noProof/>
                <w:sz w:val="20"/>
                <w:szCs w:val="20"/>
              </w:rPr>
              <w:t>B.</w:t>
            </w:r>
            <w:r w:rsidR="00DD4469">
              <w:rPr>
                <w:rStyle w:val="Hipervnculo"/>
                <w:rFonts w:eastAsia="MS Mincho"/>
                <w:noProof/>
                <w:sz w:val="20"/>
                <w:szCs w:val="20"/>
              </w:rPr>
              <w:t xml:space="preserve"> </w:t>
            </w:r>
            <w:r w:rsidR="00DD4469" w:rsidRPr="00DD4469">
              <w:rPr>
                <w:rStyle w:val="Hipervnculo"/>
                <w:rFonts w:eastAsia="MS Mincho"/>
                <w:noProof/>
                <w:sz w:val="20"/>
                <w:szCs w:val="20"/>
              </w:rPr>
              <w:t>Investigación, determinación, enjuiciamiento y, en su caso, sanción de todos los responsables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_Toc24014575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49</w:t>
            </w:r>
            <w:r w:rsidR="00DD4469" w:rsidRPr="00DD4469">
              <w:rPr>
                <w:noProof/>
                <w:webHidden/>
                <w:sz w:val="20"/>
                <w:szCs w:val="20"/>
              </w:rPr>
              <w:fldChar w:fldCharType="end"/>
            </w:r>
          </w:hyperlink>
        </w:p>
        <w:p w14:paraId="28428068" w14:textId="3283E0FB" w:rsidR="00DD4469" w:rsidRPr="00DD4469" w:rsidRDefault="00656033">
          <w:pPr>
            <w:pStyle w:val="TDC2"/>
            <w:rPr>
              <w:rFonts w:eastAsiaTheme="minorEastAsia" w:cstheme="minorBidi"/>
              <w:noProof/>
              <w:sz w:val="20"/>
              <w:szCs w:val="20"/>
              <w:lang w:val="en-US" w:eastAsia="en-US"/>
            </w:rPr>
          </w:pPr>
          <w:hyperlink w:anchor="_Toc24014576" w:history="1">
            <w:r w:rsidR="00DD4469" w:rsidRPr="00DD4469">
              <w:rPr>
                <w:rStyle w:val="Hipervnculo"/>
                <w:rFonts w:eastAsia="MS Mincho"/>
                <w:noProof/>
                <w:sz w:val="20"/>
                <w:szCs w:val="20"/>
              </w:rPr>
              <w:t>C.</w:t>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Medidas de satisfacción y garantías de no repetición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_Toc24014576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50</w:t>
            </w:r>
            <w:r w:rsidR="00DD4469" w:rsidRPr="00DD4469">
              <w:rPr>
                <w:noProof/>
                <w:webHidden/>
                <w:sz w:val="20"/>
                <w:szCs w:val="20"/>
              </w:rPr>
              <w:fldChar w:fldCharType="end"/>
            </w:r>
          </w:hyperlink>
        </w:p>
        <w:p w14:paraId="1A44E0C9" w14:textId="1E0F28D7" w:rsidR="00DD4469" w:rsidRPr="00DD4469" w:rsidRDefault="00656033">
          <w:pPr>
            <w:pStyle w:val="TDC3"/>
            <w:rPr>
              <w:rFonts w:eastAsiaTheme="minorEastAsia" w:cstheme="minorBidi"/>
              <w:noProof/>
              <w:sz w:val="20"/>
              <w:szCs w:val="20"/>
              <w:lang w:val="en-US" w:eastAsia="en-US"/>
            </w:rPr>
          </w:pPr>
          <w:hyperlink w:anchor="_Toc24014577" w:history="1">
            <w:r w:rsidR="00DD4469" w:rsidRPr="00DD4469">
              <w:rPr>
                <w:rStyle w:val="Hipervnculo"/>
                <w:rFonts w:eastAsia="MS Mincho"/>
                <w:noProof/>
                <w:sz w:val="20"/>
                <w:szCs w:val="20"/>
              </w:rPr>
              <w:t xml:space="preserve">c.1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Medidas de satisfacción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_Toc24014577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50</w:t>
            </w:r>
            <w:r w:rsidR="00DD4469" w:rsidRPr="00DD4469">
              <w:rPr>
                <w:noProof/>
                <w:webHidden/>
                <w:sz w:val="20"/>
                <w:szCs w:val="20"/>
              </w:rPr>
              <w:fldChar w:fldCharType="end"/>
            </w:r>
          </w:hyperlink>
        </w:p>
        <w:p w14:paraId="5F70520A" w14:textId="4934DC3F" w:rsidR="00DD4469" w:rsidRPr="00DD4469" w:rsidRDefault="00656033">
          <w:pPr>
            <w:pStyle w:val="TDC3"/>
            <w:rPr>
              <w:rFonts w:eastAsiaTheme="minorEastAsia" w:cstheme="minorBidi"/>
              <w:noProof/>
              <w:sz w:val="20"/>
              <w:szCs w:val="20"/>
              <w:lang w:val="en-US" w:eastAsia="en-US"/>
            </w:rPr>
          </w:pPr>
          <w:hyperlink w:anchor="_Toc24014578" w:history="1">
            <w:r w:rsidR="00DD4469" w:rsidRPr="00DD4469">
              <w:rPr>
                <w:rStyle w:val="Hipervnculo"/>
                <w:rFonts w:eastAsia="MS Mincho"/>
                <w:noProof/>
                <w:sz w:val="20"/>
                <w:szCs w:val="20"/>
              </w:rPr>
              <w:t xml:space="preserve">c.2 </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Garantías de no repetición</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_Toc24014578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50</w:t>
            </w:r>
            <w:r w:rsidR="00DD4469" w:rsidRPr="00DD4469">
              <w:rPr>
                <w:noProof/>
                <w:webHidden/>
                <w:sz w:val="20"/>
                <w:szCs w:val="20"/>
              </w:rPr>
              <w:fldChar w:fldCharType="end"/>
            </w:r>
          </w:hyperlink>
        </w:p>
        <w:p w14:paraId="73082D5C" w14:textId="6788FF76" w:rsidR="00DD4469" w:rsidRPr="00DD4469" w:rsidRDefault="00656033">
          <w:pPr>
            <w:pStyle w:val="TDC2"/>
            <w:rPr>
              <w:rFonts w:eastAsiaTheme="minorEastAsia" w:cstheme="minorBidi"/>
              <w:noProof/>
              <w:sz w:val="20"/>
              <w:szCs w:val="20"/>
              <w:lang w:val="en-US" w:eastAsia="en-US"/>
            </w:rPr>
          </w:pPr>
          <w:hyperlink w:anchor="_Toc24014579" w:history="1">
            <w:r w:rsidR="00DD4469" w:rsidRPr="00DD4469">
              <w:rPr>
                <w:rStyle w:val="Hipervnculo"/>
                <w:rFonts w:eastAsia="MS Mincho"/>
                <w:noProof/>
                <w:sz w:val="20"/>
                <w:szCs w:val="20"/>
              </w:rPr>
              <w:t>D.</w:t>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Otras medidas solicitadas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_Toc24014579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54</w:t>
            </w:r>
            <w:r w:rsidR="00DD4469" w:rsidRPr="00DD4469">
              <w:rPr>
                <w:noProof/>
                <w:webHidden/>
                <w:sz w:val="20"/>
                <w:szCs w:val="20"/>
              </w:rPr>
              <w:fldChar w:fldCharType="end"/>
            </w:r>
          </w:hyperlink>
        </w:p>
        <w:p w14:paraId="1BC1198F" w14:textId="3255D5F9" w:rsidR="00DD4469" w:rsidRPr="00DD4469" w:rsidRDefault="00656033">
          <w:pPr>
            <w:pStyle w:val="TDC2"/>
            <w:rPr>
              <w:rFonts w:eastAsiaTheme="minorEastAsia" w:cstheme="minorBidi"/>
              <w:noProof/>
              <w:sz w:val="20"/>
              <w:szCs w:val="20"/>
              <w:lang w:val="en-US" w:eastAsia="en-US"/>
            </w:rPr>
          </w:pPr>
          <w:hyperlink w:anchor="_Toc24014580" w:history="1">
            <w:r w:rsidR="00DD4469" w:rsidRPr="00DD4469">
              <w:rPr>
                <w:rStyle w:val="Hipervnculo"/>
                <w:rFonts w:eastAsia="MS Mincho"/>
                <w:noProof/>
                <w:sz w:val="20"/>
                <w:szCs w:val="20"/>
              </w:rPr>
              <w:t>E.</w:t>
            </w:r>
            <w:r w:rsidR="00DD4469">
              <w:rPr>
                <w:rStyle w:val="Hipervnculo"/>
                <w:rFonts w:eastAsia="MS Mincho"/>
                <w:noProof/>
                <w:sz w:val="20"/>
                <w:szCs w:val="20"/>
              </w:rPr>
              <w:t xml:space="preserve"> </w:t>
            </w:r>
            <w:r w:rsidR="00DD4469" w:rsidRPr="00DD4469">
              <w:rPr>
                <w:rStyle w:val="Hipervnculo"/>
                <w:rFonts w:eastAsia="MS Mincho"/>
                <w:noProof/>
                <w:sz w:val="20"/>
                <w:szCs w:val="20"/>
              </w:rPr>
              <w:t>Indemnizaciones compensatorias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_Toc24014580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55</w:t>
            </w:r>
            <w:r w:rsidR="00DD4469" w:rsidRPr="00DD4469">
              <w:rPr>
                <w:noProof/>
                <w:webHidden/>
                <w:sz w:val="20"/>
                <w:szCs w:val="20"/>
              </w:rPr>
              <w:fldChar w:fldCharType="end"/>
            </w:r>
          </w:hyperlink>
        </w:p>
        <w:p w14:paraId="59FE5598" w14:textId="39F119C9" w:rsidR="00DD4469" w:rsidRPr="00DD4469" w:rsidRDefault="00656033">
          <w:pPr>
            <w:pStyle w:val="TDC3"/>
            <w:rPr>
              <w:rFonts w:eastAsiaTheme="minorEastAsia" w:cstheme="minorBidi"/>
              <w:noProof/>
              <w:sz w:val="20"/>
              <w:szCs w:val="20"/>
              <w:lang w:val="en-US" w:eastAsia="en-US"/>
            </w:rPr>
          </w:pPr>
          <w:hyperlink w:anchor="_Toc24014581" w:history="1">
            <w:r w:rsidR="00DD4469" w:rsidRPr="00DD4469">
              <w:rPr>
                <w:rStyle w:val="Hipervnculo"/>
                <w:rFonts w:eastAsia="MS Mincho"/>
                <w:noProof/>
                <w:sz w:val="20"/>
                <w:szCs w:val="20"/>
              </w:rPr>
              <w:t>e.1</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Daño material</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_Toc24014581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55</w:t>
            </w:r>
            <w:r w:rsidR="00DD4469" w:rsidRPr="00DD4469">
              <w:rPr>
                <w:noProof/>
                <w:webHidden/>
                <w:sz w:val="20"/>
                <w:szCs w:val="20"/>
              </w:rPr>
              <w:fldChar w:fldCharType="end"/>
            </w:r>
          </w:hyperlink>
        </w:p>
        <w:p w14:paraId="0D268F79" w14:textId="002A7949" w:rsidR="00DD4469" w:rsidRPr="00DD4469" w:rsidRDefault="00656033">
          <w:pPr>
            <w:pStyle w:val="TDC3"/>
            <w:rPr>
              <w:rFonts w:eastAsiaTheme="minorEastAsia" w:cstheme="minorBidi"/>
              <w:noProof/>
              <w:sz w:val="20"/>
              <w:szCs w:val="20"/>
              <w:lang w:val="en-US" w:eastAsia="en-US"/>
            </w:rPr>
          </w:pPr>
          <w:hyperlink w:anchor="_Toc24014582" w:history="1">
            <w:r w:rsidR="00DD4469" w:rsidRPr="00DD4469">
              <w:rPr>
                <w:rStyle w:val="Hipervnculo"/>
                <w:rFonts w:eastAsia="MS Mincho"/>
                <w:noProof/>
                <w:sz w:val="20"/>
                <w:szCs w:val="20"/>
              </w:rPr>
              <w:t>e.2</w:t>
            </w:r>
            <w:r w:rsidR="00DD4469" w:rsidRPr="00DD4469">
              <w:rPr>
                <w:rFonts w:eastAsiaTheme="minorEastAsia" w:cstheme="minorBidi"/>
                <w:noProof/>
                <w:sz w:val="20"/>
                <w:szCs w:val="20"/>
                <w:lang w:val="en-US" w:eastAsia="en-US"/>
              </w:rPr>
              <w:tab/>
            </w:r>
            <w:r w:rsidR="00DD4469" w:rsidRPr="00DD4469">
              <w:rPr>
                <w:rStyle w:val="Hipervnculo"/>
                <w:rFonts w:eastAsia="MS Mincho"/>
                <w:noProof/>
                <w:sz w:val="20"/>
                <w:szCs w:val="20"/>
              </w:rPr>
              <w:t>Daño inmaterial</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_Toc24014582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55</w:t>
            </w:r>
            <w:r w:rsidR="00DD4469" w:rsidRPr="00DD4469">
              <w:rPr>
                <w:noProof/>
                <w:webHidden/>
                <w:sz w:val="20"/>
                <w:szCs w:val="20"/>
              </w:rPr>
              <w:fldChar w:fldCharType="end"/>
            </w:r>
          </w:hyperlink>
        </w:p>
        <w:p w14:paraId="1B5AD3F9" w14:textId="3A24AF3D" w:rsidR="00DD4469" w:rsidRPr="00DD4469" w:rsidRDefault="00656033">
          <w:pPr>
            <w:pStyle w:val="TDC2"/>
            <w:rPr>
              <w:rFonts w:eastAsiaTheme="minorEastAsia" w:cstheme="minorBidi"/>
              <w:noProof/>
              <w:sz w:val="20"/>
              <w:szCs w:val="20"/>
              <w:lang w:val="en-US" w:eastAsia="en-US"/>
            </w:rPr>
          </w:pPr>
          <w:hyperlink w:anchor="_Toc24014583" w:history="1">
            <w:r w:rsidR="00DD4469" w:rsidRPr="00DD4469">
              <w:rPr>
                <w:rStyle w:val="Hipervnculo"/>
                <w:rFonts w:eastAsia="MS Mincho"/>
                <w:noProof/>
                <w:sz w:val="20"/>
                <w:szCs w:val="20"/>
              </w:rPr>
              <w:t>F.</w:t>
            </w:r>
            <w:r w:rsidR="00DD4469">
              <w:rPr>
                <w:rStyle w:val="Hipervnculo"/>
                <w:rFonts w:eastAsia="MS Mincho"/>
                <w:noProof/>
                <w:sz w:val="20"/>
                <w:szCs w:val="20"/>
              </w:rPr>
              <w:t xml:space="preserve"> </w:t>
            </w:r>
            <w:r w:rsidR="00DD4469" w:rsidRPr="00DD4469">
              <w:rPr>
                <w:rStyle w:val="Hipervnculo"/>
                <w:rFonts w:eastAsia="MS Mincho"/>
                <w:noProof/>
                <w:sz w:val="20"/>
                <w:szCs w:val="20"/>
              </w:rPr>
              <w:t>Costas y Gastos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_Toc24014583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56</w:t>
            </w:r>
            <w:r w:rsidR="00DD4469" w:rsidRPr="00DD4469">
              <w:rPr>
                <w:noProof/>
                <w:webHidden/>
                <w:sz w:val="20"/>
                <w:szCs w:val="20"/>
              </w:rPr>
              <w:fldChar w:fldCharType="end"/>
            </w:r>
          </w:hyperlink>
        </w:p>
        <w:p w14:paraId="0682C815" w14:textId="03CCB285" w:rsidR="00DD4469" w:rsidRPr="00DD4469" w:rsidRDefault="00656033">
          <w:pPr>
            <w:pStyle w:val="TDC2"/>
            <w:rPr>
              <w:rFonts w:eastAsiaTheme="minorEastAsia" w:cstheme="minorBidi"/>
              <w:noProof/>
              <w:sz w:val="20"/>
              <w:szCs w:val="20"/>
              <w:lang w:val="en-US" w:eastAsia="en-US"/>
            </w:rPr>
          </w:pPr>
          <w:hyperlink w:anchor="_Toc24014584" w:history="1">
            <w:r w:rsidR="00DD4469" w:rsidRPr="00DD4469">
              <w:rPr>
                <w:rStyle w:val="Hipervnculo"/>
                <w:rFonts w:eastAsia="MS Mincho"/>
                <w:noProof/>
                <w:sz w:val="20"/>
                <w:szCs w:val="20"/>
              </w:rPr>
              <w:t>G.</w:t>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Reintegro de los gastos al Fondo de Asistencia Legal de Víctimas de la Corte Interamericana</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_Toc24014584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58</w:t>
            </w:r>
            <w:r w:rsidR="00DD4469" w:rsidRPr="00DD4469">
              <w:rPr>
                <w:noProof/>
                <w:webHidden/>
                <w:sz w:val="20"/>
                <w:szCs w:val="20"/>
              </w:rPr>
              <w:fldChar w:fldCharType="end"/>
            </w:r>
          </w:hyperlink>
        </w:p>
        <w:p w14:paraId="62429230" w14:textId="366C83A9" w:rsidR="00DD4469" w:rsidRPr="00DD4469" w:rsidRDefault="00656033">
          <w:pPr>
            <w:pStyle w:val="TDC2"/>
            <w:rPr>
              <w:rFonts w:eastAsiaTheme="minorEastAsia" w:cstheme="minorBidi"/>
              <w:noProof/>
              <w:sz w:val="20"/>
              <w:szCs w:val="20"/>
              <w:lang w:val="en-US" w:eastAsia="en-US"/>
            </w:rPr>
          </w:pPr>
          <w:hyperlink w:anchor="_Toc24014585" w:history="1">
            <w:r w:rsidR="00DD4469" w:rsidRPr="00DD4469">
              <w:rPr>
                <w:rStyle w:val="Hipervnculo"/>
                <w:rFonts w:eastAsia="MS Mincho"/>
                <w:noProof/>
                <w:sz w:val="20"/>
                <w:szCs w:val="20"/>
              </w:rPr>
              <w:t>H.</w:t>
            </w:r>
            <w:r w:rsidR="00DD4469">
              <w:rPr>
                <w:rFonts w:eastAsiaTheme="minorEastAsia" w:cstheme="minorBidi"/>
                <w:noProof/>
                <w:sz w:val="20"/>
                <w:szCs w:val="20"/>
                <w:lang w:val="en-US" w:eastAsia="en-US"/>
              </w:rPr>
              <w:t xml:space="preserve"> </w:t>
            </w:r>
            <w:r w:rsidR="00DD4469" w:rsidRPr="00DD4469">
              <w:rPr>
                <w:rStyle w:val="Hipervnculo"/>
                <w:rFonts w:eastAsia="MS Mincho"/>
                <w:noProof/>
                <w:sz w:val="20"/>
                <w:szCs w:val="20"/>
              </w:rPr>
              <w:t>Modalidad de cumplimiento de los pagos ordenados</w:t>
            </w:r>
            <w:r w:rsidR="00DD4469" w:rsidRPr="00DD4469">
              <w:rPr>
                <w:noProof/>
                <w:webHidden/>
                <w:sz w:val="20"/>
                <w:szCs w:val="20"/>
              </w:rPr>
              <w:tab/>
            </w:r>
            <w:r w:rsidR="00DD4469" w:rsidRPr="00DD4469">
              <w:rPr>
                <w:noProof/>
                <w:webHidden/>
                <w:sz w:val="20"/>
                <w:szCs w:val="20"/>
              </w:rPr>
              <w:fldChar w:fldCharType="begin"/>
            </w:r>
            <w:r w:rsidR="00DD4469" w:rsidRPr="00DD4469">
              <w:rPr>
                <w:noProof/>
                <w:webHidden/>
                <w:sz w:val="20"/>
                <w:szCs w:val="20"/>
              </w:rPr>
              <w:instrText xml:space="preserve"> PAGEREF _Toc24014585 \h </w:instrText>
            </w:r>
            <w:r w:rsidR="00DD4469" w:rsidRPr="00DD4469">
              <w:rPr>
                <w:noProof/>
                <w:webHidden/>
                <w:sz w:val="20"/>
                <w:szCs w:val="20"/>
              </w:rPr>
            </w:r>
            <w:r w:rsidR="00DD4469" w:rsidRPr="00DD4469">
              <w:rPr>
                <w:noProof/>
                <w:webHidden/>
                <w:sz w:val="20"/>
                <w:szCs w:val="20"/>
              </w:rPr>
              <w:fldChar w:fldCharType="separate"/>
            </w:r>
            <w:r w:rsidR="002055E2">
              <w:rPr>
                <w:noProof/>
                <w:webHidden/>
                <w:sz w:val="20"/>
                <w:szCs w:val="20"/>
              </w:rPr>
              <w:t>59</w:t>
            </w:r>
            <w:r w:rsidR="00DD4469" w:rsidRPr="00DD4469">
              <w:rPr>
                <w:noProof/>
                <w:webHidden/>
                <w:sz w:val="20"/>
                <w:szCs w:val="20"/>
              </w:rPr>
              <w:fldChar w:fldCharType="end"/>
            </w:r>
          </w:hyperlink>
        </w:p>
        <w:p w14:paraId="2EEF1CFF" w14:textId="3791C336" w:rsidR="00DD4469" w:rsidRPr="00DD4469" w:rsidRDefault="00656033">
          <w:pPr>
            <w:pStyle w:val="TDC1"/>
            <w:rPr>
              <w:rFonts w:eastAsiaTheme="minorEastAsia" w:cstheme="minorBidi"/>
              <w:b w:val="0"/>
              <w:lang w:val="en-US" w:eastAsia="en-US"/>
            </w:rPr>
          </w:pPr>
          <w:hyperlink w:anchor="_Toc24014586" w:history="1">
            <w:r w:rsidR="00DD4469" w:rsidRPr="00DD4469">
              <w:rPr>
                <w:rStyle w:val="Hipervnculo"/>
              </w:rPr>
              <w:t>X PUNTOS RESOLUTIVOS</w:t>
            </w:r>
            <w:r w:rsidR="00DD4469" w:rsidRPr="00DD4469">
              <w:rPr>
                <w:webHidden/>
              </w:rPr>
              <w:tab/>
            </w:r>
            <w:r w:rsidR="00DD4469" w:rsidRPr="00DD4469">
              <w:rPr>
                <w:webHidden/>
              </w:rPr>
              <w:fldChar w:fldCharType="begin"/>
            </w:r>
            <w:r w:rsidR="00DD4469" w:rsidRPr="00DD4469">
              <w:rPr>
                <w:webHidden/>
              </w:rPr>
              <w:instrText xml:space="preserve"> PAGEREF _Toc24014586 \h </w:instrText>
            </w:r>
            <w:r w:rsidR="00DD4469" w:rsidRPr="00DD4469">
              <w:rPr>
                <w:webHidden/>
              </w:rPr>
            </w:r>
            <w:r w:rsidR="00DD4469" w:rsidRPr="00DD4469">
              <w:rPr>
                <w:webHidden/>
              </w:rPr>
              <w:fldChar w:fldCharType="separate"/>
            </w:r>
            <w:r w:rsidR="002055E2">
              <w:rPr>
                <w:webHidden/>
              </w:rPr>
              <w:t>59</w:t>
            </w:r>
            <w:r w:rsidR="00DD4469" w:rsidRPr="00DD4469">
              <w:rPr>
                <w:webHidden/>
              </w:rPr>
              <w:fldChar w:fldCharType="end"/>
            </w:r>
          </w:hyperlink>
        </w:p>
        <w:p w14:paraId="2A2409F3" w14:textId="77777777" w:rsidR="003C5D40" w:rsidRPr="0064597D" w:rsidRDefault="003C5D40" w:rsidP="003C5D40">
          <w:pPr>
            <w:spacing w:line="240" w:lineRule="auto"/>
            <w:rPr>
              <w:sz w:val="20"/>
              <w:szCs w:val="20"/>
            </w:rPr>
          </w:pPr>
          <w:r w:rsidRPr="00DD4469">
            <w:rPr>
              <w:b/>
              <w:bCs/>
              <w:noProof/>
              <w:sz w:val="20"/>
              <w:szCs w:val="20"/>
            </w:rPr>
            <w:fldChar w:fldCharType="end"/>
          </w:r>
        </w:p>
      </w:sdtContent>
    </w:sdt>
    <w:p w14:paraId="439E8046" w14:textId="77777777" w:rsidR="00EA52BD" w:rsidRPr="0064597D" w:rsidRDefault="00EA52BD" w:rsidP="00755998">
      <w:pPr>
        <w:widowControl/>
        <w:adjustRightInd/>
        <w:spacing w:line="240" w:lineRule="auto"/>
        <w:jc w:val="left"/>
        <w:textAlignment w:val="auto"/>
        <w:rPr>
          <w:rFonts w:cs="Verdana"/>
          <w:b/>
          <w:bCs/>
          <w:caps/>
          <w:snapToGrid w:val="0"/>
          <w:sz w:val="20"/>
          <w:szCs w:val="20"/>
        </w:rPr>
      </w:pPr>
      <w:r w:rsidRPr="0064597D">
        <w:rPr>
          <w:rFonts w:cs="Verdana"/>
          <w:b/>
          <w:bCs/>
          <w:caps/>
          <w:snapToGrid w:val="0"/>
          <w:sz w:val="20"/>
          <w:szCs w:val="20"/>
        </w:rPr>
        <w:br w:type="page"/>
      </w:r>
    </w:p>
    <w:p w14:paraId="32ABE4D5" w14:textId="77777777" w:rsidR="00731D3E" w:rsidRPr="0064597D" w:rsidRDefault="00731D3E" w:rsidP="002F4F08">
      <w:pPr>
        <w:pStyle w:val="Ttulo1"/>
      </w:pPr>
      <w:bookmarkStart w:id="0" w:name="_Toc24014525"/>
      <w:r w:rsidRPr="0064597D">
        <w:lastRenderedPageBreak/>
        <w:t>I</w:t>
      </w:r>
      <w:r w:rsidRPr="0064597D">
        <w:br/>
        <w:t>INTRODUCCIÓN DE LA CAUSA Y OBJETO DE LA CONTROVERSIA</w:t>
      </w:r>
      <w:bookmarkEnd w:id="0"/>
    </w:p>
    <w:p w14:paraId="07768C56" w14:textId="5D460BCE" w:rsidR="00604E7C" w:rsidRPr="0064597D" w:rsidRDefault="00731D3E" w:rsidP="00604E7C">
      <w:pPr>
        <w:numPr>
          <w:ilvl w:val="0"/>
          <w:numId w:val="1"/>
        </w:numPr>
        <w:tabs>
          <w:tab w:val="left" w:pos="567"/>
          <w:tab w:val="num" w:pos="1569"/>
          <w:tab w:val="num" w:pos="12305"/>
        </w:tabs>
        <w:spacing w:line="240" w:lineRule="auto"/>
        <w:ind w:left="0" w:firstLine="0"/>
        <w:rPr>
          <w:rFonts w:eastAsiaTheme="minorHAnsi"/>
          <w:sz w:val="20"/>
          <w:szCs w:val="20"/>
          <w:lang w:eastAsia="en-US"/>
        </w:rPr>
      </w:pPr>
      <w:r w:rsidRPr="0064597D">
        <w:rPr>
          <w:i/>
          <w:sz w:val="20"/>
          <w:szCs w:val="20"/>
        </w:rPr>
        <w:t xml:space="preserve">El caso sometido a la Corte. </w:t>
      </w:r>
      <w:r w:rsidRPr="0064597D">
        <w:rPr>
          <w:sz w:val="20"/>
          <w:szCs w:val="20"/>
        </w:rPr>
        <w:t xml:space="preserve">– </w:t>
      </w:r>
      <w:r w:rsidR="00604E7C" w:rsidRPr="0064597D">
        <w:rPr>
          <w:sz w:val="20"/>
          <w:szCs w:val="20"/>
        </w:rPr>
        <w:t xml:space="preserve">El 30 de noviembre de 2017 la Comisión Interamericana de </w:t>
      </w:r>
      <w:r w:rsidR="00604E7C" w:rsidRPr="001A2991">
        <w:rPr>
          <w:sz w:val="20"/>
          <w:szCs w:val="20"/>
        </w:rPr>
        <w:t>Derechos</w:t>
      </w:r>
      <w:r w:rsidR="00604E7C" w:rsidRPr="0064597D">
        <w:rPr>
          <w:sz w:val="20"/>
          <w:szCs w:val="20"/>
        </w:rPr>
        <w:t xml:space="preserve"> Humanos (en adelante “la Comisión Interamericana” o “la Comisión”) sometió a la jurisdicción de la Corte Interamericana el caso “Hugo Humberto Ruiz Fuentes y Familia” contra la República de Guatemala (en adelante “el Estado de Guatemala”, “el Estado guatemalteco”, “el Estado” o “Guatemala”). De acuerdo con lo indicado por la Comisión, el caso se relaciona con</w:t>
      </w:r>
      <w:r w:rsidR="00604E7C" w:rsidRPr="0064597D">
        <w:rPr>
          <w:rFonts w:eastAsia="Times"/>
          <w:sz w:val="20"/>
          <w:szCs w:val="20"/>
        </w:rPr>
        <w:t xml:space="preserve"> </w:t>
      </w:r>
      <w:r w:rsidR="00604E7C" w:rsidRPr="0064597D">
        <w:rPr>
          <w:sz w:val="20"/>
          <w:szCs w:val="20"/>
        </w:rPr>
        <w:t xml:space="preserve">una supuesta serie de violaciones al debido proceso cometidas en el marco del proceso penal contra el señor Ruiz Fuentes por el delito de secuestro que culminó en su condena a pena de muerte, así como con </w:t>
      </w:r>
      <w:r w:rsidR="006F5C3E" w:rsidRPr="0064597D">
        <w:rPr>
          <w:sz w:val="20"/>
          <w:szCs w:val="20"/>
        </w:rPr>
        <w:t xml:space="preserve">las </w:t>
      </w:r>
      <w:r w:rsidR="00604E7C" w:rsidRPr="0064597D">
        <w:rPr>
          <w:sz w:val="20"/>
          <w:szCs w:val="20"/>
        </w:rPr>
        <w:t>alegadas torturas perpetradas en el momento de la detención</w:t>
      </w:r>
      <w:r w:rsidR="00A06A51" w:rsidRPr="0064597D">
        <w:rPr>
          <w:sz w:val="20"/>
          <w:szCs w:val="20"/>
        </w:rPr>
        <w:t xml:space="preserve"> y la alegada ejecución extrajudicial d</w:t>
      </w:r>
      <w:r w:rsidR="00604E7C" w:rsidRPr="0064597D">
        <w:rPr>
          <w:sz w:val="20"/>
          <w:szCs w:val="20"/>
        </w:rPr>
        <w:t xml:space="preserve">el señor Ruiz Fuentes luego que se fugara de la cárcel en </w:t>
      </w:r>
      <w:r w:rsidR="006F5C3E" w:rsidRPr="0064597D">
        <w:rPr>
          <w:sz w:val="20"/>
          <w:szCs w:val="20"/>
        </w:rPr>
        <w:t xml:space="preserve">el año </w:t>
      </w:r>
      <w:r w:rsidR="00604E7C" w:rsidRPr="0064597D">
        <w:rPr>
          <w:sz w:val="20"/>
          <w:szCs w:val="20"/>
        </w:rPr>
        <w:t xml:space="preserve">2005. </w:t>
      </w:r>
      <w:r w:rsidR="00604E7C" w:rsidRPr="0064597D">
        <w:rPr>
          <w:rFonts w:eastAsiaTheme="minorHAnsi"/>
          <w:sz w:val="20"/>
          <w:szCs w:val="20"/>
          <w:lang w:eastAsia="en-US"/>
        </w:rPr>
        <w:t xml:space="preserve">Igualmente, la Comisión concluyó que el Estado violó el derecho a la vida por imponer la pena de muerte en un procedimiento que no respetó el debido proceso y porque amplió las conductas castigadas con pena de muerte de manera contraria al artículo 4.2 de la Convención Americana. La Comisión también concluyó que el Estado cometió tratos crueles, inhumanos y degradantes en contra de la víctima porque permaneció por más de 6 años y 5 meses a la espera de que se ejecutara su condena, configurándose el fenómeno de </w:t>
      </w:r>
      <w:r w:rsidR="00440CDD" w:rsidRPr="0064597D">
        <w:rPr>
          <w:rFonts w:eastAsiaTheme="minorHAnsi"/>
          <w:sz w:val="20"/>
          <w:szCs w:val="20"/>
          <w:lang w:eastAsia="en-US"/>
        </w:rPr>
        <w:t>“</w:t>
      </w:r>
      <w:r w:rsidR="00604E7C" w:rsidRPr="0064597D">
        <w:rPr>
          <w:rFonts w:eastAsiaTheme="minorHAnsi"/>
          <w:sz w:val="20"/>
          <w:szCs w:val="20"/>
          <w:lang w:eastAsia="en-US"/>
        </w:rPr>
        <w:t>corredor de la muerte</w:t>
      </w:r>
      <w:r w:rsidR="00440CDD" w:rsidRPr="0064597D">
        <w:rPr>
          <w:rFonts w:eastAsiaTheme="minorHAnsi"/>
          <w:sz w:val="20"/>
          <w:szCs w:val="20"/>
          <w:lang w:eastAsia="en-US"/>
        </w:rPr>
        <w:t>”</w:t>
      </w:r>
      <w:r w:rsidR="00604E7C" w:rsidRPr="0064597D">
        <w:rPr>
          <w:rFonts w:eastAsiaTheme="minorHAnsi"/>
          <w:sz w:val="20"/>
          <w:szCs w:val="20"/>
          <w:lang w:eastAsia="en-US"/>
        </w:rPr>
        <w:t xml:space="preserve">. Por otra parte, la </w:t>
      </w:r>
      <w:r w:rsidR="00440CDD" w:rsidRPr="0064597D">
        <w:rPr>
          <w:rFonts w:eastAsiaTheme="minorHAnsi"/>
          <w:sz w:val="20"/>
          <w:szCs w:val="20"/>
          <w:lang w:eastAsia="en-US"/>
        </w:rPr>
        <w:t>Comisión</w:t>
      </w:r>
      <w:r w:rsidR="00604E7C" w:rsidRPr="0064597D">
        <w:rPr>
          <w:rFonts w:eastAsiaTheme="minorHAnsi"/>
          <w:sz w:val="20"/>
          <w:szCs w:val="20"/>
          <w:lang w:eastAsia="en-US"/>
        </w:rPr>
        <w:t xml:space="preserve"> determinó que</w:t>
      </w:r>
      <w:r w:rsidR="00AB77A2" w:rsidRPr="0064597D">
        <w:rPr>
          <w:rFonts w:eastAsiaTheme="minorHAnsi"/>
          <w:sz w:val="20"/>
          <w:szCs w:val="20"/>
          <w:lang w:eastAsia="en-US"/>
        </w:rPr>
        <w:t>,</w:t>
      </w:r>
      <w:r w:rsidR="00604E7C" w:rsidRPr="0064597D">
        <w:rPr>
          <w:rFonts w:eastAsiaTheme="minorHAnsi"/>
          <w:sz w:val="20"/>
          <w:szCs w:val="20"/>
          <w:lang w:eastAsia="en-US"/>
        </w:rPr>
        <w:t xml:space="preserve"> pese a las denuncias</w:t>
      </w:r>
      <w:r w:rsidR="0035451B">
        <w:rPr>
          <w:rFonts w:eastAsiaTheme="minorHAnsi"/>
          <w:sz w:val="20"/>
          <w:szCs w:val="20"/>
          <w:lang w:eastAsia="en-US"/>
        </w:rPr>
        <w:t xml:space="preserve"> presentadas</w:t>
      </w:r>
      <w:r w:rsidR="00604E7C" w:rsidRPr="0064597D">
        <w:rPr>
          <w:rFonts w:eastAsiaTheme="minorHAnsi"/>
          <w:sz w:val="20"/>
          <w:szCs w:val="20"/>
          <w:lang w:eastAsia="en-US"/>
        </w:rPr>
        <w:t>, el Estado Guatemalteco no ha</w:t>
      </w:r>
      <w:r w:rsidR="006F5C3E" w:rsidRPr="0064597D">
        <w:rPr>
          <w:rFonts w:eastAsiaTheme="minorHAnsi"/>
          <w:sz w:val="20"/>
          <w:szCs w:val="20"/>
          <w:lang w:eastAsia="en-US"/>
        </w:rPr>
        <w:t>bría</w:t>
      </w:r>
      <w:r w:rsidR="00604E7C" w:rsidRPr="0064597D">
        <w:rPr>
          <w:rFonts w:eastAsiaTheme="minorHAnsi"/>
          <w:sz w:val="20"/>
          <w:szCs w:val="20"/>
          <w:lang w:eastAsia="en-US"/>
        </w:rPr>
        <w:t xml:space="preserve"> realizado una investigación </w:t>
      </w:r>
      <w:r w:rsidR="00A06A51" w:rsidRPr="0064597D">
        <w:rPr>
          <w:rFonts w:eastAsiaTheme="minorHAnsi"/>
          <w:sz w:val="20"/>
          <w:szCs w:val="20"/>
          <w:lang w:eastAsia="en-US"/>
        </w:rPr>
        <w:t>sobre las alegadas torturas de las que fue víctima el señor Ruiz Fuentes</w:t>
      </w:r>
      <w:r w:rsidR="00440CDD" w:rsidRPr="0064597D">
        <w:rPr>
          <w:rFonts w:eastAsiaTheme="minorHAnsi"/>
          <w:sz w:val="20"/>
          <w:szCs w:val="20"/>
          <w:lang w:eastAsia="en-US"/>
        </w:rPr>
        <w:t>.</w:t>
      </w:r>
      <w:r w:rsidR="00A06A51" w:rsidRPr="0064597D">
        <w:rPr>
          <w:rFonts w:eastAsiaTheme="minorHAnsi"/>
          <w:sz w:val="20"/>
          <w:szCs w:val="20"/>
          <w:lang w:eastAsia="en-US"/>
        </w:rPr>
        <w:t xml:space="preserve"> </w:t>
      </w:r>
      <w:r w:rsidR="00604E7C" w:rsidRPr="0064597D">
        <w:rPr>
          <w:rFonts w:eastAsiaTheme="minorHAnsi"/>
          <w:sz w:val="20"/>
          <w:szCs w:val="20"/>
          <w:lang w:eastAsia="en-US"/>
        </w:rPr>
        <w:t>Asimismo, concluyó que la investigación penal por la muerte de la víctima no ha</w:t>
      </w:r>
      <w:r w:rsidR="006F5C3E" w:rsidRPr="0064597D">
        <w:rPr>
          <w:rFonts w:eastAsiaTheme="minorHAnsi"/>
          <w:sz w:val="20"/>
          <w:szCs w:val="20"/>
          <w:lang w:eastAsia="en-US"/>
        </w:rPr>
        <w:t>bía</w:t>
      </w:r>
      <w:r w:rsidR="00604E7C" w:rsidRPr="0064597D">
        <w:rPr>
          <w:rFonts w:eastAsiaTheme="minorHAnsi"/>
          <w:sz w:val="20"/>
          <w:szCs w:val="20"/>
          <w:lang w:eastAsia="en-US"/>
        </w:rPr>
        <w:t xml:space="preserve"> sido diligente ni efectiva para esclarecer los hechos en un plazo razonable.</w:t>
      </w:r>
    </w:p>
    <w:p w14:paraId="69F26142" w14:textId="77777777" w:rsidR="00731D3E" w:rsidRPr="0064597D" w:rsidRDefault="00731D3E" w:rsidP="00731D3E">
      <w:pPr>
        <w:pStyle w:val="Prrafodelista"/>
        <w:spacing w:line="240" w:lineRule="auto"/>
        <w:ind w:left="0"/>
        <w:rPr>
          <w:sz w:val="20"/>
          <w:szCs w:val="20"/>
        </w:rPr>
      </w:pPr>
    </w:p>
    <w:p w14:paraId="128A0CA7" w14:textId="77777777" w:rsidR="00731D3E" w:rsidRPr="0064597D" w:rsidRDefault="00731D3E" w:rsidP="00310CFF">
      <w:pPr>
        <w:numPr>
          <w:ilvl w:val="0"/>
          <w:numId w:val="1"/>
        </w:numPr>
        <w:tabs>
          <w:tab w:val="left" w:pos="567"/>
          <w:tab w:val="num" w:pos="1569"/>
          <w:tab w:val="num" w:pos="12305"/>
        </w:tabs>
        <w:spacing w:line="240" w:lineRule="auto"/>
        <w:ind w:left="0" w:firstLine="0"/>
        <w:rPr>
          <w:sz w:val="20"/>
          <w:szCs w:val="20"/>
        </w:rPr>
      </w:pPr>
      <w:bookmarkStart w:id="1" w:name="_Ref15466599"/>
      <w:r w:rsidRPr="0064597D">
        <w:rPr>
          <w:i/>
          <w:sz w:val="20"/>
          <w:szCs w:val="20"/>
        </w:rPr>
        <w:t>Trámite ante la Comisión.</w:t>
      </w:r>
      <w:r w:rsidRPr="0064597D">
        <w:rPr>
          <w:sz w:val="20"/>
          <w:szCs w:val="20"/>
        </w:rPr>
        <w:t xml:space="preserve"> – El trámite ante la Comisión fue el siguiente:</w:t>
      </w:r>
      <w:bookmarkEnd w:id="1"/>
    </w:p>
    <w:p w14:paraId="551416D1" w14:textId="77777777" w:rsidR="00731D3E" w:rsidRPr="0064597D" w:rsidRDefault="00731D3E" w:rsidP="009A03A1">
      <w:pPr>
        <w:pStyle w:val="Prrafodelista"/>
        <w:spacing w:line="240" w:lineRule="auto"/>
        <w:rPr>
          <w:sz w:val="20"/>
          <w:szCs w:val="20"/>
        </w:rPr>
      </w:pPr>
    </w:p>
    <w:p w14:paraId="7EBC39F2" w14:textId="229809EE" w:rsidR="00604E7C" w:rsidRPr="0064597D" w:rsidRDefault="00731D3E" w:rsidP="00604E7C">
      <w:pPr>
        <w:pStyle w:val="Prrafodelista"/>
        <w:widowControl/>
        <w:numPr>
          <w:ilvl w:val="0"/>
          <w:numId w:val="2"/>
        </w:numPr>
        <w:adjustRightInd/>
        <w:spacing w:line="240" w:lineRule="auto"/>
        <w:textAlignment w:val="auto"/>
        <w:rPr>
          <w:sz w:val="20"/>
          <w:szCs w:val="20"/>
        </w:rPr>
      </w:pPr>
      <w:r w:rsidRPr="0064597D">
        <w:rPr>
          <w:i/>
          <w:sz w:val="20"/>
          <w:szCs w:val="20"/>
        </w:rPr>
        <w:t xml:space="preserve">Petición. </w:t>
      </w:r>
      <w:r w:rsidRPr="0064597D">
        <w:rPr>
          <w:sz w:val="20"/>
          <w:szCs w:val="20"/>
        </w:rPr>
        <w:t xml:space="preserve">– </w:t>
      </w:r>
      <w:r w:rsidR="00604E7C" w:rsidRPr="0064597D">
        <w:rPr>
          <w:sz w:val="20"/>
          <w:szCs w:val="20"/>
        </w:rPr>
        <w:t xml:space="preserve">El 2 de enero de 2003, </w:t>
      </w:r>
      <w:r w:rsidR="0035451B">
        <w:rPr>
          <w:sz w:val="20"/>
          <w:szCs w:val="20"/>
        </w:rPr>
        <w:t>lo</w:t>
      </w:r>
      <w:r w:rsidR="00F115A2" w:rsidRPr="0064597D">
        <w:rPr>
          <w:sz w:val="20"/>
          <w:szCs w:val="20"/>
        </w:rPr>
        <w:t>s representantes</w:t>
      </w:r>
      <w:r w:rsidR="00604E7C" w:rsidRPr="0064597D">
        <w:rPr>
          <w:sz w:val="20"/>
          <w:szCs w:val="20"/>
        </w:rPr>
        <w:t xml:space="preserve"> (en adelante “los peticionarios”) presentaron la petición inicial ante la Comisión.</w:t>
      </w:r>
      <w:r w:rsidR="00604E7C" w:rsidRPr="0064597D">
        <w:rPr>
          <w:b/>
          <w:sz w:val="20"/>
          <w:szCs w:val="20"/>
        </w:rPr>
        <w:t xml:space="preserve"> </w:t>
      </w:r>
    </w:p>
    <w:p w14:paraId="1607F9F2" w14:textId="77777777" w:rsidR="00604E7C" w:rsidRPr="0064597D" w:rsidRDefault="00604E7C" w:rsidP="00604E7C">
      <w:pPr>
        <w:pStyle w:val="Prrafodelista"/>
        <w:widowControl/>
        <w:adjustRightInd/>
        <w:spacing w:line="240" w:lineRule="auto"/>
        <w:ind w:left="720"/>
        <w:textAlignment w:val="auto"/>
        <w:rPr>
          <w:sz w:val="20"/>
          <w:szCs w:val="20"/>
        </w:rPr>
      </w:pPr>
    </w:p>
    <w:p w14:paraId="4B0C644C" w14:textId="58FDC0FB" w:rsidR="00604E7C" w:rsidRPr="0064597D" w:rsidRDefault="00604E7C" w:rsidP="00604E7C">
      <w:pPr>
        <w:pStyle w:val="Prrafodelista"/>
        <w:widowControl/>
        <w:numPr>
          <w:ilvl w:val="0"/>
          <w:numId w:val="2"/>
        </w:numPr>
        <w:adjustRightInd/>
        <w:spacing w:line="240" w:lineRule="auto"/>
        <w:textAlignment w:val="auto"/>
        <w:rPr>
          <w:sz w:val="20"/>
          <w:szCs w:val="20"/>
        </w:rPr>
      </w:pPr>
      <w:r w:rsidRPr="0064597D">
        <w:rPr>
          <w:i/>
          <w:sz w:val="20"/>
          <w:szCs w:val="20"/>
        </w:rPr>
        <w:t xml:space="preserve">Medidas provisionales. </w:t>
      </w:r>
      <w:r w:rsidRPr="0064597D">
        <w:rPr>
          <w:sz w:val="20"/>
          <w:szCs w:val="20"/>
        </w:rPr>
        <w:t xml:space="preserve">– </w:t>
      </w:r>
      <w:r w:rsidRPr="0064597D">
        <w:rPr>
          <w:rFonts w:eastAsiaTheme="minorHAnsi"/>
          <w:sz w:val="20"/>
          <w:szCs w:val="20"/>
          <w:lang w:eastAsia="en-US"/>
        </w:rPr>
        <w:t>A solicitud de la Comisión, el 30 de agosto de 2004 la Corte resolvió requerir al Estado de Guatemala que “adopte, sin dilación, las medidas necesarias para proteger la vida de Ronald Ernesto Raxcacó Reyes, Hugo Humberto Ruiz Fuentes, Bernardino Rodríguez Lara y Pablo Arturo Ruiz Almengor a fin de no obstaculizar el trámite de sus casos ante el sistema interamericano de protección de los derechos humanos</w:t>
      </w:r>
      <w:r w:rsidR="00AC0854" w:rsidRPr="0064597D">
        <w:rPr>
          <w:rFonts w:eastAsiaTheme="minorHAnsi"/>
          <w:sz w:val="20"/>
          <w:szCs w:val="20"/>
          <w:lang w:eastAsia="en-US"/>
        </w:rPr>
        <w:t>”</w:t>
      </w:r>
      <w:r w:rsidR="00AC0854" w:rsidRPr="0064597D">
        <w:rPr>
          <w:rStyle w:val="Refdenotaalpie"/>
          <w:rFonts w:eastAsiaTheme="minorHAnsi"/>
          <w:sz w:val="20"/>
          <w:szCs w:val="20"/>
          <w:lang w:eastAsia="en-US"/>
        </w:rPr>
        <w:t xml:space="preserve"> </w:t>
      </w:r>
      <w:r w:rsidR="00AC0854" w:rsidRPr="0064597D">
        <w:rPr>
          <w:rStyle w:val="Refdenotaalpie"/>
          <w:rFonts w:eastAsiaTheme="minorHAnsi"/>
          <w:sz w:val="20"/>
          <w:szCs w:val="20"/>
          <w:lang w:eastAsia="en-US"/>
        </w:rPr>
        <w:footnoteReference w:id="3"/>
      </w:r>
      <w:r w:rsidRPr="0064597D">
        <w:rPr>
          <w:rFonts w:eastAsiaTheme="minorHAnsi"/>
          <w:sz w:val="20"/>
          <w:szCs w:val="20"/>
          <w:lang w:eastAsia="en-US"/>
        </w:rPr>
        <w:t xml:space="preserve">. El 8 de noviembre de 2005 el Estado informó a la Corte que en octubre de 2005 diecinueve reos, entre quienes se encontraba el señor Ruiz Fuentes, habían escapado de la cárcel de alta seguridad de Escuintla. El 16 de noviembre de 2005 </w:t>
      </w:r>
      <w:r w:rsidR="0035451B">
        <w:rPr>
          <w:rFonts w:eastAsiaTheme="minorHAnsi"/>
          <w:sz w:val="20"/>
          <w:szCs w:val="20"/>
          <w:lang w:eastAsia="en-US"/>
        </w:rPr>
        <w:t>lo</w:t>
      </w:r>
      <w:r w:rsidR="00F115A2" w:rsidRPr="0064597D">
        <w:rPr>
          <w:rFonts w:eastAsiaTheme="minorHAnsi"/>
          <w:sz w:val="20"/>
          <w:szCs w:val="20"/>
          <w:lang w:eastAsia="en-US"/>
        </w:rPr>
        <w:t xml:space="preserve">s </w:t>
      </w:r>
      <w:r w:rsidR="0035451B">
        <w:rPr>
          <w:rFonts w:eastAsiaTheme="minorHAnsi"/>
          <w:sz w:val="20"/>
          <w:szCs w:val="20"/>
          <w:lang w:eastAsia="en-US"/>
        </w:rPr>
        <w:t>peticionarios</w:t>
      </w:r>
      <w:r w:rsidRPr="0064597D">
        <w:rPr>
          <w:rFonts w:eastAsiaTheme="minorHAnsi"/>
          <w:sz w:val="20"/>
          <w:szCs w:val="20"/>
          <w:lang w:eastAsia="en-US"/>
        </w:rPr>
        <w:t xml:space="preserve"> informaron que el señor Ruiz Fuentes</w:t>
      </w:r>
      <w:r w:rsidR="004B122B" w:rsidRPr="0064597D">
        <w:rPr>
          <w:rFonts w:eastAsiaTheme="minorHAnsi"/>
          <w:sz w:val="20"/>
          <w:szCs w:val="20"/>
          <w:lang w:eastAsia="en-US"/>
        </w:rPr>
        <w:t xml:space="preserve"> había sido ejecutado al momento de su captura</w:t>
      </w:r>
      <w:r w:rsidRPr="0064597D">
        <w:rPr>
          <w:rFonts w:eastAsiaTheme="minorHAnsi"/>
          <w:sz w:val="20"/>
          <w:szCs w:val="20"/>
          <w:lang w:eastAsia="en-US"/>
        </w:rPr>
        <w:t xml:space="preserve">. En vista de </w:t>
      </w:r>
      <w:r w:rsidR="004B122B" w:rsidRPr="0064597D">
        <w:rPr>
          <w:rFonts w:eastAsiaTheme="minorHAnsi"/>
          <w:sz w:val="20"/>
          <w:szCs w:val="20"/>
          <w:lang w:eastAsia="en-US"/>
        </w:rPr>
        <w:t xml:space="preserve">lo anterior </w:t>
      </w:r>
      <w:r w:rsidRPr="0064597D">
        <w:rPr>
          <w:rFonts w:eastAsiaTheme="minorHAnsi"/>
          <w:sz w:val="20"/>
          <w:szCs w:val="20"/>
          <w:lang w:eastAsia="en-US"/>
        </w:rPr>
        <w:t>el 4 de julio de 2006 la Corte resolvió levantar las medidas provisionales a su favor</w:t>
      </w:r>
      <w:r w:rsidRPr="0064597D">
        <w:rPr>
          <w:rStyle w:val="Refdenotaalpie"/>
          <w:rFonts w:eastAsiaTheme="minorHAnsi"/>
          <w:sz w:val="20"/>
          <w:szCs w:val="20"/>
          <w:lang w:eastAsia="en-US"/>
        </w:rPr>
        <w:footnoteReference w:id="4"/>
      </w:r>
      <w:r w:rsidRPr="0064597D">
        <w:rPr>
          <w:rFonts w:eastAsiaTheme="minorHAnsi"/>
          <w:sz w:val="20"/>
          <w:szCs w:val="20"/>
          <w:lang w:eastAsia="en-US"/>
        </w:rPr>
        <w:t xml:space="preserve">. </w:t>
      </w:r>
    </w:p>
    <w:p w14:paraId="357097F8" w14:textId="77777777" w:rsidR="00604E7C" w:rsidRPr="0064597D" w:rsidRDefault="00604E7C" w:rsidP="00604E7C">
      <w:pPr>
        <w:widowControl/>
        <w:adjustRightInd/>
        <w:spacing w:line="240" w:lineRule="auto"/>
        <w:textAlignment w:val="auto"/>
        <w:rPr>
          <w:sz w:val="20"/>
          <w:szCs w:val="20"/>
          <w:highlight w:val="yellow"/>
        </w:rPr>
      </w:pPr>
    </w:p>
    <w:p w14:paraId="3B82CF33" w14:textId="2E836816" w:rsidR="00604E7C" w:rsidRPr="0064597D" w:rsidRDefault="00731D3E" w:rsidP="00604E7C">
      <w:pPr>
        <w:pStyle w:val="Prrafodelista"/>
        <w:widowControl/>
        <w:numPr>
          <w:ilvl w:val="0"/>
          <w:numId w:val="2"/>
        </w:numPr>
        <w:adjustRightInd/>
        <w:spacing w:line="240" w:lineRule="auto"/>
        <w:textAlignment w:val="auto"/>
        <w:rPr>
          <w:sz w:val="20"/>
          <w:szCs w:val="20"/>
        </w:rPr>
      </w:pPr>
      <w:r w:rsidRPr="0064597D">
        <w:rPr>
          <w:i/>
          <w:sz w:val="20"/>
          <w:szCs w:val="20"/>
        </w:rPr>
        <w:t>Informe de admisibilidad.</w:t>
      </w:r>
      <w:r w:rsidRPr="0064597D">
        <w:rPr>
          <w:sz w:val="20"/>
          <w:szCs w:val="20"/>
        </w:rPr>
        <w:t xml:space="preserve"> - </w:t>
      </w:r>
      <w:r w:rsidR="00604E7C" w:rsidRPr="0064597D">
        <w:rPr>
          <w:sz w:val="20"/>
          <w:szCs w:val="20"/>
        </w:rPr>
        <w:t>El 5 de marzo de 2008 la Comisión aprobó el Informe de Admisibilidad No. 14/07, en el que concluyó que la petición era admisible</w:t>
      </w:r>
      <w:r w:rsidR="00604E7C" w:rsidRPr="0064597D">
        <w:rPr>
          <w:rStyle w:val="Refdenotaalpie"/>
          <w:sz w:val="20"/>
          <w:szCs w:val="20"/>
        </w:rPr>
        <w:footnoteReference w:id="5"/>
      </w:r>
      <w:r w:rsidR="00604E7C" w:rsidRPr="0064597D">
        <w:rPr>
          <w:sz w:val="20"/>
          <w:szCs w:val="20"/>
        </w:rPr>
        <w:t xml:space="preserve">. </w:t>
      </w:r>
    </w:p>
    <w:p w14:paraId="2453A3A8" w14:textId="77777777" w:rsidR="00731D3E" w:rsidRPr="0064597D" w:rsidRDefault="00731D3E" w:rsidP="00731D3E">
      <w:pPr>
        <w:spacing w:line="240" w:lineRule="auto"/>
        <w:rPr>
          <w:sz w:val="20"/>
          <w:szCs w:val="20"/>
        </w:rPr>
      </w:pPr>
    </w:p>
    <w:p w14:paraId="7C4983AF" w14:textId="0198C856" w:rsidR="00604E7C" w:rsidRPr="0064597D" w:rsidRDefault="00731D3E" w:rsidP="000E3A01">
      <w:pPr>
        <w:pStyle w:val="Prrafodelista"/>
        <w:widowControl/>
        <w:numPr>
          <w:ilvl w:val="0"/>
          <w:numId w:val="2"/>
        </w:numPr>
        <w:adjustRightInd/>
        <w:spacing w:line="240" w:lineRule="auto"/>
        <w:textAlignment w:val="auto"/>
        <w:rPr>
          <w:sz w:val="20"/>
          <w:szCs w:val="20"/>
        </w:rPr>
      </w:pPr>
      <w:r w:rsidRPr="0064597D">
        <w:rPr>
          <w:i/>
          <w:sz w:val="20"/>
          <w:szCs w:val="20"/>
        </w:rPr>
        <w:t>Informe de Fondo.</w:t>
      </w:r>
      <w:r w:rsidRPr="0064597D">
        <w:rPr>
          <w:sz w:val="20"/>
          <w:szCs w:val="20"/>
        </w:rPr>
        <w:t xml:space="preserve"> – </w:t>
      </w:r>
      <w:r w:rsidR="00604E7C" w:rsidRPr="0064597D">
        <w:rPr>
          <w:sz w:val="20"/>
          <w:szCs w:val="20"/>
        </w:rPr>
        <w:t xml:space="preserve">El 30 de julio de 2017 la Comisión aprobó el Informe de Fondo No. 94/17, de conformidad con el artículo 50 de la Convención (en adelante también “el Informe de </w:t>
      </w:r>
      <w:r w:rsidR="00604E7C" w:rsidRPr="0064597D">
        <w:rPr>
          <w:sz w:val="20"/>
          <w:szCs w:val="20"/>
        </w:rPr>
        <w:lastRenderedPageBreak/>
        <w:t>Fondo” o “el Informe No. 94/17”), en el cual llegó a una serie de conclusiones</w:t>
      </w:r>
      <w:r w:rsidR="00604E7C" w:rsidRPr="0064597D">
        <w:rPr>
          <w:rStyle w:val="Refdenotaalpie"/>
          <w:sz w:val="20"/>
          <w:szCs w:val="20"/>
        </w:rPr>
        <w:footnoteReference w:id="6"/>
      </w:r>
      <w:r w:rsidR="00604E7C" w:rsidRPr="0064597D">
        <w:rPr>
          <w:sz w:val="20"/>
          <w:szCs w:val="20"/>
        </w:rPr>
        <w:t>, y formuló varias recomendaciones al Estado</w:t>
      </w:r>
      <w:r w:rsidR="008E7868" w:rsidRPr="0064597D">
        <w:rPr>
          <w:rStyle w:val="Refdenotaalpie"/>
          <w:sz w:val="20"/>
          <w:szCs w:val="20"/>
          <w:vertAlign w:val="baseline"/>
        </w:rPr>
        <w:t>.</w:t>
      </w:r>
      <w:r w:rsidR="00604E7C" w:rsidRPr="0064597D">
        <w:rPr>
          <w:sz w:val="20"/>
          <w:szCs w:val="20"/>
        </w:rPr>
        <w:t xml:space="preserve"> </w:t>
      </w:r>
    </w:p>
    <w:p w14:paraId="086167EC" w14:textId="77777777" w:rsidR="000E3A01" w:rsidRPr="0064597D" w:rsidRDefault="000E3A01" w:rsidP="000E3A01">
      <w:pPr>
        <w:pStyle w:val="Prrafodelista"/>
        <w:widowControl/>
        <w:adjustRightInd/>
        <w:spacing w:line="240" w:lineRule="auto"/>
        <w:ind w:left="720"/>
        <w:textAlignment w:val="auto"/>
        <w:rPr>
          <w:sz w:val="20"/>
          <w:szCs w:val="20"/>
        </w:rPr>
      </w:pPr>
    </w:p>
    <w:p w14:paraId="1FE53D06" w14:textId="1BDC7625" w:rsidR="00604E7C" w:rsidRPr="0064597D" w:rsidRDefault="00604E7C" w:rsidP="00D0432D">
      <w:pPr>
        <w:widowControl/>
        <w:numPr>
          <w:ilvl w:val="0"/>
          <w:numId w:val="2"/>
        </w:numPr>
        <w:tabs>
          <w:tab w:val="left" w:pos="567"/>
          <w:tab w:val="num" w:pos="1569"/>
          <w:tab w:val="num" w:pos="12305"/>
        </w:tabs>
        <w:adjustRightInd/>
        <w:spacing w:line="240" w:lineRule="auto"/>
        <w:textAlignment w:val="auto"/>
        <w:rPr>
          <w:sz w:val="20"/>
          <w:szCs w:val="20"/>
        </w:rPr>
      </w:pPr>
      <w:r w:rsidRPr="0064597D">
        <w:rPr>
          <w:i/>
          <w:sz w:val="20"/>
          <w:szCs w:val="20"/>
        </w:rPr>
        <w:t>Notificación al Estado.</w:t>
      </w:r>
      <w:r w:rsidRPr="0064597D">
        <w:rPr>
          <w:sz w:val="20"/>
          <w:szCs w:val="20"/>
        </w:rPr>
        <w:t xml:space="preserve"> – El Informe de Fondo fue notificado al Estado el 30 de agosto </w:t>
      </w:r>
      <w:r w:rsidR="00A91B30" w:rsidRPr="0064597D">
        <w:rPr>
          <w:sz w:val="20"/>
          <w:szCs w:val="20"/>
        </w:rPr>
        <w:t xml:space="preserve">de 2017. </w:t>
      </w:r>
      <w:r w:rsidRPr="0064597D">
        <w:rPr>
          <w:sz w:val="20"/>
          <w:szCs w:val="20"/>
        </w:rPr>
        <w:t xml:space="preserve">El Estado </w:t>
      </w:r>
      <w:r w:rsidR="004F2579" w:rsidRPr="0064597D">
        <w:rPr>
          <w:sz w:val="20"/>
          <w:szCs w:val="20"/>
        </w:rPr>
        <w:t>guatemalteco</w:t>
      </w:r>
      <w:r w:rsidRPr="0064597D">
        <w:rPr>
          <w:sz w:val="20"/>
          <w:szCs w:val="20"/>
        </w:rPr>
        <w:t xml:space="preserve"> no presentó una respuesta en el plazo indicado por la Comisión. </w:t>
      </w:r>
    </w:p>
    <w:p w14:paraId="3862C80D" w14:textId="77777777" w:rsidR="00604E7C" w:rsidRPr="0064597D" w:rsidRDefault="00604E7C" w:rsidP="00604E7C">
      <w:pPr>
        <w:pStyle w:val="Prrafodelista"/>
        <w:spacing w:line="240" w:lineRule="auto"/>
        <w:rPr>
          <w:sz w:val="20"/>
          <w:szCs w:val="20"/>
          <w:highlight w:val="yellow"/>
        </w:rPr>
      </w:pPr>
    </w:p>
    <w:p w14:paraId="40A16F64" w14:textId="77777777" w:rsidR="00604E7C" w:rsidRPr="0064597D" w:rsidRDefault="00604E7C" w:rsidP="00A91B30">
      <w:pPr>
        <w:numPr>
          <w:ilvl w:val="0"/>
          <w:numId w:val="1"/>
        </w:numPr>
        <w:tabs>
          <w:tab w:val="left" w:pos="567"/>
          <w:tab w:val="num" w:pos="1569"/>
          <w:tab w:val="num" w:pos="12305"/>
        </w:tabs>
        <w:spacing w:line="240" w:lineRule="auto"/>
        <w:ind w:left="0" w:firstLine="0"/>
        <w:rPr>
          <w:sz w:val="20"/>
          <w:szCs w:val="20"/>
        </w:rPr>
      </w:pPr>
      <w:r w:rsidRPr="0064597D">
        <w:rPr>
          <w:i/>
          <w:sz w:val="20"/>
          <w:szCs w:val="20"/>
        </w:rPr>
        <w:t>Sometimiento a la Corte.</w:t>
      </w:r>
      <w:r w:rsidRPr="0064597D">
        <w:rPr>
          <w:sz w:val="20"/>
          <w:szCs w:val="20"/>
        </w:rPr>
        <w:t xml:space="preserve"> – El 30 de noviembre de 2017 la Comisión sometió a la jurisdicción de la Corte Interamericana la totalidad de los hechos y violaciones de derechos humanos descritos en el informe de fondo “por la necesidad de obtención de justicia y reparación”</w:t>
      </w:r>
      <w:r w:rsidRPr="0064597D">
        <w:rPr>
          <w:rStyle w:val="Refdenotaalpie"/>
          <w:sz w:val="20"/>
          <w:szCs w:val="20"/>
        </w:rPr>
        <w:footnoteReference w:id="7"/>
      </w:r>
      <w:r w:rsidRPr="0064597D">
        <w:rPr>
          <w:sz w:val="20"/>
          <w:szCs w:val="20"/>
        </w:rPr>
        <w:t>.</w:t>
      </w:r>
    </w:p>
    <w:p w14:paraId="0C3B32E9" w14:textId="77777777" w:rsidR="00604E7C" w:rsidRPr="0064597D" w:rsidRDefault="00604E7C" w:rsidP="00604E7C">
      <w:pPr>
        <w:tabs>
          <w:tab w:val="left" w:pos="567"/>
        </w:tabs>
        <w:spacing w:line="240" w:lineRule="auto"/>
        <w:rPr>
          <w:sz w:val="20"/>
          <w:szCs w:val="20"/>
        </w:rPr>
      </w:pPr>
    </w:p>
    <w:p w14:paraId="561CD77B" w14:textId="055FA4B0"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Solicitudes de la Comisión Interamericana. </w:t>
      </w:r>
      <w:r w:rsidRPr="0064597D">
        <w:rPr>
          <w:sz w:val="20"/>
          <w:szCs w:val="20"/>
        </w:rPr>
        <w:t xml:space="preserve">– Con base en lo anterior, la Comisión solicitó a la Corte que declarara la responsabilidad internacional del Estado por las mismas violaciones señaladas en su Informe de Fondo. Asimismo, la Comisión solicitó a la Corte que ordenara al Estado medidas de reparación, las cuales se detallan y analizan en el Capítulo </w:t>
      </w:r>
      <w:r w:rsidR="00A91B30" w:rsidRPr="0064597D">
        <w:rPr>
          <w:sz w:val="20"/>
          <w:szCs w:val="20"/>
        </w:rPr>
        <w:t>IX</w:t>
      </w:r>
      <w:r w:rsidRPr="0064597D">
        <w:rPr>
          <w:sz w:val="20"/>
          <w:szCs w:val="20"/>
        </w:rPr>
        <w:t xml:space="preserve"> de la presente Sentencia.</w:t>
      </w:r>
    </w:p>
    <w:p w14:paraId="2B83646C" w14:textId="77777777" w:rsidR="00731D3E" w:rsidRPr="0064597D" w:rsidRDefault="00731D3E" w:rsidP="002F4F08">
      <w:pPr>
        <w:pStyle w:val="Ttulo1"/>
      </w:pPr>
      <w:bookmarkStart w:id="2" w:name="_Toc24014526"/>
      <w:r w:rsidRPr="0064597D">
        <w:t>II</w:t>
      </w:r>
      <w:r w:rsidRPr="0064597D">
        <w:br/>
        <w:t>PROCEDIMIENTO ANTE LA CORTE</w:t>
      </w:r>
      <w:bookmarkEnd w:id="2"/>
    </w:p>
    <w:p w14:paraId="6AB05BCC" w14:textId="73AD1FC3"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Notificación a </w:t>
      </w:r>
      <w:r w:rsidR="00F115A2" w:rsidRPr="0064597D">
        <w:rPr>
          <w:i/>
          <w:sz w:val="20"/>
          <w:szCs w:val="20"/>
        </w:rPr>
        <w:t>las representantes</w:t>
      </w:r>
      <w:r w:rsidRPr="0064597D">
        <w:rPr>
          <w:i/>
          <w:sz w:val="20"/>
          <w:szCs w:val="20"/>
        </w:rPr>
        <w:t xml:space="preserve"> y al Estado. </w:t>
      </w:r>
      <w:r w:rsidRPr="0064597D">
        <w:rPr>
          <w:sz w:val="20"/>
          <w:szCs w:val="20"/>
        </w:rPr>
        <w:t xml:space="preserve">– El sometimiento del caso por parte de la Comisión fue notificado por la Corte a </w:t>
      </w:r>
      <w:r w:rsidR="00F115A2" w:rsidRPr="0064597D">
        <w:rPr>
          <w:sz w:val="20"/>
          <w:szCs w:val="20"/>
        </w:rPr>
        <w:t>las representantes</w:t>
      </w:r>
      <w:r w:rsidRPr="0064597D">
        <w:rPr>
          <w:sz w:val="20"/>
          <w:szCs w:val="20"/>
        </w:rPr>
        <w:t xml:space="preserve"> de las presuntas víctimas</w:t>
      </w:r>
      <w:r w:rsidRPr="0064597D">
        <w:rPr>
          <w:rStyle w:val="Refdenotaalpie"/>
          <w:sz w:val="20"/>
          <w:szCs w:val="20"/>
        </w:rPr>
        <w:footnoteReference w:id="8"/>
      </w:r>
      <w:r w:rsidRPr="0064597D">
        <w:rPr>
          <w:sz w:val="20"/>
          <w:szCs w:val="20"/>
        </w:rPr>
        <w:t xml:space="preserve"> (en adelante “</w:t>
      </w:r>
      <w:r w:rsidR="00F115A2" w:rsidRPr="0064597D">
        <w:rPr>
          <w:sz w:val="20"/>
          <w:szCs w:val="20"/>
        </w:rPr>
        <w:t>las representantes</w:t>
      </w:r>
      <w:r w:rsidRPr="0064597D">
        <w:rPr>
          <w:sz w:val="20"/>
          <w:szCs w:val="20"/>
        </w:rPr>
        <w:t>”) y al Estado el 12 de febrero de 2018.</w:t>
      </w:r>
      <w:r w:rsidRPr="0064597D">
        <w:rPr>
          <w:b/>
          <w:sz w:val="20"/>
          <w:szCs w:val="20"/>
        </w:rPr>
        <w:t xml:space="preserve"> </w:t>
      </w:r>
      <w:bookmarkStart w:id="3" w:name="para7"/>
    </w:p>
    <w:p w14:paraId="0ABE95C7" w14:textId="77777777" w:rsidR="00604E7C" w:rsidRPr="0064597D" w:rsidRDefault="00604E7C" w:rsidP="00604E7C">
      <w:pPr>
        <w:tabs>
          <w:tab w:val="left" w:pos="567"/>
        </w:tabs>
        <w:spacing w:line="240" w:lineRule="auto"/>
        <w:rPr>
          <w:sz w:val="20"/>
          <w:szCs w:val="20"/>
          <w:highlight w:val="yellow"/>
        </w:rPr>
      </w:pPr>
    </w:p>
    <w:p w14:paraId="4C849FA6" w14:textId="1CA390CE"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Escrito de solicitudes, argumentos y pruebas.</w:t>
      </w:r>
      <w:r w:rsidRPr="0064597D">
        <w:rPr>
          <w:sz w:val="20"/>
          <w:szCs w:val="20"/>
        </w:rPr>
        <w:t xml:space="preserve"> – El 13 de abril de 2018 </w:t>
      </w:r>
      <w:r w:rsidR="00F115A2" w:rsidRPr="0064597D">
        <w:rPr>
          <w:sz w:val="20"/>
          <w:szCs w:val="20"/>
        </w:rPr>
        <w:t>las representantes</w:t>
      </w:r>
      <w:r w:rsidRPr="0064597D">
        <w:rPr>
          <w:sz w:val="20"/>
          <w:szCs w:val="20"/>
        </w:rPr>
        <w:t xml:space="preserve"> presentaron ante la Corte su escrito de solicitudes, argumentos y pruebas (en adelante “escrito de solicitudes y argumentos” o “ESAP”). </w:t>
      </w:r>
      <w:r w:rsidR="00F115A2" w:rsidRPr="0064597D">
        <w:rPr>
          <w:sz w:val="20"/>
          <w:szCs w:val="20"/>
        </w:rPr>
        <w:t>Las representantes</w:t>
      </w:r>
      <w:r w:rsidRPr="0064597D">
        <w:rPr>
          <w:sz w:val="20"/>
          <w:szCs w:val="20"/>
        </w:rPr>
        <w:t xml:space="preserve"> coincidieron sustancialmente con los alegatos de la Comisión y solicitaron a la Corte que declarara la responsabilidad internacional del Estado por la violación de los mismos artículos alegados por la Comisión y, adicionalmente, la violación de los artículos 7.1, 7.2, 7.3, 7.4 y 7.5 en relación con el artículo 1.1 de la Convención Americana en perjuicio de Hu</w:t>
      </w:r>
      <w:r w:rsidR="006F5C3E" w:rsidRPr="0064597D">
        <w:rPr>
          <w:sz w:val="20"/>
          <w:szCs w:val="20"/>
        </w:rPr>
        <w:t xml:space="preserve">go Humberto Ruiz Fuentes. </w:t>
      </w:r>
      <w:r w:rsidRPr="0064597D">
        <w:rPr>
          <w:sz w:val="20"/>
          <w:szCs w:val="20"/>
        </w:rPr>
        <w:t>Asimismo, las</w:t>
      </w:r>
      <w:r w:rsidR="0035451B">
        <w:rPr>
          <w:sz w:val="20"/>
          <w:szCs w:val="20"/>
        </w:rPr>
        <w:t xml:space="preserve"> presuntas víctimas solicitaron</w:t>
      </w:r>
      <w:r w:rsidRPr="0064597D">
        <w:rPr>
          <w:sz w:val="20"/>
          <w:szCs w:val="20"/>
        </w:rPr>
        <w:t xml:space="preserve"> a través</w:t>
      </w:r>
      <w:r w:rsidR="0035451B">
        <w:rPr>
          <w:sz w:val="20"/>
          <w:szCs w:val="20"/>
        </w:rPr>
        <w:t xml:space="preserve"> de sus representantes acogerse</w:t>
      </w:r>
      <w:r w:rsidRPr="0064597D">
        <w:rPr>
          <w:sz w:val="20"/>
          <w:szCs w:val="20"/>
        </w:rPr>
        <w:t xml:space="preserve"> al Fondo de Asistencia Legal de Víctimas de la Corte Interamericana (en adelante “Fondo de Asistencia de la Corte” o el “Fondo”). Finalmente, solicitaron a la Corte que ordenara al Estado la adopción de diversas medidas de reparación y el reintegro de determinadas costas y gastos. </w:t>
      </w:r>
    </w:p>
    <w:bookmarkEnd w:id="3"/>
    <w:p w14:paraId="16ED9187" w14:textId="77777777" w:rsidR="00604E7C" w:rsidRPr="0064597D" w:rsidRDefault="00604E7C" w:rsidP="00604E7C">
      <w:pPr>
        <w:pStyle w:val="Prrafodelista"/>
        <w:spacing w:line="240" w:lineRule="auto"/>
        <w:rPr>
          <w:sz w:val="20"/>
          <w:szCs w:val="20"/>
          <w:highlight w:val="yellow"/>
        </w:rPr>
      </w:pPr>
    </w:p>
    <w:p w14:paraId="32F4A2F0" w14:textId="3A1BB687" w:rsidR="00604E7C" w:rsidRPr="0064597D" w:rsidRDefault="00604E7C" w:rsidP="00AB77A2">
      <w:pPr>
        <w:numPr>
          <w:ilvl w:val="0"/>
          <w:numId w:val="1"/>
        </w:numPr>
        <w:tabs>
          <w:tab w:val="left" w:pos="567"/>
          <w:tab w:val="num" w:pos="1569"/>
          <w:tab w:val="num" w:pos="12305"/>
        </w:tabs>
        <w:spacing w:line="240" w:lineRule="auto"/>
        <w:ind w:left="0" w:firstLine="0"/>
        <w:rPr>
          <w:sz w:val="20"/>
          <w:szCs w:val="20"/>
        </w:rPr>
      </w:pPr>
      <w:r w:rsidRPr="0064597D">
        <w:rPr>
          <w:i/>
          <w:sz w:val="20"/>
          <w:szCs w:val="20"/>
        </w:rPr>
        <w:t>Escrito de contestación.</w:t>
      </w:r>
      <w:r w:rsidRPr="0064597D">
        <w:rPr>
          <w:sz w:val="20"/>
          <w:szCs w:val="20"/>
        </w:rPr>
        <w:t xml:space="preserve"> </w:t>
      </w:r>
      <w:r w:rsidRPr="0064597D">
        <w:rPr>
          <w:i/>
          <w:sz w:val="20"/>
          <w:szCs w:val="20"/>
        </w:rPr>
        <w:t xml:space="preserve">– </w:t>
      </w:r>
      <w:r w:rsidRPr="0064597D">
        <w:rPr>
          <w:sz w:val="20"/>
          <w:szCs w:val="20"/>
        </w:rPr>
        <w:t xml:space="preserve">El 14 de agosto de 2018 el Estado presentó ante la Corte su escrito de contestación al sometimiento e informe de fondo de la Comisión Interamericana y al escrito de solicitudes, argumentos y pruebas de </w:t>
      </w:r>
      <w:r w:rsidR="00F115A2" w:rsidRPr="0064597D">
        <w:rPr>
          <w:sz w:val="20"/>
          <w:szCs w:val="20"/>
        </w:rPr>
        <w:t>las representantes</w:t>
      </w:r>
      <w:r w:rsidRPr="0064597D">
        <w:rPr>
          <w:sz w:val="20"/>
          <w:szCs w:val="20"/>
        </w:rPr>
        <w:t xml:space="preserve"> (en adelante “escrito de contestación”). En dicho escrito, el Estado interpuso una excepción preliminar de cosa juzgada y se opuso a las violaciones alegadas y a las solicitudes de medidas de reparación.</w:t>
      </w:r>
      <w:r w:rsidRPr="0064597D">
        <w:rPr>
          <w:b/>
          <w:sz w:val="20"/>
          <w:szCs w:val="20"/>
        </w:rPr>
        <w:t xml:space="preserve"> </w:t>
      </w:r>
    </w:p>
    <w:p w14:paraId="6E1BA22F" w14:textId="77777777" w:rsidR="00604E7C" w:rsidRPr="0064597D" w:rsidRDefault="00604E7C" w:rsidP="00604E7C">
      <w:pPr>
        <w:spacing w:line="240" w:lineRule="auto"/>
        <w:rPr>
          <w:sz w:val="20"/>
          <w:szCs w:val="20"/>
          <w:highlight w:val="yellow"/>
        </w:rPr>
      </w:pPr>
    </w:p>
    <w:p w14:paraId="1F963146" w14:textId="2D870F4D" w:rsidR="00604E7C" w:rsidRPr="0064597D" w:rsidRDefault="00604E7C" w:rsidP="00977E3C">
      <w:pPr>
        <w:numPr>
          <w:ilvl w:val="0"/>
          <w:numId w:val="1"/>
        </w:numPr>
        <w:tabs>
          <w:tab w:val="left" w:pos="567"/>
          <w:tab w:val="num" w:pos="1569"/>
          <w:tab w:val="num" w:pos="12305"/>
        </w:tabs>
        <w:spacing w:line="240" w:lineRule="auto"/>
        <w:ind w:left="0" w:firstLine="0"/>
        <w:rPr>
          <w:i/>
          <w:sz w:val="20"/>
          <w:szCs w:val="20"/>
        </w:rPr>
      </w:pPr>
      <w:r w:rsidRPr="0064597D">
        <w:rPr>
          <w:i/>
          <w:sz w:val="20"/>
          <w:szCs w:val="20"/>
        </w:rPr>
        <w:t>Observaciones a las excepciones preliminares.</w:t>
      </w:r>
      <w:r w:rsidRPr="0064597D">
        <w:rPr>
          <w:sz w:val="20"/>
          <w:szCs w:val="20"/>
        </w:rPr>
        <w:t xml:space="preserve"> </w:t>
      </w:r>
      <w:r w:rsidRPr="0064597D">
        <w:rPr>
          <w:i/>
          <w:sz w:val="20"/>
          <w:szCs w:val="20"/>
        </w:rPr>
        <w:t xml:space="preserve">– </w:t>
      </w:r>
      <w:r w:rsidRPr="0064597D">
        <w:rPr>
          <w:sz w:val="20"/>
          <w:szCs w:val="20"/>
        </w:rPr>
        <w:t xml:space="preserve">El 4 de octubre de 2018, la Comisión presentó </w:t>
      </w:r>
      <w:r w:rsidRPr="0064597D">
        <w:rPr>
          <w:sz w:val="20"/>
          <w:szCs w:val="20"/>
        </w:rPr>
        <w:lastRenderedPageBreak/>
        <w:t xml:space="preserve">sus observaciones a la excepción preliminar interpuesta por el Estado. El 18 octubre de 2018, </w:t>
      </w:r>
      <w:r w:rsidR="00F115A2" w:rsidRPr="0064597D">
        <w:rPr>
          <w:sz w:val="20"/>
          <w:szCs w:val="20"/>
        </w:rPr>
        <w:t>las representantes</w:t>
      </w:r>
      <w:r w:rsidRPr="0064597D">
        <w:rPr>
          <w:sz w:val="20"/>
          <w:szCs w:val="20"/>
        </w:rPr>
        <w:t xml:space="preserve"> presentaron sus </w:t>
      </w:r>
      <w:r w:rsidR="0035451B">
        <w:rPr>
          <w:sz w:val="20"/>
          <w:szCs w:val="20"/>
        </w:rPr>
        <w:t>respectivas observaciones.</w:t>
      </w:r>
    </w:p>
    <w:p w14:paraId="27F93EEB" w14:textId="77777777" w:rsidR="00FB6984" w:rsidRPr="0064597D" w:rsidRDefault="00FB6984" w:rsidP="00FB6984">
      <w:pPr>
        <w:tabs>
          <w:tab w:val="left" w:pos="567"/>
          <w:tab w:val="num" w:pos="12305"/>
        </w:tabs>
        <w:spacing w:line="240" w:lineRule="auto"/>
        <w:rPr>
          <w:i/>
          <w:sz w:val="20"/>
          <w:szCs w:val="20"/>
          <w:highlight w:val="yellow"/>
        </w:rPr>
      </w:pPr>
    </w:p>
    <w:p w14:paraId="5FED12CF" w14:textId="7F610C42"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Fondo de Asistencia Legal de Víctimas. </w:t>
      </w:r>
      <w:r w:rsidRPr="0064597D">
        <w:rPr>
          <w:sz w:val="20"/>
          <w:szCs w:val="20"/>
        </w:rPr>
        <w:t xml:space="preserve">– Mediante comunicación de la Secretaría de la Corte </w:t>
      </w:r>
      <w:r w:rsidR="0035451B">
        <w:rPr>
          <w:sz w:val="20"/>
          <w:szCs w:val="20"/>
        </w:rPr>
        <w:t>de</w:t>
      </w:r>
      <w:r w:rsidRPr="0064597D">
        <w:rPr>
          <w:sz w:val="20"/>
          <w:szCs w:val="20"/>
        </w:rPr>
        <w:t xml:space="preserve"> 12 de octubre de 2018 se declaró procedente la solicitud interpuesta por las presuntas víctimas, a través de sus representantes, para acogerse al Fondo de Asistencia de la Corte.</w:t>
      </w:r>
      <w:r w:rsidRPr="0064597D">
        <w:rPr>
          <w:b/>
          <w:sz w:val="20"/>
          <w:szCs w:val="20"/>
        </w:rPr>
        <w:t xml:space="preserve"> </w:t>
      </w:r>
    </w:p>
    <w:p w14:paraId="196E55BA" w14:textId="77777777" w:rsidR="00FB6984" w:rsidRPr="0064597D" w:rsidRDefault="00FB6984" w:rsidP="00FB6984">
      <w:pPr>
        <w:tabs>
          <w:tab w:val="left" w:pos="567"/>
        </w:tabs>
        <w:spacing w:line="240" w:lineRule="auto"/>
        <w:rPr>
          <w:b/>
          <w:sz w:val="20"/>
          <w:szCs w:val="20"/>
        </w:rPr>
      </w:pPr>
    </w:p>
    <w:p w14:paraId="44D3EEDB" w14:textId="0C3D256F" w:rsidR="00604E7C" w:rsidRPr="0064597D" w:rsidRDefault="00604E7C" w:rsidP="00B002D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Audiencia Pública. </w:t>
      </w:r>
      <w:r w:rsidRPr="0064597D">
        <w:rPr>
          <w:sz w:val="20"/>
          <w:szCs w:val="20"/>
        </w:rPr>
        <w:t>– Mediante Resolución de 14 de febrero de 2019</w:t>
      </w:r>
      <w:r w:rsidRPr="0064597D">
        <w:rPr>
          <w:rStyle w:val="Refdenotaalpie"/>
          <w:sz w:val="20"/>
          <w:szCs w:val="20"/>
        </w:rPr>
        <w:footnoteReference w:id="9"/>
      </w:r>
      <w:r w:rsidRPr="0064597D">
        <w:rPr>
          <w:sz w:val="20"/>
          <w:szCs w:val="20"/>
        </w:rPr>
        <w:t xml:space="preserve">, el Presidente convocó al Estado, a </w:t>
      </w:r>
      <w:r w:rsidR="00F115A2" w:rsidRPr="0064597D">
        <w:rPr>
          <w:sz w:val="20"/>
          <w:szCs w:val="20"/>
        </w:rPr>
        <w:t>las representantes</w:t>
      </w:r>
      <w:r w:rsidRPr="0064597D">
        <w:rPr>
          <w:sz w:val="20"/>
          <w:szCs w:val="20"/>
        </w:rPr>
        <w:t xml:space="preserve"> y a la Comisión Interamericana a una audiencia pública para recibir sus alegatos y observaciones finales orales sobre la excepción preliminar y eventuales fondo, reparaciones y costas, así como para recibir las declaraciones de una declarante y un testigo propuestos por </w:t>
      </w:r>
      <w:r w:rsidR="00F115A2" w:rsidRPr="0064597D">
        <w:rPr>
          <w:sz w:val="20"/>
          <w:szCs w:val="20"/>
        </w:rPr>
        <w:t>las representantes</w:t>
      </w:r>
      <w:r w:rsidRPr="0064597D">
        <w:rPr>
          <w:sz w:val="20"/>
          <w:szCs w:val="20"/>
        </w:rPr>
        <w:t xml:space="preserve"> y de tres peritos propuestos por </w:t>
      </w:r>
      <w:r w:rsidR="00F115A2" w:rsidRPr="0064597D">
        <w:rPr>
          <w:sz w:val="20"/>
          <w:szCs w:val="20"/>
        </w:rPr>
        <w:t>las representantes</w:t>
      </w:r>
      <w:r w:rsidRPr="0064597D">
        <w:rPr>
          <w:sz w:val="20"/>
          <w:szCs w:val="20"/>
        </w:rPr>
        <w:t xml:space="preserve"> y por la Comisión. La audiencia pública fue celebrada el 5 y 6 de marzo de 2019, durante el 130° Período Ordinario de Sesiones de la Corte, llevado a cabo en su sede</w:t>
      </w:r>
      <w:r w:rsidRPr="0064597D">
        <w:rPr>
          <w:rStyle w:val="Refdenotaalpie"/>
          <w:sz w:val="20"/>
          <w:szCs w:val="20"/>
        </w:rPr>
        <w:footnoteReference w:id="10"/>
      </w:r>
      <w:r w:rsidRPr="0064597D">
        <w:rPr>
          <w:sz w:val="20"/>
          <w:szCs w:val="20"/>
        </w:rPr>
        <w:t xml:space="preserve">. </w:t>
      </w:r>
    </w:p>
    <w:p w14:paraId="7C144A87" w14:textId="77777777" w:rsidR="008E7868" w:rsidRPr="0064597D" w:rsidRDefault="008E7868" w:rsidP="008E7868">
      <w:pPr>
        <w:tabs>
          <w:tab w:val="left" w:pos="567"/>
          <w:tab w:val="num" w:pos="12305"/>
        </w:tabs>
        <w:spacing w:line="240" w:lineRule="auto"/>
        <w:rPr>
          <w:sz w:val="20"/>
          <w:szCs w:val="20"/>
          <w:highlight w:val="yellow"/>
        </w:rPr>
      </w:pPr>
    </w:p>
    <w:p w14:paraId="042865F7" w14:textId="7F7B48AA" w:rsidR="00604E7C" w:rsidRPr="0064597D" w:rsidRDefault="008E7868" w:rsidP="00604E7C">
      <w:pPr>
        <w:numPr>
          <w:ilvl w:val="0"/>
          <w:numId w:val="1"/>
        </w:numPr>
        <w:tabs>
          <w:tab w:val="left" w:pos="567"/>
          <w:tab w:val="num" w:pos="1569"/>
          <w:tab w:val="num" w:pos="12305"/>
        </w:tabs>
        <w:spacing w:line="240" w:lineRule="auto"/>
        <w:ind w:left="0" w:firstLine="0"/>
        <w:rPr>
          <w:b/>
          <w:sz w:val="20"/>
          <w:szCs w:val="20"/>
        </w:rPr>
      </w:pPr>
      <w:r w:rsidRPr="0064597D">
        <w:rPr>
          <w:i/>
          <w:sz w:val="20"/>
          <w:szCs w:val="20"/>
        </w:rPr>
        <w:t>A</w:t>
      </w:r>
      <w:r w:rsidR="00604E7C" w:rsidRPr="0064597D">
        <w:rPr>
          <w:i/>
          <w:sz w:val="20"/>
          <w:szCs w:val="20"/>
        </w:rPr>
        <w:t xml:space="preserve">micus curiae. </w:t>
      </w:r>
      <w:r w:rsidR="00604E7C" w:rsidRPr="0064597D">
        <w:rPr>
          <w:sz w:val="20"/>
          <w:szCs w:val="20"/>
        </w:rPr>
        <w:t xml:space="preserve">– El 22 de marzo de 2019 el Tribunal recibió un escrito en calidad de </w:t>
      </w:r>
      <w:r w:rsidR="00604E7C" w:rsidRPr="0064597D">
        <w:rPr>
          <w:i/>
          <w:sz w:val="20"/>
          <w:szCs w:val="20"/>
        </w:rPr>
        <w:t>amicus curiae</w:t>
      </w:r>
      <w:r w:rsidR="00604E7C" w:rsidRPr="0064597D">
        <w:rPr>
          <w:sz w:val="20"/>
          <w:szCs w:val="20"/>
        </w:rPr>
        <w:t xml:space="preserve"> presentado por la Clínica de Derechos Humanos de la Facultad de Derecho de la Universidad de Santa Clara</w:t>
      </w:r>
      <w:r w:rsidR="00604E7C" w:rsidRPr="0064597D">
        <w:rPr>
          <w:rStyle w:val="Refdenotaalpie"/>
          <w:sz w:val="20"/>
          <w:szCs w:val="20"/>
        </w:rPr>
        <w:footnoteReference w:id="11"/>
      </w:r>
      <w:r w:rsidR="00604E7C" w:rsidRPr="0064597D">
        <w:rPr>
          <w:sz w:val="20"/>
          <w:szCs w:val="20"/>
        </w:rPr>
        <w:t xml:space="preserve">. </w:t>
      </w:r>
    </w:p>
    <w:p w14:paraId="1CDC63DD" w14:textId="77777777" w:rsidR="00604E7C" w:rsidRPr="0064597D" w:rsidRDefault="00604E7C" w:rsidP="00604E7C">
      <w:pPr>
        <w:tabs>
          <w:tab w:val="left" w:pos="567"/>
          <w:tab w:val="num" w:pos="12305"/>
        </w:tabs>
        <w:spacing w:line="240" w:lineRule="auto"/>
        <w:rPr>
          <w:sz w:val="20"/>
          <w:szCs w:val="20"/>
        </w:rPr>
      </w:pPr>
    </w:p>
    <w:p w14:paraId="4DEFD26D" w14:textId="659DD05A"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Alegatos y observaciones finales escritos. </w:t>
      </w:r>
      <w:r w:rsidRPr="0064597D">
        <w:rPr>
          <w:sz w:val="20"/>
          <w:szCs w:val="20"/>
        </w:rPr>
        <w:t xml:space="preserve">– El 5 de abril de 2019 </w:t>
      </w:r>
      <w:r w:rsidR="00F115A2" w:rsidRPr="0064597D">
        <w:rPr>
          <w:sz w:val="20"/>
          <w:szCs w:val="20"/>
        </w:rPr>
        <w:t>las representantes</w:t>
      </w:r>
      <w:r w:rsidRPr="0064597D">
        <w:rPr>
          <w:sz w:val="20"/>
          <w:szCs w:val="20"/>
        </w:rPr>
        <w:t xml:space="preserve"> y el Estado remitieron sus respectivos alegatos finales escritos, junto con determinados anexos, y la Comisión presentó sus observaciones finales escritas.</w:t>
      </w:r>
      <w:r w:rsidR="00DD4469">
        <w:rPr>
          <w:sz w:val="20"/>
          <w:szCs w:val="20"/>
        </w:rPr>
        <w:t xml:space="preserve">                        </w:t>
      </w:r>
    </w:p>
    <w:p w14:paraId="458CD5E0" w14:textId="77777777" w:rsidR="00B8112F" w:rsidRPr="0064597D" w:rsidRDefault="00B8112F" w:rsidP="00B8112F">
      <w:pPr>
        <w:tabs>
          <w:tab w:val="left" w:pos="567"/>
        </w:tabs>
        <w:spacing w:line="240" w:lineRule="auto"/>
        <w:rPr>
          <w:b/>
          <w:sz w:val="20"/>
          <w:szCs w:val="20"/>
        </w:rPr>
      </w:pPr>
    </w:p>
    <w:p w14:paraId="521FE736" w14:textId="44812B7D" w:rsidR="00604E7C" w:rsidRPr="0064597D" w:rsidRDefault="00604E7C" w:rsidP="00604E7C">
      <w:pPr>
        <w:numPr>
          <w:ilvl w:val="0"/>
          <w:numId w:val="1"/>
        </w:numPr>
        <w:tabs>
          <w:tab w:val="left" w:pos="567"/>
          <w:tab w:val="num" w:pos="1569"/>
          <w:tab w:val="num" w:pos="12305"/>
        </w:tabs>
        <w:spacing w:line="240" w:lineRule="auto"/>
        <w:ind w:left="0" w:firstLine="0"/>
        <w:rPr>
          <w:sz w:val="20"/>
          <w:szCs w:val="20"/>
        </w:rPr>
      </w:pPr>
      <w:r w:rsidRPr="0064597D">
        <w:rPr>
          <w:i/>
          <w:sz w:val="20"/>
          <w:szCs w:val="20"/>
        </w:rPr>
        <w:t xml:space="preserve">Deliberación del presente caso. </w:t>
      </w:r>
      <w:r w:rsidRPr="0064597D">
        <w:rPr>
          <w:sz w:val="20"/>
          <w:szCs w:val="20"/>
        </w:rPr>
        <w:t xml:space="preserve">– La Corte inició la deliberación de la presente Sentencia el </w:t>
      </w:r>
      <w:r w:rsidR="000678D0" w:rsidRPr="0064597D">
        <w:rPr>
          <w:sz w:val="20"/>
          <w:szCs w:val="20"/>
        </w:rPr>
        <w:t>9</w:t>
      </w:r>
      <w:r w:rsidRPr="0064597D">
        <w:rPr>
          <w:sz w:val="20"/>
          <w:szCs w:val="20"/>
        </w:rPr>
        <w:t xml:space="preserve"> de octubre de 2019.</w:t>
      </w:r>
    </w:p>
    <w:p w14:paraId="2CF5F57C" w14:textId="77777777" w:rsidR="00731D3E" w:rsidRPr="0064597D" w:rsidRDefault="00731D3E" w:rsidP="002F4F08">
      <w:pPr>
        <w:pStyle w:val="Ttulo1"/>
      </w:pPr>
      <w:bookmarkStart w:id="4" w:name="_Toc24014527"/>
      <w:r w:rsidRPr="0064597D">
        <w:t>III</w:t>
      </w:r>
      <w:r w:rsidRPr="0064597D">
        <w:br/>
        <w:t>COMPETENCIA</w:t>
      </w:r>
      <w:bookmarkEnd w:id="4"/>
    </w:p>
    <w:p w14:paraId="72D75AFA" w14:textId="77777777" w:rsidR="00731D3E" w:rsidRPr="0064597D" w:rsidRDefault="00E32DA9" w:rsidP="00E32DA9">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eastAsia="Batang"/>
          <w:sz w:val="20"/>
          <w:szCs w:val="20"/>
          <w:lang w:eastAsia="en-US"/>
        </w:rPr>
        <w:t xml:space="preserve">La Corte es competente para conocer el presente caso, en los términos del artículo 62.3 de la Convención, en razón de que Guatemala es Estado Parte de la Convención Americana desde el 25 de mayo de 1978 y reconoció la competencia contenciosa de la Corte el 9 de marzo de 1987. </w:t>
      </w:r>
    </w:p>
    <w:p w14:paraId="4ACA2D38" w14:textId="77777777" w:rsidR="00EA52BD" w:rsidRPr="0064597D" w:rsidRDefault="00EA52BD" w:rsidP="002F4F08">
      <w:pPr>
        <w:pStyle w:val="Ttulo1"/>
      </w:pPr>
      <w:bookmarkStart w:id="5" w:name="_Toc24014528"/>
      <w:bookmarkStart w:id="6" w:name="_Toc375062713"/>
      <w:bookmarkStart w:id="7" w:name="_Toc375140863"/>
      <w:bookmarkStart w:id="8" w:name="_Toc375504822"/>
      <w:bookmarkStart w:id="9" w:name="_Toc375560896"/>
      <w:bookmarkStart w:id="10" w:name="_Toc428369979"/>
      <w:bookmarkStart w:id="11" w:name="_Toc459158095"/>
      <w:bookmarkStart w:id="12" w:name="_Toc401931881"/>
      <w:bookmarkStart w:id="13" w:name="_Toc470180035"/>
      <w:bookmarkStart w:id="14" w:name="_Toc495658648"/>
      <w:r w:rsidRPr="0064597D">
        <w:t>IV</w:t>
      </w:r>
      <w:r w:rsidRPr="0064597D">
        <w:br/>
        <w:t>EXCEPCIÓN PRELIMINAR</w:t>
      </w:r>
      <w:bookmarkEnd w:id="5"/>
    </w:p>
    <w:p w14:paraId="493595AF" w14:textId="77777777" w:rsidR="007E1B0E" w:rsidRPr="0064597D" w:rsidRDefault="007E1B0E" w:rsidP="00377181">
      <w:pPr>
        <w:pStyle w:val="Ttulo2"/>
      </w:pPr>
      <w:bookmarkStart w:id="15" w:name="_Toc24014529"/>
      <w:r w:rsidRPr="0064597D">
        <w:t>A.</w:t>
      </w:r>
      <w:r w:rsidRPr="0064597D">
        <w:tab/>
      </w:r>
      <w:r w:rsidR="00C91517" w:rsidRPr="0064597D">
        <w:t>Alegatos de las partes y de la Comisión</w:t>
      </w:r>
      <w:bookmarkEnd w:id="15"/>
    </w:p>
    <w:p w14:paraId="7B16ADF6" w14:textId="68938F02" w:rsidR="007E1B0E" w:rsidRPr="0064597D" w:rsidRDefault="007E1B0E" w:rsidP="00EA52BD">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eastAsia="Batang"/>
          <w:sz w:val="20"/>
          <w:szCs w:val="20"/>
          <w:lang w:eastAsia="en-US"/>
        </w:rPr>
        <w:t xml:space="preserve">El </w:t>
      </w:r>
      <w:r w:rsidRPr="0064597D">
        <w:rPr>
          <w:rFonts w:eastAsia="Batang"/>
          <w:b/>
          <w:i/>
          <w:sz w:val="20"/>
          <w:szCs w:val="20"/>
          <w:lang w:eastAsia="en-US"/>
        </w:rPr>
        <w:t>Estado</w:t>
      </w:r>
      <w:r w:rsidRPr="0064597D">
        <w:rPr>
          <w:rFonts w:eastAsia="Batang"/>
          <w:sz w:val="20"/>
          <w:szCs w:val="20"/>
          <w:lang w:eastAsia="en-US"/>
        </w:rPr>
        <w:t xml:space="preserve"> adujo </w:t>
      </w:r>
      <w:r w:rsidR="0081210B" w:rsidRPr="0064597D">
        <w:rPr>
          <w:rFonts w:eastAsia="Batang"/>
          <w:sz w:val="20"/>
          <w:szCs w:val="20"/>
          <w:lang w:eastAsia="en-US"/>
        </w:rPr>
        <w:t xml:space="preserve">que las circunstancias suscitadas en el presente caso fueron apegadas a la normativa legal doméstica vigente en el momento de los hechos. Añadió que el procedimiento penal seguido contra el señor Ruiz Fuentes constituyó cosa juzgada, en la medida en que </w:t>
      </w:r>
      <w:r w:rsidR="002269FD" w:rsidRPr="0064597D">
        <w:rPr>
          <w:rFonts w:eastAsia="Batang"/>
          <w:sz w:val="20"/>
          <w:szCs w:val="20"/>
          <w:lang w:eastAsia="en-US"/>
        </w:rPr>
        <w:t>las representantes</w:t>
      </w:r>
      <w:r w:rsidR="0081210B" w:rsidRPr="0064597D">
        <w:rPr>
          <w:rFonts w:eastAsia="Batang"/>
          <w:sz w:val="20"/>
          <w:szCs w:val="20"/>
          <w:lang w:eastAsia="en-US"/>
        </w:rPr>
        <w:t xml:space="preserve"> de la presunta víctima agot</w:t>
      </w:r>
      <w:r w:rsidR="00AB77A2" w:rsidRPr="0064597D">
        <w:rPr>
          <w:rFonts w:eastAsia="Batang"/>
          <w:sz w:val="20"/>
          <w:szCs w:val="20"/>
          <w:lang w:eastAsia="en-US"/>
        </w:rPr>
        <w:t>aron</w:t>
      </w:r>
      <w:r w:rsidR="0081210B" w:rsidRPr="0064597D">
        <w:rPr>
          <w:rFonts w:eastAsia="Batang"/>
          <w:sz w:val="20"/>
          <w:szCs w:val="20"/>
          <w:lang w:eastAsia="en-US"/>
        </w:rPr>
        <w:t xml:space="preserve"> todos lo</w:t>
      </w:r>
      <w:r w:rsidR="00A73879" w:rsidRPr="0064597D">
        <w:rPr>
          <w:rFonts w:eastAsia="Batang"/>
          <w:sz w:val="20"/>
          <w:szCs w:val="20"/>
          <w:lang w:eastAsia="en-US"/>
        </w:rPr>
        <w:t>s</w:t>
      </w:r>
      <w:r w:rsidR="0081210B" w:rsidRPr="0064597D">
        <w:rPr>
          <w:rFonts w:eastAsia="Batang"/>
          <w:sz w:val="20"/>
          <w:szCs w:val="20"/>
          <w:lang w:eastAsia="en-US"/>
        </w:rPr>
        <w:t xml:space="preserve"> recursos de la normativa interna vigente al momento de </w:t>
      </w:r>
      <w:r w:rsidR="0081210B" w:rsidRPr="0064597D">
        <w:rPr>
          <w:rFonts w:eastAsia="Batang"/>
          <w:sz w:val="20"/>
          <w:szCs w:val="20"/>
          <w:lang w:eastAsia="en-US"/>
        </w:rPr>
        <w:lastRenderedPageBreak/>
        <w:t>los hechos y que los mismos fueron conocidos y resuelto</w:t>
      </w:r>
      <w:r w:rsidR="00070F7A" w:rsidRPr="0064597D">
        <w:rPr>
          <w:rFonts w:eastAsia="Batang"/>
          <w:sz w:val="20"/>
          <w:szCs w:val="20"/>
          <w:lang w:eastAsia="en-US"/>
        </w:rPr>
        <w:t>s</w:t>
      </w:r>
      <w:r w:rsidR="0081210B" w:rsidRPr="0064597D">
        <w:rPr>
          <w:rFonts w:eastAsia="Batang"/>
          <w:sz w:val="20"/>
          <w:szCs w:val="20"/>
          <w:lang w:eastAsia="en-US"/>
        </w:rPr>
        <w:t xml:space="preserve"> en el momento procesal oportuno por los órganos jurisdiccionales correspondientes.</w:t>
      </w:r>
      <w:r w:rsidR="009C2B82" w:rsidRPr="0064597D">
        <w:rPr>
          <w:rFonts w:eastAsia="Batang"/>
          <w:b/>
          <w:sz w:val="20"/>
          <w:szCs w:val="20"/>
          <w:lang w:eastAsia="en-US"/>
        </w:rPr>
        <w:t xml:space="preserve"> </w:t>
      </w:r>
      <w:r w:rsidR="009C2B82" w:rsidRPr="0064597D">
        <w:rPr>
          <w:rFonts w:eastAsia="Batang"/>
          <w:sz w:val="20"/>
          <w:szCs w:val="20"/>
          <w:lang w:eastAsia="en-US"/>
        </w:rPr>
        <w:t>Indicó además que en ningún momento ejecutó la condena a pena de muerte impuesta al señor Ruiz Fuentes, toda vez que la misma le fue conmutada por la pena máxima de privación de libertad.</w:t>
      </w:r>
      <w:r w:rsidR="00DB0443" w:rsidRPr="0064597D">
        <w:rPr>
          <w:rFonts w:eastAsia="Batang"/>
          <w:b/>
          <w:sz w:val="20"/>
          <w:szCs w:val="20"/>
          <w:lang w:eastAsia="en-US"/>
        </w:rPr>
        <w:t xml:space="preserve"> </w:t>
      </w:r>
    </w:p>
    <w:p w14:paraId="301CA377" w14:textId="77777777" w:rsidR="00D8280D" w:rsidRPr="0064597D" w:rsidRDefault="00D8280D" w:rsidP="00D8280D">
      <w:pPr>
        <w:tabs>
          <w:tab w:val="left" w:pos="567"/>
        </w:tabs>
        <w:spacing w:line="240" w:lineRule="auto"/>
        <w:rPr>
          <w:rFonts w:eastAsia="Batang"/>
          <w:sz w:val="20"/>
          <w:szCs w:val="20"/>
          <w:lang w:eastAsia="en-US"/>
        </w:rPr>
      </w:pPr>
    </w:p>
    <w:p w14:paraId="55B7D1B0" w14:textId="7FE2356F" w:rsidR="00D8280D" w:rsidRPr="0064597D" w:rsidRDefault="00D8280D" w:rsidP="00EA52BD">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eastAsia="Batang"/>
          <w:sz w:val="20"/>
          <w:szCs w:val="20"/>
          <w:lang w:eastAsia="en-US"/>
        </w:rPr>
        <w:t xml:space="preserve">La </w:t>
      </w:r>
      <w:r w:rsidRPr="0064597D">
        <w:rPr>
          <w:rFonts w:eastAsia="Batang"/>
          <w:b/>
          <w:i/>
          <w:sz w:val="20"/>
          <w:szCs w:val="20"/>
          <w:lang w:eastAsia="en-US"/>
        </w:rPr>
        <w:t>Comisión</w:t>
      </w:r>
      <w:r w:rsidRPr="0064597D">
        <w:rPr>
          <w:rFonts w:eastAsia="Batang"/>
          <w:sz w:val="20"/>
          <w:szCs w:val="20"/>
          <w:lang w:eastAsia="en-US"/>
        </w:rPr>
        <w:t xml:space="preserve"> consider</w:t>
      </w:r>
      <w:r w:rsidR="00CE307E" w:rsidRPr="0064597D">
        <w:rPr>
          <w:rFonts w:eastAsia="Batang"/>
          <w:sz w:val="20"/>
          <w:szCs w:val="20"/>
          <w:lang w:eastAsia="en-US"/>
        </w:rPr>
        <w:t xml:space="preserve">ó </w:t>
      </w:r>
      <w:r w:rsidRPr="0064597D">
        <w:rPr>
          <w:rFonts w:eastAsia="Batang"/>
          <w:sz w:val="20"/>
          <w:szCs w:val="20"/>
          <w:lang w:eastAsia="en-US"/>
        </w:rPr>
        <w:t>que el planteamiento del Estado no constituía una excepción preliminar, sino que se trata</w:t>
      </w:r>
      <w:r w:rsidR="00AB77A2" w:rsidRPr="0064597D">
        <w:rPr>
          <w:rFonts w:eastAsia="Batang"/>
          <w:sz w:val="20"/>
          <w:szCs w:val="20"/>
          <w:lang w:eastAsia="en-US"/>
        </w:rPr>
        <w:t>ba</w:t>
      </w:r>
      <w:r w:rsidRPr="0064597D">
        <w:rPr>
          <w:rFonts w:eastAsia="Batang"/>
          <w:sz w:val="20"/>
          <w:szCs w:val="20"/>
          <w:lang w:eastAsia="en-US"/>
        </w:rPr>
        <w:t xml:space="preserve"> de una cuestión que corresponde fundamentalmente al fondo. </w:t>
      </w:r>
    </w:p>
    <w:p w14:paraId="07F43564" w14:textId="77777777" w:rsidR="00CE307E" w:rsidRPr="0064597D" w:rsidRDefault="00CE307E" w:rsidP="00CE307E">
      <w:pPr>
        <w:tabs>
          <w:tab w:val="left" w:pos="567"/>
        </w:tabs>
        <w:spacing w:line="240" w:lineRule="auto"/>
        <w:rPr>
          <w:rFonts w:eastAsia="Batang"/>
          <w:sz w:val="20"/>
          <w:szCs w:val="20"/>
          <w:lang w:eastAsia="en-US"/>
        </w:rPr>
      </w:pPr>
    </w:p>
    <w:p w14:paraId="3EB0F8BF" w14:textId="2428F13E" w:rsidR="00CE307E" w:rsidRPr="0064597D" w:rsidRDefault="002269FD" w:rsidP="00EA52BD">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eastAsia="Batang"/>
          <w:sz w:val="20"/>
          <w:szCs w:val="20"/>
          <w:lang w:eastAsia="en-US"/>
        </w:rPr>
        <w:t xml:space="preserve">Las </w:t>
      </w:r>
      <w:r w:rsidRPr="0064597D">
        <w:rPr>
          <w:rFonts w:eastAsia="Batang"/>
          <w:b/>
          <w:i/>
          <w:sz w:val="20"/>
          <w:szCs w:val="20"/>
          <w:lang w:eastAsia="en-US"/>
        </w:rPr>
        <w:t>representantes</w:t>
      </w:r>
      <w:r w:rsidR="00CE307E" w:rsidRPr="0064597D">
        <w:rPr>
          <w:rFonts w:eastAsia="Batang"/>
          <w:sz w:val="20"/>
          <w:szCs w:val="20"/>
          <w:lang w:eastAsia="en-US"/>
        </w:rPr>
        <w:t xml:space="preserve"> se pronunciaron en el mismo sentido que la Comisión</w:t>
      </w:r>
      <w:r w:rsidR="00440CDD" w:rsidRPr="0064597D">
        <w:rPr>
          <w:rFonts w:eastAsia="Batang"/>
          <w:sz w:val="20"/>
          <w:szCs w:val="20"/>
          <w:lang w:eastAsia="en-US"/>
        </w:rPr>
        <w:t>.</w:t>
      </w:r>
      <w:r w:rsidR="00CE307E" w:rsidRPr="0064597D">
        <w:rPr>
          <w:rFonts w:eastAsia="Batang"/>
          <w:sz w:val="20"/>
          <w:szCs w:val="20"/>
          <w:lang w:eastAsia="en-US"/>
        </w:rPr>
        <w:t xml:space="preserve"> </w:t>
      </w:r>
    </w:p>
    <w:p w14:paraId="09638D08" w14:textId="77777777" w:rsidR="00C91517" w:rsidRPr="0064597D" w:rsidRDefault="00C91517" w:rsidP="00377181">
      <w:pPr>
        <w:pStyle w:val="Ttulo2"/>
      </w:pPr>
      <w:bookmarkStart w:id="16" w:name="_Toc24014530"/>
      <w:r w:rsidRPr="0064597D">
        <w:t>B.</w:t>
      </w:r>
      <w:r w:rsidRPr="0064597D">
        <w:tab/>
        <w:t>Consideraciones de la Corte</w:t>
      </w:r>
      <w:bookmarkEnd w:id="16"/>
    </w:p>
    <w:p w14:paraId="0F04F5FF" w14:textId="5C0AD493" w:rsidR="009C2B82" w:rsidRPr="0064597D" w:rsidRDefault="00A54911" w:rsidP="002F4F08">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cs="Arial"/>
          <w:sz w:val="20"/>
          <w:szCs w:val="20"/>
        </w:rPr>
        <w:t>La Corte recuerda que las excepciones preliminares son actos mediante los cuales un Estado busca, de manera previa, impedir el análisis del fondo de un asunto cuestionado, para lo cual puede plantear</w:t>
      </w:r>
      <w:r w:rsidR="008E7868" w:rsidRPr="0064597D">
        <w:rPr>
          <w:rFonts w:cs="Arial"/>
          <w:sz w:val="20"/>
          <w:szCs w:val="20"/>
        </w:rPr>
        <w:t xml:space="preserve"> </w:t>
      </w:r>
      <w:r w:rsidRPr="0064597D">
        <w:rPr>
          <w:rFonts w:cs="Arial"/>
          <w:sz w:val="20"/>
          <w:szCs w:val="20"/>
        </w:rPr>
        <w:t>la objeción de la admisibilidad de un caso o de la competencia del Tribunal para conocer de un determinado caso o de alguno de sus aspectos, ya sea en razón de la persona, materia, tiempo o lugar, siempre y cuando dichos planteamientos tengan el carácter de preliminares</w:t>
      </w:r>
      <w:r w:rsidR="00934FDC" w:rsidRPr="0064597D">
        <w:rPr>
          <w:rStyle w:val="Refdenotaalpie"/>
          <w:rFonts w:cs="Arial"/>
          <w:sz w:val="20"/>
          <w:szCs w:val="20"/>
        </w:rPr>
        <w:footnoteReference w:id="12"/>
      </w:r>
      <w:r w:rsidRPr="0064597D">
        <w:rPr>
          <w:rFonts w:cs="Arial"/>
          <w:sz w:val="20"/>
          <w:szCs w:val="20"/>
        </w:rPr>
        <w:t>. Si estos planteamientos no pudieran ser considerados sin entrar a analizar previamente el fondo de un caso, no pueden ser analizados mediante una excepción preliminar</w:t>
      </w:r>
      <w:r w:rsidR="00934FDC" w:rsidRPr="0064597D">
        <w:rPr>
          <w:rStyle w:val="Refdenotaalpie"/>
          <w:rFonts w:cs="Arial"/>
          <w:sz w:val="20"/>
          <w:szCs w:val="20"/>
        </w:rPr>
        <w:footnoteReference w:id="13"/>
      </w:r>
      <w:r w:rsidR="009C2B82" w:rsidRPr="0064597D">
        <w:rPr>
          <w:rFonts w:cs="Arial"/>
          <w:sz w:val="20"/>
          <w:szCs w:val="20"/>
        </w:rPr>
        <w:t>.</w:t>
      </w:r>
    </w:p>
    <w:p w14:paraId="4C5DDFCC" w14:textId="77777777" w:rsidR="009C2B82" w:rsidRPr="0064597D" w:rsidRDefault="009C2B82" w:rsidP="009C2B82">
      <w:pPr>
        <w:tabs>
          <w:tab w:val="left" w:pos="567"/>
          <w:tab w:val="num" w:pos="12305"/>
        </w:tabs>
        <w:spacing w:line="240" w:lineRule="auto"/>
        <w:rPr>
          <w:rFonts w:eastAsia="Batang"/>
          <w:sz w:val="20"/>
          <w:szCs w:val="20"/>
          <w:lang w:eastAsia="en-US"/>
        </w:rPr>
      </w:pPr>
    </w:p>
    <w:p w14:paraId="485F7CBC" w14:textId="49203CF5" w:rsidR="00CD6683" w:rsidRPr="0064597D" w:rsidRDefault="009C2B82" w:rsidP="009C2B82">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cs="Arial"/>
          <w:sz w:val="20"/>
          <w:szCs w:val="20"/>
        </w:rPr>
        <w:t>La Corte considera que</w:t>
      </w:r>
      <w:r w:rsidR="00BC2042" w:rsidRPr="0064597D">
        <w:rPr>
          <w:rFonts w:cs="Arial"/>
          <w:sz w:val="20"/>
          <w:szCs w:val="20"/>
        </w:rPr>
        <w:t xml:space="preserve"> el alegato presentado no configura una excepción preliminar</w:t>
      </w:r>
      <w:r w:rsidR="0035451B">
        <w:rPr>
          <w:rFonts w:cs="Arial"/>
          <w:sz w:val="20"/>
          <w:szCs w:val="20"/>
        </w:rPr>
        <w:t>,</w:t>
      </w:r>
      <w:r w:rsidR="00BC2042" w:rsidRPr="0064597D">
        <w:rPr>
          <w:rFonts w:cs="Arial"/>
          <w:sz w:val="20"/>
          <w:szCs w:val="20"/>
        </w:rPr>
        <w:t xml:space="preserve"> pues no expone razones por las cuales</w:t>
      </w:r>
      <w:r w:rsidR="008E7868" w:rsidRPr="0064597D">
        <w:rPr>
          <w:rFonts w:cs="Arial"/>
          <w:sz w:val="20"/>
          <w:szCs w:val="20"/>
        </w:rPr>
        <w:t xml:space="preserve"> el caso sometido sería inadmisible o</w:t>
      </w:r>
      <w:r w:rsidR="00BC2042" w:rsidRPr="0064597D">
        <w:rPr>
          <w:rFonts w:cs="Arial"/>
          <w:sz w:val="20"/>
          <w:szCs w:val="20"/>
        </w:rPr>
        <w:t xml:space="preserve"> la Corte incompetente para </w:t>
      </w:r>
      <w:r w:rsidR="008E7868" w:rsidRPr="0064597D">
        <w:rPr>
          <w:rFonts w:cs="Arial"/>
          <w:sz w:val="20"/>
          <w:szCs w:val="20"/>
        </w:rPr>
        <w:t>conocerlo</w:t>
      </w:r>
      <w:r w:rsidR="00BC2042" w:rsidRPr="0064597D">
        <w:rPr>
          <w:rFonts w:cs="Arial"/>
          <w:sz w:val="20"/>
          <w:szCs w:val="20"/>
        </w:rPr>
        <w:t xml:space="preserve">. </w:t>
      </w:r>
      <w:r w:rsidRPr="0064597D">
        <w:rPr>
          <w:rFonts w:cs="Arial"/>
          <w:sz w:val="20"/>
          <w:szCs w:val="20"/>
        </w:rPr>
        <w:t>Por todo lo anterior, el Tribunal declara sin lugar la excepción preliminar presentada por el Estado.</w:t>
      </w:r>
    </w:p>
    <w:p w14:paraId="12411A28" w14:textId="77777777" w:rsidR="00E32DA9" w:rsidRPr="0064597D" w:rsidRDefault="00176377" w:rsidP="002F4F08">
      <w:pPr>
        <w:pStyle w:val="Ttulo1"/>
      </w:pPr>
      <w:bookmarkStart w:id="17" w:name="_Toc24014531"/>
      <w:r w:rsidRPr="0064597D">
        <w:t>V</w:t>
      </w:r>
      <w:r w:rsidRPr="0064597D">
        <w:br/>
      </w:r>
      <w:bookmarkEnd w:id="6"/>
      <w:bookmarkEnd w:id="7"/>
      <w:bookmarkEnd w:id="8"/>
      <w:bookmarkEnd w:id="9"/>
      <w:bookmarkEnd w:id="10"/>
      <w:bookmarkEnd w:id="11"/>
      <w:bookmarkEnd w:id="12"/>
      <w:bookmarkEnd w:id="13"/>
      <w:bookmarkEnd w:id="14"/>
      <w:r w:rsidR="005C543F" w:rsidRPr="0064597D">
        <w:t>CONSIDERACIO</w:t>
      </w:r>
      <w:r w:rsidR="00E32DA9" w:rsidRPr="0064597D">
        <w:t>N</w:t>
      </w:r>
      <w:r w:rsidR="005C543F" w:rsidRPr="0064597D">
        <w:t>ES</w:t>
      </w:r>
      <w:r w:rsidR="00E32DA9" w:rsidRPr="0064597D">
        <w:t xml:space="preserve"> PREVIA</w:t>
      </w:r>
      <w:r w:rsidR="005C543F" w:rsidRPr="0064597D">
        <w:t>S</w:t>
      </w:r>
      <w:bookmarkEnd w:id="17"/>
    </w:p>
    <w:p w14:paraId="66952C8C" w14:textId="77777777" w:rsidR="00CA5E14" w:rsidRPr="0064597D" w:rsidRDefault="00CA5E14" w:rsidP="00377181">
      <w:pPr>
        <w:pStyle w:val="Ttulo2"/>
      </w:pPr>
      <w:bookmarkStart w:id="18" w:name="_Toc495658649"/>
      <w:bookmarkStart w:id="19" w:name="_Toc24014532"/>
      <w:r w:rsidRPr="0064597D">
        <w:t>A.</w:t>
      </w:r>
      <w:r w:rsidRPr="0064597D">
        <w:tab/>
      </w:r>
      <w:bookmarkEnd w:id="18"/>
      <w:r w:rsidRPr="0064597D">
        <w:t>Víctimas del presente caso</w:t>
      </w:r>
      <w:bookmarkEnd w:id="19"/>
    </w:p>
    <w:p w14:paraId="7F5C73FA" w14:textId="77777777" w:rsidR="00CA5E14" w:rsidRPr="0064597D" w:rsidRDefault="00CA5E14" w:rsidP="00377181">
      <w:pPr>
        <w:pStyle w:val="Ttulo3"/>
        <w:rPr>
          <w:lang w:eastAsia="en-US"/>
        </w:rPr>
      </w:pPr>
      <w:bookmarkStart w:id="20" w:name="_Toc15985484"/>
      <w:bookmarkStart w:id="21" w:name="_Toc24014533"/>
      <w:r w:rsidRPr="0064597D">
        <w:rPr>
          <w:lang w:eastAsia="en-US"/>
        </w:rPr>
        <w:t xml:space="preserve">a.1 </w:t>
      </w:r>
      <w:r w:rsidRPr="0064597D">
        <w:rPr>
          <w:lang w:eastAsia="en-US"/>
        </w:rPr>
        <w:tab/>
        <w:t xml:space="preserve">Alegatos del Estado, observaciones de </w:t>
      </w:r>
      <w:r w:rsidR="002269FD" w:rsidRPr="0064597D">
        <w:rPr>
          <w:lang w:eastAsia="en-US"/>
        </w:rPr>
        <w:t>las representantes</w:t>
      </w:r>
      <w:bookmarkEnd w:id="20"/>
      <w:bookmarkEnd w:id="21"/>
    </w:p>
    <w:p w14:paraId="06736A8D" w14:textId="22FE4E9B" w:rsidR="008078EC" w:rsidRPr="0064597D" w:rsidRDefault="00B002DC" w:rsidP="008078EC">
      <w:pPr>
        <w:numPr>
          <w:ilvl w:val="0"/>
          <w:numId w:val="1"/>
        </w:numPr>
        <w:tabs>
          <w:tab w:val="left" w:pos="567"/>
          <w:tab w:val="num" w:pos="1569"/>
          <w:tab w:val="num" w:pos="12305"/>
        </w:tabs>
        <w:spacing w:line="240" w:lineRule="auto"/>
        <w:ind w:left="0" w:firstLine="0"/>
        <w:rPr>
          <w:rFonts w:cs="Verdana"/>
          <w:sz w:val="20"/>
          <w:szCs w:val="20"/>
          <w:lang w:val="es-MX"/>
        </w:rPr>
      </w:pPr>
      <w:r w:rsidRPr="0064597D">
        <w:rPr>
          <w:bCs/>
          <w:iCs/>
          <w:sz w:val="20"/>
          <w:szCs w:val="20"/>
          <w:lang w:val="es-MX"/>
        </w:rPr>
        <w:t>E</w:t>
      </w:r>
      <w:r w:rsidR="00A73879" w:rsidRPr="0064597D">
        <w:rPr>
          <w:bCs/>
          <w:iCs/>
          <w:sz w:val="20"/>
          <w:szCs w:val="20"/>
          <w:lang w:val="es-MX"/>
        </w:rPr>
        <w:t xml:space="preserve">l </w:t>
      </w:r>
      <w:r w:rsidR="00E32DA9" w:rsidRPr="0064597D">
        <w:rPr>
          <w:b/>
          <w:bCs/>
          <w:i/>
          <w:iCs/>
          <w:sz w:val="20"/>
          <w:szCs w:val="20"/>
          <w:lang w:val="es-MX"/>
        </w:rPr>
        <w:t>Estado</w:t>
      </w:r>
      <w:r w:rsidR="00E32DA9" w:rsidRPr="0064597D">
        <w:rPr>
          <w:bCs/>
          <w:iCs/>
          <w:sz w:val="20"/>
          <w:szCs w:val="20"/>
          <w:lang w:val="es-MX"/>
        </w:rPr>
        <w:t xml:space="preserve"> presentó una objeción a la inclusión de determinados familiares del señor Ruiz Fuentes como presuntas víctimas en el caso. </w:t>
      </w:r>
      <w:r w:rsidR="008078EC" w:rsidRPr="0064597D">
        <w:rPr>
          <w:bCs/>
          <w:iCs/>
          <w:sz w:val="20"/>
          <w:szCs w:val="20"/>
          <w:lang w:val="es-MX"/>
        </w:rPr>
        <w:t xml:space="preserve">En particular, el Estado indicó que la Comisión identificó como única familiar a la </w:t>
      </w:r>
      <w:r w:rsidR="00FF35C1" w:rsidRPr="0064597D">
        <w:rPr>
          <w:sz w:val="20"/>
          <w:szCs w:val="20"/>
        </w:rPr>
        <w:t>hermana del señor Ruiz Fuentes</w:t>
      </w:r>
      <w:r w:rsidR="00FF35C1" w:rsidRPr="0064597D">
        <w:rPr>
          <w:bCs/>
          <w:iCs/>
          <w:sz w:val="20"/>
          <w:szCs w:val="20"/>
          <w:lang w:val="es-MX"/>
        </w:rPr>
        <w:t xml:space="preserve"> </w:t>
      </w:r>
      <w:r w:rsidR="008078EC" w:rsidRPr="0064597D">
        <w:rPr>
          <w:bCs/>
          <w:iCs/>
          <w:sz w:val="20"/>
          <w:szCs w:val="20"/>
          <w:lang w:val="es-MX"/>
        </w:rPr>
        <w:t>como víctima del presente caso, lo cual, de acuerdo con el Reglamento y la jurisprudencia de la Corte, les inhabilita para ser considerados como parte lesionada y, en consecuencia, ser considerados como beneficiarios de las eventuales medidas de reparación</w:t>
      </w:r>
      <w:r w:rsidR="000E3A01" w:rsidRPr="0064597D">
        <w:rPr>
          <w:bCs/>
          <w:iCs/>
          <w:sz w:val="20"/>
          <w:szCs w:val="20"/>
          <w:lang w:val="es-MX"/>
        </w:rPr>
        <w:t>.</w:t>
      </w:r>
      <w:r w:rsidR="008078EC" w:rsidRPr="0064597D">
        <w:rPr>
          <w:b/>
          <w:bCs/>
          <w:iCs/>
          <w:sz w:val="20"/>
          <w:szCs w:val="20"/>
          <w:lang w:val="es-MX"/>
        </w:rPr>
        <w:t xml:space="preserve"> </w:t>
      </w:r>
    </w:p>
    <w:p w14:paraId="10DC6136" w14:textId="77777777" w:rsidR="00CD6683" w:rsidRPr="0064597D" w:rsidRDefault="00CD6683" w:rsidP="00CD6683">
      <w:pPr>
        <w:tabs>
          <w:tab w:val="left" w:pos="567"/>
        </w:tabs>
        <w:spacing w:line="240" w:lineRule="auto"/>
        <w:rPr>
          <w:rFonts w:eastAsia="SimSun" w:cs="Verdana"/>
          <w:sz w:val="20"/>
          <w:szCs w:val="20"/>
          <w:highlight w:val="yellow"/>
          <w:lang w:val="es-MX"/>
        </w:rPr>
      </w:pPr>
    </w:p>
    <w:p w14:paraId="39AA9EA7" w14:textId="705F9DB7" w:rsidR="00B002DC" w:rsidRPr="0064597D" w:rsidRDefault="002269FD" w:rsidP="00B002DC">
      <w:pPr>
        <w:numPr>
          <w:ilvl w:val="0"/>
          <w:numId w:val="1"/>
        </w:numPr>
        <w:tabs>
          <w:tab w:val="left" w:pos="567"/>
          <w:tab w:val="num" w:pos="1569"/>
          <w:tab w:val="num" w:pos="12305"/>
        </w:tabs>
        <w:spacing w:line="240" w:lineRule="auto"/>
        <w:ind w:left="0" w:firstLine="0"/>
        <w:rPr>
          <w:rFonts w:eastAsia="SimSun" w:cs="Verdana"/>
          <w:sz w:val="20"/>
          <w:szCs w:val="20"/>
          <w:lang w:val="es-MX"/>
        </w:rPr>
      </w:pPr>
      <w:r w:rsidRPr="0064597D">
        <w:rPr>
          <w:rFonts w:eastAsia="SimSun" w:cs="Verdana"/>
          <w:sz w:val="20"/>
          <w:szCs w:val="20"/>
          <w:lang w:val="es-MX"/>
        </w:rPr>
        <w:t xml:space="preserve">Las </w:t>
      </w:r>
      <w:r w:rsidRPr="0064597D">
        <w:rPr>
          <w:rFonts w:eastAsia="SimSun" w:cs="Verdana"/>
          <w:b/>
          <w:i/>
          <w:sz w:val="20"/>
          <w:szCs w:val="20"/>
          <w:lang w:val="es-MX"/>
        </w:rPr>
        <w:t>representantes</w:t>
      </w:r>
      <w:r w:rsidR="00CD6683" w:rsidRPr="0064597D">
        <w:rPr>
          <w:rFonts w:eastAsia="SimSun" w:cs="Verdana"/>
          <w:b/>
          <w:i/>
          <w:sz w:val="20"/>
          <w:szCs w:val="20"/>
          <w:lang w:val="es-MX"/>
        </w:rPr>
        <w:t xml:space="preserve"> </w:t>
      </w:r>
      <w:r w:rsidR="00324E53" w:rsidRPr="0064597D">
        <w:rPr>
          <w:rFonts w:eastAsia="SimSun" w:cs="Verdana"/>
          <w:sz w:val="20"/>
          <w:szCs w:val="20"/>
          <w:lang w:val="es-MX"/>
        </w:rPr>
        <w:t xml:space="preserve">indicaron que los familiares del señor Ruiz Fuentes que deben ser considerados como víctimas del presente caso son </w:t>
      </w:r>
      <w:r w:rsidR="00FF35C1" w:rsidRPr="0064597D">
        <w:rPr>
          <w:sz w:val="20"/>
          <w:szCs w:val="20"/>
        </w:rPr>
        <w:t>la hermana del señor Ruiz Fuentes</w:t>
      </w:r>
      <w:r w:rsidR="00324E53" w:rsidRPr="0064597D">
        <w:rPr>
          <w:rFonts w:eastAsia="SimSun" w:cs="Verdana"/>
          <w:sz w:val="20"/>
          <w:szCs w:val="20"/>
          <w:lang w:val="es-MX"/>
        </w:rPr>
        <w:t>, W.E.R.V (hija</w:t>
      </w:r>
      <w:r w:rsidR="00FF35C1" w:rsidRPr="0064597D">
        <w:rPr>
          <w:rFonts w:eastAsia="SimSun" w:cs="Verdana"/>
          <w:sz w:val="20"/>
          <w:szCs w:val="20"/>
          <w:lang w:val="es-MX"/>
        </w:rPr>
        <w:t xml:space="preserve"> del señor Ruiz Fuentes</w:t>
      </w:r>
      <w:r w:rsidR="00324E53" w:rsidRPr="0064597D">
        <w:rPr>
          <w:rFonts w:eastAsia="SimSun" w:cs="Verdana"/>
          <w:sz w:val="20"/>
          <w:szCs w:val="20"/>
          <w:lang w:val="es-MX"/>
        </w:rPr>
        <w:t xml:space="preserve">) y </w:t>
      </w:r>
      <w:r w:rsidR="00384310" w:rsidRPr="0064597D">
        <w:rPr>
          <w:rFonts w:eastAsia="SimSun" w:cs="Verdana"/>
          <w:sz w:val="20"/>
          <w:szCs w:val="20"/>
          <w:lang w:val="es-MX"/>
        </w:rPr>
        <w:t xml:space="preserve">A.M.V. </w:t>
      </w:r>
      <w:r w:rsidR="00324E53" w:rsidRPr="0064597D">
        <w:rPr>
          <w:rFonts w:eastAsia="SimSun" w:cs="Verdana"/>
          <w:sz w:val="20"/>
          <w:szCs w:val="20"/>
          <w:lang w:val="es-MX"/>
        </w:rPr>
        <w:t>(</w:t>
      </w:r>
      <w:r w:rsidR="00FF35C1" w:rsidRPr="0064597D">
        <w:rPr>
          <w:rFonts w:eastAsia="SimSun" w:cs="Verdana"/>
          <w:sz w:val="20"/>
          <w:szCs w:val="20"/>
          <w:lang w:val="es-MX"/>
        </w:rPr>
        <w:t xml:space="preserve">su </w:t>
      </w:r>
      <w:r w:rsidR="00324E53" w:rsidRPr="0064597D">
        <w:rPr>
          <w:rFonts w:eastAsia="SimSun" w:cs="Verdana"/>
          <w:sz w:val="20"/>
          <w:szCs w:val="20"/>
          <w:lang w:val="es-MX"/>
        </w:rPr>
        <w:t xml:space="preserve">pareja). Indicaron que la Comisión reconoce expresamente como víctima en su Informe de Fondo a </w:t>
      </w:r>
      <w:r w:rsidR="00FF35C1" w:rsidRPr="0064597D">
        <w:rPr>
          <w:sz w:val="20"/>
          <w:szCs w:val="20"/>
        </w:rPr>
        <w:t>la hermana del señor Ruiz Fuentes</w:t>
      </w:r>
      <w:r w:rsidR="00384310" w:rsidRPr="0064597D">
        <w:rPr>
          <w:sz w:val="20"/>
          <w:szCs w:val="20"/>
        </w:rPr>
        <w:t>.</w:t>
      </w:r>
      <w:r w:rsidR="00324E53" w:rsidRPr="0064597D">
        <w:rPr>
          <w:rFonts w:eastAsia="SimSun" w:cs="Verdana"/>
          <w:sz w:val="20"/>
          <w:szCs w:val="20"/>
          <w:lang w:val="es-MX"/>
        </w:rPr>
        <w:t xml:space="preserve"> Con respecto a los dos familiares restantes, argumentaron que lograron localizarles de </w:t>
      </w:r>
      <w:r w:rsidR="00324E53" w:rsidRPr="0064597D">
        <w:rPr>
          <w:bCs/>
          <w:iCs/>
          <w:sz w:val="20"/>
          <w:szCs w:val="20"/>
          <w:lang w:val="es-MX"/>
        </w:rPr>
        <w:t>manera</w:t>
      </w:r>
      <w:r w:rsidR="00324E53" w:rsidRPr="0064597D">
        <w:rPr>
          <w:rFonts w:eastAsia="SimSun" w:cs="Verdana"/>
          <w:sz w:val="20"/>
          <w:szCs w:val="20"/>
          <w:lang w:val="es-MX"/>
        </w:rPr>
        <w:t xml:space="preserve"> posterior al sometimiento del caso ante la Corte, y obtuvieron los poderes de representación correspondientes. </w:t>
      </w:r>
      <w:r w:rsidR="00324E53" w:rsidRPr="0064597D">
        <w:rPr>
          <w:bCs/>
          <w:iCs/>
          <w:sz w:val="20"/>
          <w:szCs w:val="20"/>
          <w:lang w:val="es-MX"/>
        </w:rPr>
        <w:t xml:space="preserve">En sus alegatos finales escritos </w:t>
      </w:r>
      <w:r w:rsidRPr="0064597D">
        <w:rPr>
          <w:bCs/>
          <w:iCs/>
          <w:sz w:val="20"/>
          <w:szCs w:val="20"/>
          <w:lang w:val="es-MX"/>
        </w:rPr>
        <w:t>las representantes</w:t>
      </w:r>
      <w:r w:rsidR="00324E53" w:rsidRPr="0064597D">
        <w:rPr>
          <w:bCs/>
          <w:iCs/>
          <w:sz w:val="20"/>
          <w:szCs w:val="20"/>
          <w:lang w:val="es-MX"/>
        </w:rPr>
        <w:t xml:space="preserve"> indicaron</w:t>
      </w:r>
      <w:r w:rsidR="007012D7" w:rsidRPr="0064597D">
        <w:rPr>
          <w:bCs/>
          <w:iCs/>
          <w:sz w:val="20"/>
          <w:szCs w:val="20"/>
          <w:lang w:val="es-MX"/>
        </w:rPr>
        <w:t xml:space="preserve"> que esta falta de identificación se debió al temor por la falta de seguridad que les generaba participar en el proceso de búsqueda de justicia y ante la Corte</w:t>
      </w:r>
      <w:r w:rsidR="000E3A01" w:rsidRPr="0064597D">
        <w:rPr>
          <w:bCs/>
          <w:iCs/>
          <w:sz w:val="20"/>
          <w:szCs w:val="20"/>
          <w:lang w:val="es-MX"/>
        </w:rPr>
        <w:t>.</w:t>
      </w:r>
      <w:r w:rsidR="007012D7" w:rsidRPr="0064597D">
        <w:rPr>
          <w:bCs/>
          <w:iCs/>
          <w:sz w:val="20"/>
          <w:szCs w:val="20"/>
          <w:lang w:val="es-MX"/>
        </w:rPr>
        <w:t xml:space="preserve"> Las representantes consideraron que las circunstancias descritas ameritan que la Corte adopte una </w:t>
      </w:r>
      <w:r w:rsidR="007012D7" w:rsidRPr="0064597D">
        <w:rPr>
          <w:bCs/>
          <w:iCs/>
          <w:sz w:val="20"/>
          <w:szCs w:val="20"/>
          <w:lang w:val="es-MX"/>
        </w:rPr>
        <w:lastRenderedPageBreak/>
        <w:t>posición flexible en lo que se refiere a la determinación de las víctimas de este caso.</w:t>
      </w:r>
      <w:r w:rsidR="007012D7" w:rsidRPr="0064597D">
        <w:rPr>
          <w:b/>
          <w:bCs/>
          <w:iCs/>
          <w:sz w:val="20"/>
          <w:szCs w:val="20"/>
          <w:lang w:val="es-MX"/>
        </w:rPr>
        <w:t xml:space="preserve"> </w:t>
      </w:r>
    </w:p>
    <w:p w14:paraId="03B91CC3" w14:textId="77777777" w:rsidR="00B002DC" w:rsidRPr="0064597D" w:rsidRDefault="00B002DC" w:rsidP="00B002DC">
      <w:pPr>
        <w:tabs>
          <w:tab w:val="left" w:pos="567"/>
        </w:tabs>
        <w:spacing w:line="240" w:lineRule="auto"/>
        <w:rPr>
          <w:rFonts w:eastAsia="SimSun" w:cs="Verdana"/>
          <w:sz w:val="20"/>
          <w:szCs w:val="20"/>
          <w:lang w:val="es-MX"/>
        </w:rPr>
      </w:pPr>
    </w:p>
    <w:p w14:paraId="6E25042B" w14:textId="619530ED" w:rsidR="00B002DC" w:rsidRPr="0064597D" w:rsidRDefault="00B002DC" w:rsidP="00B002DC">
      <w:pPr>
        <w:numPr>
          <w:ilvl w:val="0"/>
          <w:numId w:val="1"/>
        </w:numPr>
        <w:tabs>
          <w:tab w:val="left" w:pos="567"/>
          <w:tab w:val="num" w:pos="1569"/>
          <w:tab w:val="num" w:pos="12305"/>
        </w:tabs>
        <w:spacing w:line="240" w:lineRule="auto"/>
        <w:ind w:left="0" w:firstLine="0"/>
        <w:rPr>
          <w:rFonts w:eastAsia="SimSun" w:cs="Verdana"/>
          <w:sz w:val="20"/>
          <w:szCs w:val="20"/>
          <w:lang w:val="es-MX"/>
        </w:rPr>
      </w:pPr>
      <w:r w:rsidRPr="0064597D">
        <w:rPr>
          <w:rFonts w:eastAsia="SimSun" w:cs="Verdana"/>
          <w:sz w:val="20"/>
          <w:szCs w:val="20"/>
          <w:lang w:val="es-MX"/>
        </w:rPr>
        <w:t xml:space="preserve">La </w:t>
      </w:r>
      <w:r w:rsidRPr="0064597D">
        <w:rPr>
          <w:rFonts w:eastAsia="SimSun" w:cs="Verdana"/>
          <w:b/>
          <w:i/>
          <w:sz w:val="20"/>
          <w:szCs w:val="20"/>
          <w:lang w:val="es-MX"/>
        </w:rPr>
        <w:t>Comisión</w:t>
      </w:r>
      <w:r w:rsidRPr="0064597D">
        <w:rPr>
          <w:rFonts w:eastAsia="SimSun" w:cs="Verdana"/>
          <w:sz w:val="20"/>
          <w:szCs w:val="20"/>
          <w:lang w:val="es-MX"/>
        </w:rPr>
        <w:t xml:space="preserve"> no </w:t>
      </w:r>
      <w:r w:rsidRPr="0064597D">
        <w:rPr>
          <w:rFonts w:eastAsia="Batang"/>
          <w:sz w:val="20"/>
          <w:szCs w:val="20"/>
          <w:lang w:eastAsia="en-US"/>
        </w:rPr>
        <w:t>presentó</w:t>
      </w:r>
      <w:r w:rsidRPr="0064597D">
        <w:rPr>
          <w:rFonts w:eastAsia="SimSun" w:cs="Verdana"/>
          <w:sz w:val="20"/>
          <w:szCs w:val="20"/>
          <w:lang w:val="es-MX"/>
        </w:rPr>
        <w:t xml:space="preserve"> observaciones a este respecto. </w:t>
      </w:r>
    </w:p>
    <w:p w14:paraId="3B3418D1" w14:textId="093904BA" w:rsidR="00CA5E14" w:rsidRPr="0064597D" w:rsidRDefault="0050411F" w:rsidP="00377181">
      <w:pPr>
        <w:pStyle w:val="Ttulo3"/>
        <w:rPr>
          <w:lang w:eastAsia="en-US"/>
        </w:rPr>
      </w:pPr>
      <w:bookmarkStart w:id="22" w:name="_Toc15985485"/>
      <w:bookmarkStart w:id="23" w:name="_Toc24014534"/>
      <w:r w:rsidRPr="0064597D">
        <w:rPr>
          <w:lang w:eastAsia="en-US"/>
        </w:rPr>
        <w:t>a</w:t>
      </w:r>
      <w:r w:rsidR="00CA5E14" w:rsidRPr="0064597D">
        <w:rPr>
          <w:lang w:eastAsia="en-US"/>
        </w:rPr>
        <w:t xml:space="preserve">.2 </w:t>
      </w:r>
      <w:r w:rsidR="00CA5E14" w:rsidRPr="0064597D">
        <w:rPr>
          <w:lang w:eastAsia="en-US"/>
        </w:rPr>
        <w:tab/>
        <w:t>Consideraciones de la Corte</w:t>
      </w:r>
      <w:bookmarkEnd w:id="22"/>
      <w:bookmarkEnd w:id="23"/>
    </w:p>
    <w:p w14:paraId="614252DE" w14:textId="77777777" w:rsidR="0053644F" w:rsidRPr="0064597D" w:rsidRDefault="0053644F" w:rsidP="0053644F">
      <w:pPr>
        <w:numPr>
          <w:ilvl w:val="0"/>
          <w:numId w:val="1"/>
        </w:numPr>
        <w:tabs>
          <w:tab w:val="left" w:pos="567"/>
          <w:tab w:val="num" w:pos="1569"/>
          <w:tab w:val="num" w:pos="12305"/>
        </w:tabs>
        <w:spacing w:line="240" w:lineRule="auto"/>
        <w:ind w:left="0" w:firstLine="0"/>
        <w:rPr>
          <w:rFonts w:eastAsia="Batang"/>
          <w:sz w:val="20"/>
          <w:szCs w:val="20"/>
          <w:lang w:eastAsia="en-US"/>
        </w:rPr>
      </w:pPr>
      <w:r w:rsidRPr="0064597D">
        <w:rPr>
          <w:rFonts w:eastAsia="Batang"/>
          <w:sz w:val="20"/>
          <w:szCs w:val="20"/>
          <w:lang w:eastAsia="en-US"/>
        </w:rPr>
        <w:t>Con relación a la identificación de presuntas víctimas, la Corte recuerda que 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Pr="0064597D">
        <w:rPr>
          <w:rFonts w:eastAsia="Batang"/>
          <w:sz w:val="20"/>
          <w:szCs w:val="20"/>
          <w:vertAlign w:val="superscript"/>
          <w:lang w:eastAsia="en-US"/>
        </w:rPr>
        <w:footnoteReference w:id="14"/>
      </w:r>
      <w:r w:rsidRPr="0064597D">
        <w:rPr>
          <w:rFonts w:eastAsia="Batang"/>
          <w:sz w:val="20"/>
          <w:szCs w:val="20"/>
          <w:lang w:eastAsia="en-US"/>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64597D">
        <w:rPr>
          <w:rFonts w:eastAsia="Batang"/>
          <w:sz w:val="20"/>
          <w:szCs w:val="20"/>
          <w:vertAlign w:val="superscript"/>
          <w:lang w:eastAsia="en-US"/>
        </w:rPr>
        <w:footnoteReference w:id="15"/>
      </w:r>
      <w:r w:rsidRPr="0064597D">
        <w:rPr>
          <w:rFonts w:eastAsia="Batang"/>
          <w:sz w:val="20"/>
          <w:szCs w:val="20"/>
          <w:lang w:eastAsia="en-US"/>
        </w:rPr>
        <w:t>.</w:t>
      </w:r>
    </w:p>
    <w:p w14:paraId="4871ED0F" w14:textId="77777777" w:rsidR="007063B0" w:rsidRPr="0064597D" w:rsidRDefault="007063B0" w:rsidP="007063B0">
      <w:pPr>
        <w:tabs>
          <w:tab w:val="left" w:pos="567"/>
        </w:tabs>
        <w:spacing w:line="240" w:lineRule="auto"/>
        <w:rPr>
          <w:rFonts w:eastAsia="Batang"/>
          <w:sz w:val="20"/>
          <w:szCs w:val="20"/>
          <w:highlight w:val="yellow"/>
          <w:lang w:eastAsia="en-US"/>
        </w:rPr>
      </w:pPr>
    </w:p>
    <w:p w14:paraId="55A02D31" w14:textId="4B2E7BAB" w:rsidR="0000748D" w:rsidRPr="0064597D" w:rsidRDefault="0000748D" w:rsidP="0000748D">
      <w:pPr>
        <w:numPr>
          <w:ilvl w:val="0"/>
          <w:numId w:val="1"/>
        </w:numPr>
        <w:tabs>
          <w:tab w:val="left" w:pos="567"/>
          <w:tab w:val="num" w:pos="12305"/>
        </w:tabs>
        <w:spacing w:line="240" w:lineRule="auto"/>
        <w:ind w:left="0" w:firstLine="0"/>
        <w:rPr>
          <w:rFonts w:eastAsia="Verdana" w:cs="Verdana"/>
          <w:sz w:val="20"/>
          <w:szCs w:val="20"/>
        </w:rPr>
      </w:pPr>
      <w:r w:rsidRPr="0064597D">
        <w:rPr>
          <w:rFonts w:eastAsia="Verdana" w:cs="Verdana"/>
          <w:sz w:val="20"/>
          <w:szCs w:val="20"/>
        </w:rPr>
        <w:t>En el presente caso la Corte constata que no se configura alguna de las excepciones previstas en el artículo 35.2 del Reglamento de la Corte. En consecuencia, en razón de</w:t>
      </w:r>
      <w:r w:rsidR="00862003" w:rsidRPr="0064597D">
        <w:rPr>
          <w:rFonts w:eastAsia="Verdana" w:cs="Verdana"/>
          <w:sz w:val="20"/>
          <w:szCs w:val="20"/>
        </w:rPr>
        <w:t xml:space="preserve"> </w:t>
      </w:r>
      <w:r w:rsidR="00862003" w:rsidRPr="0064597D">
        <w:rPr>
          <w:rFonts w:eastAsia="Verdana" w:cs="Verdana"/>
          <w:bCs/>
          <w:sz w:val="20"/>
          <w:szCs w:val="20"/>
        </w:rPr>
        <w:t xml:space="preserve">lo </w:t>
      </w:r>
      <w:r w:rsidR="001B51E0" w:rsidRPr="0064597D">
        <w:rPr>
          <w:rFonts w:eastAsia="Verdana" w:cs="Verdana"/>
          <w:bCs/>
          <w:sz w:val="20"/>
          <w:szCs w:val="20"/>
        </w:rPr>
        <w:t>dispuesto</w:t>
      </w:r>
      <w:r w:rsidR="001B51E0" w:rsidRPr="0064597D">
        <w:rPr>
          <w:rFonts w:eastAsia="Verdana" w:cs="Verdana"/>
          <w:b/>
          <w:sz w:val="20"/>
          <w:szCs w:val="20"/>
        </w:rPr>
        <w:t xml:space="preserve"> </w:t>
      </w:r>
      <w:r w:rsidRPr="0064597D">
        <w:rPr>
          <w:rFonts w:eastAsia="Verdana" w:cs="Verdana"/>
          <w:sz w:val="20"/>
          <w:szCs w:val="20"/>
        </w:rPr>
        <w:t>en el artículo 35.1 del Reglamento y los precedentes sobre los que este Tribunal se ha pronunciado al respecto</w:t>
      </w:r>
      <w:r w:rsidR="00B002DC" w:rsidRPr="0064597D">
        <w:rPr>
          <w:rStyle w:val="Refdenotaalpie"/>
          <w:rFonts w:eastAsia="Verdana" w:cs="Verdana"/>
          <w:sz w:val="20"/>
          <w:szCs w:val="20"/>
        </w:rPr>
        <w:footnoteReference w:id="16"/>
      </w:r>
      <w:r w:rsidRPr="0064597D">
        <w:rPr>
          <w:rFonts w:eastAsia="Verdana" w:cs="Verdana"/>
          <w:sz w:val="20"/>
          <w:szCs w:val="20"/>
        </w:rPr>
        <w:t xml:space="preserve">, la Corte concluye que solo se considerará </w:t>
      </w:r>
      <w:r w:rsidR="002269FD" w:rsidRPr="0064597D">
        <w:rPr>
          <w:rFonts w:eastAsia="Verdana" w:cs="Verdana"/>
          <w:sz w:val="20"/>
          <w:szCs w:val="20"/>
        </w:rPr>
        <w:t>al señor Hugo Humberto Ruiz Fuentes y a su hermana</w:t>
      </w:r>
      <w:r w:rsidR="00FF35C1" w:rsidRPr="0064597D">
        <w:rPr>
          <w:rFonts w:eastAsia="Verdana" w:cs="Verdana"/>
          <w:sz w:val="20"/>
          <w:szCs w:val="20"/>
        </w:rPr>
        <w:t xml:space="preserve"> </w:t>
      </w:r>
      <w:r w:rsidR="002269FD" w:rsidRPr="0064597D">
        <w:rPr>
          <w:rFonts w:eastAsia="Verdana" w:cs="Verdana"/>
          <w:sz w:val="20"/>
          <w:szCs w:val="20"/>
        </w:rPr>
        <w:t>como</w:t>
      </w:r>
      <w:r w:rsidRPr="0064597D">
        <w:rPr>
          <w:rFonts w:eastAsia="Verdana" w:cs="Verdana"/>
          <w:sz w:val="20"/>
          <w:szCs w:val="20"/>
        </w:rPr>
        <w:t xml:space="preserve"> presunta</w:t>
      </w:r>
      <w:r w:rsidR="002269FD" w:rsidRPr="0064597D">
        <w:rPr>
          <w:rFonts w:eastAsia="Verdana" w:cs="Verdana"/>
          <w:sz w:val="20"/>
          <w:szCs w:val="20"/>
        </w:rPr>
        <w:t>s víctima</w:t>
      </w:r>
      <w:r w:rsidR="00070F7A" w:rsidRPr="0064597D">
        <w:rPr>
          <w:rFonts w:eastAsia="Verdana" w:cs="Verdana"/>
          <w:sz w:val="20"/>
          <w:szCs w:val="20"/>
        </w:rPr>
        <w:t>s</w:t>
      </w:r>
      <w:r w:rsidR="002269FD" w:rsidRPr="0064597D">
        <w:rPr>
          <w:rFonts w:eastAsia="Verdana" w:cs="Verdana"/>
          <w:sz w:val="20"/>
          <w:szCs w:val="20"/>
        </w:rPr>
        <w:t xml:space="preserve"> en</w:t>
      </w:r>
      <w:r w:rsidR="00070F7A" w:rsidRPr="0064597D">
        <w:rPr>
          <w:rFonts w:eastAsia="Verdana" w:cs="Verdana"/>
          <w:sz w:val="20"/>
          <w:szCs w:val="20"/>
        </w:rPr>
        <w:t xml:space="preserve"> el</w:t>
      </w:r>
      <w:r w:rsidR="002269FD" w:rsidRPr="0064597D">
        <w:rPr>
          <w:rFonts w:eastAsia="Verdana" w:cs="Verdana"/>
          <w:sz w:val="20"/>
          <w:szCs w:val="20"/>
        </w:rPr>
        <w:t xml:space="preserve"> presente caso, no correspondiendo a</w:t>
      </w:r>
      <w:r w:rsidRPr="0064597D">
        <w:rPr>
          <w:rFonts w:eastAsia="Verdana" w:cs="Verdana"/>
          <w:sz w:val="20"/>
          <w:szCs w:val="20"/>
        </w:rPr>
        <w:t xml:space="preserve">dmitir a </w:t>
      </w:r>
      <w:r w:rsidR="002269FD" w:rsidRPr="0064597D">
        <w:rPr>
          <w:rFonts w:eastAsia="Verdana" w:cs="Verdana"/>
          <w:sz w:val="20"/>
          <w:szCs w:val="20"/>
        </w:rPr>
        <w:t xml:space="preserve">los restantes </w:t>
      </w:r>
      <w:r w:rsidRPr="0064597D">
        <w:rPr>
          <w:rFonts w:eastAsia="Verdana" w:cs="Verdana"/>
          <w:sz w:val="20"/>
          <w:szCs w:val="20"/>
        </w:rPr>
        <w:t>familiares como presuntas víctimas.</w:t>
      </w:r>
    </w:p>
    <w:p w14:paraId="023E8A6A" w14:textId="76C6961B" w:rsidR="00CA5E14" w:rsidRPr="0064597D" w:rsidRDefault="00CA5E14" w:rsidP="00377181">
      <w:pPr>
        <w:pStyle w:val="Ttulo2"/>
      </w:pPr>
      <w:bookmarkStart w:id="24" w:name="_Toc24014535"/>
      <w:r w:rsidRPr="0064597D">
        <w:t>B.</w:t>
      </w:r>
      <w:r w:rsidRPr="0064597D">
        <w:tab/>
      </w:r>
      <w:r w:rsidR="00652ABF" w:rsidRPr="0064597D">
        <w:t>Determinación del marco fáctico</w:t>
      </w:r>
      <w:bookmarkEnd w:id="24"/>
    </w:p>
    <w:p w14:paraId="2B6446C6" w14:textId="1F32632E" w:rsidR="00971496" w:rsidRPr="0064597D" w:rsidRDefault="00971496" w:rsidP="00971496">
      <w:pPr>
        <w:numPr>
          <w:ilvl w:val="0"/>
          <w:numId w:val="1"/>
        </w:numPr>
        <w:tabs>
          <w:tab w:val="left" w:pos="567"/>
          <w:tab w:val="num" w:pos="12305"/>
        </w:tabs>
        <w:spacing w:line="240" w:lineRule="auto"/>
        <w:ind w:left="0" w:firstLine="0"/>
        <w:rPr>
          <w:b/>
          <w:sz w:val="20"/>
          <w:szCs w:val="20"/>
        </w:rPr>
      </w:pPr>
      <w:r w:rsidRPr="0064597D">
        <w:rPr>
          <w:sz w:val="20"/>
          <w:szCs w:val="20"/>
        </w:rPr>
        <w:t>La Corte observa que en el escrito de solicitudes y argumentos las representantes hicieron referencia a una multiplicidad de hechos</w:t>
      </w:r>
      <w:r w:rsidRPr="0064597D">
        <w:rPr>
          <w:rStyle w:val="Refdenotaalpie"/>
          <w:rFonts w:eastAsiaTheme="majorEastAsia"/>
          <w:sz w:val="20"/>
          <w:szCs w:val="20"/>
        </w:rPr>
        <w:footnoteReference w:id="17"/>
      </w:r>
      <w:r w:rsidRPr="0064597D">
        <w:rPr>
          <w:sz w:val="20"/>
          <w:szCs w:val="20"/>
        </w:rPr>
        <w:t xml:space="preserve"> que resultarían en la alegada violación de los artículos 7.1, 7.2, 7.3, 7.4 y 7.5, en relación con el artículo 1.1 del mismo instrumento</w:t>
      </w:r>
      <w:r w:rsidRPr="0064597D">
        <w:rPr>
          <w:rStyle w:val="Refdenotaalpie"/>
          <w:sz w:val="20"/>
          <w:szCs w:val="20"/>
        </w:rPr>
        <w:footnoteReference w:id="18"/>
      </w:r>
      <w:r w:rsidRPr="0064597D">
        <w:rPr>
          <w:sz w:val="20"/>
          <w:szCs w:val="20"/>
        </w:rPr>
        <w:t>. Asimismo, también alegaron que se produjo la violación de los artículos 5.1 y 5.2 debido a la ausencia de una atención médica adecuada y las condiciones carcelarias a las que estuvo sometido</w:t>
      </w:r>
      <w:r w:rsidRPr="0064597D">
        <w:rPr>
          <w:rStyle w:val="Refdenotaalpie"/>
          <w:sz w:val="20"/>
          <w:szCs w:val="20"/>
        </w:rPr>
        <w:footnoteReference w:id="19"/>
      </w:r>
      <w:r w:rsidRPr="0064597D">
        <w:rPr>
          <w:sz w:val="20"/>
          <w:szCs w:val="20"/>
        </w:rPr>
        <w:t xml:space="preserve">. </w:t>
      </w:r>
    </w:p>
    <w:p w14:paraId="730196C4" w14:textId="77777777" w:rsidR="00E03493" w:rsidRPr="0064597D" w:rsidRDefault="00E03493" w:rsidP="00E03493">
      <w:pPr>
        <w:pStyle w:val="Prrafodelista2"/>
        <w:ind w:left="0"/>
        <w:jc w:val="both"/>
      </w:pPr>
    </w:p>
    <w:p w14:paraId="1F01CF79" w14:textId="3C599484" w:rsidR="003F387B" w:rsidRPr="0064597D" w:rsidRDefault="00D056AC" w:rsidP="003F387B">
      <w:pPr>
        <w:numPr>
          <w:ilvl w:val="0"/>
          <w:numId w:val="1"/>
        </w:numPr>
        <w:tabs>
          <w:tab w:val="left" w:pos="567"/>
          <w:tab w:val="num" w:pos="12305"/>
        </w:tabs>
        <w:spacing w:line="240" w:lineRule="auto"/>
        <w:ind w:left="0" w:firstLine="0"/>
        <w:rPr>
          <w:sz w:val="20"/>
          <w:szCs w:val="20"/>
        </w:rPr>
      </w:pPr>
      <w:r w:rsidRPr="0064597D">
        <w:rPr>
          <w:rFonts w:cs="Verdana"/>
          <w:sz w:val="20"/>
          <w:szCs w:val="20"/>
        </w:rPr>
        <w:t>Esta</w:t>
      </w:r>
      <w:r w:rsidR="00DB0443" w:rsidRPr="0064597D">
        <w:rPr>
          <w:rFonts w:cs="Verdana"/>
          <w:sz w:val="20"/>
          <w:szCs w:val="20"/>
        </w:rPr>
        <w:t xml:space="preserve"> </w:t>
      </w:r>
      <w:r w:rsidRPr="0064597D">
        <w:rPr>
          <w:rFonts w:cs="Verdana"/>
          <w:sz w:val="20"/>
          <w:szCs w:val="20"/>
        </w:rPr>
        <w:t>Corte</w:t>
      </w:r>
      <w:r w:rsidR="00DB0443" w:rsidRPr="0064597D">
        <w:rPr>
          <w:rFonts w:cs="Verdana"/>
          <w:sz w:val="20"/>
          <w:szCs w:val="20"/>
        </w:rPr>
        <w:t xml:space="preserve"> </w:t>
      </w:r>
      <w:r w:rsidRPr="0064597D">
        <w:rPr>
          <w:rFonts w:cs="Verdana"/>
          <w:sz w:val="20"/>
          <w:szCs w:val="20"/>
        </w:rPr>
        <w:t>ha</w:t>
      </w:r>
      <w:r w:rsidR="00DB0443" w:rsidRPr="0064597D">
        <w:rPr>
          <w:rFonts w:cs="Verdana"/>
          <w:sz w:val="20"/>
          <w:szCs w:val="20"/>
        </w:rPr>
        <w:t xml:space="preserve"> </w:t>
      </w:r>
      <w:r w:rsidRPr="0064597D">
        <w:rPr>
          <w:rFonts w:cs="Verdana"/>
          <w:sz w:val="20"/>
          <w:szCs w:val="20"/>
        </w:rPr>
        <w:t>establecido</w:t>
      </w:r>
      <w:r w:rsidR="00DB0443" w:rsidRPr="0064597D">
        <w:rPr>
          <w:rFonts w:cs="Verdana"/>
          <w:sz w:val="20"/>
          <w:szCs w:val="20"/>
        </w:rPr>
        <w:t xml:space="preserve"> </w:t>
      </w:r>
      <w:r w:rsidRPr="0064597D">
        <w:rPr>
          <w:rFonts w:cs="Verdana"/>
          <w:sz w:val="20"/>
          <w:szCs w:val="20"/>
        </w:rPr>
        <w:t>que</w:t>
      </w:r>
      <w:r w:rsidR="00DB0443" w:rsidRPr="0064597D">
        <w:rPr>
          <w:rFonts w:cs="Verdana"/>
          <w:sz w:val="20"/>
          <w:szCs w:val="20"/>
        </w:rPr>
        <w:t xml:space="preserve"> </w:t>
      </w:r>
      <w:r w:rsidRPr="0064597D">
        <w:rPr>
          <w:rFonts w:cs="Verdana"/>
          <w:sz w:val="20"/>
          <w:szCs w:val="20"/>
        </w:rPr>
        <w:t>el</w:t>
      </w:r>
      <w:r w:rsidR="00DB0443" w:rsidRPr="0064597D">
        <w:rPr>
          <w:rFonts w:cs="Verdana"/>
          <w:sz w:val="20"/>
          <w:szCs w:val="20"/>
        </w:rPr>
        <w:t xml:space="preserve"> </w:t>
      </w:r>
      <w:r w:rsidRPr="0064597D">
        <w:rPr>
          <w:rFonts w:cs="Verdana"/>
          <w:sz w:val="20"/>
          <w:szCs w:val="20"/>
        </w:rPr>
        <w:t>marco</w:t>
      </w:r>
      <w:r w:rsidR="00DB0443" w:rsidRPr="0064597D">
        <w:rPr>
          <w:rFonts w:cs="Verdana"/>
          <w:sz w:val="20"/>
          <w:szCs w:val="20"/>
        </w:rPr>
        <w:t xml:space="preserve"> </w:t>
      </w:r>
      <w:r w:rsidRPr="0064597D">
        <w:rPr>
          <w:rFonts w:cs="Verdana"/>
          <w:sz w:val="20"/>
          <w:szCs w:val="20"/>
        </w:rPr>
        <w:t>fáctico</w:t>
      </w:r>
      <w:r w:rsidR="00DB0443" w:rsidRPr="0064597D">
        <w:rPr>
          <w:rFonts w:cs="Verdana"/>
          <w:sz w:val="20"/>
          <w:szCs w:val="20"/>
        </w:rPr>
        <w:t xml:space="preserve"> </w:t>
      </w:r>
      <w:r w:rsidRPr="0064597D">
        <w:rPr>
          <w:rFonts w:cs="Verdana"/>
          <w:sz w:val="20"/>
          <w:szCs w:val="20"/>
        </w:rPr>
        <w:t>del</w:t>
      </w:r>
      <w:r w:rsidR="00DB0443" w:rsidRPr="0064597D">
        <w:rPr>
          <w:rFonts w:cs="Verdana"/>
          <w:sz w:val="20"/>
          <w:szCs w:val="20"/>
        </w:rPr>
        <w:t xml:space="preserve"> </w:t>
      </w:r>
      <w:r w:rsidRPr="0064597D">
        <w:rPr>
          <w:rFonts w:cs="Verdana"/>
          <w:sz w:val="20"/>
          <w:szCs w:val="20"/>
        </w:rPr>
        <w:t>proceso</w:t>
      </w:r>
      <w:r w:rsidR="00DB0443" w:rsidRPr="0064597D">
        <w:rPr>
          <w:rFonts w:cs="Verdana"/>
          <w:sz w:val="20"/>
          <w:szCs w:val="20"/>
        </w:rPr>
        <w:t xml:space="preserve"> </w:t>
      </w:r>
      <w:r w:rsidRPr="0064597D">
        <w:rPr>
          <w:rFonts w:cs="Verdana"/>
          <w:sz w:val="20"/>
          <w:szCs w:val="20"/>
        </w:rPr>
        <w:t>ante</w:t>
      </w:r>
      <w:r w:rsidR="00DB0443" w:rsidRPr="0064597D">
        <w:rPr>
          <w:rFonts w:cs="Verdana"/>
          <w:sz w:val="20"/>
          <w:szCs w:val="20"/>
        </w:rPr>
        <w:t xml:space="preserve"> </w:t>
      </w:r>
      <w:r w:rsidRPr="0064597D">
        <w:rPr>
          <w:rFonts w:cs="Verdana"/>
          <w:sz w:val="20"/>
          <w:szCs w:val="20"/>
        </w:rPr>
        <w:t>la</w:t>
      </w:r>
      <w:r w:rsidR="00DB0443" w:rsidRPr="0064597D">
        <w:rPr>
          <w:rFonts w:cs="Verdana"/>
          <w:sz w:val="20"/>
          <w:szCs w:val="20"/>
        </w:rPr>
        <w:t xml:space="preserve"> </w:t>
      </w:r>
      <w:r w:rsidRPr="0064597D">
        <w:rPr>
          <w:rFonts w:cs="Verdana"/>
          <w:sz w:val="20"/>
          <w:szCs w:val="20"/>
        </w:rPr>
        <w:t>misma</w:t>
      </w:r>
      <w:r w:rsidR="00DB0443" w:rsidRPr="0064597D">
        <w:rPr>
          <w:rFonts w:cs="Verdana"/>
          <w:sz w:val="20"/>
          <w:szCs w:val="20"/>
        </w:rPr>
        <w:t xml:space="preserve"> </w:t>
      </w:r>
      <w:r w:rsidRPr="0064597D">
        <w:rPr>
          <w:rFonts w:cs="Verdana"/>
          <w:sz w:val="20"/>
          <w:szCs w:val="20"/>
        </w:rPr>
        <w:t>se</w:t>
      </w:r>
      <w:r w:rsidR="00DB0443" w:rsidRPr="0064597D">
        <w:rPr>
          <w:rFonts w:cs="Verdana"/>
          <w:sz w:val="20"/>
          <w:szCs w:val="20"/>
        </w:rPr>
        <w:t xml:space="preserve"> </w:t>
      </w:r>
      <w:r w:rsidRPr="0064597D">
        <w:rPr>
          <w:rFonts w:cs="Verdana"/>
          <w:sz w:val="20"/>
          <w:szCs w:val="20"/>
        </w:rPr>
        <w:t>encuentra constituido</w:t>
      </w:r>
      <w:r w:rsidR="00DB0443" w:rsidRPr="0064597D">
        <w:rPr>
          <w:rFonts w:cs="Verdana"/>
          <w:sz w:val="20"/>
          <w:szCs w:val="20"/>
        </w:rPr>
        <w:t xml:space="preserve"> </w:t>
      </w:r>
      <w:r w:rsidRPr="0064597D">
        <w:rPr>
          <w:rFonts w:cs="Verdana"/>
          <w:sz w:val="20"/>
          <w:szCs w:val="20"/>
        </w:rPr>
        <w:t>por</w:t>
      </w:r>
      <w:r w:rsidR="00DB0443" w:rsidRPr="0064597D">
        <w:rPr>
          <w:rFonts w:cs="Verdana"/>
          <w:sz w:val="20"/>
          <w:szCs w:val="20"/>
        </w:rPr>
        <w:t xml:space="preserve"> </w:t>
      </w:r>
      <w:r w:rsidRPr="0064597D">
        <w:rPr>
          <w:rFonts w:cs="Verdana"/>
          <w:sz w:val="20"/>
          <w:szCs w:val="20"/>
        </w:rPr>
        <w:t>los</w:t>
      </w:r>
      <w:r w:rsidR="00DB0443" w:rsidRPr="0064597D">
        <w:rPr>
          <w:rFonts w:cs="Verdana"/>
          <w:sz w:val="20"/>
          <w:szCs w:val="20"/>
        </w:rPr>
        <w:t xml:space="preserve"> </w:t>
      </w:r>
      <w:r w:rsidRPr="0064597D">
        <w:rPr>
          <w:rFonts w:cs="Verdana"/>
          <w:sz w:val="20"/>
          <w:szCs w:val="20"/>
        </w:rPr>
        <w:t>hechos</w:t>
      </w:r>
      <w:r w:rsidR="00DB0443" w:rsidRPr="0064597D">
        <w:rPr>
          <w:rFonts w:cs="Verdana"/>
          <w:sz w:val="20"/>
          <w:szCs w:val="20"/>
        </w:rPr>
        <w:t xml:space="preserve"> </w:t>
      </w:r>
      <w:r w:rsidRPr="0064597D">
        <w:rPr>
          <w:rFonts w:cs="Verdana"/>
          <w:sz w:val="20"/>
          <w:szCs w:val="20"/>
        </w:rPr>
        <w:t>contenidos</w:t>
      </w:r>
      <w:r w:rsidR="00DB0443" w:rsidRPr="0064597D">
        <w:rPr>
          <w:rFonts w:cs="Verdana"/>
          <w:sz w:val="20"/>
          <w:szCs w:val="20"/>
        </w:rPr>
        <w:t xml:space="preserve"> </w:t>
      </w:r>
      <w:r w:rsidRPr="0064597D">
        <w:rPr>
          <w:rFonts w:cs="Verdana"/>
          <w:sz w:val="20"/>
          <w:szCs w:val="20"/>
        </w:rPr>
        <w:t>en</w:t>
      </w:r>
      <w:r w:rsidR="00DB0443" w:rsidRPr="0064597D">
        <w:rPr>
          <w:rFonts w:cs="Verdana"/>
          <w:sz w:val="20"/>
          <w:szCs w:val="20"/>
        </w:rPr>
        <w:t xml:space="preserve"> </w:t>
      </w:r>
      <w:r w:rsidRPr="0064597D">
        <w:rPr>
          <w:rFonts w:cs="Verdana"/>
          <w:sz w:val="20"/>
          <w:szCs w:val="20"/>
        </w:rPr>
        <w:t>el</w:t>
      </w:r>
      <w:r w:rsidR="00DB0443" w:rsidRPr="0064597D">
        <w:rPr>
          <w:rFonts w:cs="Verdana"/>
          <w:sz w:val="20"/>
          <w:szCs w:val="20"/>
        </w:rPr>
        <w:t xml:space="preserve"> </w:t>
      </w:r>
      <w:r w:rsidRPr="0064597D">
        <w:rPr>
          <w:rFonts w:cs="Verdana"/>
          <w:sz w:val="20"/>
          <w:szCs w:val="20"/>
        </w:rPr>
        <w:t>Informe</w:t>
      </w:r>
      <w:r w:rsidR="00DB0443" w:rsidRPr="0064597D">
        <w:rPr>
          <w:rFonts w:cs="Verdana"/>
          <w:sz w:val="20"/>
          <w:szCs w:val="20"/>
        </w:rPr>
        <w:t xml:space="preserve"> </w:t>
      </w:r>
      <w:r w:rsidRPr="0064597D">
        <w:rPr>
          <w:rFonts w:cs="Verdana"/>
          <w:sz w:val="20"/>
          <w:szCs w:val="20"/>
        </w:rPr>
        <w:t>de</w:t>
      </w:r>
      <w:r w:rsidR="00DB0443" w:rsidRPr="0064597D">
        <w:rPr>
          <w:rFonts w:cs="Verdana"/>
          <w:sz w:val="20"/>
          <w:szCs w:val="20"/>
        </w:rPr>
        <w:t xml:space="preserve"> </w:t>
      </w:r>
      <w:r w:rsidRPr="0064597D">
        <w:rPr>
          <w:rFonts w:cs="Verdana"/>
          <w:sz w:val="20"/>
          <w:szCs w:val="20"/>
        </w:rPr>
        <w:t>Fondo</w:t>
      </w:r>
      <w:r w:rsidR="00DB0443" w:rsidRPr="0064597D">
        <w:rPr>
          <w:rFonts w:cs="Verdana"/>
          <w:sz w:val="20"/>
          <w:szCs w:val="20"/>
        </w:rPr>
        <w:t xml:space="preserve"> </w:t>
      </w:r>
      <w:r w:rsidRPr="0064597D">
        <w:rPr>
          <w:rFonts w:cs="Verdana"/>
          <w:sz w:val="20"/>
          <w:szCs w:val="20"/>
        </w:rPr>
        <w:t>sometidos</w:t>
      </w:r>
      <w:r w:rsidR="00DB0443" w:rsidRPr="0064597D">
        <w:rPr>
          <w:rFonts w:cs="Verdana"/>
          <w:sz w:val="20"/>
          <w:szCs w:val="20"/>
        </w:rPr>
        <w:t xml:space="preserve"> </w:t>
      </w:r>
      <w:r w:rsidRPr="0064597D">
        <w:rPr>
          <w:rFonts w:cs="Verdana"/>
          <w:sz w:val="20"/>
          <w:szCs w:val="20"/>
        </w:rPr>
        <w:t>a</w:t>
      </w:r>
      <w:r w:rsidR="00DB0443" w:rsidRPr="0064597D">
        <w:rPr>
          <w:rFonts w:cs="Verdana"/>
          <w:sz w:val="20"/>
          <w:szCs w:val="20"/>
        </w:rPr>
        <w:t xml:space="preserve"> </w:t>
      </w:r>
      <w:r w:rsidRPr="0064597D">
        <w:rPr>
          <w:rFonts w:cs="Verdana"/>
          <w:sz w:val="20"/>
          <w:szCs w:val="20"/>
        </w:rPr>
        <w:t>consideración</w:t>
      </w:r>
      <w:r w:rsidR="00DB0443" w:rsidRPr="0064597D">
        <w:rPr>
          <w:rFonts w:cs="Verdana"/>
          <w:sz w:val="20"/>
          <w:szCs w:val="20"/>
        </w:rPr>
        <w:t xml:space="preserve"> </w:t>
      </w:r>
      <w:r w:rsidRPr="0064597D">
        <w:rPr>
          <w:rFonts w:cs="Verdana"/>
          <w:sz w:val="20"/>
          <w:szCs w:val="20"/>
        </w:rPr>
        <w:t>de</w:t>
      </w:r>
      <w:r w:rsidR="00DB0443" w:rsidRPr="0064597D">
        <w:rPr>
          <w:rFonts w:cs="Verdana"/>
          <w:sz w:val="20"/>
          <w:szCs w:val="20"/>
        </w:rPr>
        <w:t xml:space="preserve"> </w:t>
      </w:r>
      <w:r w:rsidRPr="0064597D">
        <w:rPr>
          <w:rFonts w:cs="Verdana"/>
          <w:sz w:val="20"/>
          <w:szCs w:val="20"/>
        </w:rPr>
        <w:t>la Corte</w:t>
      </w:r>
      <w:r w:rsidR="00652ABF" w:rsidRPr="0064597D">
        <w:rPr>
          <w:rStyle w:val="Refdenotaalpie"/>
          <w:rFonts w:cs="Verdana"/>
          <w:sz w:val="20"/>
          <w:szCs w:val="20"/>
        </w:rPr>
        <w:footnoteReference w:id="20"/>
      </w:r>
      <w:r w:rsidR="00E03493" w:rsidRPr="0064597D">
        <w:rPr>
          <w:rFonts w:cs="Verdana"/>
          <w:sz w:val="20"/>
          <w:szCs w:val="20"/>
        </w:rPr>
        <w:t xml:space="preserve">, </w:t>
      </w:r>
      <w:r w:rsidR="00E03493" w:rsidRPr="0064597D">
        <w:rPr>
          <w:rFonts w:cs="Verdana"/>
          <w:sz w:val="20"/>
          <w:szCs w:val="20"/>
        </w:rPr>
        <w:lastRenderedPageBreak/>
        <w:t>por lo que no es admisible alegar nuevos hechos distintos de los planteados en dicho escrito, sin perjuicio de exponer aquellos que permitan explicar, aclarar o desestimar los que han sido mencionados en la demanda, o bien, responder a las pretensiones del demandante</w:t>
      </w:r>
      <w:r w:rsidRPr="0064597D">
        <w:rPr>
          <w:rFonts w:cs="Verdana"/>
          <w:sz w:val="20"/>
          <w:szCs w:val="20"/>
        </w:rPr>
        <w:t xml:space="preserve"> (también llamados “hechos complementarios”)</w:t>
      </w:r>
      <w:r w:rsidR="00E03493" w:rsidRPr="0064597D">
        <w:rPr>
          <w:rFonts w:cs="Verdana"/>
          <w:sz w:val="20"/>
          <w:szCs w:val="20"/>
        </w:rPr>
        <w:t>. La excepción a este principio son los hechos que se califican como supervinientes, que podrán ser remitidos al Tribunal en cualquier estado del proceso antes de la emisión de la sentencia</w:t>
      </w:r>
      <w:r w:rsidR="001B5550" w:rsidRPr="0064597D">
        <w:rPr>
          <w:rStyle w:val="Refdenotaalpie"/>
          <w:rFonts w:cs="Verdana"/>
          <w:sz w:val="20"/>
          <w:szCs w:val="20"/>
        </w:rPr>
        <w:footnoteReference w:id="21"/>
      </w:r>
      <w:r w:rsidR="00E03493" w:rsidRPr="0064597D">
        <w:rPr>
          <w:sz w:val="20"/>
          <w:szCs w:val="20"/>
        </w:rPr>
        <w:t>.</w:t>
      </w:r>
      <w:r w:rsidR="00E03493" w:rsidRPr="0064597D">
        <w:rPr>
          <w:rFonts w:cs="Verdana"/>
          <w:sz w:val="20"/>
          <w:szCs w:val="20"/>
        </w:rPr>
        <w:t xml:space="preserve"> </w:t>
      </w:r>
    </w:p>
    <w:p w14:paraId="23810896" w14:textId="77777777" w:rsidR="003F387B" w:rsidRPr="0064597D" w:rsidRDefault="003F387B" w:rsidP="003F387B">
      <w:pPr>
        <w:tabs>
          <w:tab w:val="left" w:pos="567"/>
        </w:tabs>
        <w:spacing w:line="240" w:lineRule="auto"/>
        <w:rPr>
          <w:sz w:val="20"/>
          <w:szCs w:val="20"/>
        </w:rPr>
      </w:pPr>
    </w:p>
    <w:p w14:paraId="045EBE2D" w14:textId="5D1F9F01" w:rsidR="00E03493" w:rsidRPr="0064597D" w:rsidRDefault="000C56AE" w:rsidP="006958DA">
      <w:pPr>
        <w:numPr>
          <w:ilvl w:val="0"/>
          <w:numId w:val="1"/>
        </w:numPr>
        <w:tabs>
          <w:tab w:val="left" w:pos="567"/>
          <w:tab w:val="num" w:pos="12305"/>
        </w:tabs>
        <w:spacing w:line="240" w:lineRule="auto"/>
        <w:ind w:left="0" w:firstLine="0"/>
        <w:rPr>
          <w:sz w:val="20"/>
          <w:szCs w:val="20"/>
        </w:rPr>
      </w:pPr>
      <w:r w:rsidRPr="0064597D">
        <w:rPr>
          <w:rFonts w:cs="Verdana"/>
          <w:sz w:val="20"/>
          <w:szCs w:val="20"/>
        </w:rPr>
        <w:t>En el presente caso, la</w:t>
      </w:r>
      <w:r w:rsidRPr="0064597D">
        <w:rPr>
          <w:sz w:val="20"/>
          <w:szCs w:val="20"/>
        </w:rPr>
        <w:t xml:space="preserve"> Corte constata que la Comisión no incluyó los hechos alegados por las representantes con relación a la alegada violación del artículo 7 y del artículo 5 (con respecto al alegado inadecuado tratamiento médico brindado al señor Ruiz Fuentes) dentro del marco fáctico ni como una consideración de fondo. </w:t>
      </w:r>
      <w:r w:rsidR="00652ABF" w:rsidRPr="0064597D">
        <w:rPr>
          <w:sz w:val="20"/>
          <w:szCs w:val="20"/>
        </w:rPr>
        <w:t>Por lo tanto, el Tribunal precisa que no se pronunciará sobre tales hechos alegados por las representantes. L</w:t>
      </w:r>
      <w:r w:rsidR="00E03493" w:rsidRPr="0064597D">
        <w:rPr>
          <w:sz w:val="20"/>
          <w:szCs w:val="20"/>
        </w:rPr>
        <w:t xml:space="preserve">a Corte tampoco se referirá a los alegatos de derecho </w:t>
      </w:r>
      <w:r w:rsidR="00E03493" w:rsidRPr="0064597D">
        <w:rPr>
          <w:rFonts w:eastAsia="Verdana" w:cs="Verdana"/>
          <w:sz w:val="20"/>
          <w:szCs w:val="20"/>
        </w:rPr>
        <w:t>formulados</w:t>
      </w:r>
      <w:r w:rsidR="00E03493" w:rsidRPr="0064597D">
        <w:rPr>
          <w:sz w:val="20"/>
          <w:szCs w:val="20"/>
        </w:rPr>
        <w:t xml:space="preserve"> por </w:t>
      </w:r>
      <w:r w:rsidR="002269FD" w:rsidRPr="0064597D">
        <w:rPr>
          <w:sz w:val="20"/>
          <w:szCs w:val="20"/>
        </w:rPr>
        <w:t>las representantes</w:t>
      </w:r>
      <w:r w:rsidRPr="0064597D">
        <w:rPr>
          <w:sz w:val="20"/>
          <w:szCs w:val="20"/>
        </w:rPr>
        <w:t xml:space="preserve"> con base en tales hechos </w:t>
      </w:r>
      <w:r w:rsidR="00AD4BCB" w:rsidRPr="0064597D">
        <w:rPr>
          <w:sz w:val="20"/>
          <w:szCs w:val="20"/>
        </w:rPr>
        <w:t>y</w:t>
      </w:r>
      <w:r w:rsidR="00E03493" w:rsidRPr="0064597D">
        <w:rPr>
          <w:sz w:val="20"/>
          <w:szCs w:val="20"/>
        </w:rPr>
        <w:t xml:space="preserve">, por lo tanto, a las supuestas violaciones de los artículos </w:t>
      </w:r>
      <w:r w:rsidRPr="0064597D">
        <w:rPr>
          <w:sz w:val="20"/>
          <w:szCs w:val="20"/>
        </w:rPr>
        <w:t xml:space="preserve">1.1, 5.1, 5.2, 7.1, 7.2, 7.3, 7.4 y 7.5 </w:t>
      </w:r>
      <w:r w:rsidR="00E03493" w:rsidRPr="0064597D">
        <w:rPr>
          <w:sz w:val="20"/>
          <w:szCs w:val="20"/>
        </w:rPr>
        <w:t xml:space="preserve">señaladas por </w:t>
      </w:r>
      <w:r w:rsidR="002269FD" w:rsidRPr="0064597D">
        <w:rPr>
          <w:sz w:val="20"/>
          <w:szCs w:val="20"/>
        </w:rPr>
        <w:t>las representantes</w:t>
      </w:r>
      <w:r w:rsidR="001D58A5" w:rsidRPr="0064597D">
        <w:rPr>
          <w:sz w:val="20"/>
          <w:szCs w:val="20"/>
        </w:rPr>
        <w:t xml:space="preserve"> a este respecto</w:t>
      </w:r>
      <w:r w:rsidR="00E03493" w:rsidRPr="0064597D">
        <w:rPr>
          <w:sz w:val="20"/>
          <w:szCs w:val="20"/>
        </w:rPr>
        <w:t>.</w:t>
      </w:r>
    </w:p>
    <w:p w14:paraId="41B2890F" w14:textId="77777777" w:rsidR="00652A11" w:rsidRPr="0064597D" w:rsidRDefault="00652A11" w:rsidP="002F4F08">
      <w:pPr>
        <w:pStyle w:val="Ttulo1"/>
      </w:pPr>
      <w:bookmarkStart w:id="25" w:name="_Toc375517114"/>
      <w:bookmarkStart w:id="26" w:name="_Toc459158102"/>
      <w:bookmarkStart w:id="27" w:name="_Toc470180046"/>
      <w:bookmarkStart w:id="28" w:name="_Toc514172609"/>
      <w:bookmarkStart w:id="29" w:name="_Toc24014536"/>
      <w:r w:rsidRPr="0064597D">
        <w:t>V</w:t>
      </w:r>
      <w:r w:rsidR="00EA52BD" w:rsidRPr="0064597D">
        <w:t>I</w:t>
      </w:r>
      <w:r w:rsidRPr="0064597D">
        <w:br/>
        <w:t>PRUEBA</w:t>
      </w:r>
      <w:bookmarkEnd w:id="25"/>
      <w:bookmarkEnd w:id="26"/>
      <w:bookmarkEnd w:id="27"/>
      <w:bookmarkEnd w:id="28"/>
      <w:bookmarkEnd w:id="29"/>
    </w:p>
    <w:p w14:paraId="7940CD93" w14:textId="6F0798A9" w:rsidR="00652A11" w:rsidRPr="0064597D" w:rsidRDefault="00652A11" w:rsidP="00377181">
      <w:pPr>
        <w:pStyle w:val="Ttulo2"/>
      </w:pPr>
      <w:bookmarkStart w:id="30" w:name="_Toc375517115"/>
      <w:bookmarkStart w:id="31" w:name="_Toc459158103"/>
      <w:bookmarkStart w:id="32" w:name="_Toc470180047"/>
      <w:bookmarkStart w:id="33" w:name="_Toc514172610"/>
      <w:bookmarkStart w:id="34" w:name="_Toc24014537"/>
      <w:r w:rsidRPr="0064597D">
        <w:t>A.</w:t>
      </w:r>
      <w:r w:rsidRPr="0064597D">
        <w:tab/>
      </w:r>
      <w:bookmarkStart w:id="35" w:name="_Toc375517116"/>
      <w:bookmarkStart w:id="36" w:name="_Toc459158104"/>
      <w:bookmarkStart w:id="37" w:name="_Toc470180048"/>
      <w:bookmarkStart w:id="38" w:name="_Toc514172611"/>
      <w:bookmarkEnd w:id="30"/>
      <w:bookmarkEnd w:id="31"/>
      <w:bookmarkEnd w:id="32"/>
      <w:bookmarkEnd w:id="33"/>
      <w:r w:rsidR="00E20B2F" w:rsidRPr="0064597D">
        <w:t xml:space="preserve">Admisibilidad de la </w:t>
      </w:r>
      <w:r w:rsidRPr="0064597D">
        <w:t>prueba</w:t>
      </w:r>
      <w:bookmarkEnd w:id="35"/>
      <w:bookmarkEnd w:id="36"/>
      <w:bookmarkEnd w:id="37"/>
      <w:bookmarkEnd w:id="38"/>
      <w:r w:rsidR="00E20B2F" w:rsidRPr="0064597D">
        <w:t xml:space="preserve"> documental</w:t>
      </w:r>
      <w:bookmarkEnd w:id="34"/>
    </w:p>
    <w:p w14:paraId="29BF796F" w14:textId="77777777" w:rsidR="00E20B2F" w:rsidRPr="0064597D" w:rsidRDefault="00E20B2F" w:rsidP="00E20B2F">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rFonts w:eastAsia="Calibri"/>
          <w:sz w:val="20"/>
          <w:szCs w:val="20"/>
        </w:rPr>
      </w:pPr>
      <w:r w:rsidRPr="0064597D">
        <w:rPr>
          <w:rFonts w:eastAsia="Calibri"/>
          <w:sz w:val="20"/>
          <w:szCs w:val="20"/>
        </w:rPr>
        <w:t xml:space="preserve">El Tribunal recibió diversos documentos presentados como prueba por la Comisión, </w:t>
      </w:r>
      <w:r w:rsidR="002269FD" w:rsidRPr="0064597D">
        <w:rPr>
          <w:rFonts w:eastAsia="Calibri"/>
          <w:sz w:val="20"/>
          <w:szCs w:val="20"/>
        </w:rPr>
        <w:t>las representantes</w:t>
      </w:r>
      <w:r w:rsidRPr="0064597D">
        <w:rPr>
          <w:rFonts w:eastAsia="Calibri"/>
          <w:sz w:val="20"/>
          <w:szCs w:val="20"/>
        </w:rPr>
        <w:t xml:space="preserve"> y el Estado, así como también aquellos solicitados por la Corte o su Presidencia como prueba para mejor resolver, los cuales, como en otros casos, admite en el entendido que fueron presentados en la debida oportunidad procesal (artículo 57 del Reglamento)</w:t>
      </w:r>
      <w:r w:rsidRPr="0064597D">
        <w:rPr>
          <w:rFonts w:eastAsia="Calibri"/>
          <w:sz w:val="20"/>
          <w:szCs w:val="20"/>
          <w:vertAlign w:val="superscript"/>
        </w:rPr>
        <w:footnoteReference w:id="22"/>
      </w:r>
      <w:r w:rsidRPr="0064597D">
        <w:rPr>
          <w:rFonts w:eastAsia="Calibri"/>
          <w:sz w:val="20"/>
          <w:szCs w:val="20"/>
        </w:rPr>
        <w:t xml:space="preserve"> y su admisibilidad no fue controvertida ni objetada. </w:t>
      </w:r>
    </w:p>
    <w:p w14:paraId="2ADE4C72" w14:textId="77777777" w:rsidR="00B002DC" w:rsidRPr="0064597D" w:rsidRDefault="00B002DC" w:rsidP="00B002DC">
      <w:pPr>
        <w:widowControl/>
        <w:tabs>
          <w:tab w:val="left" w:pos="567"/>
        </w:tabs>
        <w:autoSpaceDE w:val="0"/>
        <w:autoSpaceDN w:val="0"/>
        <w:adjustRightInd/>
        <w:spacing w:line="240" w:lineRule="auto"/>
        <w:ind w:right="-90"/>
        <w:textAlignment w:val="auto"/>
        <w:rPr>
          <w:rFonts w:eastAsia="Calibri"/>
          <w:sz w:val="20"/>
          <w:szCs w:val="20"/>
        </w:rPr>
      </w:pPr>
    </w:p>
    <w:p w14:paraId="3E245DB8" w14:textId="6B138C30" w:rsidR="00896E0A" w:rsidRPr="0064597D" w:rsidRDefault="005F60A8" w:rsidP="009E2900">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64597D">
        <w:rPr>
          <w:rFonts w:eastAsia="Calibri"/>
          <w:sz w:val="20"/>
          <w:szCs w:val="20"/>
        </w:rPr>
        <w:t xml:space="preserve">El 27 de febrero de </w:t>
      </w:r>
      <w:r w:rsidR="00070F7A" w:rsidRPr="0064597D">
        <w:rPr>
          <w:rFonts w:eastAsia="Calibri"/>
          <w:sz w:val="20"/>
          <w:szCs w:val="20"/>
        </w:rPr>
        <w:t>2019</w:t>
      </w:r>
      <w:r w:rsidRPr="0064597D">
        <w:rPr>
          <w:rFonts w:eastAsia="Calibri"/>
          <w:sz w:val="20"/>
          <w:szCs w:val="20"/>
        </w:rPr>
        <w:t>, c</w:t>
      </w:r>
      <w:r w:rsidR="003074AD" w:rsidRPr="0064597D">
        <w:rPr>
          <w:rFonts w:eastAsia="Calibri"/>
          <w:sz w:val="20"/>
          <w:szCs w:val="20"/>
        </w:rPr>
        <w:t>on posterioridad a la presentación de su escrito de solicitudes y argumentos</w:t>
      </w:r>
      <w:r w:rsidR="008235F3" w:rsidRPr="0064597D">
        <w:rPr>
          <w:rFonts w:eastAsia="Calibri"/>
          <w:sz w:val="20"/>
          <w:szCs w:val="20"/>
        </w:rPr>
        <w:t>,</w:t>
      </w:r>
      <w:r w:rsidR="00B53657" w:rsidRPr="0064597D">
        <w:rPr>
          <w:rFonts w:eastAsia="Calibri"/>
          <w:sz w:val="20"/>
          <w:szCs w:val="20"/>
        </w:rPr>
        <w:t xml:space="preserve"> </w:t>
      </w:r>
      <w:r w:rsidR="002269FD" w:rsidRPr="0064597D">
        <w:rPr>
          <w:sz w:val="20"/>
          <w:szCs w:val="20"/>
        </w:rPr>
        <w:t>las representantes</w:t>
      </w:r>
      <w:r w:rsidR="00B53657" w:rsidRPr="0064597D">
        <w:rPr>
          <w:sz w:val="20"/>
          <w:szCs w:val="20"/>
        </w:rPr>
        <w:t xml:space="preserve"> remitieron como prueba superviniente </w:t>
      </w:r>
      <w:r w:rsidR="00F115A2" w:rsidRPr="0064597D">
        <w:rPr>
          <w:sz w:val="20"/>
          <w:szCs w:val="20"/>
        </w:rPr>
        <w:t>material probatorio</w:t>
      </w:r>
      <w:r w:rsidR="00FB6984" w:rsidRPr="0064597D">
        <w:rPr>
          <w:sz w:val="20"/>
          <w:szCs w:val="20"/>
        </w:rPr>
        <w:t xml:space="preserve"> </w:t>
      </w:r>
      <w:r w:rsidR="00F115A2" w:rsidRPr="0064597D">
        <w:rPr>
          <w:sz w:val="20"/>
          <w:szCs w:val="20"/>
        </w:rPr>
        <w:t xml:space="preserve">sobre alegados hechos ocurridos con posterioridad a la presentación de su escrito de solicitudes, argumentos y pruebas. </w:t>
      </w:r>
      <w:r w:rsidR="009E2900" w:rsidRPr="0064597D">
        <w:rPr>
          <w:sz w:val="20"/>
          <w:szCs w:val="20"/>
        </w:rPr>
        <w:t>D</w:t>
      </w:r>
      <w:r w:rsidR="00240080" w:rsidRPr="0064597D">
        <w:rPr>
          <w:sz w:val="20"/>
          <w:szCs w:val="20"/>
        </w:rPr>
        <w:t>ichos documentos no f</w:t>
      </w:r>
      <w:r w:rsidR="009E2900" w:rsidRPr="0064597D">
        <w:rPr>
          <w:sz w:val="20"/>
          <w:szCs w:val="20"/>
        </w:rPr>
        <w:t>ueron cuestionados por el Estado. L</w:t>
      </w:r>
      <w:r w:rsidR="009E2900" w:rsidRPr="0064597D">
        <w:rPr>
          <w:sz w:val="20"/>
          <w:szCs w:val="20"/>
          <w:lang w:eastAsia="es-ES"/>
        </w:rPr>
        <w:t>a Corte observa que éstos se refieren a hechos supervinientes, por lo que son aceptados por este Tribunal</w:t>
      </w:r>
      <w:r w:rsidR="00EF3329" w:rsidRPr="0064597D">
        <w:rPr>
          <w:sz w:val="20"/>
          <w:szCs w:val="20"/>
          <w:lang w:eastAsia="es-ES"/>
        </w:rPr>
        <w:t>, de conformidad con el artículo 57.2 del Reglamento.</w:t>
      </w:r>
      <w:r w:rsidR="00DB0443" w:rsidRPr="0064597D">
        <w:rPr>
          <w:sz w:val="20"/>
          <w:szCs w:val="20"/>
          <w:lang w:eastAsia="es-ES"/>
        </w:rPr>
        <w:t xml:space="preserve"> </w:t>
      </w:r>
    </w:p>
    <w:p w14:paraId="142C1F95" w14:textId="77777777" w:rsidR="00896E0A" w:rsidRPr="0064597D" w:rsidRDefault="00896E0A" w:rsidP="00652A11">
      <w:pPr>
        <w:widowControl/>
        <w:tabs>
          <w:tab w:val="left" w:pos="720"/>
        </w:tabs>
        <w:adjustRightInd/>
        <w:spacing w:line="240" w:lineRule="auto"/>
        <w:ind w:right="-90"/>
        <w:textAlignment w:val="auto"/>
        <w:rPr>
          <w:sz w:val="20"/>
          <w:szCs w:val="20"/>
          <w:highlight w:val="yellow"/>
        </w:rPr>
      </w:pPr>
    </w:p>
    <w:p w14:paraId="7BC45265" w14:textId="512ADD2F" w:rsidR="00D63858" w:rsidRPr="0064597D" w:rsidRDefault="00FB6984" w:rsidP="00D63858">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64597D">
        <w:rPr>
          <w:sz w:val="20"/>
          <w:szCs w:val="20"/>
          <w:lang w:eastAsia="es-ES"/>
        </w:rPr>
        <w:t>Asimismo, j</w:t>
      </w:r>
      <w:r w:rsidR="00853263" w:rsidRPr="0064597D">
        <w:rPr>
          <w:sz w:val="20"/>
          <w:szCs w:val="20"/>
          <w:lang w:eastAsia="es-ES"/>
        </w:rPr>
        <w:t xml:space="preserve">unto a su escrito de alegatos finales, </w:t>
      </w:r>
      <w:r w:rsidR="002269FD" w:rsidRPr="0064597D">
        <w:rPr>
          <w:sz w:val="20"/>
          <w:szCs w:val="20"/>
          <w:lang w:eastAsia="es-ES"/>
        </w:rPr>
        <w:t>las representantes</w:t>
      </w:r>
      <w:r w:rsidR="00853263" w:rsidRPr="0064597D">
        <w:rPr>
          <w:sz w:val="20"/>
          <w:szCs w:val="20"/>
          <w:lang w:eastAsia="es-ES"/>
        </w:rPr>
        <w:t xml:space="preserve"> remitieron</w:t>
      </w:r>
      <w:r w:rsidR="00BC2042" w:rsidRPr="0064597D">
        <w:rPr>
          <w:sz w:val="20"/>
          <w:szCs w:val="20"/>
          <w:lang w:eastAsia="es-ES"/>
        </w:rPr>
        <w:t xml:space="preserve"> </w:t>
      </w:r>
      <w:r w:rsidR="006C4F38" w:rsidRPr="0064597D">
        <w:rPr>
          <w:sz w:val="20"/>
          <w:szCs w:val="20"/>
          <w:lang w:eastAsia="es-ES"/>
        </w:rPr>
        <w:t xml:space="preserve">nueva </w:t>
      </w:r>
      <w:r w:rsidR="00BC2042" w:rsidRPr="0064597D">
        <w:rPr>
          <w:sz w:val="20"/>
          <w:szCs w:val="20"/>
          <w:lang w:eastAsia="es-ES"/>
        </w:rPr>
        <w:t>documentación</w:t>
      </w:r>
      <w:r w:rsidR="006C4F38" w:rsidRPr="0064597D">
        <w:rPr>
          <w:rStyle w:val="Refdenotaalpie"/>
          <w:sz w:val="20"/>
          <w:szCs w:val="20"/>
          <w:lang w:eastAsia="es-ES"/>
        </w:rPr>
        <w:footnoteReference w:id="23"/>
      </w:r>
      <w:r w:rsidR="00BC2042" w:rsidRPr="0064597D">
        <w:rPr>
          <w:sz w:val="20"/>
          <w:szCs w:val="20"/>
          <w:lang w:eastAsia="es-ES"/>
        </w:rPr>
        <w:t>.</w:t>
      </w:r>
      <w:r w:rsidR="00853263" w:rsidRPr="0064597D">
        <w:rPr>
          <w:sz w:val="20"/>
          <w:szCs w:val="20"/>
          <w:lang w:eastAsia="es-ES"/>
        </w:rPr>
        <w:t xml:space="preserve"> </w:t>
      </w:r>
      <w:r w:rsidR="00D63858" w:rsidRPr="0064597D">
        <w:rPr>
          <w:sz w:val="20"/>
          <w:szCs w:val="20"/>
          <w:lang w:eastAsia="es-ES"/>
        </w:rPr>
        <w:t>La Corte advierte que las representantes no han justificado la</w:t>
      </w:r>
      <w:r w:rsidR="00DB0443" w:rsidRPr="0064597D">
        <w:rPr>
          <w:sz w:val="20"/>
          <w:szCs w:val="20"/>
          <w:lang w:eastAsia="es-ES"/>
        </w:rPr>
        <w:t xml:space="preserve"> </w:t>
      </w:r>
      <w:r w:rsidR="00D63858" w:rsidRPr="0064597D">
        <w:rPr>
          <w:sz w:val="20"/>
          <w:szCs w:val="20"/>
          <w:lang w:eastAsia="es-ES"/>
        </w:rPr>
        <w:t>razón por la cual, en los términos del artículo 57.2 del Reglamento de la Corte, han presentado el anexo no. 5 junto con los alegatos finales escritos,</w:t>
      </w:r>
      <w:r w:rsidR="00DB0443" w:rsidRPr="0064597D">
        <w:rPr>
          <w:sz w:val="20"/>
          <w:szCs w:val="20"/>
          <w:lang w:eastAsia="es-ES"/>
        </w:rPr>
        <w:t xml:space="preserve"> </w:t>
      </w:r>
      <w:r w:rsidR="00D63858" w:rsidRPr="0064597D">
        <w:rPr>
          <w:sz w:val="20"/>
          <w:szCs w:val="20"/>
          <w:lang w:eastAsia="es-ES"/>
        </w:rPr>
        <w:t xml:space="preserve">pues el momento procesal oportuno para hacerlo era junto con su escrito de solicitudes y argumentos. Respecto a los demás anexos aportados por las representantes, la Corte </w:t>
      </w:r>
      <w:r w:rsidR="00D63858" w:rsidRPr="0064597D">
        <w:rPr>
          <w:sz w:val="20"/>
          <w:szCs w:val="20"/>
          <w:lang w:eastAsia="es-ES"/>
        </w:rPr>
        <w:lastRenderedPageBreak/>
        <w:t>observa que éstos se refieren a hechos supervinientes, por lo que son aceptados por este Tribunal</w:t>
      </w:r>
      <w:r w:rsidR="00EF3329" w:rsidRPr="0064597D">
        <w:rPr>
          <w:sz w:val="20"/>
          <w:szCs w:val="20"/>
          <w:lang w:eastAsia="es-ES"/>
        </w:rPr>
        <w:t>, todo ello de conformidad con el artículo 57.2 del Reglamento</w:t>
      </w:r>
      <w:r w:rsidR="00D63858" w:rsidRPr="0064597D">
        <w:rPr>
          <w:sz w:val="20"/>
          <w:szCs w:val="20"/>
          <w:lang w:eastAsia="es-ES"/>
        </w:rPr>
        <w:t xml:space="preserve">. </w:t>
      </w:r>
    </w:p>
    <w:p w14:paraId="3599E088" w14:textId="77777777" w:rsidR="00D63858" w:rsidRPr="0064597D" w:rsidRDefault="00D63858" w:rsidP="00D63858">
      <w:pPr>
        <w:widowControl/>
        <w:tabs>
          <w:tab w:val="left" w:pos="567"/>
        </w:tabs>
        <w:autoSpaceDE w:val="0"/>
        <w:autoSpaceDN w:val="0"/>
        <w:adjustRightInd/>
        <w:spacing w:line="240" w:lineRule="auto"/>
        <w:ind w:right="-90"/>
        <w:textAlignment w:val="auto"/>
        <w:rPr>
          <w:sz w:val="20"/>
          <w:szCs w:val="20"/>
          <w:highlight w:val="yellow"/>
        </w:rPr>
      </w:pPr>
    </w:p>
    <w:p w14:paraId="6B479459" w14:textId="38A4471A" w:rsidR="00050A16" w:rsidRPr="0064597D" w:rsidRDefault="00B37F02" w:rsidP="00B37F02">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64597D">
        <w:rPr>
          <w:sz w:val="20"/>
          <w:szCs w:val="20"/>
        </w:rPr>
        <w:t>Por su parte, el Estado aportó junto con sus alegatos finales el informe titulado “Orden de servicio tipo m</w:t>
      </w:r>
      <w:r w:rsidR="00162B86" w:rsidRPr="0064597D">
        <w:rPr>
          <w:sz w:val="20"/>
          <w:szCs w:val="20"/>
        </w:rPr>
        <w:t xml:space="preserve">isión no. 116-2005, “Operación </w:t>
      </w:r>
      <w:r w:rsidRPr="0064597D">
        <w:rPr>
          <w:sz w:val="20"/>
          <w:szCs w:val="20"/>
        </w:rPr>
        <w:t xml:space="preserve">Gavilán”. A este respecto, la Corte advierte que </w:t>
      </w:r>
      <w:r w:rsidR="00147A52" w:rsidRPr="0064597D">
        <w:rPr>
          <w:sz w:val="20"/>
          <w:szCs w:val="20"/>
        </w:rPr>
        <w:t>dicha documental</w:t>
      </w:r>
      <w:r w:rsidR="00A308A9" w:rsidRPr="0064597D">
        <w:rPr>
          <w:sz w:val="20"/>
          <w:szCs w:val="20"/>
        </w:rPr>
        <w:t xml:space="preserve"> ya constaba en el</w:t>
      </w:r>
      <w:r w:rsidR="00147A52" w:rsidRPr="0064597D">
        <w:rPr>
          <w:sz w:val="20"/>
          <w:szCs w:val="20"/>
        </w:rPr>
        <w:t xml:space="preserve"> expediente</w:t>
      </w:r>
      <w:r w:rsidRPr="0064597D">
        <w:rPr>
          <w:rStyle w:val="Refdenotaalpie"/>
          <w:sz w:val="20"/>
          <w:szCs w:val="20"/>
        </w:rPr>
        <w:footnoteReference w:id="24"/>
      </w:r>
      <w:r w:rsidR="00050A16" w:rsidRPr="0064597D">
        <w:rPr>
          <w:sz w:val="20"/>
          <w:szCs w:val="20"/>
        </w:rPr>
        <w:t>, por lo cual no estima necesario un pronunciamiento separado sobre su admisibilidad.</w:t>
      </w:r>
    </w:p>
    <w:p w14:paraId="34131D75" w14:textId="77777777" w:rsidR="00050A16" w:rsidRPr="0064597D" w:rsidRDefault="00050A16" w:rsidP="00050A16">
      <w:pPr>
        <w:widowControl/>
        <w:tabs>
          <w:tab w:val="left" w:pos="567"/>
          <w:tab w:val="num" w:pos="12305"/>
        </w:tabs>
        <w:autoSpaceDE w:val="0"/>
        <w:autoSpaceDN w:val="0"/>
        <w:adjustRightInd/>
        <w:spacing w:line="240" w:lineRule="auto"/>
        <w:ind w:right="-90"/>
        <w:textAlignment w:val="auto"/>
        <w:rPr>
          <w:sz w:val="20"/>
          <w:szCs w:val="20"/>
        </w:rPr>
      </w:pPr>
    </w:p>
    <w:p w14:paraId="5C5DE68C" w14:textId="26D609E8" w:rsidR="00E20B2F" w:rsidRPr="0064597D" w:rsidRDefault="005675BD" w:rsidP="00497745">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rPr>
      </w:pPr>
      <w:r w:rsidRPr="0064597D">
        <w:rPr>
          <w:sz w:val="20"/>
          <w:szCs w:val="20"/>
        </w:rPr>
        <w:t xml:space="preserve">Por otra parte, la Corte nota que el Estado no presentó determinada prueba para mejor resolver solicitada </w:t>
      </w:r>
      <w:r w:rsidR="002553C7" w:rsidRPr="0064597D">
        <w:rPr>
          <w:sz w:val="20"/>
          <w:szCs w:val="20"/>
        </w:rPr>
        <w:t>en</w:t>
      </w:r>
      <w:r w:rsidRPr="0064597D">
        <w:rPr>
          <w:sz w:val="20"/>
          <w:szCs w:val="20"/>
        </w:rPr>
        <w:t xml:space="preserve"> la audiencia pública</w:t>
      </w:r>
      <w:r w:rsidR="00F241AD" w:rsidRPr="0064597D">
        <w:rPr>
          <w:sz w:val="20"/>
          <w:szCs w:val="20"/>
        </w:rPr>
        <w:t xml:space="preserve"> por parte de este Tribunal</w:t>
      </w:r>
      <w:r w:rsidRPr="0064597D">
        <w:rPr>
          <w:sz w:val="20"/>
          <w:szCs w:val="20"/>
        </w:rPr>
        <w:t xml:space="preserve">. </w:t>
      </w:r>
      <w:r w:rsidR="00F241AD" w:rsidRPr="0064597D">
        <w:rPr>
          <w:sz w:val="20"/>
          <w:szCs w:val="20"/>
        </w:rPr>
        <w:t>En virtud de comunicación de 3 de mayo de 2019, la Corte solicitó al Estado que presentara “documentos relacionados con la orden de detención [de la víctima] y todas las diligencias que respalden la misma”. La Corte observa que el Estado no presentó ningún documento en respuesta a la referida solicitud.</w:t>
      </w:r>
      <w:r w:rsidR="00DB0443" w:rsidRPr="0064597D">
        <w:rPr>
          <w:sz w:val="20"/>
          <w:szCs w:val="20"/>
        </w:rPr>
        <w:t xml:space="preserve"> </w:t>
      </w:r>
    </w:p>
    <w:p w14:paraId="6F5FD3F6" w14:textId="77777777" w:rsidR="00E20B2F" w:rsidRPr="0064597D" w:rsidRDefault="00E20B2F" w:rsidP="00377181">
      <w:pPr>
        <w:pStyle w:val="Ttulo2"/>
      </w:pPr>
      <w:bookmarkStart w:id="39" w:name="_Toc24014538"/>
      <w:r w:rsidRPr="0064597D">
        <w:t>B.</w:t>
      </w:r>
      <w:r w:rsidRPr="0064597D">
        <w:tab/>
        <w:t>Admisibilidad de la prueba testimonial y pericial</w:t>
      </w:r>
      <w:bookmarkEnd w:id="39"/>
    </w:p>
    <w:p w14:paraId="505E5DB6" w14:textId="314E8C7D" w:rsidR="00377181" w:rsidRPr="0064597D" w:rsidRDefault="00522F18" w:rsidP="00377181">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rPr>
      </w:pPr>
      <w:r w:rsidRPr="0064597D">
        <w:rPr>
          <w:sz w:val="20"/>
          <w:szCs w:val="20"/>
        </w:rPr>
        <w:t xml:space="preserve"> </w:t>
      </w:r>
      <w:r w:rsidR="00960302" w:rsidRPr="0064597D">
        <w:rPr>
          <w:sz w:val="20"/>
          <w:szCs w:val="20"/>
          <w:lang w:val="es-ES"/>
        </w:rPr>
        <w:t>La Corte estima pertinente admitir las declaraciones y dictámenes rendidos en audiencia pública</w:t>
      </w:r>
      <w:r w:rsidR="006C4F38" w:rsidRPr="0064597D">
        <w:rPr>
          <w:rStyle w:val="Refdenotaalpie"/>
          <w:sz w:val="20"/>
          <w:szCs w:val="20"/>
          <w:lang w:val="es-ES"/>
        </w:rPr>
        <w:footnoteReference w:id="25"/>
      </w:r>
      <w:r w:rsidR="00960302" w:rsidRPr="0064597D">
        <w:rPr>
          <w:sz w:val="20"/>
          <w:szCs w:val="20"/>
          <w:lang w:val="es-ES"/>
        </w:rPr>
        <w:t xml:space="preserve"> y mediante </w:t>
      </w:r>
      <w:r w:rsidR="00960302" w:rsidRPr="0064597D">
        <w:rPr>
          <w:rFonts w:cs="Verdana"/>
          <w:sz w:val="20"/>
          <w:szCs w:val="20"/>
          <w:lang w:eastAsia="es-MX"/>
        </w:rPr>
        <w:t>declaraciones</w:t>
      </w:r>
      <w:r w:rsidR="00960302" w:rsidRPr="0064597D">
        <w:rPr>
          <w:sz w:val="20"/>
          <w:szCs w:val="20"/>
          <w:lang w:val="es-ES"/>
        </w:rPr>
        <w:t xml:space="preserve"> ante fedatario público</w:t>
      </w:r>
      <w:r w:rsidR="006C4F38" w:rsidRPr="0064597D">
        <w:rPr>
          <w:rStyle w:val="Refdenotaalpie"/>
          <w:sz w:val="20"/>
          <w:szCs w:val="20"/>
          <w:lang w:val="es-ES"/>
        </w:rPr>
        <w:footnoteReference w:id="26"/>
      </w:r>
      <w:r w:rsidR="00960302" w:rsidRPr="0064597D">
        <w:rPr>
          <w:sz w:val="20"/>
          <w:szCs w:val="20"/>
          <w:lang w:val="es-ES"/>
        </w:rPr>
        <w:t xml:space="preserve"> en cuanto se ajusten al objeto definido por el Presidente en la Resolución que ordenó recibirlos</w:t>
      </w:r>
      <w:r w:rsidR="00960302" w:rsidRPr="0064597D">
        <w:rPr>
          <w:sz w:val="20"/>
          <w:szCs w:val="20"/>
          <w:vertAlign w:val="superscript"/>
        </w:rPr>
        <w:footnoteReference w:id="27"/>
      </w:r>
      <w:r w:rsidR="00D0432D" w:rsidRPr="0064597D">
        <w:rPr>
          <w:sz w:val="20"/>
          <w:szCs w:val="20"/>
        </w:rPr>
        <w:t>.</w:t>
      </w:r>
    </w:p>
    <w:p w14:paraId="35BC1B29" w14:textId="77777777" w:rsidR="00377181" w:rsidRPr="0064597D" w:rsidRDefault="00377181" w:rsidP="00377181">
      <w:pPr>
        <w:widowControl/>
        <w:tabs>
          <w:tab w:val="left" w:pos="567"/>
        </w:tabs>
        <w:autoSpaceDE w:val="0"/>
        <w:autoSpaceDN w:val="0"/>
        <w:spacing w:line="240" w:lineRule="auto"/>
        <w:textAlignment w:val="auto"/>
        <w:rPr>
          <w:sz w:val="20"/>
          <w:szCs w:val="20"/>
        </w:rPr>
      </w:pPr>
    </w:p>
    <w:p w14:paraId="27C5CFDB" w14:textId="45647ADE" w:rsidR="00E300FC" w:rsidRPr="0064597D" w:rsidRDefault="00D0432D" w:rsidP="00243B51">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eastAsia="es-MX"/>
        </w:rPr>
      </w:pPr>
      <w:r w:rsidRPr="0064597D">
        <w:rPr>
          <w:rFonts w:cs="Verdana"/>
          <w:sz w:val="20"/>
          <w:szCs w:val="20"/>
          <w:lang w:eastAsia="es-MX"/>
        </w:rPr>
        <w:t>Por otro lado, l</w:t>
      </w:r>
      <w:r w:rsidR="00243B51" w:rsidRPr="0064597D">
        <w:rPr>
          <w:rFonts w:cs="Verdana"/>
          <w:sz w:val="20"/>
          <w:szCs w:val="20"/>
          <w:lang w:eastAsia="es-MX"/>
        </w:rPr>
        <w:t xml:space="preserve">a Corte advierte que el Estado, en sus alegatos finales escritos, </w:t>
      </w:r>
      <w:r w:rsidR="00EA283F" w:rsidRPr="0064597D">
        <w:rPr>
          <w:rFonts w:cs="Verdana"/>
          <w:sz w:val="20"/>
          <w:szCs w:val="20"/>
          <w:lang w:eastAsia="es-MX"/>
        </w:rPr>
        <w:t xml:space="preserve">cuestionó el valor probatorio </w:t>
      </w:r>
      <w:r w:rsidR="00243B51" w:rsidRPr="0064597D">
        <w:rPr>
          <w:rFonts w:cs="Verdana"/>
          <w:sz w:val="20"/>
          <w:szCs w:val="20"/>
          <w:lang w:eastAsia="es-MX"/>
        </w:rPr>
        <w:t xml:space="preserve">del peritaje brindado por los peritos Guillermo Austreberto Carranza Izquierdo, así como el peritaje conjunto ofrecido por </w:t>
      </w:r>
      <w:r w:rsidR="00733140" w:rsidRPr="0064597D">
        <w:rPr>
          <w:rFonts w:cs="Verdana"/>
          <w:sz w:val="20"/>
          <w:szCs w:val="20"/>
          <w:lang w:eastAsia="es-MX"/>
        </w:rPr>
        <w:t xml:space="preserve">los señores </w:t>
      </w:r>
      <w:r w:rsidR="00243B51" w:rsidRPr="0064597D">
        <w:rPr>
          <w:rFonts w:cs="Verdana"/>
          <w:sz w:val="20"/>
          <w:szCs w:val="20"/>
          <w:lang w:eastAsia="es-MX"/>
        </w:rPr>
        <w:t xml:space="preserve">Paravais Jabbar y Edward Fizgerald. </w:t>
      </w:r>
      <w:r w:rsidR="00EA283F" w:rsidRPr="0064597D">
        <w:rPr>
          <w:rFonts w:cs="Verdana"/>
          <w:sz w:val="20"/>
          <w:szCs w:val="20"/>
          <w:lang w:eastAsia="es-MX"/>
        </w:rPr>
        <w:t>En particular,</w:t>
      </w:r>
      <w:r w:rsidR="00243B51" w:rsidRPr="0064597D">
        <w:rPr>
          <w:rFonts w:cs="Verdana"/>
          <w:sz w:val="20"/>
          <w:szCs w:val="20"/>
          <w:lang w:eastAsia="es-MX"/>
        </w:rPr>
        <w:t xml:space="preserve"> con respecto al peritaje del Sr. Carranza Izquierdo, indicó que dicho profesional no tuvo ningún contacto con el señor Ruiz Fuentes, sino que únicamente hizo un estudio de los documentos contenidos en el expediente. Añadió además que el señor Carranza Izquierdo no posee las “calidades necesarias para realizar este tipo de peritaje”, toda vez que habría realizado afirmaciones que únicamente pueden ser realizadas por personas expertas en criminalística, mientras que el referido perito cuenta únicamente con un diplomado en Medicina Legal. Con respecto al peritaje conjunto presentado por Parvais Jabbar y Edward Fizgerald el Estado, </w:t>
      </w:r>
      <w:r w:rsidR="00DA01EF" w:rsidRPr="0064597D">
        <w:rPr>
          <w:rFonts w:cs="Verdana"/>
          <w:sz w:val="20"/>
          <w:szCs w:val="20"/>
          <w:lang w:eastAsia="es-MX"/>
        </w:rPr>
        <w:t>además</w:t>
      </w:r>
      <w:r w:rsidR="00243B51" w:rsidRPr="0064597D">
        <w:rPr>
          <w:rFonts w:cs="Verdana"/>
          <w:sz w:val="20"/>
          <w:szCs w:val="20"/>
          <w:lang w:eastAsia="es-MX"/>
        </w:rPr>
        <w:t xml:space="preserve"> de refutar algunas de las afirmaciones realizadas por éstos, indicó que dichos peritos obviaron hacer referencia a determinados hechos que según el Estado eran relevantes</w:t>
      </w:r>
      <w:r w:rsidR="00243B51" w:rsidRPr="0064597D">
        <w:rPr>
          <w:rStyle w:val="Refdenotaalpie"/>
          <w:rFonts w:cs="Verdana"/>
          <w:sz w:val="20"/>
          <w:szCs w:val="20"/>
          <w:lang w:eastAsia="es-MX"/>
        </w:rPr>
        <w:footnoteReference w:id="28"/>
      </w:r>
      <w:r w:rsidR="00243B51" w:rsidRPr="0064597D">
        <w:rPr>
          <w:rFonts w:cs="Verdana"/>
          <w:sz w:val="20"/>
          <w:szCs w:val="20"/>
          <w:lang w:eastAsia="es-MX"/>
        </w:rPr>
        <w:t xml:space="preserve">. </w:t>
      </w:r>
      <w:bookmarkStart w:id="40" w:name="_Ref402038868"/>
      <w:r w:rsidR="00E300FC" w:rsidRPr="0064597D">
        <w:rPr>
          <w:sz w:val="20"/>
          <w:szCs w:val="20"/>
          <w:lang w:eastAsia="es-MX"/>
        </w:rPr>
        <w:t>La Corte tendrá en cuenta estos argumentos y establecerá las consideraciones conducentes a la resolución del presente caso al abordar los hechos controvertidos.</w:t>
      </w:r>
    </w:p>
    <w:p w14:paraId="6AC3DE78" w14:textId="77777777" w:rsidR="00F4645B" w:rsidRPr="0064597D" w:rsidRDefault="00652A11" w:rsidP="002F4F08">
      <w:pPr>
        <w:pStyle w:val="Ttulo1"/>
      </w:pPr>
      <w:bookmarkStart w:id="41" w:name="_Toc495658661"/>
      <w:bookmarkStart w:id="42" w:name="_Toc498013630"/>
      <w:bookmarkStart w:id="43" w:name="_Toc514172615"/>
      <w:bookmarkStart w:id="44" w:name="_Toc24014539"/>
      <w:bookmarkEnd w:id="40"/>
      <w:r w:rsidRPr="0064597D">
        <w:t>V</w:t>
      </w:r>
      <w:r w:rsidR="00F4645B" w:rsidRPr="0064597D">
        <w:t>I</w:t>
      </w:r>
      <w:r w:rsidR="00EA52BD" w:rsidRPr="0064597D">
        <w:t>I</w:t>
      </w:r>
      <w:r w:rsidRPr="0064597D">
        <w:br/>
        <w:t>HECHOS</w:t>
      </w:r>
      <w:bookmarkEnd w:id="41"/>
      <w:bookmarkEnd w:id="42"/>
      <w:bookmarkEnd w:id="43"/>
      <w:bookmarkEnd w:id="44"/>
      <w:r w:rsidR="00D332D8" w:rsidRPr="0064597D">
        <w:t xml:space="preserve"> </w:t>
      </w:r>
    </w:p>
    <w:p w14:paraId="773AA098" w14:textId="2B79AC36" w:rsidR="00CF077D" w:rsidRPr="0064597D" w:rsidRDefault="00CF077D" w:rsidP="00D332D8">
      <w:pPr>
        <w:numPr>
          <w:ilvl w:val="0"/>
          <w:numId w:val="1"/>
        </w:numPr>
        <w:tabs>
          <w:tab w:val="left" w:pos="567"/>
          <w:tab w:val="num" w:pos="1569"/>
          <w:tab w:val="num" w:pos="12305"/>
        </w:tabs>
        <w:spacing w:line="240" w:lineRule="auto"/>
        <w:ind w:left="0" w:firstLine="0"/>
        <w:rPr>
          <w:sz w:val="20"/>
          <w:szCs w:val="20"/>
        </w:rPr>
      </w:pPr>
      <w:r w:rsidRPr="0064597D">
        <w:rPr>
          <w:sz w:val="20"/>
          <w:szCs w:val="20"/>
        </w:rPr>
        <w:t xml:space="preserve">En este capítulo, la Corte </w:t>
      </w:r>
      <w:r w:rsidR="00D332D8" w:rsidRPr="0064597D">
        <w:rPr>
          <w:sz w:val="20"/>
          <w:szCs w:val="20"/>
        </w:rPr>
        <w:t>establecerá los hechos del</w:t>
      </w:r>
      <w:r w:rsidR="00467DC7" w:rsidRPr="0064597D">
        <w:rPr>
          <w:sz w:val="20"/>
          <w:szCs w:val="20"/>
        </w:rPr>
        <w:t xml:space="preserve"> </w:t>
      </w:r>
      <w:r w:rsidR="00D332D8" w:rsidRPr="0064597D">
        <w:rPr>
          <w:sz w:val="20"/>
          <w:szCs w:val="20"/>
        </w:rPr>
        <w:t xml:space="preserve">caso con base </w:t>
      </w:r>
      <w:r w:rsidR="00B731B7" w:rsidRPr="0064597D">
        <w:rPr>
          <w:sz w:val="20"/>
          <w:szCs w:val="20"/>
        </w:rPr>
        <w:t>en el</w:t>
      </w:r>
      <w:r w:rsidR="00D332D8" w:rsidRPr="0064597D">
        <w:rPr>
          <w:sz w:val="20"/>
          <w:szCs w:val="20"/>
        </w:rPr>
        <w:t xml:space="preserve"> marco fáctico </w:t>
      </w:r>
      <w:r w:rsidR="00D332D8" w:rsidRPr="0064597D">
        <w:rPr>
          <w:rFonts w:cs="Calibri"/>
          <w:sz w:val="20"/>
          <w:szCs w:val="20"/>
          <w:lang w:val="es-VE"/>
        </w:rPr>
        <w:t>sometido</w:t>
      </w:r>
      <w:r w:rsidR="00D332D8" w:rsidRPr="0064597D">
        <w:rPr>
          <w:sz w:val="20"/>
          <w:szCs w:val="20"/>
        </w:rPr>
        <w:t xml:space="preserve"> al conocimiento de la Corte por la Comisión Interamericana, en relación con</w:t>
      </w:r>
      <w:r w:rsidRPr="0064597D">
        <w:rPr>
          <w:sz w:val="20"/>
          <w:szCs w:val="20"/>
        </w:rPr>
        <w:t xml:space="preserve">: </w:t>
      </w:r>
      <w:r w:rsidR="00D332D8" w:rsidRPr="0064597D">
        <w:rPr>
          <w:sz w:val="20"/>
          <w:szCs w:val="20"/>
        </w:rPr>
        <w:t>a</w:t>
      </w:r>
      <w:r w:rsidRPr="0064597D">
        <w:rPr>
          <w:sz w:val="20"/>
          <w:szCs w:val="20"/>
        </w:rPr>
        <w:t xml:space="preserve">) el </w:t>
      </w:r>
      <w:r w:rsidR="00440CDD" w:rsidRPr="0064597D">
        <w:rPr>
          <w:sz w:val="20"/>
          <w:szCs w:val="20"/>
        </w:rPr>
        <w:t>marc</w:t>
      </w:r>
      <w:r w:rsidR="00B731B7" w:rsidRPr="0064597D">
        <w:rPr>
          <w:sz w:val="20"/>
          <w:szCs w:val="20"/>
        </w:rPr>
        <w:t>o</w:t>
      </w:r>
      <w:r w:rsidRPr="0064597D">
        <w:rPr>
          <w:sz w:val="20"/>
          <w:szCs w:val="20"/>
        </w:rPr>
        <w:t xml:space="preserve"> </w:t>
      </w:r>
      <w:r w:rsidR="008F734A" w:rsidRPr="0064597D">
        <w:rPr>
          <w:sz w:val="20"/>
          <w:szCs w:val="20"/>
        </w:rPr>
        <w:t xml:space="preserve">normativo </w:t>
      </w:r>
      <w:r w:rsidR="008F734A" w:rsidRPr="0064597D">
        <w:rPr>
          <w:sz w:val="20"/>
          <w:szCs w:val="20"/>
        </w:rPr>
        <w:lastRenderedPageBreak/>
        <w:t>con respecto a la pena de muerte;</w:t>
      </w:r>
      <w:r w:rsidRPr="0064597D">
        <w:rPr>
          <w:sz w:val="20"/>
          <w:szCs w:val="20"/>
        </w:rPr>
        <w:t xml:space="preserve"> </w:t>
      </w:r>
      <w:r w:rsidR="00D332D8" w:rsidRPr="0064597D">
        <w:rPr>
          <w:sz w:val="20"/>
          <w:szCs w:val="20"/>
        </w:rPr>
        <w:t>b</w:t>
      </w:r>
      <w:r w:rsidRPr="0064597D">
        <w:rPr>
          <w:sz w:val="20"/>
          <w:szCs w:val="20"/>
        </w:rPr>
        <w:t xml:space="preserve">) </w:t>
      </w:r>
      <w:r w:rsidR="00162B86" w:rsidRPr="0064597D">
        <w:rPr>
          <w:sz w:val="20"/>
          <w:szCs w:val="20"/>
        </w:rPr>
        <w:t xml:space="preserve">la </w:t>
      </w:r>
      <w:r w:rsidRPr="0064597D">
        <w:rPr>
          <w:sz w:val="20"/>
          <w:szCs w:val="20"/>
        </w:rPr>
        <w:t>detención del señor Ruiz Fuentes</w:t>
      </w:r>
      <w:r w:rsidR="00D332D8" w:rsidRPr="0064597D">
        <w:rPr>
          <w:sz w:val="20"/>
          <w:szCs w:val="20"/>
        </w:rPr>
        <w:t xml:space="preserve"> y alegatos de tortura</w:t>
      </w:r>
      <w:r w:rsidRPr="0064597D">
        <w:rPr>
          <w:sz w:val="20"/>
          <w:szCs w:val="20"/>
        </w:rPr>
        <w:t xml:space="preserve">; </w:t>
      </w:r>
      <w:r w:rsidR="00D332D8" w:rsidRPr="0064597D">
        <w:rPr>
          <w:sz w:val="20"/>
          <w:szCs w:val="20"/>
        </w:rPr>
        <w:t>c</w:t>
      </w:r>
      <w:r w:rsidRPr="0064597D">
        <w:rPr>
          <w:sz w:val="20"/>
          <w:szCs w:val="20"/>
        </w:rPr>
        <w:t>)</w:t>
      </w:r>
      <w:r w:rsidR="00D332D8" w:rsidRPr="0064597D">
        <w:rPr>
          <w:sz w:val="20"/>
          <w:szCs w:val="20"/>
        </w:rPr>
        <w:t xml:space="preserve"> el</w:t>
      </w:r>
      <w:r w:rsidRPr="0064597D">
        <w:rPr>
          <w:sz w:val="20"/>
          <w:szCs w:val="20"/>
        </w:rPr>
        <w:t xml:space="preserve"> proceso penal</w:t>
      </w:r>
      <w:r w:rsidR="00D332D8" w:rsidRPr="0064597D">
        <w:rPr>
          <w:sz w:val="20"/>
          <w:szCs w:val="20"/>
        </w:rPr>
        <w:t xml:space="preserve"> seguido contra el señor Ruiz Fuentes</w:t>
      </w:r>
      <w:r w:rsidRPr="0064597D">
        <w:rPr>
          <w:sz w:val="20"/>
          <w:szCs w:val="20"/>
        </w:rPr>
        <w:t xml:space="preserve">; </w:t>
      </w:r>
      <w:r w:rsidR="00D332D8" w:rsidRPr="0064597D">
        <w:rPr>
          <w:sz w:val="20"/>
          <w:szCs w:val="20"/>
        </w:rPr>
        <w:t>d</w:t>
      </w:r>
      <w:r w:rsidRPr="0064597D">
        <w:rPr>
          <w:sz w:val="20"/>
          <w:szCs w:val="20"/>
        </w:rPr>
        <w:t xml:space="preserve">) </w:t>
      </w:r>
      <w:r w:rsidR="00D332D8" w:rsidRPr="0064597D">
        <w:rPr>
          <w:sz w:val="20"/>
          <w:szCs w:val="20"/>
        </w:rPr>
        <w:t>la fuga de la cárcel “El Infiernito” y posterior muerte del señor Ruiz Fuentes</w:t>
      </w:r>
      <w:r w:rsidRPr="0064597D">
        <w:rPr>
          <w:sz w:val="20"/>
          <w:szCs w:val="20"/>
        </w:rPr>
        <w:t xml:space="preserve">, y </w:t>
      </w:r>
      <w:r w:rsidR="00D332D8" w:rsidRPr="0064597D">
        <w:rPr>
          <w:sz w:val="20"/>
          <w:szCs w:val="20"/>
        </w:rPr>
        <w:t>e</w:t>
      </w:r>
      <w:r w:rsidRPr="0064597D">
        <w:rPr>
          <w:sz w:val="20"/>
          <w:szCs w:val="20"/>
        </w:rPr>
        <w:t xml:space="preserve">) </w:t>
      </w:r>
      <w:r w:rsidR="00D332D8" w:rsidRPr="0064597D">
        <w:rPr>
          <w:sz w:val="20"/>
          <w:szCs w:val="20"/>
        </w:rPr>
        <w:t xml:space="preserve">la </w:t>
      </w:r>
      <w:r w:rsidRPr="0064597D">
        <w:rPr>
          <w:sz w:val="20"/>
          <w:szCs w:val="20"/>
        </w:rPr>
        <w:t xml:space="preserve">investigación que se ha llevado a cabo como consecuencia de </w:t>
      </w:r>
      <w:r w:rsidR="00FC40ED" w:rsidRPr="0064597D">
        <w:rPr>
          <w:sz w:val="20"/>
          <w:szCs w:val="20"/>
        </w:rPr>
        <w:t>su</w:t>
      </w:r>
      <w:r w:rsidRPr="0064597D">
        <w:rPr>
          <w:sz w:val="20"/>
          <w:szCs w:val="20"/>
        </w:rPr>
        <w:t xml:space="preserve"> muerte.</w:t>
      </w:r>
    </w:p>
    <w:p w14:paraId="2BF24AA9" w14:textId="30560CA8" w:rsidR="00072585" w:rsidRPr="0064597D" w:rsidRDefault="00072585" w:rsidP="00072585">
      <w:pPr>
        <w:pStyle w:val="Ttulo2"/>
      </w:pPr>
      <w:bookmarkStart w:id="45" w:name="_Toc24014540"/>
      <w:r w:rsidRPr="0064597D">
        <w:t>A.</w:t>
      </w:r>
      <w:r w:rsidRPr="0064597D">
        <w:tab/>
        <w:t>Marco normativo en Guatemala con respecto a la pena de muerte</w:t>
      </w:r>
      <w:bookmarkEnd w:id="45"/>
    </w:p>
    <w:p w14:paraId="404AD81F" w14:textId="0F377EC8" w:rsidR="00CF077D" w:rsidRPr="0064597D" w:rsidRDefault="008F734A" w:rsidP="00AC6BF2">
      <w:pPr>
        <w:numPr>
          <w:ilvl w:val="0"/>
          <w:numId w:val="1"/>
        </w:numPr>
        <w:tabs>
          <w:tab w:val="left" w:pos="567"/>
          <w:tab w:val="num" w:pos="1569"/>
          <w:tab w:val="num" w:pos="12305"/>
        </w:tabs>
        <w:spacing w:line="240" w:lineRule="auto"/>
        <w:ind w:left="0" w:firstLine="0"/>
        <w:rPr>
          <w:rFonts w:cs="Calibri"/>
          <w:sz w:val="20"/>
          <w:szCs w:val="20"/>
          <w:lang w:val="es-VE"/>
        </w:rPr>
      </w:pPr>
      <w:r w:rsidRPr="0064597D">
        <w:rPr>
          <w:rFonts w:cs="Calibri"/>
          <w:sz w:val="20"/>
          <w:szCs w:val="20"/>
          <w:lang w:val="es-VE"/>
        </w:rPr>
        <w:t xml:space="preserve">La pena de muerte se encuentra prevista tanto en la Constitución, como en la legislación penal guatemalteca. </w:t>
      </w:r>
      <w:r w:rsidRPr="0064597D">
        <w:rPr>
          <w:sz w:val="20"/>
          <w:szCs w:val="20"/>
        </w:rPr>
        <w:t>El artículo 18 de la Constitución de Guatemala reconoce la posibilidad de que se aplique la pena de muerte</w:t>
      </w:r>
      <w:r w:rsidRPr="0064597D">
        <w:rPr>
          <w:rStyle w:val="Refdenotaalpie"/>
          <w:sz w:val="20"/>
          <w:szCs w:val="20"/>
        </w:rPr>
        <w:footnoteReference w:id="29"/>
      </w:r>
      <w:r w:rsidRPr="0064597D">
        <w:rPr>
          <w:rFonts w:cs="Calibri"/>
          <w:sz w:val="20"/>
          <w:szCs w:val="20"/>
          <w:lang w:val="es-VE"/>
        </w:rPr>
        <w:t>.</w:t>
      </w:r>
      <w:r w:rsidR="00DB0443" w:rsidRPr="0064597D">
        <w:rPr>
          <w:rFonts w:cs="Calibri"/>
          <w:sz w:val="20"/>
          <w:szCs w:val="20"/>
          <w:lang w:val="es-VE"/>
        </w:rPr>
        <w:t xml:space="preserve"> </w:t>
      </w:r>
      <w:r w:rsidRPr="0064597D">
        <w:rPr>
          <w:rFonts w:cs="Calibri"/>
          <w:sz w:val="20"/>
          <w:szCs w:val="20"/>
          <w:lang w:val="es-VE"/>
        </w:rPr>
        <w:t>Asimismo, el artículo 43 del Código Penal vigente en 1997 estipulaba lo siguiente</w:t>
      </w:r>
      <w:r w:rsidR="00CF077D" w:rsidRPr="0064597D">
        <w:rPr>
          <w:rFonts w:cs="Calibri"/>
          <w:sz w:val="20"/>
          <w:szCs w:val="20"/>
          <w:lang w:val="es-VE"/>
        </w:rPr>
        <w:t>:</w:t>
      </w:r>
    </w:p>
    <w:p w14:paraId="125200C5" w14:textId="77777777" w:rsidR="00CF077D" w:rsidRPr="0064597D" w:rsidRDefault="00CF077D" w:rsidP="00CF077D">
      <w:pPr>
        <w:tabs>
          <w:tab w:val="left" w:pos="1440"/>
        </w:tabs>
        <w:spacing w:line="240" w:lineRule="auto"/>
        <w:ind w:left="720" w:right="720"/>
        <w:rPr>
          <w:rFonts w:cs="Calibri"/>
          <w:sz w:val="18"/>
          <w:szCs w:val="18"/>
          <w:lang w:val="es-VE"/>
        </w:rPr>
      </w:pPr>
    </w:p>
    <w:p w14:paraId="6EF4416E" w14:textId="74CF5BF1" w:rsidR="00CF077D" w:rsidRPr="0064597D" w:rsidRDefault="00CF077D" w:rsidP="00CF077D">
      <w:pPr>
        <w:tabs>
          <w:tab w:val="left" w:pos="1440"/>
        </w:tabs>
        <w:spacing w:line="240" w:lineRule="auto"/>
        <w:ind w:left="720" w:right="720"/>
        <w:rPr>
          <w:rFonts w:cs="Calibri"/>
          <w:sz w:val="18"/>
          <w:szCs w:val="18"/>
          <w:lang w:val="es-VE"/>
        </w:rPr>
      </w:pPr>
      <w:r w:rsidRPr="0064597D">
        <w:rPr>
          <w:rFonts w:cs="Calibri"/>
          <w:sz w:val="18"/>
          <w:szCs w:val="18"/>
          <w:lang w:val="es-VE"/>
        </w:rPr>
        <w:t>La pena de muerte, tiene carácter extraordinario y solo podrá aplicarse en los casos expresamente consignados en la ley y no se ejecutará, sino después de agotarse todos los recursos legales.</w:t>
      </w:r>
    </w:p>
    <w:p w14:paraId="2B7F1E2F" w14:textId="77777777" w:rsidR="00CF077D" w:rsidRPr="0064597D" w:rsidRDefault="00CF077D" w:rsidP="00CF077D">
      <w:pPr>
        <w:tabs>
          <w:tab w:val="left" w:pos="1440"/>
        </w:tabs>
        <w:spacing w:line="240" w:lineRule="auto"/>
        <w:ind w:left="720" w:right="720"/>
        <w:rPr>
          <w:rFonts w:cs="Calibri"/>
          <w:sz w:val="18"/>
          <w:szCs w:val="18"/>
          <w:lang w:val="es-VE"/>
        </w:rPr>
      </w:pPr>
    </w:p>
    <w:p w14:paraId="46B5C96A" w14:textId="77777777" w:rsidR="00CF077D" w:rsidRPr="0064597D" w:rsidRDefault="00CF077D" w:rsidP="00CF077D">
      <w:pPr>
        <w:tabs>
          <w:tab w:val="left" w:pos="1440"/>
        </w:tabs>
        <w:spacing w:line="240" w:lineRule="auto"/>
        <w:ind w:left="720" w:right="720"/>
        <w:rPr>
          <w:rFonts w:cs="Calibri"/>
          <w:sz w:val="18"/>
          <w:szCs w:val="18"/>
          <w:lang w:val="es-VE"/>
        </w:rPr>
      </w:pPr>
      <w:r w:rsidRPr="0064597D">
        <w:rPr>
          <w:rFonts w:cs="Calibri"/>
          <w:sz w:val="18"/>
          <w:szCs w:val="18"/>
          <w:lang w:val="es-VE"/>
        </w:rPr>
        <w:t>No podrá imponerse la pena de muerte:</w:t>
      </w:r>
    </w:p>
    <w:p w14:paraId="46FCC744" w14:textId="77777777" w:rsidR="00CF077D" w:rsidRPr="0064597D" w:rsidRDefault="00CF077D" w:rsidP="00CF077D">
      <w:pPr>
        <w:tabs>
          <w:tab w:val="left" w:pos="1440"/>
        </w:tabs>
        <w:spacing w:line="240" w:lineRule="auto"/>
        <w:ind w:left="720" w:right="720"/>
        <w:rPr>
          <w:rFonts w:cs="Calibri"/>
          <w:sz w:val="18"/>
          <w:szCs w:val="18"/>
          <w:lang w:val="es-VE"/>
        </w:rPr>
      </w:pPr>
    </w:p>
    <w:p w14:paraId="6A755AC9" w14:textId="77777777" w:rsidR="00CF077D" w:rsidRPr="0064597D" w:rsidRDefault="00CF077D" w:rsidP="00CF077D">
      <w:pPr>
        <w:pStyle w:val="Prrafodelista"/>
        <w:widowControl/>
        <w:numPr>
          <w:ilvl w:val="0"/>
          <w:numId w:val="18"/>
        </w:numPr>
        <w:tabs>
          <w:tab w:val="left" w:pos="1440"/>
        </w:tabs>
        <w:adjustRightInd/>
        <w:spacing w:line="240" w:lineRule="auto"/>
        <w:ind w:right="720"/>
        <w:textAlignment w:val="auto"/>
        <w:rPr>
          <w:rFonts w:cs="Calibri"/>
          <w:sz w:val="18"/>
          <w:szCs w:val="18"/>
          <w:lang w:val="es-VE"/>
        </w:rPr>
      </w:pPr>
      <w:r w:rsidRPr="0064597D">
        <w:rPr>
          <w:rFonts w:cs="Calibri"/>
          <w:sz w:val="18"/>
          <w:szCs w:val="18"/>
          <w:lang w:val="es-VE"/>
        </w:rPr>
        <w:t>Por delitos políticos</w:t>
      </w:r>
    </w:p>
    <w:p w14:paraId="3328BE1E" w14:textId="77777777" w:rsidR="00CF077D" w:rsidRPr="0064597D" w:rsidRDefault="00CF077D" w:rsidP="00CF077D">
      <w:pPr>
        <w:pStyle w:val="Prrafodelista"/>
        <w:widowControl/>
        <w:numPr>
          <w:ilvl w:val="0"/>
          <w:numId w:val="18"/>
        </w:numPr>
        <w:tabs>
          <w:tab w:val="left" w:pos="1440"/>
        </w:tabs>
        <w:adjustRightInd/>
        <w:spacing w:line="240" w:lineRule="auto"/>
        <w:ind w:right="720"/>
        <w:textAlignment w:val="auto"/>
        <w:rPr>
          <w:rFonts w:cs="Calibri"/>
          <w:sz w:val="18"/>
          <w:szCs w:val="18"/>
          <w:lang w:val="es-VE"/>
        </w:rPr>
      </w:pPr>
      <w:r w:rsidRPr="0064597D">
        <w:rPr>
          <w:rFonts w:cs="Calibri"/>
          <w:sz w:val="18"/>
          <w:szCs w:val="18"/>
          <w:lang w:val="es-VE"/>
        </w:rPr>
        <w:t>Cuando la condena se fundamente en presunciones</w:t>
      </w:r>
    </w:p>
    <w:p w14:paraId="3D124A5C" w14:textId="77777777" w:rsidR="00CF077D" w:rsidRPr="0064597D" w:rsidRDefault="00CF077D" w:rsidP="00CF077D">
      <w:pPr>
        <w:pStyle w:val="Prrafodelista"/>
        <w:widowControl/>
        <w:numPr>
          <w:ilvl w:val="0"/>
          <w:numId w:val="18"/>
        </w:numPr>
        <w:tabs>
          <w:tab w:val="left" w:pos="1440"/>
        </w:tabs>
        <w:adjustRightInd/>
        <w:spacing w:line="240" w:lineRule="auto"/>
        <w:ind w:right="720"/>
        <w:textAlignment w:val="auto"/>
        <w:rPr>
          <w:rFonts w:cs="Calibri"/>
          <w:sz w:val="18"/>
          <w:szCs w:val="18"/>
          <w:lang w:val="es-VE"/>
        </w:rPr>
      </w:pPr>
      <w:r w:rsidRPr="0064597D">
        <w:rPr>
          <w:rFonts w:cs="Calibri"/>
          <w:sz w:val="18"/>
          <w:szCs w:val="18"/>
          <w:lang w:val="es-VE"/>
        </w:rPr>
        <w:t>A mujeres</w:t>
      </w:r>
    </w:p>
    <w:p w14:paraId="01BB6D83" w14:textId="77777777" w:rsidR="00CF077D" w:rsidRPr="0064597D" w:rsidRDefault="00CF077D" w:rsidP="00CF077D">
      <w:pPr>
        <w:pStyle w:val="Prrafodelista"/>
        <w:widowControl/>
        <w:numPr>
          <w:ilvl w:val="0"/>
          <w:numId w:val="18"/>
        </w:numPr>
        <w:tabs>
          <w:tab w:val="left" w:pos="1440"/>
        </w:tabs>
        <w:adjustRightInd/>
        <w:spacing w:line="240" w:lineRule="auto"/>
        <w:ind w:right="720"/>
        <w:textAlignment w:val="auto"/>
        <w:rPr>
          <w:rFonts w:cs="Calibri"/>
          <w:sz w:val="18"/>
          <w:szCs w:val="18"/>
          <w:lang w:val="es-VE"/>
        </w:rPr>
      </w:pPr>
      <w:r w:rsidRPr="0064597D">
        <w:rPr>
          <w:rFonts w:cs="Calibri"/>
          <w:sz w:val="18"/>
          <w:szCs w:val="18"/>
          <w:lang w:val="es-VE"/>
        </w:rPr>
        <w:t>A varones mayores de setenta años</w:t>
      </w:r>
    </w:p>
    <w:p w14:paraId="0E64F603" w14:textId="77777777" w:rsidR="00CF077D" w:rsidRPr="0064597D" w:rsidRDefault="00CF077D" w:rsidP="00CF077D">
      <w:pPr>
        <w:pStyle w:val="Prrafodelista"/>
        <w:widowControl/>
        <w:numPr>
          <w:ilvl w:val="0"/>
          <w:numId w:val="18"/>
        </w:numPr>
        <w:tabs>
          <w:tab w:val="left" w:pos="1440"/>
        </w:tabs>
        <w:adjustRightInd/>
        <w:spacing w:line="240" w:lineRule="auto"/>
        <w:ind w:right="720"/>
        <w:textAlignment w:val="auto"/>
        <w:rPr>
          <w:rFonts w:cs="Calibri"/>
          <w:sz w:val="18"/>
          <w:szCs w:val="18"/>
          <w:lang w:val="es-VE"/>
        </w:rPr>
      </w:pPr>
      <w:r w:rsidRPr="0064597D">
        <w:rPr>
          <w:rFonts w:cs="Calibri"/>
          <w:sz w:val="18"/>
          <w:szCs w:val="18"/>
          <w:lang w:val="es-VE"/>
        </w:rPr>
        <w:t>A personas cuya extradición haya sido concedida bajo esa condición.</w:t>
      </w:r>
    </w:p>
    <w:p w14:paraId="523E8624" w14:textId="77777777" w:rsidR="00CF077D" w:rsidRPr="0064597D" w:rsidRDefault="00CF077D" w:rsidP="00CF077D">
      <w:pPr>
        <w:autoSpaceDE w:val="0"/>
        <w:autoSpaceDN w:val="0"/>
        <w:spacing w:line="240" w:lineRule="auto"/>
        <w:ind w:left="708"/>
        <w:rPr>
          <w:rFonts w:cs="Calibri"/>
          <w:sz w:val="18"/>
          <w:szCs w:val="18"/>
          <w:lang w:val="es-VE"/>
        </w:rPr>
      </w:pPr>
    </w:p>
    <w:p w14:paraId="43ACF4A3" w14:textId="52071DB1" w:rsidR="00CF077D" w:rsidRPr="0064597D" w:rsidRDefault="00CF077D" w:rsidP="00CF077D">
      <w:pPr>
        <w:autoSpaceDE w:val="0"/>
        <w:autoSpaceDN w:val="0"/>
        <w:spacing w:line="240" w:lineRule="auto"/>
        <w:ind w:left="720" w:right="720"/>
        <w:rPr>
          <w:rFonts w:cs="Verdana"/>
          <w:sz w:val="18"/>
          <w:szCs w:val="18"/>
        </w:rPr>
      </w:pPr>
      <w:r w:rsidRPr="0064597D">
        <w:rPr>
          <w:rFonts w:cs="Calibri"/>
          <w:sz w:val="18"/>
          <w:szCs w:val="18"/>
          <w:lang w:val="es-VE"/>
        </w:rPr>
        <w:t>En estos casos y siempre que la pena de muerte fuere conmutada por la de privación de libertad, se le aplicará prisión en su límite máximo</w:t>
      </w:r>
      <w:r w:rsidRPr="0064597D">
        <w:rPr>
          <w:rStyle w:val="Refdenotaalpie"/>
          <w:rFonts w:cs="Calibri"/>
          <w:sz w:val="18"/>
          <w:szCs w:val="18"/>
          <w:lang w:val="es-VE"/>
        </w:rPr>
        <w:footnoteReference w:id="30"/>
      </w:r>
      <w:r w:rsidRPr="0064597D">
        <w:rPr>
          <w:rFonts w:cs="Calibri"/>
          <w:sz w:val="18"/>
          <w:szCs w:val="18"/>
          <w:lang w:val="es-VE"/>
        </w:rPr>
        <w:t>.</w:t>
      </w:r>
    </w:p>
    <w:p w14:paraId="5D31D7B9" w14:textId="77777777" w:rsidR="00CF077D" w:rsidRPr="0064597D" w:rsidRDefault="00CF077D" w:rsidP="00CF077D">
      <w:pPr>
        <w:autoSpaceDE w:val="0"/>
        <w:autoSpaceDN w:val="0"/>
        <w:spacing w:line="240" w:lineRule="auto"/>
        <w:rPr>
          <w:sz w:val="18"/>
          <w:szCs w:val="18"/>
        </w:rPr>
      </w:pPr>
    </w:p>
    <w:p w14:paraId="5C2DAB1F" w14:textId="760AF3ED" w:rsidR="00CF077D" w:rsidRPr="0064597D" w:rsidRDefault="000F7AD4" w:rsidP="00CF077D">
      <w:pPr>
        <w:numPr>
          <w:ilvl w:val="0"/>
          <w:numId w:val="1"/>
        </w:numPr>
        <w:tabs>
          <w:tab w:val="left" w:pos="567"/>
          <w:tab w:val="num" w:pos="1569"/>
          <w:tab w:val="num" w:pos="12305"/>
        </w:tabs>
        <w:spacing w:line="240" w:lineRule="auto"/>
        <w:ind w:left="0" w:firstLine="0"/>
        <w:rPr>
          <w:rFonts w:cs="Verdana"/>
          <w:sz w:val="20"/>
          <w:szCs w:val="20"/>
        </w:rPr>
      </w:pPr>
      <w:r w:rsidRPr="0064597D">
        <w:rPr>
          <w:rFonts w:eastAsia="Batang"/>
          <w:sz w:val="20"/>
          <w:szCs w:val="20"/>
          <w:lang w:eastAsia="en-US"/>
        </w:rPr>
        <w:t xml:space="preserve">El 25 de mayo de 1978 </w:t>
      </w:r>
      <w:r w:rsidR="00CF077D" w:rsidRPr="0064597D">
        <w:rPr>
          <w:rFonts w:cs="Verdana"/>
          <w:sz w:val="20"/>
          <w:szCs w:val="20"/>
        </w:rPr>
        <w:t>Guatemala depositó el instrumento de ratifica</w:t>
      </w:r>
      <w:r w:rsidR="008F734A" w:rsidRPr="0064597D">
        <w:rPr>
          <w:rFonts w:cs="Verdana"/>
          <w:sz w:val="20"/>
          <w:szCs w:val="20"/>
        </w:rPr>
        <w:t>ción de la Convención Americana</w:t>
      </w:r>
      <w:r w:rsidRPr="0064597D">
        <w:rPr>
          <w:rFonts w:cs="Verdana"/>
          <w:sz w:val="20"/>
          <w:szCs w:val="20"/>
        </w:rPr>
        <w:t xml:space="preserve">. En dicho momento se </w:t>
      </w:r>
      <w:r w:rsidR="00CF077D" w:rsidRPr="0064597D">
        <w:rPr>
          <w:rFonts w:cs="Verdana"/>
          <w:sz w:val="20"/>
          <w:szCs w:val="20"/>
        </w:rPr>
        <w:t>encontraba vigente e</w:t>
      </w:r>
      <w:r w:rsidR="008F734A" w:rsidRPr="0064597D">
        <w:rPr>
          <w:rFonts w:cs="Verdana"/>
          <w:sz w:val="20"/>
          <w:szCs w:val="20"/>
        </w:rPr>
        <w:t xml:space="preserve">l Decreto Legislativo No. 17/73 </w:t>
      </w:r>
      <w:r w:rsidR="00FC53C6" w:rsidRPr="0064597D">
        <w:rPr>
          <w:rFonts w:cs="Verdana"/>
          <w:sz w:val="20"/>
          <w:szCs w:val="20"/>
        </w:rPr>
        <w:t>(</w:t>
      </w:r>
      <w:r w:rsidR="00CF077D" w:rsidRPr="0064597D">
        <w:rPr>
          <w:rFonts w:cs="Verdana"/>
          <w:sz w:val="20"/>
          <w:szCs w:val="20"/>
        </w:rPr>
        <w:t>Código Penal</w:t>
      </w:r>
      <w:r w:rsidR="00FC53C6" w:rsidRPr="0064597D">
        <w:rPr>
          <w:rFonts w:cs="Verdana"/>
          <w:sz w:val="20"/>
          <w:szCs w:val="20"/>
        </w:rPr>
        <w:t>)</w:t>
      </w:r>
      <w:r w:rsidR="0035451B">
        <w:rPr>
          <w:rFonts w:cs="Verdana"/>
          <w:sz w:val="20"/>
          <w:szCs w:val="20"/>
        </w:rPr>
        <w:t>,</w:t>
      </w:r>
      <w:r w:rsidR="00CF077D" w:rsidRPr="0064597D">
        <w:rPr>
          <w:rFonts w:cs="Verdana"/>
          <w:sz w:val="20"/>
          <w:szCs w:val="20"/>
        </w:rPr>
        <w:t xml:space="preserve"> cuyo artículo 201 consagraba la pena de muerte como sanción para el delito de plagio o secuestro cuando, con motivo o en ocasión del mismo, falleciera la persona secuestrada. La misma conducta típica sin resultado de muerte era sancionada con pena privativa de la libertad de ocho a quince años: </w:t>
      </w:r>
    </w:p>
    <w:p w14:paraId="5F0AB913" w14:textId="77777777" w:rsidR="00CF077D" w:rsidRPr="0064597D" w:rsidRDefault="00CF077D" w:rsidP="00CF077D">
      <w:pPr>
        <w:autoSpaceDE w:val="0"/>
        <w:autoSpaceDN w:val="0"/>
        <w:spacing w:line="240" w:lineRule="auto"/>
        <w:ind w:left="708"/>
        <w:rPr>
          <w:rFonts w:cs="Verdana"/>
          <w:sz w:val="18"/>
          <w:szCs w:val="18"/>
        </w:rPr>
      </w:pPr>
    </w:p>
    <w:p w14:paraId="396AEE90" w14:textId="77777777" w:rsidR="00CF077D" w:rsidRPr="0064597D" w:rsidRDefault="008F734A" w:rsidP="00CF077D">
      <w:pPr>
        <w:autoSpaceDE w:val="0"/>
        <w:autoSpaceDN w:val="0"/>
        <w:spacing w:line="240" w:lineRule="auto"/>
        <w:ind w:left="720" w:right="720"/>
        <w:rPr>
          <w:rFonts w:cs="Verdana"/>
          <w:sz w:val="18"/>
          <w:szCs w:val="18"/>
        </w:rPr>
      </w:pPr>
      <w:r w:rsidRPr="0064597D">
        <w:rPr>
          <w:rFonts w:cs="Verdana"/>
          <w:sz w:val="18"/>
          <w:szCs w:val="18"/>
        </w:rPr>
        <w:t>“</w:t>
      </w:r>
      <w:r w:rsidR="00CF077D" w:rsidRPr="0064597D">
        <w:rPr>
          <w:rFonts w:cs="Verdana"/>
          <w:sz w:val="18"/>
          <w:szCs w:val="18"/>
        </w:rPr>
        <w:t xml:space="preserve">El plagio o secuestro de una persona con el objeto de lograr rescate, canje de terceras personas u otro ilícito de igual o análoga entidad, se castigará con la pena de ocho a quince años de prisión. </w:t>
      </w:r>
    </w:p>
    <w:p w14:paraId="564EC9ED" w14:textId="77777777" w:rsidR="00CF077D" w:rsidRPr="0064597D" w:rsidRDefault="00CF077D" w:rsidP="00CF077D">
      <w:pPr>
        <w:autoSpaceDE w:val="0"/>
        <w:autoSpaceDN w:val="0"/>
        <w:spacing w:line="240" w:lineRule="auto"/>
        <w:ind w:left="720" w:right="720"/>
        <w:rPr>
          <w:rFonts w:cs="Verdana"/>
          <w:sz w:val="18"/>
          <w:szCs w:val="18"/>
        </w:rPr>
      </w:pPr>
    </w:p>
    <w:p w14:paraId="27A56B1B" w14:textId="77777777" w:rsidR="00CF077D" w:rsidRPr="0064597D" w:rsidRDefault="00CF077D" w:rsidP="00CF077D">
      <w:pPr>
        <w:autoSpaceDE w:val="0"/>
        <w:autoSpaceDN w:val="0"/>
        <w:spacing w:line="240" w:lineRule="auto"/>
        <w:ind w:left="720" w:right="720"/>
        <w:rPr>
          <w:rFonts w:cs="Verdana"/>
          <w:sz w:val="18"/>
          <w:szCs w:val="18"/>
        </w:rPr>
      </w:pPr>
      <w:r w:rsidRPr="0064597D">
        <w:rPr>
          <w:rFonts w:cs="Verdana"/>
          <w:sz w:val="18"/>
          <w:szCs w:val="18"/>
        </w:rPr>
        <w:t>Se impondrá la pena de muerte al responsable, cuando con motivo o en ocasión del plagio o secuestro, falleciera la persona secuestrada</w:t>
      </w:r>
      <w:r w:rsidR="008F734A" w:rsidRPr="0064597D">
        <w:rPr>
          <w:rFonts w:cs="Verdana"/>
          <w:sz w:val="18"/>
          <w:szCs w:val="18"/>
        </w:rPr>
        <w:t>”</w:t>
      </w:r>
      <w:r w:rsidRPr="0064597D">
        <w:rPr>
          <w:rStyle w:val="Refdenotaalpie"/>
          <w:rFonts w:cs="Calibri"/>
          <w:sz w:val="18"/>
          <w:szCs w:val="18"/>
          <w:lang w:val="es-VE"/>
        </w:rPr>
        <w:footnoteReference w:id="31"/>
      </w:r>
      <w:r w:rsidRPr="0064597D">
        <w:rPr>
          <w:rFonts w:cs="Verdana"/>
          <w:sz w:val="18"/>
          <w:szCs w:val="18"/>
        </w:rPr>
        <w:t>.</w:t>
      </w:r>
    </w:p>
    <w:p w14:paraId="100AB4C4" w14:textId="77777777" w:rsidR="00CF077D" w:rsidRPr="0064597D" w:rsidRDefault="00CF077D" w:rsidP="00CF077D">
      <w:pPr>
        <w:tabs>
          <w:tab w:val="left" w:pos="567"/>
        </w:tabs>
        <w:spacing w:line="240" w:lineRule="auto"/>
        <w:rPr>
          <w:rFonts w:eastAsia="Batang"/>
          <w:sz w:val="20"/>
          <w:szCs w:val="20"/>
          <w:lang w:eastAsia="en-US"/>
        </w:rPr>
      </w:pPr>
    </w:p>
    <w:p w14:paraId="05C58166" w14:textId="67751867" w:rsidR="00CF077D" w:rsidRPr="0064597D" w:rsidRDefault="00CF077D" w:rsidP="00CF077D">
      <w:pPr>
        <w:numPr>
          <w:ilvl w:val="0"/>
          <w:numId w:val="1"/>
        </w:numPr>
        <w:tabs>
          <w:tab w:val="left" w:pos="567"/>
          <w:tab w:val="num" w:pos="1569"/>
          <w:tab w:val="num" w:pos="12305"/>
        </w:tabs>
        <w:spacing w:line="240" w:lineRule="auto"/>
        <w:ind w:left="0" w:firstLine="0"/>
        <w:rPr>
          <w:rFonts w:cs="Verdana"/>
          <w:sz w:val="20"/>
          <w:szCs w:val="20"/>
        </w:rPr>
      </w:pPr>
      <w:r w:rsidRPr="0064597D">
        <w:rPr>
          <w:rFonts w:cs="Verdana"/>
          <w:sz w:val="20"/>
          <w:szCs w:val="20"/>
        </w:rPr>
        <w:t xml:space="preserve">En lo pertinente a este caso, el citado artículo 201 del Código Penal guatemalteco ha sido objeto </w:t>
      </w:r>
      <w:r w:rsidRPr="0064597D">
        <w:rPr>
          <w:rFonts w:cs="Verdana"/>
          <w:sz w:val="20"/>
          <w:szCs w:val="20"/>
        </w:rPr>
        <w:lastRenderedPageBreak/>
        <w:t xml:space="preserve">de tres modificaciones. La primera reforma fue introducida </w:t>
      </w:r>
      <w:r w:rsidR="000F7AD4" w:rsidRPr="0064597D">
        <w:rPr>
          <w:rFonts w:cs="Verdana"/>
          <w:sz w:val="20"/>
          <w:szCs w:val="20"/>
        </w:rPr>
        <w:t xml:space="preserve">el 26 de abril de 1994 </w:t>
      </w:r>
      <w:r w:rsidRPr="0064597D">
        <w:rPr>
          <w:rFonts w:cs="Verdana"/>
          <w:sz w:val="20"/>
          <w:szCs w:val="20"/>
        </w:rPr>
        <w:t>mediante Decreto Legislativo No. 38/94, que prescribía la pena de muerte para el caso en que el secuestrado fuera una persona menor de doce años o mayor de sesenta, y cuando el secuestrado falleciera o resultara con lesiones graves o gravísimas o con traumas psíquicos o psicológicos permanentes a consecuencia del plagio. En caso de arrepentimiento del autor del delito, la norma contemplaba el beneficio de atenuación de la pena:</w:t>
      </w:r>
    </w:p>
    <w:p w14:paraId="0501D065" w14:textId="77777777" w:rsidR="00CF077D" w:rsidRPr="0064597D" w:rsidRDefault="00CF077D" w:rsidP="00162B86">
      <w:pPr>
        <w:autoSpaceDE w:val="0"/>
        <w:autoSpaceDN w:val="0"/>
        <w:spacing w:line="240" w:lineRule="auto"/>
        <w:ind w:left="708"/>
        <w:rPr>
          <w:rFonts w:cs="Verdana"/>
          <w:sz w:val="18"/>
          <w:szCs w:val="18"/>
        </w:rPr>
      </w:pPr>
    </w:p>
    <w:p w14:paraId="31A457DB" w14:textId="1D3CC921" w:rsidR="00CF077D" w:rsidRPr="0064597D" w:rsidRDefault="00CF077D" w:rsidP="00162B86">
      <w:pPr>
        <w:autoSpaceDE w:val="0"/>
        <w:autoSpaceDN w:val="0"/>
        <w:spacing w:line="240" w:lineRule="auto"/>
        <w:ind w:left="720" w:right="720"/>
        <w:rPr>
          <w:rFonts w:cs="Verdana"/>
          <w:sz w:val="18"/>
          <w:szCs w:val="18"/>
        </w:rPr>
      </w:pPr>
      <w:r w:rsidRPr="0064597D">
        <w:rPr>
          <w:rFonts w:cs="Verdana"/>
          <w:sz w:val="18"/>
          <w:szCs w:val="18"/>
        </w:rPr>
        <w:t xml:space="preserve">El plagio o secuestro de una persona con el objeto de lograr rescate, remuneración, canje de terceras personas, así como cualquier otro propósito ilícito o lucrativo de iguales o análogas características e identidad se castigará con la pena de veinticinco a treinta años de prisión. </w:t>
      </w:r>
    </w:p>
    <w:p w14:paraId="08CB49FF" w14:textId="77777777" w:rsidR="00CF077D" w:rsidRPr="0064597D" w:rsidRDefault="00CF077D" w:rsidP="00162B86">
      <w:pPr>
        <w:autoSpaceDE w:val="0"/>
        <w:autoSpaceDN w:val="0"/>
        <w:spacing w:line="240" w:lineRule="auto"/>
        <w:ind w:left="720" w:right="720"/>
        <w:rPr>
          <w:rFonts w:cs="Verdana"/>
          <w:sz w:val="18"/>
          <w:szCs w:val="18"/>
        </w:rPr>
      </w:pPr>
    </w:p>
    <w:p w14:paraId="79E28284" w14:textId="77777777" w:rsidR="00CF077D" w:rsidRPr="0064597D" w:rsidRDefault="00CF077D" w:rsidP="00162B86">
      <w:pPr>
        <w:autoSpaceDE w:val="0"/>
        <w:autoSpaceDN w:val="0"/>
        <w:spacing w:line="240" w:lineRule="auto"/>
        <w:ind w:left="720" w:right="720"/>
        <w:jc w:val="left"/>
        <w:rPr>
          <w:rFonts w:cs="Verdana"/>
          <w:sz w:val="18"/>
          <w:szCs w:val="18"/>
        </w:rPr>
      </w:pPr>
      <w:r w:rsidRPr="0064597D">
        <w:rPr>
          <w:rFonts w:cs="Verdana"/>
          <w:sz w:val="18"/>
          <w:szCs w:val="18"/>
        </w:rPr>
        <w:t xml:space="preserve">Se impondrá la pena de muerte al responsable en los siguientes casos: </w:t>
      </w:r>
    </w:p>
    <w:p w14:paraId="01B5FBB7" w14:textId="77777777" w:rsidR="00CF077D" w:rsidRPr="0064597D" w:rsidRDefault="00CF077D" w:rsidP="00162B86">
      <w:pPr>
        <w:autoSpaceDE w:val="0"/>
        <w:autoSpaceDN w:val="0"/>
        <w:spacing w:line="240" w:lineRule="auto"/>
        <w:ind w:left="720" w:right="720"/>
        <w:rPr>
          <w:rFonts w:cs="Verdana"/>
          <w:sz w:val="18"/>
          <w:szCs w:val="18"/>
        </w:rPr>
      </w:pPr>
      <w:r w:rsidRPr="0064597D">
        <w:rPr>
          <w:rFonts w:cs="Verdana"/>
          <w:sz w:val="18"/>
          <w:szCs w:val="18"/>
        </w:rPr>
        <w:t xml:space="preserve">a) si se tratare de menores de doce años de edad o personas mayores de sesenta años; </w:t>
      </w:r>
    </w:p>
    <w:p w14:paraId="3D865567" w14:textId="77777777" w:rsidR="00CF077D" w:rsidRPr="0064597D" w:rsidRDefault="00CF077D" w:rsidP="00162B86">
      <w:pPr>
        <w:autoSpaceDE w:val="0"/>
        <w:autoSpaceDN w:val="0"/>
        <w:spacing w:line="240" w:lineRule="auto"/>
        <w:ind w:left="720" w:right="720"/>
        <w:rPr>
          <w:rFonts w:cs="Verdana"/>
          <w:sz w:val="18"/>
          <w:szCs w:val="18"/>
        </w:rPr>
      </w:pPr>
      <w:r w:rsidRPr="0064597D">
        <w:rPr>
          <w:rFonts w:cs="Verdana"/>
          <w:sz w:val="18"/>
          <w:szCs w:val="18"/>
        </w:rPr>
        <w:t xml:space="preserve">b) cuando con motivo o en ocasión del plagio o secuestro, la persona secuestrada resultare con lesiones graves o gravísimas, trauma psíquico o psicológico permanente o falleciere. </w:t>
      </w:r>
    </w:p>
    <w:p w14:paraId="6587138E" w14:textId="77777777" w:rsidR="00CF077D" w:rsidRPr="0064597D" w:rsidRDefault="00CF077D" w:rsidP="00162B86">
      <w:pPr>
        <w:autoSpaceDE w:val="0"/>
        <w:autoSpaceDN w:val="0"/>
        <w:spacing w:line="240" w:lineRule="auto"/>
        <w:ind w:left="708"/>
        <w:rPr>
          <w:rFonts w:cs="Verdana"/>
          <w:sz w:val="18"/>
          <w:szCs w:val="18"/>
        </w:rPr>
      </w:pPr>
    </w:p>
    <w:p w14:paraId="0A0615D7" w14:textId="3FFCBE8C" w:rsidR="00CF077D" w:rsidRPr="0064597D" w:rsidRDefault="00CF077D" w:rsidP="00162B86">
      <w:pPr>
        <w:tabs>
          <w:tab w:val="left" w:pos="567"/>
        </w:tabs>
        <w:spacing w:line="240" w:lineRule="auto"/>
        <w:ind w:left="720" w:right="720"/>
        <w:rPr>
          <w:rFonts w:eastAsia="Batang"/>
          <w:sz w:val="20"/>
          <w:szCs w:val="20"/>
          <w:lang w:eastAsia="en-US"/>
        </w:rPr>
      </w:pPr>
      <w:r w:rsidRPr="0064597D">
        <w:rPr>
          <w:rFonts w:cs="Verdana"/>
          <w:sz w:val="18"/>
          <w:szCs w:val="18"/>
        </w:rPr>
        <w:t>Al autor de este delito que se arrepintiere en cualquiera de sus etapas o diere datos para lograr la feliz solución del plagio o secuestro, se le podrá atenuar la pena correspondiente</w:t>
      </w:r>
      <w:r w:rsidRPr="0064597D">
        <w:rPr>
          <w:rStyle w:val="Refdenotaalpie"/>
          <w:rFonts w:cs="Verdana"/>
          <w:sz w:val="18"/>
          <w:szCs w:val="18"/>
        </w:rPr>
        <w:footnoteReference w:id="32"/>
      </w:r>
      <w:r w:rsidRPr="0064597D">
        <w:rPr>
          <w:rFonts w:cs="Verdana"/>
          <w:sz w:val="18"/>
          <w:szCs w:val="18"/>
        </w:rPr>
        <w:t>.</w:t>
      </w:r>
    </w:p>
    <w:p w14:paraId="2680981F" w14:textId="77777777" w:rsidR="00CF077D" w:rsidRPr="0064597D" w:rsidRDefault="00CF077D" w:rsidP="00CF077D">
      <w:pPr>
        <w:tabs>
          <w:tab w:val="left" w:pos="567"/>
        </w:tabs>
        <w:spacing w:line="240" w:lineRule="auto"/>
        <w:rPr>
          <w:rFonts w:eastAsia="Batang"/>
          <w:sz w:val="20"/>
          <w:szCs w:val="20"/>
          <w:lang w:eastAsia="en-US"/>
        </w:rPr>
      </w:pPr>
    </w:p>
    <w:p w14:paraId="2E58ADE3" w14:textId="75B7B3C3" w:rsidR="00CF077D" w:rsidRPr="0064597D" w:rsidRDefault="00CF077D" w:rsidP="00CF077D">
      <w:pPr>
        <w:numPr>
          <w:ilvl w:val="0"/>
          <w:numId w:val="1"/>
        </w:numPr>
        <w:tabs>
          <w:tab w:val="left" w:pos="567"/>
          <w:tab w:val="num" w:pos="1569"/>
          <w:tab w:val="num" w:pos="12305"/>
        </w:tabs>
        <w:spacing w:line="240" w:lineRule="auto"/>
        <w:ind w:left="0" w:firstLine="0"/>
        <w:rPr>
          <w:rFonts w:cs="Verdana"/>
          <w:sz w:val="20"/>
          <w:szCs w:val="20"/>
        </w:rPr>
      </w:pPr>
      <w:r w:rsidRPr="0064597D">
        <w:rPr>
          <w:rFonts w:cs="Verdana"/>
          <w:sz w:val="20"/>
          <w:szCs w:val="20"/>
        </w:rPr>
        <w:t xml:space="preserve">La segunda reforma se introdujo </w:t>
      </w:r>
      <w:r w:rsidR="000F7AD4" w:rsidRPr="0064597D">
        <w:rPr>
          <w:rFonts w:cs="Verdana"/>
          <w:sz w:val="20"/>
          <w:szCs w:val="20"/>
        </w:rPr>
        <w:t xml:space="preserve">el 16 de marzo de 1995 </w:t>
      </w:r>
      <w:r w:rsidRPr="0064597D">
        <w:rPr>
          <w:rFonts w:cs="Verdana"/>
          <w:sz w:val="20"/>
          <w:szCs w:val="20"/>
        </w:rPr>
        <w:t xml:space="preserve">mediante Decreto Legislativo No. 14/95, </w:t>
      </w:r>
      <w:r w:rsidR="00A91C76" w:rsidRPr="0064597D">
        <w:rPr>
          <w:rFonts w:cs="Verdana"/>
          <w:sz w:val="20"/>
          <w:szCs w:val="20"/>
        </w:rPr>
        <w:t xml:space="preserve">el cual </w:t>
      </w:r>
      <w:r w:rsidRPr="0064597D">
        <w:rPr>
          <w:rFonts w:cs="Verdana"/>
          <w:sz w:val="20"/>
          <w:szCs w:val="20"/>
        </w:rPr>
        <w:t>sancionaba a todo culpable del delito de secuestro con pena de muerte. La reforma excluía todas las causales de atenuación de la pena:</w:t>
      </w:r>
    </w:p>
    <w:p w14:paraId="1B13A207" w14:textId="77777777" w:rsidR="00CF077D" w:rsidRPr="0064597D" w:rsidRDefault="00CF077D" w:rsidP="00CF077D">
      <w:pPr>
        <w:autoSpaceDE w:val="0"/>
        <w:autoSpaceDN w:val="0"/>
        <w:spacing w:line="240" w:lineRule="auto"/>
        <w:ind w:left="708"/>
        <w:rPr>
          <w:rFonts w:cs="Verdana"/>
          <w:sz w:val="18"/>
          <w:szCs w:val="18"/>
        </w:rPr>
      </w:pPr>
    </w:p>
    <w:p w14:paraId="5B3BA1BC" w14:textId="10901A02" w:rsidR="00CF077D" w:rsidRPr="0064597D" w:rsidRDefault="00CF077D" w:rsidP="00CF077D">
      <w:pPr>
        <w:autoSpaceDE w:val="0"/>
        <w:autoSpaceDN w:val="0"/>
        <w:spacing w:line="240" w:lineRule="auto"/>
        <w:ind w:left="720" w:right="720"/>
        <w:rPr>
          <w:rFonts w:cs="Verdana"/>
          <w:sz w:val="18"/>
          <w:szCs w:val="18"/>
        </w:rPr>
      </w:pPr>
      <w:r w:rsidRPr="0064597D">
        <w:rPr>
          <w:rFonts w:cs="Verdana"/>
          <w:sz w:val="18"/>
          <w:szCs w:val="18"/>
        </w:rPr>
        <w:t>A los autores materiales del delito de plagio o secuestro de una o más personas, con el propósito de lograr rescate, canje de personas o la toma de cualquier decisión contraria a la voluntad del secuestrado o con cualquier otro propósito similar o igual, se les aplicará la pena de muerte. En este caso no se apreciará ninguna circunstancia atenuante […]</w:t>
      </w:r>
      <w:r w:rsidRPr="0064597D">
        <w:rPr>
          <w:rStyle w:val="Refdenotaalpie"/>
          <w:rFonts w:cs="Verdana"/>
          <w:sz w:val="18"/>
          <w:szCs w:val="18"/>
        </w:rPr>
        <w:footnoteReference w:id="33"/>
      </w:r>
      <w:r w:rsidRPr="0064597D">
        <w:rPr>
          <w:rFonts w:cs="Verdana"/>
          <w:sz w:val="18"/>
          <w:szCs w:val="18"/>
        </w:rPr>
        <w:t>.</w:t>
      </w:r>
    </w:p>
    <w:p w14:paraId="19B8962C" w14:textId="77777777" w:rsidR="00CF077D" w:rsidRPr="0064597D" w:rsidRDefault="00CF077D" w:rsidP="00CF077D">
      <w:pPr>
        <w:spacing w:line="240" w:lineRule="auto"/>
        <w:rPr>
          <w:i/>
          <w:sz w:val="20"/>
          <w:szCs w:val="20"/>
        </w:rPr>
      </w:pPr>
    </w:p>
    <w:p w14:paraId="5965C689" w14:textId="035E4FAA" w:rsidR="00CF077D" w:rsidRPr="0064597D" w:rsidRDefault="00CF077D" w:rsidP="00B0647D">
      <w:pPr>
        <w:numPr>
          <w:ilvl w:val="0"/>
          <w:numId w:val="1"/>
        </w:numPr>
        <w:tabs>
          <w:tab w:val="left" w:pos="567"/>
          <w:tab w:val="num" w:pos="1569"/>
          <w:tab w:val="num" w:pos="12305"/>
        </w:tabs>
        <w:spacing w:line="240" w:lineRule="auto"/>
        <w:ind w:left="0" w:firstLine="0"/>
        <w:rPr>
          <w:rFonts w:cs="Verdana"/>
          <w:sz w:val="20"/>
          <w:szCs w:val="20"/>
        </w:rPr>
      </w:pPr>
      <w:bookmarkStart w:id="46" w:name="reformacp"/>
      <w:r w:rsidRPr="0064597D">
        <w:rPr>
          <w:rFonts w:cs="Verdana"/>
          <w:sz w:val="20"/>
          <w:szCs w:val="20"/>
        </w:rPr>
        <w:t xml:space="preserve">La tercera reforma del citado artículo 201 del Código Penal </w:t>
      </w:r>
      <w:r w:rsidR="00B0647D" w:rsidRPr="0064597D">
        <w:rPr>
          <w:rFonts w:cs="Verdana"/>
          <w:sz w:val="20"/>
          <w:szCs w:val="20"/>
        </w:rPr>
        <w:t>fue introducida el 19 de septiembre de 1996</w:t>
      </w:r>
      <w:r w:rsidRPr="0064597D">
        <w:rPr>
          <w:rFonts w:cs="Verdana"/>
          <w:sz w:val="20"/>
          <w:szCs w:val="20"/>
        </w:rPr>
        <w:t xml:space="preserve"> mediante el Decreto Legislativo No. 81/96, vigente en Guatemala desde el 21 de octubre de 1996 hasta la actualidad. Esta reforma prescribe la pena de muerte como única sanción aplicable a los autores materiales o intelectuales del delito de secuestro:</w:t>
      </w:r>
    </w:p>
    <w:bookmarkEnd w:id="46"/>
    <w:p w14:paraId="307E6A96" w14:textId="77777777" w:rsidR="00CF077D" w:rsidRPr="0064597D" w:rsidRDefault="00CF077D" w:rsidP="00CF077D">
      <w:pPr>
        <w:autoSpaceDE w:val="0"/>
        <w:autoSpaceDN w:val="0"/>
        <w:spacing w:line="240" w:lineRule="auto"/>
        <w:rPr>
          <w:rFonts w:cs="Verdana"/>
          <w:sz w:val="16"/>
          <w:szCs w:val="16"/>
        </w:rPr>
      </w:pPr>
    </w:p>
    <w:p w14:paraId="7CCBB6C8" w14:textId="1B79738F" w:rsidR="00CF077D" w:rsidRPr="0064597D" w:rsidRDefault="00CF077D" w:rsidP="00CF077D">
      <w:pPr>
        <w:autoSpaceDE w:val="0"/>
        <w:autoSpaceDN w:val="0"/>
        <w:spacing w:line="240" w:lineRule="auto"/>
        <w:ind w:left="720" w:right="720"/>
        <w:rPr>
          <w:rFonts w:cs="Verdana"/>
          <w:sz w:val="18"/>
          <w:szCs w:val="18"/>
        </w:rPr>
      </w:pPr>
      <w:r w:rsidRPr="0064597D">
        <w:rPr>
          <w:rFonts w:cs="Verdana"/>
          <w:sz w:val="18"/>
          <w:szCs w:val="18"/>
        </w:rPr>
        <w:t>A los autores materiales o intelectuales del delito de plagio o secuestro de una o más personas con el propósito de lograr rescate, canje de personas o la toma de cualquier decisión contraria a la voluntad del secuestrado o con cualquiera otro propósito similar o igual, se les aplicará la pena de muerte, y cuando ésta no pueda ser impuesta, se aplicará prisión de veinticinco a cincuenta años. En este caso no se apreciará ninguna circunstancia atenuante.</w:t>
      </w:r>
    </w:p>
    <w:p w14:paraId="2E302300" w14:textId="77777777" w:rsidR="00CF077D" w:rsidRPr="0064597D" w:rsidRDefault="00CF077D" w:rsidP="00CF077D">
      <w:pPr>
        <w:autoSpaceDE w:val="0"/>
        <w:autoSpaceDN w:val="0"/>
        <w:spacing w:line="240" w:lineRule="auto"/>
        <w:ind w:left="720" w:right="720"/>
        <w:rPr>
          <w:rFonts w:cs="Verdana"/>
          <w:sz w:val="18"/>
          <w:szCs w:val="18"/>
        </w:rPr>
      </w:pPr>
    </w:p>
    <w:p w14:paraId="07BB72B9" w14:textId="77777777" w:rsidR="00CF077D" w:rsidRPr="0064597D" w:rsidRDefault="00CF077D" w:rsidP="00CF077D">
      <w:pPr>
        <w:autoSpaceDE w:val="0"/>
        <w:autoSpaceDN w:val="0"/>
        <w:spacing w:line="240" w:lineRule="auto"/>
        <w:ind w:left="720" w:right="720"/>
        <w:rPr>
          <w:rFonts w:cs="Verdana"/>
          <w:sz w:val="18"/>
          <w:szCs w:val="18"/>
        </w:rPr>
      </w:pPr>
      <w:r w:rsidRPr="0064597D">
        <w:rPr>
          <w:rFonts w:cs="Verdana"/>
          <w:sz w:val="18"/>
          <w:szCs w:val="18"/>
        </w:rPr>
        <w:t xml:space="preserve">Los cómplices o encubridores serán sancionados con pena de veinte a cuarenta años de prisión. </w:t>
      </w:r>
    </w:p>
    <w:p w14:paraId="3D2CCDC4" w14:textId="77777777" w:rsidR="00CF077D" w:rsidRPr="0064597D" w:rsidRDefault="00CF077D" w:rsidP="00CF077D">
      <w:pPr>
        <w:autoSpaceDE w:val="0"/>
        <w:autoSpaceDN w:val="0"/>
        <w:spacing w:line="240" w:lineRule="auto"/>
        <w:ind w:left="720" w:right="720"/>
        <w:rPr>
          <w:rFonts w:cs="Verdana"/>
          <w:sz w:val="18"/>
          <w:szCs w:val="18"/>
        </w:rPr>
      </w:pPr>
    </w:p>
    <w:p w14:paraId="7ADEB8A2" w14:textId="1D52FCE2" w:rsidR="00CF077D" w:rsidRPr="0064597D" w:rsidRDefault="00CF077D" w:rsidP="00CF077D">
      <w:pPr>
        <w:autoSpaceDE w:val="0"/>
        <w:autoSpaceDN w:val="0"/>
        <w:spacing w:line="240" w:lineRule="auto"/>
        <w:ind w:left="720" w:right="720"/>
        <w:rPr>
          <w:rFonts w:cs="Verdana"/>
          <w:sz w:val="18"/>
          <w:szCs w:val="18"/>
        </w:rPr>
      </w:pPr>
      <w:r w:rsidRPr="0064597D">
        <w:rPr>
          <w:rFonts w:cs="Verdana"/>
          <w:sz w:val="18"/>
          <w:szCs w:val="18"/>
        </w:rPr>
        <w:t>A quienes sea condenados a prisión por el delito de plagio o secuestro, no podrá concedérseles rebaja de pena por ninguna causa</w:t>
      </w:r>
      <w:r w:rsidRPr="0064597D">
        <w:rPr>
          <w:rStyle w:val="Refdenotaalpie"/>
          <w:rFonts w:cs="Verdana"/>
          <w:sz w:val="18"/>
          <w:szCs w:val="18"/>
        </w:rPr>
        <w:footnoteReference w:id="34"/>
      </w:r>
      <w:r w:rsidRPr="0064597D">
        <w:rPr>
          <w:rFonts w:cs="Verdana"/>
          <w:sz w:val="18"/>
          <w:szCs w:val="18"/>
        </w:rPr>
        <w:t>.</w:t>
      </w:r>
    </w:p>
    <w:p w14:paraId="2A0474A8" w14:textId="77777777" w:rsidR="00B0647D" w:rsidRPr="0064597D" w:rsidRDefault="00B0647D" w:rsidP="00CF077D">
      <w:pPr>
        <w:autoSpaceDE w:val="0"/>
        <w:autoSpaceDN w:val="0"/>
        <w:spacing w:line="240" w:lineRule="auto"/>
        <w:ind w:left="720" w:right="720"/>
        <w:rPr>
          <w:rFonts w:cs="Verdana"/>
          <w:sz w:val="16"/>
          <w:szCs w:val="16"/>
        </w:rPr>
      </w:pPr>
    </w:p>
    <w:p w14:paraId="2D89DD0A" w14:textId="625AA6C3" w:rsidR="00CF077D" w:rsidRPr="0064597D" w:rsidRDefault="00CF077D" w:rsidP="00CF077D">
      <w:pPr>
        <w:numPr>
          <w:ilvl w:val="0"/>
          <w:numId w:val="1"/>
        </w:numPr>
        <w:tabs>
          <w:tab w:val="left" w:pos="567"/>
          <w:tab w:val="num" w:pos="1569"/>
          <w:tab w:val="num" w:pos="12305"/>
        </w:tabs>
        <w:spacing w:line="240" w:lineRule="auto"/>
        <w:ind w:left="0" w:firstLine="0"/>
        <w:rPr>
          <w:rFonts w:cs="Verdana"/>
          <w:sz w:val="20"/>
          <w:szCs w:val="20"/>
        </w:rPr>
      </w:pPr>
      <w:r w:rsidRPr="0064597D">
        <w:rPr>
          <w:rFonts w:cs="Verdana"/>
          <w:sz w:val="20"/>
          <w:szCs w:val="20"/>
        </w:rPr>
        <w:t>El 31 de octubre de 2000 la Corte de Constitucionalidad de</w:t>
      </w:r>
      <w:r w:rsidR="00EF1A1B" w:rsidRPr="0064597D">
        <w:rPr>
          <w:rFonts w:cs="Verdana"/>
          <w:sz w:val="20"/>
          <w:szCs w:val="20"/>
        </w:rPr>
        <w:t xml:space="preserve"> la República de</w:t>
      </w:r>
      <w:r w:rsidRPr="0064597D">
        <w:rPr>
          <w:rFonts w:cs="Verdana"/>
          <w:sz w:val="20"/>
          <w:szCs w:val="20"/>
        </w:rPr>
        <w:t xml:space="preserve"> Guatemala</w:t>
      </w:r>
      <w:r w:rsidR="00EF1A1B" w:rsidRPr="0064597D">
        <w:rPr>
          <w:rFonts w:cs="Verdana"/>
          <w:sz w:val="20"/>
          <w:szCs w:val="20"/>
        </w:rPr>
        <w:t xml:space="preserve"> (en adelante, “Corte de Constitucionalidad”)</w:t>
      </w:r>
      <w:r w:rsidRPr="0064597D">
        <w:rPr>
          <w:rFonts w:cs="Verdana"/>
          <w:sz w:val="20"/>
          <w:szCs w:val="20"/>
        </w:rPr>
        <w:t xml:space="preserve">, en calidad de tribunal extraordinario de amparo, emitió un fallo en el que cuestionó la ampliación de la aplicación de la pena de muerte para el delito de secuestro según la última reforma del Código Penal. Dicho tribunal consideró </w:t>
      </w:r>
      <w:r w:rsidR="00822E28" w:rsidRPr="0064597D">
        <w:rPr>
          <w:rFonts w:cs="Verdana"/>
          <w:sz w:val="20"/>
          <w:szCs w:val="20"/>
        </w:rPr>
        <w:t>lo siguiente</w:t>
      </w:r>
      <w:r w:rsidRPr="0064597D">
        <w:rPr>
          <w:rFonts w:cs="Verdana"/>
          <w:sz w:val="20"/>
          <w:szCs w:val="20"/>
        </w:rPr>
        <w:t xml:space="preserve">: </w:t>
      </w:r>
    </w:p>
    <w:p w14:paraId="1CF19F67" w14:textId="77777777" w:rsidR="00CF077D" w:rsidRPr="0064597D" w:rsidRDefault="00CF077D" w:rsidP="00CF077D">
      <w:pPr>
        <w:autoSpaceDE w:val="0"/>
        <w:autoSpaceDN w:val="0"/>
        <w:spacing w:line="240" w:lineRule="auto"/>
        <w:ind w:left="708"/>
        <w:rPr>
          <w:rFonts w:cs="Verdana"/>
          <w:sz w:val="18"/>
          <w:szCs w:val="18"/>
        </w:rPr>
      </w:pPr>
    </w:p>
    <w:p w14:paraId="7C7CF2EE" w14:textId="3D8761AC" w:rsidR="00CF077D" w:rsidRPr="0064597D" w:rsidRDefault="00B5100E" w:rsidP="00CF077D">
      <w:pPr>
        <w:autoSpaceDE w:val="0"/>
        <w:autoSpaceDN w:val="0"/>
        <w:spacing w:line="240" w:lineRule="auto"/>
        <w:ind w:left="720" w:right="720"/>
        <w:rPr>
          <w:rFonts w:cs="Verdana"/>
          <w:sz w:val="18"/>
          <w:szCs w:val="18"/>
        </w:rPr>
      </w:pPr>
      <w:r>
        <w:rPr>
          <w:rFonts w:cs="Verdana"/>
          <w:sz w:val="18"/>
          <w:szCs w:val="18"/>
        </w:rPr>
        <w:t xml:space="preserve">[…] </w:t>
      </w:r>
      <w:r w:rsidR="00822E28" w:rsidRPr="0064597D">
        <w:rPr>
          <w:rFonts w:cs="Verdana"/>
          <w:sz w:val="18"/>
          <w:szCs w:val="18"/>
        </w:rPr>
        <w:t>[E]</w:t>
      </w:r>
      <w:r w:rsidR="00CF077D" w:rsidRPr="0064597D">
        <w:rPr>
          <w:rFonts w:cs="Verdana"/>
          <w:sz w:val="18"/>
          <w:szCs w:val="18"/>
        </w:rPr>
        <w:t xml:space="preserve">l delito sancionado con pena de muerte en el artículo 201 del Código Penal antes de la vigencia del Pacto de San José era un delito complejo cuyo tipo configuraba dos conductas punibles a) el secuestro de persona y b) la muerte de la víctima. Que un delito (plagio más muerte de la víctima) es un delito distinto del otro (plagio simple) aunque no hubiese variado el </w:t>
      </w:r>
      <w:r w:rsidR="00CF077D" w:rsidRPr="0064597D">
        <w:rPr>
          <w:rFonts w:cs="Verdana"/>
          <w:i/>
          <w:sz w:val="18"/>
          <w:szCs w:val="18"/>
        </w:rPr>
        <w:t>nomen</w:t>
      </w:r>
      <w:r w:rsidR="00CF077D" w:rsidRPr="0064597D">
        <w:rPr>
          <w:rFonts w:cs="Verdana"/>
          <w:sz w:val="18"/>
          <w:szCs w:val="18"/>
        </w:rPr>
        <w:t xml:space="preserve">, pues en el primero se perfila la protección del bien jurídico superior: la vida. En cambio, </w:t>
      </w:r>
      <w:r w:rsidR="00CF077D" w:rsidRPr="0064597D">
        <w:rPr>
          <w:rFonts w:cs="Verdana"/>
          <w:sz w:val="18"/>
          <w:szCs w:val="18"/>
        </w:rPr>
        <w:lastRenderedPageBreak/>
        <w:t>en el otro, el bien protegido es la libertad individual [...]. El delito de secuestro o plagio no seguido de muerte de la víctima no tuvo prevista pena de muerte en el artículo 201 del Código Penal vigente al momento en que la Convención Americana sobre Derechos Humanos vinculó normativamente al Estado de Guatemala</w:t>
      </w:r>
      <w:r w:rsidR="00CF077D" w:rsidRPr="0064597D">
        <w:rPr>
          <w:rStyle w:val="Refdenotaalpie"/>
          <w:rFonts w:cs="Verdana"/>
          <w:sz w:val="18"/>
          <w:szCs w:val="18"/>
        </w:rPr>
        <w:footnoteReference w:id="35"/>
      </w:r>
      <w:r w:rsidR="00CF077D" w:rsidRPr="0064597D">
        <w:rPr>
          <w:rFonts w:cs="Verdana"/>
          <w:sz w:val="18"/>
          <w:szCs w:val="18"/>
        </w:rPr>
        <w:t>.</w:t>
      </w:r>
    </w:p>
    <w:p w14:paraId="60807D5C" w14:textId="77777777" w:rsidR="00CF077D" w:rsidRPr="0064597D" w:rsidRDefault="00CF077D" w:rsidP="00EE5F9B">
      <w:pPr>
        <w:spacing w:line="240" w:lineRule="auto"/>
        <w:rPr>
          <w:i/>
          <w:sz w:val="20"/>
          <w:szCs w:val="20"/>
        </w:rPr>
      </w:pPr>
    </w:p>
    <w:p w14:paraId="3C5617A7" w14:textId="1EDFCA4E" w:rsidR="00CF077D" w:rsidRPr="0064597D" w:rsidRDefault="00B0647D" w:rsidP="00EE5F9B">
      <w:pPr>
        <w:numPr>
          <w:ilvl w:val="0"/>
          <w:numId w:val="1"/>
        </w:numPr>
        <w:tabs>
          <w:tab w:val="left" w:pos="567"/>
          <w:tab w:val="num" w:pos="1569"/>
          <w:tab w:val="num" w:pos="12305"/>
        </w:tabs>
        <w:spacing w:line="240" w:lineRule="auto"/>
        <w:ind w:left="0" w:firstLine="0"/>
        <w:rPr>
          <w:rFonts w:cs="Verdana"/>
          <w:sz w:val="20"/>
          <w:szCs w:val="20"/>
        </w:rPr>
      </w:pPr>
      <w:r w:rsidRPr="0064597D">
        <w:rPr>
          <w:rFonts w:cs="Verdana"/>
          <w:sz w:val="20"/>
          <w:szCs w:val="20"/>
        </w:rPr>
        <w:t>El 4 de julio de 2001 l</w:t>
      </w:r>
      <w:r w:rsidR="00CF077D" w:rsidRPr="0064597D">
        <w:rPr>
          <w:rFonts w:cs="Verdana"/>
          <w:sz w:val="20"/>
          <w:szCs w:val="20"/>
        </w:rPr>
        <w:t xml:space="preserve">a Corte de Constitucionalidad cambió de criterio en la sentencia que emitió con ocasión del recurso de amparo interpuesto por el señor </w:t>
      </w:r>
      <w:r w:rsidR="008A0097" w:rsidRPr="0064597D">
        <w:rPr>
          <w:rFonts w:cs="Verdana"/>
          <w:sz w:val="20"/>
          <w:szCs w:val="20"/>
        </w:rPr>
        <w:t>Ruiz Fuentes</w:t>
      </w:r>
      <w:r w:rsidR="008A0097" w:rsidRPr="0064597D">
        <w:rPr>
          <w:rStyle w:val="Refdenotaalpie"/>
          <w:rFonts w:cs="Verdana"/>
          <w:sz w:val="20"/>
          <w:szCs w:val="20"/>
        </w:rPr>
        <w:footnoteReference w:id="36"/>
      </w:r>
      <w:r w:rsidR="00CF077D" w:rsidRPr="0064597D">
        <w:rPr>
          <w:rFonts w:cs="Verdana"/>
          <w:sz w:val="20"/>
          <w:szCs w:val="20"/>
        </w:rPr>
        <w:t xml:space="preserve">. Dicha Corte señaló, </w:t>
      </w:r>
      <w:r w:rsidR="00CF077D" w:rsidRPr="0064597D">
        <w:rPr>
          <w:rFonts w:cs="Verdana"/>
          <w:i/>
          <w:iCs/>
          <w:sz w:val="20"/>
          <w:szCs w:val="20"/>
        </w:rPr>
        <w:t>inter alia</w:t>
      </w:r>
      <w:r w:rsidR="00CF077D" w:rsidRPr="0064597D">
        <w:rPr>
          <w:rFonts w:cs="Verdana"/>
          <w:sz w:val="20"/>
          <w:szCs w:val="20"/>
        </w:rPr>
        <w:t>, que “</w:t>
      </w:r>
      <w:r w:rsidR="00EE5F9B" w:rsidRPr="0064597D">
        <w:rPr>
          <w:rFonts w:cs="Verdana"/>
          <w:sz w:val="20"/>
          <w:szCs w:val="20"/>
        </w:rPr>
        <w:t>lo que el legislador ha realizado en las reformas […] es extender la aplicación de la pena –</w:t>
      </w:r>
      <w:r w:rsidR="00162B86" w:rsidRPr="0064597D">
        <w:rPr>
          <w:rFonts w:cs="Verdana"/>
          <w:sz w:val="20"/>
          <w:szCs w:val="20"/>
        </w:rPr>
        <w:t xml:space="preserve"> </w:t>
      </w:r>
      <w:r w:rsidR="00EE5F9B" w:rsidRPr="0064597D">
        <w:rPr>
          <w:rFonts w:cs="Verdana"/>
          <w:sz w:val="20"/>
          <w:szCs w:val="20"/>
        </w:rPr>
        <w:t>en este caso</w:t>
      </w:r>
      <w:r w:rsidR="00162B86" w:rsidRPr="0064597D">
        <w:rPr>
          <w:rFonts w:cs="Verdana"/>
          <w:sz w:val="20"/>
          <w:szCs w:val="20"/>
        </w:rPr>
        <w:t>,</w:t>
      </w:r>
      <w:r w:rsidR="00EE5F9B" w:rsidRPr="0064597D">
        <w:rPr>
          <w:rFonts w:cs="Verdana"/>
          <w:sz w:val="20"/>
          <w:szCs w:val="20"/>
        </w:rPr>
        <w:t xml:space="preserve"> la de muerte – atendiendo al criterio de autoría de las personas que cometen el delito de secuestro, extensión que no prohíbe la Convención [Americana] en su artículo 4 numeral 2 por tratarse de un mismo delito y no extenderse la aplicación de dicha pena a otros ilícitos penales que en la fecha de inicio de la vigencia de dicha Convención no tuvieren contemplada tal pena</w:t>
      </w:r>
      <w:r w:rsidR="00CF077D" w:rsidRPr="0064597D">
        <w:rPr>
          <w:rFonts w:cs="Verdana"/>
          <w:sz w:val="20"/>
          <w:szCs w:val="20"/>
        </w:rPr>
        <w:t>”</w:t>
      </w:r>
      <w:r w:rsidR="00CF077D" w:rsidRPr="0064597D">
        <w:rPr>
          <w:rStyle w:val="Refdenotaalpie"/>
          <w:rFonts w:cs="Verdana"/>
          <w:sz w:val="20"/>
          <w:szCs w:val="20"/>
        </w:rPr>
        <w:footnoteReference w:id="37"/>
      </w:r>
      <w:r w:rsidR="00CF077D" w:rsidRPr="0064597D">
        <w:rPr>
          <w:rFonts w:cs="Verdana"/>
          <w:sz w:val="20"/>
          <w:szCs w:val="20"/>
        </w:rPr>
        <w:t xml:space="preserve">. </w:t>
      </w:r>
    </w:p>
    <w:p w14:paraId="4DD6245B" w14:textId="77777777" w:rsidR="00CF077D" w:rsidRPr="0064597D" w:rsidRDefault="00CF077D" w:rsidP="00EE5F9B">
      <w:pPr>
        <w:spacing w:line="240" w:lineRule="auto"/>
        <w:rPr>
          <w:i/>
          <w:sz w:val="20"/>
          <w:szCs w:val="20"/>
        </w:rPr>
      </w:pPr>
    </w:p>
    <w:p w14:paraId="5ED149EF" w14:textId="7C0E072D" w:rsidR="00B0647D" w:rsidRPr="0064597D" w:rsidRDefault="00B0647D" w:rsidP="00B0647D">
      <w:pPr>
        <w:numPr>
          <w:ilvl w:val="0"/>
          <w:numId w:val="1"/>
        </w:numPr>
        <w:tabs>
          <w:tab w:val="left" w:pos="567"/>
          <w:tab w:val="num" w:pos="1569"/>
          <w:tab w:val="num" w:pos="12305"/>
        </w:tabs>
        <w:spacing w:line="240" w:lineRule="auto"/>
        <w:ind w:left="0" w:firstLine="0"/>
        <w:rPr>
          <w:rFonts w:eastAsia="Calibri" w:cs="Arial"/>
          <w:bCs/>
          <w:sz w:val="20"/>
          <w:szCs w:val="20"/>
          <w:lang w:val="es-ES_tradnl" w:eastAsia="en-US"/>
        </w:rPr>
      </w:pPr>
      <w:r w:rsidRPr="0064597D">
        <w:rPr>
          <w:rFonts w:eastAsia="Calibri" w:cs="Arial"/>
          <w:bCs/>
          <w:sz w:val="20"/>
          <w:szCs w:val="20"/>
          <w:lang w:val="es-ES_tradnl" w:eastAsia="en-US"/>
        </w:rPr>
        <w:t xml:space="preserve">El 24 de octubre de 2017 la Corte de Constitucionalidad, con base, </w:t>
      </w:r>
      <w:r w:rsidRPr="0064597D">
        <w:rPr>
          <w:rFonts w:eastAsia="Calibri" w:cs="Arial"/>
          <w:bCs/>
          <w:i/>
          <w:sz w:val="20"/>
          <w:szCs w:val="20"/>
          <w:lang w:val="es-ES_tradnl" w:eastAsia="en-US"/>
        </w:rPr>
        <w:t>inter alia</w:t>
      </w:r>
      <w:r w:rsidRPr="0064597D">
        <w:rPr>
          <w:rFonts w:eastAsia="Calibri" w:cs="Arial"/>
          <w:bCs/>
          <w:sz w:val="20"/>
          <w:szCs w:val="20"/>
          <w:lang w:val="es-ES_tradnl" w:eastAsia="en-US"/>
        </w:rPr>
        <w:t xml:space="preserve">, en lo declarado </w:t>
      </w:r>
      <w:r w:rsidRPr="0064597D">
        <w:rPr>
          <w:sz w:val="20"/>
          <w:szCs w:val="20"/>
        </w:rPr>
        <w:t>por</w:t>
      </w:r>
      <w:r w:rsidRPr="0064597D">
        <w:rPr>
          <w:rFonts w:eastAsia="Calibri" w:cs="Arial"/>
          <w:bCs/>
          <w:sz w:val="20"/>
          <w:szCs w:val="20"/>
          <w:lang w:val="es-ES_tradnl" w:eastAsia="en-US"/>
        </w:rPr>
        <w:t xml:space="preserve"> la Corte en el caso </w:t>
      </w:r>
      <w:r w:rsidRPr="0064597D">
        <w:rPr>
          <w:rFonts w:eastAsia="Calibri" w:cs="Arial"/>
          <w:bCs/>
          <w:i/>
          <w:sz w:val="20"/>
          <w:szCs w:val="20"/>
          <w:lang w:val="es-ES_tradnl" w:eastAsia="en-US"/>
        </w:rPr>
        <w:t>Raxcacó Reyes Vs. Guatemala</w:t>
      </w:r>
      <w:r w:rsidRPr="0064597D">
        <w:rPr>
          <w:rStyle w:val="Refdenotaalpie"/>
          <w:rFonts w:eastAsia="Calibri" w:cs="Arial"/>
          <w:bCs/>
          <w:sz w:val="20"/>
          <w:szCs w:val="20"/>
          <w:lang w:val="es-ES_tradnl" w:eastAsia="en-US"/>
        </w:rPr>
        <w:footnoteReference w:id="38"/>
      </w:r>
      <w:r w:rsidRPr="0064597D">
        <w:rPr>
          <w:rFonts w:eastAsia="Calibri" w:cs="Arial"/>
          <w:bCs/>
          <w:sz w:val="20"/>
          <w:szCs w:val="20"/>
          <w:lang w:val="es-ES_tradnl" w:eastAsia="en-US"/>
        </w:rPr>
        <w:t>, declaró inconstitucional el citado artículo 201 al considerar que configuraba una obvia violación al artículo 4, numeral 2, de la Convención Americana sobre Derechos Humanos</w:t>
      </w:r>
      <w:r w:rsidRPr="0064597D">
        <w:rPr>
          <w:rStyle w:val="Refdenotaalpie"/>
          <w:rFonts w:eastAsia="Calibri" w:cs="Arial"/>
          <w:bCs/>
          <w:sz w:val="20"/>
          <w:szCs w:val="20"/>
          <w:lang w:val="es-ES_tradnl" w:eastAsia="en-US"/>
        </w:rPr>
        <w:footnoteReference w:id="39"/>
      </w:r>
      <w:r w:rsidRPr="0064597D">
        <w:rPr>
          <w:rFonts w:eastAsia="Calibri" w:cs="Arial"/>
          <w:bCs/>
          <w:sz w:val="20"/>
          <w:szCs w:val="20"/>
          <w:lang w:val="es-ES_tradnl" w:eastAsia="en-US"/>
        </w:rPr>
        <w:t xml:space="preserve">. </w:t>
      </w:r>
    </w:p>
    <w:p w14:paraId="1BEAA038" w14:textId="77777777" w:rsidR="00B0647D" w:rsidRPr="0064597D" w:rsidRDefault="00B0647D" w:rsidP="00B0647D">
      <w:pPr>
        <w:tabs>
          <w:tab w:val="left" w:pos="567"/>
        </w:tabs>
        <w:spacing w:line="240" w:lineRule="auto"/>
        <w:rPr>
          <w:rFonts w:eastAsia="Calibri" w:cs="Arial"/>
          <w:bCs/>
          <w:sz w:val="20"/>
          <w:szCs w:val="20"/>
          <w:lang w:val="es-ES_tradnl" w:eastAsia="en-US"/>
        </w:rPr>
      </w:pPr>
    </w:p>
    <w:p w14:paraId="2F1923A0" w14:textId="0A60E416" w:rsidR="00DC4F9C" w:rsidRPr="0064597D" w:rsidRDefault="00B0647D" w:rsidP="00DC4F9C">
      <w:pPr>
        <w:numPr>
          <w:ilvl w:val="0"/>
          <w:numId w:val="1"/>
        </w:numPr>
        <w:tabs>
          <w:tab w:val="left" w:pos="567"/>
          <w:tab w:val="num" w:pos="1569"/>
          <w:tab w:val="num" w:pos="12305"/>
        </w:tabs>
        <w:spacing w:line="240" w:lineRule="auto"/>
        <w:ind w:left="0" w:firstLine="0"/>
        <w:rPr>
          <w:rFonts w:eastAsia="Calibri" w:cs="Arial"/>
          <w:bCs/>
          <w:sz w:val="20"/>
          <w:szCs w:val="20"/>
          <w:lang w:val="es-ES_tradnl" w:eastAsia="en-US"/>
        </w:rPr>
      </w:pPr>
      <w:r w:rsidRPr="0064597D">
        <w:rPr>
          <w:sz w:val="20"/>
          <w:szCs w:val="20"/>
        </w:rPr>
        <w:t>Por otro lado, el 1 de junio de 2000</w:t>
      </w:r>
      <w:r w:rsidR="00EE5F9B" w:rsidRPr="0064597D">
        <w:rPr>
          <w:sz w:val="20"/>
          <w:szCs w:val="20"/>
        </w:rPr>
        <w:t xml:space="preserve"> el Congreso de Guatemala derogó </w:t>
      </w:r>
      <w:r w:rsidRPr="0064597D">
        <w:rPr>
          <w:sz w:val="20"/>
          <w:szCs w:val="20"/>
        </w:rPr>
        <w:t>mediante Decreto Legislativo No. 32/00</w:t>
      </w:r>
      <w:r w:rsidR="00162B86" w:rsidRPr="0064597D">
        <w:rPr>
          <w:sz w:val="20"/>
          <w:szCs w:val="20"/>
        </w:rPr>
        <w:t xml:space="preserve"> </w:t>
      </w:r>
      <w:r w:rsidR="00EE5F9B" w:rsidRPr="0064597D">
        <w:rPr>
          <w:sz w:val="20"/>
          <w:szCs w:val="20"/>
        </w:rPr>
        <w:t xml:space="preserve">el Decreto No. 159 del año </w:t>
      </w:r>
      <w:r w:rsidR="00EE5F9B" w:rsidRPr="0064597D">
        <w:rPr>
          <w:rFonts w:cs="Verdana"/>
          <w:sz w:val="20"/>
          <w:szCs w:val="20"/>
        </w:rPr>
        <w:t>1892</w:t>
      </w:r>
      <w:r w:rsidR="00BD0C3A" w:rsidRPr="0064597D">
        <w:rPr>
          <w:sz w:val="20"/>
          <w:szCs w:val="20"/>
          <w:vertAlign w:val="superscript"/>
          <w:lang w:val="es-VE"/>
        </w:rPr>
        <w:footnoteReference w:id="40"/>
      </w:r>
      <w:r w:rsidR="00EE5F9B" w:rsidRPr="0064597D">
        <w:rPr>
          <w:sz w:val="20"/>
          <w:szCs w:val="20"/>
        </w:rPr>
        <w:t>, el cual contemplaba la facultad del Ejecutivo para conceder indulto o conmutación de la pena y reglamentaba el procedimiento para hacer efectivo tal derecho</w:t>
      </w:r>
      <w:r w:rsidR="00EE5F9B" w:rsidRPr="0064597D">
        <w:rPr>
          <w:rStyle w:val="Refdenotaalpie"/>
          <w:sz w:val="20"/>
          <w:szCs w:val="20"/>
        </w:rPr>
        <w:footnoteReference w:id="41"/>
      </w:r>
      <w:r w:rsidR="00EE5F9B" w:rsidRPr="0064597D">
        <w:rPr>
          <w:sz w:val="20"/>
          <w:szCs w:val="20"/>
        </w:rPr>
        <w:t xml:space="preserve">. </w:t>
      </w:r>
    </w:p>
    <w:p w14:paraId="70305861" w14:textId="1D352CCB" w:rsidR="00072585" w:rsidRPr="0064597D" w:rsidRDefault="00072585" w:rsidP="00072585">
      <w:pPr>
        <w:pStyle w:val="Ttulo2"/>
      </w:pPr>
      <w:bookmarkStart w:id="47" w:name="_Toc24014541"/>
      <w:r w:rsidRPr="0064597D">
        <w:t>B.</w:t>
      </w:r>
      <w:r w:rsidRPr="0064597D">
        <w:tab/>
        <w:t>Detención del señor Ruiz Fuentes y alegatos de tortura</w:t>
      </w:r>
      <w:bookmarkEnd w:id="47"/>
    </w:p>
    <w:p w14:paraId="753EFA74" w14:textId="1A4406C2" w:rsidR="0047390F" w:rsidRPr="0064597D" w:rsidRDefault="00A2004B" w:rsidP="0047390F">
      <w:pPr>
        <w:numPr>
          <w:ilvl w:val="0"/>
          <w:numId w:val="1"/>
        </w:numPr>
        <w:tabs>
          <w:tab w:val="left" w:pos="567"/>
          <w:tab w:val="num" w:pos="1569"/>
          <w:tab w:val="num" w:pos="12305"/>
        </w:tabs>
        <w:spacing w:line="240" w:lineRule="auto"/>
        <w:ind w:left="0" w:firstLine="0"/>
        <w:rPr>
          <w:sz w:val="20"/>
          <w:szCs w:val="20"/>
        </w:rPr>
      </w:pPr>
      <w:r w:rsidRPr="0064597D">
        <w:rPr>
          <w:sz w:val="20"/>
          <w:szCs w:val="20"/>
        </w:rPr>
        <w:t>El 6 de agosto de 1997</w:t>
      </w:r>
      <w:r w:rsidR="007B52B0" w:rsidRPr="0064597D">
        <w:rPr>
          <w:sz w:val="20"/>
          <w:szCs w:val="20"/>
        </w:rPr>
        <w:t xml:space="preserve"> el comisario </w:t>
      </w:r>
      <w:r w:rsidR="00B07AF4" w:rsidRPr="0064597D">
        <w:rPr>
          <w:sz w:val="20"/>
          <w:szCs w:val="20"/>
        </w:rPr>
        <w:t xml:space="preserve">V.S.D. </w:t>
      </w:r>
      <w:r w:rsidR="007B52B0" w:rsidRPr="0064597D">
        <w:rPr>
          <w:sz w:val="20"/>
          <w:szCs w:val="20"/>
        </w:rPr>
        <w:t xml:space="preserve">y otros agentes de la Sección Antisecuestros y Extorsiones de la </w:t>
      </w:r>
      <w:r w:rsidR="00B5100E">
        <w:rPr>
          <w:sz w:val="20"/>
          <w:szCs w:val="20"/>
        </w:rPr>
        <w:t xml:space="preserve">Policía Nacional Civil (en adelante, “Policía Nacional” o “PNC”) </w:t>
      </w:r>
      <w:r w:rsidR="007B52B0" w:rsidRPr="0064597D">
        <w:rPr>
          <w:sz w:val="20"/>
          <w:szCs w:val="20"/>
        </w:rPr>
        <w:t xml:space="preserve">y de la Fuerza de Reacción Inmediata, detuvieron </w:t>
      </w:r>
      <w:r w:rsidR="00B731B7" w:rsidRPr="0064597D">
        <w:rPr>
          <w:sz w:val="20"/>
          <w:szCs w:val="20"/>
        </w:rPr>
        <w:t>al</w:t>
      </w:r>
      <w:r w:rsidR="007B52B0" w:rsidRPr="0064597D">
        <w:rPr>
          <w:sz w:val="20"/>
          <w:szCs w:val="20"/>
        </w:rPr>
        <w:t xml:space="preserve"> señor Ruiz Fuentes junto con</w:t>
      </w:r>
      <w:r w:rsidRPr="0064597D">
        <w:rPr>
          <w:sz w:val="20"/>
          <w:szCs w:val="20"/>
        </w:rPr>
        <w:t xml:space="preserve"> </w:t>
      </w:r>
      <w:r w:rsidR="00FC40ED" w:rsidRPr="0064597D">
        <w:rPr>
          <w:sz w:val="20"/>
          <w:szCs w:val="20"/>
        </w:rPr>
        <w:t xml:space="preserve">otras </w:t>
      </w:r>
      <w:r w:rsidRPr="0064597D">
        <w:rPr>
          <w:sz w:val="20"/>
          <w:szCs w:val="20"/>
        </w:rPr>
        <w:t>cuatro personas</w:t>
      </w:r>
      <w:r w:rsidR="00A10969" w:rsidRPr="0064597D">
        <w:rPr>
          <w:sz w:val="20"/>
          <w:szCs w:val="20"/>
        </w:rPr>
        <w:t xml:space="preserve"> en el marco de una operación de rescate a un menor que había sido sustraído el día anterior</w:t>
      </w:r>
      <w:r w:rsidRPr="0064597D">
        <w:rPr>
          <w:rStyle w:val="Refdenotaalpie"/>
          <w:sz w:val="20"/>
          <w:szCs w:val="20"/>
        </w:rPr>
        <w:footnoteReference w:id="42"/>
      </w:r>
      <w:r w:rsidR="007B52B0" w:rsidRPr="0064597D">
        <w:rPr>
          <w:sz w:val="20"/>
          <w:szCs w:val="20"/>
        </w:rPr>
        <w:t xml:space="preserve">. </w:t>
      </w:r>
      <w:r w:rsidR="00EA5D83" w:rsidRPr="0064597D">
        <w:rPr>
          <w:sz w:val="20"/>
          <w:szCs w:val="20"/>
        </w:rPr>
        <w:t xml:space="preserve">El lugar, </w:t>
      </w:r>
      <w:r w:rsidR="0047390F" w:rsidRPr="0064597D">
        <w:rPr>
          <w:sz w:val="20"/>
          <w:szCs w:val="20"/>
        </w:rPr>
        <w:t>forma y momento de la detención están en contr</w:t>
      </w:r>
      <w:r w:rsidR="00903C53" w:rsidRPr="0064597D">
        <w:rPr>
          <w:sz w:val="20"/>
          <w:szCs w:val="20"/>
        </w:rPr>
        <w:t>o</w:t>
      </w:r>
      <w:r w:rsidR="0047390F" w:rsidRPr="0064597D">
        <w:rPr>
          <w:sz w:val="20"/>
          <w:szCs w:val="20"/>
        </w:rPr>
        <w:t>versia.</w:t>
      </w:r>
    </w:p>
    <w:p w14:paraId="688A034C" w14:textId="77777777" w:rsidR="00377181" w:rsidRPr="0064597D" w:rsidRDefault="00377181" w:rsidP="00377181">
      <w:pPr>
        <w:tabs>
          <w:tab w:val="left" w:pos="567"/>
        </w:tabs>
        <w:spacing w:line="240" w:lineRule="auto"/>
        <w:rPr>
          <w:sz w:val="20"/>
          <w:szCs w:val="20"/>
        </w:rPr>
      </w:pPr>
    </w:p>
    <w:p w14:paraId="5154A223" w14:textId="3EC40E41" w:rsidR="00AC6BF2" w:rsidRPr="0064597D" w:rsidRDefault="0047390F" w:rsidP="0047390F">
      <w:pPr>
        <w:numPr>
          <w:ilvl w:val="0"/>
          <w:numId w:val="1"/>
        </w:numPr>
        <w:tabs>
          <w:tab w:val="left" w:pos="567"/>
          <w:tab w:val="num" w:pos="1569"/>
          <w:tab w:val="num" w:pos="12305"/>
        </w:tabs>
        <w:spacing w:line="240" w:lineRule="auto"/>
        <w:ind w:left="0" w:firstLine="0"/>
        <w:rPr>
          <w:sz w:val="20"/>
          <w:szCs w:val="20"/>
        </w:rPr>
      </w:pPr>
      <w:r w:rsidRPr="0064597D">
        <w:rPr>
          <w:sz w:val="20"/>
          <w:szCs w:val="20"/>
        </w:rPr>
        <w:t>Según Oficio No. 4325-97, emitido por el Departamento de Investigaciones Criminológicas, l</w:t>
      </w:r>
      <w:r w:rsidR="00A2004B" w:rsidRPr="0064597D">
        <w:rPr>
          <w:sz w:val="20"/>
          <w:szCs w:val="20"/>
        </w:rPr>
        <w:t xml:space="preserve">a detención se produjo como consecuencia de varias </w:t>
      </w:r>
      <w:r w:rsidR="007B52B0" w:rsidRPr="0064597D">
        <w:rPr>
          <w:sz w:val="20"/>
          <w:szCs w:val="20"/>
        </w:rPr>
        <w:t xml:space="preserve">llamadas </w:t>
      </w:r>
      <w:r w:rsidR="00A2004B" w:rsidRPr="0064597D">
        <w:rPr>
          <w:sz w:val="20"/>
          <w:szCs w:val="20"/>
        </w:rPr>
        <w:t>recibidas que indicaban</w:t>
      </w:r>
      <w:r w:rsidR="007B52B0" w:rsidRPr="0064597D">
        <w:rPr>
          <w:sz w:val="20"/>
          <w:szCs w:val="20"/>
        </w:rPr>
        <w:t xml:space="preserve"> que </w:t>
      </w:r>
      <w:r w:rsidR="00A2004B" w:rsidRPr="0064597D">
        <w:rPr>
          <w:sz w:val="20"/>
          <w:szCs w:val="20"/>
        </w:rPr>
        <w:t>estas personas tenían secuestrada posiblemente a un niño de diez años de edad</w:t>
      </w:r>
      <w:r w:rsidR="00A2004B" w:rsidRPr="0064597D">
        <w:rPr>
          <w:rStyle w:val="Refdenotaalpie"/>
          <w:sz w:val="20"/>
          <w:szCs w:val="20"/>
        </w:rPr>
        <w:footnoteReference w:id="43"/>
      </w:r>
      <w:r w:rsidR="007B52B0" w:rsidRPr="0064597D">
        <w:rPr>
          <w:sz w:val="20"/>
          <w:szCs w:val="20"/>
        </w:rPr>
        <w:t xml:space="preserve">. </w:t>
      </w:r>
      <w:r w:rsidRPr="0064597D">
        <w:rPr>
          <w:sz w:val="20"/>
          <w:szCs w:val="20"/>
        </w:rPr>
        <w:t>El oficio también ind</w:t>
      </w:r>
      <w:r w:rsidR="00903C53" w:rsidRPr="0064597D">
        <w:rPr>
          <w:sz w:val="20"/>
          <w:szCs w:val="20"/>
        </w:rPr>
        <w:t>i</w:t>
      </w:r>
      <w:r w:rsidRPr="0064597D">
        <w:rPr>
          <w:sz w:val="20"/>
          <w:szCs w:val="20"/>
        </w:rPr>
        <w:t>caba que m</w:t>
      </w:r>
      <w:r w:rsidR="002632BC" w:rsidRPr="0064597D">
        <w:rPr>
          <w:sz w:val="20"/>
          <w:szCs w:val="20"/>
        </w:rPr>
        <w:t xml:space="preserve">iembros </w:t>
      </w:r>
      <w:r w:rsidR="00AC6BF2" w:rsidRPr="0064597D">
        <w:rPr>
          <w:sz w:val="20"/>
          <w:szCs w:val="20"/>
        </w:rPr>
        <w:t>del servicio de la Sección de Antisecuestros y Extorsiones de la Policía Nacional y de la Fuerza de Reacción Inmediata (FRI)</w:t>
      </w:r>
      <w:r w:rsidR="007B52B0" w:rsidRPr="0064597D">
        <w:rPr>
          <w:sz w:val="20"/>
          <w:szCs w:val="20"/>
        </w:rPr>
        <w:t xml:space="preserve"> se presentaron a las 20:30 horas</w:t>
      </w:r>
      <w:r w:rsidRPr="0064597D">
        <w:rPr>
          <w:sz w:val="20"/>
          <w:szCs w:val="20"/>
        </w:rPr>
        <w:t xml:space="preserve"> en el domicilio y, c</w:t>
      </w:r>
      <w:r w:rsidR="00A67FA4" w:rsidRPr="0064597D">
        <w:rPr>
          <w:sz w:val="20"/>
          <w:szCs w:val="20"/>
        </w:rPr>
        <w:t>u</w:t>
      </w:r>
      <w:r w:rsidR="007B52B0" w:rsidRPr="0064597D">
        <w:rPr>
          <w:sz w:val="20"/>
          <w:szCs w:val="20"/>
        </w:rPr>
        <w:t>ando se procedía</w:t>
      </w:r>
      <w:r w:rsidRPr="0064597D">
        <w:rPr>
          <w:sz w:val="20"/>
          <w:szCs w:val="20"/>
        </w:rPr>
        <w:t>n</w:t>
      </w:r>
      <w:r w:rsidR="007B52B0" w:rsidRPr="0064597D">
        <w:rPr>
          <w:sz w:val="20"/>
          <w:szCs w:val="20"/>
        </w:rPr>
        <w:t xml:space="preserve"> a rodear la casa</w:t>
      </w:r>
      <w:r w:rsidR="00B5100E">
        <w:rPr>
          <w:sz w:val="20"/>
          <w:szCs w:val="20"/>
        </w:rPr>
        <w:t>,</w:t>
      </w:r>
      <w:r w:rsidR="007B52B0" w:rsidRPr="0064597D">
        <w:rPr>
          <w:sz w:val="20"/>
          <w:szCs w:val="20"/>
        </w:rPr>
        <w:t xml:space="preserve"> los señores </w:t>
      </w:r>
      <w:r w:rsidR="008F01D8" w:rsidRPr="0064597D">
        <w:rPr>
          <w:sz w:val="20"/>
          <w:szCs w:val="20"/>
        </w:rPr>
        <w:t xml:space="preserve">Ronald Ernesto </w:t>
      </w:r>
      <w:r w:rsidR="007B52B0" w:rsidRPr="0064597D">
        <w:rPr>
          <w:sz w:val="20"/>
          <w:szCs w:val="20"/>
        </w:rPr>
        <w:t>Raxcacó Reyes y Ruiz Fuentes gritaron “</w:t>
      </w:r>
      <w:r w:rsidR="002632BC" w:rsidRPr="0064597D">
        <w:rPr>
          <w:sz w:val="20"/>
          <w:szCs w:val="20"/>
        </w:rPr>
        <w:t>[ahí]</w:t>
      </w:r>
      <w:r w:rsidR="007B52B0" w:rsidRPr="0064597D">
        <w:rPr>
          <w:sz w:val="20"/>
          <w:szCs w:val="20"/>
        </w:rPr>
        <w:t xml:space="preserve"> viene la Policía” y escalaron una pared de aproximadamente 8 metros de altura</w:t>
      </w:r>
      <w:r w:rsidR="00AC6BF2" w:rsidRPr="0064597D">
        <w:rPr>
          <w:sz w:val="20"/>
          <w:szCs w:val="20"/>
        </w:rPr>
        <w:t xml:space="preserve">, </w:t>
      </w:r>
      <w:r w:rsidR="00AC6BF2" w:rsidRPr="0064597D">
        <w:rPr>
          <w:sz w:val="20"/>
          <w:szCs w:val="20"/>
        </w:rPr>
        <w:lastRenderedPageBreak/>
        <w:t>mientras el señor Raxcacó Reyes llevaba al niño en brazos</w:t>
      </w:r>
      <w:r w:rsidR="002632BC" w:rsidRPr="0064597D">
        <w:rPr>
          <w:rStyle w:val="Refdenotaalpie"/>
          <w:sz w:val="20"/>
          <w:szCs w:val="20"/>
        </w:rPr>
        <w:footnoteReference w:id="44"/>
      </w:r>
      <w:r w:rsidR="007B52B0" w:rsidRPr="0064597D">
        <w:rPr>
          <w:sz w:val="20"/>
          <w:szCs w:val="20"/>
        </w:rPr>
        <w:t xml:space="preserve">. </w:t>
      </w:r>
      <w:r w:rsidRPr="0064597D">
        <w:rPr>
          <w:sz w:val="20"/>
          <w:szCs w:val="20"/>
        </w:rPr>
        <w:t>U</w:t>
      </w:r>
      <w:r w:rsidR="00AC6BF2" w:rsidRPr="0064597D">
        <w:rPr>
          <w:sz w:val="20"/>
          <w:szCs w:val="20"/>
        </w:rPr>
        <w:t>na vez escalaron la pared, se lanzaron a un terreno</w:t>
      </w:r>
      <w:r w:rsidR="002632BC" w:rsidRPr="0064597D">
        <w:rPr>
          <w:sz w:val="20"/>
          <w:szCs w:val="20"/>
        </w:rPr>
        <w:t xml:space="preserve"> </w:t>
      </w:r>
      <w:r w:rsidR="00AC6BF2" w:rsidRPr="0064597D">
        <w:rPr>
          <w:sz w:val="20"/>
          <w:szCs w:val="20"/>
        </w:rPr>
        <w:t xml:space="preserve">baldío, momento en el que fueron detenidos. </w:t>
      </w:r>
    </w:p>
    <w:p w14:paraId="36DCF21B" w14:textId="77777777" w:rsidR="00AC6BF2" w:rsidRPr="0064597D" w:rsidRDefault="00AC6BF2" w:rsidP="00AC6BF2">
      <w:pPr>
        <w:tabs>
          <w:tab w:val="left" w:pos="567"/>
        </w:tabs>
        <w:spacing w:line="240" w:lineRule="auto"/>
        <w:rPr>
          <w:sz w:val="20"/>
          <w:szCs w:val="20"/>
        </w:rPr>
      </w:pPr>
      <w:r w:rsidRPr="0064597D">
        <w:rPr>
          <w:sz w:val="20"/>
          <w:szCs w:val="20"/>
        </w:rPr>
        <w:t xml:space="preserve"> </w:t>
      </w:r>
    </w:p>
    <w:p w14:paraId="5540C408" w14:textId="12C62FD8" w:rsidR="007B52B0" w:rsidRPr="0064597D" w:rsidRDefault="00472CF9" w:rsidP="002632BC">
      <w:pPr>
        <w:numPr>
          <w:ilvl w:val="0"/>
          <w:numId w:val="1"/>
        </w:numPr>
        <w:tabs>
          <w:tab w:val="left" w:pos="567"/>
          <w:tab w:val="num" w:pos="1569"/>
          <w:tab w:val="num" w:pos="12305"/>
        </w:tabs>
        <w:spacing w:line="240" w:lineRule="auto"/>
        <w:ind w:left="0" w:firstLine="0"/>
        <w:rPr>
          <w:sz w:val="20"/>
          <w:szCs w:val="20"/>
        </w:rPr>
      </w:pPr>
      <w:r w:rsidRPr="0064597D">
        <w:rPr>
          <w:sz w:val="20"/>
          <w:szCs w:val="20"/>
        </w:rPr>
        <w:t>El oficio también indicaba que, t</w:t>
      </w:r>
      <w:r w:rsidR="0047390F" w:rsidRPr="0064597D">
        <w:rPr>
          <w:sz w:val="20"/>
          <w:szCs w:val="20"/>
        </w:rPr>
        <w:t>ras su detención, e</w:t>
      </w:r>
      <w:r w:rsidR="007B52B0" w:rsidRPr="0064597D">
        <w:rPr>
          <w:sz w:val="20"/>
          <w:szCs w:val="20"/>
        </w:rPr>
        <w:t xml:space="preserve">l señor Ruiz Fuentes </w:t>
      </w:r>
      <w:r w:rsidR="00AC6BF2" w:rsidRPr="0064597D">
        <w:rPr>
          <w:sz w:val="20"/>
          <w:szCs w:val="20"/>
        </w:rPr>
        <w:t>“</w:t>
      </w:r>
      <w:r w:rsidR="007B52B0" w:rsidRPr="0064597D">
        <w:rPr>
          <w:sz w:val="20"/>
          <w:szCs w:val="20"/>
        </w:rPr>
        <w:t>resultó con múltiples golpes</w:t>
      </w:r>
      <w:r w:rsidR="00AC6BF2" w:rsidRPr="0064597D">
        <w:rPr>
          <w:sz w:val="20"/>
          <w:szCs w:val="20"/>
        </w:rPr>
        <w:t>”,</w:t>
      </w:r>
      <w:r w:rsidR="007B52B0" w:rsidRPr="0064597D">
        <w:rPr>
          <w:sz w:val="20"/>
          <w:szCs w:val="20"/>
        </w:rPr>
        <w:t xml:space="preserve"> por lo que fue llevado al Hospital Roosevelt donde</w:t>
      </w:r>
      <w:r w:rsidR="00B731B7" w:rsidRPr="0064597D">
        <w:rPr>
          <w:sz w:val="20"/>
          <w:szCs w:val="20"/>
        </w:rPr>
        <w:t>,</w:t>
      </w:r>
      <w:r w:rsidR="007B52B0" w:rsidRPr="0064597D">
        <w:rPr>
          <w:sz w:val="20"/>
          <w:szCs w:val="20"/>
        </w:rPr>
        <w:t xml:space="preserve"> según </w:t>
      </w:r>
      <w:r w:rsidR="00B731B7" w:rsidRPr="0064597D">
        <w:rPr>
          <w:sz w:val="20"/>
          <w:szCs w:val="20"/>
        </w:rPr>
        <w:t>el diagnóstico</w:t>
      </w:r>
      <w:r w:rsidR="00E02203" w:rsidRPr="0064597D">
        <w:rPr>
          <w:sz w:val="20"/>
          <w:szCs w:val="20"/>
        </w:rPr>
        <w:t xml:space="preserve"> mé</w:t>
      </w:r>
      <w:r w:rsidR="007B52B0" w:rsidRPr="0064597D">
        <w:rPr>
          <w:sz w:val="20"/>
          <w:szCs w:val="20"/>
        </w:rPr>
        <w:t>dico</w:t>
      </w:r>
      <w:r w:rsidR="00B731B7" w:rsidRPr="0064597D">
        <w:rPr>
          <w:sz w:val="20"/>
          <w:szCs w:val="20"/>
        </w:rPr>
        <w:t>,</w:t>
      </w:r>
      <w:r w:rsidR="007B52B0" w:rsidRPr="0064597D">
        <w:rPr>
          <w:sz w:val="20"/>
          <w:szCs w:val="20"/>
        </w:rPr>
        <w:t xml:space="preserve"> presenta</w:t>
      </w:r>
      <w:r w:rsidR="00AC6BF2" w:rsidRPr="0064597D">
        <w:rPr>
          <w:sz w:val="20"/>
          <w:szCs w:val="20"/>
        </w:rPr>
        <w:t>ba</w:t>
      </w:r>
      <w:r w:rsidR="007B52B0" w:rsidRPr="0064597D">
        <w:rPr>
          <w:sz w:val="20"/>
          <w:szCs w:val="20"/>
        </w:rPr>
        <w:t xml:space="preserve"> </w:t>
      </w:r>
      <w:r w:rsidRPr="0064597D">
        <w:rPr>
          <w:sz w:val="20"/>
          <w:szCs w:val="20"/>
        </w:rPr>
        <w:t>“</w:t>
      </w:r>
      <w:r w:rsidR="007B52B0" w:rsidRPr="0064597D">
        <w:rPr>
          <w:sz w:val="20"/>
          <w:szCs w:val="20"/>
        </w:rPr>
        <w:t>politraumatismo</w:t>
      </w:r>
      <w:r w:rsidRPr="0064597D">
        <w:rPr>
          <w:sz w:val="20"/>
          <w:szCs w:val="20"/>
        </w:rPr>
        <w:t>”</w:t>
      </w:r>
      <w:r w:rsidR="007B52B0" w:rsidRPr="0064597D">
        <w:rPr>
          <w:rStyle w:val="Refdenotaalpie"/>
          <w:sz w:val="20"/>
          <w:szCs w:val="20"/>
        </w:rPr>
        <w:footnoteReference w:id="45"/>
      </w:r>
      <w:r w:rsidR="007B52B0" w:rsidRPr="0064597D">
        <w:rPr>
          <w:sz w:val="20"/>
          <w:szCs w:val="20"/>
        </w:rPr>
        <w:t>.</w:t>
      </w:r>
      <w:r w:rsidR="006D4B5D" w:rsidRPr="0064597D">
        <w:rPr>
          <w:sz w:val="20"/>
          <w:szCs w:val="20"/>
        </w:rPr>
        <w:t xml:space="preserve"> En l</w:t>
      </w:r>
      <w:r w:rsidR="007B52B0" w:rsidRPr="0064597D">
        <w:rPr>
          <w:sz w:val="20"/>
          <w:szCs w:val="20"/>
        </w:rPr>
        <w:t xml:space="preserve">a sentencia </w:t>
      </w:r>
      <w:r w:rsidR="00AC6BF2" w:rsidRPr="0064597D">
        <w:rPr>
          <w:sz w:val="20"/>
          <w:szCs w:val="20"/>
        </w:rPr>
        <w:t xml:space="preserve">en virtud de la cual se condenó al señor Ruiz Fuentes y </w:t>
      </w:r>
      <w:r w:rsidR="00E4516C" w:rsidRPr="0064597D">
        <w:rPr>
          <w:sz w:val="20"/>
          <w:szCs w:val="20"/>
        </w:rPr>
        <w:t xml:space="preserve">otros cuatro coimputados por el secuestro del menor, </w:t>
      </w:r>
      <w:r w:rsidR="007B52B0" w:rsidRPr="0064597D">
        <w:rPr>
          <w:sz w:val="20"/>
          <w:szCs w:val="20"/>
        </w:rPr>
        <w:t xml:space="preserve">se </w:t>
      </w:r>
      <w:r w:rsidRPr="0064597D">
        <w:rPr>
          <w:sz w:val="20"/>
          <w:szCs w:val="20"/>
        </w:rPr>
        <w:t>indicó</w:t>
      </w:r>
      <w:r w:rsidR="007B52B0" w:rsidRPr="0064597D">
        <w:rPr>
          <w:sz w:val="20"/>
          <w:szCs w:val="20"/>
        </w:rPr>
        <w:t xml:space="preserve"> que las lesiones sufridas por el señor Ruiz Fuentes fueron consecuencia de que saltó de una pared</w:t>
      </w:r>
      <w:r w:rsidR="00E02203" w:rsidRPr="0064597D">
        <w:rPr>
          <w:sz w:val="20"/>
          <w:szCs w:val="20"/>
        </w:rPr>
        <w:t>,</w:t>
      </w:r>
      <w:r w:rsidR="007B52B0" w:rsidRPr="0064597D">
        <w:rPr>
          <w:sz w:val="20"/>
          <w:szCs w:val="20"/>
        </w:rPr>
        <w:t xml:space="preserve"> </w:t>
      </w:r>
      <w:r w:rsidR="00B5100E">
        <w:rPr>
          <w:sz w:val="20"/>
          <w:szCs w:val="20"/>
        </w:rPr>
        <w:t>destacando</w:t>
      </w:r>
      <w:r w:rsidR="007B52B0" w:rsidRPr="0064597D">
        <w:rPr>
          <w:sz w:val="20"/>
          <w:szCs w:val="20"/>
        </w:rPr>
        <w:t xml:space="preserve"> que los señores Raxcacó Reyes y Ruiz Fuentes</w:t>
      </w:r>
      <w:r w:rsidR="00E02203" w:rsidRPr="0064597D">
        <w:rPr>
          <w:sz w:val="20"/>
          <w:szCs w:val="20"/>
        </w:rPr>
        <w:t>,</w:t>
      </w:r>
      <w:r w:rsidR="007B52B0" w:rsidRPr="0064597D">
        <w:rPr>
          <w:sz w:val="20"/>
          <w:szCs w:val="20"/>
        </w:rPr>
        <w:t xml:space="preserve"> “al notar la presencia de la Policía Nacional Civil, intentaron darse a la fuga, lanzándose de la pared posterior del inmueble donde fueron sorprendidos, siendo detenidos en las afueras del mismo por agentes de la Policía Nacional Civil que habían acordonado el área”</w:t>
      </w:r>
      <w:r w:rsidR="007B52B0" w:rsidRPr="0064597D">
        <w:rPr>
          <w:rStyle w:val="Refdenotaalpie"/>
          <w:rFonts w:cs="Verdana"/>
          <w:sz w:val="20"/>
          <w:szCs w:val="20"/>
        </w:rPr>
        <w:footnoteReference w:id="46"/>
      </w:r>
      <w:r w:rsidR="00912F5A" w:rsidRPr="0064597D">
        <w:rPr>
          <w:sz w:val="20"/>
          <w:szCs w:val="20"/>
        </w:rPr>
        <w:t>.</w:t>
      </w:r>
    </w:p>
    <w:p w14:paraId="10F46D5B" w14:textId="77777777" w:rsidR="00472CF9" w:rsidRPr="0064597D" w:rsidRDefault="00472CF9" w:rsidP="00472CF9">
      <w:pPr>
        <w:tabs>
          <w:tab w:val="left" w:pos="567"/>
        </w:tabs>
        <w:spacing w:line="240" w:lineRule="auto"/>
        <w:rPr>
          <w:sz w:val="20"/>
          <w:szCs w:val="20"/>
        </w:rPr>
      </w:pPr>
    </w:p>
    <w:p w14:paraId="0E5B0705" w14:textId="3B5A3E14" w:rsidR="00472CF9" w:rsidRPr="0064597D" w:rsidRDefault="00472CF9" w:rsidP="00472CF9">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Según el informe médico de 9 de diciembre de 1997 elaborado por especialistas del Hospital Roosevelt, el señor Ruiz Fuentes ingresó en dicho hospital el 6 de agosto de 1997 por “abdomen agudo”</w:t>
      </w:r>
      <w:r w:rsidRPr="0064597D">
        <w:rPr>
          <w:rStyle w:val="Refdenotaalpie"/>
          <w:sz w:val="20"/>
          <w:szCs w:val="20"/>
        </w:rPr>
        <w:footnoteReference w:id="47"/>
      </w:r>
      <w:r w:rsidRPr="0064597D">
        <w:rPr>
          <w:sz w:val="20"/>
          <w:szCs w:val="20"/>
        </w:rPr>
        <w:t>. Tras realizarle una laparotomía exploratoria se encontraron hallazgos de “hemoperitoneo” (esto es, presencia de sangre libre en la cavidad peritoneal), “múltiples contusiones y erosiones de meso de intestino delgado”, “laceración de meso colon transverso que deja sin un segmento de más o menos 10 centímetros a más o menos 15 centímetros del ángulo esplénico”, “vasos sangrantes de epiplón mayor” y “trauma hepático G-I en segmento VI”</w:t>
      </w:r>
      <w:r w:rsidRPr="0064597D">
        <w:rPr>
          <w:rStyle w:val="Refdenotaalpie"/>
          <w:sz w:val="20"/>
          <w:szCs w:val="20"/>
        </w:rPr>
        <w:footnoteReference w:id="48"/>
      </w:r>
      <w:r w:rsidRPr="0064597D">
        <w:rPr>
          <w:sz w:val="20"/>
          <w:szCs w:val="20"/>
        </w:rPr>
        <w:t>. Según otro informe médico de 11 de diciembre de 2000, elaborado por el Departamento de Cirugía del Hospital Roosevelt, el señor Ruiz Fuentes fue “traído por bomberos con historia de haber sido vapuleado” y presentaba “múltiples golpes y contusiones a nivel abdominal, abdomen globoso y doloroso a la palpación”</w:t>
      </w:r>
      <w:r w:rsidRPr="0064597D">
        <w:rPr>
          <w:rStyle w:val="Refdenotaalpie"/>
          <w:sz w:val="20"/>
          <w:szCs w:val="20"/>
        </w:rPr>
        <w:footnoteReference w:id="49"/>
      </w:r>
      <w:r w:rsidRPr="0064597D">
        <w:rPr>
          <w:sz w:val="20"/>
          <w:szCs w:val="20"/>
        </w:rPr>
        <w:t xml:space="preserve">. </w:t>
      </w:r>
    </w:p>
    <w:p w14:paraId="55290496" w14:textId="77777777" w:rsidR="00472CF9" w:rsidRPr="0064597D" w:rsidRDefault="00472CF9" w:rsidP="00472CF9">
      <w:pPr>
        <w:tabs>
          <w:tab w:val="left" w:pos="567"/>
        </w:tabs>
        <w:spacing w:line="240" w:lineRule="auto"/>
        <w:rPr>
          <w:rFonts w:cs="Arial"/>
          <w:sz w:val="20"/>
          <w:szCs w:val="20"/>
        </w:rPr>
      </w:pPr>
    </w:p>
    <w:p w14:paraId="21A1CA0F" w14:textId="1A54CD3D" w:rsidR="00472CF9" w:rsidRPr="0064597D" w:rsidRDefault="00472CF9" w:rsidP="00472CF9">
      <w:pPr>
        <w:numPr>
          <w:ilvl w:val="0"/>
          <w:numId w:val="1"/>
        </w:numPr>
        <w:tabs>
          <w:tab w:val="left" w:pos="567"/>
          <w:tab w:val="num" w:pos="1569"/>
          <w:tab w:val="num" w:pos="12305"/>
        </w:tabs>
        <w:spacing w:line="240" w:lineRule="auto"/>
        <w:ind w:left="0" w:firstLine="0"/>
        <w:rPr>
          <w:rFonts w:cs="Arial"/>
        </w:rPr>
      </w:pPr>
      <w:r w:rsidRPr="0064597D">
        <w:rPr>
          <w:sz w:val="20"/>
          <w:szCs w:val="20"/>
        </w:rPr>
        <w:t>En vista de las lesiones que presentaba, el señor Ruiz Fuentes tuvo que ser intervenido quirúrgicamente de urgencia para efectuarle una “resección de segmento de colon transverso y colostomía en doble boca”</w:t>
      </w:r>
      <w:r w:rsidRPr="0064597D">
        <w:rPr>
          <w:rStyle w:val="Refdenotaalpie"/>
          <w:sz w:val="20"/>
          <w:szCs w:val="20"/>
        </w:rPr>
        <w:footnoteReference w:id="50"/>
      </w:r>
      <w:r w:rsidRPr="0064597D">
        <w:rPr>
          <w:sz w:val="20"/>
          <w:szCs w:val="20"/>
        </w:rPr>
        <w:t xml:space="preserve"> y permaneció trece días hospitalizado</w:t>
      </w:r>
      <w:r w:rsidRPr="0064597D">
        <w:rPr>
          <w:rStyle w:val="Refdenotaalpie"/>
          <w:sz w:val="20"/>
          <w:szCs w:val="20"/>
        </w:rPr>
        <w:footnoteReference w:id="51"/>
      </w:r>
      <w:r w:rsidRPr="0064597D">
        <w:rPr>
          <w:sz w:val="20"/>
          <w:szCs w:val="20"/>
        </w:rPr>
        <w:t>. El 18 de agosto de 1997 el paciente fue dado de alta, si bien fue citado para el día 8 de enero de 1998 para que se procediera al cierre de la colostomía</w:t>
      </w:r>
      <w:r w:rsidRPr="0064597D">
        <w:rPr>
          <w:rStyle w:val="Refdenotaalpie"/>
          <w:sz w:val="20"/>
          <w:szCs w:val="20"/>
        </w:rPr>
        <w:footnoteReference w:id="52"/>
      </w:r>
      <w:r w:rsidRPr="0064597D">
        <w:rPr>
          <w:sz w:val="20"/>
          <w:szCs w:val="20"/>
        </w:rPr>
        <w:t>. No obstante, el señor Ruiz Fuentes no asistió en la fecha indicada</w:t>
      </w:r>
      <w:r w:rsidRPr="0064597D">
        <w:rPr>
          <w:rStyle w:val="Refdenotaalpie"/>
          <w:sz w:val="20"/>
          <w:szCs w:val="20"/>
        </w:rPr>
        <w:footnoteReference w:id="53"/>
      </w:r>
      <w:r w:rsidRPr="0064597D">
        <w:rPr>
          <w:sz w:val="20"/>
          <w:szCs w:val="20"/>
        </w:rPr>
        <w:t>. Finalmente, en el mes de febrero de 1998 se realiz</w:t>
      </w:r>
      <w:r w:rsidR="00EB1EA8" w:rsidRPr="0064597D">
        <w:rPr>
          <w:sz w:val="20"/>
          <w:szCs w:val="20"/>
        </w:rPr>
        <w:t>ó</w:t>
      </w:r>
      <w:r w:rsidRPr="0064597D">
        <w:rPr>
          <w:sz w:val="20"/>
          <w:szCs w:val="20"/>
        </w:rPr>
        <w:t xml:space="preserve"> la intervención quirúrgica de cierre de colostomía</w:t>
      </w:r>
      <w:r w:rsidRPr="0064597D">
        <w:rPr>
          <w:rStyle w:val="Refdenotaalpie"/>
          <w:sz w:val="20"/>
          <w:szCs w:val="20"/>
        </w:rPr>
        <w:footnoteReference w:id="54"/>
      </w:r>
      <w:r w:rsidRPr="0064597D">
        <w:rPr>
          <w:sz w:val="20"/>
          <w:szCs w:val="20"/>
        </w:rPr>
        <w:t xml:space="preserve">. </w:t>
      </w:r>
    </w:p>
    <w:p w14:paraId="483F46F6" w14:textId="77777777" w:rsidR="00472CF9" w:rsidRPr="0064597D" w:rsidRDefault="00472CF9" w:rsidP="00472CF9">
      <w:pPr>
        <w:tabs>
          <w:tab w:val="left" w:pos="567"/>
        </w:tabs>
        <w:spacing w:line="240" w:lineRule="auto"/>
        <w:rPr>
          <w:sz w:val="20"/>
          <w:szCs w:val="20"/>
        </w:rPr>
      </w:pPr>
    </w:p>
    <w:p w14:paraId="386EEA77" w14:textId="502D24C7" w:rsidR="00472CF9" w:rsidRPr="0064597D" w:rsidRDefault="00472CF9" w:rsidP="006958DA">
      <w:pPr>
        <w:numPr>
          <w:ilvl w:val="0"/>
          <w:numId w:val="1"/>
        </w:numPr>
        <w:tabs>
          <w:tab w:val="left" w:pos="567"/>
          <w:tab w:val="num" w:pos="1569"/>
          <w:tab w:val="num" w:pos="12305"/>
        </w:tabs>
        <w:spacing w:line="240" w:lineRule="auto"/>
        <w:ind w:left="0" w:firstLine="0"/>
        <w:rPr>
          <w:sz w:val="18"/>
          <w:szCs w:val="18"/>
        </w:rPr>
      </w:pPr>
      <w:r w:rsidRPr="0064597D">
        <w:rPr>
          <w:sz w:val="20"/>
          <w:szCs w:val="20"/>
        </w:rPr>
        <w:lastRenderedPageBreak/>
        <w:t xml:space="preserve">La versión </w:t>
      </w:r>
      <w:r w:rsidR="00B5100E">
        <w:rPr>
          <w:sz w:val="20"/>
          <w:szCs w:val="20"/>
        </w:rPr>
        <w:t xml:space="preserve">estatal </w:t>
      </w:r>
      <w:r w:rsidRPr="0064597D">
        <w:rPr>
          <w:sz w:val="20"/>
          <w:szCs w:val="20"/>
        </w:rPr>
        <w:t xml:space="preserve">de los hechos </w:t>
      </w:r>
      <w:r w:rsidR="00B5100E">
        <w:rPr>
          <w:sz w:val="20"/>
          <w:szCs w:val="20"/>
        </w:rPr>
        <w:t xml:space="preserve">sobre </w:t>
      </w:r>
      <w:r w:rsidRPr="0064597D">
        <w:rPr>
          <w:sz w:val="20"/>
          <w:szCs w:val="20"/>
        </w:rPr>
        <w:t xml:space="preserve">las lesiones sufridas por el señor Ruiz Fuentes es contradictoria </w:t>
      </w:r>
      <w:r w:rsidR="00F11061" w:rsidRPr="0064597D">
        <w:rPr>
          <w:sz w:val="20"/>
          <w:szCs w:val="20"/>
        </w:rPr>
        <w:t>con</w:t>
      </w:r>
      <w:r w:rsidRPr="0064597D">
        <w:rPr>
          <w:sz w:val="20"/>
          <w:szCs w:val="20"/>
        </w:rPr>
        <w:t xml:space="preserve"> la indicada por éste, quien el 29 de abril de 1998 rindió una declaración ante la Jueza Octava de Primera Instancia Penal</w:t>
      </w:r>
      <w:r w:rsidRPr="0064597D">
        <w:rPr>
          <w:rStyle w:val="Refdenotaalpie"/>
          <w:sz w:val="18"/>
          <w:szCs w:val="18"/>
        </w:rPr>
        <w:footnoteReference w:id="55"/>
      </w:r>
      <w:r w:rsidRPr="0064597D">
        <w:rPr>
          <w:sz w:val="20"/>
          <w:szCs w:val="20"/>
        </w:rPr>
        <w:t xml:space="preserve"> en la que señaló que el día que fue capturado</w:t>
      </w:r>
      <w:r w:rsidR="00F11061" w:rsidRPr="0064597D">
        <w:rPr>
          <w:sz w:val="20"/>
          <w:szCs w:val="20"/>
        </w:rPr>
        <w:t>,</w:t>
      </w:r>
      <w:r w:rsidRPr="0064597D">
        <w:rPr>
          <w:sz w:val="20"/>
          <w:szCs w:val="20"/>
        </w:rPr>
        <w:t xml:space="preserve"> </w:t>
      </w:r>
      <w:r w:rsidR="00F11061" w:rsidRPr="0064597D">
        <w:rPr>
          <w:sz w:val="20"/>
          <w:szCs w:val="20"/>
        </w:rPr>
        <w:t xml:space="preserve">sobre las cuatro de la tarde, </w:t>
      </w:r>
      <w:r w:rsidRPr="0064597D">
        <w:rPr>
          <w:sz w:val="20"/>
          <w:szCs w:val="20"/>
        </w:rPr>
        <w:t xml:space="preserve">se encontraba conduciendo su vehículo con </w:t>
      </w:r>
      <w:r w:rsidRPr="0064597D">
        <w:rPr>
          <w:rFonts w:cs="Arial"/>
          <w:sz w:val="20"/>
          <w:szCs w:val="20"/>
        </w:rPr>
        <w:t xml:space="preserve">el co-imputado J.M.M.R. </w:t>
      </w:r>
      <w:r w:rsidRPr="0064597D">
        <w:rPr>
          <w:sz w:val="20"/>
          <w:szCs w:val="20"/>
        </w:rPr>
        <w:t>en un área identificada como Bosques de San Nicolás, cuando lo interceptaron tres vehículos.</w:t>
      </w:r>
      <w:r w:rsidRPr="0064597D">
        <w:rPr>
          <w:sz w:val="18"/>
          <w:szCs w:val="18"/>
        </w:rPr>
        <w:t xml:space="preserve"> </w:t>
      </w:r>
      <w:r w:rsidRPr="0064597D">
        <w:rPr>
          <w:sz w:val="20"/>
          <w:szCs w:val="20"/>
        </w:rPr>
        <w:t xml:space="preserve">El señor Ruiz Fuentes indicó que, al momento de la captura </w:t>
      </w:r>
      <w:r w:rsidR="00F11061" w:rsidRPr="0064597D">
        <w:rPr>
          <w:sz w:val="20"/>
          <w:szCs w:val="20"/>
        </w:rPr>
        <w:t xml:space="preserve">unas personas desconocidas </w:t>
      </w:r>
      <w:r w:rsidRPr="0064597D">
        <w:rPr>
          <w:sz w:val="20"/>
          <w:szCs w:val="20"/>
        </w:rPr>
        <w:t>“comenzaron a dar</w:t>
      </w:r>
      <w:r w:rsidR="00F11061" w:rsidRPr="0064597D">
        <w:rPr>
          <w:sz w:val="20"/>
          <w:szCs w:val="20"/>
        </w:rPr>
        <w:t>[le]</w:t>
      </w:r>
      <w:r w:rsidRPr="0064597D">
        <w:rPr>
          <w:sz w:val="20"/>
          <w:szCs w:val="20"/>
        </w:rPr>
        <w:t xml:space="preserve"> golpes en el estómago y las costillas y </w:t>
      </w:r>
      <w:r w:rsidR="00F11061" w:rsidRPr="0064597D">
        <w:rPr>
          <w:sz w:val="20"/>
          <w:szCs w:val="20"/>
        </w:rPr>
        <w:t>[le]</w:t>
      </w:r>
      <w:r w:rsidRPr="0064597D">
        <w:rPr>
          <w:sz w:val="20"/>
          <w:szCs w:val="20"/>
        </w:rPr>
        <w:t xml:space="preserve"> metieron al carro y </w:t>
      </w:r>
      <w:r w:rsidR="00F11061" w:rsidRPr="0064597D">
        <w:rPr>
          <w:sz w:val="20"/>
          <w:szCs w:val="20"/>
        </w:rPr>
        <w:t>[le] golpea[ron]</w:t>
      </w:r>
      <w:r w:rsidRPr="0064597D">
        <w:rPr>
          <w:sz w:val="20"/>
          <w:szCs w:val="20"/>
        </w:rPr>
        <w:t xml:space="preserve"> con un palo que tenía como esponja porque solo sentía el dolor adentro y a consecuencia de eso </w:t>
      </w:r>
      <w:r w:rsidR="00F11061" w:rsidRPr="0064597D">
        <w:rPr>
          <w:sz w:val="20"/>
          <w:szCs w:val="20"/>
        </w:rPr>
        <w:t>[le]</w:t>
      </w:r>
      <w:r w:rsidRPr="0064597D">
        <w:rPr>
          <w:sz w:val="20"/>
          <w:szCs w:val="20"/>
        </w:rPr>
        <w:t xml:space="preserve"> reventaro</w:t>
      </w:r>
      <w:r w:rsidR="00F11061" w:rsidRPr="0064597D">
        <w:rPr>
          <w:sz w:val="20"/>
          <w:szCs w:val="20"/>
        </w:rPr>
        <w:t>n el intestino por lo que estuv[o]</w:t>
      </w:r>
      <w:r w:rsidRPr="0064597D">
        <w:rPr>
          <w:sz w:val="20"/>
          <w:szCs w:val="20"/>
        </w:rPr>
        <w:t xml:space="preserve"> siete meses con una bolsa de colostomía”</w:t>
      </w:r>
      <w:r w:rsidRPr="0064597D">
        <w:rPr>
          <w:rStyle w:val="Refdenotaalpie"/>
          <w:sz w:val="20"/>
          <w:szCs w:val="20"/>
        </w:rPr>
        <w:footnoteReference w:id="56"/>
      </w:r>
      <w:r w:rsidRPr="0064597D">
        <w:rPr>
          <w:sz w:val="20"/>
          <w:szCs w:val="20"/>
        </w:rPr>
        <w:t>. En virtud de lo anterior, el abogado del señor Ruiz Fuentes solicitó en dicho acto, “que se llev[ara] a cabo una investigación por quien corresponda los hechos denunciados que son constitutivos de un delito de tortura de conformidad con artículo 201 bis del Código Penal</w:t>
      </w:r>
      <w:r w:rsidR="00D4124E" w:rsidRPr="0064597D">
        <w:rPr>
          <w:sz w:val="20"/>
          <w:szCs w:val="20"/>
        </w:rPr>
        <w:t>”</w:t>
      </w:r>
      <w:r w:rsidRPr="0064597D">
        <w:rPr>
          <w:rStyle w:val="Refdenotaalpie"/>
          <w:sz w:val="20"/>
          <w:szCs w:val="20"/>
        </w:rPr>
        <w:footnoteReference w:id="57"/>
      </w:r>
      <w:r w:rsidRPr="0064597D">
        <w:rPr>
          <w:sz w:val="20"/>
          <w:szCs w:val="20"/>
        </w:rPr>
        <w:t xml:space="preserve">. </w:t>
      </w:r>
      <w:r w:rsidRPr="0064597D">
        <w:rPr>
          <w:rFonts w:cs="Arial"/>
          <w:sz w:val="20"/>
          <w:szCs w:val="20"/>
        </w:rPr>
        <w:t xml:space="preserve">En el marco del juicio oral celebrado el de 20 de abril de 1999, </w:t>
      </w:r>
      <w:r w:rsidRPr="0064597D">
        <w:rPr>
          <w:iCs/>
          <w:sz w:val="20"/>
          <w:szCs w:val="20"/>
        </w:rPr>
        <w:t>el señor Ruiz Fuentes reiteró la anterior declaración</w:t>
      </w:r>
      <w:r w:rsidRPr="0064597D">
        <w:rPr>
          <w:rStyle w:val="Refdenotaalpie"/>
          <w:rFonts w:cs="Arial"/>
          <w:sz w:val="20"/>
          <w:szCs w:val="20"/>
        </w:rPr>
        <w:footnoteReference w:id="58"/>
      </w:r>
      <w:r w:rsidRPr="0064597D">
        <w:rPr>
          <w:iCs/>
          <w:sz w:val="20"/>
          <w:szCs w:val="20"/>
        </w:rPr>
        <w:t xml:space="preserve"> y </w:t>
      </w:r>
      <w:r w:rsidRPr="0064597D">
        <w:rPr>
          <w:rFonts w:cs="Arial"/>
          <w:sz w:val="20"/>
          <w:szCs w:val="20"/>
        </w:rPr>
        <w:t>aportó una serie de radiografías acreditativas de las lesiones sufridas</w:t>
      </w:r>
      <w:r w:rsidRPr="0064597D">
        <w:rPr>
          <w:rStyle w:val="Refdenotaalpie"/>
          <w:rFonts w:cs="Arial"/>
          <w:sz w:val="20"/>
          <w:szCs w:val="20"/>
        </w:rPr>
        <w:footnoteReference w:id="59"/>
      </w:r>
      <w:r w:rsidRPr="0064597D">
        <w:rPr>
          <w:rFonts w:cs="Arial"/>
          <w:sz w:val="20"/>
          <w:szCs w:val="20"/>
        </w:rPr>
        <w:t xml:space="preserve">. Asimismo, el co-procesado J.M.M.R. manifestó ante las autoridades judiciales </w:t>
      </w:r>
      <w:r w:rsidRPr="0064597D">
        <w:rPr>
          <w:sz w:val="20"/>
          <w:szCs w:val="20"/>
        </w:rPr>
        <w:t>que</w:t>
      </w:r>
      <w:r w:rsidR="00EB1EA8" w:rsidRPr="0064597D">
        <w:rPr>
          <w:sz w:val="20"/>
          <w:szCs w:val="20"/>
        </w:rPr>
        <w:t>,</w:t>
      </w:r>
      <w:r w:rsidRPr="0064597D">
        <w:rPr>
          <w:sz w:val="20"/>
          <w:szCs w:val="20"/>
        </w:rPr>
        <w:t xml:space="preserve"> el día de la recaptura, venía junto con el señor Ruiz Fuentes en un carro de vuelta de los Bosques de San Nicolás, cuando “se les atravesó un carro y se bajaron dos personas con armas, y</w:t>
      </w:r>
      <w:r w:rsidR="00A10969" w:rsidRPr="0064597D">
        <w:rPr>
          <w:sz w:val="20"/>
          <w:szCs w:val="20"/>
        </w:rPr>
        <w:t>[,]</w:t>
      </w:r>
      <w:r w:rsidRPr="0064597D">
        <w:rPr>
          <w:sz w:val="20"/>
          <w:szCs w:val="20"/>
        </w:rPr>
        <w:t xml:space="preserve"> repentinamente otro vehículo topó atrás de ellos [y] los bajaron del carro”</w:t>
      </w:r>
      <w:r w:rsidRPr="0064597D">
        <w:rPr>
          <w:rStyle w:val="Refdenotaalpie"/>
          <w:sz w:val="20"/>
          <w:szCs w:val="20"/>
        </w:rPr>
        <w:footnoteReference w:id="60"/>
      </w:r>
      <w:r w:rsidRPr="0064597D">
        <w:rPr>
          <w:rFonts w:cs="Arial"/>
          <w:sz w:val="18"/>
          <w:szCs w:val="18"/>
        </w:rPr>
        <w:t>.</w:t>
      </w:r>
    </w:p>
    <w:p w14:paraId="5BCFF10A" w14:textId="23107567" w:rsidR="00F2238C" w:rsidRPr="0064597D" w:rsidRDefault="00F2238C" w:rsidP="00B47883">
      <w:pPr>
        <w:tabs>
          <w:tab w:val="left" w:pos="3405"/>
          <w:tab w:val="left" w:pos="5515"/>
        </w:tabs>
        <w:autoSpaceDE w:val="0"/>
        <w:autoSpaceDN w:val="0"/>
        <w:spacing w:line="240" w:lineRule="auto"/>
        <w:rPr>
          <w:sz w:val="20"/>
          <w:szCs w:val="20"/>
        </w:rPr>
      </w:pPr>
    </w:p>
    <w:p w14:paraId="147DC8D5" w14:textId="14992C6E" w:rsidR="007B52B0" w:rsidRPr="0064597D" w:rsidRDefault="00437A1D" w:rsidP="007B52B0">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El señor Ruiz Fuentes también declaró que</w:t>
      </w:r>
      <w:r w:rsidR="002C4320" w:rsidRPr="0064597D">
        <w:rPr>
          <w:sz w:val="20"/>
          <w:szCs w:val="20"/>
        </w:rPr>
        <w:t>,</w:t>
      </w:r>
      <w:r w:rsidRPr="0064597D">
        <w:rPr>
          <w:sz w:val="20"/>
          <w:szCs w:val="20"/>
        </w:rPr>
        <w:t xml:space="preserve"> a los tres días de estar en el hospital</w:t>
      </w:r>
      <w:r w:rsidR="002C4320" w:rsidRPr="0064597D">
        <w:rPr>
          <w:sz w:val="20"/>
          <w:szCs w:val="20"/>
        </w:rPr>
        <w:t>,</w:t>
      </w:r>
      <w:r w:rsidRPr="0064597D">
        <w:rPr>
          <w:sz w:val="20"/>
          <w:szCs w:val="20"/>
        </w:rPr>
        <w:t xml:space="preserve"> llegaron “unos muchachos” que le dijeron que “no dijera que le habían pegado, sino que dijera que se había hecho los golpes porque se había caído de una pared de ocho metros y que ellos lo iban a ayudar para que saliera a los dos o tres meses”</w:t>
      </w:r>
      <w:r w:rsidRPr="0064597D">
        <w:rPr>
          <w:rStyle w:val="Refdenotaalpie"/>
          <w:sz w:val="20"/>
          <w:szCs w:val="20"/>
        </w:rPr>
        <w:footnoteReference w:id="61"/>
      </w:r>
      <w:r w:rsidRPr="0064597D">
        <w:rPr>
          <w:sz w:val="20"/>
          <w:szCs w:val="20"/>
        </w:rPr>
        <w:t>.</w:t>
      </w:r>
      <w:r w:rsidR="007B52B0" w:rsidRPr="0064597D">
        <w:rPr>
          <w:rFonts w:cs="Arial"/>
          <w:sz w:val="20"/>
          <w:szCs w:val="20"/>
        </w:rPr>
        <w:t xml:space="preserve"> </w:t>
      </w:r>
    </w:p>
    <w:p w14:paraId="199F045C" w14:textId="355AA520" w:rsidR="00072585" w:rsidRPr="0064597D" w:rsidRDefault="00072585" w:rsidP="00072585">
      <w:pPr>
        <w:pStyle w:val="Ttulo2"/>
      </w:pPr>
      <w:bookmarkStart w:id="48" w:name="_Toc24014542"/>
      <w:r w:rsidRPr="0064597D">
        <w:t>C.</w:t>
      </w:r>
      <w:r w:rsidRPr="0064597D">
        <w:tab/>
        <w:t>Proceso penal seguido contra el señor Ruiz Fuentes</w:t>
      </w:r>
      <w:bookmarkEnd w:id="48"/>
    </w:p>
    <w:p w14:paraId="15A1F8EF" w14:textId="3844431B" w:rsidR="007B52B0" w:rsidRPr="0064597D" w:rsidRDefault="00544B95" w:rsidP="00377181">
      <w:pPr>
        <w:pStyle w:val="Ttulo3"/>
        <w:rPr>
          <w:lang w:eastAsia="en-US"/>
        </w:rPr>
      </w:pPr>
      <w:bookmarkStart w:id="49" w:name="_Toc15985494"/>
      <w:bookmarkStart w:id="50" w:name="_Toc24014543"/>
      <w:r w:rsidRPr="0064597D">
        <w:t xml:space="preserve">c.1 </w:t>
      </w:r>
      <w:r w:rsidRPr="0064597D">
        <w:tab/>
      </w:r>
      <w:r w:rsidR="007B52B0" w:rsidRPr="0064597D">
        <w:rPr>
          <w:lang w:eastAsia="en-US"/>
        </w:rPr>
        <w:t xml:space="preserve">Hechos </w:t>
      </w:r>
      <w:r w:rsidR="008F01D8" w:rsidRPr="0064597D">
        <w:rPr>
          <w:lang w:eastAsia="en-US"/>
        </w:rPr>
        <w:t xml:space="preserve">que dan lugar a la </w:t>
      </w:r>
      <w:r w:rsidR="007B52B0" w:rsidRPr="0064597D">
        <w:rPr>
          <w:lang w:eastAsia="en-US"/>
        </w:rPr>
        <w:t>sentencia condenatoria</w:t>
      </w:r>
      <w:bookmarkEnd w:id="49"/>
      <w:bookmarkEnd w:id="50"/>
    </w:p>
    <w:p w14:paraId="53D1CA85" w14:textId="509A9929" w:rsidR="00A67FA4" w:rsidRPr="0064597D" w:rsidRDefault="007B52B0" w:rsidP="00FD5666">
      <w:pPr>
        <w:numPr>
          <w:ilvl w:val="0"/>
          <w:numId w:val="1"/>
        </w:numPr>
        <w:tabs>
          <w:tab w:val="left" w:pos="567"/>
          <w:tab w:val="num" w:pos="1569"/>
          <w:tab w:val="num" w:pos="12305"/>
        </w:tabs>
        <w:autoSpaceDE w:val="0"/>
        <w:autoSpaceDN w:val="0"/>
        <w:spacing w:line="240" w:lineRule="auto"/>
        <w:ind w:left="0" w:firstLine="0"/>
        <w:rPr>
          <w:rFonts w:cs="Verdana"/>
          <w:sz w:val="20"/>
          <w:szCs w:val="20"/>
        </w:rPr>
      </w:pPr>
      <w:r w:rsidRPr="0064597D">
        <w:rPr>
          <w:rFonts w:cs="Verdana"/>
          <w:sz w:val="20"/>
          <w:szCs w:val="20"/>
        </w:rPr>
        <w:t xml:space="preserve">El 5 de agosto de 1997, a las seis horas y cincuenta minutos de la mañana, el niño </w:t>
      </w:r>
      <w:r w:rsidR="00A67FA4" w:rsidRPr="0064597D">
        <w:rPr>
          <w:sz w:val="20"/>
          <w:szCs w:val="20"/>
        </w:rPr>
        <w:t>P.A.L.W</w:t>
      </w:r>
      <w:r w:rsidR="00CB631F" w:rsidRPr="0064597D">
        <w:rPr>
          <w:rFonts w:cs="Verdana"/>
          <w:sz w:val="20"/>
          <w:szCs w:val="20"/>
        </w:rPr>
        <w:t xml:space="preserve">. </w:t>
      </w:r>
      <w:r w:rsidRPr="0064597D">
        <w:rPr>
          <w:rFonts w:cs="Verdana"/>
          <w:sz w:val="20"/>
          <w:szCs w:val="20"/>
        </w:rPr>
        <w:t>fue secuestrado por tres hombres armados</w:t>
      </w:r>
      <w:r w:rsidR="00F75638" w:rsidRPr="0064597D">
        <w:rPr>
          <w:rFonts w:cs="Verdana"/>
          <w:sz w:val="20"/>
          <w:szCs w:val="20"/>
        </w:rPr>
        <w:t xml:space="preserve">. Los secuestradores </w:t>
      </w:r>
      <w:r w:rsidRPr="0064597D">
        <w:rPr>
          <w:rFonts w:cs="Verdana"/>
          <w:sz w:val="20"/>
          <w:szCs w:val="20"/>
        </w:rPr>
        <w:t>exigieron al padre del niño</w:t>
      </w:r>
      <w:r w:rsidR="007F776D" w:rsidRPr="0064597D">
        <w:rPr>
          <w:rFonts w:cs="Verdana"/>
          <w:sz w:val="20"/>
          <w:szCs w:val="20"/>
        </w:rPr>
        <w:t xml:space="preserve"> </w:t>
      </w:r>
      <w:r w:rsidR="00F75638" w:rsidRPr="0064597D">
        <w:rPr>
          <w:rFonts w:cs="Verdana"/>
          <w:sz w:val="20"/>
          <w:szCs w:val="20"/>
        </w:rPr>
        <w:t xml:space="preserve">en reiteradas comunicaciones telefónicas </w:t>
      </w:r>
      <w:r w:rsidRPr="0064597D">
        <w:rPr>
          <w:rFonts w:cs="Verdana"/>
          <w:sz w:val="20"/>
          <w:szCs w:val="20"/>
        </w:rPr>
        <w:t xml:space="preserve">el pago </w:t>
      </w:r>
      <w:r w:rsidR="00CB631F" w:rsidRPr="0064597D">
        <w:rPr>
          <w:rFonts w:cs="Verdana"/>
          <w:sz w:val="20"/>
          <w:szCs w:val="20"/>
        </w:rPr>
        <w:t xml:space="preserve">de </w:t>
      </w:r>
      <w:r w:rsidRPr="0064597D">
        <w:rPr>
          <w:rFonts w:cs="Verdana"/>
          <w:sz w:val="20"/>
          <w:szCs w:val="20"/>
        </w:rPr>
        <w:t xml:space="preserve">un millón de quetzales por su liberación. </w:t>
      </w:r>
      <w:r w:rsidR="00A74D23" w:rsidRPr="0064597D">
        <w:rPr>
          <w:rFonts w:cs="Verdana"/>
          <w:sz w:val="20"/>
          <w:szCs w:val="20"/>
        </w:rPr>
        <w:t>El</w:t>
      </w:r>
      <w:r w:rsidRPr="0064597D">
        <w:rPr>
          <w:rFonts w:cs="Verdana"/>
          <w:sz w:val="20"/>
          <w:szCs w:val="20"/>
        </w:rPr>
        <w:t xml:space="preserve"> 6 de agosto de 1997 el niño fue localizado y liberado ileso como consecuencia de un operativo llevado a cabo por investigadores adscritos a la Sección Antisecuestros y Ext</w:t>
      </w:r>
      <w:r w:rsidR="00B5100E">
        <w:rPr>
          <w:rFonts w:cs="Verdana"/>
          <w:sz w:val="20"/>
          <w:szCs w:val="20"/>
        </w:rPr>
        <w:t>orsiones de la Policía Nacional.</w:t>
      </w:r>
      <w:r w:rsidR="00DD4469">
        <w:rPr>
          <w:rFonts w:cs="Verdana"/>
          <w:sz w:val="20"/>
          <w:szCs w:val="20"/>
        </w:rPr>
        <w:t xml:space="preserve"> </w:t>
      </w:r>
      <w:r w:rsidRPr="0064597D">
        <w:rPr>
          <w:rFonts w:cs="Verdana"/>
          <w:sz w:val="20"/>
          <w:szCs w:val="20"/>
        </w:rPr>
        <w:t xml:space="preserve">Durante el operativo en cuestión </w:t>
      </w:r>
      <w:r w:rsidR="007F776D" w:rsidRPr="0064597D">
        <w:rPr>
          <w:rFonts w:cs="Verdana"/>
          <w:sz w:val="20"/>
          <w:szCs w:val="20"/>
        </w:rPr>
        <w:t xml:space="preserve">fueron capturados el señor </w:t>
      </w:r>
      <w:r w:rsidR="00D718CE" w:rsidRPr="0064597D">
        <w:rPr>
          <w:rFonts w:cs="Verdana"/>
          <w:sz w:val="20"/>
          <w:szCs w:val="20"/>
        </w:rPr>
        <w:t xml:space="preserve">Ruiz </w:t>
      </w:r>
      <w:r w:rsidRPr="0064597D">
        <w:rPr>
          <w:rFonts w:cs="Arial"/>
          <w:sz w:val="20"/>
          <w:szCs w:val="20"/>
        </w:rPr>
        <w:t>Fuentes</w:t>
      </w:r>
      <w:r w:rsidRPr="0064597D">
        <w:rPr>
          <w:rFonts w:cs="Verdana"/>
          <w:sz w:val="20"/>
          <w:szCs w:val="20"/>
        </w:rPr>
        <w:t xml:space="preserve"> </w:t>
      </w:r>
      <w:r w:rsidR="007F776D" w:rsidRPr="0064597D">
        <w:rPr>
          <w:rFonts w:cs="Verdana"/>
          <w:sz w:val="20"/>
          <w:szCs w:val="20"/>
        </w:rPr>
        <w:t>junto con cuatro personas más</w:t>
      </w:r>
      <w:r w:rsidRPr="0064597D">
        <w:rPr>
          <w:rFonts w:cs="Verdana"/>
          <w:sz w:val="20"/>
          <w:szCs w:val="20"/>
        </w:rPr>
        <w:t xml:space="preserve">, </w:t>
      </w:r>
      <w:r w:rsidR="008F01D8" w:rsidRPr="0064597D">
        <w:rPr>
          <w:rFonts w:cs="Verdana"/>
          <w:sz w:val="20"/>
          <w:szCs w:val="20"/>
        </w:rPr>
        <w:t>y</w:t>
      </w:r>
      <w:r w:rsidR="007F776D" w:rsidRPr="0064597D">
        <w:rPr>
          <w:rFonts w:cs="Verdana"/>
          <w:sz w:val="20"/>
          <w:szCs w:val="20"/>
        </w:rPr>
        <w:t xml:space="preserve"> fueron</w:t>
      </w:r>
      <w:r w:rsidRPr="0064597D">
        <w:rPr>
          <w:rFonts w:cs="Verdana"/>
          <w:sz w:val="20"/>
          <w:szCs w:val="20"/>
        </w:rPr>
        <w:t xml:space="preserve"> puestos a disposición del Juez Segundo de Paz Penal del Municipio de Mixco, </w:t>
      </w:r>
      <w:r w:rsidRPr="0064597D">
        <w:rPr>
          <w:rFonts w:cs="Verdana"/>
          <w:sz w:val="20"/>
          <w:szCs w:val="20"/>
        </w:rPr>
        <w:lastRenderedPageBreak/>
        <w:t>Departamento de Guatemala</w:t>
      </w:r>
      <w:r w:rsidR="007F776D" w:rsidRPr="0064597D">
        <w:rPr>
          <w:rStyle w:val="Refdenotaalpie"/>
          <w:rFonts w:cs="Verdana"/>
          <w:sz w:val="20"/>
          <w:szCs w:val="20"/>
        </w:rPr>
        <w:footnoteReference w:id="62"/>
      </w:r>
      <w:r w:rsidRPr="0064597D">
        <w:rPr>
          <w:rFonts w:cs="Verdana"/>
          <w:sz w:val="20"/>
          <w:szCs w:val="20"/>
        </w:rPr>
        <w:t>.</w:t>
      </w:r>
    </w:p>
    <w:p w14:paraId="3D201FB6" w14:textId="77777777" w:rsidR="00A67FA4" w:rsidRPr="0064597D" w:rsidRDefault="00A67FA4" w:rsidP="00A67FA4">
      <w:pPr>
        <w:tabs>
          <w:tab w:val="left" w:pos="567"/>
        </w:tabs>
        <w:autoSpaceDE w:val="0"/>
        <w:autoSpaceDN w:val="0"/>
        <w:spacing w:line="240" w:lineRule="auto"/>
        <w:rPr>
          <w:rFonts w:cs="Verdana"/>
          <w:sz w:val="20"/>
          <w:szCs w:val="20"/>
        </w:rPr>
      </w:pPr>
    </w:p>
    <w:p w14:paraId="168B74B8" w14:textId="325334DF" w:rsidR="007B52B0" w:rsidRPr="0064597D" w:rsidRDefault="00A67FA4" w:rsidP="000C391B">
      <w:pPr>
        <w:numPr>
          <w:ilvl w:val="0"/>
          <w:numId w:val="1"/>
        </w:numPr>
        <w:tabs>
          <w:tab w:val="left" w:pos="567"/>
          <w:tab w:val="num" w:pos="1569"/>
          <w:tab w:val="num" w:pos="12305"/>
        </w:tabs>
        <w:autoSpaceDE w:val="0"/>
        <w:autoSpaceDN w:val="0"/>
        <w:spacing w:line="240" w:lineRule="auto"/>
        <w:ind w:left="0" w:firstLine="0"/>
        <w:rPr>
          <w:rFonts w:cs="Verdana"/>
          <w:sz w:val="20"/>
          <w:szCs w:val="20"/>
        </w:rPr>
      </w:pPr>
      <w:r w:rsidRPr="0064597D">
        <w:rPr>
          <w:rFonts w:cs="Verdana"/>
          <w:sz w:val="20"/>
          <w:szCs w:val="20"/>
        </w:rPr>
        <w:t xml:space="preserve">Ante estos hechos el </w:t>
      </w:r>
      <w:r w:rsidR="007B52B0" w:rsidRPr="0064597D">
        <w:rPr>
          <w:rFonts w:cs="Verdana"/>
          <w:sz w:val="20"/>
          <w:szCs w:val="20"/>
        </w:rPr>
        <w:t xml:space="preserve">fiscal del Ministerio Público formuló acusación en contra </w:t>
      </w:r>
      <w:r w:rsidR="00C81823" w:rsidRPr="0064597D">
        <w:rPr>
          <w:rFonts w:cs="Verdana"/>
          <w:sz w:val="20"/>
          <w:szCs w:val="20"/>
        </w:rPr>
        <w:t xml:space="preserve">del señor Ruiz Fuentes y de otras personas </w:t>
      </w:r>
      <w:r w:rsidR="007B52B0" w:rsidRPr="0064597D">
        <w:rPr>
          <w:rFonts w:cs="Verdana"/>
          <w:sz w:val="20"/>
          <w:szCs w:val="20"/>
        </w:rPr>
        <w:t>por la comisión del delito de plagio o secuestro, tipificado por el artículo 201 del Código Penal de Guatemala, vigente en la época de l</w:t>
      </w:r>
      <w:r w:rsidR="007F776D" w:rsidRPr="0064597D">
        <w:rPr>
          <w:rFonts w:cs="Verdana"/>
          <w:sz w:val="20"/>
          <w:szCs w:val="20"/>
        </w:rPr>
        <w:t xml:space="preserve">os hechos, </w:t>
      </w:r>
      <w:r w:rsidR="007B52B0" w:rsidRPr="0064597D">
        <w:rPr>
          <w:rFonts w:cs="Verdana"/>
          <w:sz w:val="20"/>
          <w:szCs w:val="20"/>
        </w:rPr>
        <w:t>lo que dio inicio al proceso</w:t>
      </w:r>
      <w:r w:rsidR="007B52B0" w:rsidRPr="0064597D">
        <w:rPr>
          <w:rStyle w:val="Refdenotaalpie"/>
          <w:rFonts w:cs="Verdana"/>
          <w:iCs/>
          <w:sz w:val="20"/>
          <w:szCs w:val="20"/>
        </w:rPr>
        <w:footnoteReference w:id="63"/>
      </w:r>
      <w:r w:rsidR="007B52B0" w:rsidRPr="0064597D">
        <w:rPr>
          <w:rFonts w:cs="Verdana"/>
          <w:iCs/>
          <w:sz w:val="20"/>
          <w:szCs w:val="20"/>
        </w:rPr>
        <w:t>.</w:t>
      </w:r>
      <w:r w:rsidR="007B52B0" w:rsidRPr="0064597D">
        <w:rPr>
          <w:rFonts w:cs="Verdana"/>
          <w:i/>
          <w:iCs/>
          <w:sz w:val="20"/>
          <w:szCs w:val="20"/>
        </w:rPr>
        <w:t xml:space="preserve"> </w:t>
      </w:r>
    </w:p>
    <w:p w14:paraId="7F097209" w14:textId="77777777" w:rsidR="007B52B0" w:rsidRPr="0064597D" w:rsidRDefault="007B52B0" w:rsidP="007B52B0">
      <w:pPr>
        <w:autoSpaceDE w:val="0"/>
        <w:autoSpaceDN w:val="0"/>
        <w:spacing w:line="240" w:lineRule="auto"/>
        <w:rPr>
          <w:rFonts w:cs="Verdana"/>
          <w:sz w:val="19"/>
          <w:szCs w:val="19"/>
        </w:rPr>
      </w:pPr>
    </w:p>
    <w:p w14:paraId="533A2C12" w14:textId="0B211976" w:rsidR="007B52B0" w:rsidRPr="0064597D" w:rsidRDefault="007B52B0" w:rsidP="00A06A51">
      <w:pPr>
        <w:numPr>
          <w:ilvl w:val="0"/>
          <w:numId w:val="1"/>
        </w:numPr>
        <w:tabs>
          <w:tab w:val="left" w:pos="567"/>
          <w:tab w:val="num" w:pos="1569"/>
          <w:tab w:val="num" w:pos="12305"/>
        </w:tabs>
        <w:autoSpaceDE w:val="0"/>
        <w:autoSpaceDN w:val="0"/>
        <w:spacing w:line="240" w:lineRule="auto"/>
        <w:ind w:left="0" w:firstLine="0"/>
        <w:rPr>
          <w:rFonts w:cs="Verdana"/>
          <w:sz w:val="19"/>
          <w:szCs w:val="19"/>
        </w:rPr>
      </w:pPr>
      <w:r w:rsidRPr="0064597D">
        <w:rPr>
          <w:rFonts w:cs="Arial"/>
          <w:sz w:val="20"/>
          <w:szCs w:val="20"/>
        </w:rPr>
        <w:t>El debate oral y público estaba señalado para el 20 de abril de 1999. Ese mismo día, el abogado pa</w:t>
      </w:r>
      <w:r w:rsidR="00520FDF" w:rsidRPr="0064597D">
        <w:rPr>
          <w:rFonts w:cs="Arial"/>
          <w:sz w:val="20"/>
          <w:szCs w:val="20"/>
        </w:rPr>
        <w:t>rticular del señor Ruiz Fuentes</w:t>
      </w:r>
      <w:r w:rsidRPr="0064597D">
        <w:rPr>
          <w:rFonts w:cs="Arial"/>
          <w:sz w:val="20"/>
          <w:szCs w:val="20"/>
        </w:rPr>
        <w:t xml:space="preserve"> abandonó a su defendido. El Tribunal nombró </w:t>
      </w:r>
      <w:r w:rsidR="00520FDF" w:rsidRPr="0064597D">
        <w:rPr>
          <w:rFonts w:cs="Arial"/>
          <w:sz w:val="20"/>
          <w:szCs w:val="20"/>
        </w:rPr>
        <w:t>a otro abogado c</w:t>
      </w:r>
      <w:r w:rsidRPr="0064597D">
        <w:rPr>
          <w:rFonts w:cs="Arial"/>
          <w:sz w:val="20"/>
          <w:szCs w:val="20"/>
        </w:rPr>
        <w:t xml:space="preserve">omo defensor del señor Ruiz Fuentes y aplazó el debate para el día siguiente, </w:t>
      </w:r>
      <w:r w:rsidR="007F776D" w:rsidRPr="0064597D">
        <w:rPr>
          <w:rFonts w:cs="Arial"/>
          <w:sz w:val="20"/>
          <w:szCs w:val="20"/>
        </w:rPr>
        <w:t>otorgando a dicho abogado</w:t>
      </w:r>
      <w:r w:rsidRPr="0064597D">
        <w:rPr>
          <w:rFonts w:cs="Arial"/>
          <w:sz w:val="20"/>
          <w:szCs w:val="20"/>
        </w:rPr>
        <w:t xml:space="preserve"> un día par</w:t>
      </w:r>
      <w:r w:rsidR="00EC436E" w:rsidRPr="0064597D">
        <w:rPr>
          <w:rFonts w:cs="Arial"/>
          <w:sz w:val="20"/>
          <w:szCs w:val="20"/>
        </w:rPr>
        <w:t>a preparar la defensa técnica del señor Ruiz Fuentes</w:t>
      </w:r>
      <w:r w:rsidRPr="0064597D">
        <w:rPr>
          <w:rStyle w:val="Refdenotaalpie"/>
          <w:sz w:val="20"/>
          <w:szCs w:val="20"/>
        </w:rPr>
        <w:footnoteReference w:id="64"/>
      </w:r>
      <w:r w:rsidRPr="0064597D">
        <w:rPr>
          <w:rFonts w:cs="Arial"/>
          <w:sz w:val="20"/>
          <w:szCs w:val="20"/>
        </w:rPr>
        <w:t xml:space="preserve">. </w:t>
      </w:r>
    </w:p>
    <w:p w14:paraId="0FDA6B35" w14:textId="77777777" w:rsidR="00EC436E" w:rsidRPr="0064597D" w:rsidRDefault="00EC436E" w:rsidP="00EC436E">
      <w:pPr>
        <w:tabs>
          <w:tab w:val="left" w:pos="567"/>
          <w:tab w:val="num" w:pos="12305"/>
        </w:tabs>
        <w:autoSpaceDE w:val="0"/>
        <w:autoSpaceDN w:val="0"/>
        <w:spacing w:line="240" w:lineRule="auto"/>
        <w:rPr>
          <w:rFonts w:cs="Verdana"/>
          <w:sz w:val="19"/>
          <w:szCs w:val="19"/>
        </w:rPr>
      </w:pPr>
    </w:p>
    <w:p w14:paraId="1D54D690" w14:textId="31707556" w:rsidR="0022697E" w:rsidRPr="0064597D" w:rsidRDefault="007B52B0" w:rsidP="00C1486B">
      <w:pPr>
        <w:numPr>
          <w:ilvl w:val="0"/>
          <w:numId w:val="1"/>
        </w:numPr>
        <w:tabs>
          <w:tab w:val="left" w:pos="567"/>
          <w:tab w:val="num" w:pos="1569"/>
          <w:tab w:val="num" w:pos="12305"/>
        </w:tabs>
        <w:autoSpaceDE w:val="0"/>
        <w:autoSpaceDN w:val="0"/>
        <w:spacing w:line="240" w:lineRule="auto"/>
        <w:ind w:left="0" w:firstLine="0"/>
        <w:rPr>
          <w:b/>
          <w:sz w:val="20"/>
          <w:szCs w:val="20"/>
        </w:rPr>
      </w:pPr>
      <w:r w:rsidRPr="0064597D">
        <w:rPr>
          <w:rFonts w:cs="Verdana"/>
          <w:sz w:val="20"/>
          <w:szCs w:val="20"/>
        </w:rPr>
        <w:t>El 14 de mayo de 1999 el Tribunal Sexto de Sentencia Penal, Narcoactividad y Delitos contra el Ambiente de Guatemala</w:t>
      </w:r>
      <w:r w:rsidR="00011243" w:rsidRPr="0064597D">
        <w:rPr>
          <w:rFonts w:cs="Verdana"/>
          <w:sz w:val="20"/>
          <w:szCs w:val="20"/>
        </w:rPr>
        <w:t xml:space="preserve"> (en adelante, “Tribunal Sexto de Sentencia Penal”)</w:t>
      </w:r>
      <w:r w:rsidRPr="0064597D">
        <w:rPr>
          <w:rFonts w:cs="Verdana"/>
          <w:sz w:val="20"/>
          <w:szCs w:val="20"/>
        </w:rPr>
        <w:t xml:space="preserve"> dictó sentencia condenatoria en contra del señor Ruiz Fuentes y de los otros imputados por el secuestro del niño </w:t>
      </w:r>
      <w:r w:rsidR="00A67FA4" w:rsidRPr="0064597D">
        <w:rPr>
          <w:rFonts w:cs="Verdana"/>
          <w:sz w:val="20"/>
          <w:szCs w:val="20"/>
        </w:rPr>
        <w:t xml:space="preserve">P.A.L.W. </w:t>
      </w:r>
      <w:r w:rsidR="00520FDF" w:rsidRPr="0064597D">
        <w:rPr>
          <w:rFonts w:cs="Verdana"/>
          <w:sz w:val="20"/>
          <w:szCs w:val="20"/>
        </w:rPr>
        <w:t>El señor</w:t>
      </w:r>
      <w:r w:rsidRPr="0064597D">
        <w:rPr>
          <w:rFonts w:cs="Verdana"/>
          <w:sz w:val="20"/>
          <w:szCs w:val="20"/>
        </w:rPr>
        <w:t xml:space="preserve"> Ruiz Fuentes, </w:t>
      </w:r>
      <w:r w:rsidR="00520FDF" w:rsidRPr="0064597D">
        <w:rPr>
          <w:rFonts w:cs="Verdana"/>
          <w:sz w:val="20"/>
          <w:szCs w:val="20"/>
        </w:rPr>
        <w:t>junto con otros dos procesados</w:t>
      </w:r>
      <w:r w:rsidR="008F01D8" w:rsidRPr="0064597D">
        <w:rPr>
          <w:rFonts w:cs="Verdana"/>
          <w:sz w:val="20"/>
          <w:szCs w:val="20"/>
        </w:rPr>
        <w:t xml:space="preserve"> (los señores </w:t>
      </w:r>
      <w:r w:rsidR="00A67FA4" w:rsidRPr="0064597D">
        <w:rPr>
          <w:rFonts w:cs="Arial"/>
          <w:sz w:val="20"/>
          <w:szCs w:val="20"/>
        </w:rPr>
        <w:t xml:space="preserve">J.M.M.R. </w:t>
      </w:r>
      <w:r w:rsidR="008F01D8" w:rsidRPr="0064597D">
        <w:rPr>
          <w:rFonts w:cs="Verdana"/>
          <w:sz w:val="20"/>
          <w:szCs w:val="20"/>
        </w:rPr>
        <w:t>y Raxcacó Reyes)</w:t>
      </w:r>
      <w:r w:rsidR="00520FDF" w:rsidRPr="0064597D">
        <w:rPr>
          <w:rFonts w:cs="Verdana"/>
          <w:sz w:val="20"/>
          <w:szCs w:val="20"/>
        </w:rPr>
        <w:t xml:space="preserve">, </w:t>
      </w:r>
      <w:r w:rsidRPr="0064597D">
        <w:rPr>
          <w:rFonts w:cs="Verdana"/>
          <w:sz w:val="20"/>
          <w:szCs w:val="20"/>
        </w:rPr>
        <w:t xml:space="preserve">fueron condenados a la pena </w:t>
      </w:r>
      <w:r w:rsidR="00245590" w:rsidRPr="0064597D">
        <w:rPr>
          <w:rFonts w:cs="Verdana"/>
          <w:sz w:val="20"/>
          <w:szCs w:val="20"/>
        </w:rPr>
        <w:t>de muerte</w:t>
      </w:r>
      <w:r w:rsidRPr="0064597D">
        <w:rPr>
          <w:rFonts w:cs="Verdana"/>
          <w:sz w:val="20"/>
          <w:szCs w:val="20"/>
        </w:rPr>
        <w:t xml:space="preserve"> por ser responsables del delito de </w:t>
      </w:r>
      <w:r w:rsidR="00F75638" w:rsidRPr="0064597D">
        <w:rPr>
          <w:rFonts w:cs="Verdana"/>
          <w:sz w:val="20"/>
          <w:szCs w:val="20"/>
        </w:rPr>
        <w:t xml:space="preserve">plagio o secuestro en grado de </w:t>
      </w:r>
      <w:r w:rsidRPr="0064597D">
        <w:rPr>
          <w:rFonts w:cs="Verdana"/>
          <w:sz w:val="20"/>
          <w:szCs w:val="20"/>
        </w:rPr>
        <w:t>autores directos</w:t>
      </w:r>
      <w:r w:rsidR="00520FDF" w:rsidRPr="0064597D">
        <w:rPr>
          <w:rFonts w:cs="Verdana"/>
          <w:sz w:val="20"/>
          <w:szCs w:val="20"/>
        </w:rPr>
        <w:t xml:space="preserve">. </w:t>
      </w:r>
      <w:r w:rsidR="008F01D8" w:rsidRPr="0064597D">
        <w:rPr>
          <w:rFonts w:cs="Verdana"/>
          <w:sz w:val="20"/>
          <w:szCs w:val="20"/>
        </w:rPr>
        <w:t xml:space="preserve">Los otros dos procesados </w:t>
      </w:r>
      <w:r w:rsidR="00B70565" w:rsidRPr="0064597D">
        <w:rPr>
          <w:rFonts w:cs="Verdana"/>
          <w:sz w:val="20"/>
          <w:szCs w:val="20"/>
        </w:rPr>
        <w:t>fueron condenados por la comisión del delito de plagio o secuestro a cuarenta y veinte años de “prisión inconmutables”, respectivamente</w:t>
      </w:r>
      <w:r w:rsidR="00A74D23" w:rsidRPr="0064597D">
        <w:rPr>
          <w:rStyle w:val="Refdenotaalpie"/>
          <w:rFonts w:cs="Verdana"/>
          <w:sz w:val="20"/>
          <w:szCs w:val="20"/>
        </w:rPr>
        <w:footnoteReference w:id="65"/>
      </w:r>
      <w:r w:rsidRPr="0064597D">
        <w:rPr>
          <w:rFonts w:cs="Verdana"/>
          <w:sz w:val="20"/>
          <w:szCs w:val="20"/>
        </w:rPr>
        <w:t xml:space="preserve">. </w:t>
      </w:r>
    </w:p>
    <w:p w14:paraId="62807402" w14:textId="4D9E3897" w:rsidR="007B52B0" w:rsidRPr="0064597D" w:rsidRDefault="00544B95" w:rsidP="00377181">
      <w:pPr>
        <w:pStyle w:val="Ttulo3"/>
        <w:rPr>
          <w:lang w:eastAsia="en-US"/>
        </w:rPr>
      </w:pPr>
      <w:bookmarkStart w:id="51" w:name="_Toc15985495"/>
      <w:bookmarkStart w:id="52" w:name="_Toc24014544"/>
      <w:r w:rsidRPr="0064597D">
        <w:t xml:space="preserve">c.2 </w:t>
      </w:r>
      <w:r w:rsidRPr="0064597D">
        <w:tab/>
      </w:r>
      <w:r w:rsidR="007B52B0" w:rsidRPr="0064597D">
        <w:rPr>
          <w:lang w:eastAsia="en-US"/>
        </w:rPr>
        <w:t>Recursos interpuestos</w:t>
      </w:r>
      <w:bookmarkEnd w:id="51"/>
      <w:bookmarkEnd w:id="52"/>
    </w:p>
    <w:p w14:paraId="4D1228E7" w14:textId="2D783E91" w:rsidR="007B52B0" w:rsidRPr="0064597D" w:rsidRDefault="0022697E" w:rsidP="006958DA">
      <w:pPr>
        <w:numPr>
          <w:ilvl w:val="0"/>
          <w:numId w:val="1"/>
        </w:numPr>
        <w:tabs>
          <w:tab w:val="left" w:pos="567"/>
          <w:tab w:val="num" w:pos="1569"/>
          <w:tab w:val="num" w:pos="12305"/>
        </w:tabs>
        <w:autoSpaceDE w:val="0"/>
        <w:autoSpaceDN w:val="0"/>
        <w:spacing w:line="240" w:lineRule="auto"/>
        <w:ind w:left="0" w:firstLine="0"/>
        <w:rPr>
          <w:sz w:val="20"/>
          <w:szCs w:val="20"/>
        </w:rPr>
      </w:pPr>
      <w:r w:rsidRPr="0064597D">
        <w:rPr>
          <w:rFonts w:cs="Verdana"/>
          <w:sz w:val="20"/>
          <w:szCs w:val="20"/>
        </w:rPr>
        <w:t>El señor</w:t>
      </w:r>
      <w:r w:rsidR="007B52B0" w:rsidRPr="0064597D">
        <w:rPr>
          <w:rFonts w:cs="Verdana"/>
          <w:sz w:val="20"/>
          <w:szCs w:val="20"/>
        </w:rPr>
        <w:t xml:space="preserve"> Ruiz Fuentes</w:t>
      </w:r>
      <w:r w:rsidRPr="0064597D">
        <w:rPr>
          <w:rFonts w:cs="Verdana"/>
          <w:sz w:val="20"/>
          <w:szCs w:val="20"/>
        </w:rPr>
        <w:t xml:space="preserve"> y </w:t>
      </w:r>
      <w:r w:rsidR="00D727C0" w:rsidRPr="0064597D">
        <w:rPr>
          <w:rFonts w:cs="Verdana"/>
          <w:sz w:val="20"/>
          <w:szCs w:val="20"/>
        </w:rPr>
        <w:t>las otras dos personas</w:t>
      </w:r>
      <w:r w:rsidRPr="0064597D">
        <w:rPr>
          <w:rFonts w:cs="Verdana"/>
          <w:sz w:val="20"/>
          <w:szCs w:val="20"/>
        </w:rPr>
        <w:t xml:space="preserve"> condenad</w:t>
      </w:r>
      <w:r w:rsidR="00F75638" w:rsidRPr="0064597D">
        <w:rPr>
          <w:rFonts w:cs="Verdana"/>
          <w:sz w:val="20"/>
          <w:szCs w:val="20"/>
        </w:rPr>
        <w:t>a</w:t>
      </w:r>
      <w:r w:rsidRPr="0064597D">
        <w:rPr>
          <w:rFonts w:cs="Verdana"/>
          <w:sz w:val="20"/>
          <w:szCs w:val="20"/>
        </w:rPr>
        <w:t>s a pena de muerte</w:t>
      </w:r>
      <w:r w:rsidR="008F01D8" w:rsidRPr="0064597D">
        <w:rPr>
          <w:rFonts w:cs="Verdana"/>
          <w:sz w:val="20"/>
          <w:szCs w:val="20"/>
        </w:rPr>
        <w:t xml:space="preserve"> </w:t>
      </w:r>
      <w:r w:rsidRPr="0064597D">
        <w:rPr>
          <w:rFonts w:cs="Verdana"/>
          <w:sz w:val="20"/>
          <w:szCs w:val="20"/>
        </w:rPr>
        <w:t>int</w:t>
      </w:r>
      <w:r w:rsidR="008F01D8" w:rsidRPr="0064597D">
        <w:rPr>
          <w:rFonts w:cs="Verdana"/>
          <w:sz w:val="20"/>
          <w:szCs w:val="20"/>
        </w:rPr>
        <w:t xml:space="preserve">erpusieron un “recurso de </w:t>
      </w:r>
      <w:r w:rsidR="0034637D" w:rsidRPr="0064597D">
        <w:rPr>
          <w:rFonts w:cs="Verdana"/>
          <w:sz w:val="20"/>
          <w:szCs w:val="20"/>
        </w:rPr>
        <w:t>a</w:t>
      </w:r>
      <w:r w:rsidRPr="0064597D">
        <w:rPr>
          <w:rFonts w:cs="Verdana"/>
          <w:sz w:val="20"/>
          <w:szCs w:val="20"/>
        </w:rPr>
        <w:t xml:space="preserve">pelación </w:t>
      </w:r>
      <w:r w:rsidR="0034637D" w:rsidRPr="0064597D">
        <w:rPr>
          <w:rFonts w:cs="Verdana"/>
          <w:sz w:val="20"/>
          <w:szCs w:val="20"/>
        </w:rPr>
        <w:t>e</w:t>
      </w:r>
      <w:r w:rsidRPr="0064597D">
        <w:rPr>
          <w:rFonts w:cs="Verdana"/>
          <w:sz w:val="20"/>
          <w:szCs w:val="20"/>
        </w:rPr>
        <w:t xml:space="preserve">special por motivos de fondo y forma” </w:t>
      </w:r>
      <w:r w:rsidR="007B52B0" w:rsidRPr="0064597D">
        <w:rPr>
          <w:rFonts w:cs="Verdana"/>
          <w:sz w:val="20"/>
          <w:szCs w:val="20"/>
        </w:rPr>
        <w:t xml:space="preserve">contra la sentencia dictada el 14 de mayo de 1999 por el </w:t>
      </w:r>
      <w:r w:rsidR="00011243" w:rsidRPr="0064597D">
        <w:rPr>
          <w:rFonts w:cs="Verdana"/>
          <w:sz w:val="20"/>
          <w:szCs w:val="20"/>
        </w:rPr>
        <w:t>Tribunal Sexto de Sentencia Penal</w:t>
      </w:r>
      <w:r w:rsidR="007B52B0" w:rsidRPr="0064597D">
        <w:rPr>
          <w:rStyle w:val="Refdenotaalpie"/>
          <w:rFonts w:cs="Verdana"/>
          <w:sz w:val="20"/>
          <w:szCs w:val="20"/>
        </w:rPr>
        <w:footnoteReference w:id="66"/>
      </w:r>
      <w:r w:rsidR="007B52B0" w:rsidRPr="0064597D">
        <w:rPr>
          <w:rFonts w:cs="Verdana"/>
          <w:sz w:val="20"/>
          <w:szCs w:val="20"/>
        </w:rPr>
        <w:t xml:space="preserve">. El señor Ruiz Fuentes fundamentó su apelación alegando que el Tribunal </w:t>
      </w:r>
      <w:r w:rsidR="007B52B0" w:rsidRPr="0064597D">
        <w:rPr>
          <w:sz w:val="20"/>
          <w:szCs w:val="20"/>
        </w:rPr>
        <w:t>de sentencia dio por acreditados hechos distintos a los</w:t>
      </w:r>
      <w:r w:rsidR="007B52B0" w:rsidRPr="0064597D">
        <w:rPr>
          <w:rFonts w:cs="Verdana"/>
          <w:sz w:val="20"/>
          <w:szCs w:val="20"/>
        </w:rPr>
        <w:t xml:space="preserve"> </w:t>
      </w:r>
      <w:r w:rsidR="007B52B0" w:rsidRPr="0064597D">
        <w:rPr>
          <w:sz w:val="20"/>
          <w:szCs w:val="20"/>
        </w:rPr>
        <w:t>formulados en la acusación, afectando con ello su derecho a la defensa</w:t>
      </w:r>
      <w:r w:rsidR="007B52B0" w:rsidRPr="0064597D">
        <w:rPr>
          <w:rStyle w:val="Refdenotaalpie"/>
          <w:rFonts w:cs="Verdana"/>
          <w:sz w:val="20"/>
          <w:szCs w:val="20"/>
        </w:rPr>
        <w:footnoteReference w:id="67"/>
      </w:r>
      <w:r w:rsidR="007B52B0" w:rsidRPr="0064597D">
        <w:rPr>
          <w:sz w:val="20"/>
          <w:szCs w:val="20"/>
        </w:rPr>
        <w:t>. También indicó que se le privó de su derecho de ofrecer y aportar prueba durante el debate</w:t>
      </w:r>
      <w:r w:rsidRPr="0064597D">
        <w:rPr>
          <w:sz w:val="20"/>
          <w:szCs w:val="20"/>
        </w:rPr>
        <w:t>,</w:t>
      </w:r>
      <w:r w:rsidR="007B52B0" w:rsidRPr="0064597D">
        <w:rPr>
          <w:rFonts w:cs="Verdana"/>
          <w:sz w:val="20"/>
          <w:szCs w:val="20"/>
        </w:rPr>
        <w:t xml:space="preserve"> </w:t>
      </w:r>
      <w:r w:rsidR="007B52B0" w:rsidRPr="0064597D">
        <w:rPr>
          <w:sz w:val="20"/>
          <w:szCs w:val="20"/>
        </w:rPr>
        <w:t>pues en dicha fase el Tribunal corrió audiencia a las partes para ofrecer prueba por el plazo de ocho días y</w:t>
      </w:r>
      <w:r w:rsidR="00A74D23" w:rsidRPr="0064597D">
        <w:rPr>
          <w:sz w:val="20"/>
          <w:szCs w:val="20"/>
        </w:rPr>
        <w:t xml:space="preserve"> debido a una omisión del entonces abogado defensor, </w:t>
      </w:r>
      <w:r w:rsidR="00BB68D5" w:rsidRPr="0064597D">
        <w:rPr>
          <w:sz w:val="20"/>
          <w:szCs w:val="20"/>
        </w:rPr>
        <w:t>quien no firmó ni selló e</w:t>
      </w:r>
      <w:r w:rsidR="007B52B0" w:rsidRPr="0064597D">
        <w:rPr>
          <w:sz w:val="20"/>
          <w:szCs w:val="20"/>
        </w:rPr>
        <w:t>l memorial de ofrecimiento, el tribunal de</w:t>
      </w:r>
      <w:r w:rsidR="007B52B0" w:rsidRPr="0064597D">
        <w:rPr>
          <w:rFonts w:cs="Verdana"/>
          <w:sz w:val="20"/>
          <w:szCs w:val="20"/>
        </w:rPr>
        <w:t xml:space="preserve"> </w:t>
      </w:r>
      <w:r w:rsidR="007B52B0" w:rsidRPr="0064597D">
        <w:rPr>
          <w:sz w:val="20"/>
          <w:szCs w:val="20"/>
        </w:rPr>
        <w:t xml:space="preserve">sentencia no le dio trámite y, en consecuencia, </w:t>
      </w:r>
      <w:r w:rsidR="00A74D23" w:rsidRPr="0064597D">
        <w:rPr>
          <w:sz w:val="20"/>
          <w:szCs w:val="20"/>
        </w:rPr>
        <w:t>se le impidió</w:t>
      </w:r>
      <w:r w:rsidR="007B52B0" w:rsidRPr="0064597D">
        <w:rPr>
          <w:sz w:val="20"/>
          <w:szCs w:val="20"/>
        </w:rPr>
        <w:t xml:space="preserve"> ofrecer prueba alguna </w:t>
      </w:r>
      <w:r w:rsidR="00A74D23" w:rsidRPr="0064597D">
        <w:rPr>
          <w:sz w:val="20"/>
          <w:szCs w:val="20"/>
        </w:rPr>
        <w:t>en el marco del</w:t>
      </w:r>
      <w:r w:rsidR="007B52B0" w:rsidRPr="0064597D">
        <w:rPr>
          <w:sz w:val="20"/>
          <w:szCs w:val="20"/>
        </w:rPr>
        <w:t xml:space="preserve"> </w:t>
      </w:r>
      <w:r w:rsidR="00A74D23" w:rsidRPr="0064597D">
        <w:rPr>
          <w:sz w:val="20"/>
          <w:szCs w:val="20"/>
        </w:rPr>
        <w:t>juicio</w:t>
      </w:r>
      <w:r w:rsidR="007B52B0" w:rsidRPr="0064597D">
        <w:rPr>
          <w:rStyle w:val="Refdenotaalpie"/>
          <w:sz w:val="20"/>
          <w:szCs w:val="20"/>
        </w:rPr>
        <w:footnoteReference w:id="68"/>
      </w:r>
      <w:r w:rsidR="00C22084" w:rsidRPr="0064597D">
        <w:rPr>
          <w:sz w:val="20"/>
          <w:szCs w:val="20"/>
        </w:rPr>
        <w:t xml:space="preserve">. </w:t>
      </w:r>
      <w:r w:rsidR="00C1486B" w:rsidRPr="0064597D">
        <w:rPr>
          <w:rFonts w:cs="Arial"/>
          <w:sz w:val="20"/>
          <w:szCs w:val="20"/>
        </w:rPr>
        <w:t xml:space="preserve">Asimismo, el señor Ruiz Fuentes se opuso a la valoración de la prueba realizada por el tribunal de primera instancia, </w:t>
      </w:r>
      <w:r w:rsidR="00A74D23" w:rsidRPr="0064597D">
        <w:rPr>
          <w:rFonts w:cs="Arial"/>
          <w:sz w:val="20"/>
          <w:szCs w:val="20"/>
        </w:rPr>
        <w:t>la</w:t>
      </w:r>
      <w:r w:rsidR="00C1486B" w:rsidRPr="0064597D">
        <w:rPr>
          <w:rFonts w:cs="Arial"/>
          <w:sz w:val="20"/>
          <w:szCs w:val="20"/>
        </w:rPr>
        <w:t xml:space="preserve"> cual</w:t>
      </w:r>
      <w:r w:rsidR="00A74D23" w:rsidRPr="0064597D">
        <w:rPr>
          <w:rFonts w:cs="Arial"/>
          <w:sz w:val="20"/>
          <w:szCs w:val="20"/>
        </w:rPr>
        <w:t xml:space="preserve"> habría infringido</w:t>
      </w:r>
      <w:r w:rsidR="00C1486B" w:rsidRPr="0064597D">
        <w:rPr>
          <w:rFonts w:cs="Arial"/>
          <w:sz w:val="20"/>
          <w:szCs w:val="20"/>
        </w:rPr>
        <w:t xml:space="preserve"> las reglas de la sana crítica</w:t>
      </w:r>
      <w:r w:rsidR="00C1486B" w:rsidRPr="0064597D">
        <w:rPr>
          <w:rStyle w:val="Refdenotaalpie"/>
          <w:rFonts w:cs="Arial"/>
          <w:sz w:val="20"/>
          <w:szCs w:val="20"/>
        </w:rPr>
        <w:footnoteReference w:id="69"/>
      </w:r>
      <w:r w:rsidR="00C1486B" w:rsidRPr="0064597D">
        <w:rPr>
          <w:rFonts w:cs="Arial"/>
          <w:sz w:val="20"/>
          <w:szCs w:val="20"/>
        </w:rPr>
        <w:t>. Por último, arguyó</w:t>
      </w:r>
      <w:r w:rsidR="007B52B0" w:rsidRPr="0064597D">
        <w:rPr>
          <w:sz w:val="20"/>
          <w:szCs w:val="20"/>
        </w:rPr>
        <w:t xml:space="preserve"> que el Tribunal aplicó indebidamente el artículo 201 del Código Penal irrespetando el artículo 46 de la Constitución y el artículo 4 de la Convención, pues </w:t>
      </w:r>
      <w:r w:rsidR="007B52B0" w:rsidRPr="0064597D">
        <w:rPr>
          <w:rFonts w:cs="Arial"/>
          <w:sz w:val="20"/>
          <w:szCs w:val="20"/>
        </w:rPr>
        <w:t xml:space="preserve">al </w:t>
      </w:r>
      <w:r w:rsidR="007B52B0" w:rsidRPr="0064597D">
        <w:rPr>
          <w:sz w:val="20"/>
          <w:szCs w:val="20"/>
        </w:rPr>
        <w:t>momento de su ratificación la pena</w:t>
      </w:r>
      <w:r w:rsidR="007B52B0" w:rsidRPr="0064597D">
        <w:rPr>
          <w:rFonts w:cs="Verdana"/>
          <w:sz w:val="20"/>
          <w:szCs w:val="20"/>
        </w:rPr>
        <w:t xml:space="preserve"> </w:t>
      </w:r>
      <w:r w:rsidR="007B52B0" w:rsidRPr="0064597D">
        <w:rPr>
          <w:sz w:val="20"/>
          <w:szCs w:val="20"/>
        </w:rPr>
        <w:t>de muerte no estaba prevista para el secuestro cuando la víctima no fallecía</w:t>
      </w:r>
      <w:r w:rsidR="007B52B0" w:rsidRPr="0064597D">
        <w:rPr>
          <w:rStyle w:val="Refdenotaalpie"/>
          <w:sz w:val="20"/>
          <w:szCs w:val="20"/>
        </w:rPr>
        <w:footnoteReference w:id="70"/>
      </w:r>
      <w:r w:rsidR="00C22084" w:rsidRPr="0064597D">
        <w:rPr>
          <w:sz w:val="20"/>
          <w:szCs w:val="20"/>
        </w:rPr>
        <w:t>.</w:t>
      </w:r>
      <w:r w:rsidR="00A74D23" w:rsidRPr="0064597D">
        <w:rPr>
          <w:sz w:val="20"/>
          <w:szCs w:val="20"/>
        </w:rPr>
        <w:t xml:space="preserve"> </w:t>
      </w:r>
      <w:r w:rsidR="007B52B0" w:rsidRPr="0064597D">
        <w:rPr>
          <w:sz w:val="20"/>
          <w:szCs w:val="20"/>
        </w:rPr>
        <w:t xml:space="preserve">El 13 de septiembre de 1999 la Sala Cuarta de la Corte de Apelaciones </w:t>
      </w:r>
      <w:r w:rsidR="00F1329C" w:rsidRPr="0064597D">
        <w:rPr>
          <w:sz w:val="20"/>
          <w:szCs w:val="20"/>
        </w:rPr>
        <w:t xml:space="preserve">(en adelante, “Corte de Apelaciones”) </w:t>
      </w:r>
      <w:r w:rsidR="007B52B0" w:rsidRPr="0064597D">
        <w:rPr>
          <w:sz w:val="20"/>
          <w:szCs w:val="20"/>
        </w:rPr>
        <w:t xml:space="preserve">declaró sin lugar el recurso de </w:t>
      </w:r>
      <w:r w:rsidR="007B52B0" w:rsidRPr="0064597D">
        <w:rPr>
          <w:sz w:val="20"/>
          <w:szCs w:val="20"/>
        </w:rPr>
        <w:lastRenderedPageBreak/>
        <w:t>apelación especial planteado por el señor Ruiz Fuentes y los demás condenados</w:t>
      </w:r>
      <w:r w:rsidR="007B52B0" w:rsidRPr="0064597D">
        <w:rPr>
          <w:rStyle w:val="Refdenotaalpie"/>
          <w:sz w:val="20"/>
          <w:szCs w:val="20"/>
        </w:rPr>
        <w:footnoteReference w:id="71"/>
      </w:r>
      <w:r w:rsidR="007B52B0" w:rsidRPr="0064597D">
        <w:rPr>
          <w:sz w:val="20"/>
          <w:szCs w:val="20"/>
        </w:rPr>
        <w:t xml:space="preserve">. </w:t>
      </w:r>
    </w:p>
    <w:p w14:paraId="4BE22022" w14:textId="77777777" w:rsidR="00A74D23" w:rsidRPr="0064597D" w:rsidRDefault="00A74D23" w:rsidP="00A74D23">
      <w:pPr>
        <w:tabs>
          <w:tab w:val="left" w:pos="567"/>
        </w:tabs>
        <w:autoSpaceDE w:val="0"/>
        <w:autoSpaceDN w:val="0"/>
        <w:spacing w:line="240" w:lineRule="auto"/>
        <w:rPr>
          <w:sz w:val="20"/>
          <w:szCs w:val="20"/>
        </w:rPr>
      </w:pPr>
    </w:p>
    <w:p w14:paraId="136BAB3E" w14:textId="453AA56B" w:rsidR="007B52B0" w:rsidRPr="0064597D" w:rsidRDefault="00F1329C" w:rsidP="006958DA">
      <w:pPr>
        <w:numPr>
          <w:ilvl w:val="0"/>
          <w:numId w:val="1"/>
        </w:numPr>
        <w:tabs>
          <w:tab w:val="left" w:pos="567"/>
          <w:tab w:val="num" w:pos="1569"/>
          <w:tab w:val="num" w:pos="12305"/>
        </w:tabs>
        <w:autoSpaceDE w:val="0"/>
        <w:autoSpaceDN w:val="0"/>
        <w:spacing w:line="240" w:lineRule="auto"/>
        <w:ind w:left="0" w:firstLine="0"/>
        <w:rPr>
          <w:sz w:val="20"/>
          <w:szCs w:val="20"/>
        </w:rPr>
      </w:pPr>
      <w:r w:rsidRPr="0064597D">
        <w:rPr>
          <w:rFonts w:cs="Verdana"/>
          <w:sz w:val="20"/>
          <w:szCs w:val="20"/>
        </w:rPr>
        <w:t>Los días</w:t>
      </w:r>
      <w:r w:rsidR="007B52B0" w:rsidRPr="0064597D">
        <w:rPr>
          <w:rFonts w:cs="Verdana"/>
          <w:sz w:val="20"/>
          <w:szCs w:val="20"/>
        </w:rPr>
        <w:t xml:space="preserve"> 12 de octubre </w:t>
      </w:r>
      <w:r w:rsidRPr="0064597D">
        <w:rPr>
          <w:rFonts w:cs="Verdana"/>
          <w:sz w:val="20"/>
          <w:szCs w:val="20"/>
        </w:rPr>
        <w:t xml:space="preserve">y 4 de noviembre </w:t>
      </w:r>
      <w:r w:rsidR="007B52B0" w:rsidRPr="0064597D">
        <w:rPr>
          <w:rFonts w:cs="Verdana"/>
          <w:sz w:val="20"/>
          <w:szCs w:val="20"/>
        </w:rPr>
        <w:t xml:space="preserve">de 1999 </w:t>
      </w:r>
      <w:r w:rsidR="008A4E62" w:rsidRPr="0064597D">
        <w:rPr>
          <w:rFonts w:cs="Verdana"/>
          <w:sz w:val="20"/>
          <w:szCs w:val="20"/>
        </w:rPr>
        <w:t>el señor</w:t>
      </w:r>
      <w:r w:rsidR="007B52B0" w:rsidRPr="0064597D">
        <w:rPr>
          <w:rFonts w:cs="Verdana"/>
          <w:sz w:val="20"/>
          <w:szCs w:val="20"/>
        </w:rPr>
        <w:t xml:space="preserve"> Ruiz Fuentes</w:t>
      </w:r>
      <w:r w:rsidR="008A4E62" w:rsidRPr="0064597D">
        <w:rPr>
          <w:rFonts w:cs="Verdana"/>
          <w:sz w:val="20"/>
          <w:szCs w:val="20"/>
        </w:rPr>
        <w:t xml:space="preserve">, junto con </w:t>
      </w:r>
      <w:r w:rsidR="00A67FA4" w:rsidRPr="0064597D">
        <w:rPr>
          <w:rFonts w:cs="Arial"/>
          <w:sz w:val="20"/>
          <w:szCs w:val="20"/>
        </w:rPr>
        <w:t>J.M.M.R.</w:t>
      </w:r>
      <w:r w:rsidR="008A4E62" w:rsidRPr="0064597D">
        <w:rPr>
          <w:rFonts w:cs="Verdana"/>
          <w:sz w:val="20"/>
          <w:szCs w:val="20"/>
        </w:rPr>
        <w:t xml:space="preserve">, </w:t>
      </w:r>
      <w:r w:rsidR="00A74D23" w:rsidRPr="0064597D">
        <w:rPr>
          <w:sz w:val="20"/>
          <w:szCs w:val="20"/>
        </w:rPr>
        <w:t xml:space="preserve">interpusieron </w:t>
      </w:r>
      <w:r w:rsidR="007B52B0" w:rsidRPr="0064597D">
        <w:rPr>
          <w:rFonts w:cs="Verdana"/>
          <w:sz w:val="20"/>
          <w:szCs w:val="20"/>
        </w:rPr>
        <w:t>un recurso de casación</w:t>
      </w:r>
      <w:r w:rsidRPr="0064597D">
        <w:rPr>
          <w:rFonts w:cs="Verdana"/>
          <w:sz w:val="20"/>
          <w:szCs w:val="20"/>
        </w:rPr>
        <w:t xml:space="preserve"> ante la Cámara Penal de la Corte Suprema de Justicia (en adelante, “Corte Suprema de Justicia”)</w:t>
      </w:r>
      <w:r w:rsidR="007B52B0" w:rsidRPr="0064597D">
        <w:rPr>
          <w:rFonts w:cs="Verdana"/>
          <w:sz w:val="20"/>
          <w:szCs w:val="20"/>
        </w:rPr>
        <w:t xml:space="preserve"> en contra de la sentencia </w:t>
      </w:r>
      <w:r w:rsidR="008A4E62" w:rsidRPr="0064597D">
        <w:rPr>
          <w:rFonts w:cs="Verdana"/>
          <w:sz w:val="20"/>
          <w:szCs w:val="20"/>
        </w:rPr>
        <w:t xml:space="preserve">de </w:t>
      </w:r>
      <w:r w:rsidR="008A4E62" w:rsidRPr="0064597D">
        <w:rPr>
          <w:sz w:val="20"/>
          <w:szCs w:val="20"/>
        </w:rPr>
        <w:t xml:space="preserve">13 de septiembre de 1999 </w:t>
      </w:r>
      <w:r w:rsidR="007B52B0" w:rsidRPr="0064597D">
        <w:rPr>
          <w:rFonts w:cs="Verdana"/>
          <w:sz w:val="20"/>
          <w:szCs w:val="20"/>
        </w:rPr>
        <w:t xml:space="preserve">dictada por la </w:t>
      </w:r>
      <w:r w:rsidRPr="0064597D">
        <w:rPr>
          <w:sz w:val="20"/>
          <w:szCs w:val="20"/>
        </w:rPr>
        <w:t>Corte de Apelaciones</w:t>
      </w:r>
      <w:r w:rsidRPr="0064597D">
        <w:rPr>
          <w:rFonts w:cs="Verdana"/>
          <w:sz w:val="20"/>
          <w:szCs w:val="20"/>
        </w:rPr>
        <w:t xml:space="preserve">, </w:t>
      </w:r>
      <w:r w:rsidR="007B52B0" w:rsidRPr="0064597D">
        <w:rPr>
          <w:rFonts w:cs="Verdana"/>
          <w:sz w:val="20"/>
          <w:szCs w:val="20"/>
        </w:rPr>
        <w:t>alegando vicios de forma y fondo</w:t>
      </w:r>
      <w:r w:rsidRPr="0064597D">
        <w:rPr>
          <w:rStyle w:val="Refdenotaalpie"/>
          <w:rFonts w:cs="Verdana"/>
          <w:sz w:val="20"/>
          <w:szCs w:val="20"/>
        </w:rPr>
        <w:footnoteReference w:id="72"/>
      </w:r>
      <w:r w:rsidR="00CC2671" w:rsidRPr="0064597D">
        <w:rPr>
          <w:sz w:val="20"/>
          <w:szCs w:val="20"/>
        </w:rPr>
        <w:t xml:space="preserve">. </w:t>
      </w:r>
      <w:r w:rsidR="007B52B0" w:rsidRPr="0064597D">
        <w:rPr>
          <w:rFonts w:cs="Verdana"/>
          <w:sz w:val="20"/>
          <w:szCs w:val="20"/>
        </w:rPr>
        <w:t>El 20 de julio de 2000 la Corte Suprema de Justicia declaró improcedentes los recursos de casación interpuestos</w:t>
      </w:r>
      <w:r w:rsidR="002645E3" w:rsidRPr="0064597D">
        <w:rPr>
          <w:rFonts w:cs="Verdana"/>
          <w:sz w:val="20"/>
          <w:szCs w:val="20"/>
        </w:rPr>
        <w:t xml:space="preserve"> por </w:t>
      </w:r>
      <w:r w:rsidR="00D727C0" w:rsidRPr="0064597D">
        <w:rPr>
          <w:rFonts w:cs="Verdana"/>
          <w:sz w:val="20"/>
          <w:szCs w:val="20"/>
        </w:rPr>
        <w:t>los señores</w:t>
      </w:r>
      <w:r w:rsidR="002645E3" w:rsidRPr="0064597D">
        <w:rPr>
          <w:rFonts w:cs="Verdana"/>
          <w:sz w:val="20"/>
          <w:szCs w:val="20"/>
        </w:rPr>
        <w:t xml:space="preserve"> Ruiz Fuentes</w:t>
      </w:r>
      <w:r w:rsidR="002651E1" w:rsidRPr="0064597D">
        <w:rPr>
          <w:rFonts w:cs="Verdana"/>
          <w:sz w:val="20"/>
          <w:szCs w:val="20"/>
        </w:rPr>
        <w:t xml:space="preserve">, </w:t>
      </w:r>
      <w:r w:rsidR="002651E1" w:rsidRPr="0064597D">
        <w:rPr>
          <w:sz w:val="20"/>
          <w:szCs w:val="20"/>
        </w:rPr>
        <w:t>Murga Rodríguez</w:t>
      </w:r>
      <w:r w:rsidR="002645E3" w:rsidRPr="0064597D">
        <w:rPr>
          <w:rFonts w:cs="Verdana"/>
          <w:sz w:val="20"/>
          <w:szCs w:val="20"/>
        </w:rPr>
        <w:t xml:space="preserve"> y </w:t>
      </w:r>
      <w:r w:rsidR="002651E1" w:rsidRPr="0064597D">
        <w:rPr>
          <w:rFonts w:cs="Verdana"/>
          <w:sz w:val="20"/>
          <w:szCs w:val="20"/>
        </w:rPr>
        <w:t>Raxcacó Reyes</w:t>
      </w:r>
      <w:r w:rsidR="002645E3" w:rsidRPr="0064597D">
        <w:rPr>
          <w:rStyle w:val="Refdenotaalpie"/>
          <w:rFonts w:cs="Verdana"/>
          <w:sz w:val="20"/>
          <w:szCs w:val="20"/>
        </w:rPr>
        <w:footnoteReference w:id="73"/>
      </w:r>
      <w:r w:rsidR="007B52B0" w:rsidRPr="0064597D">
        <w:rPr>
          <w:rFonts w:cs="Verdana"/>
          <w:i/>
          <w:iCs/>
          <w:sz w:val="20"/>
          <w:szCs w:val="20"/>
        </w:rPr>
        <w:t>.</w:t>
      </w:r>
      <w:r w:rsidR="007B52B0" w:rsidRPr="0064597D">
        <w:rPr>
          <w:rFonts w:cs="Verdana"/>
          <w:sz w:val="20"/>
          <w:szCs w:val="20"/>
        </w:rPr>
        <w:t xml:space="preserve"> </w:t>
      </w:r>
    </w:p>
    <w:p w14:paraId="44EEB52D" w14:textId="77777777" w:rsidR="00A74D23" w:rsidRPr="0064597D" w:rsidRDefault="00A74D23" w:rsidP="00A74D23">
      <w:pPr>
        <w:tabs>
          <w:tab w:val="left" w:pos="567"/>
          <w:tab w:val="num" w:pos="1569"/>
          <w:tab w:val="num" w:pos="12305"/>
        </w:tabs>
        <w:autoSpaceDE w:val="0"/>
        <w:autoSpaceDN w:val="0"/>
        <w:spacing w:line="240" w:lineRule="auto"/>
        <w:rPr>
          <w:sz w:val="20"/>
          <w:szCs w:val="20"/>
        </w:rPr>
      </w:pPr>
    </w:p>
    <w:p w14:paraId="2E1C7040" w14:textId="7F5CFB81" w:rsidR="007B52B0" w:rsidRPr="0064597D" w:rsidRDefault="007B52B0" w:rsidP="007A2041">
      <w:pPr>
        <w:numPr>
          <w:ilvl w:val="0"/>
          <w:numId w:val="1"/>
        </w:numPr>
        <w:tabs>
          <w:tab w:val="left" w:pos="567"/>
          <w:tab w:val="num" w:pos="1569"/>
          <w:tab w:val="num" w:pos="12305"/>
        </w:tabs>
        <w:autoSpaceDE w:val="0"/>
        <w:autoSpaceDN w:val="0"/>
        <w:spacing w:line="240" w:lineRule="auto"/>
        <w:ind w:left="0" w:firstLine="0"/>
        <w:rPr>
          <w:rFonts w:cs="Arial"/>
          <w:sz w:val="20"/>
          <w:szCs w:val="20"/>
        </w:rPr>
      </w:pPr>
      <w:r w:rsidRPr="0064597D">
        <w:rPr>
          <w:sz w:val="20"/>
          <w:szCs w:val="20"/>
        </w:rPr>
        <w:t>El 29 de agosto de 2000 el señor Ruiz Fuentes</w:t>
      </w:r>
      <w:r w:rsidR="002651E1" w:rsidRPr="0064597D">
        <w:rPr>
          <w:sz w:val="20"/>
          <w:szCs w:val="20"/>
        </w:rPr>
        <w:t xml:space="preserve">, junto con </w:t>
      </w:r>
      <w:r w:rsidR="00A67FA4" w:rsidRPr="0064597D">
        <w:rPr>
          <w:rFonts w:cs="Arial"/>
          <w:sz w:val="20"/>
          <w:szCs w:val="20"/>
        </w:rPr>
        <w:t>J.M.M.R.</w:t>
      </w:r>
      <w:r w:rsidR="002651E1" w:rsidRPr="0064597D">
        <w:rPr>
          <w:sz w:val="20"/>
          <w:szCs w:val="20"/>
        </w:rPr>
        <w:t xml:space="preserve">, </w:t>
      </w:r>
      <w:r w:rsidR="00A74D23" w:rsidRPr="0064597D">
        <w:rPr>
          <w:sz w:val="20"/>
          <w:szCs w:val="20"/>
        </w:rPr>
        <w:t>interpusieron</w:t>
      </w:r>
      <w:r w:rsidRPr="0064597D">
        <w:rPr>
          <w:sz w:val="20"/>
          <w:szCs w:val="20"/>
        </w:rPr>
        <w:t xml:space="preserve"> una acción de amparo ante la </w:t>
      </w:r>
      <w:r w:rsidRPr="0064597D">
        <w:rPr>
          <w:rFonts w:cs="Verdana"/>
          <w:sz w:val="20"/>
          <w:szCs w:val="20"/>
        </w:rPr>
        <w:t>Corte</w:t>
      </w:r>
      <w:r w:rsidRPr="0064597D">
        <w:rPr>
          <w:sz w:val="20"/>
          <w:szCs w:val="20"/>
        </w:rPr>
        <w:t xml:space="preserve"> de Constitucionalidad en contra de la decisión de la </w:t>
      </w:r>
      <w:r w:rsidR="00B5100E" w:rsidRPr="0064597D">
        <w:rPr>
          <w:rFonts w:cs="Verdana"/>
          <w:sz w:val="20"/>
          <w:szCs w:val="20"/>
        </w:rPr>
        <w:t>Corte Suprema de Justicia</w:t>
      </w:r>
      <w:r w:rsidRPr="0064597D">
        <w:rPr>
          <w:sz w:val="20"/>
          <w:szCs w:val="20"/>
        </w:rPr>
        <w:t xml:space="preserve">, reiterando las razones por las que considera que la pena de muerte es inaplicable en </w:t>
      </w:r>
      <w:r w:rsidR="002651E1" w:rsidRPr="0064597D">
        <w:rPr>
          <w:sz w:val="20"/>
          <w:szCs w:val="20"/>
        </w:rPr>
        <w:t>su caso</w:t>
      </w:r>
      <w:r w:rsidRPr="0064597D">
        <w:rPr>
          <w:rStyle w:val="Refdenotaalpie"/>
          <w:sz w:val="20"/>
          <w:szCs w:val="20"/>
        </w:rPr>
        <w:footnoteReference w:id="74"/>
      </w:r>
      <w:r w:rsidRPr="0064597D">
        <w:rPr>
          <w:sz w:val="20"/>
          <w:szCs w:val="20"/>
        </w:rPr>
        <w:t xml:space="preserve">. El 4 </w:t>
      </w:r>
      <w:r w:rsidRPr="0064597D">
        <w:rPr>
          <w:rFonts w:cs="Verdana"/>
          <w:sz w:val="20"/>
          <w:szCs w:val="20"/>
        </w:rPr>
        <w:t>de</w:t>
      </w:r>
      <w:r w:rsidRPr="0064597D">
        <w:rPr>
          <w:sz w:val="20"/>
          <w:szCs w:val="20"/>
        </w:rPr>
        <w:t xml:space="preserve"> julio de 2001 la Corte de Constitucionalidad declaró sin lugar la acción de amparo. </w:t>
      </w:r>
    </w:p>
    <w:p w14:paraId="6AEFD1FB" w14:textId="77777777" w:rsidR="00083381" w:rsidRPr="0064597D" w:rsidRDefault="00083381" w:rsidP="00083381">
      <w:pPr>
        <w:tabs>
          <w:tab w:val="left" w:pos="567"/>
        </w:tabs>
        <w:autoSpaceDE w:val="0"/>
        <w:autoSpaceDN w:val="0"/>
        <w:spacing w:line="240" w:lineRule="auto"/>
        <w:rPr>
          <w:rFonts w:cs="Arial"/>
          <w:sz w:val="20"/>
          <w:szCs w:val="20"/>
        </w:rPr>
      </w:pPr>
    </w:p>
    <w:p w14:paraId="140B2058" w14:textId="77777777" w:rsidR="007B52B0" w:rsidRPr="0064597D" w:rsidRDefault="007B52B0" w:rsidP="000C391B">
      <w:pPr>
        <w:numPr>
          <w:ilvl w:val="0"/>
          <w:numId w:val="1"/>
        </w:numPr>
        <w:tabs>
          <w:tab w:val="left" w:pos="567"/>
          <w:tab w:val="num" w:pos="1569"/>
          <w:tab w:val="num" w:pos="12305"/>
        </w:tabs>
        <w:autoSpaceDE w:val="0"/>
        <w:autoSpaceDN w:val="0"/>
        <w:spacing w:line="240" w:lineRule="auto"/>
        <w:ind w:left="0" w:firstLine="0"/>
        <w:rPr>
          <w:sz w:val="20"/>
          <w:szCs w:val="20"/>
        </w:rPr>
      </w:pPr>
      <w:r w:rsidRPr="0064597D">
        <w:rPr>
          <w:sz w:val="20"/>
          <w:szCs w:val="20"/>
        </w:rPr>
        <w:t xml:space="preserve">El 16 de diciembre de 2002 el señor Ruiz Fuentes interpuso un recurso de revisión ante la Cámara Penal de la Corte Suprema de Justicia contra la sentencia </w:t>
      </w:r>
      <w:r w:rsidR="00E76235" w:rsidRPr="0064597D">
        <w:rPr>
          <w:sz w:val="20"/>
          <w:szCs w:val="20"/>
        </w:rPr>
        <w:t>penal ejecutoriada, debido a la imposición de la pena de muerte “pese a que la víctima no falleció”</w:t>
      </w:r>
      <w:r w:rsidRPr="0064597D">
        <w:rPr>
          <w:rStyle w:val="Refdenotaalpie"/>
          <w:sz w:val="20"/>
          <w:szCs w:val="20"/>
        </w:rPr>
        <w:footnoteReference w:id="75"/>
      </w:r>
      <w:r w:rsidRPr="0064597D">
        <w:rPr>
          <w:sz w:val="20"/>
          <w:szCs w:val="20"/>
        </w:rPr>
        <w:t xml:space="preserve">. También, añadió que la aplicación de la pena de muerte </w:t>
      </w:r>
      <w:r w:rsidR="00E76235" w:rsidRPr="0064597D">
        <w:rPr>
          <w:sz w:val="20"/>
          <w:szCs w:val="20"/>
        </w:rPr>
        <w:t>se realizó</w:t>
      </w:r>
      <w:r w:rsidRPr="0064597D">
        <w:rPr>
          <w:sz w:val="20"/>
          <w:szCs w:val="20"/>
        </w:rPr>
        <w:t xml:space="preserve"> “en violación a varios preceptos de la Convención Americana de los Derechos Humanos”</w:t>
      </w:r>
      <w:r w:rsidRPr="0064597D">
        <w:rPr>
          <w:rStyle w:val="Refdenotaalpie"/>
          <w:sz w:val="20"/>
          <w:szCs w:val="20"/>
        </w:rPr>
        <w:footnoteReference w:id="76"/>
      </w:r>
      <w:r w:rsidRPr="0064597D">
        <w:rPr>
          <w:sz w:val="20"/>
          <w:szCs w:val="20"/>
        </w:rPr>
        <w:t xml:space="preserve">. El 1 </w:t>
      </w:r>
      <w:r w:rsidRPr="0064597D">
        <w:rPr>
          <w:rFonts w:cs="Verdana"/>
          <w:sz w:val="20"/>
          <w:szCs w:val="20"/>
        </w:rPr>
        <w:t>de</w:t>
      </w:r>
      <w:r w:rsidRPr="0064597D">
        <w:rPr>
          <w:sz w:val="20"/>
          <w:szCs w:val="20"/>
        </w:rPr>
        <w:t xml:space="preserve"> diciembre de 2003 la Cámara Penal de la Corte Suprema de Justicia declar</w:t>
      </w:r>
      <w:r w:rsidR="00E76235" w:rsidRPr="0064597D">
        <w:rPr>
          <w:sz w:val="20"/>
          <w:szCs w:val="20"/>
        </w:rPr>
        <w:t>ó</w:t>
      </w:r>
      <w:r w:rsidRPr="0064597D">
        <w:rPr>
          <w:sz w:val="20"/>
          <w:szCs w:val="20"/>
        </w:rPr>
        <w:t xml:space="preserve"> sin lugar el recurso de revisión indicando que “al analizar los elementos de prueba ofrecidos por el procesado estima que los mismos no cumplen con lo preceptuado en el artículo 455 del Código Procesal Penal puesto que no constituyen nuevos elementos de prueba que sean idóneos para fundamentar una condena menos grave”</w:t>
      </w:r>
      <w:r w:rsidRPr="0064597D">
        <w:rPr>
          <w:rStyle w:val="Refdenotaalpie"/>
          <w:sz w:val="20"/>
          <w:szCs w:val="20"/>
        </w:rPr>
        <w:footnoteReference w:id="77"/>
      </w:r>
      <w:r w:rsidRPr="0064597D">
        <w:rPr>
          <w:sz w:val="20"/>
          <w:szCs w:val="20"/>
        </w:rPr>
        <w:t xml:space="preserve">. </w:t>
      </w:r>
    </w:p>
    <w:p w14:paraId="09E48253" w14:textId="77777777" w:rsidR="00E76235" w:rsidRPr="0064597D" w:rsidRDefault="00E76235" w:rsidP="00E76235">
      <w:pPr>
        <w:tabs>
          <w:tab w:val="left" w:pos="567"/>
          <w:tab w:val="num" w:pos="12305"/>
        </w:tabs>
        <w:autoSpaceDE w:val="0"/>
        <w:autoSpaceDN w:val="0"/>
        <w:spacing w:line="240" w:lineRule="auto"/>
        <w:rPr>
          <w:sz w:val="20"/>
          <w:szCs w:val="20"/>
        </w:rPr>
      </w:pPr>
    </w:p>
    <w:p w14:paraId="1E686007" w14:textId="77777777" w:rsidR="007B52B0" w:rsidRPr="0064597D" w:rsidRDefault="007B52B0" w:rsidP="004C7B64">
      <w:pPr>
        <w:numPr>
          <w:ilvl w:val="0"/>
          <w:numId w:val="1"/>
        </w:numPr>
        <w:tabs>
          <w:tab w:val="left" w:pos="567"/>
          <w:tab w:val="num" w:pos="1569"/>
          <w:tab w:val="num" w:pos="12305"/>
        </w:tabs>
        <w:spacing w:line="240" w:lineRule="auto"/>
        <w:ind w:left="0" w:firstLine="0"/>
        <w:rPr>
          <w:rFonts w:cs="Arial"/>
          <w:sz w:val="20"/>
          <w:szCs w:val="20"/>
        </w:rPr>
      </w:pPr>
      <w:r w:rsidRPr="0064597D">
        <w:rPr>
          <w:rFonts w:cs="Arial"/>
          <w:sz w:val="20"/>
          <w:szCs w:val="20"/>
        </w:rPr>
        <w:t xml:space="preserve">El 16 </w:t>
      </w:r>
      <w:r w:rsidRPr="0064597D">
        <w:rPr>
          <w:rFonts w:cs="Verdana"/>
          <w:sz w:val="20"/>
          <w:szCs w:val="20"/>
        </w:rPr>
        <w:t>de</w:t>
      </w:r>
      <w:r w:rsidRPr="0064597D">
        <w:rPr>
          <w:rFonts w:cs="Arial"/>
          <w:sz w:val="20"/>
          <w:szCs w:val="20"/>
        </w:rPr>
        <w:t xml:space="preserve"> diciembre de 2003 el señor Ruiz Fuentes presentó un recurso de gracia ante el Ministro de Gobernación solicitando la conmutación de la pena de muerte por la inmediata inferior de 50 años de prisión</w:t>
      </w:r>
      <w:r w:rsidRPr="0064597D">
        <w:rPr>
          <w:rStyle w:val="Refdenotaalpie"/>
          <w:sz w:val="20"/>
          <w:szCs w:val="20"/>
        </w:rPr>
        <w:footnoteReference w:id="78"/>
      </w:r>
      <w:r w:rsidRPr="0064597D">
        <w:rPr>
          <w:rFonts w:cs="Arial"/>
          <w:sz w:val="20"/>
          <w:szCs w:val="20"/>
        </w:rPr>
        <w:t xml:space="preserve">. </w:t>
      </w:r>
      <w:r w:rsidR="004C7B64" w:rsidRPr="0064597D">
        <w:rPr>
          <w:rFonts w:cs="Arial"/>
          <w:sz w:val="20"/>
          <w:szCs w:val="20"/>
        </w:rPr>
        <w:t xml:space="preserve">No consta que dicho recurso haya </w:t>
      </w:r>
      <w:r w:rsidRPr="0064597D">
        <w:rPr>
          <w:rFonts w:cs="Arial"/>
          <w:sz w:val="20"/>
          <w:szCs w:val="20"/>
        </w:rPr>
        <w:t xml:space="preserve">sido tramitado </w:t>
      </w:r>
      <w:r w:rsidR="004C7B64" w:rsidRPr="0064597D">
        <w:rPr>
          <w:rFonts w:cs="Arial"/>
          <w:sz w:val="20"/>
          <w:szCs w:val="20"/>
        </w:rPr>
        <w:t>o</w:t>
      </w:r>
      <w:r w:rsidRPr="0064597D">
        <w:rPr>
          <w:rFonts w:cs="Arial"/>
          <w:sz w:val="20"/>
          <w:szCs w:val="20"/>
        </w:rPr>
        <w:t xml:space="preserve"> resuelto</w:t>
      </w:r>
      <w:r w:rsidR="004C7B64" w:rsidRPr="0064597D">
        <w:rPr>
          <w:rStyle w:val="Refdenotaalpie"/>
          <w:rFonts w:cs="Arial"/>
          <w:sz w:val="20"/>
          <w:szCs w:val="20"/>
        </w:rPr>
        <w:footnoteReference w:id="79"/>
      </w:r>
      <w:r w:rsidR="004C7B64" w:rsidRPr="0064597D">
        <w:rPr>
          <w:rFonts w:cs="Arial"/>
          <w:sz w:val="20"/>
          <w:szCs w:val="20"/>
        </w:rPr>
        <w:t>.</w:t>
      </w:r>
    </w:p>
    <w:p w14:paraId="78A9346B" w14:textId="43DB9A11" w:rsidR="00072585" w:rsidRPr="0064597D" w:rsidRDefault="00072585" w:rsidP="00072585">
      <w:pPr>
        <w:pStyle w:val="Ttulo2"/>
      </w:pPr>
      <w:bookmarkStart w:id="53" w:name="_Toc24014545"/>
      <w:r w:rsidRPr="0064597D">
        <w:t>F.</w:t>
      </w:r>
      <w:r w:rsidRPr="0064597D">
        <w:tab/>
        <w:t>Fuga de la cárcel “El Infiernito” y posterior muerte del señor Ruiz Fuentes</w:t>
      </w:r>
      <w:bookmarkEnd w:id="53"/>
    </w:p>
    <w:p w14:paraId="61EF71F2" w14:textId="77777777" w:rsidR="0047705A" w:rsidRPr="0064597D" w:rsidRDefault="0047705A" w:rsidP="007B52B0">
      <w:pPr>
        <w:numPr>
          <w:ilvl w:val="0"/>
          <w:numId w:val="1"/>
        </w:numPr>
        <w:tabs>
          <w:tab w:val="left" w:pos="567"/>
          <w:tab w:val="num" w:pos="1569"/>
          <w:tab w:val="num" w:pos="12305"/>
        </w:tabs>
        <w:spacing w:line="240" w:lineRule="auto"/>
        <w:ind w:left="0" w:firstLine="0"/>
        <w:rPr>
          <w:sz w:val="20"/>
          <w:szCs w:val="20"/>
        </w:rPr>
      </w:pPr>
      <w:r w:rsidRPr="0064597D">
        <w:rPr>
          <w:sz w:val="20"/>
          <w:szCs w:val="20"/>
        </w:rPr>
        <w:t>E</w:t>
      </w:r>
      <w:r w:rsidR="007B52B0" w:rsidRPr="0064597D">
        <w:rPr>
          <w:sz w:val="20"/>
          <w:szCs w:val="20"/>
        </w:rPr>
        <w:t xml:space="preserve">l 22 de octubre de 2005 se produjo </w:t>
      </w:r>
      <w:r w:rsidRPr="0064597D">
        <w:rPr>
          <w:sz w:val="20"/>
          <w:szCs w:val="20"/>
        </w:rPr>
        <w:t>e</w:t>
      </w:r>
      <w:r w:rsidR="0027153A" w:rsidRPr="0064597D">
        <w:rPr>
          <w:sz w:val="20"/>
          <w:szCs w:val="20"/>
        </w:rPr>
        <w:t>n la c</w:t>
      </w:r>
      <w:r w:rsidR="0027153A" w:rsidRPr="0064597D">
        <w:rPr>
          <w:rFonts w:cs="Arial"/>
          <w:sz w:val="20"/>
          <w:szCs w:val="20"/>
        </w:rPr>
        <w:t>árcel de máxima seguridad, Anexo a la Granja Penal Canadá, denominada “El Infiernito”</w:t>
      </w:r>
      <w:r w:rsidR="00775972" w:rsidRPr="0064597D">
        <w:rPr>
          <w:rFonts w:cs="Arial"/>
          <w:sz w:val="20"/>
          <w:szCs w:val="20"/>
        </w:rPr>
        <w:t>,</w:t>
      </w:r>
      <w:r w:rsidR="0027153A" w:rsidRPr="0064597D">
        <w:rPr>
          <w:rFonts w:cs="Arial"/>
          <w:sz w:val="20"/>
          <w:szCs w:val="20"/>
        </w:rPr>
        <w:t xml:space="preserve"> </w:t>
      </w:r>
      <w:r w:rsidR="007B52B0" w:rsidRPr="0064597D">
        <w:rPr>
          <w:sz w:val="20"/>
          <w:szCs w:val="20"/>
        </w:rPr>
        <w:t xml:space="preserve">una fuga protagonizada por </w:t>
      </w:r>
      <w:r w:rsidRPr="0064597D">
        <w:rPr>
          <w:sz w:val="20"/>
          <w:szCs w:val="20"/>
        </w:rPr>
        <w:t>19</w:t>
      </w:r>
      <w:r w:rsidR="007B52B0" w:rsidRPr="0064597D">
        <w:rPr>
          <w:sz w:val="20"/>
          <w:szCs w:val="20"/>
        </w:rPr>
        <w:t xml:space="preserve"> </w:t>
      </w:r>
      <w:r w:rsidRPr="0064597D">
        <w:rPr>
          <w:sz w:val="20"/>
          <w:szCs w:val="20"/>
        </w:rPr>
        <w:t>i</w:t>
      </w:r>
      <w:r w:rsidR="007B52B0" w:rsidRPr="0064597D">
        <w:rPr>
          <w:sz w:val="20"/>
          <w:szCs w:val="20"/>
        </w:rPr>
        <w:t xml:space="preserve">nternos, quienes con la complicidad de autoridades y guardias penitenciarios, procedieron a efectuar un túnel de aproximadamente 120 metros de longitud </w:t>
      </w:r>
      <w:r w:rsidRPr="0064597D">
        <w:rPr>
          <w:sz w:val="20"/>
          <w:szCs w:val="20"/>
        </w:rPr>
        <w:t>que los llevó</w:t>
      </w:r>
      <w:r w:rsidR="007B52B0" w:rsidRPr="0064597D">
        <w:rPr>
          <w:sz w:val="20"/>
          <w:szCs w:val="20"/>
        </w:rPr>
        <w:t xml:space="preserve"> hasta la malla electrizada de protección</w:t>
      </w:r>
      <w:r w:rsidRPr="0064597D">
        <w:rPr>
          <w:sz w:val="20"/>
          <w:szCs w:val="20"/>
        </w:rPr>
        <w:t xml:space="preserve"> </w:t>
      </w:r>
      <w:r w:rsidRPr="0064597D">
        <w:rPr>
          <w:sz w:val="20"/>
          <w:szCs w:val="20"/>
        </w:rPr>
        <w:lastRenderedPageBreak/>
        <w:t>perimetral de las instalacione</w:t>
      </w:r>
      <w:r w:rsidR="0027153A" w:rsidRPr="0064597D">
        <w:rPr>
          <w:sz w:val="20"/>
          <w:szCs w:val="20"/>
        </w:rPr>
        <w:t>s</w:t>
      </w:r>
      <w:r w:rsidRPr="0064597D">
        <w:rPr>
          <w:rStyle w:val="Refdenotaalpie"/>
          <w:sz w:val="20"/>
          <w:szCs w:val="20"/>
        </w:rPr>
        <w:footnoteReference w:id="80"/>
      </w:r>
      <w:r w:rsidRPr="0064597D">
        <w:rPr>
          <w:sz w:val="20"/>
          <w:szCs w:val="20"/>
        </w:rPr>
        <w:t>.</w:t>
      </w:r>
    </w:p>
    <w:p w14:paraId="39F33C10" w14:textId="77777777" w:rsidR="0047705A" w:rsidRPr="0064597D" w:rsidRDefault="0047705A" w:rsidP="0047705A">
      <w:pPr>
        <w:tabs>
          <w:tab w:val="left" w:pos="567"/>
        </w:tabs>
        <w:spacing w:line="240" w:lineRule="auto"/>
        <w:rPr>
          <w:sz w:val="20"/>
          <w:szCs w:val="20"/>
        </w:rPr>
      </w:pPr>
    </w:p>
    <w:p w14:paraId="435401E9" w14:textId="2CB6922F" w:rsidR="007B52B0" w:rsidRPr="0064597D" w:rsidRDefault="0047705A" w:rsidP="007B52B0">
      <w:pPr>
        <w:numPr>
          <w:ilvl w:val="0"/>
          <w:numId w:val="1"/>
        </w:numPr>
        <w:tabs>
          <w:tab w:val="left" w:pos="567"/>
          <w:tab w:val="num" w:pos="1569"/>
          <w:tab w:val="num" w:pos="12305"/>
        </w:tabs>
        <w:spacing w:line="240" w:lineRule="auto"/>
        <w:ind w:left="0" w:firstLine="0"/>
        <w:rPr>
          <w:sz w:val="20"/>
          <w:szCs w:val="20"/>
        </w:rPr>
      </w:pPr>
      <w:r w:rsidRPr="0064597D">
        <w:rPr>
          <w:sz w:val="20"/>
          <w:szCs w:val="20"/>
        </w:rPr>
        <w:t>Con el objeto de recapturar a las 19 personas fugadas</w:t>
      </w:r>
      <w:r w:rsidR="007B52B0" w:rsidRPr="0064597D">
        <w:rPr>
          <w:sz w:val="20"/>
          <w:szCs w:val="20"/>
        </w:rPr>
        <w:t xml:space="preserve">, el Estado puso en marcha la </w:t>
      </w:r>
      <w:r w:rsidRPr="0064597D">
        <w:rPr>
          <w:sz w:val="20"/>
          <w:szCs w:val="20"/>
        </w:rPr>
        <w:t>“</w:t>
      </w:r>
      <w:r w:rsidR="007B52B0" w:rsidRPr="0064597D">
        <w:rPr>
          <w:sz w:val="20"/>
          <w:szCs w:val="20"/>
        </w:rPr>
        <w:t>Operación Gavilán</w:t>
      </w:r>
      <w:r w:rsidRPr="0064597D">
        <w:rPr>
          <w:sz w:val="20"/>
          <w:szCs w:val="20"/>
        </w:rPr>
        <w:t>”</w:t>
      </w:r>
      <w:r w:rsidR="007B52B0" w:rsidRPr="0064597D">
        <w:rPr>
          <w:rStyle w:val="Refdenotaalpie"/>
          <w:rFonts w:cs="Verdana"/>
          <w:sz w:val="20"/>
          <w:szCs w:val="20"/>
        </w:rPr>
        <w:footnoteReference w:id="81"/>
      </w:r>
      <w:r w:rsidR="007B52B0" w:rsidRPr="0064597D">
        <w:rPr>
          <w:rFonts w:cs="Verdana"/>
          <w:sz w:val="20"/>
          <w:szCs w:val="20"/>
        </w:rPr>
        <w:t xml:space="preserve">. </w:t>
      </w:r>
      <w:r w:rsidR="0027153A" w:rsidRPr="0064597D">
        <w:rPr>
          <w:sz w:val="20"/>
          <w:szCs w:val="20"/>
        </w:rPr>
        <w:t xml:space="preserve">El </w:t>
      </w:r>
      <w:r w:rsidR="004D7C59" w:rsidRPr="0064597D">
        <w:rPr>
          <w:sz w:val="20"/>
          <w:szCs w:val="20"/>
        </w:rPr>
        <w:t xml:space="preserve">referido </w:t>
      </w:r>
      <w:r w:rsidR="0027153A" w:rsidRPr="0064597D">
        <w:rPr>
          <w:sz w:val="20"/>
          <w:szCs w:val="20"/>
        </w:rPr>
        <w:t>plan fue dirigido por</w:t>
      </w:r>
      <w:r w:rsidR="00DB0443" w:rsidRPr="0064597D">
        <w:rPr>
          <w:sz w:val="20"/>
          <w:szCs w:val="20"/>
        </w:rPr>
        <w:t xml:space="preserve"> </w:t>
      </w:r>
      <w:r w:rsidR="0027153A" w:rsidRPr="0064597D">
        <w:rPr>
          <w:sz w:val="20"/>
          <w:szCs w:val="20"/>
        </w:rPr>
        <w:t xml:space="preserve">el Comisario de la </w:t>
      </w:r>
      <w:r w:rsidR="00537AAE" w:rsidRPr="0064597D">
        <w:rPr>
          <w:sz w:val="20"/>
          <w:szCs w:val="20"/>
        </w:rPr>
        <w:t>PNC</w:t>
      </w:r>
      <w:r w:rsidR="0027153A" w:rsidRPr="0064597D">
        <w:rPr>
          <w:sz w:val="20"/>
          <w:szCs w:val="20"/>
        </w:rPr>
        <w:t xml:space="preserve">, </w:t>
      </w:r>
      <w:r w:rsidR="00B07AF4" w:rsidRPr="0064597D">
        <w:rPr>
          <w:sz w:val="20"/>
          <w:szCs w:val="20"/>
        </w:rPr>
        <w:t xml:space="preserve">V.S.D. </w:t>
      </w:r>
      <w:r w:rsidR="0027153A" w:rsidRPr="0064597D">
        <w:rPr>
          <w:sz w:val="20"/>
          <w:szCs w:val="20"/>
        </w:rPr>
        <w:t xml:space="preserve">y </w:t>
      </w:r>
      <w:r w:rsidR="00B5100E">
        <w:rPr>
          <w:sz w:val="20"/>
          <w:szCs w:val="20"/>
        </w:rPr>
        <w:t>participaron 16 miembros de la P</w:t>
      </w:r>
      <w:r w:rsidR="0027153A" w:rsidRPr="0064597D">
        <w:rPr>
          <w:sz w:val="20"/>
          <w:szCs w:val="20"/>
        </w:rPr>
        <w:t xml:space="preserve">olicía, divididos en </w:t>
      </w:r>
      <w:r w:rsidR="007B52B0" w:rsidRPr="0064597D">
        <w:rPr>
          <w:sz w:val="20"/>
          <w:szCs w:val="20"/>
        </w:rPr>
        <w:t xml:space="preserve">ocho equipos de búsqueda. </w:t>
      </w:r>
      <w:r w:rsidR="0027153A" w:rsidRPr="0064597D">
        <w:rPr>
          <w:sz w:val="20"/>
          <w:szCs w:val="20"/>
        </w:rPr>
        <w:t>El plan disponía</w:t>
      </w:r>
      <w:r w:rsidR="004D7C59" w:rsidRPr="0064597D">
        <w:rPr>
          <w:sz w:val="20"/>
          <w:szCs w:val="20"/>
        </w:rPr>
        <w:t>, entre otros,</w:t>
      </w:r>
      <w:r w:rsidR="0027153A" w:rsidRPr="0064597D">
        <w:rPr>
          <w:sz w:val="20"/>
          <w:szCs w:val="20"/>
        </w:rPr>
        <w:t xml:space="preserve"> que en caso de que los reos fueran recapturados, estos serían conducidos “a un lugar seguro y con doble custodia” a los efectos de ponerlos a disposición de la autoridad competente en los plazos establecidos al efecto</w:t>
      </w:r>
      <w:r w:rsidR="0027153A" w:rsidRPr="0064597D">
        <w:rPr>
          <w:rStyle w:val="Refdenotaalpie"/>
          <w:sz w:val="20"/>
          <w:szCs w:val="20"/>
        </w:rPr>
        <w:footnoteReference w:id="82"/>
      </w:r>
      <w:r w:rsidR="0027153A" w:rsidRPr="0064597D">
        <w:rPr>
          <w:sz w:val="20"/>
          <w:szCs w:val="20"/>
        </w:rPr>
        <w:t xml:space="preserve">. </w:t>
      </w:r>
    </w:p>
    <w:p w14:paraId="08DA2828" w14:textId="77777777" w:rsidR="007B52B0" w:rsidRPr="0064597D" w:rsidRDefault="007B52B0" w:rsidP="007B52B0">
      <w:pPr>
        <w:spacing w:line="240" w:lineRule="auto"/>
        <w:rPr>
          <w:sz w:val="20"/>
          <w:szCs w:val="20"/>
        </w:rPr>
      </w:pPr>
    </w:p>
    <w:p w14:paraId="34433836" w14:textId="017A2301" w:rsidR="00775972" w:rsidRPr="0064597D" w:rsidRDefault="008D36E5" w:rsidP="007B52B0">
      <w:pPr>
        <w:numPr>
          <w:ilvl w:val="0"/>
          <w:numId w:val="1"/>
        </w:numPr>
        <w:tabs>
          <w:tab w:val="left" w:pos="567"/>
          <w:tab w:val="num" w:pos="1569"/>
          <w:tab w:val="num" w:pos="12305"/>
        </w:tabs>
        <w:spacing w:line="240" w:lineRule="auto"/>
        <w:ind w:left="0" w:firstLine="0"/>
        <w:rPr>
          <w:sz w:val="20"/>
          <w:szCs w:val="20"/>
        </w:rPr>
      </w:pPr>
      <w:r w:rsidRPr="0064597D">
        <w:rPr>
          <w:sz w:val="20"/>
          <w:szCs w:val="20"/>
        </w:rPr>
        <w:t xml:space="preserve">El 14 de noviembre de 2005 </w:t>
      </w:r>
      <w:r w:rsidR="008204C8" w:rsidRPr="0064597D">
        <w:rPr>
          <w:sz w:val="20"/>
          <w:szCs w:val="20"/>
        </w:rPr>
        <w:t>fue encontrado</w:t>
      </w:r>
      <w:r w:rsidRPr="0064597D">
        <w:rPr>
          <w:sz w:val="20"/>
          <w:szCs w:val="20"/>
        </w:rPr>
        <w:t xml:space="preserve"> el cadáver de</w:t>
      </w:r>
      <w:r w:rsidR="007B52B0" w:rsidRPr="0064597D">
        <w:rPr>
          <w:sz w:val="20"/>
          <w:szCs w:val="20"/>
        </w:rPr>
        <w:t xml:space="preserve">l señor Ruiz Fuentes en la Avenida 0 Calle 5ta de la Colonia Monja Blanca de Barberena, Santa Rosa. </w:t>
      </w:r>
      <w:r w:rsidRPr="0064597D">
        <w:rPr>
          <w:rFonts w:eastAsiaTheme="minorHAnsi" w:cs="Arial"/>
          <w:spacing w:val="-2"/>
          <w:sz w:val="20"/>
          <w:szCs w:val="20"/>
        </w:rPr>
        <w:t xml:space="preserve">Según el acta policial de ese mismo día, el cadáver del señor Ruiz Fuentes tenía una posición decúbito dorsal, con los brazos y piernas estiradas, y los ojos cerrados. </w:t>
      </w:r>
      <w:r w:rsidR="000C391B" w:rsidRPr="0064597D">
        <w:rPr>
          <w:sz w:val="20"/>
          <w:szCs w:val="20"/>
        </w:rPr>
        <w:t xml:space="preserve">En el lugar de los hechos se encontraban 12 miembros del Comando Anti Secuestros de la </w:t>
      </w:r>
      <w:r w:rsidR="00537AAE" w:rsidRPr="0064597D">
        <w:rPr>
          <w:sz w:val="20"/>
          <w:szCs w:val="20"/>
        </w:rPr>
        <w:t>PNC</w:t>
      </w:r>
      <w:r w:rsidR="000C391B" w:rsidRPr="0064597D">
        <w:rPr>
          <w:sz w:val="20"/>
          <w:szCs w:val="20"/>
        </w:rPr>
        <w:t xml:space="preserve">, comandado por el Comisario de la Policía Nacional, </w:t>
      </w:r>
      <w:r w:rsidR="00B07AF4" w:rsidRPr="0064597D">
        <w:rPr>
          <w:sz w:val="20"/>
          <w:szCs w:val="20"/>
        </w:rPr>
        <w:t>V.S.D.</w:t>
      </w:r>
      <w:r w:rsidR="000C391B" w:rsidRPr="0064597D">
        <w:rPr>
          <w:sz w:val="20"/>
          <w:szCs w:val="20"/>
        </w:rPr>
        <w:t xml:space="preserve">, quienes se encargaron de </w:t>
      </w:r>
      <w:r w:rsidR="00775972" w:rsidRPr="0064597D">
        <w:rPr>
          <w:sz w:val="20"/>
          <w:szCs w:val="20"/>
        </w:rPr>
        <w:t>custodiar</w:t>
      </w:r>
      <w:r w:rsidR="000C391B" w:rsidRPr="0064597D">
        <w:rPr>
          <w:sz w:val="20"/>
          <w:szCs w:val="20"/>
        </w:rPr>
        <w:t xml:space="preserve"> el área de la escena del crimen</w:t>
      </w:r>
      <w:r w:rsidR="000C391B" w:rsidRPr="0064597D">
        <w:rPr>
          <w:rStyle w:val="Refdenotaalpie"/>
          <w:sz w:val="20"/>
          <w:szCs w:val="20"/>
        </w:rPr>
        <w:footnoteReference w:id="83"/>
      </w:r>
      <w:r w:rsidR="000C391B" w:rsidRPr="0064597D">
        <w:rPr>
          <w:sz w:val="20"/>
          <w:szCs w:val="20"/>
        </w:rPr>
        <w:t xml:space="preserve">. </w:t>
      </w:r>
    </w:p>
    <w:p w14:paraId="11D03381" w14:textId="77777777" w:rsidR="00775972" w:rsidRPr="0064597D" w:rsidRDefault="00775972" w:rsidP="00775972">
      <w:pPr>
        <w:tabs>
          <w:tab w:val="left" w:pos="567"/>
        </w:tabs>
        <w:spacing w:line="240" w:lineRule="auto"/>
        <w:rPr>
          <w:sz w:val="20"/>
          <w:szCs w:val="20"/>
        </w:rPr>
      </w:pPr>
    </w:p>
    <w:p w14:paraId="43F7DB2D" w14:textId="44F04834" w:rsidR="000C391B" w:rsidRPr="0064597D" w:rsidRDefault="00775972" w:rsidP="00A06A51">
      <w:pPr>
        <w:numPr>
          <w:ilvl w:val="0"/>
          <w:numId w:val="1"/>
        </w:numPr>
        <w:tabs>
          <w:tab w:val="left" w:pos="567"/>
          <w:tab w:val="num" w:pos="1569"/>
          <w:tab w:val="num" w:pos="12305"/>
        </w:tabs>
        <w:spacing w:line="240" w:lineRule="auto"/>
        <w:ind w:left="0" w:firstLine="0"/>
        <w:rPr>
          <w:sz w:val="20"/>
          <w:szCs w:val="20"/>
        </w:rPr>
      </w:pPr>
      <w:r w:rsidRPr="0064597D">
        <w:rPr>
          <w:rFonts w:eastAsiaTheme="minorHAnsi" w:cs="Arial"/>
          <w:spacing w:val="-2"/>
          <w:sz w:val="20"/>
          <w:szCs w:val="20"/>
        </w:rPr>
        <w:t>En cuanto a las circunstancias que rodearon su muerte</w:t>
      </w:r>
      <w:r w:rsidR="000C391B" w:rsidRPr="0064597D">
        <w:rPr>
          <w:rFonts w:eastAsiaTheme="minorHAnsi" w:cs="Arial"/>
          <w:spacing w:val="-2"/>
          <w:sz w:val="20"/>
          <w:szCs w:val="20"/>
        </w:rPr>
        <w:t xml:space="preserve">, de conformidad con lo </w:t>
      </w:r>
      <w:r w:rsidR="004D498D" w:rsidRPr="0064597D">
        <w:rPr>
          <w:rFonts w:eastAsiaTheme="minorHAnsi" w:cs="Arial"/>
          <w:spacing w:val="-2"/>
          <w:sz w:val="20"/>
          <w:szCs w:val="20"/>
        </w:rPr>
        <w:t>recogido por el acta policial de 14 de noviembre</w:t>
      </w:r>
      <w:r w:rsidR="008E2861" w:rsidRPr="0064597D">
        <w:rPr>
          <w:rFonts w:eastAsiaTheme="minorHAnsi" w:cs="Arial"/>
          <w:spacing w:val="-2"/>
          <w:sz w:val="20"/>
          <w:szCs w:val="20"/>
        </w:rPr>
        <w:t xml:space="preserve"> de 2005</w:t>
      </w:r>
      <w:r w:rsidR="004D498D" w:rsidRPr="0064597D">
        <w:rPr>
          <w:rFonts w:eastAsiaTheme="minorHAnsi" w:cs="Arial"/>
          <w:spacing w:val="-2"/>
          <w:sz w:val="20"/>
          <w:szCs w:val="20"/>
        </w:rPr>
        <w:t xml:space="preserve">, </w:t>
      </w:r>
      <w:r w:rsidR="000C391B" w:rsidRPr="0064597D">
        <w:rPr>
          <w:rFonts w:eastAsiaTheme="minorHAnsi" w:cs="Arial"/>
          <w:spacing w:val="-2"/>
          <w:sz w:val="20"/>
          <w:szCs w:val="20"/>
        </w:rPr>
        <w:t xml:space="preserve">“vecinos que se negaron a proporcionar sus nombres por temor a perder la vida”, el señor Ruiz Fuentes “era perseguido por varios individuos desconocidos, con quienes </w:t>
      </w:r>
      <w:r w:rsidR="000C391B" w:rsidRPr="0064597D">
        <w:rPr>
          <w:sz w:val="20"/>
          <w:szCs w:val="20"/>
        </w:rPr>
        <w:t>tuvo</w:t>
      </w:r>
      <w:r w:rsidR="000C391B" w:rsidRPr="0064597D">
        <w:rPr>
          <w:rFonts w:eastAsiaTheme="minorHAnsi" w:cs="Arial"/>
          <w:spacing w:val="-2"/>
          <w:sz w:val="20"/>
          <w:szCs w:val="20"/>
        </w:rPr>
        <w:t xml:space="preserve"> un intercambio de disparos” a resultas del cual recibió “varios impactos de bala” que ocasionaron su muerte</w:t>
      </w:r>
      <w:r w:rsidR="000C391B" w:rsidRPr="0064597D">
        <w:rPr>
          <w:rStyle w:val="Refdenotaalpie"/>
          <w:rFonts w:eastAsiaTheme="minorHAnsi" w:cs="Arial"/>
          <w:spacing w:val="-2"/>
          <w:sz w:val="20"/>
          <w:szCs w:val="20"/>
        </w:rPr>
        <w:footnoteReference w:id="84"/>
      </w:r>
      <w:r w:rsidR="000C391B" w:rsidRPr="0064597D">
        <w:rPr>
          <w:rFonts w:eastAsiaTheme="minorHAnsi" w:cs="Arial"/>
          <w:spacing w:val="-2"/>
          <w:sz w:val="20"/>
          <w:szCs w:val="20"/>
        </w:rPr>
        <w:t xml:space="preserve">. </w:t>
      </w:r>
    </w:p>
    <w:p w14:paraId="7358F847" w14:textId="77777777" w:rsidR="004D498D" w:rsidRPr="0064597D" w:rsidRDefault="004D498D" w:rsidP="004D498D">
      <w:pPr>
        <w:tabs>
          <w:tab w:val="left" w:pos="567"/>
          <w:tab w:val="num" w:pos="12305"/>
        </w:tabs>
        <w:spacing w:line="240" w:lineRule="auto"/>
        <w:rPr>
          <w:sz w:val="20"/>
          <w:szCs w:val="20"/>
        </w:rPr>
      </w:pPr>
    </w:p>
    <w:p w14:paraId="16A02E9C" w14:textId="77777777" w:rsidR="007B52B0" w:rsidRPr="0064597D" w:rsidRDefault="007B52B0" w:rsidP="007B52B0">
      <w:pPr>
        <w:numPr>
          <w:ilvl w:val="0"/>
          <w:numId w:val="1"/>
        </w:numPr>
        <w:tabs>
          <w:tab w:val="left" w:pos="567"/>
          <w:tab w:val="num" w:pos="1569"/>
          <w:tab w:val="num" w:pos="12305"/>
        </w:tabs>
        <w:spacing w:line="240" w:lineRule="auto"/>
        <w:ind w:left="0" w:firstLine="0"/>
        <w:rPr>
          <w:sz w:val="20"/>
          <w:szCs w:val="20"/>
        </w:rPr>
      </w:pPr>
      <w:r w:rsidRPr="0064597D">
        <w:rPr>
          <w:sz w:val="20"/>
          <w:szCs w:val="20"/>
        </w:rPr>
        <w:t>Conforme a la autopsia practicada al cadáver</w:t>
      </w:r>
      <w:r w:rsidR="000C391B" w:rsidRPr="0064597D">
        <w:rPr>
          <w:sz w:val="20"/>
          <w:szCs w:val="20"/>
        </w:rPr>
        <w:t xml:space="preserve"> el 15 de noviembre de 2005</w:t>
      </w:r>
      <w:r w:rsidRPr="0064597D">
        <w:rPr>
          <w:sz w:val="20"/>
          <w:szCs w:val="20"/>
        </w:rPr>
        <w:t xml:space="preserve">, la causa de la muerte fue </w:t>
      </w:r>
      <w:r w:rsidR="008D36E5" w:rsidRPr="0064597D">
        <w:rPr>
          <w:sz w:val="20"/>
          <w:szCs w:val="20"/>
        </w:rPr>
        <w:t>“</w:t>
      </w:r>
      <w:r w:rsidRPr="0064597D">
        <w:rPr>
          <w:sz w:val="20"/>
          <w:szCs w:val="20"/>
        </w:rPr>
        <w:t>perforación cerebral y pulmonar por heridas perforantes de proyectiles de arma de fuego</w:t>
      </w:r>
      <w:r w:rsidR="008D36E5" w:rsidRPr="0064597D">
        <w:rPr>
          <w:sz w:val="20"/>
          <w:szCs w:val="20"/>
        </w:rPr>
        <w:t>”</w:t>
      </w:r>
      <w:r w:rsidR="000C391B" w:rsidRPr="0064597D">
        <w:rPr>
          <w:rStyle w:val="Refdenotaalpie"/>
          <w:sz w:val="20"/>
          <w:szCs w:val="20"/>
        </w:rPr>
        <w:footnoteReference w:id="85"/>
      </w:r>
      <w:r w:rsidRPr="0064597D">
        <w:rPr>
          <w:sz w:val="20"/>
          <w:szCs w:val="20"/>
        </w:rPr>
        <w:t xml:space="preserve">. </w:t>
      </w:r>
    </w:p>
    <w:p w14:paraId="077FBC46" w14:textId="03F96EAA" w:rsidR="00072585" w:rsidRPr="0064597D" w:rsidRDefault="00072585" w:rsidP="00072585">
      <w:pPr>
        <w:pStyle w:val="Ttulo2"/>
      </w:pPr>
      <w:bookmarkStart w:id="54" w:name="_Toc24014546"/>
      <w:r w:rsidRPr="0064597D">
        <w:t>E.</w:t>
      </w:r>
      <w:r w:rsidRPr="0064597D">
        <w:tab/>
        <w:t>Investigación y procesos judiciales iniciados por la muerte del señor Ruiz Fuentes</w:t>
      </w:r>
      <w:bookmarkEnd w:id="54"/>
    </w:p>
    <w:p w14:paraId="170BE66B" w14:textId="43C06C37" w:rsidR="007B52B0" w:rsidRPr="0064597D" w:rsidRDefault="007B52B0" w:rsidP="009134ED">
      <w:pPr>
        <w:numPr>
          <w:ilvl w:val="0"/>
          <w:numId w:val="1"/>
        </w:numPr>
        <w:tabs>
          <w:tab w:val="left" w:pos="567"/>
          <w:tab w:val="num" w:pos="1569"/>
          <w:tab w:val="num" w:pos="12305"/>
        </w:tabs>
        <w:spacing w:line="240" w:lineRule="auto"/>
        <w:ind w:left="0" w:firstLine="0"/>
        <w:rPr>
          <w:sz w:val="20"/>
          <w:szCs w:val="20"/>
        </w:rPr>
      </w:pPr>
      <w:r w:rsidRPr="0064597D">
        <w:rPr>
          <w:rFonts w:cs="Arial"/>
          <w:sz w:val="20"/>
          <w:szCs w:val="20"/>
        </w:rPr>
        <w:t>La investigación por la muerte de Hugo Humberto fue iniciada por el Ministerio Público de la Fiscalía Distrital de Santa Rosa en noviembre de 2005 bajo el expediente MP332/2005/4338</w:t>
      </w:r>
      <w:r w:rsidRPr="0064597D">
        <w:rPr>
          <w:rStyle w:val="Refdenotaalpie"/>
          <w:rFonts w:cs="Arial"/>
          <w:sz w:val="20"/>
          <w:szCs w:val="20"/>
        </w:rPr>
        <w:footnoteReference w:id="86"/>
      </w:r>
      <w:r w:rsidR="00AE4110" w:rsidRPr="0064597D">
        <w:rPr>
          <w:rFonts w:cs="Arial"/>
          <w:sz w:val="20"/>
          <w:szCs w:val="20"/>
        </w:rPr>
        <w:t>.</w:t>
      </w:r>
      <w:r w:rsidRPr="0064597D">
        <w:rPr>
          <w:rFonts w:cs="Arial"/>
          <w:sz w:val="20"/>
          <w:szCs w:val="20"/>
        </w:rPr>
        <w:t xml:space="preserve"> </w:t>
      </w:r>
      <w:r w:rsidR="00AE4110" w:rsidRPr="0064597D">
        <w:rPr>
          <w:sz w:val="20"/>
          <w:szCs w:val="20"/>
        </w:rPr>
        <w:t>Dentro de las diligencias que realizó el Estado se (i) tomaron huellas dactilares del señor Ruiz Fuentes, (ii)</w:t>
      </w:r>
      <w:r w:rsidR="00DB0443" w:rsidRPr="0064597D">
        <w:rPr>
          <w:sz w:val="20"/>
          <w:szCs w:val="20"/>
        </w:rPr>
        <w:t xml:space="preserve"> </w:t>
      </w:r>
      <w:r w:rsidR="00AE4110" w:rsidRPr="0064597D">
        <w:rPr>
          <w:sz w:val="20"/>
          <w:szCs w:val="20"/>
        </w:rPr>
        <w:t xml:space="preserve">se realizaron </w:t>
      </w:r>
      <w:r w:rsidRPr="0064597D">
        <w:rPr>
          <w:sz w:val="20"/>
          <w:szCs w:val="20"/>
        </w:rPr>
        <w:t xml:space="preserve">declaraciones testimoniales, </w:t>
      </w:r>
      <w:r w:rsidR="00AE4110" w:rsidRPr="0064597D">
        <w:rPr>
          <w:sz w:val="20"/>
          <w:szCs w:val="20"/>
        </w:rPr>
        <w:t xml:space="preserve">(iii) se realizaron informes por parte de la </w:t>
      </w:r>
      <w:r w:rsidRPr="0064597D">
        <w:rPr>
          <w:sz w:val="20"/>
          <w:szCs w:val="20"/>
        </w:rPr>
        <w:t xml:space="preserve">Unidad de Especialistas en Escena del Crimen, </w:t>
      </w:r>
      <w:r w:rsidR="00AE4110" w:rsidRPr="0064597D">
        <w:rPr>
          <w:sz w:val="20"/>
          <w:szCs w:val="20"/>
        </w:rPr>
        <w:t xml:space="preserve">la </w:t>
      </w:r>
      <w:r w:rsidRPr="0064597D">
        <w:rPr>
          <w:sz w:val="20"/>
          <w:szCs w:val="20"/>
        </w:rPr>
        <w:t xml:space="preserve">Sección de Balística del departamento Técnico Científico, entre </w:t>
      </w:r>
      <w:r w:rsidR="00AE4110" w:rsidRPr="0064597D">
        <w:rPr>
          <w:sz w:val="20"/>
          <w:szCs w:val="20"/>
        </w:rPr>
        <w:t>otros</w:t>
      </w:r>
      <w:r w:rsidRPr="0064597D">
        <w:rPr>
          <w:rStyle w:val="Refdenotaalpie"/>
          <w:rFonts w:cs="Verdana"/>
          <w:sz w:val="20"/>
          <w:szCs w:val="20"/>
        </w:rPr>
        <w:footnoteReference w:id="87"/>
      </w:r>
      <w:r w:rsidR="00AE4110" w:rsidRPr="0064597D">
        <w:rPr>
          <w:sz w:val="20"/>
          <w:szCs w:val="20"/>
        </w:rPr>
        <w:t xml:space="preserve">. </w:t>
      </w:r>
    </w:p>
    <w:p w14:paraId="3E935C2E" w14:textId="77777777" w:rsidR="007B52B0" w:rsidRPr="0064597D" w:rsidRDefault="007B52B0" w:rsidP="007B52B0">
      <w:pPr>
        <w:spacing w:line="240" w:lineRule="auto"/>
        <w:rPr>
          <w:sz w:val="20"/>
          <w:szCs w:val="20"/>
        </w:rPr>
      </w:pPr>
    </w:p>
    <w:p w14:paraId="36442B3A" w14:textId="7312D74F" w:rsidR="00362181" w:rsidRPr="0064597D" w:rsidRDefault="007B52B0" w:rsidP="009134ED">
      <w:pPr>
        <w:numPr>
          <w:ilvl w:val="0"/>
          <w:numId w:val="1"/>
        </w:numPr>
        <w:tabs>
          <w:tab w:val="left" w:pos="567"/>
          <w:tab w:val="num" w:pos="1569"/>
          <w:tab w:val="num" w:pos="12305"/>
        </w:tabs>
        <w:spacing w:line="240" w:lineRule="auto"/>
        <w:ind w:left="0" w:firstLine="0"/>
        <w:rPr>
          <w:sz w:val="20"/>
          <w:szCs w:val="20"/>
        </w:rPr>
      </w:pPr>
      <w:r w:rsidRPr="0064597D">
        <w:rPr>
          <w:sz w:val="20"/>
          <w:szCs w:val="20"/>
        </w:rPr>
        <w:t xml:space="preserve">La Sección de Balística del Ministerio Público realizó un peritaje con el objetivo de establecer la plena </w:t>
      </w:r>
      <w:r w:rsidRPr="0064597D">
        <w:rPr>
          <w:rFonts w:cs="Arial"/>
          <w:sz w:val="20"/>
          <w:szCs w:val="20"/>
        </w:rPr>
        <w:t>identificación</w:t>
      </w:r>
      <w:r w:rsidRPr="0064597D">
        <w:rPr>
          <w:sz w:val="20"/>
          <w:szCs w:val="20"/>
        </w:rPr>
        <w:t xml:space="preserve"> del arma de fuego que el señor Ruiz Fuentes tenía en la mano. El informe del peritaje indicó que “el número de registro [del arma de fuego] había sido borrado, por lo que procedió a realizar la prueba Fry, logrando recuperar la identificación 97321527”</w:t>
      </w:r>
      <w:r w:rsidRPr="0064597D">
        <w:rPr>
          <w:rStyle w:val="Refdenotaalpie"/>
          <w:rFonts w:cs="Verdana"/>
          <w:sz w:val="20"/>
          <w:szCs w:val="20"/>
        </w:rPr>
        <w:footnoteReference w:id="88"/>
      </w:r>
      <w:r w:rsidRPr="0064597D">
        <w:rPr>
          <w:sz w:val="20"/>
          <w:szCs w:val="20"/>
        </w:rPr>
        <w:t xml:space="preserve">. Según informó el Oficial Tercero de la </w:t>
      </w:r>
      <w:r w:rsidR="00537AAE" w:rsidRPr="0064597D">
        <w:rPr>
          <w:sz w:val="20"/>
          <w:szCs w:val="20"/>
        </w:rPr>
        <w:t>PNC</w:t>
      </w:r>
      <w:r w:rsidRPr="0064597D">
        <w:rPr>
          <w:sz w:val="20"/>
          <w:szCs w:val="20"/>
        </w:rPr>
        <w:t xml:space="preserve">, </w:t>
      </w:r>
      <w:r w:rsidR="00141068" w:rsidRPr="0064597D">
        <w:rPr>
          <w:sz w:val="20"/>
          <w:szCs w:val="20"/>
        </w:rPr>
        <w:t>el arma pertenecía al</w:t>
      </w:r>
      <w:r w:rsidRPr="0064597D">
        <w:rPr>
          <w:sz w:val="20"/>
          <w:szCs w:val="20"/>
        </w:rPr>
        <w:t xml:space="preserve"> oficial </w:t>
      </w:r>
      <w:r w:rsidR="00852576" w:rsidRPr="0064597D">
        <w:rPr>
          <w:sz w:val="20"/>
          <w:szCs w:val="20"/>
        </w:rPr>
        <w:t>E.R.C.C.</w:t>
      </w:r>
      <w:r w:rsidR="00141068" w:rsidRPr="0064597D">
        <w:rPr>
          <w:rStyle w:val="Refdenotaalpie"/>
          <w:rFonts w:cs="Verdana"/>
          <w:sz w:val="20"/>
          <w:szCs w:val="20"/>
        </w:rPr>
        <w:footnoteReference w:id="89"/>
      </w:r>
      <w:r w:rsidR="00141068" w:rsidRPr="0064597D">
        <w:rPr>
          <w:sz w:val="20"/>
          <w:szCs w:val="20"/>
        </w:rPr>
        <w:t xml:space="preserve">. </w:t>
      </w:r>
      <w:r w:rsidRPr="0064597D">
        <w:rPr>
          <w:sz w:val="20"/>
          <w:szCs w:val="20"/>
        </w:rPr>
        <w:t xml:space="preserve">La Sub-Dirección General de Finanzas y </w:t>
      </w:r>
      <w:r w:rsidRPr="0064597D">
        <w:rPr>
          <w:sz w:val="20"/>
          <w:szCs w:val="20"/>
        </w:rPr>
        <w:lastRenderedPageBreak/>
        <w:t>Logística de la Dirección General de</w:t>
      </w:r>
      <w:r w:rsidR="00B5100E">
        <w:rPr>
          <w:sz w:val="20"/>
          <w:szCs w:val="20"/>
        </w:rPr>
        <w:t xml:space="preserve"> la</w:t>
      </w:r>
      <w:r w:rsidRPr="0064597D">
        <w:rPr>
          <w:sz w:val="20"/>
          <w:szCs w:val="20"/>
        </w:rPr>
        <w:t xml:space="preserve"> </w:t>
      </w:r>
      <w:r w:rsidR="00537AAE" w:rsidRPr="0064597D">
        <w:rPr>
          <w:sz w:val="20"/>
          <w:szCs w:val="20"/>
        </w:rPr>
        <w:t xml:space="preserve">PNC </w:t>
      </w:r>
      <w:r w:rsidRPr="0064597D">
        <w:rPr>
          <w:sz w:val="20"/>
          <w:szCs w:val="20"/>
        </w:rPr>
        <w:t xml:space="preserve">inició un expediente administrativo contra </w:t>
      </w:r>
      <w:r w:rsidR="00141068" w:rsidRPr="0064597D">
        <w:rPr>
          <w:sz w:val="20"/>
          <w:szCs w:val="20"/>
        </w:rPr>
        <w:t>dicho</w:t>
      </w:r>
      <w:r w:rsidRPr="0064597D">
        <w:rPr>
          <w:sz w:val="20"/>
          <w:szCs w:val="20"/>
        </w:rPr>
        <w:t xml:space="preserve"> oficial”</w:t>
      </w:r>
      <w:r w:rsidRPr="0064597D">
        <w:rPr>
          <w:rStyle w:val="Refdenotaalpie"/>
          <w:rFonts w:cs="Verdana"/>
          <w:sz w:val="20"/>
          <w:szCs w:val="20"/>
        </w:rPr>
        <w:footnoteReference w:id="90"/>
      </w:r>
      <w:r w:rsidRPr="0064597D">
        <w:rPr>
          <w:sz w:val="20"/>
          <w:szCs w:val="20"/>
        </w:rPr>
        <w:t>.</w:t>
      </w:r>
      <w:r w:rsidR="00676191" w:rsidRPr="0064597D">
        <w:rPr>
          <w:sz w:val="20"/>
          <w:szCs w:val="20"/>
        </w:rPr>
        <w:t xml:space="preserve"> </w:t>
      </w:r>
      <w:r w:rsidR="005708A8" w:rsidRPr="0064597D">
        <w:rPr>
          <w:sz w:val="20"/>
          <w:szCs w:val="20"/>
        </w:rPr>
        <w:t>No consta en el expediente cuál fue el resultado final de dicha investigación</w:t>
      </w:r>
      <w:r w:rsidR="00723237" w:rsidRPr="0064597D">
        <w:rPr>
          <w:sz w:val="20"/>
          <w:szCs w:val="20"/>
        </w:rPr>
        <w:t>.</w:t>
      </w:r>
      <w:r w:rsidR="005708A8" w:rsidRPr="0064597D">
        <w:rPr>
          <w:sz w:val="20"/>
          <w:szCs w:val="20"/>
        </w:rPr>
        <w:t xml:space="preserve"> </w:t>
      </w:r>
    </w:p>
    <w:p w14:paraId="703B13BA" w14:textId="77777777" w:rsidR="00362181" w:rsidRPr="0064597D" w:rsidRDefault="00362181" w:rsidP="00362181">
      <w:pPr>
        <w:tabs>
          <w:tab w:val="left" w:pos="567"/>
        </w:tabs>
        <w:spacing w:line="240" w:lineRule="auto"/>
        <w:rPr>
          <w:sz w:val="20"/>
          <w:szCs w:val="20"/>
        </w:rPr>
      </w:pPr>
    </w:p>
    <w:p w14:paraId="2570C799" w14:textId="54B4A8B7" w:rsidR="007B52B0" w:rsidRPr="0064597D" w:rsidRDefault="00362181" w:rsidP="009134ED">
      <w:pPr>
        <w:numPr>
          <w:ilvl w:val="0"/>
          <w:numId w:val="1"/>
        </w:numPr>
        <w:tabs>
          <w:tab w:val="left" w:pos="567"/>
          <w:tab w:val="num" w:pos="1569"/>
          <w:tab w:val="num" w:pos="12305"/>
        </w:tabs>
        <w:spacing w:line="240" w:lineRule="auto"/>
        <w:ind w:left="0" w:firstLine="0"/>
        <w:rPr>
          <w:sz w:val="20"/>
          <w:szCs w:val="20"/>
        </w:rPr>
      </w:pPr>
      <w:r w:rsidRPr="0064597D">
        <w:rPr>
          <w:sz w:val="20"/>
          <w:szCs w:val="20"/>
        </w:rPr>
        <w:t xml:space="preserve">El 27 de octubre de 2016, en el marco del trámite ante la Comisión, </w:t>
      </w:r>
      <w:r w:rsidR="007B52B0" w:rsidRPr="0064597D">
        <w:rPr>
          <w:sz w:val="20"/>
          <w:szCs w:val="20"/>
        </w:rPr>
        <w:t xml:space="preserve">el Estado presentó un informe </w:t>
      </w:r>
      <w:r w:rsidRPr="0064597D">
        <w:rPr>
          <w:sz w:val="20"/>
          <w:szCs w:val="20"/>
        </w:rPr>
        <w:t>que contenía</w:t>
      </w:r>
      <w:r w:rsidR="007B52B0" w:rsidRPr="0064597D">
        <w:rPr>
          <w:sz w:val="20"/>
          <w:szCs w:val="20"/>
        </w:rPr>
        <w:t xml:space="preserve"> información sobre el </w:t>
      </w:r>
      <w:r w:rsidR="007B52B0" w:rsidRPr="0064597D">
        <w:rPr>
          <w:rFonts w:cs="Arial"/>
          <w:sz w:val="20"/>
          <w:szCs w:val="20"/>
        </w:rPr>
        <w:t>estado</w:t>
      </w:r>
      <w:r w:rsidR="007B52B0" w:rsidRPr="0064597D">
        <w:rPr>
          <w:sz w:val="20"/>
          <w:szCs w:val="20"/>
        </w:rPr>
        <w:t xml:space="preserve"> de las investigaciones relacionadas con </w:t>
      </w:r>
      <w:r w:rsidRPr="0064597D">
        <w:rPr>
          <w:sz w:val="20"/>
          <w:szCs w:val="20"/>
        </w:rPr>
        <w:t xml:space="preserve">la muerte del señor Ruiz Fuentes, </w:t>
      </w:r>
      <w:r w:rsidR="00A771A0" w:rsidRPr="0064597D">
        <w:rPr>
          <w:sz w:val="20"/>
          <w:szCs w:val="20"/>
        </w:rPr>
        <w:t xml:space="preserve">indicando que, según la información proporcionada por la Fiscalía Especial Contra la Impunidad </w:t>
      </w:r>
      <w:r w:rsidR="00DE57F8" w:rsidRPr="0064597D">
        <w:rPr>
          <w:sz w:val="20"/>
          <w:szCs w:val="20"/>
        </w:rPr>
        <w:t xml:space="preserve">del Ministerio Público </w:t>
      </w:r>
      <w:r w:rsidR="00A771A0" w:rsidRPr="0064597D">
        <w:rPr>
          <w:sz w:val="20"/>
          <w:szCs w:val="20"/>
        </w:rPr>
        <w:t>(</w:t>
      </w:r>
      <w:r w:rsidR="00DE57F8" w:rsidRPr="0064597D">
        <w:rPr>
          <w:sz w:val="20"/>
          <w:szCs w:val="20"/>
        </w:rPr>
        <w:t>en adelante, “</w:t>
      </w:r>
      <w:r w:rsidR="00A771A0" w:rsidRPr="0064597D">
        <w:rPr>
          <w:sz w:val="20"/>
          <w:szCs w:val="20"/>
        </w:rPr>
        <w:t>FECI</w:t>
      </w:r>
      <w:r w:rsidR="00DE57F8" w:rsidRPr="0064597D">
        <w:rPr>
          <w:sz w:val="20"/>
          <w:szCs w:val="20"/>
        </w:rPr>
        <w:t>”</w:t>
      </w:r>
      <w:r w:rsidR="00A771A0" w:rsidRPr="0064597D">
        <w:rPr>
          <w:sz w:val="20"/>
          <w:szCs w:val="20"/>
        </w:rPr>
        <w:t xml:space="preserve">), el señor Ruiz Fuentes habría sido ejecutado por miembros de la </w:t>
      </w:r>
      <w:r w:rsidR="00537AAE" w:rsidRPr="0064597D">
        <w:rPr>
          <w:sz w:val="20"/>
          <w:szCs w:val="20"/>
        </w:rPr>
        <w:t>PNC</w:t>
      </w:r>
      <w:r w:rsidR="00453678" w:rsidRPr="0064597D">
        <w:rPr>
          <w:sz w:val="20"/>
          <w:szCs w:val="20"/>
        </w:rPr>
        <w:t xml:space="preserve"> “simulando un enfrentamiento armado”</w:t>
      </w:r>
      <w:r w:rsidR="00453678" w:rsidRPr="0064597D">
        <w:rPr>
          <w:rStyle w:val="Refdenotaalpie"/>
          <w:rFonts w:cs="Verdana"/>
          <w:sz w:val="18"/>
          <w:szCs w:val="18"/>
        </w:rPr>
        <w:t xml:space="preserve"> </w:t>
      </w:r>
      <w:r w:rsidR="00453678" w:rsidRPr="0064597D">
        <w:rPr>
          <w:rStyle w:val="Refdenotaalpie"/>
          <w:rFonts w:cs="Verdana"/>
          <w:sz w:val="18"/>
          <w:szCs w:val="18"/>
        </w:rPr>
        <w:footnoteReference w:id="91"/>
      </w:r>
      <w:r w:rsidR="00A771A0" w:rsidRPr="0064597D">
        <w:rPr>
          <w:sz w:val="20"/>
          <w:szCs w:val="20"/>
        </w:rPr>
        <w:t>.</w:t>
      </w:r>
    </w:p>
    <w:p w14:paraId="72A60A53" w14:textId="77777777" w:rsidR="007B52B0" w:rsidRPr="0064597D" w:rsidRDefault="007B52B0" w:rsidP="007B52B0">
      <w:pPr>
        <w:spacing w:line="240" w:lineRule="auto"/>
        <w:rPr>
          <w:sz w:val="18"/>
          <w:szCs w:val="18"/>
        </w:rPr>
      </w:pPr>
    </w:p>
    <w:p w14:paraId="2CA7E18E" w14:textId="074F89D3" w:rsidR="007B52B0" w:rsidRPr="0064597D" w:rsidRDefault="00DE57F8" w:rsidP="00637BEE">
      <w:pPr>
        <w:numPr>
          <w:ilvl w:val="0"/>
          <w:numId w:val="1"/>
        </w:numPr>
        <w:tabs>
          <w:tab w:val="left" w:pos="567"/>
          <w:tab w:val="num" w:pos="12305"/>
        </w:tabs>
        <w:spacing w:line="240" w:lineRule="auto"/>
        <w:ind w:left="0" w:firstLine="0"/>
        <w:rPr>
          <w:sz w:val="20"/>
          <w:szCs w:val="20"/>
        </w:rPr>
      </w:pPr>
      <w:r w:rsidRPr="0064597D">
        <w:rPr>
          <w:sz w:val="20"/>
          <w:szCs w:val="20"/>
        </w:rPr>
        <w:t>El Estado informó que el proceso se encontraba en “fase de investigación” a cargo de la FECI</w:t>
      </w:r>
      <w:r w:rsidR="005806EC" w:rsidRPr="0064597D">
        <w:rPr>
          <w:rStyle w:val="Refdenotaalpie"/>
          <w:sz w:val="20"/>
          <w:szCs w:val="20"/>
        </w:rPr>
        <w:footnoteReference w:id="92"/>
      </w:r>
      <w:r w:rsidR="00F4134C" w:rsidRPr="0064597D">
        <w:rPr>
          <w:sz w:val="20"/>
          <w:szCs w:val="20"/>
        </w:rPr>
        <w:t>.</w:t>
      </w:r>
      <w:r w:rsidR="00B47883" w:rsidRPr="0064597D">
        <w:rPr>
          <w:sz w:val="20"/>
          <w:szCs w:val="20"/>
        </w:rPr>
        <w:t xml:space="preserve"> </w:t>
      </w:r>
    </w:p>
    <w:p w14:paraId="3F84C4CD" w14:textId="77777777" w:rsidR="009E4F6C" w:rsidRPr="0064597D" w:rsidRDefault="00F4645B" w:rsidP="002F4F08">
      <w:pPr>
        <w:pStyle w:val="Ttulo1"/>
      </w:pPr>
      <w:bookmarkStart w:id="55" w:name="_Toc514172626"/>
      <w:bookmarkStart w:id="56" w:name="_Toc24014547"/>
      <w:r w:rsidRPr="0064597D">
        <w:t>VII</w:t>
      </w:r>
      <w:r w:rsidR="00EA52BD" w:rsidRPr="0064597D">
        <w:t>I</w:t>
      </w:r>
      <w:r w:rsidRPr="0064597D">
        <w:br/>
      </w:r>
      <w:r w:rsidR="009E4F6C" w:rsidRPr="0064597D">
        <w:t>FONDO</w:t>
      </w:r>
      <w:bookmarkEnd w:id="55"/>
      <w:bookmarkEnd w:id="56"/>
    </w:p>
    <w:p w14:paraId="637EB97F" w14:textId="67517C7A" w:rsidR="00587F1F" w:rsidRPr="0064597D" w:rsidRDefault="00A26B9D" w:rsidP="00A26B9D">
      <w:pPr>
        <w:numPr>
          <w:ilvl w:val="0"/>
          <w:numId w:val="1"/>
        </w:numPr>
        <w:tabs>
          <w:tab w:val="left" w:pos="567"/>
        </w:tabs>
        <w:spacing w:line="240" w:lineRule="auto"/>
        <w:ind w:left="0" w:firstLine="0"/>
        <w:rPr>
          <w:sz w:val="20"/>
          <w:szCs w:val="20"/>
        </w:rPr>
      </w:pPr>
      <w:r w:rsidRPr="0064597D">
        <w:rPr>
          <w:sz w:val="20"/>
          <w:szCs w:val="20"/>
        </w:rPr>
        <w:t xml:space="preserve">En el presente caso, la Corte debe analizar la responsabilidad internacional del Estado por la alegada violación a diversos derechos convencionales relacionados con la imposición de la pena de muerte al señor Ruiz Fuentes, las alegadas torturas y trato cruel e inhumano sufrido, la posterior muerte del señor Ruiz Fuentes, así como por las alegadas vulneraciones al debido proceso y al derecho a la protección judicial en la causa penal seguida en su contra. A continuación, el Tribunal pasa a considerar y resolver el fondo de la controversia. Para ello, analizará </w:t>
      </w:r>
      <w:r w:rsidR="003F3D3E" w:rsidRPr="0064597D">
        <w:rPr>
          <w:sz w:val="20"/>
          <w:szCs w:val="20"/>
        </w:rPr>
        <w:t>(</w:t>
      </w:r>
      <w:r w:rsidR="00E10B4E" w:rsidRPr="0064597D">
        <w:rPr>
          <w:sz w:val="20"/>
          <w:szCs w:val="20"/>
        </w:rPr>
        <w:t>i</w:t>
      </w:r>
      <w:r w:rsidR="003F3D3E" w:rsidRPr="0064597D">
        <w:rPr>
          <w:sz w:val="20"/>
          <w:szCs w:val="20"/>
        </w:rPr>
        <w:t>)</w:t>
      </w:r>
      <w:r w:rsidR="005F5E39" w:rsidRPr="0064597D">
        <w:rPr>
          <w:sz w:val="20"/>
          <w:szCs w:val="20"/>
        </w:rPr>
        <w:t xml:space="preserve"> la </w:t>
      </w:r>
      <w:r w:rsidRPr="0064597D">
        <w:rPr>
          <w:sz w:val="20"/>
          <w:szCs w:val="20"/>
        </w:rPr>
        <w:t xml:space="preserve">imposición de la </w:t>
      </w:r>
      <w:r w:rsidR="005F5E39" w:rsidRPr="0064597D">
        <w:rPr>
          <w:sz w:val="20"/>
          <w:szCs w:val="20"/>
        </w:rPr>
        <w:t>pena de muerte al señor Ruiz Fuentes</w:t>
      </w:r>
      <w:r w:rsidR="005B6C22" w:rsidRPr="0064597D">
        <w:rPr>
          <w:sz w:val="20"/>
          <w:szCs w:val="20"/>
        </w:rPr>
        <w:t>,</w:t>
      </w:r>
      <w:r w:rsidR="004F08B4" w:rsidRPr="0064597D">
        <w:rPr>
          <w:sz w:val="20"/>
          <w:szCs w:val="20"/>
        </w:rPr>
        <w:t xml:space="preserve"> </w:t>
      </w:r>
      <w:r w:rsidR="003F3D3E" w:rsidRPr="0064597D">
        <w:rPr>
          <w:sz w:val="20"/>
          <w:szCs w:val="20"/>
        </w:rPr>
        <w:t>(</w:t>
      </w:r>
      <w:r w:rsidR="00E10B4E" w:rsidRPr="0064597D">
        <w:rPr>
          <w:sz w:val="20"/>
          <w:szCs w:val="20"/>
        </w:rPr>
        <w:t>ii</w:t>
      </w:r>
      <w:r w:rsidR="003F3D3E" w:rsidRPr="0064597D">
        <w:rPr>
          <w:sz w:val="20"/>
          <w:szCs w:val="20"/>
        </w:rPr>
        <w:t>)</w:t>
      </w:r>
      <w:r w:rsidR="005F5E39" w:rsidRPr="0064597D">
        <w:rPr>
          <w:sz w:val="20"/>
          <w:szCs w:val="20"/>
        </w:rPr>
        <w:t xml:space="preserve"> la posterior muerte del señor Ruiz Fuentes</w:t>
      </w:r>
      <w:r w:rsidR="003F3D3E" w:rsidRPr="0064597D">
        <w:rPr>
          <w:sz w:val="20"/>
          <w:szCs w:val="20"/>
        </w:rPr>
        <w:t>, (</w:t>
      </w:r>
      <w:r w:rsidR="00E10B4E" w:rsidRPr="0064597D">
        <w:rPr>
          <w:sz w:val="20"/>
          <w:szCs w:val="20"/>
        </w:rPr>
        <w:t>iii</w:t>
      </w:r>
      <w:r w:rsidR="003F3D3E" w:rsidRPr="0064597D">
        <w:rPr>
          <w:sz w:val="20"/>
          <w:szCs w:val="20"/>
        </w:rPr>
        <w:t>)</w:t>
      </w:r>
      <w:r w:rsidR="005B6C22" w:rsidRPr="0064597D">
        <w:rPr>
          <w:sz w:val="20"/>
          <w:szCs w:val="20"/>
        </w:rPr>
        <w:t xml:space="preserve"> las alegadas torturas sufridas por el señor Ruiz Fuentes al momento de ser detenido el 6 de agosto de 1997</w:t>
      </w:r>
      <w:r w:rsidR="004F08B4" w:rsidRPr="0064597D">
        <w:rPr>
          <w:sz w:val="20"/>
          <w:szCs w:val="20"/>
        </w:rPr>
        <w:t>, (</w:t>
      </w:r>
      <w:r w:rsidR="00E10B4E" w:rsidRPr="0064597D">
        <w:rPr>
          <w:sz w:val="20"/>
          <w:szCs w:val="20"/>
        </w:rPr>
        <w:t>iv</w:t>
      </w:r>
      <w:r w:rsidR="004F08B4" w:rsidRPr="0064597D">
        <w:rPr>
          <w:sz w:val="20"/>
          <w:szCs w:val="20"/>
        </w:rPr>
        <w:t xml:space="preserve">) </w:t>
      </w:r>
      <w:r w:rsidR="005B6C22" w:rsidRPr="0064597D">
        <w:rPr>
          <w:sz w:val="20"/>
          <w:szCs w:val="20"/>
        </w:rPr>
        <w:t xml:space="preserve">el alegado trato cruel, inhumano y degradante por haber estado sometido al fenómeno del “corredor de la muerte”, </w:t>
      </w:r>
      <w:r w:rsidR="00A32604" w:rsidRPr="0064597D">
        <w:rPr>
          <w:sz w:val="20"/>
          <w:szCs w:val="20"/>
        </w:rPr>
        <w:t>(</w:t>
      </w:r>
      <w:r w:rsidR="00E10B4E" w:rsidRPr="0064597D">
        <w:rPr>
          <w:sz w:val="20"/>
          <w:szCs w:val="20"/>
        </w:rPr>
        <w:t>v</w:t>
      </w:r>
      <w:r w:rsidR="00A32604" w:rsidRPr="0064597D">
        <w:rPr>
          <w:sz w:val="20"/>
          <w:szCs w:val="20"/>
        </w:rPr>
        <w:t>)</w:t>
      </w:r>
      <w:r w:rsidR="005B6C22" w:rsidRPr="0064597D">
        <w:rPr>
          <w:sz w:val="20"/>
          <w:szCs w:val="20"/>
        </w:rPr>
        <w:t xml:space="preserve"> la presunta vulneración de los derechos a las garantías judiciales y protección judicial, y</w:t>
      </w:r>
      <w:r w:rsidR="00A32604" w:rsidRPr="0064597D">
        <w:rPr>
          <w:sz w:val="20"/>
          <w:szCs w:val="20"/>
        </w:rPr>
        <w:t>, finalmente,</w:t>
      </w:r>
      <w:r w:rsidR="005B6C22" w:rsidRPr="0064597D">
        <w:rPr>
          <w:sz w:val="20"/>
          <w:szCs w:val="20"/>
        </w:rPr>
        <w:t xml:space="preserve"> (</w:t>
      </w:r>
      <w:r w:rsidR="00E10B4E" w:rsidRPr="0064597D">
        <w:rPr>
          <w:sz w:val="20"/>
          <w:szCs w:val="20"/>
        </w:rPr>
        <w:t>vi</w:t>
      </w:r>
      <w:r w:rsidR="005B6C22" w:rsidRPr="0064597D">
        <w:rPr>
          <w:sz w:val="20"/>
          <w:szCs w:val="20"/>
        </w:rPr>
        <w:t xml:space="preserve">) la presunta vulneración del derecho a la integridad personal de </w:t>
      </w:r>
      <w:r w:rsidR="00FF35C1" w:rsidRPr="0064597D">
        <w:rPr>
          <w:sz w:val="20"/>
          <w:szCs w:val="20"/>
        </w:rPr>
        <w:t>la hermana del señor Ruiz Fuentes</w:t>
      </w:r>
      <w:r w:rsidR="004F08B4" w:rsidRPr="0064597D">
        <w:rPr>
          <w:sz w:val="20"/>
          <w:szCs w:val="20"/>
        </w:rPr>
        <w:t>.</w:t>
      </w:r>
      <w:bookmarkStart w:id="57" w:name="_Toc438113890"/>
      <w:bookmarkStart w:id="58" w:name="_Toc495658671"/>
      <w:bookmarkStart w:id="59" w:name="_Toc514172627"/>
    </w:p>
    <w:p w14:paraId="0F9F32DA" w14:textId="4E6809D5" w:rsidR="009E4F6C" w:rsidRPr="0064597D" w:rsidRDefault="00F4645B" w:rsidP="002F4F08">
      <w:pPr>
        <w:pStyle w:val="Ttulo1"/>
        <w:rPr>
          <w:caps w:val="0"/>
        </w:rPr>
      </w:pPr>
      <w:bookmarkStart w:id="60" w:name="_Toc24014548"/>
      <w:r w:rsidRPr="0064597D">
        <w:lastRenderedPageBreak/>
        <w:t>VI</w:t>
      </w:r>
      <w:r w:rsidR="006179A5" w:rsidRPr="0064597D">
        <w:t>I</w:t>
      </w:r>
      <w:r w:rsidRPr="0064597D">
        <w:t>I</w:t>
      </w:r>
      <w:r w:rsidR="00832D41" w:rsidRPr="0064597D">
        <w:t>-1</w:t>
      </w:r>
      <w:r w:rsidRPr="0064597D">
        <w:br/>
      </w:r>
      <w:r w:rsidR="00960A67" w:rsidRPr="0064597D">
        <w:t>DERECHO A LA VIDA</w:t>
      </w:r>
      <w:r w:rsidR="00FE532C" w:rsidRPr="0064597D">
        <w:t xml:space="preserve">, </w:t>
      </w:r>
      <w:r w:rsidR="00BB0091" w:rsidRPr="0064597D">
        <w:t>CON MOTIVO DE LA APLICACIÓN DE LA PENA DE MUERTE</w:t>
      </w:r>
      <w:r w:rsidR="00BB0F77" w:rsidRPr="0064597D">
        <w:t xml:space="preserve"> </w:t>
      </w:r>
      <w:bookmarkEnd w:id="57"/>
      <w:bookmarkEnd w:id="58"/>
      <w:bookmarkEnd w:id="59"/>
      <w:r w:rsidR="00BB0091" w:rsidRPr="0064597D">
        <w:t>AL SEÑOR RUIZ FUENTES</w:t>
      </w:r>
      <w:r w:rsidR="001B7763" w:rsidRPr="0064597D">
        <w:rPr>
          <w:rStyle w:val="Refdenotaalpie"/>
        </w:rPr>
        <w:footnoteReference w:id="93"/>
      </w:r>
      <w:bookmarkEnd w:id="60"/>
    </w:p>
    <w:p w14:paraId="696E9661" w14:textId="77777777" w:rsidR="000A154C" w:rsidRPr="0064597D" w:rsidRDefault="000A154C" w:rsidP="000A154C">
      <w:pPr>
        <w:numPr>
          <w:ilvl w:val="0"/>
          <w:numId w:val="1"/>
        </w:numPr>
        <w:tabs>
          <w:tab w:val="left" w:pos="567"/>
        </w:tabs>
        <w:spacing w:line="240" w:lineRule="auto"/>
        <w:ind w:left="0" w:firstLine="0"/>
        <w:rPr>
          <w:sz w:val="20"/>
          <w:szCs w:val="20"/>
        </w:rPr>
      </w:pPr>
      <w:r w:rsidRPr="0064597D">
        <w:rPr>
          <w:sz w:val="20"/>
          <w:szCs w:val="20"/>
        </w:rPr>
        <w:t>En el presente capítulo, la Corte examinará los alegatos relativos a la imposición de la pena de muerte, así como el acceso al indulto o un recurso de gracia que permitiera conmutar la sentencia.</w:t>
      </w:r>
    </w:p>
    <w:p w14:paraId="612E89E9" w14:textId="77777777" w:rsidR="009E4F6C" w:rsidRPr="0064597D" w:rsidRDefault="009E4F6C" w:rsidP="00377181">
      <w:pPr>
        <w:pStyle w:val="Ttulo2"/>
      </w:pPr>
      <w:bookmarkStart w:id="61" w:name="_Toc24014549"/>
      <w:r w:rsidRPr="0064597D">
        <w:t>A.</w:t>
      </w:r>
      <w:r w:rsidRPr="0064597D">
        <w:tab/>
        <w:t>Argumentos de las partes y de la Comisión</w:t>
      </w:r>
      <w:bookmarkEnd w:id="61"/>
    </w:p>
    <w:p w14:paraId="2665F464" w14:textId="5761AF34" w:rsidR="009E4F6C" w:rsidRPr="0064597D" w:rsidRDefault="00083381" w:rsidP="006958DA">
      <w:pPr>
        <w:numPr>
          <w:ilvl w:val="0"/>
          <w:numId w:val="1"/>
        </w:numPr>
        <w:tabs>
          <w:tab w:val="left" w:pos="567"/>
        </w:tabs>
        <w:spacing w:line="240" w:lineRule="auto"/>
        <w:ind w:left="0" w:firstLine="0"/>
        <w:rPr>
          <w:sz w:val="20"/>
          <w:szCs w:val="20"/>
        </w:rPr>
      </w:pPr>
      <w:r w:rsidRPr="0064597D">
        <w:rPr>
          <w:sz w:val="20"/>
          <w:szCs w:val="20"/>
        </w:rPr>
        <w:t>Con respecto a la imposición de la pena de muerte</w:t>
      </w:r>
      <w:r w:rsidR="00FC40ED" w:rsidRPr="0064597D">
        <w:rPr>
          <w:sz w:val="20"/>
          <w:szCs w:val="20"/>
        </w:rPr>
        <w:t>,</w:t>
      </w:r>
      <w:r w:rsidRPr="0064597D">
        <w:rPr>
          <w:sz w:val="20"/>
          <w:szCs w:val="20"/>
        </w:rPr>
        <w:t xml:space="preserve"> l</w:t>
      </w:r>
      <w:r w:rsidR="000A154C" w:rsidRPr="0064597D">
        <w:rPr>
          <w:sz w:val="20"/>
          <w:szCs w:val="20"/>
        </w:rPr>
        <w:t xml:space="preserve">a </w:t>
      </w:r>
      <w:r w:rsidR="000A154C" w:rsidRPr="0064597D">
        <w:rPr>
          <w:b/>
          <w:i/>
          <w:sz w:val="20"/>
          <w:szCs w:val="20"/>
        </w:rPr>
        <w:t>Comisión</w:t>
      </w:r>
      <w:r w:rsidR="000A154C" w:rsidRPr="0064597D">
        <w:rPr>
          <w:sz w:val="20"/>
          <w:szCs w:val="20"/>
        </w:rPr>
        <w:t xml:space="preserve"> resaltó que se aplicó el artículo 201 del Código Penal guatemalteco cuyo contenido ya ha sido analizado por este Tribunal en casos anteriores. En este sentido, concluyó que el Estado es responsable por la imposición de la pena de muerte al señor Ru</w:t>
      </w:r>
      <w:r w:rsidR="000060F7" w:rsidRPr="0064597D">
        <w:rPr>
          <w:sz w:val="20"/>
          <w:szCs w:val="20"/>
        </w:rPr>
        <w:t>i</w:t>
      </w:r>
      <w:r w:rsidR="000A154C" w:rsidRPr="0064597D">
        <w:rPr>
          <w:sz w:val="20"/>
          <w:szCs w:val="20"/>
        </w:rPr>
        <w:t xml:space="preserve">z Fuentes por una conducta que no estaba contemplada como merecedora de la pena de muerte al momento de la ratificación de la Convención Americana por parte del Estado. </w:t>
      </w:r>
      <w:r w:rsidR="008E2861" w:rsidRPr="0064597D">
        <w:rPr>
          <w:sz w:val="20"/>
          <w:szCs w:val="20"/>
        </w:rPr>
        <w:t>L</w:t>
      </w:r>
      <w:r w:rsidR="000A154C" w:rsidRPr="0064597D">
        <w:rPr>
          <w:sz w:val="20"/>
          <w:szCs w:val="20"/>
        </w:rPr>
        <w:t xml:space="preserve">a Comisión </w:t>
      </w:r>
      <w:r w:rsidR="008E2861" w:rsidRPr="0064597D">
        <w:rPr>
          <w:sz w:val="20"/>
          <w:szCs w:val="20"/>
        </w:rPr>
        <w:t>también consideró</w:t>
      </w:r>
      <w:r w:rsidR="000A154C" w:rsidRPr="0064597D">
        <w:rPr>
          <w:sz w:val="20"/>
          <w:szCs w:val="20"/>
        </w:rPr>
        <w:t xml:space="preserve"> que los tribunales internos tampoco analizaron la problemática de la aplicación automática de la pena de muerte. Por último, la Comisión recordó que el señor Ru</w:t>
      </w:r>
      <w:r w:rsidR="000060F7" w:rsidRPr="0064597D">
        <w:rPr>
          <w:sz w:val="20"/>
          <w:szCs w:val="20"/>
        </w:rPr>
        <w:t>i</w:t>
      </w:r>
      <w:r w:rsidR="000A154C" w:rsidRPr="0064597D">
        <w:rPr>
          <w:sz w:val="20"/>
          <w:szCs w:val="20"/>
        </w:rPr>
        <w:t xml:space="preserve">z Fuentes presentó un recurso de gracia ante el Ministerio de Gobernación, </w:t>
      </w:r>
      <w:r w:rsidR="000060F7" w:rsidRPr="0064597D">
        <w:rPr>
          <w:sz w:val="20"/>
          <w:szCs w:val="20"/>
        </w:rPr>
        <w:t xml:space="preserve">y que, </w:t>
      </w:r>
      <w:r w:rsidR="000A154C" w:rsidRPr="0064597D">
        <w:rPr>
          <w:sz w:val="20"/>
          <w:szCs w:val="20"/>
        </w:rPr>
        <w:t>al momento del sometimiento del caso, el Estado no aportó información que permit</w:t>
      </w:r>
      <w:r w:rsidR="000060F7" w:rsidRPr="0064597D">
        <w:rPr>
          <w:sz w:val="20"/>
          <w:szCs w:val="20"/>
        </w:rPr>
        <w:t>iera</w:t>
      </w:r>
      <w:r w:rsidR="000A154C" w:rsidRPr="0064597D">
        <w:rPr>
          <w:sz w:val="20"/>
          <w:szCs w:val="20"/>
        </w:rPr>
        <w:t xml:space="preserve"> establecer que el recurso había sido resuelto, limitándose a indicar que al momento de la presentación de la petición ante la Comisión estaba vigente</w:t>
      </w:r>
      <w:r w:rsidR="000060F7" w:rsidRPr="0064597D">
        <w:rPr>
          <w:sz w:val="20"/>
          <w:szCs w:val="20"/>
        </w:rPr>
        <w:t>,</w:t>
      </w:r>
      <w:r w:rsidR="000A154C" w:rsidRPr="0064597D">
        <w:rPr>
          <w:sz w:val="20"/>
          <w:szCs w:val="20"/>
        </w:rPr>
        <w:t xml:space="preserve"> por lo que debió agotar dicha vía. </w:t>
      </w:r>
    </w:p>
    <w:p w14:paraId="524B4196" w14:textId="77777777" w:rsidR="008E2861" w:rsidRPr="0064597D" w:rsidRDefault="008E2861" w:rsidP="008E2861">
      <w:pPr>
        <w:tabs>
          <w:tab w:val="left" w:pos="567"/>
        </w:tabs>
        <w:spacing w:line="240" w:lineRule="auto"/>
        <w:rPr>
          <w:sz w:val="20"/>
          <w:szCs w:val="20"/>
        </w:rPr>
      </w:pPr>
    </w:p>
    <w:p w14:paraId="0A5315C2" w14:textId="50B6FBE5" w:rsidR="007F456A" w:rsidRPr="0064597D" w:rsidRDefault="000060F7" w:rsidP="000E3A01">
      <w:pPr>
        <w:numPr>
          <w:ilvl w:val="0"/>
          <w:numId w:val="1"/>
        </w:numPr>
        <w:tabs>
          <w:tab w:val="left" w:pos="567"/>
        </w:tabs>
        <w:spacing w:line="240" w:lineRule="auto"/>
        <w:ind w:left="0" w:firstLine="0"/>
        <w:rPr>
          <w:sz w:val="20"/>
          <w:szCs w:val="20"/>
        </w:rPr>
      </w:pPr>
      <w:r w:rsidRPr="0064597D">
        <w:rPr>
          <w:sz w:val="20"/>
          <w:szCs w:val="20"/>
        </w:rPr>
        <w:t xml:space="preserve">Con respecto a la condena a pena de muerte, </w:t>
      </w:r>
      <w:r w:rsidR="002269FD" w:rsidRPr="0064597D">
        <w:rPr>
          <w:sz w:val="20"/>
          <w:szCs w:val="20"/>
        </w:rPr>
        <w:t xml:space="preserve">las </w:t>
      </w:r>
      <w:r w:rsidR="002269FD" w:rsidRPr="0064597D">
        <w:rPr>
          <w:b/>
          <w:i/>
          <w:sz w:val="20"/>
          <w:szCs w:val="20"/>
        </w:rPr>
        <w:t>representantes</w:t>
      </w:r>
      <w:r w:rsidRPr="0064597D">
        <w:rPr>
          <w:sz w:val="20"/>
          <w:szCs w:val="20"/>
        </w:rPr>
        <w:t xml:space="preserve"> </w:t>
      </w:r>
      <w:r w:rsidR="000A154C" w:rsidRPr="0064597D">
        <w:rPr>
          <w:sz w:val="20"/>
          <w:szCs w:val="20"/>
        </w:rPr>
        <w:t>establecieron que dicha condena se realizó contraviniendo lo dispuesto en la Convención</w:t>
      </w:r>
      <w:r w:rsidRPr="0064597D">
        <w:rPr>
          <w:sz w:val="20"/>
          <w:szCs w:val="20"/>
        </w:rPr>
        <w:t>,</w:t>
      </w:r>
      <w:r w:rsidR="000A154C" w:rsidRPr="0064597D">
        <w:rPr>
          <w:sz w:val="20"/>
          <w:szCs w:val="20"/>
        </w:rPr>
        <w:t xml:space="preserve"> toda vez que ésta se impuso sobre la base de lo establecido en el artículo 201 del Código Penal guatemalteco. Indica</w:t>
      </w:r>
      <w:r w:rsidRPr="0064597D">
        <w:rPr>
          <w:sz w:val="20"/>
          <w:szCs w:val="20"/>
        </w:rPr>
        <w:t xml:space="preserve">ron </w:t>
      </w:r>
      <w:r w:rsidR="000A154C" w:rsidRPr="0064597D">
        <w:rPr>
          <w:sz w:val="20"/>
          <w:szCs w:val="20"/>
        </w:rPr>
        <w:t xml:space="preserve">que </w:t>
      </w:r>
      <w:r w:rsidRPr="0064597D">
        <w:rPr>
          <w:sz w:val="20"/>
          <w:szCs w:val="20"/>
        </w:rPr>
        <w:t>la Corte</w:t>
      </w:r>
      <w:r w:rsidR="000A154C" w:rsidRPr="0064597D">
        <w:rPr>
          <w:sz w:val="20"/>
          <w:szCs w:val="20"/>
        </w:rPr>
        <w:t xml:space="preserve"> ya se ha referido a la aplicación de dicho artículo a través del caso </w:t>
      </w:r>
      <w:r w:rsidR="000A154C" w:rsidRPr="0064597D">
        <w:rPr>
          <w:i/>
          <w:iCs/>
          <w:sz w:val="20"/>
          <w:szCs w:val="20"/>
        </w:rPr>
        <w:t>Raxcacó Reyes Vs. Guatemala</w:t>
      </w:r>
      <w:r w:rsidR="000A154C" w:rsidRPr="0064597D">
        <w:rPr>
          <w:sz w:val="20"/>
          <w:szCs w:val="20"/>
        </w:rPr>
        <w:t xml:space="preserve"> en el cual se estableció que la aplicación del artículo 201 se realizó “desatendiendo la limitación que impone el artículo 4.2 de la Convención Americana respecto de la aplicación de la pena de muerte solamente a los delitos más graves”. En este sentido, </w:t>
      </w:r>
      <w:r w:rsidR="002269FD" w:rsidRPr="0064597D">
        <w:rPr>
          <w:sz w:val="20"/>
          <w:szCs w:val="20"/>
        </w:rPr>
        <w:t>las representantes</w:t>
      </w:r>
      <w:r w:rsidR="000A154C" w:rsidRPr="0064597D">
        <w:rPr>
          <w:sz w:val="20"/>
          <w:szCs w:val="20"/>
        </w:rPr>
        <w:t xml:space="preserve"> concluyer</w:t>
      </w:r>
      <w:r w:rsidR="00FC40ED" w:rsidRPr="0064597D">
        <w:rPr>
          <w:sz w:val="20"/>
          <w:szCs w:val="20"/>
        </w:rPr>
        <w:t>on que, dado que el presente caso</w:t>
      </w:r>
      <w:r w:rsidR="000A154C" w:rsidRPr="0064597D">
        <w:rPr>
          <w:sz w:val="20"/>
          <w:szCs w:val="20"/>
        </w:rPr>
        <w:t xml:space="preserve"> refiere a los mismos hechos a los que se refirió el caso </w:t>
      </w:r>
      <w:r w:rsidR="000A154C" w:rsidRPr="0064597D">
        <w:rPr>
          <w:i/>
          <w:iCs/>
          <w:sz w:val="20"/>
          <w:szCs w:val="20"/>
        </w:rPr>
        <w:t>Raxcacó Reyes Vs. Guatemala</w:t>
      </w:r>
      <w:r w:rsidR="000A154C" w:rsidRPr="0064597D">
        <w:rPr>
          <w:sz w:val="20"/>
          <w:szCs w:val="20"/>
        </w:rPr>
        <w:t>, así como a que se aplicó la misma normativa en ambos casos y se condenó a ambas personas en la misma calidad, solicitaron que la Corte se pronunci</w:t>
      </w:r>
      <w:r w:rsidR="008E2861" w:rsidRPr="0064597D">
        <w:rPr>
          <w:sz w:val="20"/>
          <w:szCs w:val="20"/>
        </w:rPr>
        <w:t xml:space="preserve">ara </w:t>
      </w:r>
      <w:r w:rsidR="000A154C" w:rsidRPr="0064597D">
        <w:rPr>
          <w:sz w:val="20"/>
          <w:szCs w:val="20"/>
        </w:rPr>
        <w:t xml:space="preserve">en el mismo sentido. </w:t>
      </w:r>
    </w:p>
    <w:p w14:paraId="38CF6771" w14:textId="77777777" w:rsidR="000E3A01" w:rsidRPr="0064597D" w:rsidRDefault="000E3A01" w:rsidP="000E3A01">
      <w:pPr>
        <w:tabs>
          <w:tab w:val="left" w:pos="567"/>
        </w:tabs>
        <w:spacing w:line="240" w:lineRule="auto"/>
        <w:rPr>
          <w:sz w:val="20"/>
          <w:szCs w:val="20"/>
        </w:rPr>
      </w:pPr>
    </w:p>
    <w:p w14:paraId="4194094C" w14:textId="32B5AE28" w:rsidR="000A154C" w:rsidRPr="0064597D" w:rsidRDefault="000A154C" w:rsidP="000E3A01">
      <w:pPr>
        <w:numPr>
          <w:ilvl w:val="0"/>
          <w:numId w:val="1"/>
        </w:numPr>
        <w:tabs>
          <w:tab w:val="left" w:pos="567"/>
        </w:tabs>
        <w:spacing w:line="240" w:lineRule="auto"/>
        <w:ind w:left="0" w:firstLine="0"/>
        <w:rPr>
          <w:sz w:val="20"/>
          <w:szCs w:val="20"/>
        </w:rPr>
      </w:pPr>
      <w:r w:rsidRPr="0064597D">
        <w:rPr>
          <w:sz w:val="20"/>
          <w:szCs w:val="20"/>
        </w:rPr>
        <w:t>Por último, con respecto al recurso de gracia solicitado por el señor Ru</w:t>
      </w:r>
      <w:r w:rsidR="000060F7" w:rsidRPr="0064597D">
        <w:rPr>
          <w:sz w:val="20"/>
          <w:szCs w:val="20"/>
        </w:rPr>
        <w:t>i</w:t>
      </w:r>
      <w:r w:rsidRPr="0064597D">
        <w:rPr>
          <w:sz w:val="20"/>
          <w:szCs w:val="20"/>
        </w:rPr>
        <w:t>z Fuentes, mencionaron que éste no fue tramitado ni resuelto debido a la falta de regulación apropiada</w:t>
      </w:r>
      <w:r w:rsidR="008E2861" w:rsidRPr="0064597D">
        <w:rPr>
          <w:sz w:val="20"/>
          <w:szCs w:val="20"/>
        </w:rPr>
        <w:t xml:space="preserve">. </w:t>
      </w:r>
      <w:r w:rsidRPr="0064597D">
        <w:rPr>
          <w:sz w:val="20"/>
          <w:szCs w:val="20"/>
        </w:rPr>
        <w:t xml:space="preserve">En sus alegatos finales escritos, </w:t>
      </w:r>
      <w:r w:rsidR="002269FD" w:rsidRPr="0064597D">
        <w:rPr>
          <w:sz w:val="20"/>
          <w:szCs w:val="20"/>
        </w:rPr>
        <w:t>las representantes</w:t>
      </w:r>
      <w:r w:rsidRPr="0064597D">
        <w:rPr>
          <w:sz w:val="20"/>
          <w:szCs w:val="20"/>
        </w:rPr>
        <w:t xml:space="preserve"> destacaron que el Estado sostuvo que al señor Ru</w:t>
      </w:r>
      <w:r w:rsidR="000060F7" w:rsidRPr="0064597D">
        <w:rPr>
          <w:sz w:val="20"/>
          <w:szCs w:val="20"/>
        </w:rPr>
        <w:t>i</w:t>
      </w:r>
      <w:r w:rsidRPr="0064597D">
        <w:rPr>
          <w:sz w:val="20"/>
          <w:szCs w:val="20"/>
        </w:rPr>
        <w:t>z Fuentes le habría sido conmutada la pena</w:t>
      </w:r>
      <w:r w:rsidR="00B53452" w:rsidRPr="0064597D">
        <w:rPr>
          <w:sz w:val="20"/>
          <w:szCs w:val="20"/>
        </w:rPr>
        <w:t xml:space="preserve"> por la pena máxima de privación de libertad</w:t>
      </w:r>
      <w:r w:rsidRPr="0064597D">
        <w:rPr>
          <w:sz w:val="20"/>
          <w:szCs w:val="20"/>
        </w:rPr>
        <w:t xml:space="preserve">, ofreciendo como prueba que, a la fecha, el señor </w:t>
      </w:r>
      <w:r w:rsidRPr="0064597D">
        <w:rPr>
          <w:iCs/>
          <w:sz w:val="20"/>
          <w:szCs w:val="20"/>
        </w:rPr>
        <w:t>Raxcacó Reyes</w:t>
      </w:r>
      <w:r w:rsidRPr="0064597D">
        <w:rPr>
          <w:sz w:val="20"/>
          <w:szCs w:val="20"/>
        </w:rPr>
        <w:t xml:space="preserve"> se enc</w:t>
      </w:r>
      <w:r w:rsidR="000060F7" w:rsidRPr="0064597D">
        <w:rPr>
          <w:sz w:val="20"/>
          <w:szCs w:val="20"/>
        </w:rPr>
        <w:t>ontraba</w:t>
      </w:r>
      <w:r w:rsidRPr="0064597D">
        <w:rPr>
          <w:sz w:val="20"/>
          <w:szCs w:val="20"/>
        </w:rPr>
        <w:t xml:space="preserve"> cumpliendo la pena privativa de libertad. </w:t>
      </w:r>
      <w:r w:rsidR="000060F7" w:rsidRPr="0064597D">
        <w:rPr>
          <w:sz w:val="20"/>
          <w:szCs w:val="20"/>
        </w:rPr>
        <w:t>A este respecto</w:t>
      </w:r>
      <w:r w:rsidRPr="0064597D">
        <w:rPr>
          <w:sz w:val="20"/>
          <w:szCs w:val="20"/>
        </w:rPr>
        <w:t xml:space="preserve"> destacaron que la pena de muerte impuesta al señor Raxcacó Reyes fue conmutada en el año 2007 a raíz de la Sentencia emitida por esta Corte</w:t>
      </w:r>
      <w:r w:rsidR="008E2861" w:rsidRPr="0064597D">
        <w:rPr>
          <w:sz w:val="20"/>
          <w:szCs w:val="20"/>
        </w:rPr>
        <w:t xml:space="preserve"> en el caso </w:t>
      </w:r>
      <w:r w:rsidR="008E2861" w:rsidRPr="0064597D">
        <w:rPr>
          <w:i/>
          <w:sz w:val="20"/>
          <w:szCs w:val="20"/>
        </w:rPr>
        <w:t>Raxcacó Reyes Vs. Guatemala</w:t>
      </w:r>
      <w:r w:rsidR="000060F7" w:rsidRPr="0064597D">
        <w:rPr>
          <w:sz w:val="20"/>
          <w:szCs w:val="20"/>
        </w:rPr>
        <w:t>, e</w:t>
      </w:r>
      <w:r w:rsidRPr="0064597D">
        <w:rPr>
          <w:sz w:val="20"/>
          <w:szCs w:val="20"/>
        </w:rPr>
        <w:t xml:space="preserve">s decir, dos años después de que </w:t>
      </w:r>
      <w:r w:rsidR="00083381" w:rsidRPr="0064597D">
        <w:rPr>
          <w:sz w:val="20"/>
          <w:szCs w:val="20"/>
        </w:rPr>
        <w:t>el señor Rui</w:t>
      </w:r>
      <w:r w:rsidR="000060F7" w:rsidRPr="0064597D">
        <w:rPr>
          <w:sz w:val="20"/>
          <w:szCs w:val="20"/>
        </w:rPr>
        <w:t xml:space="preserve">z Fuentes </w:t>
      </w:r>
      <w:r w:rsidRPr="0064597D">
        <w:rPr>
          <w:sz w:val="20"/>
          <w:szCs w:val="20"/>
        </w:rPr>
        <w:t>fuera</w:t>
      </w:r>
      <w:r w:rsidR="000060F7" w:rsidRPr="0064597D">
        <w:rPr>
          <w:sz w:val="20"/>
          <w:szCs w:val="20"/>
        </w:rPr>
        <w:t xml:space="preserve"> presuntamente</w:t>
      </w:r>
      <w:r w:rsidRPr="0064597D">
        <w:rPr>
          <w:sz w:val="20"/>
          <w:szCs w:val="20"/>
        </w:rPr>
        <w:t xml:space="preserve"> ejecutado extrajudicialmente. </w:t>
      </w:r>
    </w:p>
    <w:p w14:paraId="7EE70E4B" w14:textId="77777777" w:rsidR="000E3A01" w:rsidRPr="0064597D" w:rsidRDefault="000E3A01" w:rsidP="000E3A01">
      <w:pPr>
        <w:tabs>
          <w:tab w:val="left" w:pos="567"/>
        </w:tabs>
        <w:spacing w:line="240" w:lineRule="auto"/>
        <w:rPr>
          <w:sz w:val="20"/>
          <w:szCs w:val="20"/>
        </w:rPr>
      </w:pPr>
    </w:p>
    <w:p w14:paraId="67357FAD" w14:textId="011C4451" w:rsidR="000A154C" w:rsidRPr="0064597D" w:rsidRDefault="00083381" w:rsidP="004F4C08">
      <w:pPr>
        <w:numPr>
          <w:ilvl w:val="0"/>
          <w:numId w:val="1"/>
        </w:numPr>
        <w:tabs>
          <w:tab w:val="left" w:pos="567"/>
        </w:tabs>
        <w:spacing w:line="240" w:lineRule="auto"/>
        <w:ind w:left="0" w:firstLine="0"/>
        <w:rPr>
          <w:sz w:val="20"/>
          <w:szCs w:val="20"/>
        </w:rPr>
      </w:pPr>
      <w:r w:rsidRPr="0064597D">
        <w:rPr>
          <w:sz w:val="20"/>
          <w:szCs w:val="20"/>
        </w:rPr>
        <w:t>Con respecto a la imposición de la pena de muerte al señor Ruiz Fuentes, e</w:t>
      </w:r>
      <w:r w:rsidR="000A154C" w:rsidRPr="0064597D">
        <w:rPr>
          <w:sz w:val="20"/>
          <w:szCs w:val="20"/>
        </w:rPr>
        <w:t xml:space="preserve">l </w:t>
      </w:r>
      <w:r w:rsidR="000A154C" w:rsidRPr="0064597D">
        <w:rPr>
          <w:b/>
          <w:i/>
          <w:sz w:val="20"/>
          <w:szCs w:val="20"/>
        </w:rPr>
        <w:t>Estado</w:t>
      </w:r>
      <w:r w:rsidRPr="0064597D">
        <w:rPr>
          <w:sz w:val="20"/>
          <w:szCs w:val="20"/>
        </w:rPr>
        <w:t xml:space="preserve"> </w:t>
      </w:r>
      <w:r w:rsidR="000A154C" w:rsidRPr="0064597D">
        <w:rPr>
          <w:sz w:val="20"/>
          <w:szCs w:val="20"/>
        </w:rPr>
        <w:t xml:space="preserve">sostuvo que </w:t>
      </w:r>
      <w:r w:rsidR="000060F7" w:rsidRPr="0064597D">
        <w:rPr>
          <w:sz w:val="20"/>
          <w:szCs w:val="20"/>
        </w:rPr>
        <w:t xml:space="preserve">dicha pena </w:t>
      </w:r>
      <w:r w:rsidR="000A154C" w:rsidRPr="0064597D">
        <w:rPr>
          <w:sz w:val="20"/>
          <w:szCs w:val="20"/>
        </w:rPr>
        <w:t>fue “modificada y/o conmutada por la pena máxima de privación de libertad” en cumplimiento a lo consign</w:t>
      </w:r>
      <w:r w:rsidRPr="0064597D">
        <w:rPr>
          <w:sz w:val="20"/>
          <w:szCs w:val="20"/>
        </w:rPr>
        <w:t>ado en la Convención Americana</w:t>
      </w:r>
      <w:r w:rsidR="000060F7" w:rsidRPr="0064597D">
        <w:rPr>
          <w:sz w:val="20"/>
          <w:szCs w:val="20"/>
        </w:rPr>
        <w:t xml:space="preserve">. </w:t>
      </w:r>
      <w:r w:rsidR="000A154C" w:rsidRPr="0064597D">
        <w:rPr>
          <w:sz w:val="20"/>
          <w:szCs w:val="20"/>
        </w:rPr>
        <w:t xml:space="preserve">Además, mencionaron que tal modificación también fue aplicada con el sentenciado Ronald Ernesto Raxcacó Reyes, quien </w:t>
      </w:r>
      <w:r w:rsidR="000060F7" w:rsidRPr="0064597D">
        <w:rPr>
          <w:sz w:val="20"/>
          <w:szCs w:val="20"/>
        </w:rPr>
        <w:t>fue coautor de la c</w:t>
      </w:r>
      <w:r w:rsidR="000A154C" w:rsidRPr="0064597D">
        <w:rPr>
          <w:sz w:val="20"/>
          <w:szCs w:val="20"/>
        </w:rPr>
        <w:t xml:space="preserve">omisión del delito </w:t>
      </w:r>
      <w:r w:rsidR="000060F7" w:rsidRPr="0064597D">
        <w:rPr>
          <w:sz w:val="20"/>
          <w:szCs w:val="20"/>
        </w:rPr>
        <w:t>que cometió</w:t>
      </w:r>
      <w:r w:rsidR="000A154C" w:rsidRPr="0064597D">
        <w:rPr>
          <w:sz w:val="20"/>
          <w:szCs w:val="20"/>
        </w:rPr>
        <w:t xml:space="preserve"> el señor Ru</w:t>
      </w:r>
      <w:r w:rsidR="000060F7" w:rsidRPr="0064597D">
        <w:rPr>
          <w:sz w:val="20"/>
          <w:szCs w:val="20"/>
        </w:rPr>
        <w:t>i</w:t>
      </w:r>
      <w:r w:rsidR="000A154C" w:rsidRPr="0064597D">
        <w:rPr>
          <w:sz w:val="20"/>
          <w:szCs w:val="20"/>
        </w:rPr>
        <w:t xml:space="preserve">z Fuentes. </w:t>
      </w:r>
    </w:p>
    <w:p w14:paraId="0A6FEC3D" w14:textId="77777777" w:rsidR="007E1B0E" w:rsidRPr="0064597D" w:rsidRDefault="007E1B0E" w:rsidP="007E1B0E">
      <w:pPr>
        <w:tabs>
          <w:tab w:val="left" w:pos="567"/>
        </w:tabs>
        <w:spacing w:line="240" w:lineRule="auto"/>
        <w:rPr>
          <w:sz w:val="20"/>
          <w:szCs w:val="20"/>
        </w:rPr>
      </w:pPr>
    </w:p>
    <w:p w14:paraId="16E40859" w14:textId="1CEE4B21" w:rsidR="000A154C" w:rsidRPr="0064597D" w:rsidRDefault="007E1B0E" w:rsidP="00FD5666">
      <w:pPr>
        <w:numPr>
          <w:ilvl w:val="0"/>
          <w:numId w:val="1"/>
        </w:numPr>
        <w:tabs>
          <w:tab w:val="left" w:pos="567"/>
        </w:tabs>
        <w:spacing w:line="240" w:lineRule="auto"/>
        <w:ind w:left="0" w:firstLine="0"/>
        <w:rPr>
          <w:sz w:val="20"/>
          <w:szCs w:val="20"/>
        </w:rPr>
      </w:pPr>
      <w:r w:rsidRPr="0064597D">
        <w:rPr>
          <w:sz w:val="20"/>
          <w:szCs w:val="20"/>
        </w:rPr>
        <w:t>Con respecto al recurso de gracia, el Estado indicó que el mismo no fue resuelto debido a la inexistencia de un procedimiento a tal efecto. Indicó que tras la fuga y muerte del señor Ruiz Fuente</w:t>
      </w:r>
      <w:r w:rsidR="00852576" w:rsidRPr="0064597D">
        <w:rPr>
          <w:sz w:val="20"/>
          <w:szCs w:val="20"/>
        </w:rPr>
        <w:t>s</w:t>
      </w:r>
      <w:r w:rsidRPr="0064597D">
        <w:rPr>
          <w:sz w:val="20"/>
          <w:szCs w:val="20"/>
        </w:rPr>
        <w:t>, el recurso dejó de tener objeto</w:t>
      </w:r>
      <w:r w:rsidR="008E2861" w:rsidRPr="0064597D">
        <w:rPr>
          <w:sz w:val="20"/>
          <w:szCs w:val="20"/>
        </w:rPr>
        <w:t>.</w:t>
      </w:r>
      <w:r w:rsidRPr="0064597D">
        <w:rPr>
          <w:sz w:val="20"/>
          <w:szCs w:val="20"/>
        </w:rPr>
        <w:t xml:space="preserve"> </w:t>
      </w:r>
      <w:r w:rsidRPr="0064597D">
        <w:rPr>
          <w:bCs/>
          <w:sz w:val="20"/>
          <w:szCs w:val="20"/>
        </w:rPr>
        <w:t>Añadió además</w:t>
      </w:r>
      <w:r w:rsidRPr="0064597D">
        <w:rPr>
          <w:sz w:val="20"/>
          <w:szCs w:val="20"/>
        </w:rPr>
        <w:t xml:space="preserve"> </w:t>
      </w:r>
      <w:r w:rsidR="000736FB" w:rsidRPr="0064597D">
        <w:rPr>
          <w:sz w:val="20"/>
          <w:szCs w:val="20"/>
        </w:rPr>
        <w:t xml:space="preserve">que no fue necesario resolver el </w:t>
      </w:r>
      <w:r w:rsidR="000A154C" w:rsidRPr="0064597D">
        <w:rPr>
          <w:sz w:val="20"/>
          <w:szCs w:val="20"/>
        </w:rPr>
        <w:t>recurso de gracia</w:t>
      </w:r>
      <w:r w:rsidR="000736FB" w:rsidRPr="0064597D">
        <w:rPr>
          <w:sz w:val="20"/>
          <w:szCs w:val="20"/>
        </w:rPr>
        <w:t xml:space="preserve"> interpuesto por el señor Ruiz Fuentes, </w:t>
      </w:r>
      <w:r w:rsidR="000A154C" w:rsidRPr="0064597D">
        <w:rPr>
          <w:sz w:val="20"/>
          <w:szCs w:val="20"/>
        </w:rPr>
        <w:t xml:space="preserve">toda vez que la pena ya se había conmutado por la privación </w:t>
      </w:r>
      <w:r w:rsidR="000A154C" w:rsidRPr="0064597D">
        <w:rPr>
          <w:sz w:val="20"/>
          <w:szCs w:val="20"/>
        </w:rPr>
        <w:lastRenderedPageBreak/>
        <w:t xml:space="preserve">de la libertad. </w:t>
      </w:r>
    </w:p>
    <w:p w14:paraId="4520F2EF" w14:textId="77777777" w:rsidR="00B373FF" w:rsidRPr="0064597D" w:rsidRDefault="009E4F6C" w:rsidP="00377181">
      <w:pPr>
        <w:pStyle w:val="Ttulo2"/>
      </w:pPr>
      <w:bookmarkStart w:id="62" w:name="_Toc24014550"/>
      <w:r w:rsidRPr="0064597D">
        <w:t>B.</w:t>
      </w:r>
      <w:r w:rsidRPr="0064597D">
        <w:tab/>
        <w:t>Consideraciones de la Corte</w:t>
      </w:r>
      <w:bookmarkEnd w:id="62"/>
    </w:p>
    <w:p w14:paraId="5D3BE80E" w14:textId="43E78C9D" w:rsidR="000A154C" w:rsidRPr="0064597D" w:rsidRDefault="000A154C" w:rsidP="00897CD6">
      <w:pPr>
        <w:numPr>
          <w:ilvl w:val="0"/>
          <w:numId w:val="1"/>
        </w:numPr>
        <w:tabs>
          <w:tab w:val="left" w:pos="567"/>
        </w:tabs>
        <w:spacing w:line="240" w:lineRule="auto"/>
        <w:ind w:left="0" w:firstLine="0"/>
        <w:rPr>
          <w:sz w:val="20"/>
          <w:szCs w:val="20"/>
        </w:rPr>
      </w:pPr>
      <w:r w:rsidRPr="0064597D">
        <w:rPr>
          <w:sz w:val="20"/>
          <w:szCs w:val="20"/>
        </w:rPr>
        <w:t>La Corte analizará las alegadas violaciones al derecho a la vida con motivo del proceso que culminó en la condena a pena de muerte del señor Ru</w:t>
      </w:r>
      <w:r w:rsidR="006436F4" w:rsidRPr="0064597D">
        <w:rPr>
          <w:sz w:val="20"/>
          <w:szCs w:val="20"/>
        </w:rPr>
        <w:t>i</w:t>
      </w:r>
      <w:r w:rsidRPr="0064597D">
        <w:rPr>
          <w:sz w:val="20"/>
          <w:szCs w:val="20"/>
        </w:rPr>
        <w:t xml:space="preserve">z Fuentes, así como </w:t>
      </w:r>
      <w:r w:rsidR="006436F4" w:rsidRPr="0064597D">
        <w:rPr>
          <w:sz w:val="20"/>
          <w:szCs w:val="20"/>
        </w:rPr>
        <w:t xml:space="preserve">a </w:t>
      </w:r>
      <w:r w:rsidRPr="0064597D">
        <w:rPr>
          <w:sz w:val="20"/>
          <w:szCs w:val="20"/>
        </w:rPr>
        <w:t xml:space="preserve">la alegada inexistencia de un recurso </w:t>
      </w:r>
      <w:r w:rsidR="00897CD6" w:rsidRPr="0064597D">
        <w:rPr>
          <w:sz w:val="20"/>
          <w:szCs w:val="20"/>
        </w:rPr>
        <w:t>de gracia que le permitiera solicitar la amnistía, indulto o conmutación de la pena</w:t>
      </w:r>
      <w:r w:rsidRPr="0064597D">
        <w:rPr>
          <w:sz w:val="20"/>
          <w:szCs w:val="20"/>
        </w:rPr>
        <w:t xml:space="preserve">. </w:t>
      </w:r>
      <w:r w:rsidR="006436F4" w:rsidRPr="0064597D">
        <w:rPr>
          <w:sz w:val="20"/>
          <w:szCs w:val="20"/>
        </w:rPr>
        <w:t>L</w:t>
      </w:r>
      <w:r w:rsidRPr="0064597D">
        <w:rPr>
          <w:sz w:val="20"/>
          <w:szCs w:val="20"/>
        </w:rPr>
        <w:t xml:space="preserve">a </w:t>
      </w:r>
      <w:r w:rsidR="006436F4" w:rsidRPr="0064597D">
        <w:rPr>
          <w:sz w:val="20"/>
          <w:szCs w:val="20"/>
        </w:rPr>
        <w:t>C</w:t>
      </w:r>
      <w:r w:rsidRPr="0064597D">
        <w:rPr>
          <w:sz w:val="20"/>
          <w:szCs w:val="20"/>
        </w:rPr>
        <w:t>orte procederá</w:t>
      </w:r>
      <w:r w:rsidR="00897CD6" w:rsidRPr="0064597D">
        <w:rPr>
          <w:sz w:val="20"/>
          <w:szCs w:val="20"/>
        </w:rPr>
        <w:t>, por tanto,</w:t>
      </w:r>
      <w:r w:rsidRPr="0064597D">
        <w:rPr>
          <w:sz w:val="20"/>
          <w:szCs w:val="20"/>
        </w:rPr>
        <w:t xml:space="preserve"> a realizar el análisis de la siguiente manera: </w:t>
      </w:r>
    </w:p>
    <w:p w14:paraId="5E425C1E" w14:textId="4980D45F" w:rsidR="00F44AB2" w:rsidRPr="0064597D" w:rsidRDefault="00544B95" w:rsidP="00377181">
      <w:pPr>
        <w:pStyle w:val="Ttulo3"/>
        <w:rPr>
          <w:lang w:eastAsia="en-US"/>
        </w:rPr>
      </w:pPr>
      <w:bookmarkStart w:id="63" w:name="_Toc24014551"/>
      <w:r w:rsidRPr="0064597D">
        <w:t xml:space="preserve">b.1 </w:t>
      </w:r>
      <w:r w:rsidRPr="0064597D">
        <w:tab/>
      </w:r>
      <w:r w:rsidR="000A154C" w:rsidRPr="0064597D">
        <w:rPr>
          <w:lang w:eastAsia="en-US"/>
        </w:rPr>
        <w:t>Imposición</w:t>
      </w:r>
      <w:r w:rsidR="00F44AB2" w:rsidRPr="0064597D">
        <w:rPr>
          <w:lang w:eastAsia="en-US"/>
        </w:rPr>
        <w:t xml:space="preserve"> de la pena de muerte</w:t>
      </w:r>
      <w:bookmarkEnd w:id="63"/>
    </w:p>
    <w:p w14:paraId="6F9073E9" w14:textId="63878A0E" w:rsidR="00B93796" w:rsidRPr="0064597D" w:rsidRDefault="000A154C" w:rsidP="0088504D">
      <w:pPr>
        <w:numPr>
          <w:ilvl w:val="0"/>
          <w:numId w:val="1"/>
        </w:numPr>
        <w:tabs>
          <w:tab w:val="left" w:pos="567"/>
        </w:tabs>
        <w:spacing w:line="240" w:lineRule="auto"/>
        <w:ind w:left="0" w:firstLine="0"/>
        <w:rPr>
          <w:sz w:val="20"/>
          <w:szCs w:val="20"/>
          <w:lang w:val="es-ES"/>
        </w:rPr>
      </w:pPr>
      <w:r w:rsidRPr="0064597D">
        <w:rPr>
          <w:sz w:val="20"/>
          <w:szCs w:val="20"/>
          <w:lang w:val="es-ES"/>
        </w:rPr>
        <w:t xml:space="preserve">Para efectos de examinar la alegada violación del derecho a la </w:t>
      </w:r>
      <w:r w:rsidR="00A32604" w:rsidRPr="0064597D">
        <w:rPr>
          <w:sz w:val="20"/>
          <w:szCs w:val="20"/>
          <w:lang w:val="es-ES"/>
        </w:rPr>
        <w:t>vida del señor Hugo Humberto Rui</w:t>
      </w:r>
      <w:r w:rsidRPr="0064597D">
        <w:rPr>
          <w:sz w:val="20"/>
          <w:szCs w:val="20"/>
          <w:lang w:val="es-ES"/>
        </w:rPr>
        <w:t>z Fuentes</w:t>
      </w:r>
      <w:r w:rsidR="00ED056E" w:rsidRPr="0064597D">
        <w:rPr>
          <w:sz w:val="20"/>
          <w:szCs w:val="20"/>
          <w:lang w:val="es-ES"/>
        </w:rPr>
        <w:t xml:space="preserve"> por imposición de la pena de muerte</w:t>
      </w:r>
      <w:r w:rsidRPr="0064597D">
        <w:rPr>
          <w:sz w:val="20"/>
          <w:szCs w:val="20"/>
          <w:lang w:val="es-ES"/>
        </w:rPr>
        <w:t xml:space="preserve">, cabe recordar que la Corte ha </w:t>
      </w:r>
      <w:r w:rsidR="00897CD6" w:rsidRPr="0064597D">
        <w:rPr>
          <w:sz w:val="20"/>
          <w:szCs w:val="20"/>
          <w:lang w:val="es-ES"/>
        </w:rPr>
        <w:t>destacado</w:t>
      </w:r>
      <w:r w:rsidRPr="0064597D">
        <w:rPr>
          <w:sz w:val="20"/>
          <w:szCs w:val="20"/>
          <w:lang w:val="es-ES"/>
        </w:rPr>
        <w:t xml:space="preserve"> </w:t>
      </w:r>
      <w:r w:rsidR="00897CD6" w:rsidRPr="0064597D">
        <w:rPr>
          <w:sz w:val="20"/>
          <w:szCs w:val="20"/>
          <w:lang w:val="es-ES"/>
        </w:rPr>
        <w:t xml:space="preserve">recientemente en el caso </w:t>
      </w:r>
      <w:r w:rsidR="00897CD6" w:rsidRPr="0064597D">
        <w:rPr>
          <w:i/>
          <w:sz w:val="20"/>
          <w:szCs w:val="20"/>
          <w:lang w:val="es-ES"/>
        </w:rPr>
        <w:t>Martínez Coronado Vs. Guatemala</w:t>
      </w:r>
      <w:r w:rsidR="00897CD6" w:rsidRPr="0064597D">
        <w:rPr>
          <w:rStyle w:val="Refdenotaalpie"/>
          <w:sz w:val="20"/>
          <w:szCs w:val="20"/>
          <w:lang w:val="es-ES"/>
        </w:rPr>
        <w:footnoteReference w:id="94"/>
      </w:r>
      <w:r w:rsidR="00897CD6" w:rsidRPr="0064597D">
        <w:rPr>
          <w:sz w:val="20"/>
          <w:szCs w:val="20"/>
          <w:lang w:val="es-ES"/>
        </w:rPr>
        <w:t xml:space="preserve"> </w:t>
      </w:r>
      <w:r w:rsidRPr="0064597D">
        <w:rPr>
          <w:sz w:val="20"/>
          <w:szCs w:val="20"/>
          <w:lang w:val="es-ES"/>
        </w:rPr>
        <w:t>que en los casos excepcionales en los cuáles está permitido a los Estados la aplicación de la pena de muerte, tal posibilidad está sujeta a un conjunto de rigurosas limitaciones</w:t>
      </w:r>
      <w:r w:rsidR="00ED056E" w:rsidRPr="0064597D">
        <w:rPr>
          <w:rStyle w:val="Refdenotaalpie"/>
          <w:sz w:val="20"/>
          <w:szCs w:val="20"/>
          <w:lang w:val="es-ES"/>
        </w:rPr>
        <w:footnoteReference w:id="95"/>
      </w:r>
      <w:r w:rsidRPr="0064597D">
        <w:rPr>
          <w:sz w:val="20"/>
          <w:szCs w:val="20"/>
          <w:lang w:val="es-ES"/>
        </w:rPr>
        <w:t>. Por una parte, se dispone que la pena de muerte no podrá imponerse sino para los delitos más graves (artículo 4.2) y por la otra, se excluye de modo absoluto su aplicación por delitos políticos o por delitos comunes conexos con los políticos (artículo 4.4). La circunstancia de que la Convención Americana reduzca el ámbito posible de aplicación de la pena de muerte a los delitos comunes más graves y no conexos, es reveladora del propósito de considerar dicha pena aplicable sólo en condiciones excepcionales</w:t>
      </w:r>
      <w:r w:rsidR="005B12EE" w:rsidRPr="0064597D">
        <w:rPr>
          <w:rStyle w:val="Refdenotaalpie"/>
          <w:sz w:val="20"/>
          <w:szCs w:val="20"/>
          <w:lang w:val="es-ES"/>
        </w:rPr>
        <w:footnoteReference w:id="96"/>
      </w:r>
      <w:r w:rsidRPr="0064597D">
        <w:rPr>
          <w:sz w:val="20"/>
          <w:szCs w:val="20"/>
          <w:lang w:val="es-ES"/>
        </w:rPr>
        <w:t xml:space="preserve">. </w:t>
      </w:r>
    </w:p>
    <w:p w14:paraId="13BBA902" w14:textId="77777777" w:rsidR="0044135F" w:rsidRPr="0064597D" w:rsidRDefault="0044135F" w:rsidP="0044135F">
      <w:pPr>
        <w:tabs>
          <w:tab w:val="left" w:pos="567"/>
        </w:tabs>
        <w:spacing w:line="240" w:lineRule="auto"/>
        <w:rPr>
          <w:sz w:val="20"/>
          <w:szCs w:val="20"/>
          <w:lang w:val="es-ES"/>
        </w:rPr>
      </w:pPr>
    </w:p>
    <w:p w14:paraId="214F72D7" w14:textId="76E557FD" w:rsidR="0044135F" w:rsidRPr="0064597D" w:rsidRDefault="0044135F" w:rsidP="000D32D0">
      <w:pPr>
        <w:numPr>
          <w:ilvl w:val="0"/>
          <w:numId w:val="1"/>
        </w:numPr>
        <w:tabs>
          <w:tab w:val="left" w:pos="567"/>
        </w:tabs>
        <w:spacing w:line="240" w:lineRule="auto"/>
        <w:ind w:left="0" w:firstLine="0"/>
        <w:rPr>
          <w:sz w:val="20"/>
          <w:szCs w:val="20"/>
          <w:lang w:val="es-ES"/>
        </w:rPr>
      </w:pPr>
      <w:r w:rsidRPr="0064597D">
        <w:rPr>
          <w:sz w:val="20"/>
          <w:szCs w:val="20"/>
          <w:lang w:val="es-ES"/>
        </w:rPr>
        <w:t>La Corte observa que en e</w:t>
      </w:r>
      <w:r w:rsidRPr="0064597D">
        <w:rPr>
          <w:sz w:val="20"/>
          <w:szCs w:val="20"/>
        </w:rPr>
        <w:t>l presente caso se aplicó el artículo 201</w:t>
      </w:r>
      <w:r w:rsidRPr="0064597D">
        <w:rPr>
          <w:sz w:val="20"/>
          <w:szCs w:val="20"/>
          <w:lang w:val="es-PE"/>
        </w:rPr>
        <w:t xml:space="preserve"> del Código Penal </w:t>
      </w:r>
      <w:r w:rsidR="00897CD6" w:rsidRPr="0064597D">
        <w:rPr>
          <w:sz w:val="20"/>
          <w:szCs w:val="20"/>
          <w:lang w:val="es-PE"/>
        </w:rPr>
        <w:t>de Guatemala vigente</w:t>
      </w:r>
      <w:r w:rsidRPr="0064597D">
        <w:rPr>
          <w:sz w:val="20"/>
          <w:szCs w:val="20"/>
          <w:lang w:val="es-PE"/>
        </w:rPr>
        <w:t xml:space="preserve"> </w:t>
      </w:r>
      <w:r w:rsidRPr="0064597D">
        <w:rPr>
          <w:sz w:val="20"/>
          <w:szCs w:val="20"/>
        </w:rPr>
        <w:t xml:space="preserve">en virtud del cual se condenó al señor Ruiz Fuentes </w:t>
      </w:r>
      <w:r w:rsidRPr="0064597D">
        <w:rPr>
          <w:sz w:val="20"/>
          <w:szCs w:val="20"/>
          <w:lang w:val="es-PE"/>
        </w:rPr>
        <w:t>por el delito de plagio o secuestro.</w:t>
      </w:r>
      <w:r w:rsidRPr="0064597D">
        <w:rPr>
          <w:sz w:val="20"/>
          <w:szCs w:val="20"/>
          <w:lang w:val="es-ES"/>
        </w:rPr>
        <w:t xml:space="preserve"> Esta Corte ya ha tenido la oportunidad de pronunciarse específicamente en el caso </w:t>
      </w:r>
      <w:r w:rsidRPr="0064597D">
        <w:rPr>
          <w:i/>
          <w:sz w:val="20"/>
          <w:szCs w:val="20"/>
          <w:lang w:val="es-ES"/>
        </w:rPr>
        <w:t>Raxcacó Reyes Vs. Guatemala</w:t>
      </w:r>
      <w:r w:rsidR="00D718CE" w:rsidRPr="0064597D">
        <w:rPr>
          <w:i/>
          <w:sz w:val="20"/>
          <w:szCs w:val="20"/>
          <w:lang w:val="es-ES"/>
        </w:rPr>
        <w:t xml:space="preserve"> </w:t>
      </w:r>
      <w:r w:rsidRPr="0064597D">
        <w:rPr>
          <w:sz w:val="20"/>
          <w:szCs w:val="20"/>
          <w:lang w:val="es-ES"/>
        </w:rPr>
        <w:t xml:space="preserve">sobre la aplicación del referido </w:t>
      </w:r>
      <w:r w:rsidRPr="0064597D">
        <w:rPr>
          <w:sz w:val="20"/>
          <w:szCs w:val="20"/>
        </w:rPr>
        <w:t>artículo</w:t>
      </w:r>
      <w:r w:rsidRPr="0064597D">
        <w:rPr>
          <w:sz w:val="20"/>
          <w:szCs w:val="20"/>
          <w:lang w:val="es-ES"/>
        </w:rPr>
        <w:t xml:space="preserve"> 201 del Código Penal, así como a su contenido y las modificaciones que éste ha sufrido. Al </w:t>
      </w:r>
      <w:r w:rsidRPr="0064597D">
        <w:rPr>
          <w:sz w:val="20"/>
          <w:szCs w:val="20"/>
        </w:rPr>
        <w:t>respecto</w:t>
      </w:r>
      <w:r w:rsidRPr="0064597D">
        <w:rPr>
          <w:sz w:val="20"/>
          <w:szCs w:val="20"/>
          <w:lang w:val="es-ES"/>
        </w:rPr>
        <w:t>, la Corte nota que en la sentencia</w:t>
      </w:r>
      <w:r w:rsidR="00DB0443" w:rsidRPr="0064597D">
        <w:rPr>
          <w:sz w:val="20"/>
          <w:szCs w:val="20"/>
          <w:lang w:val="es-ES"/>
        </w:rPr>
        <w:t xml:space="preserve"> </w:t>
      </w:r>
      <w:r w:rsidRPr="0064597D">
        <w:rPr>
          <w:sz w:val="20"/>
          <w:szCs w:val="20"/>
          <w:lang w:val="es-ES"/>
        </w:rPr>
        <w:t xml:space="preserve">de 14 de mayo de 1999 dictada por el </w:t>
      </w:r>
      <w:r w:rsidR="00011243" w:rsidRPr="0064597D">
        <w:rPr>
          <w:rFonts w:cs="Verdana"/>
          <w:sz w:val="20"/>
          <w:szCs w:val="20"/>
        </w:rPr>
        <w:t>Tribunal Sexto de Sentencia Penal</w:t>
      </w:r>
      <w:r w:rsidR="00011243" w:rsidRPr="0064597D">
        <w:rPr>
          <w:sz w:val="20"/>
          <w:szCs w:val="20"/>
          <w:lang w:val="es-ES"/>
        </w:rPr>
        <w:t xml:space="preserve"> </w:t>
      </w:r>
      <w:r w:rsidRPr="0064597D">
        <w:rPr>
          <w:sz w:val="20"/>
          <w:szCs w:val="20"/>
          <w:lang w:val="es-ES"/>
        </w:rPr>
        <w:t xml:space="preserve">que condenó al señor Ruiz Fuentes a la pena de muerte también fue condenado el señor </w:t>
      </w:r>
      <w:r w:rsidRPr="0064597D">
        <w:rPr>
          <w:i/>
          <w:iCs/>
          <w:sz w:val="20"/>
          <w:szCs w:val="20"/>
          <w:lang w:val="es-ES"/>
        </w:rPr>
        <w:t xml:space="preserve">Raxcacó Reyes, </w:t>
      </w:r>
      <w:r w:rsidRPr="0064597D">
        <w:rPr>
          <w:sz w:val="20"/>
          <w:szCs w:val="20"/>
          <w:lang w:val="es-ES"/>
        </w:rPr>
        <w:t>precisamente por los mismos actos</w:t>
      </w:r>
      <w:r w:rsidRPr="0064597D">
        <w:rPr>
          <w:rStyle w:val="Refdenotaalpie"/>
          <w:sz w:val="20"/>
          <w:szCs w:val="20"/>
          <w:lang w:val="es-ES"/>
        </w:rPr>
        <w:footnoteReference w:id="97"/>
      </w:r>
      <w:r w:rsidRPr="0064597D">
        <w:rPr>
          <w:sz w:val="20"/>
          <w:szCs w:val="20"/>
          <w:lang w:val="es-ES"/>
        </w:rPr>
        <w:t xml:space="preserve">. De esta manera, es posible partir del mismo análisis realizado por esta Corte en el caso </w:t>
      </w:r>
      <w:r w:rsidRPr="0064597D">
        <w:rPr>
          <w:i/>
          <w:sz w:val="20"/>
          <w:szCs w:val="20"/>
          <w:lang w:val="es-ES"/>
        </w:rPr>
        <w:t>Raxcacó Reyes,</w:t>
      </w:r>
      <w:r w:rsidRPr="0064597D">
        <w:rPr>
          <w:sz w:val="20"/>
          <w:szCs w:val="20"/>
          <w:lang w:val="es-ES"/>
        </w:rPr>
        <w:t xml:space="preserve"> en tanto el cuadro fáctico y análisis jurídico que dio lugar </w:t>
      </w:r>
      <w:r w:rsidR="008F7B01" w:rsidRPr="0064597D">
        <w:rPr>
          <w:sz w:val="20"/>
          <w:szCs w:val="20"/>
          <w:lang w:val="es-ES"/>
        </w:rPr>
        <w:t xml:space="preserve">a </w:t>
      </w:r>
      <w:r w:rsidRPr="0064597D">
        <w:rPr>
          <w:sz w:val="20"/>
          <w:szCs w:val="20"/>
          <w:lang w:val="es-ES"/>
        </w:rPr>
        <w:t>la imposición de la pena de muerte es el mismo</w:t>
      </w:r>
      <w:r w:rsidRPr="0064597D">
        <w:rPr>
          <w:rStyle w:val="Refdenotaalpie"/>
          <w:sz w:val="20"/>
          <w:szCs w:val="20"/>
          <w:lang w:val="es-ES"/>
        </w:rPr>
        <w:footnoteReference w:id="98"/>
      </w:r>
      <w:r w:rsidRPr="0064597D">
        <w:rPr>
          <w:sz w:val="20"/>
          <w:szCs w:val="20"/>
          <w:lang w:val="es-ES"/>
        </w:rPr>
        <w:t>.</w:t>
      </w:r>
    </w:p>
    <w:p w14:paraId="7FF57606" w14:textId="77777777" w:rsidR="00FD7E8F" w:rsidRPr="0064597D" w:rsidRDefault="00FD7E8F" w:rsidP="00FD7E8F">
      <w:pPr>
        <w:tabs>
          <w:tab w:val="left" w:pos="567"/>
        </w:tabs>
        <w:spacing w:line="240" w:lineRule="auto"/>
        <w:rPr>
          <w:i/>
          <w:sz w:val="20"/>
          <w:szCs w:val="20"/>
        </w:rPr>
      </w:pPr>
    </w:p>
    <w:p w14:paraId="06BDAECE" w14:textId="77777777" w:rsidR="005B12EE" w:rsidRPr="0064597D" w:rsidRDefault="008F24E5" w:rsidP="00FD7E8F">
      <w:pPr>
        <w:tabs>
          <w:tab w:val="left" w:pos="567"/>
        </w:tabs>
        <w:spacing w:line="240" w:lineRule="auto"/>
        <w:rPr>
          <w:rFonts w:cs="Arial"/>
          <w:i/>
          <w:sz w:val="20"/>
          <w:szCs w:val="20"/>
        </w:rPr>
      </w:pPr>
      <w:r w:rsidRPr="0064597D">
        <w:rPr>
          <w:rFonts w:cs="Arial"/>
          <w:i/>
          <w:sz w:val="20"/>
          <w:szCs w:val="20"/>
        </w:rPr>
        <w:tab/>
      </w:r>
      <w:r w:rsidRPr="0064597D">
        <w:rPr>
          <w:rFonts w:cs="Arial"/>
          <w:i/>
          <w:sz w:val="20"/>
          <w:szCs w:val="20"/>
        </w:rPr>
        <w:tab/>
      </w:r>
      <w:r w:rsidRPr="0064597D">
        <w:rPr>
          <w:rFonts w:cs="Arial"/>
          <w:i/>
          <w:sz w:val="20"/>
          <w:szCs w:val="20"/>
        </w:rPr>
        <w:tab/>
      </w:r>
      <w:r w:rsidR="00EE2DE2" w:rsidRPr="0064597D">
        <w:rPr>
          <w:rFonts w:cs="Arial"/>
          <w:i/>
          <w:sz w:val="20"/>
          <w:szCs w:val="20"/>
        </w:rPr>
        <w:t>b</w:t>
      </w:r>
      <w:r w:rsidRPr="0064597D">
        <w:rPr>
          <w:rFonts w:cs="Arial"/>
          <w:i/>
          <w:sz w:val="20"/>
          <w:szCs w:val="20"/>
        </w:rPr>
        <w:t>.1.1) Ampliación del catálogo de delitos sancionados con pena de muerte</w:t>
      </w:r>
    </w:p>
    <w:p w14:paraId="35E7DA98" w14:textId="77777777" w:rsidR="005B12EE" w:rsidRPr="0064597D" w:rsidRDefault="005B12EE" w:rsidP="00FD7E8F">
      <w:pPr>
        <w:tabs>
          <w:tab w:val="left" w:pos="567"/>
        </w:tabs>
        <w:spacing w:line="240" w:lineRule="auto"/>
        <w:rPr>
          <w:rFonts w:cs="Arial"/>
          <w:i/>
          <w:sz w:val="20"/>
          <w:szCs w:val="20"/>
        </w:rPr>
      </w:pPr>
    </w:p>
    <w:p w14:paraId="1AB9D72E" w14:textId="77777777" w:rsidR="005B12EE" w:rsidRPr="0064597D" w:rsidRDefault="005B12EE" w:rsidP="005B12EE">
      <w:pPr>
        <w:numPr>
          <w:ilvl w:val="0"/>
          <w:numId w:val="1"/>
        </w:numPr>
        <w:tabs>
          <w:tab w:val="left" w:pos="567"/>
        </w:tabs>
        <w:spacing w:line="240" w:lineRule="auto"/>
        <w:ind w:left="0" w:firstLine="0"/>
        <w:rPr>
          <w:sz w:val="20"/>
          <w:szCs w:val="20"/>
          <w:lang w:val="es-ES"/>
        </w:rPr>
      </w:pPr>
      <w:r w:rsidRPr="0064597D">
        <w:rPr>
          <w:sz w:val="20"/>
          <w:szCs w:val="20"/>
        </w:rPr>
        <w:t>La Corte destaca que e</w:t>
      </w:r>
      <w:r w:rsidRPr="0064597D">
        <w:rPr>
          <w:sz w:val="20"/>
          <w:szCs w:val="20"/>
          <w:lang w:val="es-ES"/>
        </w:rPr>
        <w:t>l artículo 4 incorpora una tendencia abolicionista de la pena de muerte que se refleja en su numeral segundo, el cual prohíbe que se ex</w:t>
      </w:r>
      <w:r w:rsidR="00127D3A" w:rsidRPr="0064597D">
        <w:rPr>
          <w:sz w:val="20"/>
          <w:szCs w:val="20"/>
          <w:lang w:val="es-ES"/>
        </w:rPr>
        <w:t>tienda su aplicación “</w:t>
      </w:r>
      <w:r w:rsidRPr="0064597D">
        <w:rPr>
          <w:sz w:val="20"/>
          <w:szCs w:val="20"/>
          <w:lang w:val="es-ES"/>
        </w:rPr>
        <w:t>a delitos a los cuales no se la aplique actualmente</w:t>
      </w:r>
      <w:r w:rsidR="00127D3A" w:rsidRPr="0064597D">
        <w:rPr>
          <w:sz w:val="20"/>
          <w:szCs w:val="20"/>
          <w:lang w:val="es-ES"/>
        </w:rPr>
        <w:t>”</w:t>
      </w:r>
      <w:r w:rsidRPr="0064597D">
        <w:rPr>
          <w:sz w:val="20"/>
          <w:szCs w:val="20"/>
          <w:lang w:val="es-ES"/>
        </w:rPr>
        <w:t xml:space="preserve"> y, según el numeral 3, </w:t>
      </w:r>
      <w:r w:rsidR="00127D3A" w:rsidRPr="0064597D">
        <w:rPr>
          <w:sz w:val="20"/>
          <w:szCs w:val="20"/>
          <w:lang w:val="es-ES"/>
        </w:rPr>
        <w:t>“</w:t>
      </w:r>
      <w:r w:rsidRPr="0064597D">
        <w:rPr>
          <w:sz w:val="20"/>
          <w:szCs w:val="20"/>
          <w:lang w:val="es-ES"/>
        </w:rPr>
        <w:t>no se restablecerá la pena de muerte en los Estados que la han abolido</w:t>
      </w:r>
      <w:r w:rsidR="00127D3A" w:rsidRPr="0064597D">
        <w:rPr>
          <w:sz w:val="20"/>
          <w:szCs w:val="20"/>
          <w:lang w:val="es-ES"/>
        </w:rPr>
        <w:t>”</w:t>
      </w:r>
      <w:r w:rsidRPr="0064597D">
        <w:rPr>
          <w:sz w:val="20"/>
          <w:szCs w:val="20"/>
          <w:lang w:val="es-ES"/>
        </w:rPr>
        <w:t xml:space="preserve">. La finalidad que se persigue es avanzar hacia una prohibición definitiva a esta </w:t>
      </w:r>
      <w:r w:rsidRPr="0064597D">
        <w:rPr>
          <w:sz w:val="20"/>
          <w:szCs w:val="20"/>
        </w:rPr>
        <w:t>modalidad</w:t>
      </w:r>
      <w:r w:rsidRPr="0064597D">
        <w:rPr>
          <w:sz w:val="20"/>
          <w:szCs w:val="20"/>
          <w:lang w:val="es-ES"/>
        </w:rPr>
        <w:t xml:space="preserve"> de sanción penal, a través de un proceso progresivo e irreversible destinado a cumplirse en los Estados que han suscrito la Convención Americana. De tal manera que la decisión de un Estado Parte en la Convención Americana, cualquiera sea el tiempo en que la haya adoptado, en el sentido</w:t>
      </w:r>
      <w:r w:rsidRPr="0064597D">
        <w:rPr>
          <w:b/>
          <w:sz w:val="20"/>
          <w:szCs w:val="20"/>
          <w:lang w:val="es-ES"/>
        </w:rPr>
        <w:t xml:space="preserve"> </w:t>
      </w:r>
      <w:r w:rsidRPr="0064597D">
        <w:rPr>
          <w:sz w:val="20"/>
          <w:szCs w:val="20"/>
          <w:lang w:val="es-ES"/>
        </w:rPr>
        <w:t xml:space="preserve">de abolir la pena de muerte se convierte, </w:t>
      </w:r>
      <w:r w:rsidRPr="0064597D">
        <w:rPr>
          <w:i/>
          <w:sz w:val="20"/>
          <w:szCs w:val="20"/>
          <w:lang w:val="es-ES"/>
        </w:rPr>
        <w:t>ipso jure</w:t>
      </w:r>
      <w:r w:rsidRPr="0064597D">
        <w:rPr>
          <w:sz w:val="20"/>
          <w:szCs w:val="20"/>
          <w:lang w:val="es-ES"/>
        </w:rPr>
        <w:t xml:space="preserve">, en una resolución definitiva e irrevocable. En esta materia la Convención apunta hacia una progresiva eliminación, al adoptar las salvaguardias necesarias para restringir definitivamente su aplicación y su ámbito, de </w:t>
      </w:r>
      <w:r w:rsidRPr="0064597D">
        <w:rPr>
          <w:sz w:val="20"/>
          <w:szCs w:val="20"/>
          <w:lang w:val="es-ES"/>
        </w:rPr>
        <w:lastRenderedPageBreak/>
        <w:t>modo que éste se vaya reduciendo hasta su supresión total</w:t>
      </w:r>
      <w:r w:rsidR="00B93796" w:rsidRPr="0064597D">
        <w:rPr>
          <w:rStyle w:val="Refdenotaalpie"/>
          <w:sz w:val="20"/>
          <w:szCs w:val="20"/>
          <w:lang w:val="es-ES"/>
        </w:rPr>
        <w:footnoteReference w:id="99"/>
      </w:r>
      <w:r w:rsidRPr="0064597D">
        <w:rPr>
          <w:sz w:val="20"/>
          <w:szCs w:val="20"/>
          <w:lang w:val="es-ES"/>
        </w:rPr>
        <w:t xml:space="preserve">. </w:t>
      </w:r>
    </w:p>
    <w:p w14:paraId="6680D102" w14:textId="77777777" w:rsidR="005B12EE" w:rsidRPr="0064597D" w:rsidRDefault="005B12EE" w:rsidP="005B12EE">
      <w:pPr>
        <w:tabs>
          <w:tab w:val="left" w:pos="567"/>
        </w:tabs>
        <w:spacing w:line="240" w:lineRule="auto"/>
        <w:rPr>
          <w:sz w:val="20"/>
          <w:szCs w:val="20"/>
          <w:lang w:val="es-ES"/>
        </w:rPr>
      </w:pPr>
    </w:p>
    <w:p w14:paraId="76DF16A2" w14:textId="77777777" w:rsidR="005B12EE" w:rsidRPr="0064597D" w:rsidRDefault="005B12EE" w:rsidP="005B12EE">
      <w:pPr>
        <w:numPr>
          <w:ilvl w:val="0"/>
          <w:numId w:val="1"/>
        </w:numPr>
        <w:tabs>
          <w:tab w:val="left" w:pos="567"/>
        </w:tabs>
        <w:spacing w:line="240" w:lineRule="auto"/>
        <w:ind w:left="0" w:firstLine="0"/>
        <w:rPr>
          <w:sz w:val="20"/>
          <w:szCs w:val="20"/>
          <w:lang w:val="es-ES"/>
        </w:rPr>
      </w:pPr>
      <w:r w:rsidRPr="0064597D">
        <w:rPr>
          <w:sz w:val="20"/>
          <w:szCs w:val="20"/>
          <w:lang w:val="es-ES"/>
        </w:rPr>
        <w:t xml:space="preserve">Tal </w:t>
      </w:r>
      <w:r w:rsidRPr="0064597D">
        <w:rPr>
          <w:sz w:val="20"/>
          <w:szCs w:val="20"/>
        </w:rPr>
        <w:t>tendencia</w:t>
      </w:r>
      <w:r w:rsidRPr="0064597D">
        <w:rPr>
          <w:sz w:val="20"/>
          <w:szCs w:val="20"/>
          <w:lang w:val="es-ES"/>
        </w:rPr>
        <w:t xml:space="preserve"> abolicionista se encuentra recogida por el Protocolo a la Convención Americana sobre Derechos Humanos relativo a la Abolición de la Pena de Muerte</w:t>
      </w:r>
      <w:r w:rsidRPr="0064597D">
        <w:rPr>
          <w:rStyle w:val="Refdenotaalpie"/>
          <w:sz w:val="20"/>
          <w:szCs w:val="20"/>
          <w:lang w:val="es-ES"/>
        </w:rPr>
        <w:footnoteReference w:id="100"/>
      </w:r>
      <w:r w:rsidRPr="0064597D">
        <w:rPr>
          <w:sz w:val="20"/>
          <w:szCs w:val="20"/>
          <w:lang w:val="es-ES"/>
        </w:rPr>
        <w:t>.</w:t>
      </w:r>
      <w:r w:rsidR="00B93796" w:rsidRPr="0064597D">
        <w:rPr>
          <w:sz w:val="20"/>
          <w:szCs w:val="20"/>
          <w:lang w:val="es-ES"/>
        </w:rPr>
        <w:t xml:space="preserve"> </w:t>
      </w:r>
      <w:r w:rsidRPr="0064597D">
        <w:rPr>
          <w:sz w:val="20"/>
          <w:szCs w:val="20"/>
          <w:lang w:val="es-ES"/>
        </w:rPr>
        <w:t>La Corte observa que son trece</w:t>
      </w:r>
      <w:r w:rsidRPr="0064597D">
        <w:rPr>
          <w:rStyle w:val="Refdenotaalpie"/>
          <w:sz w:val="20"/>
          <w:szCs w:val="20"/>
          <w:lang w:val="es-ES"/>
        </w:rPr>
        <w:footnoteReference w:id="101"/>
      </w:r>
      <w:r w:rsidRPr="0064597D">
        <w:rPr>
          <w:sz w:val="20"/>
          <w:szCs w:val="20"/>
          <w:lang w:val="es-ES"/>
        </w:rPr>
        <w:t xml:space="preserve"> los Estados que han suscrito el Protocolo a la Convención Americana </w:t>
      </w:r>
      <w:r w:rsidRPr="0064597D">
        <w:rPr>
          <w:sz w:val="20"/>
          <w:szCs w:val="20"/>
        </w:rPr>
        <w:t>sobre</w:t>
      </w:r>
      <w:r w:rsidRPr="0064597D">
        <w:rPr>
          <w:sz w:val="20"/>
          <w:szCs w:val="20"/>
          <w:lang w:val="es-ES"/>
        </w:rPr>
        <w:t xml:space="preserve"> Derechos Humanos relativo a la Abolición de la Pena de Muerte y que han aceptado su competencia, han abolido la pena de muerte y en esa medida, esta Corte exhorta a los Estados que aún no lo han hecho, a suscribir el Protocolo y a proscribir esta modalidad de sanción penal.</w:t>
      </w:r>
    </w:p>
    <w:p w14:paraId="67744E0B" w14:textId="77777777" w:rsidR="008807E0" w:rsidRPr="0064597D" w:rsidRDefault="008807E0" w:rsidP="008807E0">
      <w:pPr>
        <w:widowControl/>
        <w:pBdr>
          <w:top w:val="nil"/>
          <w:left w:val="nil"/>
          <w:bottom w:val="nil"/>
          <w:right w:val="nil"/>
          <w:between w:val="nil"/>
        </w:pBdr>
        <w:tabs>
          <w:tab w:val="left" w:pos="567"/>
        </w:tabs>
        <w:spacing w:line="240" w:lineRule="auto"/>
        <w:contextualSpacing/>
        <w:rPr>
          <w:rFonts w:eastAsiaTheme="minorHAnsi" w:cstheme="minorBidi"/>
          <w:i/>
          <w:sz w:val="20"/>
          <w:szCs w:val="20"/>
          <w:lang w:val="es-ES"/>
        </w:rPr>
      </w:pPr>
    </w:p>
    <w:p w14:paraId="73E2EC50" w14:textId="00758E15" w:rsidR="00FE6705" w:rsidRPr="0064597D" w:rsidRDefault="008F24E5" w:rsidP="00FE6705">
      <w:pPr>
        <w:numPr>
          <w:ilvl w:val="0"/>
          <w:numId w:val="1"/>
        </w:numPr>
        <w:tabs>
          <w:tab w:val="left" w:pos="567"/>
        </w:tabs>
        <w:spacing w:line="240" w:lineRule="auto"/>
        <w:ind w:left="0" w:firstLine="0"/>
        <w:rPr>
          <w:sz w:val="20"/>
          <w:szCs w:val="20"/>
        </w:rPr>
      </w:pPr>
      <w:r w:rsidRPr="0064597D">
        <w:rPr>
          <w:sz w:val="20"/>
          <w:szCs w:val="20"/>
        </w:rPr>
        <w:t>La Corte observa que e</w:t>
      </w:r>
      <w:r w:rsidR="000A154C" w:rsidRPr="0064597D">
        <w:rPr>
          <w:sz w:val="20"/>
          <w:szCs w:val="20"/>
        </w:rPr>
        <w:t>n el momento en que Guatemala ratificó la Convención Americana se encontra</w:t>
      </w:r>
      <w:r w:rsidR="00FC40ED" w:rsidRPr="0064597D">
        <w:rPr>
          <w:sz w:val="20"/>
          <w:szCs w:val="20"/>
        </w:rPr>
        <w:t>b</w:t>
      </w:r>
      <w:r w:rsidR="00FC53C6" w:rsidRPr="0064597D">
        <w:rPr>
          <w:sz w:val="20"/>
          <w:szCs w:val="20"/>
        </w:rPr>
        <w:t>a vigente el Decreto No. 17/73 (</w:t>
      </w:r>
      <w:r w:rsidR="000A154C" w:rsidRPr="0064597D">
        <w:rPr>
          <w:sz w:val="20"/>
          <w:szCs w:val="20"/>
        </w:rPr>
        <w:t>Código Pena</w:t>
      </w:r>
      <w:r w:rsidR="00ED00D8" w:rsidRPr="0064597D">
        <w:rPr>
          <w:sz w:val="20"/>
          <w:szCs w:val="20"/>
        </w:rPr>
        <w:t>l</w:t>
      </w:r>
      <w:r w:rsidR="00FC53C6" w:rsidRPr="0064597D">
        <w:rPr>
          <w:sz w:val="20"/>
          <w:szCs w:val="20"/>
        </w:rPr>
        <w:t>)</w:t>
      </w:r>
      <w:r w:rsidR="000A154C" w:rsidRPr="0064597D">
        <w:rPr>
          <w:sz w:val="20"/>
          <w:szCs w:val="20"/>
        </w:rPr>
        <w:t>, en cuyo artículo 201 se sancionaba con pena de muerte el secuestro seguid</w:t>
      </w:r>
      <w:r w:rsidR="008807E0" w:rsidRPr="0064597D">
        <w:rPr>
          <w:sz w:val="20"/>
          <w:szCs w:val="20"/>
        </w:rPr>
        <w:t>o de la muerte del secuestrado</w:t>
      </w:r>
      <w:r w:rsidR="00FE6705" w:rsidRPr="0064597D">
        <w:rPr>
          <w:sz w:val="20"/>
          <w:szCs w:val="20"/>
        </w:rPr>
        <w:t xml:space="preserve">: </w:t>
      </w:r>
    </w:p>
    <w:p w14:paraId="63909D9D" w14:textId="77777777" w:rsidR="00FE6705" w:rsidRPr="0064597D" w:rsidRDefault="00FE6705" w:rsidP="00FE6705">
      <w:pPr>
        <w:widowControl/>
        <w:adjustRightInd/>
        <w:spacing w:before="100" w:beforeAutospacing="1" w:after="100" w:afterAutospacing="1" w:line="240" w:lineRule="auto"/>
        <w:ind w:left="567" w:right="724"/>
        <w:textAlignment w:val="auto"/>
        <w:rPr>
          <w:sz w:val="18"/>
          <w:szCs w:val="18"/>
        </w:rPr>
      </w:pPr>
      <w:r w:rsidRPr="0064597D">
        <w:rPr>
          <w:sz w:val="18"/>
          <w:szCs w:val="18"/>
        </w:rPr>
        <w:t xml:space="preserve">“El plagio o secuestro de una persona con el objeto de lograr rescate, canje de terceras personas u otro ilícito de igual o análoga entidad, se castigará con la pena de ocho a quince años de prisión. </w:t>
      </w:r>
    </w:p>
    <w:p w14:paraId="3DFB873F" w14:textId="77777777" w:rsidR="00FE6705" w:rsidRPr="0064597D" w:rsidRDefault="00FE6705" w:rsidP="00FE6705">
      <w:pPr>
        <w:widowControl/>
        <w:adjustRightInd/>
        <w:spacing w:before="100" w:beforeAutospacing="1" w:after="100" w:afterAutospacing="1" w:line="240" w:lineRule="auto"/>
        <w:ind w:left="567" w:right="724"/>
        <w:textAlignment w:val="auto"/>
        <w:rPr>
          <w:sz w:val="18"/>
          <w:szCs w:val="18"/>
        </w:rPr>
      </w:pPr>
      <w:r w:rsidRPr="0064597D">
        <w:rPr>
          <w:sz w:val="18"/>
          <w:szCs w:val="18"/>
        </w:rPr>
        <w:t>Se impondrá la pena de muerte al responsable, cuando con motivo o en ocasión del plagio o secuestro, falleciera la persona secuestrada.”</w:t>
      </w:r>
    </w:p>
    <w:p w14:paraId="75805559" w14:textId="48A716FC" w:rsidR="000A154C" w:rsidRPr="0064597D" w:rsidRDefault="000A154C" w:rsidP="009134ED">
      <w:pPr>
        <w:numPr>
          <w:ilvl w:val="0"/>
          <w:numId w:val="1"/>
        </w:numPr>
        <w:tabs>
          <w:tab w:val="left" w:pos="567"/>
        </w:tabs>
        <w:spacing w:line="240" w:lineRule="auto"/>
        <w:ind w:left="0" w:firstLine="0"/>
        <w:rPr>
          <w:sz w:val="20"/>
          <w:szCs w:val="20"/>
        </w:rPr>
      </w:pPr>
      <w:bookmarkStart w:id="64" w:name="art201"/>
      <w:r w:rsidRPr="0064597D">
        <w:rPr>
          <w:sz w:val="20"/>
          <w:szCs w:val="20"/>
        </w:rPr>
        <w:t>Esta norma fue modificada en varias ocasiones, aplicándose finalmente a la presunta víctima del presente caso la disposición establecida mediante Decreto Legislativo No. 81/96, de 25 de septiembre de 1996, que establec</w:t>
      </w:r>
      <w:r w:rsidR="001F6FA6" w:rsidRPr="0064597D">
        <w:rPr>
          <w:sz w:val="20"/>
          <w:szCs w:val="20"/>
        </w:rPr>
        <w:t xml:space="preserve">ía la imposición de la pena </w:t>
      </w:r>
      <w:r w:rsidR="009B72C8" w:rsidRPr="0064597D">
        <w:rPr>
          <w:sz w:val="20"/>
          <w:szCs w:val="20"/>
        </w:rPr>
        <w:t>d</w:t>
      </w:r>
      <w:r w:rsidR="001F6FA6" w:rsidRPr="0064597D">
        <w:rPr>
          <w:sz w:val="20"/>
          <w:szCs w:val="20"/>
        </w:rPr>
        <w:t>e muerte para los autores materiales o intelectuales del delito de plagio o secuestro, eliminando así el requisito de la posterior muerte del secuestrado</w:t>
      </w:r>
      <w:r w:rsidRPr="0064597D">
        <w:rPr>
          <w:sz w:val="20"/>
          <w:szCs w:val="20"/>
        </w:rPr>
        <w:t>:</w:t>
      </w:r>
    </w:p>
    <w:bookmarkEnd w:id="64"/>
    <w:p w14:paraId="575732E3" w14:textId="77777777" w:rsidR="000A154C" w:rsidRPr="0064597D" w:rsidRDefault="000A154C" w:rsidP="000A154C">
      <w:pPr>
        <w:spacing w:line="240" w:lineRule="auto"/>
        <w:ind w:left="708"/>
        <w:rPr>
          <w:sz w:val="20"/>
          <w:szCs w:val="20"/>
        </w:rPr>
      </w:pPr>
    </w:p>
    <w:p w14:paraId="47481C89" w14:textId="3B6119A2" w:rsidR="000A154C" w:rsidRPr="0064597D" w:rsidRDefault="000A154C" w:rsidP="00FE6705">
      <w:pPr>
        <w:spacing w:line="240" w:lineRule="auto"/>
        <w:ind w:left="567" w:right="720"/>
        <w:rPr>
          <w:sz w:val="18"/>
          <w:szCs w:val="18"/>
        </w:rPr>
      </w:pPr>
      <w:r w:rsidRPr="0064597D">
        <w:rPr>
          <w:sz w:val="18"/>
          <w:szCs w:val="18"/>
        </w:rPr>
        <w:t>“A los autores materiales o intelectuales del delito de plagio o secuestro de una o más personas con el propósito de lograr rescate, canje de personas o la toma de cualquier decisión contraria a la voluntad del secuestrado o con cualquiera otro propósito similar o igual, se les aplicará la pena de muerte, y cuando ésta no pueda ser impuesta,</w:t>
      </w:r>
      <w:r w:rsidRPr="0064597D">
        <w:rPr>
          <w:rStyle w:val="Refdenotaalpie"/>
          <w:sz w:val="18"/>
          <w:szCs w:val="18"/>
        </w:rPr>
        <w:t xml:space="preserve"> </w:t>
      </w:r>
      <w:r w:rsidRPr="0064597D">
        <w:rPr>
          <w:sz w:val="18"/>
          <w:szCs w:val="18"/>
        </w:rPr>
        <w:t>se aplicará prisión de veinticinco a cincuenta años. En este caso no se apreciará ninguna circunstancia atenuante.</w:t>
      </w:r>
      <w:r w:rsidR="00DB0443" w:rsidRPr="0064597D">
        <w:rPr>
          <w:sz w:val="18"/>
          <w:szCs w:val="18"/>
        </w:rPr>
        <w:t xml:space="preserve"> </w:t>
      </w:r>
    </w:p>
    <w:p w14:paraId="347B8717" w14:textId="77777777" w:rsidR="000A154C" w:rsidRPr="0064597D" w:rsidRDefault="000A154C" w:rsidP="00FE6705">
      <w:pPr>
        <w:spacing w:line="240" w:lineRule="auto"/>
        <w:ind w:left="567" w:right="720"/>
        <w:rPr>
          <w:sz w:val="18"/>
          <w:szCs w:val="18"/>
        </w:rPr>
      </w:pPr>
    </w:p>
    <w:p w14:paraId="01FA5699" w14:textId="77777777" w:rsidR="000A154C" w:rsidRPr="0064597D" w:rsidRDefault="000A154C" w:rsidP="00FE6705">
      <w:pPr>
        <w:spacing w:line="240" w:lineRule="auto"/>
        <w:ind w:left="567" w:right="720"/>
        <w:rPr>
          <w:sz w:val="18"/>
          <w:szCs w:val="18"/>
        </w:rPr>
      </w:pPr>
      <w:r w:rsidRPr="0064597D">
        <w:rPr>
          <w:sz w:val="18"/>
          <w:szCs w:val="18"/>
        </w:rPr>
        <w:t>Los cómplices o encubridores serán sancionados con pena de veinte a cuarenta años de prisión.</w:t>
      </w:r>
    </w:p>
    <w:p w14:paraId="7BD8EBDE" w14:textId="77777777" w:rsidR="000A154C" w:rsidRPr="0064597D" w:rsidRDefault="000A154C" w:rsidP="00FE6705">
      <w:pPr>
        <w:spacing w:line="240" w:lineRule="auto"/>
        <w:ind w:left="567" w:right="720"/>
        <w:rPr>
          <w:sz w:val="18"/>
          <w:szCs w:val="18"/>
        </w:rPr>
      </w:pPr>
    </w:p>
    <w:p w14:paraId="4BDD9E02" w14:textId="6BAFA3A9" w:rsidR="000A154C" w:rsidRPr="0064597D" w:rsidRDefault="000A154C" w:rsidP="00FE6705">
      <w:pPr>
        <w:pStyle w:val="Sangra2detindependiente"/>
        <w:spacing w:after="0" w:line="240" w:lineRule="auto"/>
        <w:ind w:left="567" w:right="584"/>
        <w:rPr>
          <w:sz w:val="18"/>
          <w:szCs w:val="18"/>
        </w:rPr>
      </w:pPr>
      <w:r w:rsidRPr="0064597D">
        <w:rPr>
          <w:sz w:val="18"/>
          <w:szCs w:val="18"/>
        </w:rPr>
        <w:t>A quienes sea</w:t>
      </w:r>
      <w:r w:rsidR="00530469" w:rsidRPr="0064597D">
        <w:rPr>
          <w:sz w:val="18"/>
          <w:szCs w:val="18"/>
        </w:rPr>
        <w:t>n</w:t>
      </w:r>
      <w:r w:rsidRPr="0064597D">
        <w:rPr>
          <w:sz w:val="18"/>
          <w:szCs w:val="18"/>
        </w:rPr>
        <w:t xml:space="preserve"> condenados a prisión por el delito de plagio o secuestro, no podrá concedérseles rebaja de pena por ninguna causa</w:t>
      </w:r>
      <w:r w:rsidR="00480513" w:rsidRPr="0064597D">
        <w:rPr>
          <w:sz w:val="18"/>
          <w:szCs w:val="18"/>
        </w:rPr>
        <w:t>”</w:t>
      </w:r>
      <w:r w:rsidR="008F24E5" w:rsidRPr="0064597D">
        <w:rPr>
          <w:rStyle w:val="Refdenotaalpie"/>
          <w:sz w:val="18"/>
          <w:szCs w:val="18"/>
        </w:rPr>
        <w:footnoteReference w:id="102"/>
      </w:r>
      <w:r w:rsidRPr="0064597D">
        <w:rPr>
          <w:sz w:val="18"/>
          <w:szCs w:val="18"/>
        </w:rPr>
        <w:t>.</w:t>
      </w:r>
    </w:p>
    <w:p w14:paraId="100394F6" w14:textId="77777777" w:rsidR="000A154C" w:rsidRPr="0064597D" w:rsidRDefault="000A154C" w:rsidP="000A154C">
      <w:pPr>
        <w:spacing w:line="240" w:lineRule="auto"/>
        <w:ind w:left="708" w:right="720"/>
        <w:rPr>
          <w:sz w:val="20"/>
          <w:szCs w:val="20"/>
        </w:rPr>
      </w:pPr>
    </w:p>
    <w:p w14:paraId="747659DC" w14:textId="77777777" w:rsidR="005903CE" w:rsidRPr="0064597D" w:rsidRDefault="000A154C" w:rsidP="005903CE">
      <w:pPr>
        <w:numPr>
          <w:ilvl w:val="0"/>
          <w:numId w:val="1"/>
        </w:numPr>
        <w:tabs>
          <w:tab w:val="left" w:pos="567"/>
        </w:tabs>
        <w:spacing w:line="240" w:lineRule="auto"/>
        <w:ind w:left="0" w:firstLine="0"/>
        <w:rPr>
          <w:sz w:val="20"/>
          <w:szCs w:val="20"/>
        </w:rPr>
      </w:pPr>
      <w:r w:rsidRPr="0064597D">
        <w:rPr>
          <w:sz w:val="20"/>
          <w:szCs w:val="20"/>
        </w:rPr>
        <w:t>Para establecer si la modificación introducida por el Decreto Legislativo No. 81/96 al tipo penal de plagio o secuestro trae consigo una “extensión” de la aplicación de la pena de muerte, prohibida por el artículo 4.2 de la Convención Americana, conviene recordar que el tipo penal limita el campo de la persecución penal, acotando la descripción de la conducta jurídica</w:t>
      </w:r>
      <w:r w:rsidR="008F24E5" w:rsidRPr="0064597D">
        <w:rPr>
          <w:rStyle w:val="Refdenotaalpie"/>
          <w:sz w:val="20"/>
          <w:szCs w:val="20"/>
        </w:rPr>
        <w:footnoteReference w:id="103"/>
      </w:r>
      <w:r w:rsidRPr="0064597D">
        <w:rPr>
          <w:sz w:val="20"/>
          <w:szCs w:val="20"/>
        </w:rPr>
        <w:t>.</w:t>
      </w:r>
      <w:r w:rsidR="005903CE" w:rsidRPr="0064597D">
        <w:rPr>
          <w:sz w:val="20"/>
          <w:szCs w:val="20"/>
        </w:rPr>
        <w:t xml:space="preserve"> </w:t>
      </w:r>
    </w:p>
    <w:p w14:paraId="78C58203" w14:textId="77777777" w:rsidR="004B28A0" w:rsidRPr="0064597D" w:rsidRDefault="004B28A0" w:rsidP="004B28A0">
      <w:pPr>
        <w:tabs>
          <w:tab w:val="left" w:pos="567"/>
        </w:tabs>
        <w:spacing w:line="240" w:lineRule="auto"/>
        <w:rPr>
          <w:sz w:val="20"/>
          <w:szCs w:val="20"/>
        </w:rPr>
      </w:pPr>
    </w:p>
    <w:p w14:paraId="04F65939" w14:textId="5F7C2F64" w:rsidR="000A154C" w:rsidRPr="0064597D" w:rsidRDefault="008F24E5" w:rsidP="005903CE">
      <w:pPr>
        <w:numPr>
          <w:ilvl w:val="0"/>
          <w:numId w:val="1"/>
        </w:numPr>
        <w:tabs>
          <w:tab w:val="left" w:pos="567"/>
        </w:tabs>
        <w:spacing w:line="240" w:lineRule="auto"/>
        <w:ind w:left="0" w:firstLine="0"/>
        <w:rPr>
          <w:sz w:val="20"/>
          <w:szCs w:val="20"/>
        </w:rPr>
      </w:pPr>
      <w:r w:rsidRPr="0064597D">
        <w:rPr>
          <w:sz w:val="20"/>
          <w:szCs w:val="20"/>
        </w:rPr>
        <w:t>La Corte observa que l</w:t>
      </w:r>
      <w:r w:rsidR="000A154C" w:rsidRPr="0064597D">
        <w:rPr>
          <w:sz w:val="20"/>
          <w:szCs w:val="20"/>
        </w:rPr>
        <w:t xml:space="preserve">a acción descrita en el primer inciso del artículo 201 del Decreto Legislativo No. 17/73 </w:t>
      </w:r>
      <w:r w:rsidR="00FC53C6" w:rsidRPr="0064597D">
        <w:rPr>
          <w:sz w:val="20"/>
          <w:szCs w:val="20"/>
        </w:rPr>
        <w:t xml:space="preserve">(Código Penal) </w:t>
      </w:r>
      <w:r w:rsidR="000A154C" w:rsidRPr="0064597D">
        <w:rPr>
          <w:sz w:val="20"/>
          <w:szCs w:val="20"/>
        </w:rPr>
        <w:t>correspondía a la sustracción o aprehensión dolosa de una persona, acompañada de cierto propósito (lograr rescate, canje de terceras personas u otro fin ilícito); consecuentemente, el tipo penal protegía básicamente la libertad individual. El hecho recogido en el inciso segundo de esta norma</w:t>
      </w:r>
      <w:r w:rsidR="00FE6705" w:rsidRPr="0064597D">
        <w:rPr>
          <w:sz w:val="20"/>
          <w:szCs w:val="20"/>
        </w:rPr>
        <w:t xml:space="preserve"> </w:t>
      </w:r>
      <w:r w:rsidR="000A154C" w:rsidRPr="0064597D">
        <w:rPr>
          <w:sz w:val="20"/>
          <w:szCs w:val="20"/>
        </w:rPr>
        <w:t xml:space="preserve">abarcaba un extremo adicional: además de la sustracción o aprehensión, la muerte, en cualquier circunstancia, del sujeto pasivo; con ello se protegía el bien jurídico de la vida. En consecuencia, </w:t>
      </w:r>
      <w:r w:rsidR="005903CE" w:rsidRPr="0064597D">
        <w:rPr>
          <w:sz w:val="20"/>
          <w:szCs w:val="20"/>
        </w:rPr>
        <w:t>existía</w:t>
      </w:r>
      <w:r w:rsidR="000A154C" w:rsidRPr="0064597D">
        <w:rPr>
          <w:sz w:val="20"/>
          <w:szCs w:val="20"/>
        </w:rPr>
        <w:t xml:space="preserve"> un deslinde entre el secuestro simple y el secuestro calificado por la muerte del ofendido. En el primer caso se aplicaba </w:t>
      </w:r>
      <w:r w:rsidR="005903CE" w:rsidRPr="0064597D">
        <w:rPr>
          <w:sz w:val="20"/>
          <w:szCs w:val="20"/>
        </w:rPr>
        <w:t xml:space="preserve">una </w:t>
      </w:r>
      <w:r w:rsidR="000A154C" w:rsidRPr="0064597D">
        <w:rPr>
          <w:sz w:val="20"/>
          <w:szCs w:val="20"/>
        </w:rPr>
        <w:t xml:space="preserve">pena privativa de la libertad; en el segundo, </w:t>
      </w:r>
      <w:r w:rsidR="005903CE" w:rsidRPr="0064597D">
        <w:rPr>
          <w:sz w:val="20"/>
          <w:szCs w:val="20"/>
        </w:rPr>
        <w:t xml:space="preserve">la </w:t>
      </w:r>
      <w:r w:rsidR="000A154C" w:rsidRPr="0064597D">
        <w:rPr>
          <w:sz w:val="20"/>
          <w:szCs w:val="20"/>
        </w:rPr>
        <w:t>pena de muerte</w:t>
      </w:r>
      <w:r w:rsidRPr="0064597D">
        <w:rPr>
          <w:rStyle w:val="Refdenotaalpie"/>
          <w:sz w:val="20"/>
          <w:szCs w:val="20"/>
        </w:rPr>
        <w:footnoteReference w:id="104"/>
      </w:r>
      <w:r w:rsidR="000A154C" w:rsidRPr="0064597D">
        <w:rPr>
          <w:sz w:val="20"/>
          <w:szCs w:val="20"/>
        </w:rPr>
        <w:t>.</w:t>
      </w:r>
    </w:p>
    <w:p w14:paraId="79C98159" w14:textId="77777777" w:rsidR="000A154C" w:rsidRPr="0064597D" w:rsidRDefault="000A154C" w:rsidP="000A154C">
      <w:pPr>
        <w:spacing w:line="240" w:lineRule="auto"/>
        <w:ind w:left="708"/>
        <w:rPr>
          <w:sz w:val="20"/>
          <w:szCs w:val="20"/>
        </w:rPr>
      </w:pPr>
    </w:p>
    <w:p w14:paraId="75FE2A7C" w14:textId="7A828F13" w:rsidR="00A26B9D" w:rsidRPr="0064597D" w:rsidRDefault="003E2564" w:rsidP="00A26B9D">
      <w:pPr>
        <w:numPr>
          <w:ilvl w:val="0"/>
          <w:numId w:val="1"/>
        </w:numPr>
        <w:tabs>
          <w:tab w:val="left" w:pos="567"/>
          <w:tab w:val="num" w:pos="1569"/>
          <w:tab w:val="num" w:pos="12305"/>
        </w:tabs>
        <w:spacing w:line="240" w:lineRule="auto"/>
        <w:ind w:left="0" w:firstLine="0"/>
        <w:rPr>
          <w:rFonts w:eastAsia="Calibri" w:cs="Arial"/>
          <w:bCs/>
          <w:sz w:val="20"/>
          <w:szCs w:val="20"/>
          <w:lang w:val="es-ES_tradnl" w:eastAsia="en-US"/>
        </w:rPr>
      </w:pPr>
      <w:r w:rsidRPr="0064597D">
        <w:rPr>
          <w:sz w:val="20"/>
          <w:szCs w:val="20"/>
        </w:rPr>
        <w:t xml:space="preserve">La Corte </w:t>
      </w:r>
      <w:r w:rsidR="00EC32C1" w:rsidRPr="0064597D">
        <w:rPr>
          <w:sz w:val="20"/>
          <w:szCs w:val="20"/>
        </w:rPr>
        <w:t xml:space="preserve">además </w:t>
      </w:r>
      <w:r w:rsidR="005E3DA0">
        <w:rPr>
          <w:sz w:val="20"/>
          <w:szCs w:val="20"/>
        </w:rPr>
        <w:t>advierte</w:t>
      </w:r>
      <w:r w:rsidRPr="0064597D">
        <w:rPr>
          <w:sz w:val="20"/>
          <w:szCs w:val="20"/>
        </w:rPr>
        <w:t xml:space="preserve"> que e</w:t>
      </w:r>
      <w:r w:rsidR="000A154C" w:rsidRPr="0064597D">
        <w:rPr>
          <w:sz w:val="20"/>
          <w:szCs w:val="20"/>
        </w:rPr>
        <w:t xml:space="preserve">l artículo 201 del Decreto Legislativo No. 81/96, </w:t>
      </w:r>
      <w:r w:rsidRPr="0064597D">
        <w:rPr>
          <w:sz w:val="20"/>
          <w:szCs w:val="20"/>
        </w:rPr>
        <w:t>el cual fue aplicado</w:t>
      </w:r>
      <w:r w:rsidR="000A154C" w:rsidRPr="0064597D">
        <w:rPr>
          <w:sz w:val="20"/>
          <w:szCs w:val="20"/>
        </w:rPr>
        <w:t xml:space="preserve"> en la condena al señor </w:t>
      </w:r>
      <w:r w:rsidR="008F24E5" w:rsidRPr="0064597D">
        <w:rPr>
          <w:sz w:val="20"/>
          <w:szCs w:val="20"/>
        </w:rPr>
        <w:t>Ruiz Fuentes</w:t>
      </w:r>
      <w:r w:rsidR="000A154C" w:rsidRPr="0064597D">
        <w:rPr>
          <w:sz w:val="20"/>
          <w:szCs w:val="20"/>
        </w:rPr>
        <w:t>, tipifica</w:t>
      </w:r>
      <w:r w:rsidR="00897CD6" w:rsidRPr="0064597D">
        <w:rPr>
          <w:sz w:val="20"/>
          <w:szCs w:val="20"/>
        </w:rPr>
        <w:t>ba</w:t>
      </w:r>
      <w:r w:rsidR="000A154C" w:rsidRPr="0064597D">
        <w:rPr>
          <w:sz w:val="20"/>
          <w:szCs w:val="20"/>
        </w:rPr>
        <w:t xml:space="preserve"> una sola conducta</w:t>
      </w:r>
      <w:r w:rsidR="00ED00D8" w:rsidRPr="0064597D">
        <w:rPr>
          <w:sz w:val="20"/>
          <w:szCs w:val="20"/>
        </w:rPr>
        <w:t xml:space="preserve"> al momento de la comisión del delito</w:t>
      </w:r>
      <w:r w:rsidR="000A154C" w:rsidRPr="0064597D">
        <w:rPr>
          <w:sz w:val="20"/>
          <w:szCs w:val="20"/>
        </w:rPr>
        <w:t xml:space="preserve">: </w:t>
      </w:r>
      <w:r w:rsidR="00ED00D8" w:rsidRPr="0064597D">
        <w:rPr>
          <w:sz w:val="20"/>
          <w:szCs w:val="20"/>
        </w:rPr>
        <w:t xml:space="preserve">la </w:t>
      </w:r>
      <w:r w:rsidR="000A154C" w:rsidRPr="0064597D">
        <w:rPr>
          <w:sz w:val="20"/>
          <w:szCs w:val="20"/>
        </w:rPr>
        <w:t>sustracción o aprehensión de una persona, acompañada de cierto propósito. La acción de dar muerte no se halla abarcada por este tipo penal, que protege la libertad individual, no la vida, y prevé la imposición de pena de muerte al secuestrador.</w:t>
      </w:r>
      <w:r w:rsidR="008F24E5" w:rsidRPr="0064597D">
        <w:rPr>
          <w:sz w:val="20"/>
          <w:szCs w:val="20"/>
        </w:rPr>
        <w:t xml:space="preserve"> </w:t>
      </w:r>
      <w:r w:rsidR="000A154C" w:rsidRPr="0064597D">
        <w:rPr>
          <w:sz w:val="20"/>
          <w:szCs w:val="20"/>
        </w:rPr>
        <w:t xml:space="preserve">Si bien el </w:t>
      </w:r>
      <w:r w:rsidR="000A154C" w:rsidRPr="0064597D">
        <w:rPr>
          <w:i/>
          <w:iCs/>
          <w:sz w:val="20"/>
          <w:szCs w:val="20"/>
        </w:rPr>
        <w:t>nomen iuris</w:t>
      </w:r>
      <w:r w:rsidR="000A154C" w:rsidRPr="0064597D">
        <w:rPr>
          <w:sz w:val="20"/>
          <w:szCs w:val="20"/>
        </w:rPr>
        <w:t xml:space="preserve"> del plagio o secuestro permaneció inalterado desde el momento en que Guatemala ratificó la Convención, los supuestos de hecho contenidos en los correspondientes tipos penales cambiaron sustancialmente, hasta hacer posible la aplicación de la pena de muerte por acciones no sanc</w:t>
      </w:r>
      <w:r w:rsidR="00474207" w:rsidRPr="0064597D">
        <w:rPr>
          <w:sz w:val="20"/>
          <w:szCs w:val="20"/>
        </w:rPr>
        <w:t xml:space="preserve">ionadas con ésta en el pasado. </w:t>
      </w:r>
      <w:r w:rsidR="00ED00D8" w:rsidRPr="0064597D">
        <w:rPr>
          <w:sz w:val="20"/>
          <w:szCs w:val="20"/>
        </w:rPr>
        <w:t>Lo anterior supuso la violación del artículo 4.2 de la Convención Americana</w:t>
      </w:r>
      <w:r w:rsidR="00775972" w:rsidRPr="0064597D">
        <w:rPr>
          <w:sz w:val="20"/>
          <w:szCs w:val="20"/>
        </w:rPr>
        <w:t>, toda vez que a</w:t>
      </w:r>
      <w:r w:rsidR="000A154C" w:rsidRPr="0064597D">
        <w:rPr>
          <w:sz w:val="20"/>
          <w:szCs w:val="20"/>
        </w:rPr>
        <w:t xml:space="preserve">ceptar una interpretación contraria permitiría que un delito pudiera ser sustituido o alterado con la inclusión de nuevos supuestos de hecho, no obstante la prohibición expresa de extender la pena capital, contenida en el </w:t>
      </w:r>
      <w:r w:rsidR="00ED00D8" w:rsidRPr="0064597D">
        <w:rPr>
          <w:sz w:val="20"/>
          <w:szCs w:val="20"/>
        </w:rPr>
        <w:t xml:space="preserve">referido </w:t>
      </w:r>
      <w:r w:rsidR="000A154C" w:rsidRPr="0064597D">
        <w:rPr>
          <w:sz w:val="20"/>
          <w:szCs w:val="20"/>
        </w:rPr>
        <w:t>artículo 4.2</w:t>
      </w:r>
      <w:r w:rsidR="00CD0B99" w:rsidRPr="0064597D">
        <w:rPr>
          <w:rStyle w:val="Refdenotaalpie"/>
          <w:sz w:val="20"/>
          <w:szCs w:val="20"/>
        </w:rPr>
        <w:footnoteReference w:id="105"/>
      </w:r>
      <w:r w:rsidR="000A154C" w:rsidRPr="0064597D">
        <w:rPr>
          <w:sz w:val="20"/>
          <w:szCs w:val="20"/>
        </w:rPr>
        <w:t>.</w:t>
      </w:r>
      <w:r w:rsidR="00A26B9D" w:rsidRPr="0064597D">
        <w:rPr>
          <w:sz w:val="20"/>
          <w:szCs w:val="20"/>
        </w:rPr>
        <w:t xml:space="preserve"> Lo anterior ha sido corroborado por la Corte de </w:t>
      </w:r>
      <w:r w:rsidR="007454E8">
        <w:rPr>
          <w:sz w:val="20"/>
          <w:szCs w:val="20"/>
        </w:rPr>
        <w:t>Constitucionalidad de Guatemala</w:t>
      </w:r>
      <w:r w:rsidR="00D47B8B" w:rsidRPr="0064597D">
        <w:rPr>
          <w:sz w:val="20"/>
          <w:szCs w:val="20"/>
        </w:rPr>
        <w:t>, la cual e</w:t>
      </w:r>
      <w:r w:rsidR="00A26B9D" w:rsidRPr="0064597D">
        <w:rPr>
          <w:rFonts w:eastAsia="Calibri" w:cs="Arial"/>
          <w:bCs/>
          <w:sz w:val="20"/>
          <w:szCs w:val="20"/>
          <w:lang w:val="es-ES_tradnl" w:eastAsia="en-US"/>
        </w:rPr>
        <w:t xml:space="preserve">l 24 de octubre de 2017 </w:t>
      </w:r>
      <w:r w:rsidR="00D47B8B" w:rsidRPr="0064597D">
        <w:rPr>
          <w:rFonts w:eastAsia="Calibri" w:cs="Arial"/>
          <w:bCs/>
          <w:sz w:val="20"/>
          <w:szCs w:val="20"/>
          <w:lang w:val="es-ES_tradnl" w:eastAsia="en-US"/>
        </w:rPr>
        <w:t xml:space="preserve">emitió una sentencia en la que, </w:t>
      </w:r>
      <w:r w:rsidR="00D47B8B" w:rsidRPr="0064597D">
        <w:rPr>
          <w:rFonts w:eastAsia="Calibri" w:cs="Arial"/>
          <w:bCs/>
          <w:i/>
          <w:sz w:val="20"/>
          <w:szCs w:val="20"/>
          <w:lang w:val="es-ES_tradnl" w:eastAsia="en-US"/>
        </w:rPr>
        <w:t>inter alia</w:t>
      </w:r>
      <w:r w:rsidR="00D47B8B" w:rsidRPr="0064597D">
        <w:rPr>
          <w:rFonts w:eastAsia="Calibri" w:cs="Arial"/>
          <w:bCs/>
          <w:sz w:val="20"/>
          <w:szCs w:val="20"/>
          <w:lang w:val="es-ES_tradnl" w:eastAsia="en-US"/>
        </w:rPr>
        <w:t xml:space="preserve">, </w:t>
      </w:r>
      <w:r w:rsidR="00A26B9D" w:rsidRPr="0064597D">
        <w:rPr>
          <w:rFonts w:eastAsia="Calibri" w:cs="Arial"/>
          <w:bCs/>
          <w:sz w:val="20"/>
          <w:szCs w:val="20"/>
          <w:lang w:val="es-ES_tradnl" w:eastAsia="en-US"/>
        </w:rPr>
        <w:t>declaró inconstitucional el citado artículo 201 al considerar que configuraba una obvia violación al artículo 4, numeral 2, de la Convención Americana sobre Derechos Humanos</w:t>
      </w:r>
      <w:r w:rsidR="00A26B9D" w:rsidRPr="0064597D">
        <w:rPr>
          <w:rStyle w:val="Refdenotaalpie"/>
          <w:rFonts w:eastAsia="Calibri" w:cs="Arial"/>
          <w:bCs/>
          <w:sz w:val="20"/>
          <w:szCs w:val="20"/>
          <w:lang w:val="es-ES_tradnl" w:eastAsia="en-US"/>
        </w:rPr>
        <w:footnoteReference w:id="106"/>
      </w:r>
      <w:r w:rsidR="00A26B9D" w:rsidRPr="0064597D">
        <w:rPr>
          <w:rFonts w:eastAsia="Calibri" w:cs="Arial"/>
          <w:bCs/>
          <w:sz w:val="20"/>
          <w:szCs w:val="20"/>
          <w:lang w:val="es-ES_tradnl" w:eastAsia="en-US"/>
        </w:rPr>
        <w:t xml:space="preserve">. </w:t>
      </w:r>
    </w:p>
    <w:p w14:paraId="7C5D5DCC" w14:textId="77777777" w:rsidR="000A154C" w:rsidRPr="0064597D" w:rsidRDefault="000A154C" w:rsidP="000A154C">
      <w:pPr>
        <w:pStyle w:val="Normal1"/>
        <w:widowControl/>
        <w:pBdr>
          <w:top w:val="nil"/>
          <w:left w:val="nil"/>
          <w:bottom w:val="nil"/>
          <w:right w:val="nil"/>
          <w:between w:val="nil"/>
        </w:pBdr>
        <w:contextualSpacing/>
        <w:jc w:val="both"/>
        <w:rPr>
          <w:rFonts w:ascii="Verdana" w:hAnsi="Verdana"/>
          <w:i/>
          <w:sz w:val="20"/>
          <w:szCs w:val="20"/>
          <w:highlight w:val="yellow"/>
        </w:rPr>
      </w:pPr>
    </w:p>
    <w:p w14:paraId="24E44343" w14:textId="77777777" w:rsidR="009449FD" w:rsidRPr="0064597D" w:rsidRDefault="009449FD" w:rsidP="009449FD">
      <w:pPr>
        <w:tabs>
          <w:tab w:val="left" w:pos="567"/>
        </w:tabs>
        <w:spacing w:line="240" w:lineRule="auto"/>
        <w:rPr>
          <w:rFonts w:cs="Arial"/>
          <w:i/>
          <w:sz w:val="20"/>
          <w:szCs w:val="20"/>
        </w:rPr>
      </w:pPr>
      <w:r w:rsidRPr="0064597D">
        <w:rPr>
          <w:rFonts w:cs="Arial"/>
          <w:i/>
          <w:sz w:val="20"/>
          <w:szCs w:val="20"/>
        </w:rPr>
        <w:tab/>
      </w:r>
      <w:r w:rsidRPr="0064597D">
        <w:rPr>
          <w:rFonts w:cs="Arial"/>
          <w:i/>
          <w:sz w:val="20"/>
          <w:szCs w:val="20"/>
        </w:rPr>
        <w:tab/>
      </w:r>
      <w:r w:rsidRPr="0064597D">
        <w:rPr>
          <w:rFonts w:cs="Arial"/>
          <w:i/>
          <w:sz w:val="20"/>
          <w:szCs w:val="20"/>
        </w:rPr>
        <w:tab/>
      </w:r>
      <w:r w:rsidR="00EE2DE2" w:rsidRPr="0064597D">
        <w:rPr>
          <w:rFonts w:cs="Arial"/>
          <w:i/>
          <w:sz w:val="20"/>
          <w:szCs w:val="20"/>
        </w:rPr>
        <w:t>b</w:t>
      </w:r>
      <w:r w:rsidRPr="0064597D">
        <w:rPr>
          <w:rFonts w:cs="Arial"/>
          <w:i/>
          <w:sz w:val="20"/>
          <w:szCs w:val="20"/>
        </w:rPr>
        <w:t>.1.2) Imposición automática y obligatoria de la pena de muerte</w:t>
      </w:r>
    </w:p>
    <w:p w14:paraId="63F52765" w14:textId="77777777" w:rsidR="009449FD" w:rsidRPr="0064597D" w:rsidRDefault="009449FD" w:rsidP="000A154C">
      <w:pPr>
        <w:pStyle w:val="Normal1"/>
        <w:widowControl/>
        <w:pBdr>
          <w:top w:val="nil"/>
          <w:left w:val="nil"/>
          <w:bottom w:val="nil"/>
          <w:right w:val="nil"/>
          <w:between w:val="nil"/>
        </w:pBdr>
        <w:contextualSpacing/>
        <w:jc w:val="both"/>
        <w:rPr>
          <w:rFonts w:ascii="Verdana" w:hAnsi="Verdana"/>
          <w:i/>
          <w:sz w:val="20"/>
          <w:szCs w:val="20"/>
        </w:rPr>
      </w:pPr>
    </w:p>
    <w:p w14:paraId="4EF54786" w14:textId="1A80DDD4" w:rsidR="000A154C" w:rsidRPr="0064597D" w:rsidRDefault="0044135F" w:rsidP="000A154C">
      <w:pPr>
        <w:numPr>
          <w:ilvl w:val="0"/>
          <w:numId w:val="1"/>
        </w:numPr>
        <w:tabs>
          <w:tab w:val="left" w:pos="567"/>
        </w:tabs>
        <w:spacing w:line="240" w:lineRule="auto"/>
        <w:ind w:left="0" w:firstLine="0"/>
        <w:rPr>
          <w:sz w:val="20"/>
          <w:szCs w:val="20"/>
          <w:lang w:val="es-ES"/>
        </w:rPr>
      </w:pPr>
      <w:r w:rsidRPr="0064597D">
        <w:rPr>
          <w:sz w:val="20"/>
          <w:szCs w:val="20"/>
        </w:rPr>
        <w:t>Por otro lado</w:t>
      </w:r>
      <w:r w:rsidR="008F24E5" w:rsidRPr="0064597D">
        <w:rPr>
          <w:sz w:val="20"/>
          <w:szCs w:val="20"/>
        </w:rPr>
        <w:t xml:space="preserve">, </w:t>
      </w:r>
      <w:r w:rsidR="000A154C" w:rsidRPr="0064597D">
        <w:rPr>
          <w:sz w:val="20"/>
          <w:szCs w:val="20"/>
        </w:rPr>
        <w:t xml:space="preserve">la Corte constata que la regulación </w:t>
      </w:r>
      <w:r w:rsidR="00C80924" w:rsidRPr="0064597D">
        <w:rPr>
          <w:sz w:val="20"/>
          <w:szCs w:val="20"/>
        </w:rPr>
        <w:t>en el Código Penal guatemalteco del</w:t>
      </w:r>
      <w:r w:rsidR="003E2564" w:rsidRPr="0064597D">
        <w:rPr>
          <w:sz w:val="20"/>
          <w:szCs w:val="20"/>
        </w:rPr>
        <w:t xml:space="preserve"> </w:t>
      </w:r>
      <w:r w:rsidR="000A154C" w:rsidRPr="0064597D">
        <w:rPr>
          <w:sz w:val="20"/>
          <w:szCs w:val="20"/>
        </w:rPr>
        <w:t>delito de plagio o secuestro ordena la aplicación de la pena de muerte de manera automática y genérica a los autores de tal ilícito</w:t>
      </w:r>
      <w:r w:rsidR="00C80924" w:rsidRPr="0064597D">
        <w:rPr>
          <w:sz w:val="20"/>
          <w:szCs w:val="20"/>
        </w:rPr>
        <w:t xml:space="preserve">. Al </w:t>
      </w:r>
      <w:r w:rsidR="000A154C" w:rsidRPr="0064597D">
        <w:rPr>
          <w:sz w:val="20"/>
          <w:szCs w:val="20"/>
        </w:rPr>
        <w:t>respecto</w:t>
      </w:r>
      <w:r w:rsidR="00C80924" w:rsidRPr="0064597D">
        <w:rPr>
          <w:sz w:val="20"/>
          <w:szCs w:val="20"/>
        </w:rPr>
        <w:t>,</w:t>
      </w:r>
      <w:r w:rsidR="000A154C" w:rsidRPr="0064597D">
        <w:rPr>
          <w:sz w:val="20"/>
          <w:szCs w:val="20"/>
        </w:rPr>
        <w:t xml:space="preserve"> estima pertinente recordar que el Comité de Derechos Humanos de las Naciones Unidas consideró que la obligatoriedad de la pena capital con la que se priva al sujeto de su derecho a la vida, impide considerar si, en las circunstancias particulares del caso, esta forma excepcional de castigo es compatible con las disposiciones del Pacto Internacional de Derechos Civiles y Políticos</w:t>
      </w:r>
      <w:r w:rsidR="000A154C" w:rsidRPr="0064597D">
        <w:rPr>
          <w:rStyle w:val="Refdenotaalpie"/>
          <w:sz w:val="20"/>
          <w:szCs w:val="20"/>
        </w:rPr>
        <w:footnoteReference w:id="107"/>
      </w:r>
      <w:r w:rsidR="000A154C" w:rsidRPr="0064597D">
        <w:rPr>
          <w:sz w:val="20"/>
          <w:szCs w:val="20"/>
        </w:rPr>
        <w:t>.</w:t>
      </w:r>
    </w:p>
    <w:p w14:paraId="32C5C6DB" w14:textId="77777777" w:rsidR="00CD0B99" w:rsidRPr="0064597D" w:rsidRDefault="00CD0B99" w:rsidP="00CD0B99">
      <w:pPr>
        <w:tabs>
          <w:tab w:val="left" w:pos="567"/>
        </w:tabs>
        <w:spacing w:line="240" w:lineRule="auto"/>
        <w:rPr>
          <w:sz w:val="20"/>
          <w:szCs w:val="20"/>
          <w:lang w:val="es-ES"/>
        </w:rPr>
      </w:pPr>
    </w:p>
    <w:p w14:paraId="686A9DF7" w14:textId="6458A8B1" w:rsidR="000A154C" w:rsidRPr="0064597D" w:rsidRDefault="000A154C" w:rsidP="000A154C">
      <w:pPr>
        <w:numPr>
          <w:ilvl w:val="0"/>
          <w:numId w:val="1"/>
        </w:numPr>
        <w:tabs>
          <w:tab w:val="left" w:pos="567"/>
        </w:tabs>
        <w:spacing w:line="240" w:lineRule="auto"/>
        <w:ind w:left="0" w:firstLine="0"/>
        <w:rPr>
          <w:sz w:val="20"/>
          <w:szCs w:val="20"/>
          <w:lang w:val="es-ES"/>
        </w:rPr>
      </w:pPr>
      <w:r w:rsidRPr="0064597D">
        <w:rPr>
          <w:sz w:val="20"/>
          <w:szCs w:val="20"/>
        </w:rPr>
        <w:t>La Corte</w:t>
      </w:r>
      <w:r w:rsidR="00C80924" w:rsidRPr="0064597D">
        <w:rPr>
          <w:sz w:val="20"/>
          <w:szCs w:val="20"/>
        </w:rPr>
        <w:t xml:space="preserve">, al igual que lo constató en el caso </w:t>
      </w:r>
      <w:r w:rsidR="00C80924" w:rsidRPr="0064597D">
        <w:rPr>
          <w:i/>
          <w:iCs/>
          <w:sz w:val="20"/>
          <w:szCs w:val="20"/>
        </w:rPr>
        <w:t>Raxcacó Reyes Vs. Guatemala</w:t>
      </w:r>
      <w:r w:rsidR="00C80924" w:rsidRPr="0064597D">
        <w:rPr>
          <w:sz w:val="20"/>
          <w:szCs w:val="20"/>
        </w:rPr>
        <w:t>, observa</w:t>
      </w:r>
      <w:r w:rsidRPr="0064597D">
        <w:rPr>
          <w:sz w:val="20"/>
          <w:szCs w:val="20"/>
        </w:rPr>
        <w:t xml:space="preserve"> que el</w:t>
      </w:r>
      <w:r w:rsidR="00C80924" w:rsidRPr="0064597D">
        <w:rPr>
          <w:sz w:val="20"/>
          <w:szCs w:val="20"/>
        </w:rPr>
        <w:t xml:space="preserve"> señalado</w:t>
      </w:r>
      <w:r w:rsidRPr="0064597D">
        <w:rPr>
          <w:sz w:val="20"/>
          <w:szCs w:val="20"/>
        </w:rPr>
        <w:t xml:space="preserve"> artículo 201 del Código Penal, tal como </w:t>
      </w:r>
      <w:r w:rsidR="00897CD6" w:rsidRPr="0064597D">
        <w:rPr>
          <w:sz w:val="20"/>
          <w:szCs w:val="20"/>
        </w:rPr>
        <w:t>estaba</w:t>
      </w:r>
      <w:r w:rsidRPr="0064597D">
        <w:rPr>
          <w:sz w:val="20"/>
          <w:szCs w:val="20"/>
        </w:rPr>
        <w:t xml:space="preserve"> redactado, </w:t>
      </w:r>
      <w:r w:rsidR="00897CD6" w:rsidRPr="0064597D">
        <w:rPr>
          <w:sz w:val="20"/>
          <w:szCs w:val="20"/>
        </w:rPr>
        <w:t>tenía</w:t>
      </w:r>
      <w:r w:rsidRPr="0064597D">
        <w:rPr>
          <w:sz w:val="20"/>
          <w:szCs w:val="20"/>
        </w:rPr>
        <w:t xml:space="preserve"> como efecto someter a los acusados del delito de plagio o secuestro a procesos penales en los que no se consideran –en ninguna instancia– las circunstancias particulares del delito y del acusado, tales como los antecedentes penales de éste y de la víctima, el móvil, la extensión e intensidad del daño causado, las posibles circunstancias atenuantes o agravantes, entre otras consideraciones del autor y del delito. </w:t>
      </w:r>
      <w:r w:rsidR="002B269F" w:rsidRPr="0064597D">
        <w:rPr>
          <w:sz w:val="20"/>
          <w:szCs w:val="20"/>
        </w:rPr>
        <w:t xml:space="preserve">La Corte </w:t>
      </w:r>
      <w:r w:rsidR="00C81685" w:rsidRPr="0064597D">
        <w:rPr>
          <w:sz w:val="20"/>
          <w:szCs w:val="20"/>
        </w:rPr>
        <w:t>concluye</w:t>
      </w:r>
      <w:r w:rsidR="002B269F" w:rsidRPr="0064597D">
        <w:rPr>
          <w:sz w:val="20"/>
          <w:szCs w:val="20"/>
        </w:rPr>
        <w:t xml:space="preserve"> que, </w:t>
      </w:r>
      <w:r w:rsidR="00367583" w:rsidRPr="0064597D">
        <w:rPr>
          <w:sz w:val="20"/>
          <w:szCs w:val="20"/>
        </w:rPr>
        <w:t xml:space="preserve">efectivamente, </w:t>
      </w:r>
      <w:r w:rsidR="002B269F" w:rsidRPr="0064597D">
        <w:rPr>
          <w:sz w:val="20"/>
          <w:szCs w:val="20"/>
        </w:rPr>
        <w:t xml:space="preserve">cuando determinadas </w:t>
      </w:r>
      <w:r w:rsidR="008E2861" w:rsidRPr="0064597D">
        <w:rPr>
          <w:sz w:val="20"/>
          <w:szCs w:val="20"/>
        </w:rPr>
        <w:t>leyes</w:t>
      </w:r>
      <w:r w:rsidR="002B269F" w:rsidRPr="0064597D">
        <w:rPr>
          <w:sz w:val="20"/>
          <w:szCs w:val="20"/>
        </w:rPr>
        <w:t xml:space="preserve"> obligan a imponer la pena de muerte</w:t>
      </w:r>
      <w:r w:rsidR="00C81685" w:rsidRPr="0064597D">
        <w:rPr>
          <w:sz w:val="20"/>
          <w:szCs w:val="20"/>
        </w:rPr>
        <w:t xml:space="preserve"> de manera automática</w:t>
      </w:r>
      <w:r w:rsidR="002B269F" w:rsidRPr="0064597D">
        <w:rPr>
          <w:sz w:val="20"/>
          <w:szCs w:val="20"/>
        </w:rPr>
        <w:t xml:space="preserve"> no se permite distinguir entre los distintos niveles de gravedad ni las circunstancias concretas del delito específico, lo cual sería incompatible con la limitación de la pena </w:t>
      </w:r>
      <w:r w:rsidR="002B269F" w:rsidRPr="0064597D">
        <w:rPr>
          <w:sz w:val="20"/>
          <w:szCs w:val="20"/>
        </w:rPr>
        <w:lastRenderedPageBreak/>
        <w:t xml:space="preserve">capital a los delitos más graves, tal y como así lo recoge el </w:t>
      </w:r>
      <w:r w:rsidR="00775972" w:rsidRPr="0064597D">
        <w:rPr>
          <w:sz w:val="20"/>
          <w:szCs w:val="20"/>
        </w:rPr>
        <w:t>artículo</w:t>
      </w:r>
      <w:r w:rsidR="002B269F" w:rsidRPr="0064597D">
        <w:rPr>
          <w:sz w:val="20"/>
          <w:szCs w:val="20"/>
        </w:rPr>
        <w:t xml:space="preserve"> 4.2 de la Convención</w:t>
      </w:r>
      <w:r w:rsidR="002B269F" w:rsidRPr="0064597D">
        <w:rPr>
          <w:rStyle w:val="Refdenotaalpie"/>
          <w:sz w:val="20"/>
          <w:szCs w:val="20"/>
        </w:rPr>
        <w:footnoteReference w:id="108"/>
      </w:r>
      <w:r w:rsidR="002B269F" w:rsidRPr="0064597D">
        <w:rPr>
          <w:sz w:val="20"/>
          <w:szCs w:val="20"/>
        </w:rPr>
        <w:t>.</w:t>
      </w:r>
    </w:p>
    <w:p w14:paraId="2655470A" w14:textId="77777777" w:rsidR="008E2861" w:rsidRPr="0064597D" w:rsidRDefault="008E2861" w:rsidP="008E2861">
      <w:pPr>
        <w:tabs>
          <w:tab w:val="left" w:pos="567"/>
        </w:tabs>
        <w:spacing w:line="240" w:lineRule="auto"/>
        <w:rPr>
          <w:sz w:val="20"/>
          <w:szCs w:val="20"/>
          <w:lang w:val="es-ES"/>
        </w:rPr>
      </w:pPr>
    </w:p>
    <w:p w14:paraId="686511FC" w14:textId="78B930DD" w:rsidR="004C2B96" w:rsidRPr="0064597D" w:rsidRDefault="00897CD6" w:rsidP="00CA131D">
      <w:pPr>
        <w:numPr>
          <w:ilvl w:val="0"/>
          <w:numId w:val="1"/>
        </w:numPr>
        <w:tabs>
          <w:tab w:val="left" w:pos="567"/>
        </w:tabs>
        <w:spacing w:line="240" w:lineRule="auto"/>
        <w:ind w:left="0" w:firstLine="0"/>
        <w:rPr>
          <w:sz w:val="20"/>
          <w:szCs w:val="20"/>
          <w:lang w:val="es-ES"/>
        </w:rPr>
      </w:pPr>
      <w:r w:rsidRPr="0064597D">
        <w:rPr>
          <w:sz w:val="20"/>
          <w:szCs w:val="20"/>
        </w:rPr>
        <w:t>A la vista de lo anterior, la Corte concluye que la aplicación del artículo 201 del Código Penal guatemalteco en virtud del cual se fundó la condena al señor Ruiz Fuentes violó el artículo 4.2 de la Convención en relación con el artículo 1.1 del mismo instrumento</w:t>
      </w:r>
      <w:r w:rsidRPr="0064597D">
        <w:rPr>
          <w:rStyle w:val="Refdenotaalpie"/>
          <w:rFonts w:cs="Arial"/>
          <w:sz w:val="18"/>
          <w:szCs w:val="18"/>
        </w:rPr>
        <w:footnoteReference w:id="109"/>
      </w:r>
      <w:r w:rsidRPr="0064597D">
        <w:rPr>
          <w:sz w:val="20"/>
          <w:szCs w:val="20"/>
        </w:rPr>
        <w:t xml:space="preserve">. </w:t>
      </w:r>
      <w:r w:rsidR="004C2B96" w:rsidRPr="0064597D">
        <w:rPr>
          <w:sz w:val="20"/>
          <w:szCs w:val="20"/>
        </w:rPr>
        <w:t>Con respecto a la alegada violación del artículo 4.1 de la Convención</w:t>
      </w:r>
      <w:r w:rsidR="00CA131D" w:rsidRPr="0064597D">
        <w:rPr>
          <w:sz w:val="20"/>
          <w:szCs w:val="20"/>
        </w:rPr>
        <w:t xml:space="preserve"> en relación con la imposición de la pena de muerte</w:t>
      </w:r>
      <w:r w:rsidR="004C2B96" w:rsidRPr="0064597D">
        <w:rPr>
          <w:sz w:val="20"/>
          <w:szCs w:val="20"/>
        </w:rPr>
        <w:t xml:space="preserve">, la Corte nota que </w:t>
      </w:r>
      <w:r w:rsidR="00CA131D" w:rsidRPr="0064597D">
        <w:rPr>
          <w:sz w:val="20"/>
          <w:szCs w:val="20"/>
        </w:rPr>
        <w:t xml:space="preserve">ésta </w:t>
      </w:r>
      <w:r w:rsidR="004C2B96" w:rsidRPr="0064597D">
        <w:rPr>
          <w:sz w:val="20"/>
          <w:szCs w:val="20"/>
        </w:rPr>
        <w:t xml:space="preserve">nunca fue ejecutada, </w:t>
      </w:r>
      <w:r w:rsidRPr="0064597D">
        <w:rPr>
          <w:sz w:val="20"/>
          <w:szCs w:val="20"/>
        </w:rPr>
        <w:t>toda vez</w:t>
      </w:r>
      <w:r w:rsidR="004C2B96" w:rsidRPr="0064597D">
        <w:rPr>
          <w:sz w:val="20"/>
          <w:szCs w:val="20"/>
        </w:rPr>
        <w:t xml:space="preserve"> que la presunta víctima falleció</w:t>
      </w:r>
      <w:r w:rsidRPr="0064597D">
        <w:rPr>
          <w:sz w:val="20"/>
          <w:szCs w:val="20"/>
        </w:rPr>
        <w:t xml:space="preserve"> por circunstancias ajenas a la eventual ejecución</w:t>
      </w:r>
      <w:r w:rsidR="004C2B96" w:rsidRPr="0064597D">
        <w:rPr>
          <w:sz w:val="20"/>
          <w:szCs w:val="20"/>
        </w:rPr>
        <w:t xml:space="preserve"> de la pena capital. En este sentido, considera que el Estado no violó el artículo 4.1 de la Convención, en relación al artículo 1.1 del mismo instrumento</w:t>
      </w:r>
      <w:r w:rsidR="00CA131D" w:rsidRPr="0064597D">
        <w:rPr>
          <w:sz w:val="20"/>
          <w:szCs w:val="20"/>
        </w:rPr>
        <w:t xml:space="preserve">, sin perjuicio de que la Corte analice y determine </w:t>
      </w:r>
      <w:r w:rsidR="00A91A39" w:rsidRPr="0064597D">
        <w:rPr>
          <w:sz w:val="20"/>
          <w:szCs w:val="20"/>
        </w:rPr>
        <w:t xml:space="preserve">lo pertinente </w:t>
      </w:r>
      <w:r w:rsidR="00CA131D" w:rsidRPr="0064597D">
        <w:rPr>
          <w:sz w:val="20"/>
          <w:szCs w:val="20"/>
        </w:rPr>
        <w:t>en el siguiente capítulo relativo al derecho a la vida.</w:t>
      </w:r>
      <w:r w:rsidR="004C2B96" w:rsidRPr="0064597D">
        <w:rPr>
          <w:sz w:val="20"/>
          <w:szCs w:val="20"/>
        </w:rPr>
        <w:t xml:space="preserve"> </w:t>
      </w:r>
    </w:p>
    <w:p w14:paraId="4726E67B" w14:textId="1E1277DE" w:rsidR="00960A67" w:rsidRPr="0064597D" w:rsidRDefault="00544B95" w:rsidP="00377181">
      <w:pPr>
        <w:pStyle w:val="Ttulo3"/>
        <w:rPr>
          <w:lang w:eastAsia="en-US"/>
        </w:rPr>
      </w:pPr>
      <w:bookmarkStart w:id="65" w:name="_Toc24014552"/>
      <w:r w:rsidRPr="0064597D">
        <w:t xml:space="preserve">b.2 </w:t>
      </w:r>
      <w:r w:rsidRPr="0064597D">
        <w:tab/>
      </w:r>
      <w:r w:rsidR="00ED056E" w:rsidRPr="0064597D">
        <w:rPr>
          <w:lang w:eastAsia="en-US"/>
        </w:rPr>
        <w:t>Derecho</w:t>
      </w:r>
      <w:r w:rsidR="00960A67" w:rsidRPr="0064597D">
        <w:rPr>
          <w:lang w:eastAsia="en-US"/>
        </w:rPr>
        <w:t xml:space="preserve"> a solicitar amnistía, indulto o conmutación de la pena</w:t>
      </w:r>
      <w:bookmarkEnd w:id="65"/>
    </w:p>
    <w:p w14:paraId="071C0F3E" w14:textId="4362E97C" w:rsidR="00CD0B99" w:rsidRPr="0064597D" w:rsidRDefault="00203BA6" w:rsidP="00CD0B99">
      <w:pPr>
        <w:numPr>
          <w:ilvl w:val="0"/>
          <w:numId w:val="1"/>
        </w:numPr>
        <w:tabs>
          <w:tab w:val="left" w:pos="567"/>
        </w:tabs>
        <w:spacing w:line="240" w:lineRule="auto"/>
        <w:ind w:left="0" w:firstLine="0"/>
        <w:rPr>
          <w:sz w:val="20"/>
          <w:szCs w:val="20"/>
          <w:lang w:val="es-ES_tradnl"/>
        </w:rPr>
      </w:pPr>
      <w:r w:rsidRPr="0064597D">
        <w:rPr>
          <w:sz w:val="20"/>
          <w:szCs w:val="20"/>
        </w:rPr>
        <w:t>E</w:t>
      </w:r>
      <w:r w:rsidR="00CD0B99" w:rsidRPr="0064597D">
        <w:rPr>
          <w:sz w:val="20"/>
          <w:szCs w:val="20"/>
        </w:rPr>
        <w:t>l 16 de diciembre de 2003 el señor Ru</w:t>
      </w:r>
      <w:r w:rsidR="00367583" w:rsidRPr="0064597D">
        <w:rPr>
          <w:sz w:val="20"/>
          <w:szCs w:val="20"/>
        </w:rPr>
        <w:t>i</w:t>
      </w:r>
      <w:r w:rsidR="00CD0B99" w:rsidRPr="0064597D">
        <w:rPr>
          <w:sz w:val="20"/>
          <w:szCs w:val="20"/>
        </w:rPr>
        <w:t>z Fuentes presentó un recurso de gracia ante el Ministro de Gobernación de Guatemala</w:t>
      </w:r>
      <w:r w:rsidR="005E3DA0">
        <w:rPr>
          <w:sz w:val="20"/>
          <w:szCs w:val="20"/>
        </w:rPr>
        <w:t>,</w:t>
      </w:r>
      <w:r w:rsidR="00CD0B99" w:rsidRPr="0064597D">
        <w:rPr>
          <w:sz w:val="20"/>
          <w:szCs w:val="20"/>
        </w:rPr>
        <w:t xml:space="preserve"> solicitando que se conmu</w:t>
      </w:r>
      <w:r w:rsidR="005E3DA0">
        <w:rPr>
          <w:sz w:val="20"/>
          <w:szCs w:val="20"/>
        </w:rPr>
        <w:t>tase la pena de muerte impuesta</w:t>
      </w:r>
      <w:r w:rsidR="00CD0B99" w:rsidRPr="0064597D">
        <w:rPr>
          <w:sz w:val="20"/>
          <w:szCs w:val="20"/>
        </w:rPr>
        <w:t xml:space="preserve"> por la inmediata inferior de cincuenta años. Del expediente que obra en esta Corte, así como </w:t>
      </w:r>
      <w:r w:rsidR="00367583" w:rsidRPr="0064597D">
        <w:rPr>
          <w:sz w:val="20"/>
          <w:szCs w:val="20"/>
        </w:rPr>
        <w:t>en virtud</w:t>
      </w:r>
      <w:r w:rsidR="00CD0B99" w:rsidRPr="0064597D">
        <w:rPr>
          <w:sz w:val="20"/>
          <w:szCs w:val="20"/>
        </w:rPr>
        <w:t xml:space="preserve"> de la prueba aportada por las partes y la Comisión, se desprende que el Ministerio de Gobernación no dio trámite al mencionado recurso de gracia. En el mismo sentido, si bien el Estado en sus alegatos finales escritos mencionó haber conmutado la pena del señor Ruíz Fuentes</w:t>
      </w:r>
      <w:r w:rsidR="00B53452" w:rsidRPr="0064597D">
        <w:rPr>
          <w:sz w:val="20"/>
          <w:szCs w:val="20"/>
        </w:rPr>
        <w:t xml:space="preserve"> por la pena máxima de privación de libertad</w:t>
      </w:r>
      <w:r w:rsidR="00CD0B99" w:rsidRPr="0064597D">
        <w:rPr>
          <w:sz w:val="20"/>
          <w:szCs w:val="20"/>
        </w:rPr>
        <w:t>, no aportó el acervo probatorio necesario para que este Tribunal pudiera comprobar tal afirmación.</w:t>
      </w:r>
      <w:r w:rsidR="00283CC1" w:rsidRPr="0064597D">
        <w:rPr>
          <w:sz w:val="20"/>
          <w:szCs w:val="20"/>
        </w:rPr>
        <w:t xml:space="preserve"> </w:t>
      </w:r>
    </w:p>
    <w:p w14:paraId="5A81847B" w14:textId="77777777" w:rsidR="00CD0B99" w:rsidRPr="0064597D" w:rsidRDefault="00CD0B99" w:rsidP="00CD0B99">
      <w:pPr>
        <w:tabs>
          <w:tab w:val="left" w:pos="567"/>
        </w:tabs>
        <w:spacing w:line="240" w:lineRule="auto"/>
        <w:rPr>
          <w:sz w:val="20"/>
          <w:szCs w:val="20"/>
          <w:lang w:val="es-ES_tradnl"/>
        </w:rPr>
      </w:pPr>
    </w:p>
    <w:p w14:paraId="35C43D0C" w14:textId="07EF3D14" w:rsidR="00CD0B99" w:rsidRPr="0064597D" w:rsidRDefault="00367583" w:rsidP="00367583">
      <w:pPr>
        <w:numPr>
          <w:ilvl w:val="0"/>
          <w:numId w:val="1"/>
        </w:numPr>
        <w:tabs>
          <w:tab w:val="left" w:pos="567"/>
        </w:tabs>
        <w:spacing w:line="240" w:lineRule="auto"/>
        <w:ind w:left="0" w:firstLine="0"/>
        <w:rPr>
          <w:sz w:val="20"/>
          <w:szCs w:val="20"/>
          <w:lang w:val="es-ES_tradnl"/>
        </w:rPr>
      </w:pPr>
      <w:r w:rsidRPr="0064597D">
        <w:rPr>
          <w:sz w:val="20"/>
          <w:szCs w:val="20"/>
        </w:rPr>
        <w:t>Sentado lo anterior</w:t>
      </w:r>
      <w:r w:rsidR="00CD0B99" w:rsidRPr="0064597D">
        <w:rPr>
          <w:sz w:val="20"/>
          <w:szCs w:val="20"/>
        </w:rPr>
        <w:t xml:space="preserve">, la Corte </w:t>
      </w:r>
      <w:r w:rsidRPr="0064597D">
        <w:rPr>
          <w:sz w:val="20"/>
          <w:szCs w:val="20"/>
        </w:rPr>
        <w:t>recuerda que ya</w:t>
      </w:r>
      <w:r w:rsidR="00CD0B99" w:rsidRPr="0064597D">
        <w:rPr>
          <w:sz w:val="20"/>
          <w:szCs w:val="20"/>
        </w:rPr>
        <w:t xml:space="preserve"> se pronunció </w:t>
      </w:r>
      <w:r w:rsidRPr="0064597D">
        <w:rPr>
          <w:sz w:val="20"/>
          <w:szCs w:val="20"/>
        </w:rPr>
        <w:t xml:space="preserve">a este respecto </w:t>
      </w:r>
      <w:r w:rsidR="00CD0B99" w:rsidRPr="0064597D">
        <w:rPr>
          <w:sz w:val="20"/>
          <w:szCs w:val="20"/>
        </w:rPr>
        <w:t xml:space="preserve">en </w:t>
      </w:r>
      <w:r w:rsidR="00283CC1" w:rsidRPr="0064597D">
        <w:rPr>
          <w:sz w:val="20"/>
          <w:szCs w:val="20"/>
        </w:rPr>
        <w:t xml:space="preserve">los casos </w:t>
      </w:r>
      <w:r w:rsidR="00283CC1" w:rsidRPr="0064597D">
        <w:rPr>
          <w:i/>
          <w:iCs/>
          <w:sz w:val="20"/>
          <w:szCs w:val="20"/>
        </w:rPr>
        <w:t>Fermín Ramírez Vs. Guatemala</w:t>
      </w:r>
      <w:r w:rsidR="00283CC1" w:rsidRPr="0064597D">
        <w:rPr>
          <w:sz w:val="20"/>
          <w:szCs w:val="20"/>
        </w:rPr>
        <w:t xml:space="preserve"> y </w:t>
      </w:r>
      <w:r w:rsidRPr="0064597D">
        <w:rPr>
          <w:i/>
          <w:iCs/>
          <w:sz w:val="20"/>
          <w:szCs w:val="20"/>
        </w:rPr>
        <w:t>Raxcacó Reyes Vs. Guatemala</w:t>
      </w:r>
      <w:r w:rsidR="00CD0B99" w:rsidRPr="0064597D">
        <w:rPr>
          <w:sz w:val="20"/>
          <w:szCs w:val="20"/>
        </w:rPr>
        <w:t xml:space="preserve">, </w:t>
      </w:r>
      <w:r w:rsidRPr="0064597D">
        <w:rPr>
          <w:sz w:val="20"/>
          <w:szCs w:val="20"/>
        </w:rPr>
        <w:t>y señaló que</w:t>
      </w:r>
      <w:r w:rsidR="00CD0B99" w:rsidRPr="0064597D">
        <w:rPr>
          <w:sz w:val="20"/>
          <w:szCs w:val="20"/>
        </w:rPr>
        <w:t xml:space="preserve"> el sentido de que la derogación del Decreto No. 159 de 1892</w:t>
      </w:r>
      <w:r w:rsidR="00750705" w:rsidRPr="0064597D">
        <w:rPr>
          <w:sz w:val="20"/>
          <w:szCs w:val="20"/>
        </w:rPr>
        <w:t xml:space="preserve"> (</w:t>
      </w:r>
      <w:r w:rsidR="00750705" w:rsidRPr="0064597D">
        <w:rPr>
          <w:i/>
          <w:sz w:val="20"/>
          <w:szCs w:val="20"/>
        </w:rPr>
        <w:t>supra</w:t>
      </w:r>
      <w:r w:rsidR="00750705" w:rsidRPr="0064597D">
        <w:rPr>
          <w:sz w:val="20"/>
          <w:szCs w:val="20"/>
        </w:rPr>
        <w:t xml:space="preserve"> párr. </w:t>
      </w:r>
      <w:r w:rsidR="00530469" w:rsidRPr="0064597D">
        <w:rPr>
          <w:sz w:val="20"/>
          <w:szCs w:val="20"/>
        </w:rPr>
        <w:t>44</w:t>
      </w:r>
      <w:r w:rsidR="00750705" w:rsidRPr="0064597D">
        <w:rPr>
          <w:sz w:val="20"/>
          <w:szCs w:val="20"/>
        </w:rPr>
        <w:t>)</w:t>
      </w:r>
      <w:r w:rsidR="00CD0B99" w:rsidRPr="0064597D">
        <w:rPr>
          <w:sz w:val="20"/>
          <w:szCs w:val="20"/>
        </w:rPr>
        <w:t xml:space="preserve"> tuvo como consecuencia que se suprimiera la facultad atribuida a un organismo del Estado de conocer y resolver el derecho de gracia estipulado en el artículo 4.6 de la Convención</w:t>
      </w:r>
      <w:r w:rsidR="00CD0B99" w:rsidRPr="0064597D">
        <w:rPr>
          <w:rStyle w:val="Refdenotaalpie"/>
          <w:sz w:val="20"/>
          <w:szCs w:val="20"/>
        </w:rPr>
        <w:footnoteReference w:id="110"/>
      </w:r>
      <w:r w:rsidR="00283CC1" w:rsidRPr="0064597D">
        <w:rPr>
          <w:sz w:val="20"/>
          <w:szCs w:val="20"/>
        </w:rPr>
        <w:t xml:space="preserve">, un derecho que además forma parte del </w:t>
      </w:r>
      <w:r w:rsidR="00283CC1" w:rsidRPr="0064597D">
        <w:rPr>
          <w:i/>
          <w:iCs/>
          <w:sz w:val="20"/>
          <w:szCs w:val="20"/>
        </w:rPr>
        <w:t>corpus juris internacional</w:t>
      </w:r>
      <w:r w:rsidR="00283CC1" w:rsidRPr="0064597D">
        <w:rPr>
          <w:rStyle w:val="Refdenotaalpie"/>
          <w:sz w:val="20"/>
          <w:szCs w:val="20"/>
        </w:rPr>
        <w:footnoteReference w:id="111"/>
      </w:r>
      <w:r w:rsidR="00CD0B99" w:rsidRPr="0064597D">
        <w:rPr>
          <w:sz w:val="20"/>
          <w:szCs w:val="20"/>
        </w:rPr>
        <w:t>. Por ello, la Corte consideró que el Estado incumplió la obligación derivada d</w:t>
      </w:r>
      <w:r w:rsidR="00CD0B99" w:rsidRPr="0064597D">
        <w:rPr>
          <w:bCs/>
          <w:sz w:val="20"/>
          <w:szCs w:val="20"/>
        </w:rPr>
        <w:t>el artículo 4.6 de la Convención, en relación con los artículos 1.1 y 2 de la misma</w:t>
      </w:r>
      <w:r w:rsidR="00CD0B99" w:rsidRPr="0064597D">
        <w:rPr>
          <w:rStyle w:val="Refdenotaalpie"/>
          <w:bCs/>
          <w:sz w:val="20"/>
          <w:szCs w:val="20"/>
        </w:rPr>
        <w:footnoteReference w:id="112"/>
      </w:r>
      <w:r w:rsidR="00CD0B99" w:rsidRPr="0064597D">
        <w:rPr>
          <w:sz w:val="20"/>
          <w:szCs w:val="20"/>
        </w:rPr>
        <w:t>.</w:t>
      </w:r>
      <w:r w:rsidR="00E2284B" w:rsidRPr="0064597D">
        <w:rPr>
          <w:sz w:val="20"/>
          <w:szCs w:val="20"/>
        </w:rPr>
        <w:t xml:space="preserve"> En el presente caso, la Corte concluye en el mismo sentido.</w:t>
      </w:r>
      <w:r w:rsidR="00474207" w:rsidRPr="0064597D">
        <w:rPr>
          <w:sz w:val="20"/>
          <w:szCs w:val="20"/>
        </w:rPr>
        <w:t xml:space="preserve"> </w:t>
      </w:r>
    </w:p>
    <w:p w14:paraId="377DE552" w14:textId="5F22C01B" w:rsidR="00697237" w:rsidRPr="0064597D" w:rsidRDefault="00544B95" w:rsidP="00377181">
      <w:pPr>
        <w:pStyle w:val="Ttulo3"/>
        <w:rPr>
          <w:lang w:eastAsia="en-US"/>
        </w:rPr>
      </w:pPr>
      <w:bookmarkStart w:id="66" w:name="_Toc24014553"/>
      <w:r w:rsidRPr="0064597D">
        <w:t xml:space="preserve">b.3 </w:t>
      </w:r>
      <w:r w:rsidRPr="0064597D">
        <w:tab/>
      </w:r>
      <w:r w:rsidR="00697237" w:rsidRPr="0064597D">
        <w:rPr>
          <w:lang w:eastAsia="en-US"/>
        </w:rPr>
        <w:t>Violación del artículo 2 de la Convención</w:t>
      </w:r>
      <w:r w:rsidR="00A0352F" w:rsidRPr="0064597D">
        <w:rPr>
          <w:lang w:eastAsia="en-US"/>
        </w:rPr>
        <w:t xml:space="preserve"> Americana</w:t>
      </w:r>
      <w:bookmarkEnd w:id="66"/>
    </w:p>
    <w:p w14:paraId="0C0985AF" w14:textId="5B18A8C0" w:rsidR="00CD0B99" w:rsidRPr="0064597D" w:rsidRDefault="00CD0B99" w:rsidP="00CD0B99">
      <w:pPr>
        <w:numPr>
          <w:ilvl w:val="0"/>
          <w:numId w:val="1"/>
        </w:numPr>
        <w:tabs>
          <w:tab w:val="left" w:pos="567"/>
        </w:tabs>
        <w:spacing w:line="240" w:lineRule="auto"/>
        <w:ind w:left="0" w:firstLine="0"/>
        <w:rPr>
          <w:sz w:val="20"/>
          <w:szCs w:val="20"/>
          <w:lang w:val="es-ES_tradnl"/>
        </w:rPr>
      </w:pPr>
      <w:r w:rsidRPr="0064597D">
        <w:rPr>
          <w:rFonts w:cs="Verdana"/>
          <w:sz w:val="20"/>
          <w:szCs w:val="20"/>
        </w:rPr>
        <w:t xml:space="preserve">Con relación a las consideraciones anteriores, la Corte recuerda que el artículo 2 de la Convención Americana </w:t>
      </w:r>
      <w:r w:rsidRPr="0064597D">
        <w:rPr>
          <w:sz w:val="20"/>
          <w:szCs w:val="20"/>
        </w:rPr>
        <w:t>obliga</w:t>
      </w:r>
      <w:r w:rsidRPr="0064597D">
        <w:rPr>
          <w:rFonts w:cs="Verdana"/>
          <w:sz w:val="20"/>
          <w:szCs w:val="20"/>
        </w:rPr>
        <w:t xml:space="preserve"> a los Estados Partes a adoptar, con arreglo a sus procedimientos constitucionales y a las disposiciones de la Convención, las medidas legislativas o de otro carácter que fueren necesarias para hacer efectivos los derechos y libertades protegidos por aquélla. Es necesario reafirmar que la obligación de adaptar la legislación interna sólo se satisface cuando efectivamente se realiza</w:t>
      </w:r>
      <w:r w:rsidR="00682328" w:rsidRPr="0064597D">
        <w:rPr>
          <w:rFonts w:cs="Verdana"/>
          <w:sz w:val="20"/>
          <w:szCs w:val="20"/>
        </w:rPr>
        <w:t>n</w:t>
      </w:r>
      <w:r w:rsidRPr="0064597D">
        <w:rPr>
          <w:rFonts w:cs="Verdana"/>
          <w:sz w:val="20"/>
          <w:szCs w:val="20"/>
        </w:rPr>
        <w:t xml:space="preserve"> las reformas necesarias y adecuadas</w:t>
      </w:r>
      <w:r w:rsidR="00A0352F" w:rsidRPr="0064597D">
        <w:rPr>
          <w:rStyle w:val="Refdenotaalpie"/>
          <w:rFonts w:cs="Verdana"/>
          <w:sz w:val="20"/>
          <w:szCs w:val="20"/>
        </w:rPr>
        <w:footnoteReference w:id="113"/>
      </w:r>
      <w:r w:rsidRPr="0064597D">
        <w:rPr>
          <w:rFonts w:cs="Verdana"/>
          <w:sz w:val="20"/>
          <w:szCs w:val="20"/>
        </w:rPr>
        <w:t xml:space="preserve">. </w:t>
      </w:r>
    </w:p>
    <w:p w14:paraId="645A398D" w14:textId="77777777" w:rsidR="00CD0B99" w:rsidRPr="0064597D" w:rsidRDefault="00CD0B99" w:rsidP="00CD0B99">
      <w:pPr>
        <w:tabs>
          <w:tab w:val="left" w:pos="567"/>
        </w:tabs>
        <w:spacing w:line="240" w:lineRule="auto"/>
        <w:rPr>
          <w:sz w:val="20"/>
          <w:szCs w:val="20"/>
          <w:lang w:val="es-ES_tradnl"/>
        </w:rPr>
      </w:pPr>
    </w:p>
    <w:p w14:paraId="745ED227" w14:textId="78C907E9" w:rsidR="00CD0B99" w:rsidRPr="0064597D" w:rsidRDefault="00CD0B99" w:rsidP="00E2380F">
      <w:pPr>
        <w:numPr>
          <w:ilvl w:val="0"/>
          <w:numId w:val="1"/>
        </w:numPr>
        <w:tabs>
          <w:tab w:val="left" w:pos="567"/>
        </w:tabs>
        <w:spacing w:line="240" w:lineRule="auto"/>
        <w:ind w:left="0" w:firstLine="0"/>
        <w:rPr>
          <w:sz w:val="20"/>
          <w:szCs w:val="20"/>
          <w:lang w:val="es-ES_tradnl"/>
        </w:rPr>
      </w:pPr>
      <w:r w:rsidRPr="0064597D">
        <w:rPr>
          <w:rFonts w:cs="Verdana"/>
          <w:sz w:val="20"/>
          <w:szCs w:val="20"/>
        </w:rPr>
        <w:t>En el pres</w:t>
      </w:r>
      <w:r w:rsidR="00254858" w:rsidRPr="0064597D">
        <w:rPr>
          <w:rFonts w:cs="Verdana"/>
          <w:sz w:val="20"/>
          <w:szCs w:val="20"/>
        </w:rPr>
        <w:t>ente caso, la Corte estima que</w:t>
      </w:r>
      <w:r w:rsidRPr="0064597D">
        <w:rPr>
          <w:rFonts w:cs="Verdana"/>
          <w:sz w:val="20"/>
          <w:szCs w:val="20"/>
        </w:rPr>
        <w:t xml:space="preserve"> se </w:t>
      </w:r>
      <w:r w:rsidR="00ED056E" w:rsidRPr="0064597D">
        <w:rPr>
          <w:rFonts w:cs="Verdana"/>
          <w:sz w:val="20"/>
          <w:szCs w:val="20"/>
        </w:rPr>
        <w:t>incumplió lo establecido en</w:t>
      </w:r>
      <w:r w:rsidRPr="0064597D">
        <w:rPr>
          <w:rFonts w:cs="Verdana"/>
          <w:sz w:val="20"/>
          <w:szCs w:val="20"/>
        </w:rPr>
        <w:t xml:space="preserve"> el artículo 2 de la </w:t>
      </w:r>
      <w:r w:rsidRPr="0064597D">
        <w:rPr>
          <w:rFonts w:cs="Verdana"/>
          <w:sz w:val="20"/>
          <w:szCs w:val="20"/>
        </w:rPr>
        <w:lastRenderedPageBreak/>
        <w:t>Convención</w:t>
      </w:r>
      <w:r w:rsidR="00CE6F17" w:rsidRPr="0064597D">
        <w:rPr>
          <w:rFonts w:cs="Verdana"/>
          <w:sz w:val="20"/>
          <w:szCs w:val="20"/>
        </w:rPr>
        <w:t xml:space="preserve"> pues </w:t>
      </w:r>
      <w:r w:rsidRPr="0064597D">
        <w:rPr>
          <w:rFonts w:cs="Verdana"/>
          <w:sz w:val="20"/>
          <w:szCs w:val="20"/>
        </w:rPr>
        <w:t xml:space="preserve">el artículo 201 del Código Penal guatemalteco, </w:t>
      </w:r>
      <w:r w:rsidR="00254858" w:rsidRPr="0064597D">
        <w:rPr>
          <w:rFonts w:cs="Verdana"/>
          <w:sz w:val="20"/>
          <w:szCs w:val="20"/>
        </w:rPr>
        <w:t>el cual</w:t>
      </w:r>
      <w:r w:rsidRPr="0064597D">
        <w:rPr>
          <w:rFonts w:cs="Verdana"/>
          <w:sz w:val="20"/>
          <w:szCs w:val="20"/>
        </w:rPr>
        <w:t xml:space="preserve"> sanciona</w:t>
      </w:r>
      <w:r w:rsidR="00ED056E" w:rsidRPr="0064597D">
        <w:rPr>
          <w:rFonts w:cs="Verdana"/>
          <w:sz w:val="20"/>
          <w:szCs w:val="20"/>
        </w:rPr>
        <w:t>ba</w:t>
      </w:r>
      <w:r w:rsidRPr="0064597D">
        <w:rPr>
          <w:rFonts w:cs="Verdana"/>
          <w:sz w:val="20"/>
          <w:szCs w:val="20"/>
        </w:rPr>
        <w:t xml:space="preserve"> con pena de muerte obligatoria cualquier forma de plagio o secuestro y amplía el número de delitos sancionados con dicha pena, </w:t>
      </w:r>
      <w:r w:rsidR="00ED056E" w:rsidRPr="0064597D">
        <w:rPr>
          <w:rFonts w:cs="Verdana"/>
          <w:sz w:val="20"/>
          <w:szCs w:val="20"/>
        </w:rPr>
        <w:t>e</w:t>
      </w:r>
      <w:r w:rsidR="00CE6F17" w:rsidRPr="0064597D">
        <w:rPr>
          <w:rFonts w:cs="Verdana"/>
          <w:sz w:val="20"/>
          <w:szCs w:val="20"/>
        </w:rPr>
        <w:t xml:space="preserve">s </w:t>
      </w:r>
      <w:r w:rsidRPr="0064597D">
        <w:rPr>
          <w:rFonts w:cs="Verdana"/>
          <w:sz w:val="20"/>
          <w:szCs w:val="20"/>
        </w:rPr>
        <w:t>violatori</w:t>
      </w:r>
      <w:r w:rsidR="00CE6F17" w:rsidRPr="0064597D">
        <w:rPr>
          <w:rFonts w:cs="Verdana"/>
          <w:sz w:val="20"/>
          <w:szCs w:val="20"/>
        </w:rPr>
        <w:t>o</w:t>
      </w:r>
      <w:r w:rsidRPr="0064597D">
        <w:rPr>
          <w:rFonts w:cs="Verdana"/>
          <w:sz w:val="20"/>
          <w:szCs w:val="20"/>
        </w:rPr>
        <w:t xml:space="preserve"> de </w:t>
      </w:r>
      <w:r w:rsidR="00254858" w:rsidRPr="0064597D">
        <w:rPr>
          <w:rFonts w:cs="Verdana"/>
          <w:sz w:val="20"/>
          <w:szCs w:val="20"/>
        </w:rPr>
        <w:t>dicha</w:t>
      </w:r>
      <w:r w:rsidRPr="0064597D">
        <w:rPr>
          <w:rFonts w:cs="Verdana"/>
          <w:sz w:val="20"/>
          <w:szCs w:val="20"/>
        </w:rPr>
        <w:t xml:space="preserve"> disposición</w:t>
      </w:r>
      <w:r w:rsidRPr="0064597D">
        <w:rPr>
          <w:sz w:val="20"/>
          <w:szCs w:val="20"/>
          <w:lang w:val="es-ES_tradnl"/>
        </w:rPr>
        <w:t xml:space="preserve"> </w:t>
      </w:r>
      <w:r w:rsidRPr="0064597D">
        <w:rPr>
          <w:rFonts w:cs="Verdana"/>
          <w:sz w:val="20"/>
          <w:szCs w:val="20"/>
        </w:rPr>
        <w:t>convencional</w:t>
      </w:r>
      <w:r w:rsidRPr="0064597D">
        <w:rPr>
          <w:rStyle w:val="Refdenotaalpie"/>
          <w:rFonts w:cs="Verdana"/>
          <w:sz w:val="20"/>
          <w:szCs w:val="20"/>
        </w:rPr>
        <w:footnoteReference w:id="114"/>
      </w:r>
      <w:r w:rsidRPr="0064597D">
        <w:rPr>
          <w:rFonts w:cs="Verdana"/>
          <w:sz w:val="20"/>
          <w:szCs w:val="20"/>
        </w:rPr>
        <w:t>.</w:t>
      </w:r>
      <w:r w:rsidR="00E2380F" w:rsidRPr="0064597D">
        <w:rPr>
          <w:sz w:val="20"/>
          <w:szCs w:val="20"/>
          <w:lang w:val="es-ES_tradnl"/>
        </w:rPr>
        <w:t xml:space="preserve"> </w:t>
      </w:r>
      <w:r w:rsidRPr="0064597D">
        <w:rPr>
          <w:rFonts w:cs="Verdana"/>
          <w:sz w:val="20"/>
          <w:szCs w:val="20"/>
        </w:rPr>
        <w:t>Igualmente,</w:t>
      </w:r>
      <w:r w:rsidR="005E3DA0">
        <w:rPr>
          <w:rFonts w:cs="Verdana"/>
          <w:sz w:val="20"/>
          <w:szCs w:val="20"/>
        </w:rPr>
        <w:t xml:space="preserve"> y tal y como se ha señalado previamente (</w:t>
      </w:r>
      <w:r w:rsidR="005E3DA0" w:rsidRPr="005E3DA0">
        <w:rPr>
          <w:rFonts w:cs="Verdana"/>
          <w:i/>
          <w:sz w:val="20"/>
          <w:szCs w:val="20"/>
        </w:rPr>
        <w:t>supra</w:t>
      </w:r>
      <w:r w:rsidR="005E3DA0">
        <w:rPr>
          <w:rFonts w:cs="Verdana"/>
          <w:sz w:val="20"/>
          <w:szCs w:val="20"/>
        </w:rPr>
        <w:t xml:space="preserve"> párr. 91),</w:t>
      </w:r>
      <w:r w:rsidRPr="0064597D">
        <w:rPr>
          <w:rFonts w:cs="Verdana"/>
          <w:sz w:val="20"/>
          <w:szCs w:val="20"/>
        </w:rPr>
        <w:t xml:space="preserve"> la falta de legislación nacional que </w:t>
      </w:r>
      <w:r w:rsidR="00254858" w:rsidRPr="0064597D">
        <w:rPr>
          <w:rFonts w:cs="Verdana"/>
          <w:sz w:val="20"/>
          <w:szCs w:val="20"/>
        </w:rPr>
        <w:t>hiciera</w:t>
      </w:r>
      <w:r w:rsidRPr="0064597D">
        <w:rPr>
          <w:rFonts w:cs="Verdana"/>
          <w:sz w:val="20"/>
          <w:szCs w:val="20"/>
        </w:rPr>
        <w:t xml:space="preserve"> efectivo el derecho a solicitar indulto, amnistía o conmutación de la pena, en los términos del artículo 4.6 de la Convención Americana, constituy</w:t>
      </w:r>
      <w:r w:rsidR="00254858" w:rsidRPr="0064597D">
        <w:rPr>
          <w:rFonts w:cs="Verdana"/>
          <w:sz w:val="20"/>
          <w:szCs w:val="20"/>
        </w:rPr>
        <w:t>ó</w:t>
      </w:r>
      <w:r w:rsidRPr="0064597D">
        <w:rPr>
          <w:rFonts w:cs="Verdana"/>
          <w:sz w:val="20"/>
          <w:szCs w:val="20"/>
        </w:rPr>
        <w:t xml:space="preserve"> un nuevo incumplimiento del artículo 2 de la misma.</w:t>
      </w:r>
    </w:p>
    <w:p w14:paraId="473ECDC3" w14:textId="1DD342FD" w:rsidR="00697237" w:rsidRPr="0064597D" w:rsidRDefault="00544B95" w:rsidP="00377181">
      <w:pPr>
        <w:pStyle w:val="Ttulo3"/>
        <w:rPr>
          <w:lang w:eastAsia="en-US"/>
        </w:rPr>
      </w:pPr>
      <w:bookmarkStart w:id="67" w:name="_Toc24014554"/>
      <w:r w:rsidRPr="0064597D">
        <w:t xml:space="preserve">b.4 </w:t>
      </w:r>
      <w:r w:rsidRPr="0064597D">
        <w:tab/>
      </w:r>
      <w:r w:rsidR="00697237" w:rsidRPr="0064597D">
        <w:rPr>
          <w:lang w:eastAsia="en-US"/>
        </w:rPr>
        <w:t>Conclusión</w:t>
      </w:r>
      <w:bookmarkEnd w:id="67"/>
    </w:p>
    <w:p w14:paraId="7AA08E69" w14:textId="11849020" w:rsidR="00CD0B99" w:rsidRPr="0064597D" w:rsidRDefault="00A95651" w:rsidP="00A95651">
      <w:pPr>
        <w:numPr>
          <w:ilvl w:val="0"/>
          <w:numId w:val="1"/>
        </w:numPr>
        <w:tabs>
          <w:tab w:val="left" w:pos="567"/>
        </w:tabs>
        <w:spacing w:line="240" w:lineRule="auto"/>
        <w:ind w:left="0" w:firstLine="0"/>
        <w:rPr>
          <w:sz w:val="20"/>
          <w:szCs w:val="20"/>
        </w:rPr>
      </w:pPr>
      <w:r w:rsidRPr="0064597D">
        <w:rPr>
          <w:sz w:val="20"/>
          <w:szCs w:val="20"/>
        </w:rPr>
        <w:t xml:space="preserve">En virtud del análisis y las determinaciones realizadas en este capítulo, </w:t>
      </w:r>
      <w:r w:rsidR="00CD0B99" w:rsidRPr="0064597D">
        <w:rPr>
          <w:sz w:val="20"/>
          <w:szCs w:val="20"/>
        </w:rPr>
        <w:t>este Tribunal concluye que el Estado es responsable internacionalmente de la violación de los derechos reconocidos en los artículos 4.2 y 4.6 de la Convención Americana, en relación con los artículos 1.1 y 2 del mismo instrumento, en perjuicio de</w:t>
      </w:r>
      <w:r w:rsidR="00474207" w:rsidRPr="0064597D">
        <w:rPr>
          <w:sz w:val="20"/>
          <w:szCs w:val="20"/>
        </w:rPr>
        <w:t>l señor Hugo Humberto Rui</w:t>
      </w:r>
      <w:r w:rsidR="00CD0B99" w:rsidRPr="0064597D">
        <w:rPr>
          <w:sz w:val="20"/>
          <w:szCs w:val="20"/>
        </w:rPr>
        <w:t xml:space="preserve">z Fuentes. </w:t>
      </w:r>
      <w:r w:rsidR="00E2284B" w:rsidRPr="0064597D">
        <w:rPr>
          <w:sz w:val="20"/>
          <w:szCs w:val="20"/>
        </w:rPr>
        <w:t>Asimismo, el Estado no es responsable por la violación del artículo 4.1 de la Convención Americana, en relación el artículo 1.1 del mismo instrumento.</w:t>
      </w:r>
    </w:p>
    <w:p w14:paraId="7C845856" w14:textId="243242FC" w:rsidR="00F4645B" w:rsidRPr="0064597D" w:rsidRDefault="00832D41" w:rsidP="002F4F08">
      <w:pPr>
        <w:pStyle w:val="Ttulo1"/>
      </w:pPr>
      <w:bookmarkStart w:id="68" w:name="_Toc24014555"/>
      <w:r w:rsidRPr="0064597D">
        <w:t>VII</w:t>
      </w:r>
      <w:r w:rsidR="00EA52BD" w:rsidRPr="0064597D">
        <w:t>I</w:t>
      </w:r>
      <w:r w:rsidRPr="0064597D">
        <w:t>-2</w:t>
      </w:r>
      <w:r w:rsidR="006B597B" w:rsidRPr="0064597D">
        <w:t xml:space="preserve"> </w:t>
      </w:r>
      <w:r w:rsidRPr="0064597D">
        <w:br/>
      </w:r>
      <w:r w:rsidR="00BB0091" w:rsidRPr="0064597D">
        <w:t>DERECHO A LA VIDA</w:t>
      </w:r>
      <w:r w:rsidR="00FE532C" w:rsidRPr="0064597D">
        <w:t>,</w:t>
      </w:r>
      <w:r w:rsidR="00BB0091" w:rsidRPr="0064597D">
        <w:t xml:space="preserve"> CON MOTIVO DE LA MUERTE DEL SEÑOR RUIZ FUENTES</w:t>
      </w:r>
      <w:r w:rsidR="001B7763" w:rsidRPr="0064597D">
        <w:rPr>
          <w:rStyle w:val="Refdenotaalpie"/>
        </w:rPr>
        <w:footnoteReference w:id="115"/>
      </w:r>
      <w:bookmarkEnd w:id="68"/>
      <w:r w:rsidR="00BB0091" w:rsidRPr="0064597D">
        <w:t xml:space="preserve"> </w:t>
      </w:r>
    </w:p>
    <w:p w14:paraId="7C3DE7BB" w14:textId="77777777" w:rsidR="00B373FF" w:rsidRPr="0064597D" w:rsidRDefault="00B373FF" w:rsidP="00377181">
      <w:pPr>
        <w:pStyle w:val="Ttulo2"/>
      </w:pPr>
      <w:bookmarkStart w:id="69" w:name="_Toc24014556"/>
      <w:r w:rsidRPr="0064597D">
        <w:t>A.</w:t>
      </w:r>
      <w:r w:rsidRPr="0064597D">
        <w:tab/>
        <w:t>Argumentos de las partes y de la Comisión</w:t>
      </w:r>
      <w:bookmarkEnd w:id="69"/>
    </w:p>
    <w:p w14:paraId="16029A44" w14:textId="099DF434" w:rsidR="002479A4" w:rsidRPr="0064597D" w:rsidRDefault="00F4645B" w:rsidP="00FD5666">
      <w:pPr>
        <w:numPr>
          <w:ilvl w:val="0"/>
          <w:numId w:val="1"/>
        </w:numPr>
        <w:tabs>
          <w:tab w:val="left" w:pos="567"/>
        </w:tabs>
        <w:spacing w:line="240" w:lineRule="auto"/>
        <w:ind w:left="0" w:firstLine="0"/>
        <w:rPr>
          <w:sz w:val="20"/>
          <w:szCs w:val="20"/>
        </w:rPr>
      </w:pPr>
      <w:r w:rsidRPr="0064597D">
        <w:rPr>
          <w:sz w:val="20"/>
          <w:szCs w:val="20"/>
        </w:rPr>
        <w:t xml:space="preserve">La </w:t>
      </w:r>
      <w:r w:rsidRPr="0064597D">
        <w:rPr>
          <w:b/>
          <w:i/>
          <w:sz w:val="20"/>
          <w:szCs w:val="20"/>
        </w:rPr>
        <w:t>Comisión</w:t>
      </w:r>
      <w:r w:rsidRPr="0064597D">
        <w:rPr>
          <w:sz w:val="20"/>
          <w:szCs w:val="20"/>
        </w:rPr>
        <w:t xml:space="preserve"> sostuvo que </w:t>
      </w:r>
      <w:r w:rsidR="0062451B" w:rsidRPr="0064597D">
        <w:rPr>
          <w:sz w:val="20"/>
          <w:szCs w:val="20"/>
        </w:rPr>
        <w:t xml:space="preserve">el señor Ruiz Fuentes murió violentamente por arma de fuego el 14 de diciembre de 2005, casi dos meses después de su fuga de prisión. </w:t>
      </w:r>
      <w:r w:rsidR="001C45D9" w:rsidRPr="0064597D">
        <w:rPr>
          <w:sz w:val="20"/>
          <w:szCs w:val="20"/>
        </w:rPr>
        <w:t>D</w:t>
      </w:r>
      <w:r w:rsidR="0062451B" w:rsidRPr="0064597D">
        <w:rPr>
          <w:sz w:val="20"/>
          <w:szCs w:val="20"/>
        </w:rPr>
        <w:t>estacó q</w:t>
      </w:r>
      <w:r w:rsidR="00015E97" w:rsidRPr="0064597D">
        <w:rPr>
          <w:sz w:val="20"/>
          <w:szCs w:val="20"/>
        </w:rPr>
        <w:t xml:space="preserve">ue </w:t>
      </w:r>
      <w:r w:rsidR="0062451B" w:rsidRPr="0064597D">
        <w:rPr>
          <w:sz w:val="20"/>
          <w:szCs w:val="20"/>
        </w:rPr>
        <w:t xml:space="preserve">existieron indicios de encubrimiento por parte de agentes estatales. </w:t>
      </w:r>
      <w:r w:rsidR="00CE6F17" w:rsidRPr="0064597D">
        <w:rPr>
          <w:sz w:val="20"/>
          <w:szCs w:val="20"/>
        </w:rPr>
        <w:t>L</w:t>
      </w:r>
      <w:r w:rsidR="00310B1C" w:rsidRPr="0064597D">
        <w:rPr>
          <w:sz w:val="20"/>
          <w:szCs w:val="20"/>
        </w:rPr>
        <w:t>a Comisión observó que</w:t>
      </w:r>
      <w:r w:rsidR="00530469" w:rsidRPr="0064597D">
        <w:rPr>
          <w:sz w:val="20"/>
          <w:szCs w:val="20"/>
        </w:rPr>
        <w:t>:</w:t>
      </w:r>
      <w:r w:rsidR="00310B1C" w:rsidRPr="0064597D">
        <w:rPr>
          <w:sz w:val="20"/>
          <w:szCs w:val="20"/>
        </w:rPr>
        <w:t xml:space="preserve"> (i) en la investigación interna se log</w:t>
      </w:r>
      <w:r w:rsidR="002961B3" w:rsidRPr="0064597D">
        <w:rPr>
          <w:sz w:val="20"/>
          <w:szCs w:val="20"/>
        </w:rPr>
        <w:t>r</w:t>
      </w:r>
      <w:r w:rsidR="00310B1C" w:rsidRPr="0064597D">
        <w:rPr>
          <w:sz w:val="20"/>
          <w:szCs w:val="20"/>
        </w:rPr>
        <w:t xml:space="preserve">ó identificar que el arma que supuestamente empuñaba el señor Ruiz Fuentes </w:t>
      </w:r>
      <w:r w:rsidR="001C45D9" w:rsidRPr="0064597D">
        <w:rPr>
          <w:sz w:val="20"/>
          <w:szCs w:val="20"/>
        </w:rPr>
        <w:t>pertenecía</w:t>
      </w:r>
      <w:r w:rsidR="00310B1C" w:rsidRPr="0064597D">
        <w:rPr>
          <w:sz w:val="20"/>
          <w:szCs w:val="20"/>
        </w:rPr>
        <w:t xml:space="preserve"> al </w:t>
      </w:r>
      <w:r w:rsidR="001C45D9" w:rsidRPr="0064597D">
        <w:rPr>
          <w:sz w:val="20"/>
          <w:szCs w:val="20"/>
        </w:rPr>
        <w:t>Ministerio</w:t>
      </w:r>
      <w:r w:rsidR="00310B1C" w:rsidRPr="0064597D">
        <w:rPr>
          <w:sz w:val="20"/>
          <w:szCs w:val="20"/>
        </w:rPr>
        <w:t xml:space="preserve"> de Gobernación y, específicamente, a un oficial que </w:t>
      </w:r>
      <w:r w:rsidR="001C45D9" w:rsidRPr="0064597D">
        <w:rPr>
          <w:sz w:val="20"/>
          <w:szCs w:val="20"/>
        </w:rPr>
        <w:t>indicó</w:t>
      </w:r>
      <w:r w:rsidR="00310B1C" w:rsidRPr="0064597D">
        <w:rPr>
          <w:sz w:val="20"/>
          <w:szCs w:val="20"/>
        </w:rPr>
        <w:t xml:space="preserve"> que perdió el arma de fuego, pero que no lo reportó; (ii) la investigación administrativa sobre lo anterior no produjo ningún resultado, y (iii) no consta</w:t>
      </w:r>
      <w:r w:rsidR="00083381" w:rsidRPr="0064597D">
        <w:rPr>
          <w:sz w:val="20"/>
          <w:szCs w:val="20"/>
        </w:rPr>
        <w:t>ba</w:t>
      </w:r>
      <w:r w:rsidR="00310B1C" w:rsidRPr="0064597D">
        <w:rPr>
          <w:sz w:val="20"/>
          <w:szCs w:val="20"/>
        </w:rPr>
        <w:t xml:space="preserve"> que el Estado hubiese realizado peritajes a fin de demostrar que la persona que detonó el arma de fuego fue el señor Ruiz Fuentes. Además, señaló que las pruebas técnicas indicaron que el disparo que recibió el señor Ruiz Fuentes en el ojo derecho poseía tatuaje </w:t>
      </w:r>
      <w:r w:rsidR="001C45D9" w:rsidRPr="0064597D">
        <w:rPr>
          <w:sz w:val="20"/>
          <w:szCs w:val="20"/>
        </w:rPr>
        <w:t>alrededor</w:t>
      </w:r>
      <w:r w:rsidR="00310B1C" w:rsidRPr="0064597D">
        <w:rPr>
          <w:sz w:val="20"/>
          <w:szCs w:val="20"/>
        </w:rPr>
        <w:t>, lo cual indica que fue efectuado a muy corta distancia. Lo anterior, según la Comisión</w:t>
      </w:r>
      <w:r w:rsidR="002479A4" w:rsidRPr="0064597D">
        <w:rPr>
          <w:sz w:val="20"/>
          <w:szCs w:val="20"/>
        </w:rPr>
        <w:t>,</w:t>
      </w:r>
      <w:r w:rsidR="00310B1C" w:rsidRPr="0064597D">
        <w:rPr>
          <w:sz w:val="20"/>
          <w:szCs w:val="20"/>
        </w:rPr>
        <w:t xml:space="preserve"> sería un indicio más de que no hubo </w:t>
      </w:r>
      <w:r w:rsidR="001C45D9" w:rsidRPr="0064597D">
        <w:rPr>
          <w:sz w:val="20"/>
          <w:szCs w:val="20"/>
        </w:rPr>
        <w:t>ningún</w:t>
      </w:r>
      <w:r w:rsidR="00310B1C" w:rsidRPr="0064597D">
        <w:rPr>
          <w:sz w:val="20"/>
          <w:szCs w:val="20"/>
        </w:rPr>
        <w:t xml:space="preserve"> enfrentamiento. </w:t>
      </w:r>
      <w:r w:rsidR="00871767" w:rsidRPr="0064597D">
        <w:rPr>
          <w:sz w:val="20"/>
          <w:szCs w:val="20"/>
        </w:rPr>
        <w:t xml:space="preserve">La Comisión añadió que el Estado presentó </w:t>
      </w:r>
      <w:r w:rsidR="00775972" w:rsidRPr="0064597D">
        <w:rPr>
          <w:sz w:val="20"/>
          <w:szCs w:val="20"/>
        </w:rPr>
        <w:t>posiciones</w:t>
      </w:r>
      <w:r w:rsidR="00871767" w:rsidRPr="0064597D">
        <w:rPr>
          <w:sz w:val="20"/>
          <w:szCs w:val="20"/>
        </w:rPr>
        <w:t xml:space="preserve"> contradictorias en el trámite del caso ante el Sistema Interamericano, así como en el proceso a nivel interno respecto de la muerte del señor Ruiz Fuentes.</w:t>
      </w:r>
      <w:r w:rsidR="00871767" w:rsidRPr="0064597D">
        <w:rPr>
          <w:b/>
          <w:bCs/>
          <w:sz w:val="20"/>
          <w:szCs w:val="20"/>
        </w:rPr>
        <w:t xml:space="preserve"> </w:t>
      </w:r>
      <w:r w:rsidR="002479A4" w:rsidRPr="0064597D">
        <w:rPr>
          <w:sz w:val="20"/>
          <w:szCs w:val="20"/>
        </w:rPr>
        <w:t>Además</w:t>
      </w:r>
      <w:r w:rsidRPr="0064597D">
        <w:rPr>
          <w:sz w:val="20"/>
          <w:szCs w:val="20"/>
        </w:rPr>
        <w:t xml:space="preserve">, la Comisión resaltó que </w:t>
      </w:r>
      <w:r w:rsidR="0062451B" w:rsidRPr="0064597D">
        <w:rPr>
          <w:sz w:val="20"/>
          <w:szCs w:val="20"/>
        </w:rPr>
        <w:t>en el marco de la ejecución del “Plan Gavilán” murieron siete prófugos</w:t>
      </w:r>
      <w:r w:rsidR="002479A4" w:rsidRPr="0064597D">
        <w:rPr>
          <w:sz w:val="20"/>
          <w:szCs w:val="20"/>
        </w:rPr>
        <w:t>, y que a nivel interno se había</w:t>
      </w:r>
      <w:r w:rsidR="0062451B" w:rsidRPr="0064597D">
        <w:rPr>
          <w:sz w:val="20"/>
          <w:szCs w:val="20"/>
        </w:rPr>
        <w:t xml:space="preserve"> condenado a varios agentes estatales por cometer ejecuciones extrajudiciales en el marco del referido plan</w:t>
      </w:r>
      <w:r w:rsidR="000E3A01" w:rsidRPr="0064597D">
        <w:rPr>
          <w:sz w:val="20"/>
          <w:szCs w:val="20"/>
        </w:rPr>
        <w:t xml:space="preserve">. </w:t>
      </w:r>
      <w:r w:rsidR="00083381" w:rsidRPr="0064597D">
        <w:rPr>
          <w:bCs/>
          <w:sz w:val="20"/>
          <w:szCs w:val="20"/>
        </w:rPr>
        <w:t>En vista de lo anterior, l</w:t>
      </w:r>
      <w:r w:rsidR="002479A4" w:rsidRPr="0064597D">
        <w:rPr>
          <w:sz w:val="20"/>
          <w:szCs w:val="20"/>
        </w:rPr>
        <w:t>a Comisión concluyó que el señor Ruiz Fuentes fue ejec</w:t>
      </w:r>
      <w:r w:rsidR="00FC45EE" w:rsidRPr="0064597D">
        <w:rPr>
          <w:sz w:val="20"/>
          <w:szCs w:val="20"/>
        </w:rPr>
        <w:t>ut</w:t>
      </w:r>
      <w:r w:rsidR="002479A4" w:rsidRPr="0064597D">
        <w:rPr>
          <w:sz w:val="20"/>
          <w:szCs w:val="20"/>
        </w:rPr>
        <w:t>ado extrajudicialmente y, por lo tanto, Guatemala violó el artículo 4.1 de la Convención Americana en relación con el artículo 1.1 del mismo instrumento.</w:t>
      </w:r>
      <w:r w:rsidR="00FC45EE" w:rsidRPr="0064597D">
        <w:rPr>
          <w:sz w:val="20"/>
          <w:szCs w:val="20"/>
        </w:rPr>
        <w:t xml:space="preserve"> </w:t>
      </w:r>
    </w:p>
    <w:p w14:paraId="3CBA821B" w14:textId="77777777" w:rsidR="00377181" w:rsidRPr="0064597D" w:rsidRDefault="00377181" w:rsidP="00377181">
      <w:pPr>
        <w:tabs>
          <w:tab w:val="left" w:pos="567"/>
        </w:tabs>
        <w:spacing w:line="240" w:lineRule="auto"/>
        <w:rPr>
          <w:sz w:val="20"/>
          <w:szCs w:val="20"/>
        </w:rPr>
      </w:pPr>
    </w:p>
    <w:p w14:paraId="7DD09E1C" w14:textId="3BBF0578" w:rsidR="008F20E2" w:rsidRPr="0064597D" w:rsidRDefault="002269FD" w:rsidP="00BD07EE">
      <w:pPr>
        <w:numPr>
          <w:ilvl w:val="0"/>
          <w:numId w:val="1"/>
        </w:numPr>
        <w:tabs>
          <w:tab w:val="left" w:pos="567"/>
        </w:tabs>
        <w:autoSpaceDE w:val="0"/>
        <w:autoSpaceDN w:val="0"/>
        <w:spacing w:line="240" w:lineRule="auto"/>
        <w:ind w:left="0" w:firstLine="0"/>
        <w:rPr>
          <w:b/>
          <w:sz w:val="20"/>
          <w:szCs w:val="20"/>
        </w:rPr>
      </w:pPr>
      <w:r w:rsidRPr="0064597D">
        <w:rPr>
          <w:sz w:val="20"/>
          <w:szCs w:val="20"/>
        </w:rPr>
        <w:t xml:space="preserve">Las </w:t>
      </w:r>
      <w:r w:rsidRPr="0064597D">
        <w:rPr>
          <w:b/>
          <w:i/>
          <w:sz w:val="20"/>
          <w:szCs w:val="20"/>
        </w:rPr>
        <w:t>representantes</w:t>
      </w:r>
      <w:r w:rsidR="00F4645B" w:rsidRPr="0064597D">
        <w:rPr>
          <w:sz w:val="20"/>
          <w:szCs w:val="20"/>
        </w:rPr>
        <w:t xml:space="preserve"> </w:t>
      </w:r>
      <w:r w:rsidR="002961B3" w:rsidRPr="0064597D">
        <w:rPr>
          <w:sz w:val="20"/>
          <w:szCs w:val="20"/>
        </w:rPr>
        <w:t>i</w:t>
      </w:r>
      <w:r w:rsidR="00083381" w:rsidRPr="0064597D">
        <w:rPr>
          <w:sz w:val="20"/>
          <w:szCs w:val="20"/>
        </w:rPr>
        <w:t>ndicaron,</w:t>
      </w:r>
      <w:r w:rsidR="00F4645B" w:rsidRPr="0064597D">
        <w:rPr>
          <w:sz w:val="20"/>
          <w:szCs w:val="20"/>
        </w:rPr>
        <w:t xml:space="preserve"> </w:t>
      </w:r>
      <w:r w:rsidR="00BD07EE" w:rsidRPr="0064597D">
        <w:rPr>
          <w:sz w:val="20"/>
          <w:szCs w:val="20"/>
        </w:rPr>
        <w:t>al igual que la Comisión</w:t>
      </w:r>
      <w:r w:rsidR="00083381" w:rsidRPr="0064597D">
        <w:rPr>
          <w:sz w:val="20"/>
          <w:szCs w:val="20"/>
        </w:rPr>
        <w:t>,</w:t>
      </w:r>
      <w:r w:rsidR="00BD07EE" w:rsidRPr="0064597D">
        <w:rPr>
          <w:sz w:val="20"/>
          <w:szCs w:val="20"/>
        </w:rPr>
        <w:t xml:space="preserve"> que </w:t>
      </w:r>
      <w:r w:rsidR="004A5BAE" w:rsidRPr="0064597D">
        <w:rPr>
          <w:sz w:val="20"/>
          <w:szCs w:val="20"/>
        </w:rPr>
        <w:t>el Estado dio versiones contradictorias sobre la muerte del señor Ruiz Fuentes.</w:t>
      </w:r>
      <w:r w:rsidR="00F50946" w:rsidRPr="0064597D">
        <w:rPr>
          <w:sz w:val="20"/>
          <w:szCs w:val="20"/>
        </w:rPr>
        <w:t xml:space="preserve"> </w:t>
      </w:r>
      <w:r w:rsidR="00BD07EE" w:rsidRPr="0064597D">
        <w:rPr>
          <w:bCs/>
          <w:sz w:val="20"/>
          <w:szCs w:val="20"/>
        </w:rPr>
        <w:t>Además</w:t>
      </w:r>
      <w:r w:rsidR="00BD07EE" w:rsidRPr="0064597D">
        <w:rPr>
          <w:b/>
          <w:bCs/>
          <w:sz w:val="20"/>
          <w:szCs w:val="20"/>
        </w:rPr>
        <w:t xml:space="preserve"> </w:t>
      </w:r>
      <w:r w:rsidR="00083381" w:rsidRPr="0064597D">
        <w:rPr>
          <w:sz w:val="20"/>
          <w:szCs w:val="20"/>
        </w:rPr>
        <w:t>señalaron</w:t>
      </w:r>
      <w:r w:rsidR="002F6FF1" w:rsidRPr="0064597D">
        <w:rPr>
          <w:sz w:val="20"/>
          <w:szCs w:val="20"/>
        </w:rPr>
        <w:t xml:space="preserve"> que, según los hallazgos de la autopsia y del peritaje realizado a partir de esta ninguno de los dos disparos </w:t>
      </w:r>
      <w:r w:rsidR="00BD07EE" w:rsidRPr="0064597D">
        <w:rPr>
          <w:sz w:val="20"/>
          <w:szCs w:val="20"/>
        </w:rPr>
        <w:t xml:space="preserve">recibidos por la víctima </w:t>
      </w:r>
      <w:r w:rsidR="002F6FF1" w:rsidRPr="0064597D">
        <w:rPr>
          <w:sz w:val="20"/>
          <w:szCs w:val="20"/>
        </w:rPr>
        <w:t>fue realizado con el fin de captura</w:t>
      </w:r>
      <w:r w:rsidR="00BD07EE" w:rsidRPr="0064597D">
        <w:rPr>
          <w:sz w:val="20"/>
          <w:szCs w:val="20"/>
        </w:rPr>
        <w:t xml:space="preserve">rla </w:t>
      </w:r>
      <w:r w:rsidR="002F6FF1" w:rsidRPr="0064597D">
        <w:rPr>
          <w:sz w:val="20"/>
          <w:szCs w:val="20"/>
        </w:rPr>
        <w:t xml:space="preserve">o repeler una amenaza. Por otra parte, </w:t>
      </w:r>
      <w:r w:rsidRPr="0064597D">
        <w:rPr>
          <w:sz w:val="20"/>
          <w:szCs w:val="20"/>
        </w:rPr>
        <w:t>las representantes</w:t>
      </w:r>
      <w:r w:rsidR="002F6FF1" w:rsidRPr="0064597D">
        <w:rPr>
          <w:sz w:val="20"/>
          <w:szCs w:val="20"/>
        </w:rPr>
        <w:t xml:space="preserve"> alegaron que, tal y como señalaba un peritaje médico legal de 3 de junio de 2008</w:t>
      </w:r>
      <w:r w:rsidR="002F6FF1" w:rsidRPr="0064597D">
        <w:rPr>
          <w:rStyle w:val="Refdenotaalpie"/>
          <w:sz w:val="20"/>
          <w:szCs w:val="20"/>
        </w:rPr>
        <w:footnoteReference w:id="116"/>
      </w:r>
      <w:r w:rsidR="002F6FF1" w:rsidRPr="0064597D">
        <w:rPr>
          <w:sz w:val="20"/>
          <w:szCs w:val="20"/>
        </w:rPr>
        <w:t xml:space="preserve">, la escena del crimen fue alterada deliberadamente y el cuerpo del señor Ruiz Fuentes fue cambiado de su posición original. Con respecto al arma encontrada en la mano derecha del señor Ruiz Fuentes, especificaron que, en vista de lo indicado en el referido peritaje, era “muy difícil, o casi imposible” que el señor Ruiz Fuente pudiera </w:t>
      </w:r>
      <w:r w:rsidR="001C45D9" w:rsidRPr="0064597D">
        <w:rPr>
          <w:sz w:val="20"/>
          <w:szCs w:val="20"/>
        </w:rPr>
        <w:t>sostener</w:t>
      </w:r>
      <w:r w:rsidR="002F6FF1" w:rsidRPr="0064597D">
        <w:rPr>
          <w:sz w:val="20"/>
          <w:szCs w:val="20"/>
        </w:rPr>
        <w:t xml:space="preserve"> un arma. </w:t>
      </w:r>
      <w:r w:rsidRPr="0064597D">
        <w:rPr>
          <w:sz w:val="20"/>
          <w:szCs w:val="20"/>
        </w:rPr>
        <w:t>Las representantes</w:t>
      </w:r>
      <w:r w:rsidR="008F20E2" w:rsidRPr="0064597D">
        <w:rPr>
          <w:sz w:val="20"/>
          <w:szCs w:val="20"/>
        </w:rPr>
        <w:t xml:space="preserve"> señalaron ademá</w:t>
      </w:r>
      <w:r w:rsidR="002F6FF1" w:rsidRPr="0064597D">
        <w:rPr>
          <w:sz w:val="20"/>
          <w:szCs w:val="20"/>
        </w:rPr>
        <w:t xml:space="preserve">s que el </w:t>
      </w:r>
      <w:r w:rsidR="002F6FF1" w:rsidRPr="0064597D">
        <w:rPr>
          <w:sz w:val="20"/>
          <w:szCs w:val="20"/>
        </w:rPr>
        <w:lastRenderedPageBreak/>
        <w:t xml:space="preserve">arma hallada en la mano del señor Ruiz Fuentes era propiedad del Ministerio de Gobernación, sin que existiera ninguna explicación que justificara el </w:t>
      </w:r>
      <w:r w:rsidR="001C45D9" w:rsidRPr="0064597D">
        <w:rPr>
          <w:sz w:val="20"/>
          <w:szCs w:val="20"/>
        </w:rPr>
        <w:t>hallazgo</w:t>
      </w:r>
      <w:r w:rsidR="002F6FF1" w:rsidRPr="0064597D">
        <w:rPr>
          <w:sz w:val="20"/>
          <w:szCs w:val="20"/>
        </w:rPr>
        <w:t xml:space="preserve"> en manos del señor Ruiz Fuentes.</w:t>
      </w:r>
      <w:r w:rsidR="00AE5FE1" w:rsidRPr="0064597D">
        <w:rPr>
          <w:b/>
          <w:bCs/>
          <w:sz w:val="20"/>
          <w:szCs w:val="20"/>
        </w:rPr>
        <w:t xml:space="preserve"> </w:t>
      </w:r>
    </w:p>
    <w:p w14:paraId="474E90CE" w14:textId="77777777" w:rsidR="008F20E2" w:rsidRPr="0064597D" w:rsidRDefault="008F20E2" w:rsidP="008F20E2">
      <w:pPr>
        <w:tabs>
          <w:tab w:val="left" w:pos="567"/>
        </w:tabs>
        <w:autoSpaceDE w:val="0"/>
        <w:autoSpaceDN w:val="0"/>
        <w:spacing w:line="240" w:lineRule="auto"/>
        <w:rPr>
          <w:b/>
          <w:sz w:val="20"/>
          <w:szCs w:val="20"/>
        </w:rPr>
      </w:pPr>
    </w:p>
    <w:p w14:paraId="485264C7" w14:textId="2A41A576" w:rsidR="008E34C5" w:rsidRPr="0064597D" w:rsidRDefault="00F4645B" w:rsidP="004D7AD4">
      <w:pPr>
        <w:numPr>
          <w:ilvl w:val="0"/>
          <w:numId w:val="1"/>
        </w:numPr>
        <w:tabs>
          <w:tab w:val="left" w:pos="567"/>
        </w:tabs>
        <w:spacing w:line="240" w:lineRule="auto"/>
        <w:ind w:left="0" w:firstLine="0"/>
        <w:rPr>
          <w:sz w:val="20"/>
          <w:szCs w:val="20"/>
        </w:rPr>
      </w:pPr>
      <w:r w:rsidRPr="0064597D">
        <w:rPr>
          <w:sz w:val="20"/>
          <w:szCs w:val="20"/>
        </w:rPr>
        <w:t xml:space="preserve">El </w:t>
      </w:r>
      <w:r w:rsidRPr="0064597D">
        <w:rPr>
          <w:b/>
          <w:i/>
          <w:sz w:val="20"/>
          <w:szCs w:val="20"/>
        </w:rPr>
        <w:t>Estado</w:t>
      </w:r>
      <w:r w:rsidRPr="0064597D">
        <w:rPr>
          <w:sz w:val="20"/>
          <w:szCs w:val="20"/>
        </w:rPr>
        <w:t xml:space="preserve"> </w:t>
      </w:r>
      <w:r w:rsidR="00975B71" w:rsidRPr="0064597D">
        <w:rPr>
          <w:sz w:val="20"/>
          <w:szCs w:val="20"/>
        </w:rPr>
        <w:t>rechazó la atribución de responsabilidad por la muerte del señor Ruiz Fuentes, indicando que en ningún momento se han presentado pruebas fehacientes que permitan concluir tal aseveración. Añadió que eran simples presunciones carentes de elementos fácticos</w:t>
      </w:r>
      <w:r w:rsidR="00C87578" w:rsidRPr="0064597D">
        <w:rPr>
          <w:sz w:val="20"/>
          <w:szCs w:val="20"/>
        </w:rPr>
        <w:t xml:space="preserve"> y que ni la Comisión ni </w:t>
      </w:r>
      <w:r w:rsidR="002269FD" w:rsidRPr="0064597D">
        <w:rPr>
          <w:sz w:val="20"/>
          <w:szCs w:val="20"/>
        </w:rPr>
        <w:t>las representantes</w:t>
      </w:r>
      <w:r w:rsidR="00C87578" w:rsidRPr="0064597D">
        <w:rPr>
          <w:sz w:val="20"/>
          <w:szCs w:val="20"/>
        </w:rPr>
        <w:t xml:space="preserve"> de las presuntas víctimas podían probar que existió una acción intencional para privarle el derecho a la vida del señor Ruiz Fuentes</w:t>
      </w:r>
      <w:r w:rsidR="00975B71" w:rsidRPr="0064597D">
        <w:rPr>
          <w:sz w:val="20"/>
          <w:szCs w:val="20"/>
        </w:rPr>
        <w:t xml:space="preserve">. </w:t>
      </w:r>
    </w:p>
    <w:p w14:paraId="1BF0FD36" w14:textId="77777777" w:rsidR="008E34C5" w:rsidRPr="0064597D" w:rsidRDefault="008E34C5" w:rsidP="008E34C5">
      <w:pPr>
        <w:tabs>
          <w:tab w:val="left" w:pos="567"/>
        </w:tabs>
        <w:spacing w:line="240" w:lineRule="auto"/>
        <w:rPr>
          <w:sz w:val="20"/>
          <w:szCs w:val="20"/>
        </w:rPr>
      </w:pPr>
    </w:p>
    <w:p w14:paraId="072ECF12" w14:textId="2118E886" w:rsidR="008E34C5" w:rsidRPr="0064597D" w:rsidRDefault="008E34C5" w:rsidP="004D7AD4">
      <w:pPr>
        <w:numPr>
          <w:ilvl w:val="0"/>
          <w:numId w:val="1"/>
        </w:numPr>
        <w:tabs>
          <w:tab w:val="left" w:pos="567"/>
        </w:tabs>
        <w:spacing w:line="240" w:lineRule="auto"/>
        <w:ind w:left="0" w:firstLine="0"/>
        <w:rPr>
          <w:sz w:val="20"/>
          <w:szCs w:val="20"/>
        </w:rPr>
      </w:pPr>
      <w:r w:rsidRPr="0064597D">
        <w:rPr>
          <w:sz w:val="20"/>
          <w:szCs w:val="20"/>
        </w:rPr>
        <w:t>Por otro lado, el Estado indicó que el “Plan Gavilán”</w:t>
      </w:r>
      <w:r w:rsidR="004C6958" w:rsidRPr="0064597D">
        <w:rPr>
          <w:sz w:val="20"/>
          <w:szCs w:val="20"/>
        </w:rPr>
        <w:t xml:space="preserve"> (u “Operación Gavilán”)</w:t>
      </w:r>
      <w:r w:rsidRPr="0064597D">
        <w:rPr>
          <w:sz w:val="20"/>
          <w:szCs w:val="20"/>
        </w:rPr>
        <w:t xml:space="preserve"> fue diseñado exclusivamente para la recaptura de las personas fugadas </w:t>
      </w:r>
      <w:r w:rsidR="004C6958" w:rsidRPr="0064597D">
        <w:rPr>
          <w:sz w:val="20"/>
          <w:szCs w:val="20"/>
        </w:rPr>
        <w:t>del centro de privación de libertad de alta seguridad</w:t>
      </w:r>
      <w:r w:rsidRPr="0064597D">
        <w:rPr>
          <w:sz w:val="20"/>
          <w:szCs w:val="20"/>
        </w:rPr>
        <w:t xml:space="preserve"> “El Infiernito” y tenía contemplado todo un proceso de garantías y respecto a los derechos humanos consagrados tanto en la legislación interna como internacional.</w:t>
      </w:r>
      <w:r w:rsidR="000E3A01" w:rsidRPr="0064597D">
        <w:rPr>
          <w:b/>
          <w:sz w:val="20"/>
          <w:szCs w:val="20"/>
        </w:rPr>
        <w:t xml:space="preserve"> </w:t>
      </w:r>
      <w:r w:rsidR="004C6958" w:rsidRPr="0064597D">
        <w:rPr>
          <w:sz w:val="20"/>
          <w:szCs w:val="20"/>
        </w:rPr>
        <w:t>El Estado negó que dicho plan hubiese sido creado con el objetivo de matar a ningún prófugo.</w:t>
      </w:r>
      <w:r w:rsidR="004C6958" w:rsidRPr="0064597D">
        <w:rPr>
          <w:b/>
          <w:sz w:val="20"/>
          <w:szCs w:val="20"/>
        </w:rPr>
        <w:t xml:space="preserve"> </w:t>
      </w:r>
    </w:p>
    <w:p w14:paraId="29CA9FD6" w14:textId="77777777" w:rsidR="008E34C5" w:rsidRPr="0064597D" w:rsidRDefault="008E34C5" w:rsidP="008E34C5">
      <w:pPr>
        <w:tabs>
          <w:tab w:val="left" w:pos="567"/>
        </w:tabs>
        <w:spacing w:line="240" w:lineRule="auto"/>
        <w:rPr>
          <w:sz w:val="20"/>
          <w:szCs w:val="20"/>
        </w:rPr>
      </w:pPr>
    </w:p>
    <w:p w14:paraId="6919DB21" w14:textId="70891028" w:rsidR="00C82272" w:rsidRPr="0064597D" w:rsidRDefault="005326E7" w:rsidP="008C5E83">
      <w:pPr>
        <w:numPr>
          <w:ilvl w:val="0"/>
          <w:numId w:val="1"/>
        </w:numPr>
        <w:tabs>
          <w:tab w:val="left" w:pos="567"/>
        </w:tabs>
        <w:spacing w:line="240" w:lineRule="auto"/>
        <w:ind w:left="0" w:firstLine="0"/>
        <w:rPr>
          <w:sz w:val="20"/>
          <w:szCs w:val="20"/>
        </w:rPr>
      </w:pPr>
      <w:r w:rsidRPr="0064597D">
        <w:rPr>
          <w:sz w:val="20"/>
          <w:szCs w:val="20"/>
        </w:rPr>
        <w:t>Asimismo, e</w:t>
      </w:r>
      <w:r w:rsidR="00C82272" w:rsidRPr="0064597D">
        <w:rPr>
          <w:sz w:val="20"/>
          <w:szCs w:val="20"/>
        </w:rPr>
        <w:t xml:space="preserve">n la audiencia pública el Estado alegó </w:t>
      </w:r>
      <w:r w:rsidR="008C5E83" w:rsidRPr="0064597D">
        <w:rPr>
          <w:sz w:val="20"/>
          <w:szCs w:val="20"/>
        </w:rPr>
        <w:t>que no discutía el hecho de que el señor Ruiz Fuentes murió en forma violenta, si bien dicha muerte no había sido resuelta en el foro interno y, por tanto, no era jurídicamente viable hacer una tipificación de un delito únicamente en base a “afirmaciones de contexto y conjeturas derivadas de los informes presentados por la Comisión y la representación de los peticionarios”</w:t>
      </w:r>
      <w:r w:rsidR="00C82272" w:rsidRPr="0064597D">
        <w:rPr>
          <w:sz w:val="20"/>
          <w:szCs w:val="20"/>
        </w:rPr>
        <w:t>.</w:t>
      </w:r>
      <w:r w:rsidR="0006358C" w:rsidRPr="0064597D">
        <w:rPr>
          <w:sz w:val="20"/>
          <w:szCs w:val="20"/>
        </w:rPr>
        <w:t xml:space="preserve"> </w:t>
      </w:r>
    </w:p>
    <w:p w14:paraId="175C5632" w14:textId="195D2C14" w:rsidR="00BB0091" w:rsidRPr="0064597D" w:rsidRDefault="00BB0091" w:rsidP="00377181">
      <w:pPr>
        <w:pStyle w:val="Ttulo2"/>
      </w:pPr>
      <w:bookmarkStart w:id="70" w:name="_Toc24014557"/>
      <w:r w:rsidRPr="0064597D">
        <w:t>B.</w:t>
      </w:r>
      <w:r w:rsidRPr="0064597D">
        <w:tab/>
        <w:t>Consideraciones de la Corte</w:t>
      </w:r>
      <w:bookmarkEnd w:id="70"/>
    </w:p>
    <w:p w14:paraId="5A331AE4" w14:textId="697542DB" w:rsidR="002A0F50" w:rsidRPr="0064597D" w:rsidRDefault="002A0F50" w:rsidP="00BD07EE">
      <w:pPr>
        <w:numPr>
          <w:ilvl w:val="0"/>
          <w:numId w:val="1"/>
        </w:numPr>
        <w:tabs>
          <w:tab w:val="left" w:pos="567"/>
        </w:tabs>
        <w:spacing w:line="240" w:lineRule="auto"/>
        <w:ind w:left="0" w:firstLine="0"/>
        <w:rPr>
          <w:rFonts w:eastAsia="Times" w:cs="Arial"/>
          <w:sz w:val="20"/>
          <w:szCs w:val="20"/>
        </w:rPr>
      </w:pPr>
      <w:r w:rsidRPr="0064597D">
        <w:rPr>
          <w:rFonts w:eastAsiaTheme="minorHAnsi" w:cs="Arial"/>
          <w:spacing w:val="-2"/>
          <w:sz w:val="20"/>
          <w:szCs w:val="20"/>
        </w:rPr>
        <w:t xml:space="preserve">Este Tribunal ha establecido que </w:t>
      </w:r>
      <w:r w:rsidR="00BD07EE" w:rsidRPr="0064597D">
        <w:rPr>
          <w:rFonts w:eastAsiaTheme="minorHAnsi" w:cs="Arial"/>
          <w:spacing w:val="-2"/>
          <w:sz w:val="20"/>
          <w:szCs w:val="20"/>
        </w:rPr>
        <w:t>l</w:t>
      </w:r>
      <w:r w:rsidRPr="0064597D">
        <w:rPr>
          <w:rFonts w:cs="Arial"/>
          <w:sz w:val="20"/>
          <w:szCs w:val="20"/>
        </w:rPr>
        <w:t xml:space="preserve">a observancia del artículo 4, relacionado con el artículo 1.1 de la Convención Americana, no </w:t>
      </w:r>
      <w:r w:rsidRPr="0064597D">
        <w:rPr>
          <w:rFonts w:eastAsiaTheme="minorHAnsi" w:cs="Arial"/>
          <w:sz w:val="20"/>
          <w:szCs w:val="20"/>
        </w:rPr>
        <w:t>sólo</w:t>
      </w:r>
      <w:r w:rsidRPr="0064597D">
        <w:rPr>
          <w:rFonts w:cs="Arial"/>
          <w:sz w:val="20"/>
          <w:szCs w:val="20"/>
        </w:rPr>
        <w:t xml:space="preserve"> presupone que ninguna persona sea privada </w:t>
      </w:r>
      <w:r w:rsidRPr="0064597D">
        <w:rPr>
          <w:sz w:val="20"/>
          <w:szCs w:val="20"/>
        </w:rPr>
        <w:t>de</w:t>
      </w:r>
      <w:r w:rsidRPr="0064597D">
        <w:rPr>
          <w:rFonts w:cs="Arial"/>
          <w:sz w:val="20"/>
          <w:szCs w:val="20"/>
        </w:rPr>
        <w:t xml:space="preserv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64597D">
        <w:rPr>
          <w:sz w:val="20"/>
          <w:szCs w:val="20"/>
          <w:vertAlign w:val="superscript"/>
        </w:rPr>
        <w:footnoteReference w:id="117"/>
      </w:r>
      <w:r w:rsidRPr="0064597D">
        <w:rPr>
          <w:rFonts w:cs="Arial"/>
          <w:sz w:val="20"/>
          <w:szCs w:val="20"/>
        </w:rPr>
        <w:t xml:space="preserve">. </w:t>
      </w:r>
      <w:r w:rsidRPr="0064597D">
        <w:rPr>
          <w:rFonts w:eastAsiaTheme="minorHAnsi" w:cs="Arial"/>
          <w:sz w:val="20"/>
          <w:szCs w:val="20"/>
        </w:rPr>
        <w:t xml:space="preserve">En consecuencia, los Estados tienen la obligación de garantizar las condiciones que </w:t>
      </w:r>
      <w:r w:rsidRPr="0064597D">
        <w:rPr>
          <w:rFonts w:eastAsia="Batang" w:cs="Times"/>
          <w:sz w:val="20"/>
          <w:szCs w:val="20"/>
        </w:rPr>
        <w:t>se</w:t>
      </w:r>
      <w:r w:rsidRPr="0064597D">
        <w:rPr>
          <w:rFonts w:eastAsiaTheme="minorHAnsi" w:cs="Arial"/>
          <w:sz w:val="20"/>
          <w:szCs w:val="20"/>
        </w:rPr>
        <w:t xml:space="preserve"> requieran para que no se produzcan violaciones de ese derecho inalienable y, en particular, el deber de impedir que sus agentes atenten contra el mismo. </w:t>
      </w:r>
      <w:r w:rsidRPr="0064597D">
        <w:rPr>
          <w:rFonts w:eastAsia="Times" w:cs="Arial"/>
          <w:sz w:val="20"/>
          <w:szCs w:val="20"/>
        </w:rPr>
        <w:t>Esta protección activa del derecho a la vida por parte del Estado no sólo involucra a sus legisladores, sino a toda institución estatal y a quienes deben resguardar la seguridad, sean éstas sus fuerzas de policía o sus fuerzas armadas</w:t>
      </w:r>
      <w:r w:rsidRPr="0064597D">
        <w:rPr>
          <w:rFonts w:eastAsia="Times" w:cs="Times"/>
          <w:sz w:val="20"/>
          <w:szCs w:val="20"/>
          <w:vertAlign w:val="superscript"/>
        </w:rPr>
        <w:footnoteReference w:id="118"/>
      </w:r>
      <w:r w:rsidRPr="0064597D">
        <w:rPr>
          <w:rFonts w:eastAsia="Times" w:cs="Arial"/>
          <w:sz w:val="20"/>
          <w:szCs w:val="20"/>
        </w:rPr>
        <w:t>.</w:t>
      </w:r>
    </w:p>
    <w:p w14:paraId="3DD1B211" w14:textId="77777777" w:rsidR="00254858" w:rsidRPr="0064597D" w:rsidRDefault="00254858" w:rsidP="00254858">
      <w:pPr>
        <w:tabs>
          <w:tab w:val="left" w:pos="567"/>
        </w:tabs>
        <w:spacing w:line="240" w:lineRule="auto"/>
        <w:rPr>
          <w:rFonts w:eastAsia="Times" w:cs="Arial"/>
          <w:sz w:val="20"/>
          <w:szCs w:val="20"/>
        </w:rPr>
      </w:pPr>
    </w:p>
    <w:p w14:paraId="691B84AB" w14:textId="69C7EF18" w:rsidR="007F456A" w:rsidRPr="0064597D" w:rsidRDefault="00A758E4" w:rsidP="000C391B">
      <w:pPr>
        <w:numPr>
          <w:ilvl w:val="0"/>
          <w:numId w:val="1"/>
        </w:numPr>
        <w:tabs>
          <w:tab w:val="left" w:pos="567"/>
        </w:tabs>
        <w:spacing w:line="240" w:lineRule="auto"/>
        <w:ind w:left="0" w:firstLine="0"/>
        <w:rPr>
          <w:rFonts w:eastAsia="Times" w:cs="Arial"/>
          <w:sz w:val="20"/>
          <w:szCs w:val="20"/>
        </w:rPr>
      </w:pPr>
      <w:r w:rsidRPr="0064597D">
        <w:rPr>
          <w:rFonts w:eastAsia="Verdana" w:cs="Verdana"/>
          <w:sz w:val="20"/>
          <w:szCs w:val="20"/>
          <w:lang w:val="es-ES"/>
        </w:rPr>
        <w:t>De</w:t>
      </w:r>
      <w:r w:rsidRPr="0064597D">
        <w:rPr>
          <w:rFonts w:eastAsia="Verdana" w:cs="Verdana"/>
          <w:spacing w:val="48"/>
          <w:sz w:val="20"/>
          <w:szCs w:val="20"/>
          <w:lang w:val="es-ES"/>
        </w:rPr>
        <w:t xml:space="preserve"> </w:t>
      </w:r>
      <w:r w:rsidRPr="0064597D">
        <w:rPr>
          <w:rFonts w:eastAsia="Verdana" w:cs="Verdana"/>
          <w:spacing w:val="3"/>
          <w:sz w:val="20"/>
          <w:szCs w:val="20"/>
          <w:lang w:val="es-ES"/>
        </w:rPr>
        <w:t>l</w:t>
      </w:r>
      <w:r w:rsidRPr="0064597D">
        <w:rPr>
          <w:rFonts w:eastAsia="Verdana" w:cs="Verdana"/>
          <w:sz w:val="20"/>
          <w:szCs w:val="20"/>
          <w:lang w:val="es-ES"/>
        </w:rPr>
        <w:t>a</w:t>
      </w:r>
      <w:r w:rsidRPr="0064597D">
        <w:rPr>
          <w:rFonts w:eastAsia="Verdana" w:cs="Verdana"/>
          <w:spacing w:val="51"/>
          <w:sz w:val="20"/>
          <w:szCs w:val="20"/>
          <w:lang w:val="es-ES"/>
        </w:rPr>
        <w:t xml:space="preserve"> </w:t>
      </w:r>
      <w:r w:rsidRPr="0064597D">
        <w:rPr>
          <w:rFonts w:eastAsia="Verdana" w:cs="Verdana"/>
          <w:spacing w:val="1"/>
          <w:sz w:val="20"/>
          <w:szCs w:val="20"/>
          <w:lang w:val="es-ES"/>
        </w:rPr>
        <w:t>p</w:t>
      </w:r>
      <w:r w:rsidRPr="0064597D">
        <w:rPr>
          <w:rFonts w:eastAsia="Verdana" w:cs="Verdana"/>
          <w:spacing w:val="-1"/>
          <w:sz w:val="20"/>
          <w:szCs w:val="20"/>
          <w:lang w:val="es-ES"/>
        </w:rPr>
        <w:t>r</w:t>
      </w:r>
      <w:r w:rsidRPr="0064597D">
        <w:rPr>
          <w:rFonts w:eastAsia="Verdana" w:cs="Verdana"/>
          <w:spacing w:val="1"/>
          <w:sz w:val="20"/>
          <w:szCs w:val="20"/>
          <w:lang w:val="es-ES"/>
        </w:rPr>
        <w:t>u</w:t>
      </w:r>
      <w:r w:rsidRPr="0064597D">
        <w:rPr>
          <w:rFonts w:eastAsia="Verdana" w:cs="Verdana"/>
          <w:spacing w:val="-1"/>
          <w:sz w:val="20"/>
          <w:szCs w:val="20"/>
          <w:lang w:val="es-ES"/>
        </w:rPr>
        <w:t>e</w:t>
      </w:r>
      <w:r w:rsidRPr="0064597D">
        <w:rPr>
          <w:rFonts w:eastAsia="Verdana" w:cs="Verdana"/>
          <w:spacing w:val="1"/>
          <w:sz w:val="20"/>
          <w:szCs w:val="20"/>
          <w:lang w:val="es-ES"/>
        </w:rPr>
        <w:t>b</w:t>
      </w:r>
      <w:r w:rsidRPr="0064597D">
        <w:rPr>
          <w:rFonts w:eastAsia="Verdana" w:cs="Verdana"/>
          <w:sz w:val="20"/>
          <w:szCs w:val="20"/>
          <w:lang w:val="es-ES"/>
        </w:rPr>
        <w:t>a</w:t>
      </w:r>
      <w:r w:rsidRPr="0064597D">
        <w:rPr>
          <w:rFonts w:eastAsia="Verdana" w:cs="Verdana"/>
          <w:spacing w:val="45"/>
          <w:sz w:val="20"/>
          <w:szCs w:val="20"/>
          <w:lang w:val="es-ES"/>
        </w:rPr>
        <w:t xml:space="preserve"> </w:t>
      </w:r>
      <w:r w:rsidRPr="0064597D">
        <w:rPr>
          <w:rFonts w:eastAsia="Verdana" w:cs="Verdana"/>
          <w:spacing w:val="-1"/>
          <w:sz w:val="20"/>
          <w:szCs w:val="20"/>
          <w:lang w:val="es-ES"/>
        </w:rPr>
        <w:t>o</w:t>
      </w:r>
      <w:r w:rsidRPr="0064597D">
        <w:rPr>
          <w:rFonts w:eastAsia="Verdana" w:cs="Verdana"/>
          <w:spacing w:val="1"/>
          <w:sz w:val="20"/>
          <w:szCs w:val="20"/>
          <w:lang w:val="es-ES"/>
        </w:rPr>
        <w:t>b</w:t>
      </w:r>
      <w:r w:rsidRPr="0064597D">
        <w:rPr>
          <w:rFonts w:eastAsia="Verdana" w:cs="Verdana"/>
          <w:spacing w:val="-1"/>
          <w:sz w:val="20"/>
          <w:szCs w:val="20"/>
          <w:lang w:val="es-ES"/>
        </w:rPr>
        <w:t>r</w:t>
      </w:r>
      <w:r w:rsidRPr="0064597D">
        <w:rPr>
          <w:rFonts w:eastAsia="Verdana" w:cs="Verdana"/>
          <w:sz w:val="20"/>
          <w:szCs w:val="20"/>
          <w:lang w:val="es-ES"/>
        </w:rPr>
        <w:t>a</w:t>
      </w:r>
      <w:r w:rsidRPr="0064597D">
        <w:rPr>
          <w:rFonts w:eastAsia="Verdana" w:cs="Verdana"/>
          <w:spacing w:val="1"/>
          <w:sz w:val="20"/>
          <w:szCs w:val="20"/>
          <w:lang w:val="es-ES"/>
        </w:rPr>
        <w:t>nt</w:t>
      </w:r>
      <w:r w:rsidRPr="0064597D">
        <w:rPr>
          <w:rFonts w:eastAsia="Verdana" w:cs="Verdana"/>
          <w:sz w:val="20"/>
          <w:szCs w:val="20"/>
          <w:lang w:val="es-ES"/>
        </w:rPr>
        <w:t>e</w:t>
      </w:r>
      <w:r w:rsidRPr="0064597D">
        <w:rPr>
          <w:rFonts w:eastAsia="Verdana" w:cs="Verdana"/>
          <w:spacing w:val="46"/>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n</w:t>
      </w:r>
      <w:r w:rsidRPr="0064597D">
        <w:rPr>
          <w:rFonts w:eastAsia="Verdana" w:cs="Verdana"/>
          <w:spacing w:val="50"/>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l</w:t>
      </w:r>
      <w:r w:rsidRPr="0064597D">
        <w:rPr>
          <w:rFonts w:eastAsia="Verdana" w:cs="Verdana"/>
          <w:spacing w:val="53"/>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xp</w:t>
      </w:r>
      <w:r w:rsidRPr="0064597D">
        <w:rPr>
          <w:rFonts w:eastAsia="Verdana" w:cs="Verdana"/>
          <w:spacing w:val="-1"/>
          <w:sz w:val="20"/>
          <w:szCs w:val="20"/>
          <w:lang w:val="es-ES"/>
        </w:rPr>
        <w:t>e</w:t>
      </w:r>
      <w:r w:rsidRPr="0064597D">
        <w:rPr>
          <w:rFonts w:eastAsia="Verdana" w:cs="Verdana"/>
          <w:spacing w:val="1"/>
          <w:sz w:val="20"/>
          <w:szCs w:val="20"/>
          <w:lang w:val="es-ES"/>
        </w:rPr>
        <w:t>d</w:t>
      </w:r>
      <w:r w:rsidRPr="0064597D">
        <w:rPr>
          <w:rFonts w:eastAsia="Verdana" w:cs="Verdana"/>
          <w:spacing w:val="3"/>
          <w:sz w:val="20"/>
          <w:szCs w:val="20"/>
          <w:lang w:val="es-ES"/>
        </w:rPr>
        <w:t>i</w:t>
      </w:r>
      <w:r w:rsidRPr="0064597D">
        <w:rPr>
          <w:rFonts w:eastAsia="Verdana" w:cs="Verdana"/>
          <w:spacing w:val="-1"/>
          <w:sz w:val="20"/>
          <w:szCs w:val="20"/>
          <w:lang w:val="es-ES"/>
        </w:rPr>
        <w:t>e</w:t>
      </w:r>
      <w:r w:rsidRPr="0064597D">
        <w:rPr>
          <w:rFonts w:eastAsia="Verdana" w:cs="Verdana"/>
          <w:spacing w:val="1"/>
          <w:sz w:val="20"/>
          <w:szCs w:val="20"/>
          <w:lang w:val="es-ES"/>
        </w:rPr>
        <w:t>nt</w:t>
      </w:r>
      <w:r w:rsidRPr="0064597D">
        <w:rPr>
          <w:rFonts w:eastAsia="Verdana" w:cs="Verdana"/>
          <w:sz w:val="20"/>
          <w:szCs w:val="20"/>
          <w:lang w:val="es-ES"/>
        </w:rPr>
        <w:t>e</w:t>
      </w:r>
      <w:r w:rsidR="002A0F50" w:rsidRPr="0064597D">
        <w:rPr>
          <w:rFonts w:eastAsia="Times" w:cs="Arial"/>
          <w:sz w:val="20"/>
          <w:szCs w:val="20"/>
        </w:rPr>
        <w:t>,</w:t>
      </w:r>
      <w:r w:rsidR="002A0F50" w:rsidRPr="0064597D">
        <w:rPr>
          <w:rFonts w:eastAsiaTheme="minorHAnsi" w:cs="Arial"/>
          <w:spacing w:val="-2"/>
          <w:sz w:val="20"/>
          <w:szCs w:val="20"/>
        </w:rPr>
        <w:t xml:space="preserve"> </w:t>
      </w:r>
      <w:r w:rsidR="003A28F1" w:rsidRPr="0064597D">
        <w:rPr>
          <w:rFonts w:eastAsiaTheme="minorHAnsi" w:cs="Arial"/>
          <w:spacing w:val="-2"/>
          <w:sz w:val="20"/>
          <w:szCs w:val="20"/>
        </w:rPr>
        <w:t xml:space="preserve">se observa que </w:t>
      </w:r>
      <w:r w:rsidR="009A49D7" w:rsidRPr="0064597D">
        <w:rPr>
          <w:rFonts w:eastAsiaTheme="minorHAnsi" w:cs="Arial"/>
          <w:spacing w:val="-2"/>
          <w:sz w:val="20"/>
          <w:szCs w:val="20"/>
        </w:rPr>
        <w:t xml:space="preserve">el señor Ruiz Fuentes apareció muerto por heridas de </w:t>
      </w:r>
      <w:r w:rsidR="00D3678B" w:rsidRPr="0064597D">
        <w:rPr>
          <w:rFonts w:eastAsiaTheme="minorHAnsi" w:cs="Arial"/>
          <w:spacing w:val="-2"/>
          <w:sz w:val="20"/>
          <w:szCs w:val="20"/>
        </w:rPr>
        <w:t>arma de fuego</w:t>
      </w:r>
      <w:r w:rsidR="009A49D7" w:rsidRPr="0064597D">
        <w:rPr>
          <w:rFonts w:eastAsiaTheme="minorHAnsi" w:cs="Arial"/>
          <w:spacing w:val="-2"/>
          <w:sz w:val="20"/>
          <w:szCs w:val="20"/>
        </w:rPr>
        <w:t xml:space="preserve"> el 14 de noviembre de 2005 en</w:t>
      </w:r>
      <w:r w:rsidR="00B84E9D" w:rsidRPr="0064597D">
        <w:rPr>
          <w:rFonts w:eastAsiaTheme="minorHAnsi" w:cs="Arial"/>
          <w:spacing w:val="-2"/>
          <w:sz w:val="20"/>
          <w:szCs w:val="20"/>
        </w:rPr>
        <w:t xml:space="preserve">tre la </w:t>
      </w:r>
      <w:r w:rsidR="00480513" w:rsidRPr="0064597D">
        <w:rPr>
          <w:rFonts w:eastAsiaTheme="minorHAnsi" w:cs="Arial"/>
          <w:spacing w:val="-2"/>
          <w:sz w:val="20"/>
          <w:szCs w:val="20"/>
        </w:rPr>
        <w:t>0</w:t>
      </w:r>
      <w:r w:rsidR="00B84E9D" w:rsidRPr="0064597D">
        <w:rPr>
          <w:rFonts w:eastAsiaTheme="minorHAnsi" w:cs="Arial"/>
          <w:spacing w:val="-2"/>
          <w:sz w:val="20"/>
          <w:szCs w:val="20"/>
        </w:rPr>
        <w:t xml:space="preserve"> Avenida y</w:t>
      </w:r>
      <w:r w:rsidR="009A49D7" w:rsidRPr="0064597D">
        <w:rPr>
          <w:rFonts w:eastAsiaTheme="minorHAnsi" w:cs="Arial"/>
          <w:spacing w:val="-2"/>
          <w:sz w:val="20"/>
          <w:szCs w:val="20"/>
        </w:rPr>
        <w:t xml:space="preserve"> la </w:t>
      </w:r>
      <w:r w:rsidR="00B84E9D" w:rsidRPr="0064597D">
        <w:rPr>
          <w:rFonts w:eastAsiaTheme="minorHAnsi" w:cs="Arial"/>
          <w:spacing w:val="-2"/>
          <w:sz w:val="20"/>
          <w:szCs w:val="20"/>
        </w:rPr>
        <w:t xml:space="preserve">5ta </w:t>
      </w:r>
      <w:r w:rsidR="009A49D7" w:rsidRPr="0064597D">
        <w:rPr>
          <w:rFonts w:eastAsiaTheme="minorHAnsi" w:cs="Arial"/>
          <w:spacing w:val="-2"/>
          <w:sz w:val="20"/>
          <w:szCs w:val="20"/>
        </w:rPr>
        <w:t>calle de la Colonia Monja Blanca de Barberena</w:t>
      </w:r>
      <w:r w:rsidR="00D3678B" w:rsidRPr="0064597D">
        <w:rPr>
          <w:rFonts w:eastAsiaTheme="minorHAnsi" w:cs="Arial"/>
          <w:spacing w:val="-2"/>
          <w:sz w:val="20"/>
          <w:szCs w:val="20"/>
        </w:rPr>
        <w:t>,</w:t>
      </w:r>
      <w:r w:rsidR="009A49D7" w:rsidRPr="0064597D">
        <w:rPr>
          <w:rFonts w:eastAsiaTheme="minorHAnsi" w:cs="Arial"/>
          <w:spacing w:val="-2"/>
          <w:sz w:val="20"/>
          <w:szCs w:val="20"/>
        </w:rPr>
        <w:t xml:space="preserve"> Santa Rosa</w:t>
      </w:r>
      <w:r w:rsidR="009A49D7" w:rsidRPr="0064597D">
        <w:rPr>
          <w:rStyle w:val="Refdenotaalpie"/>
          <w:rFonts w:eastAsiaTheme="minorHAnsi" w:cs="Arial"/>
          <w:spacing w:val="-2"/>
          <w:sz w:val="20"/>
          <w:szCs w:val="20"/>
        </w:rPr>
        <w:footnoteReference w:id="119"/>
      </w:r>
      <w:r w:rsidR="006365CE" w:rsidRPr="0064597D">
        <w:rPr>
          <w:rFonts w:eastAsiaTheme="minorHAnsi" w:cs="Arial"/>
          <w:spacing w:val="-2"/>
          <w:sz w:val="20"/>
          <w:szCs w:val="20"/>
        </w:rPr>
        <w:t>.</w:t>
      </w:r>
      <w:r w:rsidR="00D3678B" w:rsidRPr="0064597D">
        <w:rPr>
          <w:rFonts w:eastAsiaTheme="minorHAnsi" w:cs="Arial"/>
          <w:spacing w:val="-2"/>
          <w:sz w:val="20"/>
          <w:szCs w:val="20"/>
        </w:rPr>
        <w:t xml:space="preserve"> Según el acta policial de ese mismo d</w:t>
      </w:r>
      <w:r w:rsidR="00B84E9D" w:rsidRPr="0064597D">
        <w:rPr>
          <w:rFonts w:eastAsiaTheme="minorHAnsi" w:cs="Arial"/>
          <w:spacing w:val="-2"/>
          <w:sz w:val="20"/>
          <w:szCs w:val="20"/>
        </w:rPr>
        <w:t>ía, el cadáver del señor Ruiz Fuentes tenía una posición decúbito dorsal, con los brazos y piernas estiradas, y los ojos cerrados</w:t>
      </w:r>
      <w:r w:rsidR="00B84E9D" w:rsidRPr="0064597D">
        <w:rPr>
          <w:rStyle w:val="Refdenotaalpie"/>
          <w:rFonts w:eastAsiaTheme="minorHAnsi" w:cs="Arial"/>
          <w:spacing w:val="-2"/>
          <w:sz w:val="20"/>
          <w:szCs w:val="20"/>
        </w:rPr>
        <w:footnoteReference w:id="120"/>
      </w:r>
      <w:r w:rsidR="00B84E9D" w:rsidRPr="0064597D">
        <w:rPr>
          <w:rFonts w:eastAsiaTheme="minorHAnsi" w:cs="Arial"/>
          <w:spacing w:val="-2"/>
          <w:sz w:val="20"/>
          <w:szCs w:val="20"/>
        </w:rPr>
        <w:t xml:space="preserve">. </w:t>
      </w:r>
      <w:r w:rsidR="00D3678B" w:rsidRPr="0064597D">
        <w:rPr>
          <w:rFonts w:eastAsiaTheme="minorHAnsi" w:cs="Arial"/>
          <w:spacing w:val="-2"/>
          <w:sz w:val="20"/>
          <w:szCs w:val="20"/>
        </w:rPr>
        <w:t xml:space="preserve">El señor Ruiz Fuentes presentaba una herida de proyectil de arma de fuego en la “región mamila o tetilla [del] lado derecho” y una herida de proyectil de arma de fuego </w:t>
      </w:r>
      <w:r w:rsidR="00530469" w:rsidRPr="0064597D">
        <w:rPr>
          <w:rFonts w:eastAsiaTheme="minorHAnsi" w:cs="Arial"/>
          <w:spacing w:val="-2"/>
          <w:sz w:val="20"/>
          <w:szCs w:val="20"/>
        </w:rPr>
        <w:t>“</w:t>
      </w:r>
      <w:r w:rsidR="00D3678B" w:rsidRPr="0064597D">
        <w:rPr>
          <w:rFonts w:eastAsiaTheme="minorHAnsi" w:cs="Arial"/>
          <w:spacing w:val="-2"/>
          <w:sz w:val="20"/>
          <w:szCs w:val="20"/>
        </w:rPr>
        <w:t>[en] la región orbita[l] [del] lado derecho”</w:t>
      </w:r>
      <w:r w:rsidR="00D3678B" w:rsidRPr="0064597D">
        <w:rPr>
          <w:rStyle w:val="Refdenotaalpie"/>
          <w:rFonts w:eastAsiaTheme="minorHAnsi" w:cs="Arial"/>
          <w:spacing w:val="-2"/>
          <w:sz w:val="20"/>
          <w:szCs w:val="20"/>
        </w:rPr>
        <w:footnoteReference w:id="121"/>
      </w:r>
      <w:r w:rsidR="00D3678B" w:rsidRPr="0064597D">
        <w:rPr>
          <w:rFonts w:eastAsiaTheme="minorHAnsi" w:cs="Arial"/>
          <w:spacing w:val="-2"/>
          <w:sz w:val="20"/>
          <w:szCs w:val="20"/>
        </w:rPr>
        <w:t xml:space="preserve">. </w:t>
      </w:r>
      <w:r w:rsidR="00B84E9D" w:rsidRPr="0064597D">
        <w:rPr>
          <w:rFonts w:eastAsiaTheme="minorHAnsi" w:cs="Arial"/>
          <w:spacing w:val="-2"/>
          <w:sz w:val="20"/>
          <w:szCs w:val="20"/>
        </w:rPr>
        <w:t>El acta también señalaba que el señor Ruiz Fuentes tenía empuñada un arma de fuego tipo</w:t>
      </w:r>
      <w:r w:rsidR="003A28F1" w:rsidRPr="0064597D">
        <w:rPr>
          <w:rFonts w:eastAsiaTheme="minorHAnsi" w:cs="Arial"/>
          <w:spacing w:val="-2"/>
          <w:sz w:val="20"/>
          <w:szCs w:val="20"/>
        </w:rPr>
        <w:t xml:space="preserve"> pistola, calibre 9 milímetros y que s</w:t>
      </w:r>
      <w:r w:rsidR="004B28A0" w:rsidRPr="0064597D">
        <w:rPr>
          <w:rFonts w:eastAsiaTheme="minorHAnsi" w:cs="Arial"/>
          <w:spacing w:val="-2"/>
          <w:sz w:val="20"/>
          <w:szCs w:val="20"/>
        </w:rPr>
        <w:t>e localizaron además 20 vainas</w:t>
      </w:r>
      <w:r w:rsidR="00B84E9D" w:rsidRPr="0064597D">
        <w:rPr>
          <w:rFonts w:eastAsiaTheme="minorHAnsi" w:cs="Arial"/>
          <w:spacing w:val="-2"/>
          <w:sz w:val="20"/>
          <w:szCs w:val="20"/>
        </w:rPr>
        <w:t xml:space="preserve"> de calibre ignorado y una ojiva destruida de calibre ignorado en una de las puertas de un domicilio ubicado en el lugar de los hechos</w:t>
      </w:r>
      <w:r w:rsidR="00B84E9D" w:rsidRPr="0064597D">
        <w:rPr>
          <w:rStyle w:val="Refdenotaalpie"/>
          <w:rFonts w:eastAsiaTheme="minorHAnsi" w:cs="Arial"/>
          <w:spacing w:val="-2"/>
          <w:sz w:val="20"/>
          <w:szCs w:val="20"/>
        </w:rPr>
        <w:footnoteReference w:id="122"/>
      </w:r>
      <w:r w:rsidR="00B84E9D" w:rsidRPr="0064597D">
        <w:rPr>
          <w:rFonts w:eastAsiaTheme="minorHAnsi" w:cs="Arial"/>
          <w:spacing w:val="-2"/>
          <w:sz w:val="20"/>
          <w:szCs w:val="20"/>
        </w:rPr>
        <w:t xml:space="preserve">. </w:t>
      </w:r>
      <w:r w:rsidR="003A28F1" w:rsidRPr="0064597D">
        <w:rPr>
          <w:rFonts w:eastAsiaTheme="minorHAnsi" w:cs="Arial"/>
          <w:spacing w:val="-2"/>
          <w:sz w:val="20"/>
          <w:szCs w:val="20"/>
        </w:rPr>
        <w:t>Según dicha acta, d</w:t>
      </w:r>
      <w:r w:rsidR="00B84E9D" w:rsidRPr="0064597D">
        <w:rPr>
          <w:rFonts w:eastAsiaTheme="minorHAnsi" w:cs="Arial"/>
          <w:spacing w:val="-2"/>
          <w:sz w:val="20"/>
          <w:szCs w:val="20"/>
        </w:rPr>
        <w:t xml:space="preserve">e conformidad con lo señalado por vecinos que </w:t>
      </w:r>
      <w:r w:rsidR="003A28F1" w:rsidRPr="0064597D">
        <w:rPr>
          <w:rFonts w:eastAsiaTheme="minorHAnsi" w:cs="Arial"/>
          <w:spacing w:val="-2"/>
          <w:sz w:val="20"/>
          <w:szCs w:val="20"/>
        </w:rPr>
        <w:t xml:space="preserve">no quisieron </w:t>
      </w:r>
      <w:r w:rsidR="003A28F1" w:rsidRPr="0064597D">
        <w:rPr>
          <w:rFonts w:eastAsiaTheme="minorHAnsi" w:cs="Arial"/>
          <w:spacing w:val="-2"/>
          <w:sz w:val="20"/>
          <w:szCs w:val="20"/>
        </w:rPr>
        <w:lastRenderedPageBreak/>
        <w:t>proporcionar su identidad</w:t>
      </w:r>
      <w:r w:rsidR="00B84E9D" w:rsidRPr="0064597D">
        <w:rPr>
          <w:rFonts w:eastAsiaTheme="minorHAnsi" w:cs="Arial"/>
          <w:spacing w:val="-2"/>
          <w:sz w:val="20"/>
          <w:szCs w:val="20"/>
        </w:rPr>
        <w:t xml:space="preserve">, el señor Ruiz Fuentes era perseguido por </w:t>
      </w:r>
      <w:r w:rsidR="003A28F1" w:rsidRPr="0064597D">
        <w:rPr>
          <w:rFonts w:eastAsiaTheme="minorHAnsi" w:cs="Arial"/>
          <w:spacing w:val="-2"/>
          <w:sz w:val="20"/>
          <w:szCs w:val="20"/>
        </w:rPr>
        <w:t>“</w:t>
      </w:r>
      <w:r w:rsidR="00B84E9D" w:rsidRPr="0064597D">
        <w:rPr>
          <w:rFonts w:eastAsiaTheme="minorHAnsi" w:cs="Arial"/>
          <w:spacing w:val="-2"/>
          <w:sz w:val="20"/>
          <w:szCs w:val="20"/>
        </w:rPr>
        <w:t>varios individuos desconocidos, con quienes tuvo un intercambio de disparos” a resultas del cual recibió “varios impactos de bala” que ocasionaron su muerte</w:t>
      </w:r>
      <w:r w:rsidR="00B84E9D" w:rsidRPr="0064597D">
        <w:rPr>
          <w:rStyle w:val="Refdenotaalpie"/>
          <w:rFonts w:eastAsiaTheme="minorHAnsi" w:cs="Arial"/>
          <w:spacing w:val="-2"/>
          <w:sz w:val="20"/>
          <w:szCs w:val="20"/>
        </w:rPr>
        <w:footnoteReference w:id="123"/>
      </w:r>
      <w:r w:rsidR="00B84E9D" w:rsidRPr="0064597D">
        <w:rPr>
          <w:rFonts w:eastAsiaTheme="minorHAnsi" w:cs="Arial"/>
          <w:spacing w:val="-2"/>
          <w:sz w:val="20"/>
          <w:szCs w:val="20"/>
        </w:rPr>
        <w:t>.</w:t>
      </w:r>
      <w:r w:rsidR="00D3678B" w:rsidRPr="0064597D">
        <w:rPr>
          <w:rFonts w:eastAsiaTheme="minorHAnsi" w:cs="Arial"/>
          <w:spacing w:val="-2"/>
          <w:sz w:val="20"/>
          <w:szCs w:val="20"/>
        </w:rPr>
        <w:t xml:space="preserve"> </w:t>
      </w:r>
      <w:r w:rsidR="00872017" w:rsidRPr="0064597D">
        <w:rPr>
          <w:rFonts w:eastAsiaTheme="minorHAnsi" w:cs="Arial"/>
          <w:spacing w:val="-2"/>
          <w:sz w:val="20"/>
          <w:szCs w:val="20"/>
        </w:rPr>
        <w:t>T</w:t>
      </w:r>
      <w:r w:rsidR="00D3678B" w:rsidRPr="0064597D">
        <w:rPr>
          <w:rFonts w:eastAsiaTheme="minorHAnsi" w:cs="Arial"/>
          <w:spacing w:val="-2"/>
          <w:sz w:val="20"/>
          <w:szCs w:val="20"/>
        </w:rPr>
        <w:t xml:space="preserve">al y como lo señala </w:t>
      </w:r>
      <w:r w:rsidR="00B84E9D" w:rsidRPr="0064597D">
        <w:rPr>
          <w:rFonts w:eastAsiaTheme="minorHAnsi" w:cs="Arial"/>
          <w:spacing w:val="-2"/>
          <w:sz w:val="20"/>
          <w:szCs w:val="20"/>
        </w:rPr>
        <w:t xml:space="preserve">el informe de 15 de noviembre de 2005 relativo a </w:t>
      </w:r>
      <w:r w:rsidR="009A49D7" w:rsidRPr="0064597D">
        <w:rPr>
          <w:rFonts w:eastAsiaTheme="minorHAnsi" w:cs="Arial"/>
          <w:spacing w:val="-2"/>
          <w:sz w:val="20"/>
          <w:szCs w:val="20"/>
        </w:rPr>
        <w:t>la autopsia practicada al cadáver, la causa de la muerte fue “perforación cerebral y pulmonar por heridas perforantes de proyectiles de arma de fuego”</w:t>
      </w:r>
      <w:r w:rsidR="009A49D7" w:rsidRPr="0064597D">
        <w:rPr>
          <w:rStyle w:val="Refdenotaalpie"/>
          <w:rFonts w:eastAsiaTheme="minorHAnsi" w:cs="Arial"/>
          <w:spacing w:val="-2"/>
          <w:sz w:val="20"/>
          <w:szCs w:val="20"/>
        </w:rPr>
        <w:footnoteReference w:id="124"/>
      </w:r>
      <w:r w:rsidR="009A49D7" w:rsidRPr="0064597D">
        <w:rPr>
          <w:rFonts w:eastAsiaTheme="minorHAnsi" w:cs="Arial"/>
          <w:spacing w:val="-2"/>
          <w:sz w:val="20"/>
          <w:szCs w:val="20"/>
        </w:rPr>
        <w:t>.</w:t>
      </w:r>
      <w:r w:rsidR="00872017" w:rsidRPr="0064597D">
        <w:rPr>
          <w:rFonts w:eastAsiaTheme="minorHAnsi" w:cs="Arial"/>
          <w:spacing w:val="-2"/>
          <w:sz w:val="20"/>
          <w:szCs w:val="20"/>
        </w:rPr>
        <w:t xml:space="preserve"> </w:t>
      </w:r>
    </w:p>
    <w:p w14:paraId="5FBD8ABB" w14:textId="77777777" w:rsidR="007F456A" w:rsidRPr="0064597D" w:rsidRDefault="007F456A" w:rsidP="007F456A">
      <w:pPr>
        <w:tabs>
          <w:tab w:val="left" w:pos="567"/>
        </w:tabs>
        <w:spacing w:line="240" w:lineRule="auto"/>
        <w:rPr>
          <w:rFonts w:eastAsia="Times" w:cs="Arial"/>
          <w:sz w:val="20"/>
          <w:szCs w:val="20"/>
        </w:rPr>
      </w:pPr>
    </w:p>
    <w:p w14:paraId="05801662" w14:textId="77777777" w:rsidR="002A0F50" w:rsidRPr="0064597D" w:rsidRDefault="00A758E4" w:rsidP="000C391B">
      <w:pPr>
        <w:numPr>
          <w:ilvl w:val="0"/>
          <w:numId w:val="1"/>
        </w:numPr>
        <w:tabs>
          <w:tab w:val="left" w:pos="567"/>
        </w:tabs>
        <w:spacing w:line="240" w:lineRule="auto"/>
        <w:ind w:left="0" w:firstLine="0"/>
        <w:rPr>
          <w:rFonts w:eastAsia="Times" w:cs="Arial"/>
          <w:sz w:val="20"/>
          <w:szCs w:val="20"/>
        </w:rPr>
      </w:pPr>
      <w:r w:rsidRPr="0064597D">
        <w:rPr>
          <w:rFonts w:eastAsia="Verdana" w:cs="Verdana"/>
          <w:sz w:val="20"/>
          <w:szCs w:val="20"/>
          <w:lang w:val="es-ES"/>
        </w:rPr>
        <w:t>Las</w:t>
      </w:r>
      <w:r w:rsidRPr="0064597D">
        <w:rPr>
          <w:rFonts w:eastAsia="Verdana" w:cs="Verdana"/>
          <w:spacing w:val="33"/>
          <w:sz w:val="20"/>
          <w:szCs w:val="20"/>
          <w:lang w:val="es-ES"/>
        </w:rPr>
        <w:t xml:space="preserve"> </w:t>
      </w:r>
      <w:r w:rsidRPr="0064597D">
        <w:rPr>
          <w:rFonts w:eastAsia="Verdana" w:cs="Verdana"/>
          <w:sz w:val="20"/>
          <w:szCs w:val="20"/>
          <w:lang w:val="es-ES"/>
        </w:rPr>
        <w:t>c</w:t>
      </w:r>
      <w:r w:rsidRPr="0064597D">
        <w:rPr>
          <w:rFonts w:eastAsia="Verdana" w:cs="Verdana"/>
          <w:spacing w:val="2"/>
          <w:sz w:val="20"/>
          <w:szCs w:val="20"/>
          <w:lang w:val="es-ES"/>
        </w:rPr>
        <w:t>i</w:t>
      </w:r>
      <w:r w:rsidRPr="0064597D">
        <w:rPr>
          <w:rFonts w:eastAsia="Verdana" w:cs="Verdana"/>
          <w:spacing w:val="-1"/>
          <w:sz w:val="20"/>
          <w:szCs w:val="20"/>
          <w:lang w:val="es-ES"/>
        </w:rPr>
        <w:t>r</w:t>
      </w:r>
      <w:r w:rsidRPr="0064597D">
        <w:rPr>
          <w:rFonts w:eastAsia="Verdana" w:cs="Verdana"/>
          <w:sz w:val="20"/>
          <w:szCs w:val="20"/>
          <w:lang w:val="es-ES"/>
        </w:rPr>
        <w:t>cu</w:t>
      </w:r>
      <w:r w:rsidRPr="0064597D">
        <w:rPr>
          <w:rFonts w:eastAsia="Verdana" w:cs="Verdana"/>
          <w:spacing w:val="1"/>
          <w:sz w:val="20"/>
          <w:szCs w:val="20"/>
          <w:lang w:val="es-ES"/>
        </w:rPr>
        <w:t>n</w:t>
      </w:r>
      <w:r w:rsidRPr="0064597D">
        <w:rPr>
          <w:rFonts w:eastAsia="Verdana" w:cs="Verdana"/>
          <w:sz w:val="20"/>
          <w:szCs w:val="20"/>
          <w:lang w:val="es-ES"/>
        </w:rPr>
        <w:t>sta</w:t>
      </w:r>
      <w:r w:rsidRPr="0064597D">
        <w:rPr>
          <w:rFonts w:eastAsia="Verdana" w:cs="Verdana"/>
          <w:spacing w:val="2"/>
          <w:sz w:val="20"/>
          <w:szCs w:val="20"/>
          <w:lang w:val="es-ES"/>
        </w:rPr>
        <w:t>n</w:t>
      </w:r>
      <w:r w:rsidRPr="0064597D">
        <w:rPr>
          <w:rFonts w:eastAsia="Verdana" w:cs="Verdana"/>
          <w:sz w:val="20"/>
          <w:szCs w:val="20"/>
          <w:lang w:val="es-ES"/>
        </w:rPr>
        <w:t>c</w:t>
      </w:r>
      <w:r w:rsidRPr="0064597D">
        <w:rPr>
          <w:rFonts w:eastAsia="Verdana" w:cs="Verdana"/>
          <w:spacing w:val="2"/>
          <w:sz w:val="20"/>
          <w:szCs w:val="20"/>
          <w:lang w:val="es-ES"/>
        </w:rPr>
        <w:t>i</w:t>
      </w:r>
      <w:r w:rsidRPr="0064597D">
        <w:rPr>
          <w:rFonts w:eastAsia="Verdana" w:cs="Verdana"/>
          <w:sz w:val="20"/>
          <w:szCs w:val="20"/>
          <w:lang w:val="es-ES"/>
        </w:rPr>
        <w:t>as</w:t>
      </w:r>
      <w:r w:rsidRPr="0064597D">
        <w:rPr>
          <w:rFonts w:eastAsia="Verdana" w:cs="Verdana"/>
          <w:spacing w:val="21"/>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n</w:t>
      </w:r>
      <w:r w:rsidRPr="0064597D">
        <w:rPr>
          <w:rFonts w:eastAsia="Verdana" w:cs="Verdana"/>
          <w:spacing w:val="34"/>
          <w:sz w:val="20"/>
          <w:szCs w:val="20"/>
          <w:lang w:val="es-ES"/>
        </w:rPr>
        <w:t xml:space="preserve"> </w:t>
      </w:r>
      <w:r w:rsidRPr="0064597D">
        <w:rPr>
          <w:rFonts w:eastAsia="Verdana" w:cs="Verdana"/>
          <w:spacing w:val="3"/>
          <w:sz w:val="20"/>
          <w:szCs w:val="20"/>
          <w:lang w:val="es-ES"/>
        </w:rPr>
        <w:t>q</w:t>
      </w:r>
      <w:r w:rsidRPr="0064597D">
        <w:rPr>
          <w:rFonts w:eastAsia="Verdana" w:cs="Verdana"/>
          <w:spacing w:val="1"/>
          <w:sz w:val="20"/>
          <w:szCs w:val="20"/>
          <w:lang w:val="es-ES"/>
        </w:rPr>
        <w:t>u</w:t>
      </w:r>
      <w:r w:rsidRPr="0064597D">
        <w:rPr>
          <w:rFonts w:eastAsia="Verdana" w:cs="Verdana"/>
          <w:sz w:val="20"/>
          <w:szCs w:val="20"/>
          <w:lang w:val="es-ES"/>
        </w:rPr>
        <w:t>e</w:t>
      </w:r>
      <w:r w:rsidRPr="0064597D">
        <w:rPr>
          <w:rFonts w:eastAsia="Verdana" w:cs="Verdana"/>
          <w:spacing w:val="30"/>
          <w:sz w:val="20"/>
          <w:szCs w:val="20"/>
          <w:lang w:val="es-ES"/>
        </w:rPr>
        <w:t xml:space="preserve"> </w:t>
      </w:r>
      <w:r w:rsidRPr="0064597D">
        <w:rPr>
          <w:rFonts w:eastAsia="Verdana" w:cs="Verdana"/>
          <w:spacing w:val="2"/>
          <w:sz w:val="20"/>
          <w:szCs w:val="20"/>
          <w:lang w:val="es-ES"/>
        </w:rPr>
        <w:t>s</w:t>
      </w:r>
      <w:r w:rsidRPr="0064597D">
        <w:rPr>
          <w:rFonts w:eastAsia="Verdana" w:cs="Verdana"/>
          <w:sz w:val="20"/>
          <w:szCs w:val="20"/>
          <w:lang w:val="es-ES"/>
        </w:rPr>
        <w:t>e</w:t>
      </w:r>
      <w:r w:rsidRPr="0064597D">
        <w:rPr>
          <w:rFonts w:eastAsia="Verdana" w:cs="Verdana"/>
          <w:spacing w:val="32"/>
          <w:sz w:val="20"/>
          <w:szCs w:val="20"/>
          <w:lang w:val="es-ES"/>
        </w:rPr>
        <w:t xml:space="preserve"> </w:t>
      </w:r>
      <w:r w:rsidRPr="0064597D">
        <w:rPr>
          <w:rFonts w:eastAsia="Verdana" w:cs="Verdana"/>
          <w:spacing w:val="3"/>
          <w:sz w:val="20"/>
          <w:szCs w:val="20"/>
          <w:lang w:val="es-ES"/>
        </w:rPr>
        <w:t>p</w:t>
      </w:r>
      <w:r w:rsidRPr="0064597D">
        <w:rPr>
          <w:rFonts w:eastAsia="Verdana" w:cs="Verdana"/>
          <w:spacing w:val="-1"/>
          <w:sz w:val="20"/>
          <w:szCs w:val="20"/>
          <w:lang w:val="es-ES"/>
        </w:rPr>
        <w:t>ro</w:t>
      </w:r>
      <w:r w:rsidRPr="0064597D">
        <w:rPr>
          <w:rFonts w:eastAsia="Verdana" w:cs="Verdana"/>
          <w:spacing w:val="1"/>
          <w:sz w:val="20"/>
          <w:szCs w:val="20"/>
          <w:lang w:val="es-ES"/>
        </w:rPr>
        <w:t>duj</w:t>
      </w:r>
      <w:r w:rsidRPr="0064597D">
        <w:rPr>
          <w:rFonts w:eastAsia="Verdana" w:cs="Verdana"/>
          <w:sz w:val="20"/>
          <w:szCs w:val="20"/>
          <w:lang w:val="es-ES"/>
        </w:rPr>
        <w:t>o</w:t>
      </w:r>
      <w:r w:rsidRPr="0064597D">
        <w:rPr>
          <w:rFonts w:eastAsia="Verdana" w:cs="Verdana"/>
          <w:spacing w:val="29"/>
          <w:sz w:val="20"/>
          <w:szCs w:val="20"/>
          <w:lang w:val="es-ES"/>
        </w:rPr>
        <w:t xml:space="preserve"> </w:t>
      </w:r>
      <w:r w:rsidRPr="0064597D">
        <w:rPr>
          <w:rFonts w:eastAsia="Verdana" w:cs="Verdana"/>
          <w:sz w:val="20"/>
          <w:szCs w:val="20"/>
          <w:lang w:val="es-ES"/>
        </w:rPr>
        <w:t>su</w:t>
      </w:r>
      <w:r w:rsidRPr="0064597D">
        <w:rPr>
          <w:rFonts w:eastAsia="Verdana" w:cs="Verdana"/>
          <w:spacing w:val="33"/>
          <w:sz w:val="20"/>
          <w:szCs w:val="20"/>
          <w:lang w:val="es-ES"/>
        </w:rPr>
        <w:t xml:space="preserve"> </w:t>
      </w:r>
      <w:r w:rsidRPr="0064597D">
        <w:rPr>
          <w:rFonts w:eastAsia="Verdana" w:cs="Verdana"/>
          <w:sz w:val="20"/>
          <w:szCs w:val="20"/>
          <w:lang w:val="es-ES"/>
        </w:rPr>
        <w:t>m</w:t>
      </w:r>
      <w:r w:rsidRPr="0064597D">
        <w:rPr>
          <w:rFonts w:eastAsia="Verdana" w:cs="Verdana"/>
          <w:spacing w:val="4"/>
          <w:sz w:val="20"/>
          <w:szCs w:val="20"/>
          <w:lang w:val="es-ES"/>
        </w:rPr>
        <w:t>u</w:t>
      </w:r>
      <w:r w:rsidRPr="0064597D">
        <w:rPr>
          <w:rFonts w:eastAsia="Verdana" w:cs="Verdana"/>
          <w:spacing w:val="-1"/>
          <w:sz w:val="20"/>
          <w:szCs w:val="20"/>
          <w:lang w:val="es-ES"/>
        </w:rPr>
        <w:t>e</w:t>
      </w:r>
      <w:r w:rsidRPr="0064597D">
        <w:rPr>
          <w:rFonts w:eastAsia="Verdana" w:cs="Verdana"/>
          <w:spacing w:val="1"/>
          <w:sz w:val="20"/>
          <w:szCs w:val="20"/>
          <w:lang w:val="es-ES"/>
        </w:rPr>
        <w:t>rt</w:t>
      </w:r>
      <w:r w:rsidRPr="0064597D">
        <w:rPr>
          <w:rFonts w:eastAsia="Verdana" w:cs="Verdana"/>
          <w:sz w:val="20"/>
          <w:szCs w:val="20"/>
          <w:lang w:val="es-ES"/>
        </w:rPr>
        <w:t>e</w:t>
      </w:r>
      <w:r w:rsidRPr="0064597D">
        <w:rPr>
          <w:rFonts w:eastAsia="Verdana" w:cs="Verdana"/>
          <w:spacing w:val="27"/>
          <w:sz w:val="20"/>
          <w:szCs w:val="20"/>
          <w:lang w:val="es-ES"/>
        </w:rPr>
        <w:t xml:space="preserve"> </w:t>
      </w:r>
      <w:r w:rsidRPr="0064597D">
        <w:rPr>
          <w:rFonts w:eastAsia="Verdana" w:cs="Verdana"/>
          <w:sz w:val="20"/>
          <w:szCs w:val="20"/>
          <w:lang w:val="es-ES"/>
        </w:rPr>
        <w:t>y</w:t>
      </w:r>
      <w:r w:rsidRPr="0064597D">
        <w:rPr>
          <w:rFonts w:eastAsia="Verdana" w:cs="Verdana"/>
          <w:spacing w:val="35"/>
          <w:sz w:val="20"/>
          <w:szCs w:val="20"/>
          <w:lang w:val="es-ES"/>
        </w:rPr>
        <w:t xml:space="preserve"> </w:t>
      </w:r>
      <w:r w:rsidRPr="0064597D">
        <w:rPr>
          <w:rFonts w:eastAsia="Verdana" w:cs="Verdana"/>
          <w:sz w:val="20"/>
          <w:szCs w:val="20"/>
          <w:lang w:val="es-ES"/>
        </w:rPr>
        <w:t>si</w:t>
      </w:r>
      <w:r w:rsidRPr="0064597D">
        <w:rPr>
          <w:rFonts w:eastAsia="Verdana" w:cs="Verdana"/>
          <w:spacing w:val="36"/>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sta</w:t>
      </w:r>
      <w:r w:rsidRPr="0064597D">
        <w:rPr>
          <w:rFonts w:eastAsia="Verdana" w:cs="Verdana"/>
          <w:spacing w:val="33"/>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s</w:t>
      </w:r>
      <w:r w:rsidRPr="0064597D">
        <w:rPr>
          <w:rFonts w:eastAsia="Verdana" w:cs="Verdana"/>
          <w:spacing w:val="32"/>
          <w:sz w:val="20"/>
          <w:szCs w:val="20"/>
          <w:lang w:val="es-ES"/>
        </w:rPr>
        <w:t xml:space="preserve"> </w:t>
      </w:r>
      <w:r w:rsidRPr="0064597D">
        <w:rPr>
          <w:rFonts w:eastAsia="Verdana" w:cs="Verdana"/>
          <w:sz w:val="20"/>
          <w:szCs w:val="20"/>
          <w:lang w:val="es-ES"/>
        </w:rPr>
        <w:t>a</w:t>
      </w:r>
      <w:r w:rsidRPr="0064597D">
        <w:rPr>
          <w:rFonts w:eastAsia="Verdana" w:cs="Verdana"/>
          <w:spacing w:val="3"/>
          <w:sz w:val="20"/>
          <w:szCs w:val="20"/>
          <w:lang w:val="es-ES"/>
        </w:rPr>
        <w:t>t</w:t>
      </w:r>
      <w:r w:rsidRPr="0064597D">
        <w:rPr>
          <w:rFonts w:eastAsia="Verdana" w:cs="Verdana"/>
          <w:spacing w:val="-1"/>
          <w:sz w:val="20"/>
          <w:szCs w:val="20"/>
          <w:lang w:val="es-ES"/>
        </w:rPr>
        <w:t>r</w:t>
      </w:r>
      <w:r w:rsidRPr="0064597D">
        <w:rPr>
          <w:rFonts w:eastAsia="Verdana" w:cs="Verdana"/>
          <w:spacing w:val="3"/>
          <w:sz w:val="20"/>
          <w:szCs w:val="20"/>
          <w:lang w:val="es-ES"/>
        </w:rPr>
        <w:t>i</w:t>
      </w:r>
      <w:r w:rsidRPr="0064597D">
        <w:rPr>
          <w:rFonts w:eastAsia="Verdana" w:cs="Verdana"/>
          <w:spacing w:val="1"/>
          <w:sz w:val="20"/>
          <w:szCs w:val="20"/>
          <w:lang w:val="es-ES"/>
        </w:rPr>
        <w:t>b</w:t>
      </w:r>
      <w:r w:rsidRPr="0064597D">
        <w:rPr>
          <w:rFonts w:eastAsia="Verdana" w:cs="Verdana"/>
          <w:spacing w:val="-1"/>
          <w:sz w:val="20"/>
          <w:szCs w:val="20"/>
          <w:lang w:val="es-ES"/>
        </w:rPr>
        <w:t>u</w:t>
      </w:r>
      <w:r w:rsidRPr="0064597D">
        <w:rPr>
          <w:rFonts w:eastAsia="Verdana" w:cs="Verdana"/>
          <w:spacing w:val="3"/>
          <w:sz w:val="20"/>
          <w:szCs w:val="20"/>
          <w:lang w:val="es-ES"/>
        </w:rPr>
        <w:t>i</w:t>
      </w:r>
      <w:r w:rsidRPr="0064597D">
        <w:rPr>
          <w:rFonts w:eastAsia="Verdana" w:cs="Verdana"/>
          <w:spacing w:val="-2"/>
          <w:sz w:val="20"/>
          <w:szCs w:val="20"/>
          <w:lang w:val="es-ES"/>
        </w:rPr>
        <w:t>b</w:t>
      </w:r>
      <w:r w:rsidRPr="0064597D">
        <w:rPr>
          <w:rFonts w:eastAsia="Verdana" w:cs="Verdana"/>
          <w:spacing w:val="3"/>
          <w:sz w:val="20"/>
          <w:szCs w:val="20"/>
          <w:lang w:val="es-ES"/>
        </w:rPr>
        <w:t>l</w:t>
      </w:r>
      <w:r w:rsidRPr="0064597D">
        <w:rPr>
          <w:rFonts w:eastAsia="Verdana" w:cs="Verdana"/>
          <w:sz w:val="20"/>
          <w:szCs w:val="20"/>
          <w:lang w:val="es-ES"/>
        </w:rPr>
        <w:t>e</w:t>
      </w:r>
      <w:r w:rsidRPr="0064597D">
        <w:rPr>
          <w:rFonts w:eastAsia="Verdana" w:cs="Verdana"/>
          <w:spacing w:val="25"/>
          <w:sz w:val="20"/>
          <w:szCs w:val="20"/>
          <w:lang w:val="es-ES"/>
        </w:rPr>
        <w:t xml:space="preserve"> </w:t>
      </w:r>
      <w:r w:rsidRPr="0064597D">
        <w:rPr>
          <w:rFonts w:eastAsia="Verdana" w:cs="Verdana"/>
          <w:sz w:val="20"/>
          <w:szCs w:val="20"/>
          <w:lang w:val="es-ES"/>
        </w:rPr>
        <w:t>al</w:t>
      </w:r>
      <w:r w:rsidRPr="0064597D">
        <w:rPr>
          <w:rFonts w:eastAsia="Verdana" w:cs="Verdana"/>
          <w:spacing w:val="37"/>
          <w:sz w:val="20"/>
          <w:szCs w:val="20"/>
          <w:lang w:val="es-ES"/>
        </w:rPr>
        <w:t xml:space="preserve"> </w:t>
      </w:r>
      <w:r w:rsidRPr="0064597D">
        <w:rPr>
          <w:rFonts w:eastAsia="Verdana" w:cs="Verdana"/>
          <w:spacing w:val="-1"/>
          <w:sz w:val="20"/>
          <w:szCs w:val="20"/>
          <w:lang w:val="es-ES"/>
        </w:rPr>
        <w:t>E</w:t>
      </w:r>
      <w:r w:rsidRPr="0064597D">
        <w:rPr>
          <w:rFonts w:eastAsia="Verdana" w:cs="Verdana"/>
          <w:sz w:val="20"/>
          <w:szCs w:val="20"/>
          <w:lang w:val="es-ES"/>
        </w:rPr>
        <w:t>sta</w:t>
      </w:r>
      <w:r w:rsidRPr="0064597D">
        <w:rPr>
          <w:rFonts w:eastAsia="Verdana" w:cs="Verdana"/>
          <w:spacing w:val="1"/>
          <w:sz w:val="20"/>
          <w:szCs w:val="20"/>
          <w:lang w:val="es-ES"/>
        </w:rPr>
        <w:t>d</w:t>
      </w:r>
      <w:r w:rsidRPr="0064597D">
        <w:rPr>
          <w:rFonts w:eastAsia="Verdana" w:cs="Verdana"/>
          <w:sz w:val="20"/>
          <w:szCs w:val="20"/>
          <w:lang w:val="es-ES"/>
        </w:rPr>
        <w:t>o</w:t>
      </w:r>
      <w:r w:rsidRPr="0064597D">
        <w:rPr>
          <w:rFonts w:eastAsia="Verdana" w:cs="Verdana"/>
          <w:spacing w:val="30"/>
          <w:sz w:val="20"/>
          <w:szCs w:val="20"/>
          <w:lang w:val="es-ES"/>
        </w:rPr>
        <w:t xml:space="preserve"> </w:t>
      </w:r>
      <w:r w:rsidRPr="0064597D">
        <w:rPr>
          <w:rFonts w:eastAsia="Verdana" w:cs="Verdana"/>
          <w:sz w:val="20"/>
          <w:szCs w:val="20"/>
          <w:lang w:val="es-ES"/>
        </w:rPr>
        <w:t>s</w:t>
      </w:r>
      <w:r w:rsidRPr="0064597D">
        <w:rPr>
          <w:rFonts w:eastAsia="Verdana" w:cs="Verdana"/>
          <w:spacing w:val="-2"/>
          <w:sz w:val="20"/>
          <w:szCs w:val="20"/>
          <w:lang w:val="es-ES"/>
        </w:rPr>
        <w:t>o</w:t>
      </w:r>
      <w:r w:rsidRPr="0064597D">
        <w:rPr>
          <w:rFonts w:eastAsia="Verdana" w:cs="Verdana"/>
          <w:spacing w:val="1"/>
          <w:sz w:val="20"/>
          <w:szCs w:val="20"/>
          <w:lang w:val="es-ES"/>
        </w:rPr>
        <w:t>n</w:t>
      </w:r>
      <w:r w:rsidRPr="0064597D">
        <w:rPr>
          <w:rFonts w:eastAsia="Verdana" w:cs="Verdana"/>
          <w:sz w:val="20"/>
          <w:szCs w:val="20"/>
          <w:lang w:val="es-ES"/>
        </w:rPr>
        <w:t>,</w:t>
      </w:r>
      <w:r w:rsidRPr="0064597D">
        <w:rPr>
          <w:rFonts w:eastAsia="Verdana" w:cs="Verdana"/>
          <w:spacing w:val="32"/>
          <w:sz w:val="20"/>
          <w:szCs w:val="20"/>
          <w:lang w:val="es-ES"/>
        </w:rPr>
        <w:t xml:space="preserve"> </w:t>
      </w:r>
      <w:r w:rsidRPr="0064597D">
        <w:rPr>
          <w:rFonts w:eastAsia="Verdana" w:cs="Verdana"/>
          <w:sz w:val="20"/>
          <w:szCs w:val="20"/>
          <w:lang w:val="es-ES"/>
        </w:rPr>
        <w:t>s</w:t>
      </w:r>
      <w:r w:rsidRPr="0064597D">
        <w:rPr>
          <w:rFonts w:eastAsia="Verdana" w:cs="Verdana"/>
          <w:spacing w:val="2"/>
          <w:sz w:val="20"/>
          <w:szCs w:val="20"/>
          <w:lang w:val="es-ES"/>
        </w:rPr>
        <w:t>i</w:t>
      </w:r>
      <w:r w:rsidRPr="0064597D">
        <w:rPr>
          <w:rFonts w:eastAsia="Verdana" w:cs="Verdana"/>
          <w:sz w:val="20"/>
          <w:szCs w:val="20"/>
          <w:lang w:val="es-ES"/>
        </w:rPr>
        <w:t xml:space="preserve">n </w:t>
      </w:r>
      <w:r w:rsidRPr="0064597D">
        <w:rPr>
          <w:rFonts w:eastAsia="Verdana" w:cs="Verdana"/>
          <w:spacing w:val="-1"/>
          <w:sz w:val="20"/>
          <w:szCs w:val="20"/>
          <w:lang w:val="es-ES"/>
        </w:rPr>
        <w:t>e</w:t>
      </w:r>
      <w:r w:rsidRPr="0064597D">
        <w:rPr>
          <w:rFonts w:eastAsia="Verdana" w:cs="Verdana"/>
          <w:sz w:val="20"/>
          <w:szCs w:val="20"/>
          <w:lang w:val="es-ES"/>
        </w:rPr>
        <w:t>m</w:t>
      </w:r>
      <w:r w:rsidRPr="0064597D">
        <w:rPr>
          <w:rFonts w:eastAsia="Verdana" w:cs="Verdana"/>
          <w:spacing w:val="1"/>
          <w:sz w:val="20"/>
          <w:szCs w:val="20"/>
          <w:lang w:val="es-ES"/>
        </w:rPr>
        <w:t>b</w:t>
      </w:r>
      <w:r w:rsidRPr="0064597D">
        <w:rPr>
          <w:rFonts w:eastAsia="Verdana" w:cs="Verdana"/>
          <w:sz w:val="20"/>
          <w:szCs w:val="20"/>
          <w:lang w:val="es-ES"/>
        </w:rPr>
        <w:t>a</w:t>
      </w:r>
      <w:r w:rsidRPr="0064597D">
        <w:rPr>
          <w:rFonts w:eastAsia="Verdana" w:cs="Verdana"/>
          <w:spacing w:val="-1"/>
          <w:sz w:val="20"/>
          <w:szCs w:val="20"/>
          <w:lang w:val="es-ES"/>
        </w:rPr>
        <w:t>r</w:t>
      </w:r>
      <w:r w:rsidRPr="0064597D">
        <w:rPr>
          <w:rFonts w:eastAsia="Verdana" w:cs="Verdana"/>
          <w:spacing w:val="3"/>
          <w:sz w:val="20"/>
          <w:szCs w:val="20"/>
          <w:lang w:val="es-ES"/>
        </w:rPr>
        <w:t>g</w:t>
      </w:r>
      <w:r w:rsidRPr="0064597D">
        <w:rPr>
          <w:rFonts w:eastAsia="Verdana" w:cs="Verdana"/>
          <w:spacing w:val="-1"/>
          <w:sz w:val="20"/>
          <w:szCs w:val="20"/>
          <w:lang w:val="es-ES"/>
        </w:rPr>
        <w:t>o</w:t>
      </w:r>
      <w:r w:rsidRPr="0064597D">
        <w:rPr>
          <w:rFonts w:eastAsia="Verdana" w:cs="Verdana"/>
          <w:sz w:val="20"/>
          <w:szCs w:val="20"/>
          <w:lang w:val="es-ES"/>
        </w:rPr>
        <w:t>,</w:t>
      </w:r>
      <w:r w:rsidRPr="0064597D">
        <w:rPr>
          <w:rFonts w:eastAsia="Verdana" w:cs="Verdana"/>
          <w:spacing w:val="1"/>
          <w:sz w:val="20"/>
          <w:szCs w:val="20"/>
          <w:lang w:val="es-ES"/>
        </w:rPr>
        <w:t xml:space="preserve"> </w:t>
      </w:r>
      <w:r w:rsidRPr="0064597D">
        <w:rPr>
          <w:rFonts w:eastAsia="Verdana" w:cs="Verdana"/>
          <w:sz w:val="20"/>
          <w:szCs w:val="20"/>
          <w:lang w:val="es-ES"/>
        </w:rPr>
        <w:t>c</w:t>
      </w:r>
      <w:r w:rsidRPr="0064597D">
        <w:rPr>
          <w:rFonts w:eastAsia="Verdana" w:cs="Verdana"/>
          <w:spacing w:val="3"/>
          <w:sz w:val="20"/>
          <w:szCs w:val="20"/>
          <w:lang w:val="es-ES"/>
        </w:rPr>
        <w:t>u</w:t>
      </w:r>
      <w:r w:rsidRPr="0064597D">
        <w:rPr>
          <w:rFonts w:eastAsia="Verdana" w:cs="Verdana"/>
          <w:spacing w:val="-1"/>
          <w:sz w:val="20"/>
          <w:szCs w:val="20"/>
          <w:lang w:val="es-ES"/>
        </w:rPr>
        <w:t>e</w:t>
      </w:r>
      <w:r w:rsidRPr="0064597D">
        <w:rPr>
          <w:rFonts w:eastAsia="Verdana" w:cs="Verdana"/>
          <w:sz w:val="20"/>
          <w:szCs w:val="20"/>
          <w:lang w:val="es-ES"/>
        </w:rPr>
        <w:t>st</w:t>
      </w:r>
      <w:r w:rsidRPr="0064597D">
        <w:rPr>
          <w:rFonts w:eastAsia="Verdana" w:cs="Verdana"/>
          <w:spacing w:val="3"/>
          <w:sz w:val="20"/>
          <w:szCs w:val="20"/>
          <w:lang w:val="es-ES"/>
        </w:rPr>
        <w:t>i</w:t>
      </w:r>
      <w:r w:rsidRPr="0064597D">
        <w:rPr>
          <w:rFonts w:eastAsia="Verdana" w:cs="Verdana"/>
          <w:spacing w:val="-1"/>
          <w:sz w:val="20"/>
          <w:szCs w:val="20"/>
          <w:lang w:val="es-ES"/>
        </w:rPr>
        <w:t>o</w:t>
      </w:r>
      <w:r w:rsidRPr="0064597D">
        <w:rPr>
          <w:rFonts w:eastAsia="Verdana" w:cs="Verdana"/>
          <w:spacing w:val="1"/>
          <w:sz w:val="20"/>
          <w:szCs w:val="20"/>
          <w:lang w:val="es-ES"/>
        </w:rPr>
        <w:t>n</w:t>
      </w:r>
      <w:r w:rsidRPr="0064597D">
        <w:rPr>
          <w:rFonts w:eastAsia="Verdana" w:cs="Verdana"/>
          <w:spacing w:val="-1"/>
          <w:sz w:val="20"/>
          <w:szCs w:val="20"/>
          <w:lang w:val="es-ES"/>
        </w:rPr>
        <w:t>e</w:t>
      </w:r>
      <w:r w:rsidRPr="0064597D">
        <w:rPr>
          <w:rFonts w:eastAsia="Verdana" w:cs="Verdana"/>
          <w:sz w:val="20"/>
          <w:szCs w:val="20"/>
          <w:lang w:val="es-ES"/>
        </w:rPr>
        <w:t>s</w:t>
      </w:r>
      <w:r w:rsidRPr="0064597D">
        <w:rPr>
          <w:rFonts w:eastAsia="Verdana" w:cs="Verdana"/>
          <w:spacing w:val="1"/>
          <w:sz w:val="20"/>
          <w:szCs w:val="20"/>
          <w:lang w:val="es-ES"/>
        </w:rPr>
        <w:t xml:space="preserve"> </w:t>
      </w:r>
      <w:r w:rsidRPr="0064597D">
        <w:rPr>
          <w:rFonts w:eastAsia="Verdana" w:cs="Verdana"/>
          <w:spacing w:val="2"/>
          <w:sz w:val="20"/>
          <w:szCs w:val="20"/>
          <w:lang w:val="es-ES"/>
        </w:rPr>
        <w:t>c</w:t>
      </w:r>
      <w:r w:rsidRPr="0064597D">
        <w:rPr>
          <w:rFonts w:eastAsia="Verdana" w:cs="Verdana"/>
          <w:spacing w:val="1"/>
          <w:sz w:val="20"/>
          <w:szCs w:val="20"/>
          <w:lang w:val="es-ES"/>
        </w:rPr>
        <w:t>ont</w:t>
      </w:r>
      <w:r w:rsidRPr="0064597D">
        <w:rPr>
          <w:rFonts w:eastAsia="Verdana" w:cs="Verdana"/>
          <w:spacing w:val="-1"/>
          <w:sz w:val="20"/>
          <w:szCs w:val="20"/>
          <w:lang w:val="es-ES"/>
        </w:rPr>
        <w:t>ro</w:t>
      </w:r>
      <w:r w:rsidRPr="0064597D">
        <w:rPr>
          <w:rFonts w:eastAsia="Verdana" w:cs="Verdana"/>
          <w:spacing w:val="2"/>
          <w:sz w:val="20"/>
          <w:szCs w:val="20"/>
          <w:lang w:val="es-ES"/>
        </w:rPr>
        <w:t>v</w:t>
      </w:r>
      <w:r w:rsidRPr="0064597D">
        <w:rPr>
          <w:rFonts w:eastAsia="Verdana" w:cs="Verdana"/>
          <w:spacing w:val="-1"/>
          <w:sz w:val="20"/>
          <w:szCs w:val="20"/>
          <w:lang w:val="es-ES"/>
        </w:rPr>
        <w:t>er</w:t>
      </w:r>
      <w:r w:rsidRPr="0064597D">
        <w:rPr>
          <w:rFonts w:eastAsia="Verdana" w:cs="Verdana"/>
          <w:spacing w:val="1"/>
          <w:sz w:val="20"/>
          <w:szCs w:val="20"/>
          <w:lang w:val="es-ES"/>
        </w:rPr>
        <w:t>t</w:t>
      </w:r>
      <w:r w:rsidRPr="0064597D">
        <w:rPr>
          <w:rFonts w:eastAsia="Verdana" w:cs="Verdana"/>
          <w:spacing w:val="3"/>
          <w:sz w:val="20"/>
          <w:szCs w:val="20"/>
          <w:lang w:val="es-ES"/>
        </w:rPr>
        <w:t>i</w:t>
      </w:r>
      <w:r w:rsidRPr="0064597D">
        <w:rPr>
          <w:rFonts w:eastAsia="Verdana" w:cs="Verdana"/>
          <w:spacing w:val="1"/>
          <w:sz w:val="20"/>
          <w:szCs w:val="20"/>
          <w:lang w:val="es-ES"/>
        </w:rPr>
        <w:t>d</w:t>
      </w:r>
      <w:r w:rsidRPr="0064597D">
        <w:rPr>
          <w:rFonts w:eastAsia="Verdana" w:cs="Verdana"/>
          <w:sz w:val="20"/>
          <w:szCs w:val="20"/>
          <w:lang w:val="es-ES"/>
        </w:rPr>
        <w:t>as.</w:t>
      </w:r>
      <w:r w:rsidRPr="0064597D">
        <w:rPr>
          <w:rFonts w:eastAsia="Verdana" w:cs="Verdana"/>
          <w:spacing w:val="-5"/>
          <w:sz w:val="20"/>
          <w:szCs w:val="20"/>
          <w:lang w:val="es-ES"/>
        </w:rPr>
        <w:t xml:space="preserve"> </w:t>
      </w:r>
      <w:r w:rsidR="000C391B" w:rsidRPr="0064597D">
        <w:rPr>
          <w:rFonts w:eastAsia="Verdana" w:cs="Verdana"/>
          <w:spacing w:val="-5"/>
          <w:sz w:val="20"/>
          <w:szCs w:val="20"/>
          <w:lang w:val="es-ES"/>
        </w:rPr>
        <w:t xml:space="preserve">En vista de </w:t>
      </w:r>
      <w:r w:rsidR="007F456A" w:rsidRPr="0064597D">
        <w:rPr>
          <w:rFonts w:eastAsiaTheme="minorHAnsi" w:cs="Arial"/>
          <w:spacing w:val="-2"/>
          <w:sz w:val="20"/>
          <w:szCs w:val="20"/>
        </w:rPr>
        <w:t xml:space="preserve">lo anterior,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12"/>
          <w:sz w:val="20"/>
          <w:szCs w:val="20"/>
          <w:lang w:val="es-ES"/>
        </w:rPr>
        <w:t xml:space="preserve"> </w:t>
      </w:r>
      <w:r w:rsidR="00383B36" w:rsidRPr="0064597D">
        <w:rPr>
          <w:rFonts w:eastAsia="Verdana" w:cs="Verdana"/>
          <w:sz w:val="20"/>
          <w:szCs w:val="20"/>
          <w:lang w:val="es-ES"/>
        </w:rPr>
        <w:t>C</w:t>
      </w:r>
      <w:r w:rsidR="00383B36" w:rsidRPr="0064597D">
        <w:rPr>
          <w:rFonts w:eastAsia="Verdana" w:cs="Verdana"/>
          <w:spacing w:val="-1"/>
          <w:sz w:val="20"/>
          <w:szCs w:val="20"/>
          <w:lang w:val="es-ES"/>
        </w:rPr>
        <w:t>or</w:t>
      </w:r>
      <w:r w:rsidR="00383B36" w:rsidRPr="0064597D">
        <w:rPr>
          <w:rFonts w:eastAsia="Verdana" w:cs="Verdana"/>
          <w:spacing w:val="1"/>
          <w:sz w:val="20"/>
          <w:szCs w:val="20"/>
          <w:lang w:val="es-ES"/>
        </w:rPr>
        <w:t>t</w:t>
      </w:r>
      <w:r w:rsidR="00383B36" w:rsidRPr="0064597D">
        <w:rPr>
          <w:rFonts w:eastAsia="Verdana" w:cs="Verdana"/>
          <w:sz w:val="20"/>
          <w:szCs w:val="20"/>
          <w:lang w:val="es-ES"/>
        </w:rPr>
        <w:t>e</w:t>
      </w:r>
      <w:r w:rsidR="00383B36" w:rsidRPr="0064597D">
        <w:rPr>
          <w:rFonts w:eastAsia="Verdana" w:cs="Verdana"/>
          <w:spacing w:val="7"/>
          <w:sz w:val="20"/>
          <w:szCs w:val="20"/>
          <w:lang w:val="es-ES"/>
        </w:rPr>
        <w:t xml:space="preserve"> </w:t>
      </w:r>
      <w:r w:rsidR="00383B36" w:rsidRPr="0064597D">
        <w:rPr>
          <w:rFonts w:eastAsia="Verdana" w:cs="Verdana"/>
          <w:sz w:val="20"/>
          <w:szCs w:val="20"/>
          <w:lang w:val="es-ES"/>
        </w:rPr>
        <w:t>a</w:t>
      </w:r>
      <w:r w:rsidR="00383B36" w:rsidRPr="0064597D">
        <w:rPr>
          <w:rFonts w:eastAsia="Verdana" w:cs="Verdana"/>
          <w:spacing w:val="1"/>
          <w:sz w:val="20"/>
          <w:szCs w:val="20"/>
          <w:lang w:val="es-ES"/>
        </w:rPr>
        <w:t>n</w:t>
      </w:r>
      <w:r w:rsidR="00383B36" w:rsidRPr="0064597D">
        <w:rPr>
          <w:rFonts w:eastAsia="Verdana" w:cs="Verdana"/>
          <w:sz w:val="20"/>
          <w:szCs w:val="20"/>
          <w:lang w:val="es-ES"/>
        </w:rPr>
        <w:t>a</w:t>
      </w:r>
      <w:r w:rsidR="00383B36" w:rsidRPr="0064597D">
        <w:rPr>
          <w:rFonts w:eastAsia="Verdana" w:cs="Verdana"/>
          <w:spacing w:val="1"/>
          <w:sz w:val="20"/>
          <w:szCs w:val="20"/>
          <w:lang w:val="es-ES"/>
        </w:rPr>
        <w:t>l</w:t>
      </w:r>
      <w:r w:rsidR="00383B36" w:rsidRPr="0064597D">
        <w:rPr>
          <w:rFonts w:eastAsia="Verdana" w:cs="Verdana"/>
          <w:sz w:val="20"/>
          <w:szCs w:val="20"/>
          <w:lang w:val="es-ES"/>
        </w:rPr>
        <w:t>i</w:t>
      </w:r>
      <w:r w:rsidR="00383B36" w:rsidRPr="0064597D">
        <w:rPr>
          <w:rFonts w:eastAsia="Verdana" w:cs="Verdana"/>
          <w:spacing w:val="1"/>
          <w:sz w:val="20"/>
          <w:szCs w:val="20"/>
          <w:lang w:val="es-ES"/>
        </w:rPr>
        <w:t>z</w:t>
      </w:r>
      <w:r w:rsidR="00383B36" w:rsidRPr="0064597D">
        <w:rPr>
          <w:rFonts w:eastAsia="Verdana" w:cs="Verdana"/>
          <w:sz w:val="20"/>
          <w:szCs w:val="20"/>
          <w:lang w:val="es-ES"/>
        </w:rPr>
        <w:t>a</w:t>
      </w:r>
      <w:r w:rsidR="00383B36" w:rsidRPr="0064597D">
        <w:rPr>
          <w:rFonts w:eastAsia="Verdana" w:cs="Verdana"/>
          <w:spacing w:val="-1"/>
          <w:sz w:val="20"/>
          <w:szCs w:val="20"/>
          <w:lang w:val="es-ES"/>
        </w:rPr>
        <w:t>r</w:t>
      </w:r>
      <w:r w:rsidR="00383B36" w:rsidRPr="0064597D">
        <w:rPr>
          <w:rFonts w:eastAsia="Verdana" w:cs="Verdana"/>
          <w:sz w:val="20"/>
          <w:szCs w:val="20"/>
          <w:lang w:val="es-ES"/>
        </w:rPr>
        <w:t>á</w:t>
      </w:r>
      <w:r w:rsidR="00383B36" w:rsidRPr="0064597D">
        <w:rPr>
          <w:rFonts w:eastAsia="Verdana" w:cs="Verdana"/>
          <w:spacing w:val="5"/>
          <w:sz w:val="20"/>
          <w:szCs w:val="20"/>
          <w:lang w:val="es-ES"/>
        </w:rPr>
        <w:t xml:space="preserve"> </w:t>
      </w:r>
      <w:r w:rsidR="00383B36" w:rsidRPr="0064597D">
        <w:rPr>
          <w:rFonts w:eastAsia="Verdana" w:cs="Verdana"/>
          <w:sz w:val="20"/>
          <w:szCs w:val="20"/>
          <w:lang w:val="es-ES"/>
        </w:rPr>
        <w:t>a</w:t>
      </w:r>
      <w:r w:rsidR="00383B36" w:rsidRPr="0064597D">
        <w:rPr>
          <w:rFonts w:eastAsia="Verdana" w:cs="Verdana"/>
          <w:spacing w:val="13"/>
          <w:sz w:val="20"/>
          <w:szCs w:val="20"/>
          <w:lang w:val="es-ES"/>
        </w:rPr>
        <w:t xml:space="preserve"> </w:t>
      </w:r>
      <w:r w:rsidR="00383B36" w:rsidRPr="0064597D">
        <w:rPr>
          <w:rFonts w:eastAsia="Verdana" w:cs="Verdana"/>
          <w:sz w:val="20"/>
          <w:szCs w:val="20"/>
          <w:lang w:val="es-ES"/>
        </w:rPr>
        <w:t>c</w:t>
      </w:r>
      <w:r w:rsidR="00383B36" w:rsidRPr="0064597D">
        <w:rPr>
          <w:rFonts w:eastAsia="Verdana" w:cs="Verdana"/>
          <w:spacing w:val="-2"/>
          <w:sz w:val="20"/>
          <w:szCs w:val="20"/>
          <w:lang w:val="es-ES"/>
        </w:rPr>
        <w:t>o</w:t>
      </w:r>
      <w:r w:rsidR="00383B36" w:rsidRPr="0064597D">
        <w:rPr>
          <w:rFonts w:eastAsia="Verdana" w:cs="Verdana"/>
          <w:spacing w:val="1"/>
          <w:sz w:val="20"/>
          <w:szCs w:val="20"/>
          <w:lang w:val="es-ES"/>
        </w:rPr>
        <w:t>nt</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nu</w:t>
      </w:r>
      <w:r w:rsidR="00383B36" w:rsidRPr="0064597D">
        <w:rPr>
          <w:rFonts w:eastAsia="Verdana" w:cs="Verdana"/>
          <w:sz w:val="20"/>
          <w:szCs w:val="20"/>
          <w:lang w:val="es-ES"/>
        </w:rPr>
        <w:t>a</w:t>
      </w:r>
      <w:r w:rsidR="00383B36" w:rsidRPr="0064597D">
        <w:rPr>
          <w:rFonts w:eastAsia="Verdana" w:cs="Verdana"/>
          <w:spacing w:val="-3"/>
          <w:sz w:val="20"/>
          <w:szCs w:val="20"/>
          <w:lang w:val="es-ES"/>
        </w:rPr>
        <w:t>c</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ó</w:t>
      </w:r>
      <w:r w:rsidR="00383B36" w:rsidRPr="0064597D">
        <w:rPr>
          <w:rFonts w:eastAsia="Verdana" w:cs="Verdana"/>
          <w:sz w:val="20"/>
          <w:szCs w:val="20"/>
          <w:lang w:val="es-ES"/>
        </w:rPr>
        <w:t>n</w:t>
      </w:r>
      <w:r w:rsidR="00383B36" w:rsidRPr="0064597D">
        <w:rPr>
          <w:rFonts w:eastAsia="Verdana" w:cs="Verdana"/>
          <w:spacing w:val="-1"/>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17"/>
          <w:sz w:val="20"/>
          <w:szCs w:val="20"/>
          <w:lang w:val="es-ES"/>
        </w:rPr>
        <w:t xml:space="preserve"> </w:t>
      </w:r>
      <w:r w:rsidR="00383B36" w:rsidRPr="0064597D">
        <w:rPr>
          <w:rFonts w:eastAsia="Verdana" w:cs="Verdana"/>
          <w:spacing w:val="-3"/>
          <w:sz w:val="20"/>
          <w:szCs w:val="20"/>
          <w:lang w:val="es-ES"/>
        </w:rPr>
        <w:t>v</w:t>
      </w:r>
      <w:r w:rsidR="00383B36" w:rsidRPr="0064597D">
        <w:rPr>
          <w:rFonts w:eastAsia="Verdana" w:cs="Verdana"/>
          <w:spacing w:val="-1"/>
          <w:sz w:val="20"/>
          <w:szCs w:val="20"/>
          <w:lang w:val="es-ES"/>
        </w:rPr>
        <w:t>e</w:t>
      </w:r>
      <w:r w:rsidR="00383B36" w:rsidRPr="0064597D">
        <w:rPr>
          <w:rFonts w:eastAsia="Verdana" w:cs="Verdana"/>
          <w:spacing w:val="1"/>
          <w:sz w:val="20"/>
          <w:szCs w:val="20"/>
          <w:lang w:val="es-ES"/>
        </w:rPr>
        <w:t>r</w:t>
      </w:r>
      <w:r w:rsidR="00383B36" w:rsidRPr="0064597D">
        <w:rPr>
          <w:rFonts w:eastAsia="Verdana" w:cs="Verdana"/>
          <w:spacing w:val="-1"/>
          <w:sz w:val="20"/>
          <w:szCs w:val="20"/>
          <w:lang w:val="es-ES"/>
        </w:rPr>
        <w:t>o</w:t>
      </w:r>
      <w:r w:rsidR="00383B36" w:rsidRPr="0064597D">
        <w:rPr>
          <w:rFonts w:eastAsia="Verdana" w:cs="Verdana"/>
          <w:sz w:val="20"/>
          <w:szCs w:val="20"/>
          <w:lang w:val="es-ES"/>
        </w:rPr>
        <w:t>s</w:t>
      </w:r>
      <w:r w:rsidR="00383B36" w:rsidRPr="0064597D">
        <w:rPr>
          <w:rFonts w:eastAsia="Verdana" w:cs="Verdana"/>
          <w:spacing w:val="2"/>
          <w:sz w:val="20"/>
          <w:szCs w:val="20"/>
          <w:lang w:val="es-ES"/>
        </w:rPr>
        <w:t>i</w:t>
      </w:r>
      <w:r w:rsidR="00383B36" w:rsidRPr="0064597D">
        <w:rPr>
          <w:rFonts w:eastAsia="Verdana" w:cs="Verdana"/>
          <w:sz w:val="20"/>
          <w:szCs w:val="20"/>
          <w:lang w:val="es-ES"/>
        </w:rPr>
        <w:t>m</w:t>
      </w:r>
      <w:r w:rsidR="00383B36" w:rsidRPr="0064597D">
        <w:rPr>
          <w:rFonts w:eastAsia="Verdana" w:cs="Verdana"/>
          <w:spacing w:val="1"/>
          <w:sz w:val="20"/>
          <w:szCs w:val="20"/>
          <w:lang w:val="es-ES"/>
        </w:rPr>
        <w:t>i</w:t>
      </w:r>
      <w:r w:rsidR="00383B36" w:rsidRPr="0064597D">
        <w:rPr>
          <w:rFonts w:eastAsia="Verdana" w:cs="Verdana"/>
          <w:sz w:val="20"/>
          <w:szCs w:val="20"/>
          <w:lang w:val="es-ES"/>
        </w:rPr>
        <w:t>l</w:t>
      </w:r>
      <w:r w:rsidR="00383B36" w:rsidRPr="0064597D">
        <w:rPr>
          <w:rFonts w:eastAsia="Verdana" w:cs="Verdana"/>
          <w:spacing w:val="3"/>
          <w:sz w:val="20"/>
          <w:szCs w:val="20"/>
          <w:lang w:val="es-ES"/>
        </w:rPr>
        <w:t>i</w:t>
      </w:r>
      <w:r w:rsidR="00383B36" w:rsidRPr="0064597D">
        <w:rPr>
          <w:rFonts w:eastAsia="Verdana" w:cs="Verdana"/>
          <w:spacing w:val="-2"/>
          <w:sz w:val="20"/>
          <w:szCs w:val="20"/>
          <w:lang w:val="es-ES"/>
        </w:rPr>
        <w:t>t</w:t>
      </w:r>
      <w:r w:rsidR="00383B36" w:rsidRPr="0064597D">
        <w:rPr>
          <w:rFonts w:eastAsia="Verdana" w:cs="Verdana"/>
          <w:spacing w:val="1"/>
          <w:sz w:val="20"/>
          <w:szCs w:val="20"/>
          <w:lang w:val="es-ES"/>
        </w:rPr>
        <w:t>u</w:t>
      </w:r>
      <w:r w:rsidR="00383B36" w:rsidRPr="0064597D">
        <w:rPr>
          <w:rFonts w:eastAsia="Verdana" w:cs="Verdana"/>
          <w:sz w:val="20"/>
          <w:szCs w:val="20"/>
          <w:lang w:val="es-ES"/>
        </w:rPr>
        <w:t>d</w:t>
      </w:r>
      <w:r w:rsidR="00383B36" w:rsidRPr="0064597D">
        <w:rPr>
          <w:rFonts w:eastAsia="Verdana" w:cs="Verdana"/>
          <w:spacing w:val="3"/>
          <w:sz w:val="20"/>
          <w:szCs w:val="20"/>
          <w:lang w:val="es-ES"/>
        </w:rPr>
        <w:t xml:space="preserve"> </w:t>
      </w:r>
      <w:r w:rsidR="00383B36" w:rsidRPr="0064597D">
        <w:rPr>
          <w:rFonts w:eastAsia="Verdana" w:cs="Verdana"/>
          <w:spacing w:val="1"/>
          <w:sz w:val="20"/>
          <w:szCs w:val="20"/>
          <w:lang w:val="es-ES"/>
        </w:rPr>
        <w:t>d</w:t>
      </w:r>
      <w:r w:rsidR="00383B36" w:rsidRPr="0064597D">
        <w:rPr>
          <w:rFonts w:eastAsia="Verdana" w:cs="Verdana"/>
          <w:sz w:val="20"/>
          <w:szCs w:val="20"/>
          <w:lang w:val="es-ES"/>
        </w:rPr>
        <w:t>e</w:t>
      </w:r>
      <w:r w:rsidR="00383B36" w:rsidRPr="0064597D">
        <w:rPr>
          <w:rFonts w:eastAsia="Verdana" w:cs="Verdana"/>
          <w:spacing w:val="8"/>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as</w:t>
      </w:r>
      <w:r w:rsidR="00383B36" w:rsidRPr="0064597D">
        <w:rPr>
          <w:rFonts w:eastAsia="Verdana" w:cs="Verdana"/>
          <w:spacing w:val="10"/>
          <w:sz w:val="20"/>
          <w:szCs w:val="20"/>
          <w:lang w:val="es-ES"/>
        </w:rPr>
        <w:t xml:space="preserve"> </w:t>
      </w:r>
      <w:r w:rsidR="00383B36" w:rsidRPr="0064597D">
        <w:rPr>
          <w:rFonts w:eastAsia="Verdana" w:cs="Verdana"/>
          <w:spacing w:val="-1"/>
          <w:sz w:val="20"/>
          <w:szCs w:val="20"/>
          <w:lang w:val="es-ES"/>
        </w:rPr>
        <w:t>h</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p</w:t>
      </w:r>
      <w:r w:rsidR="00383B36" w:rsidRPr="0064597D">
        <w:rPr>
          <w:rFonts w:eastAsia="Verdana" w:cs="Verdana"/>
          <w:spacing w:val="-1"/>
          <w:sz w:val="20"/>
          <w:szCs w:val="20"/>
          <w:lang w:val="es-ES"/>
        </w:rPr>
        <w:t>ó</w:t>
      </w:r>
      <w:r w:rsidR="00383B36" w:rsidRPr="0064597D">
        <w:rPr>
          <w:rFonts w:eastAsia="Verdana" w:cs="Verdana"/>
          <w:spacing w:val="-2"/>
          <w:sz w:val="20"/>
          <w:szCs w:val="20"/>
          <w:lang w:val="es-ES"/>
        </w:rPr>
        <w:t>t</w:t>
      </w:r>
      <w:r w:rsidR="00383B36" w:rsidRPr="0064597D">
        <w:rPr>
          <w:rFonts w:eastAsia="Verdana" w:cs="Verdana"/>
          <w:sz w:val="20"/>
          <w:szCs w:val="20"/>
          <w:lang w:val="es-ES"/>
        </w:rPr>
        <w:t>es</w:t>
      </w:r>
      <w:r w:rsidR="00383B36" w:rsidRPr="0064597D">
        <w:rPr>
          <w:rFonts w:eastAsia="Verdana" w:cs="Verdana"/>
          <w:spacing w:val="2"/>
          <w:sz w:val="20"/>
          <w:szCs w:val="20"/>
          <w:lang w:val="es-ES"/>
        </w:rPr>
        <w:t>i</w:t>
      </w:r>
      <w:r w:rsidR="00383B36" w:rsidRPr="0064597D">
        <w:rPr>
          <w:rFonts w:eastAsia="Verdana" w:cs="Verdana"/>
          <w:sz w:val="20"/>
          <w:szCs w:val="20"/>
          <w:lang w:val="es-ES"/>
        </w:rPr>
        <w:t>s</w:t>
      </w:r>
      <w:r w:rsidR="00383B36" w:rsidRPr="0064597D">
        <w:rPr>
          <w:rFonts w:eastAsia="Verdana" w:cs="Verdana"/>
          <w:spacing w:val="4"/>
          <w:sz w:val="20"/>
          <w:szCs w:val="20"/>
          <w:lang w:val="es-ES"/>
        </w:rPr>
        <w:t xml:space="preserve"> </w:t>
      </w:r>
      <w:r w:rsidR="00383B36" w:rsidRPr="0064597D">
        <w:rPr>
          <w:rFonts w:eastAsia="Verdana" w:cs="Verdana"/>
          <w:spacing w:val="1"/>
          <w:sz w:val="20"/>
          <w:szCs w:val="20"/>
          <w:lang w:val="es-ES"/>
        </w:rPr>
        <w:t>p</w:t>
      </w:r>
      <w:r w:rsidR="00383B36" w:rsidRPr="0064597D">
        <w:rPr>
          <w:rFonts w:eastAsia="Verdana" w:cs="Verdana"/>
          <w:spacing w:val="-1"/>
          <w:sz w:val="20"/>
          <w:szCs w:val="20"/>
          <w:lang w:val="es-ES"/>
        </w:rPr>
        <w:t>r</w:t>
      </w:r>
      <w:r w:rsidR="00383B36" w:rsidRPr="0064597D">
        <w:rPr>
          <w:rFonts w:eastAsia="Verdana" w:cs="Verdana"/>
          <w:spacing w:val="1"/>
          <w:sz w:val="20"/>
          <w:szCs w:val="20"/>
          <w:lang w:val="es-ES"/>
        </w:rPr>
        <w:t>e</w:t>
      </w:r>
      <w:r w:rsidR="00383B36" w:rsidRPr="0064597D">
        <w:rPr>
          <w:rFonts w:eastAsia="Verdana" w:cs="Verdana"/>
          <w:sz w:val="20"/>
          <w:szCs w:val="20"/>
          <w:lang w:val="es-ES"/>
        </w:rPr>
        <w:t>s</w:t>
      </w:r>
      <w:r w:rsidR="00383B36" w:rsidRPr="0064597D">
        <w:rPr>
          <w:rFonts w:eastAsia="Verdana" w:cs="Verdana"/>
          <w:spacing w:val="-2"/>
          <w:sz w:val="20"/>
          <w:szCs w:val="20"/>
          <w:lang w:val="es-ES"/>
        </w:rPr>
        <w:t>e</w:t>
      </w:r>
      <w:r w:rsidR="00383B36" w:rsidRPr="0064597D">
        <w:rPr>
          <w:rFonts w:eastAsia="Verdana" w:cs="Verdana"/>
          <w:spacing w:val="1"/>
          <w:sz w:val="20"/>
          <w:szCs w:val="20"/>
          <w:lang w:val="es-ES"/>
        </w:rPr>
        <w:t>nt</w:t>
      </w:r>
      <w:r w:rsidR="00383B36" w:rsidRPr="0064597D">
        <w:rPr>
          <w:rFonts w:eastAsia="Verdana" w:cs="Verdana"/>
          <w:sz w:val="20"/>
          <w:szCs w:val="20"/>
          <w:lang w:val="es-ES"/>
        </w:rPr>
        <w:t>a</w:t>
      </w:r>
      <w:r w:rsidR="00383B36" w:rsidRPr="0064597D">
        <w:rPr>
          <w:rFonts w:eastAsia="Verdana" w:cs="Verdana"/>
          <w:spacing w:val="1"/>
          <w:sz w:val="20"/>
          <w:szCs w:val="20"/>
          <w:lang w:val="es-ES"/>
        </w:rPr>
        <w:t>d</w:t>
      </w:r>
      <w:r w:rsidR="00383B36" w:rsidRPr="0064597D">
        <w:rPr>
          <w:rFonts w:eastAsia="Verdana" w:cs="Verdana"/>
          <w:sz w:val="20"/>
          <w:szCs w:val="20"/>
          <w:lang w:val="es-ES"/>
        </w:rPr>
        <w:t>as</w:t>
      </w:r>
      <w:r w:rsidR="00383B36" w:rsidRPr="0064597D">
        <w:rPr>
          <w:rFonts w:eastAsia="Verdana" w:cs="Verdana"/>
          <w:spacing w:val="1"/>
          <w:sz w:val="20"/>
          <w:szCs w:val="20"/>
          <w:lang w:val="es-ES"/>
        </w:rPr>
        <w:t xml:space="preserve"> </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o</w:t>
      </w:r>
      <w:r w:rsidR="00383B36" w:rsidRPr="0064597D">
        <w:rPr>
          <w:rFonts w:eastAsia="Verdana" w:cs="Verdana"/>
          <w:sz w:val="20"/>
          <w:szCs w:val="20"/>
          <w:lang w:val="es-ES"/>
        </w:rPr>
        <w:t xml:space="preserve">r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7"/>
          <w:sz w:val="20"/>
          <w:szCs w:val="20"/>
          <w:lang w:val="es-ES"/>
        </w:rPr>
        <w:t xml:space="preserve"> </w:t>
      </w:r>
      <w:r w:rsidR="00383B36" w:rsidRPr="0064597D">
        <w:rPr>
          <w:rFonts w:eastAsia="Verdana" w:cs="Verdana"/>
          <w:sz w:val="20"/>
          <w:szCs w:val="20"/>
          <w:lang w:val="es-ES"/>
        </w:rPr>
        <w:t>C</w:t>
      </w:r>
      <w:r w:rsidR="00383B36" w:rsidRPr="0064597D">
        <w:rPr>
          <w:rFonts w:eastAsia="Verdana" w:cs="Verdana"/>
          <w:spacing w:val="-1"/>
          <w:sz w:val="20"/>
          <w:szCs w:val="20"/>
          <w:lang w:val="es-ES"/>
        </w:rPr>
        <w:t>o</w:t>
      </w:r>
      <w:r w:rsidR="00383B36" w:rsidRPr="0064597D">
        <w:rPr>
          <w:rFonts w:eastAsia="Verdana" w:cs="Verdana"/>
          <w:sz w:val="20"/>
          <w:szCs w:val="20"/>
          <w:lang w:val="es-ES"/>
        </w:rPr>
        <w:t>m</w:t>
      </w:r>
      <w:r w:rsidR="00383B36" w:rsidRPr="0064597D">
        <w:rPr>
          <w:rFonts w:eastAsia="Verdana" w:cs="Verdana"/>
          <w:spacing w:val="3"/>
          <w:sz w:val="20"/>
          <w:szCs w:val="20"/>
          <w:lang w:val="es-ES"/>
        </w:rPr>
        <w:t>i</w:t>
      </w:r>
      <w:r w:rsidR="00383B36" w:rsidRPr="0064597D">
        <w:rPr>
          <w:rFonts w:eastAsia="Verdana" w:cs="Verdana"/>
          <w:spacing w:val="-3"/>
          <w:sz w:val="20"/>
          <w:szCs w:val="20"/>
          <w:lang w:val="es-ES"/>
        </w:rPr>
        <w:t>s</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ó</w:t>
      </w:r>
      <w:r w:rsidR="00383B36" w:rsidRPr="0064597D">
        <w:rPr>
          <w:rFonts w:eastAsia="Verdana" w:cs="Verdana"/>
          <w:sz w:val="20"/>
          <w:szCs w:val="20"/>
          <w:lang w:val="es-ES"/>
        </w:rPr>
        <w:t>n</w:t>
      </w:r>
      <w:r w:rsidR="00383B36" w:rsidRPr="0064597D">
        <w:rPr>
          <w:rFonts w:eastAsia="Verdana" w:cs="Verdana"/>
          <w:spacing w:val="1"/>
          <w:sz w:val="20"/>
          <w:szCs w:val="20"/>
          <w:lang w:val="es-ES"/>
        </w:rPr>
        <w:t xml:space="preserve"> </w:t>
      </w:r>
      <w:r w:rsidR="00383B36" w:rsidRPr="0064597D">
        <w:rPr>
          <w:rFonts w:eastAsia="Verdana" w:cs="Verdana"/>
          <w:sz w:val="20"/>
          <w:szCs w:val="20"/>
          <w:lang w:val="es-ES"/>
        </w:rPr>
        <w:t>y</w:t>
      </w:r>
      <w:r w:rsidR="00383B36" w:rsidRPr="0064597D">
        <w:rPr>
          <w:rFonts w:eastAsia="Verdana" w:cs="Verdana"/>
          <w:spacing w:val="7"/>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7"/>
          <w:sz w:val="20"/>
          <w:szCs w:val="20"/>
          <w:lang w:val="es-ES"/>
        </w:rPr>
        <w:t xml:space="preserve"> </w:t>
      </w:r>
      <w:r w:rsidR="00383B36" w:rsidRPr="0064597D">
        <w:rPr>
          <w:rFonts w:eastAsia="Verdana" w:cs="Verdana"/>
          <w:spacing w:val="-1"/>
          <w:sz w:val="20"/>
          <w:szCs w:val="20"/>
          <w:lang w:val="es-ES"/>
        </w:rPr>
        <w:t>re</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r</w:t>
      </w:r>
      <w:r w:rsidR="00383B36" w:rsidRPr="0064597D">
        <w:rPr>
          <w:rFonts w:eastAsia="Verdana" w:cs="Verdana"/>
          <w:spacing w:val="-1"/>
          <w:sz w:val="20"/>
          <w:szCs w:val="20"/>
          <w:lang w:val="es-ES"/>
        </w:rPr>
        <w:t>e</w:t>
      </w:r>
      <w:r w:rsidR="00383B36" w:rsidRPr="0064597D">
        <w:rPr>
          <w:rFonts w:eastAsia="Verdana" w:cs="Verdana"/>
          <w:spacing w:val="2"/>
          <w:sz w:val="20"/>
          <w:szCs w:val="20"/>
          <w:lang w:val="es-ES"/>
        </w:rPr>
        <w:t>s</w:t>
      </w:r>
      <w:r w:rsidR="00383B36" w:rsidRPr="0064597D">
        <w:rPr>
          <w:rFonts w:eastAsia="Verdana" w:cs="Verdana"/>
          <w:spacing w:val="-1"/>
          <w:sz w:val="20"/>
          <w:szCs w:val="20"/>
          <w:lang w:val="es-ES"/>
        </w:rPr>
        <w:t>e</w:t>
      </w:r>
      <w:r w:rsidR="00383B36" w:rsidRPr="0064597D">
        <w:rPr>
          <w:rFonts w:eastAsia="Verdana" w:cs="Verdana"/>
          <w:spacing w:val="1"/>
          <w:sz w:val="20"/>
          <w:szCs w:val="20"/>
          <w:lang w:val="es-ES"/>
        </w:rPr>
        <w:t>nt</w:t>
      </w:r>
      <w:r w:rsidR="00383B36" w:rsidRPr="0064597D">
        <w:rPr>
          <w:rFonts w:eastAsia="Verdana" w:cs="Verdana"/>
          <w:sz w:val="20"/>
          <w:szCs w:val="20"/>
          <w:lang w:val="es-ES"/>
        </w:rPr>
        <w:t>ac</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ó</w:t>
      </w:r>
      <w:r w:rsidR="00383B36" w:rsidRPr="0064597D">
        <w:rPr>
          <w:rFonts w:eastAsia="Verdana" w:cs="Verdana"/>
          <w:sz w:val="20"/>
          <w:szCs w:val="20"/>
          <w:lang w:val="es-ES"/>
        </w:rPr>
        <w:t>n</w:t>
      </w:r>
      <w:r w:rsidR="00383B36" w:rsidRPr="0064597D">
        <w:rPr>
          <w:rFonts w:eastAsia="Verdana" w:cs="Verdana"/>
          <w:spacing w:val="-5"/>
          <w:sz w:val="20"/>
          <w:szCs w:val="20"/>
          <w:lang w:val="es-ES"/>
        </w:rPr>
        <w:t xml:space="preserve"> </w:t>
      </w:r>
      <w:r w:rsidR="00383B36" w:rsidRPr="0064597D">
        <w:rPr>
          <w:rFonts w:eastAsia="Verdana" w:cs="Verdana"/>
          <w:spacing w:val="1"/>
          <w:sz w:val="20"/>
          <w:szCs w:val="20"/>
          <w:lang w:val="es-ES"/>
        </w:rPr>
        <w:t>d</w:t>
      </w:r>
      <w:r w:rsidR="00383B36" w:rsidRPr="0064597D">
        <w:rPr>
          <w:rFonts w:eastAsia="Verdana" w:cs="Verdana"/>
          <w:sz w:val="20"/>
          <w:szCs w:val="20"/>
          <w:lang w:val="es-ES"/>
        </w:rPr>
        <w:t>e</w:t>
      </w:r>
      <w:r w:rsidR="00383B36" w:rsidRPr="0064597D">
        <w:rPr>
          <w:rFonts w:eastAsia="Verdana" w:cs="Verdana"/>
          <w:spacing w:val="6"/>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as</w:t>
      </w:r>
      <w:r w:rsidR="00383B36" w:rsidRPr="0064597D">
        <w:rPr>
          <w:rFonts w:eastAsia="Verdana" w:cs="Verdana"/>
          <w:spacing w:val="5"/>
          <w:sz w:val="20"/>
          <w:szCs w:val="20"/>
          <w:lang w:val="es-ES"/>
        </w:rPr>
        <w:t xml:space="preserve"> </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r</w:t>
      </w:r>
      <w:r w:rsidR="00383B36" w:rsidRPr="0064597D">
        <w:rPr>
          <w:rFonts w:eastAsia="Verdana" w:cs="Verdana"/>
          <w:spacing w:val="1"/>
          <w:sz w:val="20"/>
          <w:szCs w:val="20"/>
          <w:lang w:val="es-ES"/>
        </w:rPr>
        <w:t>e</w:t>
      </w:r>
      <w:r w:rsidR="00383B36" w:rsidRPr="0064597D">
        <w:rPr>
          <w:rFonts w:eastAsia="Verdana" w:cs="Verdana"/>
          <w:sz w:val="20"/>
          <w:szCs w:val="20"/>
          <w:lang w:val="es-ES"/>
        </w:rPr>
        <w:t>su</w:t>
      </w:r>
      <w:r w:rsidR="00383B36" w:rsidRPr="0064597D">
        <w:rPr>
          <w:rFonts w:eastAsia="Verdana" w:cs="Verdana"/>
          <w:spacing w:val="1"/>
          <w:sz w:val="20"/>
          <w:szCs w:val="20"/>
          <w:lang w:val="es-ES"/>
        </w:rPr>
        <w:t>nt</w:t>
      </w:r>
      <w:r w:rsidR="00383B36" w:rsidRPr="0064597D">
        <w:rPr>
          <w:rFonts w:eastAsia="Verdana" w:cs="Verdana"/>
          <w:sz w:val="20"/>
          <w:szCs w:val="20"/>
          <w:lang w:val="es-ES"/>
        </w:rPr>
        <w:t>as</w:t>
      </w:r>
      <w:r w:rsidR="00383B36" w:rsidRPr="0064597D">
        <w:rPr>
          <w:rFonts w:eastAsia="Verdana" w:cs="Verdana"/>
          <w:spacing w:val="-2"/>
          <w:sz w:val="20"/>
          <w:szCs w:val="20"/>
          <w:lang w:val="es-ES"/>
        </w:rPr>
        <w:t xml:space="preserve"> </w:t>
      </w:r>
      <w:r w:rsidR="00383B36" w:rsidRPr="0064597D">
        <w:rPr>
          <w:rFonts w:eastAsia="Verdana" w:cs="Verdana"/>
          <w:sz w:val="20"/>
          <w:szCs w:val="20"/>
          <w:lang w:val="es-ES"/>
        </w:rPr>
        <w:t>v</w:t>
      </w:r>
      <w:r w:rsidR="00383B36" w:rsidRPr="0064597D">
        <w:rPr>
          <w:rFonts w:eastAsia="Verdana" w:cs="Verdana"/>
          <w:spacing w:val="3"/>
          <w:sz w:val="20"/>
          <w:szCs w:val="20"/>
          <w:lang w:val="es-ES"/>
        </w:rPr>
        <w:t>í</w:t>
      </w:r>
      <w:r w:rsidR="00383B36" w:rsidRPr="0064597D">
        <w:rPr>
          <w:rFonts w:eastAsia="Verdana" w:cs="Verdana"/>
          <w:sz w:val="20"/>
          <w:szCs w:val="20"/>
          <w:lang w:val="es-ES"/>
        </w:rPr>
        <w:t>ct</w:t>
      </w:r>
      <w:r w:rsidR="00383B36" w:rsidRPr="0064597D">
        <w:rPr>
          <w:rFonts w:eastAsia="Verdana" w:cs="Verdana"/>
          <w:spacing w:val="3"/>
          <w:sz w:val="20"/>
          <w:szCs w:val="20"/>
          <w:lang w:val="es-ES"/>
        </w:rPr>
        <w:t>i</w:t>
      </w:r>
      <w:r w:rsidR="00383B36" w:rsidRPr="0064597D">
        <w:rPr>
          <w:rFonts w:eastAsia="Verdana" w:cs="Verdana"/>
          <w:sz w:val="20"/>
          <w:szCs w:val="20"/>
          <w:lang w:val="es-ES"/>
        </w:rPr>
        <w:t>m</w:t>
      </w:r>
      <w:r w:rsidR="00383B36" w:rsidRPr="0064597D">
        <w:rPr>
          <w:rFonts w:eastAsia="Verdana" w:cs="Verdana"/>
          <w:spacing w:val="1"/>
          <w:sz w:val="20"/>
          <w:szCs w:val="20"/>
          <w:lang w:val="es-ES"/>
        </w:rPr>
        <w:t>a</w:t>
      </w:r>
      <w:r w:rsidR="00383B36" w:rsidRPr="0064597D">
        <w:rPr>
          <w:rFonts w:eastAsia="Verdana" w:cs="Verdana"/>
          <w:sz w:val="20"/>
          <w:szCs w:val="20"/>
          <w:lang w:val="es-ES"/>
        </w:rPr>
        <w:t>s,</w:t>
      </w:r>
      <w:r w:rsidR="00383B36" w:rsidRPr="0064597D">
        <w:rPr>
          <w:rFonts w:eastAsia="Verdana" w:cs="Verdana"/>
          <w:spacing w:val="-1"/>
          <w:sz w:val="20"/>
          <w:szCs w:val="20"/>
          <w:lang w:val="es-ES"/>
        </w:rPr>
        <w:t xml:space="preserve"> </w:t>
      </w:r>
      <w:r w:rsidR="00383B36" w:rsidRPr="0064597D">
        <w:rPr>
          <w:rFonts w:eastAsia="Verdana" w:cs="Verdana"/>
          <w:spacing w:val="1"/>
          <w:sz w:val="20"/>
          <w:szCs w:val="20"/>
          <w:lang w:val="es-ES"/>
        </w:rPr>
        <w:t>po</w:t>
      </w:r>
      <w:r w:rsidR="00383B36" w:rsidRPr="0064597D">
        <w:rPr>
          <w:rFonts w:eastAsia="Verdana" w:cs="Verdana"/>
          <w:sz w:val="20"/>
          <w:szCs w:val="20"/>
          <w:lang w:val="es-ES"/>
        </w:rPr>
        <w:t>r</w:t>
      </w:r>
      <w:r w:rsidR="00383B36" w:rsidRPr="0064597D">
        <w:rPr>
          <w:rFonts w:eastAsia="Verdana" w:cs="Verdana"/>
          <w:spacing w:val="5"/>
          <w:sz w:val="20"/>
          <w:szCs w:val="20"/>
          <w:lang w:val="es-ES"/>
        </w:rPr>
        <w:t xml:space="preserve"> </w:t>
      </w:r>
      <w:r w:rsidR="00383B36" w:rsidRPr="0064597D">
        <w:rPr>
          <w:rFonts w:eastAsia="Verdana" w:cs="Verdana"/>
          <w:spacing w:val="1"/>
          <w:sz w:val="20"/>
          <w:szCs w:val="20"/>
          <w:lang w:val="es-ES"/>
        </w:rPr>
        <w:t>u</w:t>
      </w:r>
      <w:r w:rsidR="00383B36" w:rsidRPr="0064597D">
        <w:rPr>
          <w:rFonts w:eastAsia="Verdana" w:cs="Verdana"/>
          <w:sz w:val="20"/>
          <w:szCs w:val="20"/>
          <w:lang w:val="es-ES"/>
        </w:rPr>
        <w:t>n</w:t>
      </w:r>
      <w:r w:rsidR="00383B36" w:rsidRPr="0064597D">
        <w:rPr>
          <w:rFonts w:eastAsia="Verdana" w:cs="Verdana"/>
          <w:spacing w:val="7"/>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1"/>
          <w:sz w:val="20"/>
          <w:szCs w:val="20"/>
          <w:lang w:val="es-ES"/>
        </w:rPr>
        <w:t>d</w:t>
      </w:r>
      <w:r w:rsidR="00383B36" w:rsidRPr="0064597D">
        <w:rPr>
          <w:rFonts w:eastAsia="Verdana" w:cs="Verdana"/>
          <w:spacing w:val="-1"/>
          <w:sz w:val="20"/>
          <w:szCs w:val="20"/>
          <w:lang w:val="es-ES"/>
        </w:rPr>
        <w:t>o</w:t>
      </w:r>
      <w:r w:rsidR="00383B36" w:rsidRPr="0064597D">
        <w:rPr>
          <w:rFonts w:eastAsia="Verdana" w:cs="Verdana"/>
          <w:sz w:val="20"/>
          <w:szCs w:val="20"/>
          <w:lang w:val="es-ES"/>
        </w:rPr>
        <w:t>,</w:t>
      </w:r>
      <w:r w:rsidR="00383B36" w:rsidRPr="0064597D">
        <w:rPr>
          <w:rFonts w:eastAsia="Verdana" w:cs="Verdana"/>
          <w:spacing w:val="11"/>
          <w:sz w:val="20"/>
          <w:szCs w:val="20"/>
          <w:lang w:val="es-ES"/>
        </w:rPr>
        <w:t xml:space="preserve"> </w:t>
      </w:r>
      <w:r w:rsidR="00383B36" w:rsidRPr="0064597D">
        <w:rPr>
          <w:rFonts w:eastAsia="Verdana" w:cs="Verdana"/>
          <w:sz w:val="20"/>
          <w:szCs w:val="20"/>
          <w:lang w:val="es-ES"/>
        </w:rPr>
        <w:t>y</w:t>
      </w:r>
      <w:r w:rsidR="00383B36" w:rsidRPr="0064597D">
        <w:rPr>
          <w:rFonts w:eastAsia="Verdana" w:cs="Verdana"/>
          <w:spacing w:val="7"/>
          <w:sz w:val="20"/>
          <w:szCs w:val="20"/>
          <w:lang w:val="es-ES"/>
        </w:rPr>
        <w:t xml:space="preserve"> </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o</w:t>
      </w:r>
      <w:r w:rsidR="00383B36" w:rsidRPr="0064597D">
        <w:rPr>
          <w:rFonts w:eastAsia="Verdana" w:cs="Verdana"/>
          <w:sz w:val="20"/>
          <w:szCs w:val="20"/>
          <w:lang w:val="es-ES"/>
        </w:rPr>
        <w:t>r</w:t>
      </w:r>
      <w:r w:rsidR="00383B36" w:rsidRPr="0064597D">
        <w:rPr>
          <w:rFonts w:eastAsia="Verdana" w:cs="Verdana"/>
          <w:spacing w:val="7"/>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l</w:t>
      </w:r>
      <w:r w:rsidR="00383B36" w:rsidRPr="0064597D">
        <w:rPr>
          <w:rFonts w:eastAsia="Verdana" w:cs="Verdana"/>
          <w:spacing w:val="9"/>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sta</w:t>
      </w:r>
      <w:r w:rsidR="00383B36" w:rsidRPr="0064597D">
        <w:rPr>
          <w:rFonts w:eastAsia="Verdana" w:cs="Verdana"/>
          <w:spacing w:val="1"/>
          <w:sz w:val="20"/>
          <w:szCs w:val="20"/>
          <w:lang w:val="es-ES"/>
        </w:rPr>
        <w:t>do</w:t>
      </w:r>
      <w:r w:rsidR="00383B36" w:rsidRPr="0064597D">
        <w:rPr>
          <w:rFonts w:eastAsia="Verdana" w:cs="Verdana"/>
          <w:sz w:val="20"/>
          <w:szCs w:val="20"/>
          <w:lang w:val="es-ES"/>
        </w:rPr>
        <w:t xml:space="preserve">, </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o</w:t>
      </w:r>
      <w:r w:rsidR="00383B36" w:rsidRPr="0064597D">
        <w:rPr>
          <w:rFonts w:eastAsia="Verdana" w:cs="Verdana"/>
          <w:sz w:val="20"/>
          <w:szCs w:val="20"/>
          <w:lang w:val="es-ES"/>
        </w:rPr>
        <w:t>r</w:t>
      </w:r>
      <w:r w:rsidR="00383B36" w:rsidRPr="0064597D">
        <w:rPr>
          <w:rFonts w:eastAsia="Verdana" w:cs="Verdana"/>
          <w:spacing w:val="7"/>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l</w:t>
      </w:r>
      <w:r w:rsidR="00383B36" w:rsidRPr="0064597D">
        <w:rPr>
          <w:rFonts w:eastAsia="Verdana" w:cs="Verdana"/>
          <w:spacing w:val="9"/>
          <w:sz w:val="20"/>
          <w:szCs w:val="20"/>
          <w:lang w:val="es-ES"/>
        </w:rPr>
        <w:t xml:space="preserve"> </w:t>
      </w:r>
      <w:r w:rsidR="00383B36" w:rsidRPr="0064597D">
        <w:rPr>
          <w:rFonts w:eastAsia="Verdana" w:cs="Verdana"/>
          <w:spacing w:val="-1"/>
          <w:sz w:val="20"/>
          <w:szCs w:val="20"/>
          <w:lang w:val="es-ES"/>
        </w:rPr>
        <w:t>o</w:t>
      </w:r>
      <w:r w:rsidR="00383B36" w:rsidRPr="0064597D">
        <w:rPr>
          <w:rFonts w:eastAsia="Verdana" w:cs="Verdana"/>
          <w:spacing w:val="1"/>
          <w:sz w:val="20"/>
          <w:szCs w:val="20"/>
          <w:lang w:val="es-ES"/>
        </w:rPr>
        <w:t>tr</w:t>
      </w:r>
      <w:r w:rsidR="00383B36" w:rsidRPr="0064597D">
        <w:rPr>
          <w:rFonts w:eastAsia="Verdana" w:cs="Verdana"/>
          <w:spacing w:val="-1"/>
          <w:sz w:val="20"/>
          <w:szCs w:val="20"/>
          <w:lang w:val="es-ES"/>
        </w:rPr>
        <w:t>o</w:t>
      </w:r>
      <w:r w:rsidR="00383B36" w:rsidRPr="0064597D">
        <w:rPr>
          <w:rFonts w:eastAsia="Verdana" w:cs="Verdana"/>
          <w:sz w:val="20"/>
          <w:szCs w:val="20"/>
          <w:lang w:val="es-ES"/>
        </w:rPr>
        <w:t>, a</w:t>
      </w:r>
      <w:r w:rsidR="00383B36" w:rsidRPr="0064597D">
        <w:rPr>
          <w:rFonts w:eastAsia="Verdana" w:cs="Verdana"/>
          <w:spacing w:val="22"/>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w:t>
      </w:r>
      <w:r w:rsidR="00383B36" w:rsidRPr="0064597D">
        <w:rPr>
          <w:rFonts w:eastAsia="Verdana" w:cs="Verdana"/>
          <w:spacing w:val="21"/>
          <w:sz w:val="20"/>
          <w:szCs w:val="20"/>
          <w:lang w:val="es-ES"/>
        </w:rPr>
        <w:t xml:space="preserve"> </w:t>
      </w:r>
      <w:r w:rsidR="00383B36" w:rsidRPr="0064597D">
        <w:rPr>
          <w:rFonts w:eastAsia="Verdana" w:cs="Verdana"/>
          <w:sz w:val="20"/>
          <w:szCs w:val="20"/>
          <w:lang w:val="es-ES"/>
        </w:rPr>
        <w:t>l</w:t>
      </w:r>
      <w:r w:rsidR="00383B36" w:rsidRPr="0064597D">
        <w:rPr>
          <w:rFonts w:eastAsia="Verdana" w:cs="Verdana"/>
          <w:spacing w:val="1"/>
          <w:sz w:val="20"/>
          <w:szCs w:val="20"/>
          <w:lang w:val="es-ES"/>
        </w:rPr>
        <w:t>u</w:t>
      </w:r>
      <w:r w:rsidR="00383B36" w:rsidRPr="0064597D">
        <w:rPr>
          <w:rFonts w:eastAsia="Verdana" w:cs="Verdana"/>
          <w:sz w:val="20"/>
          <w:szCs w:val="20"/>
          <w:lang w:val="es-ES"/>
        </w:rPr>
        <w:t>z</w:t>
      </w:r>
      <w:r w:rsidR="00383B36" w:rsidRPr="0064597D">
        <w:rPr>
          <w:rFonts w:eastAsia="Verdana" w:cs="Verdana"/>
          <w:spacing w:val="21"/>
          <w:sz w:val="20"/>
          <w:szCs w:val="20"/>
          <w:lang w:val="es-ES"/>
        </w:rPr>
        <w:t xml:space="preserve"> </w:t>
      </w:r>
      <w:r w:rsidR="00383B36" w:rsidRPr="0064597D">
        <w:rPr>
          <w:rFonts w:eastAsia="Verdana" w:cs="Verdana"/>
          <w:spacing w:val="1"/>
          <w:sz w:val="20"/>
          <w:szCs w:val="20"/>
          <w:lang w:val="es-ES"/>
        </w:rPr>
        <w:t>d</w:t>
      </w:r>
      <w:r w:rsidR="00383B36" w:rsidRPr="0064597D">
        <w:rPr>
          <w:rFonts w:eastAsia="Verdana" w:cs="Verdana"/>
          <w:sz w:val="20"/>
          <w:szCs w:val="20"/>
          <w:lang w:val="es-ES"/>
        </w:rPr>
        <w:t>e</w:t>
      </w:r>
      <w:r w:rsidR="00383B36" w:rsidRPr="0064597D">
        <w:rPr>
          <w:rFonts w:eastAsia="Verdana" w:cs="Verdana"/>
          <w:spacing w:val="20"/>
          <w:sz w:val="20"/>
          <w:szCs w:val="20"/>
          <w:lang w:val="es-ES"/>
        </w:rPr>
        <w:t xml:space="preserve"> </w:t>
      </w:r>
      <w:r w:rsidR="00383B36" w:rsidRPr="0064597D">
        <w:rPr>
          <w:rFonts w:eastAsia="Verdana" w:cs="Verdana"/>
          <w:spacing w:val="3"/>
          <w:sz w:val="20"/>
          <w:szCs w:val="20"/>
          <w:lang w:val="es-ES"/>
        </w:rPr>
        <w:t>l</w:t>
      </w:r>
      <w:r w:rsidR="00383B36" w:rsidRPr="0064597D">
        <w:rPr>
          <w:rFonts w:eastAsia="Verdana" w:cs="Verdana"/>
          <w:sz w:val="20"/>
          <w:szCs w:val="20"/>
          <w:lang w:val="es-ES"/>
        </w:rPr>
        <w:t>as</w:t>
      </w:r>
      <w:r w:rsidR="00383B36" w:rsidRPr="0064597D">
        <w:rPr>
          <w:rFonts w:eastAsia="Verdana" w:cs="Verdana"/>
          <w:spacing w:val="20"/>
          <w:sz w:val="20"/>
          <w:szCs w:val="20"/>
          <w:lang w:val="es-ES"/>
        </w:rPr>
        <w:t xml:space="preserve"> </w:t>
      </w:r>
      <w:r w:rsidR="00383B36" w:rsidRPr="0064597D">
        <w:rPr>
          <w:rFonts w:eastAsia="Verdana" w:cs="Verdana"/>
          <w:spacing w:val="1"/>
          <w:sz w:val="20"/>
          <w:szCs w:val="20"/>
          <w:lang w:val="es-ES"/>
        </w:rPr>
        <w:t>p</w:t>
      </w:r>
      <w:r w:rsidR="00383B36" w:rsidRPr="0064597D">
        <w:rPr>
          <w:rFonts w:eastAsia="Verdana" w:cs="Verdana"/>
          <w:spacing w:val="-1"/>
          <w:sz w:val="20"/>
          <w:szCs w:val="20"/>
          <w:lang w:val="es-ES"/>
        </w:rPr>
        <w:t>r</w:t>
      </w:r>
      <w:r w:rsidR="00383B36" w:rsidRPr="0064597D">
        <w:rPr>
          <w:rFonts w:eastAsia="Verdana" w:cs="Verdana"/>
          <w:spacing w:val="1"/>
          <w:sz w:val="20"/>
          <w:szCs w:val="20"/>
          <w:lang w:val="es-ES"/>
        </w:rPr>
        <w:t>u</w:t>
      </w:r>
      <w:r w:rsidR="00383B36" w:rsidRPr="0064597D">
        <w:rPr>
          <w:rFonts w:eastAsia="Verdana" w:cs="Verdana"/>
          <w:spacing w:val="-1"/>
          <w:sz w:val="20"/>
          <w:szCs w:val="20"/>
          <w:lang w:val="es-ES"/>
        </w:rPr>
        <w:t>e</w:t>
      </w:r>
      <w:r w:rsidR="00383B36" w:rsidRPr="0064597D">
        <w:rPr>
          <w:rFonts w:eastAsia="Verdana" w:cs="Verdana"/>
          <w:spacing w:val="1"/>
          <w:sz w:val="20"/>
          <w:szCs w:val="20"/>
          <w:lang w:val="es-ES"/>
        </w:rPr>
        <w:t>b</w:t>
      </w:r>
      <w:r w:rsidR="00383B36" w:rsidRPr="0064597D">
        <w:rPr>
          <w:rFonts w:eastAsia="Verdana" w:cs="Verdana"/>
          <w:sz w:val="20"/>
          <w:szCs w:val="20"/>
          <w:lang w:val="es-ES"/>
        </w:rPr>
        <w:t>as</w:t>
      </w:r>
      <w:r w:rsidR="00383B36" w:rsidRPr="0064597D">
        <w:rPr>
          <w:rFonts w:eastAsia="Verdana" w:cs="Verdana"/>
          <w:spacing w:val="17"/>
          <w:sz w:val="20"/>
          <w:szCs w:val="20"/>
          <w:lang w:val="es-ES"/>
        </w:rPr>
        <w:t xml:space="preserve"> </w:t>
      </w:r>
      <w:r w:rsidR="00383B36" w:rsidRPr="0064597D">
        <w:rPr>
          <w:rFonts w:eastAsia="Verdana" w:cs="Verdana"/>
          <w:spacing w:val="-1"/>
          <w:sz w:val="20"/>
          <w:szCs w:val="20"/>
          <w:lang w:val="es-ES"/>
        </w:rPr>
        <w:t>o</w:t>
      </w:r>
      <w:r w:rsidR="00383B36" w:rsidRPr="0064597D">
        <w:rPr>
          <w:rFonts w:eastAsia="Verdana" w:cs="Verdana"/>
          <w:spacing w:val="1"/>
          <w:sz w:val="20"/>
          <w:szCs w:val="20"/>
          <w:lang w:val="es-ES"/>
        </w:rPr>
        <w:t>br</w:t>
      </w:r>
      <w:r w:rsidR="00383B36" w:rsidRPr="0064597D">
        <w:rPr>
          <w:rFonts w:eastAsia="Verdana" w:cs="Verdana"/>
          <w:sz w:val="20"/>
          <w:szCs w:val="20"/>
          <w:lang w:val="es-ES"/>
        </w:rPr>
        <w:t>a</w:t>
      </w:r>
      <w:r w:rsidR="00383B36" w:rsidRPr="0064597D">
        <w:rPr>
          <w:rFonts w:eastAsia="Verdana" w:cs="Verdana"/>
          <w:spacing w:val="1"/>
          <w:sz w:val="20"/>
          <w:szCs w:val="20"/>
          <w:lang w:val="es-ES"/>
        </w:rPr>
        <w:t>nt</w:t>
      </w:r>
      <w:r w:rsidR="00383B36" w:rsidRPr="0064597D">
        <w:rPr>
          <w:rFonts w:eastAsia="Verdana" w:cs="Verdana"/>
          <w:spacing w:val="-1"/>
          <w:sz w:val="20"/>
          <w:szCs w:val="20"/>
          <w:lang w:val="es-ES"/>
        </w:rPr>
        <w:t>e</w:t>
      </w:r>
      <w:r w:rsidR="00383B36" w:rsidRPr="0064597D">
        <w:rPr>
          <w:rFonts w:eastAsia="Verdana" w:cs="Verdana"/>
          <w:sz w:val="20"/>
          <w:szCs w:val="20"/>
          <w:lang w:val="es-ES"/>
        </w:rPr>
        <w:t>s</w:t>
      </w:r>
      <w:r w:rsidR="00383B36" w:rsidRPr="0064597D">
        <w:rPr>
          <w:rFonts w:eastAsia="Verdana" w:cs="Verdana"/>
          <w:spacing w:val="16"/>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n</w:t>
      </w:r>
      <w:r w:rsidR="00383B36" w:rsidRPr="0064597D">
        <w:rPr>
          <w:rFonts w:eastAsia="Verdana" w:cs="Verdana"/>
          <w:spacing w:val="24"/>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l</w:t>
      </w:r>
      <w:r w:rsidR="00383B36" w:rsidRPr="0064597D">
        <w:rPr>
          <w:rFonts w:eastAsia="Verdana" w:cs="Verdana"/>
          <w:spacing w:val="24"/>
          <w:sz w:val="20"/>
          <w:szCs w:val="20"/>
          <w:lang w:val="es-ES"/>
        </w:rPr>
        <w:t xml:space="preserve"> </w:t>
      </w:r>
      <w:r w:rsidR="00383B36" w:rsidRPr="0064597D">
        <w:rPr>
          <w:rFonts w:eastAsia="Verdana" w:cs="Verdana"/>
          <w:spacing w:val="-1"/>
          <w:sz w:val="20"/>
          <w:szCs w:val="20"/>
          <w:lang w:val="es-ES"/>
        </w:rPr>
        <w:t>e</w:t>
      </w:r>
      <w:r w:rsidR="00383B36" w:rsidRPr="0064597D">
        <w:rPr>
          <w:rFonts w:eastAsia="Verdana" w:cs="Verdana"/>
          <w:sz w:val="20"/>
          <w:szCs w:val="20"/>
          <w:lang w:val="es-ES"/>
        </w:rPr>
        <w:t>x</w:t>
      </w:r>
      <w:r w:rsidR="00383B36" w:rsidRPr="0064597D">
        <w:rPr>
          <w:rFonts w:eastAsia="Verdana" w:cs="Verdana"/>
          <w:spacing w:val="3"/>
          <w:sz w:val="20"/>
          <w:szCs w:val="20"/>
          <w:lang w:val="es-ES"/>
        </w:rPr>
        <w:t>p</w:t>
      </w:r>
      <w:r w:rsidR="00383B36" w:rsidRPr="0064597D">
        <w:rPr>
          <w:rFonts w:eastAsia="Verdana" w:cs="Verdana"/>
          <w:spacing w:val="-1"/>
          <w:sz w:val="20"/>
          <w:szCs w:val="20"/>
          <w:lang w:val="es-ES"/>
        </w:rPr>
        <w:t>e</w:t>
      </w:r>
      <w:r w:rsidR="00383B36" w:rsidRPr="0064597D">
        <w:rPr>
          <w:rFonts w:eastAsia="Verdana" w:cs="Verdana"/>
          <w:spacing w:val="1"/>
          <w:sz w:val="20"/>
          <w:szCs w:val="20"/>
          <w:lang w:val="es-ES"/>
        </w:rPr>
        <w:t>d</w:t>
      </w:r>
      <w:r w:rsidR="00383B36" w:rsidRPr="0064597D">
        <w:rPr>
          <w:rFonts w:eastAsia="Verdana" w:cs="Verdana"/>
          <w:spacing w:val="3"/>
          <w:sz w:val="20"/>
          <w:szCs w:val="20"/>
          <w:lang w:val="es-ES"/>
        </w:rPr>
        <w:t>i</w:t>
      </w:r>
      <w:r w:rsidR="00383B36" w:rsidRPr="0064597D">
        <w:rPr>
          <w:rFonts w:eastAsia="Verdana" w:cs="Verdana"/>
          <w:spacing w:val="-1"/>
          <w:sz w:val="20"/>
          <w:szCs w:val="20"/>
          <w:lang w:val="es-ES"/>
        </w:rPr>
        <w:t>e</w:t>
      </w:r>
      <w:r w:rsidR="00383B36" w:rsidRPr="0064597D">
        <w:rPr>
          <w:rFonts w:eastAsia="Verdana" w:cs="Verdana"/>
          <w:spacing w:val="1"/>
          <w:sz w:val="20"/>
          <w:szCs w:val="20"/>
          <w:lang w:val="es-ES"/>
        </w:rPr>
        <w:t>nt</w:t>
      </w:r>
      <w:r w:rsidR="00383B36" w:rsidRPr="0064597D">
        <w:rPr>
          <w:rFonts w:eastAsia="Verdana" w:cs="Verdana"/>
          <w:spacing w:val="6"/>
          <w:sz w:val="20"/>
          <w:szCs w:val="20"/>
          <w:lang w:val="es-ES"/>
        </w:rPr>
        <w:t>e</w:t>
      </w:r>
      <w:r w:rsidR="00383B36" w:rsidRPr="0064597D">
        <w:rPr>
          <w:rFonts w:eastAsia="Verdana" w:cs="Verdana"/>
          <w:sz w:val="20"/>
          <w:szCs w:val="20"/>
          <w:lang w:val="es-ES"/>
        </w:rPr>
        <w:t xml:space="preserve">. </w:t>
      </w:r>
    </w:p>
    <w:p w14:paraId="1DE7570A" w14:textId="77777777" w:rsidR="002A0F50" w:rsidRPr="0064597D" w:rsidRDefault="002A0F50" w:rsidP="002A0F50">
      <w:pPr>
        <w:tabs>
          <w:tab w:val="left" w:pos="567"/>
        </w:tabs>
        <w:spacing w:line="240" w:lineRule="auto"/>
        <w:rPr>
          <w:rFonts w:eastAsia="Times" w:cs="Arial"/>
          <w:sz w:val="20"/>
          <w:szCs w:val="20"/>
        </w:rPr>
      </w:pPr>
    </w:p>
    <w:p w14:paraId="7567B316" w14:textId="22AFCE67" w:rsidR="00254858" w:rsidRPr="0064597D" w:rsidRDefault="002A0F50" w:rsidP="0088504D">
      <w:pPr>
        <w:numPr>
          <w:ilvl w:val="0"/>
          <w:numId w:val="1"/>
        </w:numPr>
        <w:tabs>
          <w:tab w:val="left" w:pos="567"/>
        </w:tabs>
        <w:spacing w:line="240" w:lineRule="auto"/>
        <w:ind w:left="0" w:firstLine="0"/>
        <w:rPr>
          <w:rFonts w:eastAsia="Times" w:cs="Arial"/>
          <w:sz w:val="20"/>
          <w:szCs w:val="20"/>
        </w:rPr>
      </w:pPr>
      <w:r w:rsidRPr="0064597D">
        <w:rPr>
          <w:rFonts w:eastAsiaTheme="minorHAnsi" w:cs="Arial"/>
          <w:sz w:val="20"/>
          <w:szCs w:val="20"/>
        </w:rPr>
        <w:t>La Corte observa</w:t>
      </w:r>
      <w:r w:rsidR="00872017" w:rsidRPr="0064597D">
        <w:rPr>
          <w:rFonts w:eastAsiaTheme="minorHAnsi" w:cs="Arial"/>
          <w:sz w:val="20"/>
          <w:szCs w:val="20"/>
        </w:rPr>
        <w:t xml:space="preserve">, en primer lugar, que el señor Ruiz Fuentes presentaba al momento de su muerte dos heridas </w:t>
      </w:r>
      <w:r w:rsidR="00E40AB3" w:rsidRPr="0064597D">
        <w:rPr>
          <w:rFonts w:eastAsiaTheme="minorHAnsi" w:cs="Arial"/>
          <w:sz w:val="20"/>
          <w:szCs w:val="20"/>
        </w:rPr>
        <w:t>causadas por un proyectil de arma de fuego</w:t>
      </w:r>
      <w:r w:rsidR="00872017" w:rsidRPr="0064597D">
        <w:rPr>
          <w:rFonts w:eastAsiaTheme="minorHAnsi" w:cs="Arial"/>
          <w:sz w:val="20"/>
          <w:szCs w:val="20"/>
        </w:rPr>
        <w:t xml:space="preserve">. </w:t>
      </w:r>
      <w:r w:rsidR="00383B36" w:rsidRPr="0064597D">
        <w:rPr>
          <w:rFonts w:eastAsiaTheme="minorHAnsi" w:cs="Arial"/>
          <w:spacing w:val="-2"/>
          <w:sz w:val="20"/>
          <w:szCs w:val="20"/>
        </w:rPr>
        <w:t xml:space="preserve">Resulta pertinente centrarse en </w:t>
      </w:r>
      <w:r w:rsidR="00872017" w:rsidRPr="0064597D">
        <w:rPr>
          <w:rFonts w:eastAsiaTheme="minorHAnsi" w:cs="Arial"/>
          <w:spacing w:val="-2"/>
          <w:sz w:val="20"/>
          <w:szCs w:val="20"/>
        </w:rPr>
        <w:t xml:space="preserve">la autopsia practicada en la madrugada del 15 de noviembre de 2005, </w:t>
      </w:r>
      <w:r w:rsidR="00383B36" w:rsidRPr="0064597D">
        <w:rPr>
          <w:rFonts w:eastAsiaTheme="minorHAnsi" w:cs="Arial"/>
          <w:spacing w:val="-2"/>
          <w:sz w:val="20"/>
          <w:szCs w:val="20"/>
        </w:rPr>
        <w:t xml:space="preserve">la cual indicó que </w:t>
      </w:r>
      <w:r w:rsidR="00872017" w:rsidRPr="0064597D">
        <w:rPr>
          <w:rFonts w:eastAsiaTheme="minorHAnsi" w:cs="Arial"/>
          <w:spacing w:val="-2"/>
          <w:sz w:val="20"/>
          <w:szCs w:val="20"/>
        </w:rPr>
        <w:t>la primera herida por proyectil de arma de fuego tenía un orifico de entrada en el ojo derecho y presentaba un “área de tatuaje alrededor”</w:t>
      </w:r>
      <w:r w:rsidR="00872017" w:rsidRPr="0064597D">
        <w:rPr>
          <w:rStyle w:val="Refdenotaalpie"/>
          <w:rFonts w:eastAsiaTheme="minorHAnsi" w:cs="Arial"/>
          <w:spacing w:val="-2"/>
          <w:sz w:val="20"/>
          <w:szCs w:val="20"/>
        </w:rPr>
        <w:footnoteReference w:id="125"/>
      </w:r>
      <w:r w:rsidR="00872017" w:rsidRPr="0064597D">
        <w:rPr>
          <w:rFonts w:eastAsiaTheme="minorHAnsi" w:cs="Arial"/>
          <w:spacing w:val="-2"/>
          <w:sz w:val="20"/>
          <w:szCs w:val="20"/>
        </w:rPr>
        <w:t xml:space="preserve">. La Corte </w:t>
      </w:r>
      <w:r w:rsidR="00254858" w:rsidRPr="0064597D">
        <w:rPr>
          <w:rFonts w:eastAsiaTheme="minorHAnsi" w:cs="Arial"/>
          <w:spacing w:val="-2"/>
          <w:sz w:val="20"/>
          <w:szCs w:val="20"/>
        </w:rPr>
        <w:t>nota</w:t>
      </w:r>
      <w:r w:rsidR="00872017" w:rsidRPr="0064597D">
        <w:rPr>
          <w:rFonts w:eastAsiaTheme="minorHAnsi" w:cs="Arial"/>
          <w:spacing w:val="-2"/>
          <w:sz w:val="20"/>
          <w:szCs w:val="20"/>
        </w:rPr>
        <w:t xml:space="preserve">, en primer lugar que </w:t>
      </w:r>
      <w:r w:rsidR="00C91D7F" w:rsidRPr="0064597D">
        <w:rPr>
          <w:rFonts w:eastAsiaTheme="minorHAnsi" w:cs="Arial"/>
          <w:spacing w:val="-2"/>
          <w:sz w:val="20"/>
          <w:szCs w:val="20"/>
        </w:rPr>
        <w:t>este</w:t>
      </w:r>
      <w:r w:rsidR="00872017" w:rsidRPr="0064597D">
        <w:rPr>
          <w:rFonts w:eastAsiaTheme="minorHAnsi" w:cs="Arial"/>
          <w:spacing w:val="-2"/>
          <w:sz w:val="20"/>
          <w:szCs w:val="20"/>
        </w:rPr>
        <w:t xml:space="preserve"> primer disparo que recibió el señor Ruiz Fuentes fue realizado a corta distancia, y ello debido </w:t>
      </w:r>
      <w:r w:rsidR="00254858" w:rsidRPr="0064597D">
        <w:rPr>
          <w:rFonts w:eastAsiaTheme="minorHAnsi" w:cs="Arial"/>
          <w:spacing w:val="-2"/>
          <w:sz w:val="20"/>
          <w:szCs w:val="20"/>
        </w:rPr>
        <w:t xml:space="preserve">precisamente </w:t>
      </w:r>
      <w:r w:rsidR="00872017" w:rsidRPr="0064597D">
        <w:rPr>
          <w:rFonts w:eastAsiaTheme="minorHAnsi" w:cs="Arial"/>
          <w:spacing w:val="-2"/>
          <w:sz w:val="20"/>
          <w:szCs w:val="20"/>
        </w:rPr>
        <w:t>a la presencia de un área de tatuaje alrededor del orificio de entrada. Esta corta distancia (</w:t>
      </w:r>
      <w:r w:rsidR="00C369AF" w:rsidRPr="0064597D">
        <w:rPr>
          <w:rFonts w:eastAsiaTheme="minorHAnsi" w:cs="Arial"/>
          <w:spacing w:val="-2"/>
          <w:sz w:val="20"/>
          <w:szCs w:val="20"/>
        </w:rPr>
        <w:t xml:space="preserve">no más de </w:t>
      </w:r>
      <w:r w:rsidR="00872017" w:rsidRPr="0064597D">
        <w:rPr>
          <w:rFonts w:eastAsiaTheme="minorHAnsi" w:cs="Arial"/>
          <w:spacing w:val="-2"/>
          <w:sz w:val="20"/>
          <w:szCs w:val="20"/>
        </w:rPr>
        <w:t>15 centímetros</w:t>
      </w:r>
      <w:r w:rsidR="00E40AB3" w:rsidRPr="0064597D">
        <w:rPr>
          <w:rStyle w:val="Refdenotaalpie"/>
          <w:rFonts w:eastAsiaTheme="minorHAnsi" w:cs="Arial"/>
          <w:spacing w:val="-2"/>
          <w:sz w:val="20"/>
          <w:szCs w:val="20"/>
        </w:rPr>
        <w:footnoteReference w:id="126"/>
      </w:r>
      <w:r w:rsidR="00872017" w:rsidRPr="0064597D">
        <w:rPr>
          <w:rFonts w:eastAsiaTheme="minorHAnsi" w:cs="Arial"/>
          <w:spacing w:val="-2"/>
          <w:sz w:val="20"/>
          <w:szCs w:val="20"/>
        </w:rPr>
        <w:t xml:space="preserve">) </w:t>
      </w:r>
      <w:r w:rsidR="00A758E4" w:rsidRPr="0064597D">
        <w:rPr>
          <w:rFonts w:eastAsiaTheme="minorHAnsi" w:cs="Arial"/>
          <w:spacing w:val="-2"/>
          <w:sz w:val="20"/>
          <w:szCs w:val="20"/>
        </w:rPr>
        <w:t>es</w:t>
      </w:r>
      <w:r w:rsidR="00872017" w:rsidRPr="0064597D">
        <w:rPr>
          <w:rFonts w:eastAsiaTheme="minorHAnsi" w:cs="Arial"/>
          <w:spacing w:val="-2"/>
          <w:sz w:val="20"/>
          <w:szCs w:val="20"/>
        </w:rPr>
        <w:t xml:space="preserve"> difícilmente compatible </w:t>
      </w:r>
      <w:r w:rsidR="00A758E4" w:rsidRPr="0064597D">
        <w:rPr>
          <w:rFonts w:eastAsiaTheme="minorHAnsi" w:cs="Arial"/>
          <w:spacing w:val="-2"/>
          <w:sz w:val="20"/>
          <w:szCs w:val="20"/>
        </w:rPr>
        <w:t>con la versión del Estado de que el señor Ruiz Fuentes falleció a causa de un enfrentamiento armado, tanto si se asumiera la primera versión del Estado (enfrentamiento con desconocidos) como la segunda (enfrentamiento con miembros de las fuerzas de seguridad del Estado)</w:t>
      </w:r>
      <w:r w:rsidR="00C8226D" w:rsidRPr="0064597D">
        <w:rPr>
          <w:rStyle w:val="Refdenotaalpie"/>
          <w:rFonts w:eastAsiaTheme="minorHAnsi" w:cs="Arial"/>
          <w:spacing w:val="-2"/>
          <w:sz w:val="20"/>
          <w:szCs w:val="20"/>
        </w:rPr>
        <w:footnoteReference w:id="127"/>
      </w:r>
      <w:r w:rsidR="00A758E4" w:rsidRPr="0064597D">
        <w:rPr>
          <w:rFonts w:eastAsiaTheme="minorHAnsi" w:cs="Arial"/>
          <w:spacing w:val="-2"/>
          <w:sz w:val="20"/>
          <w:szCs w:val="20"/>
        </w:rPr>
        <w:t xml:space="preserve">. </w:t>
      </w:r>
      <w:r w:rsidR="001C26E2" w:rsidRPr="0064597D">
        <w:rPr>
          <w:rFonts w:eastAsia="Times" w:cs="Arial"/>
          <w:sz w:val="20"/>
          <w:szCs w:val="20"/>
        </w:rPr>
        <w:t xml:space="preserve">La Corte también destaca </w:t>
      </w:r>
      <w:r w:rsidR="001C26E2" w:rsidRPr="0064597D">
        <w:rPr>
          <w:rFonts w:cs="Arial"/>
          <w:sz w:val="20"/>
          <w:szCs w:val="20"/>
        </w:rPr>
        <w:t xml:space="preserve">la declaración de </w:t>
      </w:r>
      <w:r w:rsidR="00FF35C1" w:rsidRPr="0064597D">
        <w:rPr>
          <w:sz w:val="20"/>
          <w:szCs w:val="20"/>
        </w:rPr>
        <w:t>la hermana del señor Ruiz Fuentes</w:t>
      </w:r>
      <w:r w:rsidR="001C26E2" w:rsidRPr="0064597D">
        <w:rPr>
          <w:rFonts w:cs="Arial"/>
          <w:sz w:val="20"/>
          <w:szCs w:val="20"/>
        </w:rPr>
        <w:t xml:space="preserve">, quien indicó que cuando ella fue a rezar </w:t>
      </w:r>
      <w:r w:rsidR="005E3DA0">
        <w:rPr>
          <w:rFonts w:cs="Arial"/>
          <w:sz w:val="20"/>
          <w:szCs w:val="20"/>
        </w:rPr>
        <w:t>al</w:t>
      </w:r>
      <w:r w:rsidR="001C26E2" w:rsidRPr="0064597D">
        <w:rPr>
          <w:rFonts w:cs="Arial"/>
          <w:sz w:val="20"/>
          <w:szCs w:val="20"/>
        </w:rPr>
        <w:t xml:space="preserve"> lugar donde murió su hermano, uno de los vecinos contó lo siguiente: </w:t>
      </w:r>
    </w:p>
    <w:p w14:paraId="1FD8F5E3" w14:textId="77777777" w:rsidR="00254858" w:rsidRPr="0064597D" w:rsidRDefault="00254858" w:rsidP="00254858">
      <w:pPr>
        <w:tabs>
          <w:tab w:val="left" w:pos="567"/>
        </w:tabs>
        <w:spacing w:line="240" w:lineRule="auto"/>
        <w:rPr>
          <w:rFonts w:eastAsia="Times" w:cs="Arial"/>
          <w:sz w:val="20"/>
          <w:szCs w:val="20"/>
        </w:rPr>
      </w:pPr>
    </w:p>
    <w:p w14:paraId="28ABCC5A" w14:textId="68FD1C92" w:rsidR="001C26E2" w:rsidRPr="0064597D" w:rsidRDefault="001C26E2" w:rsidP="00254858">
      <w:pPr>
        <w:tabs>
          <w:tab w:val="left" w:pos="567"/>
        </w:tabs>
        <w:spacing w:line="240" w:lineRule="auto"/>
        <w:ind w:left="720" w:right="720"/>
        <w:rPr>
          <w:rFonts w:eastAsia="Times" w:cs="Arial"/>
          <w:sz w:val="18"/>
          <w:szCs w:val="18"/>
        </w:rPr>
      </w:pPr>
      <w:r w:rsidRPr="0064597D">
        <w:rPr>
          <w:rFonts w:cs="Arial"/>
          <w:sz w:val="18"/>
          <w:szCs w:val="18"/>
        </w:rPr>
        <w:t>“</w:t>
      </w:r>
      <w:r w:rsidR="00254858" w:rsidRPr="0064597D">
        <w:rPr>
          <w:rFonts w:cs="Arial"/>
          <w:sz w:val="18"/>
          <w:szCs w:val="18"/>
        </w:rPr>
        <w:t xml:space="preserve">[El vecino] </w:t>
      </w:r>
      <w:r w:rsidRPr="0064597D">
        <w:rPr>
          <w:rFonts w:cs="Arial"/>
          <w:sz w:val="18"/>
          <w:szCs w:val="18"/>
        </w:rPr>
        <w:t xml:space="preserve">vio que se paró una </w:t>
      </w:r>
      <w:r w:rsidRPr="0064597D">
        <w:rPr>
          <w:sz w:val="18"/>
          <w:szCs w:val="18"/>
        </w:rPr>
        <w:t>patrulla</w:t>
      </w:r>
      <w:r w:rsidRPr="0064597D">
        <w:rPr>
          <w:rFonts w:cs="Arial"/>
          <w:sz w:val="18"/>
          <w:szCs w:val="18"/>
        </w:rPr>
        <w:t>, y que bajaron a un señor, y le dijeron ándate y si tienes suerte, te escapas. Entonces Hugo comenzó a caminar y volteaba a ver. Pero esa calle es como una U, cuando él llegó a la vuelta, ya habían otros policías, otra patrulla y le empezaron a disparar”</w:t>
      </w:r>
      <w:r w:rsidRPr="0064597D">
        <w:rPr>
          <w:rStyle w:val="Refdenotaalpie"/>
          <w:rFonts w:cs="Verdana"/>
          <w:sz w:val="18"/>
          <w:szCs w:val="18"/>
        </w:rPr>
        <w:footnoteReference w:id="128"/>
      </w:r>
      <w:r w:rsidRPr="0064597D">
        <w:rPr>
          <w:rFonts w:cs="Arial"/>
          <w:sz w:val="18"/>
          <w:szCs w:val="18"/>
        </w:rPr>
        <w:t>.</w:t>
      </w:r>
    </w:p>
    <w:p w14:paraId="569D022C" w14:textId="77777777" w:rsidR="00254858" w:rsidRPr="0064597D" w:rsidRDefault="00254858" w:rsidP="00254858">
      <w:pPr>
        <w:tabs>
          <w:tab w:val="left" w:pos="567"/>
        </w:tabs>
        <w:spacing w:line="240" w:lineRule="auto"/>
        <w:rPr>
          <w:rFonts w:eastAsia="Times" w:cs="Arial"/>
          <w:sz w:val="20"/>
          <w:szCs w:val="20"/>
        </w:rPr>
      </w:pPr>
    </w:p>
    <w:p w14:paraId="08A63002" w14:textId="461756D1" w:rsidR="005708A8" w:rsidRPr="0064597D" w:rsidRDefault="005708A8" w:rsidP="00E40AB3">
      <w:pPr>
        <w:numPr>
          <w:ilvl w:val="0"/>
          <w:numId w:val="1"/>
        </w:numPr>
        <w:tabs>
          <w:tab w:val="left" w:pos="567"/>
        </w:tabs>
        <w:spacing w:line="240" w:lineRule="auto"/>
        <w:ind w:left="0" w:firstLine="0"/>
        <w:rPr>
          <w:rFonts w:eastAsia="Times" w:cs="Arial"/>
          <w:sz w:val="20"/>
          <w:szCs w:val="20"/>
        </w:rPr>
      </w:pPr>
      <w:r w:rsidRPr="0064597D">
        <w:rPr>
          <w:rFonts w:cs="Arial"/>
          <w:sz w:val="20"/>
          <w:szCs w:val="20"/>
        </w:rPr>
        <w:t>Por otro lado, llama la atención de la Corte el hecho de que</w:t>
      </w:r>
      <w:r w:rsidR="006D535E" w:rsidRPr="0064597D">
        <w:rPr>
          <w:rFonts w:cs="Arial"/>
          <w:sz w:val="20"/>
          <w:szCs w:val="20"/>
        </w:rPr>
        <w:t>,</w:t>
      </w:r>
      <w:r w:rsidRPr="0064597D">
        <w:rPr>
          <w:rFonts w:cs="Arial"/>
          <w:sz w:val="20"/>
          <w:szCs w:val="20"/>
        </w:rPr>
        <w:t xml:space="preserve"> al poco tiempo de producirse los disparos y de fallecer el señor Ruiz Fuentes, </w:t>
      </w:r>
      <w:r w:rsidRPr="0064597D">
        <w:rPr>
          <w:sz w:val="20"/>
          <w:szCs w:val="20"/>
        </w:rPr>
        <w:t xml:space="preserve">se encontraban en el lugar de los hechos 12 miembros del Comando Anti Secuestros de la </w:t>
      </w:r>
      <w:r w:rsidR="00537AAE" w:rsidRPr="0064597D">
        <w:rPr>
          <w:sz w:val="20"/>
          <w:szCs w:val="20"/>
        </w:rPr>
        <w:t>PNC</w:t>
      </w:r>
      <w:r w:rsidRPr="0064597D">
        <w:rPr>
          <w:sz w:val="20"/>
          <w:szCs w:val="20"/>
        </w:rPr>
        <w:t>, comandado por el Comisario de</w:t>
      </w:r>
      <w:r w:rsidR="00E857F6" w:rsidRPr="0064597D">
        <w:rPr>
          <w:sz w:val="20"/>
          <w:szCs w:val="20"/>
        </w:rPr>
        <w:t xml:space="preserve"> la Policía </w:t>
      </w:r>
      <w:r w:rsidR="00B07AF4" w:rsidRPr="0064597D">
        <w:rPr>
          <w:sz w:val="20"/>
          <w:szCs w:val="20"/>
        </w:rPr>
        <w:t>V.S.D.</w:t>
      </w:r>
      <w:r w:rsidRPr="0064597D">
        <w:rPr>
          <w:rStyle w:val="Refdenotaalpie"/>
          <w:sz w:val="20"/>
          <w:szCs w:val="20"/>
        </w:rPr>
        <w:footnoteReference w:id="129"/>
      </w:r>
      <w:r w:rsidRPr="0064597D">
        <w:rPr>
          <w:sz w:val="20"/>
          <w:szCs w:val="20"/>
        </w:rPr>
        <w:t>.</w:t>
      </w:r>
      <w:r w:rsidR="00677C8B" w:rsidRPr="0064597D">
        <w:rPr>
          <w:sz w:val="20"/>
          <w:szCs w:val="20"/>
        </w:rPr>
        <w:t xml:space="preserve"> </w:t>
      </w:r>
      <w:r w:rsidR="00B60E7F" w:rsidRPr="0064597D">
        <w:rPr>
          <w:sz w:val="20"/>
          <w:szCs w:val="20"/>
        </w:rPr>
        <w:t xml:space="preserve">La Corte </w:t>
      </w:r>
      <w:r w:rsidR="00B60E7F" w:rsidRPr="0064597D">
        <w:rPr>
          <w:sz w:val="20"/>
          <w:szCs w:val="20"/>
        </w:rPr>
        <w:lastRenderedPageBreak/>
        <w:t xml:space="preserve">observa que, de haber sido la muerte del señor Ruiz Fuentes el resultado de un enfrentamiento entre particulares, resultaría </w:t>
      </w:r>
      <w:r w:rsidR="00794183" w:rsidRPr="0064597D">
        <w:rPr>
          <w:sz w:val="20"/>
          <w:szCs w:val="20"/>
        </w:rPr>
        <w:t>cuando menos improbable</w:t>
      </w:r>
      <w:r w:rsidR="00B60E7F" w:rsidRPr="0064597D">
        <w:rPr>
          <w:sz w:val="20"/>
          <w:szCs w:val="20"/>
        </w:rPr>
        <w:t xml:space="preserve"> que los miembros del comando encargado de su recaptura estuvieran presentes en la escena del crimen a los pocos minutos de que se produjera su muerte.</w:t>
      </w:r>
      <w:r w:rsidR="00DB0443" w:rsidRPr="0064597D">
        <w:rPr>
          <w:sz w:val="20"/>
          <w:szCs w:val="20"/>
        </w:rPr>
        <w:t xml:space="preserve"> </w:t>
      </w:r>
    </w:p>
    <w:p w14:paraId="61CB6917" w14:textId="77777777" w:rsidR="001C26E2" w:rsidRPr="0064597D" w:rsidRDefault="001C26E2" w:rsidP="001C26E2">
      <w:pPr>
        <w:tabs>
          <w:tab w:val="left" w:pos="567"/>
        </w:tabs>
        <w:spacing w:line="240" w:lineRule="auto"/>
        <w:rPr>
          <w:rFonts w:eastAsia="Times" w:cs="Arial"/>
          <w:sz w:val="20"/>
          <w:szCs w:val="20"/>
        </w:rPr>
      </w:pPr>
    </w:p>
    <w:p w14:paraId="538B93BC" w14:textId="7187F725" w:rsidR="00E40AB3" w:rsidRPr="0064597D" w:rsidRDefault="00F0627F" w:rsidP="004D7C59">
      <w:pPr>
        <w:numPr>
          <w:ilvl w:val="0"/>
          <w:numId w:val="1"/>
        </w:numPr>
        <w:tabs>
          <w:tab w:val="left" w:pos="567"/>
        </w:tabs>
        <w:spacing w:line="240" w:lineRule="auto"/>
        <w:ind w:left="0" w:firstLine="0"/>
        <w:rPr>
          <w:rFonts w:eastAsia="Times" w:cs="Arial"/>
          <w:sz w:val="20"/>
          <w:szCs w:val="20"/>
        </w:rPr>
      </w:pPr>
      <w:r w:rsidRPr="0064597D">
        <w:rPr>
          <w:rFonts w:eastAsiaTheme="minorHAnsi" w:cs="Arial"/>
          <w:spacing w:val="-2"/>
          <w:sz w:val="20"/>
          <w:szCs w:val="20"/>
        </w:rPr>
        <w:t>A</w:t>
      </w:r>
      <w:r w:rsidR="005B1C1A" w:rsidRPr="0064597D">
        <w:rPr>
          <w:rFonts w:eastAsiaTheme="minorHAnsi" w:cs="Arial"/>
          <w:spacing w:val="-2"/>
          <w:sz w:val="20"/>
          <w:szCs w:val="20"/>
        </w:rPr>
        <w:t xml:space="preserve"> ello se une</w:t>
      </w:r>
      <w:r w:rsidR="00F618D5" w:rsidRPr="0064597D">
        <w:rPr>
          <w:rFonts w:eastAsiaTheme="minorHAnsi" w:cs="Arial"/>
          <w:spacing w:val="-2"/>
          <w:sz w:val="20"/>
          <w:szCs w:val="20"/>
        </w:rPr>
        <w:t xml:space="preserve"> el hecho de que, según el acervo probatorio, </w:t>
      </w:r>
      <w:r w:rsidR="00EA3C19" w:rsidRPr="0064597D">
        <w:rPr>
          <w:rFonts w:eastAsiaTheme="minorHAnsi" w:cs="Arial"/>
          <w:spacing w:val="-2"/>
          <w:sz w:val="20"/>
          <w:szCs w:val="20"/>
        </w:rPr>
        <w:t xml:space="preserve">la escena del crimen fue </w:t>
      </w:r>
      <w:r w:rsidR="00AC1F76" w:rsidRPr="0064597D">
        <w:rPr>
          <w:rFonts w:eastAsiaTheme="minorHAnsi" w:cs="Arial"/>
          <w:spacing w:val="-2"/>
          <w:sz w:val="20"/>
          <w:szCs w:val="20"/>
        </w:rPr>
        <w:t>alterada</w:t>
      </w:r>
      <w:r w:rsidR="00EA3C19" w:rsidRPr="0064597D">
        <w:rPr>
          <w:rFonts w:eastAsiaTheme="minorHAnsi" w:cs="Arial"/>
          <w:spacing w:val="-2"/>
          <w:sz w:val="20"/>
          <w:szCs w:val="20"/>
        </w:rPr>
        <w:t>. Lo anterior se vio corr</w:t>
      </w:r>
      <w:r w:rsidR="00544438" w:rsidRPr="0064597D">
        <w:rPr>
          <w:rFonts w:eastAsiaTheme="minorHAnsi" w:cs="Arial"/>
          <w:spacing w:val="-2"/>
          <w:sz w:val="20"/>
          <w:szCs w:val="20"/>
        </w:rPr>
        <w:t>o</w:t>
      </w:r>
      <w:r w:rsidR="00EA3C19" w:rsidRPr="0064597D">
        <w:rPr>
          <w:rFonts w:eastAsiaTheme="minorHAnsi" w:cs="Arial"/>
          <w:spacing w:val="-2"/>
          <w:sz w:val="20"/>
          <w:szCs w:val="20"/>
        </w:rPr>
        <w:t xml:space="preserve">borado por la </w:t>
      </w:r>
      <w:r w:rsidR="00EA3C19" w:rsidRPr="0064597D">
        <w:rPr>
          <w:rFonts w:cs="Arial"/>
          <w:sz w:val="20"/>
          <w:szCs w:val="20"/>
        </w:rPr>
        <w:t>prueba</w:t>
      </w:r>
      <w:r w:rsidR="00EA3C19" w:rsidRPr="0064597D">
        <w:rPr>
          <w:rFonts w:eastAsiaTheme="minorHAnsi" w:cs="Arial"/>
          <w:spacing w:val="-2"/>
          <w:sz w:val="20"/>
          <w:szCs w:val="20"/>
        </w:rPr>
        <w:t xml:space="preserve"> pericial del </w:t>
      </w:r>
      <w:r w:rsidR="00E40AB3" w:rsidRPr="0064597D">
        <w:rPr>
          <w:rFonts w:eastAsiaTheme="minorHAnsi" w:cs="Arial"/>
          <w:spacing w:val="-2"/>
          <w:sz w:val="20"/>
          <w:szCs w:val="20"/>
        </w:rPr>
        <w:t>perito Guillermo Carranza</w:t>
      </w:r>
      <w:r w:rsidR="00EA3C19" w:rsidRPr="0064597D">
        <w:rPr>
          <w:rFonts w:eastAsiaTheme="minorHAnsi" w:cs="Arial"/>
          <w:spacing w:val="-2"/>
          <w:sz w:val="20"/>
          <w:szCs w:val="20"/>
        </w:rPr>
        <w:t>, qu</w:t>
      </w:r>
      <w:r w:rsidRPr="0064597D">
        <w:rPr>
          <w:rFonts w:eastAsiaTheme="minorHAnsi" w:cs="Arial"/>
          <w:spacing w:val="-2"/>
          <w:sz w:val="20"/>
          <w:szCs w:val="20"/>
        </w:rPr>
        <w:t xml:space="preserve">ien en su informe pericial, así como en la audiencia pública, </w:t>
      </w:r>
      <w:r w:rsidR="00544438" w:rsidRPr="0064597D">
        <w:rPr>
          <w:rFonts w:eastAsiaTheme="minorHAnsi" w:cs="Arial"/>
          <w:spacing w:val="-2"/>
          <w:sz w:val="20"/>
          <w:szCs w:val="20"/>
        </w:rPr>
        <w:t>indic</w:t>
      </w:r>
      <w:r w:rsidRPr="0064597D">
        <w:rPr>
          <w:rFonts w:eastAsiaTheme="minorHAnsi" w:cs="Arial"/>
          <w:spacing w:val="-2"/>
          <w:sz w:val="20"/>
          <w:szCs w:val="20"/>
        </w:rPr>
        <w:t>ó</w:t>
      </w:r>
      <w:r w:rsidR="00544438" w:rsidRPr="0064597D">
        <w:rPr>
          <w:rFonts w:eastAsiaTheme="minorHAnsi" w:cs="Arial"/>
          <w:spacing w:val="-2"/>
          <w:sz w:val="20"/>
          <w:szCs w:val="20"/>
        </w:rPr>
        <w:t xml:space="preserve"> que </w:t>
      </w:r>
      <w:r w:rsidRPr="0064597D">
        <w:rPr>
          <w:rFonts w:eastAsiaTheme="minorHAnsi" w:cs="Arial"/>
          <w:spacing w:val="-2"/>
          <w:sz w:val="20"/>
          <w:szCs w:val="20"/>
        </w:rPr>
        <w:t xml:space="preserve">“la posición del suéter y la camisa están halados hacia arriba, y el pantalón de lona, fue halado hacia abajo, por efecto del arrastre”, lo cual indicaba que </w:t>
      </w:r>
      <w:r w:rsidR="00544438" w:rsidRPr="0064597D">
        <w:rPr>
          <w:rFonts w:eastAsiaTheme="minorHAnsi" w:cs="Arial"/>
          <w:spacing w:val="-2"/>
          <w:sz w:val="20"/>
          <w:szCs w:val="20"/>
        </w:rPr>
        <w:t>el cadáver del señor Ruiz Fuentes “fue movi</w:t>
      </w:r>
      <w:r w:rsidRPr="0064597D">
        <w:rPr>
          <w:rFonts w:eastAsiaTheme="minorHAnsi" w:cs="Arial"/>
          <w:spacing w:val="-2"/>
          <w:sz w:val="20"/>
          <w:szCs w:val="20"/>
        </w:rPr>
        <w:t>lizado de su posición original”</w:t>
      </w:r>
      <w:r w:rsidR="00F618D5" w:rsidRPr="0064597D">
        <w:rPr>
          <w:rStyle w:val="Refdenotaalpie"/>
          <w:rFonts w:eastAsiaTheme="minorHAnsi" w:cs="Arial"/>
          <w:spacing w:val="-2"/>
          <w:sz w:val="20"/>
          <w:szCs w:val="20"/>
        </w:rPr>
        <w:footnoteReference w:id="130"/>
      </w:r>
      <w:r w:rsidR="00F618D5" w:rsidRPr="0064597D">
        <w:rPr>
          <w:rFonts w:eastAsiaTheme="minorHAnsi" w:cs="Arial"/>
          <w:spacing w:val="-2"/>
          <w:sz w:val="20"/>
          <w:szCs w:val="20"/>
        </w:rPr>
        <w:t xml:space="preserve">. </w:t>
      </w:r>
      <w:r w:rsidR="00C369AF" w:rsidRPr="0064597D">
        <w:rPr>
          <w:rFonts w:eastAsiaTheme="minorHAnsi" w:cs="Arial"/>
          <w:spacing w:val="-2"/>
          <w:sz w:val="20"/>
          <w:szCs w:val="20"/>
        </w:rPr>
        <w:t>En la audiencia pública celebrada</w:t>
      </w:r>
      <w:r w:rsidR="001F0BF8" w:rsidRPr="0064597D">
        <w:rPr>
          <w:rFonts w:eastAsiaTheme="minorHAnsi" w:cs="Arial"/>
          <w:spacing w:val="-2"/>
          <w:sz w:val="20"/>
          <w:szCs w:val="20"/>
        </w:rPr>
        <w:t xml:space="preserve"> ante este Tribunal</w:t>
      </w:r>
      <w:r w:rsidR="004B28A0" w:rsidRPr="0064597D">
        <w:rPr>
          <w:rFonts w:eastAsiaTheme="minorHAnsi" w:cs="Arial"/>
          <w:spacing w:val="-2"/>
          <w:sz w:val="20"/>
          <w:szCs w:val="20"/>
        </w:rPr>
        <w:t>,</w:t>
      </w:r>
      <w:r w:rsidR="001F0BF8" w:rsidRPr="0064597D">
        <w:rPr>
          <w:rFonts w:eastAsiaTheme="minorHAnsi" w:cs="Arial"/>
          <w:spacing w:val="-2"/>
          <w:sz w:val="20"/>
          <w:szCs w:val="20"/>
        </w:rPr>
        <w:t xml:space="preserve"> </w:t>
      </w:r>
      <w:r w:rsidR="00C369AF" w:rsidRPr="0064597D">
        <w:rPr>
          <w:rFonts w:eastAsiaTheme="minorHAnsi" w:cs="Arial"/>
          <w:spacing w:val="-2"/>
          <w:sz w:val="20"/>
          <w:szCs w:val="20"/>
        </w:rPr>
        <w:t xml:space="preserve">el perito </w:t>
      </w:r>
      <w:r w:rsidR="00775972" w:rsidRPr="0064597D">
        <w:rPr>
          <w:rFonts w:eastAsiaTheme="minorHAnsi" w:cs="Arial"/>
          <w:spacing w:val="-2"/>
          <w:sz w:val="20"/>
          <w:szCs w:val="20"/>
        </w:rPr>
        <w:t xml:space="preserve">Guillermo Carranza </w:t>
      </w:r>
      <w:r w:rsidR="00C369AF" w:rsidRPr="0064597D">
        <w:rPr>
          <w:rFonts w:eastAsiaTheme="minorHAnsi" w:cs="Arial"/>
          <w:spacing w:val="-2"/>
          <w:sz w:val="20"/>
          <w:szCs w:val="20"/>
        </w:rPr>
        <w:t xml:space="preserve">destacó además que </w:t>
      </w:r>
      <w:r w:rsidR="00064DB0" w:rsidRPr="0064597D">
        <w:rPr>
          <w:rFonts w:eastAsiaTheme="minorHAnsi" w:cs="Arial"/>
          <w:spacing w:val="-2"/>
          <w:sz w:val="20"/>
          <w:szCs w:val="20"/>
        </w:rPr>
        <w:t xml:space="preserve">el hecho de retirar el hollín del orificio de entrada en el ojo derecho </w:t>
      </w:r>
      <w:r w:rsidR="005A6F14" w:rsidRPr="0064597D">
        <w:rPr>
          <w:rFonts w:eastAsiaTheme="minorHAnsi" w:cs="Arial"/>
          <w:spacing w:val="-2"/>
          <w:sz w:val="20"/>
          <w:szCs w:val="20"/>
        </w:rPr>
        <w:t>hizo “cambiar la distancia de disparo”</w:t>
      </w:r>
      <w:r w:rsidR="004D7C59" w:rsidRPr="0064597D">
        <w:rPr>
          <w:rFonts w:eastAsiaTheme="minorHAnsi" w:cs="Arial"/>
          <w:spacing w:val="-2"/>
          <w:sz w:val="20"/>
          <w:szCs w:val="20"/>
        </w:rPr>
        <w:t xml:space="preserve"> ya que </w:t>
      </w:r>
      <w:r w:rsidR="004D7C59" w:rsidRPr="0064597D">
        <w:rPr>
          <w:rFonts w:cs="Arial"/>
          <w:sz w:val="20"/>
          <w:szCs w:val="20"/>
        </w:rPr>
        <w:t>ento</w:t>
      </w:r>
      <w:r w:rsidR="004D7C59" w:rsidRPr="0064597D">
        <w:rPr>
          <w:rFonts w:eastAsiaTheme="minorHAnsi" w:cs="Arial"/>
          <w:spacing w:val="-2"/>
          <w:sz w:val="20"/>
          <w:szCs w:val="20"/>
        </w:rPr>
        <w:t xml:space="preserve">nces </w:t>
      </w:r>
      <w:r w:rsidR="004D7C59" w:rsidRPr="0064597D">
        <w:rPr>
          <w:rFonts w:cs="Arial"/>
          <w:sz w:val="20"/>
          <w:szCs w:val="20"/>
        </w:rPr>
        <w:t>pa</w:t>
      </w:r>
      <w:r w:rsidR="004B28A0" w:rsidRPr="0064597D">
        <w:rPr>
          <w:rFonts w:cs="Arial"/>
          <w:sz w:val="20"/>
          <w:szCs w:val="20"/>
        </w:rPr>
        <w:t>s</w:t>
      </w:r>
      <w:r w:rsidR="004D7C59" w:rsidRPr="0064597D">
        <w:rPr>
          <w:rFonts w:cs="Arial"/>
          <w:sz w:val="20"/>
          <w:szCs w:val="20"/>
        </w:rPr>
        <w:t xml:space="preserve">a de un </w:t>
      </w:r>
      <w:r w:rsidR="004D7C59" w:rsidRPr="0064597D">
        <w:rPr>
          <w:rFonts w:eastAsiaTheme="minorHAnsi" w:cs="Arial"/>
          <w:spacing w:val="-2"/>
          <w:sz w:val="20"/>
          <w:szCs w:val="20"/>
        </w:rPr>
        <w:t>disparo de corta distancia a “un disparo de mediana o larga distancia”</w:t>
      </w:r>
      <w:r w:rsidR="005A6F14" w:rsidRPr="0064597D">
        <w:rPr>
          <w:rStyle w:val="Refdenotaalpie"/>
          <w:rFonts w:eastAsiaTheme="minorHAnsi" w:cs="Arial"/>
          <w:spacing w:val="-2"/>
          <w:sz w:val="20"/>
          <w:szCs w:val="20"/>
        </w:rPr>
        <w:footnoteReference w:id="131"/>
      </w:r>
      <w:r w:rsidR="005A6F14" w:rsidRPr="0064597D">
        <w:rPr>
          <w:rFonts w:eastAsiaTheme="minorHAnsi" w:cs="Arial"/>
          <w:spacing w:val="-2"/>
          <w:sz w:val="20"/>
          <w:szCs w:val="20"/>
        </w:rPr>
        <w:t xml:space="preserve">. </w:t>
      </w:r>
      <w:r w:rsidR="00E40AB3" w:rsidRPr="0064597D">
        <w:rPr>
          <w:rFonts w:eastAsiaTheme="minorHAnsi" w:cs="Arial"/>
          <w:spacing w:val="-2"/>
          <w:sz w:val="20"/>
          <w:szCs w:val="20"/>
        </w:rPr>
        <w:t>Por otro lado, la Corte también hace notar la observación de dicho perito con respecto a que el portón que se situaba detrás del cadáver presentaba numerosos impactos de bala</w:t>
      </w:r>
      <w:r w:rsidR="001C48C0" w:rsidRPr="0064597D">
        <w:rPr>
          <w:rFonts w:eastAsiaTheme="minorHAnsi" w:cs="Arial"/>
          <w:spacing w:val="-2"/>
          <w:sz w:val="20"/>
          <w:szCs w:val="20"/>
        </w:rPr>
        <w:t>, lo cual</w:t>
      </w:r>
      <w:r w:rsidR="00E40AB3" w:rsidRPr="0064597D">
        <w:rPr>
          <w:rFonts w:eastAsiaTheme="minorHAnsi" w:cs="Arial"/>
          <w:spacing w:val="-2"/>
          <w:sz w:val="20"/>
          <w:szCs w:val="20"/>
        </w:rPr>
        <w:t xml:space="preserve"> “hac[ía] pensar que no hubo ningún enfrentamiento”, sino disparos contra él y para “asemejar disparos”</w:t>
      </w:r>
      <w:r w:rsidR="00E40AB3" w:rsidRPr="0064597D">
        <w:rPr>
          <w:rStyle w:val="Refdenotaalpie"/>
          <w:rFonts w:eastAsiaTheme="minorHAnsi" w:cs="Arial"/>
          <w:spacing w:val="-2"/>
          <w:sz w:val="20"/>
          <w:szCs w:val="20"/>
        </w:rPr>
        <w:footnoteReference w:id="132"/>
      </w:r>
      <w:r w:rsidR="00E40AB3" w:rsidRPr="0064597D">
        <w:rPr>
          <w:rFonts w:eastAsiaTheme="minorHAnsi" w:cs="Arial"/>
          <w:spacing w:val="-2"/>
          <w:sz w:val="20"/>
          <w:szCs w:val="20"/>
        </w:rPr>
        <w:t xml:space="preserve">, esto es, simular un enfrentamiento. </w:t>
      </w:r>
    </w:p>
    <w:p w14:paraId="2CAF8138" w14:textId="77777777" w:rsidR="00AC1F76" w:rsidRPr="0064597D" w:rsidRDefault="00AC1F76" w:rsidP="00AC1F76">
      <w:pPr>
        <w:tabs>
          <w:tab w:val="left" w:pos="567"/>
        </w:tabs>
        <w:spacing w:line="240" w:lineRule="auto"/>
        <w:rPr>
          <w:rFonts w:eastAsia="Times" w:cs="Arial"/>
          <w:sz w:val="20"/>
          <w:szCs w:val="20"/>
        </w:rPr>
      </w:pPr>
    </w:p>
    <w:p w14:paraId="63FD06BA" w14:textId="5CCACDEE" w:rsidR="005A6F14" w:rsidRPr="0064597D" w:rsidRDefault="00F618D5" w:rsidP="00E857F6">
      <w:pPr>
        <w:numPr>
          <w:ilvl w:val="0"/>
          <w:numId w:val="1"/>
        </w:numPr>
        <w:tabs>
          <w:tab w:val="left" w:pos="567"/>
        </w:tabs>
        <w:spacing w:line="240" w:lineRule="auto"/>
        <w:ind w:left="0" w:firstLine="0"/>
        <w:rPr>
          <w:rFonts w:eastAsiaTheme="minorHAnsi" w:cs="Arial"/>
          <w:spacing w:val="-2"/>
          <w:sz w:val="20"/>
          <w:szCs w:val="20"/>
        </w:rPr>
      </w:pPr>
      <w:r w:rsidRPr="0064597D">
        <w:rPr>
          <w:rFonts w:eastAsiaTheme="minorHAnsi" w:cs="Arial"/>
          <w:spacing w:val="-2"/>
          <w:sz w:val="20"/>
          <w:szCs w:val="20"/>
        </w:rPr>
        <w:t>En lo que respecta al arma de fuego que se encontró en la mano derecha de</w:t>
      </w:r>
      <w:r w:rsidR="00E40AB3" w:rsidRPr="0064597D">
        <w:rPr>
          <w:rFonts w:eastAsiaTheme="minorHAnsi" w:cs="Arial"/>
          <w:spacing w:val="-2"/>
          <w:sz w:val="20"/>
          <w:szCs w:val="20"/>
        </w:rPr>
        <w:t xml:space="preserve">l señor Ruiz Fuentes, </w:t>
      </w:r>
      <w:r w:rsidR="00E857F6" w:rsidRPr="0064597D">
        <w:rPr>
          <w:rFonts w:eastAsiaTheme="minorHAnsi" w:cs="Arial"/>
          <w:spacing w:val="-2"/>
          <w:sz w:val="20"/>
          <w:szCs w:val="20"/>
        </w:rPr>
        <w:t xml:space="preserve">llama la atención </w:t>
      </w:r>
      <w:r w:rsidR="00C91D7F" w:rsidRPr="0064597D">
        <w:rPr>
          <w:rFonts w:eastAsiaTheme="minorHAnsi" w:cs="Arial"/>
          <w:spacing w:val="-2"/>
          <w:sz w:val="20"/>
          <w:szCs w:val="20"/>
        </w:rPr>
        <w:t xml:space="preserve">de este Tribunal </w:t>
      </w:r>
      <w:r w:rsidR="00E857F6" w:rsidRPr="0064597D">
        <w:rPr>
          <w:rFonts w:eastAsiaTheme="minorHAnsi" w:cs="Arial"/>
          <w:spacing w:val="-2"/>
          <w:sz w:val="20"/>
          <w:szCs w:val="20"/>
        </w:rPr>
        <w:t>el hecho de que la misma perteneciera</w:t>
      </w:r>
      <w:r w:rsidR="00E857F6" w:rsidRPr="0064597D">
        <w:rPr>
          <w:sz w:val="20"/>
          <w:szCs w:val="20"/>
        </w:rPr>
        <w:t xml:space="preserve"> a un agente del Estado sin que, a día de hoy, exista una explicación plausible sobre cómo el señor Ruiz Fuente</w:t>
      </w:r>
      <w:r w:rsidR="004B28A0" w:rsidRPr="0064597D">
        <w:rPr>
          <w:sz w:val="20"/>
          <w:szCs w:val="20"/>
        </w:rPr>
        <w:t>s</w:t>
      </w:r>
      <w:r w:rsidR="00E857F6" w:rsidRPr="0064597D">
        <w:rPr>
          <w:sz w:val="20"/>
          <w:szCs w:val="20"/>
        </w:rPr>
        <w:t xml:space="preserve"> </w:t>
      </w:r>
      <w:r w:rsidR="005E3DA0">
        <w:rPr>
          <w:sz w:val="20"/>
          <w:szCs w:val="20"/>
        </w:rPr>
        <w:t>pudo</w:t>
      </w:r>
      <w:r w:rsidR="00E857F6" w:rsidRPr="0064597D">
        <w:rPr>
          <w:sz w:val="20"/>
          <w:szCs w:val="20"/>
        </w:rPr>
        <w:t xml:space="preserve"> haber obtenido </w:t>
      </w:r>
      <w:r w:rsidR="005E3DA0">
        <w:rPr>
          <w:sz w:val="20"/>
          <w:szCs w:val="20"/>
        </w:rPr>
        <w:t>el</w:t>
      </w:r>
      <w:r w:rsidR="00E857F6" w:rsidRPr="0064597D">
        <w:rPr>
          <w:sz w:val="20"/>
          <w:szCs w:val="20"/>
        </w:rPr>
        <w:t xml:space="preserve"> arma. La Corte nota además que</w:t>
      </w:r>
      <w:r w:rsidR="00794183" w:rsidRPr="0064597D">
        <w:rPr>
          <w:sz w:val="20"/>
          <w:szCs w:val="20"/>
        </w:rPr>
        <w:t xml:space="preserve"> el arma </w:t>
      </w:r>
      <w:r w:rsidR="00E857F6" w:rsidRPr="0064597D">
        <w:rPr>
          <w:sz w:val="20"/>
          <w:szCs w:val="20"/>
        </w:rPr>
        <w:t>no presentaba ninguna mancha de sangre, mientras que existían restos de sangre en la mano derecha</w:t>
      </w:r>
      <w:r w:rsidR="00C91D7F" w:rsidRPr="0064597D">
        <w:rPr>
          <w:sz w:val="20"/>
          <w:szCs w:val="20"/>
        </w:rPr>
        <w:t xml:space="preserve"> que la sujetaba</w:t>
      </w:r>
      <w:r w:rsidR="00794183" w:rsidRPr="0064597D">
        <w:rPr>
          <w:rStyle w:val="Refdenotaalpie"/>
          <w:rFonts w:eastAsiaTheme="minorHAnsi" w:cs="Arial"/>
          <w:spacing w:val="-2"/>
          <w:sz w:val="20"/>
          <w:szCs w:val="20"/>
        </w:rPr>
        <w:footnoteReference w:id="133"/>
      </w:r>
      <w:r w:rsidR="00E857F6" w:rsidRPr="0064597D">
        <w:rPr>
          <w:sz w:val="20"/>
          <w:szCs w:val="20"/>
        </w:rPr>
        <w:t xml:space="preserve">. </w:t>
      </w:r>
      <w:r w:rsidR="00794183" w:rsidRPr="0064597D">
        <w:rPr>
          <w:sz w:val="20"/>
          <w:szCs w:val="20"/>
        </w:rPr>
        <w:t>La Cort</w:t>
      </w:r>
      <w:r w:rsidR="002961B3" w:rsidRPr="0064597D">
        <w:rPr>
          <w:sz w:val="20"/>
          <w:szCs w:val="20"/>
        </w:rPr>
        <w:t>e</w:t>
      </w:r>
      <w:r w:rsidR="00794183" w:rsidRPr="0064597D">
        <w:rPr>
          <w:sz w:val="20"/>
          <w:szCs w:val="20"/>
        </w:rPr>
        <w:t xml:space="preserve"> también nota lo indicado por el perito Carranza Izquierdo al indicar</w:t>
      </w:r>
      <w:r w:rsidR="00AC1F76" w:rsidRPr="0064597D">
        <w:rPr>
          <w:rFonts w:eastAsiaTheme="minorHAnsi" w:cs="Arial"/>
          <w:spacing w:val="-2"/>
          <w:sz w:val="20"/>
          <w:szCs w:val="20"/>
        </w:rPr>
        <w:t xml:space="preserve"> que, debido al disparo que recibió en la cara, era “muy difícil o imposible que pudiera sostener el arma de fuego en la mano derecha, pues […] al momento que recibió el disparo en la cara perdió el conocimiento”</w:t>
      </w:r>
      <w:r w:rsidR="00AC1F76" w:rsidRPr="0064597D">
        <w:rPr>
          <w:rStyle w:val="Refdenotaalpie"/>
          <w:rFonts w:eastAsiaTheme="minorHAnsi" w:cs="Arial"/>
          <w:spacing w:val="-2"/>
          <w:sz w:val="20"/>
          <w:szCs w:val="20"/>
        </w:rPr>
        <w:footnoteReference w:id="134"/>
      </w:r>
      <w:r w:rsidR="00AC1F76" w:rsidRPr="0064597D">
        <w:rPr>
          <w:rFonts w:eastAsiaTheme="minorHAnsi" w:cs="Arial"/>
          <w:spacing w:val="-2"/>
          <w:sz w:val="20"/>
          <w:szCs w:val="20"/>
        </w:rPr>
        <w:t>.</w:t>
      </w:r>
      <w:r w:rsidR="00DB0443" w:rsidRPr="0064597D">
        <w:rPr>
          <w:rFonts w:eastAsiaTheme="minorHAnsi" w:cs="Arial"/>
          <w:spacing w:val="-2"/>
          <w:sz w:val="20"/>
          <w:szCs w:val="20"/>
        </w:rPr>
        <w:t xml:space="preserve"> </w:t>
      </w:r>
      <w:r w:rsidR="00794183" w:rsidRPr="0064597D">
        <w:rPr>
          <w:rFonts w:eastAsiaTheme="minorHAnsi" w:cs="Arial"/>
          <w:spacing w:val="-2"/>
          <w:sz w:val="20"/>
          <w:szCs w:val="20"/>
        </w:rPr>
        <w:t>Por último</w:t>
      </w:r>
      <w:r w:rsidR="005A6F14" w:rsidRPr="0064597D">
        <w:rPr>
          <w:rFonts w:eastAsiaTheme="minorHAnsi" w:cs="Arial"/>
          <w:spacing w:val="-2"/>
          <w:sz w:val="20"/>
          <w:szCs w:val="20"/>
        </w:rPr>
        <w:t xml:space="preserve">, la Corte observa que el equipo que actuó en la escena del crimen no realizó ningún tipo de prueba en aras de encontrar residuos de los disparos en las manos que en teoría se deberían haber encontrado a causa de los disparos </w:t>
      </w:r>
      <w:r w:rsidR="00F928B9" w:rsidRPr="0064597D">
        <w:rPr>
          <w:rFonts w:eastAsiaTheme="minorHAnsi" w:cs="Arial"/>
          <w:spacing w:val="-2"/>
          <w:sz w:val="20"/>
          <w:szCs w:val="20"/>
        </w:rPr>
        <w:t xml:space="preserve">presuntamente </w:t>
      </w:r>
      <w:r w:rsidR="005A6F14" w:rsidRPr="0064597D">
        <w:rPr>
          <w:rFonts w:eastAsiaTheme="minorHAnsi" w:cs="Arial"/>
          <w:spacing w:val="-2"/>
          <w:sz w:val="20"/>
          <w:szCs w:val="20"/>
        </w:rPr>
        <w:t>efectuados por el señor Ruiz Fuentes</w:t>
      </w:r>
      <w:r w:rsidR="005A6F14" w:rsidRPr="0064597D">
        <w:rPr>
          <w:rStyle w:val="Refdenotaalpie"/>
          <w:rFonts w:eastAsiaTheme="minorHAnsi" w:cs="Arial"/>
          <w:spacing w:val="-2"/>
          <w:sz w:val="20"/>
          <w:szCs w:val="20"/>
        </w:rPr>
        <w:footnoteReference w:id="135"/>
      </w:r>
      <w:r w:rsidR="005A6F14" w:rsidRPr="0064597D">
        <w:rPr>
          <w:rFonts w:eastAsiaTheme="minorHAnsi" w:cs="Arial"/>
          <w:spacing w:val="-2"/>
          <w:sz w:val="20"/>
          <w:szCs w:val="20"/>
        </w:rPr>
        <w:t xml:space="preserve">. </w:t>
      </w:r>
    </w:p>
    <w:p w14:paraId="7CF7EF0C" w14:textId="77777777" w:rsidR="003A1006" w:rsidRPr="0064597D" w:rsidRDefault="003A1006" w:rsidP="003A1006">
      <w:pPr>
        <w:tabs>
          <w:tab w:val="left" w:pos="567"/>
        </w:tabs>
        <w:spacing w:line="240" w:lineRule="auto"/>
        <w:rPr>
          <w:rFonts w:eastAsiaTheme="minorHAnsi" w:cs="Arial"/>
          <w:spacing w:val="-2"/>
          <w:sz w:val="20"/>
          <w:szCs w:val="20"/>
        </w:rPr>
      </w:pPr>
    </w:p>
    <w:p w14:paraId="6BC1BD55" w14:textId="7D45754A" w:rsidR="003A1006" w:rsidRPr="0064597D" w:rsidRDefault="00C0215A" w:rsidP="0088504D">
      <w:pPr>
        <w:numPr>
          <w:ilvl w:val="0"/>
          <w:numId w:val="1"/>
        </w:numPr>
        <w:tabs>
          <w:tab w:val="left" w:pos="567"/>
          <w:tab w:val="num" w:pos="1569"/>
          <w:tab w:val="num" w:pos="12305"/>
        </w:tabs>
        <w:spacing w:line="240" w:lineRule="auto"/>
        <w:ind w:left="0" w:firstLine="0"/>
        <w:rPr>
          <w:sz w:val="20"/>
          <w:szCs w:val="20"/>
        </w:rPr>
      </w:pPr>
      <w:r w:rsidRPr="0064597D">
        <w:rPr>
          <w:rFonts w:eastAsiaTheme="minorHAnsi" w:cs="Arial"/>
          <w:spacing w:val="-2"/>
          <w:sz w:val="20"/>
          <w:szCs w:val="20"/>
        </w:rPr>
        <w:t>Por otro lado</w:t>
      </w:r>
      <w:r w:rsidR="00EA3C19" w:rsidRPr="0064597D">
        <w:rPr>
          <w:rFonts w:eastAsiaTheme="minorHAnsi" w:cs="Arial"/>
          <w:spacing w:val="-2"/>
          <w:sz w:val="20"/>
          <w:szCs w:val="20"/>
        </w:rPr>
        <w:t xml:space="preserve">, la Corte tampoco puede obviar el hecho de que el Estado ha presentado versiones contradictorias con respecto a los </w:t>
      </w:r>
      <w:r w:rsidR="001C48C0" w:rsidRPr="0064597D">
        <w:rPr>
          <w:rFonts w:eastAsiaTheme="minorHAnsi" w:cs="Arial"/>
          <w:spacing w:val="-2"/>
          <w:sz w:val="20"/>
          <w:szCs w:val="20"/>
        </w:rPr>
        <w:t>hechos</w:t>
      </w:r>
      <w:r w:rsidR="00F928B9" w:rsidRPr="0064597D">
        <w:rPr>
          <w:rFonts w:eastAsiaTheme="minorHAnsi" w:cs="Arial"/>
          <w:spacing w:val="-2"/>
          <w:sz w:val="20"/>
          <w:szCs w:val="20"/>
        </w:rPr>
        <w:t>, tanto a nivel interno, como ante la Comisión y la Corte</w:t>
      </w:r>
      <w:r w:rsidR="00EA3C19" w:rsidRPr="0064597D">
        <w:rPr>
          <w:rFonts w:eastAsiaTheme="minorHAnsi" w:cs="Arial"/>
          <w:spacing w:val="-2"/>
          <w:sz w:val="20"/>
          <w:szCs w:val="20"/>
        </w:rPr>
        <w:t xml:space="preserve">. </w:t>
      </w:r>
      <w:r w:rsidR="00D626A7" w:rsidRPr="0064597D">
        <w:rPr>
          <w:rFonts w:eastAsiaTheme="minorHAnsi" w:cs="Arial"/>
          <w:spacing w:val="-2"/>
          <w:sz w:val="20"/>
          <w:szCs w:val="20"/>
        </w:rPr>
        <w:t xml:space="preserve">Por un lado, </w:t>
      </w:r>
      <w:r w:rsidR="009025A6" w:rsidRPr="0064597D">
        <w:rPr>
          <w:rFonts w:eastAsiaTheme="minorHAnsi" w:cs="Arial"/>
          <w:spacing w:val="-2"/>
          <w:sz w:val="20"/>
          <w:szCs w:val="20"/>
        </w:rPr>
        <w:t xml:space="preserve">al momento de los hechos varias autoridades estatales realizaron declaraciones a la prensa en las que indicaban que el señor Ruiz Fuentes había muerto como consecuencia de un enfrentamiento </w:t>
      </w:r>
      <w:r w:rsidR="009025A6" w:rsidRPr="0064597D">
        <w:rPr>
          <w:rFonts w:eastAsiaTheme="minorHAnsi" w:cs="Arial"/>
          <w:spacing w:val="-2"/>
          <w:sz w:val="20"/>
          <w:szCs w:val="20"/>
        </w:rPr>
        <w:lastRenderedPageBreak/>
        <w:t xml:space="preserve">con las fuerzas de seguridad del Estado. En particular, </w:t>
      </w:r>
      <w:r w:rsidR="009025A6" w:rsidRPr="0064597D">
        <w:rPr>
          <w:sz w:val="20"/>
          <w:szCs w:val="20"/>
        </w:rPr>
        <w:t>el viceministro de Gobernación indicó que el señor Ruiz Fuentes “fue muerto a tiros anoche por agentes del Plan Gavilán del Servicio de Investigación Criminal (SIC), tras una persecución ocurrida en Barberena, Santa Rosa […], [s]e enfrentó a tiros con los agentes del SIC, quienes le acertaron varios impactos de bala y murió”</w:t>
      </w:r>
      <w:r w:rsidR="009025A6" w:rsidRPr="0064597D">
        <w:rPr>
          <w:rStyle w:val="Refdenotaalpie"/>
          <w:rFonts w:cs="Verdana"/>
          <w:sz w:val="20"/>
          <w:szCs w:val="20"/>
        </w:rPr>
        <w:footnoteReference w:id="136"/>
      </w:r>
      <w:r w:rsidR="009025A6" w:rsidRPr="0064597D">
        <w:rPr>
          <w:sz w:val="20"/>
          <w:szCs w:val="20"/>
        </w:rPr>
        <w:t xml:space="preserve">. </w:t>
      </w:r>
      <w:r w:rsidR="009025A6" w:rsidRPr="0064597D">
        <w:rPr>
          <w:rFonts w:eastAsiaTheme="minorHAnsi" w:cs="Arial"/>
          <w:spacing w:val="-2"/>
          <w:sz w:val="20"/>
          <w:szCs w:val="20"/>
        </w:rPr>
        <w:t>No obstante lo anterior, la Corte observa que</w:t>
      </w:r>
      <w:r w:rsidR="005E5BE8" w:rsidRPr="0064597D">
        <w:rPr>
          <w:rFonts w:eastAsiaTheme="minorHAnsi" w:cs="Arial"/>
          <w:spacing w:val="-2"/>
          <w:sz w:val="20"/>
          <w:szCs w:val="20"/>
        </w:rPr>
        <w:t>, posteriormente,</w:t>
      </w:r>
      <w:r w:rsidR="009025A6" w:rsidRPr="0064597D">
        <w:rPr>
          <w:rFonts w:eastAsiaTheme="minorHAnsi" w:cs="Arial"/>
          <w:spacing w:val="-2"/>
          <w:sz w:val="20"/>
          <w:szCs w:val="20"/>
        </w:rPr>
        <w:t xml:space="preserve"> </w:t>
      </w:r>
      <w:r w:rsidR="00D626A7" w:rsidRPr="0064597D">
        <w:rPr>
          <w:rFonts w:eastAsiaTheme="minorHAnsi" w:cs="Arial"/>
          <w:spacing w:val="-2"/>
          <w:sz w:val="20"/>
          <w:szCs w:val="20"/>
        </w:rPr>
        <w:t xml:space="preserve">varios funcionarios </w:t>
      </w:r>
      <w:r w:rsidR="00BE5973" w:rsidRPr="0064597D">
        <w:rPr>
          <w:rFonts w:eastAsiaTheme="minorHAnsi" w:cs="Arial"/>
          <w:spacing w:val="-2"/>
          <w:sz w:val="20"/>
          <w:szCs w:val="20"/>
        </w:rPr>
        <w:t>declararon</w:t>
      </w:r>
      <w:r w:rsidR="005E5BE8" w:rsidRPr="0064597D">
        <w:rPr>
          <w:rFonts w:eastAsiaTheme="minorHAnsi" w:cs="Arial"/>
          <w:spacing w:val="-2"/>
          <w:sz w:val="20"/>
          <w:szCs w:val="20"/>
        </w:rPr>
        <w:t xml:space="preserve"> ante la Fiscalía del Ministerio Público</w:t>
      </w:r>
      <w:r w:rsidR="00BE5973" w:rsidRPr="0064597D">
        <w:rPr>
          <w:rFonts w:eastAsiaTheme="minorHAnsi" w:cs="Arial"/>
          <w:spacing w:val="-2"/>
          <w:sz w:val="20"/>
          <w:szCs w:val="20"/>
        </w:rPr>
        <w:t xml:space="preserve"> que la muerte del señor Ruiz Fuentes se produjo como consecuencia de un en</w:t>
      </w:r>
      <w:r w:rsidR="005E5BE8" w:rsidRPr="0064597D">
        <w:rPr>
          <w:rFonts w:eastAsiaTheme="minorHAnsi" w:cs="Arial"/>
          <w:spacing w:val="-2"/>
          <w:sz w:val="20"/>
          <w:szCs w:val="20"/>
        </w:rPr>
        <w:t>frentamiento entre particulares</w:t>
      </w:r>
      <w:r w:rsidR="00D626A7" w:rsidRPr="0064597D">
        <w:rPr>
          <w:rStyle w:val="Refdenotaalpie"/>
          <w:rFonts w:eastAsia="Times" w:cs="Arial"/>
          <w:sz w:val="20"/>
          <w:szCs w:val="20"/>
        </w:rPr>
        <w:footnoteReference w:id="137"/>
      </w:r>
      <w:r w:rsidR="005E5BE8" w:rsidRPr="0064597D">
        <w:rPr>
          <w:rFonts w:eastAsia="Times" w:cs="Arial"/>
          <w:sz w:val="20"/>
          <w:szCs w:val="20"/>
        </w:rPr>
        <w:t xml:space="preserve">. </w:t>
      </w:r>
      <w:r w:rsidR="004D7C59" w:rsidRPr="0064597D">
        <w:rPr>
          <w:rFonts w:eastAsia="Times" w:cs="Arial"/>
          <w:sz w:val="20"/>
          <w:szCs w:val="20"/>
        </w:rPr>
        <w:t>Asimismo</w:t>
      </w:r>
      <w:r w:rsidR="00BC60F6" w:rsidRPr="0064597D">
        <w:rPr>
          <w:rFonts w:eastAsia="Times" w:cs="Arial"/>
          <w:sz w:val="20"/>
          <w:szCs w:val="20"/>
        </w:rPr>
        <w:t>, el informe de la Fiscalía del Ministerio Público</w:t>
      </w:r>
      <w:r w:rsidR="00EA54FE" w:rsidRPr="0064597D">
        <w:rPr>
          <w:rFonts w:eastAsia="Times" w:cs="Arial"/>
          <w:sz w:val="20"/>
          <w:szCs w:val="20"/>
        </w:rPr>
        <w:t xml:space="preserve"> de 8 de junio de 2007</w:t>
      </w:r>
      <w:r w:rsidR="00BC60F6" w:rsidRPr="0064597D">
        <w:rPr>
          <w:rFonts w:eastAsia="Times" w:cs="Arial"/>
          <w:sz w:val="20"/>
          <w:szCs w:val="20"/>
        </w:rPr>
        <w:t xml:space="preserve"> consideró que la causa de la muerte fue porque “esta persona se estaba dedicando a hechos de delincuencia común” y se pudo deber a que “personas desconocidas, para evitar ser víctimas de ilícitos por parte de esta persona, le causaron la muerte”</w:t>
      </w:r>
      <w:r w:rsidR="00BC60F6" w:rsidRPr="0064597D">
        <w:rPr>
          <w:rStyle w:val="Refdenotaalpie"/>
          <w:rFonts w:eastAsia="Times" w:cs="Arial"/>
          <w:sz w:val="20"/>
          <w:szCs w:val="20"/>
        </w:rPr>
        <w:footnoteReference w:id="138"/>
      </w:r>
      <w:r w:rsidR="00BC60F6" w:rsidRPr="0064597D">
        <w:rPr>
          <w:rFonts w:eastAsia="Times" w:cs="Arial"/>
          <w:sz w:val="20"/>
          <w:szCs w:val="20"/>
        </w:rPr>
        <w:t>.</w:t>
      </w:r>
      <w:r w:rsidR="00794183" w:rsidRPr="0064597D">
        <w:rPr>
          <w:rFonts w:eastAsia="Times" w:cs="Arial"/>
          <w:sz w:val="20"/>
          <w:szCs w:val="20"/>
        </w:rPr>
        <w:t xml:space="preserve"> </w:t>
      </w:r>
    </w:p>
    <w:p w14:paraId="02894A10" w14:textId="77777777" w:rsidR="001C48C0" w:rsidRPr="0064597D" w:rsidRDefault="001C48C0" w:rsidP="001C48C0">
      <w:pPr>
        <w:tabs>
          <w:tab w:val="left" w:pos="567"/>
        </w:tabs>
        <w:spacing w:line="240" w:lineRule="auto"/>
        <w:rPr>
          <w:rFonts w:eastAsia="Times" w:cs="Arial"/>
          <w:sz w:val="20"/>
          <w:szCs w:val="20"/>
          <w:highlight w:val="yellow"/>
        </w:rPr>
      </w:pPr>
    </w:p>
    <w:p w14:paraId="67EAF5BE" w14:textId="1DA2E33D" w:rsidR="00A252AF" w:rsidRPr="0064597D" w:rsidRDefault="003A1006" w:rsidP="00AC6BF2">
      <w:pPr>
        <w:numPr>
          <w:ilvl w:val="0"/>
          <w:numId w:val="1"/>
        </w:numPr>
        <w:tabs>
          <w:tab w:val="left" w:pos="567"/>
        </w:tabs>
        <w:spacing w:line="240" w:lineRule="auto"/>
        <w:ind w:left="0" w:firstLine="0"/>
        <w:rPr>
          <w:rFonts w:eastAsia="Times" w:cs="Arial"/>
          <w:sz w:val="20"/>
          <w:szCs w:val="20"/>
        </w:rPr>
      </w:pPr>
      <w:r w:rsidRPr="0064597D">
        <w:rPr>
          <w:rFonts w:eastAsia="Times" w:cs="Arial"/>
          <w:sz w:val="20"/>
          <w:szCs w:val="20"/>
        </w:rPr>
        <w:t>L</w:t>
      </w:r>
      <w:r w:rsidR="00A0551C" w:rsidRPr="0064597D">
        <w:rPr>
          <w:rFonts w:eastAsia="Times" w:cs="Arial"/>
          <w:sz w:val="20"/>
          <w:szCs w:val="20"/>
        </w:rPr>
        <w:t>a Corte</w:t>
      </w:r>
      <w:r w:rsidRPr="0064597D">
        <w:rPr>
          <w:rFonts w:eastAsia="Times" w:cs="Arial"/>
          <w:sz w:val="20"/>
          <w:szCs w:val="20"/>
        </w:rPr>
        <w:t xml:space="preserve"> también</w:t>
      </w:r>
      <w:r w:rsidR="00A0551C" w:rsidRPr="0064597D">
        <w:rPr>
          <w:rFonts w:eastAsia="Times" w:cs="Arial"/>
          <w:sz w:val="20"/>
          <w:szCs w:val="20"/>
        </w:rPr>
        <w:t xml:space="preserve"> observa </w:t>
      </w:r>
      <w:r w:rsidR="00A252AF" w:rsidRPr="0064597D">
        <w:rPr>
          <w:rFonts w:eastAsia="Times" w:cs="Arial"/>
          <w:sz w:val="20"/>
          <w:szCs w:val="20"/>
        </w:rPr>
        <w:t xml:space="preserve">que </w:t>
      </w:r>
      <w:r w:rsidR="005B20E9" w:rsidRPr="0064597D">
        <w:rPr>
          <w:rFonts w:eastAsia="Times" w:cs="Arial"/>
          <w:sz w:val="20"/>
          <w:szCs w:val="20"/>
        </w:rPr>
        <w:t>en el marco del trámite ante la Comisión</w:t>
      </w:r>
      <w:r w:rsidR="00E55A35" w:rsidRPr="0064597D">
        <w:rPr>
          <w:rFonts w:eastAsia="Times" w:cs="Arial"/>
          <w:sz w:val="20"/>
          <w:szCs w:val="20"/>
        </w:rPr>
        <w:t>,</w:t>
      </w:r>
      <w:r w:rsidR="005B20E9" w:rsidRPr="0064597D">
        <w:rPr>
          <w:rFonts w:eastAsia="Times" w:cs="Arial"/>
          <w:sz w:val="20"/>
          <w:szCs w:val="20"/>
        </w:rPr>
        <w:t xml:space="preserve"> </w:t>
      </w:r>
      <w:r w:rsidR="00A252AF" w:rsidRPr="0064597D">
        <w:rPr>
          <w:rFonts w:eastAsia="Times" w:cs="Arial"/>
          <w:sz w:val="20"/>
          <w:szCs w:val="20"/>
        </w:rPr>
        <w:t>en un informe de 21 de febrero de 2006 elaborado por el Estado</w:t>
      </w:r>
      <w:r w:rsidR="005E3DA0">
        <w:rPr>
          <w:rFonts w:eastAsia="Times" w:cs="Arial"/>
          <w:sz w:val="20"/>
          <w:szCs w:val="20"/>
        </w:rPr>
        <w:t>,</w:t>
      </w:r>
      <w:r w:rsidR="00A252AF" w:rsidRPr="0064597D">
        <w:rPr>
          <w:rFonts w:eastAsia="Times" w:cs="Arial"/>
          <w:sz w:val="20"/>
          <w:szCs w:val="20"/>
        </w:rPr>
        <w:t xml:space="preserve"> se indicaba que la hipótesis que se logró establecer con base a “las entrevistas e investigaciones” realizadas fue que “varios individuos portando armas de fuego y sin mediar palabra le efectuaron varios disparos y le ocasionaron la muerte”</w:t>
      </w:r>
      <w:r w:rsidR="00A252AF" w:rsidRPr="0064597D">
        <w:rPr>
          <w:rStyle w:val="Refdenotaalpie"/>
          <w:rFonts w:eastAsia="Times" w:cs="Arial"/>
          <w:sz w:val="20"/>
          <w:szCs w:val="20"/>
        </w:rPr>
        <w:footnoteReference w:id="139"/>
      </w:r>
      <w:r w:rsidR="00A252AF" w:rsidRPr="0064597D">
        <w:rPr>
          <w:rFonts w:eastAsia="Times" w:cs="Arial"/>
          <w:sz w:val="20"/>
          <w:szCs w:val="20"/>
        </w:rPr>
        <w:t xml:space="preserve">. </w:t>
      </w:r>
      <w:r w:rsidR="00E55A35" w:rsidRPr="0064597D">
        <w:rPr>
          <w:rFonts w:eastAsia="Times" w:cs="Arial"/>
          <w:sz w:val="20"/>
          <w:szCs w:val="20"/>
        </w:rPr>
        <w:t xml:space="preserve">No obstante, </w:t>
      </w:r>
      <w:r w:rsidR="00AC398B" w:rsidRPr="0064597D">
        <w:rPr>
          <w:rFonts w:eastAsia="Times" w:cs="Arial"/>
          <w:sz w:val="20"/>
          <w:szCs w:val="20"/>
        </w:rPr>
        <w:t xml:space="preserve">en una posterior comunicación de </w:t>
      </w:r>
      <w:r w:rsidR="00E55A35" w:rsidRPr="0064597D">
        <w:rPr>
          <w:rFonts w:eastAsia="Times" w:cs="Arial"/>
          <w:sz w:val="20"/>
          <w:szCs w:val="20"/>
        </w:rPr>
        <w:t>22</w:t>
      </w:r>
      <w:r w:rsidR="00AC398B" w:rsidRPr="0064597D">
        <w:rPr>
          <w:rFonts w:eastAsia="Times" w:cs="Arial"/>
          <w:sz w:val="20"/>
          <w:szCs w:val="20"/>
        </w:rPr>
        <w:t xml:space="preserve"> de julio de </w:t>
      </w:r>
      <w:r w:rsidR="00E55A35" w:rsidRPr="0064597D">
        <w:rPr>
          <w:rFonts w:eastAsia="Times" w:cs="Arial"/>
          <w:sz w:val="20"/>
          <w:szCs w:val="20"/>
        </w:rPr>
        <w:t>2009</w:t>
      </w:r>
      <w:r w:rsidR="00AC398B" w:rsidRPr="0064597D">
        <w:rPr>
          <w:rFonts w:eastAsia="Times" w:cs="Arial"/>
          <w:sz w:val="20"/>
          <w:szCs w:val="20"/>
        </w:rPr>
        <w:t xml:space="preserve">, </w:t>
      </w:r>
      <w:r w:rsidR="00E55A35" w:rsidRPr="0064597D">
        <w:rPr>
          <w:rFonts w:eastAsia="Times" w:cs="Arial"/>
          <w:sz w:val="20"/>
          <w:szCs w:val="20"/>
        </w:rPr>
        <w:t>el Estado indicó que el señor Ruiz Fuentes “presuntamente se opuso a la recaptura”</w:t>
      </w:r>
      <w:r w:rsidR="00E55A35" w:rsidRPr="0064597D">
        <w:rPr>
          <w:rStyle w:val="Refdenotaalpie"/>
          <w:rFonts w:eastAsia="Times" w:cs="Arial"/>
          <w:sz w:val="20"/>
          <w:szCs w:val="20"/>
        </w:rPr>
        <w:footnoteReference w:id="140"/>
      </w:r>
      <w:r w:rsidR="00E55A35" w:rsidRPr="0064597D">
        <w:rPr>
          <w:rFonts w:eastAsia="Times" w:cs="Arial"/>
          <w:sz w:val="20"/>
          <w:szCs w:val="20"/>
        </w:rPr>
        <w:t xml:space="preserve">. </w:t>
      </w:r>
    </w:p>
    <w:p w14:paraId="4166624D" w14:textId="77777777" w:rsidR="002C623F" w:rsidRPr="0064597D" w:rsidRDefault="002C623F" w:rsidP="002C623F">
      <w:pPr>
        <w:tabs>
          <w:tab w:val="left" w:pos="567"/>
        </w:tabs>
        <w:spacing w:line="240" w:lineRule="auto"/>
        <w:rPr>
          <w:sz w:val="20"/>
          <w:szCs w:val="20"/>
          <w:lang w:eastAsia="en-US"/>
        </w:rPr>
      </w:pPr>
    </w:p>
    <w:p w14:paraId="0DC458BF" w14:textId="2408C552" w:rsidR="00C91D7F" w:rsidRPr="0064597D" w:rsidRDefault="001C48C0" w:rsidP="00497745">
      <w:pPr>
        <w:numPr>
          <w:ilvl w:val="0"/>
          <w:numId w:val="1"/>
        </w:numPr>
        <w:tabs>
          <w:tab w:val="left" w:pos="567"/>
        </w:tabs>
        <w:spacing w:line="240" w:lineRule="auto"/>
        <w:ind w:left="0" w:firstLine="0"/>
        <w:rPr>
          <w:sz w:val="20"/>
          <w:szCs w:val="20"/>
          <w:lang w:eastAsia="en-US"/>
        </w:rPr>
      </w:pPr>
      <w:r w:rsidRPr="0064597D">
        <w:rPr>
          <w:rFonts w:eastAsia="Times" w:cs="Arial"/>
          <w:sz w:val="20"/>
          <w:szCs w:val="20"/>
        </w:rPr>
        <w:t>E</w:t>
      </w:r>
      <w:r w:rsidR="00EA3C19" w:rsidRPr="0064597D">
        <w:rPr>
          <w:rFonts w:eastAsia="Times" w:cs="Arial"/>
          <w:sz w:val="20"/>
          <w:szCs w:val="20"/>
        </w:rPr>
        <w:t xml:space="preserve">n lo que respecta al trámite ante esta Corte, </w:t>
      </w:r>
      <w:r w:rsidR="00547AF8" w:rsidRPr="0064597D">
        <w:rPr>
          <w:rFonts w:eastAsia="Times" w:cs="Arial"/>
          <w:sz w:val="20"/>
          <w:szCs w:val="20"/>
        </w:rPr>
        <w:t>se observa que el Estado, mediante escrito de 22 de noviembre de 2005 presentado ante este Tribunal en el marco de las medidas provisionales que fueron otorgadas el 30 de agosto de 2004</w:t>
      </w:r>
      <w:r w:rsidR="00ED69EA" w:rsidRPr="0064597D">
        <w:rPr>
          <w:rFonts w:eastAsia="Times" w:cs="Arial"/>
          <w:sz w:val="20"/>
          <w:szCs w:val="20"/>
        </w:rPr>
        <w:t>,</w:t>
      </w:r>
      <w:r w:rsidR="00547AF8" w:rsidRPr="0064597D">
        <w:rPr>
          <w:rFonts w:eastAsia="Times" w:cs="Arial"/>
          <w:sz w:val="20"/>
          <w:szCs w:val="20"/>
        </w:rPr>
        <w:t xml:space="preserve"> señaló que </w:t>
      </w:r>
      <w:r w:rsidR="000535E0" w:rsidRPr="0064597D">
        <w:rPr>
          <w:rFonts w:eastAsia="Times" w:cs="Arial"/>
          <w:sz w:val="20"/>
          <w:szCs w:val="20"/>
        </w:rPr>
        <w:t xml:space="preserve">el señor </w:t>
      </w:r>
      <w:r w:rsidR="00547AF8" w:rsidRPr="0064597D">
        <w:rPr>
          <w:rFonts w:eastAsia="Times" w:cs="Arial"/>
          <w:sz w:val="20"/>
          <w:szCs w:val="20"/>
        </w:rPr>
        <w:t xml:space="preserve">Ruiz Fuentes “durante su recaptura se opuso a ser detenido, desenfundando </w:t>
      </w:r>
      <w:r w:rsidR="00BE67F8" w:rsidRPr="0064597D">
        <w:rPr>
          <w:rFonts w:eastAsia="Times" w:cs="Arial"/>
          <w:sz w:val="20"/>
          <w:szCs w:val="20"/>
        </w:rPr>
        <w:t>s</w:t>
      </w:r>
      <w:r w:rsidR="00547AF8" w:rsidRPr="0064597D">
        <w:rPr>
          <w:rFonts w:eastAsia="Times" w:cs="Arial"/>
          <w:sz w:val="20"/>
          <w:szCs w:val="20"/>
        </w:rPr>
        <w:t>u arma, por [lo que] los agentes [del SIC] dispararon</w:t>
      </w:r>
      <w:r w:rsidR="00DB0443" w:rsidRPr="0064597D">
        <w:rPr>
          <w:rFonts w:eastAsia="Times" w:cs="Arial"/>
          <w:sz w:val="20"/>
          <w:szCs w:val="20"/>
        </w:rPr>
        <w:t xml:space="preserve"> </w:t>
      </w:r>
      <w:r w:rsidR="00547AF8" w:rsidRPr="0064597D">
        <w:rPr>
          <w:rFonts w:eastAsia="Times" w:cs="Arial"/>
          <w:sz w:val="20"/>
          <w:szCs w:val="20"/>
        </w:rPr>
        <w:t>causándole</w:t>
      </w:r>
      <w:r w:rsidR="00DB0443" w:rsidRPr="0064597D">
        <w:rPr>
          <w:rFonts w:eastAsia="Times" w:cs="Arial"/>
          <w:sz w:val="20"/>
          <w:szCs w:val="20"/>
        </w:rPr>
        <w:t xml:space="preserve"> </w:t>
      </w:r>
      <w:r w:rsidR="00547AF8" w:rsidRPr="0064597D">
        <w:rPr>
          <w:rFonts w:eastAsia="Times" w:cs="Arial"/>
          <w:sz w:val="20"/>
          <w:szCs w:val="20"/>
        </w:rPr>
        <w:t>la</w:t>
      </w:r>
      <w:r w:rsidR="00DB0443" w:rsidRPr="0064597D">
        <w:rPr>
          <w:rFonts w:eastAsia="Times" w:cs="Arial"/>
          <w:sz w:val="20"/>
          <w:szCs w:val="20"/>
        </w:rPr>
        <w:t xml:space="preserve"> </w:t>
      </w:r>
      <w:r w:rsidR="00547AF8" w:rsidRPr="0064597D">
        <w:rPr>
          <w:rFonts w:eastAsia="Times" w:cs="Arial"/>
          <w:sz w:val="20"/>
          <w:szCs w:val="20"/>
        </w:rPr>
        <w:t>muerte”</w:t>
      </w:r>
      <w:r w:rsidR="00547AF8" w:rsidRPr="0064597D">
        <w:rPr>
          <w:rStyle w:val="Refdenotaalpie"/>
          <w:rFonts w:eastAsia="Times" w:cs="Arial"/>
          <w:sz w:val="20"/>
          <w:szCs w:val="20"/>
        </w:rPr>
        <w:footnoteReference w:id="141"/>
      </w:r>
      <w:r w:rsidR="00547AF8" w:rsidRPr="0064597D">
        <w:rPr>
          <w:rFonts w:eastAsia="Times" w:cs="Arial"/>
          <w:sz w:val="20"/>
          <w:szCs w:val="20"/>
        </w:rPr>
        <w:t xml:space="preserve">. </w:t>
      </w:r>
      <w:r w:rsidR="000535E0" w:rsidRPr="0064597D">
        <w:rPr>
          <w:rFonts w:eastAsia="Times" w:cs="Arial"/>
          <w:sz w:val="20"/>
          <w:szCs w:val="20"/>
        </w:rPr>
        <w:t xml:space="preserve">Asimismo, y contrario a lo señalado previamente, </w:t>
      </w:r>
      <w:r w:rsidRPr="0064597D">
        <w:rPr>
          <w:sz w:val="20"/>
          <w:szCs w:val="20"/>
        </w:rPr>
        <w:t xml:space="preserve">en su escrito de contestación presentado el 5 de abril de 2019 </w:t>
      </w:r>
      <w:r w:rsidR="000535E0" w:rsidRPr="0064597D">
        <w:rPr>
          <w:rFonts w:eastAsia="Times" w:cs="Arial"/>
          <w:sz w:val="20"/>
          <w:szCs w:val="20"/>
        </w:rPr>
        <w:t>e</w:t>
      </w:r>
      <w:r w:rsidR="000535E0" w:rsidRPr="0064597D">
        <w:rPr>
          <w:sz w:val="20"/>
          <w:szCs w:val="20"/>
        </w:rPr>
        <w:t xml:space="preserve">l Estado </w:t>
      </w:r>
      <w:r w:rsidR="007B2C2E">
        <w:rPr>
          <w:sz w:val="20"/>
          <w:szCs w:val="20"/>
        </w:rPr>
        <w:t>negó que se hubiera producido una ejecución extrajudicial</w:t>
      </w:r>
      <w:r w:rsidRPr="0064597D">
        <w:rPr>
          <w:rStyle w:val="Refdenotaalpie"/>
          <w:sz w:val="20"/>
          <w:szCs w:val="20"/>
        </w:rPr>
        <w:footnoteReference w:id="142"/>
      </w:r>
      <w:r w:rsidRPr="0064597D">
        <w:rPr>
          <w:sz w:val="20"/>
          <w:szCs w:val="20"/>
        </w:rPr>
        <w:t xml:space="preserve">. </w:t>
      </w:r>
      <w:r w:rsidR="007B2C2E">
        <w:rPr>
          <w:sz w:val="20"/>
          <w:szCs w:val="20"/>
        </w:rPr>
        <w:t>No obstante, en el marco de la audiencia celebrada ante este Tribunal, el Estado indicó que “la muerte del señor Ruiz Fuentes no ha sido resuelta en el foro interno” ya que “se encuentra en conocimiento de las autoridades competentes guatemaltecas”.</w:t>
      </w:r>
    </w:p>
    <w:p w14:paraId="71F8FFCA" w14:textId="77777777" w:rsidR="00C72AEF" w:rsidRPr="0064597D" w:rsidRDefault="00C72AEF" w:rsidP="00C72AEF">
      <w:pPr>
        <w:tabs>
          <w:tab w:val="left" w:pos="567"/>
        </w:tabs>
        <w:spacing w:line="240" w:lineRule="auto"/>
        <w:rPr>
          <w:rFonts w:eastAsia="Times" w:cs="Arial"/>
          <w:sz w:val="20"/>
          <w:szCs w:val="20"/>
        </w:rPr>
      </w:pPr>
    </w:p>
    <w:p w14:paraId="7879EAD4" w14:textId="67040257" w:rsidR="00C72AEF" w:rsidRPr="0064597D" w:rsidRDefault="00C72AEF" w:rsidP="00C72AEF">
      <w:pPr>
        <w:numPr>
          <w:ilvl w:val="0"/>
          <w:numId w:val="1"/>
        </w:numPr>
        <w:tabs>
          <w:tab w:val="left" w:pos="567"/>
        </w:tabs>
        <w:spacing w:line="240" w:lineRule="auto"/>
        <w:ind w:left="0" w:firstLine="0"/>
        <w:rPr>
          <w:rFonts w:eastAsia="Times" w:cs="Arial"/>
          <w:sz w:val="20"/>
          <w:szCs w:val="20"/>
        </w:rPr>
      </w:pPr>
      <w:r w:rsidRPr="0064597D">
        <w:rPr>
          <w:rFonts w:eastAsia="Times" w:cs="Arial"/>
          <w:sz w:val="20"/>
          <w:szCs w:val="20"/>
        </w:rPr>
        <w:t xml:space="preserve">Por </w:t>
      </w:r>
      <w:r w:rsidR="00577FD4" w:rsidRPr="0064597D">
        <w:rPr>
          <w:rFonts w:eastAsia="Times" w:cs="Arial"/>
          <w:sz w:val="20"/>
          <w:szCs w:val="20"/>
        </w:rPr>
        <w:t xml:space="preserve">último, la Corte observa que </w:t>
      </w:r>
      <w:r w:rsidRPr="0064597D">
        <w:rPr>
          <w:rFonts w:eastAsia="Times" w:cs="Arial"/>
          <w:sz w:val="20"/>
          <w:szCs w:val="20"/>
        </w:rPr>
        <w:t>la</w:t>
      </w:r>
      <w:r w:rsidRPr="0064597D">
        <w:rPr>
          <w:sz w:val="20"/>
          <w:szCs w:val="20"/>
        </w:rPr>
        <w:t xml:space="preserve"> Fiscalía Especial Contra la Impunidad del Ministerio Público (en adelante, “FECI</w:t>
      </w:r>
      <w:r w:rsidR="00577FD4" w:rsidRPr="0064597D">
        <w:rPr>
          <w:sz w:val="20"/>
          <w:szCs w:val="20"/>
        </w:rPr>
        <w:t>”) consideró</w:t>
      </w:r>
      <w:r w:rsidRPr="0064597D">
        <w:rPr>
          <w:sz w:val="20"/>
          <w:szCs w:val="20"/>
        </w:rPr>
        <w:t xml:space="preserve"> probado que el señor Ruiz Fuentes fue ejecutado extrajudicialmente. En particular, </w:t>
      </w:r>
      <w:r w:rsidR="00577FD4" w:rsidRPr="0064597D">
        <w:rPr>
          <w:sz w:val="20"/>
          <w:szCs w:val="20"/>
        </w:rPr>
        <w:t xml:space="preserve">recientemente, </w:t>
      </w:r>
      <w:r w:rsidRPr="0064597D">
        <w:rPr>
          <w:sz w:val="20"/>
          <w:szCs w:val="20"/>
        </w:rPr>
        <w:t>e</w:t>
      </w:r>
      <w:r w:rsidRPr="0064597D">
        <w:rPr>
          <w:rFonts w:eastAsia="Times" w:cs="Arial"/>
          <w:sz w:val="20"/>
          <w:szCs w:val="20"/>
        </w:rPr>
        <w:t xml:space="preserve">n el marco del procedimiento interno relativo a la muerte del señor Ruiz Fuentes, la </w:t>
      </w:r>
      <w:r w:rsidRPr="0064597D">
        <w:rPr>
          <w:sz w:val="20"/>
          <w:szCs w:val="20"/>
        </w:rPr>
        <w:t>FECI indicó que:</w:t>
      </w:r>
    </w:p>
    <w:p w14:paraId="7832D05B" w14:textId="77777777" w:rsidR="00C72AEF" w:rsidRPr="0064597D" w:rsidRDefault="00C72AEF" w:rsidP="00C72AEF">
      <w:pPr>
        <w:tabs>
          <w:tab w:val="left" w:pos="567"/>
        </w:tabs>
        <w:spacing w:line="240" w:lineRule="auto"/>
        <w:rPr>
          <w:rFonts w:eastAsia="Times" w:cs="Arial"/>
          <w:sz w:val="20"/>
          <w:szCs w:val="20"/>
        </w:rPr>
      </w:pPr>
    </w:p>
    <w:p w14:paraId="50703150" w14:textId="2EC0551D" w:rsidR="00C72AEF" w:rsidRPr="0064597D" w:rsidRDefault="00C72AEF" w:rsidP="00C72AEF">
      <w:pPr>
        <w:widowControl/>
        <w:tabs>
          <w:tab w:val="left" w:pos="9360"/>
        </w:tabs>
        <w:autoSpaceDE w:val="0"/>
        <w:autoSpaceDN w:val="0"/>
        <w:spacing w:line="240" w:lineRule="auto"/>
        <w:ind w:left="720" w:right="720"/>
        <w:textAlignment w:val="auto"/>
        <w:rPr>
          <w:rFonts w:eastAsiaTheme="minorHAnsi" w:cs="Arial"/>
          <w:iCs/>
          <w:sz w:val="18"/>
          <w:szCs w:val="18"/>
          <w:lang w:eastAsia="en-US"/>
        </w:rPr>
      </w:pPr>
      <w:r w:rsidRPr="0064597D">
        <w:rPr>
          <w:rFonts w:eastAsia="Times" w:cs="Arial"/>
          <w:sz w:val="18"/>
          <w:szCs w:val="18"/>
        </w:rPr>
        <w:t>“[E]l 14 de noviembre de 2005, […], alrededor de las 11:30 horas, integrantes de la estructura paralela y Policías Nacionales Civiles vestidos con ropas obscuras, algunos con la cara cubierta con pasamontañas y port</w:t>
      </w:r>
      <w:r w:rsidR="00515450" w:rsidRPr="0064597D">
        <w:rPr>
          <w:rFonts w:eastAsia="Times" w:cs="Arial"/>
          <w:sz w:val="18"/>
          <w:szCs w:val="18"/>
        </w:rPr>
        <w:t xml:space="preserve">ando placas de esa institución, </w:t>
      </w:r>
      <w:r w:rsidRPr="0064597D">
        <w:rPr>
          <w:rFonts w:eastAsia="Times" w:cs="Arial"/>
          <w:sz w:val="18"/>
          <w:szCs w:val="18"/>
        </w:rPr>
        <w:t xml:space="preserve">[…], ingresaron en forma violenta, portando armas de grueso calibre y sin la autorización judicial correspondiente, al domicilio ubicado en la Sección RR 106 de la Colonia El Milagro Zona 2 de Mixco, donde privaron de libertad y </w:t>
      </w:r>
      <w:r w:rsidRPr="0064597D">
        <w:rPr>
          <w:rFonts w:eastAsiaTheme="minorHAnsi" w:cs="Arial"/>
          <w:iCs/>
          <w:sz w:val="18"/>
          <w:szCs w:val="18"/>
          <w:lang w:eastAsia="en-US"/>
        </w:rPr>
        <w:t xml:space="preserve">sometieron a </w:t>
      </w:r>
      <w:r w:rsidR="00B07AF4" w:rsidRPr="0064597D">
        <w:rPr>
          <w:rFonts w:eastAsiaTheme="minorHAnsi" w:cs="Arial"/>
          <w:iCs/>
          <w:sz w:val="18"/>
          <w:szCs w:val="18"/>
          <w:lang w:eastAsia="en-US"/>
        </w:rPr>
        <w:t>Hugo Humberto Ruiz Fuentes, q</w:t>
      </w:r>
      <w:r w:rsidRPr="0064597D">
        <w:rPr>
          <w:rFonts w:eastAsiaTheme="minorHAnsi" w:cs="Arial"/>
          <w:iCs/>
          <w:sz w:val="18"/>
          <w:szCs w:val="18"/>
          <w:lang w:eastAsia="en-US"/>
        </w:rPr>
        <w:t xml:space="preserve">uien </w:t>
      </w:r>
      <w:r w:rsidR="00515450" w:rsidRPr="0064597D">
        <w:rPr>
          <w:rFonts w:eastAsiaTheme="minorHAnsi" w:cs="Arial"/>
          <w:iCs/>
          <w:sz w:val="18"/>
          <w:szCs w:val="18"/>
          <w:lang w:eastAsia="en-US"/>
        </w:rPr>
        <w:t>[…]</w:t>
      </w:r>
      <w:r w:rsidRPr="0064597D">
        <w:rPr>
          <w:rFonts w:eastAsiaTheme="minorHAnsi" w:cs="Arial"/>
          <w:iCs/>
          <w:sz w:val="18"/>
          <w:szCs w:val="18"/>
          <w:lang w:eastAsia="en-US"/>
        </w:rPr>
        <w:t xml:space="preserve"> fue trasladado al Barrio Monja Blanca, Barberena, Santa Rosa, con el fin de ser ejecutado extrajudicialmente, hecho que efectivamente se materializó ese día a inmediaciones de dicho lugar, aproximadamente a las 18:00 horas, </w:t>
      </w:r>
      <w:r w:rsidR="00515450" w:rsidRPr="0064597D">
        <w:rPr>
          <w:rFonts w:eastAsiaTheme="minorHAnsi" w:cs="Arial"/>
          <w:iCs/>
          <w:sz w:val="18"/>
          <w:szCs w:val="18"/>
          <w:lang w:eastAsia="en-US"/>
        </w:rPr>
        <w:t>[…]</w:t>
      </w:r>
      <w:r w:rsidRPr="0064597D">
        <w:rPr>
          <w:rFonts w:eastAsiaTheme="minorHAnsi" w:cs="Arial"/>
          <w:iCs/>
          <w:sz w:val="18"/>
          <w:szCs w:val="18"/>
          <w:lang w:eastAsia="en-US"/>
        </w:rPr>
        <w:t xml:space="preserve"> ejecutado por integrantes del grupo criminal</w:t>
      </w:r>
      <w:r w:rsidR="00515450" w:rsidRPr="0064597D">
        <w:rPr>
          <w:rFonts w:eastAsiaTheme="minorHAnsi" w:cs="Arial"/>
          <w:iCs/>
          <w:sz w:val="18"/>
          <w:szCs w:val="18"/>
          <w:lang w:eastAsia="en-US"/>
        </w:rPr>
        <w:t>,</w:t>
      </w:r>
      <w:r w:rsidRPr="0064597D">
        <w:rPr>
          <w:rFonts w:eastAsiaTheme="minorHAnsi" w:cs="Arial"/>
          <w:iCs/>
          <w:sz w:val="18"/>
          <w:szCs w:val="18"/>
          <w:lang w:eastAsia="en-US"/>
        </w:rPr>
        <w:t xml:space="preserve"> </w:t>
      </w:r>
      <w:r w:rsidR="00515450" w:rsidRPr="0064597D">
        <w:rPr>
          <w:rFonts w:eastAsiaTheme="minorHAnsi" w:cs="Arial"/>
          <w:iCs/>
          <w:sz w:val="18"/>
          <w:szCs w:val="18"/>
          <w:lang w:eastAsia="en-US"/>
        </w:rPr>
        <w:t>[…]</w:t>
      </w:r>
      <w:r w:rsidRPr="0064597D">
        <w:rPr>
          <w:rFonts w:eastAsiaTheme="minorHAnsi" w:cs="Arial"/>
          <w:iCs/>
          <w:sz w:val="18"/>
          <w:szCs w:val="18"/>
          <w:lang w:eastAsia="en-US"/>
        </w:rPr>
        <w:t xml:space="preserve"> entre ellos el Comisario </w:t>
      </w:r>
      <w:r w:rsidR="00B07AF4" w:rsidRPr="0064597D">
        <w:rPr>
          <w:rFonts w:eastAsiaTheme="minorHAnsi" w:cs="Arial"/>
          <w:iCs/>
          <w:sz w:val="18"/>
          <w:szCs w:val="18"/>
          <w:lang w:eastAsia="en-US"/>
        </w:rPr>
        <w:t>[V.S.D.]</w:t>
      </w:r>
      <w:r w:rsidRPr="0064597D">
        <w:rPr>
          <w:rFonts w:eastAsiaTheme="minorHAnsi" w:cs="Arial"/>
          <w:iCs/>
          <w:sz w:val="18"/>
          <w:szCs w:val="18"/>
          <w:lang w:eastAsia="en-US"/>
        </w:rPr>
        <w:t xml:space="preserve">, </w:t>
      </w:r>
      <w:r w:rsidR="00B07AF4" w:rsidRPr="0064597D">
        <w:rPr>
          <w:rFonts w:eastAsiaTheme="minorHAnsi" w:cs="Arial"/>
          <w:iCs/>
          <w:sz w:val="18"/>
          <w:szCs w:val="18"/>
          <w:lang w:eastAsia="en-US"/>
        </w:rPr>
        <w:t>[V.M.R.G]</w:t>
      </w:r>
      <w:r w:rsidRPr="0064597D">
        <w:rPr>
          <w:rFonts w:eastAsiaTheme="minorHAnsi" w:cs="Arial"/>
          <w:iCs/>
          <w:sz w:val="18"/>
          <w:szCs w:val="18"/>
          <w:lang w:eastAsia="en-US"/>
        </w:rPr>
        <w:t xml:space="preserve"> y otras personas en proceso de individualización, […] procediendo previo a la ejecución a quitarle los grilletes y le permitieron que pudiera desplazarse unos metros en la vía pública </w:t>
      </w:r>
      <w:r w:rsidR="00515450" w:rsidRPr="0064597D">
        <w:rPr>
          <w:rFonts w:eastAsiaTheme="minorHAnsi" w:cs="Arial"/>
          <w:iCs/>
          <w:sz w:val="18"/>
          <w:szCs w:val="18"/>
          <w:lang w:eastAsia="en-US"/>
        </w:rPr>
        <w:t>[…]</w:t>
      </w:r>
      <w:r w:rsidRPr="0064597D">
        <w:rPr>
          <w:rFonts w:eastAsiaTheme="minorHAnsi" w:cs="Arial"/>
          <w:iCs/>
          <w:sz w:val="18"/>
          <w:szCs w:val="18"/>
          <w:lang w:eastAsia="en-US"/>
        </w:rPr>
        <w:t>,</w:t>
      </w:r>
      <w:r w:rsidRPr="0064597D">
        <w:rPr>
          <w:rFonts w:eastAsiaTheme="minorHAnsi" w:cs="Arial-ItalicMT"/>
          <w:iCs/>
          <w:sz w:val="18"/>
          <w:szCs w:val="18"/>
          <w:lang w:eastAsia="en-US"/>
        </w:rPr>
        <w:t xml:space="preserve"> esto con la finalidad de </w:t>
      </w:r>
      <w:r w:rsidRPr="0064597D">
        <w:rPr>
          <w:rFonts w:eastAsiaTheme="minorHAnsi" w:cs="Arial"/>
          <w:iCs/>
          <w:sz w:val="18"/>
          <w:szCs w:val="18"/>
          <w:lang w:eastAsia="en-US"/>
        </w:rPr>
        <w:t>simular que el prófugo había sido encontrado en el lugar y que derivado de su localización por las fuerzas de seguridad se generó un enfrentamiento armado</w:t>
      </w:r>
      <w:r w:rsidR="00480513" w:rsidRPr="0064597D">
        <w:rPr>
          <w:rFonts w:eastAsiaTheme="minorHAnsi" w:cs="Arial"/>
          <w:iCs/>
          <w:sz w:val="18"/>
          <w:szCs w:val="18"/>
          <w:lang w:eastAsia="en-US"/>
        </w:rPr>
        <w:t>”</w:t>
      </w:r>
      <w:r w:rsidRPr="0064597D">
        <w:rPr>
          <w:rStyle w:val="Refdenotaalpie"/>
          <w:rFonts w:eastAsiaTheme="minorHAnsi" w:cs="Arial"/>
          <w:iCs/>
          <w:sz w:val="18"/>
          <w:szCs w:val="18"/>
          <w:lang w:eastAsia="en-US"/>
        </w:rPr>
        <w:footnoteReference w:id="143"/>
      </w:r>
      <w:r w:rsidRPr="0064597D">
        <w:rPr>
          <w:rFonts w:eastAsiaTheme="minorHAnsi" w:cs="Arial"/>
          <w:iCs/>
          <w:sz w:val="18"/>
          <w:szCs w:val="18"/>
          <w:lang w:eastAsia="en-US"/>
        </w:rPr>
        <w:t xml:space="preserve">. </w:t>
      </w:r>
    </w:p>
    <w:p w14:paraId="7B20A672" w14:textId="77777777" w:rsidR="00C72AEF" w:rsidRPr="0064597D" w:rsidRDefault="00C72AEF" w:rsidP="00C72AEF">
      <w:pPr>
        <w:widowControl/>
        <w:tabs>
          <w:tab w:val="left" w:pos="9360"/>
        </w:tabs>
        <w:autoSpaceDE w:val="0"/>
        <w:autoSpaceDN w:val="0"/>
        <w:spacing w:line="240" w:lineRule="auto"/>
        <w:ind w:right="720"/>
        <w:textAlignment w:val="auto"/>
        <w:rPr>
          <w:rFonts w:eastAsiaTheme="minorHAnsi" w:cs="Arial"/>
          <w:iCs/>
          <w:sz w:val="18"/>
          <w:szCs w:val="18"/>
          <w:lang w:eastAsia="en-US"/>
        </w:rPr>
      </w:pPr>
    </w:p>
    <w:p w14:paraId="558E1020" w14:textId="77777777" w:rsidR="000E3A01" w:rsidRPr="0064597D" w:rsidRDefault="00577FD4" w:rsidP="000E3A01">
      <w:pPr>
        <w:numPr>
          <w:ilvl w:val="0"/>
          <w:numId w:val="1"/>
        </w:numPr>
        <w:tabs>
          <w:tab w:val="left" w:pos="567"/>
        </w:tabs>
        <w:spacing w:line="240" w:lineRule="auto"/>
        <w:ind w:left="0" w:firstLine="0"/>
        <w:rPr>
          <w:rFonts w:eastAsia="MS Mincho"/>
          <w:sz w:val="20"/>
          <w:szCs w:val="20"/>
          <w:lang w:eastAsia="en-US"/>
        </w:rPr>
      </w:pPr>
      <w:r w:rsidRPr="0064597D">
        <w:rPr>
          <w:sz w:val="20"/>
          <w:szCs w:val="20"/>
          <w:lang w:eastAsia="en-US"/>
        </w:rPr>
        <w:t>La FECI</w:t>
      </w:r>
      <w:r w:rsidR="00C72AEF" w:rsidRPr="0064597D">
        <w:rPr>
          <w:sz w:val="20"/>
          <w:szCs w:val="20"/>
          <w:lang w:eastAsia="en-US"/>
        </w:rPr>
        <w:t xml:space="preserve"> </w:t>
      </w:r>
      <w:r w:rsidRPr="0064597D">
        <w:rPr>
          <w:sz w:val="20"/>
          <w:szCs w:val="20"/>
          <w:lang w:eastAsia="en-US"/>
        </w:rPr>
        <w:t>afirmó</w:t>
      </w:r>
      <w:r w:rsidR="00C72AEF" w:rsidRPr="0064597D">
        <w:rPr>
          <w:sz w:val="20"/>
          <w:szCs w:val="20"/>
          <w:lang w:eastAsia="en-US"/>
        </w:rPr>
        <w:t xml:space="preserve"> además que la escena del crimen había sido alterada, para lo cual se colocó un arma de fuego </w:t>
      </w:r>
      <w:r w:rsidR="00C72AEF" w:rsidRPr="0064597D">
        <w:rPr>
          <w:rFonts w:eastAsia="Times" w:cs="Arial"/>
          <w:sz w:val="20"/>
          <w:szCs w:val="20"/>
        </w:rPr>
        <w:t>perteneciente</w:t>
      </w:r>
      <w:r w:rsidR="00C72AEF" w:rsidRPr="0064597D">
        <w:rPr>
          <w:sz w:val="20"/>
          <w:szCs w:val="20"/>
          <w:lang w:eastAsia="en-US"/>
        </w:rPr>
        <w:t xml:space="preserve"> al miembro de la Policía Nacional Civil Ervin Rolando Choto Casimiro, quien desde el 31 de octubre de 2005 hasta la fecha de la elaboración del documento se encontraba desaparecido</w:t>
      </w:r>
      <w:r w:rsidR="00C72AEF" w:rsidRPr="0064597D">
        <w:rPr>
          <w:rStyle w:val="Refdenotaalpie"/>
          <w:sz w:val="20"/>
          <w:szCs w:val="20"/>
          <w:lang w:eastAsia="en-US"/>
        </w:rPr>
        <w:footnoteReference w:id="144"/>
      </w:r>
      <w:r w:rsidR="00C72AEF" w:rsidRPr="0064597D">
        <w:rPr>
          <w:sz w:val="20"/>
          <w:szCs w:val="20"/>
          <w:lang w:eastAsia="en-US"/>
        </w:rPr>
        <w:t>. La Fiscalía añadió que se brindaron “declaraciones falsas” a los medios de comunicación en las que se indicó que la muerte del señor Ruiz Fuentes había sido producto de un enfrentamiento armado y se instruyó a quienes debían rendir los informes policiales para que hicieran constar la versión alternativa ofrecida por la policía</w:t>
      </w:r>
      <w:r w:rsidR="00C72AEF" w:rsidRPr="0064597D">
        <w:rPr>
          <w:rStyle w:val="Refdenotaalpie"/>
          <w:sz w:val="20"/>
          <w:szCs w:val="20"/>
          <w:lang w:eastAsia="en-US"/>
        </w:rPr>
        <w:footnoteReference w:id="145"/>
      </w:r>
      <w:r w:rsidR="00C72AEF" w:rsidRPr="0064597D">
        <w:rPr>
          <w:sz w:val="20"/>
          <w:szCs w:val="20"/>
          <w:lang w:eastAsia="en-US"/>
        </w:rPr>
        <w:t>.</w:t>
      </w:r>
      <w:r w:rsidRPr="0064597D">
        <w:rPr>
          <w:sz w:val="20"/>
          <w:szCs w:val="20"/>
          <w:lang w:eastAsia="en-US"/>
        </w:rPr>
        <w:t xml:space="preserve"> </w:t>
      </w:r>
      <w:r w:rsidR="00794183" w:rsidRPr="0064597D">
        <w:rPr>
          <w:sz w:val="20"/>
          <w:szCs w:val="20"/>
        </w:rPr>
        <w:t>Lo anterior</w:t>
      </w:r>
      <w:r w:rsidR="00EC67B3" w:rsidRPr="0064597D">
        <w:rPr>
          <w:sz w:val="20"/>
          <w:szCs w:val="20"/>
        </w:rPr>
        <w:t xml:space="preserve"> lleva a concluir a la Corte que </w:t>
      </w:r>
      <w:r w:rsidR="00ED69EA" w:rsidRPr="0064597D">
        <w:rPr>
          <w:sz w:val="20"/>
          <w:szCs w:val="20"/>
        </w:rPr>
        <w:t xml:space="preserve">las versiones brindadas por el Estado, </w:t>
      </w:r>
      <w:r w:rsidR="00DA01EF" w:rsidRPr="0064597D">
        <w:rPr>
          <w:sz w:val="20"/>
          <w:szCs w:val="20"/>
        </w:rPr>
        <w:t>además</w:t>
      </w:r>
      <w:r w:rsidR="00ED69EA" w:rsidRPr="0064597D">
        <w:rPr>
          <w:sz w:val="20"/>
          <w:szCs w:val="20"/>
        </w:rPr>
        <w:t xml:space="preserve"> de ser contradictorias, no se ven respaldadas por la prueba que obra en el expediente</w:t>
      </w:r>
      <w:r w:rsidR="00794183" w:rsidRPr="0064597D">
        <w:rPr>
          <w:sz w:val="20"/>
          <w:szCs w:val="20"/>
        </w:rPr>
        <w:t>.</w:t>
      </w:r>
      <w:r w:rsidR="004D498D" w:rsidRPr="0064597D">
        <w:rPr>
          <w:sz w:val="20"/>
          <w:szCs w:val="20"/>
        </w:rPr>
        <w:t xml:space="preserve"> </w:t>
      </w:r>
    </w:p>
    <w:p w14:paraId="0CC7CEC3" w14:textId="77777777" w:rsidR="000E3A01" w:rsidRPr="0064597D" w:rsidRDefault="000E3A01" w:rsidP="000E3A01">
      <w:pPr>
        <w:tabs>
          <w:tab w:val="left" w:pos="567"/>
        </w:tabs>
        <w:spacing w:line="240" w:lineRule="auto"/>
        <w:rPr>
          <w:rFonts w:eastAsia="MS Mincho"/>
          <w:sz w:val="20"/>
          <w:szCs w:val="20"/>
          <w:lang w:eastAsia="en-US"/>
        </w:rPr>
      </w:pPr>
    </w:p>
    <w:p w14:paraId="5CFBC162" w14:textId="654BC974" w:rsidR="00A91A39" w:rsidRPr="0064597D" w:rsidRDefault="00A91A39" w:rsidP="000E3A01">
      <w:pPr>
        <w:numPr>
          <w:ilvl w:val="0"/>
          <w:numId w:val="1"/>
        </w:numPr>
        <w:tabs>
          <w:tab w:val="left" w:pos="567"/>
        </w:tabs>
        <w:spacing w:line="240" w:lineRule="auto"/>
        <w:ind w:left="0" w:firstLine="0"/>
        <w:rPr>
          <w:rFonts w:eastAsia="MS Mincho"/>
          <w:sz w:val="20"/>
          <w:szCs w:val="20"/>
          <w:lang w:eastAsia="en-US"/>
        </w:rPr>
      </w:pPr>
      <w:r w:rsidRPr="0064597D">
        <w:rPr>
          <w:sz w:val="20"/>
          <w:szCs w:val="20"/>
        </w:rPr>
        <w:t>De lo expuesto, y en vista</w:t>
      </w:r>
      <w:r w:rsidR="009569E9" w:rsidRPr="0064597D">
        <w:rPr>
          <w:sz w:val="20"/>
          <w:szCs w:val="20"/>
        </w:rPr>
        <w:t xml:space="preserve"> </w:t>
      </w:r>
      <w:r w:rsidRPr="0064597D">
        <w:rPr>
          <w:sz w:val="20"/>
          <w:szCs w:val="20"/>
        </w:rPr>
        <w:t>de</w:t>
      </w:r>
      <w:r w:rsidR="00530469" w:rsidRPr="0064597D">
        <w:rPr>
          <w:sz w:val="20"/>
          <w:szCs w:val="20"/>
        </w:rPr>
        <w:t>:</w:t>
      </w:r>
      <w:r w:rsidRPr="0064597D">
        <w:rPr>
          <w:sz w:val="20"/>
          <w:szCs w:val="20"/>
        </w:rPr>
        <w:t xml:space="preserve"> </w:t>
      </w:r>
      <w:r w:rsidR="00E31B51" w:rsidRPr="0064597D">
        <w:rPr>
          <w:sz w:val="20"/>
          <w:szCs w:val="20"/>
        </w:rPr>
        <w:t xml:space="preserve">(i) que </w:t>
      </w:r>
      <w:r w:rsidR="00515450" w:rsidRPr="0064597D">
        <w:rPr>
          <w:sz w:val="20"/>
          <w:szCs w:val="20"/>
        </w:rPr>
        <w:t xml:space="preserve">la prueba pericial </w:t>
      </w:r>
      <w:r w:rsidRPr="0064597D">
        <w:rPr>
          <w:sz w:val="20"/>
          <w:szCs w:val="20"/>
        </w:rPr>
        <w:t>indica</w:t>
      </w:r>
      <w:r w:rsidR="00515450" w:rsidRPr="0064597D">
        <w:rPr>
          <w:sz w:val="20"/>
          <w:szCs w:val="20"/>
        </w:rPr>
        <w:t xml:space="preserve"> que </w:t>
      </w:r>
      <w:r w:rsidR="00E31B51" w:rsidRPr="0064597D">
        <w:rPr>
          <w:sz w:val="20"/>
          <w:szCs w:val="20"/>
        </w:rPr>
        <w:t xml:space="preserve">el disparo que presentaba el señor Ruiz fuentes en su ojo derecho fue realizado a corta distancia; (ii) que miembros del Comando Anti Secuestros de la </w:t>
      </w:r>
      <w:r w:rsidR="00537AAE" w:rsidRPr="0064597D">
        <w:rPr>
          <w:sz w:val="20"/>
          <w:szCs w:val="20"/>
        </w:rPr>
        <w:t xml:space="preserve">PNC </w:t>
      </w:r>
      <w:r w:rsidR="00E31B51" w:rsidRPr="0064597D">
        <w:rPr>
          <w:sz w:val="20"/>
          <w:szCs w:val="20"/>
        </w:rPr>
        <w:t xml:space="preserve">se encontraban en la escena del crimen a los pocos minutos de haberse producido la muerte del señor Ruiz Fuentes; (iii) </w:t>
      </w:r>
      <w:r w:rsidR="00E31B51" w:rsidRPr="0064597D">
        <w:rPr>
          <w:rFonts w:eastAsia="Verdana" w:cs="Verdana"/>
          <w:spacing w:val="3"/>
          <w:sz w:val="20"/>
          <w:szCs w:val="20"/>
          <w:lang w:val="es-ES"/>
        </w:rPr>
        <w:t>que la escena del crimen fue alterada</w:t>
      </w:r>
      <w:r w:rsidRPr="0064597D">
        <w:rPr>
          <w:rFonts w:eastAsia="Verdana" w:cs="Verdana"/>
          <w:spacing w:val="3"/>
          <w:sz w:val="20"/>
          <w:szCs w:val="20"/>
          <w:lang w:val="es-ES"/>
        </w:rPr>
        <w:t>;</w:t>
      </w:r>
      <w:r w:rsidR="00E31B51" w:rsidRPr="0064597D">
        <w:rPr>
          <w:rFonts w:eastAsia="Verdana" w:cs="Verdana"/>
          <w:spacing w:val="3"/>
          <w:sz w:val="20"/>
          <w:szCs w:val="20"/>
          <w:lang w:val="es-ES"/>
        </w:rPr>
        <w:t xml:space="preserve"> (</w:t>
      </w:r>
      <w:r w:rsidR="00C72AEF" w:rsidRPr="0064597D">
        <w:rPr>
          <w:rFonts w:eastAsia="Verdana" w:cs="Verdana"/>
          <w:spacing w:val="3"/>
          <w:sz w:val="20"/>
          <w:szCs w:val="20"/>
          <w:lang w:val="es-ES"/>
        </w:rPr>
        <w:t>i</w:t>
      </w:r>
      <w:r w:rsidR="00E31B51" w:rsidRPr="0064597D">
        <w:rPr>
          <w:rFonts w:eastAsia="Verdana" w:cs="Verdana"/>
          <w:spacing w:val="3"/>
          <w:sz w:val="20"/>
          <w:szCs w:val="20"/>
          <w:lang w:val="es-ES"/>
        </w:rPr>
        <w:t>v) las versiones contradictorias brindadas por el Estado a nivel interno, ante l</w:t>
      </w:r>
      <w:r w:rsidRPr="0064597D">
        <w:rPr>
          <w:rFonts w:eastAsia="Verdana" w:cs="Verdana"/>
          <w:spacing w:val="3"/>
          <w:sz w:val="20"/>
          <w:szCs w:val="20"/>
          <w:lang w:val="es-ES"/>
        </w:rPr>
        <w:t>a Comisión y ante este Tribunal;</w:t>
      </w:r>
      <w:r w:rsidR="00C72AEF" w:rsidRPr="0064597D">
        <w:rPr>
          <w:rFonts w:eastAsia="Verdana" w:cs="Verdana"/>
          <w:spacing w:val="3"/>
          <w:sz w:val="20"/>
          <w:szCs w:val="20"/>
          <w:lang w:val="es-ES"/>
        </w:rPr>
        <w:t xml:space="preserve"> </w:t>
      </w:r>
      <w:r w:rsidR="007B2C2E">
        <w:rPr>
          <w:rFonts w:eastAsia="Verdana" w:cs="Verdana"/>
          <w:spacing w:val="3"/>
          <w:sz w:val="20"/>
          <w:szCs w:val="20"/>
          <w:lang w:val="es-ES"/>
        </w:rPr>
        <w:t xml:space="preserve">y </w:t>
      </w:r>
      <w:r w:rsidR="00C72AEF" w:rsidRPr="0064597D">
        <w:rPr>
          <w:rFonts w:eastAsia="Verdana" w:cs="Verdana"/>
          <w:spacing w:val="3"/>
          <w:sz w:val="20"/>
          <w:szCs w:val="20"/>
          <w:lang w:val="es-ES"/>
        </w:rPr>
        <w:t xml:space="preserve">(v) la versión de los hechos </w:t>
      </w:r>
      <w:r w:rsidR="00515450" w:rsidRPr="0064597D">
        <w:rPr>
          <w:rFonts w:eastAsia="Verdana" w:cs="Verdana"/>
          <w:spacing w:val="3"/>
          <w:sz w:val="20"/>
          <w:szCs w:val="20"/>
          <w:lang w:val="es-ES"/>
        </w:rPr>
        <w:t>resultante de las investigaciones llevadas a cabo</w:t>
      </w:r>
      <w:r w:rsidR="00C72AEF" w:rsidRPr="0064597D">
        <w:rPr>
          <w:rFonts w:eastAsia="Verdana" w:cs="Verdana"/>
          <w:spacing w:val="3"/>
          <w:sz w:val="20"/>
          <w:szCs w:val="20"/>
          <w:lang w:val="es-ES"/>
        </w:rPr>
        <w:t xml:space="preserve"> por</w:t>
      </w:r>
      <w:r w:rsidR="00642788" w:rsidRPr="0064597D">
        <w:rPr>
          <w:rFonts w:eastAsia="Verdana" w:cs="Verdana"/>
          <w:spacing w:val="3"/>
          <w:sz w:val="20"/>
          <w:szCs w:val="20"/>
          <w:lang w:val="es-ES"/>
        </w:rPr>
        <w:t xml:space="preserve"> la </w:t>
      </w:r>
      <w:r w:rsidR="00E2284B" w:rsidRPr="0064597D">
        <w:rPr>
          <w:rFonts w:eastAsia="Verdana" w:cs="Verdana"/>
          <w:spacing w:val="3"/>
          <w:sz w:val="20"/>
          <w:szCs w:val="20"/>
          <w:lang w:val="es-ES"/>
        </w:rPr>
        <w:t xml:space="preserve">FECI, </w:t>
      </w:r>
      <w:r w:rsidR="009569E9" w:rsidRPr="0064597D">
        <w:rPr>
          <w:rFonts w:eastAsia="Verdana" w:cs="Verdana"/>
          <w:spacing w:val="3"/>
          <w:sz w:val="20"/>
          <w:szCs w:val="20"/>
          <w:lang w:val="es-ES"/>
        </w:rPr>
        <w:t>órgano estatal encargado de la investigación</w:t>
      </w:r>
      <w:r w:rsidR="00E2284B" w:rsidRPr="0064597D">
        <w:rPr>
          <w:rFonts w:eastAsia="Verdana" w:cs="Verdana"/>
          <w:spacing w:val="3"/>
          <w:sz w:val="20"/>
          <w:szCs w:val="20"/>
          <w:lang w:val="es-ES"/>
        </w:rPr>
        <w:t xml:space="preserve"> penal de la muerte del señor Ruiz Fuentes</w:t>
      </w:r>
      <w:r w:rsidRPr="0064597D">
        <w:rPr>
          <w:rFonts w:eastAsia="Verdana" w:cs="Verdana"/>
          <w:spacing w:val="3"/>
          <w:sz w:val="20"/>
          <w:szCs w:val="20"/>
          <w:lang w:val="es-ES"/>
        </w:rPr>
        <w:t>;</w:t>
      </w:r>
      <w:r w:rsidR="00C72AEF" w:rsidRPr="0064597D">
        <w:rPr>
          <w:rFonts w:eastAsia="Verdana" w:cs="Verdana"/>
          <w:spacing w:val="3"/>
          <w:sz w:val="20"/>
          <w:szCs w:val="20"/>
          <w:lang w:val="es-ES"/>
        </w:rPr>
        <w:t xml:space="preserve"> </w:t>
      </w:r>
      <w:r w:rsidR="00E31B51" w:rsidRPr="0064597D">
        <w:rPr>
          <w:rFonts w:eastAsia="Verdana" w:cs="Verdana"/>
          <w:spacing w:val="3"/>
          <w:sz w:val="20"/>
          <w:szCs w:val="20"/>
          <w:lang w:val="es-ES"/>
        </w:rPr>
        <w:t>la</w:t>
      </w:r>
      <w:r w:rsidR="00383B36" w:rsidRPr="0064597D">
        <w:rPr>
          <w:rFonts w:eastAsia="Verdana" w:cs="Verdana"/>
          <w:spacing w:val="28"/>
          <w:sz w:val="20"/>
          <w:szCs w:val="20"/>
          <w:lang w:val="es-ES"/>
        </w:rPr>
        <w:t xml:space="preserve"> </w:t>
      </w:r>
      <w:r w:rsidR="00383B36" w:rsidRPr="0064597D">
        <w:rPr>
          <w:rFonts w:eastAsia="Verdana" w:cs="Verdana"/>
          <w:sz w:val="20"/>
          <w:szCs w:val="20"/>
          <w:lang w:val="es-ES"/>
        </w:rPr>
        <w:t>C</w:t>
      </w:r>
      <w:r w:rsidR="00383B36" w:rsidRPr="0064597D">
        <w:rPr>
          <w:rFonts w:eastAsia="Verdana" w:cs="Verdana"/>
          <w:spacing w:val="-1"/>
          <w:sz w:val="20"/>
          <w:szCs w:val="20"/>
          <w:lang w:val="es-ES"/>
        </w:rPr>
        <w:t>or</w:t>
      </w:r>
      <w:r w:rsidR="00383B36" w:rsidRPr="0064597D">
        <w:rPr>
          <w:rFonts w:eastAsia="Verdana" w:cs="Verdana"/>
          <w:spacing w:val="1"/>
          <w:sz w:val="20"/>
          <w:szCs w:val="20"/>
          <w:lang w:val="es-ES"/>
        </w:rPr>
        <w:t>t</w:t>
      </w:r>
      <w:r w:rsidR="00383B36" w:rsidRPr="0064597D">
        <w:rPr>
          <w:rFonts w:eastAsia="Verdana" w:cs="Verdana"/>
          <w:sz w:val="20"/>
          <w:szCs w:val="20"/>
          <w:lang w:val="es-ES"/>
        </w:rPr>
        <w:t>e</w:t>
      </w:r>
      <w:r w:rsidR="00383B36" w:rsidRPr="0064597D">
        <w:rPr>
          <w:rFonts w:eastAsia="Verdana" w:cs="Verdana"/>
          <w:spacing w:val="24"/>
          <w:sz w:val="20"/>
          <w:szCs w:val="20"/>
          <w:lang w:val="es-ES"/>
        </w:rPr>
        <w:t xml:space="preserve"> </w:t>
      </w:r>
      <w:r w:rsidR="00383B36" w:rsidRPr="0064597D">
        <w:rPr>
          <w:rFonts w:eastAsia="Verdana" w:cs="Verdana"/>
          <w:sz w:val="20"/>
          <w:szCs w:val="20"/>
          <w:lang w:val="es-ES"/>
        </w:rPr>
        <w:t>c</w:t>
      </w:r>
      <w:r w:rsidR="00383B36" w:rsidRPr="0064597D">
        <w:rPr>
          <w:rFonts w:eastAsia="Verdana" w:cs="Verdana"/>
          <w:spacing w:val="-2"/>
          <w:sz w:val="20"/>
          <w:szCs w:val="20"/>
          <w:lang w:val="es-ES"/>
        </w:rPr>
        <w:t>o</w:t>
      </w:r>
      <w:r w:rsidR="00383B36" w:rsidRPr="0064597D">
        <w:rPr>
          <w:rFonts w:eastAsia="Verdana" w:cs="Verdana"/>
          <w:spacing w:val="1"/>
          <w:sz w:val="20"/>
          <w:szCs w:val="20"/>
          <w:lang w:val="es-ES"/>
        </w:rPr>
        <w:t>n</w:t>
      </w:r>
      <w:r w:rsidR="00383B36" w:rsidRPr="0064597D">
        <w:rPr>
          <w:rFonts w:eastAsia="Verdana" w:cs="Verdana"/>
          <w:sz w:val="20"/>
          <w:szCs w:val="20"/>
          <w:lang w:val="es-ES"/>
        </w:rPr>
        <w:t>s</w:t>
      </w:r>
      <w:r w:rsidR="00383B36" w:rsidRPr="0064597D">
        <w:rPr>
          <w:rFonts w:eastAsia="Verdana" w:cs="Verdana"/>
          <w:spacing w:val="2"/>
          <w:sz w:val="20"/>
          <w:szCs w:val="20"/>
          <w:lang w:val="es-ES"/>
        </w:rPr>
        <w:t>i</w:t>
      </w:r>
      <w:r w:rsidR="00383B36" w:rsidRPr="0064597D">
        <w:rPr>
          <w:rFonts w:eastAsia="Verdana" w:cs="Verdana"/>
          <w:spacing w:val="1"/>
          <w:sz w:val="20"/>
          <w:szCs w:val="20"/>
          <w:lang w:val="es-ES"/>
        </w:rPr>
        <w:t>d</w:t>
      </w:r>
      <w:r w:rsidR="00383B36" w:rsidRPr="0064597D">
        <w:rPr>
          <w:rFonts w:eastAsia="Verdana" w:cs="Verdana"/>
          <w:spacing w:val="-1"/>
          <w:sz w:val="20"/>
          <w:szCs w:val="20"/>
          <w:lang w:val="es-ES"/>
        </w:rPr>
        <w:t>er</w:t>
      </w:r>
      <w:r w:rsidR="00383B36" w:rsidRPr="0064597D">
        <w:rPr>
          <w:rFonts w:eastAsia="Verdana" w:cs="Verdana"/>
          <w:sz w:val="20"/>
          <w:szCs w:val="20"/>
          <w:lang w:val="es-ES"/>
        </w:rPr>
        <w:t>a</w:t>
      </w:r>
      <w:r w:rsidR="00EC67B3" w:rsidRPr="0064597D">
        <w:rPr>
          <w:rFonts w:eastAsia="Verdana" w:cs="Verdana"/>
          <w:sz w:val="20"/>
          <w:szCs w:val="20"/>
          <w:lang w:val="es-ES"/>
        </w:rPr>
        <w:t xml:space="preserve"> que</w:t>
      </w:r>
      <w:r w:rsidR="00383B36" w:rsidRPr="0064597D">
        <w:rPr>
          <w:rFonts w:eastAsia="Verdana" w:cs="Verdana"/>
          <w:sz w:val="20"/>
          <w:szCs w:val="20"/>
          <w:lang w:val="es-ES"/>
        </w:rPr>
        <w:t xml:space="preserve"> </w:t>
      </w:r>
      <w:r w:rsidR="00E31B51" w:rsidRPr="0064597D">
        <w:rPr>
          <w:rFonts w:eastAsia="Verdana" w:cs="Verdana"/>
          <w:sz w:val="20"/>
          <w:szCs w:val="20"/>
          <w:lang w:val="es-ES"/>
        </w:rPr>
        <w:t xml:space="preserve">la muerte del señor Ruiz Fuentes se produjo </w:t>
      </w:r>
      <w:r w:rsidRPr="0064597D">
        <w:rPr>
          <w:rFonts w:eastAsia="Verdana" w:cs="Verdana"/>
          <w:sz w:val="20"/>
          <w:szCs w:val="20"/>
          <w:lang w:val="es-ES"/>
        </w:rPr>
        <w:t>por</w:t>
      </w:r>
      <w:r w:rsidR="00E31B51" w:rsidRPr="0064597D">
        <w:rPr>
          <w:rFonts w:eastAsia="Verdana" w:cs="Verdana"/>
          <w:sz w:val="20"/>
          <w:szCs w:val="20"/>
          <w:lang w:val="es-ES"/>
        </w:rPr>
        <w:t xml:space="preserve"> agentes estatales</w:t>
      </w:r>
      <w:r w:rsidR="0015605B" w:rsidRPr="0064597D">
        <w:rPr>
          <w:rFonts w:eastAsia="Verdana" w:cs="Verdana"/>
          <w:sz w:val="20"/>
          <w:szCs w:val="20"/>
          <w:lang w:val="es-ES"/>
        </w:rPr>
        <w:t xml:space="preserve">. </w:t>
      </w:r>
    </w:p>
    <w:p w14:paraId="1746C2D7" w14:textId="77777777" w:rsidR="00A91A39" w:rsidRPr="0064597D" w:rsidRDefault="00A91A39" w:rsidP="00A91A39">
      <w:pPr>
        <w:tabs>
          <w:tab w:val="left" w:pos="567"/>
        </w:tabs>
        <w:spacing w:line="240" w:lineRule="auto"/>
        <w:rPr>
          <w:rFonts w:eastAsia="MS Mincho"/>
          <w:sz w:val="20"/>
          <w:szCs w:val="20"/>
          <w:lang w:eastAsia="en-US"/>
        </w:rPr>
      </w:pPr>
    </w:p>
    <w:p w14:paraId="56229017" w14:textId="48F664F7" w:rsidR="0087165E" w:rsidRPr="0064597D" w:rsidRDefault="0015605B" w:rsidP="0015605B">
      <w:pPr>
        <w:numPr>
          <w:ilvl w:val="0"/>
          <w:numId w:val="1"/>
        </w:numPr>
        <w:tabs>
          <w:tab w:val="left" w:pos="567"/>
        </w:tabs>
        <w:spacing w:line="240" w:lineRule="auto"/>
        <w:ind w:left="0" w:firstLine="0"/>
        <w:rPr>
          <w:rFonts w:eastAsia="MS Mincho"/>
          <w:sz w:val="20"/>
          <w:szCs w:val="20"/>
          <w:lang w:eastAsia="en-US"/>
        </w:rPr>
      </w:pPr>
      <w:r w:rsidRPr="0064597D">
        <w:rPr>
          <w:rFonts w:eastAsia="Verdana" w:cs="Verdana"/>
          <w:sz w:val="20"/>
          <w:szCs w:val="20"/>
          <w:lang w:val="es-ES"/>
        </w:rPr>
        <w:t>En consecuencia,</w:t>
      </w:r>
      <w:r w:rsidR="003B3E94" w:rsidRPr="0064597D">
        <w:rPr>
          <w:rFonts w:eastAsia="Verdana" w:cs="Verdana"/>
          <w:sz w:val="20"/>
          <w:szCs w:val="20"/>
          <w:lang w:val="es-ES"/>
        </w:rPr>
        <w:t xml:space="preserve"> </w:t>
      </w:r>
      <w:r w:rsidR="00461BC4" w:rsidRPr="0064597D">
        <w:rPr>
          <w:rFonts w:eastAsia="Verdana" w:cs="Verdana"/>
          <w:spacing w:val="1"/>
          <w:sz w:val="20"/>
          <w:szCs w:val="20"/>
          <w:lang w:val="es-ES"/>
        </w:rPr>
        <w:t xml:space="preserve">el Estado guatemalteco es responsable internacionalmente por </w:t>
      </w:r>
      <w:r w:rsidR="00E31B51" w:rsidRPr="0064597D">
        <w:rPr>
          <w:rFonts w:eastAsia="Verdana" w:cs="Verdana"/>
          <w:spacing w:val="1"/>
          <w:sz w:val="20"/>
          <w:szCs w:val="20"/>
          <w:lang w:val="es-ES"/>
        </w:rPr>
        <w:t>dicha</w:t>
      </w:r>
      <w:r w:rsidR="00461BC4" w:rsidRPr="0064597D">
        <w:rPr>
          <w:rFonts w:eastAsia="Verdana" w:cs="Verdana"/>
          <w:spacing w:val="1"/>
          <w:sz w:val="20"/>
          <w:szCs w:val="20"/>
          <w:lang w:val="es-ES"/>
        </w:rPr>
        <w:t xml:space="preserve"> muerte, en violación del derecho a la vida, de conformidad con lo establecido en el artículo 4.1</w:t>
      </w:r>
      <w:r w:rsidR="00B05E32" w:rsidRPr="0064597D">
        <w:rPr>
          <w:rFonts w:eastAsia="Verdana" w:cs="Verdana"/>
          <w:spacing w:val="1"/>
          <w:sz w:val="20"/>
          <w:szCs w:val="20"/>
          <w:lang w:val="es-ES"/>
        </w:rPr>
        <w:t xml:space="preserve"> de la Convención Americana</w:t>
      </w:r>
      <w:r w:rsidR="00461BC4" w:rsidRPr="0064597D">
        <w:rPr>
          <w:rFonts w:eastAsia="Verdana" w:cs="Verdana"/>
          <w:spacing w:val="1"/>
          <w:sz w:val="20"/>
          <w:szCs w:val="20"/>
          <w:lang w:val="es-ES"/>
        </w:rPr>
        <w:t xml:space="preserve"> en relación con lo dispuesto en el artículo 1.1 del mismo instrumento. </w:t>
      </w:r>
    </w:p>
    <w:p w14:paraId="00022A0B" w14:textId="77777777" w:rsidR="0087165E" w:rsidRPr="0064597D" w:rsidRDefault="0087165E" w:rsidP="0087165E">
      <w:pPr>
        <w:tabs>
          <w:tab w:val="left" w:pos="567"/>
        </w:tabs>
        <w:spacing w:line="240" w:lineRule="auto"/>
        <w:rPr>
          <w:rFonts w:eastAsia="MS Mincho"/>
          <w:sz w:val="20"/>
          <w:szCs w:val="20"/>
          <w:lang w:eastAsia="en-US"/>
        </w:rPr>
      </w:pPr>
    </w:p>
    <w:p w14:paraId="108CD738" w14:textId="0A6DEDD0" w:rsidR="00BB0091" w:rsidRPr="0064597D" w:rsidRDefault="00037672" w:rsidP="00FD5666">
      <w:pPr>
        <w:numPr>
          <w:ilvl w:val="0"/>
          <w:numId w:val="1"/>
        </w:numPr>
        <w:tabs>
          <w:tab w:val="left" w:pos="567"/>
        </w:tabs>
        <w:spacing w:line="240" w:lineRule="auto"/>
        <w:ind w:left="0" w:firstLine="0"/>
        <w:rPr>
          <w:rFonts w:eastAsia="MS Mincho"/>
          <w:sz w:val="20"/>
          <w:szCs w:val="20"/>
          <w:lang w:eastAsia="en-US"/>
        </w:rPr>
      </w:pPr>
      <w:r w:rsidRPr="0064597D">
        <w:rPr>
          <w:rFonts w:eastAsiaTheme="minorHAnsi" w:cs="Arial"/>
          <w:sz w:val="20"/>
          <w:szCs w:val="20"/>
        </w:rPr>
        <w:t xml:space="preserve">Por último, </w:t>
      </w:r>
      <w:r w:rsidR="006653BE" w:rsidRPr="0064597D">
        <w:rPr>
          <w:rFonts w:eastAsiaTheme="minorHAnsi" w:cs="Arial"/>
          <w:sz w:val="20"/>
          <w:szCs w:val="20"/>
        </w:rPr>
        <w:t xml:space="preserve">la Corte señala que </w:t>
      </w:r>
      <w:r w:rsidRPr="0064597D">
        <w:rPr>
          <w:rFonts w:eastAsiaTheme="minorHAnsi" w:cs="Arial"/>
          <w:sz w:val="20"/>
          <w:szCs w:val="20"/>
        </w:rPr>
        <w:t xml:space="preserve">los alegatos de </w:t>
      </w:r>
      <w:r w:rsidR="002269FD" w:rsidRPr="0064597D">
        <w:rPr>
          <w:rFonts w:eastAsiaTheme="minorHAnsi" w:cs="Arial"/>
          <w:sz w:val="20"/>
          <w:szCs w:val="20"/>
        </w:rPr>
        <w:t>las representantes</w:t>
      </w:r>
      <w:r w:rsidRPr="0064597D">
        <w:rPr>
          <w:rFonts w:eastAsiaTheme="minorHAnsi" w:cs="Arial"/>
          <w:sz w:val="20"/>
          <w:szCs w:val="20"/>
        </w:rPr>
        <w:t xml:space="preserve"> con respecto a </w:t>
      </w:r>
      <w:r w:rsidR="00075902" w:rsidRPr="0064597D">
        <w:rPr>
          <w:rFonts w:eastAsiaTheme="minorHAnsi" w:cs="Arial"/>
          <w:sz w:val="20"/>
          <w:szCs w:val="20"/>
        </w:rPr>
        <w:t>la violación del artículo 4 de la Convención Americana</w:t>
      </w:r>
      <w:r w:rsidR="00D84387" w:rsidRPr="0064597D">
        <w:rPr>
          <w:rFonts w:eastAsiaTheme="minorHAnsi" w:cs="Arial"/>
          <w:sz w:val="20"/>
          <w:szCs w:val="20"/>
        </w:rPr>
        <w:t>,</w:t>
      </w:r>
      <w:r w:rsidR="00075902" w:rsidRPr="0064597D">
        <w:rPr>
          <w:rFonts w:eastAsiaTheme="minorHAnsi" w:cs="Arial"/>
          <w:sz w:val="20"/>
          <w:szCs w:val="20"/>
        </w:rPr>
        <w:t xml:space="preserve"> así como del artículo 1.1 del mismo instrumento</w:t>
      </w:r>
      <w:r w:rsidR="00D84387" w:rsidRPr="0064597D">
        <w:rPr>
          <w:rFonts w:eastAsiaTheme="minorHAnsi" w:cs="Arial"/>
          <w:sz w:val="20"/>
          <w:szCs w:val="20"/>
        </w:rPr>
        <w:t>,</w:t>
      </w:r>
      <w:r w:rsidR="00075902" w:rsidRPr="0064597D">
        <w:rPr>
          <w:rFonts w:eastAsiaTheme="minorHAnsi" w:cs="Arial"/>
          <w:sz w:val="20"/>
          <w:szCs w:val="20"/>
        </w:rPr>
        <w:t xml:space="preserve"> por no haber investigado de manera seria y efectiva los hechos relacionados con la muerte del señor Ruiz Fuentes, </w:t>
      </w:r>
      <w:r w:rsidRPr="0064597D">
        <w:rPr>
          <w:rFonts w:eastAsiaTheme="minorHAnsi" w:cs="Arial"/>
          <w:sz w:val="20"/>
          <w:szCs w:val="20"/>
        </w:rPr>
        <w:t xml:space="preserve">serán analizados </w:t>
      </w:r>
      <w:r w:rsidR="006653BE" w:rsidRPr="0064597D">
        <w:rPr>
          <w:rFonts w:eastAsiaTheme="minorHAnsi" w:cs="Arial"/>
          <w:i/>
          <w:sz w:val="20"/>
          <w:szCs w:val="20"/>
        </w:rPr>
        <w:t>infra,</w:t>
      </w:r>
      <w:r w:rsidR="006653BE" w:rsidRPr="0064597D">
        <w:rPr>
          <w:rFonts w:eastAsiaTheme="minorHAnsi" w:cs="Arial"/>
          <w:sz w:val="20"/>
          <w:szCs w:val="20"/>
        </w:rPr>
        <w:t xml:space="preserve"> </w:t>
      </w:r>
      <w:r w:rsidRPr="0064597D">
        <w:rPr>
          <w:rFonts w:eastAsiaTheme="minorHAnsi" w:cs="Arial"/>
          <w:sz w:val="20"/>
          <w:szCs w:val="20"/>
        </w:rPr>
        <w:t>a la luz de las obligaciones convencionales dimanantes de los artículos 8 y 25</w:t>
      </w:r>
      <w:r w:rsidR="006653BE" w:rsidRPr="0064597D">
        <w:rPr>
          <w:rFonts w:eastAsiaTheme="minorHAnsi" w:cs="Arial"/>
          <w:sz w:val="20"/>
          <w:szCs w:val="20"/>
        </w:rPr>
        <w:t xml:space="preserve"> de la Convención Americana</w:t>
      </w:r>
      <w:r w:rsidR="0028652F" w:rsidRPr="0064597D">
        <w:rPr>
          <w:rFonts w:eastAsiaTheme="minorHAnsi" w:cs="Arial"/>
          <w:sz w:val="20"/>
          <w:szCs w:val="20"/>
        </w:rPr>
        <w:t xml:space="preserve"> (capítulo VIII-</w:t>
      </w:r>
      <w:r w:rsidR="00581B20" w:rsidRPr="0064597D">
        <w:rPr>
          <w:rFonts w:eastAsiaTheme="minorHAnsi" w:cs="Arial"/>
          <w:sz w:val="20"/>
          <w:szCs w:val="20"/>
        </w:rPr>
        <w:t>4</w:t>
      </w:r>
      <w:r w:rsidR="0028652F" w:rsidRPr="0064597D">
        <w:rPr>
          <w:rFonts w:eastAsiaTheme="minorHAnsi" w:cs="Arial"/>
          <w:sz w:val="20"/>
          <w:szCs w:val="20"/>
        </w:rPr>
        <w:t>)</w:t>
      </w:r>
      <w:r w:rsidR="006653BE" w:rsidRPr="0064597D">
        <w:rPr>
          <w:rFonts w:eastAsiaTheme="minorHAnsi" w:cs="Arial"/>
          <w:sz w:val="20"/>
          <w:szCs w:val="20"/>
        </w:rPr>
        <w:t>.</w:t>
      </w:r>
    </w:p>
    <w:p w14:paraId="062930A7" w14:textId="1CFFFAB1" w:rsidR="009E4F6C" w:rsidRPr="0064597D" w:rsidRDefault="009E4F6C" w:rsidP="002F4F08">
      <w:pPr>
        <w:pStyle w:val="Ttulo1"/>
        <w:rPr>
          <w:caps w:val="0"/>
        </w:rPr>
      </w:pPr>
      <w:bookmarkStart w:id="71" w:name="_Toc24014558"/>
      <w:r w:rsidRPr="0064597D">
        <w:rPr>
          <w:rStyle w:val="Ttulo1Car"/>
          <w:b/>
          <w:bCs/>
          <w:caps/>
          <w:snapToGrid w:val="0"/>
        </w:rPr>
        <w:lastRenderedPageBreak/>
        <w:t>VI</w:t>
      </w:r>
      <w:r w:rsidR="00EA52BD" w:rsidRPr="0064597D">
        <w:rPr>
          <w:rStyle w:val="Ttulo1Car"/>
          <w:b/>
          <w:bCs/>
          <w:caps/>
          <w:snapToGrid w:val="0"/>
        </w:rPr>
        <w:t>I</w:t>
      </w:r>
      <w:r w:rsidRPr="0064597D">
        <w:rPr>
          <w:rStyle w:val="Ttulo1Car"/>
          <w:b/>
          <w:bCs/>
          <w:caps/>
          <w:snapToGrid w:val="0"/>
        </w:rPr>
        <w:t>I</w:t>
      </w:r>
      <w:r w:rsidR="00F17DC3" w:rsidRPr="0064597D">
        <w:rPr>
          <w:rStyle w:val="Ttulo1Car"/>
          <w:b/>
          <w:bCs/>
          <w:caps/>
          <w:snapToGrid w:val="0"/>
        </w:rPr>
        <w:t>-</w:t>
      </w:r>
      <w:r w:rsidR="00832D41" w:rsidRPr="0064597D">
        <w:rPr>
          <w:rStyle w:val="Ttulo1Car"/>
          <w:b/>
          <w:bCs/>
          <w:caps/>
          <w:snapToGrid w:val="0"/>
        </w:rPr>
        <w:t>3</w:t>
      </w:r>
      <w:r w:rsidRPr="0064597D">
        <w:rPr>
          <w:rStyle w:val="Ttulo1Car"/>
          <w:b/>
          <w:bCs/>
          <w:caps/>
          <w:snapToGrid w:val="0"/>
        </w:rPr>
        <w:br/>
      </w:r>
      <w:r w:rsidR="00832D41" w:rsidRPr="0064597D">
        <w:rPr>
          <w:rStyle w:val="Ttulo1Car"/>
          <w:b/>
          <w:bCs/>
          <w:caps/>
          <w:snapToGrid w:val="0"/>
        </w:rPr>
        <w:t>DERECHO</w:t>
      </w:r>
      <w:r w:rsidRPr="0064597D">
        <w:rPr>
          <w:rStyle w:val="Ttulo1Car"/>
          <w:b/>
          <w:bCs/>
          <w:caps/>
          <w:snapToGrid w:val="0"/>
        </w:rPr>
        <w:t xml:space="preserve"> A </w:t>
      </w:r>
      <w:r w:rsidR="002831D5" w:rsidRPr="0064597D">
        <w:rPr>
          <w:rStyle w:val="Ttulo1Car"/>
          <w:b/>
          <w:bCs/>
          <w:caps/>
          <w:snapToGrid w:val="0"/>
        </w:rPr>
        <w:t xml:space="preserve">LA INTEGRIDAD </w:t>
      </w:r>
      <w:r w:rsidR="00832D41" w:rsidRPr="0064597D">
        <w:rPr>
          <w:rStyle w:val="Ttulo1Car"/>
          <w:b/>
          <w:bCs/>
          <w:caps/>
          <w:snapToGrid w:val="0"/>
        </w:rPr>
        <w:t>PERSONAL</w:t>
      </w:r>
      <w:r w:rsidR="004B460E" w:rsidRPr="0064597D">
        <w:rPr>
          <w:rStyle w:val="Ttulo1Car"/>
          <w:b/>
          <w:bCs/>
          <w:caps/>
          <w:snapToGrid w:val="0"/>
        </w:rPr>
        <w:t>, PROHIBICIÓN DE LA TORTURA Y OTROS TRATOS CRUELES, INHUMANOS O DEGRADANTES</w:t>
      </w:r>
      <w:r w:rsidR="001B7763" w:rsidRPr="0064597D">
        <w:rPr>
          <w:rStyle w:val="Refdenotaalpie"/>
        </w:rPr>
        <w:footnoteReference w:id="146"/>
      </w:r>
      <w:bookmarkEnd w:id="71"/>
      <w:r w:rsidR="00611331" w:rsidRPr="0064597D">
        <w:rPr>
          <w:rStyle w:val="Ttulo1Car"/>
          <w:b/>
          <w:bCs/>
          <w:caps/>
          <w:snapToGrid w:val="0"/>
        </w:rPr>
        <w:t xml:space="preserve"> </w:t>
      </w:r>
    </w:p>
    <w:p w14:paraId="753C17B5" w14:textId="77777777" w:rsidR="009E4F6C" w:rsidRPr="0064597D" w:rsidRDefault="009E4F6C" w:rsidP="00377181">
      <w:pPr>
        <w:pStyle w:val="Ttulo2"/>
      </w:pPr>
      <w:bookmarkStart w:id="72" w:name="_Toc24014559"/>
      <w:r w:rsidRPr="0064597D">
        <w:t>A.</w:t>
      </w:r>
      <w:r w:rsidRPr="0064597D">
        <w:tab/>
        <w:t>Argumentos de las partes y de la Comisión</w:t>
      </w:r>
      <w:bookmarkEnd w:id="72"/>
    </w:p>
    <w:p w14:paraId="002033D3" w14:textId="6E7DE42D" w:rsidR="00F17DC3" w:rsidRPr="0064597D" w:rsidRDefault="00040F1D" w:rsidP="00B92559">
      <w:pPr>
        <w:numPr>
          <w:ilvl w:val="0"/>
          <w:numId w:val="1"/>
        </w:numPr>
        <w:tabs>
          <w:tab w:val="left" w:pos="567"/>
        </w:tabs>
        <w:spacing w:line="240" w:lineRule="auto"/>
        <w:ind w:left="0" w:firstLine="0"/>
        <w:rPr>
          <w:sz w:val="20"/>
          <w:szCs w:val="20"/>
        </w:rPr>
      </w:pPr>
      <w:r w:rsidRPr="0064597D">
        <w:rPr>
          <w:sz w:val="20"/>
          <w:szCs w:val="20"/>
        </w:rPr>
        <w:t xml:space="preserve">La </w:t>
      </w:r>
      <w:r w:rsidRPr="0064597D">
        <w:rPr>
          <w:b/>
          <w:i/>
          <w:sz w:val="20"/>
          <w:szCs w:val="20"/>
        </w:rPr>
        <w:t>Comisión</w:t>
      </w:r>
      <w:r w:rsidRPr="0064597D">
        <w:rPr>
          <w:sz w:val="20"/>
          <w:szCs w:val="20"/>
        </w:rPr>
        <w:t xml:space="preserve"> </w:t>
      </w:r>
      <w:r w:rsidR="00B92559" w:rsidRPr="0064597D">
        <w:rPr>
          <w:sz w:val="20"/>
          <w:szCs w:val="20"/>
        </w:rPr>
        <w:t>sostuvo</w:t>
      </w:r>
      <w:r w:rsidR="00310B1C" w:rsidRPr="0064597D">
        <w:rPr>
          <w:sz w:val="20"/>
          <w:szCs w:val="20"/>
        </w:rPr>
        <w:t>, en primer lugar,</w:t>
      </w:r>
      <w:r w:rsidR="00B92559" w:rsidRPr="0064597D">
        <w:rPr>
          <w:sz w:val="20"/>
          <w:szCs w:val="20"/>
        </w:rPr>
        <w:t xml:space="preserve"> </w:t>
      </w:r>
      <w:r w:rsidR="00FA31D2" w:rsidRPr="0064597D">
        <w:rPr>
          <w:sz w:val="20"/>
          <w:szCs w:val="20"/>
        </w:rPr>
        <w:t xml:space="preserve">que </w:t>
      </w:r>
      <w:r w:rsidR="001028F3" w:rsidRPr="0064597D">
        <w:rPr>
          <w:sz w:val="20"/>
          <w:szCs w:val="20"/>
        </w:rPr>
        <w:t xml:space="preserve">en </w:t>
      </w:r>
      <w:r w:rsidR="00FA31D2" w:rsidRPr="0064597D">
        <w:rPr>
          <w:sz w:val="20"/>
          <w:szCs w:val="20"/>
        </w:rPr>
        <w:t>el período en el que el señor Ruiz Fuentes estuvo en el “corredor de la muerte”</w:t>
      </w:r>
      <w:r w:rsidR="001028F3" w:rsidRPr="0064597D">
        <w:rPr>
          <w:sz w:val="20"/>
          <w:szCs w:val="20"/>
        </w:rPr>
        <w:t xml:space="preserve"> se</w:t>
      </w:r>
      <w:r w:rsidR="00FA31D2" w:rsidRPr="0064597D">
        <w:rPr>
          <w:sz w:val="20"/>
          <w:szCs w:val="20"/>
        </w:rPr>
        <w:t xml:space="preserve"> violó su derecho a la integridad personal. </w:t>
      </w:r>
      <w:r w:rsidR="003B32D6" w:rsidRPr="0064597D">
        <w:rPr>
          <w:sz w:val="20"/>
          <w:szCs w:val="20"/>
        </w:rPr>
        <w:t>L</w:t>
      </w:r>
      <w:r w:rsidR="00FA31D2" w:rsidRPr="0064597D">
        <w:rPr>
          <w:sz w:val="20"/>
          <w:szCs w:val="20"/>
        </w:rPr>
        <w:t xml:space="preserve">a Comisión </w:t>
      </w:r>
      <w:r w:rsidR="00C91D7F" w:rsidRPr="0064597D">
        <w:rPr>
          <w:sz w:val="20"/>
          <w:szCs w:val="20"/>
        </w:rPr>
        <w:t>precisó que el</w:t>
      </w:r>
      <w:r w:rsidR="00FA31D2" w:rsidRPr="0064597D">
        <w:rPr>
          <w:sz w:val="20"/>
          <w:szCs w:val="20"/>
        </w:rPr>
        <w:t xml:space="preserve"> señor Ruiz Fuentes habría permanecido </w:t>
      </w:r>
      <w:r w:rsidR="00816387" w:rsidRPr="0064597D">
        <w:rPr>
          <w:sz w:val="20"/>
          <w:szCs w:val="20"/>
        </w:rPr>
        <w:t>“</w:t>
      </w:r>
      <w:r w:rsidR="00FA31D2" w:rsidRPr="0064597D">
        <w:rPr>
          <w:sz w:val="20"/>
          <w:szCs w:val="20"/>
        </w:rPr>
        <w:t>a la espera de su ejecución por más de 6 años y 5 meses”</w:t>
      </w:r>
      <w:r w:rsidR="00816387" w:rsidRPr="0064597D">
        <w:rPr>
          <w:sz w:val="20"/>
          <w:szCs w:val="20"/>
        </w:rPr>
        <w:t xml:space="preserve">, lo cual constituyó un trato cruel, inhumano y </w:t>
      </w:r>
      <w:r w:rsidR="001C45D9" w:rsidRPr="0064597D">
        <w:rPr>
          <w:sz w:val="20"/>
          <w:szCs w:val="20"/>
        </w:rPr>
        <w:t>degradante</w:t>
      </w:r>
      <w:r w:rsidR="00816387" w:rsidRPr="0064597D">
        <w:rPr>
          <w:sz w:val="20"/>
          <w:szCs w:val="20"/>
        </w:rPr>
        <w:t xml:space="preserve">. La Comisión concluyó que el Estado guatemalteco habría violado los artículos 5.1 y 5.2 de la Convención Americana, en relación con el artículo 1.1 del mismo instrumento, así como </w:t>
      </w:r>
      <w:r w:rsidR="002479A4" w:rsidRPr="0064597D">
        <w:rPr>
          <w:sz w:val="20"/>
          <w:szCs w:val="20"/>
        </w:rPr>
        <w:t xml:space="preserve">los artículos 1 y 6 de la CIPST. </w:t>
      </w:r>
      <w:r w:rsidR="00C138ED" w:rsidRPr="0064597D">
        <w:rPr>
          <w:bCs/>
          <w:sz w:val="20"/>
          <w:szCs w:val="20"/>
        </w:rPr>
        <w:t xml:space="preserve">En sus </w:t>
      </w:r>
      <w:r w:rsidR="000A154C" w:rsidRPr="0064597D">
        <w:rPr>
          <w:bCs/>
          <w:sz w:val="20"/>
          <w:szCs w:val="20"/>
        </w:rPr>
        <w:t>observaciones</w:t>
      </w:r>
      <w:r w:rsidR="00C138ED" w:rsidRPr="0064597D">
        <w:rPr>
          <w:bCs/>
          <w:sz w:val="20"/>
          <w:szCs w:val="20"/>
        </w:rPr>
        <w:t xml:space="preserve"> finales escrit</w:t>
      </w:r>
      <w:r w:rsidR="000A154C" w:rsidRPr="0064597D">
        <w:rPr>
          <w:bCs/>
          <w:sz w:val="20"/>
          <w:szCs w:val="20"/>
        </w:rPr>
        <w:t>a</w:t>
      </w:r>
      <w:r w:rsidR="00C138ED" w:rsidRPr="0064597D">
        <w:rPr>
          <w:bCs/>
          <w:sz w:val="20"/>
          <w:szCs w:val="20"/>
        </w:rPr>
        <w:t xml:space="preserve">s, la Comisión observó que, pese a que el Estado había argumentado en su contestación que la pena de muerte del señor Ruiz Fuentes fue conmutada, no se indicó la fecha en la que tal situación habría ocurrido, ni se aportó prueba documental que sustentara tal afirmación. </w:t>
      </w:r>
    </w:p>
    <w:p w14:paraId="6EA77F4A" w14:textId="77777777" w:rsidR="000E3A01" w:rsidRPr="0064597D" w:rsidRDefault="000E3A01" w:rsidP="000E3A01">
      <w:pPr>
        <w:tabs>
          <w:tab w:val="left" w:pos="567"/>
        </w:tabs>
        <w:spacing w:line="240" w:lineRule="auto"/>
        <w:rPr>
          <w:sz w:val="20"/>
          <w:szCs w:val="20"/>
        </w:rPr>
      </w:pPr>
    </w:p>
    <w:p w14:paraId="7BF8A521" w14:textId="2ACB3E48" w:rsidR="003049D9" w:rsidRPr="0064597D" w:rsidRDefault="00FC45EE" w:rsidP="00960A67">
      <w:pPr>
        <w:numPr>
          <w:ilvl w:val="0"/>
          <w:numId w:val="1"/>
        </w:numPr>
        <w:tabs>
          <w:tab w:val="left" w:pos="567"/>
        </w:tabs>
        <w:spacing w:line="240" w:lineRule="auto"/>
        <w:ind w:left="0" w:firstLine="0"/>
        <w:rPr>
          <w:sz w:val="20"/>
          <w:szCs w:val="20"/>
        </w:rPr>
      </w:pPr>
      <w:r w:rsidRPr="0064597D">
        <w:rPr>
          <w:sz w:val="20"/>
          <w:szCs w:val="20"/>
        </w:rPr>
        <w:t>En segundo lugar</w:t>
      </w:r>
      <w:r w:rsidR="00B92559" w:rsidRPr="0064597D">
        <w:rPr>
          <w:sz w:val="20"/>
          <w:szCs w:val="20"/>
        </w:rPr>
        <w:t xml:space="preserve">, la Comisión </w:t>
      </w:r>
      <w:r w:rsidRPr="0064597D">
        <w:rPr>
          <w:sz w:val="20"/>
          <w:szCs w:val="20"/>
        </w:rPr>
        <w:t>alegó</w:t>
      </w:r>
      <w:r w:rsidR="00B92559" w:rsidRPr="0064597D">
        <w:rPr>
          <w:sz w:val="20"/>
          <w:szCs w:val="20"/>
        </w:rPr>
        <w:t xml:space="preserve"> que </w:t>
      </w:r>
      <w:r w:rsidRPr="0064597D">
        <w:rPr>
          <w:sz w:val="20"/>
          <w:szCs w:val="20"/>
        </w:rPr>
        <w:t xml:space="preserve">el señor Ruiz Fuentes fue </w:t>
      </w:r>
      <w:r w:rsidR="00DB580D" w:rsidRPr="0064597D">
        <w:rPr>
          <w:sz w:val="20"/>
          <w:szCs w:val="20"/>
        </w:rPr>
        <w:t>sometido</w:t>
      </w:r>
      <w:r w:rsidRPr="0064597D">
        <w:rPr>
          <w:sz w:val="20"/>
          <w:szCs w:val="20"/>
        </w:rPr>
        <w:t xml:space="preserve"> a actos de tortura por miembros de la policía al momento de su detención el 6 de agosto de 1997.</w:t>
      </w:r>
      <w:r w:rsidR="00DB580D" w:rsidRPr="0064597D">
        <w:rPr>
          <w:sz w:val="20"/>
          <w:szCs w:val="20"/>
        </w:rPr>
        <w:t xml:space="preserve"> La Comisión consideró que</w:t>
      </w:r>
      <w:r w:rsidR="00C91D7F" w:rsidRPr="0064597D">
        <w:rPr>
          <w:sz w:val="20"/>
          <w:szCs w:val="20"/>
        </w:rPr>
        <w:t>,</w:t>
      </w:r>
      <w:r w:rsidR="00DB580D" w:rsidRPr="0064597D">
        <w:rPr>
          <w:sz w:val="20"/>
          <w:szCs w:val="20"/>
        </w:rPr>
        <w:t xml:space="preserve"> </w:t>
      </w:r>
      <w:r w:rsidR="009D587B" w:rsidRPr="0064597D">
        <w:rPr>
          <w:sz w:val="20"/>
          <w:szCs w:val="20"/>
        </w:rPr>
        <w:t>de los</w:t>
      </w:r>
      <w:r w:rsidR="00DB580D" w:rsidRPr="0064597D">
        <w:rPr>
          <w:sz w:val="20"/>
          <w:szCs w:val="20"/>
        </w:rPr>
        <w:t xml:space="preserve"> informes médicos </w:t>
      </w:r>
      <w:r w:rsidR="009D587B" w:rsidRPr="0064597D">
        <w:rPr>
          <w:sz w:val="20"/>
          <w:szCs w:val="20"/>
        </w:rPr>
        <w:t>aportados</w:t>
      </w:r>
      <w:r w:rsidR="004047D8" w:rsidRPr="0064597D">
        <w:rPr>
          <w:sz w:val="20"/>
          <w:szCs w:val="20"/>
        </w:rPr>
        <w:t xml:space="preserve"> al acervo probatorio</w:t>
      </w:r>
      <w:r w:rsidR="009D587B" w:rsidRPr="0064597D">
        <w:rPr>
          <w:sz w:val="20"/>
          <w:szCs w:val="20"/>
        </w:rPr>
        <w:t>, así como</w:t>
      </w:r>
      <w:r w:rsidR="004047D8" w:rsidRPr="0064597D">
        <w:rPr>
          <w:sz w:val="20"/>
          <w:szCs w:val="20"/>
        </w:rPr>
        <w:t xml:space="preserve"> de</w:t>
      </w:r>
      <w:r w:rsidR="009D587B" w:rsidRPr="0064597D">
        <w:rPr>
          <w:sz w:val="20"/>
          <w:szCs w:val="20"/>
        </w:rPr>
        <w:t xml:space="preserve"> la declaración brindada por el señor Ruiz Fuentes el 29 de abril de 1999</w:t>
      </w:r>
      <w:r w:rsidR="009D587B" w:rsidRPr="0064597D">
        <w:rPr>
          <w:rStyle w:val="Refdenotaalpie"/>
          <w:sz w:val="20"/>
          <w:szCs w:val="20"/>
        </w:rPr>
        <w:footnoteReference w:id="147"/>
      </w:r>
      <w:r w:rsidR="009D587B" w:rsidRPr="0064597D">
        <w:rPr>
          <w:sz w:val="20"/>
          <w:szCs w:val="20"/>
        </w:rPr>
        <w:t xml:space="preserve"> resulta claro que éste sufrió lesiones en el contexto de su detención. El señor Ruiz Fuentes estaba ba</w:t>
      </w:r>
      <w:r w:rsidR="008755AD" w:rsidRPr="0064597D">
        <w:rPr>
          <w:sz w:val="20"/>
          <w:szCs w:val="20"/>
        </w:rPr>
        <w:t>jo custodia del Estado, por lo c</w:t>
      </w:r>
      <w:r w:rsidR="009D587B" w:rsidRPr="0064597D">
        <w:rPr>
          <w:sz w:val="20"/>
          <w:szCs w:val="20"/>
        </w:rPr>
        <w:t xml:space="preserve">ual </w:t>
      </w:r>
      <w:r w:rsidR="00C91D7F" w:rsidRPr="0064597D">
        <w:rPr>
          <w:sz w:val="20"/>
          <w:szCs w:val="20"/>
        </w:rPr>
        <w:t>era</w:t>
      </w:r>
      <w:r w:rsidR="009D587B" w:rsidRPr="0064597D">
        <w:rPr>
          <w:sz w:val="20"/>
          <w:szCs w:val="20"/>
        </w:rPr>
        <w:t xml:space="preserve"> aplicable el estándar sobre l</w:t>
      </w:r>
      <w:r w:rsidR="00C138ED" w:rsidRPr="0064597D">
        <w:rPr>
          <w:sz w:val="20"/>
          <w:szCs w:val="20"/>
        </w:rPr>
        <w:t>a</w:t>
      </w:r>
      <w:r w:rsidR="009D587B" w:rsidRPr="0064597D">
        <w:rPr>
          <w:sz w:val="20"/>
          <w:szCs w:val="20"/>
        </w:rPr>
        <w:t xml:space="preserve"> necesidad de que el Estado ofrezca una explicación creíble sobre el origen de las afectaciones a la integridad personal. </w:t>
      </w:r>
    </w:p>
    <w:p w14:paraId="0CE3E8BD" w14:textId="77777777" w:rsidR="003C5569" w:rsidRPr="0064597D" w:rsidRDefault="003C5569" w:rsidP="003C5569">
      <w:pPr>
        <w:tabs>
          <w:tab w:val="left" w:pos="567"/>
        </w:tabs>
        <w:spacing w:line="240" w:lineRule="auto"/>
        <w:rPr>
          <w:sz w:val="20"/>
          <w:szCs w:val="20"/>
        </w:rPr>
      </w:pPr>
    </w:p>
    <w:p w14:paraId="77AB73CF" w14:textId="56B87DDB" w:rsidR="00B92559" w:rsidRPr="0064597D" w:rsidRDefault="00C91D7F" w:rsidP="002961B3">
      <w:pPr>
        <w:widowControl/>
        <w:numPr>
          <w:ilvl w:val="0"/>
          <w:numId w:val="1"/>
        </w:numPr>
        <w:tabs>
          <w:tab w:val="left" w:pos="567"/>
        </w:tabs>
        <w:autoSpaceDE w:val="0"/>
        <w:autoSpaceDN w:val="0"/>
        <w:spacing w:line="240" w:lineRule="auto"/>
        <w:ind w:left="0" w:firstLine="0"/>
        <w:textAlignment w:val="auto"/>
        <w:rPr>
          <w:rFonts w:eastAsiaTheme="minorHAnsi" w:cs="Verdana"/>
          <w:sz w:val="20"/>
          <w:szCs w:val="20"/>
          <w:lang w:eastAsia="en-US"/>
        </w:rPr>
      </w:pPr>
      <w:r w:rsidRPr="0064597D">
        <w:rPr>
          <w:sz w:val="20"/>
          <w:szCs w:val="20"/>
        </w:rPr>
        <w:t>En cuanto al sometimiento del señor Ruiz Fuentes al “corredor de la muerte”</w:t>
      </w:r>
      <w:r w:rsidR="002961B3" w:rsidRPr="0064597D">
        <w:rPr>
          <w:sz w:val="20"/>
          <w:szCs w:val="20"/>
        </w:rPr>
        <w:t xml:space="preserve"> y a los alegados actos de tortura</w:t>
      </w:r>
      <w:r w:rsidRPr="0064597D">
        <w:rPr>
          <w:sz w:val="20"/>
          <w:szCs w:val="20"/>
        </w:rPr>
        <w:t>, las</w:t>
      </w:r>
      <w:r w:rsidRPr="0064597D">
        <w:rPr>
          <w:b/>
          <w:i/>
          <w:sz w:val="20"/>
          <w:szCs w:val="20"/>
        </w:rPr>
        <w:t xml:space="preserve"> representantes</w:t>
      </w:r>
      <w:r w:rsidRPr="0064597D">
        <w:rPr>
          <w:sz w:val="20"/>
          <w:szCs w:val="20"/>
        </w:rPr>
        <w:t xml:space="preserve"> coincidieron con los alegatos de la Comisión.</w:t>
      </w:r>
      <w:r w:rsidR="00DD4469">
        <w:rPr>
          <w:sz w:val="20"/>
          <w:szCs w:val="20"/>
        </w:rPr>
        <w:t xml:space="preserve"> </w:t>
      </w:r>
    </w:p>
    <w:p w14:paraId="0786D65F" w14:textId="77777777" w:rsidR="00F17DC3" w:rsidRPr="0064597D" w:rsidRDefault="00F17DC3" w:rsidP="00F17DC3">
      <w:pPr>
        <w:tabs>
          <w:tab w:val="left" w:pos="567"/>
        </w:tabs>
        <w:spacing w:line="240" w:lineRule="auto"/>
        <w:rPr>
          <w:b/>
          <w:sz w:val="20"/>
          <w:szCs w:val="20"/>
        </w:rPr>
      </w:pPr>
    </w:p>
    <w:p w14:paraId="0FA4E663" w14:textId="44422934" w:rsidR="00C91D7F" w:rsidRPr="0064597D" w:rsidRDefault="00C91D7F" w:rsidP="002A2BD7">
      <w:pPr>
        <w:numPr>
          <w:ilvl w:val="0"/>
          <w:numId w:val="1"/>
        </w:numPr>
        <w:tabs>
          <w:tab w:val="left" w:pos="567"/>
        </w:tabs>
        <w:spacing w:line="240" w:lineRule="auto"/>
        <w:ind w:left="0" w:firstLine="0"/>
        <w:rPr>
          <w:sz w:val="20"/>
          <w:szCs w:val="20"/>
        </w:rPr>
      </w:pPr>
      <w:r w:rsidRPr="0064597D">
        <w:rPr>
          <w:sz w:val="20"/>
          <w:szCs w:val="20"/>
        </w:rPr>
        <w:t xml:space="preserve">En cuanto al sometimiento del señor Ruiz Fuentes al “corredor de la muerte”, el </w:t>
      </w:r>
      <w:r w:rsidRPr="0064597D">
        <w:rPr>
          <w:b/>
          <w:i/>
          <w:sz w:val="20"/>
          <w:szCs w:val="20"/>
        </w:rPr>
        <w:t>Estado</w:t>
      </w:r>
      <w:r w:rsidRPr="0064597D">
        <w:rPr>
          <w:sz w:val="20"/>
          <w:szCs w:val="20"/>
        </w:rPr>
        <w:t xml:space="preserve"> alegó que la pena de muerte fue conmutada por la pena </w:t>
      </w:r>
      <w:r w:rsidR="000E3A01" w:rsidRPr="0064597D">
        <w:rPr>
          <w:sz w:val="20"/>
          <w:szCs w:val="20"/>
        </w:rPr>
        <w:t>máxima de privación de libertad.</w:t>
      </w:r>
    </w:p>
    <w:p w14:paraId="3E2AA007" w14:textId="77777777" w:rsidR="002961B3" w:rsidRPr="0064597D" w:rsidRDefault="002961B3" w:rsidP="002961B3">
      <w:pPr>
        <w:tabs>
          <w:tab w:val="left" w:pos="567"/>
        </w:tabs>
        <w:spacing w:line="240" w:lineRule="auto"/>
        <w:rPr>
          <w:sz w:val="20"/>
          <w:szCs w:val="20"/>
        </w:rPr>
      </w:pPr>
    </w:p>
    <w:p w14:paraId="0A2B8634" w14:textId="585108DB" w:rsidR="0044766C" w:rsidRPr="0064597D" w:rsidRDefault="00C91D7F" w:rsidP="00FD5666">
      <w:pPr>
        <w:numPr>
          <w:ilvl w:val="0"/>
          <w:numId w:val="1"/>
        </w:numPr>
        <w:tabs>
          <w:tab w:val="left" w:pos="567"/>
        </w:tabs>
        <w:spacing w:line="240" w:lineRule="auto"/>
        <w:ind w:left="0" w:firstLine="0"/>
        <w:rPr>
          <w:sz w:val="20"/>
          <w:szCs w:val="20"/>
        </w:rPr>
      </w:pPr>
      <w:r w:rsidRPr="0064597D">
        <w:rPr>
          <w:sz w:val="20"/>
          <w:szCs w:val="20"/>
        </w:rPr>
        <w:t>C</w:t>
      </w:r>
      <w:r w:rsidR="00975B71" w:rsidRPr="0064597D">
        <w:rPr>
          <w:sz w:val="20"/>
          <w:szCs w:val="20"/>
        </w:rPr>
        <w:t>on respecto a las lesiones sufridas por el señor Ruiz Fuentes al momento de su detención el 6 de agosto de 1997</w:t>
      </w:r>
      <w:r w:rsidR="00D84387" w:rsidRPr="0064597D">
        <w:rPr>
          <w:sz w:val="20"/>
          <w:szCs w:val="20"/>
        </w:rPr>
        <w:t>,</w:t>
      </w:r>
      <w:r w:rsidR="00975B71" w:rsidRPr="0064597D">
        <w:rPr>
          <w:sz w:val="20"/>
          <w:szCs w:val="20"/>
        </w:rPr>
        <w:t xml:space="preserve"> </w:t>
      </w:r>
      <w:r w:rsidRPr="0064597D">
        <w:rPr>
          <w:sz w:val="20"/>
          <w:szCs w:val="20"/>
        </w:rPr>
        <w:t xml:space="preserve">el Estado arguyó </w:t>
      </w:r>
      <w:r w:rsidR="00975B71" w:rsidRPr="0064597D">
        <w:rPr>
          <w:sz w:val="20"/>
          <w:szCs w:val="20"/>
        </w:rPr>
        <w:t>que las mismas se produjeron cuando la víctima intentó evadir a la justicia y huir, lanzándose por un barranco. El Estado añadió que en ningún momento se ha comprobado que las lesiones sufridas fueron producto de actos ocasionados por agentes de seguridad del Estado.</w:t>
      </w:r>
      <w:r w:rsidR="00C87578" w:rsidRPr="0064597D">
        <w:rPr>
          <w:sz w:val="20"/>
          <w:szCs w:val="20"/>
        </w:rPr>
        <w:t xml:space="preserve"> </w:t>
      </w:r>
      <w:r w:rsidR="0022660A" w:rsidRPr="0064597D">
        <w:rPr>
          <w:sz w:val="20"/>
          <w:szCs w:val="20"/>
        </w:rPr>
        <w:t>El Estado recalcó que señor Ruiz Fuente</w:t>
      </w:r>
      <w:r w:rsidR="00D84387" w:rsidRPr="0064597D">
        <w:rPr>
          <w:sz w:val="20"/>
          <w:szCs w:val="20"/>
        </w:rPr>
        <w:t>s</w:t>
      </w:r>
      <w:r w:rsidR="0022660A" w:rsidRPr="0064597D">
        <w:rPr>
          <w:sz w:val="20"/>
          <w:szCs w:val="20"/>
        </w:rPr>
        <w:t xml:space="preserve"> mostró oposición en el momento de su captura, tratando de huir, a raíz de la cual sufrió diversas lesiones.</w:t>
      </w:r>
      <w:r w:rsidR="004C7F14" w:rsidRPr="0064597D">
        <w:rPr>
          <w:b/>
          <w:sz w:val="20"/>
          <w:szCs w:val="20"/>
        </w:rPr>
        <w:t xml:space="preserve"> </w:t>
      </w:r>
      <w:r w:rsidR="00107A54" w:rsidRPr="0064597D">
        <w:rPr>
          <w:sz w:val="20"/>
          <w:szCs w:val="20"/>
        </w:rPr>
        <w:t xml:space="preserve">Indicó además que no obra en el expediente requerimiento alguno de la aplicación del </w:t>
      </w:r>
      <w:r w:rsidR="00107A54" w:rsidRPr="0064597D">
        <w:rPr>
          <w:i/>
          <w:sz w:val="20"/>
          <w:szCs w:val="20"/>
        </w:rPr>
        <w:t>habeas corpus</w:t>
      </w:r>
      <w:r w:rsidR="00107A54" w:rsidRPr="0064597D">
        <w:rPr>
          <w:sz w:val="20"/>
          <w:szCs w:val="20"/>
        </w:rPr>
        <w:t xml:space="preserve"> que permitiera constatar las supuestas violaciones ocasionadas por agentes de seguridad del Estado. </w:t>
      </w:r>
    </w:p>
    <w:p w14:paraId="0B8A2287" w14:textId="77777777" w:rsidR="009E4F6C" w:rsidRPr="0064597D" w:rsidRDefault="009E4F6C" w:rsidP="00377181">
      <w:pPr>
        <w:pStyle w:val="Ttulo2"/>
      </w:pPr>
      <w:bookmarkStart w:id="73" w:name="_Toc24014560"/>
      <w:r w:rsidRPr="0064597D">
        <w:t>B.</w:t>
      </w:r>
      <w:r w:rsidRPr="0064597D">
        <w:tab/>
        <w:t>Consideraciones de la Corte</w:t>
      </w:r>
      <w:bookmarkEnd w:id="73"/>
    </w:p>
    <w:p w14:paraId="4202879A" w14:textId="77777777" w:rsidR="006B3C01" w:rsidRPr="0064597D" w:rsidRDefault="006B3C01" w:rsidP="006B3C01">
      <w:pPr>
        <w:numPr>
          <w:ilvl w:val="0"/>
          <w:numId w:val="1"/>
        </w:numPr>
        <w:tabs>
          <w:tab w:val="left" w:pos="567"/>
        </w:tabs>
        <w:spacing w:line="240" w:lineRule="auto"/>
        <w:ind w:left="0" w:firstLine="0"/>
        <w:rPr>
          <w:sz w:val="20"/>
          <w:szCs w:val="20"/>
          <w:lang w:eastAsia="en-US"/>
        </w:rPr>
      </w:pPr>
      <w:r w:rsidRPr="0064597D">
        <w:rPr>
          <w:sz w:val="20"/>
          <w:szCs w:val="20"/>
        </w:rPr>
        <w:t xml:space="preserve">La Corte recuerda que </w:t>
      </w:r>
      <w:r w:rsidRPr="0064597D">
        <w:rPr>
          <w:sz w:val="20"/>
          <w:szCs w:val="20"/>
          <w:lang w:eastAsia="en-US"/>
        </w:rPr>
        <w:t xml:space="preserve">el artículo 5.1 de la Convención consagra en términos generales el derecho a la </w:t>
      </w:r>
      <w:r w:rsidRPr="0064597D">
        <w:rPr>
          <w:sz w:val="20"/>
          <w:szCs w:val="20"/>
        </w:rPr>
        <w:t>integridad</w:t>
      </w:r>
      <w:r w:rsidRPr="0064597D">
        <w:rPr>
          <w:sz w:val="20"/>
          <w:szCs w:val="20"/>
          <w:lang w:eastAsia="en-US"/>
        </w:rPr>
        <w:t xml:space="preserve"> </w:t>
      </w:r>
      <w:r w:rsidRPr="0064597D">
        <w:rPr>
          <w:sz w:val="20"/>
          <w:szCs w:val="20"/>
        </w:rPr>
        <w:t>personal</w:t>
      </w:r>
      <w:r w:rsidRPr="0064597D">
        <w:rPr>
          <w:sz w:val="20"/>
          <w:szCs w:val="20"/>
          <w:lang w:eastAsia="en-US"/>
        </w:rPr>
        <w:t>, tanto física como psíquica y moral. Por su parte, el artículo 5.2 establece, de manera más específica, la prohibición absoluta de someter a alguien a torturas o a penas o tratos crueles, inhumanos o degradantes. Asimismo, se ha reconocido que l</w:t>
      </w:r>
      <w:r w:rsidRPr="0064597D">
        <w:rPr>
          <w:sz w:val="20"/>
          <w:szCs w:val="20"/>
        </w:rPr>
        <w:t xml:space="preserve">a prohibición absoluta de la tortura, tanto física como psicológica, pertenece hoy día al dominio del </w:t>
      </w:r>
      <w:r w:rsidRPr="0064597D">
        <w:rPr>
          <w:i/>
          <w:sz w:val="20"/>
          <w:szCs w:val="20"/>
        </w:rPr>
        <w:t xml:space="preserve">jus cogens </w:t>
      </w:r>
      <w:r w:rsidRPr="0064597D">
        <w:rPr>
          <w:sz w:val="20"/>
          <w:szCs w:val="20"/>
        </w:rPr>
        <w:t>internacional</w:t>
      </w:r>
      <w:r w:rsidRPr="0064597D">
        <w:rPr>
          <w:sz w:val="20"/>
          <w:szCs w:val="20"/>
          <w:vertAlign w:val="superscript"/>
        </w:rPr>
        <w:footnoteReference w:id="148"/>
      </w:r>
      <w:r w:rsidRPr="0064597D">
        <w:rPr>
          <w:sz w:val="20"/>
          <w:szCs w:val="20"/>
        </w:rPr>
        <w:t>.</w:t>
      </w:r>
    </w:p>
    <w:p w14:paraId="7618EBF8" w14:textId="77777777" w:rsidR="006B3C01" w:rsidRPr="0064597D" w:rsidRDefault="006B3C01" w:rsidP="006B3C01">
      <w:pPr>
        <w:tabs>
          <w:tab w:val="left" w:pos="567"/>
        </w:tabs>
        <w:spacing w:line="240" w:lineRule="auto"/>
        <w:rPr>
          <w:sz w:val="20"/>
          <w:szCs w:val="20"/>
          <w:lang w:eastAsia="en-US"/>
        </w:rPr>
      </w:pPr>
    </w:p>
    <w:p w14:paraId="35217ECF" w14:textId="670ACFE9" w:rsidR="006B3C01" w:rsidRPr="0064597D" w:rsidRDefault="006B3C01" w:rsidP="006B3C01">
      <w:pPr>
        <w:numPr>
          <w:ilvl w:val="0"/>
          <w:numId w:val="1"/>
        </w:numPr>
        <w:tabs>
          <w:tab w:val="left" w:pos="567"/>
        </w:tabs>
        <w:spacing w:line="240" w:lineRule="auto"/>
        <w:ind w:left="0" w:firstLine="0"/>
        <w:rPr>
          <w:b/>
          <w:i/>
          <w:sz w:val="20"/>
          <w:szCs w:val="20"/>
          <w:lang w:eastAsia="en-US"/>
        </w:rPr>
      </w:pPr>
      <w:r w:rsidRPr="0064597D">
        <w:rPr>
          <w:rFonts w:eastAsia="Batang"/>
          <w:spacing w:val="-2"/>
          <w:sz w:val="20"/>
          <w:szCs w:val="20"/>
        </w:rPr>
        <w:t>La Corte</w:t>
      </w:r>
      <w:r w:rsidR="00C560F7">
        <w:rPr>
          <w:rFonts w:eastAsia="Batang"/>
          <w:spacing w:val="-2"/>
          <w:sz w:val="20"/>
          <w:szCs w:val="20"/>
        </w:rPr>
        <w:t xml:space="preserve"> también</w:t>
      </w:r>
      <w:r w:rsidRPr="0064597D">
        <w:rPr>
          <w:rFonts w:eastAsia="Batang"/>
          <w:spacing w:val="-2"/>
          <w:sz w:val="20"/>
          <w:szCs w:val="20"/>
        </w:rPr>
        <w:t xml:space="preserve"> ha señalado que la violación del derecho a la integridad física y psíquica de las personas tiene diversas connotaciones de grado y que abarca desde la tortura hasta otro tipo de vejámenes o </w:t>
      </w:r>
      <w:r w:rsidRPr="0064597D">
        <w:rPr>
          <w:sz w:val="20"/>
          <w:szCs w:val="20"/>
          <w:lang w:eastAsia="en-US"/>
        </w:rPr>
        <w:t>tratos</w:t>
      </w:r>
      <w:r w:rsidRPr="0064597D">
        <w:rPr>
          <w:rFonts w:eastAsia="Batang"/>
          <w:spacing w:val="-2"/>
          <w:sz w:val="20"/>
          <w:szCs w:val="20"/>
        </w:rPr>
        <w:t xml:space="preserve">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64597D">
        <w:rPr>
          <w:rFonts w:eastAsia="Batang"/>
          <w:sz w:val="20"/>
          <w:szCs w:val="20"/>
          <w:vertAlign w:val="superscript"/>
          <w:lang w:bidi="en-US"/>
        </w:rPr>
        <w:footnoteReference w:id="149"/>
      </w:r>
      <w:r w:rsidRPr="0064597D">
        <w:rPr>
          <w:rFonts w:eastAsia="Batang"/>
          <w:spacing w:val="-2"/>
          <w:sz w:val="20"/>
          <w:szCs w:val="20"/>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64597D">
        <w:rPr>
          <w:rFonts w:eastAsia="Batang"/>
          <w:sz w:val="20"/>
          <w:szCs w:val="20"/>
          <w:vertAlign w:val="superscript"/>
        </w:rPr>
        <w:footnoteReference w:id="150"/>
      </w:r>
      <w:r w:rsidRPr="0064597D">
        <w:rPr>
          <w:rFonts w:eastAsia="Batang"/>
          <w:spacing w:val="-2"/>
          <w:sz w:val="20"/>
          <w:szCs w:val="20"/>
        </w:rPr>
        <w:t>.</w:t>
      </w:r>
      <w:r w:rsidR="00FF002C" w:rsidRPr="0064597D">
        <w:rPr>
          <w:rFonts w:eastAsia="Batang"/>
          <w:spacing w:val="-2"/>
          <w:sz w:val="20"/>
          <w:szCs w:val="20"/>
        </w:rPr>
        <w:t xml:space="preserve"> </w:t>
      </w:r>
    </w:p>
    <w:p w14:paraId="373289CA" w14:textId="77777777" w:rsidR="00B302A1" w:rsidRPr="0064597D" w:rsidRDefault="00B302A1" w:rsidP="00B302A1">
      <w:pPr>
        <w:tabs>
          <w:tab w:val="left" w:pos="567"/>
        </w:tabs>
        <w:spacing w:line="240" w:lineRule="auto"/>
        <w:rPr>
          <w:b/>
          <w:i/>
          <w:sz w:val="20"/>
          <w:szCs w:val="20"/>
          <w:lang w:eastAsia="en-US"/>
        </w:rPr>
      </w:pPr>
    </w:p>
    <w:p w14:paraId="415E7A36" w14:textId="22BFD6A6" w:rsidR="00FF002C" w:rsidRPr="0064597D" w:rsidRDefault="00FF002C" w:rsidP="006B3C01">
      <w:pPr>
        <w:numPr>
          <w:ilvl w:val="0"/>
          <w:numId w:val="1"/>
        </w:numPr>
        <w:tabs>
          <w:tab w:val="left" w:pos="567"/>
        </w:tabs>
        <w:spacing w:line="240" w:lineRule="auto"/>
        <w:ind w:left="0" w:firstLine="0"/>
        <w:rPr>
          <w:b/>
          <w:i/>
          <w:sz w:val="20"/>
          <w:szCs w:val="20"/>
          <w:lang w:eastAsia="en-US"/>
        </w:rPr>
      </w:pPr>
      <w:r w:rsidRPr="0064597D">
        <w:rPr>
          <w:rFonts w:eastAsia="Batang"/>
          <w:spacing w:val="-2"/>
          <w:sz w:val="20"/>
          <w:szCs w:val="20"/>
        </w:rPr>
        <w:t xml:space="preserve">A continuación, la Corte analizará (i) </w:t>
      </w:r>
      <w:r w:rsidR="00B302A1" w:rsidRPr="0064597D">
        <w:rPr>
          <w:kern w:val="2"/>
          <w:sz w:val="20"/>
          <w:szCs w:val="20"/>
          <w:lang w:eastAsia="en-US"/>
        </w:rPr>
        <w:t>la alegada responsabilidad internacional del Estado guatemalteco por la presunta tortura a la que fue sometido el señor Ruiz Fuentes tras su detención el 6 de agosto del 1997</w:t>
      </w:r>
      <w:r w:rsidRPr="0064597D">
        <w:rPr>
          <w:rFonts w:eastAsia="Batang"/>
          <w:spacing w:val="-2"/>
          <w:sz w:val="20"/>
          <w:szCs w:val="20"/>
        </w:rPr>
        <w:t xml:space="preserve"> para posteriormente (ii) analizar el sometimiento del señor Ruiz Fuente</w:t>
      </w:r>
      <w:r w:rsidR="000D4F08" w:rsidRPr="0064597D">
        <w:rPr>
          <w:rFonts w:eastAsia="Batang"/>
          <w:spacing w:val="-2"/>
          <w:sz w:val="20"/>
          <w:szCs w:val="20"/>
        </w:rPr>
        <w:t>s</w:t>
      </w:r>
      <w:r w:rsidRPr="0064597D">
        <w:rPr>
          <w:rFonts w:eastAsia="Batang"/>
          <w:spacing w:val="-2"/>
          <w:sz w:val="20"/>
          <w:szCs w:val="20"/>
        </w:rPr>
        <w:t xml:space="preserve"> al fenómeno del “corredor de la muerte” y su compatibilidad con </w:t>
      </w:r>
      <w:r w:rsidR="007E2E45" w:rsidRPr="0064597D">
        <w:rPr>
          <w:rFonts w:eastAsia="Batang"/>
          <w:spacing w:val="-2"/>
          <w:sz w:val="20"/>
          <w:szCs w:val="20"/>
        </w:rPr>
        <w:t>los estándares interamericanos.</w:t>
      </w:r>
    </w:p>
    <w:p w14:paraId="6CBB6CB9" w14:textId="77777777" w:rsidR="009E4F6C" w:rsidRPr="0064597D" w:rsidRDefault="00CA5E14" w:rsidP="00377181">
      <w:pPr>
        <w:pStyle w:val="Ttulo3"/>
        <w:rPr>
          <w:lang w:eastAsia="en-US"/>
        </w:rPr>
      </w:pPr>
      <w:bookmarkStart w:id="74" w:name="_Toc24014561"/>
      <w:r w:rsidRPr="0064597D">
        <w:rPr>
          <w:lang w:eastAsia="en-US"/>
        </w:rPr>
        <w:t>b</w:t>
      </w:r>
      <w:r w:rsidR="009E4F6C" w:rsidRPr="0064597D">
        <w:rPr>
          <w:lang w:eastAsia="en-US"/>
        </w:rPr>
        <w:t>.</w:t>
      </w:r>
      <w:r w:rsidR="002F68E5" w:rsidRPr="0064597D">
        <w:rPr>
          <w:lang w:eastAsia="en-US"/>
        </w:rPr>
        <w:t>1</w:t>
      </w:r>
      <w:r w:rsidR="009E4F6C" w:rsidRPr="0064597D">
        <w:rPr>
          <w:lang w:eastAsia="en-US"/>
        </w:rPr>
        <w:t xml:space="preserve"> </w:t>
      </w:r>
      <w:r w:rsidR="009E4F6C" w:rsidRPr="0064597D">
        <w:rPr>
          <w:lang w:eastAsia="en-US"/>
        </w:rPr>
        <w:tab/>
      </w:r>
      <w:r w:rsidR="006B3C01" w:rsidRPr="0064597D">
        <w:rPr>
          <w:lang w:eastAsia="en-US"/>
        </w:rPr>
        <w:t>D</w:t>
      </w:r>
      <w:r w:rsidR="00F17DC3" w:rsidRPr="0064597D">
        <w:rPr>
          <w:lang w:eastAsia="en-US"/>
        </w:rPr>
        <w:t>etención del señor Ruiz Fuentes</w:t>
      </w:r>
      <w:bookmarkEnd w:id="74"/>
    </w:p>
    <w:p w14:paraId="6779A7B6" w14:textId="6B5622DD" w:rsidR="00D42332" w:rsidRPr="0064597D" w:rsidRDefault="00FC2845" w:rsidP="006B597B">
      <w:pPr>
        <w:widowControl/>
        <w:numPr>
          <w:ilvl w:val="0"/>
          <w:numId w:val="1"/>
        </w:numPr>
        <w:tabs>
          <w:tab w:val="left" w:pos="567"/>
          <w:tab w:val="num" w:pos="1569"/>
          <w:tab w:val="num" w:pos="12305"/>
        </w:tabs>
        <w:adjustRightInd/>
        <w:spacing w:line="240" w:lineRule="auto"/>
        <w:ind w:left="0" w:firstLine="0"/>
        <w:textAlignment w:val="auto"/>
        <w:rPr>
          <w:rFonts w:eastAsia="Calibri"/>
          <w:b/>
          <w:kern w:val="2"/>
          <w:sz w:val="20"/>
          <w:szCs w:val="20"/>
          <w:lang w:eastAsia="en-US"/>
        </w:rPr>
      </w:pPr>
      <w:r w:rsidRPr="0064597D">
        <w:rPr>
          <w:sz w:val="20"/>
          <w:szCs w:val="20"/>
        </w:rPr>
        <w:t>La Corte recuerda que el señor Ruiz Fuentes fue detenido junto con otras cuatro personas el 6 de agosto de 1997</w:t>
      </w:r>
      <w:r w:rsidRPr="0064597D">
        <w:rPr>
          <w:rStyle w:val="Refdenotaalpie"/>
          <w:sz w:val="20"/>
          <w:szCs w:val="20"/>
        </w:rPr>
        <w:footnoteReference w:id="151"/>
      </w:r>
      <w:r w:rsidRPr="0064597D">
        <w:rPr>
          <w:sz w:val="20"/>
          <w:szCs w:val="20"/>
        </w:rPr>
        <w:t>. Con respecto a esta detención</w:t>
      </w:r>
      <w:r w:rsidR="001A1895" w:rsidRPr="0064597D">
        <w:rPr>
          <w:sz w:val="20"/>
          <w:szCs w:val="20"/>
        </w:rPr>
        <w:t>, la Corte observa</w:t>
      </w:r>
      <w:r w:rsidR="00C560F7">
        <w:rPr>
          <w:sz w:val="20"/>
          <w:szCs w:val="20"/>
        </w:rPr>
        <w:t>,</w:t>
      </w:r>
      <w:r w:rsidR="001A1895" w:rsidRPr="0064597D">
        <w:rPr>
          <w:sz w:val="20"/>
          <w:szCs w:val="20"/>
        </w:rPr>
        <w:t xml:space="preserve"> en primer lugar</w:t>
      </w:r>
      <w:r w:rsidR="00C560F7">
        <w:rPr>
          <w:sz w:val="20"/>
          <w:szCs w:val="20"/>
        </w:rPr>
        <w:t>,</w:t>
      </w:r>
      <w:r w:rsidR="001A1895" w:rsidRPr="0064597D">
        <w:rPr>
          <w:sz w:val="20"/>
          <w:szCs w:val="20"/>
        </w:rPr>
        <w:t xml:space="preserve"> las declaraciones efectuadas</w:t>
      </w:r>
      <w:r w:rsidR="00D42332" w:rsidRPr="0064597D">
        <w:rPr>
          <w:kern w:val="2"/>
          <w:sz w:val="20"/>
          <w:szCs w:val="20"/>
          <w:lang w:eastAsia="en-US"/>
        </w:rPr>
        <w:t xml:space="preserve"> por el propio señor Ruiz Fuentes ante la Jueza Octava de Primera Instancia Penal, Narcoactividad y Delitos contra el Ambiente de 29 de abril de 1998, donde indicó lo siguiente:</w:t>
      </w:r>
    </w:p>
    <w:p w14:paraId="4123CDA7" w14:textId="77777777" w:rsidR="00D42332" w:rsidRPr="0064597D" w:rsidRDefault="00D42332" w:rsidP="00D42332">
      <w:pPr>
        <w:widowControl/>
        <w:tabs>
          <w:tab w:val="left" w:pos="567"/>
        </w:tabs>
        <w:adjustRightInd/>
        <w:spacing w:line="240" w:lineRule="auto"/>
        <w:textAlignment w:val="auto"/>
        <w:rPr>
          <w:rFonts w:eastAsia="Calibri"/>
          <w:b/>
          <w:kern w:val="2"/>
          <w:sz w:val="20"/>
          <w:szCs w:val="20"/>
          <w:lang w:eastAsia="en-US"/>
        </w:rPr>
      </w:pPr>
    </w:p>
    <w:p w14:paraId="15956606" w14:textId="60E7A9E2" w:rsidR="00D42332" w:rsidRPr="0064597D" w:rsidRDefault="00D42332" w:rsidP="00D42332">
      <w:pPr>
        <w:tabs>
          <w:tab w:val="left" w:pos="567"/>
          <w:tab w:val="num" w:pos="12305"/>
        </w:tabs>
        <w:spacing w:line="240" w:lineRule="auto"/>
        <w:ind w:left="720" w:right="720"/>
        <w:rPr>
          <w:sz w:val="18"/>
          <w:szCs w:val="18"/>
        </w:rPr>
      </w:pPr>
      <w:r w:rsidRPr="0064597D">
        <w:rPr>
          <w:sz w:val="18"/>
          <w:szCs w:val="18"/>
        </w:rPr>
        <w:t xml:space="preserve">“[S]e bajaron unas personas desconocidas y nos bajaron a mí y al mecánico del carro […], me metieron a una panel beige y no me fije a donde metieron al mecánico […] luego me vendaron los ojos y me pusieron unas grilletas plásticas, me cargaron para arriba y abajo, me golpearon el intestino, las costillas y me preguntaban por varios secuestros [,] como no les decía nada me pegaban, ya en la mera tarde no recuerdo pero como unas tres horas me llevaron a una casa desconocida donde me bajaron, con el pantalón hasta abajo y el calzoncillo, me tiraron de la panel para abajo, en el lugar estaba un señor grande creo que es don Conte Cojulun [Director de la PNC] </w:t>
      </w:r>
      <w:r w:rsidRPr="0064597D">
        <w:rPr>
          <w:rFonts w:cs="Arial"/>
          <w:sz w:val="18"/>
          <w:szCs w:val="18"/>
        </w:rPr>
        <w:t xml:space="preserve">y </w:t>
      </w:r>
      <w:r w:rsidRPr="0064597D">
        <w:rPr>
          <w:sz w:val="18"/>
          <w:szCs w:val="18"/>
        </w:rPr>
        <w:t>les dijo que me pararan luego</w:t>
      </w:r>
      <w:r w:rsidR="00E9291F" w:rsidRPr="0064597D">
        <w:rPr>
          <w:sz w:val="18"/>
          <w:szCs w:val="18"/>
        </w:rPr>
        <w:t xml:space="preserve"> porque me podía morir, me llevó</w:t>
      </w:r>
      <w:r w:rsidRPr="0064597D">
        <w:rPr>
          <w:sz w:val="18"/>
          <w:szCs w:val="18"/>
        </w:rPr>
        <w:t xml:space="preserve"> un vaso de agua, me sacaran de ahí porque había llamado a la prensa y que llegarían, me llevaron al hospital en un pick up del Ciprosi, como a la media de estar en el hospital llegó al señor Conte Cojulun a suplicarle a los médicos que por favor me salvaran la vida, como al tercer día de estar en el hospital llegó un señor que dijo ser comisario Soto […] y llegaron como tres veces, luego llegaron otros tres de particular y me llevaron unos jugos, diciéndome que no dijera nada de lo que me había pasado, que dijera que me había caído de una casa donde me había tirado […]”</w:t>
      </w:r>
      <w:r w:rsidRPr="0064597D">
        <w:rPr>
          <w:rStyle w:val="Refdenotaalpie"/>
          <w:sz w:val="18"/>
          <w:szCs w:val="18"/>
        </w:rPr>
        <w:footnoteReference w:id="152"/>
      </w:r>
      <w:r w:rsidR="001A1895" w:rsidRPr="0064597D">
        <w:rPr>
          <w:sz w:val="18"/>
          <w:szCs w:val="18"/>
        </w:rPr>
        <w:t>.</w:t>
      </w:r>
      <w:r w:rsidRPr="0064597D">
        <w:rPr>
          <w:sz w:val="18"/>
          <w:szCs w:val="18"/>
        </w:rPr>
        <w:t xml:space="preserve"> </w:t>
      </w:r>
    </w:p>
    <w:p w14:paraId="1F77AC4E" w14:textId="77777777" w:rsidR="008755AD" w:rsidRPr="0064597D" w:rsidRDefault="008755AD" w:rsidP="001C45D9">
      <w:pPr>
        <w:spacing w:line="240" w:lineRule="auto"/>
        <w:rPr>
          <w:snapToGrid w:val="0"/>
          <w:sz w:val="20"/>
          <w:szCs w:val="20"/>
          <w:highlight w:val="yellow"/>
        </w:rPr>
      </w:pPr>
    </w:p>
    <w:p w14:paraId="4A722E74" w14:textId="67E17890" w:rsidR="006D4C35" w:rsidRPr="0064597D" w:rsidRDefault="006D4C35" w:rsidP="006D4C35">
      <w:pPr>
        <w:numPr>
          <w:ilvl w:val="0"/>
          <w:numId w:val="1"/>
        </w:numPr>
        <w:tabs>
          <w:tab w:val="left" w:pos="567"/>
          <w:tab w:val="num" w:pos="1569"/>
          <w:tab w:val="num" w:pos="12305"/>
        </w:tabs>
        <w:spacing w:line="240" w:lineRule="auto"/>
        <w:ind w:left="0" w:firstLine="0"/>
        <w:rPr>
          <w:snapToGrid w:val="0"/>
          <w:sz w:val="20"/>
          <w:szCs w:val="20"/>
        </w:rPr>
      </w:pPr>
      <w:r w:rsidRPr="0064597D">
        <w:rPr>
          <w:sz w:val="20"/>
          <w:szCs w:val="20"/>
        </w:rPr>
        <w:t>Asimismo, la Corte observa que l</w:t>
      </w:r>
      <w:r w:rsidRPr="0064597D">
        <w:rPr>
          <w:snapToGrid w:val="0"/>
          <w:sz w:val="20"/>
          <w:szCs w:val="20"/>
        </w:rPr>
        <w:t xml:space="preserve">a señora </w:t>
      </w:r>
      <w:r w:rsidR="00A13065" w:rsidRPr="0064597D">
        <w:rPr>
          <w:sz w:val="20"/>
          <w:szCs w:val="20"/>
        </w:rPr>
        <w:t>A.M.V.</w:t>
      </w:r>
      <w:r w:rsidR="004056DC" w:rsidRPr="0064597D">
        <w:rPr>
          <w:sz w:val="20"/>
          <w:szCs w:val="20"/>
        </w:rPr>
        <w:t>, pareja del señor Ruiz Fuentes,</w:t>
      </w:r>
      <w:r w:rsidR="00A13065" w:rsidRPr="0064597D">
        <w:rPr>
          <w:sz w:val="20"/>
          <w:szCs w:val="20"/>
        </w:rPr>
        <w:t xml:space="preserve"> </w:t>
      </w:r>
      <w:r w:rsidRPr="0064597D">
        <w:rPr>
          <w:snapToGrid w:val="0"/>
          <w:sz w:val="20"/>
          <w:szCs w:val="20"/>
        </w:rPr>
        <w:t>indicó en la audiencia pública celebra</w:t>
      </w:r>
      <w:r w:rsidR="00ED69EA" w:rsidRPr="0064597D">
        <w:rPr>
          <w:snapToGrid w:val="0"/>
          <w:sz w:val="20"/>
          <w:szCs w:val="20"/>
        </w:rPr>
        <w:t>d</w:t>
      </w:r>
      <w:r w:rsidRPr="0064597D">
        <w:rPr>
          <w:snapToGrid w:val="0"/>
          <w:sz w:val="20"/>
          <w:szCs w:val="20"/>
        </w:rPr>
        <w:t>a ante esta Corte que al señor Ruiz Fuentes “lo capturaron y lo metieron a una panel, se lo llevaron, ahí fue donde lo torturaron, muy grave”</w:t>
      </w:r>
      <w:r w:rsidRPr="0064597D">
        <w:rPr>
          <w:rStyle w:val="Refdenotaalpie"/>
          <w:snapToGrid w:val="0"/>
          <w:sz w:val="20"/>
          <w:szCs w:val="20"/>
        </w:rPr>
        <w:footnoteReference w:id="153"/>
      </w:r>
      <w:r w:rsidRPr="0064597D">
        <w:rPr>
          <w:snapToGrid w:val="0"/>
          <w:sz w:val="20"/>
          <w:szCs w:val="20"/>
        </w:rPr>
        <w:t xml:space="preserve"> y que le contó que “después que lo golpearon, lo llevaron a una casa, después que lo llevaron a la casa, gravemente de tantas </w:t>
      </w:r>
      <w:r w:rsidRPr="0064597D">
        <w:rPr>
          <w:snapToGrid w:val="0"/>
          <w:sz w:val="20"/>
          <w:szCs w:val="20"/>
        </w:rPr>
        <w:lastRenderedPageBreak/>
        <w:t>patadas y todo se quedó inconsciente y quizás se asustaron los policías y se lo llevaron para el hospital de emergencia”</w:t>
      </w:r>
      <w:r w:rsidRPr="0064597D">
        <w:rPr>
          <w:rStyle w:val="Refdenotaalpie"/>
          <w:snapToGrid w:val="0"/>
          <w:sz w:val="20"/>
          <w:szCs w:val="20"/>
        </w:rPr>
        <w:t xml:space="preserve"> </w:t>
      </w:r>
      <w:r w:rsidRPr="0064597D">
        <w:rPr>
          <w:rStyle w:val="Refdenotaalpie"/>
          <w:snapToGrid w:val="0"/>
          <w:sz w:val="20"/>
          <w:szCs w:val="20"/>
        </w:rPr>
        <w:footnoteReference w:id="154"/>
      </w:r>
      <w:r w:rsidRPr="0064597D">
        <w:rPr>
          <w:snapToGrid w:val="0"/>
          <w:sz w:val="20"/>
          <w:szCs w:val="20"/>
        </w:rPr>
        <w:t>. En igual sentido, el señor Ru</w:t>
      </w:r>
      <w:r w:rsidR="00FF35C1" w:rsidRPr="0064597D">
        <w:rPr>
          <w:snapToGrid w:val="0"/>
          <w:sz w:val="20"/>
          <w:szCs w:val="20"/>
        </w:rPr>
        <w:t xml:space="preserve">iz Fuentes relató a su hermana </w:t>
      </w:r>
      <w:r w:rsidRPr="0064597D">
        <w:rPr>
          <w:snapToGrid w:val="0"/>
          <w:sz w:val="20"/>
          <w:szCs w:val="20"/>
        </w:rPr>
        <w:t>que al momento de su detención lo llevaron a varios lugar</w:t>
      </w:r>
      <w:r w:rsidR="00D84387" w:rsidRPr="0064597D">
        <w:rPr>
          <w:snapToGrid w:val="0"/>
          <w:sz w:val="20"/>
          <w:szCs w:val="20"/>
        </w:rPr>
        <w:t>es</w:t>
      </w:r>
      <w:r w:rsidRPr="0064597D">
        <w:rPr>
          <w:snapToGrid w:val="0"/>
          <w:sz w:val="20"/>
          <w:szCs w:val="20"/>
        </w:rPr>
        <w:t xml:space="preserve"> y le pegaron, le mencionaron nombres de personas secuestradas, conminándole a que les dijera quienes habían sido los secuestradores</w:t>
      </w:r>
      <w:r w:rsidRPr="0064597D">
        <w:rPr>
          <w:rStyle w:val="Refdenotaalpie"/>
          <w:snapToGrid w:val="0"/>
          <w:sz w:val="20"/>
          <w:szCs w:val="20"/>
        </w:rPr>
        <w:footnoteReference w:id="155"/>
      </w:r>
      <w:r w:rsidRPr="0064597D">
        <w:rPr>
          <w:snapToGrid w:val="0"/>
          <w:sz w:val="20"/>
          <w:szCs w:val="20"/>
        </w:rPr>
        <w:t xml:space="preserve">. </w:t>
      </w:r>
    </w:p>
    <w:p w14:paraId="196CEFE2" w14:textId="77777777" w:rsidR="006D4C35" w:rsidRPr="0064597D" w:rsidRDefault="006D4C35" w:rsidP="006D4C35">
      <w:pPr>
        <w:tabs>
          <w:tab w:val="left" w:pos="567"/>
        </w:tabs>
        <w:spacing w:line="240" w:lineRule="auto"/>
        <w:rPr>
          <w:snapToGrid w:val="0"/>
          <w:sz w:val="20"/>
          <w:szCs w:val="20"/>
        </w:rPr>
      </w:pPr>
    </w:p>
    <w:p w14:paraId="033B7F7B" w14:textId="14A7D85E" w:rsidR="00D42332" w:rsidRPr="0064597D" w:rsidRDefault="006D4C35" w:rsidP="0067650E">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 xml:space="preserve">La Corte </w:t>
      </w:r>
      <w:r w:rsidR="003F753F" w:rsidRPr="0064597D">
        <w:rPr>
          <w:sz w:val="20"/>
          <w:szCs w:val="20"/>
        </w:rPr>
        <w:t>considera</w:t>
      </w:r>
      <w:r w:rsidRPr="0064597D">
        <w:rPr>
          <w:sz w:val="20"/>
          <w:szCs w:val="20"/>
        </w:rPr>
        <w:t>, además, que estas declaraciones son compatibles con las lesiones acreditadas por los diversos partes m</w:t>
      </w:r>
      <w:r w:rsidR="00853AB3" w:rsidRPr="0064597D">
        <w:rPr>
          <w:sz w:val="20"/>
          <w:szCs w:val="20"/>
        </w:rPr>
        <w:t xml:space="preserve">édicos y el peritaje rendido ante esta Corte. En este sentido, la Corte destaca en primer lugar el informe médico de 9 de diciembre de 1997 que indica que el señor Ruiz Fuentes </w:t>
      </w:r>
      <w:r w:rsidR="00EF6928" w:rsidRPr="0064597D">
        <w:rPr>
          <w:sz w:val="20"/>
          <w:szCs w:val="20"/>
        </w:rPr>
        <w:t>ingresó al Hospital Roosevelt el 6 de agosto de 1997 por “abdomen agudo”</w:t>
      </w:r>
      <w:r w:rsidR="00EF6928" w:rsidRPr="0064597D">
        <w:rPr>
          <w:rStyle w:val="Refdenotaalpie"/>
          <w:sz w:val="20"/>
          <w:szCs w:val="20"/>
        </w:rPr>
        <w:footnoteReference w:id="156"/>
      </w:r>
      <w:r w:rsidR="00EF6928" w:rsidRPr="0064597D">
        <w:rPr>
          <w:sz w:val="20"/>
          <w:szCs w:val="20"/>
        </w:rPr>
        <w:t xml:space="preserve">. </w:t>
      </w:r>
      <w:r w:rsidR="00853AB3" w:rsidRPr="0064597D">
        <w:rPr>
          <w:sz w:val="20"/>
          <w:szCs w:val="20"/>
        </w:rPr>
        <w:t>Por otro lado, s</w:t>
      </w:r>
      <w:r w:rsidR="00EF6928" w:rsidRPr="0064597D">
        <w:rPr>
          <w:sz w:val="20"/>
          <w:szCs w:val="20"/>
        </w:rPr>
        <w:t>egún un informe de 11 de diciembre de 2000, elaborado por el Departamento de Cirugía del Hospital Roosevelt, el señor Ruiz Fuentes fue “traído por bomberos con historia de haber sido vapuleado”. Dicho informe también señalaba que al ingreso, el señor Ruiz Fuentes presentaba “múltiples golpes y contusiones a nivel abdominal, abdomen globoso y doloroso a la palpación”</w:t>
      </w:r>
      <w:r w:rsidR="00EF6928" w:rsidRPr="0064597D">
        <w:rPr>
          <w:rStyle w:val="Refdenotaalpie"/>
          <w:sz w:val="20"/>
          <w:szCs w:val="20"/>
        </w:rPr>
        <w:footnoteReference w:id="157"/>
      </w:r>
      <w:r w:rsidR="00EF6928" w:rsidRPr="0064597D">
        <w:rPr>
          <w:sz w:val="20"/>
          <w:szCs w:val="20"/>
        </w:rPr>
        <w:t>.</w:t>
      </w:r>
      <w:r w:rsidR="00853AB3" w:rsidRPr="0064597D">
        <w:rPr>
          <w:sz w:val="20"/>
          <w:szCs w:val="20"/>
        </w:rPr>
        <w:t xml:space="preserve"> </w:t>
      </w:r>
    </w:p>
    <w:p w14:paraId="1C964503" w14:textId="77777777" w:rsidR="00853AB3" w:rsidRPr="0064597D" w:rsidRDefault="00853AB3" w:rsidP="00853AB3">
      <w:pPr>
        <w:tabs>
          <w:tab w:val="left" w:pos="567"/>
        </w:tabs>
        <w:spacing w:line="240" w:lineRule="auto"/>
        <w:rPr>
          <w:rFonts w:cs="Arial"/>
          <w:sz w:val="20"/>
          <w:szCs w:val="20"/>
        </w:rPr>
      </w:pPr>
    </w:p>
    <w:p w14:paraId="424C634B" w14:textId="59A719EB" w:rsidR="00D84387" w:rsidRPr="0064597D" w:rsidRDefault="00853AB3" w:rsidP="001028F3">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 xml:space="preserve">La Corte </w:t>
      </w:r>
      <w:r w:rsidR="00EB1301" w:rsidRPr="0064597D">
        <w:rPr>
          <w:sz w:val="20"/>
          <w:szCs w:val="20"/>
        </w:rPr>
        <w:t>nota</w:t>
      </w:r>
      <w:r w:rsidRPr="0064597D">
        <w:rPr>
          <w:sz w:val="20"/>
          <w:szCs w:val="20"/>
        </w:rPr>
        <w:t xml:space="preserve"> que el tipo de lesiones que presentaba el señor Ruiz Fuentes tienen una compatibilidad mayor con el relato de los hechos que éste efectuó, en comparación con el relato de los hechos ofrecido por el Estado. </w:t>
      </w:r>
      <w:r w:rsidR="00C430C8" w:rsidRPr="0064597D">
        <w:rPr>
          <w:sz w:val="20"/>
          <w:szCs w:val="20"/>
        </w:rPr>
        <w:t>En este sentido</w:t>
      </w:r>
      <w:r w:rsidR="00550059" w:rsidRPr="0064597D">
        <w:rPr>
          <w:sz w:val="20"/>
          <w:szCs w:val="20"/>
        </w:rPr>
        <w:t>,</w:t>
      </w:r>
      <w:r w:rsidRPr="0064597D">
        <w:rPr>
          <w:sz w:val="20"/>
          <w:szCs w:val="20"/>
        </w:rPr>
        <w:t xml:space="preserve"> </w:t>
      </w:r>
      <w:r w:rsidR="00C430C8" w:rsidRPr="0064597D">
        <w:rPr>
          <w:sz w:val="20"/>
          <w:szCs w:val="20"/>
        </w:rPr>
        <w:t>el médico Alejandro Moreno expresamente indicó en su</w:t>
      </w:r>
      <w:r w:rsidRPr="0064597D">
        <w:rPr>
          <w:sz w:val="20"/>
          <w:szCs w:val="20"/>
        </w:rPr>
        <w:t xml:space="preserve"> informe </w:t>
      </w:r>
      <w:r w:rsidR="00C430C8" w:rsidRPr="0064597D">
        <w:rPr>
          <w:sz w:val="20"/>
          <w:szCs w:val="20"/>
        </w:rPr>
        <w:t xml:space="preserve">de </w:t>
      </w:r>
      <w:r w:rsidRPr="0064597D">
        <w:rPr>
          <w:sz w:val="20"/>
          <w:szCs w:val="20"/>
        </w:rPr>
        <w:t xml:space="preserve">21 de mayo de 2008 que “[l]as lesiones intra-abdominales que sufrió el Señor Ruiz Fuentes </w:t>
      </w:r>
      <w:r w:rsidR="00E70CF5" w:rsidRPr="0064597D">
        <w:rPr>
          <w:sz w:val="20"/>
          <w:szCs w:val="20"/>
        </w:rPr>
        <w:t>[eran]</w:t>
      </w:r>
      <w:r w:rsidRPr="0064597D">
        <w:rPr>
          <w:sz w:val="20"/>
          <w:szCs w:val="20"/>
        </w:rPr>
        <w:t xml:space="preserve"> consistentes con las causadas por un mecanismo contuso</w:t>
      </w:r>
      <w:r w:rsidR="0067650E" w:rsidRPr="0064597D">
        <w:rPr>
          <w:sz w:val="20"/>
          <w:szCs w:val="20"/>
        </w:rPr>
        <w:t xml:space="preserve"> como lo describen los informes médicos y las declaraciones de los testigos</w:t>
      </w:r>
      <w:r w:rsidRPr="0064597D">
        <w:rPr>
          <w:sz w:val="20"/>
          <w:szCs w:val="20"/>
        </w:rPr>
        <w:t>” y que existía evidencia forense, tales como la ausencia de trauma cráneo-encefálico y de fracturas d</w:t>
      </w:r>
      <w:r w:rsidR="00E70CF5" w:rsidRPr="0064597D">
        <w:rPr>
          <w:sz w:val="20"/>
          <w:szCs w:val="20"/>
        </w:rPr>
        <w:t>e las extremidades, que favorecía</w:t>
      </w:r>
      <w:r w:rsidR="00ED69EA" w:rsidRPr="0064597D">
        <w:rPr>
          <w:sz w:val="20"/>
          <w:szCs w:val="20"/>
        </w:rPr>
        <w:t>n</w:t>
      </w:r>
      <w:r w:rsidRPr="0064597D">
        <w:rPr>
          <w:sz w:val="20"/>
          <w:szCs w:val="20"/>
        </w:rPr>
        <w:t xml:space="preserve"> </w:t>
      </w:r>
      <w:r w:rsidR="0067650E" w:rsidRPr="0064597D">
        <w:rPr>
          <w:sz w:val="20"/>
          <w:szCs w:val="20"/>
        </w:rPr>
        <w:t>“</w:t>
      </w:r>
      <w:r w:rsidRPr="0064597D">
        <w:rPr>
          <w:sz w:val="20"/>
          <w:szCs w:val="20"/>
        </w:rPr>
        <w:t>la versión de los hechos relatada por el Señor Ruiz Fuente</w:t>
      </w:r>
      <w:r w:rsidR="0067650E" w:rsidRPr="0064597D">
        <w:rPr>
          <w:sz w:val="20"/>
          <w:szCs w:val="20"/>
        </w:rPr>
        <w:t>s de que fue golpeado repetidamente en el abdomen y no la descripción de los policías de que el Señor Ruiz Fuentes se cayó de unos 5-8 metros de altura”</w:t>
      </w:r>
      <w:r w:rsidRPr="0064597D">
        <w:rPr>
          <w:sz w:val="20"/>
          <w:szCs w:val="20"/>
          <w:vertAlign w:val="superscript"/>
        </w:rPr>
        <w:footnoteReference w:id="158"/>
      </w:r>
      <w:r w:rsidRPr="0064597D">
        <w:rPr>
          <w:sz w:val="20"/>
          <w:szCs w:val="20"/>
        </w:rPr>
        <w:t>.</w:t>
      </w:r>
      <w:r w:rsidR="00D84387" w:rsidRPr="0064597D">
        <w:rPr>
          <w:sz w:val="20"/>
          <w:szCs w:val="20"/>
        </w:rPr>
        <w:t xml:space="preserve"> </w:t>
      </w:r>
    </w:p>
    <w:p w14:paraId="65A56128" w14:textId="77777777" w:rsidR="00D84387" w:rsidRPr="0064597D" w:rsidRDefault="00D84387" w:rsidP="00D84387">
      <w:pPr>
        <w:tabs>
          <w:tab w:val="left" w:pos="567"/>
        </w:tabs>
        <w:spacing w:line="240" w:lineRule="auto"/>
        <w:rPr>
          <w:rFonts w:cs="Arial"/>
          <w:sz w:val="20"/>
          <w:szCs w:val="20"/>
        </w:rPr>
      </w:pPr>
    </w:p>
    <w:p w14:paraId="4BE247D4" w14:textId="6B4AFAFA" w:rsidR="00AD4E36" w:rsidRPr="0064597D" w:rsidRDefault="00AD4E36" w:rsidP="001028F3">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A lo anterior se une la prueba que obra en el expediente con respecto a las amenazas realizadas al señor Ruiz Fuentes por miembros de la policía para que no denunciara los hechos</w:t>
      </w:r>
      <w:r w:rsidR="00EB1301" w:rsidRPr="0064597D">
        <w:rPr>
          <w:rStyle w:val="Refdenotaalpie"/>
          <w:sz w:val="20"/>
          <w:szCs w:val="20"/>
        </w:rPr>
        <w:footnoteReference w:id="159"/>
      </w:r>
      <w:r w:rsidR="003F753F" w:rsidRPr="0064597D">
        <w:rPr>
          <w:sz w:val="20"/>
          <w:szCs w:val="20"/>
        </w:rPr>
        <w:t>, lo cual además ha sido</w:t>
      </w:r>
      <w:r w:rsidR="00EB1EA8" w:rsidRPr="0064597D">
        <w:rPr>
          <w:sz w:val="20"/>
          <w:szCs w:val="20"/>
        </w:rPr>
        <w:t xml:space="preserve"> corroborado por </w:t>
      </w:r>
      <w:r w:rsidR="00EB1EA8" w:rsidRPr="0064597D">
        <w:rPr>
          <w:rFonts w:cs="Arial"/>
          <w:sz w:val="20"/>
          <w:szCs w:val="20"/>
        </w:rPr>
        <w:t xml:space="preserve">la declaración de la </w:t>
      </w:r>
      <w:r w:rsidR="00FF35C1" w:rsidRPr="0064597D">
        <w:rPr>
          <w:rFonts w:cs="Arial"/>
          <w:sz w:val="20"/>
          <w:szCs w:val="20"/>
        </w:rPr>
        <w:t>hermana del señor Ruiz Fuentes,</w:t>
      </w:r>
      <w:r w:rsidR="00EB1EA8" w:rsidRPr="0064597D">
        <w:rPr>
          <w:rFonts w:cs="Arial"/>
          <w:sz w:val="20"/>
          <w:szCs w:val="20"/>
        </w:rPr>
        <w:t xml:space="preserve"> quien indicó que cuando el señor Ruiz Fuentes estuvo en el hospital “los policías nos decían que no denunciáramos porque no iban hacer nada, al contrario peor le iba a ir a mi hermano en la cárcel”</w:t>
      </w:r>
      <w:r w:rsidR="00EB1EA8" w:rsidRPr="0064597D">
        <w:rPr>
          <w:rStyle w:val="Refdenotaalpie"/>
          <w:rFonts w:cs="Arial"/>
          <w:sz w:val="20"/>
          <w:szCs w:val="20"/>
        </w:rPr>
        <w:footnoteReference w:id="160"/>
      </w:r>
      <w:r w:rsidR="003F753F" w:rsidRPr="0064597D">
        <w:rPr>
          <w:rFonts w:cs="Arial"/>
          <w:sz w:val="20"/>
          <w:szCs w:val="20"/>
        </w:rPr>
        <w:t>.</w:t>
      </w:r>
    </w:p>
    <w:p w14:paraId="42EA6249" w14:textId="77777777" w:rsidR="00AD4E36" w:rsidRPr="0064597D" w:rsidRDefault="00AD4E36" w:rsidP="00AD4E36">
      <w:pPr>
        <w:tabs>
          <w:tab w:val="left" w:pos="567"/>
        </w:tabs>
        <w:spacing w:line="240" w:lineRule="auto"/>
        <w:rPr>
          <w:rFonts w:cs="Arial"/>
          <w:sz w:val="20"/>
          <w:szCs w:val="20"/>
        </w:rPr>
      </w:pPr>
    </w:p>
    <w:p w14:paraId="34C9754B" w14:textId="7BCA4084" w:rsidR="00AD4E36" w:rsidRPr="0064597D" w:rsidRDefault="003E7FBA" w:rsidP="000B7C8E">
      <w:pPr>
        <w:numPr>
          <w:ilvl w:val="0"/>
          <w:numId w:val="1"/>
        </w:numPr>
        <w:tabs>
          <w:tab w:val="left" w:pos="567"/>
          <w:tab w:val="num" w:pos="1569"/>
          <w:tab w:val="num" w:pos="12305"/>
        </w:tabs>
        <w:spacing w:line="240" w:lineRule="auto"/>
        <w:ind w:left="0" w:firstLine="0"/>
        <w:rPr>
          <w:rFonts w:cs="Arial"/>
          <w:sz w:val="20"/>
          <w:szCs w:val="20"/>
        </w:rPr>
      </w:pPr>
      <w:r w:rsidRPr="0064597D">
        <w:rPr>
          <w:sz w:val="20"/>
          <w:szCs w:val="20"/>
        </w:rPr>
        <w:t>En consecuencia</w:t>
      </w:r>
      <w:r w:rsidR="000B7C8E" w:rsidRPr="0064597D">
        <w:rPr>
          <w:sz w:val="20"/>
          <w:szCs w:val="20"/>
        </w:rPr>
        <w:t xml:space="preserve">, la Corte considera acreditado </w:t>
      </w:r>
      <w:r w:rsidR="00D84387" w:rsidRPr="0064597D">
        <w:rPr>
          <w:sz w:val="20"/>
          <w:szCs w:val="20"/>
        </w:rPr>
        <w:t xml:space="preserve">que </w:t>
      </w:r>
      <w:r w:rsidR="000B7C8E" w:rsidRPr="0064597D">
        <w:rPr>
          <w:sz w:val="20"/>
          <w:szCs w:val="20"/>
        </w:rPr>
        <w:t xml:space="preserve">el señor Ruiz Fuentes sufrió </w:t>
      </w:r>
      <w:r w:rsidR="00ED69EA" w:rsidRPr="0064597D">
        <w:rPr>
          <w:sz w:val="20"/>
          <w:szCs w:val="20"/>
        </w:rPr>
        <w:t xml:space="preserve">serias </w:t>
      </w:r>
      <w:r w:rsidR="000B7C8E" w:rsidRPr="0064597D">
        <w:rPr>
          <w:sz w:val="20"/>
          <w:szCs w:val="20"/>
        </w:rPr>
        <w:t xml:space="preserve">lesiones en el contexto de su detención, esto es, cuando ya estaba bajo custodia del Estado. </w:t>
      </w:r>
    </w:p>
    <w:p w14:paraId="2FA591DE" w14:textId="77777777" w:rsidR="00D42332" w:rsidRPr="0064597D" w:rsidRDefault="00AD4E36" w:rsidP="00AD4E36">
      <w:pPr>
        <w:tabs>
          <w:tab w:val="left" w:pos="2670"/>
        </w:tabs>
        <w:spacing w:line="240" w:lineRule="auto"/>
        <w:rPr>
          <w:sz w:val="20"/>
          <w:szCs w:val="20"/>
        </w:rPr>
      </w:pPr>
      <w:r w:rsidRPr="0064597D">
        <w:rPr>
          <w:sz w:val="20"/>
          <w:szCs w:val="20"/>
        </w:rPr>
        <w:tab/>
      </w:r>
    </w:p>
    <w:p w14:paraId="7DD9C065" w14:textId="49097441" w:rsidR="006B3C01" w:rsidRPr="0064597D" w:rsidRDefault="00AD4E36" w:rsidP="006B3C01">
      <w:pPr>
        <w:numPr>
          <w:ilvl w:val="0"/>
          <w:numId w:val="1"/>
        </w:numPr>
        <w:tabs>
          <w:tab w:val="left" w:pos="567"/>
        </w:tabs>
        <w:spacing w:line="240" w:lineRule="auto"/>
        <w:ind w:left="0" w:firstLine="0"/>
        <w:rPr>
          <w:b/>
          <w:i/>
          <w:sz w:val="20"/>
          <w:szCs w:val="20"/>
          <w:lang w:eastAsia="en-US"/>
        </w:rPr>
      </w:pPr>
      <w:r w:rsidRPr="0064597D">
        <w:rPr>
          <w:snapToGrid w:val="0"/>
          <w:sz w:val="20"/>
          <w:szCs w:val="20"/>
        </w:rPr>
        <w:t>Sentado lo anterior</w:t>
      </w:r>
      <w:r w:rsidR="006B3C01" w:rsidRPr="0064597D">
        <w:rPr>
          <w:snapToGrid w:val="0"/>
          <w:sz w:val="20"/>
          <w:szCs w:val="20"/>
        </w:rPr>
        <w:t xml:space="preserve">, la Corte debe determinar </w:t>
      </w:r>
      <w:r w:rsidRPr="0064597D">
        <w:rPr>
          <w:snapToGrid w:val="0"/>
          <w:sz w:val="20"/>
          <w:szCs w:val="20"/>
        </w:rPr>
        <w:t xml:space="preserve">a continuación </w:t>
      </w:r>
      <w:r w:rsidR="006B3C01" w:rsidRPr="0064597D">
        <w:rPr>
          <w:snapToGrid w:val="0"/>
          <w:sz w:val="20"/>
          <w:szCs w:val="20"/>
        </w:rPr>
        <w:t xml:space="preserve">si </w:t>
      </w:r>
      <w:r w:rsidR="000B7C8E" w:rsidRPr="0064597D">
        <w:rPr>
          <w:snapToGrid w:val="0"/>
          <w:sz w:val="20"/>
          <w:szCs w:val="20"/>
        </w:rPr>
        <w:t>los referidos actos</w:t>
      </w:r>
      <w:r w:rsidR="006B3C01" w:rsidRPr="0064597D">
        <w:rPr>
          <w:snapToGrid w:val="0"/>
          <w:sz w:val="20"/>
          <w:szCs w:val="20"/>
        </w:rPr>
        <w:t xml:space="preserve"> fueron actos constitutivos de tortura. </w:t>
      </w:r>
      <w:r w:rsidR="006B3C01" w:rsidRPr="0064597D">
        <w:rPr>
          <w:rFonts w:eastAsia="Batang"/>
          <w:spacing w:val="-2"/>
          <w:sz w:val="20"/>
          <w:szCs w:val="20"/>
        </w:rPr>
        <w:t xml:space="preserve">A la luz del artículo 5.2 de la Convención Americana y de </w:t>
      </w:r>
      <w:r w:rsidR="006B3C01" w:rsidRPr="0064597D">
        <w:rPr>
          <w:spacing w:val="-2"/>
          <w:sz w:val="20"/>
          <w:szCs w:val="20"/>
        </w:rPr>
        <w:t>conformidad</w:t>
      </w:r>
      <w:r w:rsidR="006B3C01" w:rsidRPr="0064597D">
        <w:rPr>
          <w:rFonts w:eastAsia="Batang"/>
          <w:spacing w:val="-2"/>
          <w:sz w:val="20"/>
          <w:szCs w:val="20"/>
        </w:rPr>
        <w:t xml:space="preserve"> con la </w:t>
      </w:r>
      <w:r w:rsidR="006B3C01" w:rsidRPr="0064597D">
        <w:rPr>
          <w:rFonts w:eastAsia="Batang"/>
          <w:spacing w:val="-2"/>
          <w:sz w:val="20"/>
          <w:szCs w:val="20"/>
        </w:rPr>
        <w:lastRenderedPageBreak/>
        <w:t xml:space="preserve">jurisprudencia de esta Corte, se </w:t>
      </w:r>
      <w:r w:rsidR="006B3C01" w:rsidRPr="0064597D">
        <w:rPr>
          <w:sz w:val="20"/>
          <w:szCs w:val="20"/>
          <w:lang w:eastAsia="en-US"/>
        </w:rPr>
        <w:t>está</w:t>
      </w:r>
      <w:r w:rsidR="006B3C01" w:rsidRPr="0064597D">
        <w:rPr>
          <w:rFonts w:eastAsia="Batang"/>
          <w:spacing w:val="-2"/>
          <w:sz w:val="20"/>
          <w:szCs w:val="20"/>
        </w:rPr>
        <w:t xml:space="preserve"> frente a un acto constitutivo de tortura cuando el maltrato: </w:t>
      </w:r>
      <w:r w:rsidR="0079712D" w:rsidRPr="0064597D">
        <w:rPr>
          <w:rFonts w:eastAsia="Batang"/>
          <w:spacing w:val="-2"/>
          <w:sz w:val="20"/>
          <w:szCs w:val="20"/>
        </w:rPr>
        <w:t>(</w:t>
      </w:r>
      <w:r w:rsidR="006B3C01" w:rsidRPr="0064597D">
        <w:rPr>
          <w:rFonts w:eastAsia="Batang"/>
          <w:spacing w:val="-2"/>
          <w:sz w:val="20"/>
          <w:szCs w:val="20"/>
        </w:rPr>
        <w:t xml:space="preserve">i) es intencional; </w:t>
      </w:r>
      <w:r w:rsidR="0079712D" w:rsidRPr="0064597D">
        <w:rPr>
          <w:rFonts w:eastAsia="Batang"/>
          <w:spacing w:val="-2"/>
          <w:sz w:val="20"/>
          <w:szCs w:val="20"/>
        </w:rPr>
        <w:t>(</w:t>
      </w:r>
      <w:r w:rsidR="006B3C01" w:rsidRPr="0064597D">
        <w:rPr>
          <w:rFonts w:eastAsia="Batang"/>
          <w:spacing w:val="-2"/>
          <w:sz w:val="20"/>
          <w:szCs w:val="20"/>
        </w:rPr>
        <w:t xml:space="preserve">ii) cause severos sufrimientos físicos o mentales, y </w:t>
      </w:r>
      <w:r w:rsidR="0079712D" w:rsidRPr="0064597D">
        <w:rPr>
          <w:rFonts w:eastAsia="Batang"/>
          <w:spacing w:val="-2"/>
          <w:sz w:val="20"/>
          <w:szCs w:val="20"/>
        </w:rPr>
        <w:t>(</w:t>
      </w:r>
      <w:r w:rsidR="006B3C01" w:rsidRPr="0064597D">
        <w:rPr>
          <w:rFonts w:eastAsia="Batang"/>
          <w:spacing w:val="-2"/>
          <w:sz w:val="20"/>
          <w:szCs w:val="20"/>
        </w:rPr>
        <w:t>iii) se cometa con cualquier fin o propósito</w:t>
      </w:r>
      <w:r w:rsidR="006B3C01" w:rsidRPr="0064597D">
        <w:rPr>
          <w:rFonts w:eastAsia="Batang"/>
          <w:spacing w:val="-2"/>
          <w:sz w:val="20"/>
          <w:szCs w:val="20"/>
          <w:vertAlign w:val="superscript"/>
        </w:rPr>
        <w:footnoteReference w:id="161"/>
      </w:r>
      <w:r w:rsidR="006B3C01" w:rsidRPr="0064597D">
        <w:rPr>
          <w:rFonts w:eastAsia="Batang"/>
          <w:spacing w:val="-2"/>
          <w:sz w:val="20"/>
          <w:szCs w:val="20"/>
        </w:rPr>
        <w:t>.</w:t>
      </w:r>
    </w:p>
    <w:p w14:paraId="507CAE27" w14:textId="77777777" w:rsidR="00B8112F" w:rsidRPr="0064597D" w:rsidRDefault="00B8112F" w:rsidP="00B8112F">
      <w:pPr>
        <w:tabs>
          <w:tab w:val="left" w:pos="567"/>
        </w:tabs>
        <w:spacing w:line="240" w:lineRule="auto"/>
        <w:rPr>
          <w:b/>
          <w:i/>
          <w:sz w:val="20"/>
          <w:szCs w:val="20"/>
          <w:lang w:eastAsia="en-US"/>
        </w:rPr>
      </w:pPr>
    </w:p>
    <w:p w14:paraId="739E6359" w14:textId="2348B749" w:rsidR="00853AB3" w:rsidRPr="0064597D" w:rsidRDefault="00CF53D8" w:rsidP="00D71F65">
      <w:pPr>
        <w:numPr>
          <w:ilvl w:val="0"/>
          <w:numId w:val="1"/>
        </w:numPr>
        <w:tabs>
          <w:tab w:val="left" w:pos="567"/>
          <w:tab w:val="num" w:pos="1569"/>
          <w:tab w:val="num" w:pos="12305"/>
        </w:tabs>
        <w:spacing w:line="240" w:lineRule="auto"/>
        <w:ind w:left="0" w:firstLine="0"/>
        <w:rPr>
          <w:sz w:val="20"/>
          <w:szCs w:val="20"/>
        </w:rPr>
      </w:pPr>
      <w:r w:rsidRPr="0064597D">
        <w:rPr>
          <w:rFonts w:eastAsia="Batang"/>
          <w:spacing w:val="-2"/>
          <w:sz w:val="20"/>
          <w:szCs w:val="20"/>
        </w:rPr>
        <w:t>En el presente caso ha quedado establecido que el señor Ruiz Fuentes fue objeto de numeros</w:t>
      </w:r>
      <w:r w:rsidR="000B7C8E" w:rsidRPr="0064597D">
        <w:rPr>
          <w:rFonts w:eastAsia="Batang"/>
          <w:spacing w:val="-2"/>
          <w:sz w:val="20"/>
          <w:szCs w:val="20"/>
        </w:rPr>
        <w:t>o</w:t>
      </w:r>
      <w:r w:rsidRPr="0064597D">
        <w:rPr>
          <w:rFonts w:eastAsia="Batang"/>
          <w:spacing w:val="-2"/>
          <w:sz w:val="20"/>
          <w:szCs w:val="20"/>
        </w:rPr>
        <w:t>s golpes</w:t>
      </w:r>
      <w:r w:rsidR="000B7C8E" w:rsidRPr="0064597D">
        <w:rPr>
          <w:rFonts w:eastAsia="Batang"/>
          <w:spacing w:val="-2"/>
          <w:sz w:val="20"/>
          <w:szCs w:val="20"/>
        </w:rPr>
        <w:t xml:space="preserve"> durante horas</w:t>
      </w:r>
      <w:r w:rsidRPr="0064597D">
        <w:rPr>
          <w:rFonts w:eastAsia="Batang"/>
          <w:spacing w:val="-2"/>
          <w:sz w:val="20"/>
          <w:szCs w:val="20"/>
        </w:rPr>
        <w:t xml:space="preserve"> con el objetivo de </w:t>
      </w:r>
      <w:r w:rsidR="000B7C8E" w:rsidRPr="0064597D">
        <w:rPr>
          <w:rFonts w:eastAsia="Batang"/>
          <w:spacing w:val="-2"/>
          <w:sz w:val="20"/>
          <w:szCs w:val="20"/>
        </w:rPr>
        <w:t>obtener información sobre otros secuestros. Lo anterior viene acreditado, tanto por la declaración del propio señor Ruiz Fuentes</w:t>
      </w:r>
      <w:r w:rsidR="000B7C8E" w:rsidRPr="0064597D">
        <w:rPr>
          <w:rStyle w:val="Refdenotaalpie"/>
          <w:rFonts w:eastAsia="Batang"/>
          <w:spacing w:val="-2"/>
          <w:sz w:val="20"/>
          <w:szCs w:val="20"/>
        </w:rPr>
        <w:footnoteReference w:id="162"/>
      </w:r>
      <w:r w:rsidR="000B7C8E" w:rsidRPr="0064597D">
        <w:rPr>
          <w:rFonts w:eastAsia="Batang"/>
          <w:spacing w:val="-2"/>
          <w:sz w:val="20"/>
          <w:szCs w:val="20"/>
        </w:rPr>
        <w:t>, como por el relato detallado y coherente brindado por la</w:t>
      </w:r>
      <w:r w:rsidR="00E70CF5" w:rsidRPr="0064597D">
        <w:rPr>
          <w:rFonts w:eastAsia="Batang"/>
          <w:spacing w:val="-2"/>
          <w:sz w:val="20"/>
          <w:szCs w:val="20"/>
        </w:rPr>
        <w:t xml:space="preserve"> hermana del señor Ruiz Fuentes</w:t>
      </w:r>
      <w:r w:rsidR="00EF6928" w:rsidRPr="0064597D">
        <w:rPr>
          <w:rStyle w:val="Refdenotaalpie"/>
          <w:snapToGrid w:val="0"/>
          <w:sz w:val="20"/>
          <w:szCs w:val="20"/>
        </w:rPr>
        <w:footnoteReference w:id="163"/>
      </w:r>
      <w:r w:rsidR="00E70CF5" w:rsidRPr="0064597D">
        <w:rPr>
          <w:rFonts w:eastAsia="Batang"/>
          <w:spacing w:val="-2"/>
          <w:sz w:val="20"/>
          <w:szCs w:val="20"/>
        </w:rPr>
        <w:t>.</w:t>
      </w:r>
      <w:r w:rsidR="00EF6928" w:rsidRPr="0064597D">
        <w:rPr>
          <w:snapToGrid w:val="0"/>
          <w:sz w:val="20"/>
          <w:szCs w:val="20"/>
        </w:rPr>
        <w:t xml:space="preserve"> </w:t>
      </w:r>
      <w:r w:rsidRPr="0064597D">
        <w:rPr>
          <w:rFonts w:eastAsia="Batang"/>
          <w:spacing w:val="-2"/>
          <w:sz w:val="20"/>
          <w:szCs w:val="20"/>
        </w:rPr>
        <w:t xml:space="preserve">Es decir, los golpes infligidos al señor Ruiz Fuentes </w:t>
      </w:r>
      <w:r w:rsidRPr="0064597D">
        <w:rPr>
          <w:sz w:val="20"/>
          <w:szCs w:val="20"/>
          <w:lang w:eastAsia="en-US"/>
        </w:rPr>
        <w:t xml:space="preserve">fueron perpetrados de forma intencional y sostenida en el tiempo con el objetivo de obtener </w:t>
      </w:r>
      <w:r w:rsidR="00C560F7">
        <w:rPr>
          <w:sz w:val="20"/>
          <w:szCs w:val="20"/>
          <w:lang w:eastAsia="en-US"/>
        </w:rPr>
        <w:t xml:space="preserve">una </w:t>
      </w:r>
      <w:r w:rsidRPr="0064597D">
        <w:rPr>
          <w:sz w:val="20"/>
          <w:szCs w:val="20"/>
          <w:lang w:eastAsia="en-US"/>
        </w:rPr>
        <w:t>información</w:t>
      </w:r>
      <w:r w:rsidR="00C560F7">
        <w:rPr>
          <w:sz w:val="20"/>
          <w:szCs w:val="20"/>
          <w:lang w:eastAsia="en-US"/>
        </w:rPr>
        <w:t xml:space="preserve"> específica</w:t>
      </w:r>
      <w:r w:rsidRPr="0064597D">
        <w:rPr>
          <w:sz w:val="20"/>
          <w:szCs w:val="20"/>
          <w:lang w:eastAsia="en-US"/>
        </w:rPr>
        <w:t xml:space="preserve">. </w:t>
      </w:r>
    </w:p>
    <w:p w14:paraId="1E563EC7" w14:textId="77777777" w:rsidR="00853AB3" w:rsidRPr="0064597D" w:rsidRDefault="00853AB3" w:rsidP="00853AB3">
      <w:pPr>
        <w:tabs>
          <w:tab w:val="left" w:pos="567"/>
        </w:tabs>
        <w:spacing w:line="240" w:lineRule="auto"/>
        <w:rPr>
          <w:sz w:val="20"/>
          <w:szCs w:val="20"/>
        </w:rPr>
      </w:pPr>
    </w:p>
    <w:p w14:paraId="012DE344" w14:textId="37AC42BD" w:rsidR="001E5887" w:rsidRPr="0064597D" w:rsidRDefault="00CF53D8" w:rsidP="00A13065">
      <w:pPr>
        <w:numPr>
          <w:ilvl w:val="0"/>
          <w:numId w:val="1"/>
        </w:numPr>
        <w:tabs>
          <w:tab w:val="left" w:pos="567"/>
          <w:tab w:val="num" w:pos="1569"/>
          <w:tab w:val="num" w:pos="12305"/>
        </w:tabs>
        <w:spacing w:line="240" w:lineRule="auto"/>
        <w:ind w:left="0" w:firstLine="0"/>
        <w:rPr>
          <w:sz w:val="20"/>
          <w:szCs w:val="20"/>
        </w:rPr>
      </w:pPr>
      <w:r w:rsidRPr="0064597D">
        <w:rPr>
          <w:rFonts w:eastAsia="Batang"/>
          <w:spacing w:val="-2"/>
          <w:sz w:val="20"/>
          <w:szCs w:val="20"/>
        </w:rPr>
        <w:t xml:space="preserve">Asimismo, de la prueba ofrecida, </w:t>
      </w:r>
      <w:r w:rsidRPr="0064597D">
        <w:rPr>
          <w:sz w:val="20"/>
          <w:szCs w:val="20"/>
          <w:lang w:eastAsia="en-US"/>
        </w:rPr>
        <w:t xml:space="preserve">la Corte da por demostrada la gravedad e intensidad de los severos malos tratos físicos sufridos por el señor Ruiz Fuentes. </w:t>
      </w:r>
      <w:r w:rsidR="00EF6928" w:rsidRPr="0064597D">
        <w:rPr>
          <w:sz w:val="20"/>
          <w:szCs w:val="20"/>
        </w:rPr>
        <w:t>En vista de las</w:t>
      </w:r>
      <w:r w:rsidR="000B7C8E" w:rsidRPr="0064597D">
        <w:rPr>
          <w:sz w:val="20"/>
          <w:szCs w:val="20"/>
        </w:rPr>
        <w:t xml:space="preserve"> graves</w:t>
      </w:r>
      <w:r w:rsidR="00EF6928" w:rsidRPr="0064597D">
        <w:rPr>
          <w:sz w:val="20"/>
          <w:szCs w:val="20"/>
        </w:rPr>
        <w:t xml:space="preserve"> lesiones que presentaba, el señor Ruiz Fuentes tuvo que ser intervenido quirúrgicamente</w:t>
      </w:r>
      <w:r w:rsidR="000B7C8E" w:rsidRPr="0064597D">
        <w:rPr>
          <w:sz w:val="20"/>
          <w:szCs w:val="20"/>
        </w:rPr>
        <w:t xml:space="preserve"> de urgencia</w:t>
      </w:r>
      <w:r w:rsidR="00EF6928" w:rsidRPr="0064597D">
        <w:rPr>
          <w:sz w:val="20"/>
          <w:szCs w:val="20"/>
        </w:rPr>
        <w:t xml:space="preserve"> para efectuarle una “resección de segmento de colon transverso y colostomía en doble boca”</w:t>
      </w:r>
      <w:r w:rsidR="00EF6928" w:rsidRPr="0064597D">
        <w:rPr>
          <w:rStyle w:val="Refdenotaalpie"/>
          <w:sz w:val="20"/>
          <w:szCs w:val="20"/>
        </w:rPr>
        <w:footnoteReference w:id="164"/>
      </w:r>
      <w:r w:rsidR="00D42332" w:rsidRPr="0064597D">
        <w:rPr>
          <w:sz w:val="20"/>
          <w:szCs w:val="20"/>
        </w:rPr>
        <w:t>.</w:t>
      </w:r>
      <w:r w:rsidR="00ED69EA" w:rsidRPr="0064597D">
        <w:rPr>
          <w:sz w:val="20"/>
          <w:szCs w:val="20"/>
        </w:rPr>
        <w:t xml:space="preserve"> La Corte observa además que el señor Ruiz Fuentes permaneció trece días hospitalizado</w:t>
      </w:r>
      <w:r w:rsidR="00ED69EA" w:rsidRPr="0064597D">
        <w:rPr>
          <w:rStyle w:val="Refdenotaalpie"/>
          <w:sz w:val="20"/>
          <w:szCs w:val="20"/>
        </w:rPr>
        <w:footnoteReference w:id="165"/>
      </w:r>
      <w:r w:rsidR="00ED69EA" w:rsidRPr="0064597D">
        <w:rPr>
          <w:sz w:val="20"/>
          <w:szCs w:val="20"/>
        </w:rPr>
        <w:t xml:space="preserve"> y estuvo siete meses utilizando una bolsa de colostomía</w:t>
      </w:r>
      <w:r w:rsidR="00ED69EA" w:rsidRPr="0064597D">
        <w:rPr>
          <w:rStyle w:val="Refdenotaalpie"/>
          <w:sz w:val="20"/>
          <w:szCs w:val="20"/>
        </w:rPr>
        <w:footnoteReference w:id="166"/>
      </w:r>
      <w:r w:rsidR="00ED69EA" w:rsidRPr="0064597D">
        <w:rPr>
          <w:sz w:val="20"/>
          <w:szCs w:val="20"/>
        </w:rPr>
        <w:t xml:space="preserve">. </w:t>
      </w:r>
      <w:r w:rsidR="001E5887" w:rsidRPr="0064597D">
        <w:rPr>
          <w:snapToGrid w:val="0"/>
          <w:sz w:val="20"/>
          <w:szCs w:val="20"/>
        </w:rPr>
        <w:t xml:space="preserve">A lo anterior se suma la declaración de la señora </w:t>
      </w:r>
      <w:r w:rsidR="00A13065" w:rsidRPr="0064597D">
        <w:rPr>
          <w:snapToGrid w:val="0"/>
          <w:sz w:val="20"/>
          <w:szCs w:val="20"/>
        </w:rPr>
        <w:t>A.M.V.</w:t>
      </w:r>
      <w:r w:rsidR="001E5887" w:rsidRPr="0064597D">
        <w:rPr>
          <w:snapToGrid w:val="0"/>
          <w:sz w:val="20"/>
          <w:szCs w:val="20"/>
        </w:rPr>
        <w:t>, pareja del señor Ruiz Fuentes, quien declaró</w:t>
      </w:r>
      <w:r w:rsidR="000B7C8E" w:rsidRPr="0064597D">
        <w:rPr>
          <w:snapToGrid w:val="0"/>
          <w:sz w:val="20"/>
          <w:szCs w:val="20"/>
        </w:rPr>
        <w:t xml:space="preserve"> en la audiencia pública celebrada ante esta Corte</w:t>
      </w:r>
      <w:r w:rsidR="001E5887" w:rsidRPr="0064597D">
        <w:rPr>
          <w:snapToGrid w:val="0"/>
          <w:sz w:val="20"/>
          <w:szCs w:val="20"/>
        </w:rPr>
        <w:t xml:space="preserve"> que el día que lo fue a visitar al hospital observó lo siguiente</w:t>
      </w:r>
      <w:r w:rsidR="0048770D" w:rsidRPr="0064597D">
        <w:rPr>
          <w:snapToGrid w:val="0"/>
          <w:sz w:val="20"/>
          <w:szCs w:val="20"/>
        </w:rPr>
        <w:t>:</w:t>
      </w:r>
    </w:p>
    <w:p w14:paraId="58745F00" w14:textId="77777777" w:rsidR="001E5887" w:rsidRPr="0064597D" w:rsidRDefault="001E5887" w:rsidP="001E5887">
      <w:pPr>
        <w:tabs>
          <w:tab w:val="left" w:pos="567"/>
        </w:tabs>
        <w:spacing w:line="240" w:lineRule="auto"/>
        <w:rPr>
          <w:sz w:val="20"/>
          <w:szCs w:val="20"/>
        </w:rPr>
      </w:pPr>
    </w:p>
    <w:p w14:paraId="036D5ECB" w14:textId="335B885C" w:rsidR="001E5887" w:rsidRPr="0064597D" w:rsidRDefault="001E5887" w:rsidP="001E5887">
      <w:pPr>
        <w:tabs>
          <w:tab w:val="left" w:pos="567"/>
        </w:tabs>
        <w:spacing w:line="240" w:lineRule="auto"/>
        <w:ind w:left="720" w:right="720"/>
        <w:rPr>
          <w:sz w:val="18"/>
          <w:szCs w:val="18"/>
        </w:rPr>
      </w:pPr>
      <w:r w:rsidRPr="0064597D">
        <w:rPr>
          <w:snapToGrid w:val="0"/>
          <w:sz w:val="18"/>
          <w:szCs w:val="18"/>
        </w:rPr>
        <w:t>“[E]staba bien mal, bien golpeado, muy golpeado tenía la gran operación en el estómago, tenía su intestino afuera, todo golpeado su cuerpo, los testículos hinchados, sus canillas estaban, es que dice que lo ataron con alambre de amarre y le cortaron la carne todo, puro el hueso se miraba, él estaba que ni hablaba, no podía platicar. Estaba</w:t>
      </w:r>
      <w:r w:rsidRPr="0064597D">
        <w:rPr>
          <w:sz w:val="18"/>
          <w:szCs w:val="18"/>
        </w:rPr>
        <w:t xml:space="preserve"> muy grave.</w:t>
      </w:r>
      <w:r w:rsidR="00DB0443" w:rsidRPr="0064597D">
        <w:rPr>
          <w:sz w:val="18"/>
          <w:szCs w:val="18"/>
        </w:rPr>
        <w:t xml:space="preserve"> </w:t>
      </w:r>
      <w:r w:rsidRPr="0064597D">
        <w:rPr>
          <w:sz w:val="18"/>
          <w:szCs w:val="18"/>
        </w:rPr>
        <w:t>Yo lo tuve que cuidar durante doce días para estarlo bañando, dándole sus alimentos, porque estaba bien grave”</w:t>
      </w:r>
      <w:r w:rsidRPr="0064597D">
        <w:rPr>
          <w:rStyle w:val="Refdenotaalpie"/>
          <w:snapToGrid w:val="0"/>
          <w:sz w:val="18"/>
          <w:szCs w:val="18"/>
        </w:rPr>
        <w:footnoteReference w:id="167"/>
      </w:r>
      <w:r w:rsidRPr="0064597D">
        <w:rPr>
          <w:sz w:val="18"/>
          <w:szCs w:val="18"/>
        </w:rPr>
        <w:t xml:space="preserve">. </w:t>
      </w:r>
    </w:p>
    <w:p w14:paraId="15DA3DE2" w14:textId="77777777" w:rsidR="001E5887" w:rsidRPr="0064597D" w:rsidRDefault="001E5887" w:rsidP="001E5887">
      <w:pPr>
        <w:tabs>
          <w:tab w:val="left" w:pos="567"/>
        </w:tabs>
        <w:spacing w:line="240" w:lineRule="auto"/>
        <w:ind w:right="720"/>
        <w:rPr>
          <w:sz w:val="20"/>
          <w:szCs w:val="20"/>
        </w:rPr>
      </w:pPr>
    </w:p>
    <w:p w14:paraId="404969EB" w14:textId="0A1F7F4E" w:rsidR="00435ADF" w:rsidRPr="0064597D" w:rsidRDefault="00435ADF" w:rsidP="002C5F8C">
      <w:pPr>
        <w:numPr>
          <w:ilvl w:val="0"/>
          <w:numId w:val="1"/>
        </w:numPr>
        <w:tabs>
          <w:tab w:val="left" w:pos="567"/>
        </w:tabs>
        <w:spacing w:line="240" w:lineRule="auto"/>
        <w:ind w:left="0" w:firstLine="0"/>
        <w:rPr>
          <w:b/>
          <w:i/>
          <w:sz w:val="20"/>
          <w:szCs w:val="20"/>
          <w:lang w:eastAsia="en-US"/>
        </w:rPr>
      </w:pPr>
      <w:r w:rsidRPr="0064597D">
        <w:rPr>
          <w:sz w:val="20"/>
          <w:szCs w:val="20"/>
          <w:lang w:eastAsia="en-US"/>
        </w:rPr>
        <w:t>Por ende,</w:t>
      </w:r>
      <w:r w:rsidR="00FE2F23" w:rsidRPr="0064597D">
        <w:rPr>
          <w:sz w:val="20"/>
          <w:szCs w:val="20"/>
          <w:lang w:eastAsia="en-US"/>
        </w:rPr>
        <w:t xml:space="preserve"> </w:t>
      </w:r>
      <w:r w:rsidR="00FE2F23" w:rsidRPr="0064597D">
        <w:rPr>
          <w:rFonts w:eastAsia="Calibri" w:cs="Helvetica"/>
          <w:sz w:val="20"/>
          <w:szCs w:val="20"/>
          <w:lang w:val="es-MX" w:bidi="en-US"/>
        </w:rPr>
        <w:t>ante el conjunto de</w:t>
      </w:r>
      <w:r w:rsidR="000B3E8C" w:rsidRPr="0064597D">
        <w:rPr>
          <w:rFonts w:eastAsia="Calibri" w:cs="Helvetica"/>
          <w:sz w:val="20"/>
          <w:szCs w:val="20"/>
          <w:lang w:val="es-MX" w:bidi="en-US"/>
        </w:rPr>
        <w:t xml:space="preserve"> los</w:t>
      </w:r>
      <w:r w:rsidR="00FE2F23" w:rsidRPr="0064597D">
        <w:rPr>
          <w:rFonts w:eastAsia="Calibri" w:cs="Helvetica"/>
          <w:sz w:val="20"/>
          <w:szCs w:val="20"/>
          <w:lang w:val="es-MX" w:bidi="en-US"/>
        </w:rPr>
        <w:t xml:space="preserve"> </w:t>
      </w:r>
      <w:r w:rsidR="00C560F7">
        <w:rPr>
          <w:rFonts w:eastAsia="Calibri" w:cs="Helvetica"/>
          <w:sz w:val="20"/>
          <w:szCs w:val="20"/>
          <w:lang w:val="es-MX" w:bidi="en-US"/>
        </w:rPr>
        <w:t>elementos probatorios</w:t>
      </w:r>
      <w:r w:rsidR="00FE2F23" w:rsidRPr="0064597D">
        <w:rPr>
          <w:rFonts w:eastAsia="Calibri" w:cs="Helvetica"/>
          <w:sz w:val="20"/>
          <w:szCs w:val="20"/>
          <w:lang w:val="es-MX" w:bidi="en-US"/>
        </w:rPr>
        <w:t xml:space="preserve"> precisos y concordantes analizados, la Corte ha llegado a la </w:t>
      </w:r>
      <w:r w:rsidR="00FE2F23" w:rsidRPr="0064597D">
        <w:rPr>
          <w:kern w:val="2"/>
          <w:sz w:val="20"/>
          <w:szCs w:val="20"/>
          <w:lang w:eastAsia="en-US"/>
        </w:rPr>
        <w:t>convicción</w:t>
      </w:r>
      <w:r w:rsidR="00FE2F23" w:rsidRPr="0064597D">
        <w:rPr>
          <w:rFonts w:eastAsia="Calibri" w:cs="Helvetica"/>
          <w:sz w:val="20"/>
          <w:szCs w:val="20"/>
          <w:lang w:val="es-MX" w:bidi="en-US"/>
        </w:rPr>
        <w:t xml:space="preserve"> de que, </w:t>
      </w:r>
      <w:r w:rsidR="000B3E8C" w:rsidRPr="0064597D">
        <w:rPr>
          <w:rFonts w:eastAsia="Calibri" w:cs="Helvetica"/>
          <w:sz w:val="20"/>
          <w:szCs w:val="20"/>
          <w:lang w:val="es-MX" w:bidi="en-US"/>
        </w:rPr>
        <w:t>tras ser detenido el 6 de agosto de 1997, el</w:t>
      </w:r>
      <w:r w:rsidRPr="0064597D">
        <w:rPr>
          <w:sz w:val="20"/>
          <w:szCs w:val="20"/>
          <w:lang w:eastAsia="en-US"/>
        </w:rPr>
        <w:t xml:space="preserve"> señor Ruiz Fuentes fue sometido a actos de tortura física, de conformidad con los tres elementos que esta Corte ha enlistado</w:t>
      </w:r>
      <w:r w:rsidR="00777EC1" w:rsidRPr="0064597D">
        <w:rPr>
          <w:sz w:val="20"/>
          <w:szCs w:val="20"/>
          <w:lang w:eastAsia="en-US"/>
        </w:rPr>
        <w:t xml:space="preserve">, en violación </w:t>
      </w:r>
      <w:r w:rsidR="00063252" w:rsidRPr="0064597D">
        <w:rPr>
          <w:sz w:val="20"/>
          <w:szCs w:val="20"/>
          <w:lang w:eastAsia="en-US"/>
        </w:rPr>
        <w:t>de los artículos 5.1 y</w:t>
      </w:r>
      <w:r w:rsidRPr="0064597D">
        <w:rPr>
          <w:sz w:val="20"/>
          <w:szCs w:val="20"/>
          <w:lang w:eastAsia="en-US"/>
        </w:rPr>
        <w:t xml:space="preserve"> 5.2 de la Convención Americana</w:t>
      </w:r>
      <w:r w:rsidR="00777EC1" w:rsidRPr="0064597D">
        <w:rPr>
          <w:sz w:val="20"/>
          <w:szCs w:val="20"/>
          <w:lang w:eastAsia="en-US"/>
        </w:rPr>
        <w:t xml:space="preserve">, </w:t>
      </w:r>
      <w:r w:rsidR="00063252" w:rsidRPr="0064597D">
        <w:rPr>
          <w:bCs/>
          <w:iCs/>
          <w:sz w:val="20"/>
          <w:szCs w:val="20"/>
        </w:rPr>
        <w:t>en relación con el</w:t>
      </w:r>
      <w:r w:rsidR="00777EC1" w:rsidRPr="0064597D">
        <w:rPr>
          <w:bCs/>
          <w:iCs/>
          <w:sz w:val="20"/>
          <w:szCs w:val="20"/>
        </w:rPr>
        <w:t xml:space="preserve"> artículo 1.1 del mismo instrumento</w:t>
      </w:r>
      <w:r w:rsidR="00777EC1" w:rsidRPr="0064597D">
        <w:rPr>
          <w:sz w:val="20"/>
          <w:szCs w:val="20"/>
          <w:lang w:eastAsia="en-US"/>
        </w:rPr>
        <w:t xml:space="preserve">, lo que además constituyó la violación del artículo 1 </w:t>
      </w:r>
      <w:r w:rsidR="00652FEF" w:rsidRPr="0064597D">
        <w:rPr>
          <w:sz w:val="20"/>
          <w:szCs w:val="20"/>
          <w:lang w:eastAsia="en-US"/>
        </w:rPr>
        <w:t xml:space="preserve">y 6 </w:t>
      </w:r>
      <w:r w:rsidR="00777EC1" w:rsidRPr="0064597D">
        <w:rPr>
          <w:sz w:val="20"/>
          <w:szCs w:val="20"/>
          <w:lang w:eastAsia="en-US"/>
        </w:rPr>
        <w:t>de la Convención Interamericana para prevenir y sancionar la tortura</w:t>
      </w:r>
      <w:r w:rsidRPr="0064597D">
        <w:rPr>
          <w:sz w:val="20"/>
          <w:szCs w:val="20"/>
          <w:lang w:eastAsia="en-US"/>
        </w:rPr>
        <w:t>.</w:t>
      </w:r>
      <w:r w:rsidR="002C5F8C" w:rsidRPr="0064597D">
        <w:rPr>
          <w:sz w:val="20"/>
          <w:szCs w:val="20"/>
          <w:lang w:eastAsia="en-US"/>
        </w:rPr>
        <w:t xml:space="preserve"> </w:t>
      </w:r>
    </w:p>
    <w:p w14:paraId="085516FD" w14:textId="77777777" w:rsidR="009E4F6C" w:rsidRPr="0064597D" w:rsidRDefault="00CA5E14" w:rsidP="00377181">
      <w:pPr>
        <w:pStyle w:val="Ttulo3"/>
        <w:rPr>
          <w:lang w:eastAsia="en-US"/>
        </w:rPr>
      </w:pPr>
      <w:bookmarkStart w:id="75" w:name="_Toc24014562"/>
      <w:r w:rsidRPr="0064597D">
        <w:rPr>
          <w:lang w:eastAsia="en-US"/>
        </w:rPr>
        <w:lastRenderedPageBreak/>
        <w:t>b</w:t>
      </w:r>
      <w:r w:rsidR="00984C70" w:rsidRPr="0064597D">
        <w:rPr>
          <w:lang w:eastAsia="en-US"/>
        </w:rPr>
        <w:t>.</w:t>
      </w:r>
      <w:r w:rsidR="002F68E5" w:rsidRPr="0064597D">
        <w:rPr>
          <w:lang w:eastAsia="en-US"/>
        </w:rPr>
        <w:t>2</w:t>
      </w:r>
      <w:r w:rsidR="00984C70" w:rsidRPr="0064597D">
        <w:rPr>
          <w:lang w:eastAsia="en-US"/>
        </w:rPr>
        <w:t xml:space="preserve"> </w:t>
      </w:r>
      <w:r w:rsidR="00984C70" w:rsidRPr="0064597D">
        <w:rPr>
          <w:lang w:eastAsia="en-US"/>
        </w:rPr>
        <w:tab/>
      </w:r>
      <w:r w:rsidR="00F17DC3" w:rsidRPr="0064597D">
        <w:rPr>
          <w:lang w:eastAsia="en-US"/>
        </w:rPr>
        <w:t>Corredor de la muerte</w:t>
      </w:r>
      <w:bookmarkEnd w:id="75"/>
    </w:p>
    <w:p w14:paraId="0AE26BA6" w14:textId="77777777" w:rsidR="00C560F7" w:rsidRPr="0064597D" w:rsidRDefault="00E32B28" w:rsidP="00C560F7">
      <w:pPr>
        <w:widowControl/>
        <w:numPr>
          <w:ilvl w:val="0"/>
          <w:numId w:val="1"/>
        </w:numPr>
        <w:tabs>
          <w:tab w:val="left" w:pos="567"/>
        </w:tabs>
        <w:adjustRightInd/>
        <w:spacing w:line="240" w:lineRule="auto"/>
        <w:ind w:left="0" w:firstLine="0"/>
        <w:contextualSpacing/>
        <w:textAlignment w:val="auto"/>
        <w:rPr>
          <w:bCs/>
          <w:iCs/>
          <w:sz w:val="20"/>
          <w:szCs w:val="20"/>
        </w:rPr>
      </w:pPr>
      <w:r w:rsidRPr="0064597D">
        <w:rPr>
          <w:sz w:val="20"/>
          <w:szCs w:val="20"/>
        </w:rPr>
        <w:t>Como consideración previa, c</w:t>
      </w:r>
      <w:r w:rsidRPr="0064597D">
        <w:rPr>
          <w:bCs/>
          <w:iCs/>
          <w:sz w:val="20"/>
          <w:szCs w:val="20"/>
        </w:rPr>
        <w:t xml:space="preserve">on respecto al </w:t>
      </w:r>
      <w:r w:rsidR="00A91A39" w:rsidRPr="0064597D">
        <w:rPr>
          <w:bCs/>
          <w:iCs/>
          <w:sz w:val="20"/>
          <w:szCs w:val="20"/>
        </w:rPr>
        <w:t>alegato</w:t>
      </w:r>
      <w:r w:rsidRPr="0064597D">
        <w:rPr>
          <w:bCs/>
          <w:iCs/>
          <w:sz w:val="20"/>
          <w:szCs w:val="20"/>
        </w:rPr>
        <w:t xml:space="preserve"> del Estado de que la pena de muerte le fue conmutada </w:t>
      </w:r>
      <w:r w:rsidRPr="0064597D">
        <w:rPr>
          <w:sz w:val="20"/>
          <w:szCs w:val="20"/>
        </w:rPr>
        <w:t>por la pena máxima de privación de libertad</w:t>
      </w:r>
      <w:r w:rsidRPr="0064597D">
        <w:rPr>
          <w:bCs/>
          <w:iCs/>
          <w:sz w:val="20"/>
          <w:szCs w:val="20"/>
        </w:rPr>
        <w:t xml:space="preserve">, la Corte recuerda, tal y como lo ha señalado </w:t>
      </w:r>
      <w:r w:rsidRPr="0064597D">
        <w:rPr>
          <w:bCs/>
          <w:i/>
          <w:iCs/>
          <w:sz w:val="20"/>
          <w:szCs w:val="20"/>
        </w:rPr>
        <w:t>supra</w:t>
      </w:r>
      <w:r w:rsidRPr="0064597D">
        <w:rPr>
          <w:bCs/>
          <w:iCs/>
          <w:sz w:val="20"/>
          <w:szCs w:val="20"/>
        </w:rPr>
        <w:t xml:space="preserve">, que el Estado no ha aportado ningún tipo de prueba que acredite este extremo. </w:t>
      </w:r>
      <w:r w:rsidR="00C560F7" w:rsidRPr="0064597D">
        <w:rPr>
          <w:bCs/>
          <w:iCs/>
          <w:sz w:val="20"/>
          <w:szCs w:val="20"/>
        </w:rPr>
        <w:t>Por otro lado, el Estado informó que en virtud de una decisión de esta Corte en el marco del trámite de medidas provisionales</w:t>
      </w:r>
      <w:r w:rsidR="00C560F7" w:rsidRPr="0064597D">
        <w:rPr>
          <w:rStyle w:val="Refdenotaalpie"/>
          <w:bCs/>
          <w:iCs/>
          <w:sz w:val="20"/>
          <w:szCs w:val="20"/>
        </w:rPr>
        <w:footnoteReference w:id="168"/>
      </w:r>
      <w:r w:rsidR="00C560F7" w:rsidRPr="0064597D">
        <w:rPr>
          <w:bCs/>
          <w:iCs/>
          <w:sz w:val="20"/>
          <w:szCs w:val="20"/>
        </w:rPr>
        <w:t>, el 15 de febrero de 2005 decretó la suspensión provisional de la pena de muerte</w:t>
      </w:r>
      <w:r w:rsidR="00C560F7" w:rsidRPr="0064597D">
        <w:rPr>
          <w:rStyle w:val="Refdenotaalpie"/>
          <w:bCs/>
          <w:iCs/>
          <w:sz w:val="20"/>
          <w:szCs w:val="20"/>
        </w:rPr>
        <w:footnoteReference w:id="169"/>
      </w:r>
      <w:r w:rsidR="00C560F7" w:rsidRPr="0064597D">
        <w:rPr>
          <w:bCs/>
          <w:iCs/>
          <w:sz w:val="20"/>
          <w:szCs w:val="20"/>
        </w:rPr>
        <w:t xml:space="preserve">. </w:t>
      </w:r>
      <w:r w:rsidR="00C560F7" w:rsidRPr="0064597D">
        <w:rPr>
          <w:rFonts w:eastAsia="Calibri"/>
          <w:bCs/>
          <w:kern w:val="2"/>
          <w:sz w:val="20"/>
          <w:szCs w:val="20"/>
          <w:lang w:eastAsia="en-US"/>
        </w:rPr>
        <w:t xml:space="preserve">A este respecto, la Corte observa que, </w:t>
      </w:r>
      <w:r w:rsidR="00C560F7" w:rsidRPr="0064597D">
        <w:rPr>
          <w:bCs/>
          <w:sz w:val="20"/>
          <w:szCs w:val="20"/>
        </w:rPr>
        <w:t>si bien la imposición de la pena se suspendió en virtud de la referida medida provisional, ésta no generó la certeza de que no se ejecutaría la pena en un futuro, por lo que la persona condenada continuaría a la expectativa con posibilidades reales de que ello sucediera.</w:t>
      </w:r>
    </w:p>
    <w:p w14:paraId="48DB18CF" w14:textId="77777777" w:rsidR="00E32B28" w:rsidRPr="0064597D" w:rsidRDefault="00E32B28" w:rsidP="00E32B28">
      <w:pPr>
        <w:widowControl/>
        <w:tabs>
          <w:tab w:val="left" w:pos="567"/>
        </w:tabs>
        <w:adjustRightInd/>
        <w:spacing w:line="240" w:lineRule="auto"/>
        <w:textAlignment w:val="auto"/>
        <w:rPr>
          <w:rFonts w:eastAsia="Calibri"/>
          <w:b/>
          <w:kern w:val="2"/>
          <w:sz w:val="20"/>
          <w:szCs w:val="20"/>
          <w:lang w:eastAsia="en-US"/>
        </w:rPr>
      </w:pPr>
    </w:p>
    <w:p w14:paraId="5A575C19" w14:textId="3A369F93" w:rsidR="00E32B28" w:rsidRPr="0064597D" w:rsidRDefault="003F753F" w:rsidP="00E32B28">
      <w:pPr>
        <w:widowControl/>
        <w:numPr>
          <w:ilvl w:val="0"/>
          <w:numId w:val="1"/>
        </w:numPr>
        <w:tabs>
          <w:tab w:val="left" w:pos="567"/>
        </w:tabs>
        <w:adjustRightInd/>
        <w:spacing w:line="240" w:lineRule="auto"/>
        <w:ind w:left="0" w:firstLine="0"/>
        <w:textAlignment w:val="auto"/>
        <w:rPr>
          <w:rFonts w:eastAsia="Calibri"/>
          <w:b/>
          <w:kern w:val="2"/>
          <w:sz w:val="20"/>
          <w:szCs w:val="20"/>
          <w:lang w:eastAsia="en-US"/>
        </w:rPr>
      </w:pPr>
      <w:r w:rsidRPr="0064597D">
        <w:rPr>
          <w:sz w:val="20"/>
          <w:szCs w:val="20"/>
        </w:rPr>
        <w:t>A continuación</w:t>
      </w:r>
      <w:r w:rsidR="00E32B28" w:rsidRPr="0064597D">
        <w:rPr>
          <w:sz w:val="20"/>
          <w:szCs w:val="20"/>
        </w:rPr>
        <w:t xml:space="preserve"> corresponde a la Corte determinar si los hechos sufridos por el señor Ruiz Fuente</w:t>
      </w:r>
      <w:r w:rsidR="00D84387" w:rsidRPr="0064597D">
        <w:rPr>
          <w:sz w:val="20"/>
          <w:szCs w:val="20"/>
        </w:rPr>
        <w:t>s</w:t>
      </w:r>
      <w:r w:rsidR="00E32B28" w:rsidRPr="0064597D">
        <w:rPr>
          <w:sz w:val="20"/>
          <w:szCs w:val="20"/>
        </w:rPr>
        <w:t xml:space="preserve"> tras su condena a pena de muerte constituyeron, en este caso en concreto, un trato cruel, inhumano y degradante a la luz del artículo 5.1 y 5.2 de la Convención.</w:t>
      </w:r>
    </w:p>
    <w:p w14:paraId="3E0908AA" w14:textId="77777777" w:rsidR="00E32B28" w:rsidRPr="0064597D" w:rsidRDefault="00E32B28" w:rsidP="00E32B28">
      <w:pPr>
        <w:widowControl/>
        <w:tabs>
          <w:tab w:val="left" w:pos="567"/>
        </w:tabs>
        <w:adjustRightInd/>
        <w:spacing w:line="240" w:lineRule="auto"/>
        <w:textAlignment w:val="auto"/>
        <w:rPr>
          <w:rFonts w:eastAsia="Calibri"/>
          <w:b/>
          <w:kern w:val="2"/>
          <w:sz w:val="20"/>
          <w:szCs w:val="20"/>
          <w:lang w:eastAsia="en-US"/>
        </w:rPr>
      </w:pPr>
    </w:p>
    <w:p w14:paraId="564EB3C5" w14:textId="221EC6A1" w:rsidR="004665E2" w:rsidRPr="0064597D" w:rsidRDefault="00F32B5B" w:rsidP="000E3A01">
      <w:pPr>
        <w:widowControl/>
        <w:numPr>
          <w:ilvl w:val="0"/>
          <w:numId w:val="1"/>
        </w:numPr>
        <w:tabs>
          <w:tab w:val="left" w:pos="567"/>
        </w:tabs>
        <w:adjustRightInd/>
        <w:spacing w:line="240" w:lineRule="auto"/>
        <w:ind w:left="0" w:firstLine="0"/>
        <w:textAlignment w:val="auto"/>
        <w:rPr>
          <w:rFonts w:cs="AmnestyTradeGothic"/>
          <w:sz w:val="20"/>
          <w:szCs w:val="20"/>
        </w:rPr>
      </w:pPr>
      <w:r w:rsidRPr="0064597D">
        <w:rPr>
          <w:kern w:val="2"/>
          <w:sz w:val="20"/>
          <w:szCs w:val="20"/>
          <w:lang w:eastAsia="en-US"/>
        </w:rPr>
        <w:t xml:space="preserve">Esta Corte ha tenido oportunidad de pronunciarse al respecto del llamado “fenómeno del corredor de la muerte” </w:t>
      </w:r>
      <w:r w:rsidR="00E32B28" w:rsidRPr="0064597D">
        <w:rPr>
          <w:rStyle w:val="Textoennegrita"/>
          <w:b w:val="0"/>
          <w:sz w:val="20"/>
          <w:szCs w:val="20"/>
        </w:rPr>
        <w:t>en el caso</w:t>
      </w:r>
      <w:r w:rsidR="00E32B28" w:rsidRPr="0064597D">
        <w:rPr>
          <w:rStyle w:val="Textoennegrita"/>
          <w:b w:val="0"/>
          <w:i/>
          <w:sz w:val="20"/>
          <w:szCs w:val="20"/>
        </w:rPr>
        <w:t xml:space="preserve"> Hilaire, Constantine y Benjamin y otros Vs. Trinidad y Tobago</w:t>
      </w:r>
      <w:r w:rsidR="00E32B28" w:rsidRPr="0064597D">
        <w:rPr>
          <w:rStyle w:val="Refdenotaalpie"/>
          <w:bCs/>
          <w:sz w:val="20"/>
          <w:szCs w:val="20"/>
        </w:rPr>
        <w:footnoteReference w:id="170"/>
      </w:r>
      <w:r w:rsidR="00E32B28" w:rsidRPr="0064597D">
        <w:rPr>
          <w:kern w:val="2"/>
          <w:sz w:val="20"/>
          <w:szCs w:val="20"/>
          <w:lang w:eastAsia="en-US"/>
        </w:rPr>
        <w:t xml:space="preserve"> y </w:t>
      </w:r>
      <w:r w:rsidRPr="0064597D">
        <w:rPr>
          <w:kern w:val="2"/>
          <w:sz w:val="20"/>
          <w:szCs w:val="20"/>
          <w:lang w:eastAsia="en-US"/>
        </w:rPr>
        <w:t>en el caso</w:t>
      </w:r>
      <w:r w:rsidRPr="0064597D">
        <w:rPr>
          <w:b/>
          <w:kern w:val="2"/>
          <w:sz w:val="20"/>
          <w:szCs w:val="20"/>
          <w:lang w:eastAsia="en-US"/>
        </w:rPr>
        <w:t xml:space="preserve"> </w:t>
      </w:r>
      <w:r w:rsidRPr="0064597D">
        <w:rPr>
          <w:rStyle w:val="Textoennegrita"/>
          <w:b w:val="0"/>
          <w:i/>
          <w:sz w:val="20"/>
          <w:szCs w:val="20"/>
        </w:rPr>
        <w:t>Raxcacó Reyes Vs. Guatemala</w:t>
      </w:r>
      <w:r w:rsidRPr="0064597D">
        <w:rPr>
          <w:rStyle w:val="Refdenotaalpie"/>
          <w:bCs/>
          <w:sz w:val="20"/>
          <w:szCs w:val="20"/>
        </w:rPr>
        <w:footnoteReference w:id="171"/>
      </w:r>
      <w:r w:rsidRPr="0064597D">
        <w:rPr>
          <w:rStyle w:val="Textoennegrita"/>
          <w:b w:val="0"/>
          <w:sz w:val="20"/>
          <w:szCs w:val="20"/>
        </w:rPr>
        <w:t xml:space="preserve">. </w:t>
      </w:r>
      <w:r w:rsidR="00C560F7" w:rsidRPr="0064597D">
        <w:rPr>
          <w:sz w:val="20"/>
          <w:szCs w:val="20"/>
          <w:lang w:val="es-CO"/>
        </w:rPr>
        <w:t>Asimismo</w:t>
      </w:r>
      <w:r w:rsidR="00C560F7" w:rsidRPr="0064597D">
        <w:rPr>
          <w:sz w:val="20"/>
          <w:szCs w:val="20"/>
        </w:rPr>
        <w:t>, el Tribunal Europeo de Derechos Humanos</w:t>
      </w:r>
      <w:r w:rsidR="00C560F7" w:rsidRPr="0064597D">
        <w:rPr>
          <w:rStyle w:val="Refdenotaalpie"/>
          <w:rFonts w:cs="AmnestyTradeGothic"/>
          <w:sz w:val="20"/>
          <w:szCs w:val="20"/>
        </w:rPr>
        <w:footnoteReference w:id="172"/>
      </w:r>
      <w:r w:rsidR="00C560F7" w:rsidRPr="0064597D">
        <w:rPr>
          <w:sz w:val="20"/>
          <w:szCs w:val="20"/>
        </w:rPr>
        <w:t>, el Sistema Universal de Derechos Humanos</w:t>
      </w:r>
      <w:r w:rsidR="00C560F7" w:rsidRPr="0064597D">
        <w:rPr>
          <w:rStyle w:val="Refdenotaalpie"/>
          <w:sz w:val="20"/>
          <w:szCs w:val="20"/>
        </w:rPr>
        <w:footnoteReference w:id="173"/>
      </w:r>
      <w:r w:rsidR="00C560F7" w:rsidRPr="0064597D">
        <w:rPr>
          <w:sz w:val="20"/>
          <w:szCs w:val="20"/>
        </w:rPr>
        <w:t xml:space="preserve"> y algunos tribunales nacionales</w:t>
      </w:r>
      <w:r w:rsidR="00C560F7" w:rsidRPr="0064597D">
        <w:rPr>
          <w:rStyle w:val="Refdenotaalpie"/>
          <w:sz w:val="20"/>
          <w:szCs w:val="20"/>
        </w:rPr>
        <w:footnoteReference w:id="174"/>
      </w:r>
      <w:r w:rsidR="00C560F7" w:rsidRPr="0064597D">
        <w:rPr>
          <w:sz w:val="20"/>
          <w:szCs w:val="20"/>
        </w:rPr>
        <w:t xml:space="preserve"> advierten que el llamado “corredor de la muerte” causa una afectación al derecho a la integridad personal por la angustia en la que se encuentran </w:t>
      </w:r>
      <w:r w:rsidR="00C560F7" w:rsidRPr="0064597D">
        <w:rPr>
          <w:kern w:val="2"/>
          <w:sz w:val="20"/>
          <w:szCs w:val="20"/>
          <w:lang w:eastAsia="en-US"/>
        </w:rPr>
        <w:t>las</w:t>
      </w:r>
      <w:r w:rsidR="00C560F7" w:rsidRPr="0064597D">
        <w:rPr>
          <w:sz w:val="20"/>
          <w:szCs w:val="20"/>
        </w:rPr>
        <w:t xml:space="preserve"> personas condenadas a muerte, situación, que genera traumas psicológicos por la manifestación presente y creciente de la ejecución de la pena máxima</w:t>
      </w:r>
      <w:r w:rsidR="00C560F7" w:rsidRPr="0064597D">
        <w:rPr>
          <w:rStyle w:val="Refdenotaalpie"/>
          <w:sz w:val="20"/>
          <w:szCs w:val="20"/>
        </w:rPr>
        <w:footnoteReference w:id="175"/>
      </w:r>
      <w:r w:rsidR="00C560F7" w:rsidRPr="0064597D">
        <w:rPr>
          <w:sz w:val="20"/>
          <w:szCs w:val="20"/>
        </w:rPr>
        <w:t>, por ende, es considerado como un trato cruel inhumano y degradante.</w:t>
      </w:r>
      <w:r w:rsidR="00C560F7">
        <w:rPr>
          <w:sz w:val="20"/>
          <w:szCs w:val="20"/>
        </w:rPr>
        <w:t xml:space="preserve"> </w:t>
      </w:r>
      <w:r w:rsidR="00E32B28" w:rsidRPr="0064597D">
        <w:rPr>
          <w:rStyle w:val="Textoennegrita"/>
          <w:b w:val="0"/>
          <w:sz w:val="20"/>
          <w:szCs w:val="20"/>
        </w:rPr>
        <w:t xml:space="preserve">La Corte observa que, </w:t>
      </w:r>
      <w:r w:rsidR="00196EEB" w:rsidRPr="0064597D">
        <w:rPr>
          <w:rStyle w:val="Textoennegrita"/>
          <w:b w:val="0"/>
          <w:sz w:val="20"/>
          <w:szCs w:val="20"/>
        </w:rPr>
        <w:t xml:space="preserve">tanto </w:t>
      </w:r>
      <w:r w:rsidR="00E32B28" w:rsidRPr="0064597D">
        <w:rPr>
          <w:rStyle w:val="Textoennegrita"/>
          <w:b w:val="0"/>
          <w:sz w:val="20"/>
          <w:szCs w:val="20"/>
        </w:rPr>
        <w:t xml:space="preserve">en </w:t>
      </w:r>
      <w:r w:rsidRPr="0064597D">
        <w:rPr>
          <w:sz w:val="20"/>
          <w:szCs w:val="20"/>
        </w:rPr>
        <w:t xml:space="preserve">el </w:t>
      </w:r>
      <w:r w:rsidRPr="0064597D">
        <w:rPr>
          <w:i/>
          <w:sz w:val="20"/>
          <w:szCs w:val="20"/>
        </w:rPr>
        <w:t>caso Hilaire, Constantine y Benjamin y otros Vs. Trinidad y Tobago</w:t>
      </w:r>
      <w:r w:rsidR="00E32B28" w:rsidRPr="0064597D">
        <w:rPr>
          <w:sz w:val="20"/>
          <w:szCs w:val="20"/>
        </w:rPr>
        <w:t xml:space="preserve"> </w:t>
      </w:r>
      <w:r w:rsidR="00196EEB" w:rsidRPr="0064597D">
        <w:rPr>
          <w:sz w:val="20"/>
          <w:szCs w:val="20"/>
        </w:rPr>
        <w:t xml:space="preserve">como en el caso </w:t>
      </w:r>
      <w:r w:rsidR="00196EEB" w:rsidRPr="0064597D">
        <w:rPr>
          <w:i/>
          <w:sz w:val="20"/>
          <w:szCs w:val="20"/>
        </w:rPr>
        <w:t>Raxcacó Reyes Vs. Guatemala</w:t>
      </w:r>
      <w:r w:rsidR="00196EEB" w:rsidRPr="0064597D">
        <w:rPr>
          <w:sz w:val="20"/>
          <w:szCs w:val="20"/>
        </w:rPr>
        <w:t xml:space="preserve"> </w:t>
      </w:r>
      <w:r w:rsidR="00113A46" w:rsidRPr="0064597D">
        <w:rPr>
          <w:sz w:val="20"/>
          <w:szCs w:val="20"/>
        </w:rPr>
        <w:t xml:space="preserve">se </w:t>
      </w:r>
      <w:r w:rsidR="00E32B28" w:rsidRPr="0064597D">
        <w:rPr>
          <w:sz w:val="20"/>
          <w:szCs w:val="20"/>
        </w:rPr>
        <w:t xml:space="preserve">realizó una valoración de los peritajes aportados relativos a las condiciones de detención </w:t>
      </w:r>
      <w:r w:rsidR="00196EEB" w:rsidRPr="0064597D">
        <w:rPr>
          <w:sz w:val="20"/>
          <w:szCs w:val="20"/>
        </w:rPr>
        <w:t>específicas</w:t>
      </w:r>
      <w:r w:rsidR="00113A46" w:rsidRPr="0064597D">
        <w:rPr>
          <w:sz w:val="20"/>
          <w:szCs w:val="20"/>
        </w:rPr>
        <w:t xml:space="preserve"> y propias de las personas condenadas a muerte y v</w:t>
      </w:r>
      <w:r w:rsidR="00196EEB" w:rsidRPr="0064597D">
        <w:rPr>
          <w:sz w:val="20"/>
          <w:szCs w:val="20"/>
        </w:rPr>
        <w:t xml:space="preserve">íctimas del caso, así como sobre el impacto concreto sobre ellas, </w:t>
      </w:r>
      <w:r w:rsidR="00113A46" w:rsidRPr="0064597D">
        <w:rPr>
          <w:sz w:val="20"/>
          <w:szCs w:val="20"/>
        </w:rPr>
        <w:t>las cuales</w:t>
      </w:r>
      <w:r w:rsidR="00E32B28" w:rsidRPr="0064597D">
        <w:rPr>
          <w:sz w:val="20"/>
          <w:szCs w:val="20"/>
        </w:rPr>
        <w:t xml:space="preserve"> condujeron a una violación de los artículos 5.1 y 5.2 de la Convención Americana, en relación con el artículo 1.1 del mismo instrumento</w:t>
      </w:r>
      <w:r w:rsidR="00E32B28" w:rsidRPr="0064597D">
        <w:rPr>
          <w:rStyle w:val="Refdenotaalpie"/>
          <w:sz w:val="20"/>
          <w:szCs w:val="20"/>
        </w:rPr>
        <w:footnoteReference w:id="176"/>
      </w:r>
      <w:r w:rsidRPr="0064597D">
        <w:rPr>
          <w:sz w:val="20"/>
          <w:szCs w:val="20"/>
        </w:rPr>
        <w:t xml:space="preserve">. </w:t>
      </w:r>
      <w:r w:rsidR="00C665EE" w:rsidRPr="0064597D">
        <w:rPr>
          <w:rFonts w:eastAsia="Calibri" w:cs="Calibri"/>
          <w:sz w:val="20"/>
          <w:szCs w:val="20"/>
        </w:rPr>
        <w:t xml:space="preserve">A la vista de lo anterior, para determinar la existencia de una violación a la integridad personal derivada del fenómeno del corredor de la muerte, es necesario analizar las circunstancias personales </w:t>
      </w:r>
      <w:r w:rsidR="00E60B4C" w:rsidRPr="0064597D">
        <w:rPr>
          <w:rFonts w:eastAsia="Calibri" w:cs="Calibri"/>
          <w:sz w:val="20"/>
          <w:szCs w:val="20"/>
        </w:rPr>
        <w:t xml:space="preserve">y </w:t>
      </w:r>
      <w:r w:rsidR="00C665EE" w:rsidRPr="0064597D">
        <w:rPr>
          <w:rFonts w:eastAsia="Calibri" w:cs="Calibri"/>
          <w:sz w:val="20"/>
          <w:szCs w:val="20"/>
        </w:rPr>
        <w:lastRenderedPageBreak/>
        <w:t xml:space="preserve">particulares del caso para poder valorar si un determinado trato o pena </w:t>
      </w:r>
      <w:r w:rsidR="00E60B4C" w:rsidRPr="0064597D">
        <w:rPr>
          <w:rFonts w:eastAsia="Calibri" w:cs="Calibri"/>
          <w:sz w:val="20"/>
          <w:szCs w:val="20"/>
        </w:rPr>
        <w:t>alcanzó el</w:t>
      </w:r>
      <w:r w:rsidR="00C665EE" w:rsidRPr="0064597D">
        <w:rPr>
          <w:rFonts w:eastAsia="Calibri" w:cs="Calibri"/>
          <w:sz w:val="20"/>
          <w:szCs w:val="20"/>
        </w:rPr>
        <w:t xml:space="preserve"> nivel mínimo de gravedad para calificarse como cruel, inhumano o degradante</w:t>
      </w:r>
      <w:r w:rsidR="00C665EE" w:rsidRPr="0064597D">
        <w:rPr>
          <w:rStyle w:val="Refdenotaalpie"/>
          <w:rFonts w:eastAsia="Calibri" w:cs="Calibri"/>
          <w:sz w:val="20"/>
          <w:szCs w:val="20"/>
        </w:rPr>
        <w:footnoteReference w:id="177"/>
      </w:r>
      <w:r w:rsidR="00C665EE" w:rsidRPr="0064597D">
        <w:rPr>
          <w:rFonts w:eastAsia="Calibri" w:cs="Calibri"/>
          <w:sz w:val="20"/>
          <w:szCs w:val="20"/>
        </w:rPr>
        <w:t>.</w:t>
      </w:r>
      <w:r w:rsidR="00DC2970" w:rsidRPr="0064597D">
        <w:rPr>
          <w:rFonts w:eastAsia="Calibri" w:cs="Calibri"/>
          <w:sz w:val="20"/>
          <w:szCs w:val="20"/>
        </w:rPr>
        <w:t xml:space="preserve"> </w:t>
      </w:r>
    </w:p>
    <w:p w14:paraId="6273D5D4" w14:textId="77777777" w:rsidR="00C560F7" w:rsidRPr="00C560F7" w:rsidRDefault="00C560F7" w:rsidP="00C560F7">
      <w:pPr>
        <w:widowControl/>
        <w:tabs>
          <w:tab w:val="left" w:pos="567"/>
        </w:tabs>
        <w:adjustRightInd/>
        <w:spacing w:line="240" w:lineRule="auto"/>
        <w:contextualSpacing/>
        <w:textAlignment w:val="auto"/>
        <w:rPr>
          <w:bCs/>
          <w:iCs/>
          <w:sz w:val="20"/>
          <w:szCs w:val="20"/>
        </w:rPr>
      </w:pPr>
    </w:p>
    <w:p w14:paraId="45D78C11" w14:textId="5DAED6C4" w:rsidR="004665E2" w:rsidRPr="0064597D" w:rsidRDefault="0025643C" w:rsidP="000E3A01">
      <w:pPr>
        <w:widowControl/>
        <w:numPr>
          <w:ilvl w:val="0"/>
          <w:numId w:val="1"/>
        </w:numPr>
        <w:tabs>
          <w:tab w:val="left" w:pos="567"/>
        </w:tabs>
        <w:adjustRightInd/>
        <w:spacing w:line="240" w:lineRule="auto"/>
        <w:ind w:left="0" w:firstLine="0"/>
        <w:contextualSpacing/>
        <w:textAlignment w:val="auto"/>
        <w:rPr>
          <w:bCs/>
          <w:iCs/>
          <w:sz w:val="20"/>
          <w:szCs w:val="20"/>
        </w:rPr>
      </w:pPr>
      <w:r w:rsidRPr="0064597D">
        <w:rPr>
          <w:sz w:val="20"/>
          <w:szCs w:val="20"/>
        </w:rPr>
        <w:t>L</w:t>
      </w:r>
      <w:r w:rsidR="00642788" w:rsidRPr="0064597D">
        <w:rPr>
          <w:sz w:val="20"/>
          <w:szCs w:val="20"/>
        </w:rPr>
        <w:t>a</w:t>
      </w:r>
      <w:r w:rsidR="00642788" w:rsidRPr="0064597D">
        <w:rPr>
          <w:rFonts w:eastAsia="Calibri"/>
          <w:kern w:val="2"/>
          <w:sz w:val="20"/>
          <w:szCs w:val="20"/>
          <w:lang w:eastAsia="en-US"/>
        </w:rPr>
        <w:t xml:space="preserve"> Corte observa </w:t>
      </w:r>
      <w:r w:rsidR="0070405E">
        <w:rPr>
          <w:rFonts w:eastAsia="Calibri"/>
          <w:kern w:val="2"/>
          <w:sz w:val="20"/>
          <w:szCs w:val="20"/>
          <w:lang w:eastAsia="en-US"/>
        </w:rPr>
        <w:t xml:space="preserve">en primer lugar </w:t>
      </w:r>
      <w:r w:rsidR="00642788" w:rsidRPr="0064597D">
        <w:rPr>
          <w:rFonts w:eastAsia="Calibri"/>
          <w:kern w:val="2"/>
          <w:sz w:val="20"/>
          <w:szCs w:val="20"/>
          <w:lang w:eastAsia="en-US"/>
        </w:rPr>
        <w:t xml:space="preserve">que </w:t>
      </w:r>
      <w:r w:rsidR="00642788" w:rsidRPr="0064597D">
        <w:rPr>
          <w:sz w:val="20"/>
          <w:szCs w:val="20"/>
          <w:lang w:val="es-ES_tradnl"/>
        </w:rPr>
        <w:t xml:space="preserve">el señor Ruiz Fuentes permaneció durante 6 años y 5 meses bajo una constante amenaza de que en cualquier momento podía ser ejecutado. </w:t>
      </w:r>
      <w:r w:rsidR="004665E2" w:rsidRPr="0064597D">
        <w:rPr>
          <w:sz w:val="20"/>
          <w:szCs w:val="20"/>
          <w:lang w:val="es-ES_tradnl"/>
        </w:rPr>
        <w:t>C</w:t>
      </w:r>
      <w:r w:rsidR="00642788" w:rsidRPr="0064597D">
        <w:rPr>
          <w:color w:val="000000" w:themeColor="text1"/>
          <w:sz w:val="20"/>
          <w:szCs w:val="20"/>
        </w:rPr>
        <w:t>omo resultado de esta sentencia condenatoria</w:t>
      </w:r>
      <w:r w:rsidR="00AE047F" w:rsidRPr="0064597D">
        <w:rPr>
          <w:color w:val="000000" w:themeColor="text1"/>
          <w:sz w:val="20"/>
          <w:szCs w:val="20"/>
        </w:rPr>
        <w:t>,</w:t>
      </w:r>
      <w:r w:rsidR="00642788" w:rsidRPr="0064597D">
        <w:rPr>
          <w:color w:val="000000" w:themeColor="text1"/>
          <w:sz w:val="20"/>
          <w:szCs w:val="20"/>
        </w:rPr>
        <w:t xml:space="preserve"> </w:t>
      </w:r>
      <w:r w:rsidR="00642788" w:rsidRPr="0064597D">
        <w:rPr>
          <w:sz w:val="20"/>
          <w:szCs w:val="20"/>
        </w:rPr>
        <w:t>el señor Ruiz Fuentes tuvo que contemplar la</w:t>
      </w:r>
      <w:r w:rsidR="00642788" w:rsidRPr="0064597D">
        <w:rPr>
          <w:spacing w:val="23"/>
          <w:sz w:val="20"/>
          <w:szCs w:val="20"/>
        </w:rPr>
        <w:t xml:space="preserve"> </w:t>
      </w:r>
      <w:r w:rsidR="00642788" w:rsidRPr="0064597D">
        <w:rPr>
          <w:sz w:val="20"/>
          <w:szCs w:val="20"/>
        </w:rPr>
        <w:t>perspectiva</w:t>
      </w:r>
      <w:r w:rsidR="00642788" w:rsidRPr="0064597D">
        <w:rPr>
          <w:spacing w:val="10"/>
          <w:sz w:val="20"/>
          <w:szCs w:val="20"/>
        </w:rPr>
        <w:t xml:space="preserve"> </w:t>
      </w:r>
      <w:r w:rsidR="00642788" w:rsidRPr="0064597D">
        <w:rPr>
          <w:sz w:val="20"/>
          <w:szCs w:val="20"/>
        </w:rPr>
        <w:t>de</w:t>
      </w:r>
      <w:r w:rsidR="00642788" w:rsidRPr="0064597D">
        <w:rPr>
          <w:spacing w:val="8"/>
          <w:sz w:val="20"/>
          <w:szCs w:val="20"/>
        </w:rPr>
        <w:t xml:space="preserve"> </w:t>
      </w:r>
      <w:r w:rsidR="00642788" w:rsidRPr="0064597D">
        <w:rPr>
          <w:sz w:val="20"/>
          <w:szCs w:val="20"/>
        </w:rPr>
        <w:t>la extinción de su vida</w:t>
      </w:r>
      <w:r w:rsidR="00642788" w:rsidRPr="0064597D">
        <w:rPr>
          <w:rStyle w:val="Refdenotaalpie"/>
          <w:sz w:val="20"/>
          <w:szCs w:val="20"/>
        </w:rPr>
        <w:footnoteReference w:id="178"/>
      </w:r>
      <w:r w:rsidR="00642788" w:rsidRPr="0064597D">
        <w:rPr>
          <w:sz w:val="20"/>
          <w:szCs w:val="20"/>
        </w:rPr>
        <w:t xml:space="preserve"> durante </w:t>
      </w:r>
      <w:r w:rsidR="004665E2" w:rsidRPr="0064597D">
        <w:rPr>
          <w:sz w:val="20"/>
          <w:szCs w:val="20"/>
        </w:rPr>
        <w:t>dicho tiempo</w:t>
      </w:r>
      <w:r w:rsidR="00642788" w:rsidRPr="0064597D">
        <w:rPr>
          <w:bCs/>
          <w:iCs/>
          <w:sz w:val="20"/>
          <w:szCs w:val="20"/>
        </w:rPr>
        <w:t>.</w:t>
      </w:r>
      <w:r w:rsidR="0070405E">
        <w:rPr>
          <w:bCs/>
          <w:iCs/>
          <w:sz w:val="20"/>
          <w:szCs w:val="20"/>
        </w:rPr>
        <w:t xml:space="preserve"> Asimismo, l</w:t>
      </w:r>
      <w:r w:rsidR="00DC2970" w:rsidRPr="0064597D">
        <w:rPr>
          <w:sz w:val="20"/>
          <w:szCs w:val="20"/>
        </w:rPr>
        <w:t>a Corte destaca que</w:t>
      </w:r>
      <w:r w:rsidRPr="0064597D">
        <w:rPr>
          <w:sz w:val="20"/>
          <w:szCs w:val="20"/>
        </w:rPr>
        <w:t xml:space="preserve"> la forma en la que se impone una condena a pena de muerte puede constituir un factor que determine su incompatibilidad con lo establecido en el artículo 5 de la Convención Americana</w:t>
      </w:r>
      <w:r w:rsidRPr="0064597D">
        <w:rPr>
          <w:rStyle w:val="Refdenotaalpie"/>
          <w:sz w:val="20"/>
          <w:szCs w:val="20"/>
        </w:rPr>
        <w:footnoteReference w:id="179"/>
      </w:r>
      <w:r w:rsidRPr="0064597D">
        <w:rPr>
          <w:sz w:val="20"/>
          <w:szCs w:val="20"/>
        </w:rPr>
        <w:t xml:space="preserve">. La Corte </w:t>
      </w:r>
      <w:r w:rsidR="0070405E">
        <w:rPr>
          <w:sz w:val="20"/>
          <w:szCs w:val="20"/>
        </w:rPr>
        <w:t>advierte</w:t>
      </w:r>
      <w:r w:rsidRPr="0064597D">
        <w:rPr>
          <w:sz w:val="20"/>
          <w:szCs w:val="20"/>
        </w:rPr>
        <w:t xml:space="preserve"> que </w:t>
      </w:r>
      <w:r w:rsidR="00642788" w:rsidRPr="0064597D">
        <w:rPr>
          <w:sz w:val="20"/>
          <w:szCs w:val="20"/>
          <w:lang w:val="es-ES_tradnl"/>
        </w:rPr>
        <w:t xml:space="preserve">el señor Ruiz Fuentes fue condenado a la pena capital en el marco de un procedimiento penal en el que se produjeron patentes violaciones de los artículos 4.2 y 4.6 de la Convención, y en violación de varios preceptos relativos al debido proceso en el marco del procedimiento penal (ver </w:t>
      </w:r>
      <w:r w:rsidR="00642788" w:rsidRPr="0064597D">
        <w:rPr>
          <w:i/>
          <w:sz w:val="20"/>
          <w:szCs w:val="20"/>
          <w:lang w:val="es-ES_tradnl"/>
        </w:rPr>
        <w:t>infra</w:t>
      </w:r>
      <w:r w:rsidR="00642788" w:rsidRPr="0064597D">
        <w:rPr>
          <w:sz w:val="20"/>
          <w:szCs w:val="20"/>
          <w:lang w:val="es-ES_tradnl"/>
        </w:rPr>
        <w:t xml:space="preserve"> </w:t>
      </w:r>
      <w:r w:rsidR="007C2F92" w:rsidRPr="0064597D">
        <w:rPr>
          <w:sz w:val="20"/>
          <w:szCs w:val="20"/>
          <w:lang w:val="es-ES_tradnl"/>
        </w:rPr>
        <w:t>párrs. 14</w:t>
      </w:r>
      <w:r w:rsidR="0070405E">
        <w:rPr>
          <w:sz w:val="20"/>
          <w:szCs w:val="20"/>
          <w:lang w:val="es-ES_tradnl"/>
        </w:rPr>
        <w:t>6</w:t>
      </w:r>
      <w:r w:rsidR="007C2F92" w:rsidRPr="0064597D">
        <w:rPr>
          <w:sz w:val="20"/>
          <w:szCs w:val="20"/>
          <w:lang w:val="es-ES_tradnl"/>
        </w:rPr>
        <w:t xml:space="preserve"> a </w:t>
      </w:r>
      <w:r w:rsidR="0070405E">
        <w:rPr>
          <w:sz w:val="20"/>
          <w:szCs w:val="20"/>
          <w:lang w:val="es-ES_tradnl"/>
        </w:rPr>
        <w:t>168</w:t>
      </w:r>
      <w:r w:rsidR="00642788" w:rsidRPr="0064597D">
        <w:rPr>
          <w:sz w:val="20"/>
          <w:szCs w:val="20"/>
          <w:lang w:val="es-ES_tradnl"/>
        </w:rPr>
        <w:t xml:space="preserve">). </w:t>
      </w:r>
      <w:r w:rsidR="00642788" w:rsidRPr="0064597D">
        <w:rPr>
          <w:sz w:val="20"/>
          <w:szCs w:val="20"/>
        </w:rPr>
        <w:t>La Corte considera que el proceso penal al que fue sometido el señor Ruiz Fuentes</w:t>
      </w:r>
      <w:r w:rsidR="00745F52" w:rsidRPr="0064597D">
        <w:rPr>
          <w:sz w:val="20"/>
          <w:szCs w:val="20"/>
        </w:rPr>
        <w:t xml:space="preserve">, </w:t>
      </w:r>
      <w:r w:rsidR="00DC2970" w:rsidRPr="0064597D">
        <w:rPr>
          <w:sz w:val="20"/>
          <w:szCs w:val="20"/>
        </w:rPr>
        <w:t>cuyo resultado</w:t>
      </w:r>
      <w:r w:rsidR="00745F52" w:rsidRPr="0064597D">
        <w:rPr>
          <w:sz w:val="20"/>
          <w:szCs w:val="20"/>
        </w:rPr>
        <w:t xml:space="preserve"> además</w:t>
      </w:r>
      <w:r w:rsidR="00DC2970" w:rsidRPr="0064597D">
        <w:rPr>
          <w:sz w:val="20"/>
          <w:szCs w:val="20"/>
        </w:rPr>
        <w:t xml:space="preserve"> fue la imposición de la pena de muerte</w:t>
      </w:r>
      <w:r w:rsidR="00745F52" w:rsidRPr="0064597D">
        <w:rPr>
          <w:sz w:val="20"/>
          <w:szCs w:val="20"/>
        </w:rPr>
        <w:t>,</w:t>
      </w:r>
      <w:r w:rsidR="00642788" w:rsidRPr="0064597D">
        <w:rPr>
          <w:sz w:val="20"/>
          <w:szCs w:val="20"/>
        </w:rPr>
        <w:t xml:space="preserve"> pudo producirle un profundo sufrimiento, angustia, ansiedad, frustración y estrés, del cual incluso pudo derivar algún tipo de trastorno por estrés post-traumático, tal y como ha sucedido en otros casos de personas condenadas a pena de muerte</w:t>
      </w:r>
      <w:r w:rsidR="00642788" w:rsidRPr="0064597D">
        <w:rPr>
          <w:rStyle w:val="Refdenotaalpie"/>
          <w:sz w:val="20"/>
          <w:szCs w:val="20"/>
        </w:rPr>
        <w:footnoteReference w:id="180"/>
      </w:r>
      <w:r w:rsidR="00642788" w:rsidRPr="0064597D">
        <w:rPr>
          <w:sz w:val="20"/>
          <w:szCs w:val="20"/>
        </w:rPr>
        <w:t>.</w:t>
      </w:r>
    </w:p>
    <w:p w14:paraId="6C4BA0FF" w14:textId="77777777" w:rsidR="004665E2" w:rsidRPr="0064597D" w:rsidRDefault="004665E2" w:rsidP="004665E2">
      <w:pPr>
        <w:widowControl/>
        <w:tabs>
          <w:tab w:val="left" w:pos="567"/>
        </w:tabs>
        <w:adjustRightInd/>
        <w:spacing w:line="240" w:lineRule="auto"/>
        <w:contextualSpacing/>
        <w:textAlignment w:val="auto"/>
        <w:rPr>
          <w:bCs/>
          <w:iCs/>
          <w:sz w:val="20"/>
          <w:szCs w:val="20"/>
        </w:rPr>
      </w:pPr>
    </w:p>
    <w:p w14:paraId="22626BC4" w14:textId="5665602A" w:rsidR="00642788" w:rsidRPr="0064597D" w:rsidRDefault="00642788" w:rsidP="00AE047F">
      <w:pPr>
        <w:widowControl/>
        <w:numPr>
          <w:ilvl w:val="0"/>
          <w:numId w:val="1"/>
        </w:numPr>
        <w:tabs>
          <w:tab w:val="left" w:pos="567"/>
        </w:tabs>
        <w:adjustRightInd/>
        <w:spacing w:line="240" w:lineRule="auto"/>
        <w:ind w:left="0" w:firstLine="0"/>
        <w:contextualSpacing/>
        <w:textAlignment w:val="auto"/>
        <w:rPr>
          <w:bCs/>
          <w:iCs/>
          <w:sz w:val="20"/>
          <w:szCs w:val="20"/>
        </w:rPr>
      </w:pPr>
      <w:r w:rsidRPr="0064597D">
        <w:rPr>
          <w:color w:val="000000" w:themeColor="text1"/>
          <w:sz w:val="20"/>
          <w:szCs w:val="20"/>
        </w:rPr>
        <w:t xml:space="preserve">Por tal motivo, </w:t>
      </w:r>
      <w:r w:rsidRPr="0064597D">
        <w:rPr>
          <w:sz w:val="20"/>
          <w:szCs w:val="20"/>
        </w:rPr>
        <w:t xml:space="preserve">la Corte concluye que el señor Ruiz Fuentes enfrentó graves sufrimientos psíquicos provenientes de la angustia de </w:t>
      </w:r>
      <w:r w:rsidR="003D3DBF">
        <w:rPr>
          <w:sz w:val="20"/>
          <w:szCs w:val="20"/>
        </w:rPr>
        <w:t>encontrarse</w:t>
      </w:r>
      <w:r w:rsidRPr="0064597D">
        <w:rPr>
          <w:sz w:val="20"/>
          <w:szCs w:val="20"/>
        </w:rPr>
        <w:t xml:space="preserve"> en el “corredor de la muerte” tras un procedimiento que tuvo numerosas falencias, lo cual </w:t>
      </w:r>
      <w:r w:rsidRPr="0064597D">
        <w:rPr>
          <w:bCs/>
          <w:iCs/>
          <w:sz w:val="20"/>
          <w:szCs w:val="20"/>
        </w:rPr>
        <w:t>fue violatorio de su derecho a la integridad física, psíquica y moral, contenido en el artículo 5.1 de la Convención Americana y ha constituido un trato cruel, inhumano y degradante contrario al artículo 5.2 de la misma, todo ello con relación al artículo 1.1 del mismo instrumento.</w:t>
      </w:r>
    </w:p>
    <w:p w14:paraId="5D65F099" w14:textId="74E85BFF" w:rsidR="00BB0F77" w:rsidRPr="0064597D" w:rsidRDefault="00832D41" w:rsidP="002F4F08">
      <w:pPr>
        <w:pStyle w:val="Ttulo1"/>
        <w:rPr>
          <w:caps w:val="0"/>
        </w:rPr>
      </w:pPr>
      <w:bookmarkStart w:id="76" w:name="_Toc24014563"/>
      <w:r w:rsidRPr="0064597D">
        <w:t>V</w:t>
      </w:r>
      <w:r w:rsidR="00EA52BD" w:rsidRPr="0064597D">
        <w:t>I</w:t>
      </w:r>
      <w:r w:rsidRPr="0064597D">
        <w:t>II-</w:t>
      </w:r>
      <w:r w:rsidR="00971496" w:rsidRPr="0064597D">
        <w:t>4</w:t>
      </w:r>
      <w:r w:rsidRPr="0064597D">
        <w:br/>
      </w:r>
      <w:r w:rsidR="00BB0F77" w:rsidRPr="0064597D">
        <w:t xml:space="preserve">DERECHO </w:t>
      </w:r>
      <w:r w:rsidR="009D73ED" w:rsidRPr="0064597D">
        <w:t>A LAS GARANTÍAS JUDICIALES</w:t>
      </w:r>
      <w:r w:rsidR="00CC1D10" w:rsidRPr="0064597D">
        <w:t xml:space="preserve"> </w:t>
      </w:r>
      <w:r w:rsidR="001B7763" w:rsidRPr="0064597D">
        <w:t>Y A LA PROTECCIÓN JUDICIAL</w:t>
      </w:r>
      <w:r w:rsidR="001B7763" w:rsidRPr="0064597D">
        <w:rPr>
          <w:rStyle w:val="Refdenotaalpie"/>
        </w:rPr>
        <w:footnoteReference w:id="181"/>
      </w:r>
      <w:bookmarkEnd w:id="76"/>
      <w:r w:rsidRPr="0064597D">
        <w:rPr>
          <w:vertAlign w:val="superscript"/>
        </w:rPr>
        <w:t xml:space="preserve"> </w:t>
      </w:r>
    </w:p>
    <w:p w14:paraId="75FADE15" w14:textId="77777777" w:rsidR="00BB0F77" w:rsidRPr="0064597D" w:rsidRDefault="00BB0F77" w:rsidP="00377181">
      <w:pPr>
        <w:pStyle w:val="Ttulo2"/>
      </w:pPr>
      <w:bookmarkStart w:id="77" w:name="_Toc24014564"/>
      <w:r w:rsidRPr="0064597D">
        <w:t>A.</w:t>
      </w:r>
      <w:r w:rsidRPr="0064597D">
        <w:tab/>
        <w:t>Argumentos de las partes y de la Comisión</w:t>
      </w:r>
      <w:bookmarkEnd w:id="77"/>
    </w:p>
    <w:p w14:paraId="4BB7A68B" w14:textId="432AA0A2" w:rsidR="00FE6E94" w:rsidRPr="0064597D" w:rsidRDefault="000353F2" w:rsidP="00492BBB">
      <w:pPr>
        <w:numPr>
          <w:ilvl w:val="0"/>
          <w:numId w:val="1"/>
        </w:numPr>
        <w:tabs>
          <w:tab w:val="left" w:pos="567"/>
        </w:tabs>
        <w:spacing w:line="240" w:lineRule="auto"/>
        <w:ind w:left="0" w:firstLine="0"/>
        <w:rPr>
          <w:b/>
          <w:sz w:val="20"/>
          <w:szCs w:val="20"/>
        </w:rPr>
      </w:pPr>
      <w:r w:rsidRPr="0064597D">
        <w:rPr>
          <w:sz w:val="20"/>
          <w:szCs w:val="20"/>
        </w:rPr>
        <w:t>En cuanto al procedimiento penal seguido contra el señor Ruiz Fuentes, l</w:t>
      </w:r>
      <w:r w:rsidR="00BB0F77" w:rsidRPr="0064597D">
        <w:rPr>
          <w:sz w:val="20"/>
          <w:szCs w:val="20"/>
        </w:rPr>
        <w:t xml:space="preserve">a </w:t>
      </w:r>
      <w:r w:rsidR="00BB0F77" w:rsidRPr="0064597D">
        <w:rPr>
          <w:b/>
          <w:i/>
          <w:sz w:val="20"/>
          <w:szCs w:val="20"/>
        </w:rPr>
        <w:t>Comisión</w:t>
      </w:r>
      <w:r w:rsidR="00BB0F77" w:rsidRPr="0064597D">
        <w:rPr>
          <w:sz w:val="20"/>
          <w:szCs w:val="20"/>
        </w:rPr>
        <w:t xml:space="preserve"> sostuvo que</w:t>
      </w:r>
      <w:r w:rsidR="00FE6E94" w:rsidRPr="0064597D">
        <w:rPr>
          <w:sz w:val="20"/>
          <w:szCs w:val="20"/>
        </w:rPr>
        <w:t xml:space="preserve"> el señor Ruiz Fuentes se vio impedido de presentar pruebas de descargo a su favor debido a que la persona que ejercía su defensa omitió una formalidad que ocasionó que el Tribunal no le diera trámite al memorial de ofrecimiento de prueba. En este sentido, la Comisión concluyó que la pasividad y omisión de la autoridad judicial estatal comprometió la responsabilidad internacional del Estado en tanto es obligación de los jueces y juezas de efectuar un control de los procesos para asegurarse que toda persona sometida a un proceso penal pueda ejercer su derecho de defensa. </w:t>
      </w:r>
      <w:r w:rsidR="00EC5FD2" w:rsidRPr="0064597D">
        <w:rPr>
          <w:sz w:val="20"/>
          <w:szCs w:val="20"/>
        </w:rPr>
        <w:t xml:space="preserve">En </w:t>
      </w:r>
      <w:r w:rsidR="0034637D" w:rsidRPr="0064597D">
        <w:rPr>
          <w:sz w:val="20"/>
          <w:szCs w:val="20"/>
        </w:rPr>
        <w:t>segundo</w:t>
      </w:r>
      <w:r w:rsidR="00EC5FD2" w:rsidRPr="0064597D">
        <w:rPr>
          <w:sz w:val="20"/>
          <w:szCs w:val="20"/>
        </w:rPr>
        <w:t xml:space="preserve"> lugar, la Comisión señaló que el recurso de apelación especial interpuesto por el señor Ruiz Fuentes contra la sentencia que lo condenó a la pena de muerte no cumplió con los estándares interamericanos</w:t>
      </w:r>
      <w:r w:rsidR="00A35A84" w:rsidRPr="0064597D">
        <w:rPr>
          <w:sz w:val="20"/>
          <w:szCs w:val="20"/>
        </w:rPr>
        <w:t xml:space="preserve"> con respecto al artículo 8.2.h. </w:t>
      </w:r>
      <w:r w:rsidR="00EC5FD2" w:rsidRPr="0064597D">
        <w:rPr>
          <w:sz w:val="20"/>
          <w:szCs w:val="20"/>
        </w:rPr>
        <w:t>Finalmente, la Comisión consideró que ningún de los recursos interpuestos por el señor Ruiz Fuentes fueron efectivos, pues no se analizó el fondo de las cuestiones de debido proceso planteadas por él.</w:t>
      </w:r>
    </w:p>
    <w:p w14:paraId="0E6647D1" w14:textId="77777777" w:rsidR="009C268F" w:rsidRPr="0064597D" w:rsidRDefault="009C268F" w:rsidP="009C268F">
      <w:pPr>
        <w:tabs>
          <w:tab w:val="left" w:pos="567"/>
        </w:tabs>
        <w:spacing w:line="240" w:lineRule="auto"/>
        <w:rPr>
          <w:sz w:val="20"/>
          <w:szCs w:val="20"/>
        </w:rPr>
      </w:pPr>
    </w:p>
    <w:p w14:paraId="5F7D0BD8" w14:textId="312BCD83" w:rsidR="00EC5FD2" w:rsidRPr="0064597D" w:rsidRDefault="009C268F" w:rsidP="00EE3B43">
      <w:pPr>
        <w:numPr>
          <w:ilvl w:val="0"/>
          <w:numId w:val="1"/>
        </w:numPr>
        <w:tabs>
          <w:tab w:val="left" w:pos="567"/>
        </w:tabs>
        <w:spacing w:line="240" w:lineRule="auto"/>
        <w:ind w:left="0" w:firstLine="0"/>
        <w:rPr>
          <w:b/>
          <w:sz w:val="20"/>
          <w:szCs w:val="20"/>
        </w:rPr>
      </w:pPr>
      <w:r w:rsidRPr="0064597D">
        <w:rPr>
          <w:sz w:val="20"/>
          <w:szCs w:val="20"/>
        </w:rPr>
        <w:t xml:space="preserve">Por otro lado, en cuanto la investigación de los actos de tortura sufridos por el señor Ruiz </w:t>
      </w:r>
      <w:r w:rsidRPr="0064597D">
        <w:rPr>
          <w:sz w:val="20"/>
          <w:szCs w:val="20"/>
        </w:rPr>
        <w:lastRenderedPageBreak/>
        <w:t xml:space="preserve">Fuentes al momento de su detención el 6 de agosto de 1997, la Comisión indicó que, hasta la fecha, el Estado guatemalteco no ha iniciado investigación alguna sobre estos hechos. En consecuencia, la Comisión concluyó que el Estado de Guatemala violó los derechos consagrados en los artículos 8.1 y 25.1 de la Convención Americana en relación con las obligaciones establecidas en el artículo 1.1 del mismo instrumento, así como las obligaciones establecidas en los artículos 1, 6 y 8 de la CIPST. </w:t>
      </w:r>
    </w:p>
    <w:p w14:paraId="7877E597" w14:textId="77777777" w:rsidR="00A35A84" w:rsidRPr="0064597D" w:rsidRDefault="00A35A84" w:rsidP="00A35A84">
      <w:pPr>
        <w:tabs>
          <w:tab w:val="left" w:pos="567"/>
        </w:tabs>
        <w:spacing w:line="240" w:lineRule="auto"/>
        <w:rPr>
          <w:b/>
          <w:sz w:val="20"/>
          <w:szCs w:val="20"/>
        </w:rPr>
      </w:pPr>
    </w:p>
    <w:p w14:paraId="494C82BF" w14:textId="09E632B2" w:rsidR="00FE6E94" w:rsidRPr="0064597D" w:rsidRDefault="009B3DAF" w:rsidP="00A570ED">
      <w:pPr>
        <w:numPr>
          <w:ilvl w:val="0"/>
          <w:numId w:val="1"/>
        </w:numPr>
        <w:tabs>
          <w:tab w:val="left" w:pos="567"/>
        </w:tabs>
        <w:spacing w:line="240" w:lineRule="auto"/>
        <w:ind w:left="0" w:firstLine="0"/>
        <w:rPr>
          <w:sz w:val="20"/>
          <w:szCs w:val="20"/>
        </w:rPr>
      </w:pPr>
      <w:r w:rsidRPr="0064597D">
        <w:rPr>
          <w:sz w:val="20"/>
          <w:szCs w:val="20"/>
        </w:rPr>
        <w:t>Asimismo</w:t>
      </w:r>
      <w:r w:rsidR="00FE6E94" w:rsidRPr="0064597D">
        <w:rPr>
          <w:sz w:val="20"/>
          <w:szCs w:val="20"/>
        </w:rPr>
        <w:t>, la Comisión observó que</w:t>
      </w:r>
      <w:r w:rsidR="000353F2" w:rsidRPr="0064597D">
        <w:rPr>
          <w:sz w:val="20"/>
          <w:szCs w:val="20"/>
        </w:rPr>
        <w:t>,</w:t>
      </w:r>
      <w:r w:rsidR="00FE6E94" w:rsidRPr="0064597D">
        <w:rPr>
          <w:sz w:val="20"/>
          <w:szCs w:val="20"/>
        </w:rPr>
        <w:t xml:space="preserve"> pasados casi 12 añ</w:t>
      </w:r>
      <w:r w:rsidR="000353F2" w:rsidRPr="0064597D">
        <w:rPr>
          <w:sz w:val="20"/>
          <w:szCs w:val="20"/>
        </w:rPr>
        <w:t>os desde la muerte del señor Rui</w:t>
      </w:r>
      <w:r w:rsidR="00FE6E94" w:rsidRPr="0064597D">
        <w:rPr>
          <w:sz w:val="20"/>
          <w:szCs w:val="20"/>
        </w:rPr>
        <w:t>z Fuentes, el Estado no ha</w:t>
      </w:r>
      <w:r w:rsidR="000353F2" w:rsidRPr="0064597D">
        <w:rPr>
          <w:sz w:val="20"/>
          <w:szCs w:val="20"/>
        </w:rPr>
        <w:t>bía</w:t>
      </w:r>
      <w:r w:rsidR="00FE6E94" w:rsidRPr="0064597D">
        <w:rPr>
          <w:sz w:val="20"/>
          <w:szCs w:val="20"/>
        </w:rPr>
        <w:t xml:space="preserve"> dispuestos todos los medios a su alcance para establecer y dar seguimiento a las líneas de investigación.</w:t>
      </w:r>
      <w:r w:rsidR="00E51192" w:rsidRPr="0064597D">
        <w:rPr>
          <w:sz w:val="20"/>
          <w:szCs w:val="20"/>
        </w:rPr>
        <w:t xml:space="preserve"> </w:t>
      </w:r>
      <w:r w:rsidR="00FE6E94" w:rsidRPr="0064597D">
        <w:rPr>
          <w:sz w:val="20"/>
          <w:szCs w:val="20"/>
        </w:rPr>
        <w:t>En este sentido, hizo notar que conforme a la propia descripción del Estado se omitieron diligencias fundamentales para esclarecer los hechos</w:t>
      </w:r>
      <w:r w:rsidR="003D261F" w:rsidRPr="0064597D">
        <w:rPr>
          <w:sz w:val="20"/>
          <w:szCs w:val="20"/>
        </w:rPr>
        <w:t>.</w:t>
      </w:r>
      <w:r w:rsidR="00A570ED" w:rsidRPr="0064597D">
        <w:rPr>
          <w:b/>
          <w:sz w:val="20"/>
          <w:szCs w:val="20"/>
        </w:rPr>
        <w:t xml:space="preserve"> </w:t>
      </w:r>
      <w:r w:rsidR="00A570ED" w:rsidRPr="0064597D">
        <w:rPr>
          <w:sz w:val="20"/>
          <w:szCs w:val="20"/>
        </w:rPr>
        <w:t>L</w:t>
      </w:r>
      <w:r w:rsidR="00FE6E94" w:rsidRPr="0064597D">
        <w:rPr>
          <w:sz w:val="20"/>
          <w:szCs w:val="20"/>
        </w:rPr>
        <w:t xml:space="preserve">a Comisión alegó que los indicios </w:t>
      </w:r>
      <w:r w:rsidR="008D576D" w:rsidRPr="0064597D">
        <w:rPr>
          <w:sz w:val="20"/>
          <w:szCs w:val="20"/>
        </w:rPr>
        <w:t xml:space="preserve">que existían sobre el posible </w:t>
      </w:r>
      <w:r w:rsidR="00FE6E94" w:rsidRPr="0064597D">
        <w:rPr>
          <w:sz w:val="20"/>
          <w:szCs w:val="20"/>
        </w:rPr>
        <w:t>encubrimiento</w:t>
      </w:r>
      <w:r w:rsidR="00DB0443" w:rsidRPr="0064597D">
        <w:rPr>
          <w:sz w:val="20"/>
          <w:szCs w:val="20"/>
        </w:rPr>
        <w:t xml:space="preserve"> </w:t>
      </w:r>
      <w:r w:rsidR="008D576D" w:rsidRPr="0064597D">
        <w:rPr>
          <w:sz w:val="20"/>
          <w:szCs w:val="20"/>
        </w:rPr>
        <w:t xml:space="preserve">de los hechos </w:t>
      </w:r>
      <w:r w:rsidR="00FE6E94" w:rsidRPr="0064597D">
        <w:rPr>
          <w:sz w:val="20"/>
          <w:szCs w:val="20"/>
        </w:rPr>
        <w:t xml:space="preserve">tampoco fueron investigados. Por lo anterior, la Comisión concluyó que el Estado es responsable por la violación de los derechos establecidos en los artículos 8.1 y 25.1 de la Convención, en relación con el artículo 1.1 del mismo instrumento, en perjuicio del señor Ruiz Fuentes. </w:t>
      </w:r>
    </w:p>
    <w:p w14:paraId="1740A43E" w14:textId="77777777" w:rsidR="00FE6E94" w:rsidRPr="0064597D" w:rsidRDefault="00FE6E94" w:rsidP="00FE6E94">
      <w:pPr>
        <w:tabs>
          <w:tab w:val="left" w:pos="567"/>
        </w:tabs>
        <w:autoSpaceDE w:val="0"/>
        <w:autoSpaceDN w:val="0"/>
        <w:spacing w:line="240" w:lineRule="auto"/>
        <w:rPr>
          <w:sz w:val="20"/>
          <w:szCs w:val="20"/>
        </w:rPr>
      </w:pPr>
    </w:p>
    <w:p w14:paraId="6ADAB53F" w14:textId="57A8543F" w:rsidR="00FE6E94" w:rsidRPr="0064597D" w:rsidRDefault="00EC5FD2" w:rsidP="00EE3B43">
      <w:pPr>
        <w:numPr>
          <w:ilvl w:val="0"/>
          <w:numId w:val="1"/>
        </w:numPr>
        <w:tabs>
          <w:tab w:val="left" w:pos="567"/>
        </w:tabs>
        <w:autoSpaceDE w:val="0"/>
        <w:autoSpaceDN w:val="0"/>
        <w:spacing w:line="240" w:lineRule="auto"/>
        <w:ind w:left="0" w:firstLine="0"/>
        <w:rPr>
          <w:sz w:val="20"/>
          <w:szCs w:val="20"/>
        </w:rPr>
      </w:pPr>
      <w:r w:rsidRPr="0064597D">
        <w:rPr>
          <w:sz w:val="20"/>
          <w:szCs w:val="20"/>
        </w:rPr>
        <w:t>En cuanto al procedimiento penal seguido contra el señor Ruiz Fuentes, l</w:t>
      </w:r>
      <w:r w:rsidR="002913C3" w:rsidRPr="0064597D">
        <w:rPr>
          <w:sz w:val="20"/>
          <w:szCs w:val="20"/>
        </w:rPr>
        <w:t>a</w:t>
      </w:r>
      <w:r w:rsidR="00FE6E94" w:rsidRPr="0064597D">
        <w:rPr>
          <w:sz w:val="20"/>
          <w:szCs w:val="20"/>
        </w:rPr>
        <w:t xml:space="preserve">s </w:t>
      </w:r>
      <w:r w:rsidR="00FE6E94" w:rsidRPr="0064597D">
        <w:rPr>
          <w:b/>
          <w:i/>
          <w:sz w:val="20"/>
          <w:szCs w:val="20"/>
        </w:rPr>
        <w:t>representantes</w:t>
      </w:r>
      <w:r w:rsidRPr="0064597D">
        <w:rPr>
          <w:sz w:val="20"/>
          <w:szCs w:val="20"/>
        </w:rPr>
        <w:t xml:space="preserve"> señalaron </w:t>
      </w:r>
      <w:r w:rsidR="00FE6E94" w:rsidRPr="0064597D">
        <w:rPr>
          <w:sz w:val="20"/>
          <w:szCs w:val="20"/>
        </w:rPr>
        <w:t>que el Estado violó el derecho de defensa de la presunta víctima en la medida en que</w:t>
      </w:r>
      <w:r w:rsidR="007C2F92" w:rsidRPr="0064597D">
        <w:rPr>
          <w:sz w:val="20"/>
          <w:szCs w:val="20"/>
        </w:rPr>
        <w:t>:</w:t>
      </w:r>
      <w:r w:rsidR="00FE6E94" w:rsidRPr="0064597D">
        <w:rPr>
          <w:sz w:val="20"/>
          <w:szCs w:val="20"/>
        </w:rPr>
        <w:t xml:space="preserve"> </w:t>
      </w:r>
      <w:r w:rsidR="00201195" w:rsidRPr="0064597D">
        <w:rPr>
          <w:sz w:val="20"/>
          <w:szCs w:val="20"/>
        </w:rPr>
        <w:t>(i)</w:t>
      </w:r>
      <w:r w:rsidR="007C2F92" w:rsidRPr="0064597D">
        <w:rPr>
          <w:sz w:val="20"/>
          <w:szCs w:val="20"/>
        </w:rPr>
        <w:t> </w:t>
      </w:r>
      <w:r w:rsidR="00FE6E94" w:rsidRPr="0064597D">
        <w:rPr>
          <w:sz w:val="20"/>
          <w:szCs w:val="20"/>
        </w:rPr>
        <w:t>no ejerció un control judicial adecuado sobre las actuaciones negligentes de su abogado</w:t>
      </w:r>
      <w:r w:rsidR="00FE6E94" w:rsidRPr="0064597D">
        <w:rPr>
          <w:rStyle w:val="Refdenotaalpie"/>
          <w:sz w:val="20"/>
          <w:szCs w:val="20"/>
        </w:rPr>
        <w:footnoteReference w:id="182"/>
      </w:r>
      <w:r w:rsidR="00FE6E94" w:rsidRPr="0064597D">
        <w:rPr>
          <w:sz w:val="20"/>
          <w:szCs w:val="20"/>
        </w:rPr>
        <w:t>,</w:t>
      </w:r>
      <w:r w:rsidR="00201195" w:rsidRPr="0064597D">
        <w:rPr>
          <w:sz w:val="20"/>
          <w:szCs w:val="20"/>
        </w:rPr>
        <w:t xml:space="preserve"> y (ii)</w:t>
      </w:r>
      <w:r w:rsidR="00FE6E94" w:rsidRPr="0064597D">
        <w:rPr>
          <w:sz w:val="20"/>
          <w:szCs w:val="20"/>
        </w:rPr>
        <w:t xml:space="preserve"> no tomó las medidas necesarias para garantizar que la presunta víctima tuviera suficiente tiempo para la presentación de su defensa. </w:t>
      </w:r>
    </w:p>
    <w:p w14:paraId="57F6DCB5" w14:textId="77777777" w:rsidR="00A35A84" w:rsidRPr="0064597D" w:rsidRDefault="00A35A84" w:rsidP="00A35A84">
      <w:pPr>
        <w:tabs>
          <w:tab w:val="left" w:pos="567"/>
        </w:tabs>
        <w:autoSpaceDE w:val="0"/>
        <w:autoSpaceDN w:val="0"/>
        <w:spacing w:line="240" w:lineRule="auto"/>
        <w:rPr>
          <w:sz w:val="20"/>
          <w:szCs w:val="20"/>
        </w:rPr>
      </w:pPr>
    </w:p>
    <w:p w14:paraId="63683469" w14:textId="5C3FB101" w:rsidR="00FE6E94" w:rsidRPr="0064597D" w:rsidRDefault="00DE3A13" w:rsidP="00492BBB">
      <w:pPr>
        <w:numPr>
          <w:ilvl w:val="0"/>
          <w:numId w:val="1"/>
        </w:numPr>
        <w:tabs>
          <w:tab w:val="left" w:pos="567"/>
        </w:tabs>
        <w:autoSpaceDE w:val="0"/>
        <w:autoSpaceDN w:val="0"/>
        <w:spacing w:line="240" w:lineRule="auto"/>
        <w:ind w:left="0" w:firstLine="0"/>
        <w:rPr>
          <w:b/>
          <w:sz w:val="20"/>
          <w:szCs w:val="20"/>
        </w:rPr>
      </w:pPr>
      <w:r w:rsidRPr="0064597D">
        <w:rPr>
          <w:sz w:val="20"/>
          <w:szCs w:val="20"/>
        </w:rPr>
        <w:t>Los</w:t>
      </w:r>
      <w:r w:rsidR="00FE6E94" w:rsidRPr="0064597D">
        <w:rPr>
          <w:sz w:val="20"/>
          <w:szCs w:val="20"/>
        </w:rPr>
        <w:t xml:space="preserve"> representantes</w:t>
      </w:r>
      <w:r w:rsidRPr="0064597D">
        <w:rPr>
          <w:sz w:val="20"/>
          <w:szCs w:val="20"/>
        </w:rPr>
        <w:t xml:space="preserve"> también</w:t>
      </w:r>
      <w:r w:rsidR="00FE6E94" w:rsidRPr="0064597D">
        <w:rPr>
          <w:sz w:val="20"/>
          <w:szCs w:val="20"/>
        </w:rPr>
        <w:t xml:space="preserve"> alegaron que </w:t>
      </w:r>
      <w:r w:rsidRPr="0064597D">
        <w:rPr>
          <w:sz w:val="20"/>
          <w:szCs w:val="20"/>
        </w:rPr>
        <w:t>el señor Ruiz Fuentes no dispuso de</w:t>
      </w:r>
      <w:r w:rsidR="00FE6E94" w:rsidRPr="0064597D">
        <w:rPr>
          <w:sz w:val="20"/>
          <w:szCs w:val="20"/>
        </w:rPr>
        <w:t xml:space="preserve"> un recurso que permitiera la revisión integral de la sentencia condenatoria. </w:t>
      </w:r>
      <w:r w:rsidR="00201195" w:rsidRPr="0064597D">
        <w:rPr>
          <w:sz w:val="20"/>
          <w:szCs w:val="20"/>
        </w:rPr>
        <w:t>C</w:t>
      </w:r>
      <w:r w:rsidR="00FE6E94" w:rsidRPr="0064597D">
        <w:rPr>
          <w:rFonts w:cs="Arial"/>
          <w:sz w:val="20"/>
          <w:szCs w:val="20"/>
        </w:rPr>
        <w:t xml:space="preserve">oncluyeron que el artículo </w:t>
      </w:r>
      <w:r w:rsidR="00201195" w:rsidRPr="0064597D">
        <w:rPr>
          <w:rFonts w:cs="Arial"/>
          <w:sz w:val="20"/>
          <w:szCs w:val="20"/>
        </w:rPr>
        <w:t xml:space="preserve">430 del Código Procesal Penal que establece que “[l]a sentencia no podrá en ningún caso hacer mérito de la prueba o de los hechos que se declaren probados” </w:t>
      </w:r>
      <w:r w:rsidR="00FE6E94" w:rsidRPr="0064597D">
        <w:rPr>
          <w:rFonts w:cs="Arial"/>
          <w:sz w:val="20"/>
          <w:szCs w:val="20"/>
        </w:rPr>
        <w:t xml:space="preserve">limita la revisión de sentencia recurrida </w:t>
      </w:r>
      <w:r w:rsidR="00FE6E94" w:rsidRPr="0064597D">
        <w:rPr>
          <w:rFonts w:cs="Arial"/>
          <w:i/>
          <w:sz w:val="20"/>
          <w:szCs w:val="20"/>
        </w:rPr>
        <w:t>a priori</w:t>
      </w:r>
      <w:r w:rsidR="00FE6E94" w:rsidRPr="0064597D">
        <w:rPr>
          <w:rFonts w:cs="Arial"/>
          <w:sz w:val="20"/>
          <w:szCs w:val="20"/>
        </w:rPr>
        <w:t xml:space="preserve">, excluyendo la posibilidad de revisar cuestiones fácticas y probatorias y limitando la revisión únicamente al </w:t>
      </w:r>
      <w:r w:rsidR="00FE6E94" w:rsidRPr="0064597D">
        <w:rPr>
          <w:sz w:val="20"/>
          <w:szCs w:val="20"/>
        </w:rPr>
        <w:t>derecho</w:t>
      </w:r>
      <w:r w:rsidR="002961B3" w:rsidRPr="0064597D">
        <w:rPr>
          <w:sz w:val="20"/>
          <w:szCs w:val="20"/>
        </w:rPr>
        <w:t>.</w:t>
      </w:r>
    </w:p>
    <w:p w14:paraId="2FAF8A2B" w14:textId="77777777" w:rsidR="00E51192" w:rsidRPr="0064597D" w:rsidRDefault="00E51192" w:rsidP="00E51192">
      <w:pPr>
        <w:tabs>
          <w:tab w:val="left" w:pos="567"/>
        </w:tabs>
        <w:autoSpaceDE w:val="0"/>
        <w:autoSpaceDN w:val="0"/>
        <w:spacing w:line="240" w:lineRule="auto"/>
        <w:rPr>
          <w:b/>
          <w:sz w:val="20"/>
          <w:szCs w:val="20"/>
        </w:rPr>
      </w:pPr>
    </w:p>
    <w:p w14:paraId="4E17B81E" w14:textId="679DECD2" w:rsidR="00D3219F" w:rsidRPr="0064597D" w:rsidRDefault="00D3219F" w:rsidP="001E4FB6">
      <w:pPr>
        <w:numPr>
          <w:ilvl w:val="0"/>
          <w:numId w:val="1"/>
        </w:numPr>
        <w:tabs>
          <w:tab w:val="left" w:pos="567"/>
        </w:tabs>
        <w:autoSpaceDE w:val="0"/>
        <w:autoSpaceDN w:val="0"/>
        <w:spacing w:line="240" w:lineRule="auto"/>
        <w:ind w:left="0" w:firstLine="0"/>
        <w:rPr>
          <w:rFonts w:eastAsiaTheme="minorHAnsi" w:cs="Arial"/>
          <w:sz w:val="20"/>
          <w:szCs w:val="20"/>
          <w:lang w:eastAsia="en-US"/>
        </w:rPr>
      </w:pPr>
      <w:r w:rsidRPr="0064597D">
        <w:rPr>
          <w:sz w:val="20"/>
          <w:szCs w:val="20"/>
        </w:rPr>
        <w:t xml:space="preserve">Por otro lado, en cuanto a las investigaciones que se desencadenaron con motivo de la muerte del señor Ruiz Fuentes, </w:t>
      </w:r>
      <w:r w:rsidR="00FE6E94" w:rsidRPr="0064597D">
        <w:rPr>
          <w:sz w:val="20"/>
          <w:szCs w:val="20"/>
        </w:rPr>
        <w:t xml:space="preserve">los representantes alegaron que durante las </w:t>
      </w:r>
      <w:r w:rsidR="00FE6E94" w:rsidRPr="0064597D">
        <w:rPr>
          <w:rFonts w:eastAsiaTheme="minorHAnsi" w:cs="Arial"/>
          <w:sz w:val="20"/>
          <w:szCs w:val="20"/>
          <w:lang w:eastAsia="en-US"/>
        </w:rPr>
        <w:t>primeras</w:t>
      </w:r>
      <w:r w:rsidR="00FE6E94" w:rsidRPr="0064597D">
        <w:rPr>
          <w:sz w:val="20"/>
          <w:szCs w:val="20"/>
        </w:rPr>
        <w:t xml:space="preserve"> etapas de la investigación, se presentaron graves omisiones, deficiencias e irregularidades que continuaron posteriormente, toda vez que las autoridades no han realizado una investigación completa y exhaustiva de los hechos. </w:t>
      </w:r>
    </w:p>
    <w:p w14:paraId="5B69E3ED" w14:textId="77777777" w:rsidR="00C430C8" w:rsidRPr="0064597D" w:rsidRDefault="00C430C8" w:rsidP="00C430C8">
      <w:pPr>
        <w:tabs>
          <w:tab w:val="left" w:pos="567"/>
        </w:tabs>
        <w:autoSpaceDE w:val="0"/>
        <w:autoSpaceDN w:val="0"/>
        <w:spacing w:line="240" w:lineRule="auto"/>
        <w:rPr>
          <w:rFonts w:eastAsiaTheme="minorHAnsi" w:cs="Arial"/>
          <w:sz w:val="20"/>
          <w:szCs w:val="20"/>
          <w:lang w:eastAsia="en-US"/>
        </w:rPr>
      </w:pPr>
    </w:p>
    <w:p w14:paraId="4A3BD0FC" w14:textId="2A11B6ED" w:rsidR="00201195" w:rsidRPr="0064597D" w:rsidRDefault="00245330" w:rsidP="00201195">
      <w:pPr>
        <w:numPr>
          <w:ilvl w:val="0"/>
          <w:numId w:val="1"/>
        </w:numPr>
        <w:tabs>
          <w:tab w:val="left" w:pos="567"/>
        </w:tabs>
        <w:autoSpaceDE w:val="0"/>
        <w:autoSpaceDN w:val="0"/>
        <w:spacing w:line="240" w:lineRule="auto"/>
        <w:ind w:left="0" w:firstLine="0"/>
        <w:rPr>
          <w:b/>
          <w:sz w:val="20"/>
          <w:szCs w:val="20"/>
        </w:rPr>
      </w:pPr>
      <w:r w:rsidRPr="0064597D">
        <w:rPr>
          <w:sz w:val="20"/>
          <w:szCs w:val="20"/>
        </w:rPr>
        <w:t>Por otro lado, en cuanto la investigación de los actos de tortura sufridos por el señor Ruiz Fuentes al momento de su detención el 6 de agosto de 1997,</w:t>
      </w:r>
      <w:r w:rsidR="00201195" w:rsidRPr="0064597D">
        <w:rPr>
          <w:sz w:val="20"/>
          <w:szCs w:val="20"/>
        </w:rPr>
        <w:t xml:space="preserve"> los representantes alegaron que el Estado de Guatemala no </w:t>
      </w:r>
      <w:r w:rsidR="00572A96" w:rsidRPr="0064597D">
        <w:rPr>
          <w:sz w:val="20"/>
          <w:szCs w:val="20"/>
        </w:rPr>
        <w:t xml:space="preserve">los </w:t>
      </w:r>
      <w:r w:rsidR="00201195" w:rsidRPr="0064597D">
        <w:rPr>
          <w:sz w:val="20"/>
          <w:szCs w:val="20"/>
        </w:rPr>
        <w:t xml:space="preserve">investigó, a pesar de </w:t>
      </w:r>
      <w:r w:rsidR="00572A96" w:rsidRPr="0064597D">
        <w:rPr>
          <w:sz w:val="20"/>
          <w:szCs w:val="20"/>
        </w:rPr>
        <w:t xml:space="preserve">haber sido </w:t>
      </w:r>
      <w:r w:rsidR="00201195" w:rsidRPr="0064597D">
        <w:rPr>
          <w:sz w:val="20"/>
          <w:szCs w:val="20"/>
        </w:rPr>
        <w:t>denunci</w:t>
      </w:r>
      <w:r w:rsidR="00572A96" w:rsidRPr="0064597D">
        <w:rPr>
          <w:sz w:val="20"/>
          <w:szCs w:val="20"/>
        </w:rPr>
        <w:t>ados</w:t>
      </w:r>
      <w:r w:rsidR="00201195" w:rsidRPr="0064597D">
        <w:rPr>
          <w:sz w:val="20"/>
          <w:szCs w:val="20"/>
        </w:rPr>
        <w:t xml:space="preserve"> en reiteradas ocasiones. </w:t>
      </w:r>
    </w:p>
    <w:p w14:paraId="73CD236B" w14:textId="77777777" w:rsidR="00201195" w:rsidRPr="0064597D" w:rsidRDefault="00201195" w:rsidP="00201195">
      <w:pPr>
        <w:tabs>
          <w:tab w:val="left" w:pos="567"/>
        </w:tabs>
        <w:autoSpaceDE w:val="0"/>
        <w:autoSpaceDN w:val="0"/>
        <w:spacing w:line="240" w:lineRule="auto"/>
        <w:rPr>
          <w:rFonts w:eastAsiaTheme="minorHAnsi" w:cs="Arial"/>
          <w:sz w:val="20"/>
          <w:szCs w:val="20"/>
          <w:lang w:eastAsia="en-US"/>
        </w:rPr>
      </w:pPr>
    </w:p>
    <w:p w14:paraId="1FD4B1D7" w14:textId="759F65A4" w:rsidR="00FE6E94" w:rsidRPr="0064597D" w:rsidRDefault="00FE6E94" w:rsidP="00492BBB">
      <w:pPr>
        <w:numPr>
          <w:ilvl w:val="0"/>
          <w:numId w:val="1"/>
        </w:numPr>
        <w:tabs>
          <w:tab w:val="left" w:pos="567"/>
        </w:tabs>
        <w:autoSpaceDE w:val="0"/>
        <w:autoSpaceDN w:val="0"/>
        <w:spacing w:line="240" w:lineRule="auto"/>
        <w:ind w:left="0" w:firstLine="0"/>
        <w:rPr>
          <w:sz w:val="20"/>
          <w:szCs w:val="20"/>
        </w:rPr>
      </w:pPr>
      <w:r w:rsidRPr="0064597D">
        <w:rPr>
          <w:sz w:val="20"/>
          <w:szCs w:val="20"/>
        </w:rPr>
        <w:t xml:space="preserve">El </w:t>
      </w:r>
      <w:r w:rsidRPr="0064597D">
        <w:rPr>
          <w:b/>
          <w:i/>
          <w:sz w:val="20"/>
          <w:szCs w:val="20"/>
        </w:rPr>
        <w:t>Estado</w:t>
      </w:r>
      <w:r w:rsidRPr="0064597D">
        <w:rPr>
          <w:sz w:val="20"/>
          <w:szCs w:val="20"/>
        </w:rPr>
        <w:t xml:space="preserve"> recalcó que el señor Ruiz Fuentes gozó de los derechos consagrados en la legislación interna a fin de garantizarle un proceso legal, justo y apegado a derecho. El Estado recalcó que la Corte Interamericana no constituye una instancia de apelación de sentencias dictadas por los órganos jurisdiccionales internos de los Estado parte de la Organización de los Estados Americanos y que los órganos del Sistema Interamericano de Derechos Humanos constituyen un sistema subsidiario facultado exclusivamente para interpretar la Convención Americana sobre Derechos Humanos.</w:t>
      </w:r>
      <w:r w:rsidRPr="0064597D">
        <w:rPr>
          <w:b/>
          <w:sz w:val="20"/>
          <w:szCs w:val="20"/>
        </w:rPr>
        <w:t xml:space="preserve"> </w:t>
      </w:r>
      <w:r w:rsidR="00743A2F" w:rsidRPr="0064597D">
        <w:rPr>
          <w:sz w:val="20"/>
          <w:szCs w:val="20"/>
        </w:rPr>
        <w:t>Asimismo, e</w:t>
      </w:r>
      <w:r w:rsidRPr="0064597D">
        <w:rPr>
          <w:sz w:val="20"/>
          <w:szCs w:val="20"/>
        </w:rPr>
        <w:t>n sus alegatos finales escritos, el Estado indicó que los errores comet</w:t>
      </w:r>
      <w:r w:rsidR="00743A2F" w:rsidRPr="0064597D">
        <w:rPr>
          <w:sz w:val="20"/>
          <w:szCs w:val="20"/>
        </w:rPr>
        <w:t>ido por la defensa del señor Rui</w:t>
      </w:r>
      <w:r w:rsidRPr="0064597D">
        <w:rPr>
          <w:sz w:val="20"/>
          <w:szCs w:val="20"/>
        </w:rPr>
        <w:t>z Fuentes no puede</w:t>
      </w:r>
      <w:r w:rsidR="00572A96" w:rsidRPr="0064597D">
        <w:rPr>
          <w:sz w:val="20"/>
          <w:szCs w:val="20"/>
        </w:rPr>
        <w:t>n</w:t>
      </w:r>
      <w:r w:rsidRPr="0064597D">
        <w:rPr>
          <w:sz w:val="20"/>
          <w:szCs w:val="20"/>
        </w:rPr>
        <w:t xml:space="preserve"> ni debe</w:t>
      </w:r>
      <w:r w:rsidR="00572A96" w:rsidRPr="0064597D">
        <w:rPr>
          <w:sz w:val="20"/>
          <w:szCs w:val="20"/>
        </w:rPr>
        <w:t>n</w:t>
      </w:r>
      <w:r w:rsidRPr="0064597D">
        <w:rPr>
          <w:sz w:val="20"/>
          <w:szCs w:val="20"/>
        </w:rPr>
        <w:t xml:space="preserve"> ser atribuible al Estado. Además, mencionó que existía procedimientos administrativos y disciplinarios a dónde acudir antes situaciones como las ocurridas, lo anterior sin que la presunta víctima haya ejercido tal derecho. Por último, el Estado reafirmó que el señor Ruíz Fuentes tuvo acceso a todos los recursos y remedios procesales previamente </w:t>
      </w:r>
      <w:r w:rsidRPr="0064597D">
        <w:rPr>
          <w:sz w:val="20"/>
          <w:szCs w:val="20"/>
        </w:rPr>
        <w:lastRenderedPageBreak/>
        <w:t>establecidos, de los cuales hizo uso, garantizándosele y protegiéndosele judicialmente. En este aspecto, mencionó que muestra de ello es el hecho de que la sentencia de pena de muerte fue corregida y conmutada por la privación de libertad.</w:t>
      </w:r>
      <w:r w:rsidR="00DB0443" w:rsidRPr="0064597D">
        <w:rPr>
          <w:sz w:val="20"/>
          <w:szCs w:val="20"/>
        </w:rPr>
        <w:t xml:space="preserve"> </w:t>
      </w:r>
    </w:p>
    <w:p w14:paraId="3A9AAB70" w14:textId="77777777" w:rsidR="00BB0F77" w:rsidRPr="0064597D" w:rsidRDefault="00BB0F77" w:rsidP="00377181">
      <w:pPr>
        <w:pStyle w:val="Ttulo2"/>
      </w:pPr>
      <w:bookmarkStart w:id="78" w:name="_Toc24014565"/>
      <w:r w:rsidRPr="0064597D">
        <w:t>B.</w:t>
      </w:r>
      <w:r w:rsidRPr="0064597D">
        <w:tab/>
        <w:t>Consideraciones de la Corte</w:t>
      </w:r>
      <w:bookmarkEnd w:id="78"/>
    </w:p>
    <w:p w14:paraId="22193B4E" w14:textId="1C1E2042" w:rsidR="00BB0F77" w:rsidRPr="0064597D" w:rsidRDefault="00544B95" w:rsidP="00377181">
      <w:pPr>
        <w:pStyle w:val="Ttulo3"/>
        <w:rPr>
          <w:lang w:eastAsia="en-US"/>
        </w:rPr>
      </w:pPr>
      <w:bookmarkStart w:id="79" w:name="_Toc24014566"/>
      <w:r w:rsidRPr="0064597D">
        <w:t xml:space="preserve">b.1 </w:t>
      </w:r>
      <w:r w:rsidRPr="0064597D">
        <w:tab/>
      </w:r>
      <w:r w:rsidR="006B597B" w:rsidRPr="0064597D">
        <w:rPr>
          <w:lang w:eastAsia="en-US"/>
        </w:rPr>
        <w:t>P</w:t>
      </w:r>
      <w:r w:rsidR="004857BF" w:rsidRPr="0064597D">
        <w:rPr>
          <w:lang w:eastAsia="en-US"/>
        </w:rPr>
        <w:t>rocedimiento penal seguido contra el</w:t>
      </w:r>
      <w:r w:rsidR="00BB0F77" w:rsidRPr="0064597D">
        <w:rPr>
          <w:lang w:eastAsia="en-US"/>
        </w:rPr>
        <w:t xml:space="preserve"> señor Ruiz Fuentes</w:t>
      </w:r>
      <w:bookmarkEnd w:id="79"/>
    </w:p>
    <w:p w14:paraId="0087DFAA" w14:textId="5A1BDB01" w:rsidR="00A83408" w:rsidRPr="0064597D" w:rsidRDefault="00A83408" w:rsidP="00A83408">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 xml:space="preserve">En este caso, la Corte ha sido llamada a determinar si en el proceso penal seguido en contra del señor </w:t>
      </w:r>
      <w:r w:rsidR="003C6180" w:rsidRPr="0064597D">
        <w:rPr>
          <w:sz w:val="20"/>
          <w:szCs w:val="20"/>
          <w:lang w:val="es-ES" w:eastAsia="en-US"/>
        </w:rPr>
        <w:t>Rui</w:t>
      </w:r>
      <w:r w:rsidRPr="0064597D">
        <w:rPr>
          <w:sz w:val="20"/>
          <w:szCs w:val="20"/>
          <w:lang w:val="es-ES" w:eastAsia="en-US"/>
        </w:rPr>
        <w:t>z Fuentes</w:t>
      </w:r>
      <w:r w:rsidR="008729AF" w:rsidRPr="0064597D">
        <w:rPr>
          <w:sz w:val="20"/>
          <w:szCs w:val="20"/>
          <w:lang w:val="es-ES" w:eastAsia="en-US"/>
        </w:rPr>
        <w:t xml:space="preserve"> en primera instancia</w:t>
      </w:r>
      <w:r w:rsidRPr="0064597D">
        <w:rPr>
          <w:sz w:val="20"/>
          <w:szCs w:val="20"/>
          <w:lang w:val="es-ES" w:eastAsia="en-US"/>
        </w:rPr>
        <w:t>,</w:t>
      </w:r>
      <w:r w:rsidR="008729AF" w:rsidRPr="0064597D">
        <w:rPr>
          <w:sz w:val="20"/>
          <w:szCs w:val="20"/>
          <w:lang w:val="es-ES" w:eastAsia="en-US"/>
        </w:rPr>
        <w:t xml:space="preserve"> el cual</w:t>
      </w:r>
      <w:r w:rsidRPr="0064597D">
        <w:rPr>
          <w:sz w:val="20"/>
          <w:szCs w:val="20"/>
          <w:lang w:val="es-ES" w:eastAsia="en-US"/>
        </w:rPr>
        <w:t xml:space="preserve"> culminó en una sentencia condenatoria a pena de muerte, fueron observadas las </w:t>
      </w:r>
      <w:r w:rsidRPr="0064597D">
        <w:rPr>
          <w:sz w:val="20"/>
          <w:szCs w:val="20"/>
        </w:rPr>
        <w:t>garantías</w:t>
      </w:r>
      <w:r w:rsidRPr="0064597D">
        <w:rPr>
          <w:sz w:val="20"/>
          <w:szCs w:val="20"/>
          <w:lang w:val="es-ES" w:eastAsia="en-US"/>
        </w:rPr>
        <w:t xml:space="preserve"> del debido proceso, según lo exige, en particular, el artículo 8 de la Convención, y si dicha persona tuvo acceso a un recurso efectivo en los términos del artículo 25, ambos en relación con el artículo 1.1 de ese instrumento. </w:t>
      </w:r>
    </w:p>
    <w:p w14:paraId="01E00EFD" w14:textId="77777777" w:rsidR="00851D8C" w:rsidRPr="0064597D" w:rsidRDefault="00851D8C" w:rsidP="00851D8C">
      <w:pPr>
        <w:tabs>
          <w:tab w:val="left" w:pos="567"/>
        </w:tabs>
        <w:autoSpaceDE w:val="0"/>
        <w:autoSpaceDN w:val="0"/>
        <w:spacing w:line="240" w:lineRule="auto"/>
        <w:rPr>
          <w:sz w:val="20"/>
          <w:szCs w:val="20"/>
          <w:lang w:val="es-ES" w:eastAsia="en-US"/>
        </w:rPr>
      </w:pPr>
    </w:p>
    <w:p w14:paraId="3E9FB7B6" w14:textId="05EDD95C" w:rsidR="00A83408" w:rsidRPr="0064597D" w:rsidRDefault="00A83408" w:rsidP="00A83408">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 xml:space="preserve">La Corte </w:t>
      </w:r>
      <w:r w:rsidRPr="0064597D">
        <w:rPr>
          <w:sz w:val="20"/>
          <w:szCs w:val="20"/>
        </w:rPr>
        <w:t>recuerda</w:t>
      </w:r>
      <w:r w:rsidRPr="0064597D">
        <w:rPr>
          <w:sz w:val="20"/>
          <w:szCs w:val="20"/>
          <w:lang w:val="es-ES" w:eastAsia="en-US"/>
        </w:rPr>
        <w:t xml:space="preserve"> que, en este caso en que se cuestiona lo actuado en el marco de un proceso penal, los órganos del sistema interamericano de derechos humanos no funcionan como una instancia de apelación o revisión de sentencias dictadas en procesos internos. Su función es determinar la compatibilidad de las actuaciones realizadas en dichos procesos con la Convención Americana</w:t>
      </w:r>
      <w:r w:rsidRPr="0064597D">
        <w:rPr>
          <w:rStyle w:val="Refdenotaalpie"/>
          <w:sz w:val="20"/>
          <w:szCs w:val="20"/>
          <w:lang w:val="es-ES" w:eastAsia="en-US"/>
        </w:rPr>
        <w:footnoteReference w:id="183"/>
      </w:r>
      <w:r w:rsidRPr="0064597D">
        <w:rPr>
          <w:sz w:val="20"/>
          <w:szCs w:val="20"/>
          <w:lang w:val="es-ES" w:eastAsia="en-US"/>
        </w:rPr>
        <w:t>. A esto se limita el Tribunal en la presente sentencia.</w:t>
      </w:r>
    </w:p>
    <w:p w14:paraId="05788604" w14:textId="77777777" w:rsidR="00541480" w:rsidRPr="0064597D" w:rsidRDefault="00541480" w:rsidP="00541480">
      <w:pPr>
        <w:tabs>
          <w:tab w:val="left" w:pos="567"/>
        </w:tabs>
        <w:autoSpaceDE w:val="0"/>
        <w:autoSpaceDN w:val="0"/>
        <w:spacing w:line="240" w:lineRule="auto"/>
        <w:rPr>
          <w:sz w:val="20"/>
          <w:szCs w:val="20"/>
          <w:lang w:val="es-ES" w:eastAsia="en-US"/>
        </w:rPr>
      </w:pPr>
    </w:p>
    <w:p w14:paraId="0AFA8506" w14:textId="7273BA5E" w:rsidR="00A83408" w:rsidRPr="0064597D" w:rsidRDefault="00A83408" w:rsidP="00A83408">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La Corte destaca el deber que tienen los Estados de proteger a todas las personas, evitando los delitos, sancionar a los responsables de éstos y mantener el orden público, particularmente cuando se trata de hechos como los que dieron origen al proceso penal seguido contra el señor Ruíz Fuentes, que no solo comportan una lesión a los individuos, sino al conjunto de la sociedad, y merecen el más enérgico rechazo, más aún</w:t>
      </w:r>
      <w:r w:rsidR="00D84387" w:rsidRPr="0064597D">
        <w:rPr>
          <w:sz w:val="20"/>
          <w:szCs w:val="20"/>
          <w:lang w:val="es-ES" w:eastAsia="en-US"/>
        </w:rPr>
        <w:t>,</w:t>
      </w:r>
      <w:r w:rsidRPr="0064597D">
        <w:rPr>
          <w:sz w:val="20"/>
          <w:szCs w:val="20"/>
          <w:lang w:val="es-ES" w:eastAsia="en-US"/>
        </w:rPr>
        <w:t xml:space="preserve"> cuando perjudican a niñas y niños. Sin embargo, la lucha de los Estados contra el crimen debe desarrollarse dentro de los límites y conforme a los procedimientos que permitan preservar tanto la seguridad pública como el pleno respeto a los derechos humanos de quienes se hallen sometidos a su jurisdicción</w:t>
      </w:r>
      <w:r w:rsidRPr="0064597D">
        <w:rPr>
          <w:rStyle w:val="Refdenotaalpie"/>
          <w:sz w:val="20"/>
          <w:szCs w:val="20"/>
          <w:lang w:val="en-US" w:eastAsia="en-US"/>
        </w:rPr>
        <w:footnoteReference w:id="184"/>
      </w:r>
      <w:r w:rsidRPr="0064597D">
        <w:rPr>
          <w:sz w:val="20"/>
          <w:szCs w:val="20"/>
          <w:lang w:val="es-ES" w:eastAsia="en-US"/>
        </w:rPr>
        <w:t xml:space="preserve">. </w:t>
      </w:r>
    </w:p>
    <w:p w14:paraId="491FC384" w14:textId="77777777" w:rsidR="00851D8C" w:rsidRPr="0064597D" w:rsidRDefault="00851D8C" w:rsidP="00851D8C">
      <w:pPr>
        <w:tabs>
          <w:tab w:val="left" w:pos="567"/>
        </w:tabs>
        <w:autoSpaceDE w:val="0"/>
        <w:autoSpaceDN w:val="0"/>
        <w:spacing w:line="240" w:lineRule="auto"/>
        <w:rPr>
          <w:sz w:val="20"/>
          <w:szCs w:val="20"/>
          <w:lang w:val="es-ES" w:eastAsia="en-US"/>
        </w:rPr>
      </w:pPr>
    </w:p>
    <w:p w14:paraId="39152DF7" w14:textId="57695FBA" w:rsidR="00A83408" w:rsidRPr="0064597D" w:rsidRDefault="00A83408" w:rsidP="006958DA">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 xml:space="preserve">Con el </w:t>
      </w:r>
      <w:r w:rsidRPr="0064597D">
        <w:rPr>
          <w:sz w:val="20"/>
          <w:szCs w:val="20"/>
        </w:rPr>
        <w:t>propósito</w:t>
      </w:r>
      <w:r w:rsidRPr="0064597D">
        <w:rPr>
          <w:sz w:val="20"/>
          <w:szCs w:val="20"/>
          <w:lang w:val="es-ES" w:eastAsia="en-US"/>
        </w:rPr>
        <w:t xml:space="preserve"> de establecer si el Estado violó disposiciones de la Convención, la Corte debe determinar</w:t>
      </w:r>
      <w:r w:rsidR="00BD4C7C" w:rsidRPr="0064597D">
        <w:rPr>
          <w:sz w:val="20"/>
          <w:szCs w:val="20"/>
          <w:lang w:val="es-ES" w:eastAsia="en-US"/>
        </w:rPr>
        <w:t xml:space="preserve"> </w:t>
      </w:r>
      <w:r w:rsidR="007A2779" w:rsidRPr="0064597D">
        <w:rPr>
          <w:sz w:val="20"/>
          <w:szCs w:val="20"/>
          <w:lang w:val="es-ES" w:eastAsia="en-US"/>
        </w:rPr>
        <w:t xml:space="preserve">dos cuestiones. Por un lado, deberá determinar </w:t>
      </w:r>
      <w:r w:rsidR="00BD4C7C" w:rsidRPr="0064597D">
        <w:rPr>
          <w:sz w:val="20"/>
          <w:szCs w:val="20"/>
          <w:lang w:val="es-ES" w:eastAsia="en-US"/>
        </w:rPr>
        <w:t>si se vio vulnerado el derecho de defensa del señor Ruiz Fuentes</w:t>
      </w:r>
      <w:r w:rsidR="007A2779" w:rsidRPr="0064597D">
        <w:rPr>
          <w:sz w:val="20"/>
          <w:szCs w:val="20"/>
          <w:lang w:val="es-ES" w:eastAsia="en-US"/>
        </w:rPr>
        <w:t xml:space="preserve"> </w:t>
      </w:r>
      <w:r w:rsidR="00217017" w:rsidRPr="0064597D">
        <w:rPr>
          <w:sz w:val="20"/>
          <w:szCs w:val="20"/>
          <w:lang w:val="es-ES" w:eastAsia="en-US"/>
        </w:rPr>
        <w:t>p</w:t>
      </w:r>
      <w:r w:rsidR="00ED65D0" w:rsidRPr="0064597D">
        <w:rPr>
          <w:sz w:val="20"/>
          <w:szCs w:val="20"/>
          <w:lang w:val="es-ES" w:eastAsia="en-US"/>
        </w:rPr>
        <w:t xml:space="preserve">or </w:t>
      </w:r>
      <w:r w:rsidR="00450751" w:rsidRPr="0064597D">
        <w:rPr>
          <w:sz w:val="20"/>
          <w:szCs w:val="20"/>
          <w:lang w:val="es-ES" w:eastAsia="en-US"/>
        </w:rPr>
        <w:t>la imposibilidad de aportar pruebas de descargo</w:t>
      </w:r>
      <w:r w:rsidR="007A2779" w:rsidRPr="0064597D">
        <w:rPr>
          <w:sz w:val="20"/>
          <w:szCs w:val="20"/>
          <w:lang w:val="es-ES" w:eastAsia="en-US"/>
        </w:rPr>
        <w:t xml:space="preserve"> lo cual, según la Comisión, supuso una violación de los artículos 8.2.c</w:t>
      </w:r>
      <w:r w:rsidR="001B4B25" w:rsidRPr="0064597D">
        <w:rPr>
          <w:sz w:val="20"/>
          <w:szCs w:val="20"/>
          <w:lang w:val="es-ES" w:eastAsia="en-US"/>
        </w:rPr>
        <w:t>)</w:t>
      </w:r>
      <w:r w:rsidR="007A2779" w:rsidRPr="0064597D">
        <w:rPr>
          <w:sz w:val="20"/>
          <w:szCs w:val="20"/>
          <w:lang w:val="es-ES" w:eastAsia="en-US"/>
        </w:rPr>
        <w:t xml:space="preserve"> y 8.2.f</w:t>
      </w:r>
      <w:r w:rsidR="001B4B25" w:rsidRPr="0064597D">
        <w:rPr>
          <w:sz w:val="20"/>
          <w:szCs w:val="20"/>
          <w:lang w:val="es-ES" w:eastAsia="en-US"/>
        </w:rPr>
        <w:t>)</w:t>
      </w:r>
      <w:r w:rsidR="007A2779" w:rsidRPr="0064597D">
        <w:rPr>
          <w:sz w:val="20"/>
          <w:szCs w:val="20"/>
          <w:lang w:val="es-ES" w:eastAsia="en-US"/>
        </w:rPr>
        <w:t xml:space="preserve"> de la Convención Americana y, según las representantes, </w:t>
      </w:r>
      <w:r w:rsidR="007A2779" w:rsidRPr="0064597D">
        <w:rPr>
          <w:sz w:val="20"/>
          <w:szCs w:val="20"/>
        </w:rPr>
        <w:t>de los artículos 8.2.d</w:t>
      </w:r>
      <w:r w:rsidR="001B4B25" w:rsidRPr="0064597D">
        <w:rPr>
          <w:sz w:val="20"/>
          <w:szCs w:val="20"/>
        </w:rPr>
        <w:t>)</w:t>
      </w:r>
      <w:r w:rsidR="007A2779" w:rsidRPr="0064597D">
        <w:rPr>
          <w:sz w:val="20"/>
          <w:szCs w:val="20"/>
        </w:rPr>
        <w:t xml:space="preserve"> y 8.2.f</w:t>
      </w:r>
      <w:r w:rsidR="001B4B25" w:rsidRPr="0064597D">
        <w:rPr>
          <w:sz w:val="20"/>
          <w:szCs w:val="20"/>
        </w:rPr>
        <w:t>)</w:t>
      </w:r>
      <w:r w:rsidR="007A2779" w:rsidRPr="0064597D">
        <w:rPr>
          <w:sz w:val="20"/>
          <w:szCs w:val="20"/>
        </w:rPr>
        <w:t xml:space="preserve"> de la Convención Americana, todo e</w:t>
      </w:r>
      <w:r w:rsidR="00A570ED" w:rsidRPr="0064597D">
        <w:rPr>
          <w:sz w:val="20"/>
          <w:szCs w:val="20"/>
        </w:rPr>
        <w:t>llo en relación con el artículo</w:t>
      </w:r>
      <w:r w:rsidR="007A2779" w:rsidRPr="0064597D">
        <w:rPr>
          <w:sz w:val="20"/>
          <w:szCs w:val="20"/>
        </w:rPr>
        <w:t xml:space="preserve"> 1.1 del mismo instrumento</w:t>
      </w:r>
      <w:r w:rsidR="007A2779" w:rsidRPr="0064597D">
        <w:rPr>
          <w:sz w:val="20"/>
          <w:szCs w:val="20"/>
          <w:lang w:val="es-ES" w:eastAsia="en-US"/>
        </w:rPr>
        <w:t>.</w:t>
      </w:r>
      <w:r w:rsidR="00B130BB" w:rsidRPr="0064597D">
        <w:rPr>
          <w:sz w:val="20"/>
          <w:szCs w:val="20"/>
          <w:lang w:val="es-ES" w:eastAsia="en-US"/>
        </w:rPr>
        <w:t xml:space="preserve"> </w:t>
      </w:r>
      <w:r w:rsidR="007A2779" w:rsidRPr="0064597D">
        <w:rPr>
          <w:sz w:val="20"/>
          <w:szCs w:val="20"/>
          <w:lang w:val="es-ES" w:eastAsia="en-US"/>
        </w:rPr>
        <w:t>Por otro lado, la Corte deberá determinar si el hecho de que el nuevo abogado desi</w:t>
      </w:r>
      <w:r w:rsidR="002961B3" w:rsidRPr="0064597D">
        <w:rPr>
          <w:sz w:val="20"/>
          <w:szCs w:val="20"/>
          <w:lang w:val="es-ES" w:eastAsia="en-US"/>
        </w:rPr>
        <w:t>g</w:t>
      </w:r>
      <w:r w:rsidR="007A2779" w:rsidRPr="0064597D">
        <w:rPr>
          <w:sz w:val="20"/>
          <w:szCs w:val="20"/>
          <w:lang w:val="es-ES" w:eastAsia="en-US"/>
        </w:rPr>
        <w:t>nado para el señor Ruiz Fuentes dispusiera de tan sólo veinticuatro horas para preparar su defensa, supuso según las representantes, una violación de los artículos 8.2.c</w:t>
      </w:r>
      <w:r w:rsidR="001B4B25" w:rsidRPr="0064597D">
        <w:rPr>
          <w:sz w:val="20"/>
          <w:szCs w:val="20"/>
          <w:lang w:val="es-ES" w:eastAsia="en-US"/>
        </w:rPr>
        <w:t>)</w:t>
      </w:r>
      <w:r w:rsidR="007A2779" w:rsidRPr="0064597D">
        <w:rPr>
          <w:sz w:val="20"/>
          <w:szCs w:val="20"/>
          <w:lang w:val="es-ES" w:eastAsia="en-US"/>
        </w:rPr>
        <w:t>, 8.2.d</w:t>
      </w:r>
      <w:r w:rsidR="001B4B25" w:rsidRPr="0064597D">
        <w:rPr>
          <w:sz w:val="20"/>
          <w:szCs w:val="20"/>
          <w:lang w:val="es-ES" w:eastAsia="en-US"/>
        </w:rPr>
        <w:t>)</w:t>
      </w:r>
      <w:r w:rsidR="007A2779" w:rsidRPr="0064597D">
        <w:rPr>
          <w:sz w:val="20"/>
          <w:szCs w:val="20"/>
          <w:lang w:val="es-ES" w:eastAsia="en-US"/>
        </w:rPr>
        <w:t xml:space="preserve"> y 8.2.f</w:t>
      </w:r>
      <w:r w:rsidR="001B4B25" w:rsidRPr="0064597D">
        <w:rPr>
          <w:sz w:val="20"/>
          <w:szCs w:val="20"/>
          <w:lang w:val="es-ES" w:eastAsia="en-US"/>
        </w:rPr>
        <w:t>)</w:t>
      </w:r>
      <w:r w:rsidR="007A2779" w:rsidRPr="0064597D">
        <w:rPr>
          <w:sz w:val="20"/>
          <w:szCs w:val="20"/>
          <w:lang w:val="es-ES" w:eastAsia="en-US"/>
        </w:rPr>
        <w:t xml:space="preserve"> de la Co</w:t>
      </w:r>
      <w:r w:rsidR="00D84387" w:rsidRPr="0064597D">
        <w:rPr>
          <w:sz w:val="20"/>
          <w:szCs w:val="20"/>
          <w:lang w:val="es-ES" w:eastAsia="en-US"/>
        </w:rPr>
        <w:t>nvención Americana.</w:t>
      </w:r>
    </w:p>
    <w:p w14:paraId="3AB283D0" w14:textId="77777777" w:rsidR="00A74D23" w:rsidRPr="0064597D" w:rsidRDefault="00A74D23" w:rsidP="00A74D23">
      <w:pPr>
        <w:tabs>
          <w:tab w:val="left" w:pos="567"/>
        </w:tabs>
        <w:autoSpaceDE w:val="0"/>
        <w:autoSpaceDN w:val="0"/>
        <w:spacing w:line="240" w:lineRule="auto"/>
        <w:rPr>
          <w:sz w:val="20"/>
          <w:szCs w:val="20"/>
          <w:lang w:val="es-ES" w:eastAsia="en-US"/>
        </w:rPr>
      </w:pPr>
    </w:p>
    <w:p w14:paraId="2F19C62E" w14:textId="13A374CC" w:rsidR="009340D0" w:rsidRPr="0064597D" w:rsidRDefault="00A83408" w:rsidP="0082006C">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 xml:space="preserve">Con </w:t>
      </w:r>
      <w:r w:rsidRPr="0064597D">
        <w:rPr>
          <w:sz w:val="20"/>
          <w:szCs w:val="20"/>
        </w:rPr>
        <w:t>respecto</w:t>
      </w:r>
      <w:r w:rsidRPr="0064597D">
        <w:rPr>
          <w:sz w:val="20"/>
          <w:szCs w:val="20"/>
          <w:lang w:val="es-ES" w:eastAsia="en-US"/>
        </w:rPr>
        <w:t xml:space="preserve"> al primer punto, la Corte observa que es un hecho no controvertido que</w:t>
      </w:r>
      <w:r w:rsidR="00851D8C" w:rsidRPr="0064597D">
        <w:rPr>
          <w:sz w:val="20"/>
          <w:szCs w:val="20"/>
          <w:lang w:val="es-ES" w:eastAsia="en-US"/>
        </w:rPr>
        <w:t xml:space="preserve"> el señor Ruiz Fuentes se vio privado de </w:t>
      </w:r>
      <w:r w:rsidR="0010044D" w:rsidRPr="0064597D">
        <w:rPr>
          <w:sz w:val="20"/>
          <w:szCs w:val="20"/>
          <w:lang w:val="es-ES" w:eastAsia="en-US"/>
        </w:rPr>
        <w:t xml:space="preserve">aportar prueba de descargo </w:t>
      </w:r>
      <w:r w:rsidR="00851D8C" w:rsidRPr="0064597D">
        <w:rPr>
          <w:sz w:val="20"/>
          <w:szCs w:val="20"/>
          <w:lang w:val="es-ES" w:eastAsia="en-US"/>
        </w:rPr>
        <w:t>en el marco d</w:t>
      </w:r>
      <w:r w:rsidR="0010044D" w:rsidRPr="0064597D">
        <w:rPr>
          <w:sz w:val="20"/>
          <w:szCs w:val="20"/>
          <w:lang w:val="es-ES" w:eastAsia="en-US"/>
        </w:rPr>
        <w:t>el procedimiento penal</w:t>
      </w:r>
      <w:r w:rsidR="00851D8C" w:rsidRPr="0064597D">
        <w:rPr>
          <w:sz w:val="20"/>
          <w:szCs w:val="20"/>
          <w:lang w:val="es-ES" w:eastAsia="en-US"/>
        </w:rPr>
        <w:t xml:space="preserve"> </w:t>
      </w:r>
      <w:r w:rsidR="0010044D" w:rsidRPr="0064597D">
        <w:rPr>
          <w:sz w:val="20"/>
          <w:szCs w:val="20"/>
          <w:lang w:val="es-ES" w:eastAsia="en-US"/>
        </w:rPr>
        <w:t xml:space="preserve">debido a que </w:t>
      </w:r>
      <w:r w:rsidR="00851D8C" w:rsidRPr="0064597D">
        <w:rPr>
          <w:sz w:val="20"/>
          <w:szCs w:val="20"/>
          <w:lang w:val="es-ES" w:eastAsia="en-US"/>
        </w:rPr>
        <w:t>su entonces defensor omitió firmar y sellar el memorial correspondiente, razón por la cual el Tribunal no le dio trámite al mismo</w:t>
      </w:r>
      <w:r w:rsidR="0010044D" w:rsidRPr="0064597D">
        <w:rPr>
          <w:sz w:val="20"/>
          <w:szCs w:val="20"/>
          <w:lang w:val="es-ES" w:eastAsia="en-US"/>
        </w:rPr>
        <w:t xml:space="preserve">. </w:t>
      </w:r>
      <w:r w:rsidR="009340D0" w:rsidRPr="0064597D">
        <w:rPr>
          <w:sz w:val="20"/>
          <w:szCs w:val="20"/>
          <w:lang w:val="es-ES" w:eastAsia="en-US"/>
        </w:rPr>
        <w:t>La Corte observa que, c</w:t>
      </w:r>
      <w:r w:rsidR="009340D0" w:rsidRPr="0064597D">
        <w:rPr>
          <w:sz w:val="20"/>
          <w:szCs w:val="20"/>
        </w:rPr>
        <w:t>on respecto a la supuesta vulneración al derecho de defensa por la imposibilidad de presentar medios de prueba durante el debate, la Corte de Apelaciones indicó que “</w:t>
      </w:r>
      <w:r w:rsidR="009340D0" w:rsidRPr="0064597D">
        <w:rPr>
          <w:rFonts w:cs="Arial"/>
          <w:sz w:val="20"/>
          <w:szCs w:val="20"/>
        </w:rPr>
        <w:t>[…],</w:t>
      </w:r>
      <w:r w:rsidR="009340D0" w:rsidRPr="0064597D">
        <w:rPr>
          <w:rFonts w:cs="Arial"/>
        </w:rPr>
        <w:t xml:space="preserve"> </w:t>
      </w:r>
      <w:r w:rsidR="009340D0" w:rsidRPr="0064597D">
        <w:rPr>
          <w:sz w:val="20"/>
          <w:szCs w:val="20"/>
        </w:rPr>
        <w:t xml:space="preserve">el derecho de defensa en ningún momento se le conculcó al recurrente, pues contó durante todo el juicio con su abogado defensor, quien hizo valer todos las garantías que a él le asisten, y si se rechazó la prueba propuesta fue por la forma antitécnica como su abogado ofreció la prueba a rendir, no obstante ello, el recurrente pudo accionar durante el </w:t>
      </w:r>
      <w:r w:rsidR="009340D0" w:rsidRPr="0064597D">
        <w:rPr>
          <w:sz w:val="20"/>
          <w:szCs w:val="20"/>
        </w:rPr>
        <w:lastRenderedPageBreak/>
        <w:t>trámite del juicio correspondiente de donde no hubo la inobservancia pretendida”</w:t>
      </w:r>
      <w:r w:rsidR="009340D0" w:rsidRPr="0064597D">
        <w:rPr>
          <w:rStyle w:val="Refdenotaalpie"/>
          <w:sz w:val="20"/>
          <w:szCs w:val="20"/>
        </w:rPr>
        <w:footnoteReference w:id="185"/>
      </w:r>
      <w:r w:rsidR="009340D0" w:rsidRPr="0064597D">
        <w:rPr>
          <w:sz w:val="20"/>
          <w:szCs w:val="20"/>
        </w:rPr>
        <w:t>.</w:t>
      </w:r>
    </w:p>
    <w:p w14:paraId="2EE0E517" w14:textId="77777777" w:rsidR="009340D0" w:rsidRPr="0064597D" w:rsidRDefault="009340D0" w:rsidP="00C430C8">
      <w:pPr>
        <w:tabs>
          <w:tab w:val="left" w:pos="567"/>
        </w:tabs>
        <w:autoSpaceDE w:val="0"/>
        <w:autoSpaceDN w:val="0"/>
        <w:spacing w:line="240" w:lineRule="auto"/>
        <w:rPr>
          <w:sz w:val="20"/>
          <w:szCs w:val="20"/>
          <w:lang w:val="es-ES" w:eastAsia="en-US"/>
        </w:rPr>
      </w:pPr>
    </w:p>
    <w:p w14:paraId="6B0B475B" w14:textId="35CF469E" w:rsidR="0082006C" w:rsidRPr="0064597D" w:rsidRDefault="009340D0" w:rsidP="0082006C">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rPr>
        <w:t>L</w:t>
      </w:r>
      <w:r w:rsidR="0082006C" w:rsidRPr="0064597D">
        <w:rPr>
          <w:sz w:val="20"/>
          <w:szCs w:val="20"/>
          <w:lang w:val="es-ES"/>
        </w:rPr>
        <w:t xml:space="preserve">a Corte recuerda que el derecho a la defensa es un componente central del debido proceso que obliga al Estado a tratar al individuo en todo momento como un verdadero sujeto del proceso, en el más </w:t>
      </w:r>
      <w:r w:rsidR="0082006C" w:rsidRPr="0064597D">
        <w:rPr>
          <w:sz w:val="20"/>
          <w:szCs w:val="20"/>
        </w:rPr>
        <w:t>amplio</w:t>
      </w:r>
      <w:r w:rsidR="0082006C" w:rsidRPr="0064597D">
        <w:rPr>
          <w:sz w:val="20"/>
          <w:szCs w:val="20"/>
          <w:lang w:val="es-ES"/>
        </w:rPr>
        <w:t xml:space="preserve"> sentido de este concepto, y no simplemente como objeto del mismo</w:t>
      </w:r>
      <w:r w:rsidR="0082006C" w:rsidRPr="0064597D">
        <w:rPr>
          <w:rStyle w:val="Refdenotaalpie"/>
          <w:sz w:val="20"/>
          <w:szCs w:val="20"/>
          <w:lang w:val="es-ES"/>
        </w:rPr>
        <w:footnoteReference w:id="186"/>
      </w:r>
      <w:r w:rsidR="0082006C" w:rsidRPr="0064597D">
        <w:rPr>
          <w:sz w:val="20"/>
          <w:szCs w:val="20"/>
          <w:lang w:val="es-ES"/>
        </w:rPr>
        <w:t>. El derecho a la defensa debe necesariamente poder ejercerse desde que se señala a una persona como posible autor o partícipe de un hecho punible y solo culmina cuando finaliza el proceso, incluyendo, en su caso, la etapa de ejecución de la pena</w:t>
      </w:r>
      <w:r w:rsidR="0082006C" w:rsidRPr="0064597D">
        <w:rPr>
          <w:rStyle w:val="Refdenotaalpie"/>
          <w:sz w:val="20"/>
          <w:szCs w:val="20"/>
          <w:lang w:val="es-ES"/>
        </w:rPr>
        <w:footnoteReference w:id="187"/>
      </w:r>
      <w:r w:rsidR="0082006C" w:rsidRPr="0064597D">
        <w:rPr>
          <w:sz w:val="20"/>
          <w:szCs w:val="20"/>
          <w:lang w:val="es-ES"/>
        </w:rPr>
        <w:t xml:space="preserve">. </w:t>
      </w:r>
    </w:p>
    <w:p w14:paraId="443DCB74" w14:textId="77777777" w:rsidR="0082006C" w:rsidRPr="0064597D" w:rsidRDefault="0082006C" w:rsidP="0082006C">
      <w:pPr>
        <w:tabs>
          <w:tab w:val="left" w:pos="567"/>
        </w:tabs>
        <w:autoSpaceDE w:val="0"/>
        <w:autoSpaceDN w:val="0"/>
        <w:spacing w:line="240" w:lineRule="auto"/>
        <w:rPr>
          <w:sz w:val="20"/>
          <w:szCs w:val="20"/>
          <w:lang w:val="es-ES" w:eastAsia="en-US"/>
        </w:rPr>
      </w:pPr>
    </w:p>
    <w:p w14:paraId="6ED1DB75" w14:textId="2B44DD22" w:rsidR="00217017" w:rsidRPr="0064597D" w:rsidRDefault="003B3E94" w:rsidP="00FD5666">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 xml:space="preserve">Sentado lo anterior, </w:t>
      </w:r>
      <w:r w:rsidR="00A24E1D" w:rsidRPr="0064597D">
        <w:rPr>
          <w:sz w:val="20"/>
          <w:szCs w:val="20"/>
        </w:rPr>
        <w:t xml:space="preserve">la Corte destaca que </w:t>
      </w:r>
      <w:r w:rsidR="000A63C3" w:rsidRPr="0064597D">
        <w:rPr>
          <w:sz w:val="20"/>
          <w:szCs w:val="20"/>
        </w:rPr>
        <w:t>es deber del Estado garantizar el ejercicio pleno y libre del derecho de defensa, independientemente de que la representación sea lleva</w:t>
      </w:r>
      <w:r w:rsidR="004665E2" w:rsidRPr="0064597D">
        <w:rPr>
          <w:sz w:val="20"/>
          <w:szCs w:val="20"/>
        </w:rPr>
        <w:t>d</w:t>
      </w:r>
      <w:r w:rsidR="000A63C3" w:rsidRPr="0064597D">
        <w:rPr>
          <w:sz w:val="20"/>
          <w:szCs w:val="20"/>
        </w:rPr>
        <w:t xml:space="preserve">a cabo por un defensor público o privado. En el presente caso, la Corte observa que </w:t>
      </w:r>
      <w:r w:rsidR="00A24E1D" w:rsidRPr="0064597D">
        <w:rPr>
          <w:sz w:val="20"/>
          <w:szCs w:val="20"/>
        </w:rPr>
        <w:t xml:space="preserve">la razón por la cual la prueba aportada por el señor Ruiz Fuentes no fue admitida se debió a que </w:t>
      </w:r>
      <w:r w:rsidR="00A24E1D" w:rsidRPr="0064597D">
        <w:rPr>
          <w:rFonts w:cs="Arial"/>
          <w:sz w:val="20"/>
          <w:szCs w:val="20"/>
        </w:rPr>
        <w:t xml:space="preserve">el memorial </w:t>
      </w:r>
      <w:r w:rsidR="00A24E1D" w:rsidRPr="0064597D">
        <w:rPr>
          <w:sz w:val="20"/>
          <w:szCs w:val="20"/>
        </w:rPr>
        <w:t>respectivo</w:t>
      </w:r>
      <w:r w:rsidR="00DB0443" w:rsidRPr="0064597D">
        <w:rPr>
          <w:sz w:val="20"/>
          <w:szCs w:val="20"/>
        </w:rPr>
        <w:t xml:space="preserve"> </w:t>
      </w:r>
      <w:r w:rsidR="00A24E1D" w:rsidRPr="0064597D">
        <w:rPr>
          <w:rFonts w:cs="Arial"/>
          <w:sz w:val="20"/>
          <w:szCs w:val="20"/>
        </w:rPr>
        <w:t xml:space="preserve">carecía de firma y </w:t>
      </w:r>
      <w:r w:rsidR="00541480" w:rsidRPr="0064597D">
        <w:rPr>
          <w:rFonts w:cs="Arial"/>
          <w:sz w:val="20"/>
          <w:szCs w:val="20"/>
        </w:rPr>
        <w:t xml:space="preserve">sello abogado defensor, lo que </w:t>
      </w:r>
      <w:r w:rsidR="007309C7" w:rsidRPr="0064597D">
        <w:rPr>
          <w:rFonts w:cs="Arial"/>
          <w:sz w:val="20"/>
          <w:szCs w:val="20"/>
        </w:rPr>
        <w:t>hizo que el documento no tuviera ninguna validez</w:t>
      </w:r>
      <w:r w:rsidR="00541480" w:rsidRPr="0064597D">
        <w:rPr>
          <w:rFonts w:cs="Arial"/>
          <w:sz w:val="20"/>
          <w:szCs w:val="20"/>
        </w:rPr>
        <w:t xml:space="preserve"> en aplicación de la legalidad procesal vigente al momento de los hechos</w:t>
      </w:r>
      <w:r w:rsidR="00B130BB" w:rsidRPr="0064597D">
        <w:rPr>
          <w:rStyle w:val="Refdenotaalpie"/>
          <w:sz w:val="20"/>
          <w:szCs w:val="20"/>
        </w:rPr>
        <w:footnoteReference w:id="188"/>
      </w:r>
      <w:r w:rsidR="007309C7" w:rsidRPr="0064597D">
        <w:rPr>
          <w:rFonts w:cs="Arial"/>
          <w:sz w:val="20"/>
          <w:szCs w:val="20"/>
        </w:rPr>
        <w:t>. La Corte observa, por tanto, que la prueba propuesta fue rechazada por un grave y claro fallo procesal cometido por el abogado defensor</w:t>
      </w:r>
      <w:r w:rsidR="007309C7" w:rsidRPr="0064597D">
        <w:rPr>
          <w:rStyle w:val="Refdenotaalpie"/>
          <w:sz w:val="20"/>
          <w:szCs w:val="20"/>
        </w:rPr>
        <w:footnoteReference w:id="189"/>
      </w:r>
      <w:r w:rsidR="00B130BB" w:rsidRPr="0064597D">
        <w:rPr>
          <w:rFonts w:cs="Arial"/>
          <w:sz w:val="20"/>
          <w:szCs w:val="20"/>
        </w:rPr>
        <w:t xml:space="preserve">. </w:t>
      </w:r>
      <w:r w:rsidR="0082006C" w:rsidRPr="0064597D">
        <w:rPr>
          <w:sz w:val="20"/>
          <w:szCs w:val="20"/>
          <w:lang w:val="es-ES" w:eastAsia="en-US"/>
        </w:rPr>
        <w:t>A la vista de lo anterior, la Corte considera que el Estado guatemalteco no puede ser considerado responsable por la omisión que haya podido tener un defensor privado</w:t>
      </w:r>
      <w:r w:rsidRPr="0064597D">
        <w:rPr>
          <w:sz w:val="20"/>
          <w:szCs w:val="20"/>
          <w:lang w:val="es-ES" w:eastAsia="en-US"/>
        </w:rPr>
        <w:t xml:space="preserve">, máxime cuando en el presente caso la Corte no cuenta con </w:t>
      </w:r>
      <w:r w:rsidR="004665E2" w:rsidRPr="0064597D">
        <w:rPr>
          <w:sz w:val="20"/>
          <w:szCs w:val="20"/>
          <w:lang w:val="es-ES" w:eastAsia="en-US"/>
        </w:rPr>
        <w:t>argumentos</w:t>
      </w:r>
      <w:r w:rsidRPr="0064597D">
        <w:rPr>
          <w:sz w:val="20"/>
          <w:szCs w:val="20"/>
          <w:lang w:val="es-ES" w:eastAsia="en-US"/>
        </w:rPr>
        <w:t xml:space="preserve"> ni con prueba pertinente que eventualmente pudiera</w:t>
      </w:r>
      <w:r w:rsidR="004665E2" w:rsidRPr="0064597D">
        <w:rPr>
          <w:sz w:val="20"/>
          <w:szCs w:val="20"/>
          <w:lang w:val="es-ES" w:eastAsia="en-US"/>
        </w:rPr>
        <w:t>n</w:t>
      </w:r>
      <w:r w:rsidRPr="0064597D">
        <w:rPr>
          <w:sz w:val="20"/>
          <w:szCs w:val="20"/>
          <w:lang w:val="es-ES" w:eastAsia="en-US"/>
        </w:rPr>
        <w:t xml:space="preserve"> acreditar que la inacción del defensor privado se debió a algún tipo de obstaculización o intervención indebida del Estado</w:t>
      </w:r>
      <w:r w:rsidR="0082006C" w:rsidRPr="0064597D">
        <w:rPr>
          <w:sz w:val="20"/>
          <w:szCs w:val="20"/>
          <w:lang w:val="es-ES" w:eastAsia="en-US"/>
        </w:rPr>
        <w:t xml:space="preserve">. </w:t>
      </w:r>
      <w:r w:rsidR="00263ED1" w:rsidRPr="0064597D">
        <w:rPr>
          <w:sz w:val="20"/>
          <w:szCs w:val="20"/>
          <w:lang w:val="es-ES" w:eastAsia="en-US"/>
        </w:rPr>
        <w:t xml:space="preserve">Por ende, la Corte considera que el Estado no violó </w:t>
      </w:r>
      <w:r w:rsidR="0082142D" w:rsidRPr="0064597D">
        <w:rPr>
          <w:sz w:val="20"/>
          <w:szCs w:val="20"/>
          <w:lang w:val="es-ES" w:eastAsia="en-US"/>
        </w:rPr>
        <w:t>los artículos 8.2.d</w:t>
      </w:r>
      <w:r w:rsidR="001B4B25" w:rsidRPr="0064597D">
        <w:rPr>
          <w:sz w:val="20"/>
          <w:szCs w:val="20"/>
          <w:lang w:val="es-ES" w:eastAsia="en-US"/>
        </w:rPr>
        <w:t>)</w:t>
      </w:r>
      <w:r w:rsidR="0082142D" w:rsidRPr="0064597D">
        <w:rPr>
          <w:sz w:val="20"/>
          <w:szCs w:val="20"/>
          <w:lang w:val="es-ES" w:eastAsia="en-US"/>
        </w:rPr>
        <w:t xml:space="preserve"> y</w:t>
      </w:r>
      <w:r w:rsidR="00263ED1" w:rsidRPr="0064597D">
        <w:rPr>
          <w:sz w:val="20"/>
          <w:szCs w:val="20"/>
          <w:lang w:val="es-ES" w:eastAsia="en-US"/>
        </w:rPr>
        <w:t xml:space="preserve"> 8.2.f</w:t>
      </w:r>
      <w:r w:rsidR="001B4B25" w:rsidRPr="0064597D">
        <w:rPr>
          <w:sz w:val="20"/>
          <w:szCs w:val="20"/>
          <w:lang w:val="es-ES" w:eastAsia="en-US"/>
        </w:rPr>
        <w:t>)</w:t>
      </w:r>
      <w:r w:rsidR="00263ED1" w:rsidRPr="0064597D">
        <w:rPr>
          <w:sz w:val="20"/>
          <w:szCs w:val="20"/>
          <w:lang w:val="es-ES" w:eastAsia="en-US"/>
        </w:rPr>
        <w:t xml:space="preserve"> de la Convención Americana.</w:t>
      </w:r>
    </w:p>
    <w:p w14:paraId="0D28FE0F" w14:textId="77777777" w:rsidR="00217017" w:rsidRPr="0064597D" w:rsidRDefault="00217017" w:rsidP="00217017">
      <w:pPr>
        <w:tabs>
          <w:tab w:val="left" w:pos="567"/>
        </w:tabs>
        <w:autoSpaceDE w:val="0"/>
        <w:autoSpaceDN w:val="0"/>
        <w:spacing w:line="240" w:lineRule="auto"/>
        <w:rPr>
          <w:sz w:val="20"/>
          <w:szCs w:val="20"/>
          <w:lang w:val="es-ES" w:eastAsia="en-US"/>
        </w:rPr>
      </w:pPr>
    </w:p>
    <w:p w14:paraId="0D8C9C6E" w14:textId="47B3F75D" w:rsidR="002820AA" w:rsidRPr="0064597D" w:rsidRDefault="00217017" w:rsidP="00492BBB">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Con respecto al segundo punto, t</w:t>
      </w:r>
      <w:r w:rsidR="0010044D" w:rsidRPr="0064597D">
        <w:rPr>
          <w:sz w:val="20"/>
          <w:szCs w:val="20"/>
          <w:lang w:val="es-ES" w:eastAsia="en-US"/>
        </w:rPr>
        <w:t xml:space="preserve">ampoco es un hecho controvertido que </w:t>
      </w:r>
      <w:r w:rsidR="00A83408" w:rsidRPr="0064597D">
        <w:rPr>
          <w:sz w:val="20"/>
          <w:szCs w:val="20"/>
          <w:lang w:val="es-ES" w:eastAsia="en-US"/>
        </w:rPr>
        <w:t xml:space="preserve">el día del debate oral y público, previo a la condenatoria a muerte, </w:t>
      </w:r>
      <w:r w:rsidR="00070340" w:rsidRPr="0064597D">
        <w:rPr>
          <w:sz w:val="20"/>
          <w:szCs w:val="20"/>
          <w:lang w:val="es-ES" w:eastAsia="en-US"/>
        </w:rPr>
        <w:t>a</w:t>
      </w:r>
      <w:r w:rsidR="00197DAE" w:rsidRPr="0064597D">
        <w:rPr>
          <w:sz w:val="20"/>
          <w:szCs w:val="20"/>
          <w:lang w:val="es-ES" w:eastAsia="en-US"/>
        </w:rPr>
        <w:t xml:space="preserve">nte la ausencia </w:t>
      </w:r>
      <w:r w:rsidR="00C3573D" w:rsidRPr="0064597D">
        <w:rPr>
          <w:sz w:val="20"/>
          <w:szCs w:val="20"/>
          <w:lang w:val="es-ES" w:eastAsia="en-US"/>
        </w:rPr>
        <w:t>del</w:t>
      </w:r>
      <w:r w:rsidR="00197DAE" w:rsidRPr="0064597D">
        <w:rPr>
          <w:sz w:val="20"/>
          <w:szCs w:val="20"/>
          <w:lang w:val="es-ES" w:eastAsia="en-US"/>
        </w:rPr>
        <w:t xml:space="preserve"> letrado</w:t>
      </w:r>
      <w:r w:rsidR="00070340" w:rsidRPr="0064597D">
        <w:rPr>
          <w:sz w:val="20"/>
          <w:szCs w:val="20"/>
          <w:lang w:val="es-ES" w:eastAsia="en-US"/>
        </w:rPr>
        <w:t xml:space="preserve"> del señor Ruiz Fuentes</w:t>
      </w:r>
      <w:r w:rsidR="00197DAE" w:rsidRPr="0064597D">
        <w:rPr>
          <w:sz w:val="20"/>
          <w:szCs w:val="20"/>
          <w:lang w:val="es-ES" w:eastAsia="en-US"/>
        </w:rPr>
        <w:t xml:space="preserve">, </w:t>
      </w:r>
      <w:r w:rsidR="00A83408" w:rsidRPr="0064597D">
        <w:rPr>
          <w:sz w:val="20"/>
          <w:szCs w:val="20"/>
          <w:lang w:val="es-ES" w:eastAsia="en-US"/>
        </w:rPr>
        <w:t>el Tribunal</w:t>
      </w:r>
      <w:r w:rsidR="00197DAE" w:rsidRPr="0064597D">
        <w:rPr>
          <w:sz w:val="20"/>
          <w:szCs w:val="20"/>
          <w:lang w:val="es-ES" w:eastAsia="en-US"/>
        </w:rPr>
        <w:t xml:space="preserve"> </w:t>
      </w:r>
      <w:r w:rsidR="00C3573D" w:rsidRPr="0064597D">
        <w:rPr>
          <w:sz w:val="20"/>
          <w:szCs w:val="20"/>
          <w:lang w:val="es-ES" w:eastAsia="en-US"/>
        </w:rPr>
        <w:t xml:space="preserve">de </w:t>
      </w:r>
      <w:r w:rsidR="00197DAE" w:rsidRPr="0064597D">
        <w:rPr>
          <w:sz w:val="20"/>
          <w:szCs w:val="20"/>
          <w:lang w:val="es-ES" w:eastAsia="en-US"/>
        </w:rPr>
        <w:t xml:space="preserve">Sentencia Penal </w:t>
      </w:r>
      <w:r w:rsidR="003C53B9" w:rsidRPr="0064597D">
        <w:rPr>
          <w:sz w:val="20"/>
          <w:szCs w:val="20"/>
          <w:lang w:val="es-ES" w:eastAsia="en-US"/>
        </w:rPr>
        <w:t xml:space="preserve">declaró el abandono del </w:t>
      </w:r>
      <w:r w:rsidR="00C3573D" w:rsidRPr="0064597D">
        <w:rPr>
          <w:sz w:val="20"/>
          <w:szCs w:val="20"/>
          <w:lang w:val="es-ES" w:eastAsia="en-US"/>
        </w:rPr>
        <w:t>mismo</w:t>
      </w:r>
      <w:r w:rsidR="003C53B9" w:rsidRPr="0064597D">
        <w:rPr>
          <w:sz w:val="20"/>
          <w:szCs w:val="20"/>
          <w:lang w:val="es-ES" w:eastAsia="en-US"/>
        </w:rPr>
        <w:t xml:space="preserve"> y </w:t>
      </w:r>
      <w:r w:rsidR="00A83408" w:rsidRPr="0064597D">
        <w:rPr>
          <w:sz w:val="20"/>
          <w:szCs w:val="20"/>
          <w:lang w:val="es-ES" w:eastAsia="en-US"/>
        </w:rPr>
        <w:t xml:space="preserve">nombró un </w:t>
      </w:r>
      <w:r w:rsidR="00197DAE" w:rsidRPr="0064597D">
        <w:rPr>
          <w:sz w:val="20"/>
          <w:szCs w:val="20"/>
          <w:lang w:val="es-ES" w:eastAsia="en-US"/>
        </w:rPr>
        <w:t xml:space="preserve">nuevo </w:t>
      </w:r>
      <w:r w:rsidR="00A83408" w:rsidRPr="0064597D">
        <w:rPr>
          <w:sz w:val="20"/>
          <w:szCs w:val="20"/>
          <w:lang w:val="es-ES" w:eastAsia="en-US"/>
        </w:rPr>
        <w:t>defensor</w:t>
      </w:r>
      <w:r w:rsidR="003C53B9" w:rsidRPr="0064597D">
        <w:rPr>
          <w:sz w:val="20"/>
          <w:szCs w:val="20"/>
          <w:lang w:val="es-ES" w:eastAsia="en-US"/>
        </w:rPr>
        <w:t xml:space="preserve">, quien ya figuraba como apersonado </w:t>
      </w:r>
      <w:r w:rsidR="00C3573D" w:rsidRPr="0064597D">
        <w:rPr>
          <w:sz w:val="20"/>
          <w:szCs w:val="20"/>
          <w:lang w:val="es-ES" w:eastAsia="en-US"/>
        </w:rPr>
        <w:t>en la causa</w:t>
      </w:r>
      <w:r w:rsidR="003C53B9" w:rsidRPr="0064597D">
        <w:rPr>
          <w:rStyle w:val="Refdenotaalpie"/>
          <w:sz w:val="20"/>
          <w:szCs w:val="20"/>
          <w:lang w:val="es-ES" w:eastAsia="en-US"/>
        </w:rPr>
        <w:footnoteReference w:id="190"/>
      </w:r>
      <w:r w:rsidR="003C53B9" w:rsidRPr="0064597D">
        <w:rPr>
          <w:sz w:val="20"/>
          <w:szCs w:val="20"/>
          <w:lang w:val="es-ES" w:eastAsia="en-US"/>
        </w:rPr>
        <w:t>.</w:t>
      </w:r>
      <w:r w:rsidR="00DB0443" w:rsidRPr="0064597D">
        <w:rPr>
          <w:sz w:val="20"/>
          <w:szCs w:val="20"/>
          <w:lang w:val="es-ES" w:eastAsia="en-US"/>
        </w:rPr>
        <w:t xml:space="preserve"> </w:t>
      </w:r>
      <w:r w:rsidR="003C53B9" w:rsidRPr="0064597D">
        <w:rPr>
          <w:sz w:val="20"/>
          <w:szCs w:val="20"/>
          <w:lang w:val="es-ES" w:eastAsia="en-US"/>
        </w:rPr>
        <w:t xml:space="preserve">El señor Ruiz Fuentes dio su consentimiento a que </w:t>
      </w:r>
      <w:r w:rsidR="00C3573D" w:rsidRPr="0064597D">
        <w:rPr>
          <w:sz w:val="20"/>
          <w:szCs w:val="20"/>
          <w:lang w:val="es-ES" w:eastAsia="en-US"/>
        </w:rPr>
        <w:t>el nuevo abogado</w:t>
      </w:r>
      <w:r w:rsidR="003C53B9" w:rsidRPr="0064597D">
        <w:rPr>
          <w:sz w:val="20"/>
          <w:szCs w:val="20"/>
          <w:lang w:val="es-ES" w:eastAsia="en-US"/>
        </w:rPr>
        <w:t xml:space="preserve"> lo defendiera en el juicio</w:t>
      </w:r>
      <w:r w:rsidR="003C53B9" w:rsidRPr="0064597D">
        <w:rPr>
          <w:rStyle w:val="Refdenotaalpie"/>
          <w:sz w:val="20"/>
          <w:szCs w:val="20"/>
          <w:lang w:val="es-ES" w:eastAsia="en-US"/>
        </w:rPr>
        <w:footnoteReference w:id="191"/>
      </w:r>
      <w:r w:rsidR="003C53B9" w:rsidRPr="0064597D">
        <w:rPr>
          <w:sz w:val="20"/>
          <w:szCs w:val="20"/>
          <w:lang w:val="es-ES" w:eastAsia="en-US"/>
        </w:rPr>
        <w:t xml:space="preserve">. </w:t>
      </w:r>
      <w:r w:rsidR="002820AA" w:rsidRPr="0064597D">
        <w:rPr>
          <w:sz w:val="20"/>
          <w:szCs w:val="20"/>
          <w:lang w:val="es-ES" w:eastAsia="en-US"/>
        </w:rPr>
        <w:t>Tras dicha designación, el abogado solicitó que se suspendiera el debate en aras de poder preparar la defensa de su cliente. No obstante lo anterior, el Tribunal de Sentencia Penal decidió aplazar el debate durante veinticuatro horas y ello con base a que “el licenciado […]</w:t>
      </w:r>
      <w:r w:rsidR="00C3573D" w:rsidRPr="0064597D">
        <w:rPr>
          <w:sz w:val="20"/>
          <w:szCs w:val="20"/>
          <w:lang w:val="es-ES" w:eastAsia="en-US"/>
        </w:rPr>
        <w:t xml:space="preserve"> </w:t>
      </w:r>
      <w:r w:rsidR="002820AA" w:rsidRPr="0064597D">
        <w:rPr>
          <w:sz w:val="20"/>
          <w:szCs w:val="20"/>
          <w:lang w:val="es-ES" w:eastAsia="en-US"/>
        </w:rPr>
        <w:t>fungía como defensor de otro de los sindicados” y que, por tanto, conocía el proceso</w:t>
      </w:r>
      <w:r w:rsidR="002820AA" w:rsidRPr="0064597D">
        <w:rPr>
          <w:rStyle w:val="Refdenotaalpie"/>
          <w:sz w:val="20"/>
          <w:szCs w:val="20"/>
          <w:lang w:val="es-ES" w:eastAsia="en-US"/>
        </w:rPr>
        <w:footnoteReference w:id="192"/>
      </w:r>
      <w:r w:rsidR="002820AA" w:rsidRPr="0064597D">
        <w:rPr>
          <w:sz w:val="20"/>
          <w:szCs w:val="20"/>
          <w:lang w:val="es-ES" w:eastAsia="en-US"/>
        </w:rPr>
        <w:t xml:space="preserve">. </w:t>
      </w:r>
    </w:p>
    <w:p w14:paraId="21411DFB" w14:textId="77777777" w:rsidR="002820AA" w:rsidRPr="0064597D" w:rsidRDefault="002820AA" w:rsidP="002820AA">
      <w:pPr>
        <w:tabs>
          <w:tab w:val="left" w:pos="567"/>
        </w:tabs>
        <w:autoSpaceDE w:val="0"/>
        <w:autoSpaceDN w:val="0"/>
        <w:spacing w:line="240" w:lineRule="auto"/>
        <w:rPr>
          <w:sz w:val="20"/>
          <w:szCs w:val="20"/>
          <w:lang w:val="es-ES" w:eastAsia="en-US"/>
        </w:rPr>
      </w:pPr>
    </w:p>
    <w:p w14:paraId="5A27EE30" w14:textId="0D73C3FF" w:rsidR="002820AA" w:rsidRPr="0064597D" w:rsidRDefault="00A77F6A" w:rsidP="005326EE">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La Corte recuerda que “contar con el tiempo y los medios adecuados para preparar la defensa”, en los términos del artículo 8</w:t>
      </w:r>
      <w:r w:rsidR="007C2F92" w:rsidRPr="0064597D">
        <w:rPr>
          <w:sz w:val="20"/>
          <w:szCs w:val="20"/>
          <w:lang w:val="es-ES" w:eastAsia="en-US"/>
        </w:rPr>
        <w:t>.2.c</w:t>
      </w:r>
      <w:r w:rsidR="001B4B25" w:rsidRPr="0064597D">
        <w:rPr>
          <w:sz w:val="20"/>
          <w:szCs w:val="20"/>
          <w:lang w:val="es-ES" w:eastAsia="en-US"/>
        </w:rPr>
        <w:t>)</w:t>
      </w:r>
      <w:r w:rsidRPr="0064597D">
        <w:rPr>
          <w:sz w:val="20"/>
          <w:szCs w:val="20"/>
          <w:lang w:val="es-ES" w:eastAsia="en-US"/>
        </w:rPr>
        <w:t xml:space="preserve"> del tratado, es una de “las garantías inherentes al derecho de defensa”</w:t>
      </w:r>
      <w:r w:rsidRPr="0064597D">
        <w:rPr>
          <w:sz w:val="20"/>
          <w:szCs w:val="20"/>
          <w:vertAlign w:val="superscript"/>
          <w:lang w:val="es-ES" w:eastAsia="en-US"/>
        </w:rPr>
        <w:footnoteReference w:id="193"/>
      </w:r>
      <w:r w:rsidRPr="0064597D">
        <w:rPr>
          <w:sz w:val="20"/>
          <w:szCs w:val="20"/>
          <w:lang w:val="es-ES" w:eastAsia="en-US"/>
        </w:rPr>
        <w:t>.</w:t>
      </w:r>
      <w:r w:rsidR="00DB0443" w:rsidRPr="0064597D">
        <w:rPr>
          <w:sz w:val="20"/>
          <w:szCs w:val="20"/>
          <w:lang w:val="es-ES" w:eastAsia="en-US"/>
        </w:rPr>
        <w:t xml:space="preserve"> </w:t>
      </w:r>
      <w:r w:rsidR="005326EE" w:rsidRPr="0064597D">
        <w:rPr>
          <w:sz w:val="20"/>
          <w:szCs w:val="20"/>
          <w:lang w:val="es-ES" w:eastAsia="en-US"/>
        </w:rPr>
        <w:t>Si</w:t>
      </w:r>
      <w:r w:rsidR="004D498D" w:rsidRPr="0064597D">
        <w:rPr>
          <w:sz w:val="20"/>
          <w:szCs w:val="20"/>
          <w:lang w:val="es-ES" w:eastAsia="en-US"/>
        </w:rPr>
        <w:t xml:space="preserve"> </w:t>
      </w:r>
      <w:r w:rsidR="005326EE" w:rsidRPr="0064597D">
        <w:rPr>
          <w:sz w:val="20"/>
          <w:szCs w:val="20"/>
          <w:lang w:val="es-ES" w:eastAsia="en-US"/>
        </w:rPr>
        <w:t>el</w:t>
      </w:r>
      <w:r w:rsidR="004D498D" w:rsidRPr="0064597D">
        <w:rPr>
          <w:sz w:val="20"/>
          <w:szCs w:val="20"/>
          <w:lang w:val="es-ES" w:eastAsia="en-US"/>
        </w:rPr>
        <w:t xml:space="preserve"> </w:t>
      </w:r>
      <w:r w:rsidR="005326EE" w:rsidRPr="0064597D">
        <w:rPr>
          <w:sz w:val="20"/>
          <w:szCs w:val="20"/>
          <w:lang w:val="es-ES" w:eastAsia="en-US"/>
        </w:rPr>
        <w:t>Estado</w:t>
      </w:r>
      <w:r w:rsidR="004D498D" w:rsidRPr="0064597D">
        <w:rPr>
          <w:sz w:val="20"/>
          <w:szCs w:val="20"/>
          <w:lang w:val="es-ES" w:eastAsia="en-US"/>
        </w:rPr>
        <w:t xml:space="preserve"> </w:t>
      </w:r>
      <w:r w:rsidR="005326EE" w:rsidRPr="0064597D">
        <w:rPr>
          <w:sz w:val="20"/>
          <w:szCs w:val="20"/>
          <w:lang w:val="es-ES" w:eastAsia="en-US"/>
        </w:rPr>
        <w:t>pretende</w:t>
      </w:r>
      <w:r w:rsidR="004D498D" w:rsidRPr="0064597D">
        <w:rPr>
          <w:sz w:val="20"/>
          <w:szCs w:val="20"/>
          <w:lang w:val="es-ES" w:eastAsia="en-US"/>
        </w:rPr>
        <w:t xml:space="preserve"> </w:t>
      </w:r>
      <w:r w:rsidR="005326EE" w:rsidRPr="0064597D">
        <w:rPr>
          <w:sz w:val="20"/>
          <w:szCs w:val="20"/>
          <w:lang w:val="es-ES" w:eastAsia="en-US"/>
        </w:rPr>
        <w:t>limitar</w:t>
      </w:r>
      <w:r w:rsidR="004D498D" w:rsidRPr="0064597D">
        <w:rPr>
          <w:sz w:val="20"/>
          <w:szCs w:val="20"/>
          <w:lang w:val="es-ES" w:eastAsia="en-US"/>
        </w:rPr>
        <w:t xml:space="preserve"> </w:t>
      </w:r>
      <w:r w:rsidR="005326EE" w:rsidRPr="0064597D">
        <w:rPr>
          <w:sz w:val="20"/>
          <w:szCs w:val="20"/>
          <w:lang w:val="es-ES" w:eastAsia="en-US"/>
        </w:rPr>
        <w:t>este</w:t>
      </w:r>
      <w:r w:rsidR="004D498D" w:rsidRPr="0064597D">
        <w:rPr>
          <w:sz w:val="20"/>
          <w:szCs w:val="20"/>
          <w:lang w:val="es-ES" w:eastAsia="en-US"/>
        </w:rPr>
        <w:t xml:space="preserve"> </w:t>
      </w:r>
      <w:r w:rsidR="005326EE" w:rsidRPr="0064597D">
        <w:rPr>
          <w:sz w:val="20"/>
          <w:szCs w:val="20"/>
          <w:lang w:val="es-ES" w:eastAsia="en-US"/>
        </w:rPr>
        <w:t>derecho,</w:t>
      </w:r>
      <w:r w:rsidR="004D498D" w:rsidRPr="0064597D">
        <w:rPr>
          <w:sz w:val="20"/>
          <w:szCs w:val="20"/>
          <w:lang w:val="es-ES" w:eastAsia="en-US"/>
        </w:rPr>
        <w:t xml:space="preserve"> </w:t>
      </w:r>
      <w:r w:rsidR="005326EE" w:rsidRPr="0064597D">
        <w:rPr>
          <w:sz w:val="20"/>
          <w:szCs w:val="20"/>
          <w:lang w:val="es-ES" w:eastAsia="en-US"/>
        </w:rPr>
        <w:t>debe</w:t>
      </w:r>
      <w:r w:rsidR="004D498D" w:rsidRPr="0064597D">
        <w:rPr>
          <w:sz w:val="20"/>
          <w:szCs w:val="20"/>
          <w:lang w:val="es-ES" w:eastAsia="en-US"/>
        </w:rPr>
        <w:t xml:space="preserve"> </w:t>
      </w:r>
      <w:r w:rsidR="005326EE" w:rsidRPr="0064597D">
        <w:rPr>
          <w:sz w:val="20"/>
          <w:szCs w:val="20"/>
          <w:lang w:val="es-ES" w:eastAsia="en-US"/>
        </w:rPr>
        <w:t>respetar</w:t>
      </w:r>
      <w:r w:rsidR="004D498D" w:rsidRPr="0064597D">
        <w:rPr>
          <w:sz w:val="20"/>
          <w:szCs w:val="20"/>
          <w:lang w:val="es-ES" w:eastAsia="en-US"/>
        </w:rPr>
        <w:t xml:space="preserve"> </w:t>
      </w:r>
      <w:r w:rsidR="005326EE" w:rsidRPr="0064597D">
        <w:rPr>
          <w:sz w:val="20"/>
          <w:szCs w:val="20"/>
          <w:lang w:val="es-ES" w:eastAsia="en-US"/>
        </w:rPr>
        <w:t>el</w:t>
      </w:r>
      <w:r w:rsidR="004D498D" w:rsidRPr="0064597D">
        <w:rPr>
          <w:sz w:val="20"/>
          <w:szCs w:val="20"/>
          <w:lang w:val="es-ES" w:eastAsia="en-US"/>
        </w:rPr>
        <w:t xml:space="preserve"> </w:t>
      </w:r>
      <w:r w:rsidR="005326EE" w:rsidRPr="0064597D">
        <w:rPr>
          <w:sz w:val="20"/>
          <w:szCs w:val="20"/>
          <w:lang w:val="es-ES" w:eastAsia="en-US"/>
        </w:rPr>
        <w:t>principio</w:t>
      </w:r>
      <w:r w:rsidR="004D498D" w:rsidRPr="0064597D">
        <w:rPr>
          <w:sz w:val="20"/>
          <w:szCs w:val="20"/>
          <w:lang w:val="es-ES" w:eastAsia="en-US"/>
        </w:rPr>
        <w:t xml:space="preserve"> </w:t>
      </w:r>
      <w:r w:rsidR="005326EE" w:rsidRPr="0064597D">
        <w:rPr>
          <w:sz w:val="20"/>
          <w:szCs w:val="20"/>
          <w:lang w:val="es-ES" w:eastAsia="en-US"/>
        </w:rPr>
        <w:t>de</w:t>
      </w:r>
      <w:r w:rsidR="004D498D" w:rsidRPr="0064597D">
        <w:rPr>
          <w:sz w:val="20"/>
          <w:szCs w:val="20"/>
          <w:lang w:val="es-ES" w:eastAsia="en-US"/>
        </w:rPr>
        <w:t xml:space="preserve"> </w:t>
      </w:r>
      <w:r w:rsidR="005326EE" w:rsidRPr="0064597D">
        <w:rPr>
          <w:sz w:val="20"/>
          <w:szCs w:val="20"/>
          <w:lang w:val="es-ES" w:eastAsia="en-US"/>
        </w:rPr>
        <w:t>legalidad,</w:t>
      </w:r>
      <w:r w:rsidR="004D498D" w:rsidRPr="0064597D">
        <w:rPr>
          <w:sz w:val="20"/>
          <w:szCs w:val="20"/>
          <w:lang w:val="es-ES" w:eastAsia="en-US"/>
        </w:rPr>
        <w:t xml:space="preserve"> </w:t>
      </w:r>
      <w:r w:rsidR="005326EE" w:rsidRPr="0064597D">
        <w:rPr>
          <w:sz w:val="20"/>
          <w:szCs w:val="20"/>
          <w:lang w:val="es-ES" w:eastAsia="en-US"/>
        </w:rPr>
        <w:t>argüir</w:t>
      </w:r>
      <w:r w:rsidR="004D498D" w:rsidRPr="0064597D">
        <w:rPr>
          <w:sz w:val="20"/>
          <w:szCs w:val="20"/>
          <w:lang w:val="es-ES" w:eastAsia="en-US"/>
        </w:rPr>
        <w:t xml:space="preserve"> </w:t>
      </w:r>
      <w:r w:rsidR="005326EE" w:rsidRPr="0064597D">
        <w:rPr>
          <w:sz w:val="20"/>
          <w:szCs w:val="20"/>
          <w:lang w:val="es-ES" w:eastAsia="en-US"/>
        </w:rPr>
        <w:t>de</w:t>
      </w:r>
      <w:r w:rsidR="004D498D" w:rsidRPr="0064597D">
        <w:rPr>
          <w:sz w:val="20"/>
          <w:szCs w:val="20"/>
          <w:lang w:val="es-ES" w:eastAsia="en-US"/>
        </w:rPr>
        <w:t xml:space="preserve"> </w:t>
      </w:r>
      <w:r w:rsidR="005326EE" w:rsidRPr="0064597D">
        <w:rPr>
          <w:sz w:val="20"/>
          <w:szCs w:val="20"/>
          <w:lang w:val="es-ES" w:eastAsia="en-US"/>
        </w:rPr>
        <w:t>manera</w:t>
      </w:r>
      <w:r w:rsidR="004D498D" w:rsidRPr="0064597D">
        <w:rPr>
          <w:sz w:val="20"/>
          <w:szCs w:val="20"/>
          <w:lang w:val="es-ES" w:eastAsia="en-US"/>
        </w:rPr>
        <w:t xml:space="preserve"> </w:t>
      </w:r>
      <w:r w:rsidR="005326EE" w:rsidRPr="0064597D">
        <w:rPr>
          <w:sz w:val="20"/>
          <w:szCs w:val="20"/>
          <w:lang w:val="es-ES" w:eastAsia="en-US"/>
        </w:rPr>
        <w:t>fundada</w:t>
      </w:r>
      <w:r w:rsidR="004D498D" w:rsidRPr="0064597D">
        <w:rPr>
          <w:sz w:val="20"/>
          <w:szCs w:val="20"/>
          <w:lang w:val="es-ES" w:eastAsia="en-US"/>
        </w:rPr>
        <w:t xml:space="preserve"> </w:t>
      </w:r>
      <w:r w:rsidR="005326EE" w:rsidRPr="0064597D">
        <w:rPr>
          <w:sz w:val="20"/>
          <w:szCs w:val="20"/>
          <w:lang w:val="es-ES" w:eastAsia="en-US"/>
        </w:rPr>
        <w:t>cuál</w:t>
      </w:r>
      <w:r w:rsidR="004D498D" w:rsidRPr="0064597D">
        <w:rPr>
          <w:sz w:val="20"/>
          <w:szCs w:val="20"/>
          <w:lang w:val="es-ES" w:eastAsia="en-US"/>
        </w:rPr>
        <w:t xml:space="preserve"> </w:t>
      </w:r>
      <w:r w:rsidR="005326EE" w:rsidRPr="0064597D">
        <w:rPr>
          <w:sz w:val="20"/>
          <w:szCs w:val="20"/>
          <w:lang w:val="es-ES" w:eastAsia="en-US"/>
        </w:rPr>
        <w:t>es</w:t>
      </w:r>
      <w:r w:rsidR="004D498D" w:rsidRPr="0064597D">
        <w:rPr>
          <w:sz w:val="20"/>
          <w:szCs w:val="20"/>
          <w:lang w:val="es-ES" w:eastAsia="en-US"/>
        </w:rPr>
        <w:t xml:space="preserve"> </w:t>
      </w:r>
      <w:r w:rsidR="005326EE" w:rsidRPr="0064597D">
        <w:rPr>
          <w:sz w:val="20"/>
          <w:szCs w:val="20"/>
          <w:lang w:val="es-ES" w:eastAsia="en-US"/>
        </w:rPr>
        <w:t>el</w:t>
      </w:r>
      <w:r w:rsidR="004D498D" w:rsidRPr="0064597D">
        <w:rPr>
          <w:sz w:val="20"/>
          <w:szCs w:val="20"/>
          <w:lang w:val="es-ES" w:eastAsia="en-US"/>
        </w:rPr>
        <w:t xml:space="preserve"> </w:t>
      </w:r>
      <w:r w:rsidR="005326EE" w:rsidRPr="0064597D">
        <w:rPr>
          <w:sz w:val="20"/>
          <w:szCs w:val="20"/>
          <w:lang w:val="es-ES" w:eastAsia="en-US"/>
        </w:rPr>
        <w:t>fin</w:t>
      </w:r>
      <w:r w:rsidR="004D498D" w:rsidRPr="0064597D">
        <w:rPr>
          <w:sz w:val="20"/>
          <w:szCs w:val="20"/>
          <w:lang w:val="es-ES" w:eastAsia="en-US"/>
        </w:rPr>
        <w:t xml:space="preserve"> </w:t>
      </w:r>
      <w:r w:rsidR="005326EE" w:rsidRPr="0064597D">
        <w:rPr>
          <w:sz w:val="20"/>
          <w:szCs w:val="20"/>
          <w:lang w:val="es-ES" w:eastAsia="en-US"/>
        </w:rPr>
        <w:t>legítimo</w:t>
      </w:r>
      <w:r w:rsidR="004D498D" w:rsidRPr="0064597D">
        <w:rPr>
          <w:sz w:val="20"/>
          <w:szCs w:val="20"/>
          <w:lang w:val="es-ES" w:eastAsia="en-US"/>
        </w:rPr>
        <w:t xml:space="preserve"> </w:t>
      </w:r>
      <w:r w:rsidR="005326EE" w:rsidRPr="0064597D">
        <w:rPr>
          <w:sz w:val="20"/>
          <w:szCs w:val="20"/>
          <w:lang w:val="es-ES" w:eastAsia="en-US"/>
        </w:rPr>
        <w:t>que</w:t>
      </w:r>
      <w:r w:rsidR="004D498D" w:rsidRPr="0064597D">
        <w:rPr>
          <w:sz w:val="20"/>
          <w:szCs w:val="20"/>
          <w:lang w:val="es-ES" w:eastAsia="en-US"/>
        </w:rPr>
        <w:t xml:space="preserve"> </w:t>
      </w:r>
      <w:r w:rsidR="005326EE" w:rsidRPr="0064597D">
        <w:rPr>
          <w:sz w:val="20"/>
          <w:szCs w:val="20"/>
          <w:lang w:val="es-ES" w:eastAsia="en-US"/>
        </w:rPr>
        <w:t>pretende</w:t>
      </w:r>
      <w:r w:rsidR="004D498D" w:rsidRPr="0064597D">
        <w:rPr>
          <w:sz w:val="20"/>
          <w:szCs w:val="20"/>
          <w:lang w:val="es-ES" w:eastAsia="en-US"/>
        </w:rPr>
        <w:t xml:space="preserve"> </w:t>
      </w:r>
      <w:r w:rsidR="005326EE" w:rsidRPr="0064597D">
        <w:rPr>
          <w:sz w:val="20"/>
          <w:szCs w:val="20"/>
          <w:lang w:val="es-ES" w:eastAsia="en-US"/>
        </w:rPr>
        <w:t>conseguir</w:t>
      </w:r>
      <w:r w:rsidR="004D498D" w:rsidRPr="0064597D">
        <w:rPr>
          <w:sz w:val="20"/>
          <w:szCs w:val="20"/>
          <w:lang w:val="es-ES" w:eastAsia="en-US"/>
        </w:rPr>
        <w:t xml:space="preserve"> </w:t>
      </w:r>
      <w:r w:rsidR="005326EE" w:rsidRPr="0064597D">
        <w:rPr>
          <w:sz w:val="20"/>
          <w:szCs w:val="20"/>
          <w:lang w:val="es-ES" w:eastAsia="en-US"/>
        </w:rPr>
        <w:t>y</w:t>
      </w:r>
      <w:r w:rsidR="004D498D" w:rsidRPr="0064597D">
        <w:rPr>
          <w:sz w:val="20"/>
          <w:szCs w:val="20"/>
          <w:lang w:val="es-ES" w:eastAsia="en-US"/>
        </w:rPr>
        <w:t xml:space="preserve"> </w:t>
      </w:r>
      <w:r w:rsidR="005326EE" w:rsidRPr="0064597D">
        <w:rPr>
          <w:sz w:val="20"/>
          <w:szCs w:val="20"/>
          <w:lang w:val="es-ES" w:eastAsia="en-US"/>
        </w:rPr>
        <w:t>demostrar</w:t>
      </w:r>
      <w:r w:rsidR="004D498D" w:rsidRPr="0064597D">
        <w:rPr>
          <w:sz w:val="20"/>
          <w:szCs w:val="20"/>
          <w:lang w:val="es-ES" w:eastAsia="en-US"/>
        </w:rPr>
        <w:t xml:space="preserve"> </w:t>
      </w:r>
      <w:r w:rsidR="005326EE" w:rsidRPr="0064597D">
        <w:rPr>
          <w:sz w:val="20"/>
          <w:szCs w:val="20"/>
          <w:lang w:val="es-ES" w:eastAsia="en-US"/>
        </w:rPr>
        <w:t>que</w:t>
      </w:r>
      <w:r w:rsidR="004D498D" w:rsidRPr="0064597D">
        <w:rPr>
          <w:sz w:val="20"/>
          <w:szCs w:val="20"/>
          <w:lang w:val="es-ES" w:eastAsia="en-US"/>
        </w:rPr>
        <w:t xml:space="preserve"> </w:t>
      </w:r>
      <w:r w:rsidR="005326EE" w:rsidRPr="0064597D">
        <w:rPr>
          <w:sz w:val="20"/>
          <w:szCs w:val="20"/>
          <w:lang w:val="es-ES" w:eastAsia="en-US"/>
        </w:rPr>
        <w:t>el</w:t>
      </w:r>
      <w:r w:rsidR="004D498D" w:rsidRPr="0064597D">
        <w:rPr>
          <w:sz w:val="20"/>
          <w:szCs w:val="20"/>
          <w:lang w:val="es-ES" w:eastAsia="en-US"/>
        </w:rPr>
        <w:t xml:space="preserve"> </w:t>
      </w:r>
      <w:r w:rsidR="005326EE" w:rsidRPr="0064597D">
        <w:rPr>
          <w:sz w:val="20"/>
          <w:szCs w:val="20"/>
          <w:lang w:val="es-ES" w:eastAsia="en-US"/>
        </w:rPr>
        <w:t>medio</w:t>
      </w:r>
      <w:r w:rsidR="004D498D" w:rsidRPr="0064597D">
        <w:rPr>
          <w:sz w:val="20"/>
          <w:szCs w:val="20"/>
          <w:lang w:val="es-ES" w:eastAsia="en-US"/>
        </w:rPr>
        <w:t xml:space="preserve"> </w:t>
      </w:r>
      <w:r w:rsidR="005326EE" w:rsidRPr="0064597D">
        <w:rPr>
          <w:sz w:val="20"/>
          <w:szCs w:val="20"/>
          <w:lang w:val="es-ES" w:eastAsia="en-US"/>
        </w:rPr>
        <w:t>a</w:t>
      </w:r>
      <w:r w:rsidR="004D498D" w:rsidRPr="0064597D">
        <w:rPr>
          <w:sz w:val="20"/>
          <w:szCs w:val="20"/>
          <w:lang w:val="es-ES" w:eastAsia="en-US"/>
        </w:rPr>
        <w:t xml:space="preserve"> </w:t>
      </w:r>
      <w:r w:rsidR="005326EE" w:rsidRPr="0064597D">
        <w:rPr>
          <w:sz w:val="20"/>
          <w:szCs w:val="20"/>
          <w:lang w:val="es-ES" w:eastAsia="en-US"/>
        </w:rPr>
        <w:t>utilizar</w:t>
      </w:r>
      <w:r w:rsidR="004D498D" w:rsidRPr="0064597D">
        <w:rPr>
          <w:sz w:val="20"/>
          <w:szCs w:val="20"/>
          <w:lang w:val="es-ES" w:eastAsia="en-US"/>
        </w:rPr>
        <w:t xml:space="preserve"> </w:t>
      </w:r>
      <w:r w:rsidR="005326EE" w:rsidRPr="0064597D">
        <w:rPr>
          <w:sz w:val="20"/>
          <w:szCs w:val="20"/>
          <w:lang w:val="es-ES" w:eastAsia="en-US"/>
        </w:rPr>
        <w:lastRenderedPageBreak/>
        <w:t>para</w:t>
      </w:r>
      <w:r w:rsidR="004D498D" w:rsidRPr="0064597D">
        <w:rPr>
          <w:sz w:val="20"/>
          <w:szCs w:val="20"/>
          <w:lang w:val="es-ES" w:eastAsia="en-US"/>
        </w:rPr>
        <w:t xml:space="preserve"> </w:t>
      </w:r>
      <w:r w:rsidR="005326EE" w:rsidRPr="0064597D">
        <w:rPr>
          <w:sz w:val="20"/>
          <w:szCs w:val="20"/>
          <w:lang w:val="es-ES" w:eastAsia="en-US"/>
        </w:rPr>
        <w:t>llegar</w:t>
      </w:r>
      <w:r w:rsidR="004D498D" w:rsidRPr="0064597D">
        <w:rPr>
          <w:sz w:val="20"/>
          <w:szCs w:val="20"/>
          <w:lang w:val="es-ES" w:eastAsia="en-US"/>
        </w:rPr>
        <w:t xml:space="preserve"> </w:t>
      </w:r>
      <w:r w:rsidR="005326EE" w:rsidRPr="0064597D">
        <w:rPr>
          <w:sz w:val="20"/>
          <w:szCs w:val="20"/>
          <w:lang w:val="es-ES" w:eastAsia="en-US"/>
        </w:rPr>
        <w:t>a</w:t>
      </w:r>
      <w:r w:rsidR="004D498D" w:rsidRPr="0064597D">
        <w:rPr>
          <w:sz w:val="20"/>
          <w:szCs w:val="20"/>
          <w:lang w:val="es-ES" w:eastAsia="en-US"/>
        </w:rPr>
        <w:t xml:space="preserve"> </w:t>
      </w:r>
      <w:r w:rsidR="005326EE" w:rsidRPr="0064597D">
        <w:rPr>
          <w:sz w:val="20"/>
          <w:szCs w:val="20"/>
          <w:lang w:val="es-ES" w:eastAsia="en-US"/>
        </w:rPr>
        <w:t>ese</w:t>
      </w:r>
      <w:r w:rsidR="004D498D" w:rsidRPr="0064597D">
        <w:rPr>
          <w:sz w:val="20"/>
          <w:szCs w:val="20"/>
          <w:lang w:val="es-ES" w:eastAsia="en-US"/>
        </w:rPr>
        <w:t xml:space="preserve"> </w:t>
      </w:r>
      <w:r w:rsidR="005326EE" w:rsidRPr="0064597D">
        <w:rPr>
          <w:sz w:val="20"/>
          <w:szCs w:val="20"/>
          <w:lang w:val="es-ES" w:eastAsia="en-US"/>
        </w:rPr>
        <w:t>fin</w:t>
      </w:r>
      <w:r w:rsidR="004D498D" w:rsidRPr="0064597D">
        <w:rPr>
          <w:sz w:val="20"/>
          <w:szCs w:val="20"/>
          <w:lang w:val="es-ES" w:eastAsia="en-US"/>
        </w:rPr>
        <w:t xml:space="preserve"> </w:t>
      </w:r>
      <w:r w:rsidR="005326EE" w:rsidRPr="0064597D">
        <w:rPr>
          <w:sz w:val="20"/>
          <w:szCs w:val="20"/>
          <w:lang w:val="es-ES" w:eastAsia="en-US"/>
        </w:rPr>
        <w:t>es</w:t>
      </w:r>
      <w:r w:rsidR="004D498D" w:rsidRPr="0064597D">
        <w:rPr>
          <w:sz w:val="20"/>
          <w:szCs w:val="20"/>
          <w:lang w:val="es-ES" w:eastAsia="en-US"/>
        </w:rPr>
        <w:t xml:space="preserve"> </w:t>
      </w:r>
      <w:r w:rsidR="005326EE" w:rsidRPr="0064597D">
        <w:rPr>
          <w:sz w:val="20"/>
          <w:szCs w:val="20"/>
          <w:lang w:val="es-ES" w:eastAsia="en-US"/>
        </w:rPr>
        <w:t>idóneo,</w:t>
      </w:r>
      <w:r w:rsidR="004D498D" w:rsidRPr="0064597D">
        <w:rPr>
          <w:sz w:val="20"/>
          <w:szCs w:val="20"/>
          <w:lang w:val="es-ES" w:eastAsia="en-US"/>
        </w:rPr>
        <w:t xml:space="preserve"> </w:t>
      </w:r>
      <w:r w:rsidR="005326EE" w:rsidRPr="0064597D">
        <w:rPr>
          <w:sz w:val="20"/>
          <w:szCs w:val="20"/>
          <w:lang w:val="es-ES" w:eastAsia="en-US"/>
        </w:rPr>
        <w:t>necesario</w:t>
      </w:r>
      <w:r w:rsidR="004D498D" w:rsidRPr="0064597D">
        <w:rPr>
          <w:sz w:val="20"/>
          <w:szCs w:val="20"/>
          <w:lang w:val="es-ES" w:eastAsia="en-US"/>
        </w:rPr>
        <w:t xml:space="preserve"> </w:t>
      </w:r>
      <w:r w:rsidR="005326EE" w:rsidRPr="0064597D">
        <w:rPr>
          <w:sz w:val="20"/>
          <w:szCs w:val="20"/>
          <w:lang w:val="es-ES" w:eastAsia="en-US"/>
        </w:rPr>
        <w:t>y</w:t>
      </w:r>
      <w:r w:rsidR="004D498D" w:rsidRPr="0064597D">
        <w:rPr>
          <w:sz w:val="20"/>
          <w:szCs w:val="20"/>
          <w:lang w:val="es-ES" w:eastAsia="en-US"/>
        </w:rPr>
        <w:t xml:space="preserve"> </w:t>
      </w:r>
      <w:r w:rsidR="005326EE" w:rsidRPr="0064597D">
        <w:rPr>
          <w:sz w:val="20"/>
          <w:szCs w:val="20"/>
          <w:lang w:val="es-ES" w:eastAsia="en-US"/>
        </w:rPr>
        <w:t>estrictamente</w:t>
      </w:r>
      <w:r w:rsidR="004D498D" w:rsidRPr="0064597D">
        <w:rPr>
          <w:sz w:val="20"/>
          <w:szCs w:val="20"/>
          <w:lang w:val="es-ES" w:eastAsia="en-US"/>
        </w:rPr>
        <w:t xml:space="preserve"> </w:t>
      </w:r>
      <w:r w:rsidR="005326EE" w:rsidRPr="0064597D">
        <w:rPr>
          <w:sz w:val="20"/>
          <w:szCs w:val="20"/>
          <w:lang w:val="es-ES" w:eastAsia="en-US"/>
        </w:rPr>
        <w:t>proporcional.</w:t>
      </w:r>
      <w:r w:rsidR="004D498D" w:rsidRPr="0064597D">
        <w:rPr>
          <w:sz w:val="20"/>
          <w:szCs w:val="20"/>
          <w:lang w:val="es-ES" w:eastAsia="en-US"/>
        </w:rPr>
        <w:t xml:space="preserve"> </w:t>
      </w:r>
      <w:r w:rsidR="005326EE" w:rsidRPr="0064597D">
        <w:rPr>
          <w:sz w:val="20"/>
          <w:szCs w:val="20"/>
          <w:lang w:val="es-ES" w:eastAsia="en-US"/>
        </w:rPr>
        <w:t>Caso</w:t>
      </w:r>
      <w:r w:rsidR="004D498D" w:rsidRPr="0064597D">
        <w:rPr>
          <w:sz w:val="20"/>
          <w:szCs w:val="20"/>
          <w:lang w:val="es-ES" w:eastAsia="en-US"/>
        </w:rPr>
        <w:t xml:space="preserve"> </w:t>
      </w:r>
      <w:r w:rsidR="005326EE" w:rsidRPr="0064597D">
        <w:rPr>
          <w:sz w:val="20"/>
          <w:szCs w:val="20"/>
          <w:lang w:val="es-ES" w:eastAsia="en-US"/>
        </w:rPr>
        <w:t>contrario,</w:t>
      </w:r>
      <w:r w:rsidR="004D498D" w:rsidRPr="0064597D">
        <w:rPr>
          <w:sz w:val="20"/>
          <w:szCs w:val="20"/>
          <w:lang w:val="es-ES" w:eastAsia="en-US"/>
        </w:rPr>
        <w:t xml:space="preserve"> </w:t>
      </w:r>
      <w:r w:rsidR="005326EE" w:rsidRPr="0064597D">
        <w:rPr>
          <w:sz w:val="20"/>
          <w:szCs w:val="20"/>
          <w:lang w:val="es-ES" w:eastAsia="en-US"/>
        </w:rPr>
        <w:t>la</w:t>
      </w:r>
      <w:r w:rsidR="004D498D" w:rsidRPr="0064597D">
        <w:rPr>
          <w:sz w:val="20"/>
          <w:szCs w:val="20"/>
          <w:lang w:val="es-ES" w:eastAsia="en-US"/>
        </w:rPr>
        <w:t xml:space="preserve"> </w:t>
      </w:r>
      <w:r w:rsidR="005326EE" w:rsidRPr="0064597D">
        <w:rPr>
          <w:sz w:val="20"/>
          <w:szCs w:val="20"/>
          <w:lang w:val="es-ES" w:eastAsia="en-US"/>
        </w:rPr>
        <w:t>restricción</w:t>
      </w:r>
      <w:r w:rsidR="004D498D" w:rsidRPr="0064597D">
        <w:rPr>
          <w:sz w:val="20"/>
          <w:szCs w:val="20"/>
          <w:lang w:val="es-ES" w:eastAsia="en-US"/>
        </w:rPr>
        <w:t xml:space="preserve"> </w:t>
      </w:r>
      <w:r w:rsidR="005326EE" w:rsidRPr="0064597D">
        <w:rPr>
          <w:sz w:val="20"/>
          <w:szCs w:val="20"/>
          <w:lang w:val="es-ES" w:eastAsia="en-US"/>
        </w:rPr>
        <w:t>del</w:t>
      </w:r>
      <w:r w:rsidR="004D498D" w:rsidRPr="0064597D">
        <w:rPr>
          <w:sz w:val="20"/>
          <w:szCs w:val="20"/>
          <w:lang w:val="es-ES" w:eastAsia="en-US"/>
        </w:rPr>
        <w:t xml:space="preserve"> </w:t>
      </w:r>
      <w:r w:rsidR="005326EE" w:rsidRPr="0064597D">
        <w:rPr>
          <w:sz w:val="20"/>
          <w:szCs w:val="20"/>
          <w:lang w:val="es-ES" w:eastAsia="en-US"/>
        </w:rPr>
        <w:t>derecho</w:t>
      </w:r>
      <w:r w:rsidR="004D498D" w:rsidRPr="0064597D">
        <w:rPr>
          <w:sz w:val="20"/>
          <w:szCs w:val="20"/>
          <w:lang w:val="es-ES" w:eastAsia="en-US"/>
        </w:rPr>
        <w:t xml:space="preserve"> </w:t>
      </w:r>
      <w:r w:rsidR="005326EE" w:rsidRPr="0064597D">
        <w:rPr>
          <w:sz w:val="20"/>
          <w:szCs w:val="20"/>
          <w:lang w:val="es-ES" w:eastAsia="en-US"/>
        </w:rPr>
        <w:t>de</w:t>
      </w:r>
      <w:r w:rsidR="004D498D" w:rsidRPr="0064597D">
        <w:rPr>
          <w:sz w:val="20"/>
          <w:szCs w:val="20"/>
          <w:lang w:val="es-ES" w:eastAsia="en-US"/>
        </w:rPr>
        <w:t xml:space="preserve"> </w:t>
      </w:r>
      <w:r w:rsidR="005326EE" w:rsidRPr="0064597D">
        <w:rPr>
          <w:sz w:val="20"/>
          <w:szCs w:val="20"/>
          <w:lang w:val="es-ES" w:eastAsia="en-US"/>
        </w:rPr>
        <w:t>defensa</w:t>
      </w:r>
      <w:r w:rsidR="004D498D" w:rsidRPr="0064597D">
        <w:rPr>
          <w:sz w:val="20"/>
          <w:szCs w:val="20"/>
          <w:lang w:val="es-ES" w:eastAsia="en-US"/>
        </w:rPr>
        <w:t xml:space="preserve"> </w:t>
      </w:r>
      <w:r w:rsidR="005326EE" w:rsidRPr="0064597D">
        <w:rPr>
          <w:sz w:val="20"/>
          <w:szCs w:val="20"/>
          <w:lang w:val="es-ES" w:eastAsia="en-US"/>
        </w:rPr>
        <w:t>del</w:t>
      </w:r>
      <w:r w:rsidR="004D498D" w:rsidRPr="0064597D">
        <w:rPr>
          <w:sz w:val="20"/>
          <w:szCs w:val="20"/>
          <w:lang w:val="es-ES" w:eastAsia="en-US"/>
        </w:rPr>
        <w:t xml:space="preserve"> </w:t>
      </w:r>
      <w:r w:rsidR="005326EE" w:rsidRPr="0064597D">
        <w:rPr>
          <w:sz w:val="20"/>
          <w:szCs w:val="20"/>
          <w:lang w:val="es-ES" w:eastAsia="en-US"/>
        </w:rPr>
        <w:t>individuo</w:t>
      </w:r>
      <w:r w:rsidR="004D498D" w:rsidRPr="0064597D">
        <w:rPr>
          <w:sz w:val="20"/>
          <w:szCs w:val="20"/>
          <w:lang w:val="es-ES" w:eastAsia="en-US"/>
        </w:rPr>
        <w:t xml:space="preserve"> </w:t>
      </w:r>
      <w:r w:rsidR="005326EE" w:rsidRPr="0064597D">
        <w:rPr>
          <w:sz w:val="20"/>
          <w:szCs w:val="20"/>
          <w:lang w:val="es-ES" w:eastAsia="en-US"/>
        </w:rPr>
        <w:t>será</w:t>
      </w:r>
      <w:r w:rsidR="004D498D" w:rsidRPr="0064597D">
        <w:rPr>
          <w:sz w:val="20"/>
          <w:szCs w:val="20"/>
          <w:lang w:val="es-ES" w:eastAsia="en-US"/>
        </w:rPr>
        <w:t xml:space="preserve"> </w:t>
      </w:r>
      <w:r w:rsidR="005326EE" w:rsidRPr="0064597D">
        <w:rPr>
          <w:sz w:val="20"/>
          <w:szCs w:val="20"/>
          <w:lang w:val="es-ES" w:eastAsia="en-US"/>
        </w:rPr>
        <w:t>contraria</w:t>
      </w:r>
      <w:r w:rsidR="004D498D" w:rsidRPr="0064597D">
        <w:rPr>
          <w:sz w:val="20"/>
          <w:szCs w:val="20"/>
          <w:lang w:val="es-ES" w:eastAsia="en-US"/>
        </w:rPr>
        <w:t xml:space="preserve"> </w:t>
      </w:r>
      <w:r w:rsidR="005326EE" w:rsidRPr="0064597D">
        <w:rPr>
          <w:sz w:val="20"/>
          <w:szCs w:val="20"/>
          <w:lang w:val="es-ES" w:eastAsia="en-US"/>
        </w:rPr>
        <w:t>a</w:t>
      </w:r>
      <w:r w:rsidR="004D498D" w:rsidRPr="0064597D">
        <w:rPr>
          <w:sz w:val="20"/>
          <w:szCs w:val="20"/>
          <w:lang w:val="es-ES" w:eastAsia="en-US"/>
        </w:rPr>
        <w:t xml:space="preserve"> </w:t>
      </w:r>
      <w:r w:rsidR="005326EE" w:rsidRPr="0064597D">
        <w:rPr>
          <w:sz w:val="20"/>
          <w:szCs w:val="20"/>
          <w:lang w:val="es-ES" w:eastAsia="en-US"/>
        </w:rPr>
        <w:t>la</w:t>
      </w:r>
      <w:r w:rsidR="004D498D" w:rsidRPr="0064597D">
        <w:rPr>
          <w:sz w:val="20"/>
          <w:szCs w:val="20"/>
          <w:lang w:val="es-ES" w:eastAsia="en-US"/>
        </w:rPr>
        <w:t xml:space="preserve"> </w:t>
      </w:r>
      <w:r w:rsidR="005326EE" w:rsidRPr="0064597D">
        <w:rPr>
          <w:sz w:val="20"/>
          <w:szCs w:val="20"/>
          <w:lang w:val="es-ES" w:eastAsia="en-US"/>
        </w:rPr>
        <w:t>Convención</w:t>
      </w:r>
      <w:r w:rsidR="00DB0443" w:rsidRPr="0064597D">
        <w:rPr>
          <w:sz w:val="20"/>
          <w:szCs w:val="20"/>
          <w:vertAlign w:val="superscript"/>
          <w:lang w:val="es-ES" w:eastAsia="en-US"/>
        </w:rPr>
        <w:footnoteReference w:id="194"/>
      </w:r>
      <w:r w:rsidR="005326EE" w:rsidRPr="0064597D">
        <w:rPr>
          <w:sz w:val="20"/>
          <w:szCs w:val="20"/>
          <w:lang w:val="es-ES" w:eastAsia="en-US"/>
        </w:rPr>
        <w:t>.</w:t>
      </w:r>
      <w:r w:rsidR="004D498D" w:rsidRPr="0064597D">
        <w:rPr>
          <w:sz w:val="20"/>
          <w:szCs w:val="20"/>
          <w:lang w:val="es-ES" w:eastAsia="en-US"/>
        </w:rPr>
        <w:t xml:space="preserve"> </w:t>
      </w:r>
    </w:p>
    <w:p w14:paraId="1D76A537" w14:textId="77777777" w:rsidR="00A77F6A" w:rsidRPr="0064597D" w:rsidRDefault="00A77F6A" w:rsidP="00A77F6A">
      <w:pPr>
        <w:tabs>
          <w:tab w:val="left" w:pos="567"/>
        </w:tabs>
        <w:autoSpaceDE w:val="0"/>
        <w:autoSpaceDN w:val="0"/>
        <w:spacing w:line="240" w:lineRule="auto"/>
        <w:rPr>
          <w:sz w:val="20"/>
          <w:szCs w:val="20"/>
          <w:lang w:val="es-ES" w:eastAsia="en-US"/>
        </w:rPr>
      </w:pPr>
    </w:p>
    <w:p w14:paraId="6C1630C0" w14:textId="0355F8AA" w:rsidR="00A83408" w:rsidRPr="0064597D" w:rsidRDefault="002820AA" w:rsidP="00A04BDD">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En el presente caso, la Corte observa que e</w:t>
      </w:r>
      <w:r w:rsidR="00197DAE" w:rsidRPr="0064597D">
        <w:rPr>
          <w:sz w:val="20"/>
          <w:szCs w:val="20"/>
          <w:lang w:val="es-ES" w:eastAsia="en-US"/>
        </w:rPr>
        <w:t>l reciente</w:t>
      </w:r>
      <w:r w:rsidR="00193149" w:rsidRPr="0064597D">
        <w:rPr>
          <w:sz w:val="20"/>
          <w:szCs w:val="20"/>
          <w:lang w:val="es-ES" w:eastAsia="en-US"/>
        </w:rPr>
        <w:t>mente</w:t>
      </w:r>
      <w:r w:rsidR="00197DAE" w:rsidRPr="0064597D">
        <w:rPr>
          <w:sz w:val="20"/>
          <w:szCs w:val="20"/>
          <w:lang w:val="es-ES" w:eastAsia="en-US"/>
        </w:rPr>
        <w:t xml:space="preserve"> designado abogado cont</w:t>
      </w:r>
      <w:r w:rsidRPr="0064597D">
        <w:rPr>
          <w:sz w:val="20"/>
          <w:szCs w:val="20"/>
          <w:lang w:val="es-ES" w:eastAsia="en-US"/>
        </w:rPr>
        <w:t xml:space="preserve">ó </w:t>
      </w:r>
      <w:r w:rsidR="00A83408" w:rsidRPr="0064597D">
        <w:rPr>
          <w:rFonts w:cs="Arial"/>
          <w:sz w:val="20"/>
          <w:szCs w:val="20"/>
        </w:rPr>
        <w:t>con un día para preparar la defensa técnica de su representado</w:t>
      </w:r>
      <w:r w:rsidR="00197DAE" w:rsidRPr="0064597D">
        <w:rPr>
          <w:rStyle w:val="Refdenotaalpie"/>
          <w:rFonts w:cs="Arial"/>
          <w:sz w:val="20"/>
          <w:szCs w:val="20"/>
        </w:rPr>
        <w:footnoteReference w:id="195"/>
      </w:r>
      <w:r w:rsidR="00A83408" w:rsidRPr="0064597D">
        <w:rPr>
          <w:i/>
          <w:sz w:val="20"/>
          <w:szCs w:val="20"/>
          <w:lang w:val="es-ES" w:eastAsia="en-US"/>
        </w:rPr>
        <w:t xml:space="preserve">. </w:t>
      </w:r>
      <w:r w:rsidR="00197DAE" w:rsidRPr="0064597D">
        <w:rPr>
          <w:sz w:val="20"/>
          <w:szCs w:val="20"/>
          <w:lang w:val="es-ES" w:eastAsia="en-US"/>
        </w:rPr>
        <w:t>La Corte</w:t>
      </w:r>
      <w:r w:rsidR="00A32604" w:rsidRPr="0064597D">
        <w:rPr>
          <w:sz w:val="20"/>
          <w:szCs w:val="20"/>
          <w:lang w:val="es-ES" w:eastAsia="en-US"/>
        </w:rPr>
        <w:t xml:space="preserve"> además</w:t>
      </w:r>
      <w:r w:rsidR="00197DAE" w:rsidRPr="0064597D">
        <w:rPr>
          <w:sz w:val="20"/>
          <w:szCs w:val="20"/>
          <w:lang w:val="es-ES" w:eastAsia="en-US"/>
        </w:rPr>
        <w:t xml:space="preserve"> </w:t>
      </w:r>
      <w:r w:rsidR="00DA7F1B">
        <w:rPr>
          <w:sz w:val="20"/>
          <w:szCs w:val="20"/>
          <w:lang w:val="es-ES" w:eastAsia="en-US"/>
        </w:rPr>
        <w:t>advierte</w:t>
      </w:r>
      <w:r w:rsidR="00197DAE" w:rsidRPr="0064597D">
        <w:rPr>
          <w:sz w:val="20"/>
          <w:szCs w:val="20"/>
          <w:lang w:val="es-ES" w:eastAsia="en-US"/>
        </w:rPr>
        <w:t xml:space="preserve"> que la r</w:t>
      </w:r>
      <w:r w:rsidR="0082006C" w:rsidRPr="0064597D">
        <w:rPr>
          <w:sz w:val="20"/>
          <w:szCs w:val="20"/>
          <w:lang w:val="es-ES" w:eastAsia="en-US"/>
        </w:rPr>
        <w:t xml:space="preserve">azón por la que se otorgó un solo día es porque </w:t>
      </w:r>
      <w:r w:rsidR="00193149" w:rsidRPr="0064597D">
        <w:rPr>
          <w:sz w:val="20"/>
          <w:szCs w:val="20"/>
          <w:lang w:val="es-ES" w:eastAsia="en-US"/>
        </w:rPr>
        <w:t xml:space="preserve">el tribunal de primera instancia asumía que el </w:t>
      </w:r>
      <w:r w:rsidR="0082006C" w:rsidRPr="0064597D">
        <w:rPr>
          <w:sz w:val="20"/>
          <w:szCs w:val="20"/>
          <w:lang w:val="es-ES" w:eastAsia="en-US"/>
        </w:rPr>
        <w:t xml:space="preserve">abogado ya conocía </w:t>
      </w:r>
      <w:r w:rsidR="00D84387" w:rsidRPr="0064597D">
        <w:rPr>
          <w:sz w:val="20"/>
          <w:szCs w:val="20"/>
          <w:lang w:val="es-ES" w:eastAsia="en-US"/>
        </w:rPr>
        <w:t xml:space="preserve">el </w:t>
      </w:r>
      <w:r w:rsidR="0082006C" w:rsidRPr="0064597D">
        <w:rPr>
          <w:sz w:val="20"/>
          <w:szCs w:val="20"/>
          <w:lang w:val="es-ES" w:eastAsia="en-US"/>
        </w:rPr>
        <w:t>caso.</w:t>
      </w:r>
      <w:r w:rsidR="00A32604" w:rsidRPr="0064597D">
        <w:rPr>
          <w:sz w:val="20"/>
          <w:szCs w:val="20"/>
          <w:lang w:val="es-ES" w:eastAsia="en-US"/>
        </w:rPr>
        <w:t xml:space="preserve"> N</w:t>
      </w:r>
      <w:r w:rsidR="00A77F6A" w:rsidRPr="0064597D">
        <w:rPr>
          <w:sz w:val="20"/>
          <w:szCs w:val="20"/>
          <w:lang w:val="es-ES" w:eastAsia="en-US"/>
        </w:rPr>
        <w:t>o obstante,</w:t>
      </w:r>
      <w:r w:rsidR="00A32604" w:rsidRPr="0064597D">
        <w:rPr>
          <w:sz w:val="20"/>
          <w:szCs w:val="20"/>
          <w:lang w:val="es-ES" w:eastAsia="en-US"/>
        </w:rPr>
        <w:t xml:space="preserve"> la Corte considera</w:t>
      </w:r>
      <w:r w:rsidR="00A77F6A" w:rsidRPr="0064597D">
        <w:rPr>
          <w:sz w:val="20"/>
          <w:szCs w:val="20"/>
          <w:lang w:val="es-ES" w:eastAsia="en-US"/>
        </w:rPr>
        <w:t xml:space="preserve"> que tal argumentación es insuficiente, toda vez que las circunstancias de cada uno de los procesado</w:t>
      </w:r>
      <w:r w:rsidR="005326EE" w:rsidRPr="0064597D">
        <w:rPr>
          <w:sz w:val="20"/>
          <w:szCs w:val="20"/>
          <w:lang w:val="es-ES" w:eastAsia="en-US"/>
        </w:rPr>
        <w:t>s</w:t>
      </w:r>
      <w:r w:rsidR="00A77F6A" w:rsidRPr="0064597D">
        <w:rPr>
          <w:sz w:val="20"/>
          <w:szCs w:val="20"/>
          <w:lang w:val="es-ES" w:eastAsia="en-US"/>
        </w:rPr>
        <w:t xml:space="preserve"> </w:t>
      </w:r>
      <w:r w:rsidR="00A32604" w:rsidRPr="0064597D">
        <w:rPr>
          <w:sz w:val="20"/>
          <w:szCs w:val="20"/>
          <w:lang w:val="es-ES" w:eastAsia="en-US"/>
        </w:rPr>
        <w:t>posee</w:t>
      </w:r>
      <w:r w:rsidR="00A77F6A" w:rsidRPr="0064597D">
        <w:rPr>
          <w:sz w:val="20"/>
          <w:szCs w:val="20"/>
          <w:lang w:val="es-ES" w:eastAsia="en-US"/>
        </w:rPr>
        <w:t xml:space="preserve"> sus características y complejidades particulares, lo cual amerita que el abogado o abogada posea tiempo suficiente para poder analizar el caso de manera exhaustiva y diseñar así, la estrategia de defensa</w:t>
      </w:r>
      <w:r w:rsidR="00A04BDD" w:rsidRPr="0064597D">
        <w:rPr>
          <w:sz w:val="20"/>
          <w:szCs w:val="20"/>
          <w:lang w:val="es-ES" w:eastAsia="en-US"/>
        </w:rPr>
        <w:t xml:space="preserve"> adecuada</w:t>
      </w:r>
      <w:r w:rsidR="00A32604" w:rsidRPr="0064597D">
        <w:rPr>
          <w:rStyle w:val="Refdenotaalpie"/>
          <w:sz w:val="20"/>
          <w:szCs w:val="20"/>
          <w:lang w:val="es-ES" w:eastAsia="en-US"/>
        </w:rPr>
        <w:footnoteReference w:id="196"/>
      </w:r>
      <w:r w:rsidR="00A77F6A" w:rsidRPr="0064597D">
        <w:rPr>
          <w:sz w:val="20"/>
          <w:szCs w:val="20"/>
          <w:lang w:val="es-ES" w:eastAsia="en-US"/>
        </w:rPr>
        <w:t>.</w:t>
      </w:r>
      <w:r w:rsidR="005326EE" w:rsidRPr="0064597D">
        <w:rPr>
          <w:sz w:val="20"/>
          <w:szCs w:val="20"/>
          <w:lang w:val="es-ES" w:eastAsia="en-US"/>
        </w:rPr>
        <w:t xml:space="preserve"> En el presente caso</w:t>
      </w:r>
      <w:r w:rsidR="005A6C94" w:rsidRPr="0064597D">
        <w:rPr>
          <w:sz w:val="20"/>
          <w:szCs w:val="20"/>
          <w:lang w:val="es-ES" w:eastAsia="en-US"/>
        </w:rPr>
        <w:t xml:space="preserve"> </w:t>
      </w:r>
      <w:r w:rsidR="005326EE" w:rsidRPr="0064597D">
        <w:rPr>
          <w:sz w:val="20"/>
          <w:szCs w:val="20"/>
          <w:lang w:val="es-ES" w:eastAsia="en-US"/>
        </w:rPr>
        <w:t>la Corte considera</w:t>
      </w:r>
      <w:r w:rsidR="005A6C94" w:rsidRPr="0064597D">
        <w:rPr>
          <w:sz w:val="20"/>
          <w:szCs w:val="20"/>
          <w:lang w:val="es-ES" w:eastAsia="en-US"/>
        </w:rPr>
        <w:t xml:space="preserve">, por tanto, </w:t>
      </w:r>
      <w:r w:rsidR="005326EE" w:rsidRPr="0064597D">
        <w:rPr>
          <w:sz w:val="20"/>
          <w:szCs w:val="20"/>
          <w:lang w:val="es-ES" w:eastAsia="en-US"/>
        </w:rPr>
        <w:t xml:space="preserve">que el plazo concedido fue </w:t>
      </w:r>
      <w:r w:rsidR="00A04BDD" w:rsidRPr="0064597D">
        <w:rPr>
          <w:sz w:val="20"/>
          <w:szCs w:val="20"/>
          <w:lang w:val="es-ES" w:eastAsia="en-US"/>
        </w:rPr>
        <w:t>extremadamente corto, considerando la necesidad del examen de la causa, la relevancia del procedimiento y sus eventuales consecuencias, así como la revisión del acervo probatorio a que tiene derecho cualquier imputado</w:t>
      </w:r>
      <w:r w:rsidR="00A04BDD" w:rsidRPr="0064597D">
        <w:rPr>
          <w:rStyle w:val="Refdenotaalpie"/>
          <w:sz w:val="20"/>
          <w:szCs w:val="20"/>
          <w:lang w:val="es-ES" w:eastAsia="en-US"/>
        </w:rPr>
        <w:footnoteReference w:id="197"/>
      </w:r>
      <w:r w:rsidR="00D84387" w:rsidRPr="0064597D">
        <w:rPr>
          <w:sz w:val="20"/>
          <w:szCs w:val="20"/>
          <w:lang w:val="es-ES" w:eastAsia="en-US"/>
        </w:rPr>
        <w:t>.</w:t>
      </w:r>
      <w:r w:rsidR="00DD182D" w:rsidRPr="0064597D">
        <w:rPr>
          <w:sz w:val="20"/>
          <w:szCs w:val="20"/>
          <w:lang w:val="es-ES" w:eastAsia="en-US"/>
        </w:rPr>
        <w:t xml:space="preserve"> </w:t>
      </w:r>
    </w:p>
    <w:p w14:paraId="0DF3F1A5" w14:textId="77777777" w:rsidR="00DB0443" w:rsidRPr="0064597D" w:rsidRDefault="00DB0443" w:rsidP="00DB0443">
      <w:pPr>
        <w:tabs>
          <w:tab w:val="left" w:pos="567"/>
        </w:tabs>
        <w:autoSpaceDE w:val="0"/>
        <w:autoSpaceDN w:val="0"/>
        <w:spacing w:line="240" w:lineRule="auto"/>
        <w:rPr>
          <w:sz w:val="20"/>
          <w:szCs w:val="20"/>
          <w:lang w:val="es-ES" w:eastAsia="en-US"/>
        </w:rPr>
      </w:pPr>
    </w:p>
    <w:p w14:paraId="0DBBC16C" w14:textId="6E864D1C" w:rsidR="00263ED1" w:rsidRPr="0064597D" w:rsidRDefault="00DB0443" w:rsidP="00D0432D">
      <w:pPr>
        <w:numPr>
          <w:ilvl w:val="0"/>
          <w:numId w:val="1"/>
        </w:numPr>
        <w:tabs>
          <w:tab w:val="left" w:pos="567"/>
        </w:tabs>
        <w:autoSpaceDE w:val="0"/>
        <w:autoSpaceDN w:val="0"/>
        <w:spacing w:line="240" w:lineRule="auto"/>
        <w:ind w:left="0" w:firstLine="0"/>
        <w:rPr>
          <w:sz w:val="20"/>
          <w:szCs w:val="20"/>
          <w:lang w:val="es-ES" w:eastAsia="en-US"/>
        </w:rPr>
      </w:pPr>
      <w:r w:rsidRPr="0064597D">
        <w:rPr>
          <w:sz w:val="20"/>
          <w:szCs w:val="20"/>
          <w:lang w:val="es-ES" w:eastAsia="en-US"/>
        </w:rPr>
        <w:t>Por lo anterior, el Tribunal concluye que el Estado violó el artículo 8.2.c</w:t>
      </w:r>
      <w:r w:rsidR="007C2F92" w:rsidRPr="0064597D">
        <w:rPr>
          <w:sz w:val="20"/>
          <w:szCs w:val="20"/>
          <w:lang w:val="es-ES" w:eastAsia="en-US"/>
        </w:rPr>
        <w:t>)</w:t>
      </w:r>
      <w:r w:rsidRPr="0064597D">
        <w:rPr>
          <w:sz w:val="20"/>
          <w:szCs w:val="20"/>
          <w:lang w:val="es-ES" w:eastAsia="en-US"/>
        </w:rPr>
        <w:t xml:space="preserve"> de la Convención, en relación con el artículo 1.1 de la misma, en perjuicio del señor Hugo Humberto Ruiz Fuentes.</w:t>
      </w:r>
      <w:r w:rsidR="007E45E1" w:rsidRPr="0064597D">
        <w:rPr>
          <w:sz w:val="20"/>
          <w:szCs w:val="20"/>
          <w:lang w:val="es-ES" w:eastAsia="en-US"/>
        </w:rPr>
        <w:t xml:space="preserve"> </w:t>
      </w:r>
    </w:p>
    <w:p w14:paraId="2AB9FE43" w14:textId="42CD2BCA" w:rsidR="00FE532C" w:rsidRPr="0064597D" w:rsidRDefault="00544B95" w:rsidP="00377181">
      <w:pPr>
        <w:pStyle w:val="Ttulo3"/>
        <w:rPr>
          <w:lang w:eastAsia="en-US"/>
        </w:rPr>
      </w:pPr>
      <w:bookmarkStart w:id="80" w:name="_Toc24014567"/>
      <w:r w:rsidRPr="0064597D">
        <w:t xml:space="preserve">b.2 </w:t>
      </w:r>
      <w:r w:rsidRPr="0064597D">
        <w:tab/>
      </w:r>
      <w:r w:rsidR="00FE532C" w:rsidRPr="0064597D">
        <w:rPr>
          <w:lang w:eastAsia="en-US"/>
        </w:rPr>
        <w:t>Derecho a recurrir la sentencia condenatoria del señor Ruiz Fuentes</w:t>
      </w:r>
      <w:bookmarkEnd w:id="80"/>
    </w:p>
    <w:p w14:paraId="373B1357" w14:textId="75D85D7F" w:rsidR="003F1600" w:rsidRPr="0064597D" w:rsidRDefault="003F1600" w:rsidP="00A83408">
      <w:pPr>
        <w:numPr>
          <w:ilvl w:val="0"/>
          <w:numId w:val="1"/>
        </w:numPr>
        <w:tabs>
          <w:tab w:val="left" w:pos="567"/>
        </w:tabs>
        <w:autoSpaceDE w:val="0"/>
        <w:autoSpaceDN w:val="0"/>
        <w:spacing w:line="240" w:lineRule="auto"/>
        <w:ind w:left="0" w:firstLine="0"/>
        <w:rPr>
          <w:kern w:val="2"/>
          <w:sz w:val="20"/>
          <w:szCs w:val="20"/>
          <w:lang w:eastAsia="en-US"/>
        </w:rPr>
      </w:pPr>
      <w:r w:rsidRPr="0064597D">
        <w:rPr>
          <w:kern w:val="2"/>
          <w:sz w:val="20"/>
          <w:szCs w:val="20"/>
          <w:lang w:eastAsia="en-US"/>
        </w:rPr>
        <w:t>La Corte se ha referido en su jurisprudencia constante sobre el alcance y contenido del artículo 8.2.h) de la Convención, así como a los estándares que deben ser observados para asegurar la garantía del derecho a recurrir el fallo ante</w:t>
      </w:r>
      <w:r w:rsidR="005A6C94" w:rsidRPr="0064597D">
        <w:rPr>
          <w:kern w:val="2"/>
          <w:sz w:val="20"/>
          <w:szCs w:val="20"/>
          <w:lang w:eastAsia="en-US"/>
        </w:rPr>
        <w:t xml:space="preserve"> un</w:t>
      </w:r>
      <w:r w:rsidRPr="0064597D">
        <w:rPr>
          <w:kern w:val="2"/>
          <w:sz w:val="20"/>
          <w:szCs w:val="20"/>
          <w:lang w:eastAsia="en-US"/>
        </w:rPr>
        <w:t xml:space="preserv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64597D">
        <w:rPr>
          <w:kern w:val="2"/>
          <w:sz w:val="20"/>
          <w:szCs w:val="20"/>
          <w:vertAlign w:val="superscript"/>
          <w:lang w:eastAsia="en-US"/>
        </w:rPr>
        <w:footnoteReference w:id="198"/>
      </w:r>
      <w:r w:rsidRPr="0064597D">
        <w:rPr>
          <w:kern w:val="2"/>
          <w:sz w:val="20"/>
          <w:szCs w:val="20"/>
          <w:lang w:eastAsia="en-US"/>
        </w:rPr>
        <w:t>. Teniendo en cuenta que las garantías judiciales buscan que quien esté incurso en un proceso no sea sometido a decisiones arbitrarias, la Corte ha interpretado que el derecho a recurrir el fallo no puede ser efectivo si no se garantiza respecto de todo aquél que es condenado</w:t>
      </w:r>
      <w:r w:rsidRPr="0064597D">
        <w:rPr>
          <w:kern w:val="2"/>
          <w:sz w:val="20"/>
          <w:szCs w:val="20"/>
          <w:vertAlign w:val="superscript"/>
          <w:lang w:eastAsia="en-US"/>
        </w:rPr>
        <w:footnoteReference w:id="199"/>
      </w:r>
      <w:r w:rsidRPr="0064597D">
        <w:rPr>
          <w:kern w:val="2"/>
          <w:sz w:val="20"/>
          <w:szCs w:val="20"/>
          <w:lang w:eastAsia="en-US"/>
        </w:rPr>
        <w:t>, ya que la condena es la manifestación del ejercicio del poder punitivo del Estado</w:t>
      </w:r>
      <w:r w:rsidRPr="0064597D">
        <w:rPr>
          <w:kern w:val="2"/>
          <w:sz w:val="20"/>
          <w:szCs w:val="20"/>
          <w:vertAlign w:val="superscript"/>
          <w:lang w:eastAsia="en-US"/>
        </w:rPr>
        <w:footnoteReference w:id="200"/>
      </w:r>
      <w:r w:rsidRPr="0064597D">
        <w:rPr>
          <w:kern w:val="2"/>
          <w:sz w:val="20"/>
          <w:szCs w:val="20"/>
          <w:lang w:eastAsia="en-US"/>
        </w:rPr>
        <w:t>. La Corte ha considerado el derecho a recurrir el fallo como una de las garantías mínimas que tiene toda persona que es sometida a una investigación y proceso penal</w:t>
      </w:r>
      <w:r w:rsidRPr="0064597D">
        <w:rPr>
          <w:kern w:val="2"/>
          <w:sz w:val="20"/>
          <w:szCs w:val="20"/>
          <w:vertAlign w:val="superscript"/>
          <w:lang w:eastAsia="en-US"/>
        </w:rPr>
        <w:footnoteReference w:id="201"/>
      </w:r>
      <w:r w:rsidRPr="0064597D">
        <w:rPr>
          <w:kern w:val="2"/>
          <w:sz w:val="20"/>
          <w:szCs w:val="20"/>
          <w:lang w:eastAsia="en-US"/>
        </w:rPr>
        <w:t>.</w:t>
      </w:r>
    </w:p>
    <w:p w14:paraId="7061C2B9" w14:textId="77777777" w:rsidR="003F1600" w:rsidRPr="0064597D" w:rsidRDefault="003F1600" w:rsidP="003F1600">
      <w:pPr>
        <w:widowControl/>
        <w:tabs>
          <w:tab w:val="left" w:pos="567"/>
        </w:tabs>
        <w:adjustRightInd/>
        <w:spacing w:line="240" w:lineRule="auto"/>
        <w:textAlignment w:val="auto"/>
        <w:rPr>
          <w:kern w:val="2"/>
          <w:sz w:val="20"/>
          <w:szCs w:val="20"/>
          <w:lang w:eastAsia="en-US"/>
        </w:rPr>
      </w:pPr>
    </w:p>
    <w:p w14:paraId="4E83DAE3" w14:textId="5E66B66D" w:rsidR="003F1600" w:rsidRPr="0064597D" w:rsidRDefault="003F1600" w:rsidP="00A83408">
      <w:pPr>
        <w:numPr>
          <w:ilvl w:val="0"/>
          <w:numId w:val="1"/>
        </w:numPr>
        <w:tabs>
          <w:tab w:val="left" w:pos="567"/>
        </w:tabs>
        <w:autoSpaceDE w:val="0"/>
        <w:autoSpaceDN w:val="0"/>
        <w:spacing w:line="240" w:lineRule="auto"/>
        <w:ind w:left="0" w:firstLine="0"/>
        <w:rPr>
          <w:kern w:val="2"/>
          <w:sz w:val="20"/>
          <w:szCs w:val="20"/>
          <w:lang w:eastAsia="en-US"/>
        </w:rPr>
      </w:pPr>
      <w:r w:rsidRPr="0064597D">
        <w:rPr>
          <w:kern w:val="2"/>
          <w:sz w:val="20"/>
          <w:szCs w:val="20"/>
          <w:lang w:eastAsia="en-US"/>
        </w:rPr>
        <w:t xml:space="preserve">Además, el Tribunal ha sostenido que el artículo 8.2.h) de la Convención se refiere a un recurso ordinario, </w:t>
      </w:r>
      <w:r w:rsidRPr="0064597D">
        <w:rPr>
          <w:sz w:val="20"/>
          <w:szCs w:val="20"/>
        </w:rPr>
        <w:t>accesible</w:t>
      </w:r>
      <w:r w:rsidRPr="0064597D">
        <w:rPr>
          <w:kern w:val="2"/>
          <w:sz w:val="20"/>
          <w:szCs w:val="20"/>
          <w:lang w:eastAsia="en-US"/>
        </w:rPr>
        <w:t xml:space="preserve"> y eficaz</w:t>
      </w:r>
      <w:r w:rsidR="002D65EA" w:rsidRPr="0064597D">
        <w:rPr>
          <w:kern w:val="2"/>
          <w:sz w:val="20"/>
          <w:szCs w:val="20"/>
          <w:lang w:eastAsia="en-US"/>
        </w:rPr>
        <w:t>;</w:t>
      </w:r>
      <w:r w:rsidRPr="0064597D">
        <w:rPr>
          <w:kern w:val="2"/>
          <w:sz w:val="20"/>
          <w:szCs w:val="20"/>
          <w:lang w:eastAsia="en-US"/>
        </w:rPr>
        <w:t xml:space="preserve"> es decir</w:t>
      </w:r>
      <w:r w:rsidR="002D65EA" w:rsidRPr="0064597D">
        <w:rPr>
          <w:kern w:val="2"/>
          <w:sz w:val="20"/>
          <w:szCs w:val="20"/>
          <w:lang w:eastAsia="en-US"/>
        </w:rPr>
        <w:t>,</w:t>
      </w:r>
      <w:r w:rsidRPr="0064597D">
        <w:rPr>
          <w:kern w:val="2"/>
          <w:sz w:val="20"/>
          <w:szCs w:val="20"/>
          <w:lang w:eastAsia="en-US"/>
        </w:rPr>
        <w:t xml:space="preserve"> que no debe requerir mayores complejidades que tornen </w:t>
      </w:r>
      <w:r w:rsidRPr="0064597D">
        <w:rPr>
          <w:kern w:val="2"/>
          <w:sz w:val="20"/>
          <w:szCs w:val="20"/>
          <w:lang w:eastAsia="en-US"/>
        </w:rPr>
        <w:lastRenderedPageBreak/>
        <w:t>ilusorio este derecho. 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64597D">
        <w:rPr>
          <w:kern w:val="2"/>
          <w:sz w:val="20"/>
          <w:szCs w:val="20"/>
          <w:vertAlign w:val="superscript"/>
          <w:lang w:eastAsia="en-US"/>
        </w:rPr>
        <w:footnoteReference w:id="202"/>
      </w:r>
      <w:r w:rsidRPr="0064597D">
        <w:rPr>
          <w:kern w:val="2"/>
          <w:sz w:val="20"/>
          <w:szCs w:val="20"/>
          <w:lang w:eastAsia="en-US"/>
        </w:rPr>
        <w:t>.</w:t>
      </w:r>
    </w:p>
    <w:p w14:paraId="33711686" w14:textId="77777777" w:rsidR="003F1600" w:rsidRPr="0064597D" w:rsidRDefault="003F1600" w:rsidP="003F1600">
      <w:pPr>
        <w:widowControl/>
        <w:tabs>
          <w:tab w:val="left" w:pos="567"/>
        </w:tabs>
        <w:adjustRightInd/>
        <w:spacing w:line="240" w:lineRule="auto"/>
        <w:textAlignment w:val="auto"/>
        <w:rPr>
          <w:kern w:val="2"/>
          <w:sz w:val="20"/>
          <w:szCs w:val="20"/>
          <w:lang w:eastAsia="en-US"/>
        </w:rPr>
      </w:pPr>
    </w:p>
    <w:p w14:paraId="54F1E61C" w14:textId="073889BE" w:rsidR="00C514AF" w:rsidRPr="0064597D" w:rsidRDefault="00FC6ADA" w:rsidP="00A173EB">
      <w:pPr>
        <w:numPr>
          <w:ilvl w:val="0"/>
          <w:numId w:val="1"/>
        </w:numPr>
        <w:tabs>
          <w:tab w:val="left" w:pos="567"/>
        </w:tabs>
        <w:autoSpaceDE w:val="0"/>
        <w:autoSpaceDN w:val="0"/>
        <w:spacing w:line="240" w:lineRule="auto"/>
        <w:ind w:left="0" w:firstLine="0"/>
        <w:rPr>
          <w:sz w:val="20"/>
          <w:szCs w:val="20"/>
        </w:rPr>
      </w:pPr>
      <w:r w:rsidRPr="0064597D">
        <w:rPr>
          <w:sz w:val="20"/>
          <w:szCs w:val="20"/>
        </w:rPr>
        <w:t>Sentado lo anterior, l</w:t>
      </w:r>
      <w:r w:rsidR="00D05E9D" w:rsidRPr="0064597D">
        <w:rPr>
          <w:sz w:val="20"/>
          <w:szCs w:val="20"/>
        </w:rPr>
        <w:t>a Corte observa que e</w:t>
      </w:r>
      <w:r w:rsidR="00C514AF" w:rsidRPr="0064597D">
        <w:rPr>
          <w:sz w:val="20"/>
          <w:szCs w:val="20"/>
        </w:rPr>
        <w:t xml:space="preserve">l Código </w:t>
      </w:r>
      <w:r w:rsidR="00C514AF" w:rsidRPr="0064597D">
        <w:rPr>
          <w:rFonts w:eastAsia="MS Mincho"/>
          <w:sz w:val="20"/>
          <w:szCs w:val="20"/>
          <w:lang w:eastAsia="en-US"/>
        </w:rPr>
        <w:t>Procesal</w:t>
      </w:r>
      <w:r w:rsidR="00C514AF" w:rsidRPr="0064597D">
        <w:rPr>
          <w:sz w:val="20"/>
          <w:szCs w:val="20"/>
        </w:rPr>
        <w:t xml:space="preserve"> Penal guatemalteco contempla dos recursos que pretenden satisfacer</w:t>
      </w:r>
      <w:r w:rsidRPr="0064597D">
        <w:rPr>
          <w:sz w:val="20"/>
          <w:szCs w:val="20"/>
        </w:rPr>
        <w:t xml:space="preserve"> el derecho a recurrir el fallo:</w:t>
      </w:r>
      <w:r w:rsidR="00C514AF" w:rsidRPr="0064597D">
        <w:rPr>
          <w:sz w:val="20"/>
          <w:szCs w:val="20"/>
        </w:rPr>
        <w:t xml:space="preserve"> el recurso de apelación especial y el recurso de casación. </w:t>
      </w:r>
      <w:r w:rsidR="005C2AAD" w:rsidRPr="0064597D">
        <w:rPr>
          <w:sz w:val="20"/>
          <w:szCs w:val="20"/>
        </w:rPr>
        <w:t>El artículo 430 del Código Procesal Penal señala con respecto a</w:t>
      </w:r>
      <w:r w:rsidR="00C514AF" w:rsidRPr="0064597D">
        <w:rPr>
          <w:sz w:val="20"/>
          <w:szCs w:val="20"/>
        </w:rPr>
        <w:t xml:space="preserve">l recurso de apelación </w:t>
      </w:r>
      <w:r w:rsidR="005C2AAD" w:rsidRPr="0064597D">
        <w:rPr>
          <w:sz w:val="20"/>
          <w:szCs w:val="20"/>
        </w:rPr>
        <w:t>lo siguiente</w:t>
      </w:r>
      <w:r w:rsidR="00C514AF" w:rsidRPr="0064597D">
        <w:rPr>
          <w:sz w:val="20"/>
          <w:szCs w:val="20"/>
        </w:rPr>
        <w:t xml:space="preserve">: </w:t>
      </w:r>
    </w:p>
    <w:p w14:paraId="075AEE45" w14:textId="1A24DB21" w:rsidR="00C514AF" w:rsidRPr="0064597D" w:rsidRDefault="005C2AAD" w:rsidP="00C514AF">
      <w:pPr>
        <w:pStyle w:val="Prrafodelista"/>
        <w:spacing w:before="100" w:beforeAutospacing="1" w:after="100" w:afterAutospacing="1" w:line="240" w:lineRule="auto"/>
        <w:ind w:right="624"/>
        <w:rPr>
          <w:sz w:val="16"/>
          <w:szCs w:val="16"/>
        </w:rPr>
      </w:pPr>
      <w:r w:rsidRPr="0064597D">
        <w:rPr>
          <w:sz w:val="16"/>
          <w:szCs w:val="16"/>
        </w:rPr>
        <w:t>“A</w:t>
      </w:r>
      <w:r w:rsidR="00C514AF" w:rsidRPr="0064597D">
        <w:rPr>
          <w:sz w:val="16"/>
          <w:szCs w:val="16"/>
        </w:rPr>
        <w:t>rtículo 430.</w:t>
      </w:r>
      <w:r w:rsidR="00DB0443" w:rsidRPr="0064597D">
        <w:rPr>
          <w:sz w:val="16"/>
          <w:szCs w:val="16"/>
        </w:rPr>
        <w:t xml:space="preserve"> </w:t>
      </w:r>
      <w:r w:rsidR="00C514AF" w:rsidRPr="0064597D">
        <w:rPr>
          <w:sz w:val="16"/>
          <w:szCs w:val="16"/>
        </w:rPr>
        <w:t>La sentencia no podrá en ningún caso hacer mérito de la prueba o de los hechos que se declaren probados conforme a las reglas de la sana crítica razonada. Únicamente podrá referirse a ellos para aplicación de la ley sustantiva o cuando exista manifiesta contradicción con la sentencia recurrida.”</w:t>
      </w:r>
    </w:p>
    <w:p w14:paraId="3DE7C262" w14:textId="3252415E" w:rsidR="00FC6ADA" w:rsidRPr="0064597D" w:rsidRDefault="00C514AF" w:rsidP="009340D0">
      <w:pPr>
        <w:numPr>
          <w:ilvl w:val="0"/>
          <w:numId w:val="1"/>
        </w:numPr>
        <w:tabs>
          <w:tab w:val="left" w:pos="567"/>
        </w:tabs>
        <w:autoSpaceDE w:val="0"/>
        <w:autoSpaceDN w:val="0"/>
        <w:spacing w:line="240" w:lineRule="auto"/>
        <w:ind w:left="0" w:firstLine="0"/>
        <w:rPr>
          <w:sz w:val="20"/>
          <w:szCs w:val="20"/>
        </w:rPr>
      </w:pPr>
      <w:r w:rsidRPr="0064597D">
        <w:rPr>
          <w:sz w:val="20"/>
          <w:szCs w:val="18"/>
        </w:rPr>
        <w:t xml:space="preserve">De la </w:t>
      </w:r>
      <w:r w:rsidRPr="0064597D">
        <w:rPr>
          <w:sz w:val="20"/>
          <w:szCs w:val="20"/>
        </w:rPr>
        <w:t>legislación</w:t>
      </w:r>
      <w:r w:rsidRPr="0064597D">
        <w:rPr>
          <w:sz w:val="20"/>
          <w:szCs w:val="18"/>
        </w:rPr>
        <w:t xml:space="preserve"> </w:t>
      </w:r>
      <w:r w:rsidRPr="0064597D">
        <w:rPr>
          <w:rFonts w:eastAsia="MS Mincho"/>
          <w:sz w:val="20"/>
          <w:szCs w:val="20"/>
          <w:lang w:eastAsia="en-US"/>
        </w:rPr>
        <w:t>transcrita</w:t>
      </w:r>
      <w:r w:rsidRPr="0064597D">
        <w:rPr>
          <w:sz w:val="20"/>
          <w:szCs w:val="18"/>
        </w:rPr>
        <w:t xml:space="preserve"> se desprende que el recurso de apelación especial es un recurso </w:t>
      </w:r>
      <w:r w:rsidR="00193149" w:rsidRPr="0064597D">
        <w:rPr>
          <w:sz w:val="20"/>
          <w:szCs w:val="18"/>
        </w:rPr>
        <w:t xml:space="preserve">en cierta medida </w:t>
      </w:r>
      <w:r w:rsidRPr="0064597D">
        <w:rPr>
          <w:sz w:val="20"/>
          <w:szCs w:val="18"/>
        </w:rPr>
        <w:t xml:space="preserve">limitado, </w:t>
      </w:r>
      <w:r w:rsidR="00193149" w:rsidRPr="0064597D">
        <w:rPr>
          <w:sz w:val="20"/>
          <w:szCs w:val="18"/>
        </w:rPr>
        <w:t>toda vez que</w:t>
      </w:r>
      <w:r w:rsidRPr="0064597D">
        <w:rPr>
          <w:sz w:val="20"/>
          <w:szCs w:val="18"/>
        </w:rPr>
        <w:t xml:space="preserve"> </w:t>
      </w:r>
      <w:r w:rsidR="009340D0" w:rsidRPr="0064597D">
        <w:rPr>
          <w:sz w:val="20"/>
          <w:szCs w:val="18"/>
        </w:rPr>
        <w:t>sólo</w:t>
      </w:r>
      <w:r w:rsidRPr="0064597D">
        <w:rPr>
          <w:sz w:val="20"/>
          <w:szCs w:val="18"/>
        </w:rPr>
        <w:t xml:space="preserve"> permite la revisión de hechos </w:t>
      </w:r>
      <w:r w:rsidR="009340D0" w:rsidRPr="0064597D">
        <w:rPr>
          <w:sz w:val="20"/>
          <w:szCs w:val="18"/>
        </w:rPr>
        <w:t>“para aplicación de la ley sustantiva o cuando exista manifiesta contradicción con la sentencia recurrida.”</w:t>
      </w:r>
    </w:p>
    <w:p w14:paraId="0DC7220F" w14:textId="77777777" w:rsidR="007A54CA" w:rsidRPr="0064597D" w:rsidRDefault="007A54CA" w:rsidP="007A54CA">
      <w:pPr>
        <w:tabs>
          <w:tab w:val="left" w:pos="567"/>
        </w:tabs>
        <w:autoSpaceDE w:val="0"/>
        <w:autoSpaceDN w:val="0"/>
        <w:spacing w:line="240" w:lineRule="auto"/>
        <w:rPr>
          <w:sz w:val="20"/>
          <w:szCs w:val="20"/>
        </w:rPr>
      </w:pPr>
    </w:p>
    <w:p w14:paraId="294EA01F" w14:textId="77777777" w:rsidR="007A54CA" w:rsidRPr="0064597D" w:rsidRDefault="007A54CA" w:rsidP="007A54CA">
      <w:pPr>
        <w:numPr>
          <w:ilvl w:val="0"/>
          <w:numId w:val="1"/>
        </w:numPr>
        <w:tabs>
          <w:tab w:val="left" w:pos="567"/>
        </w:tabs>
        <w:autoSpaceDE w:val="0"/>
        <w:autoSpaceDN w:val="0"/>
        <w:spacing w:line="240" w:lineRule="auto"/>
        <w:ind w:left="0" w:firstLine="0"/>
        <w:rPr>
          <w:sz w:val="20"/>
          <w:szCs w:val="20"/>
        </w:rPr>
      </w:pPr>
      <w:r w:rsidRPr="0064597D">
        <w:rPr>
          <w:sz w:val="20"/>
          <w:szCs w:val="18"/>
        </w:rPr>
        <w:t>Por su parte, e</w:t>
      </w:r>
      <w:r w:rsidRPr="0064597D">
        <w:rPr>
          <w:sz w:val="20"/>
          <w:szCs w:val="20"/>
        </w:rPr>
        <w:t xml:space="preserve">l recurso de casación está regulado, en lo relevante, de la siguiente manera: </w:t>
      </w:r>
    </w:p>
    <w:p w14:paraId="48618613" w14:textId="77777777" w:rsidR="007A54CA" w:rsidRPr="0064597D" w:rsidRDefault="007A54CA" w:rsidP="007A54CA">
      <w:pPr>
        <w:pStyle w:val="Prrafodelista"/>
        <w:autoSpaceDE w:val="0"/>
        <w:autoSpaceDN w:val="0"/>
        <w:spacing w:line="240" w:lineRule="auto"/>
        <w:ind w:left="0"/>
        <w:rPr>
          <w:sz w:val="20"/>
          <w:szCs w:val="20"/>
        </w:rPr>
      </w:pPr>
    </w:p>
    <w:p w14:paraId="6061654F" w14:textId="436A6167" w:rsidR="007A54CA" w:rsidRPr="0064597D" w:rsidRDefault="00523392" w:rsidP="007A54CA">
      <w:pPr>
        <w:pStyle w:val="Prrafodelista"/>
        <w:autoSpaceDE w:val="0"/>
        <w:autoSpaceDN w:val="0"/>
        <w:spacing w:line="240" w:lineRule="auto"/>
        <w:ind w:left="706" w:right="619"/>
        <w:contextualSpacing/>
        <w:rPr>
          <w:sz w:val="16"/>
          <w:szCs w:val="16"/>
        </w:rPr>
      </w:pPr>
      <w:r w:rsidRPr="0064597D">
        <w:rPr>
          <w:sz w:val="16"/>
          <w:szCs w:val="16"/>
        </w:rPr>
        <w:t xml:space="preserve">“Artículo 442. </w:t>
      </w:r>
      <w:r w:rsidR="007A54CA" w:rsidRPr="0064597D">
        <w:rPr>
          <w:sz w:val="16"/>
          <w:szCs w:val="16"/>
        </w:rPr>
        <w:t>El tribunal de casación conocerá únicamente de los errores jurídicos contenidos en la resolución recurrida. Está sujeto a los hechos que se hayan tenido como probados por el tribunal de sentencia, y solamente en los casos en que advierta violación de una norma constitucional o legal, podrá disponer de la anulación y el reenvío para la corrección debida.”</w:t>
      </w:r>
    </w:p>
    <w:p w14:paraId="0BD2FE79" w14:textId="77777777" w:rsidR="007A54CA" w:rsidRPr="0064597D" w:rsidRDefault="007A54CA" w:rsidP="007A54CA">
      <w:pPr>
        <w:autoSpaceDE w:val="0"/>
        <w:autoSpaceDN w:val="0"/>
        <w:spacing w:line="240" w:lineRule="auto"/>
        <w:ind w:right="619"/>
        <w:contextualSpacing/>
        <w:rPr>
          <w:sz w:val="16"/>
          <w:szCs w:val="16"/>
        </w:rPr>
      </w:pPr>
    </w:p>
    <w:p w14:paraId="1685F26B" w14:textId="74A2B73C" w:rsidR="007A54CA" w:rsidRPr="0064597D" w:rsidRDefault="007A54CA" w:rsidP="007A54CA">
      <w:pPr>
        <w:numPr>
          <w:ilvl w:val="0"/>
          <w:numId w:val="1"/>
        </w:numPr>
        <w:tabs>
          <w:tab w:val="left" w:pos="567"/>
        </w:tabs>
        <w:autoSpaceDE w:val="0"/>
        <w:autoSpaceDN w:val="0"/>
        <w:spacing w:line="240" w:lineRule="auto"/>
        <w:ind w:left="0" w:firstLine="0"/>
        <w:rPr>
          <w:sz w:val="16"/>
          <w:szCs w:val="16"/>
        </w:rPr>
      </w:pPr>
      <w:r w:rsidRPr="0064597D">
        <w:rPr>
          <w:sz w:val="20"/>
          <w:szCs w:val="20"/>
        </w:rPr>
        <w:t xml:space="preserve">De las </w:t>
      </w:r>
      <w:r w:rsidRPr="0064597D">
        <w:rPr>
          <w:sz w:val="20"/>
          <w:szCs w:val="18"/>
        </w:rPr>
        <w:t>normas</w:t>
      </w:r>
      <w:r w:rsidRPr="0064597D">
        <w:rPr>
          <w:sz w:val="20"/>
          <w:szCs w:val="20"/>
        </w:rPr>
        <w:t xml:space="preserve"> </w:t>
      </w:r>
      <w:r w:rsidRPr="0064597D">
        <w:rPr>
          <w:rFonts w:eastAsia="MS Mincho"/>
          <w:sz w:val="20"/>
          <w:szCs w:val="20"/>
          <w:lang w:eastAsia="en-US"/>
        </w:rPr>
        <w:t>transcritas</w:t>
      </w:r>
      <w:r w:rsidRPr="0064597D">
        <w:rPr>
          <w:sz w:val="20"/>
          <w:szCs w:val="20"/>
        </w:rPr>
        <w:t xml:space="preserve"> se desprende que el recurso de casación no permite la revisión de hechos ni de pruebas, sólo de derecho. </w:t>
      </w:r>
    </w:p>
    <w:p w14:paraId="1C7FDA26" w14:textId="277582F0" w:rsidR="00FC6ADA" w:rsidRPr="0064597D" w:rsidRDefault="00FC6ADA" w:rsidP="00FC6ADA">
      <w:pPr>
        <w:tabs>
          <w:tab w:val="left" w:pos="567"/>
        </w:tabs>
        <w:autoSpaceDE w:val="0"/>
        <w:autoSpaceDN w:val="0"/>
        <w:spacing w:line="240" w:lineRule="auto"/>
        <w:rPr>
          <w:sz w:val="20"/>
          <w:szCs w:val="20"/>
        </w:rPr>
      </w:pPr>
    </w:p>
    <w:p w14:paraId="1B6140DB" w14:textId="008A4F5F" w:rsidR="00FC6ADA" w:rsidRPr="0064597D" w:rsidRDefault="00C03867" w:rsidP="0061682C">
      <w:pPr>
        <w:numPr>
          <w:ilvl w:val="0"/>
          <w:numId w:val="1"/>
        </w:numPr>
        <w:tabs>
          <w:tab w:val="left" w:pos="567"/>
        </w:tabs>
        <w:autoSpaceDE w:val="0"/>
        <w:autoSpaceDN w:val="0"/>
        <w:spacing w:line="240" w:lineRule="auto"/>
        <w:ind w:left="0" w:firstLine="0"/>
        <w:rPr>
          <w:rFonts w:cs="Arial"/>
        </w:rPr>
      </w:pPr>
      <w:r w:rsidRPr="0064597D">
        <w:rPr>
          <w:rFonts w:cs="Verdana"/>
          <w:sz w:val="20"/>
          <w:szCs w:val="20"/>
        </w:rPr>
        <w:t>L</w:t>
      </w:r>
      <w:r w:rsidR="00FC6ADA" w:rsidRPr="0064597D">
        <w:rPr>
          <w:rFonts w:cs="Verdana"/>
          <w:sz w:val="20"/>
          <w:szCs w:val="20"/>
        </w:rPr>
        <w:t xml:space="preserve">a Corte recuerda que el señor Ruiz Fuentes y las otras dos personas condenadas a pena de muerte interpusieron un recurso de apelación especial por motivos de fondo y forma contra la sentencia dictada el 14 de mayo de 1999 por el </w:t>
      </w:r>
      <w:r w:rsidR="00011243" w:rsidRPr="0064597D">
        <w:rPr>
          <w:rFonts w:cs="Verdana"/>
          <w:sz w:val="20"/>
          <w:szCs w:val="20"/>
        </w:rPr>
        <w:t>Tribunal Sexto de Sentencia Penal</w:t>
      </w:r>
      <w:r w:rsidR="00FC6ADA" w:rsidRPr="0064597D">
        <w:rPr>
          <w:rStyle w:val="Refdenotaalpie"/>
          <w:rFonts w:cs="Verdana"/>
          <w:sz w:val="20"/>
          <w:szCs w:val="20"/>
        </w:rPr>
        <w:footnoteReference w:id="203"/>
      </w:r>
      <w:r w:rsidR="00FC6ADA" w:rsidRPr="0064597D">
        <w:rPr>
          <w:rFonts w:cs="Verdana"/>
          <w:sz w:val="20"/>
          <w:szCs w:val="20"/>
        </w:rPr>
        <w:t>. El señor Ruiz Fuentes fundamentó su apelación alegando que</w:t>
      </w:r>
      <w:r w:rsidR="001B4B25" w:rsidRPr="0064597D">
        <w:rPr>
          <w:rFonts w:cs="Verdana"/>
          <w:sz w:val="20"/>
          <w:szCs w:val="20"/>
        </w:rPr>
        <w:t>:</w:t>
      </w:r>
      <w:r w:rsidR="00FC6ADA" w:rsidRPr="0064597D">
        <w:rPr>
          <w:rFonts w:cs="Verdana"/>
          <w:sz w:val="20"/>
          <w:szCs w:val="20"/>
        </w:rPr>
        <w:t xml:space="preserve"> (i) el Tribunal </w:t>
      </w:r>
      <w:r w:rsidR="00FC6ADA" w:rsidRPr="0064597D">
        <w:rPr>
          <w:sz w:val="20"/>
          <w:szCs w:val="20"/>
        </w:rPr>
        <w:t>de sentencia dio por acreditados hechos distintos a los</w:t>
      </w:r>
      <w:r w:rsidR="00FC6ADA" w:rsidRPr="0064597D">
        <w:rPr>
          <w:rFonts w:cs="Verdana"/>
          <w:sz w:val="20"/>
          <w:szCs w:val="20"/>
        </w:rPr>
        <w:t xml:space="preserve"> </w:t>
      </w:r>
      <w:r w:rsidR="00FC6ADA" w:rsidRPr="0064597D">
        <w:rPr>
          <w:sz w:val="20"/>
          <w:szCs w:val="20"/>
        </w:rPr>
        <w:t>formulados en la acusación, afectando con ello su derecho a la defensa, (ii) se le privó de su derecho de ofrecer y aportar prueba durante el debate,</w:t>
      </w:r>
      <w:r w:rsidR="00FC6ADA" w:rsidRPr="0064597D">
        <w:rPr>
          <w:rFonts w:cs="Verdana"/>
          <w:sz w:val="20"/>
          <w:szCs w:val="20"/>
        </w:rPr>
        <w:t xml:space="preserve"> </w:t>
      </w:r>
      <w:r w:rsidR="00F066C2" w:rsidRPr="0064597D">
        <w:rPr>
          <w:rFonts w:cs="Verdana"/>
          <w:sz w:val="20"/>
          <w:szCs w:val="20"/>
        </w:rPr>
        <w:t xml:space="preserve">(iii) se produjo una errónea valoración de la prueba por parte del juez </w:t>
      </w:r>
      <w:r w:rsidR="00F066C2" w:rsidRPr="0064597D">
        <w:rPr>
          <w:rFonts w:cs="Verdana"/>
          <w:i/>
          <w:sz w:val="20"/>
          <w:szCs w:val="20"/>
        </w:rPr>
        <w:t>a quo</w:t>
      </w:r>
      <w:r w:rsidR="00F066C2" w:rsidRPr="0064597D">
        <w:rPr>
          <w:rFonts w:cs="Verdana"/>
          <w:sz w:val="20"/>
          <w:szCs w:val="20"/>
        </w:rPr>
        <w:t xml:space="preserve"> </w:t>
      </w:r>
      <w:r w:rsidR="00FC6ADA" w:rsidRPr="0064597D">
        <w:rPr>
          <w:sz w:val="20"/>
          <w:szCs w:val="20"/>
        </w:rPr>
        <w:t>y (</w:t>
      </w:r>
      <w:r w:rsidR="00F066C2" w:rsidRPr="0064597D">
        <w:rPr>
          <w:sz w:val="20"/>
          <w:szCs w:val="20"/>
        </w:rPr>
        <w:t>iv</w:t>
      </w:r>
      <w:r w:rsidR="00FC6ADA" w:rsidRPr="0064597D">
        <w:rPr>
          <w:sz w:val="20"/>
          <w:szCs w:val="20"/>
        </w:rPr>
        <w:t xml:space="preserve">) que el Tribunal aplicó indebidamente el artículo 201 del Código Penal irrespetando el artículo 46 de la Constitución y el artículo 4 de la Convención, pues </w:t>
      </w:r>
      <w:r w:rsidR="00FC6ADA" w:rsidRPr="0064597D">
        <w:rPr>
          <w:rFonts w:cs="Arial"/>
          <w:sz w:val="20"/>
          <w:szCs w:val="20"/>
        </w:rPr>
        <w:t xml:space="preserve">al </w:t>
      </w:r>
      <w:r w:rsidR="00FC6ADA" w:rsidRPr="0064597D">
        <w:rPr>
          <w:sz w:val="20"/>
          <w:szCs w:val="20"/>
        </w:rPr>
        <w:t>momento de su ratificación la pena</w:t>
      </w:r>
      <w:r w:rsidR="00FC6ADA" w:rsidRPr="0064597D">
        <w:rPr>
          <w:rFonts w:cs="Verdana"/>
          <w:sz w:val="20"/>
          <w:szCs w:val="20"/>
        </w:rPr>
        <w:t xml:space="preserve"> </w:t>
      </w:r>
      <w:r w:rsidR="00FC6ADA" w:rsidRPr="0064597D">
        <w:rPr>
          <w:sz w:val="20"/>
          <w:szCs w:val="20"/>
        </w:rPr>
        <w:t>de muerte no estaba prevista para el secuestro cuando la víctima no fallecía</w:t>
      </w:r>
      <w:r w:rsidR="00FC6ADA" w:rsidRPr="0064597D">
        <w:rPr>
          <w:rStyle w:val="Refdenotaalpie"/>
          <w:sz w:val="20"/>
          <w:szCs w:val="20"/>
        </w:rPr>
        <w:footnoteReference w:id="204"/>
      </w:r>
      <w:r w:rsidR="00FC6ADA" w:rsidRPr="0064597D">
        <w:rPr>
          <w:sz w:val="20"/>
          <w:szCs w:val="20"/>
        </w:rPr>
        <w:t>.</w:t>
      </w:r>
    </w:p>
    <w:p w14:paraId="1B9106B4" w14:textId="77777777" w:rsidR="00FC6ADA" w:rsidRPr="0064597D" w:rsidRDefault="00FC6ADA" w:rsidP="00FC6ADA">
      <w:pPr>
        <w:tabs>
          <w:tab w:val="left" w:pos="567"/>
        </w:tabs>
        <w:spacing w:line="240" w:lineRule="auto"/>
        <w:rPr>
          <w:rFonts w:cs="Arial"/>
          <w:sz w:val="20"/>
          <w:szCs w:val="20"/>
          <w:highlight w:val="yellow"/>
        </w:rPr>
      </w:pPr>
    </w:p>
    <w:p w14:paraId="166FBC3C" w14:textId="77777777" w:rsidR="003E5D3C" w:rsidRPr="0064597D" w:rsidRDefault="00FC6ADA" w:rsidP="00FC6ADA">
      <w:pPr>
        <w:numPr>
          <w:ilvl w:val="0"/>
          <w:numId w:val="1"/>
        </w:numPr>
        <w:tabs>
          <w:tab w:val="left" w:pos="567"/>
          <w:tab w:val="num" w:pos="1569"/>
          <w:tab w:val="num" w:pos="12305"/>
        </w:tabs>
        <w:spacing w:line="240" w:lineRule="auto"/>
        <w:ind w:left="0" w:firstLine="0"/>
        <w:rPr>
          <w:sz w:val="20"/>
          <w:szCs w:val="20"/>
        </w:rPr>
      </w:pPr>
      <w:r w:rsidRPr="0064597D">
        <w:rPr>
          <w:sz w:val="20"/>
          <w:szCs w:val="20"/>
        </w:rPr>
        <w:t>El 13 de septiembre de 1999 la Corte de Apelaciones declaró sin lugar el recurso de apelación especial planteado por el señor Ruiz Fuentes y los demás condenados</w:t>
      </w:r>
      <w:r w:rsidRPr="0064597D">
        <w:rPr>
          <w:rStyle w:val="Refdenotaalpie"/>
          <w:sz w:val="20"/>
          <w:szCs w:val="20"/>
        </w:rPr>
        <w:footnoteReference w:id="205"/>
      </w:r>
      <w:r w:rsidRPr="0064597D">
        <w:rPr>
          <w:sz w:val="20"/>
          <w:szCs w:val="20"/>
        </w:rPr>
        <w:t xml:space="preserve">. En lo </w:t>
      </w:r>
      <w:r w:rsidR="00C03867" w:rsidRPr="0064597D">
        <w:rPr>
          <w:sz w:val="20"/>
          <w:szCs w:val="20"/>
        </w:rPr>
        <w:t>relevante para el</w:t>
      </w:r>
      <w:r w:rsidRPr="0064597D">
        <w:rPr>
          <w:sz w:val="20"/>
          <w:szCs w:val="20"/>
        </w:rPr>
        <w:t xml:space="preserve"> presente </w:t>
      </w:r>
      <w:r w:rsidR="00C03867" w:rsidRPr="0064597D">
        <w:rPr>
          <w:sz w:val="20"/>
          <w:szCs w:val="20"/>
        </w:rPr>
        <w:t>acápite</w:t>
      </w:r>
      <w:r w:rsidRPr="0064597D">
        <w:rPr>
          <w:sz w:val="20"/>
          <w:szCs w:val="20"/>
        </w:rPr>
        <w:t xml:space="preserve">, </w:t>
      </w:r>
      <w:r w:rsidR="00C03867" w:rsidRPr="0064597D">
        <w:rPr>
          <w:sz w:val="20"/>
          <w:szCs w:val="20"/>
        </w:rPr>
        <w:t>se destaca que el tribunal de apelaci</w:t>
      </w:r>
      <w:r w:rsidR="00F066C2" w:rsidRPr="0064597D">
        <w:rPr>
          <w:sz w:val="20"/>
          <w:szCs w:val="20"/>
        </w:rPr>
        <w:t xml:space="preserve">ón </w:t>
      </w:r>
      <w:r w:rsidR="003E5D3C" w:rsidRPr="0064597D">
        <w:rPr>
          <w:sz w:val="20"/>
          <w:szCs w:val="20"/>
        </w:rPr>
        <w:t>señaló, e</w:t>
      </w:r>
      <w:r w:rsidRPr="0064597D">
        <w:rPr>
          <w:sz w:val="20"/>
          <w:szCs w:val="20"/>
        </w:rPr>
        <w:t xml:space="preserve">n relación con el alegato según el cual el Tribunal dio por acreditados </w:t>
      </w:r>
      <w:r w:rsidRPr="0064597D">
        <w:rPr>
          <w:rFonts w:cs="Verdana"/>
          <w:sz w:val="20"/>
          <w:szCs w:val="20"/>
        </w:rPr>
        <w:t>hechos</w:t>
      </w:r>
      <w:r w:rsidRPr="0064597D">
        <w:rPr>
          <w:sz w:val="20"/>
          <w:szCs w:val="20"/>
        </w:rPr>
        <w:t xml:space="preserve"> distintos a los de la acusación,</w:t>
      </w:r>
      <w:r w:rsidR="00C03867" w:rsidRPr="0064597D">
        <w:rPr>
          <w:sz w:val="20"/>
          <w:szCs w:val="20"/>
        </w:rPr>
        <w:t xml:space="preserve"> </w:t>
      </w:r>
      <w:r w:rsidR="003E5D3C" w:rsidRPr="0064597D">
        <w:rPr>
          <w:sz w:val="20"/>
          <w:szCs w:val="20"/>
        </w:rPr>
        <w:t>lo siguiente:</w:t>
      </w:r>
    </w:p>
    <w:p w14:paraId="0BFE5E80" w14:textId="77777777" w:rsidR="003E5D3C" w:rsidRPr="0064597D" w:rsidRDefault="003E5D3C" w:rsidP="003E5D3C">
      <w:pPr>
        <w:tabs>
          <w:tab w:val="left" w:pos="567"/>
        </w:tabs>
        <w:spacing w:line="240" w:lineRule="auto"/>
        <w:rPr>
          <w:sz w:val="20"/>
          <w:szCs w:val="20"/>
        </w:rPr>
      </w:pPr>
    </w:p>
    <w:p w14:paraId="1DC23995" w14:textId="7638FCF8" w:rsidR="00FC6ADA" w:rsidRPr="0064597D" w:rsidRDefault="00FC6ADA" w:rsidP="00193149">
      <w:pPr>
        <w:tabs>
          <w:tab w:val="left" w:pos="720"/>
          <w:tab w:val="num" w:pos="12305"/>
        </w:tabs>
        <w:spacing w:line="240" w:lineRule="auto"/>
        <w:ind w:left="720" w:right="720"/>
        <w:rPr>
          <w:sz w:val="18"/>
          <w:szCs w:val="18"/>
        </w:rPr>
      </w:pPr>
      <w:r w:rsidRPr="0064597D">
        <w:rPr>
          <w:sz w:val="18"/>
          <w:szCs w:val="18"/>
        </w:rPr>
        <w:t>“</w:t>
      </w:r>
      <w:r w:rsidR="003E5D3C" w:rsidRPr="0064597D">
        <w:rPr>
          <w:sz w:val="18"/>
          <w:szCs w:val="18"/>
        </w:rPr>
        <w:t>[E]</w:t>
      </w:r>
      <w:r w:rsidRPr="0064597D">
        <w:rPr>
          <w:sz w:val="18"/>
          <w:szCs w:val="18"/>
        </w:rPr>
        <w:t>sta Sala en la sentencia no puede en ningún caso hacer mérito de la prueba o de los hechos que se declaren probados conforme a las reg</w:t>
      </w:r>
      <w:r w:rsidR="003E5D3C" w:rsidRPr="0064597D">
        <w:rPr>
          <w:sz w:val="18"/>
          <w:szCs w:val="18"/>
        </w:rPr>
        <w:t xml:space="preserve">las de la sana crítica razonada: </w:t>
      </w:r>
      <w:r w:rsidRPr="0064597D">
        <w:rPr>
          <w:sz w:val="18"/>
          <w:szCs w:val="18"/>
        </w:rPr>
        <w:t>la decisión es correcta</w:t>
      </w:r>
      <w:r w:rsidR="003E5D3C" w:rsidRPr="0064597D">
        <w:rPr>
          <w:sz w:val="18"/>
          <w:szCs w:val="18"/>
        </w:rPr>
        <w:t>. Por lo que se concluye que los hechos tenidos por acreditados por el tribunal son ciertos</w:t>
      </w:r>
      <w:r w:rsidRPr="0064597D">
        <w:rPr>
          <w:sz w:val="18"/>
          <w:szCs w:val="18"/>
        </w:rPr>
        <w:t>”</w:t>
      </w:r>
      <w:r w:rsidRPr="0064597D">
        <w:rPr>
          <w:rStyle w:val="Refdenotaalpie"/>
          <w:sz w:val="18"/>
          <w:szCs w:val="18"/>
        </w:rPr>
        <w:footnoteReference w:id="206"/>
      </w:r>
      <w:r w:rsidRPr="0064597D">
        <w:rPr>
          <w:sz w:val="18"/>
          <w:szCs w:val="18"/>
        </w:rPr>
        <w:t xml:space="preserve">. </w:t>
      </w:r>
    </w:p>
    <w:p w14:paraId="3F27C406" w14:textId="77777777" w:rsidR="00FC6ADA" w:rsidRPr="0064597D" w:rsidRDefault="00FC6ADA" w:rsidP="00FC6ADA">
      <w:pPr>
        <w:tabs>
          <w:tab w:val="left" w:pos="567"/>
        </w:tabs>
        <w:spacing w:line="240" w:lineRule="auto"/>
        <w:rPr>
          <w:sz w:val="20"/>
          <w:szCs w:val="20"/>
          <w:highlight w:val="yellow"/>
        </w:rPr>
      </w:pPr>
    </w:p>
    <w:p w14:paraId="0F67245C" w14:textId="77777777" w:rsidR="00193149" w:rsidRPr="0064597D" w:rsidRDefault="00193149" w:rsidP="0082142D">
      <w:pPr>
        <w:numPr>
          <w:ilvl w:val="0"/>
          <w:numId w:val="1"/>
        </w:numPr>
        <w:tabs>
          <w:tab w:val="left" w:pos="567"/>
        </w:tabs>
        <w:autoSpaceDE w:val="0"/>
        <w:autoSpaceDN w:val="0"/>
        <w:spacing w:line="240" w:lineRule="auto"/>
        <w:ind w:left="0" w:firstLine="0"/>
        <w:rPr>
          <w:rFonts w:eastAsia="Calibri"/>
          <w:kern w:val="2"/>
          <w:sz w:val="20"/>
          <w:szCs w:val="20"/>
          <w:lang w:eastAsia="en-US"/>
        </w:rPr>
      </w:pPr>
      <w:r w:rsidRPr="0064597D">
        <w:rPr>
          <w:rFonts w:eastAsia="Calibri"/>
          <w:kern w:val="2"/>
          <w:sz w:val="20"/>
          <w:szCs w:val="20"/>
          <w:lang w:eastAsia="en-US"/>
        </w:rPr>
        <w:t>Con respecto a los argumentos relativos a la errónea valoración de la prueba según las reglas de la sana crítica, la Corte de Apelaciones indicó lo siguiente:</w:t>
      </w:r>
    </w:p>
    <w:p w14:paraId="7F6BCF31" w14:textId="77777777" w:rsidR="00193149" w:rsidRPr="0064597D" w:rsidRDefault="00193149" w:rsidP="00193149">
      <w:pPr>
        <w:tabs>
          <w:tab w:val="left" w:pos="567"/>
        </w:tabs>
        <w:autoSpaceDE w:val="0"/>
        <w:autoSpaceDN w:val="0"/>
        <w:spacing w:line="240" w:lineRule="auto"/>
        <w:rPr>
          <w:rFonts w:eastAsia="Calibri"/>
          <w:kern w:val="2"/>
          <w:sz w:val="20"/>
          <w:szCs w:val="20"/>
          <w:highlight w:val="yellow"/>
          <w:lang w:eastAsia="en-US"/>
        </w:rPr>
      </w:pPr>
    </w:p>
    <w:p w14:paraId="3C69A5FD" w14:textId="0CEAF462" w:rsidR="00193149" w:rsidRPr="0064597D" w:rsidRDefault="00193149" w:rsidP="00193149">
      <w:pPr>
        <w:tabs>
          <w:tab w:val="left" w:pos="567"/>
          <w:tab w:val="num" w:pos="12305"/>
        </w:tabs>
        <w:spacing w:line="240" w:lineRule="auto"/>
        <w:ind w:left="720" w:right="720"/>
        <w:rPr>
          <w:sz w:val="18"/>
          <w:szCs w:val="18"/>
        </w:rPr>
      </w:pPr>
      <w:r w:rsidRPr="0064597D">
        <w:rPr>
          <w:sz w:val="18"/>
          <w:szCs w:val="18"/>
        </w:rPr>
        <w:t>“[E]l tribunal de primer grado argumentó y fundamentó adecuadamente la sentencia que se impugna, al concatenar el hecho de la acusación con las pruebas rendidas, para arriba a la conclusión de certeza jurídica que el recurrente es autor del delito de Plagio o Secuestro, atendiendo a los actos propios que este realizó en la ejecución del delito, quedando plenamente establecida la relación de causalidad”</w:t>
      </w:r>
      <w:r w:rsidRPr="0064597D">
        <w:rPr>
          <w:sz w:val="18"/>
          <w:szCs w:val="18"/>
          <w:vertAlign w:val="superscript"/>
        </w:rPr>
        <w:footnoteReference w:id="207"/>
      </w:r>
      <w:r w:rsidRPr="0064597D">
        <w:rPr>
          <w:sz w:val="18"/>
          <w:szCs w:val="18"/>
        </w:rPr>
        <w:t>.</w:t>
      </w:r>
    </w:p>
    <w:p w14:paraId="187B2ECE" w14:textId="77777777" w:rsidR="00EB2A20" w:rsidRPr="0064597D" w:rsidRDefault="00EB2A20" w:rsidP="00193149">
      <w:pPr>
        <w:tabs>
          <w:tab w:val="left" w:pos="567"/>
          <w:tab w:val="num" w:pos="12305"/>
        </w:tabs>
        <w:spacing w:line="240" w:lineRule="auto"/>
        <w:ind w:left="720" w:right="720"/>
        <w:rPr>
          <w:sz w:val="18"/>
          <w:szCs w:val="18"/>
        </w:rPr>
      </w:pPr>
    </w:p>
    <w:p w14:paraId="34B0A11F" w14:textId="5F818979" w:rsidR="00A32604" w:rsidRPr="0064597D" w:rsidRDefault="00A173EB" w:rsidP="0082142D">
      <w:pPr>
        <w:numPr>
          <w:ilvl w:val="0"/>
          <w:numId w:val="1"/>
        </w:numPr>
        <w:tabs>
          <w:tab w:val="left" w:pos="567"/>
        </w:tabs>
        <w:autoSpaceDE w:val="0"/>
        <w:autoSpaceDN w:val="0"/>
        <w:spacing w:line="240" w:lineRule="auto"/>
        <w:ind w:left="0" w:firstLine="0"/>
        <w:rPr>
          <w:rFonts w:eastAsia="Calibri"/>
          <w:b/>
          <w:kern w:val="2"/>
          <w:sz w:val="20"/>
          <w:szCs w:val="20"/>
          <w:lang w:eastAsia="en-US"/>
        </w:rPr>
      </w:pPr>
      <w:r w:rsidRPr="0064597D">
        <w:rPr>
          <w:sz w:val="20"/>
          <w:szCs w:val="20"/>
          <w:lang w:val="es-PE"/>
        </w:rPr>
        <w:t>El Tribunal observa</w:t>
      </w:r>
      <w:r w:rsidR="00193149" w:rsidRPr="0064597D">
        <w:rPr>
          <w:sz w:val="20"/>
          <w:szCs w:val="20"/>
          <w:lang w:val="es-PE"/>
        </w:rPr>
        <w:t xml:space="preserve"> que la respuesta brindada por la Corte de Apelaciones se limitó </w:t>
      </w:r>
      <w:r w:rsidR="001B4B25" w:rsidRPr="0064597D">
        <w:rPr>
          <w:sz w:val="20"/>
          <w:szCs w:val="20"/>
          <w:lang w:val="es-PE"/>
        </w:rPr>
        <w:t xml:space="preserve">a </w:t>
      </w:r>
      <w:r w:rsidR="003B1109" w:rsidRPr="0064597D">
        <w:rPr>
          <w:sz w:val="20"/>
          <w:szCs w:val="20"/>
          <w:lang w:val="es-PE"/>
        </w:rPr>
        <w:t>rechazar lo alegado por el recurrente</w:t>
      </w:r>
      <w:r w:rsidR="00193149" w:rsidRPr="0064597D">
        <w:rPr>
          <w:sz w:val="20"/>
          <w:szCs w:val="20"/>
          <w:lang w:val="es-PE"/>
        </w:rPr>
        <w:t xml:space="preserve"> sin proceder a realizar ningún tipo de revisión </w:t>
      </w:r>
      <w:r w:rsidRPr="0064597D">
        <w:rPr>
          <w:sz w:val="20"/>
          <w:szCs w:val="20"/>
          <w:lang w:val="es-PE"/>
        </w:rPr>
        <w:t>de cuestiones fácticas y/o probatorias</w:t>
      </w:r>
      <w:r w:rsidR="003B1109" w:rsidRPr="0064597D">
        <w:rPr>
          <w:sz w:val="20"/>
          <w:szCs w:val="20"/>
          <w:lang w:val="es-PE"/>
        </w:rPr>
        <w:t xml:space="preserve"> </w:t>
      </w:r>
      <w:r w:rsidR="00A320CC" w:rsidRPr="0064597D">
        <w:rPr>
          <w:sz w:val="20"/>
          <w:szCs w:val="20"/>
          <w:lang w:val="es-PE"/>
        </w:rPr>
        <w:t xml:space="preserve">ni de analizar </w:t>
      </w:r>
      <w:r w:rsidR="00247B97" w:rsidRPr="0064597D">
        <w:rPr>
          <w:sz w:val="20"/>
          <w:szCs w:val="20"/>
          <w:lang w:val="es-PE"/>
        </w:rPr>
        <w:t>los motivos específicos e individualizados argüidos por el señor Ruiz Fuentes en su recurso de apelación</w:t>
      </w:r>
      <w:r w:rsidRPr="0064597D">
        <w:rPr>
          <w:sz w:val="20"/>
          <w:szCs w:val="20"/>
          <w:lang w:val="es-PE"/>
        </w:rPr>
        <w:t>.</w:t>
      </w:r>
      <w:r w:rsidR="008E16E4" w:rsidRPr="0064597D">
        <w:rPr>
          <w:sz w:val="20"/>
          <w:szCs w:val="20"/>
          <w:lang w:val="es-PE"/>
        </w:rPr>
        <w:t xml:space="preserve"> En efecto, la Corte </w:t>
      </w:r>
      <w:r w:rsidR="00523392" w:rsidRPr="0064597D">
        <w:rPr>
          <w:sz w:val="20"/>
          <w:szCs w:val="20"/>
          <w:lang w:val="es-PE"/>
        </w:rPr>
        <w:t>de A</w:t>
      </w:r>
      <w:r w:rsidR="008E16E4" w:rsidRPr="0064597D">
        <w:rPr>
          <w:sz w:val="20"/>
          <w:szCs w:val="20"/>
          <w:lang w:val="es-PE"/>
        </w:rPr>
        <w:t xml:space="preserve">pelaciones, por un lado, esgrimió la </w:t>
      </w:r>
      <w:r w:rsidR="00A320CC" w:rsidRPr="0064597D">
        <w:rPr>
          <w:sz w:val="20"/>
          <w:szCs w:val="20"/>
          <w:lang w:val="es-PE"/>
        </w:rPr>
        <w:t>intangibilidad de la prueba consagrada en el artículo 430 del Código Procesal Penal</w:t>
      </w:r>
      <w:r w:rsidR="008E16E4" w:rsidRPr="0064597D">
        <w:rPr>
          <w:sz w:val="20"/>
          <w:szCs w:val="20"/>
          <w:lang w:val="es-PE"/>
        </w:rPr>
        <w:t xml:space="preserve"> para no entrar </w:t>
      </w:r>
      <w:r w:rsidR="00A320CC" w:rsidRPr="0064597D">
        <w:rPr>
          <w:sz w:val="20"/>
          <w:szCs w:val="20"/>
          <w:lang w:val="es-PE"/>
        </w:rPr>
        <w:t xml:space="preserve">a analizar ninguno los argumentos esgrimidos </w:t>
      </w:r>
      <w:r w:rsidR="008E16E4" w:rsidRPr="0064597D">
        <w:rPr>
          <w:sz w:val="20"/>
          <w:szCs w:val="20"/>
          <w:lang w:val="es-PE"/>
        </w:rPr>
        <w:t>por el señor Ruiz Fuentes con respecto a la discordancia entre la acusación y los hechos acreditados. Asimismo, y con respecto a las numerosas cuestiones que expuso el señor Ruiz Fuentes en su</w:t>
      </w:r>
      <w:r w:rsidR="00A320CC" w:rsidRPr="0064597D">
        <w:rPr>
          <w:sz w:val="20"/>
          <w:szCs w:val="20"/>
          <w:lang w:val="es-PE"/>
        </w:rPr>
        <w:t xml:space="preserve"> recurso</w:t>
      </w:r>
      <w:r w:rsidR="008E16E4" w:rsidRPr="0064597D">
        <w:rPr>
          <w:sz w:val="20"/>
          <w:szCs w:val="20"/>
          <w:lang w:val="es-PE"/>
        </w:rPr>
        <w:t xml:space="preserve"> de apelación en relación con la valoración de la prueba realizada por el juez </w:t>
      </w:r>
      <w:r w:rsidR="008E16E4" w:rsidRPr="0064597D">
        <w:rPr>
          <w:i/>
          <w:sz w:val="20"/>
          <w:szCs w:val="20"/>
          <w:lang w:val="es-PE"/>
        </w:rPr>
        <w:t>a quo</w:t>
      </w:r>
      <w:r w:rsidR="008E16E4" w:rsidRPr="0064597D">
        <w:rPr>
          <w:sz w:val="20"/>
          <w:szCs w:val="20"/>
          <w:lang w:val="es-PE"/>
        </w:rPr>
        <w:t xml:space="preserve">, la Corte de Apelaciones se limitó a dar respuesta abstracta, vaga y sin entrar </w:t>
      </w:r>
      <w:r w:rsidR="00A320CC" w:rsidRPr="0064597D">
        <w:rPr>
          <w:sz w:val="20"/>
          <w:szCs w:val="20"/>
          <w:lang w:val="es-PE"/>
        </w:rPr>
        <w:t>a analizar de manera específica ninguno</w:t>
      </w:r>
      <w:r w:rsidR="008E16E4" w:rsidRPr="0064597D">
        <w:rPr>
          <w:sz w:val="20"/>
          <w:szCs w:val="20"/>
          <w:lang w:val="es-PE"/>
        </w:rPr>
        <w:t xml:space="preserve"> de los motivos aducidos por el señor Ruiz Fuentes. </w:t>
      </w:r>
      <w:r w:rsidRPr="0064597D">
        <w:rPr>
          <w:sz w:val="20"/>
          <w:szCs w:val="20"/>
          <w:lang w:val="es-PE"/>
        </w:rPr>
        <w:t xml:space="preserve">En consecuencia, el Tribunal considera que la negativa por parte de la Sala </w:t>
      </w:r>
      <w:r w:rsidR="00C03867" w:rsidRPr="0064597D">
        <w:rPr>
          <w:sz w:val="20"/>
          <w:szCs w:val="20"/>
          <w:lang w:val="es-PE"/>
        </w:rPr>
        <w:t>Cuarta</w:t>
      </w:r>
      <w:r w:rsidRPr="0064597D">
        <w:rPr>
          <w:sz w:val="20"/>
          <w:szCs w:val="20"/>
          <w:lang w:val="es-PE"/>
        </w:rPr>
        <w:t xml:space="preserve"> de la Corte de Apelaciones de revisar </w:t>
      </w:r>
      <w:r w:rsidR="00A320CC" w:rsidRPr="0064597D">
        <w:rPr>
          <w:sz w:val="20"/>
          <w:szCs w:val="20"/>
          <w:lang w:val="es-PE"/>
        </w:rPr>
        <w:t>las</w:t>
      </w:r>
      <w:r w:rsidR="00247B97" w:rsidRPr="0064597D">
        <w:rPr>
          <w:sz w:val="20"/>
          <w:szCs w:val="20"/>
          <w:lang w:val="es-PE"/>
        </w:rPr>
        <w:t xml:space="preserve"> </w:t>
      </w:r>
      <w:r w:rsidR="00096BA0" w:rsidRPr="0064597D">
        <w:rPr>
          <w:sz w:val="20"/>
          <w:szCs w:val="20"/>
          <w:lang w:val="es-PE"/>
        </w:rPr>
        <w:t>cuestiones</w:t>
      </w:r>
      <w:r w:rsidR="00247B97" w:rsidRPr="0064597D">
        <w:rPr>
          <w:sz w:val="20"/>
          <w:szCs w:val="20"/>
          <w:lang w:val="es-PE"/>
        </w:rPr>
        <w:t xml:space="preserve"> planteada</w:t>
      </w:r>
      <w:r w:rsidR="00A320CC" w:rsidRPr="0064597D">
        <w:rPr>
          <w:sz w:val="20"/>
          <w:szCs w:val="20"/>
          <w:lang w:val="es-PE"/>
        </w:rPr>
        <w:t>s</w:t>
      </w:r>
      <w:r w:rsidR="00247B97" w:rsidRPr="0064597D">
        <w:rPr>
          <w:sz w:val="20"/>
          <w:szCs w:val="20"/>
          <w:lang w:val="es-PE"/>
        </w:rPr>
        <w:t xml:space="preserve"> por la </w:t>
      </w:r>
      <w:r w:rsidR="00A320CC" w:rsidRPr="0064597D">
        <w:rPr>
          <w:sz w:val="20"/>
          <w:szCs w:val="20"/>
          <w:lang w:val="es-PE"/>
        </w:rPr>
        <w:t xml:space="preserve">defensa del señor Ruiz Fuentes </w:t>
      </w:r>
      <w:r w:rsidRPr="0064597D">
        <w:rPr>
          <w:sz w:val="20"/>
          <w:szCs w:val="20"/>
          <w:lang w:val="es-PE"/>
        </w:rPr>
        <w:t>constituyó</w:t>
      </w:r>
      <w:r w:rsidR="00A320CC" w:rsidRPr="0064597D">
        <w:rPr>
          <w:sz w:val="20"/>
          <w:szCs w:val="20"/>
          <w:lang w:val="es-PE"/>
        </w:rPr>
        <w:t xml:space="preserve"> en el presente caso</w:t>
      </w:r>
      <w:r w:rsidRPr="0064597D">
        <w:rPr>
          <w:sz w:val="20"/>
          <w:szCs w:val="20"/>
          <w:lang w:val="es-PE"/>
        </w:rPr>
        <w:t xml:space="preserve"> un hecho ilícito internacional en tanto resultó en un incumplimiento del deber de revisión integral del fallo establecido en el artículo 8.2.h)</w:t>
      </w:r>
      <w:r w:rsidR="00C03867" w:rsidRPr="0064597D">
        <w:rPr>
          <w:sz w:val="20"/>
          <w:szCs w:val="20"/>
          <w:lang w:val="es-PE"/>
        </w:rPr>
        <w:t xml:space="preserve">. </w:t>
      </w:r>
    </w:p>
    <w:p w14:paraId="6E0220EB" w14:textId="77777777" w:rsidR="00A32604" w:rsidRPr="0064597D" w:rsidRDefault="00A32604" w:rsidP="00A32604">
      <w:pPr>
        <w:tabs>
          <w:tab w:val="left" w:pos="567"/>
        </w:tabs>
        <w:autoSpaceDE w:val="0"/>
        <w:autoSpaceDN w:val="0"/>
        <w:spacing w:line="240" w:lineRule="auto"/>
        <w:rPr>
          <w:rFonts w:eastAsia="Calibri"/>
          <w:b/>
          <w:kern w:val="2"/>
          <w:sz w:val="20"/>
          <w:szCs w:val="20"/>
          <w:highlight w:val="yellow"/>
          <w:lang w:eastAsia="en-US"/>
        </w:rPr>
      </w:pPr>
    </w:p>
    <w:p w14:paraId="3B3F06D7" w14:textId="77777777" w:rsidR="007A54CA" w:rsidRPr="0064597D" w:rsidRDefault="00C03867" w:rsidP="007A54CA">
      <w:pPr>
        <w:numPr>
          <w:ilvl w:val="0"/>
          <w:numId w:val="1"/>
        </w:numPr>
        <w:tabs>
          <w:tab w:val="left" w:pos="567"/>
        </w:tabs>
        <w:autoSpaceDE w:val="0"/>
        <w:autoSpaceDN w:val="0"/>
        <w:spacing w:line="240" w:lineRule="auto"/>
        <w:ind w:left="0" w:firstLine="0"/>
        <w:rPr>
          <w:rFonts w:eastAsia="Verdana" w:cs="Verdana"/>
          <w:sz w:val="20"/>
          <w:szCs w:val="20"/>
        </w:rPr>
      </w:pPr>
      <w:r w:rsidRPr="0064597D">
        <w:rPr>
          <w:sz w:val="20"/>
          <w:szCs w:val="20"/>
        </w:rPr>
        <w:t>Por otro lado, e</w:t>
      </w:r>
      <w:r w:rsidR="000761D6" w:rsidRPr="0064597D">
        <w:rPr>
          <w:sz w:val="20"/>
          <w:szCs w:val="20"/>
        </w:rPr>
        <w:t xml:space="preserve">n razón de que el artículo </w:t>
      </w:r>
      <w:r w:rsidR="00A83408" w:rsidRPr="0064597D">
        <w:rPr>
          <w:sz w:val="20"/>
          <w:szCs w:val="20"/>
        </w:rPr>
        <w:t>8.2.h</w:t>
      </w:r>
      <w:r w:rsidR="00BD4C7C" w:rsidRPr="0064597D">
        <w:rPr>
          <w:sz w:val="20"/>
          <w:szCs w:val="20"/>
        </w:rPr>
        <w:t>)</w:t>
      </w:r>
      <w:r w:rsidR="00A83408" w:rsidRPr="0064597D">
        <w:rPr>
          <w:sz w:val="20"/>
          <w:szCs w:val="20"/>
        </w:rPr>
        <w:t xml:space="preserve"> </w:t>
      </w:r>
      <w:r w:rsidR="000761D6" w:rsidRPr="0064597D">
        <w:rPr>
          <w:sz w:val="20"/>
          <w:szCs w:val="20"/>
        </w:rPr>
        <w:t>de la Convención tiene un contenido jurídico propio y el principio de efectividad (</w:t>
      </w:r>
      <w:r w:rsidR="000761D6" w:rsidRPr="0064597D">
        <w:rPr>
          <w:i/>
          <w:sz w:val="20"/>
          <w:szCs w:val="20"/>
        </w:rPr>
        <w:t>effet utile</w:t>
      </w:r>
      <w:r w:rsidR="000761D6" w:rsidRPr="0064597D">
        <w:rPr>
          <w:sz w:val="20"/>
          <w:szCs w:val="20"/>
        </w:rPr>
        <w:t xml:space="preserve">) es transversal a la protección debida de todos los derechos reconocidos en ese </w:t>
      </w:r>
      <w:r w:rsidR="000761D6" w:rsidRPr="0064597D">
        <w:rPr>
          <w:rFonts w:eastAsia="MS Mincho"/>
          <w:sz w:val="20"/>
          <w:szCs w:val="20"/>
          <w:lang w:eastAsia="en-US"/>
        </w:rPr>
        <w:t>instrumento</w:t>
      </w:r>
      <w:r w:rsidR="000761D6" w:rsidRPr="0064597D">
        <w:rPr>
          <w:sz w:val="20"/>
          <w:szCs w:val="20"/>
        </w:rPr>
        <w:t>, el Tribunal considera</w:t>
      </w:r>
      <w:r w:rsidR="00DB0443" w:rsidRPr="0064597D">
        <w:rPr>
          <w:sz w:val="20"/>
          <w:szCs w:val="20"/>
        </w:rPr>
        <w:t xml:space="preserve"> </w:t>
      </w:r>
      <w:r w:rsidR="000761D6" w:rsidRPr="0064597D">
        <w:rPr>
          <w:sz w:val="20"/>
          <w:szCs w:val="20"/>
        </w:rPr>
        <w:t>innecesario</w:t>
      </w:r>
      <w:r w:rsidR="00DB0443" w:rsidRPr="0064597D">
        <w:rPr>
          <w:sz w:val="20"/>
          <w:szCs w:val="20"/>
        </w:rPr>
        <w:t xml:space="preserve"> </w:t>
      </w:r>
      <w:r w:rsidR="000761D6" w:rsidRPr="0064597D">
        <w:rPr>
          <w:sz w:val="20"/>
          <w:szCs w:val="20"/>
        </w:rPr>
        <w:t>analizar</w:t>
      </w:r>
      <w:r w:rsidR="00DB0443" w:rsidRPr="0064597D">
        <w:rPr>
          <w:sz w:val="20"/>
          <w:szCs w:val="20"/>
        </w:rPr>
        <w:t xml:space="preserve"> </w:t>
      </w:r>
      <w:r w:rsidR="000761D6" w:rsidRPr="0064597D">
        <w:rPr>
          <w:sz w:val="20"/>
          <w:szCs w:val="20"/>
        </w:rPr>
        <w:t>aquella</w:t>
      </w:r>
      <w:r w:rsidR="00DB0443" w:rsidRPr="0064597D">
        <w:rPr>
          <w:sz w:val="20"/>
          <w:szCs w:val="20"/>
        </w:rPr>
        <w:t xml:space="preserve"> </w:t>
      </w:r>
      <w:r w:rsidR="000761D6" w:rsidRPr="0064597D">
        <w:rPr>
          <w:sz w:val="20"/>
          <w:szCs w:val="20"/>
        </w:rPr>
        <w:t>disposición</w:t>
      </w:r>
      <w:r w:rsidR="00DB0443" w:rsidRPr="0064597D">
        <w:rPr>
          <w:sz w:val="20"/>
          <w:szCs w:val="20"/>
        </w:rPr>
        <w:t xml:space="preserve"> </w:t>
      </w:r>
      <w:r w:rsidR="000761D6" w:rsidRPr="0064597D">
        <w:rPr>
          <w:sz w:val="20"/>
          <w:szCs w:val="20"/>
        </w:rPr>
        <w:t>en</w:t>
      </w:r>
      <w:r w:rsidR="00DB0443" w:rsidRPr="0064597D">
        <w:rPr>
          <w:sz w:val="20"/>
          <w:szCs w:val="20"/>
        </w:rPr>
        <w:t xml:space="preserve"> </w:t>
      </w:r>
      <w:r w:rsidR="000761D6" w:rsidRPr="0064597D">
        <w:rPr>
          <w:sz w:val="20"/>
          <w:szCs w:val="20"/>
        </w:rPr>
        <w:t>relación</w:t>
      </w:r>
      <w:r w:rsidR="00DB0443" w:rsidRPr="0064597D">
        <w:rPr>
          <w:sz w:val="20"/>
          <w:szCs w:val="20"/>
        </w:rPr>
        <w:t xml:space="preserve"> </w:t>
      </w:r>
      <w:r w:rsidR="000761D6" w:rsidRPr="0064597D">
        <w:rPr>
          <w:sz w:val="20"/>
          <w:szCs w:val="20"/>
        </w:rPr>
        <w:t>con</w:t>
      </w:r>
      <w:r w:rsidR="00DB0443" w:rsidRPr="0064597D">
        <w:rPr>
          <w:sz w:val="20"/>
          <w:szCs w:val="20"/>
        </w:rPr>
        <w:t xml:space="preserve"> </w:t>
      </w:r>
      <w:r w:rsidR="000761D6" w:rsidRPr="0064597D">
        <w:rPr>
          <w:sz w:val="20"/>
          <w:szCs w:val="20"/>
        </w:rPr>
        <w:t>el</w:t>
      </w:r>
      <w:r w:rsidR="00DB0443" w:rsidRPr="0064597D">
        <w:rPr>
          <w:sz w:val="20"/>
          <w:szCs w:val="20"/>
        </w:rPr>
        <w:t xml:space="preserve"> </w:t>
      </w:r>
      <w:r w:rsidR="000761D6" w:rsidRPr="0064597D">
        <w:rPr>
          <w:sz w:val="20"/>
          <w:szCs w:val="20"/>
        </w:rPr>
        <w:t>artículo</w:t>
      </w:r>
      <w:r w:rsidR="00DB0443" w:rsidRPr="0064597D">
        <w:rPr>
          <w:sz w:val="20"/>
          <w:szCs w:val="20"/>
        </w:rPr>
        <w:t xml:space="preserve"> </w:t>
      </w:r>
      <w:r w:rsidR="000761D6" w:rsidRPr="0064597D">
        <w:rPr>
          <w:sz w:val="20"/>
          <w:szCs w:val="20"/>
        </w:rPr>
        <w:t>25</w:t>
      </w:r>
      <w:r w:rsidR="00DB0443" w:rsidRPr="0064597D">
        <w:rPr>
          <w:sz w:val="20"/>
          <w:szCs w:val="20"/>
        </w:rPr>
        <w:t xml:space="preserve"> </w:t>
      </w:r>
      <w:r w:rsidR="000761D6" w:rsidRPr="0064597D">
        <w:rPr>
          <w:sz w:val="20"/>
          <w:szCs w:val="20"/>
        </w:rPr>
        <w:t>de</w:t>
      </w:r>
      <w:r w:rsidR="00DB0443" w:rsidRPr="0064597D">
        <w:rPr>
          <w:sz w:val="20"/>
          <w:szCs w:val="20"/>
        </w:rPr>
        <w:t xml:space="preserve"> </w:t>
      </w:r>
      <w:r w:rsidR="000761D6" w:rsidRPr="0064597D">
        <w:rPr>
          <w:sz w:val="20"/>
          <w:szCs w:val="20"/>
        </w:rPr>
        <w:t>la Convención</w:t>
      </w:r>
      <w:r w:rsidR="000761D6" w:rsidRPr="0064597D">
        <w:rPr>
          <w:rStyle w:val="Refdenotaalpie"/>
          <w:sz w:val="20"/>
          <w:szCs w:val="20"/>
        </w:rPr>
        <w:footnoteReference w:id="208"/>
      </w:r>
      <w:r w:rsidR="00037672" w:rsidRPr="0064597D">
        <w:rPr>
          <w:sz w:val="20"/>
          <w:szCs w:val="20"/>
        </w:rPr>
        <w:t>.</w:t>
      </w:r>
      <w:r w:rsidR="00ED65D0" w:rsidRPr="0064597D">
        <w:rPr>
          <w:sz w:val="20"/>
          <w:szCs w:val="20"/>
        </w:rPr>
        <w:t xml:space="preserve"> Asimismo, en relación con el alegato de la Comisión respecto a que ningún de los restantes recursos interpuestos por el señor Ruiz Fuentes fueron efectivos, la Corte advierte </w:t>
      </w:r>
      <w:r w:rsidR="008265DC" w:rsidRPr="0064597D">
        <w:rPr>
          <w:rFonts w:cs="Times"/>
          <w:sz w:val="20"/>
          <w:szCs w:val="20"/>
          <w:shd w:val="clear" w:color="auto" w:fill="FFFFFF"/>
        </w:rPr>
        <w:t xml:space="preserve">que la Comisión no esgrimió ningún argumento en particular ni desplegó actividad probatoria alguna. Por ende, no hay elementos que puedan configurar la alegada violación. </w:t>
      </w:r>
    </w:p>
    <w:p w14:paraId="0B0CDDA5" w14:textId="77777777" w:rsidR="007A54CA" w:rsidRPr="0064597D" w:rsidRDefault="007A54CA" w:rsidP="007A54CA">
      <w:pPr>
        <w:tabs>
          <w:tab w:val="left" w:pos="567"/>
        </w:tabs>
        <w:autoSpaceDE w:val="0"/>
        <w:autoSpaceDN w:val="0"/>
        <w:spacing w:line="240" w:lineRule="auto"/>
        <w:rPr>
          <w:rFonts w:eastAsia="Verdana" w:cs="Verdana"/>
          <w:sz w:val="20"/>
          <w:szCs w:val="20"/>
        </w:rPr>
      </w:pPr>
    </w:p>
    <w:p w14:paraId="7F7479A2" w14:textId="7BF64A0E" w:rsidR="00C514AF" w:rsidRPr="0064597D" w:rsidRDefault="008265DC" w:rsidP="007A54CA">
      <w:pPr>
        <w:numPr>
          <w:ilvl w:val="0"/>
          <w:numId w:val="1"/>
        </w:numPr>
        <w:tabs>
          <w:tab w:val="left" w:pos="567"/>
        </w:tabs>
        <w:autoSpaceDE w:val="0"/>
        <w:autoSpaceDN w:val="0"/>
        <w:spacing w:line="240" w:lineRule="auto"/>
        <w:ind w:left="0" w:firstLine="0"/>
        <w:rPr>
          <w:rFonts w:eastAsia="Verdana" w:cs="Verdana"/>
          <w:sz w:val="20"/>
          <w:szCs w:val="20"/>
        </w:rPr>
      </w:pPr>
      <w:r w:rsidRPr="0064597D">
        <w:rPr>
          <w:sz w:val="20"/>
          <w:szCs w:val="20"/>
        </w:rPr>
        <w:t xml:space="preserve">En </w:t>
      </w:r>
      <w:r w:rsidRPr="0064597D">
        <w:rPr>
          <w:sz w:val="20"/>
          <w:szCs w:val="20"/>
          <w:lang w:val="es-PE"/>
        </w:rPr>
        <w:t>vista</w:t>
      </w:r>
      <w:r w:rsidRPr="0064597D">
        <w:rPr>
          <w:sz w:val="20"/>
          <w:szCs w:val="20"/>
        </w:rPr>
        <w:t xml:space="preserve"> de las consideraciones anteriores</w:t>
      </w:r>
      <w:r w:rsidR="00C514AF" w:rsidRPr="0064597D">
        <w:rPr>
          <w:sz w:val="20"/>
          <w:szCs w:val="20"/>
        </w:rPr>
        <w:t xml:space="preserve">, la Corte concluye que el Estado violó el derecho a recurrir del fallo, contemplado en el artículo 8.2 h) de la Convención Americana, en relación </w:t>
      </w:r>
      <w:r w:rsidR="00C514AF" w:rsidRPr="0064597D">
        <w:rPr>
          <w:rFonts w:eastAsia="MS Mincho"/>
          <w:sz w:val="20"/>
          <w:szCs w:val="20"/>
          <w:lang w:eastAsia="en-US"/>
        </w:rPr>
        <w:t>con</w:t>
      </w:r>
      <w:r w:rsidR="00C514AF" w:rsidRPr="0064597D">
        <w:rPr>
          <w:sz w:val="20"/>
          <w:szCs w:val="20"/>
        </w:rPr>
        <w:t xml:space="preserve"> </w:t>
      </w:r>
      <w:r w:rsidR="006B597B" w:rsidRPr="0064597D">
        <w:rPr>
          <w:sz w:val="20"/>
          <w:szCs w:val="20"/>
        </w:rPr>
        <w:t>el artículo</w:t>
      </w:r>
      <w:r w:rsidR="00C514AF" w:rsidRPr="0064597D">
        <w:rPr>
          <w:sz w:val="20"/>
          <w:szCs w:val="20"/>
        </w:rPr>
        <w:t xml:space="preserve"> 1.1 del mi</w:t>
      </w:r>
      <w:r w:rsidR="00C03867" w:rsidRPr="0064597D">
        <w:rPr>
          <w:sz w:val="20"/>
          <w:szCs w:val="20"/>
        </w:rPr>
        <w:t>smo instrumento en perjuicio del señor Hugo Humberto Ruiz Fuentes</w:t>
      </w:r>
      <w:r w:rsidR="00C514AF" w:rsidRPr="0064597D">
        <w:rPr>
          <w:sz w:val="20"/>
          <w:szCs w:val="20"/>
        </w:rPr>
        <w:t>.</w:t>
      </w:r>
    </w:p>
    <w:p w14:paraId="24A209BE" w14:textId="0A5987E7" w:rsidR="009832CB" w:rsidRPr="0064597D" w:rsidRDefault="00544B95" w:rsidP="00377181">
      <w:pPr>
        <w:pStyle w:val="Ttulo3"/>
        <w:rPr>
          <w:lang w:eastAsia="en-US"/>
        </w:rPr>
      </w:pPr>
      <w:bookmarkStart w:id="81" w:name="_Toc24014568"/>
      <w:r w:rsidRPr="0064597D">
        <w:t xml:space="preserve">b.3 </w:t>
      </w:r>
      <w:r w:rsidRPr="0064597D">
        <w:tab/>
      </w:r>
      <w:r w:rsidR="009832CB" w:rsidRPr="0064597D">
        <w:rPr>
          <w:lang w:eastAsia="en-US"/>
        </w:rPr>
        <w:t>Investigación de las torturas sufridas por el señor Ruiz Fuentes</w:t>
      </w:r>
      <w:bookmarkEnd w:id="81"/>
    </w:p>
    <w:p w14:paraId="775C75D8" w14:textId="47D9BB48" w:rsidR="009832CB" w:rsidRPr="0064597D" w:rsidRDefault="009C268F" w:rsidP="00977E3C">
      <w:pPr>
        <w:numPr>
          <w:ilvl w:val="0"/>
          <w:numId w:val="1"/>
        </w:numPr>
        <w:tabs>
          <w:tab w:val="left" w:pos="567"/>
        </w:tabs>
        <w:autoSpaceDE w:val="0"/>
        <w:autoSpaceDN w:val="0"/>
        <w:spacing w:line="240" w:lineRule="auto"/>
        <w:ind w:left="0" w:firstLine="0"/>
        <w:rPr>
          <w:rFonts w:eastAsia="MS Mincho"/>
          <w:sz w:val="20"/>
          <w:szCs w:val="20"/>
          <w:lang w:eastAsia="en-US"/>
        </w:rPr>
      </w:pPr>
      <w:r w:rsidRPr="0064597D">
        <w:rPr>
          <w:rFonts w:eastAsia="MS Mincho"/>
          <w:sz w:val="20"/>
          <w:szCs w:val="20"/>
          <w:lang w:eastAsia="en-US"/>
        </w:rPr>
        <w:t>En el presente caso</w:t>
      </w:r>
      <w:r w:rsidR="009B3DAF" w:rsidRPr="0064597D">
        <w:rPr>
          <w:rFonts w:eastAsia="MS Mincho"/>
          <w:sz w:val="20"/>
          <w:szCs w:val="20"/>
          <w:lang w:eastAsia="en-US"/>
        </w:rPr>
        <w:t xml:space="preserve">, la Comisión y las representantes alegaron que el Estado </w:t>
      </w:r>
      <w:r w:rsidR="009B3DAF" w:rsidRPr="0064597D">
        <w:rPr>
          <w:sz w:val="20"/>
          <w:szCs w:val="20"/>
        </w:rPr>
        <w:t>no ha iniciado investigación alguna sobre las torturas sufridas por el señor Ruiz al momento de su detención</w:t>
      </w:r>
      <w:r w:rsidR="00FE2F23" w:rsidRPr="0064597D">
        <w:rPr>
          <w:sz w:val="20"/>
          <w:szCs w:val="20"/>
        </w:rPr>
        <w:t xml:space="preserve"> el </w:t>
      </w:r>
      <w:r w:rsidR="00FE2F23" w:rsidRPr="0064597D">
        <w:rPr>
          <w:kern w:val="2"/>
          <w:sz w:val="20"/>
          <w:szCs w:val="20"/>
          <w:lang w:eastAsia="en-US"/>
        </w:rPr>
        <w:t>6 de agosto del 1997</w:t>
      </w:r>
      <w:r w:rsidR="00FE2F23" w:rsidRPr="0064597D">
        <w:rPr>
          <w:sz w:val="20"/>
          <w:szCs w:val="20"/>
        </w:rPr>
        <w:t>, en violación de los artículos</w:t>
      </w:r>
      <w:r w:rsidR="009B3DAF" w:rsidRPr="0064597D">
        <w:rPr>
          <w:sz w:val="20"/>
          <w:szCs w:val="20"/>
        </w:rPr>
        <w:t xml:space="preserve"> 8.1 y 25.1 de la Convención Americana en relación </w:t>
      </w:r>
      <w:r w:rsidR="009B3DAF" w:rsidRPr="0064597D">
        <w:rPr>
          <w:sz w:val="20"/>
          <w:szCs w:val="20"/>
        </w:rPr>
        <w:lastRenderedPageBreak/>
        <w:t>con las obligaciones establecidas en el artículo 1.1 del mismo instrumento, así como las obligaciones establecidas en los artículos 1, 6 y 8 de la CIPST</w:t>
      </w:r>
      <w:r w:rsidR="00FE2F23" w:rsidRPr="0064597D">
        <w:rPr>
          <w:sz w:val="20"/>
          <w:szCs w:val="20"/>
        </w:rPr>
        <w:t>.</w:t>
      </w:r>
    </w:p>
    <w:p w14:paraId="1104F22D" w14:textId="77777777" w:rsidR="009540AE" w:rsidRPr="0064597D" w:rsidRDefault="009540AE" w:rsidP="009540AE">
      <w:pPr>
        <w:tabs>
          <w:tab w:val="left" w:pos="567"/>
        </w:tabs>
        <w:autoSpaceDE w:val="0"/>
        <w:autoSpaceDN w:val="0"/>
        <w:spacing w:line="240" w:lineRule="auto"/>
        <w:rPr>
          <w:rFonts w:eastAsia="MS Mincho"/>
          <w:sz w:val="20"/>
          <w:szCs w:val="20"/>
          <w:lang w:eastAsia="en-US"/>
        </w:rPr>
      </w:pPr>
    </w:p>
    <w:p w14:paraId="22B1AFBD" w14:textId="21A0C9F5" w:rsidR="009540AE" w:rsidRPr="0064597D" w:rsidRDefault="009540AE" w:rsidP="009540AE">
      <w:pPr>
        <w:numPr>
          <w:ilvl w:val="0"/>
          <w:numId w:val="1"/>
        </w:numPr>
        <w:tabs>
          <w:tab w:val="left" w:pos="567"/>
        </w:tabs>
        <w:autoSpaceDE w:val="0"/>
        <w:autoSpaceDN w:val="0"/>
        <w:spacing w:line="240" w:lineRule="auto"/>
        <w:ind w:left="0" w:firstLine="0"/>
        <w:rPr>
          <w:rFonts w:eastAsia="MS Mincho"/>
          <w:sz w:val="20"/>
          <w:szCs w:val="20"/>
          <w:lang w:eastAsia="en-US"/>
        </w:rPr>
      </w:pPr>
      <w:r w:rsidRPr="0064597D">
        <w:rPr>
          <w:rFonts w:cs="Arial"/>
          <w:sz w:val="20"/>
          <w:szCs w:val="20"/>
        </w:rPr>
        <w:t>La Corte recuerda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w:t>
      </w:r>
      <w:r w:rsidRPr="0064597D">
        <w:rPr>
          <w:rStyle w:val="Refdenotaalpie"/>
          <w:rFonts w:cs="Arial"/>
          <w:sz w:val="20"/>
          <w:szCs w:val="20"/>
        </w:rPr>
        <w:footnoteReference w:id="209"/>
      </w:r>
      <w:r w:rsidRPr="0064597D">
        <w:rPr>
          <w:rFonts w:cs="Arial"/>
          <w:sz w:val="20"/>
          <w:szCs w:val="20"/>
        </w:rPr>
        <w:t xml:space="preserve">. </w:t>
      </w:r>
      <w:r w:rsidR="002834B1" w:rsidRPr="0064597D">
        <w:rPr>
          <w:rFonts w:cs="Arial"/>
          <w:sz w:val="20"/>
          <w:szCs w:val="20"/>
        </w:rPr>
        <w:t>En el presente caso</w:t>
      </w:r>
      <w:r w:rsidRPr="0064597D">
        <w:rPr>
          <w:rFonts w:cs="Arial"/>
          <w:sz w:val="20"/>
          <w:szCs w:val="20"/>
        </w:rPr>
        <w:t xml:space="preserve">, la Corte considera que el Estado de Guatemala no actuó con arreglo a esas previsiones. </w:t>
      </w:r>
    </w:p>
    <w:p w14:paraId="098B9589" w14:textId="77777777" w:rsidR="00FE2F23" w:rsidRPr="0064597D" w:rsidRDefault="00FE2F23" w:rsidP="00FE2F23">
      <w:pPr>
        <w:tabs>
          <w:tab w:val="left" w:pos="567"/>
        </w:tabs>
        <w:autoSpaceDE w:val="0"/>
        <w:autoSpaceDN w:val="0"/>
        <w:spacing w:line="240" w:lineRule="auto"/>
        <w:rPr>
          <w:rFonts w:eastAsia="MS Mincho"/>
          <w:sz w:val="20"/>
          <w:szCs w:val="20"/>
          <w:lang w:eastAsia="en-US"/>
        </w:rPr>
      </w:pPr>
    </w:p>
    <w:p w14:paraId="1661887E" w14:textId="539696A0" w:rsidR="00F72752" w:rsidRPr="0064597D" w:rsidRDefault="009540AE" w:rsidP="00671499">
      <w:pPr>
        <w:numPr>
          <w:ilvl w:val="0"/>
          <w:numId w:val="1"/>
        </w:numPr>
        <w:tabs>
          <w:tab w:val="left" w:pos="567"/>
        </w:tabs>
        <w:autoSpaceDE w:val="0"/>
        <w:autoSpaceDN w:val="0"/>
        <w:spacing w:line="240" w:lineRule="auto"/>
        <w:ind w:left="0" w:firstLine="0"/>
        <w:rPr>
          <w:rFonts w:eastAsia="MS Mincho"/>
          <w:sz w:val="20"/>
          <w:szCs w:val="20"/>
          <w:lang w:eastAsia="en-US"/>
        </w:rPr>
      </w:pPr>
      <w:r w:rsidRPr="0064597D">
        <w:rPr>
          <w:sz w:val="20"/>
          <w:szCs w:val="20"/>
          <w:lang w:eastAsia="en-US"/>
        </w:rPr>
        <w:t>Efectivamente, l</w:t>
      </w:r>
      <w:r w:rsidR="000B3E8C" w:rsidRPr="0064597D">
        <w:rPr>
          <w:sz w:val="20"/>
          <w:szCs w:val="20"/>
          <w:lang w:eastAsia="en-US"/>
        </w:rPr>
        <w:t>a Corte observa que, a pesar de la gravedad de las lesiones que presentaba el señor Ruiz Fuentes cuando ingresó al Hospital Roosevelt tras haber sido detenido, el Estado no inició ningún tipo de investigación de oficio para determinar el origen de las mismas. Tampoco se inició ningún tipo de investigación</w:t>
      </w:r>
      <w:r w:rsidR="006F6792" w:rsidRPr="0064597D">
        <w:rPr>
          <w:sz w:val="20"/>
          <w:szCs w:val="20"/>
          <w:lang w:eastAsia="en-US"/>
        </w:rPr>
        <w:t>,</w:t>
      </w:r>
      <w:r w:rsidR="000B3E8C" w:rsidRPr="0064597D">
        <w:rPr>
          <w:sz w:val="20"/>
          <w:szCs w:val="20"/>
          <w:lang w:eastAsia="en-US"/>
        </w:rPr>
        <w:t xml:space="preserve"> cuando el señor Ruiz </w:t>
      </w:r>
      <w:r w:rsidR="00F72752" w:rsidRPr="0064597D">
        <w:rPr>
          <w:sz w:val="20"/>
          <w:szCs w:val="20"/>
          <w:lang w:eastAsia="en-US"/>
        </w:rPr>
        <w:t>Fuentes</w:t>
      </w:r>
      <w:r w:rsidR="000B3E8C" w:rsidRPr="0064597D">
        <w:rPr>
          <w:sz w:val="20"/>
          <w:szCs w:val="20"/>
          <w:lang w:eastAsia="en-US"/>
        </w:rPr>
        <w:t xml:space="preserve"> denunció</w:t>
      </w:r>
      <w:r w:rsidR="006F6792" w:rsidRPr="0064597D">
        <w:rPr>
          <w:sz w:val="20"/>
          <w:szCs w:val="20"/>
          <w:lang w:eastAsia="en-US"/>
        </w:rPr>
        <w:t xml:space="preserve"> el </w:t>
      </w:r>
      <w:r w:rsidR="00EB1301" w:rsidRPr="0064597D">
        <w:rPr>
          <w:sz w:val="20"/>
          <w:szCs w:val="20"/>
          <w:lang w:eastAsia="en-US"/>
        </w:rPr>
        <w:t>29</w:t>
      </w:r>
      <w:r w:rsidR="006F6792" w:rsidRPr="0064597D">
        <w:rPr>
          <w:sz w:val="20"/>
          <w:szCs w:val="20"/>
          <w:lang w:eastAsia="en-US"/>
        </w:rPr>
        <w:t xml:space="preserve"> de </w:t>
      </w:r>
      <w:r w:rsidR="00EB1301" w:rsidRPr="0064597D">
        <w:rPr>
          <w:sz w:val="20"/>
          <w:szCs w:val="20"/>
          <w:lang w:eastAsia="en-US"/>
        </w:rPr>
        <w:t>abril</w:t>
      </w:r>
      <w:r w:rsidR="006F6792" w:rsidRPr="0064597D">
        <w:rPr>
          <w:sz w:val="20"/>
          <w:szCs w:val="20"/>
          <w:lang w:eastAsia="en-US"/>
        </w:rPr>
        <w:t xml:space="preserve"> de 1998 </w:t>
      </w:r>
      <w:r w:rsidR="000B3E8C" w:rsidRPr="0064597D">
        <w:rPr>
          <w:sz w:val="20"/>
          <w:szCs w:val="20"/>
          <w:lang w:eastAsia="en-US"/>
        </w:rPr>
        <w:t xml:space="preserve">los hechos </w:t>
      </w:r>
      <w:r w:rsidR="000B3E8C" w:rsidRPr="0064597D">
        <w:rPr>
          <w:sz w:val="20"/>
          <w:szCs w:val="20"/>
        </w:rPr>
        <w:t>ante la Jueza Octava de Primera Instancia Penal, donde detalló de manera minuciosa los malos tratos a los que alegaba haber sido sometido</w:t>
      </w:r>
      <w:r w:rsidR="000B3E8C" w:rsidRPr="0064597D">
        <w:rPr>
          <w:rStyle w:val="Refdenotaalpie"/>
          <w:sz w:val="20"/>
          <w:szCs w:val="20"/>
        </w:rPr>
        <w:footnoteReference w:id="210"/>
      </w:r>
      <w:r w:rsidR="000B3E8C" w:rsidRPr="0064597D">
        <w:rPr>
          <w:sz w:val="20"/>
          <w:szCs w:val="20"/>
        </w:rPr>
        <w:t xml:space="preserve">. </w:t>
      </w:r>
      <w:r w:rsidR="00F72752" w:rsidRPr="0064597D">
        <w:rPr>
          <w:rFonts w:cs="Arial"/>
          <w:sz w:val="20"/>
          <w:szCs w:val="20"/>
        </w:rPr>
        <w:t>La Corte observa, además, que en el marco de dicha declaración, el abogado defensor solicitó expresamente a la Jueza que se llevase a cabo una investigación de los hechos denunciados, por ser constitutivos de tortura</w:t>
      </w:r>
      <w:r w:rsidR="00F72752" w:rsidRPr="0064597D">
        <w:rPr>
          <w:rStyle w:val="Refdenotaalpie"/>
          <w:rFonts w:cs="Arial"/>
          <w:sz w:val="20"/>
          <w:szCs w:val="20"/>
        </w:rPr>
        <w:footnoteReference w:id="211"/>
      </w:r>
      <w:r w:rsidR="00F72752" w:rsidRPr="0064597D">
        <w:rPr>
          <w:rFonts w:cs="Arial"/>
          <w:sz w:val="20"/>
          <w:szCs w:val="20"/>
        </w:rPr>
        <w:t xml:space="preserve">. </w:t>
      </w:r>
    </w:p>
    <w:p w14:paraId="3366DDE1" w14:textId="77777777" w:rsidR="00F72752" w:rsidRPr="0064597D" w:rsidRDefault="00F72752" w:rsidP="00F72752">
      <w:pPr>
        <w:tabs>
          <w:tab w:val="left" w:pos="567"/>
        </w:tabs>
        <w:autoSpaceDE w:val="0"/>
        <w:autoSpaceDN w:val="0"/>
        <w:spacing w:line="240" w:lineRule="auto"/>
        <w:rPr>
          <w:rFonts w:eastAsia="MS Mincho"/>
          <w:sz w:val="20"/>
          <w:szCs w:val="20"/>
          <w:lang w:eastAsia="en-US"/>
        </w:rPr>
      </w:pPr>
    </w:p>
    <w:p w14:paraId="68F6C32D" w14:textId="7B56D2BD" w:rsidR="009540AE" w:rsidRPr="0064597D" w:rsidRDefault="00123029" w:rsidP="00977E3C">
      <w:pPr>
        <w:numPr>
          <w:ilvl w:val="0"/>
          <w:numId w:val="1"/>
        </w:numPr>
        <w:tabs>
          <w:tab w:val="left" w:pos="567"/>
        </w:tabs>
        <w:autoSpaceDE w:val="0"/>
        <w:autoSpaceDN w:val="0"/>
        <w:spacing w:line="240" w:lineRule="auto"/>
        <w:ind w:left="0" w:firstLine="0"/>
        <w:rPr>
          <w:rFonts w:eastAsia="MS Mincho"/>
          <w:sz w:val="20"/>
          <w:szCs w:val="20"/>
          <w:lang w:eastAsia="en-US"/>
        </w:rPr>
      </w:pPr>
      <w:r w:rsidRPr="0064597D">
        <w:rPr>
          <w:sz w:val="20"/>
          <w:szCs w:val="20"/>
        </w:rPr>
        <w:t>Por otro lado, t</w:t>
      </w:r>
      <w:r w:rsidR="006F6792" w:rsidRPr="0064597D">
        <w:rPr>
          <w:sz w:val="20"/>
          <w:szCs w:val="20"/>
        </w:rPr>
        <w:t xml:space="preserve">ampoco se abrió ningún tipo de investigación tras las declaraciones realizadas </w:t>
      </w:r>
      <w:r w:rsidR="00550C28" w:rsidRPr="0064597D">
        <w:rPr>
          <w:sz w:val="20"/>
          <w:szCs w:val="20"/>
        </w:rPr>
        <w:t xml:space="preserve">el </w:t>
      </w:r>
      <w:r w:rsidR="00671499" w:rsidRPr="0064597D">
        <w:rPr>
          <w:sz w:val="20"/>
          <w:szCs w:val="20"/>
        </w:rPr>
        <w:t>21 de abril de 1999</w:t>
      </w:r>
      <w:r w:rsidR="00EB1301" w:rsidRPr="0064597D">
        <w:rPr>
          <w:sz w:val="20"/>
          <w:szCs w:val="20"/>
        </w:rPr>
        <w:t xml:space="preserve"> </w:t>
      </w:r>
      <w:r w:rsidR="00550C28" w:rsidRPr="0064597D">
        <w:rPr>
          <w:sz w:val="20"/>
          <w:szCs w:val="20"/>
        </w:rPr>
        <w:t xml:space="preserve">en el </w:t>
      </w:r>
      <w:r w:rsidR="00550C28" w:rsidRPr="0064597D">
        <w:rPr>
          <w:rFonts w:eastAsia="MS Mincho"/>
          <w:sz w:val="20"/>
          <w:szCs w:val="20"/>
          <w:lang w:eastAsia="en-US"/>
        </w:rPr>
        <w:t>marco</w:t>
      </w:r>
      <w:r w:rsidR="00550C28" w:rsidRPr="0064597D">
        <w:rPr>
          <w:sz w:val="20"/>
          <w:szCs w:val="20"/>
        </w:rPr>
        <w:t xml:space="preserve"> del juicio oral ante el </w:t>
      </w:r>
      <w:r w:rsidR="00011243" w:rsidRPr="0064597D">
        <w:rPr>
          <w:rFonts w:cs="Verdana"/>
          <w:sz w:val="20"/>
          <w:szCs w:val="20"/>
        </w:rPr>
        <w:t>Tribunal Sexto de Sentencia Penal</w:t>
      </w:r>
      <w:r w:rsidRPr="0064597D">
        <w:rPr>
          <w:rStyle w:val="Refdenotaalpie"/>
          <w:sz w:val="20"/>
          <w:szCs w:val="20"/>
        </w:rPr>
        <w:footnoteReference w:id="212"/>
      </w:r>
      <w:r w:rsidR="00550C28" w:rsidRPr="0064597D">
        <w:rPr>
          <w:sz w:val="20"/>
          <w:szCs w:val="20"/>
        </w:rPr>
        <w:t xml:space="preserve">, </w:t>
      </w:r>
      <w:r w:rsidR="006F6792" w:rsidRPr="0064597D">
        <w:rPr>
          <w:sz w:val="20"/>
          <w:szCs w:val="20"/>
        </w:rPr>
        <w:t xml:space="preserve">tanto por el señor Ruiz Fuentes como por el señor </w:t>
      </w:r>
      <w:r w:rsidR="00DA7F1B">
        <w:rPr>
          <w:rFonts w:cs="Arial"/>
          <w:sz w:val="20"/>
          <w:szCs w:val="20"/>
        </w:rPr>
        <w:t>J.M.M.R.</w:t>
      </w:r>
      <w:r w:rsidR="00550C28" w:rsidRPr="0064597D">
        <w:rPr>
          <w:rFonts w:cs="Arial"/>
          <w:sz w:val="20"/>
          <w:szCs w:val="20"/>
        </w:rPr>
        <w:t>, momento en el que incluso el señor Ruiz Fuentes aportó una serie de radiografías que acreditaban las graves lesiones sufridas</w:t>
      </w:r>
      <w:r w:rsidR="00550C28" w:rsidRPr="0064597D">
        <w:rPr>
          <w:rStyle w:val="Refdenotaalpie"/>
          <w:rFonts w:cs="Arial"/>
          <w:sz w:val="20"/>
          <w:szCs w:val="20"/>
        </w:rPr>
        <w:footnoteReference w:id="213"/>
      </w:r>
      <w:r w:rsidR="00550C28" w:rsidRPr="0064597D">
        <w:rPr>
          <w:rFonts w:cs="Arial"/>
          <w:sz w:val="20"/>
          <w:szCs w:val="20"/>
        </w:rPr>
        <w:t>.</w:t>
      </w:r>
      <w:r w:rsidR="00F32361" w:rsidRPr="0064597D">
        <w:rPr>
          <w:rFonts w:cs="Arial"/>
          <w:sz w:val="20"/>
          <w:szCs w:val="20"/>
        </w:rPr>
        <w:t xml:space="preserve"> La Corte observa que el referido </w:t>
      </w:r>
      <w:r w:rsidR="00011243" w:rsidRPr="0064597D">
        <w:rPr>
          <w:rFonts w:cs="Verdana"/>
          <w:sz w:val="20"/>
          <w:szCs w:val="20"/>
        </w:rPr>
        <w:t>Tribunal Sexto de Sentencia Penal</w:t>
      </w:r>
      <w:r w:rsidR="00011243" w:rsidRPr="0064597D">
        <w:rPr>
          <w:rFonts w:cs="Arial"/>
          <w:sz w:val="20"/>
          <w:szCs w:val="20"/>
        </w:rPr>
        <w:t xml:space="preserve"> </w:t>
      </w:r>
      <w:r w:rsidR="00F32361" w:rsidRPr="0064597D">
        <w:rPr>
          <w:rFonts w:cs="Arial"/>
          <w:sz w:val="20"/>
          <w:szCs w:val="20"/>
        </w:rPr>
        <w:t xml:space="preserve">con base únicamente a las declaraciones de los agentes policiales que intervinieron en la captura del señor Ruiz Fuentes, </w:t>
      </w:r>
      <w:r w:rsidR="00FE3B32" w:rsidRPr="0064597D">
        <w:rPr>
          <w:rFonts w:cs="Arial"/>
          <w:sz w:val="20"/>
          <w:szCs w:val="20"/>
        </w:rPr>
        <w:t>dio por válida la versión ofrecida por los mismos</w:t>
      </w:r>
      <w:r w:rsidR="00FE3B32" w:rsidRPr="0064597D">
        <w:rPr>
          <w:rStyle w:val="Refdenotaalpie"/>
          <w:rFonts w:cs="Arial"/>
          <w:sz w:val="20"/>
          <w:szCs w:val="20"/>
        </w:rPr>
        <w:footnoteReference w:id="214"/>
      </w:r>
      <w:r w:rsidR="00FE3B32" w:rsidRPr="0064597D">
        <w:rPr>
          <w:rFonts w:cs="Arial"/>
          <w:sz w:val="20"/>
          <w:szCs w:val="20"/>
        </w:rPr>
        <w:t>.</w:t>
      </w:r>
      <w:r w:rsidR="00324EC8" w:rsidRPr="0064597D">
        <w:rPr>
          <w:rFonts w:cs="Arial"/>
          <w:sz w:val="20"/>
          <w:szCs w:val="20"/>
        </w:rPr>
        <w:t xml:space="preserve"> </w:t>
      </w:r>
    </w:p>
    <w:p w14:paraId="10B21CFA" w14:textId="77777777" w:rsidR="009540AE" w:rsidRPr="0064597D" w:rsidRDefault="009540AE" w:rsidP="009540AE">
      <w:pPr>
        <w:tabs>
          <w:tab w:val="left" w:pos="567"/>
        </w:tabs>
        <w:autoSpaceDE w:val="0"/>
        <w:autoSpaceDN w:val="0"/>
        <w:spacing w:line="240" w:lineRule="auto"/>
        <w:rPr>
          <w:rFonts w:eastAsia="MS Mincho"/>
          <w:sz w:val="20"/>
          <w:szCs w:val="20"/>
          <w:lang w:eastAsia="en-US"/>
        </w:rPr>
      </w:pPr>
    </w:p>
    <w:p w14:paraId="66EB92B0" w14:textId="70718FC1" w:rsidR="00324EC8" w:rsidRPr="0064597D" w:rsidRDefault="00324EC8" w:rsidP="00324EC8">
      <w:pPr>
        <w:numPr>
          <w:ilvl w:val="0"/>
          <w:numId w:val="1"/>
        </w:numPr>
        <w:tabs>
          <w:tab w:val="left" w:pos="567"/>
        </w:tabs>
        <w:autoSpaceDE w:val="0"/>
        <w:autoSpaceDN w:val="0"/>
        <w:spacing w:line="240" w:lineRule="auto"/>
        <w:ind w:left="0" w:firstLine="0"/>
        <w:rPr>
          <w:rFonts w:cs="Arial"/>
          <w:i/>
          <w:sz w:val="20"/>
          <w:szCs w:val="20"/>
        </w:rPr>
      </w:pPr>
      <w:r w:rsidRPr="0064597D">
        <w:rPr>
          <w:rFonts w:cs="Arial"/>
          <w:sz w:val="20"/>
          <w:szCs w:val="20"/>
        </w:rPr>
        <w:t xml:space="preserve">Asimismo, este Tribunal recuerda que en otros casos ha señalado que </w:t>
      </w:r>
      <w:r w:rsidRPr="0064597D">
        <w:rPr>
          <w:sz w:val="20"/>
          <w:szCs w:val="20"/>
        </w:rPr>
        <w:t xml:space="preserve">la obligación de investigar se ve reforzada por lo dispuesto en los artículos 1, 6 y 8 de la </w:t>
      </w:r>
      <w:r w:rsidRPr="0064597D">
        <w:rPr>
          <w:rFonts w:cs="Arial"/>
          <w:sz w:val="20"/>
          <w:szCs w:val="20"/>
        </w:rPr>
        <w:t>CIPST</w:t>
      </w:r>
      <w:r w:rsidRPr="0064597D">
        <w:rPr>
          <w:sz w:val="20"/>
          <w:szCs w:val="20"/>
        </w:rPr>
        <w:t xml:space="preserve"> que obligan al Estado a “toma[r] medidas efectivas para prevenir y sancionar la tortura en el ámbito de su jurisdicción”, así como a “prevenir y sancionar […] otros tratos o penas crueles, inhumanos o degradantes”. Además,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De acuerdo a ello, la Corte ha considerado en varias oportunidades que cuando se produce una falta al deber de investigar alegados hechos de tortura, ello también implicaba una afectación a estos artículos de la </w:t>
      </w:r>
      <w:r w:rsidRPr="0064597D">
        <w:rPr>
          <w:sz w:val="20"/>
          <w:szCs w:val="20"/>
        </w:rPr>
        <w:lastRenderedPageBreak/>
        <w:t>CIPST</w:t>
      </w:r>
      <w:r w:rsidRPr="0064597D">
        <w:rPr>
          <w:rStyle w:val="Refdenotaalpie"/>
          <w:sz w:val="20"/>
          <w:szCs w:val="20"/>
        </w:rPr>
        <w:footnoteReference w:id="215"/>
      </w:r>
      <w:r w:rsidRPr="0064597D">
        <w:rPr>
          <w:sz w:val="20"/>
          <w:szCs w:val="20"/>
        </w:rPr>
        <w:t xml:space="preserve">. </w:t>
      </w:r>
    </w:p>
    <w:p w14:paraId="3E58B705" w14:textId="77777777" w:rsidR="00550C28" w:rsidRPr="0064597D" w:rsidRDefault="00550C28" w:rsidP="00550C28">
      <w:pPr>
        <w:tabs>
          <w:tab w:val="left" w:pos="567"/>
        </w:tabs>
        <w:autoSpaceDE w:val="0"/>
        <w:autoSpaceDN w:val="0"/>
        <w:spacing w:line="240" w:lineRule="auto"/>
        <w:rPr>
          <w:rFonts w:eastAsia="MS Mincho"/>
          <w:sz w:val="20"/>
          <w:szCs w:val="20"/>
          <w:lang w:val="es-ES_tradnl" w:eastAsia="en-US"/>
        </w:rPr>
      </w:pPr>
    </w:p>
    <w:p w14:paraId="3074FEAD" w14:textId="6CCBCF84" w:rsidR="00FE2F23" w:rsidRPr="0064597D" w:rsidRDefault="00FE2F23" w:rsidP="00FE2F23">
      <w:pPr>
        <w:numPr>
          <w:ilvl w:val="0"/>
          <w:numId w:val="1"/>
        </w:numPr>
        <w:tabs>
          <w:tab w:val="left" w:pos="567"/>
        </w:tabs>
        <w:autoSpaceDE w:val="0"/>
        <w:autoSpaceDN w:val="0"/>
        <w:spacing w:line="240" w:lineRule="auto"/>
        <w:ind w:left="0" w:firstLine="0"/>
        <w:rPr>
          <w:rFonts w:eastAsia="Calibri" w:cs="Helvetica"/>
          <w:sz w:val="20"/>
          <w:szCs w:val="20"/>
          <w:lang w:val="es-MX" w:bidi="en-US"/>
        </w:rPr>
      </w:pPr>
      <w:r w:rsidRPr="0064597D">
        <w:rPr>
          <w:rFonts w:eastAsia="MS Mincho"/>
          <w:sz w:val="20"/>
          <w:szCs w:val="20"/>
          <w:lang w:eastAsia="en-US"/>
        </w:rPr>
        <w:t>En consecuencia, la Corte concluye que</w:t>
      </w:r>
      <w:r w:rsidRPr="0064597D">
        <w:rPr>
          <w:rFonts w:eastAsia="Calibri" w:cs="Helvetica"/>
          <w:sz w:val="20"/>
          <w:szCs w:val="20"/>
          <w:lang w:val="es-MX" w:bidi="en-US"/>
        </w:rPr>
        <w:t xml:space="preserve"> l</w:t>
      </w:r>
      <w:r w:rsidRPr="0064597D">
        <w:rPr>
          <w:sz w:val="20"/>
          <w:szCs w:val="20"/>
          <w:lang w:val="es-MX"/>
        </w:rPr>
        <w:t xml:space="preserve">a falta de investigación oportuna de hechos tan graves evidencia un incumplimiento de la obligación del Estado de garantizar el derecho a la integridad personal, así como una denegación de justicia, que constituyó una violación de los artículos 8.1 y 25 de la </w:t>
      </w:r>
      <w:r w:rsidRPr="0064597D">
        <w:rPr>
          <w:rFonts w:eastAsia="MS Mincho"/>
          <w:sz w:val="20"/>
          <w:szCs w:val="20"/>
          <w:lang w:eastAsia="en-US"/>
        </w:rPr>
        <w:t>Convención</w:t>
      </w:r>
      <w:r w:rsidRPr="0064597D">
        <w:rPr>
          <w:sz w:val="20"/>
          <w:szCs w:val="20"/>
          <w:lang w:val="es-MX"/>
        </w:rPr>
        <w:t xml:space="preserve">, en relación con el artículo 1.1 de la misma, y un incumplimiento de las obligaciones contraídas en virtud de los artículos 1, 6 y 8 de la Convención Interamericana para Prevenir y Sancionar la Tortura, en perjuicio del señor </w:t>
      </w:r>
      <w:r w:rsidR="00F32361" w:rsidRPr="0064597D">
        <w:rPr>
          <w:sz w:val="20"/>
          <w:szCs w:val="20"/>
          <w:lang w:val="es-MX"/>
        </w:rPr>
        <w:t>Hugo Humberto Ruiz Fuentes</w:t>
      </w:r>
      <w:r w:rsidRPr="0064597D">
        <w:rPr>
          <w:sz w:val="20"/>
          <w:szCs w:val="20"/>
          <w:lang w:val="es-MX"/>
        </w:rPr>
        <w:t xml:space="preserve">. </w:t>
      </w:r>
    </w:p>
    <w:p w14:paraId="426839D0" w14:textId="77777777" w:rsidR="00581B20" w:rsidRPr="0064597D" w:rsidRDefault="00581B20" w:rsidP="00581B20">
      <w:pPr>
        <w:pStyle w:val="Ttulo3"/>
        <w:rPr>
          <w:lang w:eastAsia="en-US"/>
        </w:rPr>
      </w:pPr>
      <w:bookmarkStart w:id="82" w:name="_Toc24014569"/>
      <w:r w:rsidRPr="0064597D">
        <w:t xml:space="preserve">b.4 </w:t>
      </w:r>
      <w:r w:rsidRPr="0064597D">
        <w:tab/>
      </w:r>
      <w:r w:rsidRPr="0064597D">
        <w:rPr>
          <w:lang w:eastAsia="en-US"/>
        </w:rPr>
        <w:t>Investigación de la muerte del señor Ruiz Fuentes</w:t>
      </w:r>
      <w:bookmarkEnd w:id="82"/>
    </w:p>
    <w:p w14:paraId="337EB65B" w14:textId="77777777" w:rsidR="00581B20" w:rsidRPr="0064597D" w:rsidRDefault="00581B20" w:rsidP="00581B20">
      <w:pPr>
        <w:numPr>
          <w:ilvl w:val="0"/>
          <w:numId w:val="1"/>
        </w:numPr>
        <w:tabs>
          <w:tab w:val="left" w:pos="567"/>
        </w:tabs>
        <w:autoSpaceDE w:val="0"/>
        <w:autoSpaceDN w:val="0"/>
        <w:spacing w:line="240" w:lineRule="auto"/>
        <w:ind w:left="0" w:firstLine="0"/>
        <w:rPr>
          <w:b/>
          <w:sz w:val="20"/>
          <w:szCs w:val="20"/>
        </w:rPr>
      </w:pPr>
      <w:r w:rsidRPr="0064597D">
        <w:rPr>
          <w:sz w:val="20"/>
          <w:szCs w:val="20"/>
        </w:rPr>
        <w:t>La Corte ha señalado de manera consistente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 Además la investigación debe ser seria, objetiva y efectiva, y estar orientada a la determinación de la verdad y a la persecución, captura, y eventual enjuiciamiento y castigo de los autores de los hechos</w:t>
      </w:r>
      <w:r w:rsidRPr="0064597D">
        <w:rPr>
          <w:rStyle w:val="Refdenotaalpie"/>
          <w:sz w:val="20"/>
          <w:szCs w:val="20"/>
        </w:rPr>
        <w:footnoteReference w:id="216"/>
      </w:r>
      <w:r w:rsidRPr="0064597D">
        <w:rPr>
          <w:sz w:val="20"/>
          <w:szCs w:val="20"/>
        </w:rPr>
        <w:t>.</w:t>
      </w:r>
    </w:p>
    <w:p w14:paraId="1F269A13" w14:textId="77777777" w:rsidR="00581B20" w:rsidRPr="0064597D" w:rsidRDefault="00581B20" w:rsidP="00581B20">
      <w:pPr>
        <w:pStyle w:val="Normal1"/>
        <w:widowControl/>
        <w:contextualSpacing/>
        <w:jc w:val="both"/>
        <w:rPr>
          <w:rFonts w:ascii="Verdana" w:hAnsi="Verdana"/>
          <w:b/>
        </w:rPr>
      </w:pPr>
    </w:p>
    <w:p w14:paraId="6A3C7FDC" w14:textId="77777777" w:rsidR="00581B20" w:rsidRPr="0064597D" w:rsidRDefault="00581B20" w:rsidP="00581B20">
      <w:pPr>
        <w:numPr>
          <w:ilvl w:val="0"/>
          <w:numId w:val="1"/>
        </w:numPr>
        <w:tabs>
          <w:tab w:val="left" w:pos="567"/>
        </w:tabs>
        <w:autoSpaceDE w:val="0"/>
        <w:autoSpaceDN w:val="0"/>
        <w:spacing w:line="240" w:lineRule="auto"/>
        <w:ind w:left="0" w:firstLine="0"/>
        <w:rPr>
          <w:rFonts w:eastAsia="Verdana" w:cs="Verdana"/>
          <w:sz w:val="20"/>
          <w:szCs w:val="20"/>
        </w:rPr>
      </w:pPr>
      <w:r w:rsidRPr="0064597D">
        <w:rPr>
          <w:rFonts w:cs="Times"/>
          <w:sz w:val="20"/>
          <w:szCs w:val="20"/>
          <w:shd w:val="clear" w:color="auto" w:fill="FFFFFF"/>
        </w:rPr>
        <w:t>Pa</w:t>
      </w:r>
      <w:r w:rsidRPr="0064597D">
        <w:rPr>
          <w:rFonts w:eastAsia="Verdana" w:cs="Verdana"/>
          <w:sz w:val="20"/>
          <w:szCs w:val="20"/>
        </w:rPr>
        <w:t xml:space="preserve">ra poder determinar si la investigación fue realizada de manera diligente, la Corte referirá diversas </w:t>
      </w:r>
      <w:r w:rsidRPr="0064597D">
        <w:rPr>
          <w:rFonts w:eastAsia="MS Mincho"/>
          <w:sz w:val="20"/>
          <w:szCs w:val="20"/>
          <w:lang w:eastAsia="en-US"/>
        </w:rPr>
        <w:t>diligencias</w:t>
      </w:r>
      <w:r w:rsidRPr="0064597D">
        <w:rPr>
          <w:rFonts w:eastAsia="Verdana" w:cs="Verdana"/>
          <w:sz w:val="20"/>
          <w:szCs w:val="20"/>
        </w:rPr>
        <w:t xml:space="preserve"> del proceso penal, relacionadas con el tratamiento de la escena del delito, la realización de la autopsia y otros medios de prueba.</w:t>
      </w:r>
    </w:p>
    <w:p w14:paraId="2E020D6A" w14:textId="77777777" w:rsidR="00581B20" w:rsidRPr="0064597D" w:rsidRDefault="00581B20" w:rsidP="00581B20">
      <w:pPr>
        <w:tabs>
          <w:tab w:val="left" w:pos="567"/>
        </w:tabs>
        <w:autoSpaceDE w:val="0"/>
        <w:autoSpaceDN w:val="0"/>
        <w:spacing w:line="240" w:lineRule="auto"/>
        <w:rPr>
          <w:rFonts w:eastAsia="Verdana" w:cs="Verdana"/>
          <w:sz w:val="20"/>
          <w:szCs w:val="20"/>
        </w:rPr>
      </w:pPr>
    </w:p>
    <w:p w14:paraId="1FC963F7" w14:textId="77777777" w:rsidR="00581B20" w:rsidRPr="0064597D" w:rsidRDefault="00581B20" w:rsidP="00581B20">
      <w:pPr>
        <w:numPr>
          <w:ilvl w:val="0"/>
          <w:numId w:val="1"/>
        </w:numPr>
        <w:tabs>
          <w:tab w:val="left" w:pos="567"/>
        </w:tabs>
        <w:autoSpaceDE w:val="0"/>
        <w:autoSpaceDN w:val="0"/>
        <w:spacing w:line="240" w:lineRule="auto"/>
        <w:ind w:left="0" w:firstLine="0"/>
        <w:rPr>
          <w:rFonts w:eastAsia="Verdana" w:cs="Verdana"/>
          <w:sz w:val="20"/>
          <w:szCs w:val="20"/>
        </w:rPr>
      </w:pPr>
      <w:r w:rsidRPr="0064597D">
        <w:rPr>
          <w:sz w:val="20"/>
          <w:szCs w:val="20"/>
        </w:rPr>
        <w:t>La Corte observa que el 14 de noviembre de 2005 fue encontrado el cadáver del señor Ruiz Fuentes en la Avenida 0 Calle 5ta de la Colonia Monja Blanca de Barberena, Santa Rosa</w:t>
      </w:r>
      <w:r w:rsidRPr="0064597D">
        <w:rPr>
          <w:rStyle w:val="Refdenotaalpie"/>
          <w:sz w:val="20"/>
          <w:szCs w:val="20"/>
        </w:rPr>
        <w:footnoteReference w:id="217"/>
      </w:r>
      <w:r w:rsidRPr="0064597D">
        <w:rPr>
          <w:sz w:val="20"/>
          <w:szCs w:val="20"/>
        </w:rPr>
        <w:t xml:space="preserve">. </w:t>
      </w:r>
      <w:r w:rsidRPr="0064597D">
        <w:rPr>
          <w:rFonts w:eastAsiaTheme="minorHAnsi" w:cs="Arial"/>
          <w:spacing w:val="-2"/>
          <w:sz w:val="20"/>
          <w:szCs w:val="20"/>
        </w:rPr>
        <w:t>Según el acta policial de ese mismo día, el cadáver del señor Ruiz Fuentes tenía una posición decúbito dorsal, con los brazos y piernas estiradas, y los ojos cerrados</w:t>
      </w:r>
      <w:r w:rsidRPr="0064597D">
        <w:rPr>
          <w:rStyle w:val="Refdenotaalpie"/>
          <w:rFonts w:eastAsiaTheme="minorHAnsi" w:cs="Arial"/>
          <w:spacing w:val="-2"/>
          <w:sz w:val="20"/>
          <w:szCs w:val="20"/>
        </w:rPr>
        <w:footnoteReference w:id="218"/>
      </w:r>
      <w:r w:rsidRPr="0064597D">
        <w:rPr>
          <w:rFonts w:eastAsiaTheme="minorHAnsi" w:cs="Arial"/>
          <w:spacing w:val="-2"/>
          <w:sz w:val="20"/>
          <w:szCs w:val="20"/>
        </w:rPr>
        <w:t xml:space="preserve">. </w:t>
      </w:r>
    </w:p>
    <w:p w14:paraId="0C0CC703" w14:textId="77777777" w:rsidR="00581B20" w:rsidRPr="0064597D" w:rsidRDefault="00581B20" w:rsidP="00581B20">
      <w:pPr>
        <w:tabs>
          <w:tab w:val="left" w:pos="567"/>
        </w:tabs>
        <w:autoSpaceDE w:val="0"/>
        <w:autoSpaceDN w:val="0"/>
        <w:spacing w:line="240" w:lineRule="auto"/>
        <w:rPr>
          <w:rFonts w:eastAsia="Verdana" w:cs="Verdana"/>
          <w:sz w:val="20"/>
          <w:szCs w:val="20"/>
        </w:rPr>
      </w:pPr>
    </w:p>
    <w:p w14:paraId="613B6E1E" w14:textId="77777777" w:rsidR="00581B20" w:rsidRPr="0064597D" w:rsidRDefault="00581B20" w:rsidP="00581B20">
      <w:pPr>
        <w:numPr>
          <w:ilvl w:val="0"/>
          <w:numId w:val="1"/>
        </w:numPr>
        <w:tabs>
          <w:tab w:val="left" w:pos="567"/>
        </w:tabs>
        <w:autoSpaceDE w:val="0"/>
        <w:autoSpaceDN w:val="0"/>
        <w:spacing w:line="240" w:lineRule="auto"/>
        <w:ind w:left="0" w:firstLine="0"/>
        <w:rPr>
          <w:rFonts w:eastAsia="Verdana" w:cs="Verdana"/>
          <w:sz w:val="20"/>
          <w:szCs w:val="20"/>
        </w:rPr>
      </w:pPr>
      <w:r w:rsidRPr="0064597D">
        <w:rPr>
          <w:rFonts w:eastAsia="Verdana" w:cs="Verdana"/>
          <w:sz w:val="20"/>
          <w:szCs w:val="20"/>
        </w:rPr>
        <w:t xml:space="preserve">La Corte ha establecido que la eficiente determinación de la verdad en el marco de la obligación de investigar una posible muerte, debe mostrarse desde las primeras diligencias con toda acuciosidad. Ha especificado este Tribunal que las autoridades estatales que conducen una investigación de este tipo deben intentar como mínimo, </w:t>
      </w:r>
      <w:r w:rsidRPr="0064597D">
        <w:rPr>
          <w:rFonts w:eastAsia="Verdana" w:cs="Verdana"/>
          <w:i/>
          <w:sz w:val="20"/>
          <w:szCs w:val="20"/>
        </w:rPr>
        <w:t>inter alia</w:t>
      </w:r>
      <w:r w:rsidRPr="0064597D">
        <w:rPr>
          <w:rFonts w:eastAsia="Verdana" w:cs="Verdana"/>
          <w:sz w:val="20"/>
          <w:szCs w:val="20"/>
        </w:rPr>
        <w:t>: (i) identificar a la víctima; (ii) recuperar y preservar el material probatorio relacionado con la muerte, con el fin de ayudar en cualquier potencial investigación penal de los responsables; (iii) identificar posibles testigos y obtener sus declaraciones en relación con la muerte que se investiga; (iv) determinar la causa, forma, lugar y momento de la muerte, así como cualquier patrón o práctica que pueda haber causado la muerte, y (v) distinguir entre muerte natural, muerte accidental, suicidio y homicidio. Además, es necesario investigar exhaustivamente la escena del delito, se deben realizar autopsias y análisis de restos humanos, en forma rigurosa, por profesionales competentes y empleando los procedimientos más apropiados</w:t>
      </w:r>
      <w:r w:rsidRPr="0064597D">
        <w:rPr>
          <w:rStyle w:val="Refdenotaalpie"/>
          <w:rFonts w:eastAsia="Verdana" w:cs="Verdana"/>
          <w:sz w:val="20"/>
          <w:szCs w:val="20"/>
        </w:rPr>
        <w:footnoteReference w:id="219"/>
      </w:r>
      <w:r w:rsidRPr="0064597D">
        <w:rPr>
          <w:rFonts w:eastAsia="Verdana" w:cs="Verdana"/>
          <w:sz w:val="20"/>
          <w:szCs w:val="20"/>
        </w:rPr>
        <w:t>.</w:t>
      </w:r>
    </w:p>
    <w:p w14:paraId="3FFC5F4C" w14:textId="77777777" w:rsidR="00581B20" w:rsidRPr="0064597D" w:rsidRDefault="00581B20" w:rsidP="00581B20">
      <w:pPr>
        <w:tabs>
          <w:tab w:val="left" w:pos="567"/>
        </w:tabs>
        <w:autoSpaceDE w:val="0"/>
        <w:autoSpaceDN w:val="0"/>
        <w:spacing w:line="240" w:lineRule="auto"/>
        <w:rPr>
          <w:rFonts w:eastAsia="Verdana" w:cs="Verdana"/>
          <w:sz w:val="20"/>
          <w:szCs w:val="20"/>
        </w:rPr>
      </w:pPr>
    </w:p>
    <w:p w14:paraId="4FE0BDC0" w14:textId="66CB2C9C" w:rsidR="00581B20" w:rsidRPr="0064597D" w:rsidRDefault="00581B20" w:rsidP="00581B20">
      <w:pPr>
        <w:numPr>
          <w:ilvl w:val="0"/>
          <w:numId w:val="1"/>
        </w:numPr>
        <w:tabs>
          <w:tab w:val="left" w:pos="567"/>
          <w:tab w:val="num" w:pos="1569"/>
          <w:tab w:val="num" w:pos="12305"/>
        </w:tabs>
        <w:spacing w:line="240" w:lineRule="auto"/>
        <w:ind w:left="0" w:firstLine="0"/>
        <w:rPr>
          <w:rFonts w:eastAsia="Verdana" w:cs="Verdana"/>
          <w:sz w:val="20"/>
          <w:szCs w:val="20"/>
        </w:rPr>
      </w:pPr>
      <w:r w:rsidRPr="0064597D">
        <w:rPr>
          <w:rFonts w:eastAsiaTheme="minorHAnsi" w:cs="Arial"/>
          <w:spacing w:val="-2"/>
          <w:sz w:val="20"/>
          <w:szCs w:val="20"/>
        </w:rPr>
        <w:t xml:space="preserve">La Corte observa, en primer lugar, que la protección, preservación y acordonamiento de la escena del crimen fue deficiente. A este respecto el perito </w:t>
      </w:r>
      <w:r w:rsidRPr="0064597D">
        <w:rPr>
          <w:sz w:val="20"/>
          <w:szCs w:val="20"/>
        </w:rPr>
        <w:t xml:space="preserve">Carranza Izquierdo destacó que, en vista a las </w:t>
      </w:r>
      <w:r w:rsidRPr="0064597D">
        <w:rPr>
          <w:sz w:val="20"/>
          <w:szCs w:val="20"/>
        </w:rPr>
        <w:lastRenderedPageBreak/>
        <w:t xml:space="preserve">fotografías realizadas por los especialistas de la escena del crimen, se podía observar cómo había “mucho personal del ministerio público, policía nacional civil, bomberos y juzgados adentro del acordonamiento”, lo cual causó una contaminación de la escena del crimen. </w:t>
      </w:r>
      <w:r w:rsidRPr="0064597D">
        <w:rPr>
          <w:rFonts w:eastAsia="Verdana" w:cs="Verdana"/>
          <w:sz w:val="20"/>
          <w:szCs w:val="20"/>
          <w:lang w:val="es-MX"/>
        </w:rPr>
        <w:t>Asimismo, el vídeo y las fotos tomadas por los especialistas, así como el croquis realizado de la escena fueron deficientes en tanto que no se podía determinar exactamente el lugar exacto donde se produjo el hecho. También se destaca el hecho de que al cadáver del señor Ruiz Fuentes no le protegieron las manos con una bolsa de papel manila, y ello pese a tener un arma de fuego en la mano derecha. Lo anterior era necesario para poder realizar las pruebas de absorción atómica para determinar si había residuos de un disparo. También llama la atención la omisión de las autoridades estatales a la hora de embalar la ropa del señor Ruiz Fuentes para realizar las pruebas pertinentes sobre la distancia de los disparos</w:t>
      </w:r>
      <w:r w:rsidRPr="0064597D">
        <w:rPr>
          <w:rStyle w:val="Refdenotaalpie"/>
          <w:rFonts w:eastAsia="Verdana" w:cs="Verdana"/>
          <w:sz w:val="20"/>
          <w:szCs w:val="20"/>
          <w:lang w:val="es-MX"/>
        </w:rPr>
        <w:footnoteReference w:id="220"/>
      </w:r>
      <w:r w:rsidRPr="0064597D">
        <w:rPr>
          <w:rFonts w:eastAsia="Verdana" w:cs="Verdana"/>
          <w:sz w:val="20"/>
          <w:szCs w:val="20"/>
          <w:lang w:val="es-MX"/>
        </w:rPr>
        <w:t>. En ese sentido, este Tribunal, a la luz de los artículos 8.1 y 25.1 de la Convención Americana, ha indicado que en aras de garantizar la efectividad de la investigación, se debe evitar omisiones en la recaudación de prueba y en el seguimiento de líneas lógicas de investigación. Cuando los hechos se refieren a la muerte violenta de una persona, la investigación iniciada debe ser conducida de tal forma que pudiese garantizar el debido análisis de las hipótesis de autoría surgidas a raíz de la misma</w:t>
      </w:r>
      <w:r w:rsidRPr="0064597D">
        <w:rPr>
          <w:rStyle w:val="Refdenotaalpie"/>
          <w:rFonts w:eastAsia="Verdana" w:cs="Verdana"/>
          <w:sz w:val="20"/>
          <w:szCs w:val="20"/>
          <w:lang w:val="es-MX"/>
        </w:rPr>
        <w:footnoteReference w:id="221"/>
      </w:r>
      <w:r w:rsidRPr="0064597D">
        <w:rPr>
          <w:rFonts w:eastAsia="Verdana" w:cs="Verdana"/>
          <w:sz w:val="20"/>
          <w:szCs w:val="20"/>
          <w:lang w:val="es-MX"/>
        </w:rPr>
        <w:t>.</w:t>
      </w:r>
    </w:p>
    <w:p w14:paraId="7BDC521A" w14:textId="77777777" w:rsidR="00581B20" w:rsidRPr="0064597D" w:rsidRDefault="00581B20" w:rsidP="00581B20">
      <w:pPr>
        <w:tabs>
          <w:tab w:val="left" w:pos="567"/>
        </w:tabs>
        <w:spacing w:line="240" w:lineRule="auto"/>
        <w:rPr>
          <w:rFonts w:eastAsia="Verdana" w:cs="Verdana"/>
          <w:sz w:val="20"/>
          <w:szCs w:val="20"/>
        </w:rPr>
      </w:pPr>
    </w:p>
    <w:p w14:paraId="4E46AA1A" w14:textId="3DC89ECA" w:rsidR="00581B20" w:rsidRPr="0064597D" w:rsidRDefault="00581B20" w:rsidP="00581B20">
      <w:pPr>
        <w:numPr>
          <w:ilvl w:val="0"/>
          <w:numId w:val="1"/>
        </w:numPr>
        <w:tabs>
          <w:tab w:val="left" w:pos="567"/>
          <w:tab w:val="num" w:pos="1569"/>
          <w:tab w:val="num" w:pos="12305"/>
        </w:tabs>
        <w:spacing w:line="240" w:lineRule="auto"/>
        <w:ind w:left="0" w:firstLine="0"/>
        <w:rPr>
          <w:rFonts w:eastAsia="Verdana" w:cs="Verdana"/>
          <w:sz w:val="20"/>
          <w:szCs w:val="20"/>
        </w:rPr>
      </w:pPr>
      <w:r w:rsidRPr="0064597D">
        <w:rPr>
          <w:sz w:val="20"/>
          <w:szCs w:val="20"/>
        </w:rPr>
        <w:t>En lo que se refiere a la autopsia médico legal realizada el 15 de noviembre de 2005</w:t>
      </w:r>
      <w:r w:rsidRPr="0064597D">
        <w:rPr>
          <w:rStyle w:val="Refdenotaalpie"/>
          <w:sz w:val="20"/>
          <w:szCs w:val="20"/>
        </w:rPr>
        <w:footnoteReference w:id="222"/>
      </w:r>
      <w:r w:rsidRPr="0064597D">
        <w:rPr>
          <w:sz w:val="20"/>
          <w:szCs w:val="20"/>
        </w:rPr>
        <w:t xml:space="preserve">, la Corte observa que la información que la misma contiene –que además abarca una sola página– también es insuficiente. </w:t>
      </w:r>
      <w:r w:rsidRPr="0064597D">
        <w:rPr>
          <w:sz w:val="20"/>
          <w:szCs w:val="20"/>
          <w:lang w:val="es-EC"/>
        </w:rPr>
        <w:t xml:space="preserve">La Corte recuerda que las autopsias tienen como objetivo recolectar, como mínimo, información para identificar a la persona muerta, la hora, fecha, causa y forma de la muerte. </w:t>
      </w:r>
      <w:r w:rsidRPr="0064597D">
        <w:rPr>
          <w:bCs/>
          <w:sz w:val="20"/>
          <w:szCs w:val="20"/>
          <w:lang w:val="es-EC"/>
        </w:rPr>
        <w:t xml:space="preserve">Estas deben respetar ciertas formalidades básicas, como indicar la fecha y hora de inicio y finalización, así como el lugar donde se realiza y el nombre del funcionario que la ejecuta. Asimismo, se debe, </w:t>
      </w:r>
      <w:r w:rsidRPr="0064597D">
        <w:rPr>
          <w:bCs/>
          <w:i/>
          <w:sz w:val="20"/>
          <w:szCs w:val="20"/>
          <w:lang w:val="es-EC"/>
        </w:rPr>
        <w:t>inter alia</w:t>
      </w:r>
      <w:r w:rsidRPr="0064597D">
        <w:rPr>
          <w:bCs/>
          <w:sz w:val="20"/>
          <w:szCs w:val="20"/>
          <w:lang w:val="es-EC"/>
        </w:rPr>
        <w:t>, fotografiar adecuadamente el cuerpo; tomar radiografías del cadáver, de su bolsa o envoltorio y después de desvestirlo, documentar toda lesión</w:t>
      </w:r>
      <w:r w:rsidRPr="0064597D">
        <w:rPr>
          <w:rStyle w:val="Refdenotaalpie"/>
          <w:bCs/>
          <w:sz w:val="20"/>
          <w:szCs w:val="20"/>
          <w:lang w:val="es-EC"/>
        </w:rPr>
        <w:footnoteReference w:id="223"/>
      </w:r>
      <w:r w:rsidRPr="0064597D">
        <w:rPr>
          <w:bCs/>
          <w:sz w:val="20"/>
          <w:szCs w:val="20"/>
          <w:lang w:val="es-EC"/>
        </w:rPr>
        <w:t>. En el presente caso, a</w:t>
      </w:r>
      <w:r w:rsidRPr="0064597D">
        <w:rPr>
          <w:sz w:val="20"/>
          <w:szCs w:val="20"/>
        </w:rPr>
        <w:t xml:space="preserve"> título de ejemplo, la Corte destaca que en dicha autopsia: (i) no se tomaron fotografías ni vídeos desde el inicio del reconocimiento externo del cadáver, ni de reconocimiento interno; (ii) no se revisó la ropa, (iii) no se embaló la ropa para realizar pruebas para detectar restos de pólvora en la ropa y (iv) no se hizo referencia a la distancia probable de disparo</w:t>
      </w:r>
      <w:r w:rsidRPr="0064597D">
        <w:rPr>
          <w:rStyle w:val="Refdenotaalpie"/>
          <w:sz w:val="20"/>
          <w:szCs w:val="20"/>
        </w:rPr>
        <w:footnoteReference w:id="224"/>
      </w:r>
      <w:r w:rsidRPr="0064597D">
        <w:rPr>
          <w:sz w:val="20"/>
          <w:szCs w:val="20"/>
        </w:rPr>
        <w:t>.</w:t>
      </w:r>
      <w:r w:rsidR="00DA7F1B">
        <w:rPr>
          <w:sz w:val="20"/>
          <w:szCs w:val="20"/>
        </w:rPr>
        <w:t xml:space="preserve"> L</w:t>
      </w:r>
      <w:r w:rsidRPr="0064597D">
        <w:rPr>
          <w:sz w:val="20"/>
          <w:szCs w:val="20"/>
        </w:rPr>
        <w:t xml:space="preserve">a Corte </w:t>
      </w:r>
      <w:r w:rsidR="00DA7F1B">
        <w:rPr>
          <w:sz w:val="20"/>
          <w:szCs w:val="20"/>
        </w:rPr>
        <w:t xml:space="preserve">también </w:t>
      </w:r>
      <w:r w:rsidRPr="0064597D">
        <w:rPr>
          <w:sz w:val="20"/>
          <w:szCs w:val="20"/>
        </w:rPr>
        <w:t>destaca que no se siguió el protocolo de Naciones Unidas “Protocolo de Minnesota” o “Protocolo modelo para la investigación legal de ejecuciones extralegales, arbitrarias y sumarias”</w:t>
      </w:r>
      <w:r w:rsidRPr="0064597D">
        <w:rPr>
          <w:rStyle w:val="Refdenotaalpie"/>
          <w:sz w:val="20"/>
          <w:szCs w:val="20"/>
        </w:rPr>
        <w:footnoteReference w:id="225"/>
      </w:r>
      <w:r w:rsidRPr="0064597D">
        <w:rPr>
          <w:sz w:val="20"/>
          <w:szCs w:val="20"/>
        </w:rPr>
        <w:t>.</w:t>
      </w:r>
      <w:r w:rsidRPr="0064597D">
        <w:rPr>
          <w:rFonts w:eastAsia="Verdana" w:cs="Verdana"/>
          <w:sz w:val="20"/>
          <w:szCs w:val="20"/>
          <w:lang w:val="es-MX"/>
        </w:rPr>
        <w:t xml:space="preserve"> </w:t>
      </w:r>
    </w:p>
    <w:p w14:paraId="07F88EA0" w14:textId="77777777" w:rsidR="00581B20" w:rsidRPr="0064597D" w:rsidRDefault="00581B20" w:rsidP="00581B20">
      <w:pPr>
        <w:tabs>
          <w:tab w:val="left" w:pos="567"/>
          <w:tab w:val="num" w:pos="12305"/>
        </w:tabs>
        <w:spacing w:line="240" w:lineRule="auto"/>
        <w:rPr>
          <w:rFonts w:eastAsia="Verdana" w:cs="Verdana"/>
          <w:sz w:val="20"/>
          <w:szCs w:val="20"/>
        </w:rPr>
      </w:pPr>
    </w:p>
    <w:p w14:paraId="6584482B" w14:textId="60671A2E" w:rsidR="00581B20" w:rsidRPr="0064597D" w:rsidRDefault="00581B20" w:rsidP="00581B20">
      <w:pPr>
        <w:numPr>
          <w:ilvl w:val="0"/>
          <w:numId w:val="1"/>
        </w:numPr>
        <w:tabs>
          <w:tab w:val="left" w:pos="567"/>
          <w:tab w:val="num" w:pos="1569"/>
          <w:tab w:val="num" w:pos="12305"/>
        </w:tabs>
        <w:spacing w:line="240" w:lineRule="auto"/>
        <w:ind w:left="0" w:firstLine="0"/>
        <w:rPr>
          <w:rFonts w:eastAsia="Calibri"/>
          <w:b/>
          <w:kern w:val="2"/>
          <w:sz w:val="20"/>
          <w:szCs w:val="20"/>
          <w:lang w:eastAsia="en-US"/>
        </w:rPr>
      </w:pPr>
      <w:r w:rsidRPr="0064597D">
        <w:rPr>
          <w:sz w:val="20"/>
          <w:szCs w:val="20"/>
        </w:rPr>
        <w:t>Por otro lado, a este Tribunal llama la atención el hecho de que de la investigación relativa al arma de fuego encontrada en la mano derecha del señor Ruiz Fuentes no se ha podido determinar todavía cómo es posible que dicha arma llegara a manos del señor Ruiz Fuentes. En relación con la toma de declaraciones para esclarecer las circunstancias que rodearon la muerte del señor Ruiz Fuentes, la Corte observa que en el expediente únicamente consta el interrogatorio de tres agentes de la PNC que estuvieron presentes en el lugar de los hechos</w:t>
      </w:r>
      <w:r w:rsidRPr="0064597D">
        <w:rPr>
          <w:rStyle w:val="Refdenotaalpie"/>
          <w:sz w:val="20"/>
          <w:szCs w:val="20"/>
        </w:rPr>
        <w:footnoteReference w:id="226"/>
      </w:r>
      <w:r w:rsidRPr="0064597D">
        <w:rPr>
          <w:sz w:val="20"/>
          <w:szCs w:val="20"/>
        </w:rPr>
        <w:t xml:space="preserve">. Tampoco consta que las autoridades </w:t>
      </w:r>
      <w:r w:rsidRPr="0064597D">
        <w:rPr>
          <w:sz w:val="20"/>
          <w:szCs w:val="20"/>
        </w:rPr>
        <w:lastRenderedPageBreak/>
        <w:t>judiciales tomaran declaración de los testigos que presuntamente presenciaron el evento.</w:t>
      </w:r>
    </w:p>
    <w:p w14:paraId="1ED194BB" w14:textId="77777777" w:rsidR="00581B20" w:rsidRPr="0064597D" w:rsidRDefault="00581B20" w:rsidP="00581B20">
      <w:pPr>
        <w:tabs>
          <w:tab w:val="left" w:pos="567"/>
        </w:tabs>
        <w:spacing w:line="240" w:lineRule="auto"/>
        <w:rPr>
          <w:rFonts w:eastAsia="Calibri"/>
          <w:b/>
          <w:kern w:val="2"/>
          <w:sz w:val="20"/>
          <w:szCs w:val="20"/>
          <w:lang w:eastAsia="en-US"/>
        </w:rPr>
      </w:pPr>
    </w:p>
    <w:p w14:paraId="69438E1E" w14:textId="77777777" w:rsidR="00581B20" w:rsidRPr="0064597D" w:rsidRDefault="00581B20" w:rsidP="00581B20">
      <w:pPr>
        <w:numPr>
          <w:ilvl w:val="0"/>
          <w:numId w:val="1"/>
        </w:numPr>
        <w:tabs>
          <w:tab w:val="left" w:pos="567"/>
          <w:tab w:val="num" w:pos="1569"/>
          <w:tab w:val="num" w:pos="12305"/>
        </w:tabs>
        <w:spacing w:line="240" w:lineRule="auto"/>
        <w:ind w:left="0" w:firstLine="0"/>
        <w:rPr>
          <w:rFonts w:eastAsia="Calibri"/>
          <w:b/>
          <w:kern w:val="2"/>
          <w:sz w:val="20"/>
          <w:szCs w:val="20"/>
          <w:lang w:eastAsia="en-US"/>
        </w:rPr>
      </w:pPr>
      <w:r w:rsidRPr="0064597D">
        <w:rPr>
          <w:sz w:val="20"/>
          <w:szCs w:val="20"/>
        </w:rPr>
        <w:t>Asimismo, l</w:t>
      </w:r>
      <w:r w:rsidRPr="0064597D">
        <w:rPr>
          <w:kern w:val="2"/>
          <w:sz w:val="20"/>
          <w:szCs w:val="20"/>
          <w:lang w:eastAsia="en-US"/>
        </w:rPr>
        <w:t>a Corte destaca que, transcurridos más de 14 años desde la muerte del señor Ruiz Fuentes, la investigación sobre las circunstancias que rodean su muerte continúa abierta.</w:t>
      </w:r>
    </w:p>
    <w:p w14:paraId="5FAFF9FA" w14:textId="77777777" w:rsidR="00581B20" w:rsidRPr="0064597D" w:rsidRDefault="00581B20" w:rsidP="00581B20">
      <w:pPr>
        <w:tabs>
          <w:tab w:val="left" w:pos="567"/>
          <w:tab w:val="num" w:pos="12305"/>
        </w:tabs>
        <w:spacing w:line="240" w:lineRule="auto"/>
        <w:rPr>
          <w:rFonts w:eastAsia="Calibri"/>
          <w:b/>
          <w:kern w:val="2"/>
          <w:sz w:val="20"/>
          <w:szCs w:val="20"/>
          <w:lang w:eastAsia="en-US"/>
        </w:rPr>
      </w:pPr>
    </w:p>
    <w:p w14:paraId="7D15C6EE" w14:textId="77777777" w:rsidR="00581B20" w:rsidRPr="0064597D" w:rsidRDefault="00581B20" w:rsidP="00581B20">
      <w:pPr>
        <w:widowControl/>
        <w:numPr>
          <w:ilvl w:val="0"/>
          <w:numId w:val="1"/>
        </w:numPr>
        <w:tabs>
          <w:tab w:val="left" w:pos="567"/>
        </w:tabs>
        <w:adjustRightInd/>
        <w:spacing w:line="240" w:lineRule="auto"/>
        <w:ind w:left="0" w:firstLine="0"/>
        <w:textAlignment w:val="auto"/>
        <w:rPr>
          <w:sz w:val="20"/>
          <w:szCs w:val="20"/>
        </w:rPr>
      </w:pPr>
      <w:r w:rsidRPr="0064597D">
        <w:rPr>
          <w:rFonts w:eastAsia="Calibri"/>
          <w:kern w:val="2"/>
          <w:sz w:val="20"/>
          <w:szCs w:val="20"/>
          <w:lang w:eastAsia="en-US"/>
        </w:rPr>
        <w:t xml:space="preserve">En consecuencia, </w:t>
      </w:r>
      <w:r w:rsidRPr="0064597D">
        <w:rPr>
          <w:sz w:val="20"/>
          <w:szCs w:val="20"/>
        </w:rPr>
        <w:t xml:space="preserve">en el presente caso, esta Corte considera que el Estado omitió realizar un conjunto de actos de </w:t>
      </w:r>
      <w:r w:rsidRPr="0064597D">
        <w:rPr>
          <w:kern w:val="2"/>
          <w:sz w:val="20"/>
          <w:szCs w:val="20"/>
          <w:lang w:eastAsia="en-US"/>
        </w:rPr>
        <w:t>investigación</w:t>
      </w:r>
      <w:r w:rsidRPr="0064597D">
        <w:rPr>
          <w:sz w:val="20"/>
          <w:szCs w:val="20"/>
        </w:rPr>
        <w:t xml:space="preserve"> idóneos e insustituibles, que resultaron contrarios a “pautas objetivas” en el procesamiento del crimen. La Corte considera que las omisiones ocurridas en la investigación del presente caso han impedido que desde el día de la muerte del señor Ruiz Fuentes hasta la actualidad no se hayan podido esclarecer los hechos ni investigado de manera diligente, juzgado, y en su caso, sancionado a los posibles responsables de los hechos, pese a que han transcurrido desde el inicio de la investigación.</w:t>
      </w:r>
    </w:p>
    <w:p w14:paraId="477D93DE" w14:textId="77777777" w:rsidR="00581B20" w:rsidRPr="0064597D" w:rsidRDefault="00581B20" w:rsidP="00581B20">
      <w:pPr>
        <w:widowControl/>
        <w:tabs>
          <w:tab w:val="left" w:pos="567"/>
        </w:tabs>
        <w:adjustRightInd/>
        <w:spacing w:line="240" w:lineRule="auto"/>
        <w:textAlignment w:val="auto"/>
        <w:rPr>
          <w:rFonts w:eastAsia="Calibri"/>
          <w:b/>
          <w:kern w:val="2"/>
          <w:sz w:val="20"/>
          <w:szCs w:val="20"/>
          <w:lang w:eastAsia="en-US"/>
        </w:rPr>
      </w:pPr>
    </w:p>
    <w:p w14:paraId="379E8BC8" w14:textId="77777777" w:rsidR="00581B20" w:rsidRPr="0064597D" w:rsidRDefault="00581B20" w:rsidP="00581B20">
      <w:pPr>
        <w:widowControl/>
        <w:numPr>
          <w:ilvl w:val="0"/>
          <w:numId w:val="1"/>
        </w:numPr>
        <w:tabs>
          <w:tab w:val="left" w:pos="567"/>
        </w:tabs>
        <w:adjustRightInd/>
        <w:spacing w:line="240" w:lineRule="auto"/>
        <w:ind w:left="0" w:firstLine="0"/>
        <w:textAlignment w:val="auto"/>
        <w:rPr>
          <w:rFonts w:eastAsia="Verdana" w:cs="Verdana"/>
          <w:sz w:val="20"/>
          <w:szCs w:val="20"/>
          <w:lang w:val="es-MX"/>
        </w:rPr>
      </w:pPr>
      <w:r w:rsidRPr="0064597D">
        <w:rPr>
          <w:rFonts w:cs="Arial"/>
          <w:sz w:val="20"/>
          <w:szCs w:val="20"/>
        </w:rPr>
        <w:t xml:space="preserve">Con base en lo expuesto, la Corte concluye que el Estado no actuó con diligencia debida para investigar, juzgar, y en su caso, sancionar a los posibles responsables de la muerte violenta del señor Ruiz Fuentes dentro de un plazo razonable. Por lo que </w:t>
      </w:r>
      <w:r w:rsidRPr="0064597D">
        <w:rPr>
          <w:rFonts w:cs="Verdana"/>
          <w:sz w:val="20"/>
          <w:szCs w:val="20"/>
        </w:rPr>
        <w:t>considera que el Estado violó los artículos 8.1 y 25.1 de la Convención Americana, en relación con el artículo 1.1 del mismo tratado</w:t>
      </w:r>
      <w:r w:rsidRPr="0064597D">
        <w:rPr>
          <w:rFonts w:cs="Arial"/>
          <w:sz w:val="20"/>
          <w:szCs w:val="20"/>
        </w:rPr>
        <w:t>, en perjuicio del señor Hugo Humberto Ruiz Fuentes y su hermana.</w:t>
      </w:r>
    </w:p>
    <w:p w14:paraId="58655338" w14:textId="77777777" w:rsidR="00581B20" w:rsidRPr="0064597D" w:rsidRDefault="00581B20" w:rsidP="00581B20">
      <w:pPr>
        <w:pStyle w:val="Prrafodelista"/>
        <w:autoSpaceDE w:val="0"/>
        <w:autoSpaceDN w:val="0"/>
        <w:spacing w:line="240" w:lineRule="auto"/>
        <w:ind w:left="0"/>
        <w:textAlignment w:val="auto"/>
        <w:rPr>
          <w:rFonts w:cs="Arial"/>
          <w:sz w:val="20"/>
          <w:szCs w:val="20"/>
        </w:rPr>
      </w:pPr>
    </w:p>
    <w:p w14:paraId="773EFA53" w14:textId="4F02F368" w:rsidR="009E4F6C" w:rsidRPr="0064597D" w:rsidRDefault="009E4F6C" w:rsidP="002F4F08">
      <w:pPr>
        <w:pStyle w:val="Ttulo1"/>
        <w:rPr>
          <w:caps w:val="0"/>
          <w:lang w:eastAsia="en-US"/>
        </w:rPr>
      </w:pPr>
      <w:bookmarkStart w:id="83" w:name="_Toc495658690"/>
      <w:bookmarkStart w:id="84" w:name="_Toc514172658"/>
      <w:bookmarkStart w:id="85" w:name="_Toc24014570"/>
      <w:r w:rsidRPr="0064597D">
        <w:rPr>
          <w:lang w:eastAsia="en-US"/>
        </w:rPr>
        <w:t>VI</w:t>
      </w:r>
      <w:r w:rsidR="00EA52BD" w:rsidRPr="0064597D">
        <w:rPr>
          <w:lang w:eastAsia="en-US"/>
        </w:rPr>
        <w:t>I</w:t>
      </w:r>
      <w:r w:rsidRPr="0064597D">
        <w:rPr>
          <w:lang w:eastAsia="en-US"/>
        </w:rPr>
        <w:t>I-</w:t>
      </w:r>
      <w:r w:rsidR="00971496" w:rsidRPr="0064597D">
        <w:rPr>
          <w:lang w:eastAsia="en-US"/>
        </w:rPr>
        <w:t>5</w:t>
      </w:r>
      <w:r w:rsidRPr="0064597D">
        <w:rPr>
          <w:lang w:eastAsia="en-US"/>
        </w:rPr>
        <w:br/>
      </w:r>
      <w:r w:rsidR="00577676" w:rsidRPr="0064597D">
        <w:rPr>
          <w:lang w:eastAsia="en-US"/>
        </w:rPr>
        <w:t>DERECHO</w:t>
      </w:r>
      <w:r w:rsidR="00774CC4" w:rsidRPr="0064597D">
        <w:rPr>
          <w:lang w:eastAsia="en-US"/>
        </w:rPr>
        <w:t xml:space="preserve"> A LA INTEGRIDAD </w:t>
      </w:r>
      <w:r w:rsidR="009D73ED" w:rsidRPr="0064597D">
        <w:rPr>
          <w:lang w:eastAsia="en-US"/>
        </w:rPr>
        <w:t>PERSONAL</w:t>
      </w:r>
      <w:r w:rsidRPr="0064597D">
        <w:rPr>
          <w:lang w:eastAsia="en-US"/>
        </w:rPr>
        <w:t xml:space="preserve"> </w:t>
      </w:r>
      <w:r w:rsidR="004305CD" w:rsidRPr="0064597D">
        <w:rPr>
          <w:lang w:eastAsia="en-US"/>
        </w:rPr>
        <w:t xml:space="preserve">DE LA HERMANA DEL </w:t>
      </w:r>
      <w:r w:rsidR="00162B86" w:rsidRPr="0064597D">
        <w:rPr>
          <w:lang w:eastAsia="en-US"/>
        </w:rPr>
        <w:t>SEÑOR R</w:t>
      </w:r>
      <w:r w:rsidR="004305CD" w:rsidRPr="0064597D">
        <w:rPr>
          <w:lang w:eastAsia="en-US"/>
        </w:rPr>
        <w:t>UIZ FUENTES</w:t>
      </w:r>
      <w:bookmarkEnd w:id="83"/>
      <w:bookmarkEnd w:id="84"/>
      <w:r w:rsidR="001B7763" w:rsidRPr="0064597D">
        <w:rPr>
          <w:rStyle w:val="Refdenotaalpie"/>
          <w:lang w:eastAsia="en-US"/>
        </w:rPr>
        <w:footnoteReference w:id="227"/>
      </w:r>
      <w:bookmarkEnd w:id="85"/>
    </w:p>
    <w:p w14:paraId="461626B5" w14:textId="77777777" w:rsidR="009E4F6C" w:rsidRPr="0064597D" w:rsidRDefault="009E4F6C" w:rsidP="00377181">
      <w:pPr>
        <w:pStyle w:val="Ttulo2"/>
      </w:pPr>
      <w:bookmarkStart w:id="86" w:name="_Toc495658691"/>
      <w:bookmarkStart w:id="87" w:name="_Toc514172659"/>
      <w:bookmarkStart w:id="88" w:name="_Toc24014571"/>
      <w:r w:rsidRPr="0064597D">
        <w:t>A.</w:t>
      </w:r>
      <w:r w:rsidRPr="0064597D">
        <w:tab/>
        <w:t>Argumentos de las partes y de la Comisión</w:t>
      </w:r>
      <w:bookmarkEnd w:id="86"/>
      <w:bookmarkEnd w:id="87"/>
      <w:bookmarkEnd w:id="88"/>
    </w:p>
    <w:p w14:paraId="21B7F369" w14:textId="77777777" w:rsidR="009E4F6C" w:rsidRPr="0064597D" w:rsidRDefault="009E4F6C" w:rsidP="00960A67">
      <w:pPr>
        <w:numPr>
          <w:ilvl w:val="0"/>
          <w:numId w:val="1"/>
        </w:numPr>
        <w:tabs>
          <w:tab w:val="left" w:pos="567"/>
          <w:tab w:val="num" w:pos="12305"/>
        </w:tabs>
        <w:spacing w:line="240" w:lineRule="auto"/>
        <w:ind w:left="0" w:firstLine="0"/>
        <w:rPr>
          <w:sz w:val="20"/>
          <w:szCs w:val="20"/>
        </w:rPr>
      </w:pPr>
      <w:r w:rsidRPr="0064597D">
        <w:rPr>
          <w:sz w:val="20"/>
          <w:szCs w:val="20"/>
        </w:rPr>
        <w:t>La</w:t>
      </w:r>
      <w:r w:rsidRPr="0064597D">
        <w:rPr>
          <w:b/>
          <w:sz w:val="20"/>
          <w:szCs w:val="20"/>
        </w:rPr>
        <w:t xml:space="preserve"> </w:t>
      </w:r>
      <w:r w:rsidRPr="0064597D">
        <w:rPr>
          <w:b/>
          <w:i/>
          <w:sz w:val="20"/>
          <w:szCs w:val="20"/>
        </w:rPr>
        <w:t>Comisión</w:t>
      </w:r>
      <w:r w:rsidRPr="0064597D">
        <w:rPr>
          <w:sz w:val="20"/>
          <w:szCs w:val="20"/>
        </w:rPr>
        <w:t xml:space="preserve"> </w:t>
      </w:r>
      <w:r w:rsidR="00BB3BC1" w:rsidRPr="0064597D">
        <w:rPr>
          <w:sz w:val="20"/>
          <w:szCs w:val="20"/>
        </w:rPr>
        <w:t>no realizó ninguna a</w:t>
      </w:r>
      <w:r w:rsidR="00777EC1" w:rsidRPr="0064597D">
        <w:rPr>
          <w:sz w:val="20"/>
          <w:szCs w:val="20"/>
        </w:rPr>
        <w:t>legación específica al respecto.</w:t>
      </w:r>
    </w:p>
    <w:p w14:paraId="2901D857" w14:textId="77777777" w:rsidR="00960A67" w:rsidRPr="0064597D" w:rsidRDefault="00960A67" w:rsidP="00960A67">
      <w:pPr>
        <w:tabs>
          <w:tab w:val="left" w:pos="567"/>
        </w:tabs>
        <w:spacing w:line="240" w:lineRule="auto"/>
        <w:rPr>
          <w:sz w:val="20"/>
          <w:szCs w:val="20"/>
        </w:rPr>
      </w:pPr>
    </w:p>
    <w:p w14:paraId="46D5493D" w14:textId="31B9908E" w:rsidR="009E4F6C" w:rsidRPr="0064597D" w:rsidRDefault="002269FD" w:rsidP="00960A67">
      <w:pPr>
        <w:numPr>
          <w:ilvl w:val="0"/>
          <w:numId w:val="1"/>
        </w:numPr>
        <w:tabs>
          <w:tab w:val="left" w:pos="567"/>
          <w:tab w:val="num" w:pos="12305"/>
        </w:tabs>
        <w:spacing w:line="240" w:lineRule="auto"/>
        <w:ind w:left="0" w:firstLine="0"/>
        <w:rPr>
          <w:sz w:val="20"/>
          <w:szCs w:val="20"/>
        </w:rPr>
      </w:pPr>
      <w:r w:rsidRPr="0064597D">
        <w:rPr>
          <w:sz w:val="20"/>
          <w:szCs w:val="20"/>
        </w:rPr>
        <w:t xml:space="preserve">Las </w:t>
      </w:r>
      <w:r w:rsidRPr="0064597D">
        <w:rPr>
          <w:b/>
          <w:i/>
          <w:sz w:val="20"/>
          <w:szCs w:val="20"/>
        </w:rPr>
        <w:t>representantes</w:t>
      </w:r>
      <w:r w:rsidR="00740290" w:rsidRPr="0064597D">
        <w:rPr>
          <w:sz w:val="20"/>
          <w:szCs w:val="20"/>
        </w:rPr>
        <w:t xml:space="preserve"> se refirieron a las afectaciones que padecieron </w:t>
      </w:r>
      <w:r w:rsidR="004305CD" w:rsidRPr="0064597D">
        <w:rPr>
          <w:sz w:val="20"/>
          <w:szCs w:val="20"/>
        </w:rPr>
        <w:t>la</w:t>
      </w:r>
      <w:r w:rsidR="00740290" w:rsidRPr="0064597D">
        <w:rPr>
          <w:sz w:val="20"/>
          <w:szCs w:val="20"/>
        </w:rPr>
        <w:t xml:space="preserve"> hermana del señor Ruiz Fuentes; </w:t>
      </w:r>
      <w:r w:rsidR="00512F82" w:rsidRPr="0064597D">
        <w:rPr>
          <w:sz w:val="20"/>
          <w:szCs w:val="20"/>
        </w:rPr>
        <w:t>W.E.R.F.</w:t>
      </w:r>
      <w:r w:rsidR="00740290" w:rsidRPr="0064597D">
        <w:rPr>
          <w:sz w:val="20"/>
          <w:szCs w:val="20"/>
        </w:rPr>
        <w:t xml:space="preserve">, su hija y </w:t>
      </w:r>
      <w:r w:rsidR="000F7AD4" w:rsidRPr="0064597D">
        <w:rPr>
          <w:sz w:val="20"/>
          <w:szCs w:val="20"/>
        </w:rPr>
        <w:t>A.M.V.</w:t>
      </w:r>
      <w:r w:rsidR="00740290" w:rsidRPr="0064597D">
        <w:rPr>
          <w:sz w:val="20"/>
          <w:szCs w:val="20"/>
        </w:rPr>
        <w:t>, su conviviente. Indicaron que cuando el señor Ruiz Fuentes estuvo ingresado en el hospital para ser intervenido quirúrgicamente, tanto su hermana como su pareja estuvieron visitándole y encargándose de sus cuidados. Ellas fueron testigo, no sólo de la severidad de las lesiones, sino también de cómo el personal de la PNC e incluso el Jefe del SIC visitaron al señor Ruiz Fuentes para tratar de convencerle de que</w:t>
      </w:r>
      <w:r w:rsidR="001B4B25" w:rsidRPr="0064597D">
        <w:rPr>
          <w:sz w:val="20"/>
          <w:szCs w:val="20"/>
        </w:rPr>
        <w:t xml:space="preserve"> no</w:t>
      </w:r>
      <w:r w:rsidR="00740290" w:rsidRPr="0064597D">
        <w:rPr>
          <w:sz w:val="20"/>
          <w:szCs w:val="20"/>
        </w:rPr>
        <w:t xml:space="preserve"> denunciase los hechos. Lo anterior les causó angustia y temor. </w:t>
      </w:r>
      <w:r w:rsidRPr="0064597D">
        <w:rPr>
          <w:sz w:val="20"/>
          <w:szCs w:val="20"/>
        </w:rPr>
        <w:t>Las representantes</w:t>
      </w:r>
      <w:r w:rsidR="00740290" w:rsidRPr="0064597D">
        <w:rPr>
          <w:sz w:val="20"/>
          <w:szCs w:val="20"/>
        </w:rPr>
        <w:t xml:space="preserve"> señalaron además que los familiares del señor Ruiz Fuentes padecieron graves sufrimientos psicológicos provenientes de la angustia generada por </w:t>
      </w:r>
      <w:r w:rsidR="00781D88" w:rsidRPr="0064597D">
        <w:rPr>
          <w:sz w:val="20"/>
          <w:szCs w:val="20"/>
        </w:rPr>
        <w:t xml:space="preserve">saber que el señor Ruiz Fuentes permanecía en el corredor de la muerte sometido a condiciones carcelarias extremas, ante la incertidumbre de una posible ejecución. Por otro lado, </w:t>
      </w:r>
      <w:r w:rsidRPr="0064597D">
        <w:rPr>
          <w:sz w:val="20"/>
          <w:szCs w:val="20"/>
        </w:rPr>
        <w:t>las representantes</w:t>
      </w:r>
      <w:r w:rsidR="00781D88" w:rsidRPr="0064597D">
        <w:rPr>
          <w:sz w:val="20"/>
          <w:szCs w:val="20"/>
        </w:rPr>
        <w:t xml:space="preserve"> indicaron que la ejecución del señor Ruiz Fuentes les causó un profundo sufrimiento. A lo anterior se añade el hecho de que la ejecución extrajudicial permanece a día de hoy en la impunidad. Por último, </w:t>
      </w:r>
      <w:r w:rsidR="002961B3" w:rsidRPr="0064597D">
        <w:rPr>
          <w:sz w:val="20"/>
          <w:szCs w:val="20"/>
        </w:rPr>
        <w:t>las representantes</w:t>
      </w:r>
      <w:r w:rsidR="00781D88" w:rsidRPr="0064597D">
        <w:rPr>
          <w:sz w:val="20"/>
          <w:szCs w:val="20"/>
        </w:rPr>
        <w:t xml:space="preserve"> adujeron que el involucramiento de los familiares en el impulso del proceso interno provocó que ellas mismas fueran víctimas de amenazas e intimidaciones, lo cual llevó incluso a que </w:t>
      </w:r>
      <w:r w:rsidR="004305CD" w:rsidRPr="0064597D">
        <w:rPr>
          <w:sz w:val="20"/>
          <w:szCs w:val="20"/>
        </w:rPr>
        <w:t xml:space="preserve">la hermana del señor Ruiz Fuentes </w:t>
      </w:r>
      <w:r w:rsidR="00781D88" w:rsidRPr="0064597D">
        <w:rPr>
          <w:sz w:val="20"/>
          <w:szCs w:val="20"/>
        </w:rPr>
        <w:t xml:space="preserve">tuviera que trasladarse a vivir fuera de Guatemala, lo cual alteró profundamente su proyecto de vida. </w:t>
      </w:r>
    </w:p>
    <w:p w14:paraId="7F677582" w14:textId="77777777" w:rsidR="00213907" w:rsidRPr="0064597D" w:rsidRDefault="00213907" w:rsidP="00213907">
      <w:pPr>
        <w:tabs>
          <w:tab w:val="left" w:pos="567"/>
        </w:tabs>
        <w:spacing w:line="240" w:lineRule="auto"/>
        <w:rPr>
          <w:sz w:val="20"/>
          <w:szCs w:val="20"/>
        </w:rPr>
      </w:pPr>
    </w:p>
    <w:p w14:paraId="3F13FFF3" w14:textId="614BACBC" w:rsidR="009E4F6C" w:rsidRPr="0064597D" w:rsidRDefault="009E4F6C" w:rsidP="00960A67">
      <w:pPr>
        <w:numPr>
          <w:ilvl w:val="0"/>
          <w:numId w:val="1"/>
        </w:numPr>
        <w:tabs>
          <w:tab w:val="left" w:pos="567"/>
          <w:tab w:val="num" w:pos="12305"/>
        </w:tabs>
        <w:spacing w:line="240" w:lineRule="auto"/>
        <w:ind w:left="0" w:firstLine="0"/>
        <w:rPr>
          <w:sz w:val="20"/>
          <w:szCs w:val="20"/>
        </w:rPr>
      </w:pPr>
      <w:r w:rsidRPr="0064597D">
        <w:rPr>
          <w:sz w:val="20"/>
          <w:szCs w:val="20"/>
        </w:rPr>
        <w:t>El</w:t>
      </w:r>
      <w:r w:rsidRPr="0064597D">
        <w:rPr>
          <w:b/>
          <w:sz w:val="20"/>
          <w:szCs w:val="20"/>
        </w:rPr>
        <w:t xml:space="preserve"> </w:t>
      </w:r>
      <w:r w:rsidRPr="0064597D">
        <w:rPr>
          <w:b/>
          <w:i/>
          <w:sz w:val="20"/>
          <w:szCs w:val="20"/>
        </w:rPr>
        <w:t>Estado</w:t>
      </w:r>
      <w:r w:rsidRPr="0064597D">
        <w:rPr>
          <w:sz w:val="20"/>
          <w:szCs w:val="20"/>
        </w:rPr>
        <w:t xml:space="preserve"> </w:t>
      </w:r>
      <w:r w:rsidR="00577676" w:rsidRPr="0064597D">
        <w:rPr>
          <w:sz w:val="20"/>
          <w:szCs w:val="20"/>
        </w:rPr>
        <w:t>manifestó que, si bien no duda de la afectación y</w:t>
      </w:r>
      <w:r w:rsidR="00DB0443" w:rsidRPr="0064597D">
        <w:rPr>
          <w:sz w:val="20"/>
          <w:szCs w:val="20"/>
        </w:rPr>
        <w:t xml:space="preserve"> </w:t>
      </w:r>
      <w:r w:rsidR="00577676" w:rsidRPr="0064597D">
        <w:rPr>
          <w:sz w:val="20"/>
          <w:szCs w:val="20"/>
        </w:rPr>
        <w:t>sufrimiento vivido por los familiares del señor Ruiz Fuentes, dicho sufrimiento y/o padecimiento fueron a consecuencia de los actos ilícitos cometidos por el señor Ruiz Fuentes, de lo cual el Estado carece de responsabilidad alguna. El Estado además negó que se hubiera hostigado a los familiares del señor Ruiz Fuentes al ejercer su derecho a presentar las denuncias que consideren pertinentes ante los órganos correspondientes.</w:t>
      </w:r>
      <w:r w:rsidR="00577676" w:rsidRPr="0064597D">
        <w:rPr>
          <w:b/>
          <w:sz w:val="20"/>
          <w:szCs w:val="20"/>
        </w:rPr>
        <w:t xml:space="preserve"> </w:t>
      </w:r>
    </w:p>
    <w:p w14:paraId="58E825D8" w14:textId="77777777" w:rsidR="009E4F6C" w:rsidRPr="0064597D" w:rsidRDefault="009E4F6C" w:rsidP="00377181">
      <w:pPr>
        <w:pStyle w:val="Ttulo2"/>
      </w:pPr>
      <w:bookmarkStart w:id="89" w:name="_Toc495658692"/>
      <w:bookmarkStart w:id="90" w:name="_Toc514172660"/>
      <w:bookmarkStart w:id="91" w:name="_Toc24014572"/>
      <w:r w:rsidRPr="0064597D">
        <w:lastRenderedPageBreak/>
        <w:t>B.</w:t>
      </w:r>
      <w:r w:rsidRPr="0064597D">
        <w:tab/>
        <w:t>Consideraciones de la Corte</w:t>
      </w:r>
      <w:bookmarkEnd w:id="89"/>
      <w:bookmarkEnd w:id="90"/>
      <w:bookmarkEnd w:id="91"/>
    </w:p>
    <w:p w14:paraId="7D1B90FD" w14:textId="77777777" w:rsidR="009E4F6C" w:rsidRPr="0064597D" w:rsidRDefault="009E4F6C" w:rsidP="00A518F8">
      <w:pPr>
        <w:numPr>
          <w:ilvl w:val="0"/>
          <w:numId w:val="1"/>
        </w:numPr>
        <w:tabs>
          <w:tab w:val="left" w:pos="567"/>
          <w:tab w:val="num" w:pos="12305"/>
        </w:tabs>
        <w:spacing w:line="240" w:lineRule="auto"/>
        <w:ind w:left="0" w:firstLine="0"/>
        <w:rPr>
          <w:rFonts w:eastAsiaTheme="minorHAnsi" w:cstheme="minorBidi"/>
          <w:sz w:val="20"/>
          <w:szCs w:val="20"/>
          <w:lang w:eastAsia="en-US"/>
        </w:rPr>
      </w:pPr>
      <w:bookmarkStart w:id="92" w:name="_Ref462932771"/>
      <w:r w:rsidRPr="0064597D">
        <w:rPr>
          <w:rFonts w:eastAsiaTheme="minorHAnsi" w:cstheme="minorBidi"/>
          <w:sz w:val="20"/>
          <w:szCs w:val="20"/>
          <w:lang w:eastAsia="en-US"/>
        </w:rPr>
        <w:t xml:space="preserve">La Corte ha afirmado, en reiteradas oportunidades, que los familiares de las víctimas de </w:t>
      </w:r>
      <w:r w:rsidRPr="0064597D">
        <w:rPr>
          <w:sz w:val="20"/>
          <w:szCs w:val="20"/>
        </w:rPr>
        <w:t>violaciones</w:t>
      </w:r>
      <w:r w:rsidRPr="0064597D">
        <w:rPr>
          <w:rFonts w:eastAsiaTheme="minorHAnsi" w:cstheme="minorBidi"/>
          <w:sz w:val="20"/>
          <w:szCs w:val="20"/>
          <w:lang w:eastAsia="en-US"/>
        </w:rPr>
        <w:t xml:space="preserve"> de los derechos humanos pueden ser, a su vez, víctimas</w:t>
      </w:r>
      <w:r w:rsidRPr="0064597D">
        <w:rPr>
          <w:rFonts w:eastAsiaTheme="minorHAnsi" w:cstheme="minorBidi"/>
          <w:sz w:val="20"/>
          <w:szCs w:val="20"/>
          <w:vertAlign w:val="superscript"/>
          <w:lang w:eastAsia="en-US"/>
        </w:rPr>
        <w:footnoteReference w:id="228"/>
      </w:r>
      <w:r w:rsidRPr="0064597D">
        <w:rPr>
          <w:rFonts w:eastAsiaTheme="minorHAnsi" w:cstheme="minorBidi"/>
          <w:sz w:val="20"/>
          <w:szCs w:val="20"/>
          <w:lang w:eastAsia="en-US"/>
        </w:rPr>
        <w:t xml:space="preserve">. Este Tribunal ha </w:t>
      </w:r>
      <w:r w:rsidRPr="0064597D">
        <w:rPr>
          <w:sz w:val="20"/>
          <w:szCs w:val="20"/>
        </w:rPr>
        <w:t>considerado</w:t>
      </w:r>
      <w:r w:rsidRPr="0064597D">
        <w:rPr>
          <w:rFonts w:eastAsiaTheme="minorHAnsi" w:cstheme="minorBidi"/>
          <w:sz w:val="20"/>
          <w:szCs w:val="20"/>
          <w:lang w:eastAsia="en-US"/>
        </w:rPr>
        <w:t xml:space="preserve"> que se puede declarar violado el derecho a la integridad psíquica y moral de “familiares directos” u otras personas con vínculos estrechos con las víctimas con motivo del sufrimiento adicional que aquéllos han padecido como producto de las circunstancias particulares de las violaciones perpetradas contra sus seres queridos, y a causa de las posteriores actuaciones u omisiones de las autoridades estatales frente a estos hechos</w:t>
      </w:r>
      <w:r w:rsidRPr="0064597D">
        <w:rPr>
          <w:rFonts w:eastAsiaTheme="minorHAnsi" w:cstheme="minorBidi"/>
          <w:sz w:val="20"/>
          <w:szCs w:val="20"/>
          <w:vertAlign w:val="superscript"/>
          <w:lang w:eastAsia="en-US"/>
        </w:rPr>
        <w:footnoteReference w:id="229"/>
      </w:r>
      <w:r w:rsidRPr="0064597D">
        <w:rPr>
          <w:rFonts w:eastAsiaTheme="minorHAnsi" w:cstheme="minorBidi"/>
          <w:sz w:val="20"/>
          <w:szCs w:val="20"/>
          <w:lang w:eastAsia="en-US"/>
        </w:rPr>
        <w:t>, tomando en cuenta, entre otros elementos, las gestiones realizadas para obtener justicia y la existencia de un estrecho vínculo familiar</w:t>
      </w:r>
      <w:r w:rsidRPr="0064597D">
        <w:rPr>
          <w:rFonts w:eastAsiaTheme="minorHAnsi" w:cstheme="minorBidi"/>
          <w:sz w:val="20"/>
          <w:szCs w:val="20"/>
          <w:vertAlign w:val="superscript"/>
          <w:lang w:eastAsia="en-US"/>
        </w:rPr>
        <w:footnoteReference w:id="230"/>
      </w:r>
      <w:r w:rsidRPr="0064597D">
        <w:rPr>
          <w:rFonts w:eastAsiaTheme="minorHAnsi" w:cstheme="minorBidi"/>
          <w:sz w:val="20"/>
          <w:szCs w:val="20"/>
          <w:lang w:eastAsia="en-US"/>
        </w:rPr>
        <w:t>.</w:t>
      </w:r>
    </w:p>
    <w:bookmarkEnd w:id="92"/>
    <w:p w14:paraId="259639F7" w14:textId="77777777" w:rsidR="009E4F6C" w:rsidRPr="0064597D" w:rsidRDefault="009E4F6C" w:rsidP="009E4F6C">
      <w:pPr>
        <w:tabs>
          <w:tab w:val="left" w:pos="567"/>
        </w:tabs>
        <w:spacing w:line="240" w:lineRule="auto"/>
        <w:rPr>
          <w:rFonts w:eastAsia="MS Mincho"/>
          <w:spacing w:val="-2"/>
          <w:sz w:val="20"/>
          <w:szCs w:val="20"/>
        </w:rPr>
      </w:pPr>
    </w:p>
    <w:p w14:paraId="0F3A7C8B" w14:textId="677CAEC5" w:rsidR="009134ED" w:rsidRPr="0064597D" w:rsidRDefault="009E4F6C" w:rsidP="00213907">
      <w:pPr>
        <w:numPr>
          <w:ilvl w:val="0"/>
          <w:numId w:val="1"/>
        </w:numPr>
        <w:tabs>
          <w:tab w:val="left" w:pos="567"/>
          <w:tab w:val="num" w:pos="12305"/>
        </w:tabs>
        <w:spacing w:line="240" w:lineRule="auto"/>
        <w:ind w:left="0" w:firstLine="0"/>
        <w:rPr>
          <w:sz w:val="20"/>
          <w:szCs w:val="20"/>
        </w:rPr>
      </w:pPr>
      <w:r w:rsidRPr="0064597D">
        <w:rPr>
          <w:rFonts w:eastAsia="MS Mincho"/>
          <w:spacing w:val="-2"/>
          <w:sz w:val="20"/>
          <w:szCs w:val="20"/>
        </w:rPr>
        <w:t xml:space="preserve">La Corte nota que </w:t>
      </w:r>
      <w:r w:rsidR="009134ED" w:rsidRPr="0064597D">
        <w:rPr>
          <w:rFonts w:eastAsia="MS Mincho"/>
          <w:spacing w:val="-2"/>
          <w:sz w:val="20"/>
          <w:szCs w:val="20"/>
        </w:rPr>
        <w:t xml:space="preserve">la </w:t>
      </w:r>
      <w:r w:rsidR="001B4B25" w:rsidRPr="0064597D">
        <w:rPr>
          <w:rFonts w:eastAsia="MS Mincho"/>
          <w:spacing w:val="-2"/>
          <w:sz w:val="20"/>
          <w:szCs w:val="20"/>
        </w:rPr>
        <w:t>hermana del señor</w:t>
      </w:r>
      <w:r w:rsidR="009134ED" w:rsidRPr="0064597D">
        <w:rPr>
          <w:rFonts w:eastAsia="MS Mincho"/>
          <w:spacing w:val="-2"/>
          <w:sz w:val="20"/>
          <w:szCs w:val="20"/>
        </w:rPr>
        <w:t xml:space="preserve"> Ruiz Fuentes declaró lo siguiente</w:t>
      </w:r>
      <w:r w:rsidR="00E412B5" w:rsidRPr="0064597D">
        <w:rPr>
          <w:rFonts w:eastAsia="MS Mincho"/>
          <w:spacing w:val="-2"/>
          <w:sz w:val="20"/>
          <w:szCs w:val="20"/>
        </w:rPr>
        <w:t xml:space="preserve"> con respecto al momento en el que sentenciaron a su hermano a pena de muerte</w:t>
      </w:r>
      <w:r w:rsidR="009134ED" w:rsidRPr="0064597D">
        <w:rPr>
          <w:rFonts w:eastAsia="MS Mincho"/>
          <w:spacing w:val="-2"/>
          <w:sz w:val="20"/>
          <w:szCs w:val="20"/>
        </w:rPr>
        <w:t>:</w:t>
      </w:r>
    </w:p>
    <w:p w14:paraId="51C8A2BB" w14:textId="77777777" w:rsidR="00E412B5" w:rsidRPr="0064597D" w:rsidRDefault="00E412B5" w:rsidP="00E412B5">
      <w:pPr>
        <w:tabs>
          <w:tab w:val="left" w:pos="567"/>
        </w:tabs>
        <w:spacing w:line="240" w:lineRule="auto"/>
        <w:rPr>
          <w:sz w:val="20"/>
          <w:szCs w:val="20"/>
        </w:rPr>
      </w:pPr>
    </w:p>
    <w:p w14:paraId="1917CFA8" w14:textId="01BA5086" w:rsidR="009E4F6C" w:rsidRPr="0064597D" w:rsidRDefault="00DA7F1B" w:rsidP="00E412B5">
      <w:pPr>
        <w:tabs>
          <w:tab w:val="left" w:pos="567"/>
        </w:tabs>
        <w:spacing w:line="240" w:lineRule="auto"/>
        <w:ind w:left="720" w:right="720"/>
        <w:rPr>
          <w:rFonts w:eastAsia="MS Mincho"/>
          <w:spacing w:val="-2"/>
          <w:sz w:val="18"/>
          <w:szCs w:val="18"/>
        </w:rPr>
      </w:pPr>
      <w:r>
        <w:rPr>
          <w:rFonts w:eastAsia="MS Mincho"/>
          <w:spacing w:val="-2"/>
          <w:sz w:val="18"/>
          <w:szCs w:val="18"/>
        </w:rPr>
        <w:t xml:space="preserve">[…] </w:t>
      </w:r>
      <w:r w:rsidR="009134ED" w:rsidRPr="0064597D">
        <w:rPr>
          <w:rFonts w:eastAsia="MS Mincho"/>
          <w:spacing w:val="-2"/>
          <w:sz w:val="18"/>
          <w:szCs w:val="18"/>
        </w:rPr>
        <w:t>Cuando sentenciaron a la pena de muerte a mi hermano fue muy duro para mí […] Cuando escuché en la sentencia el nombre de mi hermano condenado a pena de muerte, yo dije van</w:t>
      </w:r>
      <w:r w:rsidR="00512F82" w:rsidRPr="0064597D">
        <w:rPr>
          <w:rFonts w:eastAsia="MS Mincho"/>
          <w:spacing w:val="-2"/>
          <w:sz w:val="18"/>
          <w:szCs w:val="18"/>
        </w:rPr>
        <w:t xml:space="preserve"> </w:t>
      </w:r>
      <w:r w:rsidR="009134ED" w:rsidRPr="0064597D">
        <w:rPr>
          <w:rFonts w:eastAsia="MS Mincho"/>
          <w:spacing w:val="-2"/>
          <w:sz w:val="18"/>
          <w:szCs w:val="18"/>
        </w:rPr>
        <w:t>a matar a mi hermano […] y empecé a llorar y me salí a llorar con [mi hija]</w:t>
      </w:r>
      <w:r w:rsidR="00E412B5" w:rsidRPr="0064597D">
        <w:rPr>
          <w:rFonts w:eastAsia="MS Mincho"/>
          <w:spacing w:val="-2"/>
          <w:sz w:val="18"/>
          <w:szCs w:val="18"/>
        </w:rPr>
        <w:t>. Yo recordé la ejecución que habían hecho en Pavón y que la habían pasado por televisión, de dos personas y sentía como un ataque de nervios, pasé toda la noche llorando</w:t>
      </w:r>
      <w:r w:rsidR="00E412B5" w:rsidRPr="0064597D">
        <w:rPr>
          <w:rStyle w:val="Refdenotaalpie"/>
          <w:rFonts w:eastAsia="MS Mincho"/>
          <w:spacing w:val="-2"/>
          <w:sz w:val="18"/>
          <w:szCs w:val="18"/>
        </w:rPr>
        <w:footnoteReference w:id="231"/>
      </w:r>
      <w:r w:rsidR="004D498D" w:rsidRPr="0064597D">
        <w:rPr>
          <w:rFonts w:eastAsia="MS Mincho"/>
          <w:spacing w:val="-2"/>
          <w:sz w:val="18"/>
          <w:szCs w:val="18"/>
        </w:rPr>
        <w:t xml:space="preserve"> </w:t>
      </w:r>
    </w:p>
    <w:p w14:paraId="41860CD7" w14:textId="77777777" w:rsidR="00E412B5" w:rsidRPr="0064597D" w:rsidRDefault="00E412B5" w:rsidP="00E412B5">
      <w:pPr>
        <w:tabs>
          <w:tab w:val="left" w:pos="567"/>
        </w:tabs>
        <w:spacing w:line="240" w:lineRule="auto"/>
        <w:ind w:left="720" w:right="720"/>
        <w:rPr>
          <w:sz w:val="20"/>
          <w:szCs w:val="20"/>
        </w:rPr>
      </w:pPr>
    </w:p>
    <w:p w14:paraId="4EA75F68" w14:textId="010B1073" w:rsidR="00E412B5" w:rsidRPr="0064597D" w:rsidRDefault="00E412B5" w:rsidP="00D71F65">
      <w:pPr>
        <w:numPr>
          <w:ilvl w:val="0"/>
          <w:numId w:val="1"/>
        </w:numPr>
        <w:tabs>
          <w:tab w:val="left" w:pos="567"/>
          <w:tab w:val="num" w:pos="12305"/>
        </w:tabs>
        <w:spacing w:line="240" w:lineRule="auto"/>
        <w:ind w:left="0" w:firstLine="0"/>
        <w:rPr>
          <w:sz w:val="20"/>
          <w:szCs w:val="20"/>
        </w:rPr>
      </w:pPr>
      <w:r w:rsidRPr="0064597D">
        <w:rPr>
          <w:rFonts w:eastAsia="MS Mincho"/>
          <w:spacing w:val="-2"/>
          <w:sz w:val="20"/>
          <w:szCs w:val="20"/>
        </w:rPr>
        <w:t xml:space="preserve">La </w:t>
      </w:r>
      <w:r w:rsidR="001B4B25" w:rsidRPr="0064597D">
        <w:rPr>
          <w:rFonts w:eastAsia="MS Mincho"/>
          <w:spacing w:val="-2"/>
          <w:sz w:val="20"/>
          <w:szCs w:val="20"/>
        </w:rPr>
        <w:t xml:space="preserve">hermana del señor </w:t>
      </w:r>
      <w:r w:rsidRPr="0064597D">
        <w:rPr>
          <w:rFonts w:eastAsia="MS Mincho"/>
          <w:spacing w:val="-2"/>
          <w:sz w:val="20"/>
          <w:szCs w:val="20"/>
        </w:rPr>
        <w:t>Ruiz Fuentes señaló además que los hechos produjeron que se enfermara “de los nervios, y emocionalmente”. Indicó que tuvo parálisis en la mitad de la cara debido al estrés, tal y como le indicó un médico</w:t>
      </w:r>
      <w:r w:rsidRPr="0064597D">
        <w:rPr>
          <w:rStyle w:val="Refdenotaalpie"/>
          <w:rFonts w:eastAsia="MS Mincho"/>
          <w:spacing w:val="-2"/>
          <w:sz w:val="20"/>
          <w:szCs w:val="20"/>
        </w:rPr>
        <w:footnoteReference w:id="232"/>
      </w:r>
      <w:r w:rsidR="003F7C36" w:rsidRPr="0064597D">
        <w:rPr>
          <w:rFonts w:eastAsia="MS Mincho"/>
          <w:spacing w:val="-2"/>
          <w:sz w:val="20"/>
          <w:szCs w:val="20"/>
        </w:rPr>
        <w:t xml:space="preserve">. </w:t>
      </w:r>
      <w:r w:rsidRPr="0064597D">
        <w:rPr>
          <w:rFonts w:eastAsia="MS Mincho"/>
          <w:spacing w:val="-2"/>
          <w:sz w:val="20"/>
          <w:szCs w:val="20"/>
        </w:rPr>
        <w:t>La Corte también destaca el peritaje brindado por el psicólogo Juan Cristóbal Aldana, quien indic</w:t>
      </w:r>
      <w:r w:rsidR="00727880" w:rsidRPr="0064597D">
        <w:rPr>
          <w:rFonts w:eastAsia="MS Mincho"/>
          <w:spacing w:val="-2"/>
          <w:sz w:val="20"/>
          <w:szCs w:val="20"/>
        </w:rPr>
        <w:t xml:space="preserve">ó que la </w:t>
      </w:r>
      <w:r w:rsidR="001B4B25" w:rsidRPr="0064597D">
        <w:rPr>
          <w:rFonts w:eastAsia="MS Mincho"/>
          <w:spacing w:val="-2"/>
          <w:sz w:val="20"/>
          <w:szCs w:val="20"/>
        </w:rPr>
        <w:t xml:space="preserve">hermana del señor </w:t>
      </w:r>
      <w:r w:rsidR="00727880" w:rsidRPr="0064597D">
        <w:rPr>
          <w:rFonts w:eastAsia="MS Mincho"/>
          <w:spacing w:val="-2"/>
          <w:sz w:val="20"/>
          <w:szCs w:val="20"/>
        </w:rPr>
        <w:t xml:space="preserve">Ruiz Fuentes sufría de “fatiga por compasión”, la cual aparece como resultado de proporcionar altos niveles de energía y compasión a los que sufren, y al no ver resultados de mejora del sufrimiento tiende a expresar problemas psicosociales”. Con respecto a los efectos psicosociales de la pena de muerte impuesta a su hermano, el perito indicó que </w:t>
      </w:r>
      <w:r w:rsidR="001B4B25" w:rsidRPr="0064597D">
        <w:rPr>
          <w:rFonts w:eastAsia="MS Mincho"/>
          <w:spacing w:val="-2"/>
          <w:sz w:val="20"/>
          <w:szCs w:val="20"/>
        </w:rPr>
        <w:t xml:space="preserve">la hermana del señor </w:t>
      </w:r>
      <w:r w:rsidR="00727880" w:rsidRPr="0064597D">
        <w:rPr>
          <w:rFonts w:eastAsia="MS Mincho"/>
          <w:spacing w:val="-2"/>
          <w:sz w:val="20"/>
          <w:szCs w:val="20"/>
        </w:rPr>
        <w:t>Ruiz Fue</w:t>
      </w:r>
      <w:r w:rsidR="00EB4024" w:rsidRPr="0064597D">
        <w:rPr>
          <w:rFonts w:eastAsia="MS Mincho"/>
          <w:spacing w:val="-2"/>
          <w:sz w:val="20"/>
          <w:szCs w:val="20"/>
        </w:rPr>
        <w:t>n</w:t>
      </w:r>
      <w:r w:rsidR="00727880" w:rsidRPr="0064597D">
        <w:rPr>
          <w:rFonts w:eastAsia="MS Mincho"/>
          <w:spacing w:val="-2"/>
          <w:sz w:val="20"/>
          <w:szCs w:val="20"/>
        </w:rPr>
        <w:t xml:space="preserve">tes se vio sometida a un síndrome de “generación de esperanza dentro de una situación sin esperanza”, lo cual incluía “distorsiones cognitivas donde al escuchar la sentencia de la pena de muerte […] queda vaciada emocionalmente”. En relación a los efectos que produjo la ejecución extrajudicial de su hermano, el perito indicó que </w:t>
      </w:r>
      <w:r w:rsidR="00512F82" w:rsidRPr="0064597D">
        <w:rPr>
          <w:rFonts w:eastAsia="MS Mincho"/>
          <w:spacing w:val="-2"/>
          <w:sz w:val="20"/>
          <w:szCs w:val="20"/>
        </w:rPr>
        <w:t xml:space="preserve">la </w:t>
      </w:r>
      <w:r w:rsidR="001B4B25" w:rsidRPr="0064597D">
        <w:rPr>
          <w:rFonts w:eastAsia="MS Mincho"/>
          <w:spacing w:val="-2"/>
          <w:sz w:val="20"/>
          <w:szCs w:val="20"/>
        </w:rPr>
        <w:t xml:space="preserve">hermana del señor </w:t>
      </w:r>
      <w:r w:rsidR="00512F82" w:rsidRPr="0064597D">
        <w:rPr>
          <w:rFonts w:eastAsia="MS Mincho"/>
          <w:spacing w:val="-2"/>
          <w:sz w:val="20"/>
          <w:szCs w:val="20"/>
        </w:rPr>
        <w:t xml:space="preserve">Ruiz Fuentes </w:t>
      </w:r>
      <w:r w:rsidR="00727880" w:rsidRPr="0064597D">
        <w:rPr>
          <w:rFonts w:eastAsia="MS Mincho"/>
          <w:spacing w:val="-2"/>
          <w:sz w:val="20"/>
          <w:szCs w:val="20"/>
        </w:rPr>
        <w:t>quedó sometida a un “traum</w:t>
      </w:r>
      <w:r w:rsidR="00512F82" w:rsidRPr="0064597D">
        <w:rPr>
          <w:rFonts w:eastAsia="MS Mincho"/>
          <w:spacing w:val="-2"/>
          <w:sz w:val="20"/>
          <w:szCs w:val="20"/>
        </w:rPr>
        <w:t>a</w:t>
      </w:r>
      <w:r w:rsidR="00727880" w:rsidRPr="0064597D">
        <w:rPr>
          <w:rFonts w:eastAsia="MS Mincho"/>
          <w:spacing w:val="-2"/>
          <w:sz w:val="20"/>
          <w:szCs w:val="20"/>
        </w:rPr>
        <w:t xml:space="preserve"> vicario manifestando una fuerte traumatización, pues mantuvo una relación interpersonal (emocional-afectiva), intersubjetiva (identificación con el dolor) y interemocional (altos niveles de estrés) por lo que su hermano vivió desde su detención hasta su muerte”. </w:t>
      </w:r>
      <w:r w:rsidR="00EB4024" w:rsidRPr="0064597D">
        <w:rPr>
          <w:rFonts w:eastAsia="MS Mincho"/>
          <w:spacing w:val="-2"/>
          <w:sz w:val="20"/>
          <w:szCs w:val="20"/>
        </w:rPr>
        <w:t xml:space="preserve">El perito concluyó que </w:t>
      </w:r>
      <w:r w:rsidR="001B4B25" w:rsidRPr="0064597D">
        <w:rPr>
          <w:rFonts w:eastAsia="MS Mincho"/>
          <w:spacing w:val="-2"/>
          <w:sz w:val="20"/>
          <w:szCs w:val="20"/>
        </w:rPr>
        <w:t xml:space="preserve">la hermana del señor </w:t>
      </w:r>
      <w:r w:rsidR="00EB4024" w:rsidRPr="0064597D">
        <w:rPr>
          <w:rFonts w:eastAsia="MS Mincho"/>
          <w:spacing w:val="-2"/>
          <w:sz w:val="20"/>
          <w:szCs w:val="20"/>
        </w:rPr>
        <w:t xml:space="preserve">Ruiz Fuentes </w:t>
      </w:r>
      <w:r w:rsidR="00512F82" w:rsidRPr="0064597D">
        <w:rPr>
          <w:rFonts w:eastAsia="MS Mincho"/>
          <w:spacing w:val="-2"/>
          <w:sz w:val="20"/>
          <w:szCs w:val="20"/>
        </w:rPr>
        <w:t>sufre</w:t>
      </w:r>
      <w:r w:rsidR="00EB4024" w:rsidRPr="0064597D">
        <w:rPr>
          <w:rFonts w:eastAsia="MS Mincho"/>
          <w:spacing w:val="-2"/>
          <w:sz w:val="20"/>
          <w:szCs w:val="20"/>
        </w:rPr>
        <w:t xml:space="preserve"> un “desgaste emocional […] que posiblemente sea un detonante de una depresión en su vida de adulto mayor”</w:t>
      </w:r>
      <w:r w:rsidR="00EB4024" w:rsidRPr="0064597D">
        <w:rPr>
          <w:rStyle w:val="Refdenotaalpie"/>
          <w:rFonts w:eastAsia="MS Mincho"/>
          <w:spacing w:val="-2"/>
          <w:sz w:val="20"/>
          <w:szCs w:val="20"/>
        </w:rPr>
        <w:footnoteReference w:id="233"/>
      </w:r>
      <w:r w:rsidR="00EB4024" w:rsidRPr="0064597D">
        <w:rPr>
          <w:rFonts w:eastAsia="MS Mincho"/>
          <w:spacing w:val="-2"/>
          <w:sz w:val="20"/>
          <w:szCs w:val="20"/>
        </w:rPr>
        <w:t>.</w:t>
      </w:r>
    </w:p>
    <w:p w14:paraId="060407AE" w14:textId="77777777" w:rsidR="00727880" w:rsidRPr="0064597D" w:rsidRDefault="00727880" w:rsidP="00727880">
      <w:pPr>
        <w:tabs>
          <w:tab w:val="left" w:pos="567"/>
        </w:tabs>
        <w:spacing w:line="240" w:lineRule="auto"/>
        <w:rPr>
          <w:sz w:val="20"/>
          <w:szCs w:val="20"/>
        </w:rPr>
      </w:pPr>
    </w:p>
    <w:p w14:paraId="63A74B17" w14:textId="53C924F5" w:rsidR="004E3F95" w:rsidRPr="0064597D" w:rsidRDefault="00CA44FC" w:rsidP="00A54911">
      <w:pPr>
        <w:numPr>
          <w:ilvl w:val="0"/>
          <w:numId w:val="1"/>
        </w:numPr>
        <w:tabs>
          <w:tab w:val="left" w:pos="567"/>
          <w:tab w:val="num" w:pos="12305"/>
        </w:tabs>
        <w:spacing w:line="240" w:lineRule="auto"/>
        <w:ind w:left="0" w:firstLine="0"/>
        <w:rPr>
          <w:rFonts w:cs="Arial"/>
          <w:sz w:val="20"/>
          <w:szCs w:val="20"/>
        </w:rPr>
      </w:pPr>
      <w:r w:rsidRPr="0064597D">
        <w:rPr>
          <w:sz w:val="20"/>
          <w:szCs w:val="20"/>
          <w:lang w:val="es-ES" w:eastAsia="es-ES_tradnl"/>
        </w:rPr>
        <w:t xml:space="preserve">Por consiguiente, </w:t>
      </w:r>
      <w:r w:rsidR="001C042E" w:rsidRPr="0064597D">
        <w:rPr>
          <w:sz w:val="20"/>
          <w:szCs w:val="20"/>
          <w:lang w:val="es-ES" w:eastAsia="es-ES_tradnl"/>
        </w:rPr>
        <w:t xml:space="preserve">en vista de la prueba e información aportada al expediente, </w:t>
      </w:r>
      <w:r w:rsidRPr="0064597D">
        <w:rPr>
          <w:sz w:val="20"/>
          <w:szCs w:val="20"/>
          <w:lang w:val="es-ES" w:eastAsia="es-ES_tradnl"/>
        </w:rPr>
        <w:t xml:space="preserve">este Tribunal </w:t>
      </w:r>
      <w:r w:rsidRPr="0064597D">
        <w:rPr>
          <w:sz w:val="20"/>
          <w:szCs w:val="20"/>
        </w:rPr>
        <w:t>considera</w:t>
      </w:r>
      <w:r w:rsidRPr="0064597D">
        <w:rPr>
          <w:sz w:val="20"/>
          <w:szCs w:val="20"/>
          <w:lang w:val="es-ES" w:eastAsia="es-ES_tradnl"/>
        </w:rPr>
        <w:t xml:space="preserve"> que, como consecuencia directa </w:t>
      </w:r>
      <w:r w:rsidRPr="0064597D">
        <w:rPr>
          <w:sz w:val="20"/>
          <w:szCs w:val="20"/>
        </w:rPr>
        <w:t>de</w:t>
      </w:r>
      <w:r w:rsidR="001B4B25" w:rsidRPr="0064597D">
        <w:rPr>
          <w:sz w:val="20"/>
          <w:szCs w:val="20"/>
        </w:rPr>
        <w:t>:</w:t>
      </w:r>
      <w:r w:rsidR="006603F9" w:rsidRPr="0064597D">
        <w:rPr>
          <w:sz w:val="20"/>
          <w:szCs w:val="20"/>
          <w:lang w:val="es-ES" w:eastAsia="es-ES_tradnl"/>
        </w:rPr>
        <w:t xml:space="preserve"> </w:t>
      </w:r>
      <w:r w:rsidR="00546083" w:rsidRPr="0064597D">
        <w:rPr>
          <w:sz w:val="20"/>
          <w:szCs w:val="20"/>
          <w:lang w:val="es-ES" w:eastAsia="es-ES_tradnl"/>
        </w:rPr>
        <w:t xml:space="preserve">(i) </w:t>
      </w:r>
      <w:r w:rsidR="006603F9" w:rsidRPr="0064597D">
        <w:rPr>
          <w:sz w:val="20"/>
          <w:szCs w:val="20"/>
          <w:lang w:val="es-ES" w:eastAsia="es-ES_tradnl"/>
        </w:rPr>
        <w:t>las torturas sufridas por su hermano</w:t>
      </w:r>
      <w:r w:rsidR="001228C1" w:rsidRPr="0064597D">
        <w:rPr>
          <w:sz w:val="20"/>
          <w:szCs w:val="20"/>
          <w:lang w:val="es-ES" w:eastAsia="es-ES_tradnl"/>
        </w:rPr>
        <w:t xml:space="preserve"> el </w:t>
      </w:r>
      <w:r w:rsidR="00546083" w:rsidRPr="0064597D">
        <w:rPr>
          <w:sz w:val="20"/>
          <w:szCs w:val="20"/>
          <w:lang w:val="es-ES" w:eastAsia="es-ES_tradnl"/>
        </w:rPr>
        <w:t xml:space="preserve">día de su detención el </w:t>
      </w:r>
      <w:r w:rsidR="003F7C36" w:rsidRPr="0064597D">
        <w:rPr>
          <w:sz w:val="20"/>
          <w:szCs w:val="20"/>
          <w:lang w:val="es-ES" w:eastAsia="es-ES_tradnl"/>
        </w:rPr>
        <w:t>6</w:t>
      </w:r>
      <w:r w:rsidR="001228C1" w:rsidRPr="0064597D">
        <w:rPr>
          <w:sz w:val="20"/>
          <w:szCs w:val="20"/>
          <w:lang w:val="es-ES" w:eastAsia="es-ES_tradnl"/>
        </w:rPr>
        <w:t xml:space="preserve"> de </w:t>
      </w:r>
      <w:r w:rsidR="003F7C36" w:rsidRPr="0064597D">
        <w:rPr>
          <w:sz w:val="20"/>
          <w:szCs w:val="20"/>
          <w:lang w:val="es-ES" w:eastAsia="es-ES_tradnl"/>
        </w:rPr>
        <w:t>agosto</w:t>
      </w:r>
      <w:r w:rsidR="001228C1" w:rsidRPr="0064597D">
        <w:rPr>
          <w:sz w:val="20"/>
          <w:szCs w:val="20"/>
          <w:lang w:val="es-ES" w:eastAsia="es-ES_tradnl"/>
        </w:rPr>
        <w:t xml:space="preserve"> de 1997, así como las ulteriores secuelas;</w:t>
      </w:r>
      <w:r w:rsidR="006603F9" w:rsidRPr="0064597D">
        <w:rPr>
          <w:sz w:val="20"/>
          <w:szCs w:val="20"/>
          <w:lang w:val="es-ES" w:eastAsia="es-ES_tradnl"/>
        </w:rPr>
        <w:t xml:space="preserve"> </w:t>
      </w:r>
      <w:r w:rsidR="00546083" w:rsidRPr="0064597D">
        <w:rPr>
          <w:sz w:val="20"/>
          <w:szCs w:val="20"/>
          <w:lang w:val="es-ES" w:eastAsia="es-ES_tradnl"/>
        </w:rPr>
        <w:t xml:space="preserve">(ii) </w:t>
      </w:r>
      <w:r w:rsidR="006603F9" w:rsidRPr="0064597D">
        <w:rPr>
          <w:sz w:val="20"/>
          <w:szCs w:val="20"/>
          <w:lang w:val="es-ES" w:eastAsia="es-ES_tradnl"/>
        </w:rPr>
        <w:t>la imposición de la pena de muerte</w:t>
      </w:r>
      <w:r w:rsidR="00523392" w:rsidRPr="0064597D">
        <w:rPr>
          <w:sz w:val="20"/>
          <w:szCs w:val="20"/>
          <w:lang w:val="es-ES" w:eastAsia="es-ES_tradnl"/>
        </w:rPr>
        <w:t>;</w:t>
      </w:r>
      <w:r w:rsidR="006603F9" w:rsidRPr="0064597D">
        <w:rPr>
          <w:sz w:val="20"/>
          <w:szCs w:val="20"/>
          <w:lang w:val="es-ES" w:eastAsia="es-ES_tradnl"/>
        </w:rPr>
        <w:t xml:space="preserve"> </w:t>
      </w:r>
      <w:r w:rsidR="00546083" w:rsidRPr="0064597D">
        <w:rPr>
          <w:sz w:val="20"/>
          <w:szCs w:val="20"/>
          <w:lang w:val="es-ES" w:eastAsia="es-ES_tradnl"/>
        </w:rPr>
        <w:t xml:space="preserve">(iii) </w:t>
      </w:r>
      <w:r w:rsidR="001228C1" w:rsidRPr="0064597D">
        <w:rPr>
          <w:sz w:val="20"/>
          <w:szCs w:val="20"/>
          <w:lang w:val="es-ES" w:eastAsia="es-ES_tradnl"/>
        </w:rPr>
        <w:t>la</w:t>
      </w:r>
      <w:r w:rsidR="006603F9" w:rsidRPr="0064597D">
        <w:rPr>
          <w:sz w:val="20"/>
          <w:szCs w:val="20"/>
          <w:lang w:val="es-ES" w:eastAsia="es-ES_tradnl"/>
        </w:rPr>
        <w:t xml:space="preserve"> posterior ejecución extrajudicial</w:t>
      </w:r>
      <w:r w:rsidR="00523392" w:rsidRPr="0064597D">
        <w:rPr>
          <w:sz w:val="20"/>
          <w:szCs w:val="20"/>
          <w:lang w:val="es-ES" w:eastAsia="es-ES_tradnl"/>
        </w:rPr>
        <w:t>,</w:t>
      </w:r>
      <w:r w:rsidR="001228C1" w:rsidRPr="0064597D">
        <w:rPr>
          <w:sz w:val="20"/>
          <w:szCs w:val="20"/>
          <w:lang w:val="es-ES" w:eastAsia="es-ES_tradnl"/>
        </w:rPr>
        <w:t xml:space="preserve"> y </w:t>
      </w:r>
      <w:r w:rsidR="00546083" w:rsidRPr="0064597D">
        <w:rPr>
          <w:sz w:val="20"/>
          <w:szCs w:val="20"/>
          <w:lang w:val="es-ES" w:eastAsia="es-ES_tradnl"/>
        </w:rPr>
        <w:t xml:space="preserve">(iv) </w:t>
      </w:r>
      <w:r w:rsidR="001228C1" w:rsidRPr="0064597D">
        <w:rPr>
          <w:sz w:val="20"/>
          <w:szCs w:val="20"/>
          <w:lang w:val="es-ES" w:eastAsia="es-ES_tradnl"/>
        </w:rPr>
        <w:t>la ausencia de investigación de los hechos por parte de las autoridades estatales</w:t>
      </w:r>
      <w:r w:rsidR="006603F9" w:rsidRPr="0064597D">
        <w:rPr>
          <w:sz w:val="20"/>
          <w:szCs w:val="20"/>
          <w:lang w:val="es-ES" w:eastAsia="es-ES_tradnl"/>
        </w:rPr>
        <w:t>,</w:t>
      </w:r>
      <w:r w:rsidRPr="0064597D">
        <w:rPr>
          <w:lang w:val="es-ES" w:eastAsia="es-ES_tradnl"/>
        </w:rPr>
        <w:t xml:space="preserve"> </w:t>
      </w:r>
      <w:r w:rsidR="001C042E" w:rsidRPr="0064597D">
        <w:rPr>
          <w:sz w:val="20"/>
          <w:szCs w:val="20"/>
        </w:rPr>
        <w:t xml:space="preserve">la </w:t>
      </w:r>
      <w:r w:rsidR="001B4B25" w:rsidRPr="0064597D">
        <w:rPr>
          <w:sz w:val="20"/>
          <w:szCs w:val="20"/>
        </w:rPr>
        <w:t>hermana del señor</w:t>
      </w:r>
      <w:r w:rsidR="001C042E" w:rsidRPr="0064597D">
        <w:rPr>
          <w:sz w:val="20"/>
          <w:szCs w:val="20"/>
        </w:rPr>
        <w:t xml:space="preserve"> Ruiz Fuentes padeció un profundo sufrimiento y angustia en detrimento de su integridad </w:t>
      </w:r>
      <w:r w:rsidR="00512F82" w:rsidRPr="0064597D">
        <w:rPr>
          <w:sz w:val="20"/>
          <w:szCs w:val="20"/>
        </w:rPr>
        <w:t>psíquica</w:t>
      </w:r>
      <w:r w:rsidR="001C042E" w:rsidRPr="0064597D">
        <w:rPr>
          <w:sz w:val="20"/>
          <w:szCs w:val="20"/>
        </w:rPr>
        <w:t xml:space="preserve"> y moral. En consecuencia, la Corte concluye que el Estado violó el derecho a la integridad personal establecido en el </w:t>
      </w:r>
      <w:r w:rsidR="00512F82" w:rsidRPr="0064597D">
        <w:rPr>
          <w:sz w:val="20"/>
          <w:szCs w:val="20"/>
        </w:rPr>
        <w:t>artículo</w:t>
      </w:r>
      <w:r w:rsidR="001C042E" w:rsidRPr="0064597D">
        <w:rPr>
          <w:sz w:val="20"/>
          <w:szCs w:val="20"/>
        </w:rPr>
        <w:t xml:space="preserve"> 5.1 de la </w:t>
      </w:r>
      <w:r w:rsidR="00512F82" w:rsidRPr="0064597D">
        <w:rPr>
          <w:sz w:val="20"/>
          <w:szCs w:val="20"/>
        </w:rPr>
        <w:t>Convención</w:t>
      </w:r>
      <w:r w:rsidR="001C042E" w:rsidRPr="0064597D">
        <w:rPr>
          <w:sz w:val="20"/>
          <w:szCs w:val="20"/>
        </w:rPr>
        <w:t xml:space="preserve"> Americana, en </w:t>
      </w:r>
      <w:r w:rsidR="00512F82" w:rsidRPr="0064597D">
        <w:rPr>
          <w:sz w:val="20"/>
          <w:szCs w:val="20"/>
        </w:rPr>
        <w:t>relación</w:t>
      </w:r>
      <w:r w:rsidR="001C042E" w:rsidRPr="0064597D">
        <w:rPr>
          <w:sz w:val="20"/>
          <w:szCs w:val="20"/>
        </w:rPr>
        <w:t xml:space="preserve"> con el </w:t>
      </w:r>
      <w:r w:rsidR="00512F82" w:rsidRPr="0064597D">
        <w:rPr>
          <w:sz w:val="20"/>
          <w:szCs w:val="20"/>
        </w:rPr>
        <w:t>artículo</w:t>
      </w:r>
      <w:r w:rsidR="001C042E" w:rsidRPr="0064597D">
        <w:rPr>
          <w:sz w:val="20"/>
          <w:szCs w:val="20"/>
        </w:rPr>
        <w:t xml:space="preserve"> 1.1 del mismo instrumento.</w:t>
      </w:r>
    </w:p>
    <w:p w14:paraId="73597AC2" w14:textId="77777777" w:rsidR="00A74874" w:rsidRPr="0064597D" w:rsidRDefault="00413443" w:rsidP="00A74874">
      <w:pPr>
        <w:pStyle w:val="Ttulo1"/>
      </w:pPr>
      <w:bookmarkStart w:id="93" w:name="_Toc24014573"/>
      <w:bookmarkStart w:id="94" w:name="_Toc514172661"/>
      <w:bookmarkStart w:id="95" w:name="_Toc375517149"/>
      <w:bookmarkStart w:id="96" w:name="_Toc449460763"/>
      <w:bookmarkStart w:id="97" w:name="_Toc459158147"/>
      <w:bookmarkStart w:id="98" w:name="_Toc495658693"/>
      <w:bookmarkStart w:id="99" w:name="_Toc15933770"/>
      <w:r w:rsidRPr="0064597D">
        <w:lastRenderedPageBreak/>
        <w:t>IX</w:t>
      </w:r>
      <w:r w:rsidRPr="0064597D">
        <w:br/>
        <w:t>REPARACIONES</w:t>
      </w:r>
      <w:bookmarkEnd w:id="93"/>
    </w:p>
    <w:bookmarkEnd w:id="94"/>
    <w:bookmarkEnd w:id="95"/>
    <w:bookmarkEnd w:id="96"/>
    <w:bookmarkEnd w:id="97"/>
    <w:bookmarkEnd w:id="98"/>
    <w:bookmarkEnd w:id="99"/>
    <w:p w14:paraId="2B4F932D" w14:textId="00EC35BA" w:rsidR="00413443" w:rsidRPr="0064597D" w:rsidRDefault="00413443" w:rsidP="00A74874">
      <w:pPr>
        <w:numPr>
          <w:ilvl w:val="0"/>
          <w:numId w:val="1"/>
        </w:numPr>
        <w:tabs>
          <w:tab w:val="left" w:pos="567"/>
          <w:tab w:val="num" w:pos="5057"/>
        </w:tabs>
        <w:spacing w:line="240" w:lineRule="auto"/>
        <w:ind w:left="0" w:firstLine="0"/>
        <w:textAlignment w:val="auto"/>
        <w:rPr>
          <w:bCs/>
          <w:sz w:val="20"/>
          <w:szCs w:val="20"/>
          <w:lang w:bidi="en-US"/>
        </w:rPr>
      </w:pPr>
      <w:r w:rsidRPr="0064597D">
        <w:rPr>
          <w:bCs/>
          <w:sz w:val="20"/>
          <w:szCs w:val="20"/>
          <w:lang w:bidi="en-US"/>
        </w:rPr>
        <w:t>Sobre la base de lo dispuesto en el artículo 63.1 de la Convención Americana</w:t>
      </w:r>
      <w:r w:rsidRPr="0064597D">
        <w:rPr>
          <w:bCs/>
          <w:sz w:val="20"/>
          <w:szCs w:val="20"/>
          <w:vertAlign w:val="superscript"/>
          <w:lang w:bidi="en-US"/>
        </w:rPr>
        <w:footnoteReference w:id="234"/>
      </w:r>
      <w:r w:rsidRPr="0064597D">
        <w:rPr>
          <w:bCs/>
          <w:sz w:val="20"/>
          <w:szCs w:val="20"/>
          <w:lang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4597D">
        <w:rPr>
          <w:bCs/>
          <w:sz w:val="20"/>
          <w:szCs w:val="20"/>
          <w:vertAlign w:val="superscript"/>
          <w:lang w:bidi="en-US"/>
        </w:rPr>
        <w:footnoteReference w:id="235"/>
      </w:r>
      <w:r w:rsidRPr="0064597D">
        <w:rPr>
          <w:bCs/>
          <w:sz w:val="20"/>
          <w:szCs w:val="20"/>
          <w:lang w:bidi="en-US"/>
        </w:rPr>
        <w:t>.</w:t>
      </w:r>
    </w:p>
    <w:p w14:paraId="26CDFC44" w14:textId="77777777" w:rsidR="00413443" w:rsidRPr="0064597D" w:rsidRDefault="00413443" w:rsidP="00413443">
      <w:pPr>
        <w:autoSpaceDE w:val="0"/>
        <w:autoSpaceDN w:val="0"/>
        <w:spacing w:line="240" w:lineRule="auto"/>
        <w:rPr>
          <w:rFonts w:cs="Verdana"/>
          <w:sz w:val="20"/>
          <w:szCs w:val="20"/>
        </w:rPr>
      </w:pPr>
    </w:p>
    <w:p w14:paraId="47538B27" w14:textId="77777777" w:rsidR="00413443" w:rsidRPr="0064597D" w:rsidRDefault="00413443" w:rsidP="00413443">
      <w:pPr>
        <w:numPr>
          <w:ilvl w:val="0"/>
          <w:numId w:val="1"/>
        </w:numPr>
        <w:tabs>
          <w:tab w:val="left" w:pos="567"/>
          <w:tab w:val="num" w:pos="5057"/>
        </w:tabs>
        <w:spacing w:line="240" w:lineRule="auto"/>
        <w:ind w:left="0" w:firstLine="0"/>
        <w:textAlignment w:val="auto"/>
        <w:rPr>
          <w:sz w:val="20"/>
          <w:szCs w:val="20"/>
          <w:lang w:bidi="en-US"/>
        </w:rPr>
      </w:pPr>
      <w:r w:rsidRPr="0064597D">
        <w:rPr>
          <w:bCs/>
          <w:sz w:val="20"/>
          <w:szCs w:val="20"/>
          <w:lang w:bidi="en-US"/>
        </w:rPr>
        <w:t xml:space="preserve">La </w:t>
      </w:r>
      <w:r w:rsidRPr="0064597D">
        <w:rPr>
          <w:sz w:val="20"/>
          <w:szCs w:val="20"/>
          <w:lang w:eastAsia="es-ES" w:bidi="en-US"/>
        </w:rPr>
        <w:t>reparación</w:t>
      </w:r>
      <w:r w:rsidRPr="0064597D">
        <w:rPr>
          <w:bCs/>
          <w:sz w:val="20"/>
          <w:szCs w:val="20"/>
          <w:lang w:bidi="en-US"/>
        </w:rPr>
        <w:t xml:space="preserve"> del daño ocasionado por la infracción de una obligación internacional requiere, siempre que sea posible, la plena restitución (</w:t>
      </w:r>
      <w:r w:rsidRPr="0064597D">
        <w:rPr>
          <w:bCs/>
          <w:i/>
          <w:sz w:val="20"/>
          <w:szCs w:val="20"/>
          <w:lang w:bidi="en-US"/>
        </w:rPr>
        <w:t>restitutio in integrum</w:t>
      </w:r>
      <w:r w:rsidRPr="0064597D">
        <w:rPr>
          <w:bCs/>
          <w:sz w:val="20"/>
          <w:szCs w:val="20"/>
          <w:lang w:bidi="en-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64597D">
        <w:rPr>
          <w:sz w:val="20"/>
          <w:szCs w:val="20"/>
          <w:vertAlign w:val="superscript"/>
          <w:lang w:bidi="en-US"/>
        </w:rPr>
        <w:footnoteReference w:id="236"/>
      </w:r>
      <w:r w:rsidRPr="0064597D">
        <w:rPr>
          <w:bCs/>
          <w:sz w:val="20"/>
          <w:szCs w:val="20"/>
          <w:lang w:bidi="en-US"/>
        </w:rPr>
        <w:t xml:space="preserve">. Por tanto, </w:t>
      </w:r>
      <w:r w:rsidRPr="0064597D">
        <w:rPr>
          <w:sz w:val="20"/>
          <w:szCs w:val="20"/>
          <w:lang w:bidi="en-US"/>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64597D">
        <w:rPr>
          <w:sz w:val="20"/>
          <w:szCs w:val="20"/>
          <w:vertAlign w:val="superscript"/>
          <w:lang w:bidi="en-US"/>
        </w:rPr>
        <w:footnoteReference w:id="237"/>
      </w:r>
      <w:r w:rsidRPr="0064597D">
        <w:rPr>
          <w:sz w:val="20"/>
          <w:szCs w:val="20"/>
          <w:lang w:bidi="en-US"/>
        </w:rPr>
        <w:t>.</w:t>
      </w:r>
    </w:p>
    <w:p w14:paraId="6B0E37D3" w14:textId="77777777" w:rsidR="00413443" w:rsidRPr="0064597D" w:rsidRDefault="00413443" w:rsidP="00413443">
      <w:pPr>
        <w:autoSpaceDE w:val="0"/>
        <w:autoSpaceDN w:val="0"/>
        <w:spacing w:line="240" w:lineRule="auto"/>
        <w:rPr>
          <w:rFonts w:cs="Verdana"/>
          <w:sz w:val="20"/>
          <w:szCs w:val="20"/>
        </w:rPr>
      </w:pPr>
    </w:p>
    <w:p w14:paraId="1B807FA2" w14:textId="77777777" w:rsidR="00413443" w:rsidRPr="0064597D" w:rsidRDefault="00413443" w:rsidP="00413443">
      <w:pPr>
        <w:numPr>
          <w:ilvl w:val="0"/>
          <w:numId w:val="1"/>
        </w:numPr>
        <w:tabs>
          <w:tab w:val="left" w:pos="567"/>
          <w:tab w:val="num" w:pos="12305"/>
        </w:tabs>
        <w:spacing w:line="240" w:lineRule="auto"/>
        <w:ind w:left="0" w:firstLine="0"/>
        <w:textAlignment w:val="auto"/>
        <w:rPr>
          <w:sz w:val="20"/>
          <w:szCs w:val="20"/>
        </w:rPr>
      </w:pPr>
      <w:r w:rsidRPr="0064597D">
        <w:rPr>
          <w:sz w:val="20"/>
          <w:szCs w:val="20"/>
          <w:lang w:bidi="en-US"/>
        </w:rPr>
        <w:t xml:space="preserve">La </w:t>
      </w:r>
      <w:r w:rsidRPr="0064597D">
        <w:rPr>
          <w:bCs/>
          <w:sz w:val="20"/>
          <w:szCs w:val="20"/>
          <w:lang w:bidi="en-US"/>
        </w:rPr>
        <w:t>Corte</w:t>
      </w:r>
      <w:r w:rsidRPr="0064597D">
        <w:rPr>
          <w:sz w:val="20"/>
          <w:szCs w:val="20"/>
          <w:lang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64597D">
        <w:rPr>
          <w:sz w:val="20"/>
          <w:szCs w:val="20"/>
          <w:vertAlign w:val="superscript"/>
          <w:lang w:bidi="en-US"/>
        </w:rPr>
        <w:footnoteReference w:id="238"/>
      </w:r>
      <w:r w:rsidRPr="0064597D">
        <w:rPr>
          <w:sz w:val="20"/>
          <w:szCs w:val="20"/>
          <w:lang w:bidi="en-US"/>
        </w:rPr>
        <w:t xml:space="preserve">. </w:t>
      </w:r>
      <w:r w:rsidRPr="0064597D">
        <w:rPr>
          <w:sz w:val="20"/>
          <w:szCs w:val="20"/>
        </w:rPr>
        <w:t>Asimismo, la Corte estima que las reparaciones deberán incluir un análisis que contemple no sólo el derecho de la víctima a obtener una reparación, sino que, además, incorpore una perspectiva de género, tanto en su formulación como en su implementación</w:t>
      </w:r>
      <w:r w:rsidRPr="0064597D">
        <w:rPr>
          <w:rStyle w:val="Refdenotaalpie"/>
          <w:sz w:val="20"/>
          <w:szCs w:val="20"/>
        </w:rPr>
        <w:footnoteReference w:id="239"/>
      </w:r>
      <w:r w:rsidRPr="0064597D">
        <w:rPr>
          <w:sz w:val="20"/>
          <w:szCs w:val="20"/>
        </w:rPr>
        <w:t>.</w:t>
      </w:r>
    </w:p>
    <w:p w14:paraId="2BAD2592" w14:textId="77777777" w:rsidR="00413443" w:rsidRPr="0064597D" w:rsidRDefault="00413443" w:rsidP="00413443">
      <w:pPr>
        <w:tabs>
          <w:tab w:val="left" w:pos="567"/>
        </w:tabs>
        <w:spacing w:line="240" w:lineRule="auto"/>
        <w:rPr>
          <w:sz w:val="20"/>
          <w:szCs w:val="20"/>
          <w:lang w:bidi="en-US"/>
        </w:rPr>
      </w:pPr>
    </w:p>
    <w:p w14:paraId="575517CC" w14:textId="17625E26" w:rsidR="00413443" w:rsidRPr="0064597D" w:rsidRDefault="00413443" w:rsidP="00413443">
      <w:pPr>
        <w:numPr>
          <w:ilvl w:val="0"/>
          <w:numId w:val="1"/>
        </w:numPr>
        <w:tabs>
          <w:tab w:val="left" w:pos="567"/>
          <w:tab w:val="num" w:pos="5057"/>
        </w:tabs>
        <w:spacing w:line="240" w:lineRule="auto"/>
        <w:ind w:left="0" w:firstLine="0"/>
        <w:textAlignment w:val="auto"/>
        <w:rPr>
          <w:sz w:val="20"/>
          <w:szCs w:val="20"/>
          <w:lang w:bidi="en-US"/>
        </w:rPr>
      </w:pPr>
      <w:r w:rsidRPr="0064597D">
        <w:rPr>
          <w:sz w:val="20"/>
          <w:szCs w:val="20"/>
        </w:rPr>
        <w:t>Tomando en cuenta las violaciones a la Convención Americana declaradas en los capítulos anteriores, a la luz de los criterios fijados en la jurisprudencia del Tribunal en relación con la naturaleza y alcances de la obligación de reparar</w:t>
      </w:r>
      <w:r w:rsidRPr="0064597D">
        <w:rPr>
          <w:rFonts w:eastAsia="Calibri"/>
          <w:sz w:val="20"/>
          <w:szCs w:val="20"/>
          <w:vertAlign w:val="superscript"/>
        </w:rPr>
        <w:footnoteReference w:id="240"/>
      </w:r>
      <w:r w:rsidRPr="0064597D">
        <w:rPr>
          <w:sz w:val="20"/>
          <w:szCs w:val="20"/>
        </w:rPr>
        <w:t>, la Corte analizará las pretensiones presentadas por la Comisión y las representantes, así como los argumentos del Estado al respecto, con el objeto de disponer a continuación las medidas tendientes a reparar dichas violaciones.</w:t>
      </w:r>
    </w:p>
    <w:p w14:paraId="772303D3" w14:textId="4A4BFDA9" w:rsidR="00072585" w:rsidRPr="0064597D" w:rsidRDefault="00072585" w:rsidP="00072585">
      <w:pPr>
        <w:pStyle w:val="Ttulo2"/>
      </w:pPr>
      <w:bookmarkStart w:id="100" w:name="_Toc24014574"/>
      <w:bookmarkStart w:id="101" w:name="_Toc15933771"/>
      <w:r w:rsidRPr="0064597D">
        <w:t>A.</w:t>
      </w:r>
      <w:r w:rsidRPr="0064597D">
        <w:tab/>
        <w:t>Parte lesionada</w:t>
      </w:r>
      <w:bookmarkEnd w:id="100"/>
    </w:p>
    <w:bookmarkEnd w:id="101"/>
    <w:p w14:paraId="27209663" w14:textId="4DD257AC" w:rsidR="00413443" w:rsidRPr="0064597D" w:rsidRDefault="00413443" w:rsidP="00537AAE">
      <w:pPr>
        <w:numPr>
          <w:ilvl w:val="0"/>
          <w:numId w:val="1"/>
        </w:numPr>
        <w:tabs>
          <w:tab w:val="left" w:pos="567"/>
          <w:tab w:val="num" w:pos="5057"/>
        </w:tabs>
        <w:spacing w:line="240" w:lineRule="auto"/>
        <w:ind w:left="0" w:firstLine="0"/>
        <w:textAlignment w:val="auto"/>
        <w:rPr>
          <w:sz w:val="20"/>
          <w:szCs w:val="20"/>
          <w:lang w:val="es-ES" w:eastAsia="es-ES_tradnl"/>
        </w:rPr>
      </w:pPr>
      <w:r w:rsidRPr="0064597D">
        <w:rPr>
          <w:sz w:val="20"/>
          <w:szCs w:val="20"/>
          <w:lang w:val="es-ES" w:eastAsia="es-ES_tradnl"/>
        </w:rPr>
        <w:t xml:space="preserve">Este Tribunal considera parte lesionada, en los términos del artículo 63.1 de la </w:t>
      </w:r>
      <w:r w:rsidRPr="0064597D">
        <w:rPr>
          <w:sz w:val="20"/>
          <w:szCs w:val="20"/>
        </w:rPr>
        <w:t>Convención</w:t>
      </w:r>
      <w:r w:rsidRPr="0064597D">
        <w:rPr>
          <w:sz w:val="20"/>
          <w:szCs w:val="20"/>
          <w:lang w:val="es-ES" w:eastAsia="es-ES_tradnl"/>
        </w:rPr>
        <w:t xml:space="preserve">, a </w:t>
      </w:r>
      <w:r w:rsidRPr="0064597D">
        <w:rPr>
          <w:sz w:val="20"/>
          <w:szCs w:val="20"/>
          <w:lang w:eastAsia="es-ES" w:bidi="en-US"/>
        </w:rPr>
        <w:t>quienes</w:t>
      </w:r>
      <w:r w:rsidRPr="0064597D">
        <w:rPr>
          <w:sz w:val="20"/>
          <w:szCs w:val="20"/>
          <w:lang w:val="es-ES" w:eastAsia="es-ES_tradnl"/>
        </w:rPr>
        <w:t xml:space="preserve"> han sido </w:t>
      </w:r>
      <w:r w:rsidRPr="0064597D">
        <w:rPr>
          <w:sz w:val="20"/>
          <w:szCs w:val="20"/>
          <w:lang w:eastAsia="es-ES" w:bidi="en-US"/>
        </w:rPr>
        <w:t>declaradas</w:t>
      </w:r>
      <w:r w:rsidRPr="0064597D">
        <w:rPr>
          <w:sz w:val="20"/>
          <w:szCs w:val="20"/>
          <w:lang w:val="es-ES" w:eastAsia="es-ES_tradnl"/>
        </w:rPr>
        <w:t xml:space="preserve"> víctimas de la violación de algún derecho reconocido en la misma. Por lo tanto, esta Corte considera como “parte lesionada” al señor Hugo Humberto Ruiz Fuentes y a su hermana</w:t>
      </w:r>
      <w:r w:rsidR="004305CD" w:rsidRPr="0064597D">
        <w:rPr>
          <w:sz w:val="20"/>
          <w:szCs w:val="20"/>
          <w:lang w:val="es-ES" w:eastAsia="es-ES_tradnl"/>
        </w:rPr>
        <w:t>,</w:t>
      </w:r>
      <w:r w:rsidR="00A13065" w:rsidRPr="0064597D">
        <w:rPr>
          <w:sz w:val="20"/>
          <w:szCs w:val="20"/>
        </w:rPr>
        <w:t xml:space="preserve"> </w:t>
      </w:r>
      <w:r w:rsidRPr="0064597D">
        <w:rPr>
          <w:sz w:val="20"/>
          <w:szCs w:val="20"/>
          <w:lang w:val="es-ES" w:eastAsia="es-ES_tradnl"/>
        </w:rPr>
        <w:t xml:space="preserve">quienes en su carácter de víctimas de las violaciones declaradas en </w:t>
      </w:r>
      <w:r w:rsidR="006179A5" w:rsidRPr="0064597D">
        <w:rPr>
          <w:sz w:val="20"/>
          <w:szCs w:val="20"/>
          <w:lang w:val="es-ES" w:eastAsia="es-ES_tradnl"/>
        </w:rPr>
        <w:t>el</w:t>
      </w:r>
      <w:r w:rsidRPr="0064597D">
        <w:rPr>
          <w:sz w:val="20"/>
          <w:szCs w:val="20"/>
          <w:lang w:val="es-ES" w:eastAsia="es-ES_tradnl"/>
        </w:rPr>
        <w:t xml:space="preserve"> capítulo </w:t>
      </w:r>
      <w:r w:rsidR="006179A5" w:rsidRPr="0064597D">
        <w:rPr>
          <w:sz w:val="20"/>
          <w:szCs w:val="20"/>
          <w:lang w:val="es-ES" w:eastAsia="es-ES_tradnl"/>
        </w:rPr>
        <w:t>VIII</w:t>
      </w:r>
      <w:r w:rsidRPr="0064597D">
        <w:rPr>
          <w:sz w:val="20"/>
          <w:szCs w:val="20"/>
          <w:lang w:val="es-ES" w:eastAsia="es-ES_tradnl"/>
        </w:rPr>
        <w:t xml:space="preserve"> serán beneficiarios de las reparaciones que la Corte ordene. </w:t>
      </w:r>
      <w:r w:rsidR="00514160" w:rsidRPr="0064597D">
        <w:rPr>
          <w:sz w:val="20"/>
          <w:szCs w:val="20"/>
          <w:lang w:val="es-ES" w:eastAsia="es-ES_tradnl"/>
        </w:rPr>
        <w:t>En consecuencia, la Corte solo se referirá a los alegatos de las partes y la Comisión relativos a las personas que han sido declaradas víctimas.</w:t>
      </w:r>
    </w:p>
    <w:p w14:paraId="4ACA1FF9" w14:textId="7769467F" w:rsidR="00072585" w:rsidRPr="0064597D" w:rsidRDefault="00072585" w:rsidP="00072585">
      <w:pPr>
        <w:pStyle w:val="Ttulo2"/>
      </w:pPr>
      <w:bookmarkStart w:id="102" w:name="_Toc24014575"/>
      <w:bookmarkStart w:id="103" w:name="_Toc15064196"/>
      <w:bookmarkStart w:id="104" w:name="_Toc15933772"/>
      <w:r w:rsidRPr="0064597D">
        <w:lastRenderedPageBreak/>
        <w:t>B.</w:t>
      </w:r>
      <w:r w:rsidRPr="0064597D">
        <w:tab/>
        <w:t>Investigación, determinación, enjuiciamiento y, en su caso, sanción de todos los responsables</w:t>
      </w:r>
      <w:bookmarkEnd w:id="102"/>
    </w:p>
    <w:bookmarkEnd w:id="103"/>
    <w:bookmarkEnd w:id="104"/>
    <w:p w14:paraId="330A8A8F" w14:textId="3BF4D4FC" w:rsidR="00413443" w:rsidRPr="0064597D" w:rsidRDefault="00413443" w:rsidP="00413443">
      <w:pPr>
        <w:numPr>
          <w:ilvl w:val="0"/>
          <w:numId w:val="1"/>
        </w:numPr>
        <w:tabs>
          <w:tab w:val="left" w:pos="567"/>
          <w:tab w:val="num" w:pos="5057"/>
        </w:tabs>
        <w:spacing w:line="240" w:lineRule="auto"/>
        <w:ind w:left="0" w:firstLine="0"/>
        <w:textAlignment w:val="auto"/>
        <w:rPr>
          <w:rFonts w:eastAsia="MS Mincho"/>
          <w:sz w:val="20"/>
          <w:szCs w:val="20"/>
          <w:lang w:bidi="en-US"/>
        </w:rPr>
      </w:pPr>
      <w:r w:rsidRPr="0064597D">
        <w:rPr>
          <w:rFonts w:eastAsia="MS Mincho"/>
          <w:sz w:val="20"/>
          <w:szCs w:val="20"/>
          <w:lang w:bidi="en-US"/>
        </w:rPr>
        <w:t xml:space="preserve">La </w:t>
      </w:r>
      <w:r w:rsidRPr="0064597D">
        <w:rPr>
          <w:rFonts w:eastAsia="MS Mincho"/>
          <w:b/>
          <w:i/>
          <w:sz w:val="20"/>
          <w:szCs w:val="20"/>
          <w:lang w:bidi="en-US"/>
        </w:rPr>
        <w:t>Comisión</w:t>
      </w:r>
      <w:r w:rsidRPr="0064597D">
        <w:rPr>
          <w:rFonts w:eastAsia="MS Mincho"/>
          <w:sz w:val="20"/>
          <w:szCs w:val="20"/>
          <w:lang w:bidi="en-US"/>
        </w:rPr>
        <w:t xml:space="preserve"> </w:t>
      </w:r>
      <w:r w:rsidRPr="0064597D">
        <w:rPr>
          <w:rFonts w:cs="Cambria"/>
          <w:sz w:val="20"/>
          <w:szCs w:val="20"/>
        </w:rPr>
        <w:t xml:space="preserve">señaló </w:t>
      </w:r>
      <w:r w:rsidR="00897D25" w:rsidRPr="0064597D">
        <w:rPr>
          <w:rFonts w:cs="Cambria"/>
          <w:sz w:val="20"/>
          <w:szCs w:val="20"/>
        </w:rPr>
        <w:t>que el Estado</w:t>
      </w:r>
      <w:r w:rsidRPr="0064597D">
        <w:rPr>
          <w:rFonts w:cs="Cambria"/>
          <w:sz w:val="20"/>
          <w:szCs w:val="20"/>
        </w:rPr>
        <w:t xml:space="preserve"> debía investigar los actos de tortura y la ejecución extrajudicial sufridos por el señor Ruiz Fuentes de manera diligente, efectiva y en un plazo razonable con el objeto de esclarecer los hechos en forma completa, identificar a los autores e imponer las sanciones que corresponden.</w:t>
      </w:r>
      <w:r w:rsidR="006179A5" w:rsidRPr="0064597D">
        <w:rPr>
          <w:rFonts w:cs="Cambria"/>
          <w:sz w:val="20"/>
          <w:szCs w:val="20"/>
        </w:rPr>
        <w:t xml:space="preserve"> L</w:t>
      </w:r>
      <w:r w:rsidRPr="0064597D">
        <w:rPr>
          <w:rFonts w:cs="Cambria"/>
          <w:sz w:val="20"/>
          <w:szCs w:val="20"/>
        </w:rPr>
        <w:t xml:space="preserve">a Comisión </w:t>
      </w:r>
      <w:r w:rsidR="006179A5" w:rsidRPr="0064597D">
        <w:rPr>
          <w:rFonts w:cs="Cambria"/>
          <w:sz w:val="20"/>
          <w:szCs w:val="20"/>
        </w:rPr>
        <w:t>destacó también</w:t>
      </w:r>
      <w:r w:rsidRPr="0064597D">
        <w:rPr>
          <w:rFonts w:cs="Cambria"/>
          <w:sz w:val="20"/>
          <w:szCs w:val="20"/>
        </w:rPr>
        <w:t xml:space="preserve"> la necesidad de que en las investigaciones a futuro se remuevan todos los obstáculos que han causado la situación de impunidad actual y que se esclarezcan las autorías materiales e intelectuales del hecho desentrañando las estructuras criminales que permitieron que este hecho tuviera lugar.</w:t>
      </w:r>
    </w:p>
    <w:p w14:paraId="3672673E" w14:textId="77777777" w:rsidR="00413443" w:rsidRPr="0064597D" w:rsidRDefault="00413443" w:rsidP="00413443">
      <w:pPr>
        <w:tabs>
          <w:tab w:val="left" w:pos="709"/>
          <w:tab w:val="num" w:pos="1427"/>
        </w:tabs>
        <w:spacing w:line="240" w:lineRule="auto"/>
        <w:ind w:right="-90"/>
        <w:rPr>
          <w:sz w:val="20"/>
          <w:szCs w:val="20"/>
        </w:rPr>
      </w:pPr>
    </w:p>
    <w:p w14:paraId="481FAE31" w14:textId="3A9B9C97" w:rsidR="00413443" w:rsidRPr="0064597D" w:rsidRDefault="00897D25" w:rsidP="006958DA">
      <w:pPr>
        <w:numPr>
          <w:ilvl w:val="0"/>
          <w:numId w:val="1"/>
        </w:numPr>
        <w:tabs>
          <w:tab w:val="left" w:pos="567"/>
          <w:tab w:val="num" w:pos="5057"/>
        </w:tabs>
        <w:spacing w:line="240" w:lineRule="auto"/>
        <w:ind w:left="0" w:firstLine="0"/>
        <w:textAlignment w:val="auto"/>
        <w:rPr>
          <w:rFonts w:eastAsia="Verdana" w:cs="Verdana"/>
          <w:b/>
          <w:bCs/>
          <w:sz w:val="20"/>
          <w:szCs w:val="20"/>
        </w:rPr>
      </w:pPr>
      <w:r w:rsidRPr="0064597D">
        <w:rPr>
          <w:bCs/>
          <w:sz w:val="20"/>
          <w:szCs w:val="20"/>
          <w:lang w:bidi="en-US"/>
        </w:rPr>
        <w:t>En el mismo sentido, l</w:t>
      </w:r>
      <w:r w:rsidR="00413443" w:rsidRPr="0064597D">
        <w:rPr>
          <w:bCs/>
          <w:sz w:val="20"/>
          <w:szCs w:val="20"/>
          <w:lang w:bidi="en-US"/>
        </w:rPr>
        <w:t xml:space="preserve">as </w:t>
      </w:r>
      <w:r w:rsidR="00413443" w:rsidRPr="0064597D">
        <w:rPr>
          <w:b/>
          <w:bCs/>
          <w:i/>
          <w:sz w:val="20"/>
          <w:szCs w:val="20"/>
          <w:lang w:bidi="en-US"/>
        </w:rPr>
        <w:t>representantes</w:t>
      </w:r>
      <w:r w:rsidR="00413443" w:rsidRPr="0064597D">
        <w:rPr>
          <w:rFonts w:eastAsia="MS Mincho"/>
          <w:sz w:val="20"/>
          <w:szCs w:val="20"/>
          <w:lang w:bidi="en-US"/>
        </w:rPr>
        <w:t xml:space="preserve">, por su parte, solicitaron que se ordenara al Estado </w:t>
      </w:r>
      <w:r w:rsidR="00413443" w:rsidRPr="0064597D">
        <w:rPr>
          <w:rFonts w:cs="Arial"/>
          <w:sz w:val="20"/>
          <w:szCs w:val="20"/>
        </w:rPr>
        <w:t xml:space="preserve">que investigue de manera seria y efectiva en los términos descritos, tanto los actos de tortura cometidos en contra del señor Ruiz Fuentes al momento de ser capturados como su ejecución extrajudicial. </w:t>
      </w:r>
    </w:p>
    <w:p w14:paraId="54EAA21B" w14:textId="77777777" w:rsidR="00514160" w:rsidRPr="0064597D" w:rsidRDefault="00514160" w:rsidP="00514160">
      <w:pPr>
        <w:tabs>
          <w:tab w:val="left" w:pos="567"/>
        </w:tabs>
        <w:spacing w:line="240" w:lineRule="auto"/>
        <w:textAlignment w:val="auto"/>
        <w:rPr>
          <w:rFonts w:eastAsia="Verdana" w:cs="Verdana"/>
          <w:b/>
          <w:bCs/>
          <w:sz w:val="20"/>
          <w:szCs w:val="20"/>
        </w:rPr>
      </w:pPr>
    </w:p>
    <w:p w14:paraId="026A75A8" w14:textId="7ED32CE9" w:rsidR="00413443" w:rsidRPr="0064597D" w:rsidRDefault="00413443" w:rsidP="00413443">
      <w:pPr>
        <w:numPr>
          <w:ilvl w:val="0"/>
          <w:numId w:val="1"/>
        </w:numPr>
        <w:tabs>
          <w:tab w:val="left" w:pos="567"/>
          <w:tab w:val="num" w:pos="5057"/>
        </w:tabs>
        <w:spacing w:line="240" w:lineRule="auto"/>
        <w:ind w:left="0" w:firstLine="0"/>
        <w:textAlignment w:val="auto"/>
        <w:rPr>
          <w:rFonts w:eastAsia="MS Mincho"/>
          <w:b/>
          <w:sz w:val="20"/>
          <w:szCs w:val="20"/>
        </w:rPr>
      </w:pPr>
      <w:r w:rsidRPr="0064597D">
        <w:rPr>
          <w:rFonts w:eastAsia="MS Mincho"/>
          <w:sz w:val="20"/>
          <w:szCs w:val="20"/>
          <w:lang w:bidi="en-US"/>
        </w:rPr>
        <w:t>El</w:t>
      </w:r>
      <w:r w:rsidRPr="0064597D">
        <w:rPr>
          <w:sz w:val="20"/>
          <w:szCs w:val="20"/>
          <w:lang w:bidi="en-US"/>
        </w:rPr>
        <w:t xml:space="preserve"> </w:t>
      </w:r>
      <w:r w:rsidRPr="0064597D">
        <w:rPr>
          <w:b/>
          <w:i/>
          <w:sz w:val="20"/>
          <w:szCs w:val="20"/>
          <w:lang w:bidi="en-US"/>
        </w:rPr>
        <w:t>Estado</w:t>
      </w:r>
      <w:r w:rsidRPr="0064597D">
        <w:rPr>
          <w:sz w:val="20"/>
          <w:szCs w:val="20"/>
          <w:lang w:bidi="en-US"/>
        </w:rPr>
        <w:t xml:space="preserve"> manifestó que en ningún momento los peticionarios y la Comisión han probado la existencia de actos de tortura, tampoco que la muerte del señor Ruiz Fuentes haya sido una ejecución extrajudicial, menos aún la participación de agentes de seguridad del Estado en la comisión de dicho acto. </w:t>
      </w:r>
    </w:p>
    <w:p w14:paraId="49305811" w14:textId="77777777" w:rsidR="00413443" w:rsidRPr="0064597D" w:rsidRDefault="00413443" w:rsidP="00413443">
      <w:pPr>
        <w:tabs>
          <w:tab w:val="left" w:pos="567"/>
        </w:tabs>
        <w:spacing w:line="240" w:lineRule="auto"/>
        <w:textAlignment w:val="auto"/>
        <w:rPr>
          <w:rFonts w:eastAsia="MS Mincho"/>
          <w:sz w:val="20"/>
          <w:szCs w:val="20"/>
        </w:rPr>
      </w:pPr>
    </w:p>
    <w:p w14:paraId="0ECA987C" w14:textId="35E13286" w:rsidR="00514160" w:rsidRPr="0064597D" w:rsidRDefault="00680C3F" w:rsidP="00514160">
      <w:pPr>
        <w:numPr>
          <w:ilvl w:val="0"/>
          <w:numId w:val="1"/>
        </w:numPr>
        <w:tabs>
          <w:tab w:val="left" w:pos="567"/>
          <w:tab w:val="num" w:pos="5057"/>
        </w:tabs>
        <w:spacing w:line="240" w:lineRule="auto"/>
        <w:ind w:left="0" w:firstLine="0"/>
        <w:textAlignment w:val="auto"/>
        <w:rPr>
          <w:sz w:val="20"/>
          <w:szCs w:val="20"/>
        </w:rPr>
      </w:pPr>
      <w:r w:rsidRPr="0064597D">
        <w:rPr>
          <w:sz w:val="20"/>
          <w:szCs w:val="20"/>
        </w:rPr>
        <w:t xml:space="preserve">Teniendo en cuenta que actualmente se encuentra abierto el proceso penal para esclarecer los hechos relacionados con la muerte del señor </w:t>
      </w:r>
      <w:r w:rsidRPr="0064597D">
        <w:rPr>
          <w:rFonts w:eastAsia="MS Mincho"/>
          <w:sz w:val="20"/>
          <w:szCs w:val="20"/>
          <w:lang w:bidi="en-US"/>
        </w:rPr>
        <w:t>Ruiz Fuentes</w:t>
      </w:r>
      <w:r w:rsidRPr="0064597D">
        <w:rPr>
          <w:sz w:val="20"/>
          <w:szCs w:val="20"/>
        </w:rPr>
        <w:t xml:space="preserve">, la </w:t>
      </w:r>
      <w:r w:rsidRPr="0064597D">
        <w:rPr>
          <w:b/>
          <w:i/>
          <w:sz w:val="20"/>
          <w:szCs w:val="20"/>
        </w:rPr>
        <w:t>Corte</w:t>
      </w:r>
      <w:r w:rsidRPr="0064597D">
        <w:rPr>
          <w:sz w:val="20"/>
          <w:szCs w:val="20"/>
        </w:rPr>
        <w:t xml:space="preserve"> dispone que el Estado debe continuar con las investigaciones que sean necesarias para identificar, juzgar y, en su caso, sancionar a los responsables </w:t>
      </w:r>
      <w:r w:rsidRPr="0064597D">
        <w:rPr>
          <w:rFonts w:eastAsia="MS Mincho"/>
          <w:sz w:val="20"/>
          <w:szCs w:val="20"/>
          <w:lang w:bidi="en-US"/>
        </w:rPr>
        <w:t>de</w:t>
      </w:r>
      <w:r w:rsidRPr="0064597D">
        <w:rPr>
          <w:sz w:val="20"/>
          <w:szCs w:val="20"/>
        </w:rPr>
        <w:t xml:space="preserve"> su muerte. Dicha obligación debe ser cumplida de acuerdo a los estándares establecidos por la jurisprudencia de esta Corte</w:t>
      </w:r>
      <w:r w:rsidRPr="0064597D">
        <w:rPr>
          <w:rStyle w:val="Refdenotaalpie"/>
          <w:sz w:val="20"/>
          <w:szCs w:val="20"/>
        </w:rPr>
        <w:footnoteReference w:id="241"/>
      </w:r>
      <w:r w:rsidR="00514160" w:rsidRPr="0064597D">
        <w:rPr>
          <w:sz w:val="20"/>
          <w:szCs w:val="20"/>
        </w:rPr>
        <w:t>, esto es, con la debida diligencia y en un plazo razonable</w:t>
      </w:r>
      <w:r w:rsidR="00514160" w:rsidRPr="0064597D">
        <w:rPr>
          <w:rStyle w:val="Refdenotaalpie"/>
          <w:sz w:val="20"/>
          <w:szCs w:val="20"/>
        </w:rPr>
        <w:footnoteReference w:id="242"/>
      </w:r>
      <w:r w:rsidR="00514160" w:rsidRPr="0064597D">
        <w:rPr>
          <w:sz w:val="20"/>
          <w:szCs w:val="20"/>
        </w:rPr>
        <w:t xml:space="preserve">. A tal fin, el Estado debe: </w:t>
      </w:r>
      <w:r w:rsidR="001B4B25" w:rsidRPr="0064597D">
        <w:rPr>
          <w:sz w:val="20"/>
          <w:szCs w:val="20"/>
        </w:rPr>
        <w:t>(i)</w:t>
      </w:r>
      <w:r w:rsidR="00514160" w:rsidRPr="0064597D">
        <w:rPr>
          <w:sz w:val="20"/>
          <w:szCs w:val="20"/>
        </w:rPr>
        <w:t xml:space="preserve"> asegurar que los distintos órganos del sistema de justicia involucrados en el caso cuenten con los recursos humanos y materiales necesarios para desempeñar sus tareas de manera adecuada, independiente e imparcial y que las personas que participen en la investigación, entre ellas víctimas, testigos y operadores de justicia, cuenten con las debidas garantías de seguridad</w:t>
      </w:r>
      <w:r w:rsidR="00514160" w:rsidRPr="0064597D">
        <w:rPr>
          <w:sz w:val="20"/>
          <w:szCs w:val="20"/>
          <w:vertAlign w:val="superscript"/>
        </w:rPr>
        <w:footnoteReference w:id="243"/>
      </w:r>
      <w:r w:rsidR="00A15444" w:rsidRPr="0064597D">
        <w:rPr>
          <w:sz w:val="20"/>
          <w:szCs w:val="20"/>
        </w:rPr>
        <w:t xml:space="preserve"> y</w:t>
      </w:r>
      <w:r w:rsidR="001B4B25" w:rsidRPr="0064597D">
        <w:rPr>
          <w:sz w:val="20"/>
          <w:szCs w:val="20"/>
        </w:rPr>
        <w:t xml:space="preserve"> (ii) </w:t>
      </w:r>
      <w:r w:rsidR="00514160" w:rsidRPr="0064597D">
        <w:rPr>
          <w:sz w:val="20"/>
          <w:szCs w:val="20"/>
        </w:rPr>
        <w:t>asegurar el pleno acceso y capacidad de actuar de los familiares del señor Ruiz Fuentes en todas las etapas de estas investigaciones, de acuerdo con la ley interna y las normas de la Convención Americana</w:t>
      </w:r>
      <w:r w:rsidR="00514160" w:rsidRPr="0064597D">
        <w:rPr>
          <w:sz w:val="20"/>
          <w:szCs w:val="20"/>
          <w:vertAlign w:val="superscript"/>
        </w:rPr>
        <w:footnoteReference w:id="244"/>
      </w:r>
      <w:r w:rsidR="00514160" w:rsidRPr="0064597D">
        <w:rPr>
          <w:sz w:val="20"/>
          <w:szCs w:val="20"/>
        </w:rPr>
        <w:t>.</w:t>
      </w:r>
    </w:p>
    <w:p w14:paraId="32865C75" w14:textId="77777777" w:rsidR="00514160" w:rsidRPr="0064597D" w:rsidRDefault="00514160" w:rsidP="00514160">
      <w:pPr>
        <w:tabs>
          <w:tab w:val="left" w:pos="567"/>
        </w:tabs>
        <w:spacing w:line="240" w:lineRule="auto"/>
        <w:textAlignment w:val="auto"/>
        <w:rPr>
          <w:sz w:val="20"/>
          <w:szCs w:val="20"/>
        </w:rPr>
      </w:pPr>
    </w:p>
    <w:p w14:paraId="279AEDF0" w14:textId="04E67241" w:rsidR="00680C3F" w:rsidRPr="0064597D" w:rsidRDefault="00680C3F" w:rsidP="00680C3F">
      <w:pPr>
        <w:numPr>
          <w:ilvl w:val="0"/>
          <w:numId w:val="1"/>
        </w:numPr>
        <w:tabs>
          <w:tab w:val="left" w:pos="567"/>
          <w:tab w:val="num" w:pos="5057"/>
        </w:tabs>
        <w:spacing w:line="240" w:lineRule="auto"/>
        <w:ind w:left="0" w:firstLine="0"/>
        <w:textAlignment w:val="auto"/>
        <w:rPr>
          <w:sz w:val="20"/>
          <w:szCs w:val="20"/>
        </w:rPr>
      </w:pPr>
      <w:r w:rsidRPr="0064597D">
        <w:rPr>
          <w:sz w:val="20"/>
          <w:szCs w:val="20"/>
        </w:rPr>
        <w:t xml:space="preserve">Asimismo, en relación con las torturas sufridas por el señor Ruiz Fuentes al momento de su detención el </w:t>
      </w:r>
      <w:r w:rsidR="00DA7F1B">
        <w:rPr>
          <w:sz w:val="20"/>
          <w:szCs w:val="20"/>
        </w:rPr>
        <w:t xml:space="preserve">6 de agosto de 1997, </w:t>
      </w:r>
      <w:r w:rsidRPr="0064597D">
        <w:rPr>
          <w:sz w:val="20"/>
          <w:szCs w:val="20"/>
          <w:lang w:val="es-PE"/>
        </w:rPr>
        <w:t xml:space="preserve">la Corte determina que el Estado debe iniciar, de acuerdo a lo previsto en la legislación interna, en un plazo </w:t>
      </w:r>
      <w:r w:rsidR="008D1A0F" w:rsidRPr="0064597D">
        <w:rPr>
          <w:sz w:val="20"/>
          <w:szCs w:val="20"/>
          <w:lang w:val="es-PE"/>
        </w:rPr>
        <w:t>no superior a seis meses</w:t>
      </w:r>
      <w:r w:rsidRPr="0064597D">
        <w:rPr>
          <w:sz w:val="20"/>
          <w:szCs w:val="20"/>
          <w:lang w:val="es-PE"/>
        </w:rPr>
        <w:t xml:space="preserve">, la investigación para esclarecer los hechos alegados, </w:t>
      </w:r>
      <w:r w:rsidR="004665E2" w:rsidRPr="0064597D">
        <w:rPr>
          <w:sz w:val="20"/>
          <w:szCs w:val="20"/>
          <w:lang w:val="es-PE"/>
        </w:rPr>
        <w:t xml:space="preserve">y realizarla con la debida diligencia, posibilitando </w:t>
      </w:r>
      <w:r w:rsidRPr="0064597D">
        <w:rPr>
          <w:sz w:val="20"/>
          <w:szCs w:val="20"/>
          <w:lang w:val="es-PE"/>
        </w:rPr>
        <w:t>la participación de los familiares de la víctima o por medio de sus representantes y el acceso a las actuaciones que se desarrollen.</w:t>
      </w:r>
    </w:p>
    <w:p w14:paraId="6765E5D7" w14:textId="3DE31951" w:rsidR="00072585" w:rsidRPr="0064597D" w:rsidRDefault="00072585" w:rsidP="00072585">
      <w:pPr>
        <w:pStyle w:val="Ttulo2"/>
      </w:pPr>
      <w:bookmarkStart w:id="105" w:name="_Toc24014576"/>
      <w:bookmarkStart w:id="106" w:name="_Toc15933773"/>
      <w:r w:rsidRPr="0064597D">
        <w:lastRenderedPageBreak/>
        <w:t>C.</w:t>
      </w:r>
      <w:r w:rsidRPr="0064597D">
        <w:tab/>
        <w:t>Medidas de satisfacción y garantías de no repetición</w:t>
      </w:r>
      <w:bookmarkEnd w:id="105"/>
    </w:p>
    <w:p w14:paraId="1B5F98F9" w14:textId="3C868825" w:rsidR="00413443" w:rsidRPr="0064597D" w:rsidRDefault="00E068B2" w:rsidP="00377181">
      <w:pPr>
        <w:pStyle w:val="Ttulo3"/>
        <w:rPr>
          <w:b/>
        </w:rPr>
      </w:pPr>
      <w:bookmarkStart w:id="107" w:name="_Toc15064199"/>
      <w:bookmarkStart w:id="108" w:name="_Toc15933775"/>
      <w:bookmarkStart w:id="109" w:name="_Toc24014577"/>
      <w:bookmarkEnd w:id="106"/>
      <w:r w:rsidRPr="0064597D">
        <w:t>c</w:t>
      </w:r>
      <w:r w:rsidR="00413443" w:rsidRPr="0064597D">
        <w:t>.</w:t>
      </w:r>
      <w:r w:rsidR="006958DA" w:rsidRPr="0064597D">
        <w:t>1</w:t>
      </w:r>
      <w:r w:rsidR="00413443" w:rsidRPr="0064597D">
        <w:t xml:space="preserve"> </w:t>
      </w:r>
      <w:r w:rsidR="00413443" w:rsidRPr="0064597D">
        <w:tab/>
        <w:t>Medidas de satisfacción</w:t>
      </w:r>
      <w:bookmarkEnd w:id="107"/>
      <w:bookmarkEnd w:id="108"/>
      <w:bookmarkEnd w:id="109"/>
    </w:p>
    <w:p w14:paraId="3DFB4391" w14:textId="066EE19B" w:rsidR="00413443" w:rsidRPr="0064597D" w:rsidRDefault="00413443" w:rsidP="00413443">
      <w:pPr>
        <w:numPr>
          <w:ilvl w:val="0"/>
          <w:numId w:val="1"/>
        </w:numPr>
        <w:tabs>
          <w:tab w:val="num" w:pos="0"/>
          <w:tab w:val="left" w:pos="567"/>
        </w:tabs>
        <w:spacing w:line="240" w:lineRule="auto"/>
        <w:ind w:left="0" w:firstLine="0"/>
        <w:textAlignment w:val="auto"/>
        <w:rPr>
          <w:rFonts w:eastAsia="MS Mincho"/>
          <w:i/>
          <w:sz w:val="20"/>
          <w:szCs w:val="20"/>
          <w:lang w:bidi="en-US"/>
        </w:rPr>
      </w:pPr>
      <w:r w:rsidRPr="0064597D">
        <w:rPr>
          <w:rFonts w:eastAsia="MS Mincho"/>
          <w:sz w:val="20"/>
          <w:szCs w:val="20"/>
          <w:lang w:bidi="en-US"/>
        </w:rPr>
        <w:t xml:space="preserve">Las </w:t>
      </w:r>
      <w:r w:rsidRPr="0064597D">
        <w:rPr>
          <w:rFonts w:eastAsia="MS Mincho"/>
          <w:b/>
          <w:i/>
          <w:sz w:val="20"/>
          <w:szCs w:val="20"/>
          <w:lang w:bidi="en-US"/>
        </w:rPr>
        <w:t>representantes</w:t>
      </w:r>
      <w:r w:rsidRPr="0064597D">
        <w:rPr>
          <w:rFonts w:eastAsia="MS Mincho"/>
          <w:b/>
          <w:sz w:val="20"/>
          <w:szCs w:val="20"/>
          <w:lang w:bidi="en-US"/>
        </w:rPr>
        <w:t xml:space="preserve"> </w:t>
      </w:r>
      <w:r w:rsidRPr="0064597D">
        <w:rPr>
          <w:rFonts w:eastAsia="MS Mincho"/>
          <w:sz w:val="20"/>
          <w:szCs w:val="20"/>
          <w:lang w:bidi="en-US"/>
        </w:rPr>
        <w:t xml:space="preserve">solicitaron a la Corte que ordenara al Estado </w:t>
      </w:r>
      <w:r w:rsidRPr="0064597D">
        <w:rPr>
          <w:rFonts w:cs="Arial"/>
          <w:sz w:val="20"/>
          <w:szCs w:val="20"/>
        </w:rPr>
        <w:t>que la sentencia sea publicada en</w:t>
      </w:r>
      <w:r w:rsidR="005A2275" w:rsidRPr="0064597D">
        <w:rPr>
          <w:rFonts w:cs="Arial"/>
          <w:sz w:val="20"/>
          <w:szCs w:val="20"/>
        </w:rPr>
        <w:t xml:space="preserve"> un diario de cobertura naciona</w:t>
      </w:r>
      <w:r w:rsidR="00E12081" w:rsidRPr="0064597D">
        <w:rPr>
          <w:rFonts w:cs="Arial"/>
          <w:sz w:val="20"/>
          <w:szCs w:val="20"/>
        </w:rPr>
        <w:t>l</w:t>
      </w:r>
      <w:r w:rsidRPr="0064597D">
        <w:rPr>
          <w:rFonts w:cs="Arial"/>
          <w:sz w:val="20"/>
          <w:szCs w:val="20"/>
        </w:rPr>
        <w:t xml:space="preserve">, y el acceso a la misma quede disponible en la página web del Ministerio de Relaciones Exteriores de Guatemala, de la Comisión Presidencial Coordinadora de la Política del Ejecutivo en Materia de Derechos Humanos (COPREDEH), de la </w:t>
      </w:r>
      <w:r w:rsidR="00537AAE" w:rsidRPr="0064597D">
        <w:rPr>
          <w:sz w:val="20"/>
          <w:szCs w:val="20"/>
        </w:rPr>
        <w:t>PNC</w:t>
      </w:r>
      <w:r w:rsidRPr="0064597D">
        <w:rPr>
          <w:rFonts w:cs="Arial"/>
          <w:sz w:val="20"/>
          <w:szCs w:val="20"/>
        </w:rPr>
        <w:t>, del Ministerio de Gobernación y del Sistema Penitenciario</w:t>
      </w:r>
      <w:r w:rsidRPr="0064597D">
        <w:rPr>
          <w:rFonts w:cs="Arial"/>
          <w:b/>
          <w:sz w:val="20"/>
          <w:szCs w:val="20"/>
        </w:rPr>
        <w:t xml:space="preserve">. </w:t>
      </w:r>
    </w:p>
    <w:p w14:paraId="6B5BE0F3" w14:textId="77777777" w:rsidR="00413443" w:rsidRPr="0064597D" w:rsidRDefault="00413443" w:rsidP="00413443">
      <w:pPr>
        <w:tabs>
          <w:tab w:val="left" w:pos="567"/>
        </w:tabs>
        <w:spacing w:line="240" w:lineRule="auto"/>
        <w:textAlignment w:val="auto"/>
        <w:rPr>
          <w:rFonts w:eastAsia="MS Mincho"/>
          <w:i/>
          <w:sz w:val="20"/>
          <w:szCs w:val="20"/>
          <w:lang w:bidi="en-US"/>
        </w:rPr>
      </w:pPr>
    </w:p>
    <w:p w14:paraId="09B352EE" w14:textId="66D1ADA1" w:rsidR="00572BBA" w:rsidRPr="0064597D" w:rsidRDefault="00572BBA" w:rsidP="00572BBA">
      <w:pPr>
        <w:numPr>
          <w:ilvl w:val="0"/>
          <w:numId w:val="1"/>
        </w:numPr>
        <w:tabs>
          <w:tab w:val="left" w:pos="567"/>
          <w:tab w:val="num" w:pos="5057"/>
        </w:tabs>
        <w:spacing w:line="240" w:lineRule="auto"/>
        <w:ind w:left="0" w:firstLine="0"/>
        <w:textAlignment w:val="auto"/>
        <w:rPr>
          <w:rFonts w:eastAsia="MS Mincho"/>
          <w:b/>
          <w:sz w:val="20"/>
          <w:szCs w:val="20"/>
          <w:lang w:bidi="en-US"/>
        </w:rPr>
      </w:pPr>
      <w:r w:rsidRPr="0064597D">
        <w:rPr>
          <w:rFonts w:eastAsia="MS Mincho"/>
          <w:sz w:val="20"/>
          <w:szCs w:val="20"/>
          <w:lang w:bidi="en-US"/>
        </w:rPr>
        <w:t>Asimismo, solicitaron</w:t>
      </w:r>
      <w:r w:rsidRPr="0064597D">
        <w:rPr>
          <w:rFonts w:eastAsia="MS Mincho"/>
          <w:b/>
          <w:i/>
          <w:sz w:val="20"/>
          <w:szCs w:val="20"/>
          <w:lang w:bidi="en-US"/>
        </w:rPr>
        <w:t xml:space="preserve"> </w:t>
      </w:r>
      <w:r w:rsidRPr="0064597D">
        <w:rPr>
          <w:rFonts w:eastAsia="MS Mincho"/>
          <w:sz w:val="20"/>
          <w:szCs w:val="20"/>
          <w:lang w:bidi="en-US"/>
        </w:rPr>
        <w:t xml:space="preserve">que se ordenara al Estado la realización de un acto </w:t>
      </w:r>
      <w:r w:rsidRPr="0064597D">
        <w:rPr>
          <w:rFonts w:cs="Arial"/>
          <w:sz w:val="20"/>
          <w:szCs w:val="20"/>
        </w:rPr>
        <w:t xml:space="preserve">de reconocimiento de responsabilidad ante la familia de la víctima, en el cual acepte expresamente que el señor Ruíz Fuentes fue torturado y ejecutado por agentes del Estado en el marco de un plan criminal dirigido a la mal llamada “limpieza social selectiva”. </w:t>
      </w:r>
    </w:p>
    <w:p w14:paraId="38E39508" w14:textId="77777777" w:rsidR="00B8112F" w:rsidRPr="0064597D" w:rsidRDefault="00B8112F" w:rsidP="00B8112F">
      <w:pPr>
        <w:tabs>
          <w:tab w:val="left" w:pos="0"/>
        </w:tabs>
        <w:spacing w:line="240" w:lineRule="auto"/>
        <w:textAlignment w:val="auto"/>
        <w:rPr>
          <w:rFonts w:eastAsia="MS Mincho"/>
          <w:i/>
          <w:sz w:val="20"/>
          <w:szCs w:val="20"/>
          <w:lang w:bidi="en-US"/>
        </w:rPr>
      </w:pPr>
    </w:p>
    <w:p w14:paraId="3ED1AADC" w14:textId="14FEEDC8" w:rsidR="00413443" w:rsidRPr="0064597D" w:rsidRDefault="00413443" w:rsidP="00413443">
      <w:pPr>
        <w:numPr>
          <w:ilvl w:val="0"/>
          <w:numId w:val="1"/>
        </w:numPr>
        <w:tabs>
          <w:tab w:val="left" w:pos="0"/>
        </w:tabs>
        <w:spacing w:line="240" w:lineRule="auto"/>
        <w:ind w:left="0" w:firstLine="0"/>
        <w:textAlignment w:val="auto"/>
        <w:rPr>
          <w:rFonts w:eastAsia="MS Mincho"/>
          <w:i/>
          <w:sz w:val="20"/>
          <w:szCs w:val="20"/>
          <w:lang w:bidi="en-US"/>
        </w:rPr>
      </w:pPr>
      <w:r w:rsidRPr="0064597D">
        <w:rPr>
          <w:rFonts w:eastAsia="MS Mincho"/>
          <w:sz w:val="20"/>
          <w:szCs w:val="20"/>
          <w:lang w:bidi="en-US"/>
        </w:rPr>
        <w:t xml:space="preserve">El </w:t>
      </w:r>
      <w:r w:rsidRPr="0064597D">
        <w:rPr>
          <w:rFonts w:eastAsia="MS Mincho"/>
          <w:b/>
          <w:i/>
          <w:sz w:val="20"/>
          <w:szCs w:val="20"/>
          <w:lang w:bidi="en-US"/>
        </w:rPr>
        <w:t>Estado</w:t>
      </w:r>
      <w:r w:rsidRPr="0064597D">
        <w:rPr>
          <w:rFonts w:eastAsia="MS Mincho"/>
          <w:sz w:val="20"/>
          <w:szCs w:val="20"/>
          <w:lang w:bidi="en-US"/>
        </w:rPr>
        <w:t xml:space="preserve"> alegó que en todo momento actuó con apego a derecho, por consiguiente rechaza toda imputación que se le pretende atribuir por parte de la Comisión como de las representantes debido a que en ningún momento han probado dicha responsabilidad, por lo que se </w:t>
      </w:r>
      <w:r w:rsidR="005A2275" w:rsidRPr="0064597D">
        <w:rPr>
          <w:rFonts w:eastAsia="MS Mincho"/>
          <w:sz w:val="20"/>
          <w:szCs w:val="20"/>
          <w:lang w:bidi="en-US"/>
        </w:rPr>
        <w:t>opuso a</w:t>
      </w:r>
      <w:r w:rsidRPr="0064597D">
        <w:rPr>
          <w:rFonts w:eastAsia="MS Mincho"/>
          <w:sz w:val="20"/>
          <w:szCs w:val="20"/>
          <w:lang w:bidi="en-US"/>
        </w:rPr>
        <w:t xml:space="preserve"> la publicación de la sentencia. </w:t>
      </w:r>
    </w:p>
    <w:p w14:paraId="1E4FA055" w14:textId="77777777" w:rsidR="005A2275" w:rsidRPr="0064597D" w:rsidRDefault="005A2275" w:rsidP="005A2275">
      <w:pPr>
        <w:tabs>
          <w:tab w:val="left" w:pos="0"/>
        </w:tabs>
        <w:spacing w:line="240" w:lineRule="auto"/>
        <w:textAlignment w:val="auto"/>
        <w:rPr>
          <w:rFonts w:eastAsia="MS Mincho"/>
          <w:i/>
          <w:sz w:val="20"/>
          <w:szCs w:val="20"/>
          <w:lang w:bidi="en-US"/>
        </w:rPr>
      </w:pPr>
    </w:p>
    <w:p w14:paraId="3C0B7336" w14:textId="77777777" w:rsidR="005A2275" w:rsidRPr="0064597D" w:rsidRDefault="005A2275" w:rsidP="005A2275">
      <w:pPr>
        <w:numPr>
          <w:ilvl w:val="0"/>
          <w:numId w:val="1"/>
        </w:numPr>
        <w:tabs>
          <w:tab w:val="left" w:pos="567"/>
          <w:tab w:val="num" w:pos="5057"/>
        </w:tabs>
        <w:spacing w:line="240" w:lineRule="auto"/>
        <w:ind w:left="0" w:firstLine="0"/>
        <w:textAlignment w:val="auto"/>
        <w:rPr>
          <w:rFonts w:eastAsia="MS Mincho"/>
          <w:b/>
          <w:sz w:val="20"/>
          <w:szCs w:val="20"/>
          <w:lang w:bidi="en-US"/>
        </w:rPr>
      </w:pPr>
      <w:r w:rsidRPr="0064597D">
        <w:rPr>
          <w:rFonts w:eastAsia="MS Mincho"/>
          <w:sz w:val="20"/>
          <w:szCs w:val="20"/>
          <w:lang w:bidi="en-US"/>
        </w:rPr>
        <w:t>La</w:t>
      </w:r>
      <w:r w:rsidRPr="0064597D">
        <w:rPr>
          <w:rFonts w:eastAsia="MS Mincho"/>
          <w:b/>
          <w:sz w:val="20"/>
          <w:szCs w:val="20"/>
          <w:lang w:bidi="en-US"/>
        </w:rPr>
        <w:t xml:space="preserve"> </w:t>
      </w:r>
      <w:r w:rsidRPr="0064597D">
        <w:rPr>
          <w:rFonts w:eastAsia="MS Mincho"/>
          <w:b/>
          <w:i/>
          <w:sz w:val="20"/>
          <w:szCs w:val="20"/>
          <w:lang w:bidi="en-US"/>
        </w:rPr>
        <w:t>Comisión</w:t>
      </w:r>
      <w:r w:rsidRPr="0064597D">
        <w:rPr>
          <w:rFonts w:eastAsia="MS Mincho"/>
          <w:b/>
          <w:sz w:val="20"/>
          <w:szCs w:val="20"/>
          <w:lang w:bidi="en-US"/>
        </w:rPr>
        <w:t xml:space="preserve"> </w:t>
      </w:r>
      <w:r w:rsidRPr="0064597D">
        <w:rPr>
          <w:rFonts w:eastAsia="MS Mincho"/>
          <w:sz w:val="20"/>
          <w:szCs w:val="20"/>
          <w:lang w:bidi="en-US"/>
        </w:rPr>
        <w:t>no presentó alegatos específicos sobre este punto.</w:t>
      </w:r>
    </w:p>
    <w:p w14:paraId="0C949902" w14:textId="77777777" w:rsidR="00413443" w:rsidRPr="0064597D" w:rsidRDefault="00413443" w:rsidP="00413443">
      <w:pPr>
        <w:tabs>
          <w:tab w:val="left" w:pos="0"/>
        </w:tabs>
        <w:spacing w:line="240" w:lineRule="auto"/>
        <w:rPr>
          <w:rFonts w:eastAsia="MS Mincho"/>
          <w:i/>
          <w:sz w:val="20"/>
          <w:szCs w:val="20"/>
          <w:lang w:bidi="en-US"/>
        </w:rPr>
      </w:pPr>
    </w:p>
    <w:p w14:paraId="1C517C54" w14:textId="7B97184D" w:rsidR="00413443" w:rsidRPr="0064597D" w:rsidRDefault="00413443" w:rsidP="00D0432D">
      <w:pPr>
        <w:numPr>
          <w:ilvl w:val="0"/>
          <w:numId w:val="1"/>
        </w:numPr>
        <w:tabs>
          <w:tab w:val="left" w:pos="0"/>
        </w:tabs>
        <w:spacing w:line="240" w:lineRule="auto"/>
        <w:ind w:left="0" w:firstLine="0"/>
        <w:textAlignment w:val="auto"/>
        <w:rPr>
          <w:rFonts w:eastAsia="MS Mincho"/>
          <w:i/>
          <w:sz w:val="20"/>
          <w:szCs w:val="20"/>
          <w:lang w:bidi="en-US"/>
        </w:rPr>
      </w:pPr>
      <w:r w:rsidRPr="0064597D">
        <w:rPr>
          <w:rFonts w:eastAsia="MS Mincho"/>
          <w:sz w:val="20"/>
          <w:szCs w:val="20"/>
          <w:lang w:bidi="en-US"/>
        </w:rPr>
        <w:t xml:space="preserve">La </w:t>
      </w:r>
      <w:r w:rsidRPr="0064597D">
        <w:rPr>
          <w:rFonts w:eastAsia="MS Mincho"/>
          <w:b/>
          <w:i/>
          <w:sz w:val="20"/>
          <w:szCs w:val="20"/>
          <w:lang w:bidi="en-US"/>
        </w:rPr>
        <w:t>Corte</w:t>
      </w:r>
      <w:r w:rsidRPr="0064597D">
        <w:rPr>
          <w:rFonts w:eastAsia="MS Mincho"/>
          <w:sz w:val="20"/>
          <w:szCs w:val="20"/>
          <w:lang w:bidi="en-US"/>
        </w:rPr>
        <w:t xml:space="preserve"> estima, como lo ha dispuesto en otros casos</w:t>
      </w:r>
      <w:r w:rsidRPr="0064597D">
        <w:rPr>
          <w:rStyle w:val="Refdenotaalpie"/>
          <w:rFonts w:eastAsia="MS Mincho"/>
          <w:sz w:val="20"/>
          <w:szCs w:val="20"/>
          <w:lang w:bidi="en-US"/>
        </w:rPr>
        <w:footnoteReference w:id="245"/>
      </w:r>
      <w:r w:rsidRPr="0064597D">
        <w:rPr>
          <w:rFonts w:eastAsia="MS Mincho"/>
          <w:sz w:val="20"/>
          <w:szCs w:val="20"/>
          <w:lang w:bidi="en-US"/>
        </w:rPr>
        <w:t xml:space="preserve">, que el Estado debe publicar, en el plazo de seis meses, contado a partir de la notificación de la presente Sentencia: 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t>
      </w:r>
      <w:r w:rsidRPr="0064597D">
        <w:rPr>
          <w:rFonts w:eastAsia="MS Mincho"/>
          <w:i/>
          <w:sz w:val="20"/>
          <w:szCs w:val="20"/>
          <w:lang w:bidi="en-US"/>
        </w:rPr>
        <w:t>web</w:t>
      </w:r>
      <w:r w:rsidR="00537AAE" w:rsidRPr="0064597D">
        <w:rPr>
          <w:rFonts w:eastAsia="MS Mincho"/>
          <w:sz w:val="20"/>
          <w:szCs w:val="20"/>
          <w:lang w:bidi="en-US"/>
        </w:rPr>
        <w:t xml:space="preserve"> oficial del Estado</w:t>
      </w:r>
      <w:r w:rsidRPr="0064597D">
        <w:rPr>
          <w:rFonts w:eastAsia="MS Mincho"/>
          <w:sz w:val="20"/>
          <w:szCs w:val="20"/>
          <w:lang w:bidi="en-US"/>
        </w:rPr>
        <w:t>.</w:t>
      </w:r>
      <w:r w:rsidRPr="0064597D">
        <w:rPr>
          <w:rFonts w:eastAsia="MS Mincho"/>
          <w:i/>
          <w:sz w:val="20"/>
          <w:szCs w:val="20"/>
          <w:lang w:bidi="en-US"/>
        </w:rPr>
        <w:t xml:space="preserve"> </w:t>
      </w:r>
      <w:r w:rsidRPr="0064597D">
        <w:rPr>
          <w:rFonts w:eastAsiaTheme="minorHAnsi" w:cs="Verdana"/>
          <w:sz w:val="20"/>
          <w:szCs w:val="20"/>
          <w:lang w:eastAsia="en-US"/>
        </w:rPr>
        <w:t xml:space="preserve">El Estado deberá informar de forma inmediata a este Tribunal una vez que proceda a realizar cada una </w:t>
      </w:r>
      <w:r w:rsidRPr="0064597D">
        <w:rPr>
          <w:rFonts w:eastAsia="MS Mincho"/>
          <w:sz w:val="20"/>
          <w:szCs w:val="20"/>
          <w:lang w:bidi="en-US"/>
        </w:rPr>
        <w:t>de</w:t>
      </w:r>
      <w:r w:rsidRPr="0064597D">
        <w:rPr>
          <w:rFonts w:eastAsiaTheme="minorHAnsi" w:cs="Verdana"/>
          <w:sz w:val="20"/>
          <w:szCs w:val="20"/>
          <w:lang w:eastAsia="en-US"/>
        </w:rPr>
        <w:t xml:space="preserve"> las publicaciones dispuestas, independientemente del plazo de un año para presentar su primer informe dispuesto en el punto resolutivo </w:t>
      </w:r>
      <w:r w:rsidR="005F2FF2" w:rsidRPr="0064597D">
        <w:rPr>
          <w:rFonts w:eastAsiaTheme="minorHAnsi" w:cs="Verdana"/>
          <w:sz w:val="20"/>
          <w:szCs w:val="20"/>
          <w:lang w:eastAsia="en-US"/>
        </w:rPr>
        <w:t>17</w:t>
      </w:r>
      <w:r w:rsidRPr="0064597D">
        <w:rPr>
          <w:rFonts w:eastAsiaTheme="minorHAnsi" w:cs="Verdana"/>
          <w:sz w:val="20"/>
          <w:szCs w:val="20"/>
          <w:lang w:eastAsia="en-US"/>
        </w:rPr>
        <w:t xml:space="preserve"> de la Sentencia.</w:t>
      </w:r>
    </w:p>
    <w:p w14:paraId="7872B0B6" w14:textId="77777777" w:rsidR="00572BBA" w:rsidRPr="0064597D" w:rsidRDefault="00572BBA" w:rsidP="00572BBA">
      <w:pPr>
        <w:tabs>
          <w:tab w:val="left" w:pos="0"/>
        </w:tabs>
        <w:spacing w:line="240" w:lineRule="auto"/>
        <w:textAlignment w:val="auto"/>
        <w:rPr>
          <w:rFonts w:eastAsia="MS Mincho"/>
          <w:i/>
          <w:sz w:val="20"/>
          <w:szCs w:val="20"/>
          <w:lang w:bidi="en-US"/>
        </w:rPr>
      </w:pPr>
    </w:p>
    <w:p w14:paraId="6C0C94F8" w14:textId="4206E4D8" w:rsidR="00572BBA" w:rsidRPr="0064597D" w:rsidRDefault="00572BBA" w:rsidP="00D0432D">
      <w:pPr>
        <w:numPr>
          <w:ilvl w:val="0"/>
          <w:numId w:val="1"/>
        </w:numPr>
        <w:tabs>
          <w:tab w:val="left" w:pos="0"/>
        </w:tabs>
        <w:spacing w:line="240" w:lineRule="auto"/>
        <w:ind w:left="0" w:firstLine="0"/>
        <w:textAlignment w:val="auto"/>
        <w:rPr>
          <w:rFonts w:eastAsia="MS Mincho"/>
          <w:i/>
          <w:sz w:val="20"/>
          <w:szCs w:val="20"/>
          <w:lang w:bidi="en-US"/>
        </w:rPr>
      </w:pPr>
      <w:r w:rsidRPr="0064597D">
        <w:rPr>
          <w:rFonts w:eastAsia="MS Mincho"/>
          <w:sz w:val="20"/>
          <w:szCs w:val="20"/>
          <w:lang w:bidi="en-US"/>
        </w:rPr>
        <w:t xml:space="preserve">Respecto a la realización del acto de reconocimiento </w:t>
      </w:r>
      <w:r w:rsidRPr="0064597D">
        <w:rPr>
          <w:rFonts w:cs="Arial"/>
          <w:sz w:val="20"/>
          <w:szCs w:val="20"/>
        </w:rPr>
        <w:t>de responsabilidad</w:t>
      </w:r>
      <w:r w:rsidRPr="0064597D">
        <w:rPr>
          <w:rFonts w:eastAsia="MS Mincho"/>
          <w:sz w:val="20"/>
          <w:szCs w:val="20"/>
          <w:lang w:bidi="en-US"/>
        </w:rPr>
        <w:t xml:space="preserve"> solicitado por las representantes, este T</w:t>
      </w:r>
      <w:r w:rsidRPr="0064597D">
        <w:rPr>
          <w:sz w:val="20"/>
          <w:szCs w:val="20"/>
          <w:lang w:val="es-PE"/>
        </w:rPr>
        <w:t xml:space="preserve">ribunal considera que la </w:t>
      </w:r>
      <w:r w:rsidRPr="0064597D">
        <w:rPr>
          <w:rFonts w:cs="Arial"/>
          <w:sz w:val="20"/>
          <w:szCs w:val="20"/>
        </w:rPr>
        <w:t>emisión</w:t>
      </w:r>
      <w:r w:rsidRPr="0064597D">
        <w:rPr>
          <w:sz w:val="20"/>
          <w:szCs w:val="20"/>
          <w:lang w:val="es-PE"/>
        </w:rPr>
        <w:t xml:space="preserve"> de la presente Sentencia y las reparaciones ordenadas en la misma resultan suficientes y adecuadas.</w:t>
      </w:r>
    </w:p>
    <w:p w14:paraId="6B7008CE" w14:textId="73C527DA" w:rsidR="00413443" w:rsidRPr="0064597D" w:rsidRDefault="00E068B2" w:rsidP="00377181">
      <w:pPr>
        <w:pStyle w:val="Ttulo3"/>
      </w:pPr>
      <w:bookmarkStart w:id="110" w:name="_Toc15064200"/>
      <w:bookmarkStart w:id="111" w:name="_Toc15933776"/>
      <w:bookmarkStart w:id="112" w:name="_Toc24014578"/>
      <w:r w:rsidRPr="0064597D">
        <w:t>c</w:t>
      </w:r>
      <w:r w:rsidR="00413443" w:rsidRPr="0064597D">
        <w:t>.</w:t>
      </w:r>
      <w:r w:rsidR="006958DA" w:rsidRPr="0064597D">
        <w:t>2</w:t>
      </w:r>
      <w:r w:rsidR="00413443" w:rsidRPr="0064597D">
        <w:t xml:space="preserve"> </w:t>
      </w:r>
      <w:r w:rsidR="00413443" w:rsidRPr="0064597D">
        <w:tab/>
        <w:t>Garantías de no repetición</w:t>
      </w:r>
      <w:bookmarkEnd w:id="110"/>
      <w:bookmarkEnd w:id="111"/>
      <w:bookmarkEnd w:id="112"/>
    </w:p>
    <w:p w14:paraId="5420BEDD" w14:textId="12F4C18A" w:rsidR="00E5477C" w:rsidRPr="0064597D" w:rsidRDefault="00413443" w:rsidP="00413443">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MS Mincho"/>
          <w:sz w:val="20"/>
          <w:szCs w:val="20"/>
          <w:lang w:bidi="en-US"/>
        </w:rPr>
        <w:t xml:space="preserve">La </w:t>
      </w:r>
      <w:r w:rsidRPr="0064597D">
        <w:rPr>
          <w:rFonts w:eastAsia="MS Mincho" w:cs="Verdana"/>
          <w:b/>
          <w:i/>
          <w:sz w:val="20"/>
          <w:szCs w:val="20"/>
          <w:lang w:bidi="en-US"/>
        </w:rPr>
        <w:t>Comisión</w:t>
      </w:r>
      <w:r w:rsidRPr="0064597D">
        <w:rPr>
          <w:rFonts w:eastAsia="MS Mincho"/>
          <w:sz w:val="20"/>
          <w:szCs w:val="20"/>
          <w:lang w:bidi="en-US"/>
        </w:rPr>
        <w:t xml:space="preserve"> solicitó a</w:t>
      </w:r>
      <w:r w:rsidRPr="0064597D">
        <w:rPr>
          <w:sz w:val="20"/>
          <w:szCs w:val="20"/>
        </w:rPr>
        <w:t xml:space="preserve"> la</w:t>
      </w:r>
      <w:r w:rsidR="005A2275" w:rsidRPr="0064597D">
        <w:rPr>
          <w:sz w:val="20"/>
          <w:szCs w:val="20"/>
        </w:rPr>
        <w:t xml:space="preserve"> Corte</w:t>
      </w:r>
      <w:r w:rsidRPr="0064597D">
        <w:rPr>
          <w:sz w:val="20"/>
          <w:szCs w:val="20"/>
        </w:rPr>
        <w:t xml:space="preserve"> </w:t>
      </w:r>
      <w:r w:rsidR="005A2275" w:rsidRPr="0064597D">
        <w:rPr>
          <w:sz w:val="20"/>
          <w:szCs w:val="20"/>
        </w:rPr>
        <w:t xml:space="preserve">que, </w:t>
      </w:r>
      <w:r w:rsidR="005A2275" w:rsidRPr="0064597D">
        <w:rPr>
          <w:rFonts w:cs="Cambria"/>
          <w:sz w:val="20"/>
          <w:szCs w:val="20"/>
        </w:rPr>
        <w:t xml:space="preserve">en la medida en que el señor Ruiz Fuentes no contó con una revisión integral de su condena de primera instancia, que se ordenara la </w:t>
      </w:r>
      <w:r w:rsidR="005A2275" w:rsidRPr="0064597D">
        <w:rPr>
          <w:rFonts w:cs="Cambria"/>
          <w:spacing w:val="-2"/>
          <w:sz w:val="20"/>
          <w:szCs w:val="20"/>
        </w:rPr>
        <w:t>a</w:t>
      </w:r>
      <w:r w:rsidR="005A2275" w:rsidRPr="0064597D">
        <w:rPr>
          <w:rFonts w:cs="Cambria"/>
          <w:sz w:val="20"/>
          <w:szCs w:val="20"/>
        </w:rPr>
        <w:t>d</w:t>
      </w:r>
      <w:r w:rsidR="005A2275" w:rsidRPr="0064597D">
        <w:rPr>
          <w:rFonts w:cs="Cambria"/>
          <w:spacing w:val="-2"/>
          <w:sz w:val="20"/>
          <w:szCs w:val="20"/>
        </w:rPr>
        <w:t>e</w:t>
      </w:r>
      <w:r w:rsidR="005A2275" w:rsidRPr="0064597D">
        <w:rPr>
          <w:rFonts w:cs="Cambria"/>
          <w:spacing w:val="1"/>
          <w:sz w:val="20"/>
          <w:szCs w:val="20"/>
        </w:rPr>
        <w:t>c</w:t>
      </w:r>
      <w:r w:rsidR="005A2275" w:rsidRPr="0064597D">
        <w:rPr>
          <w:rFonts w:cs="Cambria"/>
          <w:sz w:val="20"/>
          <w:szCs w:val="20"/>
        </w:rPr>
        <w:t>u</w:t>
      </w:r>
      <w:r w:rsidR="005A2275" w:rsidRPr="0064597D">
        <w:rPr>
          <w:rFonts w:cs="Cambria"/>
          <w:spacing w:val="-2"/>
          <w:sz w:val="20"/>
          <w:szCs w:val="20"/>
        </w:rPr>
        <w:t>a</w:t>
      </w:r>
      <w:r w:rsidR="005A2275" w:rsidRPr="0064597D">
        <w:rPr>
          <w:rFonts w:cs="Cambria"/>
          <w:spacing w:val="1"/>
          <w:sz w:val="20"/>
          <w:szCs w:val="20"/>
        </w:rPr>
        <w:t>c</w:t>
      </w:r>
      <w:r w:rsidR="005A2275" w:rsidRPr="0064597D">
        <w:rPr>
          <w:rFonts w:cs="Cambria"/>
          <w:spacing w:val="-1"/>
          <w:sz w:val="20"/>
          <w:szCs w:val="20"/>
        </w:rPr>
        <w:t>i</w:t>
      </w:r>
      <w:r w:rsidR="005A2275" w:rsidRPr="0064597D">
        <w:rPr>
          <w:rFonts w:cs="Cambria"/>
          <w:sz w:val="20"/>
          <w:szCs w:val="20"/>
        </w:rPr>
        <w:t xml:space="preserve">ón </w:t>
      </w:r>
      <w:r w:rsidR="005A2275" w:rsidRPr="0064597D">
        <w:rPr>
          <w:rFonts w:cs="Cambria"/>
          <w:spacing w:val="-1"/>
          <w:sz w:val="20"/>
          <w:szCs w:val="20"/>
        </w:rPr>
        <w:t>n</w:t>
      </w:r>
      <w:r w:rsidR="005A2275" w:rsidRPr="0064597D">
        <w:rPr>
          <w:rFonts w:cs="Cambria"/>
          <w:sz w:val="20"/>
          <w:szCs w:val="20"/>
        </w:rPr>
        <w:t>o</w:t>
      </w:r>
      <w:r w:rsidR="005A2275" w:rsidRPr="0064597D">
        <w:rPr>
          <w:rFonts w:cs="Cambria"/>
          <w:spacing w:val="-3"/>
          <w:sz w:val="20"/>
          <w:szCs w:val="20"/>
        </w:rPr>
        <w:t>r</w:t>
      </w:r>
      <w:r w:rsidR="005A2275" w:rsidRPr="0064597D">
        <w:rPr>
          <w:rFonts w:cs="Cambria"/>
          <w:spacing w:val="1"/>
          <w:sz w:val="20"/>
          <w:szCs w:val="20"/>
        </w:rPr>
        <w:t>m</w:t>
      </w:r>
      <w:r w:rsidR="005A2275" w:rsidRPr="0064597D">
        <w:rPr>
          <w:rFonts w:cs="Cambria"/>
          <w:sz w:val="20"/>
          <w:szCs w:val="20"/>
        </w:rPr>
        <w:t>at</w:t>
      </w:r>
      <w:r w:rsidR="005A2275" w:rsidRPr="0064597D">
        <w:rPr>
          <w:rFonts w:cs="Cambria"/>
          <w:spacing w:val="1"/>
          <w:sz w:val="20"/>
          <w:szCs w:val="20"/>
        </w:rPr>
        <w:t>i</w:t>
      </w:r>
      <w:r w:rsidR="005A2275" w:rsidRPr="0064597D">
        <w:rPr>
          <w:rFonts w:cs="Cambria"/>
          <w:spacing w:val="-1"/>
          <w:sz w:val="20"/>
          <w:szCs w:val="20"/>
        </w:rPr>
        <w:t>v</w:t>
      </w:r>
      <w:r w:rsidR="005A2275" w:rsidRPr="0064597D">
        <w:rPr>
          <w:rFonts w:cs="Cambria"/>
          <w:sz w:val="20"/>
          <w:szCs w:val="20"/>
        </w:rPr>
        <w:t>a</w:t>
      </w:r>
      <w:r w:rsidR="005A2275" w:rsidRPr="0064597D">
        <w:rPr>
          <w:rFonts w:cs="Cambria"/>
          <w:spacing w:val="47"/>
          <w:sz w:val="20"/>
          <w:szCs w:val="20"/>
        </w:rPr>
        <w:t xml:space="preserve"> </w:t>
      </w:r>
      <w:r w:rsidR="005A2275" w:rsidRPr="0064597D">
        <w:rPr>
          <w:rFonts w:cs="Cambria"/>
          <w:sz w:val="20"/>
          <w:szCs w:val="20"/>
        </w:rPr>
        <w:t>del re</w:t>
      </w:r>
      <w:r w:rsidR="005A2275" w:rsidRPr="0064597D">
        <w:rPr>
          <w:rFonts w:cs="Cambria"/>
          <w:spacing w:val="1"/>
          <w:sz w:val="20"/>
          <w:szCs w:val="20"/>
        </w:rPr>
        <w:t>c</w:t>
      </w:r>
      <w:r w:rsidR="005A2275" w:rsidRPr="0064597D">
        <w:rPr>
          <w:rFonts w:cs="Cambria"/>
          <w:sz w:val="20"/>
          <w:szCs w:val="20"/>
        </w:rPr>
        <w:t>u</w:t>
      </w:r>
      <w:r w:rsidR="005A2275" w:rsidRPr="0064597D">
        <w:rPr>
          <w:rFonts w:cs="Cambria"/>
          <w:spacing w:val="-3"/>
          <w:sz w:val="20"/>
          <w:szCs w:val="20"/>
        </w:rPr>
        <w:t>r</w:t>
      </w:r>
      <w:r w:rsidR="005A2275" w:rsidRPr="0064597D">
        <w:rPr>
          <w:rFonts w:cs="Cambria"/>
          <w:spacing w:val="1"/>
          <w:sz w:val="20"/>
          <w:szCs w:val="20"/>
        </w:rPr>
        <w:t>s</w:t>
      </w:r>
      <w:r w:rsidR="005A2275" w:rsidRPr="0064597D">
        <w:rPr>
          <w:rFonts w:cs="Cambria"/>
          <w:sz w:val="20"/>
          <w:szCs w:val="20"/>
        </w:rPr>
        <w:t xml:space="preserve">o </w:t>
      </w:r>
      <w:r w:rsidR="005A2275" w:rsidRPr="0064597D">
        <w:rPr>
          <w:rFonts w:cs="Cambria"/>
          <w:spacing w:val="-2"/>
          <w:sz w:val="20"/>
          <w:szCs w:val="20"/>
        </w:rPr>
        <w:t>d</w:t>
      </w:r>
      <w:r w:rsidR="005A2275" w:rsidRPr="0064597D">
        <w:rPr>
          <w:rFonts w:cs="Cambria"/>
          <w:sz w:val="20"/>
          <w:szCs w:val="20"/>
        </w:rPr>
        <w:t>e apel</w:t>
      </w:r>
      <w:r w:rsidR="005A2275" w:rsidRPr="0064597D">
        <w:rPr>
          <w:rFonts w:cs="Cambria"/>
          <w:spacing w:val="-2"/>
          <w:sz w:val="20"/>
          <w:szCs w:val="20"/>
        </w:rPr>
        <w:t>a</w:t>
      </w:r>
      <w:r w:rsidR="005A2275" w:rsidRPr="0064597D">
        <w:rPr>
          <w:rFonts w:cs="Cambria"/>
          <w:spacing w:val="1"/>
          <w:sz w:val="20"/>
          <w:szCs w:val="20"/>
        </w:rPr>
        <w:t>c</w:t>
      </w:r>
      <w:r w:rsidR="005A2275" w:rsidRPr="0064597D">
        <w:rPr>
          <w:rFonts w:cs="Cambria"/>
          <w:spacing w:val="-1"/>
          <w:sz w:val="20"/>
          <w:szCs w:val="20"/>
        </w:rPr>
        <w:t>i</w:t>
      </w:r>
      <w:r w:rsidR="005A2275" w:rsidRPr="0064597D">
        <w:rPr>
          <w:rFonts w:cs="Cambria"/>
          <w:sz w:val="20"/>
          <w:szCs w:val="20"/>
        </w:rPr>
        <w:t>ó</w:t>
      </w:r>
      <w:r w:rsidR="005A2275" w:rsidRPr="0064597D">
        <w:rPr>
          <w:rFonts w:cs="Cambria"/>
          <w:spacing w:val="-1"/>
          <w:sz w:val="20"/>
          <w:szCs w:val="20"/>
        </w:rPr>
        <w:t>n</w:t>
      </w:r>
      <w:r w:rsidR="005A2275" w:rsidRPr="0064597D">
        <w:rPr>
          <w:rFonts w:cs="Cambria"/>
          <w:sz w:val="20"/>
          <w:szCs w:val="20"/>
        </w:rPr>
        <w:t>, a f</w:t>
      </w:r>
      <w:r w:rsidR="005A2275" w:rsidRPr="0064597D">
        <w:rPr>
          <w:rFonts w:cs="Cambria"/>
          <w:spacing w:val="1"/>
          <w:sz w:val="20"/>
          <w:szCs w:val="20"/>
        </w:rPr>
        <w:t>i</w:t>
      </w:r>
      <w:r w:rsidR="005A2275" w:rsidRPr="0064597D">
        <w:rPr>
          <w:rFonts w:cs="Cambria"/>
          <w:sz w:val="20"/>
          <w:szCs w:val="20"/>
        </w:rPr>
        <w:t>n</w:t>
      </w:r>
      <w:r w:rsidR="005A2275" w:rsidRPr="0064597D">
        <w:rPr>
          <w:rFonts w:cs="Cambria"/>
          <w:spacing w:val="-4"/>
          <w:sz w:val="20"/>
          <w:szCs w:val="20"/>
        </w:rPr>
        <w:t xml:space="preserve"> </w:t>
      </w:r>
      <w:r w:rsidR="005A2275" w:rsidRPr="0064597D">
        <w:rPr>
          <w:rFonts w:cs="Cambria"/>
          <w:sz w:val="20"/>
          <w:szCs w:val="20"/>
        </w:rPr>
        <w:t xml:space="preserve">de </w:t>
      </w:r>
      <w:r w:rsidR="005A2275" w:rsidRPr="0064597D">
        <w:rPr>
          <w:rFonts w:cs="Cambria"/>
          <w:spacing w:val="-1"/>
          <w:sz w:val="20"/>
          <w:szCs w:val="20"/>
        </w:rPr>
        <w:t>q</w:t>
      </w:r>
      <w:r w:rsidR="005A2275" w:rsidRPr="0064597D">
        <w:rPr>
          <w:rFonts w:cs="Cambria"/>
          <w:sz w:val="20"/>
          <w:szCs w:val="20"/>
        </w:rPr>
        <w:t xml:space="preserve">ue </w:t>
      </w:r>
      <w:r w:rsidR="005A2275" w:rsidRPr="0064597D">
        <w:rPr>
          <w:rFonts w:cs="Cambria"/>
          <w:spacing w:val="1"/>
          <w:sz w:val="20"/>
          <w:szCs w:val="20"/>
        </w:rPr>
        <w:t>c</w:t>
      </w:r>
      <w:r w:rsidR="005A2275" w:rsidRPr="0064597D">
        <w:rPr>
          <w:rFonts w:cs="Cambria"/>
          <w:spacing w:val="-2"/>
          <w:sz w:val="20"/>
          <w:szCs w:val="20"/>
        </w:rPr>
        <w:t>u</w:t>
      </w:r>
      <w:r w:rsidR="005A2275" w:rsidRPr="0064597D">
        <w:rPr>
          <w:rFonts w:cs="Cambria"/>
          <w:spacing w:val="1"/>
          <w:sz w:val="20"/>
          <w:szCs w:val="20"/>
        </w:rPr>
        <w:t>m</w:t>
      </w:r>
      <w:r w:rsidR="005A2275" w:rsidRPr="0064597D">
        <w:rPr>
          <w:rFonts w:cs="Cambria"/>
          <w:sz w:val="20"/>
          <w:szCs w:val="20"/>
        </w:rPr>
        <w:t>pla</w:t>
      </w:r>
      <w:r w:rsidR="005A2275" w:rsidRPr="0064597D">
        <w:rPr>
          <w:rFonts w:cs="Cambria"/>
          <w:spacing w:val="-3"/>
          <w:sz w:val="20"/>
          <w:szCs w:val="20"/>
        </w:rPr>
        <w:t xml:space="preserve"> </w:t>
      </w:r>
      <w:r w:rsidR="005A2275" w:rsidRPr="0064597D">
        <w:rPr>
          <w:rFonts w:cs="Cambria"/>
          <w:spacing w:val="1"/>
          <w:sz w:val="20"/>
          <w:szCs w:val="20"/>
        </w:rPr>
        <w:t>c</w:t>
      </w:r>
      <w:r w:rsidR="005A2275" w:rsidRPr="0064597D">
        <w:rPr>
          <w:rFonts w:cs="Cambria"/>
          <w:sz w:val="20"/>
          <w:szCs w:val="20"/>
        </w:rPr>
        <w:t>on</w:t>
      </w:r>
      <w:r w:rsidR="005A2275" w:rsidRPr="0064597D">
        <w:rPr>
          <w:rFonts w:cs="Cambria"/>
          <w:spacing w:val="-1"/>
          <w:sz w:val="20"/>
          <w:szCs w:val="20"/>
        </w:rPr>
        <w:t xml:space="preserve"> </w:t>
      </w:r>
      <w:r w:rsidR="005A2275" w:rsidRPr="0064597D">
        <w:rPr>
          <w:rFonts w:cs="Cambria"/>
          <w:sz w:val="20"/>
          <w:szCs w:val="20"/>
        </w:rPr>
        <w:t xml:space="preserve">el </w:t>
      </w:r>
      <w:r w:rsidR="005A2275" w:rsidRPr="0064597D">
        <w:rPr>
          <w:rFonts w:cs="Cambria"/>
          <w:spacing w:val="-2"/>
          <w:sz w:val="20"/>
          <w:szCs w:val="20"/>
        </w:rPr>
        <w:t>e</w:t>
      </w:r>
      <w:r w:rsidR="005A2275" w:rsidRPr="0064597D">
        <w:rPr>
          <w:rFonts w:cs="Cambria"/>
          <w:spacing w:val="1"/>
          <w:sz w:val="20"/>
          <w:szCs w:val="20"/>
        </w:rPr>
        <w:t>s</w:t>
      </w:r>
      <w:r w:rsidR="005A2275" w:rsidRPr="0064597D">
        <w:rPr>
          <w:rFonts w:cs="Cambria"/>
          <w:sz w:val="20"/>
          <w:szCs w:val="20"/>
        </w:rPr>
        <w:t>t</w:t>
      </w:r>
      <w:r w:rsidR="005A2275" w:rsidRPr="0064597D">
        <w:rPr>
          <w:rFonts w:cs="Cambria"/>
          <w:spacing w:val="-2"/>
          <w:sz w:val="20"/>
          <w:szCs w:val="20"/>
        </w:rPr>
        <w:t>á</w:t>
      </w:r>
      <w:r w:rsidR="005A2275" w:rsidRPr="0064597D">
        <w:rPr>
          <w:rFonts w:cs="Cambria"/>
          <w:spacing w:val="-1"/>
          <w:sz w:val="20"/>
          <w:szCs w:val="20"/>
        </w:rPr>
        <w:t>n</w:t>
      </w:r>
      <w:r w:rsidR="005A2275" w:rsidRPr="0064597D">
        <w:rPr>
          <w:rFonts w:cs="Cambria"/>
          <w:sz w:val="20"/>
          <w:szCs w:val="20"/>
        </w:rPr>
        <w:t>dar</w:t>
      </w:r>
      <w:r w:rsidR="005A2275" w:rsidRPr="0064597D">
        <w:rPr>
          <w:rFonts w:cs="Cambria"/>
          <w:spacing w:val="-1"/>
          <w:sz w:val="20"/>
          <w:szCs w:val="20"/>
        </w:rPr>
        <w:t xml:space="preserve"> </w:t>
      </w:r>
      <w:r w:rsidR="005A2275" w:rsidRPr="0064597D">
        <w:rPr>
          <w:rFonts w:cs="Cambria"/>
          <w:sz w:val="20"/>
          <w:szCs w:val="20"/>
        </w:rPr>
        <w:t>de repar</w:t>
      </w:r>
      <w:r w:rsidR="005A2275" w:rsidRPr="0064597D">
        <w:rPr>
          <w:rFonts w:cs="Cambria"/>
          <w:spacing w:val="-2"/>
          <w:sz w:val="20"/>
          <w:szCs w:val="20"/>
        </w:rPr>
        <w:t>a</w:t>
      </w:r>
      <w:r w:rsidR="005A2275" w:rsidRPr="0064597D">
        <w:rPr>
          <w:rFonts w:cs="Cambria"/>
          <w:spacing w:val="1"/>
          <w:sz w:val="20"/>
          <w:szCs w:val="20"/>
        </w:rPr>
        <w:t>c</w:t>
      </w:r>
      <w:r w:rsidR="005A2275" w:rsidRPr="0064597D">
        <w:rPr>
          <w:rFonts w:cs="Cambria"/>
          <w:spacing w:val="-1"/>
          <w:sz w:val="20"/>
          <w:szCs w:val="20"/>
        </w:rPr>
        <w:t>i</w:t>
      </w:r>
      <w:r w:rsidR="005A2275" w:rsidRPr="0064597D">
        <w:rPr>
          <w:rFonts w:cs="Cambria"/>
          <w:sz w:val="20"/>
          <w:szCs w:val="20"/>
        </w:rPr>
        <w:t>ón</w:t>
      </w:r>
      <w:r w:rsidR="005A2275" w:rsidRPr="0064597D">
        <w:rPr>
          <w:rFonts w:cs="Cambria"/>
          <w:spacing w:val="-1"/>
          <w:sz w:val="20"/>
          <w:szCs w:val="20"/>
        </w:rPr>
        <w:t xml:space="preserve"> </w:t>
      </w:r>
      <w:r w:rsidR="005A2275" w:rsidRPr="0064597D">
        <w:rPr>
          <w:rFonts w:cs="Cambria"/>
          <w:spacing w:val="1"/>
          <w:sz w:val="20"/>
          <w:szCs w:val="20"/>
        </w:rPr>
        <w:t>i</w:t>
      </w:r>
      <w:r w:rsidR="005A2275" w:rsidRPr="0064597D">
        <w:rPr>
          <w:rFonts w:cs="Cambria"/>
          <w:spacing w:val="-1"/>
          <w:sz w:val="20"/>
          <w:szCs w:val="20"/>
        </w:rPr>
        <w:t>n</w:t>
      </w:r>
      <w:r w:rsidR="005A2275" w:rsidRPr="0064597D">
        <w:rPr>
          <w:rFonts w:cs="Cambria"/>
          <w:sz w:val="20"/>
          <w:szCs w:val="20"/>
        </w:rPr>
        <w:t>te</w:t>
      </w:r>
      <w:r w:rsidR="005A2275" w:rsidRPr="0064597D">
        <w:rPr>
          <w:rFonts w:cs="Cambria"/>
          <w:spacing w:val="-1"/>
          <w:sz w:val="20"/>
          <w:szCs w:val="20"/>
        </w:rPr>
        <w:t>g</w:t>
      </w:r>
      <w:r w:rsidR="005A2275" w:rsidRPr="0064597D">
        <w:rPr>
          <w:rFonts w:cs="Cambria"/>
          <w:spacing w:val="-3"/>
          <w:sz w:val="20"/>
          <w:szCs w:val="20"/>
        </w:rPr>
        <w:t>r</w:t>
      </w:r>
      <w:r w:rsidR="005A2275" w:rsidRPr="0064597D">
        <w:rPr>
          <w:rFonts w:cs="Cambria"/>
          <w:sz w:val="20"/>
          <w:szCs w:val="20"/>
        </w:rPr>
        <w:t>al</w:t>
      </w:r>
      <w:r w:rsidR="005A2275" w:rsidRPr="0064597D">
        <w:rPr>
          <w:sz w:val="20"/>
          <w:szCs w:val="20"/>
        </w:rPr>
        <w:t xml:space="preserve">. </w:t>
      </w:r>
    </w:p>
    <w:p w14:paraId="48569165" w14:textId="77777777" w:rsidR="00E5477C" w:rsidRPr="0064597D" w:rsidRDefault="00E5477C" w:rsidP="00E5477C">
      <w:pPr>
        <w:tabs>
          <w:tab w:val="left" w:pos="567"/>
        </w:tabs>
        <w:spacing w:line="240" w:lineRule="auto"/>
        <w:textAlignment w:val="auto"/>
        <w:rPr>
          <w:rFonts w:eastAsia="MS Mincho"/>
          <w:sz w:val="20"/>
          <w:szCs w:val="20"/>
          <w:lang w:bidi="en-US"/>
        </w:rPr>
      </w:pPr>
    </w:p>
    <w:p w14:paraId="15AA7A76" w14:textId="7EB793D0" w:rsidR="00E5477C" w:rsidRPr="0064597D" w:rsidRDefault="00E5477C" w:rsidP="00E5477C">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En cuanto al marco normativo que regula la pena de muerte, la Comisión solicitó que el Estado de Guatemala adoptara las medidas legislativas, administrativas y de otra índole necesaria para que la legislación interna sea consistente con dicha práctica y así continuar en el camino hacia la abolición de la pena de muerte. Asimismo, solicitó a la Corte que, en virtud del artículo 4.2 de la Convención,</w:t>
      </w:r>
      <w:r w:rsidRPr="0064597D">
        <w:rPr>
          <w:rFonts w:cs="Cambria"/>
          <w:sz w:val="20"/>
          <w:szCs w:val="20"/>
        </w:rPr>
        <w:t xml:space="preserve"> establezca que</w:t>
      </w:r>
      <w:r w:rsidRPr="0064597D">
        <w:rPr>
          <w:sz w:val="20"/>
          <w:szCs w:val="20"/>
        </w:rPr>
        <w:t xml:space="preserve"> el Estado </w:t>
      </w:r>
      <w:r w:rsidRPr="0064597D">
        <w:rPr>
          <w:rFonts w:cs="Cambria"/>
          <w:sz w:val="20"/>
          <w:szCs w:val="20"/>
        </w:rPr>
        <w:t>tiene una prohibición absoluta a futuro de reestablecer la pena de muerte, tomando en cuenta la situación actual.</w:t>
      </w:r>
    </w:p>
    <w:p w14:paraId="4828CC78" w14:textId="77777777" w:rsidR="00E5477C" w:rsidRPr="0064597D" w:rsidRDefault="00E5477C" w:rsidP="00E5477C">
      <w:pPr>
        <w:tabs>
          <w:tab w:val="left" w:pos="567"/>
        </w:tabs>
        <w:spacing w:line="240" w:lineRule="auto"/>
        <w:textAlignment w:val="auto"/>
        <w:rPr>
          <w:rFonts w:eastAsia="MS Mincho"/>
          <w:sz w:val="20"/>
          <w:szCs w:val="20"/>
          <w:lang w:bidi="en-US"/>
        </w:rPr>
      </w:pPr>
    </w:p>
    <w:p w14:paraId="0638B97C" w14:textId="63AE9B88" w:rsidR="00413443" w:rsidRPr="0064597D" w:rsidRDefault="00413443" w:rsidP="00413443">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 xml:space="preserve">En cuanto a la prohibición de tortura, </w:t>
      </w:r>
      <w:r w:rsidR="00E5477C" w:rsidRPr="0064597D">
        <w:rPr>
          <w:sz w:val="20"/>
          <w:szCs w:val="20"/>
        </w:rPr>
        <w:t xml:space="preserve">la Comisión consideró que </w:t>
      </w:r>
      <w:r w:rsidRPr="0064597D">
        <w:rPr>
          <w:sz w:val="20"/>
          <w:szCs w:val="20"/>
        </w:rPr>
        <w:t xml:space="preserve">el Estado debe adoptar medidas administrativas y de otra índole dirigidas a capacitar a los cuerpos de seguridad en la prohibición </w:t>
      </w:r>
      <w:r w:rsidRPr="0064597D">
        <w:rPr>
          <w:sz w:val="20"/>
          <w:szCs w:val="20"/>
        </w:rPr>
        <w:lastRenderedPageBreak/>
        <w:t xml:space="preserve">absoluta de la </w:t>
      </w:r>
      <w:r w:rsidR="00E5477C" w:rsidRPr="0064597D">
        <w:rPr>
          <w:sz w:val="20"/>
          <w:szCs w:val="20"/>
        </w:rPr>
        <w:t xml:space="preserve">tortura, así como </w:t>
      </w:r>
      <w:r w:rsidRPr="0064597D">
        <w:rPr>
          <w:sz w:val="20"/>
          <w:szCs w:val="20"/>
        </w:rPr>
        <w:t xml:space="preserve">realizar capacitaciones sobre el uso de la fuerza conforme a los estándares internacionales en el marco de operativos de captura de personas privadas de libertad que se hayan dado a la fuga de los centros de detención. </w:t>
      </w:r>
    </w:p>
    <w:p w14:paraId="1F096D74" w14:textId="77777777" w:rsidR="00E35EC6" w:rsidRPr="0064597D" w:rsidRDefault="00E35EC6" w:rsidP="00E35EC6">
      <w:pPr>
        <w:tabs>
          <w:tab w:val="left" w:pos="567"/>
        </w:tabs>
        <w:spacing w:line="240" w:lineRule="auto"/>
        <w:textAlignment w:val="auto"/>
        <w:rPr>
          <w:rFonts w:eastAsia="MS Mincho"/>
          <w:sz w:val="20"/>
          <w:szCs w:val="20"/>
          <w:lang w:bidi="en-US"/>
        </w:rPr>
      </w:pPr>
    </w:p>
    <w:p w14:paraId="1A7342DA" w14:textId="3C918BBF" w:rsidR="00413443" w:rsidRPr="0064597D" w:rsidRDefault="00413443" w:rsidP="00E5477C">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MS Mincho"/>
          <w:iCs/>
          <w:sz w:val="20"/>
          <w:szCs w:val="20"/>
          <w:lang w:bidi="en-US"/>
        </w:rPr>
        <w:t xml:space="preserve">Las </w:t>
      </w:r>
      <w:r w:rsidRPr="0064597D">
        <w:rPr>
          <w:rFonts w:eastAsia="MS Mincho"/>
          <w:b/>
          <w:i/>
          <w:iCs/>
          <w:sz w:val="20"/>
          <w:szCs w:val="20"/>
          <w:lang w:bidi="en-US"/>
        </w:rPr>
        <w:t>representantes</w:t>
      </w:r>
      <w:r w:rsidR="002808D1" w:rsidRPr="0064597D">
        <w:rPr>
          <w:rFonts w:eastAsia="MS Mincho"/>
          <w:sz w:val="20"/>
          <w:szCs w:val="20"/>
          <w:lang w:bidi="en-US"/>
        </w:rPr>
        <w:t xml:space="preserve"> coincidieron </w:t>
      </w:r>
      <w:r w:rsidR="00E5477C" w:rsidRPr="0064597D">
        <w:rPr>
          <w:rFonts w:eastAsia="MS Mincho"/>
          <w:sz w:val="20"/>
          <w:szCs w:val="20"/>
          <w:lang w:bidi="en-US"/>
        </w:rPr>
        <w:t>con las</w:t>
      </w:r>
      <w:r w:rsidR="002808D1" w:rsidRPr="0064597D">
        <w:rPr>
          <w:rFonts w:eastAsia="MS Mincho"/>
          <w:sz w:val="20"/>
          <w:szCs w:val="20"/>
          <w:lang w:bidi="en-US"/>
        </w:rPr>
        <w:t xml:space="preserve"> </w:t>
      </w:r>
      <w:r w:rsidR="00E5477C" w:rsidRPr="0064597D">
        <w:rPr>
          <w:rFonts w:eastAsia="MS Mincho"/>
          <w:sz w:val="20"/>
          <w:szCs w:val="20"/>
          <w:lang w:bidi="en-US"/>
        </w:rPr>
        <w:t>peticiones formuladas</w:t>
      </w:r>
      <w:r w:rsidR="002808D1" w:rsidRPr="0064597D">
        <w:rPr>
          <w:rFonts w:eastAsia="MS Mincho"/>
          <w:sz w:val="20"/>
          <w:szCs w:val="20"/>
          <w:lang w:bidi="en-US"/>
        </w:rPr>
        <w:t xml:space="preserve"> </w:t>
      </w:r>
      <w:r w:rsidR="00E5477C" w:rsidRPr="0064597D">
        <w:rPr>
          <w:rFonts w:eastAsia="MS Mincho"/>
          <w:sz w:val="20"/>
          <w:szCs w:val="20"/>
          <w:lang w:bidi="en-US"/>
        </w:rPr>
        <w:t>por</w:t>
      </w:r>
      <w:r w:rsidR="002808D1" w:rsidRPr="0064597D">
        <w:rPr>
          <w:rFonts w:eastAsia="MS Mincho"/>
          <w:sz w:val="20"/>
          <w:szCs w:val="20"/>
          <w:lang w:bidi="en-US"/>
        </w:rPr>
        <w:t xml:space="preserve"> </w:t>
      </w:r>
      <w:r w:rsidR="00E5477C" w:rsidRPr="0064597D">
        <w:rPr>
          <w:rFonts w:eastAsia="MS Mincho"/>
          <w:sz w:val="20"/>
          <w:szCs w:val="20"/>
          <w:lang w:bidi="en-US"/>
        </w:rPr>
        <w:t xml:space="preserve">la </w:t>
      </w:r>
      <w:r w:rsidR="002808D1" w:rsidRPr="0064597D">
        <w:rPr>
          <w:rFonts w:eastAsia="MS Mincho"/>
          <w:sz w:val="20"/>
          <w:szCs w:val="20"/>
          <w:lang w:bidi="en-US"/>
        </w:rPr>
        <w:t>C</w:t>
      </w:r>
      <w:r w:rsidR="00E5477C" w:rsidRPr="0064597D">
        <w:rPr>
          <w:sz w:val="20"/>
          <w:szCs w:val="20"/>
        </w:rPr>
        <w:t xml:space="preserve">omisión. Adicionalmente </w:t>
      </w:r>
      <w:r w:rsidR="000B4B2C" w:rsidRPr="0064597D">
        <w:rPr>
          <w:rFonts w:cs="Arial"/>
          <w:sz w:val="20"/>
          <w:szCs w:val="20"/>
        </w:rPr>
        <w:t xml:space="preserve">solicitaron a la Corte que ordene al Estado de Guatemala que modifique su legislación en materia de tortura en el sentido que debe enmendar los artículos 201 </w:t>
      </w:r>
      <w:r w:rsidR="000B4B2C" w:rsidRPr="0064597D">
        <w:rPr>
          <w:rFonts w:cs="Arial"/>
          <w:i/>
          <w:sz w:val="20"/>
          <w:szCs w:val="20"/>
        </w:rPr>
        <w:t>bis</w:t>
      </w:r>
      <w:r w:rsidR="000B4B2C" w:rsidRPr="0064597D">
        <w:rPr>
          <w:rFonts w:cs="Arial"/>
          <w:sz w:val="20"/>
          <w:szCs w:val="20"/>
        </w:rPr>
        <w:t xml:space="preserve"> y 425 del Código Penal para tipificar penalmente la tortura según los estándares internacionales en la materia. </w:t>
      </w:r>
    </w:p>
    <w:p w14:paraId="52D86196" w14:textId="77777777" w:rsidR="00413443" w:rsidRPr="0064597D" w:rsidRDefault="00413443" w:rsidP="00413443">
      <w:pPr>
        <w:tabs>
          <w:tab w:val="left" w:pos="567"/>
        </w:tabs>
        <w:spacing w:line="240" w:lineRule="auto"/>
        <w:textAlignment w:val="auto"/>
        <w:rPr>
          <w:rFonts w:eastAsia="MS Mincho"/>
          <w:sz w:val="20"/>
          <w:szCs w:val="20"/>
          <w:highlight w:val="yellow"/>
          <w:lang w:bidi="en-US"/>
        </w:rPr>
      </w:pPr>
    </w:p>
    <w:p w14:paraId="7007D4E6" w14:textId="46F085BB" w:rsidR="00CF1E9F" w:rsidRPr="0064597D" w:rsidRDefault="002808D1" w:rsidP="00EE3B43">
      <w:pPr>
        <w:numPr>
          <w:ilvl w:val="0"/>
          <w:numId w:val="1"/>
        </w:numPr>
        <w:tabs>
          <w:tab w:val="left" w:pos="567"/>
        </w:tabs>
        <w:spacing w:line="240" w:lineRule="auto"/>
        <w:ind w:left="0" w:firstLine="0"/>
        <w:textAlignment w:val="auto"/>
        <w:rPr>
          <w:rFonts w:eastAsia="MS Mincho"/>
          <w:sz w:val="20"/>
          <w:szCs w:val="20"/>
          <w:lang w:bidi="en-US"/>
        </w:rPr>
      </w:pPr>
      <w:r w:rsidRPr="0064597D">
        <w:rPr>
          <w:rFonts w:cs="Arial"/>
          <w:sz w:val="20"/>
          <w:szCs w:val="20"/>
        </w:rPr>
        <w:t>Por otro lado, l</w:t>
      </w:r>
      <w:r w:rsidR="00CF1E9F" w:rsidRPr="0064597D">
        <w:rPr>
          <w:rFonts w:cs="Arial"/>
          <w:sz w:val="20"/>
          <w:szCs w:val="20"/>
        </w:rPr>
        <w:t xml:space="preserve">as </w:t>
      </w:r>
      <w:r w:rsidR="000B4B2C" w:rsidRPr="0064597D">
        <w:rPr>
          <w:rFonts w:cs="Arial"/>
          <w:sz w:val="20"/>
          <w:szCs w:val="20"/>
        </w:rPr>
        <w:t>representantes</w:t>
      </w:r>
      <w:r w:rsidR="000B4B2C" w:rsidRPr="0064597D">
        <w:rPr>
          <w:sz w:val="20"/>
          <w:szCs w:val="20"/>
        </w:rPr>
        <w:t xml:space="preserve"> solicitaron</w:t>
      </w:r>
      <w:r w:rsidR="000B4B2C" w:rsidRPr="0064597D">
        <w:rPr>
          <w:rFonts w:eastAsia="MS Mincho"/>
          <w:sz w:val="20"/>
          <w:szCs w:val="20"/>
          <w:lang w:bidi="en-US"/>
        </w:rPr>
        <w:t xml:space="preserve"> que el Estado </w:t>
      </w:r>
      <w:r w:rsidR="000B4B2C" w:rsidRPr="0064597D">
        <w:rPr>
          <w:rFonts w:cs="Arial"/>
          <w:sz w:val="20"/>
          <w:szCs w:val="20"/>
        </w:rPr>
        <w:t xml:space="preserve">implemente una reforma estructural de la institución policial de manera que los procedimientos de selección de personal, los procesos de formación y capacitación de los y las funcionarias policiales, su estructura, composición y función así como la organización interna y control estricto de sus actividades, y el régimen disciplinario aplicable ante violaciones a los derechos humanos cometidas por agentes policiales, cumplan con los estándares internacionales en materia de seguridad ciudadana y respeto a la </w:t>
      </w:r>
      <w:r w:rsidR="000B4B2C" w:rsidRPr="0064597D">
        <w:rPr>
          <w:sz w:val="20"/>
          <w:szCs w:val="20"/>
        </w:rPr>
        <w:t>función</w:t>
      </w:r>
      <w:r w:rsidR="000B4B2C" w:rsidRPr="0064597D">
        <w:rPr>
          <w:rFonts w:cs="Arial"/>
          <w:sz w:val="20"/>
          <w:szCs w:val="20"/>
        </w:rPr>
        <w:t xml:space="preserve"> policial. Indicaron que también resulta necesario que se lleve a cabo una depuración del personal con el que ya cuenta la PNC y que aquellos agentes que han estado involucrados en la comisión de faltas graves o delitos y en particular aquellos que han estado involucrados en graves violaciones a los derechos humanos sean separados de sus cargos. </w:t>
      </w:r>
    </w:p>
    <w:p w14:paraId="1447211E" w14:textId="77777777" w:rsidR="00A35A84" w:rsidRPr="0064597D" w:rsidRDefault="00A35A84" w:rsidP="00A35A84">
      <w:pPr>
        <w:tabs>
          <w:tab w:val="left" w:pos="567"/>
        </w:tabs>
        <w:spacing w:line="240" w:lineRule="auto"/>
        <w:textAlignment w:val="auto"/>
        <w:rPr>
          <w:rFonts w:eastAsia="MS Mincho"/>
          <w:sz w:val="20"/>
          <w:szCs w:val="20"/>
          <w:highlight w:val="yellow"/>
          <w:lang w:bidi="en-US"/>
        </w:rPr>
      </w:pPr>
    </w:p>
    <w:p w14:paraId="0F1D764C" w14:textId="393C4F18" w:rsidR="00537AAE" w:rsidRPr="0064597D" w:rsidRDefault="00413443" w:rsidP="00EE3B43">
      <w:pPr>
        <w:numPr>
          <w:ilvl w:val="0"/>
          <w:numId w:val="1"/>
        </w:numPr>
        <w:tabs>
          <w:tab w:val="left" w:pos="567"/>
        </w:tabs>
        <w:spacing w:line="240" w:lineRule="auto"/>
        <w:ind w:left="0" w:firstLine="0"/>
        <w:textAlignment w:val="auto"/>
        <w:rPr>
          <w:rFonts w:eastAsia="MS Mincho"/>
          <w:sz w:val="20"/>
          <w:szCs w:val="20"/>
          <w:lang w:bidi="en-US"/>
        </w:rPr>
      </w:pPr>
      <w:r w:rsidRPr="0064597D">
        <w:rPr>
          <w:rFonts w:cs="Arial"/>
          <w:sz w:val="20"/>
          <w:szCs w:val="20"/>
        </w:rPr>
        <w:t xml:space="preserve">En cuanto al control judicial adecuado, </w:t>
      </w:r>
      <w:r w:rsidR="00CF1E9F" w:rsidRPr="0064597D">
        <w:rPr>
          <w:rFonts w:cs="Arial"/>
          <w:sz w:val="20"/>
          <w:szCs w:val="20"/>
        </w:rPr>
        <w:t xml:space="preserve">las representantes solicitaron que se ordenara al </w:t>
      </w:r>
      <w:r w:rsidRPr="0064597D">
        <w:rPr>
          <w:rFonts w:cs="Arial"/>
          <w:sz w:val="20"/>
          <w:szCs w:val="20"/>
        </w:rPr>
        <w:t>Estado adoptar medidas que garantice</w:t>
      </w:r>
      <w:r w:rsidR="0096374F" w:rsidRPr="0064597D">
        <w:rPr>
          <w:rFonts w:cs="Arial"/>
          <w:sz w:val="20"/>
          <w:szCs w:val="20"/>
        </w:rPr>
        <w:t>n</w:t>
      </w:r>
      <w:r w:rsidRPr="0064597D">
        <w:rPr>
          <w:rFonts w:cs="Arial"/>
          <w:sz w:val="20"/>
          <w:szCs w:val="20"/>
        </w:rPr>
        <w:t xml:space="preserve"> el respeto de las garantías judiciales de las personas imputadas y la actuación adecuada de los abogados defensores</w:t>
      </w:r>
      <w:r w:rsidR="005F18DA" w:rsidRPr="0064597D">
        <w:rPr>
          <w:rFonts w:cs="Arial"/>
          <w:sz w:val="20"/>
          <w:szCs w:val="20"/>
        </w:rPr>
        <w:t xml:space="preserve">. </w:t>
      </w:r>
    </w:p>
    <w:p w14:paraId="59B31632" w14:textId="77777777" w:rsidR="00A35A84" w:rsidRPr="0064597D" w:rsidRDefault="00A35A84" w:rsidP="00A35A84">
      <w:pPr>
        <w:tabs>
          <w:tab w:val="left" w:pos="567"/>
        </w:tabs>
        <w:spacing w:line="240" w:lineRule="auto"/>
        <w:textAlignment w:val="auto"/>
        <w:rPr>
          <w:rFonts w:eastAsia="MS Mincho"/>
          <w:sz w:val="20"/>
          <w:szCs w:val="20"/>
          <w:lang w:bidi="en-US"/>
        </w:rPr>
      </w:pPr>
    </w:p>
    <w:p w14:paraId="37628C9F" w14:textId="01CF32DC" w:rsidR="005F18DA" w:rsidRPr="0064597D" w:rsidRDefault="005F18DA" w:rsidP="005F18DA">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MS Mincho"/>
          <w:sz w:val="20"/>
          <w:szCs w:val="20"/>
          <w:lang w:bidi="en-US"/>
        </w:rPr>
        <w:t xml:space="preserve">En </w:t>
      </w:r>
      <w:r w:rsidR="00A61370" w:rsidRPr="0064597D">
        <w:rPr>
          <w:rFonts w:eastAsia="MS Mincho"/>
          <w:sz w:val="20"/>
          <w:szCs w:val="20"/>
          <w:lang w:bidi="en-US"/>
        </w:rPr>
        <w:t xml:space="preserve">relación con </w:t>
      </w:r>
      <w:r w:rsidRPr="0064597D">
        <w:rPr>
          <w:rFonts w:eastAsia="MS Mincho"/>
          <w:sz w:val="20"/>
          <w:szCs w:val="20"/>
          <w:lang w:bidi="en-US"/>
        </w:rPr>
        <w:t xml:space="preserve">la adopción de </w:t>
      </w:r>
      <w:r w:rsidRPr="0064597D">
        <w:rPr>
          <w:rFonts w:cs="Arial"/>
          <w:sz w:val="20"/>
          <w:szCs w:val="20"/>
        </w:rPr>
        <w:t>medidas legislativas para asegurar el acceso a un recurso de apelación adecuado, e</w:t>
      </w:r>
      <w:r w:rsidRPr="0064597D">
        <w:rPr>
          <w:rFonts w:eastAsia="MS Mincho"/>
          <w:sz w:val="20"/>
          <w:szCs w:val="20"/>
          <w:lang w:bidi="en-US"/>
        </w:rPr>
        <w:t xml:space="preserve">l </w:t>
      </w:r>
      <w:r w:rsidRPr="0064597D">
        <w:rPr>
          <w:rFonts w:eastAsia="MS Mincho"/>
          <w:b/>
          <w:i/>
          <w:sz w:val="20"/>
          <w:szCs w:val="20"/>
          <w:lang w:bidi="en-US"/>
        </w:rPr>
        <w:t>Estado</w:t>
      </w:r>
      <w:r w:rsidRPr="0064597D">
        <w:rPr>
          <w:rFonts w:eastAsia="MS Mincho"/>
          <w:sz w:val="20"/>
          <w:szCs w:val="20"/>
          <w:lang w:bidi="en-US"/>
        </w:rPr>
        <w:t xml:space="preserve"> indicó que, si bien </w:t>
      </w:r>
      <w:r w:rsidRPr="0064597D">
        <w:rPr>
          <w:rFonts w:cs="Arial"/>
          <w:sz w:val="20"/>
          <w:szCs w:val="20"/>
        </w:rPr>
        <w:t>existe el requisito formal de no pronunciarse en las sentencias de apelación sobre la valoración de los me</w:t>
      </w:r>
      <w:r w:rsidR="00D72965" w:rsidRPr="0064597D">
        <w:rPr>
          <w:rFonts w:cs="Arial"/>
          <w:sz w:val="20"/>
          <w:szCs w:val="20"/>
        </w:rPr>
        <w:t>dios de prueba en particular, sí</w:t>
      </w:r>
      <w:r w:rsidRPr="0064597D">
        <w:rPr>
          <w:rFonts w:cs="Arial"/>
          <w:sz w:val="20"/>
          <w:szCs w:val="20"/>
        </w:rPr>
        <w:t xml:space="preserve"> existe la posibilidad de que los tribunales de alzada </w:t>
      </w:r>
      <w:r w:rsidR="00D72965" w:rsidRPr="0064597D">
        <w:rPr>
          <w:rFonts w:cs="Arial"/>
          <w:sz w:val="20"/>
          <w:szCs w:val="20"/>
        </w:rPr>
        <w:t>examinen</w:t>
      </w:r>
      <w:r w:rsidRPr="0064597D">
        <w:rPr>
          <w:rFonts w:cs="Arial"/>
          <w:sz w:val="20"/>
          <w:szCs w:val="20"/>
        </w:rPr>
        <w:t xml:space="preserve"> la forma en la que los medios de prueba fueron analizados y si se respetaron las reglas de la sana critica en su valoración. </w:t>
      </w:r>
    </w:p>
    <w:p w14:paraId="74CB989A" w14:textId="77777777" w:rsidR="005F18DA" w:rsidRPr="0064597D" w:rsidRDefault="005F18DA" w:rsidP="005F18DA">
      <w:pPr>
        <w:tabs>
          <w:tab w:val="left" w:pos="567"/>
        </w:tabs>
        <w:spacing w:line="240" w:lineRule="auto"/>
        <w:textAlignment w:val="auto"/>
        <w:rPr>
          <w:rFonts w:eastAsia="MS Mincho"/>
          <w:sz w:val="20"/>
          <w:szCs w:val="20"/>
          <w:lang w:bidi="en-US"/>
        </w:rPr>
      </w:pPr>
    </w:p>
    <w:p w14:paraId="22F6E568" w14:textId="0885D192" w:rsidR="005F18DA" w:rsidRPr="0064597D" w:rsidRDefault="005F18DA" w:rsidP="005F18DA">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En cuanto al marco normativo que regula la pena de muerte,</w:t>
      </w:r>
      <w:r w:rsidRPr="0064597D">
        <w:rPr>
          <w:rFonts w:eastAsia="MS Mincho"/>
          <w:sz w:val="20"/>
          <w:szCs w:val="20"/>
          <w:lang w:bidi="en-US"/>
        </w:rPr>
        <w:t xml:space="preserve"> el Estado manifestó que ha dedicado su mejor esfuerzo en evitar la aplicación de dicha pena, implementando el mecanismo de la conmuta por la privación de libertad y dicho esfuerzo ha sido reconocido por la Comisión en el Informe de Fondo No. 94/17. Por consiguiente, dicha medida de reparación debe ser declarada innecesaria. </w:t>
      </w:r>
    </w:p>
    <w:p w14:paraId="4D8F7AB8" w14:textId="77777777" w:rsidR="005F18DA" w:rsidRPr="0064597D" w:rsidRDefault="005F18DA" w:rsidP="005F18DA">
      <w:pPr>
        <w:tabs>
          <w:tab w:val="left" w:pos="567"/>
        </w:tabs>
        <w:spacing w:line="240" w:lineRule="auto"/>
        <w:textAlignment w:val="auto"/>
        <w:rPr>
          <w:rFonts w:eastAsia="MS Mincho"/>
          <w:sz w:val="20"/>
          <w:szCs w:val="20"/>
          <w:lang w:bidi="en-US"/>
        </w:rPr>
      </w:pPr>
    </w:p>
    <w:p w14:paraId="0DDF60C1" w14:textId="10C575D4" w:rsidR="005F18DA" w:rsidRPr="0064597D" w:rsidRDefault="005F18DA" w:rsidP="005F18DA">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 xml:space="preserve">En cuanto a la materia de prohibición de tortura, </w:t>
      </w:r>
      <w:r w:rsidRPr="0064597D">
        <w:rPr>
          <w:rFonts w:eastAsia="MS Mincho"/>
          <w:sz w:val="20"/>
          <w:szCs w:val="20"/>
          <w:lang w:bidi="en-US"/>
        </w:rPr>
        <w:t xml:space="preserve">el Estado </w:t>
      </w:r>
      <w:r w:rsidRPr="0064597D">
        <w:rPr>
          <w:sz w:val="20"/>
          <w:szCs w:val="20"/>
        </w:rPr>
        <w:t xml:space="preserve">indicó que el delito de tortura se encuentra regulado en la legislación doméstica, motivo por el cual desde el momento en que el ente encargado de la persecución penal tiene información de la comisión de un delito, de oficio activa su protocolo de actuación. </w:t>
      </w:r>
    </w:p>
    <w:p w14:paraId="5AB97824" w14:textId="77777777" w:rsidR="005F18DA" w:rsidRPr="0064597D" w:rsidRDefault="005F18DA" w:rsidP="005F18DA">
      <w:pPr>
        <w:tabs>
          <w:tab w:val="left" w:pos="567"/>
        </w:tabs>
        <w:spacing w:line="240" w:lineRule="auto"/>
        <w:textAlignment w:val="auto"/>
        <w:rPr>
          <w:rFonts w:eastAsia="MS Mincho"/>
          <w:sz w:val="20"/>
          <w:szCs w:val="20"/>
          <w:lang w:bidi="en-US"/>
        </w:rPr>
      </w:pPr>
    </w:p>
    <w:p w14:paraId="2F58C93D" w14:textId="2082B777" w:rsidR="00413443" w:rsidRPr="0064597D" w:rsidRDefault="00537AAE" w:rsidP="00413443">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En cuanto a la reforma y fortalecimiento de la PNC</w:t>
      </w:r>
      <w:r w:rsidRPr="0064597D">
        <w:rPr>
          <w:rFonts w:eastAsia="MS Mincho"/>
          <w:sz w:val="20"/>
          <w:szCs w:val="20"/>
          <w:lang w:bidi="en-US"/>
        </w:rPr>
        <w:t>, e</w:t>
      </w:r>
      <w:r w:rsidR="00413443" w:rsidRPr="0064597D">
        <w:rPr>
          <w:rFonts w:eastAsia="MS Mincho"/>
          <w:sz w:val="20"/>
          <w:szCs w:val="20"/>
          <w:lang w:bidi="en-US"/>
        </w:rPr>
        <w:t xml:space="preserve">l Estado </w:t>
      </w:r>
      <w:r w:rsidR="00413443" w:rsidRPr="0064597D">
        <w:rPr>
          <w:sz w:val="20"/>
          <w:szCs w:val="20"/>
        </w:rPr>
        <w:t xml:space="preserve">señaló que desde hace un tiempo atrás viene trabajando </w:t>
      </w:r>
      <w:r w:rsidR="0096374F" w:rsidRPr="0064597D">
        <w:rPr>
          <w:sz w:val="20"/>
          <w:szCs w:val="20"/>
        </w:rPr>
        <w:t>y h</w:t>
      </w:r>
      <w:r w:rsidR="00413443" w:rsidRPr="0064597D">
        <w:rPr>
          <w:sz w:val="20"/>
          <w:szCs w:val="20"/>
        </w:rPr>
        <w:t xml:space="preserve">a avanzado de manera significativa. Muestra de ello </w:t>
      </w:r>
      <w:r w:rsidR="005F52E1" w:rsidRPr="0064597D">
        <w:rPr>
          <w:sz w:val="20"/>
          <w:szCs w:val="20"/>
        </w:rPr>
        <w:t>sería</w:t>
      </w:r>
      <w:r w:rsidR="00413443" w:rsidRPr="0064597D">
        <w:rPr>
          <w:sz w:val="20"/>
          <w:szCs w:val="20"/>
        </w:rPr>
        <w:t xml:space="preserve"> la ley vigente de la </w:t>
      </w:r>
      <w:r w:rsidRPr="0064597D">
        <w:rPr>
          <w:sz w:val="20"/>
          <w:szCs w:val="20"/>
        </w:rPr>
        <w:t xml:space="preserve">PNC </w:t>
      </w:r>
      <w:r w:rsidR="00413443" w:rsidRPr="0064597D">
        <w:rPr>
          <w:sz w:val="20"/>
          <w:szCs w:val="20"/>
        </w:rPr>
        <w:t xml:space="preserve">Decreto Numero 11-97 que contempla los aspectos como: a) las funciones principales; b) estructura organizativa; c) principios básicos de actuación; d) de la carrera de la </w:t>
      </w:r>
      <w:r w:rsidRPr="0064597D">
        <w:rPr>
          <w:sz w:val="20"/>
          <w:szCs w:val="20"/>
        </w:rPr>
        <w:t>PNC</w:t>
      </w:r>
      <w:r w:rsidR="00413443" w:rsidRPr="0064597D">
        <w:rPr>
          <w:sz w:val="20"/>
          <w:szCs w:val="20"/>
        </w:rPr>
        <w:t>; e) escalas jerárquicas, grados y ascensos; f) nombramientos y cesantías; g)</w:t>
      </w:r>
      <w:r w:rsidR="00D72965" w:rsidRPr="0064597D">
        <w:rPr>
          <w:sz w:val="20"/>
          <w:szCs w:val="20"/>
        </w:rPr>
        <w:t xml:space="preserve"> </w:t>
      </w:r>
      <w:r w:rsidR="00413443" w:rsidRPr="0064597D">
        <w:rPr>
          <w:sz w:val="20"/>
          <w:szCs w:val="20"/>
        </w:rPr>
        <w:t xml:space="preserve">situaciones administrativas; h) derechos, obligaciones, prohibiciones y destinos; i) régimen disciplinario; j) régimen procesal penal; k) régimen financiero, y l) régimen educativo. </w:t>
      </w:r>
    </w:p>
    <w:p w14:paraId="7C2CE46D" w14:textId="77777777" w:rsidR="00413443" w:rsidRPr="0064597D" w:rsidRDefault="00413443" w:rsidP="00413443">
      <w:pPr>
        <w:tabs>
          <w:tab w:val="left" w:pos="567"/>
        </w:tabs>
        <w:spacing w:line="240" w:lineRule="auto"/>
        <w:textAlignment w:val="auto"/>
        <w:rPr>
          <w:rFonts w:eastAsia="MS Mincho"/>
          <w:sz w:val="20"/>
          <w:szCs w:val="20"/>
          <w:lang w:bidi="en-US"/>
        </w:rPr>
      </w:pPr>
    </w:p>
    <w:p w14:paraId="0ED9BA96" w14:textId="54192A92" w:rsidR="00413443" w:rsidRPr="0064597D" w:rsidRDefault="00413443" w:rsidP="00413443">
      <w:pPr>
        <w:numPr>
          <w:ilvl w:val="0"/>
          <w:numId w:val="1"/>
        </w:numPr>
        <w:tabs>
          <w:tab w:val="left" w:pos="567"/>
        </w:tabs>
        <w:spacing w:line="240" w:lineRule="auto"/>
        <w:ind w:left="0" w:firstLine="0"/>
        <w:textAlignment w:val="auto"/>
        <w:rPr>
          <w:rFonts w:eastAsia="MS Mincho"/>
          <w:sz w:val="20"/>
          <w:szCs w:val="20"/>
          <w:lang w:bidi="en-US"/>
        </w:rPr>
      </w:pPr>
      <w:r w:rsidRPr="0064597D">
        <w:rPr>
          <w:sz w:val="20"/>
          <w:szCs w:val="20"/>
        </w:rPr>
        <w:t>En cuanto a la medida solicitada sobre un control judicial adecuado, el Estado señaló que existen mecanismos y regímenes disciplinarios para todos los servidores públicos y profesionales establecidos por los distintos colegios de profesionales, a través del Tribunal de Honor</w:t>
      </w:r>
      <w:r w:rsidR="000E1DAF" w:rsidRPr="0064597D">
        <w:rPr>
          <w:rStyle w:val="Refdenotaalpie"/>
          <w:sz w:val="20"/>
          <w:szCs w:val="20"/>
        </w:rPr>
        <w:footnoteReference w:id="246"/>
      </w:r>
      <w:r w:rsidRPr="0064597D">
        <w:rPr>
          <w:sz w:val="20"/>
          <w:szCs w:val="20"/>
        </w:rPr>
        <w:t>.</w:t>
      </w:r>
      <w:r w:rsidR="000E1DAF" w:rsidRPr="0064597D">
        <w:rPr>
          <w:sz w:val="20"/>
          <w:szCs w:val="20"/>
        </w:rPr>
        <w:t xml:space="preserve"> </w:t>
      </w:r>
    </w:p>
    <w:p w14:paraId="51D7C2F7" w14:textId="77777777" w:rsidR="00413443" w:rsidRPr="0064597D" w:rsidRDefault="00413443" w:rsidP="00413443">
      <w:pPr>
        <w:tabs>
          <w:tab w:val="left" w:pos="567"/>
        </w:tabs>
        <w:spacing w:line="240" w:lineRule="auto"/>
        <w:textAlignment w:val="auto"/>
        <w:rPr>
          <w:rFonts w:eastAsia="MS Mincho"/>
          <w:sz w:val="20"/>
          <w:szCs w:val="20"/>
          <w:lang w:bidi="en-US"/>
        </w:rPr>
      </w:pPr>
    </w:p>
    <w:p w14:paraId="3E51B539" w14:textId="1E3AB77B" w:rsidR="005F18DA" w:rsidRPr="0064597D" w:rsidRDefault="00B57EC1" w:rsidP="005F18DA">
      <w:pPr>
        <w:tabs>
          <w:tab w:val="left" w:pos="567"/>
        </w:tabs>
        <w:spacing w:line="240" w:lineRule="auto"/>
        <w:rPr>
          <w:rFonts w:cs="Cambria"/>
          <w:spacing w:val="-1"/>
          <w:sz w:val="20"/>
          <w:szCs w:val="20"/>
        </w:rPr>
      </w:pPr>
      <w:r w:rsidRPr="0064597D">
        <w:rPr>
          <w:rFonts w:eastAsia="MS Mincho"/>
          <w:sz w:val="20"/>
          <w:szCs w:val="20"/>
          <w:lang w:bidi="en-US"/>
        </w:rPr>
        <w:tab/>
      </w:r>
      <w:r w:rsidR="005F18DA" w:rsidRPr="0064597D">
        <w:rPr>
          <w:rFonts w:cs="Arial"/>
          <w:i/>
          <w:sz w:val="20"/>
          <w:szCs w:val="20"/>
        </w:rPr>
        <w:tab/>
        <w:t>c.</w:t>
      </w:r>
      <w:r w:rsidR="009772D8" w:rsidRPr="0064597D">
        <w:rPr>
          <w:rFonts w:cs="Arial"/>
          <w:i/>
          <w:sz w:val="20"/>
          <w:szCs w:val="20"/>
        </w:rPr>
        <w:t>2</w:t>
      </w:r>
      <w:r w:rsidR="005F18DA" w:rsidRPr="0064597D">
        <w:rPr>
          <w:rFonts w:cs="Arial"/>
          <w:i/>
          <w:sz w:val="20"/>
          <w:szCs w:val="20"/>
        </w:rPr>
        <w:t xml:space="preserve">.1) </w:t>
      </w:r>
      <w:r w:rsidR="005F18DA" w:rsidRPr="0064597D">
        <w:rPr>
          <w:rFonts w:cs="Cambria"/>
          <w:spacing w:val="-2"/>
          <w:sz w:val="20"/>
          <w:szCs w:val="20"/>
        </w:rPr>
        <w:t>A</w:t>
      </w:r>
      <w:r w:rsidR="005F18DA" w:rsidRPr="0064597D">
        <w:rPr>
          <w:rFonts w:cs="Cambria"/>
          <w:sz w:val="20"/>
          <w:szCs w:val="20"/>
        </w:rPr>
        <w:t>d</w:t>
      </w:r>
      <w:r w:rsidR="005F18DA" w:rsidRPr="0064597D">
        <w:rPr>
          <w:rFonts w:cs="Cambria"/>
          <w:spacing w:val="-2"/>
          <w:sz w:val="20"/>
          <w:szCs w:val="20"/>
        </w:rPr>
        <w:t>e</w:t>
      </w:r>
      <w:r w:rsidR="005F18DA" w:rsidRPr="0064597D">
        <w:rPr>
          <w:rFonts w:cs="Cambria"/>
          <w:spacing w:val="1"/>
          <w:sz w:val="20"/>
          <w:szCs w:val="20"/>
        </w:rPr>
        <w:t>c</w:t>
      </w:r>
      <w:r w:rsidR="005F18DA" w:rsidRPr="0064597D">
        <w:rPr>
          <w:rFonts w:cs="Cambria"/>
          <w:sz w:val="20"/>
          <w:szCs w:val="20"/>
        </w:rPr>
        <w:t>u</w:t>
      </w:r>
      <w:r w:rsidR="005F18DA" w:rsidRPr="0064597D">
        <w:rPr>
          <w:rFonts w:cs="Cambria"/>
          <w:spacing w:val="-2"/>
          <w:sz w:val="20"/>
          <w:szCs w:val="20"/>
        </w:rPr>
        <w:t>a</w:t>
      </w:r>
      <w:r w:rsidR="005F18DA" w:rsidRPr="0064597D">
        <w:rPr>
          <w:rFonts w:cs="Cambria"/>
          <w:spacing w:val="1"/>
          <w:sz w:val="20"/>
          <w:szCs w:val="20"/>
        </w:rPr>
        <w:t>c</w:t>
      </w:r>
      <w:r w:rsidR="005F18DA" w:rsidRPr="0064597D">
        <w:rPr>
          <w:rFonts w:cs="Cambria"/>
          <w:spacing w:val="-1"/>
          <w:sz w:val="20"/>
          <w:szCs w:val="20"/>
        </w:rPr>
        <w:t>i</w:t>
      </w:r>
      <w:r w:rsidR="005F18DA" w:rsidRPr="0064597D">
        <w:rPr>
          <w:rFonts w:cs="Cambria"/>
          <w:sz w:val="20"/>
          <w:szCs w:val="20"/>
        </w:rPr>
        <w:t xml:space="preserve">ón </w:t>
      </w:r>
      <w:r w:rsidR="005F18DA" w:rsidRPr="0064597D">
        <w:rPr>
          <w:rFonts w:cs="Cambria"/>
          <w:spacing w:val="-1"/>
          <w:sz w:val="20"/>
          <w:szCs w:val="20"/>
        </w:rPr>
        <w:t>de la legislación interna a la Convención Americana</w:t>
      </w:r>
    </w:p>
    <w:p w14:paraId="6953AB5E" w14:textId="77777777" w:rsidR="005F18DA" w:rsidRPr="0064597D" w:rsidRDefault="005F18DA" w:rsidP="005F18DA">
      <w:pPr>
        <w:tabs>
          <w:tab w:val="left" w:pos="567"/>
        </w:tabs>
        <w:spacing w:line="240" w:lineRule="auto"/>
        <w:rPr>
          <w:rFonts w:cs="Cambria"/>
          <w:spacing w:val="-1"/>
          <w:sz w:val="20"/>
          <w:szCs w:val="20"/>
        </w:rPr>
      </w:pPr>
    </w:p>
    <w:p w14:paraId="60B34DA8" w14:textId="4DE01D5D" w:rsidR="00D30316" w:rsidRPr="0064597D" w:rsidRDefault="005D1ECE" w:rsidP="001E4FB6">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sz w:val="20"/>
          <w:szCs w:val="20"/>
        </w:rPr>
        <w:t xml:space="preserve">En relación con </w:t>
      </w:r>
      <w:r w:rsidR="001E4FB6" w:rsidRPr="0064597D">
        <w:rPr>
          <w:sz w:val="20"/>
          <w:szCs w:val="20"/>
        </w:rPr>
        <w:t>el</w:t>
      </w:r>
      <w:r w:rsidR="00D30316" w:rsidRPr="0064597D">
        <w:rPr>
          <w:rFonts w:eastAsia="MS Mincho"/>
          <w:sz w:val="20"/>
          <w:szCs w:val="20"/>
          <w:lang w:bidi="en-US"/>
        </w:rPr>
        <w:t xml:space="preserve"> marco legal que regula la pena de muerte, la </w:t>
      </w:r>
      <w:r w:rsidR="00D30316" w:rsidRPr="0064597D">
        <w:rPr>
          <w:rFonts w:eastAsia="MS Mincho"/>
          <w:b/>
          <w:i/>
          <w:sz w:val="20"/>
          <w:szCs w:val="20"/>
          <w:lang w:bidi="en-US"/>
        </w:rPr>
        <w:t>Corte</w:t>
      </w:r>
      <w:r w:rsidR="00D30316" w:rsidRPr="0064597D">
        <w:rPr>
          <w:rFonts w:eastAsia="MS Mincho"/>
          <w:sz w:val="20"/>
          <w:szCs w:val="20"/>
          <w:lang w:bidi="en-US"/>
        </w:rPr>
        <w:t xml:space="preserve"> </w:t>
      </w:r>
      <w:r w:rsidR="004E3976" w:rsidRPr="0064597D">
        <w:rPr>
          <w:rFonts w:eastAsia="MS Mincho"/>
          <w:sz w:val="20"/>
          <w:szCs w:val="20"/>
          <w:lang w:bidi="en-US"/>
        </w:rPr>
        <w:t xml:space="preserve">observa que </w:t>
      </w:r>
      <w:r w:rsidR="00D30316" w:rsidRPr="0064597D">
        <w:rPr>
          <w:rFonts w:eastAsia="MS Mincho"/>
          <w:sz w:val="20"/>
          <w:szCs w:val="20"/>
          <w:lang w:bidi="en-US"/>
        </w:rPr>
        <w:t xml:space="preserve">ya ordenó en el </w:t>
      </w:r>
      <w:r w:rsidR="00D30316" w:rsidRPr="0064597D">
        <w:rPr>
          <w:rFonts w:eastAsia="MS Mincho"/>
          <w:i/>
          <w:sz w:val="20"/>
          <w:szCs w:val="20"/>
          <w:lang w:bidi="en-US"/>
        </w:rPr>
        <w:t>caso Raxcacó Reyes Vs. Guatemala</w:t>
      </w:r>
      <w:r w:rsidR="00D30316" w:rsidRPr="0064597D">
        <w:rPr>
          <w:rFonts w:eastAsia="MS Mincho"/>
          <w:sz w:val="20"/>
          <w:szCs w:val="20"/>
          <w:lang w:bidi="en-US"/>
        </w:rPr>
        <w:t xml:space="preserve"> lo siguiente:</w:t>
      </w:r>
    </w:p>
    <w:p w14:paraId="600F36D1" w14:textId="77777777" w:rsidR="00D30316" w:rsidRPr="0064597D" w:rsidRDefault="00D30316" w:rsidP="00D30316">
      <w:pPr>
        <w:tabs>
          <w:tab w:val="left" w:pos="567"/>
        </w:tabs>
        <w:spacing w:line="240" w:lineRule="auto"/>
        <w:textAlignment w:val="auto"/>
        <w:rPr>
          <w:rFonts w:eastAsia="MS Mincho"/>
          <w:sz w:val="20"/>
          <w:szCs w:val="20"/>
          <w:lang w:bidi="en-US"/>
        </w:rPr>
      </w:pPr>
    </w:p>
    <w:p w14:paraId="42B6CB6A" w14:textId="0DA6C22C" w:rsidR="00D30316" w:rsidRPr="0064597D" w:rsidRDefault="00DA7F1B" w:rsidP="00D30316">
      <w:pPr>
        <w:tabs>
          <w:tab w:val="left" w:pos="567"/>
        </w:tabs>
        <w:spacing w:line="240" w:lineRule="auto"/>
        <w:ind w:left="720" w:right="720"/>
        <w:textAlignment w:val="auto"/>
        <w:rPr>
          <w:rFonts w:cs="Arial"/>
          <w:sz w:val="18"/>
          <w:szCs w:val="18"/>
        </w:rPr>
      </w:pPr>
      <w:r>
        <w:rPr>
          <w:rFonts w:cs="Arial"/>
          <w:sz w:val="18"/>
          <w:szCs w:val="18"/>
        </w:rPr>
        <w:t xml:space="preserve">[…] </w:t>
      </w:r>
      <w:r w:rsidR="00D30316" w:rsidRPr="0064597D">
        <w:rPr>
          <w:rFonts w:cs="Arial"/>
          <w:sz w:val="18"/>
          <w:szCs w:val="18"/>
        </w:rPr>
        <w:t xml:space="preserve">i. </w:t>
      </w:r>
      <w:r w:rsidR="005F2FF2" w:rsidRPr="0064597D">
        <w:rPr>
          <w:rFonts w:cs="Arial"/>
          <w:sz w:val="18"/>
          <w:szCs w:val="18"/>
        </w:rPr>
        <w:t>l</w:t>
      </w:r>
      <w:r w:rsidR="00D30316" w:rsidRPr="0064597D">
        <w:rPr>
          <w:rFonts w:cs="Arial"/>
          <w:sz w:val="18"/>
          <w:szCs w:val="18"/>
        </w:rPr>
        <w:t xml:space="preserve">a modificación, dentro de un plazo razonable, del artículo 201 del Código Penal vigente, de manera que se estructuren tipos penales diversos y específicos para determinar las diferentes formas de plagio o secuestro, en función de sus características, la gravedad de los hechos y las circunstancias del delito, con la correspondiente previsión de punibilidades diferentes, proporcionales a aquéllas, así como la atribución al juzgador de la potestad de individualizar las penas en forma consecuente con los datos del hecho y el autor, dentro de los extremos máximo y mínimo que deberá consagrar cada conminación penal. Esta modificación, en ningún caso, ampliará el catálogo de delitos sancionados con la pena capital previsto con anterioridad a la ratificación de la Convención Americana. Mientras esto ocurra, el Estado deberá abstenerse de aplicar la pena de muerte y ejecutar a los condenados por el delito de plagio o secuestro exclusivamente. </w:t>
      </w:r>
    </w:p>
    <w:p w14:paraId="73614692" w14:textId="77777777" w:rsidR="00D30316" w:rsidRPr="0064597D" w:rsidRDefault="00D30316" w:rsidP="00D30316">
      <w:pPr>
        <w:tabs>
          <w:tab w:val="left" w:pos="567"/>
        </w:tabs>
        <w:spacing w:line="240" w:lineRule="auto"/>
        <w:ind w:left="720" w:right="720"/>
        <w:textAlignment w:val="auto"/>
        <w:rPr>
          <w:rFonts w:cs="Arial"/>
          <w:sz w:val="18"/>
          <w:szCs w:val="18"/>
        </w:rPr>
      </w:pPr>
    </w:p>
    <w:p w14:paraId="75DD5023" w14:textId="5173BFFD" w:rsidR="00D30316" w:rsidRPr="0064597D" w:rsidRDefault="00D30316" w:rsidP="00D30316">
      <w:pPr>
        <w:tabs>
          <w:tab w:val="left" w:pos="567"/>
        </w:tabs>
        <w:spacing w:line="240" w:lineRule="auto"/>
        <w:ind w:left="720" w:right="720"/>
        <w:textAlignment w:val="auto"/>
        <w:rPr>
          <w:rFonts w:eastAsia="MS Mincho"/>
          <w:sz w:val="18"/>
          <w:szCs w:val="18"/>
          <w:lang w:bidi="en-US"/>
        </w:rPr>
      </w:pPr>
      <w:r w:rsidRPr="0064597D">
        <w:rPr>
          <w:rFonts w:cs="Arial"/>
          <w:sz w:val="18"/>
          <w:szCs w:val="18"/>
        </w:rPr>
        <w:t>ii. la adopción, dentro de un plazo razonable, de un procedimiento que garantice que toda persona condenada a muerte tenga derecho a solicitar y, en su caso, obtener indulto o conmutación de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r w:rsidRPr="0064597D">
        <w:rPr>
          <w:rStyle w:val="Refdenotaalpie"/>
          <w:rFonts w:cs="Arial"/>
          <w:sz w:val="18"/>
          <w:szCs w:val="18"/>
        </w:rPr>
        <w:footnoteReference w:id="247"/>
      </w:r>
      <w:r w:rsidR="005F2FF2" w:rsidRPr="0064597D">
        <w:rPr>
          <w:rFonts w:cs="Arial"/>
          <w:sz w:val="18"/>
          <w:szCs w:val="18"/>
        </w:rPr>
        <w:t>.</w:t>
      </w:r>
    </w:p>
    <w:p w14:paraId="1FCE896F" w14:textId="77777777" w:rsidR="00D30316" w:rsidRPr="0064597D" w:rsidRDefault="00D30316" w:rsidP="00D30316">
      <w:pPr>
        <w:tabs>
          <w:tab w:val="left" w:pos="567"/>
        </w:tabs>
        <w:spacing w:line="240" w:lineRule="auto"/>
        <w:textAlignment w:val="auto"/>
        <w:rPr>
          <w:rFonts w:eastAsia="MS Mincho"/>
          <w:sz w:val="20"/>
          <w:szCs w:val="20"/>
          <w:lang w:bidi="en-US"/>
        </w:rPr>
      </w:pPr>
    </w:p>
    <w:p w14:paraId="03EB7526" w14:textId="77777777" w:rsidR="009772D8" w:rsidRPr="0064597D" w:rsidRDefault="00D30316" w:rsidP="000B4B2C">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MS Mincho"/>
          <w:sz w:val="20"/>
          <w:szCs w:val="20"/>
          <w:lang w:bidi="en-US"/>
        </w:rPr>
        <w:t>La Corte considera, por tanto, que no es necesario reiterar</w:t>
      </w:r>
      <w:r w:rsidR="000B4B2C" w:rsidRPr="0064597D">
        <w:rPr>
          <w:rFonts w:eastAsia="MS Mincho"/>
          <w:sz w:val="20"/>
          <w:szCs w:val="20"/>
          <w:lang w:bidi="en-US"/>
        </w:rPr>
        <w:t xml:space="preserve"> </w:t>
      </w:r>
      <w:r w:rsidRPr="0064597D">
        <w:rPr>
          <w:rFonts w:eastAsia="MS Mincho"/>
          <w:sz w:val="20"/>
          <w:szCs w:val="20"/>
          <w:lang w:bidi="en-US"/>
        </w:rPr>
        <w:t>a Guatemala medidas</w:t>
      </w:r>
      <w:r w:rsidR="000B4B2C" w:rsidRPr="0064597D">
        <w:rPr>
          <w:rFonts w:eastAsia="MS Mincho"/>
          <w:sz w:val="20"/>
          <w:szCs w:val="20"/>
          <w:lang w:bidi="en-US"/>
        </w:rPr>
        <w:t xml:space="preserve"> de </w:t>
      </w:r>
      <w:r w:rsidRPr="0064597D">
        <w:rPr>
          <w:rFonts w:eastAsia="MS Mincho"/>
          <w:sz w:val="20"/>
          <w:szCs w:val="20"/>
          <w:lang w:bidi="en-US"/>
        </w:rPr>
        <w:t>reparación sobre la adecuación de sus disposiciones de derecho interno a la Convención Americana a este respecto</w:t>
      </w:r>
      <w:r w:rsidR="00673D2A" w:rsidRPr="0064597D">
        <w:rPr>
          <w:rFonts w:eastAsia="MS Mincho"/>
          <w:sz w:val="20"/>
          <w:szCs w:val="20"/>
          <w:lang w:bidi="en-US"/>
        </w:rPr>
        <w:t>, toda vez que el cumplimiento de dichas medidas está siendo en la actualidad analizado por parte de la Corte en la etapa supervisión de cumplimento correspondiente</w:t>
      </w:r>
      <w:r w:rsidRPr="0064597D">
        <w:rPr>
          <w:rFonts w:eastAsia="MS Mincho"/>
          <w:sz w:val="20"/>
          <w:szCs w:val="20"/>
          <w:lang w:bidi="en-US"/>
        </w:rPr>
        <w:t xml:space="preserve">. </w:t>
      </w:r>
    </w:p>
    <w:p w14:paraId="1FB06248" w14:textId="77777777" w:rsidR="0009788A" w:rsidRPr="0064597D" w:rsidRDefault="0009788A" w:rsidP="0009788A">
      <w:pPr>
        <w:tabs>
          <w:tab w:val="left" w:pos="567"/>
        </w:tabs>
        <w:autoSpaceDE w:val="0"/>
        <w:autoSpaceDN w:val="0"/>
        <w:spacing w:line="240" w:lineRule="auto"/>
        <w:rPr>
          <w:rFonts w:eastAsia="MS Mincho"/>
          <w:sz w:val="20"/>
          <w:szCs w:val="20"/>
          <w:lang w:bidi="en-US"/>
        </w:rPr>
      </w:pPr>
    </w:p>
    <w:p w14:paraId="6AC0128D" w14:textId="7049316C" w:rsidR="00ED2347" w:rsidRPr="0064597D" w:rsidRDefault="00ED2347" w:rsidP="000B4B2C">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MS Mincho"/>
          <w:sz w:val="20"/>
          <w:szCs w:val="20"/>
          <w:lang w:bidi="en-US"/>
        </w:rPr>
        <w:t xml:space="preserve">En cuanto a la adecuación </w:t>
      </w:r>
      <w:r w:rsidR="00845FEF" w:rsidRPr="0064597D">
        <w:rPr>
          <w:rFonts w:eastAsia="MS Mincho"/>
          <w:sz w:val="20"/>
          <w:szCs w:val="20"/>
          <w:lang w:bidi="en-US"/>
        </w:rPr>
        <w:t>del</w:t>
      </w:r>
      <w:r w:rsidRPr="0064597D">
        <w:rPr>
          <w:rFonts w:eastAsia="MS Mincho"/>
          <w:sz w:val="20"/>
          <w:szCs w:val="20"/>
          <w:lang w:bidi="en-US"/>
        </w:rPr>
        <w:t xml:space="preserve"> artículo 201</w:t>
      </w:r>
      <w:r w:rsidR="006350CB" w:rsidRPr="0064597D">
        <w:rPr>
          <w:rFonts w:eastAsia="MS Mincho"/>
          <w:sz w:val="20"/>
          <w:szCs w:val="20"/>
          <w:lang w:bidi="en-US"/>
        </w:rPr>
        <w:t xml:space="preserve"> </w:t>
      </w:r>
      <w:r w:rsidRPr="0064597D">
        <w:rPr>
          <w:rFonts w:eastAsia="MS Mincho"/>
          <w:sz w:val="20"/>
          <w:szCs w:val="20"/>
          <w:lang w:bidi="en-US"/>
        </w:rPr>
        <w:t xml:space="preserve">bis </w:t>
      </w:r>
      <w:r w:rsidR="0009788A" w:rsidRPr="0064597D">
        <w:rPr>
          <w:rFonts w:eastAsia="MS Mincho"/>
          <w:sz w:val="20"/>
          <w:szCs w:val="20"/>
          <w:lang w:bidi="en-US"/>
        </w:rPr>
        <w:t xml:space="preserve">del Código Penal guatemalteco </w:t>
      </w:r>
      <w:r w:rsidRPr="0064597D">
        <w:rPr>
          <w:rFonts w:eastAsia="MS Mincho"/>
          <w:sz w:val="20"/>
          <w:szCs w:val="20"/>
          <w:lang w:bidi="en-US"/>
        </w:rPr>
        <w:t>a los estándares internacionales en relación con la tipificación de la tortura</w:t>
      </w:r>
      <w:r w:rsidR="006350CB" w:rsidRPr="0064597D">
        <w:rPr>
          <w:rFonts w:eastAsia="MS Mincho"/>
          <w:sz w:val="20"/>
          <w:szCs w:val="20"/>
          <w:lang w:bidi="en-US"/>
        </w:rPr>
        <w:t xml:space="preserve">, la Corte observa que </w:t>
      </w:r>
      <w:r w:rsidR="00845FEF" w:rsidRPr="0064597D">
        <w:rPr>
          <w:rFonts w:eastAsia="MS Mincho"/>
          <w:sz w:val="20"/>
          <w:szCs w:val="20"/>
          <w:lang w:bidi="en-US"/>
        </w:rPr>
        <w:t>el referido</w:t>
      </w:r>
      <w:r w:rsidRPr="0064597D">
        <w:rPr>
          <w:rFonts w:eastAsia="MS Mincho"/>
          <w:sz w:val="20"/>
          <w:szCs w:val="20"/>
          <w:lang w:bidi="en-US"/>
        </w:rPr>
        <w:t xml:space="preserve"> art</w:t>
      </w:r>
      <w:r w:rsidR="00845FEF" w:rsidRPr="0064597D">
        <w:rPr>
          <w:rFonts w:eastAsia="MS Mincho"/>
          <w:sz w:val="20"/>
          <w:szCs w:val="20"/>
          <w:lang w:bidi="en-US"/>
        </w:rPr>
        <w:t>ículo</w:t>
      </w:r>
      <w:r w:rsidRPr="0064597D">
        <w:rPr>
          <w:rFonts w:eastAsia="MS Mincho"/>
          <w:sz w:val="20"/>
          <w:szCs w:val="20"/>
          <w:lang w:bidi="en-US"/>
        </w:rPr>
        <w:t xml:space="preserve"> indica </w:t>
      </w:r>
      <w:r w:rsidR="001319EF" w:rsidRPr="0064597D">
        <w:rPr>
          <w:rFonts w:eastAsia="MS Mincho"/>
          <w:sz w:val="20"/>
          <w:szCs w:val="20"/>
          <w:lang w:bidi="en-US"/>
        </w:rPr>
        <w:t xml:space="preserve">actualmente </w:t>
      </w:r>
      <w:r w:rsidRPr="0064597D">
        <w:rPr>
          <w:rFonts w:eastAsia="MS Mincho"/>
          <w:sz w:val="20"/>
          <w:szCs w:val="20"/>
          <w:lang w:bidi="en-US"/>
        </w:rPr>
        <w:t>lo siguiente:</w:t>
      </w:r>
    </w:p>
    <w:p w14:paraId="49F8D472" w14:textId="77777777" w:rsidR="0009788A" w:rsidRPr="0064597D" w:rsidRDefault="0009788A" w:rsidP="0009788A">
      <w:pPr>
        <w:tabs>
          <w:tab w:val="left" w:pos="567"/>
        </w:tabs>
        <w:autoSpaceDE w:val="0"/>
        <w:autoSpaceDN w:val="0"/>
        <w:spacing w:line="240" w:lineRule="auto"/>
        <w:rPr>
          <w:rFonts w:eastAsia="MS Mincho"/>
          <w:sz w:val="20"/>
          <w:szCs w:val="20"/>
          <w:lang w:bidi="en-US"/>
        </w:rPr>
      </w:pPr>
    </w:p>
    <w:p w14:paraId="02D741C5" w14:textId="71788280" w:rsidR="00ED2347" w:rsidRPr="0064597D" w:rsidRDefault="00ED2347" w:rsidP="0009788A">
      <w:pPr>
        <w:tabs>
          <w:tab w:val="left" w:pos="567"/>
        </w:tabs>
        <w:autoSpaceDE w:val="0"/>
        <w:autoSpaceDN w:val="0"/>
        <w:spacing w:line="240" w:lineRule="auto"/>
        <w:ind w:left="720" w:right="720"/>
        <w:rPr>
          <w:rFonts w:eastAsiaTheme="minorHAnsi" w:cs="Arial"/>
          <w:sz w:val="18"/>
          <w:szCs w:val="18"/>
          <w:lang w:eastAsia="en-US"/>
        </w:rPr>
      </w:pPr>
      <w:r w:rsidRPr="0064597D">
        <w:rPr>
          <w:rFonts w:eastAsia="MS Mincho"/>
          <w:sz w:val="18"/>
          <w:szCs w:val="18"/>
          <w:lang w:bidi="en-US"/>
        </w:rPr>
        <w:t xml:space="preserve">Comete el delito de tortura, quien por orden o con la autorización, el apoyo o aquiescencia de autoridades del Estado, inflija </w:t>
      </w:r>
      <w:r w:rsidRPr="0064597D">
        <w:rPr>
          <w:rFonts w:eastAsiaTheme="minorHAnsi" w:cs="Arial"/>
          <w:sz w:val="18"/>
          <w:szCs w:val="18"/>
          <w:lang w:eastAsia="en-US"/>
        </w:rPr>
        <w:t>intencionalmente a una persona dolores o sufrimientos graves, ya sean físicos o mentales con el fin de obtener de ella o de un tercero información o confesión, por un acto que haya cometido o se sospeche que hubiere cometido, o persiga intimidar a una persona o, por ese medio, a otras personas. […]</w:t>
      </w:r>
      <w:r w:rsidR="0009788A" w:rsidRPr="0064597D">
        <w:rPr>
          <w:rFonts w:eastAsiaTheme="minorHAnsi" w:cs="Arial"/>
          <w:sz w:val="18"/>
          <w:szCs w:val="18"/>
          <w:lang w:eastAsia="en-US"/>
        </w:rPr>
        <w:t xml:space="preserve"> </w:t>
      </w:r>
      <w:r w:rsidRPr="0064597D">
        <w:rPr>
          <w:rFonts w:eastAsiaTheme="minorHAnsi" w:cs="Arial"/>
          <w:sz w:val="18"/>
          <w:szCs w:val="18"/>
          <w:lang w:eastAsia="en-US"/>
        </w:rPr>
        <w:t>El o los responsables del delito de tortura serán sancionados con prisión de</w:t>
      </w:r>
      <w:r w:rsidR="0009788A" w:rsidRPr="0064597D">
        <w:rPr>
          <w:rFonts w:eastAsiaTheme="minorHAnsi" w:cs="Arial"/>
          <w:sz w:val="18"/>
          <w:szCs w:val="18"/>
          <w:lang w:eastAsia="en-US"/>
        </w:rPr>
        <w:t xml:space="preserve"> </w:t>
      </w:r>
      <w:r w:rsidRPr="0064597D">
        <w:rPr>
          <w:rFonts w:eastAsiaTheme="minorHAnsi" w:cs="Arial"/>
          <w:sz w:val="18"/>
          <w:szCs w:val="18"/>
          <w:lang w:eastAsia="en-US"/>
        </w:rPr>
        <w:t>veinticinco a treinta años.</w:t>
      </w:r>
    </w:p>
    <w:p w14:paraId="6B0A6AC0" w14:textId="77777777" w:rsidR="0009788A" w:rsidRPr="0064597D" w:rsidRDefault="0009788A" w:rsidP="0009788A">
      <w:pPr>
        <w:tabs>
          <w:tab w:val="left" w:pos="567"/>
        </w:tabs>
        <w:autoSpaceDE w:val="0"/>
        <w:autoSpaceDN w:val="0"/>
        <w:spacing w:line="240" w:lineRule="auto"/>
        <w:ind w:right="720"/>
        <w:rPr>
          <w:rFonts w:eastAsiaTheme="minorHAnsi" w:cs="Arial"/>
          <w:sz w:val="18"/>
          <w:szCs w:val="18"/>
          <w:lang w:eastAsia="en-US"/>
        </w:rPr>
      </w:pPr>
    </w:p>
    <w:p w14:paraId="6A396004" w14:textId="2B1088E2" w:rsidR="0009788A" w:rsidRPr="0064597D" w:rsidRDefault="0009788A" w:rsidP="0009788A">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Theme="minorHAnsi" w:cs="Arial"/>
          <w:sz w:val="20"/>
          <w:szCs w:val="20"/>
          <w:lang w:eastAsia="en-US"/>
        </w:rPr>
        <w:t xml:space="preserve">La Corte </w:t>
      </w:r>
      <w:r w:rsidR="006350CB" w:rsidRPr="0064597D">
        <w:rPr>
          <w:rFonts w:eastAsiaTheme="minorHAnsi" w:cs="Arial"/>
          <w:sz w:val="20"/>
          <w:szCs w:val="20"/>
          <w:lang w:eastAsia="en-US"/>
        </w:rPr>
        <w:t xml:space="preserve">nota que, efectivamente, </w:t>
      </w:r>
      <w:r w:rsidRPr="0064597D">
        <w:rPr>
          <w:rFonts w:eastAsiaTheme="minorHAnsi" w:cs="Arial"/>
          <w:sz w:val="20"/>
          <w:szCs w:val="20"/>
          <w:lang w:eastAsia="en-US"/>
        </w:rPr>
        <w:t>la presente norma no cumple con los requisitos mínimos establecidos en el artículo 2 Convención Interamericana para Prevenir y Sancionar la tortura,</w:t>
      </w:r>
      <w:r w:rsidR="006350CB" w:rsidRPr="0064597D">
        <w:rPr>
          <w:rFonts w:eastAsiaTheme="minorHAnsi" w:cs="Arial"/>
          <w:sz w:val="20"/>
          <w:szCs w:val="20"/>
          <w:lang w:eastAsia="en-US"/>
        </w:rPr>
        <w:t xml:space="preserve"> el </w:t>
      </w:r>
      <w:r w:rsidRPr="0064597D">
        <w:rPr>
          <w:rFonts w:eastAsiaTheme="minorHAnsi" w:cs="Arial"/>
          <w:sz w:val="20"/>
          <w:szCs w:val="20"/>
          <w:lang w:eastAsia="en-US"/>
        </w:rPr>
        <w:t xml:space="preserve">cual establece que se entenderá como tortura: </w:t>
      </w:r>
    </w:p>
    <w:p w14:paraId="17FB75C9" w14:textId="77777777" w:rsidR="0009788A" w:rsidRPr="0064597D" w:rsidRDefault="0009788A" w:rsidP="0009788A">
      <w:pPr>
        <w:tabs>
          <w:tab w:val="left" w:pos="567"/>
        </w:tabs>
        <w:autoSpaceDE w:val="0"/>
        <w:autoSpaceDN w:val="0"/>
        <w:spacing w:line="240" w:lineRule="auto"/>
        <w:rPr>
          <w:rFonts w:eastAsia="MS Mincho"/>
          <w:sz w:val="20"/>
          <w:szCs w:val="20"/>
          <w:lang w:bidi="en-US"/>
        </w:rPr>
      </w:pPr>
    </w:p>
    <w:p w14:paraId="321D04A1" w14:textId="519A36F2" w:rsidR="0009788A" w:rsidRPr="0064597D" w:rsidRDefault="0009788A" w:rsidP="0009788A">
      <w:pPr>
        <w:tabs>
          <w:tab w:val="left" w:pos="567"/>
        </w:tabs>
        <w:autoSpaceDE w:val="0"/>
        <w:autoSpaceDN w:val="0"/>
        <w:spacing w:line="240" w:lineRule="auto"/>
        <w:ind w:left="720" w:right="720"/>
        <w:rPr>
          <w:rFonts w:eastAsia="MS Mincho"/>
          <w:sz w:val="18"/>
          <w:szCs w:val="18"/>
          <w:lang w:bidi="en-US"/>
        </w:rPr>
      </w:pPr>
      <w:r w:rsidRPr="0064597D">
        <w:rPr>
          <w:rFonts w:eastAsiaTheme="minorHAnsi" w:cs="Arial"/>
          <w:sz w:val="18"/>
          <w:szCs w:val="18"/>
          <w:lang w:eastAsia="en-US"/>
        </w:rPr>
        <w:t>[T]odo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w:t>
      </w:r>
      <w:r w:rsidR="00DA7F1B">
        <w:rPr>
          <w:rFonts w:eastAsiaTheme="minorHAnsi" w:cs="Arial"/>
          <w:sz w:val="18"/>
          <w:szCs w:val="18"/>
          <w:lang w:eastAsia="en-US"/>
        </w:rPr>
        <w:t>olor físico o angustia psíquica</w:t>
      </w:r>
      <w:r w:rsidRPr="0064597D">
        <w:rPr>
          <w:rFonts w:eastAsiaTheme="minorHAnsi" w:cs="Arial"/>
          <w:sz w:val="18"/>
          <w:szCs w:val="18"/>
          <w:lang w:eastAsia="en-US"/>
        </w:rPr>
        <w:t>.</w:t>
      </w:r>
    </w:p>
    <w:p w14:paraId="42ABDDE9" w14:textId="77777777" w:rsidR="009772D8" w:rsidRPr="0064597D" w:rsidRDefault="009772D8" w:rsidP="009772D8">
      <w:pPr>
        <w:tabs>
          <w:tab w:val="left" w:pos="567"/>
        </w:tabs>
        <w:autoSpaceDE w:val="0"/>
        <w:autoSpaceDN w:val="0"/>
        <w:spacing w:line="240" w:lineRule="auto"/>
        <w:rPr>
          <w:rFonts w:eastAsia="MS Mincho"/>
          <w:sz w:val="20"/>
          <w:szCs w:val="20"/>
          <w:lang w:bidi="en-US"/>
        </w:rPr>
      </w:pPr>
    </w:p>
    <w:p w14:paraId="5B5C8E16" w14:textId="4C0A41BD" w:rsidR="0009788A" w:rsidRPr="0064597D" w:rsidRDefault="0009788A" w:rsidP="000B4B2C">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MS Mincho"/>
          <w:sz w:val="20"/>
          <w:szCs w:val="20"/>
          <w:lang w:bidi="en-US"/>
        </w:rPr>
        <w:lastRenderedPageBreak/>
        <w:t xml:space="preserve">Esta falta de adecuación </w:t>
      </w:r>
      <w:r w:rsidR="006350CB" w:rsidRPr="0064597D">
        <w:rPr>
          <w:rFonts w:eastAsia="MS Mincho"/>
          <w:sz w:val="20"/>
          <w:szCs w:val="20"/>
          <w:lang w:bidi="en-US"/>
        </w:rPr>
        <w:t xml:space="preserve">legislativa </w:t>
      </w:r>
      <w:r w:rsidRPr="0064597D">
        <w:rPr>
          <w:rFonts w:eastAsia="MS Mincho"/>
          <w:sz w:val="20"/>
          <w:szCs w:val="20"/>
          <w:lang w:bidi="en-US"/>
        </w:rPr>
        <w:t>también ha sido destacada por la Corte de Constitucionalidad de Guatemala en su sentencia de 17 de julio de 2012</w:t>
      </w:r>
      <w:r w:rsidR="006350CB" w:rsidRPr="0064597D">
        <w:rPr>
          <w:rFonts w:eastAsia="MS Mincho"/>
          <w:sz w:val="20"/>
          <w:szCs w:val="20"/>
          <w:lang w:bidi="en-US"/>
        </w:rPr>
        <w:t>,</w:t>
      </w:r>
      <w:r w:rsidRPr="0064597D">
        <w:rPr>
          <w:rFonts w:eastAsia="MS Mincho"/>
          <w:sz w:val="20"/>
          <w:szCs w:val="20"/>
          <w:lang w:bidi="en-US"/>
        </w:rPr>
        <w:t xml:space="preserve"> en la que </w:t>
      </w:r>
      <w:r w:rsidR="006350CB" w:rsidRPr="0064597D">
        <w:rPr>
          <w:rFonts w:eastAsia="MS Mincho"/>
          <w:sz w:val="20"/>
          <w:szCs w:val="20"/>
          <w:lang w:bidi="en-US"/>
        </w:rPr>
        <w:t xml:space="preserve">expresamente </w:t>
      </w:r>
      <w:r w:rsidRPr="0064597D">
        <w:rPr>
          <w:rFonts w:eastAsia="MS Mincho"/>
          <w:sz w:val="20"/>
          <w:szCs w:val="20"/>
          <w:lang w:bidi="en-US"/>
        </w:rPr>
        <w:t>señaló lo siguiente:</w:t>
      </w:r>
    </w:p>
    <w:p w14:paraId="26D860E9" w14:textId="77777777" w:rsidR="0009788A" w:rsidRPr="0064597D" w:rsidRDefault="0009788A" w:rsidP="0009788A">
      <w:pPr>
        <w:tabs>
          <w:tab w:val="left" w:pos="567"/>
        </w:tabs>
        <w:autoSpaceDE w:val="0"/>
        <w:autoSpaceDN w:val="0"/>
        <w:spacing w:line="240" w:lineRule="auto"/>
        <w:rPr>
          <w:rFonts w:eastAsia="MS Mincho"/>
          <w:sz w:val="20"/>
          <w:szCs w:val="20"/>
          <w:lang w:bidi="en-US"/>
        </w:rPr>
      </w:pPr>
    </w:p>
    <w:p w14:paraId="4CEB4D21" w14:textId="7F32CAE6" w:rsidR="0009788A" w:rsidRPr="0064597D" w:rsidRDefault="0009788A" w:rsidP="00E96256">
      <w:pPr>
        <w:widowControl/>
        <w:autoSpaceDE w:val="0"/>
        <w:autoSpaceDN w:val="0"/>
        <w:spacing w:line="240" w:lineRule="auto"/>
        <w:ind w:left="720" w:right="720"/>
        <w:textAlignment w:val="auto"/>
        <w:rPr>
          <w:rFonts w:eastAsiaTheme="minorHAnsi" w:cs="Arial"/>
          <w:sz w:val="18"/>
          <w:szCs w:val="18"/>
          <w:lang w:eastAsia="en-US"/>
        </w:rPr>
      </w:pPr>
      <w:r w:rsidRPr="0064597D">
        <w:rPr>
          <w:rFonts w:eastAsiaTheme="minorHAnsi" w:cs="Arial"/>
          <w:sz w:val="18"/>
          <w:szCs w:val="18"/>
          <w:lang w:eastAsia="en-US"/>
        </w:rPr>
        <w:t>[…] en la tipificación del delito de tortura, contenida en el artículo 201 Bis del Código Penal, no se incluyen todos los elementos descritos en los tratados internacionales que regulan esa conducta antijurídica, pues se omite: el castigo, la discriminación y cualquier otro fin como parte del tipo penal, así como la aplicación de métodos tendientes a anular la personalidad de la víctima o a disminuir su capacidad física o mental, aunque no causen dolor físico o angustia psíquica, por lo que excluir de la protección del bien jurídico tutelado esos elementos objetivos, provocaría que en el precepto, cuya inconstitucionalidad se denuncia, se haya incurrido en omisión de tipificar actos altamente lesivos a la integridad moral y física de los individuos, necesarios para complementar el tipo delictivo previsto en el artículo 201 del Código Penal, contraviniéndose así el artículo 1 de la Convención Interamericana para p</w:t>
      </w:r>
      <w:r w:rsidR="00A15444" w:rsidRPr="0064597D">
        <w:rPr>
          <w:rFonts w:eastAsiaTheme="minorHAnsi" w:cs="Arial"/>
          <w:sz w:val="18"/>
          <w:szCs w:val="18"/>
          <w:lang w:eastAsia="en-US"/>
        </w:rPr>
        <w:t xml:space="preserve">revenir y sancionar la Tortura </w:t>
      </w:r>
      <w:r w:rsidR="00E96256" w:rsidRPr="0064597D">
        <w:rPr>
          <w:rFonts w:eastAsiaTheme="minorHAnsi" w:cs="Arial"/>
          <w:sz w:val="18"/>
          <w:szCs w:val="18"/>
          <w:lang w:eastAsia="en-US"/>
        </w:rPr>
        <w:t>[…]</w:t>
      </w:r>
      <w:r w:rsidR="001A37B9" w:rsidRPr="0064597D">
        <w:rPr>
          <w:rFonts w:eastAsiaTheme="minorHAnsi" w:cs="Arial"/>
          <w:sz w:val="18"/>
          <w:szCs w:val="18"/>
          <w:lang w:eastAsia="en-US"/>
        </w:rPr>
        <w:t xml:space="preserve"> </w:t>
      </w:r>
      <w:r w:rsidR="00E96256" w:rsidRPr="0064597D">
        <w:rPr>
          <w:rFonts w:eastAsiaTheme="minorHAnsi" w:cs="DejaVuSans"/>
          <w:sz w:val="18"/>
          <w:szCs w:val="18"/>
          <w:lang w:eastAsia="en-US"/>
        </w:rPr>
        <w:t xml:space="preserve">Este Tribunal estima que para cumplir con la tipificación necesaria y en aplicación a los estándares internacionales en materia de derechos humanos, debe establecerse concretamente la descripción de las conductas que constituyen “tortura”, por lo que es necesario introducir por vía de reforma a la norma penal contenida en el artículo 201 Bis del Código Penal las frases de: “el castigo”, “cualquier tipo de discriminación”, “o con cualquier otro fin”, como finalidades del delito de tortura, y expresamente se regule que también constituye este delito “la aplicación sobre una persona de métodos tendientes a anular la personalidad de la víctima o a disminuir su capacidad física o mental, aunque no causen dolor físico </w:t>
      </w:r>
      <w:r w:rsidR="001319EF" w:rsidRPr="0064597D">
        <w:rPr>
          <w:rFonts w:eastAsiaTheme="minorHAnsi" w:cs="DejaVuSans"/>
          <w:sz w:val="18"/>
          <w:szCs w:val="18"/>
          <w:lang w:eastAsia="en-US"/>
        </w:rPr>
        <w:t>o angustia psíquica</w:t>
      </w:r>
      <w:r w:rsidR="00E96256" w:rsidRPr="0064597D">
        <w:rPr>
          <w:rStyle w:val="Refdenotaalpie"/>
          <w:rFonts w:eastAsiaTheme="minorHAnsi" w:cs="Arial"/>
          <w:sz w:val="18"/>
          <w:szCs w:val="18"/>
          <w:lang w:eastAsia="en-US"/>
        </w:rPr>
        <w:footnoteReference w:id="248"/>
      </w:r>
      <w:r w:rsidR="001319EF" w:rsidRPr="0064597D">
        <w:rPr>
          <w:rFonts w:eastAsiaTheme="minorHAnsi" w:cs="DejaVuSans"/>
          <w:sz w:val="18"/>
          <w:szCs w:val="18"/>
          <w:lang w:eastAsia="en-US"/>
        </w:rPr>
        <w:t>.</w:t>
      </w:r>
    </w:p>
    <w:p w14:paraId="03ABA240" w14:textId="77777777" w:rsidR="0009788A" w:rsidRPr="0064597D" w:rsidRDefault="0009788A" w:rsidP="0009788A">
      <w:pPr>
        <w:widowControl/>
        <w:autoSpaceDE w:val="0"/>
        <w:autoSpaceDN w:val="0"/>
        <w:spacing w:line="240" w:lineRule="auto"/>
        <w:jc w:val="left"/>
        <w:textAlignment w:val="auto"/>
        <w:rPr>
          <w:rFonts w:eastAsia="MS Mincho"/>
          <w:sz w:val="20"/>
          <w:szCs w:val="20"/>
          <w:lang w:bidi="en-US"/>
        </w:rPr>
      </w:pPr>
    </w:p>
    <w:p w14:paraId="7921B0F0" w14:textId="77777777" w:rsidR="00E8070F" w:rsidRPr="0064597D" w:rsidRDefault="00845FEF" w:rsidP="001319EF">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MS Mincho"/>
          <w:sz w:val="20"/>
          <w:szCs w:val="20"/>
          <w:lang w:bidi="en-US"/>
        </w:rPr>
        <w:t xml:space="preserve">La Corte de Constitucionalidad concluyó, por tanto, que </w:t>
      </w:r>
      <w:r w:rsidR="00A15444" w:rsidRPr="0064597D">
        <w:rPr>
          <w:rFonts w:eastAsia="MS Mincho"/>
          <w:sz w:val="20"/>
          <w:szCs w:val="20"/>
          <w:lang w:bidi="en-US"/>
        </w:rPr>
        <w:t>e</w:t>
      </w:r>
      <w:r w:rsidRPr="0064597D">
        <w:rPr>
          <w:rFonts w:eastAsia="MS Mincho"/>
          <w:sz w:val="20"/>
          <w:szCs w:val="20"/>
          <w:lang w:bidi="en-US"/>
        </w:rPr>
        <w:t xml:space="preserve">l artículo 201 </w:t>
      </w:r>
      <w:r w:rsidR="00727D30" w:rsidRPr="0064597D">
        <w:rPr>
          <w:rFonts w:eastAsia="MS Mincho"/>
          <w:sz w:val="20"/>
          <w:szCs w:val="20"/>
          <w:lang w:bidi="en-US"/>
        </w:rPr>
        <w:t>b</w:t>
      </w:r>
      <w:r w:rsidRPr="0064597D">
        <w:rPr>
          <w:rFonts w:eastAsia="MS Mincho"/>
          <w:sz w:val="20"/>
          <w:szCs w:val="20"/>
          <w:lang w:bidi="en-US"/>
        </w:rPr>
        <w:t xml:space="preserve">is del Código Penal </w:t>
      </w:r>
      <w:r w:rsidR="00A15444" w:rsidRPr="0064597D">
        <w:rPr>
          <w:rFonts w:eastAsia="MS Mincho"/>
          <w:sz w:val="20"/>
          <w:szCs w:val="20"/>
          <w:lang w:bidi="en-US"/>
        </w:rPr>
        <w:t>debía ser reformado a través de “a</w:t>
      </w:r>
      <w:r w:rsidRPr="0064597D">
        <w:rPr>
          <w:rFonts w:eastAsia="MS Mincho"/>
          <w:sz w:val="20"/>
          <w:szCs w:val="20"/>
          <w:lang w:bidi="en-US"/>
        </w:rPr>
        <w:t>cción legislativa con las adiciones que resulten de las disposiciones contenidas en la Convención de Naciones Unidas contra la Tortura y otros Tratados o Penas Crueles o Degradantes y en la Convención Interamericana para prevenir y sancionar la tortura</w:t>
      </w:r>
      <w:r w:rsidR="00A15444" w:rsidRPr="0064597D">
        <w:rPr>
          <w:rFonts w:eastAsia="MS Mincho"/>
          <w:sz w:val="20"/>
          <w:szCs w:val="20"/>
          <w:lang w:bidi="en-US"/>
        </w:rPr>
        <w:t>”</w:t>
      </w:r>
      <w:r w:rsidRPr="0064597D">
        <w:rPr>
          <w:rStyle w:val="Refdenotaalpie"/>
          <w:rFonts w:eastAsia="MS Mincho"/>
          <w:sz w:val="20"/>
          <w:szCs w:val="20"/>
          <w:lang w:bidi="en-US"/>
        </w:rPr>
        <w:footnoteReference w:id="249"/>
      </w:r>
      <w:r w:rsidRPr="0064597D">
        <w:rPr>
          <w:rFonts w:eastAsia="MS Mincho"/>
          <w:sz w:val="20"/>
          <w:szCs w:val="20"/>
          <w:lang w:bidi="en-US"/>
        </w:rPr>
        <w:t xml:space="preserve">. </w:t>
      </w:r>
      <w:r w:rsidR="001319EF" w:rsidRPr="0064597D">
        <w:rPr>
          <w:rFonts w:eastAsia="MS Mincho"/>
          <w:sz w:val="20"/>
          <w:szCs w:val="20"/>
          <w:lang w:bidi="en-US"/>
        </w:rPr>
        <w:t xml:space="preserve">Con base en los alegatos presentados por el Estado y el acervo probatorio obrante en el presente caso la Corte observa que, a fecha de la presente sentencia, dicha modificación y adecuación legislativa no ha tenido lugar. </w:t>
      </w:r>
    </w:p>
    <w:p w14:paraId="40AEF4A0" w14:textId="77777777" w:rsidR="00E8070F" w:rsidRPr="0064597D" w:rsidRDefault="00E8070F" w:rsidP="00E8070F">
      <w:pPr>
        <w:tabs>
          <w:tab w:val="left" w:pos="567"/>
        </w:tabs>
        <w:autoSpaceDE w:val="0"/>
        <w:autoSpaceDN w:val="0"/>
        <w:spacing w:line="240" w:lineRule="auto"/>
        <w:rPr>
          <w:rFonts w:eastAsia="MS Mincho"/>
          <w:sz w:val="20"/>
          <w:szCs w:val="20"/>
          <w:lang w:bidi="en-US"/>
        </w:rPr>
      </w:pPr>
    </w:p>
    <w:p w14:paraId="405D98EC" w14:textId="521F4347" w:rsidR="001319EF" w:rsidRPr="0064597D" w:rsidRDefault="001319EF" w:rsidP="001319EF">
      <w:pPr>
        <w:numPr>
          <w:ilvl w:val="0"/>
          <w:numId w:val="1"/>
        </w:numPr>
        <w:tabs>
          <w:tab w:val="left" w:pos="567"/>
        </w:tabs>
        <w:autoSpaceDE w:val="0"/>
        <w:autoSpaceDN w:val="0"/>
        <w:spacing w:line="240" w:lineRule="auto"/>
        <w:ind w:left="0" w:firstLine="0"/>
        <w:rPr>
          <w:rFonts w:eastAsia="MS Mincho"/>
          <w:sz w:val="20"/>
          <w:szCs w:val="20"/>
          <w:lang w:bidi="en-US"/>
        </w:rPr>
      </w:pPr>
      <w:r w:rsidRPr="0064597D">
        <w:rPr>
          <w:rFonts w:eastAsia="MS Mincho"/>
          <w:sz w:val="20"/>
          <w:szCs w:val="20"/>
          <w:lang w:bidi="en-US"/>
        </w:rPr>
        <w:t>En consecuencia, la Corte estima pertinente ordenar al Estado que, como una garantía de no repetición de los</w:t>
      </w:r>
      <w:r w:rsidR="000D4F08" w:rsidRPr="0064597D">
        <w:rPr>
          <w:rFonts w:eastAsia="MS Mincho"/>
          <w:sz w:val="20"/>
          <w:szCs w:val="20"/>
          <w:lang w:bidi="en-US"/>
        </w:rPr>
        <w:t xml:space="preserve"> hechos del presente caso, adecú</w:t>
      </w:r>
      <w:r w:rsidRPr="0064597D">
        <w:rPr>
          <w:rFonts w:eastAsia="MS Mincho"/>
          <w:sz w:val="20"/>
          <w:szCs w:val="20"/>
          <w:lang w:bidi="en-US"/>
        </w:rPr>
        <w:t>e en un plazo razonable la tipificación del delito de tortura contenida en el artículo 201 bis del actual Código Penal a los estándares internacionales de derechos humanos.</w:t>
      </w:r>
    </w:p>
    <w:p w14:paraId="7720C4A9" w14:textId="77777777" w:rsidR="00845FEF" w:rsidRPr="0064597D" w:rsidRDefault="00845FEF" w:rsidP="00845FEF">
      <w:pPr>
        <w:tabs>
          <w:tab w:val="left" w:pos="567"/>
        </w:tabs>
        <w:autoSpaceDE w:val="0"/>
        <w:autoSpaceDN w:val="0"/>
        <w:spacing w:line="240" w:lineRule="auto"/>
        <w:rPr>
          <w:rFonts w:eastAsia="MS Mincho"/>
          <w:sz w:val="20"/>
          <w:szCs w:val="20"/>
          <w:lang w:bidi="en-US"/>
        </w:rPr>
      </w:pPr>
    </w:p>
    <w:p w14:paraId="28BB39D1" w14:textId="132C1898" w:rsidR="007A21E6" w:rsidRPr="0064597D" w:rsidRDefault="005D1ECE" w:rsidP="007A21E6">
      <w:pPr>
        <w:numPr>
          <w:ilvl w:val="0"/>
          <w:numId w:val="1"/>
        </w:numPr>
        <w:tabs>
          <w:tab w:val="left" w:pos="567"/>
          <w:tab w:val="num" w:pos="1569"/>
          <w:tab w:val="num" w:pos="12305"/>
        </w:tabs>
        <w:spacing w:line="240" w:lineRule="auto"/>
        <w:ind w:left="0" w:firstLine="0"/>
        <w:rPr>
          <w:rFonts w:eastAsia="Calibri" w:cs="Arial"/>
          <w:bCs/>
          <w:sz w:val="20"/>
          <w:szCs w:val="20"/>
          <w:lang w:val="es-ES_tradnl" w:eastAsia="en-US"/>
        </w:rPr>
      </w:pPr>
      <w:r w:rsidRPr="0064597D">
        <w:rPr>
          <w:rFonts w:eastAsia="MS Mincho"/>
          <w:sz w:val="20"/>
          <w:szCs w:val="20"/>
          <w:lang w:bidi="en-US"/>
        </w:rPr>
        <w:t xml:space="preserve">En cuanto a la solicitud de prohibición de adopción de legislación regresiva en relación a la pena de </w:t>
      </w:r>
      <w:r w:rsidRPr="0064597D">
        <w:rPr>
          <w:sz w:val="20"/>
          <w:szCs w:val="20"/>
        </w:rPr>
        <w:t>muerte</w:t>
      </w:r>
      <w:r w:rsidR="00E35EC6" w:rsidRPr="0064597D">
        <w:rPr>
          <w:sz w:val="20"/>
          <w:szCs w:val="20"/>
        </w:rPr>
        <w:t>,</w:t>
      </w:r>
      <w:r w:rsidRPr="0064597D">
        <w:rPr>
          <w:rFonts w:eastAsia="MS Mincho"/>
          <w:sz w:val="20"/>
          <w:szCs w:val="20"/>
          <w:lang w:bidi="en-US"/>
        </w:rPr>
        <w:t xml:space="preserve"> la Corte se refirió </w:t>
      </w:r>
      <w:r w:rsidR="00DA7F1B" w:rsidRPr="0064597D">
        <w:rPr>
          <w:rFonts w:eastAsia="MS Mincho"/>
          <w:sz w:val="20"/>
          <w:szCs w:val="20"/>
          <w:lang w:bidi="en-US"/>
        </w:rPr>
        <w:t xml:space="preserve">en el apartado VIII-1 de la presente Sentencia </w:t>
      </w:r>
      <w:r w:rsidRPr="0064597D">
        <w:rPr>
          <w:rFonts w:eastAsia="MS Mincho"/>
          <w:sz w:val="20"/>
          <w:szCs w:val="20"/>
          <w:lang w:bidi="en-US"/>
        </w:rPr>
        <w:t xml:space="preserve">al régimen claramente restrictivo de la pena de muerte establecido en el artículo 4 de la Convención Americana y a la tendencia abolicionista recogida en el Protocolo a la Convención a Americana de Derechos Humanos relativo a la Abolición de la Pena de Muerte, también imperante en el sistema universal, por lo que remite a lo ya señalado. </w:t>
      </w:r>
      <w:r w:rsidR="007A21E6" w:rsidRPr="0064597D">
        <w:rPr>
          <w:rFonts w:eastAsia="MS Mincho"/>
          <w:sz w:val="20"/>
          <w:szCs w:val="20"/>
          <w:lang w:bidi="en-US"/>
        </w:rPr>
        <w:t>Además, la Corte destaca lo establecido por</w:t>
      </w:r>
      <w:r w:rsidR="007A21E6" w:rsidRPr="0064597D">
        <w:rPr>
          <w:sz w:val="20"/>
          <w:szCs w:val="20"/>
        </w:rPr>
        <w:t xml:space="preserve"> la Corte de Constitucionalidad de Guatemala en su sentencia de</w:t>
      </w:r>
      <w:r w:rsidR="007A21E6" w:rsidRPr="0064597D">
        <w:rPr>
          <w:rFonts w:eastAsia="Calibri" w:cs="Arial"/>
          <w:bCs/>
          <w:sz w:val="20"/>
          <w:szCs w:val="20"/>
          <w:lang w:val="es-ES_tradnl" w:eastAsia="en-US"/>
        </w:rPr>
        <w:t xml:space="preserve"> 24 de octubre de 2017, en virtud de la cual declaró inconstitucional el citado artículo 201 al considerar que configuraba una obvia violación al artículo 4, numeral 2, de la Convención Americana sobre Derechos Humanos</w:t>
      </w:r>
      <w:r w:rsidR="007A21E6" w:rsidRPr="0064597D">
        <w:rPr>
          <w:rStyle w:val="Refdenotaalpie"/>
          <w:rFonts w:eastAsia="Calibri" w:cs="Arial"/>
          <w:bCs/>
          <w:sz w:val="20"/>
          <w:szCs w:val="20"/>
          <w:lang w:val="es-ES_tradnl" w:eastAsia="en-US"/>
        </w:rPr>
        <w:footnoteReference w:id="250"/>
      </w:r>
      <w:r w:rsidR="007A21E6" w:rsidRPr="0064597D">
        <w:rPr>
          <w:rFonts w:eastAsia="Calibri" w:cs="Arial"/>
          <w:bCs/>
          <w:sz w:val="20"/>
          <w:szCs w:val="20"/>
          <w:lang w:val="es-ES_tradnl" w:eastAsia="en-US"/>
        </w:rPr>
        <w:t xml:space="preserve">. </w:t>
      </w:r>
    </w:p>
    <w:p w14:paraId="68A322E0" w14:textId="77777777" w:rsidR="000B4B2C" w:rsidRPr="0064597D" w:rsidRDefault="000B4B2C" w:rsidP="000B4B2C">
      <w:pPr>
        <w:tabs>
          <w:tab w:val="left" w:pos="567"/>
        </w:tabs>
        <w:autoSpaceDE w:val="0"/>
        <w:autoSpaceDN w:val="0"/>
        <w:spacing w:line="240" w:lineRule="auto"/>
        <w:rPr>
          <w:rFonts w:eastAsia="MS Mincho"/>
          <w:sz w:val="20"/>
          <w:szCs w:val="20"/>
          <w:lang w:bidi="en-US"/>
        </w:rPr>
      </w:pPr>
    </w:p>
    <w:p w14:paraId="032BD1A4" w14:textId="2C55AC69" w:rsidR="005F18DA" w:rsidRPr="0064597D" w:rsidRDefault="001E4FB6" w:rsidP="003E0947">
      <w:pPr>
        <w:numPr>
          <w:ilvl w:val="0"/>
          <w:numId w:val="1"/>
        </w:numPr>
        <w:tabs>
          <w:tab w:val="left" w:pos="567"/>
        </w:tabs>
        <w:autoSpaceDE w:val="0"/>
        <w:autoSpaceDN w:val="0"/>
        <w:spacing w:line="240" w:lineRule="auto"/>
        <w:ind w:left="0" w:firstLine="0"/>
        <w:textAlignment w:val="auto"/>
        <w:rPr>
          <w:rFonts w:eastAsia="MS Mincho"/>
          <w:sz w:val="20"/>
          <w:szCs w:val="20"/>
          <w:lang w:bidi="en-US"/>
        </w:rPr>
      </w:pPr>
      <w:r w:rsidRPr="0064597D">
        <w:rPr>
          <w:rFonts w:eastAsia="MS Mincho"/>
          <w:sz w:val="20"/>
          <w:szCs w:val="20"/>
          <w:lang w:bidi="en-US"/>
        </w:rPr>
        <w:t>Respecto a las restantes medidas</w:t>
      </w:r>
      <w:r w:rsidR="009772D8" w:rsidRPr="0064597D">
        <w:rPr>
          <w:rFonts w:eastAsia="MS Mincho"/>
          <w:sz w:val="20"/>
          <w:szCs w:val="20"/>
          <w:lang w:bidi="en-US"/>
        </w:rPr>
        <w:t xml:space="preserve"> de adecuación normativa</w:t>
      </w:r>
      <w:r w:rsidR="000B4B2C" w:rsidRPr="0064597D">
        <w:rPr>
          <w:rFonts w:eastAsia="MS Mincho"/>
          <w:sz w:val="20"/>
          <w:szCs w:val="20"/>
          <w:lang w:bidi="en-US"/>
        </w:rPr>
        <w:t>, la Corte observa que no existe nexo causal entre las violaciones declaradas y la modificación que se solicita.</w:t>
      </w:r>
    </w:p>
    <w:p w14:paraId="56A74DC5" w14:textId="458FCB47" w:rsidR="000B4B2C" w:rsidRPr="0064597D" w:rsidRDefault="000B4B2C" w:rsidP="000B4B2C">
      <w:pPr>
        <w:tabs>
          <w:tab w:val="left" w:pos="567"/>
        </w:tabs>
        <w:autoSpaceDE w:val="0"/>
        <w:autoSpaceDN w:val="0"/>
        <w:spacing w:line="240" w:lineRule="auto"/>
        <w:textAlignment w:val="auto"/>
        <w:rPr>
          <w:rFonts w:eastAsia="MS Mincho"/>
          <w:sz w:val="20"/>
          <w:szCs w:val="20"/>
          <w:lang w:bidi="en-US"/>
        </w:rPr>
      </w:pPr>
    </w:p>
    <w:p w14:paraId="1181C51E" w14:textId="31969542" w:rsidR="00B57EC1" w:rsidRPr="0064597D" w:rsidRDefault="00821BB7" w:rsidP="00821BB7">
      <w:pPr>
        <w:tabs>
          <w:tab w:val="left" w:pos="567"/>
        </w:tabs>
        <w:spacing w:line="240" w:lineRule="auto"/>
        <w:rPr>
          <w:rFonts w:cs="Arial"/>
          <w:i/>
          <w:sz w:val="20"/>
          <w:szCs w:val="20"/>
        </w:rPr>
      </w:pPr>
      <w:r w:rsidRPr="0064597D">
        <w:rPr>
          <w:rFonts w:cs="Arial"/>
          <w:i/>
          <w:sz w:val="20"/>
          <w:szCs w:val="20"/>
        </w:rPr>
        <w:lastRenderedPageBreak/>
        <w:tab/>
      </w:r>
      <w:r w:rsidR="00B57EC1" w:rsidRPr="0064597D">
        <w:rPr>
          <w:rFonts w:cs="Arial"/>
          <w:i/>
          <w:sz w:val="20"/>
          <w:szCs w:val="20"/>
        </w:rPr>
        <w:t>c.</w:t>
      </w:r>
      <w:r w:rsidR="009772D8" w:rsidRPr="0064597D">
        <w:rPr>
          <w:rFonts w:cs="Arial"/>
          <w:i/>
          <w:sz w:val="20"/>
          <w:szCs w:val="20"/>
        </w:rPr>
        <w:t>2</w:t>
      </w:r>
      <w:r w:rsidR="00B57EC1" w:rsidRPr="0064597D">
        <w:rPr>
          <w:rFonts w:cs="Arial"/>
          <w:i/>
          <w:sz w:val="20"/>
          <w:szCs w:val="20"/>
        </w:rPr>
        <w:t>.2) Medidas de capacitación</w:t>
      </w:r>
    </w:p>
    <w:p w14:paraId="61EB9079" w14:textId="77777777" w:rsidR="00821BB7" w:rsidRPr="0064597D" w:rsidRDefault="00821BB7" w:rsidP="00821BB7">
      <w:pPr>
        <w:tabs>
          <w:tab w:val="left" w:pos="567"/>
        </w:tabs>
        <w:spacing w:line="240" w:lineRule="auto"/>
        <w:textAlignment w:val="auto"/>
        <w:rPr>
          <w:rFonts w:cs="Cambria"/>
          <w:spacing w:val="-2"/>
          <w:sz w:val="20"/>
          <w:szCs w:val="20"/>
        </w:rPr>
      </w:pPr>
    </w:p>
    <w:p w14:paraId="72724FB1" w14:textId="492BACEE" w:rsidR="00543708" w:rsidRPr="0064597D" w:rsidRDefault="00821BB7" w:rsidP="00AB3A42">
      <w:pPr>
        <w:numPr>
          <w:ilvl w:val="0"/>
          <w:numId w:val="1"/>
        </w:numPr>
        <w:tabs>
          <w:tab w:val="left" w:pos="567"/>
        </w:tabs>
        <w:autoSpaceDE w:val="0"/>
        <w:autoSpaceDN w:val="0"/>
        <w:spacing w:line="240" w:lineRule="auto"/>
        <w:ind w:left="0" w:firstLine="0"/>
        <w:textAlignment w:val="auto"/>
        <w:rPr>
          <w:rFonts w:cs="Arial"/>
          <w:bCs/>
          <w:sz w:val="20"/>
          <w:szCs w:val="20"/>
          <w:lang w:val="es-PE"/>
        </w:rPr>
      </w:pPr>
      <w:r w:rsidRPr="0064597D">
        <w:rPr>
          <w:rFonts w:cs="Arial"/>
          <w:sz w:val="20"/>
          <w:szCs w:val="20"/>
        </w:rPr>
        <w:t xml:space="preserve">Esta Corte ha establecido que la </w:t>
      </w:r>
      <w:r w:rsidRPr="0064597D">
        <w:rPr>
          <w:rStyle w:val="highlight"/>
          <w:rFonts w:cs="Arial"/>
          <w:sz w:val="20"/>
          <w:szCs w:val="20"/>
        </w:rPr>
        <w:t>capacitac</w:t>
      </w:r>
      <w:r w:rsidRPr="0064597D">
        <w:rPr>
          <w:rFonts w:cs="Arial"/>
          <w:sz w:val="20"/>
          <w:szCs w:val="20"/>
        </w:rPr>
        <w:t xml:space="preserve">ión de funcionarios públicos es una </w:t>
      </w:r>
      <w:r w:rsidRPr="0064597D">
        <w:rPr>
          <w:rFonts w:eastAsia="MS Mincho"/>
          <w:sz w:val="20"/>
          <w:szCs w:val="20"/>
          <w:lang w:bidi="en-US"/>
        </w:rPr>
        <w:t>medida</w:t>
      </w:r>
      <w:r w:rsidRPr="0064597D">
        <w:rPr>
          <w:rFonts w:cs="Arial"/>
          <w:sz w:val="20"/>
          <w:szCs w:val="20"/>
        </w:rPr>
        <w:t xml:space="preserve"> importante para garantizar la </w:t>
      </w:r>
      <w:r w:rsidRPr="0064597D">
        <w:rPr>
          <w:rFonts w:eastAsia="MS Mincho"/>
          <w:sz w:val="20"/>
          <w:szCs w:val="20"/>
          <w:lang w:bidi="en-US"/>
        </w:rPr>
        <w:t>no</w:t>
      </w:r>
      <w:r w:rsidRPr="0064597D">
        <w:rPr>
          <w:rFonts w:cs="Arial"/>
          <w:sz w:val="20"/>
          <w:szCs w:val="20"/>
        </w:rPr>
        <w:t xml:space="preserve"> </w:t>
      </w:r>
      <w:r w:rsidRPr="0064597D">
        <w:rPr>
          <w:rFonts w:eastAsia="MS Mincho"/>
          <w:sz w:val="20"/>
          <w:szCs w:val="20"/>
          <w:lang w:bidi="en-US"/>
        </w:rPr>
        <w:t>repetición</w:t>
      </w:r>
      <w:r w:rsidRPr="0064597D">
        <w:rPr>
          <w:rFonts w:cs="Arial"/>
          <w:sz w:val="20"/>
          <w:szCs w:val="20"/>
        </w:rPr>
        <w:t xml:space="preserve"> de los hechos que generaron las violaciones. Es así que la </w:t>
      </w:r>
      <w:r w:rsidRPr="0064597D">
        <w:rPr>
          <w:rStyle w:val="highlight"/>
          <w:rFonts w:cs="Arial"/>
          <w:sz w:val="20"/>
          <w:szCs w:val="20"/>
        </w:rPr>
        <w:t>capacitac</w:t>
      </w:r>
      <w:r w:rsidRPr="0064597D">
        <w:rPr>
          <w:rFonts w:cs="Arial"/>
          <w:sz w:val="20"/>
          <w:szCs w:val="20"/>
        </w:rPr>
        <w:t>ión, como sistema de formación continua, se debe extender durante un lapso importante para cumplir sus objetivos</w:t>
      </w:r>
      <w:r w:rsidRPr="0064597D">
        <w:rPr>
          <w:rStyle w:val="Refdenotaalpie"/>
          <w:rFonts w:cs="Arial"/>
          <w:sz w:val="20"/>
          <w:szCs w:val="20"/>
        </w:rPr>
        <w:footnoteReference w:id="251"/>
      </w:r>
      <w:r w:rsidR="00627737" w:rsidRPr="0064597D">
        <w:rPr>
          <w:rFonts w:cs="Arial"/>
          <w:sz w:val="20"/>
          <w:szCs w:val="20"/>
        </w:rPr>
        <w:t xml:space="preserve">. </w:t>
      </w:r>
      <w:r w:rsidR="00627737" w:rsidRPr="0064597D">
        <w:rPr>
          <w:rFonts w:eastAsia="MS Mincho"/>
          <w:sz w:val="20"/>
          <w:szCs w:val="20"/>
          <w:lang w:val="es-PE" w:bidi="en-US"/>
        </w:rPr>
        <w:t xml:space="preserve">A la vista de lo anterior, </w:t>
      </w:r>
      <w:r w:rsidR="00627737" w:rsidRPr="0064597D">
        <w:rPr>
          <w:sz w:val="20"/>
          <w:szCs w:val="20"/>
        </w:rPr>
        <w:t xml:space="preserve">el Estado debe </w:t>
      </w:r>
      <w:r w:rsidR="00AB3A42" w:rsidRPr="0064597D">
        <w:rPr>
          <w:sz w:val="20"/>
          <w:szCs w:val="20"/>
        </w:rPr>
        <w:t xml:space="preserve">incluir, dentro de los cursos de formación de los miembros de </w:t>
      </w:r>
      <w:r w:rsidR="00754F1C" w:rsidRPr="0064597D">
        <w:rPr>
          <w:sz w:val="20"/>
          <w:szCs w:val="20"/>
        </w:rPr>
        <w:t>la policía y organismos de seguridad</w:t>
      </w:r>
      <w:r w:rsidR="00AB3A42" w:rsidRPr="0064597D">
        <w:rPr>
          <w:sz w:val="20"/>
          <w:szCs w:val="20"/>
        </w:rPr>
        <w:t>, capacitación</w:t>
      </w:r>
      <w:r w:rsidR="00754F1C" w:rsidRPr="0064597D">
        <w:rPr>
          <w:sz w:val="20"/>
          <w:szCs w:val="20"/>
        </w:rPr>
        <w:t xml:space="preserve"> específica</w:t>
      </w:r>
      <w:r w:rsidR="00AB3A42" w:rsidRPr="0064597D">
        <w:rPr>
          <w:sz w:val="20"/>
          <w:szCs w:val="20"/>
        </w:rPr>
        <w:t xml:space="preserve"> </w:t>
      </w:r>
      <w:r w:rsidR="00754F1C" w:rsidRPr="0064597D">
        <w:rPr>
          <w:sz w:val="20"/>
          <w:szCs w:val="20"/>
        </w:rPr>
        <w:t>y cursos de carácter permanente sobre la prohibición absoluta de la tortura</w:t>
      </w:r>
      <w:r w:rsidR="00543708" w:rsidRPr="0064597D">
        <w:rPr>
          <w:sz w:val="20"/>
          <w:szCs w:val="20"/>
        </w:rPr>
        <w:t>.</w:t>
      </w:r>
    </w:p>
    <w:p w14:paraId="13F9FD1C" w14:textId="77777777" w:rsidR="00892B87" w:rsidRPr="0064597D" w:rsidRDefault="00892B87" w:rsidP="00892B87">
      <w:pPr>
        <w:tabs>
          <w:tab w:val="left" w:pos="567"/>
        </w:tabs>
        <w:spacing w:line="240" w:lineRule="auto"/>
        <w:textAlignment w:val="auto"/>
        <w:rPr>
          <w:rFonts w:cs="Cambria"/>
          <w:spacing w:val="-2"/>
          <w:sz w:val="20"/>
          <w:szCs w:val="20"/>
        </w:rPr>
      </w:pPr>
    </w:p>
    <w:p w14:paraId="7B128382" w14:textId="41AFFD71" w:rsidR="00B57EC1" w:rsidRPr="0064597D" w:rsidRDefault="00B57EC1" w:rsidP="00B57EC1">
      <w:pPr>
        <w:tabs>
          <w:tab w:val="left" w:pos="567"/>
        </w:tabs>
        <w:spacing w:line="240" w:lineRule="auto"/>
        <w:rPr>
          <w:rFonts w:cs="Arial"/>
          <w:i/>
          <w:sz w:val="20"/>
          <w:szCs w:val="20"/>
        </w:rPr>
      </w:pPr>
      <w:r w:rsidRPr="0064597D">
        <w:rPr>
          <w:rFonts w:cs="Arial"/>
          <w:i/>
          <w:sz w:val="20"/>
          <w:szCs w:val="20"/>
        </w:rPr>
        <w:tab/>
      </w:r>
      <w:r w:rsidRPr="0064597D">
        <w:rPr>
          <w:rFonts w:cs="Arial"/>
          <w:i/>
          <w:sz w:val="20"/>
          <w:szCs w:val="20"/>
        </w:rPr>
        <w:tab/>
        <w:t>c.</w:t>
      </w:r>
      <w:r w:rsidR="009772D8" w:rsidRPr="0064597D">
        <w:rPr>
          <w:rFonts w:cs="Arial"/>
          <w:i/>
          <w:sz w:val="20"/>
          <w:szCs w:val="20"/>
        </w:rPr>
        <w:t>2</w:t>
      </w:r>
      <w:r w:rsidRPr="0064597D">
        <w:rPr>
          <w:rFonts w:cs="Arial"/>
          <w:i/>
          <w:sz w:val="20"/>
          <w:szCs w:val="20"/>
        </w:rPr>
        <w:t>.</w:t>
      </w:r>
      <w:r w:rsidR="00821BB7" w:rsidRPr="0064597D">
        <w:rPr>
          <w:rFonts w:cs="Arial"/>
          <w:i/>
          <w:sz w:val="20"/>
          <w:szCs w:val="20"/>
        </w:rPr>
        <w:t>3</w:t>
      </w:r>
      <w:r w:rsidRPr="0064597D">
        <w:rPr>
          <w:rFonts w:cs="Arial"/>
          <w:i/>
          <w:sz w:val="20"/>
          <w:szCs w:val="20"/>
        </w:rPr>
        <w:t xml:space="preserve">) </w:t>
      </w:r>
      <w:r w:rsidRPr="0064597D">
        <w:rPr>
          <w:rFonts w:cs="Cambria"/>
          <w:spacing w:val="-2"/>
          <w:sz w:val="20"/>
          <w:szCs w:val="20"/>
        </w:rPr>
        <w:t xml:space="preserve">Restantes medidas de </w:t>
      </w:r>
      <w:r w:rsidR="00627737" w:rsidRPr="0064597D">
        <w:rPr>
          <w:rFonts w:cs="Cambria"/>
          <w:spacing w:val="-2"/>
          <w:sz w:val="20"/>
          <w:szCs w:val="20"/>
        </w:rPr>
        <w:t>no repetición</w:t>
      </w:r>
      <w:r w:rsidR="00892B87" w:rsidRPr="0064597D">
        <w:rPr>
          <w:rFonts w:cs="Cambria"/>
          <w:spacing w:val="-2"/>
          <w:sz w:val="20"/>
          <w:szCs w:val="20"/>
        </w:rPr>
        <w:t xml:space="preserve"> </w:t>
      </w:r>
      <w:r w:rsidRPr="0064597D">
        <w:rPr>
          <w:rFonts w:cs="Cambria"/>
          <w:spacing w:val="-2"/>
          <w:sz w:val="20"/>
          <w:szCs w:val="20"/>
        </w:rPr>
        <w:t>solicitadas</w:t>
      </w:r>
    </w:p>
    <w:p w14:paraId="7C2733D8" w14:textId="77777777" w:rsidR="00B57EC1" w:rsidRPr="0064597D" w:rsidRDefault="00B57EC1" w:rsidP="000E2677">
      <w:pPr>
        <w:tabs>
          <w:tab w:val="left" w:pos="567"/>
        </w:tabs>
        <w:spacing w:line="240" w:lineRule="auto"/>
        <w:textAlignment w:val="auto"/>
        <w:rPr>
          <w:rFonts w:eastAsia="MS Mincho"/>
          <w:sz w:val="20"/>
          <w:szCs w:val="20"/>
          <w:lang w:bidi="en-US"/>
        </w:rPr>
      </w:pPr>
    </w:p>
    <w:p w14:paraId="7210473A" w14:textId="39EFB52E" w:rsidR="00892B87" w:rsidRPr="0064597D" w:rsidRDefault="00627737" w:rsidP="00892B87">
      <w:pPr>
        <w:numPr>
          <w:ilvl w:val="0"/>
          <w:numId w:val="1"/>
        </w:numPr>
        <w:tabs>
          <w:tab w:val="left" w:pos="567"/>
        </w:tabs>
        <w:spacing w:line="240" w:lineRule="auto"/>
        <w:ind w:left="0" w:firstLine="0"/>
        <w:textAlignment w:val="auto"/>
        <w:rPr>
          <w:rFonts w:cs="Arial"/>
          <w:bCs/>
          <w:sz w:val="20"/>
          <w:szCs w:val="20"/>
          <w:lang w:val="es-PE"/>
        </w:rPr>
      </w:pPr>
      <w:r w:rsidRPr="0064597D">
        <w:rPr>
          <w:rFonts w:eastAsia="MS Mincho"/>
          <w:sz w:val="20"/>
          <w:szCs w:val="20"/>
          <w:lang w:bidi="en-US"/>
        </w:rPr>
        <w:t xml:space="preserve">Respecto a las restantes medidas de </w:t>
      </w:r>
      <w:r w:rsidR="00572BBA" w:rsidRPr="0064597D">
        <w:rPr>
          <w:rFonts w:eastAsia="MS Mincho"/>
          <w:sz w:val="20"/>
          <w:szCs w:val="20"/>
          <w:lang w:bidi="en-US"/>
        </w:rPr>
        <w:t>no repetición</w:t>
      </w:r>
      <w:r w:rsidRPr="0064597D">
        <w:rPr>
          <w:rFonts w:eastAsia="MS Mincho"/>
          <w:sz w:val="20"/>
          <w:szCs w:val="20"/>
          <w:lang w:bidi="en-US"/>
        </w:rPr>
        <w:t xml:space="preserve"> solicitadas por las representantes, este T</w:t>
      </w:r>
      <w:r w:rsidR="000E2677" w:rsidRPr="0064597D">
        <w:rPr>
          <w:sz w:val="20"/>
          <w:szCs w:val="20"/>
          <w:lang w:val="es-PE"/>
        </w:rPr>
        <w:t xml:space="preserve">ribunal considera que la </w:t>
      </w:r>
      <w:r w:rsidR="000E2677" w:rsidRPr="0064597D">
        <w:rPr>
          <w:rFonts w:cs="Arial"/>
          <w:sz w:val="20"/>
          <w:szCs w:val="20"/>
        </w:rPr>
        <w:t>emisión</w:t>
      </w:r>
      <w:r w:rsidR="000E2677" w:rsidRPr="0064597D">
        <w:rPr>
          <w:sz w:val="20"/>
          <w:szCs w:val="20"/>
          <w:lang w:val="es-PE"/>
        </w:rPr>
        <w:t xml:space="preserve"> de la presente Sentencia y las reparaciones ordenadas en la misma resultan suficientes y adecuadas.</w:t>
      </w:r>
      <w:r w:rsidR="00892B87" w:rsidRPr="0064597D">
        <w:rPr>
          <w:sz w:val="20"/>
          <w:szCs w:val="20"/>
          <w:lang w:val="es-PE"/>
        </w:rPr>
        <w:t xml:space="preserve"> </w:t>
      </w:r>
    </w:p>
    <w:p w14:paraId="0EA52196" w14:textId="326BF78E" w:rsidR="00072585" w:rsidRPr="0064597D" w:rsidRDefault="00072585" w:rsidP="00072585">
      <w:pPr>
        <w:pStyle w:val="Ttulo2"/>
      </w:pPr>
      <w:bookmarkStart w:id="113" w:name="_Toc24014579"/>
      <w:bookmarkStart w:id="114" w:name="_Toc470180110"/>
      <w:bookmarkStart w:id="115" w:name="_Toc15064201"/>
      <w:bookmarkStart w:id="116" w:name="_Toc15933777"/>
      <w:r w:rsidRPr="0064597D">
        <w:t>D.</w:t>
      </w:r>
      <w:r w:rsidRPr="0064597D">
        <w:tab/>
        <w:t>Otras medidas solicitadas</w:t>
      </w:r>
      <w:bookmarkEnd w:id="113"/>
    </w:p>
    <w:bookmarkEnd w:id="114"/>
    <w:bookmarkEnd w:id="115"/>
    <w:bookmarkEnd w:id="116"/>
    <w:p w14:paraId="1692D36C" w14:textId="6483038C" w:rsidR="006958DA" w:rsidRPr="0064597D" w:rsidRDefault="006958DA" w:rsidP="006958DA">
      <w:pPr>
        <w:numPr>
          <w:ilvl w:val="0"/>
          <w:numId w:val="1"/>
        </w:numPr>
        <w:tabs>
          <w:tab w:val="left" w:pos="567"/>
          <w:tab w:val="num" w:pos="5057"/>
        </w:tabs>
        <w:spacing w:line="240" w:lineRule="auto"/>
        <w:ind w:left="0" w:firstLine="0"/>
        <w:textAlignment w:val="auto"/>
        <w:rPr>
          <w:rFonts w:eastAsia="MS Mincho"/>
          <w:sz w:val="20"/>
          <w:szCs w:val="20"/>
          <w:lang w:bidi="en-US"/>
        </w:rPr>
      </w:pPr>
      <w:r w:rsidRPr="0064597D">
        <w:rPr>
          <w:rFonts w:eastAsia="MS Mincho"/>
          <w:sz w:val="20"/>
          <w:szCs w:val="20"/>
          <w:lang w:bidi="en-US"/>
        </w:rPr>
        <w:t xml:space="preserve">Las </w:t>
      </w:r>
      <w:r w:rsidRPr="0064597D">
        <w:rPr>
          <w:rFonts w:eastAsia="MS Mincho"/>
          <w:b/>
          <w:i/>
          <w:sz w:val="20"/>
          <w:szCs w:val="20"/>
          <w:lang w:bidi="en-US"/>
        </w:rPr>
        <w:t>representantes</w:t>
      </w:r>
      <w:r w:rsidRPr="0064597D">
        <w:rPr>
          <w:rFonts w:eastAsia="MS Mincho"/>
          <w:b/>
          <w:sz w:val="20"/>
          <w:szCs w:val="20"/>
          <w:lang w:bidi="en-US"/>
        </w:rPr>
        <w:t xml:space="preserve"> </w:t>
      </w:r>
      <w:r w:rsidRPr="0064597D">
        <w:rPr>
          <w:rFonts w:eastAsia="MS Mincho"/>
          <w:sz w:val="20"/>
          <w:szCs w:val="20"/>
          <w:lang w:bidi="en-US"/>
        </w:rPr>
        <w:t xml:space="preserve">solicitaron </w:t>
      </w:r>
      <w:r w:rsidRPr="0064597D">
        <w:rPr>
          <w:rFonts w:cs="Arial"/>
          <w:sz w:val="20"/>
          <w:szCs w:val="20"/>
        </w:rPr>
        <w:t>a la Corte en sus alegatos finales escritos que ordenara al Estado de Guatemala que brinde atención adecuada a los padecimientos físicos y psicológicos sufridos por la herma</w:t>
      </w:r>
      <w:r w:rsidR="0096374F" w:rsidRPr="0064597D">
        <w:rPr>
          <w:rFonts w:cs="Arial"/>
          <w:sz w:val="20"/>
          <w:szCs w:val="20"/>
        </w:rPr>
        <w:t>na</w:t>
      </w:r>
      <w:r w:rsidR="004305CD" w:rsidRPr="0064597D">
        <w:rPr>
          <w:rFonts w:cs="Arial"/>
          <w:sz w:val="20"/>
          <w:szCs w:val="20"/>
        </w:rPr>
        <w:t xml:space="preserve"> del señor Ruiz Fuentes</w:t>
      </w:r>
      <w:r w:rsidRPr="0064597D">
        <w:rPr>
          <w:rFonts w:cs="Arial"/>
          <w:sz w:val="20"/>
          <w:szCs w:val="20"/>
        </w:rPr>
        <w:t xml:space="preserve">. </w:t>
      </w:r>
    </w:p>
    <w:p w14:paraId="19C58DC2" w14:textId="77777777" w:rsidR="006958DA" w:rsidRPr="0064597D" w:rsidRDefault="006958DA" w:rsidP="006958DA">
      <w:pPr>
        <w:tabs>
          <w:tab w:val="left" w:pos="567"/>
        </w:tabs>
        <w:spacing w:line="240" w:lineRule="auto"/>
        <w:textAlignment w:val="auto"/>
        <w:rPr>
          <w:rFonts w:eastAsia="MS Mincho"/>
          <w:b/>
          <w:sz w:val="20"/>
          <w:szCs w:val="20"/>
          <w:lang w:bidi="en-US"/>
        </w:rPr>
      </w:pPr>
    </w:p>
    <w:p w14:paraId="2FDF9316" w14:textId="112C00E8" w:rsidR="006958DA" w:rsidRPr="0064597D" w:rsidRDefault="00537AAE" w:rsidP="002A2BD7">
      <w:pPr>
        <w:numPr>
          <w:ilvl w:val="0"/>
          <w:numId w:val="1"/>
        </w:numPr>
        <w:tabs>
          <w:tab w:val="left" w:pos="567"/>
        </w:tabs>
        <w:spacing w:line="240" w:lineRule="auto"/>
        <w:ind w:left="0" w:firstLine="0"/>
        <w:textAlignment w:val="auto"/>
        <w:rPr>
          <w:rFonts w:eastAsia="MS Mincho"/>
          <w:b/>
          <w:sz w:val="20"/>
          <w:szCs w:val="20"/>
          <w:lang w:bidi="en-US"/>
        </w:rPr>
      </w:pPr>
      <w:r w:rsidRPr="0064597D">
        <w:rPr>
          <w:sz w:val="20"/>
          <w:szCs w:val="20"/>
        </w:rPr>
        <w:t>Por otro lado, l</w:t>
      </w:r>
      <w:r w:rsidR="00413443" w:rsidRPr="0064597D">
        <w:rPr>
          <w:sz w:val="20"/>
          <w:szCs w:val="20"/>
        </w:rPr>
        <w:t>as representantes</w:t>
      </w:r>
      <w:r w:rsidR="00413443" w:rsidRPr="0064597D">
        <w:rPr>
          <w:b/>
          <w:i/>
          <w:sz w:val="20"/>
          <w:szCs w:val="20"/>
        </w:rPr>
        <w:t xml:space="preserve"> </w:t>
      </w:r>
      <w:r w:rsidR="00413443" w:rsidRPr="0064597D">
        <w:rPr>
          <w:sz w:val="20"/>
          <w:szCs w:val="20"/>
        </w:rPr>
        <w:t xml:space="preserve">solicitaron que la Corte ordene el traslado </w:t>
      </w:r>
      <w:r w:rsidR="00413443" w:rsidRPr="0064597D">
        <w:rPr>
          <w:rFonts w:cs="Arial"/>
          <w:sz w:val="20"/>
          <w:szCs w:val="20"/>
        </w:rPr>
        <w:t>de los restos de Hugo Humberto al cementerio Las Rosas en Mixco</w:t>
      </w:r>
      <w:r w:rsidR="000F40D5" w:rsidRPr="0064597D">
        <w:rPr>
          <w:rFonts w:cs="Arial"/>
          <w:sz w:val="20"/>
          <w:szCs w:val="20"/>
        </w:rPr>
        <w:t>.</w:t>
      </w:r>
      <w:r w:rsidR="00413443" w:rsidRPr="0064597D">
        <w:rPr>
          <w:rFonts w:cs="Arial"/>
          <w:sz w:val="20"/>
          <w:szCs w:val="20"/>
        </w:rPr>
        <w:t xml:space="preserve"> </w:t>
      </w:r>
    </w:p>
    <w:p w14:paraId="7E12BC36" w14:textId="77777777" w:rsidR="00537AAE" w:rsidRPr="0064597D" w:rsidRDefault="00537AAE" w:rsidP="00537AAE">
      <w:pPr>
        <w:tabs>
          <w:tab w:val="left" w:pos="567"/>
        </w:tabs>
        <w:spacing w:line="240" w:lineRule="auto"/>
        <w:textAlignment w:val="auto"/>
        <w:rPr>
          <w:rFonts w:eastAsia="MS Mincho"/>
          <w:b/>
          <w:sz w:val="20"/>
          <w:szCs w:val="20"/>
          <w:lang w:bidi="en-US"/>
        </w:rPr>
      </w:pPr>
    </w:p>
    <w:p w14:paraId="14262299" w14:textId="602B7F19" w:rsidR="006958DA" w:rsidRPr="0064597D" w:rsidRDefault="006958DA" w:rsidP="006958DA">
      <w:pPr>
        <w:numPr>
          <w:ilvl w:val="0"/>
          <w:numId w:val="1"/>
        </w:numPr>
        <w:tabs>
          <w:tab w:val="left" w:pos="567"/>
          <w:tab w:val="num" w:pos="5057"/>
        </w:tabs>
        <w:spacing w:line="240" w:lineRule="auto"/>
        <w:ind w:left="0" w:firstLine="0"/>
        <w:textAlignment w:val="auto"/>
        <w:rPr>
          <w:rFonts w:eastAsia="MS Mincho"/>
          <w:b/>
          <w:sz w:val="20"/>
          <w:szCs w:val="20"/>
          <w:lang w:bidi="en-US"/>
        </w:rPr>
      </w:pPr>
      <w:r w:rsidRPr="0064597D">
        <w:rPr>
          <w:rFonts w:eastAsia="MS Mincho"/>
          <w:sz w:val="20"/>
          <w:szCs w:val="20"/>
          <w:lang w:bidi="en-US"/>
        </w:rPr>
        <w:t>Con respecto a la solicitud de atención médica para la hermana del señor Ruiz Fuentes, el</w:t>
      </w:r>
      <w:r w:rsidRPr="0064597D">
        <w:rPr>
          <w:rFonts w:eastAsia="MS Mincho"/>
          <w:b/>
          <w:sz w:val="20"/>
          <w:szCs w:val="20"/>
          <w:lang w:bidi="en-US"/>
        </w:rPr>
        <w:t xml:space="preserve"> </w:t>
      </w:r>
      <w:r w:rsidRPr="0064597D">
        <w:rPr>
          <w:rFonts w:eastAsia="MS Mincho"/>
          <w:b/>
          <w:i/>
          <w:sz w:val="20"/>
          <w:szCs w:val="20"/>
          <w:lang w:bidi="en-US"/>
        </w:rPr>
        <w:t>Estado</w:t>
      </w:r>
      <w:r w:rsidRPr="0064597D">
        <w:rPr>
          <w:rFonts w:eastAsia="MS Mincho"/>
          <w:b/>
          <w:sz w:val="20"/>
          <w:szCs w:val="20"/>
          <w:lang w:bidi="en-US"/>
        </w:rPr>
        <w:t xml:space="preserve"> </w:t>
      </w:r>
      <w:r w:rsidRPr="0064597D">
        <w:rPr>
          <w:rFonts w:eastAsia="MS Mincho"/>
          <w:sz w:val="20"/>
          <w:szCs w:val="20"/>
          <w:lang w:bidi="en-US"/>
        </w:rPr>
        <w:t xml:space="preserve">manifestó que el sufrimiento y/o padecimiento fueron a consecuencia de los actos ilícitos cometidos por el señor Ruiz Fuentes, de lo cual el Estado carece de responsabilidad alguna. </w:t>
      </w:r>
    </w:p>
    <w:p w14:paraId="7963E77F" w14:textId="77777777" w:rsidR="00413443" w:rsidRPr="0064597D" w:rsidRDefault="00413443" w:rsidP="00413443">
      <w:pPr>
        <w:tabs>
          <w:tab w:val="left" w:pos="567"/>
        </w:tabs>
        <w:spacing w:line="240" w:lineRule="auto"/>
        <w:rPr>
          <w:b/>
          <w:sz w:val="20"/>
          <w:szCs w:val="20"/>
        </w:rPr>
      </w:pPr>
    </w:p>
    <w:p w14:paraId="52B0C916" w14:textId="1E154712" w:rsidR="000F40D5" w:rsidRPr="0064597D" w:rsidRDefault="006958DA" w:rsidP="002A2BD7">
      <w:pPr>
        <w:numPr>
          <w:ilvl w:val="0"/>
          <w:numId w:val="1"/>
        </w:numPr>
        <w:tabs>
          <w:tab w:val="left" w:pos="567"/>
          <w:tab w:val="num" w:pos="12305"/>
        </w:tabs>
        <w:spacing w:line="240" w:lineRule="auto"/>
        <w:ind w:left="0" w:firstLine="0"/>
        <w:rPr>
          <w:b/>
          <w:sz w:val="20"/>
          <w:szCs w:val="20"/>
        </w:rPr>
      </w:pPr>
      <w:r w:rsidRPr="0064597D">
        <w:rPr>
          <w:sz w:val="20"/>
          <w:szCs w:val="20"/>
        </w:rPr>
        <w:t>Asimismo, e</w:t>
      </w:r>
      <w:r w:rsidR="00413443" w:rsidRPr="0064597D">
        <w:rPr>
          <w:sz w:val="20"/>
          <w:szCs w:val="20"/>
        </w:rPr>
        <w:t>l Estado manifestó su rechazo al cumplimiento de la medida del traslado de los restos del señor Ruiz Fuentes, fundado en los siguientes argumentos: a) al momento de la muerte del señor Ruiz Fuentes, los restos mortales fueron entregados a la familia, quien decidió colocarlos en el cementer</w:t>
      </w:r>
      <w:r w:rsidR="0096374F" w:rsidRPr="0064597D">
        <w:rPr>
          <w:sz w:val="20"/>
          <w:szCs w:val="20"/>
        </w:rPr>
        <w:t xml:space="preserve">io general; b) </w:t>
      </w:r>
      <w:r w:rsidR="00413443" w:rsidRPr="0064597D">
        <w:rPr>
          <w:sz w:val="20"/>
          <w:szCs w:val="20"/>
        </w:rPr>
        <w:t xml:space="preserve">Mixco es un municipio del departamento de Guatemala, que la distancia radica en aproximadamente 16 kilómetros, es parte del área metropolitana, totalmente urbanizada, accesible y con suficientes recursos disponibles, entre ellos el transporte colectivo como particular; c) no se </w:t>
      </w:r>
      <w:r w:rsidR="006F6E82" w:rsidRPr="0064597D">
        <w:rPr>
          <w:sz w:val="20"/>
          <w:szCs w:val="20"/>
        </w:rPr>
        <w:t>debía</w:t>
      </w:r>
      <w:r w:rsidR="00413443" w:rsidRPr="0064597D">
        <w:rPr>
          <w:sz w:val="20"/>
          <w:szCs w:val="20"/>
        </w:rPr>
        <w:t xml:space="preserve"> de olvidar que el menor plagiado y secuestrado por el señor Ruiz Fuentes y sus acompañantes estuvo encerrado justamente en un inmueble ubicado en el municipio de Mixco, por lo que el Estado considera que no se puede plantear dicho lugar como el más idóneo, menos aún para el traslado de los restos mortales de la presunta víctima; d) el cementerio general es un lugar público con el que el Estado cuenta para la ubicación de los restos mortales de la población, sin distinción ni privilegios, en donde asisten miles de personas a visitar los restos de sus familiares. </w:t>
      </w:r>
    </w:p>
    <w:p w14:paraId="449D0DF6" w14:textId="77777777" w:rsidR="00537AAE" w:rsidRPr="0064597D" w:rsidRDefault="00537AAE" w:rsidP="00537AAE">
      <w:pPr>
        <w:tabs>
          <w:tab w:val="left" w:pos="567"/>
        </w:tabs>
        <w:spacing w:line="240" w:lineRule="auto"/>
        <w:rPr>
          <w:b/>
          <w:sz w:val="20"/>
          <w:szCs w:val="20"/>
        </w:rPr>
      </w:pPr>
    </w:p>
    <w:p w14:paraId="216249AA" w14:textId="77777777" w:rsidR="000F40D5" w:rsidRPr="0064597D" w:rsidRDefault="000F40D5" w:rsidP="000F40D5">
      <w:pPr>
        <w:numPr>
          <w:ilvl w:val="0"/>
          <w:numId w:val="1"/>
        </w:numPr>
        <w:tabs>
          <w:tab w:val="left" w:pos="567"/>
        </w:tabs>
        <w:spacing w:line="240" w:lineRule="auto"/>
        <w:ind w:left="0" w:firstLine="0"/>
        <w:textAlignment w:val="auto"/>
        <w:rPr>
          <w:rFonts w:eastAsia="Calibri"/>
          <w:b/>
          <w:i/>
          <w:sz w:val="20"/>
          <w:szCs w:val="20"/>
        </w:rPr>
      </w:pPr>
      <w:r w:rsidRPr="0064597D">
        <w:rPr>
          <w:sz w:val="20"/>
          <w:szCs w:val="20"/>
        </w:rPr>
        <w:t xml:space="preserve">La </w:t>
      </w:r>
      <w:r w:rsidRPr="0064597D">
        <w:rPr>
          <w:b/>
          <w:i/>
          <w:sz w:val="20"/>
          <w:szCs w:val="20"/>
        </w:rPr>
        <w:t>Comisión</w:t>
      </w:r>
      <w:r w:rsidRPr="0064597D">
        <w:rPr>
          <w:sz w:val="20"/>
          <w:szCs w:val="20"/>
        </w:rPr>
        <w:t xml:space="preserve"> </w:t>
      </w:r>
      <w:r w:rsidRPr="0064597D">
        <w:rPr>
          <w:rFonts w:eastAsia="MS Mincho"/>
          <w:sz w:val="20"/>
          <w:szCs w:val="20"/>
          <w:lang w:bidi="en-US"/>
        </w:rPr>
        <w:t>no se pronunció acerca de este aspecto.</w:t>
      </w:r>
    </w:p>
    <w:p w14:paraId="66DC8D31" w14:textId="77777777" w:rsidR="00413443" w:rsidRPr="0064597D" w:rsidRDefault="00413443" w:rsidP="00413443">
      <w:pPr>
        <w:tabs>
          <w:tab w:val="left" w:pos="567"/>
        </w:tabs>
        <w:spacing w:line="240" w:lineRule="auto"/>
        <w:rPr>
          <w:b/>
          <w:sz w:val="20"/>
          <w:szCs w:val="20"/>
        </w:rPr>
      </w:pPr>
    </w:p>
    <w:p w14:paraId="74AAECD4" w14:textId="6B5BC76C" w:rsidR="000E2677" w:rsidRPr="0064597D" w:rsidRDefault="00537AAE" w:rsidP="002A2BD7">
      <w:pPr>
        <w:numPr>
          <w:ilvl w:val="0"/>
          <w:numId w:val="1"/>
        </w:numPr>
        <w:tabs>
          <w:tab w:val="left" w:pos="630"/>
          <w:tab w:val="num" w:pos="5057"/>
        </w:tabs>
        <w:spacing w:line="240" w:lineRule="auto"/>
        <w:ind w:left="0" w:firstLine="0"/>
        <w:textAlignment w:val="auto"/>
        <w:rPr>
          <w:rFonts w:cs="Arial"/>
          <w:b/>
          <w:bCs/>
          <w:sz w:val="20"/>
          <w:szCs w:val="20"/>
          <w:lang w:val="es-PE"/>
        </w:rPr>
      </w:pPr>
      <w:r w:rsidRPr="0064597D">
        <w:rPr>
          <w:rFonts w:eastAsia="MS Mincho"/>
          <w:sz w:val="20"/>
          <w:szCs w:val="20"/>
          <w:lang w:bidi="en-US"/>
        </w:rPr>
        <w:t xml:space="preserve">Con respecto a la solicitud de atención médica para la hermana del señor Ruiz Fuentes, la </w:t>
      </w:r>
      <w:r w:rsidRPr="0064597D">
        <w:rPr>
          <w:rFonts w:eastAsia="MS Mincho"/>
          <w:b/>
          <w:i/>
          <w:sz w:val="20"/>
          <w:szCs w:val="20"/>
          <w:lang w:bidi="en-US"/>
        </w:rPr>
        <w:t>Corte</w:t>
      </w:r>
      <w:r w:rsidRPr="0064597D">
        <w:rPr>
          <w:rFonts w:eastAsia="MS Mincho"/>
          <w:sz w:val="20"/>
          <w:szCs w:val="20"/>
          <w:lang w:bidi="en-US"/>
        </w:rPr>
        <w:t xml:space="preserve"> nota que dicha medida fue solicitada por primera vez </w:t>
      </w:r>
      <w:r w:rsidR="0096374F" w:rsidRPr="0064597D">
        <w:rPr>
          <w:rFonts w:eastAsia="MS Mincho"/>
          <w:sz w:val="20"/>
          <w:szCs w:val="20"/>
          <w:lang w:bidi="en-US"/>
        </w:rPr>
        <w:t xml:space="preserve">por </w:t>
      </w:r>
      <w:r w:rsidRPr="0064597D">
        <w:rPr>
          <w:rFonts w:eastAsia="MS Mincho"/>
          <w:sz w:val="20"/>
          <w:szCs w:val="20"/>
          <w:lang w:bidi="en-US"/>
        </w:rPr>
        <w:t xml:space="preserve">las representantes en los alegatos finales escritos. En consecuencia, este Tribunal considera que dicha solicitud es extemporánea. </w:t>
      </w:r>
      <w:r w:rsidR="000F40D5" w:rsidRPr="0064597D">
        <w:rPr>
          <w:rFonts w:cs="Verdana"/>
          <w:sz w:val="20"/>
          <w:szCs w:val="20"/>
        </w:rPr>
        <w:t xml:space="preserve">En relación con la solicitud de traslado </w:t>
      </w:r>
      <w:r w:rsidR="000F40D5" w:rsidRPr="0064597D">
        <w:rPr>
          <w:rFonts w:cs="Arial"/>
          <w:sz w:val="20"/>
          <w:szCs w:val="20"/>
        </w:rPr>
        <w:t>de los restos de Hugo Humberto al cementerio Las Rosas en Mixco</w:t>
      </w:r>
      <w:r w:rsidR="000F40D5" w:rsidRPr="0064597D">
        <w:rPr>
          <w:rFonts w:cs="Verdana"/>
          <w:sz w:val="20"/>
          <w:szCs w:val="20"/>
        </w:rPr>
        <w:t>, la Corte estima que la emisión de la presente Sentencia, así como las demás medidas ordenadas, resultan suficientes y adecuadas para remediar las violaciones sufridas por las víctimas y no estima necesario ordenar medidas adicionales.</w:t>
      </w:r>
      <w:r w:rsidR="006F6E82" w:rsidRPr="0064597D">
        <w:rPr>
          <w:rFonts w:cs="Verdana"/>
          <w:sz w:val="20"/>
          <w:szCs w:val="20"/>
        </w:rPr>
        <w:t xml:space="preserve"> </w:t>
      </w:r>
    </w:p>
    <w:p w14:paraId="1D4F6A59" w14:textId="6E3EC0EA" w:rsidR="00072585" w:rsidRPr="0064597D" w:rsidRDefault="00072585" w:rsidP="00072585">
      <w:pPr>
        <w:pStyle w:val="Ttulo2"/>
      </w:pPr>
      <w:bookmarkStart w:id="117" w:name="_Toc24014580"/>
      <w:bookmarkStart w:id="118" w:name="_Toc514172669"/>
      <w:bookmarkStart w:id="119" w:name="_Toc476390741"/>
      <w:bookmarkStart w:id="120" w:name="_Toc495658701"/>
      <w:bookmarkStart w:id="121" w:name="_Toc15933778"/>
      <w:r w:rsidRPr="0064597D">
        <w:lastRenderedPageBreak/>
        <w:t>E.</w:t>
      </w:r>
      <w:r w:rsidRPr="0064597D">
        <w:tab/>
        <w:t>Indemnizaciones compensatorias</w:t>
      </w:r>
      <w:bookmarkEnd w:id="117"/>
    </w:p>
    <w:p w14:paraId="0F45A563" w14:textId="39914D7C" w:rsidR="00413443" w:rsidRPr="0064597D" w:rsidRDefault="00E068B2" w:rsidP="00544B95">
      <w:pPr>
        <w:pStyle w:val="Ttulo3"/>
      </w:pPr>
      <w:bookmarkStart w:id="122" w:name="_Toc514172670"/>
      <w:bookmarkStart w:id="123" w:name="_Toc476390742"/>
      <w:bookmarkStart w:id="124" w:name="_Toc495658702"/>
      <w:bookmarkStart w:id="125" w:name="_Toc15064203"/>
      <w:bookmarkStart w:id="126" w:name="_Toc15933779"/>
      <w:bookmarkStart w:id="127" w:name="_Toc24014581"/>
      <w:bookmarkEnd w:id="118"/>
      <w:bookmarkEnd w:id="119"/>
      <w:bookmarkEnd w:id="120"/>
      <w:bookmarkEnd w:id="121"/>
      <w:r w:rsidRPr="0064597D">
        <w:t>e</w:t>
      </w:r>
      <w:r w:rsidR="00413443" w:rsidRPr="0064597D">
        <w:t>.1</w:t>
      </w:r>
      <w:r w:rsidR="00413443" w:rsidRPr="0064597D">
        <w:tab/>
        <w:t>Daño material</w:t>
      </w:r>
      <w:bookmarkEnd w:id="122"/>
      <w:bookmarkEnd w:id="123"/>
      <w:bookmarkEnd w:id="124"/>
      <w:bookmarkEnd w:id="125"/>
      <w:bookmarkEnd w:id="126"/>
      <w:bookmarkEnd w:id="127"/>
    </w:p>
    <w:p w14:paraId="28D51122" w14:textId="77777777" w:rsidR="00FF5857" w:rsidRPr="0064597D" w:rsidRDefault="00FF5857" w:rsidP="00FF5857">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Verdana" w:cs="Verdana"/>
          <w:sz w:val="20"/>
          <w:szCs w:val="20"/>
        </w:rPr>
        <w:t xml:space="preserve">La </w:t>
      </w:r>
      <w:r w:rsidRPr="0064597D">
        <w:rPr>
          <w:rFonts w:eastAsia="Verdana" w:cs="Verdana"/>
          <w:b/>
          <w:i/>
          <w:sz w:val="20"/>
          <w:szCs w:val="20"/>
        </w:rPr>
        <w:t>Comisión</w:t>
      </w:r>
      <w:r w:rsidRPr="0064597D">
        <w:rPr>
          <w:rFonts w:eastAsia="Verdana" w:cs="Verdana"/>
          <w:sz w:val="20"/>
          <w:szCs w:val="20"/>
        </w:rPr>
        <w:t xml:space="preserve"> solicitó que se reparara íntegramente al señor Ruiz Fuentes mediante medidas de compensación pecuniaria y de satisfacción que incluyeran el daño material y el daño inmaterial ocasionado.</w:t>
      </w:r>
    </w:p>
    <w:p w14:paraId="27E78F82" w14:textId="77777777" w:rsidR="00413443" w:rsidRPr="0064597D" w:rsidRDefault="00413443" w:rsidP="00413443">
      <w:pPr>
        <w:tabs>
          <w:tab w:val="left" w:pos="567"/>
        </w:tabs>
        <w:spacing w:line="240" w:lineRule="auto"/>
        <w:textAlignment w:val="auto"/>
        <w:rPr>
          <w:rFonts w:eastAsia="MS Mincho"/>
          <w:bCs/>
          <w:sz w:val="20"/>
          <w:szCs w:val="20"/>
          <w:lang w:bidi="en-US"/>
        </w:rPr>
      </w:pPr>
    </w:p>
    <w:p w14:paraId="648C2993" w14:textId="7FB7D279" w:rsidR="00413443" w:rsidRPr="0064597D" w:rsidRDefault="00413443" w:rsidP="00E12081">
      <w:pPr>
        <w:numPr>
          <w:ilvl w:val="0"/>
          <w:numId w:val="1"/>
        </w:numPr>
        <w:tabs>
          <w:tab w:val="left" w:pos="567"/>
        </w:tabs>
        <w:spacing w:line="240" w:lineRule="auto"/>
        <w:ind w:left="0" w:firstLine="0"/>
        <w:textAlignment w:val="auto"/>
        <w:rPr>
          <w:rFonts w:cs="Arial"/>
          <w:sz w:val="20"/>
          <w:szCs w:val="20"/>
        </w:rPr>
      </w:pPr>
      <w:r w:rsidRPr="0064597D">
        <w:rPr>
          <w:rFonts w:eastAsia="Verdana" w:cs="Verdana"/>
          <w:sz w:val="20"/>
          <w:szCs w:val="20"/>
        </w:rPr>
        <w:t xml:space="preserve">Las </w:t>
      </w:r>
      <w:r w:rsidRPr="0064597D">
        <w:rPr>
          <w:rFonts w:eastAsia="Verdana" w:cs="Verdana"/>
          <w:b/>
          <w:i/>
          <w:sz w:val="20"/>
          <w:szCs w:val="20"/>
        </w:rPr>
        <w:t>representantes</w:t>
      </w:r>
      <w:r w:rsidRPr="0064597D">
        <w:rPr>
          <w:rFonts w:eastAsia="Verdana" w:cs="Verdana"/>
          <w:sz w:val="20"/>
          <w:szCs w:val="20"/>
        </w:rPr>
        <w:t xml:space="preserve"> solicitaron </w:t>
      </w:r>
      <w:r w:rsidRPr="0064597D">
        <w:rPr>
          <w:rFonts w:cs="Arial"/>
          <w:sz w:val="20"/>
          <w:szCs w:val="20"/>
        </w:rPr>
        <w:t xml:space="preserve">a la Corte que determine en equidad la cantidad correspondiente al daño material. Las representantes </w:t>
      </w:r>
      <w:r w:rsidR="000F40D5" w:rsidRPr="0064597D">
        <w:rPr>
          <w:rFonts w:cs="Arial"/>
          <w:sz w:val="20"/>
          <w:szCs w:val="20"/>
        </w:rPr>
        <w:t>precisaron</w:t>
      </w:r>
      <w:r w:rsidRPr="0064597D">
        <w:rPr>
          <w:rFonts w:cs="Arial"/>
          <w:sz w:val="20"/>
          <w:szCs w:val="20"/>
        </w:rPr>
        <w:t xml:space="preserve"> que las víctimas del presente caso han tenido que asumir diversos gastos a raíz de las violaciones a sus derechos. En primer lugar, inicialmente el señor Ruiz Fuentes era asistido por un abogado privado, que actuó de manera negligente, por lo que luego se le asignó un nuevo defensor. </w:t>
      </w:r>
      <w:r w:rsidR="000F40D5" w:rsidRPr="0064597D">
        <w:rPr>
          <w:rFonts w:cs="Arial"/>
          <w:sz w:val="20"/>
          <w:szCs w:val="20"/>
        </w:rPr>
        <w:t>Añadieron que s</w:t>
      </w:r>
      <w:r w:rsidRPr="0064597D">
        <w:rPr>
          <w:rFonts w:cs="Arial"/>
          <w:sz w:val="20"/>
          <w:szCs w:val="20"/>
        </w:rPr>
        <w:t xml:space="preserve">us familiares han tenido que realizar un </w:t>
      </w:r>
      <w:r w:rsidR="000F40D5" w:rsidRPr="0064597D">
        <w:rPr>
          <w:rFonts w:cs="Arial"/>
          <w:sz w:val="20"/>
          <w:szCs w:val="20"/>
        </w:rPr>
        <w:t>sinfín de gastos, dentro de los cuales destacaron los traslados para poder</w:t>
      </w:r>
      <w:r w:rsidRPr="0064597D">
        <w:rPr>
          <w:rFonts w:cs="Arial"/>
          <w:sz w:val="20"/>
          <w:szCs w:val="20"/>
        </w:rPr>
        <w:t xml:space="preserve"> visitarlo cuando estaba detenido. </w:t>
      </w:r>
      <w:r w:rsidR="000F40D5" w:rsidRPr="0064597D">
        <w:rPr>
          <w:rFonts w:cs="Arial"/>
          <w:sz w:val="20"/>
          <w:szCs w:val="20"/>
        </w:rPr>
        <w:t>Tras</w:t>
      </w:r>
      <w:r w:rsidRPr="0064597D">
        <w:rPr>
          <w:rFonts w:cs="Arial"/>
          <w:sz w:val="20"/>
          <w:szCs w:val="20"/>
        </w:rPr>
        <w:t xml:space="preserve"> su muerte, incurrieron en gastos para la realización de los ritos funerarios y</w:t>
      </w:r>
      <w:r w:rsidR="000F40D5" w:rsidRPr="0064597D">
        <w:rPr>
          <w:rFonts w:cs="Arial"/>
          <w:sz w:val="20"/>
          <w:szCs w:val="20"/>
        </w:rPr>
        <w:t>,</w:t>
      </w:r>
      <w:r w:rsidRPr="0064597D">
        <w:rPr>
          <w:rFonts w:cs="Arial"/>
          <w:sz w:val="20"/>
          <w:szCs w:val="20"/>
        </w:rPr>
        <w:t xml:space="preserve"> posteriormente</w:t>
      </w:r>
      <w:r w:rsidR="000F40D5" w:rsidRPr="0064597D">
        <w:rPr>
          <w:rFonts w:cs="Arial"/>
          <w:sz w:val="20"/>
          <w:szCs w:val="20"/>
        </w:rPr>
        <w:t>,</w:t>
      </w:r>
      <w:r w:rsidRPr="0064597D">
        <w:rPr>
          <w:rFonts w:cs="Arial"/>
          <w:sz w:val="20"/>
          <w:szCs w:val="20"/>
        </w:rPr>
        <w:t xml:space="preserve"> han sido uno de los </w:t>
      </w:r>
      <w:r w:rsidRPr="0064597D">
        <w:rPr>
          <w:rFonts w:eastAsia="Calibri"/>
          <w:sz w:val="20"/>
          <w:szCs w:val="20"/>
        </w:rPr>
        <w:t>principales</w:t>
      </w:r>
      <w:r w:rsidRPr="0064597D">
        <w:rPr>
          <w:rFonts w:cs="Arial"/>
          <w:sz w:val="20"/>
          <w:szCs w:val="20"/>
        </w:rPr>
        <w:t xml:space="preserve"> motores para la búsqueda de justicia. </w:t>
      </w:r>
      <w:r w:rsidR="000F40D5" w:rsidRPr="0064597D">
        <w:rPr>
          <w:rFonts w:cs="Arial"/>
          <w:sz w:val="20"/>
          <w:szCs w:val="20"/>
        </w:rPr>
        <w:t>Indicaron que, debido</w:t>
      </w:r>
      <w:r w:rsidRPr="0064597D">
        <w:rPr>
          <w:rFonts w:cs="Arial"/>
          <w:sz w:val="20"/>
          <w:szCs w:val="20"/>
        </w:rPr>
        <w:t xml:space="preserve"> al transcurso del tiempo, las víctimas no cuentan con los comprobantes de los gastos antes mencionados, </w:t>
      </w:r>
      <w:r w:rsidR="000F40D5" w:rsidRPr="0064597D">
        <w:rPr>
          <w:rFonts w:cs="Arial"/>
          <w:sz w:val="20"/>
          <w:szCs w:val="20"/>
        </w:rPr>
        <w:t xml:space="preserve">y, </w:t>
      </w:r>
      <w:r w:rsidRPr="0064597D">
        <w:rPr>
          <w:rFonts w:cs="Arial"/>
          <w:sz w:val="20"/>
          <w:szCs w:val="20"/>
        </w:rPr>
        <w:t xml:space="preserve">en tal sentido, </w:t>
      </w:r>
      <w:r w:rsidR="000F40D5" w:rsidRPr="0064597D">
        <w:rPr>
          <w:rFonts w:cs="Arial"/>
          <w:sz w:val="20"/>
          <w:szCs w:val="20"/>
        </w:rPr>
        <w:t>solicitan</w:t>
      </w:r>
      <w:r w:rsidRPr="0064597D">
        <w:rPr>
          <w:rFonts w:cs="Arial"/>
          <w:sz w:val="20"/>
          <w:szCs w:val="20"/>
        </w:rPr>
        <w:t xml:space="preserve"> a la Corte que determine en equidad la cantidad correspondiente al daño material que deberá ser entregada a cada una de ellas. </w:t>
      </w:r>
    </w:p>
    <w:p w14:paraId="7023E9AE" w14:textId="77777777" w:rsidR="00413443" w:rsidRPr="0064597D" w:rsidRDefault="00413443" w:rsidP="00413443">
      <w:pPr>
        <w:tabs>
          <w:tab w:val="left" w:pos="567"/>
        </w:tabs>
        <w:spacing w:line="240" w:lineRule="auto"/>
        <w:rPr>
          <w:rFonts w:eastAsia="MS Mincho" w:cs="Tahoma"/>
          <w:b/>
          <w:sz w:val="20"/>
          <w:szCs w:val="20"/>
        </w:rPr>
      </w:pPr>
    </w:p>
    <w:p w14:paraId="105AD906" w14:textId="4A12577B" w:rsidR="004862AD" w:rsidRPr="0064597D" w:rsidRDefault="004862AD" w:rsidP="004862AD">
      <w:pPr>
        <w:numPr>
          <w:ilvl w:val="0"/>
          <w:numId w:val="1"/>
        </w:numPr>
        <w:tabs>
          <w:tab w:val="left" w:pos="567"/>
        </w:tabs>
        <w:spacing w:line="240" w:lineRule="auto"/>
        <w:ind w:left="0" w:firstLine="0"/>
        <w:textAlignment w:val="auto"/>
        <w:rPr>
          <w:rFonts w:cs="Arial"/>
          <w:sz w:val="20"/>
          <w:szCs w:val="20"/>
        </w:rPr>
      </w:pPr>
      <w:r w:rsidRPr="0064597D">
        <w:rPr>
          <w:rFonts w:eastAsia="Calibri"/>
          <w:sz w:val="20"/>
          <w:szCs w:val="20"/>
        </w:rPr>
        <w:t>Asimismo, las representantes</w:t>
      </w:r>
      <w:r w:rsidRPr="0064597D">
        <w:rPr>
          <w:b/>
          <w:i/>
          <w:sz w:val="20"/>
          <w:szCs w:val="20"/>
        </w:rPr>
        <w:t xml:space="preserve"> </w:t>
      </w:r>
      <w:r w:rsidRPr="0064597D">
        <w:rPr>
          <w:sz w:val="20"/>
          <w:szCs w:val="20"/>
        </w:rPr>
        <w:t xml:space="preserve">señalaron que el señor </w:t>
      </w:r>
      <w:r w:rsidRPr="0064597D">
        <w:rPr>
          <w:rFonts w:cs="Arial"/>
          <w:sz w:val="20"/>
          <w:szCs w:val="20"/>
        </w:rPr>
        <w:t>Ruiz Fuentes fue privado de su libertad de forma ilegal y arbitraria, torturado y condenado a pena de muerte a través de un proceso que violó sus derechos. Además, posteriormente fue ejecutado por agentes estatales. De esta forma, la violació</w:t>
      </w:r>
      <w:r w:rsidR="006F6E82" w:rsidRPr="0064597D">
        <w:rPr>
          <w:rFonts w:cs="Arial"/>
          <w:sz w:val="20"/>
          <w:szCs w:val="20"/>
        </w:rPr>
        <w:t>n de los derechos de la víctima</w:t>
      </w:r>
      <w:r w:rsidRPr="0064597D">
        <w:rPr>
          <w:rFonts w:cs="Arial"/>
          <w:sz w:val="20"/>
          <w:szCs w:val="20"/>
        </w:rPr>
        <w:t xml:space="preserve"> privó a sus familiares del ingreso que este hubiera recibido si estas violaciones no hubieran ocurrido. Las representantes señalaron que, antes de su detención, en 1997 Hugo Humberto trabajaba en un taller de mecánica</w:t>
      </w:r>
      <w:r w:rsidR="006F6E82" w:rsidRPr="0064597D">
        <w:rPr>
          <w:rFonts w:cs="Arial"/>
          <w:sz w:val="20"/>
          <w:szCs w:val="20"/>
        </w:rPr>
        <w:t>. C</w:t>
      </w:r>
      <w:r w:rsidRPr="0064597D">
        <w:rPr>
          <w:rFonts w:cs="Arial"/>
          <w:sz w:val="20"/>
          <w:szCs w:val="20"/>
        </w:rPr>
        <w:t xml:space="preserve">onsideraron que el Estado debería reembolsar los salarios no devengados por la víctima desde el momento de su detención hasta la fecha. Los representantes solicitaron a la Corte que fije este monto en equidad. </w:t>
      </w:r>
    </w:p>
    <w:p w14:paraId="472C5927" w14:textId="77777777" w:rsidR="004862AD" w:rsidRPr="0064597D" w:rsidRDefault="004862AD" w:rsidP="004862AD">
      <w:pPr>
        <w:tabs>
          <w:tab w:val="left" w:pos="567"/>
        </w:tabs>
        <w:spacing w:line="240" w:lineRule="auto"/>
        <w:textAlignment w:val="auto"/>
        <w:rPr>
          <w:rFonts w:cs="Arial"/>
          <w:sz w:val="20"/>
          <w:szCs w:val="20"/>
        </w:rPr>
      </w:pPr>
    </w:p>
    <w:p w14:paraId="0AFC0A45" w14:textId="33D5741D" w:rsidR="004862AD" w:rsidRPr="0064597D" w:rsidRDefault="00413443" w:rsidP="00FD5666">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MS Mincho"/>
          <w:sz w:val="20"/>
          <w:szCs w:val="20"/>
          <w:lang w:bidi="en-US"/>
        </w:rPr>
        <w:t xml:space="preserve">El </w:t>
      </w:r>
      <w:r w:rsidRPr="0064597D">
        <w:rPr>
          <w:rFonts w:eastAsia="MS Mincho"/>
          <w:b/>
          <w:i/>
          <w:sz w:val="20"/>
          <w:szCs w:val="20"/>
          <w:lang w:bidi="en-US"/>
        </w:rPr>
        <w:t xml:space="preserve">Estado </w:t>
      </w:r>
      <w:r w:rsidRPr="0064597D">
        <w:rPr>
          <w:rFonts w:eastAsia="MS Mincho"/>
          <w:sz w:val="20"/>
          <w:szCs w:val="20"/>
          <w:lang w:bidi="en-US"/>
        </w:rPr>
        <w:t>manifestó que el señor Ruiz Fuentes se dedicaba a realizar actos ilícitos por medio de los cuales pretendía obtener ingresos económicos de una forma ilegal y en perjuicio de otras personas.</w:t>
      </w:r>
      <w:r w:rsidR="000F40D5" w:rsidRPr="0064597D">
        <w:rPr>
          <w:rFonts w:eastAsia="MS Mincho"/>
          <w:sz w:val="20"/>
          <w:szCs w:val="20"/>
          <w:lang w:bidi="en-US"/>
        </w:rPr>
        <w:t xml:space="preserve"> </w:t>
      </w:r>
      <w:r w:rsidRPr="0064597D">
        <w:rPr>
          <w:rFonts w:eastAsia="MS Mincho"/>
          <w:sz w:val="20"/>
          <w:szCs w:val="20"/>
          <w:lang w:bidi="en-US"/>
        </w:rPr>
        <w:t>Respecto a los servicios prestados por el profesional particular, el Estado consideró que dicha persona gozaba del derecho y la libertad de decidir a quién defiende o no. En ningún momento ni los familiares no sus representantes ha</w:t>
      </w:r>
      <w:r w:rsidR="006F6E82" w:rsidRPr="0064597D">
        <w:rPr>
          <w:rFonts w:eastAsia="MS Mincho"/>
          <w:sz w:val="20"/>
          <w:szCs w:val="20"/>
          <w:lang w:bidi="en-US"/>
        </w:rPr>
        <w:t>brían</w:t>
      </w:r>
      <w:r w:rsidRPr="0064597D">
        <w:rPr>
          <w:rFonts w:eastAsia="MS Mincho"/>
          <w:sz w:val="20"/>
          <w:szCs w:val="20"/>
          <w:lang w:bidi="en-US"/>
        </w:rPr>
        <w:t xml:space="preserve"> demostrado fehacientemente los gastos incurridos durante</w:t>
      </w:r>
      <w:r w:rsidR="006F6E82" w:rsidRPr="0064597D">
        <w:rPr>
          <w:rFonts w:eastAsia="MS Mincho"/>
          <w:sz w:val="20"/>
          <w:szCs w:val="20"/>
          <w:lang w:bidi="en-US"/>
        </w:rPr>
        <w:t xml:space="preserve"> el litigio del presente caso. En consecuencia, el Estado</w:t>
      </w:r>
      <w:r w:rsidRPr="0064597D">
        <w:rPr>
          <w:rFonts w:eastAsia="MS Mincho"/>
          <w:sz w:val="20"/>
          <w:szCs w:val="20"/>
          <w:lang w:bidi="en-US"/>
        </w:rPr>
        <w:t xml:space="preserve"> solicitó a la Corte declarar la </w:t>
      </w:r>
      <w:r w:rsidR="006F6E82" w:rsidRPr="0064597D">
        <w:rPr>
          <w:rFonts w:eastAsia="MS Mincho"/>
          <w:sz w:val="20"/>
          <w:szCs w:val="20"/>
          <w:lang w:bidi="en-US"/>
        </w:rPr>
        <w:t>petición</w:t>
      </w:r>
      <w:r w:rsidRPr="0064597D">
        <w:rPr>
          <w:rFonts w:eastAsia="MS Mincho"/>
          <w:sz w:val="20"/>
          <w:szCs w:val="20"/>
          <w:lang w:bidi="en-US"/>
        </w:rPr>
        <w:t xml:space="preserve"> improcedente. </w:t>
      </w:r>
      <w:r w:rsidR="004862AD" w:rsidRPr="0064597D">
        <w:rPr>
          <w:rFonts w:eastAsia="MS Mincho"/>
          <w:sz w:val="20"/>
          <w:szCs w:val="20"/>
          <w:lang w:bidi="en-US"/>
        </w:rPr>
        <w:t>Por otro lado, el Estado</w:t>
      </w:r>
      <w:r w:rsidR="004862AD" w:rsidRPr="0064597D">
        <w:rPr>
          <w:rFonts w:eastAsia="Verdana" w:cs="Verdana"/>
          <w:sz w:val="20"/>
          <w:szCs w:val="20"/>
        </w:rPr>
        <w:t xml:space="preserve"> </w:t>
      </w:r>
      <w:r w:rsidR="004862AD" w:rsidRPr="0064597D">
        <w:rPr>
          <w:sz w:val="20"/>
          <w:szCs w:val="20"/>
        </w:rPr>
        <w:t>manifestó</w:t>
      </w:r>
      <w:r w:rsidR="004862AD" w:rsidRPr="0064597D">
        <w:rPr>
          <w:rFonts w:eastAsia="Verdana" w:cs="Verdana"/>
          <w:sz w:val="20"/>
          <w:szCs w:val="20"/>
        </w:rPr>
        <w:t xml:space="preserve"> que el plagio o secuestro es un delito no un trabajo, </w:t>
      </w:r>
      <w:r w:rsidR="006F6E82" w:rsidRPr="0064597D">
        <w:rPr>
          <w:rFonts w:eastAsia="Verdana" w:cs="Verdana"/>
          <w:sz w:val="20"/>
          <w:szCs w:val="20"/>
        </w:rPr>
        <w:t xml:space="preserve">y, </w:t>
      </w:r>
      <w:r w:rsidR="004862AD" w:rsidRPr="0064597D">
        <w:rPr>
          <w:rFonts w:eastAsia="Verdana" w:cs="Verdana"/>
          <w:sz w:val="20"/>
          <w:szCs w:val="20"/>
        </w:rPr>
        <w:t xml:space="preserve">por consiguiente, en ningún momento </w:t>
      </w:r>
      <w:r w:rsidR="006F6E82" w:rsidRPr="0064597D">
        <w:rPr>
          <w:rFonts w:eastAsia="Verdana" w:cs="Verdana"/>
          <w:sz w:val="20"/>
          <w:szCs w:val="20"/>
        </w:rPr>
        <w:t>se puede comprometer</w:t>
      </w:r>
      <w:r w:rsidR="004862AD" w:rsidRPr="0064597D">
        <w:rPr>
          <w:rFonts w:eastAsia="Verdana" w:cs="Verdana"/>
          <w:sz w:val="20"/>
          <w:szCs w:val="20"/>
        </w:rPr>
        <w:t xml:space="preserve"> a reembolsar la cantidad solicitada por el señor Ruiz Fuentes de un millón de quetzales como “salario” por el rescate del menor. El Estado señaló que no hay ningún elemento aportado al expediente que permita determinar que el señor Ruiz Fuentes tenía ingresos o ganancias por el ejercicio de alguna profesión l</w:t>
      </w:r>
      <w:r w:rsidR="0096374F" w:rsidRPr="0064597D">
        <w:rPr>
          <w:rFonts w:eastAsia="Verdana" w:cs="Verdana"/>
          <w:sz w:val="20"/>
          <w:szCs w:val="20"/>
        </w:rPr>
        <w:t>í</w:t>
      </w:r>
      <w:r w:rsidR="004862AD" w:rsidRPr="0064597D">
        <w:rPr>
          <w:rFonts w:eastAsia="Verdana" w:cs="Verdana"/>
          <w:sz w:val="20"/>
          <w:szCs w:val="20"/>
        </w:rPr>
        <w:t xml:space="preserve">cita. </w:t>
      </w:r>
    </w:p>
    <w:p w14:paraId="579742D0" w14:textId="2F2288A4" w:rsidR="00413443" w:rsidRPr="0064597D" w:rsidRDefault="00E068B2" w:rsidP="00544B95">
      <w:pPr>
        <w:pStyle w:val="Ttulo3"/>
      </w:pPr>
      <w:bookmarkStart w:id="128" w:name="_Toc514172671"/>
      <w:bookmarkStart w:id="129" w:name="_Toc476390744"/>
      <w:bookmarkStart w:id="130" w:name="_Toc495658703"/>
      <w:bookmarkStart w:id="131" w:name="_Toc15064204"/>
      <w:bookmarkStart w:id="132" w:name="_Toc15933780"/>
      <w:bookmarkStart w:id="133" w:name="_Toc24014582"/>
      <w:r w:rsidRPr="0064597D">
        <w:t>e</w:t>
      </w:r>
      <w:r w:rsidR="00413443" w:rsidRPr="0064597D">
        <w:t>.2</w:t>
      </w:r>
      <w:r w:rsidR="00413443" w:rsidRPr="0064597D">
        <w:tab/>
        <w:t>Daño inmaterial</w:t>
      </w:r>
      <w:bookmarkEnd w:id="128"/>
      <w:bookmarkEnd w:id="129"/>
      <w:bookmarkEnd w:id="130"/>
      <w:bookmarkEnd w:id="131"/>
      <w:bookmarkEnd w:id="132"/>
      <w:bookmarkEnd w:id="133"/>
    </w:p>
    <w:p w14:paraId="4EDE3E5F" w14:textId="77777777" w:rsidR="00FF5857" w:rsidRPr="0064597D" w:rsidRDefault="00FF5857" w:rsidP="00FF5857">
      <w:pPr>
        <w:numPr>
          <w:ilvl w:val="0"/>
          <w:numId w:val="1"/>
        </w:numPr>
        <w:tabs>
          <w:tab w:val="left" w:pos="567"/>
        </w:tabs>
        <w:spacing w:line="240" w:lineRule="auto"/>
        <w:ind w:left="0" w:firstLine="0"/>
        <w:textAlignment w:val="auto"/>
        <w:rPr>
          <w:rFonts w:eastAsia="MS Mincho"/>
          <w:sz w:val="20"/>
          <w:szCs w:val="20"/>
          <w:lang w:bidi="en-US"/>
        </w:rPr>
      </w:pPr>
      <w:r w:rsidRPr="0064597D">
        <w:rPr>
          <w:rFonts w:eastAsia="Verdana" w:cs="Verdana"/>
          <w:sz w:val="20"/>
          <w:szCs w:val="20"/>
        </w:rPr>
        <w:t xml:space="preserve">La </w:t>
      </w:r>
      <w:r w:rsidRPr="0064597D">
        <w:rPr>
          <w:rFonts w:eastAsia="Verdana" w:cs="Verdana"/>
          <w:b/>
          <w:i/>
          <w:sz w:val="20"/>
          <w:szCs w:val="20"/>
        </w:rPr>
        <w:t>Comisión</w:t>
      </w:r>
      <w:r w:rsidRPr="0064597D">
        <w:rPr>
          <w:rFonts w:eastAsia="Verdana" w:cs="Verdana"/>
          <w:sz w:val="20"/>
          <w:szCs w:val="20"/>
        </w:rPr>
        <w:t xml:space="preserve"> solicitó que se reparara íntegramente al señor Ruiz Fuentes mediante medidas de compensación pecuniaria y de satisfacción que incluyeran el daño material y el daño inmaterial ocasionado.</w:t>
      </w:r>
    </w:p>
    <w:p w14:paraId="3F0B9C47" w14:textId="77777777" w:rsidR="00FF5857" w:rsidRPr="0064597D" w:rsidRDefault="00FF5857" w:rsidP="00FF5857">
      <w:pPr>
        <w:tabs>
          <w:tab w:val="left" w:pos="567"/>
        </w:tabs>
        <w:spacing w:line="240" w:lineRule="auto"/>
        <w:textAlignment w:val="auto"/>
        <w:rPr>
          <w:rFonts w:cs="Arial"/>
          <w:sz w:val="20"/>
          <w:szCs w:val="20"/>
        </w:rPr>
      </w:pPr>
    </w:p>
    <w:p w14:paraId="31F3287D" w14:textId="1ED45255" w:rsidR="00413443" w:rsidRPr="0064597D" w:rsidRDefault="00413443" w:rsidP="00413443">
      <w:pPr>
        <w:numPr>
          <w:ilvl w:val="0"/>
          <w:numId w:val="1"/>
        </w:numPr>
        <w:tabs>
          <w:tab w:val="left" w:pos="567"/>
        </w:tabs>
        <w:spacing w:line="240" w:lineRule="auto"/>
        <w:ind w:left="0" w:firstLine="0"/>
        <w:textAlignment w:val="auto"/>
        <w:rPr>
          <w:rFonts w:cs="Arial"/>
          <w:sz w:val="20"/>
          <w:szCs w:val="20"/>
        </w:rPr>
      </w:pPr>
      <w:r w:rsidRPr="0064597D">
        <w:rPr>
          <w:rFonts w:eastAsia="Calibri"/>
          <w:sz w:val="20"/>
          <w:szCs w:val="20"/>
        </w:rPr>
        <w:t xml:space="preserve">Las </w:t>
      </w:r>
      <w:r w:rsidRPr="0064597D">
        <w:rPr>
          <w:rFonts w:eastAsia="Calibri"/>
          <w:b/>
          <w:i/>
          <w:sz w:val="20"/>
          <w:szCs w:val="20"/>
        </w:rPr>
        <w:t>representantes</w:t>
      </w:r>
      <w:r w:rsidRPr="0064597D">
        <w:rPr>
          <w:b/>
          <w:i/>
          <w:sz w:val="20"/>
          <w:szCs w:val="20"/>
        </w:rPr>
        <w:t xml:space="preserve"> </w:t>
      </w:r>
      <w:r w:rsidRPr="0064597D">
        <w:rPr>
          <w:sz w:val="20"/>
          <w:szCs w:val="20"/>
        </w:rPr>
        <w:t xml:space="preserve">señalaron que </w:t>
      </w:r>
      <w:r w:rsidRPr="0064597D">
        <w:rPr>
          <w:rFonts w:cs="Arial"/>
          <w:sz w:val="20"/>
          <w:szCs w:val="20"/>
        </w:rPr>
        <w:t xml:space="preserve">en atención a los elementos de hecho del presente caso, las </w:t>
      </w:r>
      <w:r w:rsidRPr="0064597D">
        <w:rPr>
          <w:rFonts w:eastAsia="MS Mincho"/>
          <w:sz w:val="20"/>
          <w:szCs w:val="20"/>
          <w:lang w:bidi="en-US"/>
        </w:rPr>
        <w:t>violaciones</w:t>
      </w:r>
      <w:r w:rsidRPr="0064597D">
        <w:rPr>
          <w:rFonts w:cs="Arial"/>
          <w:sz w:val="20"/>
          <w:szCs w:val="20"/>
        </w:rPr>
        <w:t xml:space="preserve"> cometidas, los sufrimientos ocasionados, la afectación a los proyectos de vida, así como las restantes consecuencias de orden inmaterial sufridas por las víctimas del presente caso, solicitaron a la Corte que ordene al Estado de Guatemala el pago por concepto de daño inmaterial en términos en equidad. </w:t>
      </w:r>
    </w:p>
    <w:p w14:paraId="58650F76" w14:textId="77777777" w:rsidR="00413443" w:rsidRPr="0064597D" w:rsidRDefault="00413443" w:rsidP="00413443">
      <w:pPr>
        <w:tabs>
          <w:tab w:val="left" w:pos="567"/>
        </w:tabs>
        <w:spacing w:line="240" w:lineRule="auto"/>
        <w:textAlignment w:val="auto"/>
        <w:rPr>
          <w:rFonts w:cs="Arial"/>
          <w:sz w:val="20"/>
          <w:szCs w:val="20"/>
        </w:rPr>
      </w:pPr>
    </w:p>
    <w:p w14:paraId="33E311E2" w14:textId="3463B625" w:rsidR="00A35A84" w:rsidRPr="0064597D" w:rsidRDefault="00413443" w:rsidP="006E6655">
      <w:pPr>
        <w:numPr>
          <w:ilvl w:val="0"/>
          <w:numId w:val="1"/>
        </w:numPr>
        <w:tabs>
          <w:tab w:val="left" w:pos="567"/>
        </w:tabs>
        <w:spacing w:line="240" w:lineRule="auto"/>
        <w:ind w:left="0" w:firstLine="0"/>
        <w:textAlignment w:val="auto"/>
        <w:rPr>
          <w:rFonts w:eastAsia="Calibri"/>
          <w:b/>
          <w:i/>
          <w:sz w:val="20"/>
          <w:szCs w:val="20"/>
        </w:rPr>
      </w:pPr>
      <w:r w:rsidRPr="0064597D">
        <w:rPr>
          <w:rFonts w:eastAsia="MS Mincho"/>
          <w:sz w:val="20"/>
          <w:szCs w:val="20"/>
          <w:lang w:bidi="en-US"/>
        </w:rPr>
        <w:t xml:space="preserve">El </w:t>
      </w:r>
      <w:r w:rsidRPr="0064597D">
        <w:rPr>
          <w:rFonts w:eastAsia="MS Mincho"/>
          <w:b/>
          <w:i/>
          <w:sz w:val="20"/>
          <w:szCs w:val="20"/>
          <w:lang w:bidi="en-US"/>
        </w:rPr>
        <w:t>Estado</w:t>
      </w:r>
      <w:r w:rsidRPr="0064597D">
        <w:rPr>
          <w:rFonts w:eastAsia="Verdana" w:cs="Verdana"/>
          <w:sz w:val="20"/>
          <w:szCs w:val="20"/>
        </w:rPr>
        <w:t xml:space="preserve"> manifestó que las partes perjudicadas en el presente caso fueron el menor </w:t>
      </w:r>
      <w:r w:rsidRPr="0064597D">
        <w:rPr>
          <w:rFonts w:eastAsia="Verdana" w:cs="Verdana"/>
          <w:sz w:val="20"/>
          <w:szCs w:val="20"/>
        </w:rPr>
        <w:lastRenderedPageBreak/>
        <w:t>secuestrado y su grupo familiar, a quienes el Estado en cumplimiento de su deber reparó, aplicando la justicia penal en contra del señor Ruiz Fuentes y sus acompañantes por el ilícito cometido. El Estado rechazo la presente medida de reparación y solicitó a la Cort</w:t>
      </w:r>
      <w:r w:rsidR="00561ADA" w:rsidRPr="0064597D">
        <w:rPr>
          <w:rFonts w:eastAsia="Verdana" w:cs="Verdana"/>
          <w:sz w:val="20"/>
          <w:szCs w:val="20"/>
        </w:rPr>
        <w:t xml:space="preserve">e declararla improcedente. </w:t>
      </w:r>
    </w:p>
    <w:p w14:paraId="5842E883" w14:textId="77777777" w:rsidR="005F2FF2" w:rsidRPr="0064597D" w:rsidRDefault="005F2FF2" w:rsidP="005F2FF2">
      <w:pPr>
        <w:tabs>
          <w:tab w:val="left" w:pos="567"/>
        </w:tabs>
        <w:spacing w:line="240" w:lineRule="auto"/>
        <w:textAlignment w:val="auto"/>
        <w:rPr>
          <w:rFonts w:eastAsia="MS Mincho"/>
          <w:sz w:val="20"/>
          <w:szCs w:val="20"/>
          <w:highlight w:val="yellow"/>
          <w:lang w:bidi="en-US"/>
        </w:rPr>
      </w:pPr>
    </w:p>
    <w:p w14:paraId="4BE7288A" w14:textId="73424288" w:rsidR="00413443" w:rsidRPr="0064597D" w:rsidRDefault="00561ADA" w:rsidP="003E0947">
      <w:pPr>
        <w:numPr>
          <w:ilvl w:val="0"/>
          <w:numId w:val="1"/>
        </w:numPr>
        <w:tabs>
          <w:tab w:val="left" w:pos="567"/>
        </w:tabs>
        <w:spacing w:line="240" w:lineRule="auto"/>
        <w:ind w:left="0" w:firstLine="0"/>
        <w:textAlignment w:val="auto"/>
        <w:rPr>
          <w:rFonts w:eastAsia="Calibri"/>
          <w:b/>
          <w:i/>
          <w:sz w:val="20"/>
          <w:szCs w:val="20"/>
        </w:rPr>
      </w:pPr>
      <w:r w:rsidRPr="0064597D">
        <w:rPr>
          <w:rFonts w:cs="Arial"/>
          <w:sz w:val="20"/>
          <w:szCs w:val="20"/>
        </w:rPr>
        <w:t xml:space="preserve">La </w:t>
      </w:r>
      <w:r w:rsidRPr="0064597D">
        <w:rPr>
          <w:rFonts w:cs="Arial"/>
          <w:b/>
          <w:i/>
          <w:sz w:val="20"/>
          <w:szCs w:val="20"/>
        </w:rPr>
        <w:t>Corte</w:t>
      </w:r>
      <w:r w:rsidRPr="0064597D">
        <w:rPr>
          <w:rFonts w:cs="Arial"/>
          <w:sz w:val="20"/>
          <w:szCs w:val="20"/>
        </w:rPr>
        <w:t xml:space="preserve"> 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64597D">
        <w:rPr>
          <w:rStyle w:val="Refdenotaalpie"/>
          <w:rFonts w:cs="Arial"/>
          <w:sz w:val="20"/>
          <w:szCs w:val="20"/>
        </w:rPr>
        <w:footnoteReference w:id="252"/>
      </w:r>
      <w:r w:rsidRPr="0064597D">
        <w:rPr>
          <w:rFonts w:cs="Arial"/>
          <w:sz w:val="20"/>
          <w:szCs w:val="20"/>
        </w:rPr>
        <w:t>. Por otro lado, la</w:t>
      </w:r>
      <w:r w:rsidR="00413443" w:rsidRPr="0064597D">
        <w:rPr>
          <w:sz w:val="20"/>
          <w:szCs w:val="20"/>
        </w:rPr>
        <w:t xml:space="preserve">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00413443" w:rsidRPr="0064597D">
        <w:rPr>
          <w:rFonts w:eastAsia="Calibri"/>
          <w:sz w:val="20"/>
          <w:szCs w:val="20"/>
          <w:vertAlign w:val="superscript"/>
        </w:rPr>
        <w:footnoteReference w:id="253"/>
      </w:r>
      <w:r w:rsidR="00413443" w:rsidRPr="0064597D">
        <w:rPr>
          <w:sz w:val="20"/>
          <w:szCs w:val="20"/>
        </w:rPr>
        <w:t>.</w:t>
      </w:r>
    </w:p>
    <w:p w14:paraId="3063B5EB" w14:textId="77777777" w:rsidR="00036060" w:rsidRPr="0064597D" w:rsidRDefault="00036060" w:rsidP="00036060">
      <w:pPr>
        <w:tabs>
          <w:tab w:val="left" w:pos="567"/>
        </w:tabs>
        <w:spacing w:line="240" w:lineRule="auto"/>
        <w:textAlignment w:val="auto"/>
        <w:rPr>
          <w:rFonts w:eastAsia="Calibri"/>
          <w:b/>
          <w:i/>
          <w:sz w:val="20"/>
          <w:szCs w:val="20"/>
        </w:rPr>
      </w:pPr>
    </w:p>
    <w:p w14:paraId="59A52BB1" w14:textId="19DEDF01" w:rsidR="006F6E82" w:rsidRPr="0064597D" w:rsidRDefault="00561ADA" w:rsidP="00E12081">
      <w:pPr>
        <w:numPr>
          <w:ilvl w:val="0"/>
          <w:numId w:val="1"/>
        </w:numPr>
        <w:tabs>
          <w:tab w:val="left" w:pos="567"/>
        </w:tabs>
        <w:spacing w:line="240" w:lineRule="auto"/>
        <w:ind w:left="0" w:firstLine="0"/>
        <w:textAlignment w:val="auto"/>
        <w:rPr>
          <w:sz w:val="20"/>
          <w:szCs w:val="20"/>
        </w:rPr>
      </w:pPr>
      <w:r w:rsidRPr="0064597D">
        <w:rPr>
          <w:sz w:val="20"/>
          <w:szCs w:val="20"/>
          <w:lang w:val="es-PE"/>
        </w:rPr>
        <w:t>En el presente caso, la Corte</w:t>
      </w:r>
      <w:r w:rsidR="005F2FF2" w:rsidRPr="0064597D">
        <w:rPr>
          <w:sz w:val="20"/>
          <w:szCs w:val="20"/>
          <w:lang w:val="es-PE"/>
        </w:rPr>
        <w:t>,</w:t>
      </w:r>
      <w:r w:rsidRPr="0064597D">
        <w:rPr>
          <w:sz w:val="20"/>
          <w:szCs w:val="20"/>
          <w:lang w:val="es-PE"/>
        </w:rPr>
        <w:t xml:space="preserve"> en consideración de las particularidades del caso y el nexo causal de las </w:t>
      </w:r>
      <w:r w:rsidRPr="0064597D">
        <w:rPr>
          <w:rFonts w:cs="Arial"/>
          <w:sz w:val="20"/>
          <w:szCs w:val="20"/>
        </w:rPr>
        <w:t>violaciones</w:t>
      </w:r>
      <w:r w:rsidRPr="0064597D">
        <w:rPr>
          <w:sz w:val="20"/>
          <w:szCs w:val="20"/>
          <w:lang w:val="es-PE"/>
        </w:rPr>
        <w:t xml:space="preserve"> declaradas se pronunciará únicamente sobre el daño inmaterial. </w:t>
      </w:r>
      <w:r w:rsidR="00413443" w:rsidRPr="0064597D">
        <w:rPr>
          <w:sz w:val="20"/>
          <w:szCs w:val="20"/>
        </w:rPr>
        <w:t>En consideración de las circunstancias del presente caso, las violaciones cometidas, los sufrimientos ocasionados y experimentados en diferentes</w:t>
      </w:r>
      <w:r w:rsidR="00274768" w:rsidRPr="0064597D">
        <w:rPr>
          <w:sz w:val="20"/>
          <w:szCs w:val="20"/>
        </w:rPr>
        <w:t xml:space="preserve"> grados, el tiempo transcurrido y </w:t>
      </w:r>
      <w:r w:rsidR="00413443" w:rsidRPr="0064597D">
        <w:rPr>
          <w:sz w:val="20"/>
          <w:szCs w:val="20"/>
        </w:rPr>
        <w:t>la denegación de justicia, el Tribunal pasa a fijar en equidad las indemnizaciones por daño inmaterial a favor de las víctimas.</w:t>
      </w:r>
      <w:r w:rsidRPr="0064597D">
        <w:rPr>
          <w:sz w:val="20"/>
          <w:szCs w:val="20"/>
        </w:rPr>
        <w:t xml:space="preserve"> </w:t>
      </w:r>
    </w:p>
    <w:p w14:paraId="3855E207" w14:textId="77777777" w:rsidR="006F6E82" w:rsidRPr="0064597D" w:rsidRDefault="006F6E82" w:rsidP="006F6E82">
      <w:pPr>
        <w:tabs>
          <w:tab w:val="left" w:pos="567"/>
        </w:tabs>
        <w:spacing w:line="240" w:lineRule="auto"/>
        <w:textAlignment w:val="auto"/>
        <w:rPr>
          <w:sz w:val="20"/>
          <w:szCs w:val="20"/>
        </w:rPr>
      </w:pPr>
    </w:p>
    <w:p w14:paraId="7DE35347" w14:textId="2B9D9BC5" w:rsidR="00E12081" w:rsidRPr="0064597D" w:rsidRDefault="00413443" w:rsidP="00E12081">
      <w:pPr>
        <w:numPr>
          <w:ilvl w:val="0"/>
          <w:numId w:val="1"/>
        </w:numPr>
        <w:tabs>
          <w:tab w:val="left" w:pos="567"/>
        </w:tabs>
        <w:spacing w:line="240" w:lineRule="auto"/>
        <w:ind w:left="0" w:firstLine="0"/>
        <w:textAlignment w:val="auto"/>
        <w:rPr>
          <w:sz w:val="20"/>
          <w:szCs w:val="20"/>
        </w:rPr>
      </w:pPr>
      <w:r w:rsidRPr="0064597D">
        <w:rPr>
          <w:sz w:val="20"/>
          <w:szCs w:val="20"/>
        </w:rPr>
        <w:t xml:space="preserve">En función de ello, la Corte ordena, en equidad, el pago de la suma de </w:t>
      </w:r>
      <w:r w:rsidR="00E12081" w:rsidRPr="0064597D">
        <w:rPr>
          <w:sz w:val="20"/>
          <w:szCs w:val="20"/>
        </w:rPr>
        <w:t>US</w:t>
      </w:r>
      <w:r w:rsidR="007A21E6" w:rsidRPr="0064597D">
        <w:rPr>
          <w:sz w:val="20"/>
          <w:szCs w:val="20"/>
        </w:rPr>
        <w:t>D</w:t>
      </w:r>
      <w:r w:rsidR="00E12081" w:rsidRPr="0064597D">
        <w:rPr>
          <w:sz w:val="20"/>
          <w:szCs w:val="20"/>
        </w:rPr>
        <w:t xml:space="preserve">$ </w:t>
      </w:r>
      <w:r w:rsidR="007A21E6" w:rsidRPr="0064597D">
        <w:rPr>
          <w:sz w:val="20"/>
          <w:szCs w:val="20"/>
        </w:rPr>
        <w:t>6</w:t>
      </w:r>
      <w:r w:rsidR="000D4F08" w:rsidRPr="0064597D">
        <w:rPr>
          <w:sz w:val="20"/>
          <w:szCs w:val="20"/>
        </w:rPr>
        <w:t>0,</w:t>
      </w:r>
      <w:r w:rsidR="00753E51" w:rsidRPr="0064597D">
        <w:rPr>
          <w:sz w:val="20"/>
          <w:szCs w:val="20"/>
        </w:rPr>
        <w:t>000 (</w:t>
      </w:r>
      <w:r w:rsidR="007A21E6" w:rsidRPr="0064597D">
        <w:rPr>
          <w:sz w:val="20"/>
          <w:szCs w:val="20"/>
        </w:rPr>
        <w:t>sesenta</w:t>
      </w:r>
      <w:r w:rsidR="00753E51" w:rsidRPr="0064597D">
        <w:rPr>
          <w:sz w:val="20"/>
          <w:szCs w:val="20"/>
        </w:rPr>
        <w:t xml:space="preserve"> mil</w:t>
      </w:r>
      <w:r w:rsidR="00E12081" w:rsidRPr="0064597D">
        <w:rPr>
          <w:sz w:val="20"/>
          <w:szCs w:val="20"/>
        </w:rPr>
        <w:t xml:space="preserve"> </w:t>
      </w:r>
      <w:r w:rsidRPr="0064597D">
        <w:rPr>
          <w:sz w:val="20"/>
          <w:szCs w:val="20"/>
        </w:rPr>
        <w:t xml:space="preserve">dólares de los Estados Unidos de América), </w:t>
      </w:r>
      <w:r w:rsidR="00561ADA" w:rsidRPr="0064597D">
        <w:rPr>
          <w:sz w:val="20"/>
          <w:szCs w:val="20"/>
        </w:rPr>
        <w:t>por concepto de daño inmaterial</w:t>
      </w:r>
      <w:r w:rsidR="00DA7F1B">
        <w:rPr>
          <w:sz w:val="20"/>
          <w:szCs w:val="20"/>
        </w:rPr>
        <w:t>,</w:t>
      </w:r>
      <w:r w:rsidR="00036060" w:rsidRPr="0064597D">
        <w:rPr>
          <w:sz w:val="20"/>
          <w:szCs w:val="20"/>
        </w:rPr>
        <w:t xml:space="preserve"> en favor </w:t>
      </w:r>
      <w:r w:rsidR="00E12081" w:rsidRPr="0064597D">
        <w:rPr>
          <w:sz w:val="20"/>
          <w:szCs w:val="20"/>
        </w:rPr>
        <w:t>del señor Ruiz Fuentes. El</w:t>
      </w:r>
      <w:r w:rsidR="00FB390B" w:rsidRPr="0064597D">
        <w:rPr>
          <w:sz w:val="20"/>
          <w:szCs w:val="20"/>
        </w:rPr>
        <w:t xml:space="preserve"> </w:t>
      </w:r>
      <w:r w:rsidR="00E12081" w:rsidRPr="0064597D">
        <w:rPr>
          <w:sz w:val="20"/>
          <w:szCs w:val="20"/>
        </w:rPr>
        <w:t xml:space="preserve">monto establecido por la Corte </w:t>
      </w:r>
      <w:r w:rsidR="00E12081" w:rsidRPr="0064597D">
        <w:rPr>
          <w:rFonts w:cs="Arial"/>
          <w:sz w:val="20"/>
          <w:szCs w:val="20"/>
        </w:rPr>
        <w:t>deberá</w:t>
      </w:r>
      <w:r w:rsidR="00E12081" w:rsidRPr="0064597D">
        <w:rPr>
          <w:sz w:val="20"/>
          <w:szCs w:val="20"/>
        </w:rPr>
        <w:t xml:space="preserve"> ser entregado en el plazo de un año a partir de la notificación de la presente Sentencia de acuerdo con los siguientes criterios: </w:t>
      </w:r>
    </w:p>
    <w:p w14:paraId="0A6B90AB" w14:textId="77777777" w:rsidR="00E12081" w:rsidRPr="0064597D" w:rsidRDefault="00E12081" w:rsidP="00E12081">
      <w:pPr>
        <w:tabs>
          <w:tab w:val="left" w:pos="567"/>
        </w:tabs>
        <w:spacing w:line="240" w:lineRule="auto"/>
        <w:textAlignment w:val="auto"/>
        <w:rPr>
          <w:sz w:val="20"/>
          <w:szCs w:val="20"/>
        </w:rPr>
      </w:pPr>
    </w:p>
    <w:p w14:paraId="46DF1738" w14:textId="692C0AD8" w:rsidR="00753E51" w:rsidRPr="0064597D" w:rsidRDefault="00753E51" w:rsidP="00753E51">
      <w:pPr>
        <w:pStyle w:val="Prrafodelista"/>
        <w:numPr>
          <w:ilvl w:val="0"/>
          <w:numId w:val="37"/>
        </w:numPr>
        <w:tabs>
          <w:tab w:val="left" w:pos="567"/>
        </w:tabs>
        <w:spacing w:line="240" w:lineRule="auto"/>
        <w:textAlignment w:val="auto"/>
        <w:rPr>
          <w:sz w:val="20"/>
          <w:szCs w:val="20"/>
        </w:rPr>
      </w:pPr>
      <w:r w:rsidRPr="0064597D">
        <w:rPr>
          <w:sz w:val="20"/>
          <w:szCs w:val="20"/>
        </w:rPr>
        <w:t xml:space="preserve">El veinticinco por ciento (25%) de la indemnización deberá ser entregada a la cónyuge del señor Ruiz Fuentes, la señora </w:t>
      </w:r>
      <w:r w:rsidR="0095672C" w:rsidRPr="0064597D">
        <w:rPr>
          <w:sz w:val="20"/>
          <w:szCs w:val="20"/>
        </w:rPr>
        <w:t>S.J.M.</w:t>
      </w:r>
      <w:r w:rsidRPr="0064597D">
        <w:rPr>
          <w:sz w:val="20"/>
          <w:szCs w:val="20"/>
        </w:rPr>
        <w:t>;</w:t>
      </w:r>
    </w:p>
    <w:p w14:paraId="06131895" w14:textId="77777777" w:rsidR="00753E51" w:rsidRPr="0064597D" w:rsidRDefault="00753E51" w:rsidP="00753E51">
      <w:pPr>
        <w:pStyle w:val="Prrafodelista"/>
        <w:tabs>
          <w:tab w:val="left" w:pos="567"/>
        </w:tabs>
        <w:spacing w:line="240" w:lineRule="auto"/>
        <w:ind w:left="720"/>
        <w:textAlignment w:val="auto"/>
        <w:rPr>
          <w:sz w:val="20"/>
          <w:szCs w:val="20"/>
        </w:rPr>
      </w:pPr>
    </w:p>
    <w:p w14:paraId="29978D0F" w14:textId="34768F7F" w:rsidR="00746397" w:rsidRPr="0064597D" w:rsidRDefault="00746397" w:rsidP="00746397">
      <w:pPr>
        <w:pStyle w:val="Prrafodelista"/>
        <w:numPr>
          <w:ilvl w:val="0"/>
          <w:numId w:val="37"/>
        </w:numPr>
        <w:tabs>
          <w:tab w:val="left" w:pos="567"/>
        </w:tabs>
        <w:spacing w:line="240" w:lineRule="auto"/>
        <w:textAlignment w:val="auto"/>
        <w:rPr>
          <w:sz w:val="20"/>
          <w:szCs w:val="20"/>
        </w:rPr>
      </w:pPr>
      <w:r w:rsidRPr="0064597D">
        <w:rPr>
          <w:sz w:val="20"/>
          <w:szCs w:val="20"/>
        </w:rPr>
        <w:t xml:space="preserve">El </w:t>
      </w:r>
      <w:r w:rsidR="00753E51" w:rsidRPr="0064597D">
        <w:rPr>
          <w:sz w:val="20"/>
          <w:szCs w:val="20"/>
        </w:rPr>
        <w:t>veinticinco</w:t>
      </w:r>
      <w:r w:rsidRPr="0064597D">
        <w:rPr>
          <w:sz w:val="20"/>
          <w:szCs w:val="20"/>
        </w:rPr>
        <w:t xml:space="preserve"> por ciento (</w:t>
      </w:r>
      <w:r w:rsidR="00753E51" w:rsidRPr="0064597D">
        <w:rPr>
          <w:sz w:val="20"/>
          <w:szCs w:val="20"/>
        </w:rPr>
        <w:t>25</w:t>
      </w:r>
      <w:r w:rsidRPr="0064597D">
        <w:rPr>
          <w:sz w:val="20"/>
          <w:szCs w:val="20"/>
        </w:rPr>
        <w:t>%) de la indemnización deberá</w:t>
      </w:r>
      <w:r w:rsidR="00FB390B" w:rsidRPr="0064597D">
        <w:rPr>
          <w:sz w:val="20"/>
          <w:szCs w:val="20"/>
        </w:rPr>
        <w:t xml:space="preserve"> </w:t>
      </w:r>
      <w:r w:rsidRPr="0064597D">
        <w:rPr>
          <w:sz w:val="20"/>
          <w:szCs w:val="20"/>
        </w:rPr>
        <w:t>ser</w:t>
      </w:r>
      <w:r w:rsidR="00FB390B" w:rsidRPr="0064597D">
        <w:rPr>
          <w:sz w:val="20"/>
          <w:szCs w:val="20"/>
        </w:rPr>
        <w:t xml:space="preserve"> </w:t>
      </w:r>
      <w:r w:rsidRPr="0064597D">
        <w:rPr>
          <w:sz w:val="20"/>
          <w:szCs w:val="20"/>
        </w:rPr>
        <w:t>entregada</w:t>
      </w:r>
      <w:r w:rsidR="00FB390B" w:rsidRPr="0064597D">
        <w:rPr>
          <w:sz w:val="20"/>
          <w:szCs w:val="20"/>
        </w:rPr>
        <w:t xml:space="preserve"> </w:t>
      </w:r>
      <w:r w:rsidRPr="0064597D">
        <w:rPr>
          <w:sz w:val="20"/>
          <w:szCs w:val="20"/>
        </w:rPr>
        <w:t>a</w:t>
      </w:r>
      <w:r w:rsidR="00FB390B" w:rsidRPr="0064597D">
        <w:rPr>
          <w:sz w:val="20"/>
          <w:szCs w:val="20"/>
        </w:rPr>
        <w:t xml:space="preserve"> </w:t>
      </w:r>
      <w:r w:rsidRPr="0064597D">
        <w:rPr>
          <w:sz w:val="20"/>
          <w:szCs w:val="20"/>
        </w:rPr>
        <w:t xml:space="preserve">la compañera permanente del señor Ruiz Fuentes, la señora </w:t>
      </w:r>
      <w:r w:rsidR="0095672C" w:rsidRPr="0064597D">
        <w:rPr>
          <w:sz w:val="20"/>
          <w:szCs w:val="20"/>
        </w:rPr>
        <w:t>A.M.V.</w:t>
      </w:r>
      <w:r w:rsidRPr="0064597D">
        <w:rPr>
          <w:sz w:val="20"/>
          <w:szCs w:val="20"/>
        </w:rPr>
        <w:t>;</w:t>
      </w:r>
    </w:p>
    <w:p w14:paraId="360B427B" w14:textId="77777777" w:rsidR="00746397" w:rsidRPr="0064597D" w:rsidRDefault="00746397" w:rsidP="00746397">
      <w:pPr>
        <w:pStyle w:val="Prrafodelista"/>
        <w:tabs>
          <w:tab w:val="left" w:pos="567"/>
        </w:tabs>
        <w:spacing w:line="240" w:lineRule="auto"/>
        <w:ind w:left="720"/>
        <w:textAlignment w:val="auto"/>
        <w:rPr>
          <w:sz w:val="20"/>
          <w:szCs w:val="20"/>
        </w:rPr>
      </w:pPr>
    </w:p>
    <w:p w14:paraId="52D10643" w14:textId="414C4801" w:rsidR="008C44B6" w:rsidRPr="0064597D" w:rsidRDefault="00B47883" w:rsidP="008C44B6">
      <w:pPr>
        <w:pStyle w:val="Prrafodelista"/>
        <w:numPr>
          <w:ilvl w:val="0"/>
          <w:numId w:val="37"/>
        </w:numPr>
        <w:tabs>
          <w:tab w:val="left" w:pos="567"/>
        </w:tabs>
        <w:spacing w:line="240" w:lineRule="auto"/>
        <w:textAlignment w:val="auto"/>
        <w:rPr>
          <w:sz w:val="20"/>
          <w:szCs w:val="20"/>
        </w:rPr>
      </w:pPr>
      <w:r w:rsidRPr="0064597D">
        <w:rPr>
          <w:sz w:val="20"/>
          <w:szCs w:val="20"/>
        </w:rPr>
        <w:t xml:space="preserve"> </w:t>
      </w:r>
      <w:r w:rsidR="00E12081" w:rsidRPr="0064597D">
        <w:rPr>
          <w:sz w:val="20"/>
          <w:szCs w:val="20"/>
        </w:rPr>
        <w:t>El</w:t>
      </w:r>
      <w:r w:rsidR="000013C4" w:rsidRPr="0064597D">
        <w:rPr>
          <w:sz w:val="20"/>
          <w:szCs w:val="20"/>
        </w:rPr>
        <w:t xml:space="preserve"> restante</w:t>
      </w:r>
      <w:r w:rsidR="00E12081" w:rsidRPr="0064597D">
        <w:rPr>
          <w:sz w:val="20"/>
          <w:szCs w:val="20"/>
        </w:rPr>
        <w:t xml:space="preserve"> </w:t>
      </w:r>
      <w:r w:rsidR="000013C4" w:rsidRPr="0064597D">
        <w:rPr>
          <w:sz w:val="20"/>
          <w:szCs w:val="20"/>
        </w:rPr>
        <w:t>cincuenta</w:t>
      </w:r>
      <w:r w:rsidR="00E12081" w:rsidRPr="0064597D">
        <w:rPr>
          <w:sz w:val="20"/>
          <w:szCs w:val="20"/>
        </w:rPr>
        <w:t xml:space="preserve"> por ciento (</w:t>
      </w:r>
      <w:r w:rsidR="000013C4" w:rsidRPr="0064597D">
        <w:rPr>
          <w:sz w:val="20"/>
          <w:szCs w:val="20"/>
        </w:rPr>
        <w:t>50</w:t>
      </w:r>
      <w:r w:rsidR="00E12081" w:rsidRPr="0064597D">
        <w:rPr>
          <w:sz w:val="20"/>
          <w:szCs w:val="20"/>
        </w:rPr>
        <w:t xml:space="preserve">%) de la indemnización </w:t>
      </w:r>
      <w:r w:rsidR="008C44B6" w:rsidRPr="0064597D">
        <w:rPr>
          <w:sz w:val="20"/>
          <w:szCs w:val="20"/>
        </w:rPr>
        <w:t>se repartirá, por partes iguales, entre los hijos de ést</w:t>
      </w:r>
      <w:r w:rsidR="00DA7F1B">
        <w:rPr>
          <w:sz w:val="20"/>
          <w:szCs w:val="20"/>
        </w:rPr>
        <w:t>e</w:t>
      </w:r>
      <w:r w:rsidR="008C44B6" w:rsidRPr="0064597D">
        <w:rPr>
          <w:sz w:val="20"/>
          <w:szCs w:val="20"/>
        </w:rPr>
        <w:t>. Si uno o varios de los hijos hubieren fallecido ya, la parte que le o les corresponda acrecerá a la de los d</w:t>
      </w:r>
      <w:r w:rsidR="00B07AF4" w:rsidRPr="0064597D">
        <w:rPr>
          <w:sz w:val="20"/>
          <w:szCs w:val="20"/>
        </w:rPr>
        <w:t>emás hijos de la misma víctima.</w:t>
      </w:r>
    </w:p>
    <w:p w14:paraId="59824B7E" w14:textId="77777777" w:rsidR="000013C4" w:rsidRPr="0064597D" w:rsidRDefault="000013C4" w:rsidP="000013C4">
      <w:pPr>
        <w:pStyle w:val="Prrafodelista"/>
        <w:tabs>
          <w:tab w:val="left" w:pos="567"/>
        </w:tabs>
        <w:spacing w:line="240" w:lineRule="auto"/>
        <w:ind w:left="720"/>
        <w:textAlignment w:val="auto"/>
        <w:rPr>
          <w:sz w:val="20"/>
          <w:szCs w:val="20"/>
        </w:rPr>
      </w:pPr>
    </w:p>
    <w:p w14:paraId="3B03C98C" w14:textId="26732D4D" w:rsidR="00413443" w:rsidRPr="0064597D" w:rsidRDefault="00E12081" w:rsidP="003E0947">
      <w:pPr>
        <w:numPr>
          <w:ilvl w:val="0"/>
          <w:numId w:val="1"/>
        </w:numPr>
        <w:tabs>
          <w:tab w:val="left" w:pos="567"/>
        </w:tabs>
        <w:spacing w:line="240" w:lineRule="auto"/>
        <w:ind w:left="0" w:firstLine="0"/>
        <w:textAlignment w:val="auto"/>
        <w:rPr>
          <w:sz w:val="20"/>
          <w:szCs w:val="20"/>
        </w:rPr>
      </w:pPr>
      <w:r w:rsidRPr="0064597D">
        <w:rPr>
          <w:sz w:val="20"/>
          <w:szCs w:val="20"/>
        </w:rPr>
        <w:t xml:space="preserve">Asimismo, </w:t>
      </w:r>
      <w:r w:rsidR="006F6E82" w:rsidRPr="0064597D">
        <w:rPr>
          <w:sz w:val="20"/>
          <w:szCs w:val="20"/>
        </w:rPr>
        <w:t>la Corte ordena en equidad</w:t>
      </w:r>
      <w:r w:rsidRPr="0064597D">
        <w:rPr>
          <w:sz w:val="20"/>
          <w:szCs w:val="20"/>
        </w:rPr>
        <w:t xml:space="preserve"> el pago de la suma de US</w:t>
      </w:r>
      <w:r w:rsidR="007A21E6" w:rsidRPr="0064597D">
        <w:rPr>
          <w:sz w:val="20"/>
          <w:szCs w:val="20"/>
        </w:rPr>
        <w:t>D</w:t>
      </w:r>
      <w:r w:rsidRPr="0064597D">
        <w:rPr>
          <w:sz w:val="20"/>
          <w:szCs w:val="20"/>
        </w:rPr>
        <w:t xml:space="preserve">$ </w:t>
      </w:r>
      <w:r w:rsidR="000D4F08" w:rsidRPr="0064597D">
        <w:rPr>
          <w:sz w:val="20"/>
          <w:szCs w:val="20"/>
        </w:rPr>
        <w:t>10,</w:t>
      </w:r>
      <w:r w:rsidR="00FB390B" w:rsidRPr="0064597D">
        <w:rPr>
          <w:sz w:val="20"/>
          <w:szCs w:val="20"/>
        </w:rPr>
        <w:t>000</w:t>
      </w:r>
      <w:r w:rsidRPr="0064597D">
        <w:rPr>
          <w:sz w:val="20"/>
          <w:szCs w:val="20"/>
        </w:rPr>
        <w:t xml:space="preserve"> </w:t>
      </w:r>
      <w:r w:rsidR="007A21E6" w:rsidRPr="0064597D">
        <w:rPr>
          <w:sz w:val="20"/>
          <w:szCs w:val="20"/>
        </w:rPr>
        <w:t>(</w:t>
      </w:r>
      <w:r w:rsidR="00FB390B" w:rsidRPr="0064597D">
        <w:rPr>
          <w:sz w:val="20"/>
          <w:szCs w:val="20"/>
        </w:rPr>
        <w:t xml:space="preserve">diez mil </w:t>
      </w:r>
      <w:r w:rsidRPr="0064597D">
        <w:rPr>
          <w:sz w:val="20"/>
          <w:szCs w:val="20"/>
        </w:rPr>
        <w:t>dólares de los Estados Unidos de América), por concepto de daño inmaterial</w:t>
      </w:r>
      <w:r w:rsidR="00DA7F1B">
        <w:rPr>
          <w:sz w:val="20"/>
          <w:szCs w:val="20"/>
        </w:rPr>
        <w:t>,</w:t>
      </w:r>
      <w:r w:rsidRPr="0064597D">
        <w:rPr>
          <w:sz w:val="20"/>
          <w:szCs w:val="20"/>
        </w:rPr>
        <w:t xml:space="preserve"> en favor de la </w:t>
      </w:r>
      <w:r w:rsidR="004305CD" w:rsidRPr="0064597D">
        <w:rPr>
          <w:sz w:val="20"/>
          <w:szCs w:val="20"/>
        </w:rPr>
        <w:t xml:space="preserve">hermana del señor Ruiz Fuentes </w:t>
      </w:r>
      <w:r w:rsidR="00746397" w:rsidRPr="0064597D">
        <w:rPr>
          <w:sz w:val="20"/>
          <w:szCs w:val="20"/>
        </w:rPr>
        <w:t xml:space="preserve">por las violaciones </w:t>
      </w:r>
      <w:r w:rsidR="000013C4" w:rsidRPr="0064597D">
        <w:rPr>
          <w:sz w:val="20"/>
          <w:szCs w:val="20"/>
        </w:rPr>
        <w:t>acreditas en su perjuicio, que derivaron en afectaciones a integridad física, moral y psicológica</w:t>
      </w:r>
      <w:r w:rsidRPr="0064597D">
        <w:rPr>
          <w:sz w:val="20"/>
          <w:szCs w:val="20"/>
        </w:rPr>
        <w:t>.</w:t>
      </w:r>
    </w:p>
    <w:p w14:paraId="3F1BED20" w14:textId="5B5C216E" w:rsidR="00072585" w:rsidRPr="0064597D" w:rsidRDefault="00072585" w:rsidP="00072585">
      <w:pPr>
        <w:pStyle w:val="Ttulo2"/>
      </w:pPr>
      <w:bookmarkStart w:id="134" w:name="_Toc24014583"/>
      <w:bookmarkStart w:id="135" w:name="_Toc514172672"/>
      <w:bookmarkStart w:id="136" w:name="_Toc476390746"/>
      <w:bookmarkStart w:id="137" w:name="_Toc495658704"/>
      <w:bookmarkStart w:id="138" w:name="_Toc15933781"/>
      <w:r w:rsidRPr="0064597D">
        <w:t>F.</w:t>
      </w:r>
      <w:r w:rsidRPr="0064597D">
        <w:tab/>
        <w:t>Costas y Gastos</w:t>
      </w:r>
      <w:bookmarkEnd w:id="134"/>
    </w:p>
    <w:bookmarkEnd w:id="135"/>
    <w:bookmarkEnd w:id="136"/>
    <w:bookmarkEnd w:id="137"/>
    <w:bookmarkEnd w:id="138"/>
    <w:p w14:paraId="07C63099" w14:textId="75D61503" w:rsidR="001A423E" w:rsidRPr="0064597D" w:rsidRDefault="00413443" w:rsidP="00274768">
      <w:pPr>
        <w:numPr>
          <w:ilvl w:val="0"/>
          <w:numId w:val="1"/>
        </w:numPr>
        <w:tabs>
          <w:tab w:val="num" w:pos="0"/>
          <w:tab w:val="left" w:pos="567"/>
          <w:tab w:val="num" w:pos="1427"/>
        </w:tabs>
        <w:spacing w:line="240" w:lineRule="auto"/>
        <w:ind w:left="0" w:firstLine="0"/>
        <w:textAlignment w:val="auto"/>
        <w:rPr>
          <w:rFonts w:cs="Arial"/>
          <w:sz w:val="20"/>
          <w:szCs w:val="20"/>
        </w:rPr>
      </w:pPr>
      <w:r w:rsidRPr="0064597D">
        <w:rPr>
          <w:rFonts w:eastAsia="MS Mincho"/>
          <w:sz w:val="20"/>
          <w:szCs w:val="20"/>
          <w:lang w:bidi="en-US"/>
        </w:rPr>
        <w:t xml:space="preserve">Las </w:t>
      </w:r>
      <w:r w:rsidRPr="0064597D">
        <w:rPr>
          <w:rFonts w:eastAsia="MS Mincho"/>
          <w:b/>
          <w:i/>
          <w:sz w:val="20"/>
          <w:szCs w:val="20"/>
          <w:lang w:bidi="en-US"/>
        </w:rPr>
        <w:t>representantes</w:t>
      </w:r>
      <w:r w:rsidRPr="0064597D">
        <w:rPr>
          <w:rFonts w:eastAsia="MS Mincho"/>
          <w:sz w:val="20"/>
          <w:szCs w:val="20"/>
          <w:lang w:bidi="en-US"/>
        </w:rPr>
        <w:t xml:space="preserve"> </w:t>
      </w:r>
      <w:r w:rsidRPr="0064597D">
        <w:rPr>
          <w:sz w:val="20"/>
          <w:szCs w:val="20"/>
        </w:rPr>
        <w:t>s</w:t>
      </w:r>
      <w:r w:rsidRPr="0064597D">
        <w:rPr>
          <w:rFonts w:eastAsia="Verdana" w:cs="Verdana"/>
          <w:sz w:val="20"/>
          <w:szCs w:val="20"/>
        </w:rPr>
        <w:t xml:space="preserve">olicitaron a la Corte que ordenara al Estado el pago de las costas y gastos que se hayan originado y originen en la tramitación del caso, tanto en el ámbito interno como ante el sistema interamericano. Concretamente, indicaron que </w:t>
      </w:r>
      <w:r w:rsidRPr="0064597D">
        <w:rPr>
          <w:rFonts w:cs="Arial"/>
          <w:sz w:val="20"/>
          <w:szCs w:val="20"/>
        </w:rPr>
        <w:t xml:space="preserve">el ICCPG ha impulsado </w:t>
      </w:r>
      <w:r w:rsidR="0096374F" w:rsidRPr="0064597D">
        <w:rPr>
          <w:rFonts w:cs="Arial"/>
          <w:sz w:val="20"/>
          <w:szCs w:val="20"/>
        </w:rPr>
        <w:t>la</w:t>
      </w:r>
      <w:r w:rsidRPr="0064597D">
        <w:rPr>
          <w:rFonts w:cs="Arial"/>
          <w:sz w:val="20"/>
          <w:szCs w:val="20"/>
        </w:rPr>
        <w:t xml:space="preserve"> obtención de justicia en </w:t>
      </w:r>
      <w:r w:rsidRPr="0064597D">
        <w:rPr>
          <w:sz w:val="20"/>
          <w:szCs w:val="20"/>
        </w:rPr>
        <w:t>este</w:t>
      </w:r>
      <w:r w:rsidRPr="0064597D">
        <w:rPr>
          <w:rFonts w:cs="Arial"/>
          <w:sz w:val="20"/>
          <w:szCs w:val="20"/>
        </w:rPr>
        <w:t xml:space="preserve"> caso tanto a nivel interno, donde se mostraron como querellantes y actuaron en </w:t>
      </w:r>
      <w:r w:rsidRPr="0064597D">
        <w:rPr>
          <w:rFonts w:cs="Arial"/>
          <w:sz w:val="20"/>
          <w:szCs w:val="20"/>
        </w:rPr>
        <w:lastRenderedPageBreak/>
        <w:t>representación de los familiares de la víctima durante varios años, como a nivel internacional, desde el año 2003. En el ejercicio de dicha representación ha incurrido en gastos que incluyen viajes y alojamiento. Igualmente ha incurrido en gastos administrativos, y otros correspondientes al trabajo jurídico dedicado a la atención específica del caso, lo que incluye la investigación, recopilación y presentación de pruebas, la realización de entrevistas y la preparación de escritos.</w:t>
      </w:r>
    </w:p>
    <w:p w14:paraId="2345232D" w14:textId="77777777" w:rsidR="001A423E" w:rsidRPr="0064597D" w:rsidRDefault="001A423E" w:rsidP="001A423E">
      <w:pPr>
        <w:tabs>
          <w:tab w:val="left" w:pos="567"/>
        </w:tabs>
        <w:spacing w:line="240" w:lineRule="auto"/>
        <w:textAlignment w:val="auto"/>
        <w:rPr>
          <w:rFonts w:cs="Arial"/>
          <w:sz w:val="20"/>
          <w:szCs w:val="20"/>
        </w:rPr>
      </w:pPr>
    </w:p>
    <w:p w14:paraId="06AD6285" w14:textId="0FB14524" w:rsidR="00413443" w:rsidRPr="0064597D" w:rsidRDefault="00413443" w:rsidP="00274768">
      <w:pPr>
        <w:numPr>
          <w:ilvl w:val="0"/>
          <w:numId w:val="1"/>
        </w:numPr>
        <w:tabs>
          <w:tab w:val="num" w:pos="0"/>
          <w:tab w:val="left" w:pos="567"/>
          <w:tab w:val="num" w:pos="1427"/>
        </w:tabs>
        <w:spacing w:line="240" w:lineRule="auto"/>
        <w:ind w:left="0" w:firstLine="0"/>
        <w:textAlignment w:val="auto"/>
        <w:rPr>
          <w:rFonts w:cs="Arial"/>
          <w:sz w:val="20"/>
          <w:szCs w:val="20"/>
        </w:rPr>
      </w:pPr>
      <w:r w:rsidRPr="0064597D">
        <w:rPr>
          <w:rFonts w:cs="Arial"/>
          <w:sz w:val="20"/>
          <w:szCs w:val="20"/>
        </w:rPr>
        <w:t>Asimismo, el CEJIL ha actuado como representante de las víctimas en el proceso internacional desde agosto del año 2003. En el ejercicio de dicha representación ha incurrido en gastos que incluyen viajes y alojamiento. Igualmente ha incurrido en gastos correspondientes al trabajo jurídico dedicado a la atención específica del caso, lo que incluye la investigación, recopilación y presentación de pruebas, la realización de entrevistas y la preparación de escritos. En consideración de lo anterior, solicitaron a la Corte que fije la cantidad de USD</w:t>
      </w:r>
      <w:r w:rsidR="007A21E6" w:rsidRPr="0064597D">
        <w:rPr>
          <w:rFonts w:cs="Arial"/>
          <w:sz w:val="20"/>
          <w:szCs w:val="20"/>
        </w:rPr>
        <w:t>$</w:t>
      </w:r>
      <w:r w:rsidRPr="0064597D">
        <w:rPr>
          <w:rFonts w:cs="Arial"/>
          <w:sz w:val="20"/>
          <w:szCs w:val="20"/>
        </w:rPr>
        <w:t xml:space="preserve"> 23,084.77 por concepto de gastos. Asimismo, solicitaron que la Corte ordene que dicha cantidad sea reintegrada directamente por el Estado guatemalteco a CEJIL. En consideración de lo anterior, solicitaron a la Corte que añada la cantidad de USD</w:t>
      </w:r>
      <w:r w:rsidR="007A21E6" w:rsidRPr="0064597D">
        <w:rPr>
          <w:rFonts w:cs="Arial"/>
          <w:sz w:val="20"/>
          <w:szCs w:val="20"/>
        </w:rPr>
        <w:t>$</w:t>
      </w:r>
      <w:r w:rsidRPr="0064597D">
        <w:rPr>
          <w:rFonts w:cs="Arial"/>
          <w:sz w:val="20"/>
          <w:szCs w:val="20"/>
        </w:rPr>
        <w:t xml:space="preserve"> 9,838</w:t>
      </w:r>
      <w:r w:rsidR="00DB0443" w:rsidRPr="0064597D">
        <w:rPr>
          <w:rFonts w:cs="Arial"/>
          <w:sz w:val="20"/>
          <w:szCs w:val="20"/>
        </w:rPr>
        <w:t xml:space="preserve"> </w:t>
      </w:r>
      <w:r w:rsidRPr="0064597D">
        <w:rPr>
          <w:rFonts w:cs="Arial"/>
          <w:sz w:val="20"/>
          <w:szCs w:val="20"/>
        </w:rPr>
        <w:t>(nueve mil ochocientos treinta y ocho dólares de los Estado</w:t>
      </w:r>
      <w:r w:rsidR="0096374F" w:rsidRPr="0064597D">
        <w:rPr>
          <w:rFonts w:cs="Arial"/>
          <w:sz w:val="20"/>
          <w:szCs w:val="20"/>
        </w:rPr>
        <w:t>s</w:t>
      </w:r>
      <w:r w:rsidRPr="0064597D">
        <w:rPr>
          <w:rFonts w:cs="Arial"/>
          <w:sz w:val="20"/>
          <w:szCs w:val="20"/>
        </w:rPr>
        <w:t xml:space="preserve"> Unidos de América) al monto indicado en </w:t>
      </w:r>
      <w:r w:rsidR="001A423E" w:rsidRPr="0064597D">
        <w:rPr>
          <w:rFonts w:cs="Arial"/>
          <w:sz w:val="20"/>
          <w:szCs w:val="20"/>
        </w:rPr>
        <w:t>su</w:t>
      </w:r>
      <w:r w:rsidRPr="0064597D">
        <w:rPr>
          <w:rFonts w:cs="Arial"/>
          <w:sz w:val="20"/>
          <w:szCs w:val="20"/>
        </w:rPr>
        <w:t xml:space="preserve"> ESAP, y fije un monto de USD</w:t>
      </w:r>
      <w:r w:rsidR="007A21E6" w:rsidRPr="0064597D">
        <w:rPr>
          <w:rFonts w:cs="Arial"/>
          <w:sz w:val="20"/>
          <w:szCs w:val="20"/>
        </w:rPr>
        <w:t>$</w:t>
      </w:r>
      <w:r w:rsidRPr="0064597D">
        <w:rPr>
          <w:rFonts w:cs="Arial"/>
          <w:sz w:val="20"/>
          <w:szCs w:val="20"/>
        </w:rPr>
        <w:t xml:space="preserve"> 32,922 (treinta y dos mil novecientos veintidós dólares de los Estados Unidos de América) en concepto de gastos y costas. Asimismo, solicitaron que la Corte ordene que dicha cantidad sea reintegrada directamente por el Estado guatemalteco a CEJIL. </w:t>
      </w:r>
      <w:r w:rsidR="001A423E" w:rsidRPr="0064597D">
        <w:rPr>
          <w:rFonts w:cs="Arial"/>
          <w:sz w:val="20"/>
          <w:szCs w:val="20"/>
        </w:rPr>
        <w:t>Por último</w:t>
      </w:r>
      <w:r w:rsidRPr="0064597D">
        <w:rPr>
          <w:rFonts w:cs="Arial"/>
          <w:sz w:val="20"/>
          <w:szCs w:val="20"/>
        </w:rPr>
        <w:t>, solicitaron a la Corte que en su sentencia establezca la posibilidad de fijar gastos futuros producto del seguimiento del cumplimiento de la sentencia que dicte con relación a este caso.</w:t>
      </w:r>
    </w:p>
    <w:p w14:paraId="44A92C35" w14:textId="77777777" w:rsidR="00413443" w:rsidRPr="0064597D" w:rsidRDefault="00413443" w:rsidP="00413443">
      <w:pPr>
        <w:tabs>
          <w:tab w:val="left" w:pos="567"/>
        </w:tabs>
        <w:spacing w:line="240" w:lineRule="auto"/>
        <w:rPr>
          <w:sz w:val="20"/>
          <w:szCs w:val="20"/>
        </w:rPr>
      </w:pPr>
    </w:p>
    <w:p w14:paraId="2911C752" w14:textId="2AA34D2C" w:rsidR="00413443" w:rsidRPr="0064597D" w:rsidRDefault="00413443" w:rsidP="00413443">
      <w:pPr>
        <w:numPr>
          <w:ilvl w:val="0"/>
          <w:numId w:val="1"/>
        </w:numPr>
        <w:tabs>
          <w:tab w:val="left" w:pos="567"/>
        </w:tabs>
        <w:spacing w:line="240" w:lineRule="auto"/>
        <w:ind w:left="0" w:firstLine="0"/>
        <w:textAlignment w:val="auto"/>
        <w:rPr>
          <w:sz w:val="20"/>
          <w:szCs w:val="20"/>
        </w:rPr>
      </w:pPr>
      <w:r w:rsidRPr="0064597D">
        <w:rPr>
          <w:rFonts w:eastAsia="MS Mincho"/>
          <w:sz w:val="20"/>
          <w:szCs w:val="20"/>
          <w:lang w:bidi="en-US"/>
        </w:rPr>
        <w:t xml:space="preserve">El </w:t>
      </w:r>
      <w:r w:rsidRPr="0064597D">
        <w:rPr>
          <w:rFonts w:eastAsia="MS Mincho"/>
          <w:b/>
          <w:i/>
          <w:sz w:val="20"/>
          <w:szCs w:val="20"/>
          <w:lang w:bidi="en-US"/>
        </w:rPr>
        <w:t>Estado</w:t>
      </w:r>
      <w:r w:rsidRPr="0064597D">
        <w:rPr>
          <w:rFonts w:eastAsia="MS Mincho"/>
          <w:sz w:val="20"/>
          <w:szCs w:val="20"/>
          <w:lang w:bidi="en-US"/>
        </w:rPr>
        <w:t xml:space="preserve"> manifestó que los comprobantes presentados por el ICCPG carecen de veracidad y certeza jurídica </w:t>
      </w:r>
      <w:r w:rsidR="001A423E" w:rsidRPr="0064597D">
        <w:rPr>
          <w:rFonts w:eastAsia="MS Mincho"/>
          <w:sz w:val="20"/>
          <w:szCs w:val="20"/>
          <w:lang w:bidi="en-US"/>
        </w:rPr>
        <w:t xml:space="preserve">y, </w:t>
      </w:r>
      <w:r w:rsidRPr="0064597D">
        <w:rPr>
          <w:rFonts w:eastAsia="MS Mincho"/>
          <w:sz w:val="20"/>
          <w:szCs w:val="20"/>
          <w:lang w:bidi="en-US"/>
        </w:rPr>
        <w:t>por consiguiente</w:t>
      </w:r>
      <w:r w:rsidR="001A423E" w:rsidRPr="0064597D">
        <w:rPr>
          <w:rFonts w:eastAsia="MS Mincho"/>
          <w:sz w:val="20"/>
          <w:szCs w:val="20"/>
          <w:lang w:bidi="en-US"/>
        </w:rPr>
        <w:t>,</w:t>
      </w:r>
      <w:r w:rsidRPr="0064597D">
        <w:rPr>
          <w:rFonts w:eastAsia="MS Mincho"/>
          <w:sz w:val="20"/>
          <w:szCs w:val="20"/>
          <w:lang w:bidi="en-US"/>
        </w:rPr>
        <w:t xml:space="preserve"> no son confiables. Además, el ICCPG presentó como comprobante las planillas de pago de salario de todos los empleados como la única fuente de ingresos y el único trabajo realizado fuese el litigio del caso del señor Ruiz Fuentes. Aunado a lo anterior,</w:t>
      </w:r>
      <w:r w:rsidR="001A423E" w:rsidRPr="0064597D">
        <w:rPr>
          <w:rFonts w:eastAsia="MS Mincho"/>
          <w:sz w:val="20"/>
          <w:szCs w:val="20"/>
          <w:lang w:bidi="en-US"/>
        </w:rPr>
        <w:t xml:space="preserve"> según el Estado</w:t>
      </w:r>
      <w:r w:rsidRPr="0064597D">
        <w:rPr>
          <w:rFonts w:eastAsia="MS Mincho"/>
          <w:sz w:val="20"/>
          <w:szCs w:val="20"/>
          <w:lang w:bidi="en-US"/>
        </w:rPr>
        <w:t xml:space="preserve"> existe incongruencia respecto a la fecha de algunos comprobantes. Por todo lo expuesto, el Estado rechazó todos y cada uno de los supuestos gastos incurridos por el ICCPG, toda vez que no tienen íntima relación con el caso objeto del prese</w:t>
      </w:r>
      <w:r w:rsidR="00C718A9" w:rsidRPr="0064597D">
        <w:rPr>
          <w:rFonts w:eastAsia="MS Mincho"/>
          <w:sz w:val="20"/>
          <w:szCs w:val="20"/>
          <w:lang w:bidi="en-US"/>
        </w:rPr>
        <w:t>nte escrito, por lo que solicitó</w:t>
      </w:r>
      <w:r w:rsidRPr="0064597D">
        <w:rPr>
          <w:rFonts w:eastAsia="MS Mincho"/>
          <w:sz w:val="20"/>
          <w:szCs w:val="20"/>
          <w:lang w:bidi="en-US"/>
        </w:rPr>
        <w:t xml:space="preserve"> a la Corte </w:t>
      </w:r>
      <w:r w:rsidR="000D4F08" w:rsidRPr="0064597D">
        <w:rPr>
          <w:rFonts w:eastAsia="MS Mincho"/>
          <w:sz w:val="20"/>
          <w:szCs w:val="20"/>
          <w:lang w:bidi="en-US"/>
        </w:rPr>
        <w:t xml:space="preserve">que </w:t>
      </w:r>
      <w:r w:rsidRPr="0064597D">
        <w:rPr>
          <w:rFonts w:eastAsia="MS Mincho"/>
          <w:sz w:val="20"/>
          <w:szCs w:val="20"/>
          <w:lang w:bidi="en-US"/>
        </w:rPr>
        <w:t>declara</w:t>
      </w:r>
      <w:r w:rsidR="000D4F08" w:rsidRPr="0064597D">
        <w:rPr>
          <w:rFonts w:eastAsia="MS Mincho"/>
          <w:sz w:val="20"/>
          <w:szCs w:val="20"/>
          <w:lang w:bidi="en-US"/>
        </w:rPr>
        <w:t>ra su improcedencia y los denegara</w:t>
      </w:r>
      <w:r w:rsidRPr="0064597D">
        <w:rPr>
          <w:rFonts w:eastAsia="MS Mincho"/>
          <w:sz w:val="20"/>
          <w:szCs w:val="20"/>
          <w:lang w:bidi="en-US"/>
        </w:rPr>
        <w:t xml:space="preserve">. De igual forma, el Estado </w:t>
      </w:r>
      <w:r w:rsidR="001A423E" w:rsidRPr="0064597D">
        <w:rPr>
          <w:rFonts w:eastAsia="MS Mincho"/>
          <w:sz w:val="20"/>
          <w:szCs w:val="20"/>
          <w:lang w:bidi="en-US"/>
        </w:rPr>
        <w:t>solicitó</w:t>
      </w:r>
      <w:r w:rsidRPr="0064597D">
        <w:rPr>
          <w:rFonts w:eastAsia="MS Mincho"/>
          <w:sz w:val="20"/>
          <w:szCs w:val="20"/>
          <w:lang w:bidi="en-US"/>
        </w:rPr>
        <w:t xml:space="preserve"> a la Corte requer</w:t>
      </w:r>
      <w:r w:rsidR="001A423E" w:rsidRPr="0064597D">
        <w:rPr>
          <w:rFonts w:eastAsia="MS Mincho"/>
          <w:sz w:val="20"/>
          <w:szCs w:val="20"/>
          <w:lang w:bidi="en-US"/>
        </w:rPr>
        <w:t>i</w:t>
      </w:r>
      <w:r w:rsidRPr="0064597D">
        <w:rPr>
          <w:rFonts w:eastAsia="MS Mincho"/>
          <w:sz w:val="20"/>
          <w:szCs w:val="20"/>
          <w:lang w:bidi="en-US"/>
        </w:rPr>
        <w:t xml:space="preserve">r a CEJIL la acreditación de los supuestos gastos incurridos que </w:t>
      </w:r>
      <w:r w:rsidR="001A423E" w:rsidRPr="0064597D">
        <w:rPr>
          <w:rFonts w:eastAsia="MS Mincho"/>
          <w:sz w:val="20"/>
          <w:szCs w:val="20"/>
          <w:lang w:bidi="en-US"/>
        </w:rPr>
        <w:t>tuvieran</w:t>
      </w:r>
      <w:r w:rsidRPr="0064597D">
        <w:rPr>
          <w:rFonts w:eastAsia="MS Mincho"/>
          <w:sz w:val="20"/>
          <w:szCs w:val="20"/>
          <w:lang w:bidi="en-US"/>
        </w:rPr>
        <w:t xml:space="preserve"> íntima relación con el caso objeto del presente escrito con los respectivos documentos de soporte a los gastos efectuados. </w:t>
      </w:r>
      <w:r w:rsidR="001A423E" w:rsidRPr="0064597D">
        <w:rPr>
          <w:rFonts w:eastAsia="MS Mincho"/>
          <w:sz w:val="20"/>
          <w:szCs w:val="20"/>
          <w:lang w:bidi="en-US"/>
        </w:rPr>
        <w:t>Según el Estado, e</w:t>
      </w:r>
      <w:r w:rsidRPr="0064597D">
        <w:rPr>
          <w:rFonts w:eastAsia="MS Mincho"/>
          <w:sz w:val="20"/>
          <w:szCs w:val="20"/>
          <w:lang w:bidi="en-US"/>
        </w:rPr>
        <w:t xml:space="preserve">l detalle y los </w:t>
      </w:r>
      <w:r w:rsidR="001A423E" w:rsidRPr="0064597D">
        <w:rPr>
          <w:rFonts w:eastAsia="MS Mincho"/>
          <w:sz w:val="20"/>
          <w:szCs w:val="20"/>
          <w:lang w:bidi="en-US"/>
        </w:rPr>
        <w:t>montos</w:t>
      </w:r>
      <w:r w:rsidRPr="0064597D">
        <w:rPr>
          <w:rFonts w:eastAsia="MS Mincho"/>
          <w:sz w:val="20"/>
          <w:szCs w:val="20"/>
          <w:lang w:bidi="en-US"/>
        </w:rPr>
        <w:t xml:space="preserve"> presentados en el cuadro incorporado al ESAP no constituyen prueba alguna ni certeza legal de los mismos, por lo que el Estado se abstiene de pronunciarse al respecto. </w:t>
      </w:r>
    </w:p>
    <w:p w14:paraId="2A185501" w14:textId="77777777" w:rsidR="00413443" w:rsidRPr="0064597D" w:rsidRDefault="00413443" w:rsidP="00413443">
      <w:pPr>
        <w:tabs>
          <w:tab w:val="left" w:pos="567"/>
        </w:tabs>
        <w:spacing w:line="240" w:lineRule="auto"/>
        <w:ind w:left="825"/>
        <w:rPr>
          <w:sz w:val="20"/>
          <w:szCs w:val="20"/>
        </w:rPr>
      </w:pPr>
    </w:p>
    <w:p w14:paraId="0281D465" w14:textId="77777777" w:rsidR="00413443" w:rsidRPr="0064597D" w:rsidRDefault="00413443" w:rsidP="00413443">
      <w:pPr>
        <w:numPr>
          <w:ilvl w:val="0"/>
          <w:numId w:val="1"/>
        </w:numPr>
        <w:tabs>
          <w:tab w:val="left" w:pos="567"/>
        </w:tabs>
        <w:spacing w:line="240" w:lineRule="auto"/>
        <w:ind w:left="0" w:firstLine="0"/>
        <w:textAlignment w:val="auto"/>
        <w:rPr>
          <w:sz w:val="20"/>
          <w:szCs w:val="20"/>
        </w:rPr>
      </w:pPr>
      <w:r w:rsidRPr="0064597D">
        <w:rPr>
          <w:rFonts w:eastAsia="MS Mincho"/>
          <w:sz w:val="20"/>
          <w:szCs w:val="20"/>
          <w:lang w:bidi="en-US"/>
        </w:rPr>
        <w:t>La</w:t>
      </w:r>
      <w:r w:rsidRPr="0064597D">
        <w:rPr>
          <w:rFonts w:eastAsia="MS Mincho"/>
          <w:b/>
          <w:i/>
          <w:sz w:val="20"/>
          <w:szCs w:val="20"/>
          <w:lang w:bidi="en-US"/>
        </w:rPr>
        <w:t xml:space="preserve"> Comisión</w:t>
      </w:r>
      <w:r w:rsidRPr="0064597D">
        <w:rPr>
          <w:rFonts w:eastAsia="MS Mincho"/>
          <w:b/>
          <w:sz w:val="20"/>
          <w:szCs w:val="20"/>
          <w:lang w:bidi="en-US"/>
        </w:rPr>
        <w:t xml:space="preserve"> </w:t>
      </w:r>
      <w:r w:rsidRPr="0064597D">
        <w:rPr>
          <w:rFonts w:eastAsia="MS Mincho"/>
          <w:sz w:val="20"/>
          <w:szCs w:val="20"/>
          <w:lang w:bidi="en-US"/>
        </w:rPr>
        <w:t>no presentó alegatos específicos sobre este punto.</w:t>
      </w:r>
    </w:p>
    <w:p w14:paraId="49BDCFAD" w14:textId="77777777" w:rsidR="00413443" w:rsidRPr="0064597D" w:rsidRDefault="00413443" w:rsidP="00413443">
      <w:pPr>
        <w:spacing w:line="240" w:lineRule="auto"/>
        <w:ind w:left="708"/>
        <w:rPr>
          <w:sz w:val="20"/>
          <w:szCs w:val="20"/>
        </w:rPr>
      </w:pPr>
    </w:p>
    <w:p w14:paraId="247BB25A" w14:textId="0661EA95" w:rsidR="00413443" w:rsidRPr="0064597D" w:rsidRDefault="00413443" w:rsidP="00FD5666">
      <w:pPr>
        <w:numPr>
          <w:ilvl w:val="0"/>
          <w:numId w:val="1"/>
        </w:numPr>
        <w:tabs>
          <w:tab w:val="left" w:pos="567"/>
        </w:tabs>
        <w:spacing w:line="240" w:lineRule="auto"/>
        <w:ind w:left="0" w:firstLine="0"/>
        <w:textAlignment w:val="auto"/>
        <w:rPr>
          <w:rFonts w:eastAsia="MS Mincho"/>
          <w:sz w:val="20"/>
          <w:szCs w:val="20"/>
          <w:lang w:bidi="en-US"/>
        </w:rPr>
      </w:pPr>
      <w:r w:rsidRPr="0064597D">
        <w:rPr>
          <w:rFonts w:cs="Verdana"/>
          <w:bCs/>
          <w:iCs/>
          <w:sz w:val="20"/>
          <w:szCs w:val="20"/>
        </w:rPr>
        <w:t xml:space="preserve">La </w:t>
      </w:r>
      <w:r w:rsidRPr="0064597D">
        <w:rPr>
          <w:rFonts w:cs="Verdana"/>
          <w:b/>
          <w:bCs/>
          <w:i/>
          <w:iCs/>
          <w:sz w:val="20"/>
          <w:szCs w:val="20"/>
        </w:rPr>
        <w:t>Corte</w:t>
      </w:r>
      <w:r w:rsidRPr="0064597D">
        <w:rPr>
          <w:rFonts w:cs="Verdana"/>
          <w:bCs/>
          <w:iCs/>
          <w:sz w:val="20"/>
          <w:szCs w:val="20"/>
        </w:rPr>
        <w:t xml:space="preserve"> reitera que, conforme a su jurisprudencia</w:t>
      </w:r>
      <w:r w:rsidRPr="0064597D">
        <w:rPr>
          <w:rFonts w:cs="Verdana"/>
          <w:bCs/>
          <w:iCs/>
          <w:sz w:val="20"/>
          <w:szCs w:val="20"/>
          <w:vertAlign w:val="superscript"/>
        </w:rPr>
        <w:footnoteReference w:id="254"/>
      </w:r>
      <w:r w:rsidRPr="0064597D">
        <w:rPr>
          <w:rFonts w:cs="Verdana"/>
          <w:bCs/>
          <w:iCs/>
          <w:sz w:val="20"/>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64597D">
        <w:rPr>
          <w:rFonts w:cs="Verdana"/>
          <w:bCs/>
          <w:i/>
          <w:iCs/>
          <w:sz w:val="20"/>
          <w:szCs w:val="20"/>
        </w:rPr>
        <w:t xml:space="preserve">quantum </w:t>
      </w:r>
      <w:r w:rsidRPr="0064597D">
        <w:rPr>
          <w:rFonts w:cs="Verdana"/>
          <w:bCs/>
          <w:iCs/>
          <w:sz w:val="20"/>
          <w:szCs w:val="20"/>
        </w:rPr>
        <w:t>sea razonable</w:t>
      </w:r>
      <w:r w:rsidRPr="0064597D">
        <w:rPr>
          <w:rFonts w:cs="Verdana"/>
          <w:bCs/>
          <w:iCs/>
          <w:sz w:val="20"/>
          <w:szCs w:val="20"/>
          <w:vertAlign w:val="superscript"/>
        </w:rPr>
        <w:footnoteReference w:id="255"/>
      </w:r>
      <w:r w:rsidRPr="0064597D">
        <w:rPr>
          <w:rFonts w:cs="Verdana"/>
          <w:bCs/>
          <w:iCs/>
          <w:sz w:val="20"/>
          <w:szCs w:val="20"/>
        </w:rPr>
        <w:t>.</w:t>
      </w:r>
      <w:r w:rsidR="006F6E82" w:rsidRPr="0064597D">
        <w:rPr>
          <w:rFonts w:cs="Verdana"/>
          <w:bCs/>
          <w:iCs/>
          <w:sz w:val="20"/>
          <w:szCs w:val="20"/>
        </w:rPr>
        <w:t xml:space="preserve"> </w:t>
      </w:r>
      <w:r w:rsidRPr="0064597D">
        <w:rPr>
          <w:rFonts w:eastAsia="MS Mincho"/>
          <w:sz w:val="20"/>
          <w:szCs w:val="20"/>
          <w:lang w:bidi="en-US"/>
        </w:rPr>
        <w:t xml:space="preserve">El Tribunal </w:t>
      </w:r>
      <w:r w:rsidR="006F6E82" w:rsidRPr="0064597D">
        <w:rPr>
          <w:rFonts w:eastAsia="MS Mincho"/>
          <w:sz w:val="20"/>
          <w:szCs w:val="20"/>
          <w:lang w:bidi="en-US"/>
        </w:rPr>
        <w:t xml:space="preserve">también </w:t>
      </w:r>
      <w:r w:rsidRPr="0064597D">
        <w:rPr>
          <w:rFonts w:eastAsia="MS Mincho"/>
          <w:sz w:val="20"/>
          <w:szCs w:val="20"/>
          <w:lang w:bidi="en-US"/>
        </w:rPr>
        <w:t xml:space="preserve">ha señalado que “las pretensiones de las víctimas o sus representantes en materia de costas y gastos, y las pruebas que las sustentan, deben presentarse a </w:t>
      </w:r>
      <w:r w:rsidRPr="0064597D">
        <w:rPr>
          <w:rFonts w:eastAsia="MS Mincho"/>
          <w:sz w:val="20"/>
          <w:szCs w:val="20"/>
          <w:lang w:bidi="en-US"/>
        </w:rPr>
        <w:lastRenderedPageBreak/>
        <w:t>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64597D">
        <w:rPr>
          <w:rFonts w:eastAsia="MS Mincho"/>
          <w:sz w:val="20"/>
          <w:szCs w:val="20"/>
          <w:vertAlign w:val="superscript"/>
          <w:lang w:bidi="en-US"/>
        </w:rPr>
        <w:footnoteReference w:id="256"/>
      </w:r>
      <w:r w:rsidRPr="0064597D">
        <w:rPr>
          <w:rFonts w:eastAsia="MS Mincho"/>
          <w:sz w:val="20"/>
          <w:szCs w:val="20"/>
          <w:lang w:bidi="en-US"/>
        </w:rPr>
        <w:t xml:space="preserve">.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w:t>
      </w:r>
      <w:r w:rsidRPr="0064597D">
        <w:rPr>
          <w:rStyle w:val="Nmerodelnea"/>
          <w:rFonts w:eastAsia="MS Mincho"/>
        </w:rPr>
        <w:t>rubros</w:t>
      </w:r>
      <w:r w:rsidRPr="0064597D">
        <w:rPr>
          <w:rFonts w:eastAsia="MS Mincho"/>
          <w:sz w:val="20"/>
          <w:szCs w:val="20"/>
          <w:lang w:bidi="en-US"/>
        </w:rPr>
        <w:t xml:space="preserve"> y la justificación de los mismos</w:t>
      </w:r>
      <w:r w:rsidRPr="0064597D">
        <w:rPr>
          <w:rFonts w:eastAsia="MS Mincho"/>
          <w:sz w:val="20"/>
          <w:szCs w:val="20"/>
          <w:vertAlign w:val="superscript"/>
          <w:lang w:bidi="en-US"/>
        </w:rPr>
        <w:footnoteReference w:id="257"/>
      </w:r>
      <w:r w:rsidRPr="0064597D">
        <w:rPr>
          <w:rFonts w:eastAsia="MS Mincho"/>
          <w:sz w:val="20"/>
          <w:szCs w:val="20"/>
          <w:lang w:bidi="en-US"/>
        </w:rPr>
        <w:t>.</w:t>
      </w:r>
    </w:p>
    <w:p w14:paraId="3875ED94" w14:textId="77777777" w:rsidR="00413443" w:rsidRPr="0064597D" w:rsidRDefault="00413443" w:rsidP="00413443">
      <w:pPr>
        <w:tabs>
          <w:tab w:val="left" w:pos="720"/>
        </w:tabs>
        <w:spacing w:line="240" w:lineRule="auto"/>
        <w:rPr>
          <w:rFonts w:eastAsia="Times"/>
          <w:sz w:val="20"/>
          <w:szCs w:val="20"/>
          <w:highlight w:val="yellow"/>
        </w:rPr>
      </w:pPr>
    </w:p>
    <w:p w14:paraId="67429AB1" w14:textId="5549B442" w:rsidR="00515BF9" w:rsidRPr="0064597D" w:rsidRDefault="00413443" w:rsidP="00FD5666">
      <w:pPr>
        <w:numPr>
          <w:ilvl w:val="0"/>
          <w:numId w:val="1"/>
        </w:numPr>
        <w:tabs>
          <w:tab w:val="left" w:pos="567"/>
        </w:tabs>
        <w:spacing w:line="240" w:lineRule="auto"/>
        <w:ind w:left="0" w:firstLine="0"/>
        <w:textAlignment w:val="auto"/>
        <w:rPr>
          <w:rFonts w:eastAsia="MS Mincho"/>
          <w:sz w:val="20"/>
          <w:szCs w:val="20"/>
        </w:rPr>
      </w:pPr>
      <w:r w:rsidRPr="0064597D">
        <w:rPr>
          <w:rFonts w:eastAsia="Times"/>
          <w:sz w:val="20"/>
          <w:szCs w:val="20"/>
        </w:rPr>
        <w:t xml:space="preserve">La Corte nota que las representantes remitieron comprobantes de los gastos incurridos en </w:t>
      </w:r>
      <w:r w:rsidR="001A423E" w:rsidRPr="0064597D">
        <w:rPr>
          <w:rFonts w:eastAsia="Times"/>
          <w:sz w:val="20"/>
          <w:szCs w:val="20"/>
        </w:rPr>
        <w:t>la defensa técnica del presente caso</w:t>
      </w:r>
      <w:r w:rsidRPr="0064597D">
        <w:rPr>
          <w:sz w:val="20"/>
          <w:szCs w:val="20"/>
        </w:rPr>
        <w:t xml:space="preserve"> </w:t>
      </w:r>
      <w:r w:rsidRPr="0064597D">
        <w:rPr>
          <w:rFonts w:eastAsia="Times"/>
          <w:sz w:val="20"/>
          <w:szCs w:val="20"/>
        </w:rPr>
        <w:t xml:space="preserve">referentes a diversos </w:t>
      </w:r>
      <w:r w:rsidR="001A423E" w:rsidRPr="0064597D">
        <w:rPr>
          <w:rFonts w:eastAsia="Times"/>
          <w:sz w:val="20"/>
          <w:szCs w:val="20"/>
        </w:rPr>
        <w:t>boletos de avión coordinación del litigio asistencia jurídica, investigación, recopilación y presentación de pruebas, realización de entrevistas y preparación de escritos.</w:t>
      </w:r>
      <w:r w:rsidR="006F6E82" w:rsidRPr="0064597D">
        <w:rPr>
          <w:rFonts w:eastAsia="Times"/>
          <w:sz w:val="20"/>
          <w:szCs w:val="20"/>
        </w:rPr>
        <w:t xml:space="preserve"> </w:t>
      </w:r>
      <w:r w:rsidR="00515BF9" w:rsidRPr="0064597D">
        <w:rPr>
          <w:rFonts w:eastAsia="MS Mincho"/>
          <w:sz w:val="20"/>
          <w:szCs w:val="20"/>
        </w:rPr>
        <w:t>Teniendo en cuenta todo lo anterior, la Corte fija, en equidad, la cantidad de USD</w:t>
      </w:r>
      <w:r w:rsidR="007A21E6" w:rsidRPr="0064597D">
        <w:rPr>
          <w:rFonts w:cs="Arial"/>
          <w:sz w:val="20"/>
          <w:szCs w:val="20"/>
        </w:rPr>
        <w:t>$</w:t>
      </w:r>
      <w:r w:rsidR="00515BF9" w:rsidRPr="0064597D">
        <w:rPr>
          <w:rFonts w:eastAsia="MS Mincho"/>
          <w:sz w:val="20"/>
          <w:szCs w:val="20"/>
        </w:rPr>
        <w:t xml:space="preserve"> </w:t>
      </w:r>
      <w:r w:rsidR="007A21E6" w:rsidRPr="0064597D">
        <w:rPr>
          <w:rFonts w:eastAsia="MS Mincho"/>
          <w:sz w:val="20"/>
          <w:szCs w:val="20"/>
        </w:rPr>
        <w:t>30</w:t>
      </w:r>
      <w:r w:rsidR="004C0FB0" w:rsidRPr="0064597D">
        <w:rPr>
          <w:rFonts w:eastAsia="MS Mincho"/>
          <w:sz w:val="20"/>
          <w:szCs w:val="20"/>
        </w:rPr>
        <w:t>,</w:t>
      </w:r>
      <w:r w:rsidR="007A21E6" w:rsidRPr="0064597D">
        <w:rPr>
          <w:rFonts w:eastAsia="MS Mincho"/>
          <w:sz w:val="20"/>
          <w:szCs w:val="20"/>
        </w:rPr>
        <w:t>000</w:t>
      </w:r>
      <w:r w:rsidR="00515BF9" w:rsidRPr="0064597D">
        <w:rPr>
          <w:rFonts w:eastAsia="MS Mincho"/>
          <w:sz w:val="20"/>
          <w:szCs w:val="20"/>
        </w:rPr>
        <w:t xml:space="preserve"> (</w:t>
      </w:r>
      <w:r w:rsidR="007A21E6" w:rsidRPr="0064597D">
        <w:rPr>
          <w:rFonts w:eastAsia="MS Mincho"/>
          <w:sz w:val="20"/>
          <w:szCs w:val="20"/>
        </w:rPr>
        <w:t>treinta mil</w:t>
      </w:r>
      <w:r w:rsidR="00515BF9" w:rsidRPr="0064597D">
        <w:rPr>
          <w:rFonts w:eastAsia="MS Mincho"/>
          <w:sz w:val="20"/>
          <w:szCs w:val="20"/>
        </w:rPr>
        <w:t xml:space="preserve"> dólares de los Estados Unidos de América) por los gastos incurridos en la tramitación del proceso ante el sistema interamericano de derechos humanos. Dicho monto deberá ser entregado, dentro del plazo de un año contado a partir de la notificación del presente Fallo, de la siguiente manera: al Instituto de Estudios Comparados en Ciencias Penales de Guatemala la suma de USD$</w:t>
      </w:r>
      <w:r w:rsidR="007A21E6" w:rsidRPr="0064597D">
        <w:rPr>
          <w:rFonts w:eastAsia="MS Mincho"/>
          <w:sz w:val="20"/>
          <w:szCs w:val="20"/>
        </w:rPr>
        <w:t>20</w:t>
      </w:r>
      <w:r w:rsidR="004C0FB0" w:rsidRPr="0064597D">
        <w:rPr>
          <w:rFonts w:eastAsia="MS Mincho"/>
          <w:sz w:val="20"/>
          <w:szCs w:val="20"/>
        </w:rPr>
        <w:t>,</w:t>
      </w:r>
      <w:r w:rsidR="007A21E6" w:rsidRPr="0064597D">
        <w:rPr>
          <w:rFonts w:eastAsia="MS Mincho"/>
          <w:sz w:val="20"/>
          <w:szCs w:val="20"/>
        </w:rPr>
        <w:t>000 (veinte mil</w:t>
      </w:r>
      <w:r w:rsidR="00515BF9" w:rsidRPr="0064597D">
        <w:rPr>
          <w:rFonts w:eastAsia="MS Mincho"/>
          <w:sz w:val="20"/>
          <w:szCs w:val="20"/>
        </w:rPr>
        <w:t xml:space="preserve"> dólares de los Estados Unidos de América) y al </w:t>
      </w:r>
      <w:r w:rsidR="001A423E" w:rsidRPr="0064597D">
        <w:rPr>
          <w:rFonts w:eastAsia="MS Mincho"/>
          <w:sz w:val="20"/>
          <w:szCs w:val="20"/>
        </w:rPr>
        <w:t>Centro por la Justicia y el Derecho Internacional l</w:t>
      </w:r>
      <w:r w:rsidR="00515BF9" w:rsidRPr="0064597D">
        <w:rPr>
          <w:rFonts w:eastAsia="MS Mincho"/>
          <w:sz w:val="20"/>
          <w:szCs w:val="20"/>
        </w:rPr>
        <w:t>a suma de USD$</w:t>
      </w:r>
      <w:r w:rsidR="007A21E6" w:rsidRPr="0064597D">
        <w:rPr>
          <w:rFonts w:eastAsia="MS Mincho"/>
          <w:sz w:val="20"/>
          <w:szCs w:val="20"/>
        </w:rPr>
        <w:t>10</w:t>
      </w:r>
      <w:r w:rsidR="004C0FB0" w:rsidRPr="0064597D">
        <w:rPr>
          <w:rFonts w:eastAsia="MS Mincho"/>
          <w:sz w:val="20"/>
          <w:szCs w:val="20"/>
        </w:rPr>
        <w:t>,</w:t>
      </w:r>
      <w:r w:rsidR="007A21E6" w:rsidRPr="0064597D">
        <w:rPr>
          <w:rFonts w:eastAsia="MS Mincho"/>
          <w:sz w:val="20"/>
          <w:szCs w:val="20"/>
        </w:rPr>
        <w:t>000</w:t>
      </w:r>
      <w:r w:rsidR="00515BF9" w:rsidRPr="0064597D">
        <w:rPr>
          <w:rFonts w:eastAsia="MS Mincho"/>
          <w:sz w:val="20"/>
          <w:szCs w:val="20"/>
        </w:rPr>
        <w:t xml:space="preserve"> </w:t>
      </w:r>
      <w:r w:rsidR="007A21E6" w:rsidRPr="0064597D">
        <w:rPr>
          <w:rFonts w:eastAsia="MS Mincho"/>
          <w:sz w:val="20"/>
          <w:szCs w:val="20"/>
        </w:rPr>
        <w:t>(diez mil</w:t>
      </w:r>
      <w:r w:rsidR="00515BF9" w:rsidRPr="0064597D">
        <w:rPr>
          <w:rFonts w:eastAsia="MS Mincho"/>
          <w:sz w:val="20"/>
          <w:szCs w:val="20"/>
        </w:rPr>
        <w:t xml:space="preserve"> dólares de los Estados Unidos de América). En la etapa de supervisión de cumplimiento de la presente Sentencia, la Corte podrá disponer que el Estado reembolse a las víctimas o sus representantes los gastos razonables en que incurran en dicha etapa procesal.</w:t>
      </w:r>
    </w:p>
    <w:p w14:paraId="3262E343" w14:textId="5B409027" w:rsidR="00072585" w:rsidRPr="0064597D" w:rsidRDefault="00072585" w:rsidP="00072585">
      <w:pPr>
        <w:pStyle w:val="Ttulo2"/>
      </w:pPr>
      <w:bookmarkStart w:id="139" w:name="_Toc24014584"/>
      <w:bookmarkStart w:id="140" w:name="_Toc514172673"/>
      <w:bookmarkStart w:id="141" w:name="_Toc476390747"/>
      <w:bookmarkStart w:id="142" w:name="_Toc495658705"/>
      <w:bookmarkStart w:id="143" w:name="_Toc15933782"/>
      <w:r w:rsidRPr="0064597D">
        <w:t>G.</w:t>
      </w:r>
      <w:r w:rsidRPr="0064597D">
        <w:tab/>
        <w:t>Reintegro de los gastos al Fondo de Asistencia Legal de Víctimas de la Corte Interamericana</w:t>
      </w:r>
      <w:bookmarkEnd w:id="139"/>
    </w:p>
    <w:bookmarkEnd w:id="140"/>
    <w:bookmarkEnd w:id="141"/>
    <w:bookmarkEnd w:id="142"/>
    <w:bookmarkEnd w:id="143"/>
    <w:p w14:paraId="05195D79" w14:textId="77777777" w:rsidR="00913083" w:rsidRPr="0064597D" w:rsidRDefault="00913083" w:rsidP="005F3ED6">
      <w:pPr>
        <w:numPr>
          <w:ilvl w:val="0"/>
          <w:numId w:val="1"/>
        </w:numPr>
        <w:tabs>
          <w:tab w:val="left" w:pos="567"/>
          <w:tab w:val="num" w:pos="5057"/>
        </w:tabs>
        <w:spacing w:line="240" w:lineRule="auto"/>
        <w:ind w:left="0" w:firstLine="0"/>
        <w:rPr>
          <w:rFonts w:cs="Arial"/>
          <w:sz w:val="20"/>
          <w:szCs w:val="20"/>
        </w:rPr>
      </w:pPr>
      <w:r w:rsidRPr="0064597D">
        <w:rPr>
          <w:rFonts w:eastAsia="MS Mincho" w:cs="Verdana"/>
          <w:snapToGrid w:val="0"/>
          <w:sz w:val="20"/>
          <w:szCs w:val="20"/>
          <w:lang w:eastAsia="es-ES" w:bidi="en-US"/>
        </w:rPr>
        <w:t xml:space="preserve">En el 2008 la Asamblea General de la Organización de Estados Americanos creó el Fondo de </w:t>
      </w:r>
      <w:r w:rsidRPr="0064597D">
        <w:rPr>
          <w:rFonts w:eastAsia="MS Mincho"/>
          <w:sz w:val="20"/>
          <w:szCs w:val="20"/>
          <w:lang w:bidi="en-US"/>
        </w:rPr>
        <w:t>Asistencia</w:t>
      </w:r>
      <w:r w:rsidRPr="0064597D">
        <w:rPr>
          <w:rFonts w:eastAsia="MS Mincho" w:cs="Verdana"/>
          <w:snapToGrid w:val="0"/>
          <w:sz w:val="20"/>
          <w:szCs w:val="20"/>
          <w:lang w:eastAsia="es-ES" w:bidi="en-US"/>
        </w:rPr>
        <w:t xml:space="preserve"> Legal del Sistema Interamericano de Derechos Humanos, con el “objeto [de] facilitar acceso al sistema interamericano de derechos humanos a aquellas personas que actualmente no tienen los recursos necesarios para llevar su caso al sistema”</w:t>
      </w:r>
      <w:r w:rsidRPr="0064597D">
        <w:rPr>
          <w:rFonts w:eastAsia="MS Mincho" w:cs="Verdana"/>
          <w:snapToGrid w:val="0"/>
          <w:sz w:val="20"/>
          <w:szCs w:val="20"/>
          <w:vertAlign w:val="superscript"/>
          <w:lang w:eastAsia="es-ES" w:bidi="en-US"/>
        </w:rPr>
        <w:footnoteReference w:id="258"/>
      </w:r>
      <w:r w:rsidRPr="0064597D">
        <w:rPr>
          <w:rFonts w:eastAsia="MS Mincho" w:cs="Verdana"/>
          <w:snapToGrid w:val="0"/>
          <w:sz w:val="20"/>
          <w:szCs w:val="20"/>
          <w:lang w:eastAsia="es-ES" w:bidi="en-US"/>
        </w:rPr>
        <w:t xml:space="preserve">. </w:t>
      </w:r>
    </w:p>
    <w:p w14:paraId="5252282E" w14:textId="77777777" w:rsidR="00913083" w:rsidRPr="0064597D" w:rsidRDefault="00913083" w:rsidP="00913083">
      <w:pPr>
        <w:tabs>
          <w:tab w:val="left" w:pos="567"/>
        </w:tabs>
        <w:spacing w:line="240" w:lineRule="auto"/>
        <w:rPr>
          <w:rFonts w:cs="Arial"/>
          <w:sz w:val="20"/>
          <w:szCs w:val="20"/>
        </w:rPr>
      </w:pPr>
    </w:p>
    <w:p w14:paraId="0F3752D0" w14:textId="25823340" w:rsidR="0078088A" w:rsidRPr="0064597D" w:rsidRDefault="00913083" w:rsidP="00913083">
      <w:pPr>
        <w:numPr>
          <w:ilvl w:val="0"/>
          <w:numId w:val="1"/>
        </w:numPr>
        <w:tabs>
          <w:tab w:val="left" w:pos="567"/>
          <w:tab w:val="num" w:pos="5057"/>
        </w:tabs>
        <w:spacing w:line="240" w:lineRule="auto"/>
        <w:ind w:left="0" w:firstLine="0"/>
        <w:rPr>
          <w:rFonts w:eastAsia="MS Mincho" w:cs="Verdana"/>
          <w:snapToGrid w:val="0"/>
          <w:sz w:val="20"/>
          <w:szCs w:val="20"/>
          <w:lang w:eastAsia="es-ES" w:bidi="en-US"/>
        </w:rPr>
      </w:pPr>
      <w:r w:rsidRPr="0064597D">
        <w:rPr>
          <w:rFonts w:eastAsia="MS Mincho" w:cs="Verdana"/>
          <w:snapToGrid w:val="0"/>
          <w:sz w:val="20"/>
          <w:szCs w:val="20"/>
          <w:lang w:eastAsia="es-ES" w:bidi="en-US"/>
        </w:rPr>
        <w:t xml:space="preserve">Mediante nota de Secretaría de la Corte de </w:t>
      </w:r>
      <w:r w:rsidR="00D83972" w:rsidRPr="0064597D">
        <w:rPr>
          <w:rFonts w:eastAsia="MS Mincho" w:cs="Verdana"/>
          <w:snapToGrid w:val="0"/>
          <w:sz w:val="20"/>
          <w:szCs w:val="20"/>
          <w:lang w:eastAsia="es-ES" w:bidi="en-US"/>
        </w:rPr>
        <w:t>17</w:t>
      </w:r>
      <w:r w:rsidRPr="0064597D">
        <w:rPr>
          <w:rFonts w:eastAsia="MS Mincho" w:cs="Verdana"/>
          <w:snapToGrid w:val="0"/>
          <w:sz w:val="20"/>
          <w:szCs w:val="20"/>
          <w:lang w:eastAsia="es-ES" w:bidi="en-US"/>
        </w:rPr>
        <w:t xml:space="preserve"> de julio de 2019, se remitió un informe al Estado sobre las erogaciones efectuadas en aplicación del Fondo de Asistencia Legal de Víctimas</w:t>
      </w:r>
      <w:r w:rsidR="0078088A" w:rsidRPr="0064597D">
        <w:rPr>
          <w:rFonts w:eastAsia="MS Mincho" w:cs="Verdana"/>
          <w:snapToGrid w:val="0"/>
          <w:sz w:val="20"/>
          <w:szCs w:val="20"/>
          <w:lang w:eastAsia="es-ES" w:bidi="en-US"/>
        </w:rPr>
        <w:t xml:space="preserve"> </w:t>
      </w:r>
      <w:r w:rsidRPr="0064597D">
        <w:rPr>
          <w:rFonts w:eastAsia="MS Mincho" w:cs="Verdana"/>
          <w:snapToGrid w:val="0"/>
          <w:sz w:val="20"/>
          <w:szCs w:val="20"/>
          <w:lang w:eastAsia="es-ES" w:bidi="en-US"/>
        </w:rPr>
        <w:t>en el presente caso, las cuales ascendieron</w:t>
      </w:r>
      <w:r w:rsidR="0078088A" w:rsidRPr="0064597D">
        <w:rPr>
          <w:rFonts w:eastAsia="MS Mincho" w:cs="Verdana"/>
          <w:snapToGrid w:val="0"/>
          <w:sz w:val="20"/>
          <w:szCs w:val="20"/>
          <w:lang w:eastAsia="es-ES" w:bidi="en-US"/>
        </w:rPr>
        <w:t xml:space="preserve"> </w:t>
      </w:r>
      <w:r w:rsidRPr="0064597D">
        <w:rPr>
          <w:rFonts w:eastAsia="MS Mincho" w:cs="Verdana"/>
          <w:snapToGrid w:val="0"/>
          <w:sz w:val="20"/>
          <w:szCs w:val="20"/>
          <w:lang w:eastAsia="es-ES" w:bidi="en-US"/>
        </w:rPr>
        <w:t>a la suma de USD $</w:t>
      </w:r>
      <w:r w:rsidR="00D83972" w:rsidRPr="0064597D">
        <w:rPr>
          <w:rFonts w:eastAsia="MS Mincho" w:cs="Verdana"/>
          <w:snapToGrid w:val="0"/>
          <w:sz w:val="20"/>
          <w:szCs w:val="20"/>
          <w:lang w:eastAsia="es-ES" w:bidi="en-US"/>
        </w:rPr>
        <w:t>1,943.20</w:t>
      </w:r>
      <w:r w:rsidRPr="0064597D">
        <w:rPr>
          <w:rFonts w:eastAsia="MS Mincho" w:cs="Verdana"/>
          <w:snapToGrid w:val="0"/>
          <w:sz w:val="20"/>
          <w:szCs w:val="20"/>
          <w:lang w:eastAsia="es-ES" w:bidi="en-US"/>
        </w:rPr>
        <w:t xml:space="preserve"> (</w:t>
      </w:r>
      <w:r w:rsidR="00D83972" w:rsidRPr="0064597D">
        <w:rPr>
          <w:rFonts w:eastAsia="MS Mincho" w:cs="Verdana"/>
          <w:snapToGrid w:val="0"/>
          <w:sz w:val="20"/>
          <w:szCs w:val="20"/>
          <w:lang w:eastAsia="es-ES" w:bidi="en-US"/>
        </w:rPr>
        <w:t xml:space="preserve">mil novecientos cuarenta y tres con 2/10 </w:t>
      </w:r>
      <w:r w:rsidRPr="0064597D">
        <w:rPr>
          <w:rFonts w:eastAsia="MS Mincho" w:cs="Verdana"/>
          <w:snapToGrid w:val="0"/>
          <w:sz w:val="20"/>
          <w:szCs w:val="20"/>
          <w:lang w:eastAsia="es-ES" w:bidi="en-US"/>
        </w:rPr>
        <w:t>dólares de los Estados Unidos de América) y, según lo dispuesto en el artículo 5 del Reglamento de la Corte sobre el Funcionamiento del referido Fondo, se otorgó un plazo para que Guatemala presentara las observaciones que estimara pertinentes.</w:t>
      </w:r>
      <w:r w:rsidR="0078088A" w:rsidRPr="0064597D">
        <w:rPr>
          <w:rFonts w:eastAsia="MS Mincho" w:cs="Verdana"/>
          <w:snapToGrid w:val="0"/>
          <w:sz w:val="20"/>
          <w:szCs w:val="20"/>
          <w:lang w:eastAsia="es-ES" w:bidi="en-US"/>
        </w:rPr>
        <w:t xml:space="preserve"> </w:t>
      </w:r>
      <w:r w:rsidRPr="0064597D">
        <w:rPr>
          <w:rFonts w:eastAsia="MS Mincho" w:cs="Verdana"/>
          <w:snapToGrid w:val="0"/>
          <w:sz w:val="20"/>
          <w:szCs w:val="20"/>
          <w:lang w:eastAsia="es-ES" w:bidi="en-US"/>
        </w:rPr>
        <w:t xml:space="preserve">El Estado presentó sus observaciones el </w:t>
      </w:r>
      <w:r w:rsidR="00B14C3E" w:rsidRPr="0064597D">
        <w:rPr>
          <w:rFonts w:eastAsia="MS Mincho" w:cs="Verdana"/>
          <w:snapToGrid w:val="0"/>
          <w:sz w:val="20"/>
          <w:szCs w:val="20"/>
          <w:lang w:eastAsia="es-ES" w:bidi="en-US"/>
        </w:rPr>
        <w:t>14</w:t>
      </w:r>
      <w:r w:rsidRPr="0064597D">
        <w:rPr>
          <w:rFonts w:eastAsia="MS Mincho" w:cs="Verdana"/>
          <w:snapToGrid w:val="0"/>
          <w:sz w:val="20"/>
          <w:szCs w:val="20"/>
          <w:lang w:eastAsia="es-ES" w:bidi="en-US"/>
        </w:rPr>
        <w:t xml:space="preserve"> de </w:t>
      </w:r>
      <w:r w:rsidR="00B14C3E" w:rsidRPr="0064597D">
        <w:rPr>
          <w:rFonts w:eastAsia="MS Mincho" w:cs="Verdana"/>
          <w:snapToGrid w:val="0"/>
          <w:sz w:val="20"/>
          <w:szCs w:val="20"/>
          <w:lang w:eastAsia="es-ES" w:bidi="en-US"/>
        </w:rPr>
        <w:t>julio</w:t>
      </w:r>
      <w:r w:rsidR="0078088A" w:rsidRPr="0064597D">
        <w:rPr>
          <w:rFonts w:eastAsia="MS Mincho" w:cs="Verdana"/>
          <w:snapToGrid w:val="0"/>
          <w:sz w:val="20"/>
          <w:szCs w:val="20"/>
          <w:lang w:eastAsia="es-ES" w:bidi="en-US"/>
        </w:rPr>
        <w:t xml:space="preserve"> </w:t>
      </w:r>
      <w:r w:rsidRPr="0064597D">
        <w:rPr>
          <w:rFonts w:eastAsia="MS Mincho" w:cs="Verdana"/>
          <w:snapToGrid w:val="0"/>
          <w:sz w:val="20"/>
          <w:szCs w:val="20"/>
          <w:lang w:eastAsia="es-ES" w:bidi="en-US"/>
        </w:rPr>
        <w:t xml:space="preserve">de 2019, en las cuales </w:t>
      </w:r>
      <w:r w:rsidR="00CC2A46" w:rsidRPr="0064597D">
        <w:rPr>
          <w:rFonts w:eastAsia="MS Mincho" w:cs="Verdana"/>
          <w:snapToGrid w:val="0"/>
          <w:sz w:val="20"/>
          <w:szCs w:val="20"/>
          <w:lang w:eastAsia="es-ES" w:bidi="en-US"/>
        </w:rPr>
        <w:t>reiteró lo expuesto en su escrito de contestación de demanda y consideró que</w:t>
      </w:r>
      <w:r w:rsidR="002B2691" w:rsidRPr="0064597D">
        <w:rPr>
          <w:rFonts w:eastAsia="MS Mincho" w:cs="Verdana"/>
          <w:snapToGrid w:val="0"/>
          <w:sz w:val="20"/>
          <w:szCs w:val="20"/>
          <w:lang w:eastAsia="es-ES" w:bidi="en-US"/>
        </w:rPr>
        <w:t>:</w:t>
      </w:r>
      <w:r w:rsidR="00CC2A46" w:rsidRPr="0064597D">
        <w:rPr>
          <w:rFonts w:eastAsia="MS Mincho" w:cs="Verdana"/>
          <w:snapToGrid w:val="0"/>
          <w:sz w:val="20"/>
          <w:szCs w:val="20"/>
          <w:lang w:eastAsia="es-ES" w:bidi="en-US"/>
        </w:rPr>
        <w:t xml:space="preserve"> (i) el monto a pagar no lo cubre la Corte, sin</w:t>
      </w:r>
      <w:r w:rsidR="004C0FB0" w:rsidRPr="0064597D">
        <w:rPr>
          <w:rFonts w:eastAsia="MS Mincho" w:cs="Verdana"/>
          <w:snapToGrid w:val="0"/>
          <w:sz w:val="20"/>
          <w:szCs w:val="20"/>
          <w:lang w:eastAsia="es-ES" w:bidi="en-US"/>
        </w:rPr>
        <w:t>o</w:t>
      </w:r>
      <w:r w:rsidR="00CC2A46" w:rsidRPr="0064597D">
        <w:rPr>
          <w:rFonts w:eastAsia="MS Mincho" w:cs="Verdana"/>
          <w:snapToGrid w:val="0"/>
          <w:sz w:val="20"/>
          <w:szCs w:val="20"/>
          <w:lang w:eastAsia="es-ES" w:bidi="en-US"/>
        </w:rPr>
        <w:t xml:space="preserve"> que dicha responsabilidad se delega en el Estado; (ii) tanto la Comisión como los representantes de las supuestas víctimas identificaron únicamente a la hermana del señor Ruiz Fuentes; (iii) el objeto de la declaración de las personas ofrecidas por el ICCPG fue en el mismo sentido y, por consiguiente, no aportaron información fáctica que permitiera a los señores jueces esclarecer los verdaderos hechos del caso, motivo por el cual se violentó el principio de economía procesal alegado oportunamente por el Estado; (iv) el Estado considera que las principales víctimas del caso fueron los familiares del menor</w:t>
      </w:r>
      <w:r w:rsidR="00656467" w:rsidRPr="0064597D">
        <w:rPr>
          <w:rFonts w:eastAsia="MS Mincho" w:cs="Verdana"/>
          <w:snapToGrid w:val="0"/>
          <w:sz w:val="20"/>
          <w:szCs w:val="20"/>
          <w:lang w:eastAsia="es-ES" w:bidi="en-US"/>
        </w:rPr>
        <w:t xml:space="preserve"> P.A.L.W.</w:t>
      </w:r>
      <w:r w:rsidR="00CC2A46" w:rsidRPr="0064597D">
        <w:rPr>
          <w:rFonts w:eastAsia="MS Mincho" w:cs="Verdana"/>
          <w:snapToGrid w:val="0"/>
          <w:sz w:val="20"/>
          <w:szCs w:val="20"/>
          <w:lang w:eastAsia="es-ES" w:bidi="en-US"/>
        </w:rPr>
        <w:t xml:space="preserve">; (v) las supuestas víctimas, sus representantes y la Comisión Interamericana fundamentaron el caso </w:t>
      </w:r>
      <w:r w:rsidR="004C0FB0" w:rsidRPr="0064597D">
        <w:rPr>
          <w:rFonts w:eastAsia="MS Mincho" w:cs="Verdana"/>
          <w:snapToGrid w:val="0"/>
          <w:sz w:val="20"/>
          <w:szCs w:val="20"/>
          <w:lang w:eastAsia="es-ES" w:bidi="en-US"/>
        </w:rPr>
        <w:lastRenderedPageBreak/>
        <w:t>en</w:t>
      </w:r>
      <w:r w:rsidR="00CC2A46" w:rsidRPr="0064597D">
        <w:rPr>
          <w:rFonts w:eastAsia="MS Mincho" w:cs="Verdana"/>
          <w:snapToGrid w:val="0"/>
          <w:sz w:val="20"/>
          <w:szCs w:val="20"/>
          <w:lang w:eastAsia="es-ES" w:bidi="en-US"/>
        </w:rPr>
        <w:t xml:space="preserve"> hechos falsos, lo cual quedó evidenciado y probado por el Estado en el momento oportuno; (vi) </w:t>
      </w:r>
      <w:r w:rsidR="002B2691" w:rsidRPr="0064597D">
        <w:rPr>
          <w:rFonts w:eastAsia="MS Mincho" w:cs="Verdana"/>
          <w:snapToGrid w:val="0"/>
          <w:sz w:val="20"/>
          <w:szCs w:val="20"/>
          <w:lang w:eastAsia="es-ES" w:bidi="en-US"/>
        </w:rPr>
        <w:t xml:space="preserve">y </w:t>
      </w:r>
      <w:r w:rsidR="00CC2A46" w:rsidRPr="0064597D">
        <w:rPr>
          <w:rFonts w:eastAsia="MS Mincho" w:cs="Verdana"/>
          <w:snapToGrid w:val="0"/>
          <w:sz w:val="20"/>
          <w:szCs w:val="20"/>
          <w:lang w:eastAsia="es-ES" w:bidi="en-US"/>
        </w:rPr>
        <w:t xml:space="preserve">el Estado cumplió con su deber de investigar, juzgar y sancionar a los responsables de los hechos ocurridos en perjuicio del menor </w:t>
      </w:r>
      <w:r w:rsidR="00656467" w:rsidRPr="0064597D">
        <w:rPr>
          <w:rFonts w:eastAsia="MS Mincho" w:cs="Verdana"/>
          <w:snapToGrid w:val="0"/>
          <w:sz w:val="20"/>
          <w:szCs w:val="20"/>
          <w:lang w:eastAsia="es-ES" w:bidi="en-US"/>
        </w:rPr>
        <w:t>P.A.L.W.</w:t>
      </w:r>
      <w:r w:rsidR="00EC436E" w:rsidRPr="0064597D">
        <w:rPr>
          <w:rFonts w:eastAsia="MS Mincho" w:cs="Verdana"/>
          <w:snapToGrid w:val="0"/>
          <w:sz w:val="20"/>
          <w:szCs w:val="20"/>
          <w:lang w:eastAsia="es-ES" w:bidi="en-US"/>
        </w:rPr>
        <w:t xml:space="preserve"> </w:t>
      </w:r>
      <w:r w:rsidR="00CC2A46" w:rsidRPr="0064597D">
        <w:rPr>
          <w:rFonts w:eastAsia="MS Mincho" w:cs="Verdana"/>
          <w:snapToGrid w:val="0"/>
          <w:sz w:val="20"/>
          <w:szCs w:val="20"/>
          <w:lang w:eastAsia="es-ES" w:bidi="en-US"/>
        </w:rPr>
        <w:t>y sus familiares, quienes fueron víctimas de un grupo de secuestradores, situación por la cual la Corte debe declarar que el Estado carece de responsabilidad internacional en el presente caso.</w:t>
      </w:r>
      <w:r w:rsidR="0078088A" w:rsidRPr="0064597D">
        <w:rPr>
          <w:rFonts w:eastAsia="MS Mincho" w:cs="Verdana"/>
          <w:snapToGrid w:val="0"/>
          <w:sz w:val="20"/>
          <w:szCs w:val="20"/>
          <w:lang w:eastAsia="es-ES" w:bidi="en-US"/>
        </w:rPr>
        <w:t xml:space="preserve"> </w:t>
      </w:r>
    </w:p>
    <w:p w14:paraId="75AA0F73" w14:textId="77777777" w:rsidR="0078088A" w:rsidRPr="0064597D" w:rsidRDefault="0078088A" w:rsidP="0078088A">
      <w:pPr>
        <w:tabs>
          <w:tab w:val="left" w:pos="567"/>
        </w:tabs>
        <w:spacing w:line="240" w:lineRule="auto"/>
        <w:rPr>
          <w:rFonts w:eastAsia="MS Mincho" w:cs="Verdana"/>
          <w:snapToGrid w:val="0"/>
          <w:sz w:val="20"/>
          <w:szCs w:val="20"/>
          <w:lang w:eastAsia="es-ES" w:bidi="en-US"/>
        </w:rPr>
      </w:pPr>
    </w:p>
    <w:p w14:paraId="17181C20" w14:textId="230B5130" w:rsidR="00413443" w:rsidRPr="0064597D" w:rsidRDefault="00913083" w:rsidP="00913083">
      <w:pPr>
        <w:numPr>
          <w:ilvl w:val="0"/>
          <w:numId w:val="1"/>
        </w:numPr>
        <w:tabs>
          <w:tab w:val="left" w:pos="567"/>
          <w:tab w:val="num" w:pos="5057"/>
        </w:tabs>
        <w:spacing w:line="240" w:lineRule="auto"/>
        <w:ind w:left="0" w:firstLine="0"/>
        <w:rPr>
          <w:rFonts w:eastAsia="MS Mincho" w:cs="Verdana"/>
          <w:snapToGrid w:val="0"/>
          <w:sz w:val="20"/>
          <w:szCs w:val="20"/>
          <w:lang w:eastAsia="es-ES" w:bidi="en-US"/>
        </w:rPr>
      </w:pPr>
      <w:r w:rsidRPr="0064597D">
        <w:rPr>
          <w:rFonts w:eastAsia="MS Mincho" w:cs="Verdana"/>
          <w:snapToGrid w:val="0"/>
          <w:sz w:val="20"/>
          <w:szCs w:val="20"/>
          <w:lang w:eastAsia="es-ES" w:bidi="en-US"/>
        </w:rPr>
        <w:t>A la luz del artículo 5 del Reglamento del Fondo, en razón de las violaciones declaradas en la presente Sentencia y que se cumplió con los requisitos para acogerse al Fondo, la Corte ordena al Estado el reintegro a dicho Fondo de la cantidad de</w:t>
      </w:r>
      <w:r w:rsidR="00D83972" w:rsidRPr="0064597D">
        <w:rPr>
          <w:rFonts w:eastAsia="MS Mincho" w:cs="Verdana"/>
          <w:snapToGrid w:val="0"/>
          <w:sz w:val="20"/>
          <w:szCs w:val="20"/>
          <w:lang w:eastAsia="es-ES" w:bidi="en-US"/>
        </w:rPr>
        <w:t xml:space="preserve"> USD</w:t>
      </w:r>
      <w:r w:rsidRPr="0064597D">
        <w:rPr>
          <w:rFonts w:eastAsia="MS Mincho" w:cs="Verdana"/>
          <w:snapToGrid w:val="0"/>
          <w:sz w:val="20"/>
          <w:szCs w:val="20"/>
          <w:lang w:eastAsia="es-ES" w:bidi="en-US"/>
        </w:rPr>
        <w:t xml:space="preserve"> </w:t>
      </w:r>
      <w:r w:rsidR="00D83972" w:rsidRPr="0064597D">
        <w:rPr>
          <w:rFonts w:eastAsia="MS Mincho" w:cs="Verdana"/>
          <w:snapToGrid w:val="0"/>
          <w:sz w:val="20"/>
          <w:szCs w:val="20"/>
          <w:lang w:eastAsia="es-ES" w:bidi="en-US"/>
        </w:rPr>
        <w:t>$1,943.20 (mil novecientos cuarenta y tres con 2/10 dólares de los Estados Unidos de América)</w:t>
      </w:r>
      <w:r w:rsidRPr="0064597D">
        <w:rPr>
          <w:rFonts w:eastAsia="MS Mincho" w:cs="Verdana"/>
          <w:snapToGrid w:val="0"/>
          <w:sz w:val="20"/>
          <w:szCs w:val="20"/>
          <w:lang w:eastAsia="es-ES" w:bidi="en-US"/>
        </w:rPr>
        <w:t xml:space="preserve"> por concepto de los gastos necesarios realizados. Dicha cantidad deberá ser reintegrada en el plazo de</w:t>
      </w:r>
      <w:r w:rsidR="0078088A" w:rsidRPr="0064597D">
        <w:rPr>
          <w:rFonts w:eastAsia="MS Mincho" w:cs="Verdana"/>
          <w:snapToGrid w:val="0"/>
          <w:sz w:val="20"/>
          <w:szCs w:val="20"/>
          <w:lang w:eastAsia="es-ES" w:bidi="en-US"/>
        </w:rPr>
        <w:t xml:space="preserve"> </w:t>
      </w:r>
      <w:r w:rsidRPr="0064597D">
        <w:rPr>
          <w:rFonts w:eastAsia="MS Mincho" w:cs="Verdana"/>
          <w:snapToGrid w:val="0"/>
          <w:sz w:val="20"/>
          <w:szCs w:val="20"/>
          <w:lang w:eastAsia="es-ES" w:bidi="en-US"/>
        </w:rPr>
        <w:t>seis meses, contados a partir de la notificación del presente Fallo</w:t>
      </w:r>
      <w:r w:rsidR="00B14C3E" w:rsidRPr="0064597D">
        <w:rPr>
          <w:rFonts w:eastAsia="MS Mincho" w:cs="Verdana"/>
          <w:snapToGrid w:val="0"/>
          <w:sz w:val="20"/>
          <w:szCs w:val="20"/>
          <w:lang w:eastAsia="es-ES" w:bidi="en-US"/>
        </w:rPr>
        <w:t>.</w:t>
      </w:r>
    </w:p>
    <w:p w14:paraId="59E4C6DB" w14:textId="65A313A7" w:rsidR="00755998" w:rsidRPr="0064597D" w:rsidRDefault="00755998" w:rsidP="00755998">
      <w:pPr>
        <w:pStyle w:val="Ttulo2"/>
      </w:pPr>
      <w:bookmarkStart w:id="144" w:name="_Toc24014585"/>
      <w:bookmarkStart w:id="145" w:name="_Toc514172674"/>
      <w:bookmarkStart w:id="146" w:name="_Toc476390748"/>
      <w:bookmarkStart w:id="147" w:name="_Toc495658706"/>
      <w:bookmarkStart w:id="148" w:name="_Toc15933783"/>
      <w:r w:rsidRPr="0064597D">
        <w:t>H.</w:t>
      </w:r>
      <w:r w:rsidRPr="0064597D">
        <w:tab/>
        <w:t>Modalidad de cumplimiento de los pagos ordenados</w:t>
      </w:r>
      <w:bookmarkEnd w:id="144"/>
    </w:p>
    <w:bookmarkEnd w:id="145"/>
    <w:bookmarkEnd w:id="146"/>
    <w:bookmarkEnd w:id="147"/>
    <w:bookmarkEnd w:id="148"/>
    <w:p w14:paraId="7C0C6EB9" w14:textId="586E84C4"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z w:val="20"/>
          <w:szCs w:val="20"/>
          <w:lang w:bidi="en-US"/>
        </w:rPr>
        <w:t xml:space="preserve">El </w:t>
      </w:r>
      <w:r w:rsidRPr="0064597D">
        <w:rPr>
          <w:rFonts w:eastAsia="MS Mincho" w:cs="Verdana"/>
          <w:snapToGrid w:val="0"/>
          <w:sz w:val="20"/>
          <w:szCs w:val="20"/>
          <w:lang w:eastAsia="es-ES" w:bidi="en-US"/>
        </w:rPr>
        <w:t>Estado</w:t>
      </w:r>
      <w:r w:rsidRPr="0064597D">
        <w:rPr>
          <w:rFonts w:eastAsia="MS Mincho"/>
          <w:sz w:val="20"/>
          <w:szCs w:val="20"/>
          <w:lang w:bidi="en-US"/>
        </w:rPr>
        <w:t xml:space="preserve"> deberá efectuar el pago de las indemnizaciones por concepto de daño material e </w:t>
      </w:r>
      <w:r w:rsidRPr="0064597D">
        <w:rPr>
          <w:rFonts w:eastAsia="MS Mincho" w:cs="Verdana"/>
          <w:snapToGrid w:val="0"/>
          <w:sz w:val="20"/>
          <w:szCs w:val="20"/>
          <w:lang w:eastAsia="es-ES" w:bidi="en-US"/>
        </w:rPr>
        <w:t>inmaterial</w:t>
      </w:r>
      <w:r w:rsidRPr="0064597D">
        <w:rPr>
          <w:rFonts w:eastAsia="MS Mincho"/>
          <w:sz w:val="20"/>
          <w:szCs w:val="20"/>
          <w:lang w:bidi="en-US"/>
        </w:rPr>
        <w:t xml:space="preserve"> y el reintegro de costas y gastos establecidos en la presente Sentencia directamente a las personas y organizaciones indicadas en la misma</w:t>
      </w:r>
      <w:r w:rsidRPr="0064597D">
        <w:rPr>
          <w:rFonts w:eastAsia="MS Mincho"/>
          <w:sz w:val="20"/>
          <w:szCs w:val="20"/>
          <w:lang w:val="es-ES_tradnl" w:bidi="en-US"/>
        </w:rPr>
        <w:t xml:space="preserve">, </w:t>
      </w:r>
      <w:r w:rsidRPr="0064597D">
        <w:rPr>
          <w:rFonts w:eastAsia="MS Mincho"/>
          <w:sz w:val="20"/>
          <w:szCs w:val="20"/>
          <w:lang w:bidi="en-US"/>
        </w:rPr>
        <w:t xml:space="preserve">dentro del plazo de un año, contado a partir de la notificación del presente </w:t>
      </w:r>
      <w:r w:rsidR="00E068B2" w:rsidRPr="0064597D">
        <w:rPr>
          <w:rFonts w:eastAsia="MS Mincho"/>
          <w:sz w:val="20"/>
          <w:szCs w:val="20"/>
          <w:lang w:bidi="en-US"/>
        </w:rPr>
        <w:t>f</w:t>
      </w:r>
      <w:r w:rsidRPr="0064597D">
        <w:rPr>
          <w:rFonts w:eastAsia="MS Mincho"/>
          <w:sz w:val="20"/>
          <w:szCs w:val="20"/>
          <w:lang w:bidi="en-US"/>
        </w:rPr>
        <w:t>allo, en los términos de los siguientes párrafos.</w:t>
      </w:r>
    </w:p>
    <w:p w14:paraId="0400A24D" w14:textId="77777777" w:rsidR="00413443" w:rsidRPr="0064597D" w:rsidRDefault="00413443" w:rsidP="00413443">
      <w:pPr>
        <w:tabs>
          <w:tab w:val="left" w:pos="720"/>
        </w:tabs>
        <w:spacing w:line="240" w:lineRule="auto"/>
        <w:ind w:right="-90"/>
        <w:contextualSpacing/>
        <w:rPr>
          <w:rFonts w:eastAsia="MS Mincho"/>
          <w:sz w:val="20"/>
          <w:szCs w:val="20"/>
        </w:rPr>
      </w:pPr>
    </w:p>
    <w:p w14:paraId="275F1773" w14:textId="26BE6AB0"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z w:val="20"/>
          <w:szCs w:val="20"/>
          <w:lang w:bidi="en-US"/>
        </w:rPr>
        <w:t xml:space="preserve">En </w:t>
      </w:r>
      <w:r w:rsidRPr="0064597D">
        <w:rPr>
          <w:rFonts w:eastAsia="MS Mincho" w:cs="Verdana"/>
          <w:snapToGrid w:val="0"/>
          <w:sz w:val="20"/>
          <w:szCs w:val="20"/>
          <w:lang w:eastAsia="es-ES" w:bidi="en-US"/>
        </w:rPr>
        <w:t>caso</w:t>
      </w:r>
      <w:r w:rsidRPr="0064597D">
        <w:rPr>
          <w:rFonts w:eastAsia="MS Mincho"/>
          <w:sz w:val="20"/>
          <w:szCs w:val="20"/>
          <w:lang w:bidi="en-US"/>
        </w:rPr>
        <w:t xml:space="preserve"> de que </w:t>
      </w:r>
      <w:r w:rsidR="006F6E82" w:rsidRPr="0064597D">
        <w:rPr>
          <w:rFonts w:eastAsia="MS Mincho"/>
          <w:sz w:val="20"/>
          <w:szCs w:val="20"/>
          <w:lang w:bidi="en-US"/>
        </w:rPr>
        <w:t>los beneficiarios</w:t>
      </w:r>
      <w:r w:rsidRPr="0064597D">
        <w:rPr>
          <w:rFonts w:eastAsia="MS Mincho"/>
          <w:sz w:val="20"/>
          <w:szCs w:val="20"/>
          <w:lang w:bidi="en-US"/>
        </w:rPr>
        <w:t xml:space="preserve"> haya</w:t>
      </w:r>
      <w:r w:rsidR="00C718A9" w:rsidRPr="0064597D">
        <w:rPr>
          <w:rFonts w:eastAsia="MS Mincho"/>
          <w:sz w:val="20"/>
          <w:szCs w:val="20"/>
          <w:lang w:bidi="en-US"/>
        </w:rPr>
        <w:t>n</w:t>
      </w:r>
      <w:r w:rsidR="00E068B2" w:rsidRPr="0064597D">
        <w:rPr>
          <w:rFonts w:eastAsia="MS Mincho"/>
          <w:sz w:val="20"/>
          <w:szCs w:val="20"/>
          <w:lang w:bidi="en-US"/>
        </w:rPr>
        <w:t xml:space="preserve"> </w:t>
      </w:r>
      <w:r w:rsidRPr="0064597D">
        <w:rPr>
          <w:rFonts w:eastAsia="MS Mincho"/>
          <w:sz w:val="20"/>
          <w:szCs w:val="20"/>
          <w:lang w:bidi="en-US"/>
        </w:rPr>
        <w:t>fallecido o fallezca</w:t>
      </w:r>
      <w:r w:rsidR="00C718A9" w:rsidRPr="0064597D">
        <w:rPr>
          <w:rFonts w:eastAsia="MS Mincho"/>
          <w:sz w:val="20"/>
          <w:szCs w:val="20"/>
          <w:lang w:bidi="en-US"/>
        </w:rPr>
        <w:t>n</w:t>
      </w:r>
      <w:r w:rsidRPr="0064597D">
        <w:rPr>
          <w:rFonts w:eastAsia="MS Mincho"/>
          <w:sz w:val="20"/>
          <w:szCs w:val="20"/>
          <w:lang w:bidi="en-US"/>
        </w:rPr>
        <w:t xml:space="preserve"> antes de que les sea entregada la indemnización respectiva, ésta se efectuará directamente a sus derechohabientes, conforme al derecho interno aplicable.</w:t>
      </w:r>
    </w:p>
    <w:p w14:paraId="06136874" w14:textId="77777777" w:rsidR="00413443" w:rsidRPr="0064597D" w:rsidRDefault="00413443" w:rsidP="00413443">
      <w:pPr>
        <w:tabs>
          <w:tab w:val="left" w:pos="0"/>
          <w:tab w:val="num" w:pos="11028"/>
        </w:tabs>
        <w:spacing w:line="240" w:lineRule="auto"/>
        <w:ind w:right="-90"/>
        <w:rPr>
          <w:rFonts w:eastAsia="MS Mincho"/>
          <w:sz w:val="20"/>
          <w:szCs w:val="20"/>
          <w:lang w:bidi="en-US"/>
        </w:rPr>
      </w:pPr>
    </w:p>
    <w:p w14:paraId="319ADD2B" w14:textId="048C57BE"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z w:val="20"/>
          <w:szCs w:val="20"/>
          <w:lang w:bidi="en-US"/>
        </w:rPr>
        <w:t xml:space="preserve">En lo que respecta a la moneda de pago de las indemnizaciones y reintegro de costas y gastos, el Estado debe cumplir sus obligaciones monetarias mediante el pago en dólares de los Estados Unidos de América o, de no ser esto posible, en su equivalente en moneda </w:t>
      </w:r>
      <w:r w:rsidR="00E068B2" w:rsidRPr="0064597D">
        <w:rPr>
          <w:rFonts w:eastAsia="MS Mincho"/>
          <w:sz w:val="20"/>
          <w:szCs w:val="20"/>
          <w:lang w:bidi="en-US"/>
        </w:rPr>
        <w:t>guatemalteca</w:t>
      </w:r>
      <w:r w:rsidRPr="0064597D">
        <w:rPr>
          <w:rFonts w:eastAsia="MS Mincho"/>
          <w:sz w:val="20"/>
          <w:szCs w:val="20"/>
          <w:lang w:bidi="en-US"/>
        </w:rPr>
        <w:t xml:space="preserve">, utilizando para el cálculo respectivo la tasa más alta y más beneficiosa para las víctimas que permita su ordenamiento interno, vigente al momento del pago. Durante la etapa de supervisión de cumplimiento de la sentencia, la Corte podrá reajustar prudentemente el equivalente de estas cifras en moneda </w:t>
      </w:r>
      <w:r w:rsidR="00D72965" w:rsidRPr="0064597D">
        <w:rPr>
          <w:rFonts w:eastAsia="MS Mincho"/>
          <w:sz w:val="20"/>
          <w:szCs w:val="20"/>
          <w:lang w:bidi="en-US"/>
        </w:rPr>
        <w:t>guatemalteca</w:t>
      </w:r>
      <w:r w:rsidRPr="0064597D">
        <w:rPr>
          <w:rFonts w:eastAsia="MS Mincho"/>
          <w:sz w:val="20"/>
          <w:szCs w:val="20"/>
          <w:lang w:bidi="en-US"/>
        </w:rPr>
        <w:t>, con el objeto de evitar que las variaciones cambiarias afecten sustancialmente el valor adquisitivo de esos montos.</w:t>
      </w:r>
    </w:p>
    <w:p w14:paraId="1D2388D9" w14:textId="77777777" w:rsidR="00413443" w:rsidRPr="0064597D" w:rsidRDefault="00413443" w:rsidP="00413443">
      <w:pPr>
        <w:tabs>
          <w:tab w:val="left" w:pos="567"/>
        </w:tabs>
        <w:spacing w:line="240" w:lineRule="auto"/>
        <w:rPr>
          <w:rFonts w:eastAsia="MS Mincho"/>
          <w:sz w:val="20"/>
          <w:szCs w:val="20"/>
          <w:lang w:bidi="en-US"/>
        </w:rPr>
      </w:pPr>
    </w:p>
    <w:p w14:paraId="7745B895" w14:textId="371990DA"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z w:val="20"/>
          <w:szCs w:val="20"/>
          <w:lang w:bidi="en-US"/>
        </w:rPr>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w:t>
      </w:r>
      <w:r w:rsidR="00E068B2" w:rsidRPr="0064597D">
        <w:rPr>
          <w:rFonts w:eastAsia="MS Mincho"/>
          <w:sz w:val="20"/>
          <w:szCs w:val="20"/>
          <w:lang w:bidi="en-US"/>
        </w:rPr>
        <w:t>guatemalteca</w:t>
      </w:r>
      <w:r w:rsidRPr="0064597D">
        <w:rPr>
          <w:rFonts w:eastAsia="MS Mincho"/>
          <w:sz w:val="20"/>
          <w:szCs w:val="20"/>
          <w:lang w:bidi="en-US"/>
        </w:rPr>
        <w:t xml:space="preserve">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48C71E78" w14:textId="77777777" w:rsidR="00413443" w:rsidRPr="0064597D" w:rsidRDefault="00413443" w:rsidP="00413443">
      <w:pPr>
        <w:spacing w:line="240" w:lineRule="auto"/>
        <w:ind w:left="720"/>
        <w:rPr>
          <w:sz w:val="20"/>
          <w:szCs w:val="20"/>
          <w:lang w:eastAsia="x-none"/>
        </w:rPr>
      </w:pPr>
    </w:p>
    <w:p w14:paraId="19E8C2A1" w14:textId="33B22256"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z w:val="20"/>
          <w:szCs w:val="20"/>
          <w:lang w:bidi="en-US"/>
        </w:rPr>
        <w:t xml:space="preserve">Las cantidades asignadas en la presente Sentencia como indemnización y como reintegro de costas y gastos deberán ser entregadas a </w:t>
      </w:r>
      <w:r w:rsidR="00E068B2" w:rsidRPr="0064597D">
        <w:rPr>
          <w:rFonts w:eastAsia="MS Mincho"/>
          <w:sz w:val="20"/>
          <w:szCs w:val="20"/>
          <w:lang w:bidi="en-US"/>
        </w:rPr>
        <w:t>la persona</w:t>
      </w:r>
      <w:r w:rsidRPr="0064597D">
        <w:rPr>
          <w:rFonts w:eastAsia="MS Mincho"/>
          <w:sz w:val="20"/>
          <w:szCs w:val="20"/>
          <w:lang w:bidi="en-US"/>
        </w:rPr>
        <w:t xml:space="preserve"> y organizaciones indicadas en forma íntegra, conforme a lo establecido en esta Sentencia, sin reducciones derivadas de eventuales cargas fiscales.</w:t>
      </w:r>
    </w:p>
    <w:p w14:paraId="117F5695" w14:textId="77777777" w:rsidR="00413443" w:rsidRPr="0064597D" w:rsidRDefault="00413443" w:rsidP="00413443">
      <w:pPr>
        <w:spacing w:line="240" w:lineRule="auto"/>
        <w:ind w:left="720"/>
        <w:rPr>
          <w:sz w:val="20"/>
          <w:szCs w:val="20"/>
          <w:lang w:eastAsia="x-none"/>
        </w:rPr>
      </w:pPr>
    </w:p>
    <w:p w14:paraId="5D295F87" w14:textId="58B19570" w:rsidR="00413443" w:rsidRPr="0064597D" w:rsidRDefault="00413443" w:rsidP="00413443">
      <w:pPr>
        <w:numPr>
          <w:ilvl w:val="0"/>
          <w:numId w:val="1"/>
        </w:numPr>
        <w:tabs>
          <w:tab w:val="left" w:pos="567"/>
          <w:tab w:val="num" w:pos="5057"/>
        </w:tabs>
        <w:spacing w:line="240" w:lineRule="auto"/>
        <w:ind w:left="0" w:firstLine="0"/>
        <w:rPr>
          <w:rFonts w:eastAsia="MS Mincho"/>
          <w:sz w:val="20"/>
          <w:szCs w:val="20"/>
          <w:lang w:bidi="en-US"/>
        </w:rPr>
      </w:pPr>
      <w:r w:rsidRPr="0064597D">
        <w:rPr>
          <w:rFonts w:eastAsia="MS Mincho"/>
          <w:spacing w:val="-2"/>
          <w:sz w:val="20"/>
          <w:szCs w:val="20"/>
          <w:lang w:bidi="en-US"/>
        </w:rPr>
        <w:t>En caso de que el Estado incurriera en mora</w:t>
      </w:r>
      <w:r w:rsidRPr="0064597D">
        <w:rPr>
          <w:rFonts w:eastAsia="MS Mincho" w:cs="Verdana"/>
          <w:spacing w:val="-2"/>
          <w:sz w:val="20"/>
          <w:szCs w:val="20"/>
          <w:lang w:bidi="en-US"/>
        </w:rPr>
        <w:t xml:space="preserve">, incluyendo en el reintegro de los gastos al Fondo de </w:t>
      </w:r>
      <w:r w:rsidRPr="0064597D">
        <w:rPr>
          <w:rFonts w:eastAsia="MS Mincho"/>
          <w:sz w:val="20"/>
          <w:szCs w:val="20"/>
          <w:lang w:bidi="en-US"/>
        </w:rPr>
        <w:t>Asistencia</w:t>
      </w:r>
      <w:r w:rsidRPr="0064597D">
        <w:rPr>
          <w:rFonts w:eastAsia="MS Mincho" w:cs="Verdana"/>
          <w:spacing w:val="-2"/>
          <w:sz w:val="20"/>
          <w:szCs w:val="20"/>
          <w:lang w:bidi="en-US"/>
        </w:rPr>
        <w:t xml:space="preserve"> Legal de Víctimas de la Corte</w:t>
      </w:r>
      <w:r w:rsidRPr="0064597D">
        <w:rPr>
          <w:rFonts w:eastAsia="MS Mincho"/>
          <w:spacing w:val="-2"/>
          <w:sz w:val="20"/>
          <w:szCs w:val="20"/>
          <w:lang w:bidi="en-US"/>
        </w:rPr>
        <w:t xml:space="preserve">, deberá pagar un interés sobre la cantidad adeudada, correspondiente al interés bancario moratorio en la República </w:t>
      </w:r>
      <w:r w:rsidR="00E068B2" w:rsidRPr="0064597D">
        <w:rPr>
          <w:rFonts w:eastAsia="MS Mincho"/>
          <w:spacing w:val="-2"/>
          <w:sz w:val="20"/>
          <w:szCs w:val="20"/>
          <w:lang w:bidi="en-US"/>
        </w:rPr>
        <w:t>de Guatemala</w:t>
      </w:r>
      <w:r w:rsidRPr="0064597D">
        <w:rPr>
          <w:rFonts w:eastAsia="MS Mincho"/>
          <w:spacing w:val="-2"/>
          <w:sz w:val="20"/>
          <w:szCs w:val="20"/>
          <w:lang w:bidi="en-US"/>
        </w:rPr>
        <w:t>.</w:t>
      </w:r>
    </w:p>
    <w:p w14:paraId="746FC0BD" w14:textId="77777777" w:rsidR="00413443" w:rsidRPr="0064597D" w:rsidRDefault="00413443" w:rsidP="00E068B2">
      <w:pPr>
        <w:pStyle w:val="Ttulo1"/>
      </w:pPr>
      <w:bookmarkStart w:id="149" w:name="_Toc495658707"/>
      <w:bookmarkStart w:id="150" w:name="_Toc470180115"/>
      <w:bookmarkStart w:id="151" w:name="_Toc459158160"/>
      <w:bookmarkStart w:id="152" w:name="_Toc375517156"/>
      <w:bookmarkStart w:id="153" w:name="_Toc514172675"/>
      <w:bookmarkStart w:id="154" w:name="_Toc15933784"/>
      <w:bookmarkStart w:id="155" w:name="_Toc24014586"/>
      <w:r w:rsidRPr="0064597D">
        <w:t>X</w:t>
      </w:r>
      <w:r w:rsidRPr="0064597D">
        <w:br/>
        <w:t>PUNTOS RESOLUTIVOS</w:t>
      </w:r>
      <w:bookmarkEnd w:id="149"/>
      <w:bookmarkEnd w:id="150"/>
      <w:bookmarkEnd w:id="151"/>
      <w:bookmarkEnd w:id="152"/>
      <w:bookmarkEnd w:id="153"/>
      <w:bookmarkEnd w:id="154"/>
      <w:bookmarkEnd w:id="155"/>
    </w:p>
    <w:p w14:paraId="2FE7F4C7" w14:textId="4AA2A72F" w:rsidR="00703F3B" w:rsidRPr="0064597D" w:rsidRDefault="00DE123F" w:rsidP="00703F3B">
      <w:pPr>
        <w:tabs>
          <w:tab w:val="left" w:pos="720"/>
        </w:tabs>
        <w:spacing w:before="360" w:after="360" w:line="20" w:lineRule="atLeast"/>
        <w:ind w:right="-86"/>
        <w:contextualSpacing/>
        <w:rPr>
          <w:rFonts w:eastAsia="MS Mincho"/>
          <w:b/>
          <w:bCs/>
          <w:sz w:val="20"/>
          <w:szCs w:val="20"/>
          <w:lang w:bidi="en-US"/>
        </w:rPr>
      </w:pPr>
      <w:r w:rsidRPr="0064597D">
        <w:rPr>
          <w:rFonts w:eastAsia="MS Mincho"/>
          <w:b/>
          <w:bCs/>
          <w:sz w:val="20"/>
          <w:szCs w:val="20"/>
          <w:lang w:bidi="en-US"/>
        </w:rPr>
        <w:t>LA CORTE</w:t>
      </w:r>
    </w:p>
    <w:p w14:paraId="6FB33FC7" w14:textId="77777777" w:rsidR="00DE123F" w:rsidRPr="0064597D" w:rsidRDefault="00DE123F" w:rsidP="00703F3B">
      <w:pPr>
        <w:tabs>
          <w:tab w:val="left" w:pos="720"/>
        </w:tabs>
        <w:spacing w:before="360" w:after="360" w:line="20" w:lineRule="atLeast"/>
        <w:ind w:right="-86"/>
        <w:contextualSpacing/>
        <w:rPr>
          <w:rFonts w:eastAsia="MS Mincho"/>
          <w:b/>
          <w:bCs/>
          <w:sz w:val="20"/>
          <w:szCs w:val="20"/>
          <w:lang w:bidi="en-US"/>
        </w:rPr>
      </w:pPr>
    </w:p>
    <w:p w14:paraId="42BD1C06" w14:textId="77777777" w:rsidR="00DE123F" w:rsidRPr="0064597D" w:rsidRDefault="00DE123F" w:rsidP="00DE123F">
      <w:pPr>
        <w:tabs>
          <w:tab w:val="left" w:pos="720"/>
        </w:tabs>
        <w:spacing w:before="360" w:after="360" w:line="20" w:lineRule="atLeast"/>
        <w:ind w:right="-86"/>
        <w:contextualSpacing/>
        <w:rPr>
          <w:rFonts w:eastAsia="MS Mincho"/>
          <w:b/>
          <w:bCs/>
          <w:sz w:val="20"/>
          <w:szCs w:val="20"/>
          <w:lang w:bidi="en-US"/>
        </w:rPr>
      </w:pPr>
      <w:r w:rsidRPr="0064597D">
        <w:rPr>
          <w:rFonts w:eastAsia="MS Mincho"/>
          <w:b/>
          <w:bCs/>
          <w:sz w:val="20"/>
          <w:szCs w:val="20"/>
          <w:lang w:bidi="en-US"/>
        </w:rPr>
        <w:t xml:space="preserve">DECIDE, </w:t>
      </w:r>
    </w:p>
    <w:p w14:paraId="6BE8DB02" w14:textId="77777777" w:rsidR="00DE123F" w:rsidRPr="0064597D" w:rsidRDefault="00DE123F" w:rsidP="00DE123F">
      <w:pPr>
        <w:tabs>
          <w:tab w:val="left" w:pos="720"/>
        </w:tabs>
        <w:spacing w:before="360" w:after="360" w:line="20" w:lineRule="atLeast"/>
        <w:ind w:right="-86"/>
        <w:contextualSpacing/>
        <w:rPr>
          <w:rFonts w:eastAsia="MS Mincho"/>
          <w:b/>
          <w:bCs/>
          <w:sz w:val="20"/>
          <w:szCs w:val="20"/>
          <w:lang w:bidi="en-US"/>
        </w:rPr>
      </w:pPr>
    </w:p>
    <w:p w14:paraId="5F26CAD8" w14:textId="77777777" w:rsidR="00DE123F" w:rsidRPr="0064597D" w:rsidRDefault="00DE123F" w:rsidP="00DE123F">
      <w:pPr>
        <w:tabs>
          <w:tab w:val="left" w:pos="720"/>
        </w:tabs>
        <w:spacing w:before="360" w:after="360" w:line="20" w:lineRule="atLeast"/>
        <w:ind w:right="-86"/>
        <w:contextualSpacing/>
        <w:rPr>
          <w:rFonts w:eastAsia="MS Mincho"/>
          <w:bCs/>
          <w:sz w:val="20"/>
          <w:szCs w:val="20"/>
          <w:lang w:bidi="en-US"/>
        </w:rPr>
      </w:pPr>
      <w:r w:rsidRPr="0064597D">
        <w:rPr>
          <w:rFonts w:eastAsia="MS Mincho"/>
          <w:bCs/>
          <w:sz w:val="20"/>
          <w:szCs w:val="20"/>
          <w:lang w:bidi="en-US"/>
        </w:rPr>
        <w:t>Por unanimidad,</w:t>
      </w:r>
    </w:p>
    <w:p w14:paraId="6E40A8B1" w14:textId="77777777" w:rsidR="00DE123F" w:rsidRPr="0064597D" w:rsidRDefault="00DE123F" w:rsidP="00DE123F">
      <w:pPr>
        <w:tabs>
          <w:tab w:val="left" w:pos="720"/>
        </w:tabs>
        <w:spacing w:before="360" w:after="360" w:line="20" w:lineRule="atLeast"/>
        <w:ind w:right="-86"/>
        <w:contextualSpacing/>
        <w:rPr>
          <w:rFonts w:eastAsia="MS Mincho"/>
          <w:b/>
          <w:bCs/>
          <w:sz w:val="20"/>
          <w:szCs w:val="20"/>
          <w:lang w:bidi="en-US"/>
        </w:rPr>
      </w:pPr>
    </w:p>
    <w:p w14:paraId="4194818A" w14:textId="69700392" w:rsidR="00DE123F" w:rsidRPr="0064597D" w:rsidRDefault="00DE123F" w:rsidP="00DE123F">
      <w:pPr>
        <w:numPr>
          <w:ilvl w:val="0"/>
          <w:numId w:val="7"/>
        </w:numPr>
        <w:tabs>
          <w:tab w:val="left" w:pos="720"/>
        </w:tabs>
        <w:spacing w:line="20" w:lineRule="atLeast"/>
        <w:ind w:right="-90"/>
        <w:contextualSpacing/>
        <w:rPr>
          <w:kern w:val="2"/>
          <w:sz w:val="20"/>
          <w:szCs w:val="20"/>
        </w:rPr>
      </w:pPr>
      <w:r w:rsidRPr="0064597D">
        <w:rPr>
          <w:kern w:val="2"/>
          <w:sz w:val="20"/>
          <w:szCs w:val="20"/>
        </w:rPr>
        <w:t xml:space="preserve">Desestimar la excepción preliminar interpuesta por el Estado, en los términos de los párrafos </w:t>
      </w:r>
      <w:r w:rsidR="002B2691" w:rsidRPr="0064597D">
        <w:rPr>
          <w:kern w:val="2"/>
          <w:sz w:val="20"/>
          <w:szCs w:val="20"/>
        </w:rPr>
        <w:t>18</w:t>
      </w:r>
      <w:r w:rsidRPr="0064597D">
        <w:rPr>
          <w:kern w:val="2"/>
          <w:sz w:val="20"/>
          <w:szCs w:val="20"/>
        </w:rPr>
        <w:t xml:space="preserve"> a </w:t>
      </w:r>
      <w:r w:rsidR="002B2691" w:rsidRPr="0064597D">
        <w:rPr>
          <w:kern w:val="2"/>
          <w:sz w:val="20"/>
          <w:szCs w:val="20"/>
        </w:rPr>
        <w:t>19</w:t>
      </w:r>
      <w:r w:rsidRPr="0064597D">
        <w:rPr>
          <w:kern w:val="2"/>
          <w:sz w:val="20"/>
          <w:szCs w:val="20"/>
        </w:rPr>
        <w:t xml:space="preserve"> de esta Sentencia.</w:t>
      </w:r>
    </w:p>
    <w:p w14:paraId="4E8FEE39" w14:textId="77777777" w:rsidR="00DE123F" w:rsidRPr="0064597D" w:rsidRDefault="00DE123F" w:rsidP="00703F3B">
      <w:pPr>
        <w:tabs>
          <w:tab w:val="left" w:pos="720"/>
        </w:tabs>
        <w:spacing w:before="360" w:after="360" w:line="20" w:lineRule="atLeast"/>
        <w:ind w:right="-86"/>
        <w:contextualSpacing/>
        <w:rPr>
          <w:rFonts w:eastAsia="MS Mincho"/>
          <w:b/>
          <w:bCs/>
          <w:sz w:val="20"/>
          <w:szCs w:val="20"/>
          <w:lang w:bidi="en-US"/>
        </w:rPr>
      </w:pPr>
    </w:p>
    <w:p w14:paraId="36DB9FD8" w14:textId="77777777" w:rsidR="00703F3B" w:rsidRPr="0064597D" w:rsidRDefault="00703F3B" w:rsidP="00703F3B">
      <w:pPr>
        <w:tabs>
          <w:tab w:val="left" w:pos="720"/>
        </w:tabs>
        <w:spacing w:before="360" w:after="360" w:line="20" w:lineRule="atLeast"/>
        <w:ind w:right="-86"/>
        <w:contextualSpacing/>
        <w:rPr>
          <w:rFonts w:eastAsia="MS Mincho"/>
          <w:b/>
          <w:bCs/>
          <w:sz w:val="20"/>
          <w:szCs w:val="20"/>
          <w:lang w:bidi="en-US"/>
        </w:rPr>
      </w:pPr>
      <w:r w:rsidRPr="0064597D">
        <w:rPr>
          <w:rFonts w:eastAsia="MS Mincho"/>
          <w:b/>
          <w:bCs/>
          <w:sz w:val="20"/>
          <w:szCs w:val="20"/>
          <w:lang w:bidi="en-US"/>
        </w:rPr>
        <w:t>DECLARA:</w:t>
      </w:r>
    </w:p>
    <w:p w14:paraId="228FF491" w14:textId="77777777" w:rsidR="00703F3B" w:rsidRPr="0064597D" w:rsidRDefault="00703F3B" w:rsidP="00703F3B">
      <w:pPr>
        <w:tabs>
          <w:tab w:val="left" w:pos="720"/>
        </w:tabs>
        <w:spacing w:line="20" w:lineRule="atLeast"/>
        <w:ind w:right="-90"/>
        <w:contextualSpacing/>
        <w:rPr>
          <w:rFonts w:eastAsia="MS Mincho"/>
          <w:sz w:val="20"/>
          <w:szCs w:val="20"/>
          <w:lang w:bidi="en-US"/>
        </w:rPr>
      </w:pPr>
    </w:p>
    <w:p w14:paraId="07A62304" w14:textId="08B56C82" w:rsidR="00703F3B" w:rsidRPr="0064597D" w:rsidRDefault="00703F3B" w:rsidP="00703F3B">
      <w:pPr>
        <w:tabs>
          <w:tab w:val="left" w:pos="720"/>
        </w:tabs>
        <w:spacing w:line="20" w:lineRule="atLeast"/>
        <w:ind w:right="-90"/>
        <w:contextualSpacing/>
        <w:rPr>
          <w:rFonts w:eastAsia="MS Mincho"/>
          <w:sz w:val="20"/>
          <w:szCs w:val="20"/>
          <w:lang w:bidi="en-US"/>
        </w:rPr>
      </w:pPr>
      <w:r w:rsidRPr="0064597D">
        <w:rPr>
          <w:rFonts w:eastAsia="MS Mincho"/>
          <w:sz w:val="20"/>
          <w:szCs w:val="20"/>
          <w:lang w:bidi="en-US"/>
        </w:rPr>
        <w:t xml:space="preserve">Por </w:t>
      </w:r>
      <w:r w:rsidR="007A21E6" w:rsidRPr="0064597D">
        <w:rPr>
          <w:rFonts w:eastAsia="MS Mincho"/>
          <w:sz w:val="20"/>
          <w:szCs w:val="20"/>
          <w:lang w:bidi="en-US"/>
        </w:rPr>
        <w:t>unanimidad</w:t>
      </w:r>
      <w:r w:rsidRPr="0064597D">
        <w:rPr>
          <w:rFonts w:eastAsia="MS Mincho"/>
          <w:sz w:val="20"/>
          <w:szCs w:val="20"/>
          <w:lang w:bidi="en-US"/>
        </w:rPr>
        <w:t>, que:</w:t>
      </w:r>
    </w:p>
    <w:p w14:paraId="0B99F6BF" w14:textId="77777777" w:rsidR="00703F3B" w:rsidRPr="0064597D" w:rsidRDefault="00703F3B" w:rsidP="00703F3B">
      <w:pPr>
        <w:spacing w:line="20" w:lineRule="atLeast"/>
        <w:ind w:right="-90"/>
        <w:contextualSpacing/>
        <w:rPr>
          <w:rFonts w:eastAsia="MS Mincho"/>
          <w:sz w:val="20"/>
          <w:szCs w:val="20"/>
          <w:lang w:bidi="en-US"/>
        </w:rPr>
      </w:pPr>
    </w:p>
    <w:p w14:paraId="2C9BA9E5" w14:textId="245DE589" w:rsidR="00703F3B" w:rsidRPr="0064597D" w:rsidRDefault="00703F3B" w:rsidP="00703F3B">
      <w:pPr>
        <w:numPr>
          <w:ilvl w:val="0"/>
          <w:numId w:val="7"/>
        </w:numPr>
        <w:tabs>
          <w:tab w:val="left" w:pos="720"/>
        </w:tabs>
        <w:spacing w:line="20" w:lineRule="atLeast"/>
        <w:ind w:right="-90"/>
        <w:contextualSpacing/>
        <w:rPr>
          <w:sz w:val="20"/>
          <w:szCs w:val="20"/>
        </w:rPr>
      </w:pPr>
      <w:r w:rsidRPr="0064597D">
        <w:rPr>
          <w:kern w:val="2"/>
          <w:sz w:val="20"/>
          <w:szCs w:val="20"/>
        </w:rPr>
        <w:t xml:space="preserve">El Estado es responsable por la violación del derecho a la vida consagrado </w:t>
      </w:r>
      <w:r w:rsidRPr="0064597D">
        <w:rPr>
          <w:sz w:val="20"/>
          <w:szCs w:val="20"/>
        </w:rPr>
        <w:t xml:space="preserve">en </w:t>
      </w:r>
      <w:r w:rsidR="00CA0126" w:rsidRPr="0064597D">
        <w:rPr>
          <w:sz w:val="20"/>
          <w:szCs w:val="20"/>
        </w:rPr>
        <w:t>los</w:t>
      </w:r>
      <w:r w:rsidRPr="0064597D">
        <w:rPr>
          <w:sz w:val="20"/>
          <w:szCs w:val="20"/>
        </w:rPr>
        <w:t xml:space="preserve"> artículo</w:t>
      </w:r>
      <w:r w:rsidR="00CA0126" w:rsidRPr="0064597D">
        <w:rPr>
          <w:sz w:val="20"/>
          <w:szCs w:val="20"/>
        </w:rPr>
        <w:t>s</w:t>
      </w:r>
      <w:r w:rsidRPr="0064597D">
        <w:rPr>
          <w:sz w:val="20"/>
          <w:szCs w:val="20"/>
        </w:rPr>
        <w:t xml:space="preserve"> 4.2 y 4.6</w:t>
      </w:r>
      <w:r w:rsidR="00CA0126" w:rsidRPr="0064597D">
        <w:rPr>
          <w:sz w:val="20"/>
          <w:szCs w:val="20"/>
        </w:rPr>
        <w:t xml:space="preserve"> </w:t>
      </w:r>
      <w:r w:rsidRPr="0064597D">
        <w:rPr>
          <w:sz w:val="20"/>
          <w:szCs w:val="20"/>
        </w:rPr>
        <w:t>de la Convención</w:t>
      </w:r>
      <w:r w:rsidRPr="0064597D">
        <w:rPr>
          <w:kern w:val="2"/>
          <w:sz w:val="20"/>
          <w:szCs w:val="20"/>
        </w:rPr>
        <w:t xml:space="preserve"> Americana sobre Derechos Humanos</w:t>
      </w:r>
      <w:r w:rsidRPr="0064597D">
        <w:rPr>
          <w:sz w:val="20"/>
          <w:szCs w:val="20"/>
        </w:rPr>
        <w:t xml:space="preserve">, en relación </w:t>
      </w:r>
      <w:r w:rsidRPr="0064597D">
        <w:rPr>
          <w:kern w:val="2"/>
          <w:sz w:val="20"/>
          <w:szCs w:val="20"/>
        </w:rPr>
        <w:t>con la obligación de garantizar los derechos establecida en el artículo 1.1 y 2 de la Convención</w:t>
      </w:r>
      <w:r w:rsidR="007A21E6" w:rsidRPr="0064597D">
        <w:rPr>
          <w:kern w:val="2"/>
          <w:sz w:val="20"/>
          <w:szCs w:val="20"/>
        </w:rPr>
        <w:t>, por la imposición de la pena de muerte, en perjuicio</w:t>
      </w:r>
      <w:r w:rsidRPr="0064597D">
        <w:rPr>
          <w:kern w:val="2"/>
          <w:sz w:val="20"/>
          <w:szCs w:val="20"/>
        </w:rPr>
        <w:t xml:space="preserve"> Hugo Humberto Ruiz Fuentes, </w:t>
      </w:r>
      <w:r w:rsidRPr="0064597D">
        <w:rPr>
          <w:sz w:val="20"/>
          <w:szCs w:val="20"/>
        </w:rPr>
        <w:t xml:space="preserve">en los términos de los párrafos </w:t>
      </w:r>
      <w:r w:rsidR="00470E44" w:rsidRPr="0064597D">
        <w:rPr>
          <w:sz w:val="20"/>
          <w:szCs w:val="20"/>
        </w:rPr>
        <w:t>78</w:t>
      </w:r>
      <w:r w:rsidRPr="0064597D">
        <w:rPr>
          <w:sz w:val="20"/>
          <w:szCs w:val="20"/>
        </w:rPr>
        <w:t xml:space="preserve"> a </w:t>
      </w:r>
      <w:r w:rsidR="00BE49FF">
        <w:rPr>
          <w:sz w:val="20"/>
          <w:szCs w:val="20"/>
        </w:rPr>
        <w:t>94</w:t>
      </w:r>
      <w:r w:rsidRPr="0064597D">
        <w:rPr>
          <w:sz w:val="20"/>
          <w:szCs w:val="20"/>
        </w:rPr>
        <w:t xml:space="preserve"> de la presente Sentencia.</w:t>
      </w:r>
    </w:p>
    <w:p w14:paraId="549766D1" w14:textId="77777777" w:rsidR="00CA131D" w:rsidRPr="0064597D" w:rsidRDefault="00CA131D" w:rsidP="00CA131D">
      <w:pPr>
        <w:tabs>
          <w:tab w:val="left" w:pos="720"/>
        </w:tabs>
        <w:spacing w:line="20" w:lineRule="atLeast"/>
        <w:ind w:right="-90"/>
        <w:contextualSpacing/>
        <w:rPr>
          <w:sz w:val="20"/>
          <w:szCs w:val="20"/>
        </w:rPr>
      </w:pPr>
    </w:p>
    <w:p w14:paraId="53FAF5B6" w14:textId="42795CD7" w:rsidR="00703F3B" w:rsidRPr="0064597D" w:rsidRDefault="004C0FB0" w:rsidP="008D1A0F">
      <w:pPr>
        <w:numPr>
          <w:ilvl w:val="0"/>
          <w:numId w:val="7"/>
        </w:numPr>
        <w:tabs>
          <w:tab w:val="left" w:pos="720"/>
        </w:tabs>
        <w:spacing w:line="20" w:lineRule="atLeast"/>
        <w:ind w:right="-90"/>
        <w:contextualSpacing/>
        <w:rPr>
          <w:rFonts w:eastAsia="MS Mincho"/>
          <w:sz w:val="20"/>
          <w:szCs w:val="20"/>
          <w:lang w:eastAsia="en-US"/>
        </w:rPr>
      </w:pPr>
      <w:r w:rsidRPr="0064597D">
        <w:rPr>
          <w:kern w:val="2"/>
          <w:sz w:val="20"/>
          <w:szCs w:val="20"/>
        </w:rPr>
        <w:t>El</w:t>
      </w:r>
      <w:r w:rsidR="00703F3B" w:rsidRPr="0064597D">
        <w:rPr>
          <w:kern w:val="2"/>
          <w:sz w:val="20"/>
          <w:szCs w:val="20"/>
        </w:rPr>
        <w:t xml:space="preserve"> Estado es responsable por la violación del derecho a la vida consagrado</w:t>
      </w:r>
      <w:r w:rsidR="00CA0126" w:rsidRPr="0064597D">
        <w:rPr>
          <w:kern w:val="2"/>
          <w:sz w:val="20"/>
          <w:szCs w:val="20"/>
        </w:rPr>
        <w:t xml:space="preserve"> </w:t>
      </w:r>
      <w:r w:rsidR="00703F3B" w:rsidRPr="0064597D">
        <w:rPr>
          <w:rFonts w:eastAsia="Verdana" w:cs="Verdana"/>
          <w:spacing w:val="1"/>
          <w:sz w:val="20"/>
          <w:szCs w:val="20"/>
          <w:lang w:val="es-ES"/>
        </w:rPr>
        <w:t xml:space="preserve">en el artículo 4.1 </w:t>
      </w:r>
      <w:r w:rsidR="008D1A0F" w:rsidRPr="0064597D">
        <w:rPr>
          <w:rFonts w:eastAsia="Verdana" w:cs="Verdana"/>
          <w:spacing w:val="1"/>
          <w:sz w:val="20"/>
          <w:szCs w:val="20"/>
          <w:lang w:val="es-ES"/>
        </w:rPr>
        <w:t xml:space="preserve">de la Convención Americana sobre Derechos Humanos, </w:t>
      </w:r>
      <w:r w:rsidR="00703F3B" w:rsidRPr="0064597D">
        <w:rPr>
          <w:rFonts w:eastAsia="Verdana" w:cs="Verdana"/>
          <w:spacing w:val="1"/>
          <w:sz w:val="20"/>
          <w:szCs w:val="20"/>
          <w:lang w:val="es-ES"/>
        </w:rPr>
        <w:t xml:space="preserve">en relación con lo dispuesto en el artículo 1.1 de la </w:t>
      </w:r>
      <w:r w:rsidR="00703F3B" w:rsidRPr="0064597D">
        <w:rPr>
          <w:kern w:val="2"/>
          <w:sz w:val="20"/>
          <w:szCs w:val="20"/>
        </w:rPr>
        <w:t>Convención</w:t>
      </w:r>
      <w:r w:rsidR="00703F3B" w:rsidRPr="0064597D">
        <w:rPr>
          <w:rFonts w:eastAsia="Verdana" w:cs="Verdana"/>
          <w:spacing w:val="1"/>
          <w:sz w:val="20"/>
          <w:szCs w:val="20"/>
          <w:lang w:val="es-ES"/>
        </w:rPr>
        <w:t xml:space="preserve">, </w:t>
      </w:r>
      <w:r w:rsidR="007A21E6" w:rsidRPr="0064597D">
        <w:rPr>
          <w:kern w:val="2"/>
          <w:sz w:val="20"/>
          <w:szCs w:val="20"/>
        </w:rPr>
        <w:t>por la muerte de Hugo Humberto Ruiz Fuentes,</w:t>
      </w:r>
      <w:r w:rsidR="00703F3B" w:rsidRPr="0064597D">
        <w:rPr>
          <w:kern w:val="2"/>
          <w:sz w:val="20"/>
          <w:szCs w:val="20"/>
        </w:rPr>
        <w:t xml:space="preserve"> </w:t>
      </w:r>
      <w:r w:rsidR="00703F3B" w:rsidRPr="0064597D">
        <w:rPr>
          <w:sz w:val="20"/>
          <w:szCs w:val="20"/>
        </w:rPr>
        <w:t xml:space="preserve">en los términos de los párrafos </w:t>
      </w:r>
      <w:r w:rsidR="00470E44" w:rsidRPr="0064597D">
        <w:rPr>
          <w:sz w:val="20"/>
          <w:szCs w:val="20"/>
        </w:rPr>
        <w:t>10</w:t>
      </w:r>
      <w:r w:rsidR="00BE49FF">
        <w:rPr>
          <w:sz w:val="20"/>
          <w:szCs w:val="20"/>
        </w:rPr>
        <w:t>0</w:t>
      </w:r>
      <w:r w:rsidR="00703F3B" w:rsidRPr="0064597D">
        <w:rPr>
          <w:sz w:val="20"/>
          <w:szCs w:val="20"/>
        </w:rPr>
        <w:t xml:space="preserve"> a </w:t>
      </w:r>
      <w:r w:rsidR="00BE49FF">
        <w:rPr>
          <w:sz w:val="20"/>
          <w:szCs w:val="20"/>
        </w:rPr>
        <w:t>113</w:t>
      </w:r>
      <w:r w:rsidR="00703F3B" w:rsidRPr="0064597D">
        <w:rPr>
          <w:sz w:val="20"/>
          <w:szCs w:val="20"/>
        </w:rPr>
        <w:t xml:space="preserve"> de la presente Sentencia.</w:t>
      </w:r>
    </w:p>
    <w:p w14:paraId="46FD69CD" w14:textId="77777777" w:rsidR="00703F3B" w:rsidRPr="0064597D" w:rsidRDefault="00703F3B" w:rsidP="00703F3B">
      <w:pPr>
        <w:tabs>
          <w:tab w:val="left" w:pos="720"/>
        </w:tabs>
        <w:spacing w:line="20" w:lineRule="atLeast"/>
        <w:ind w:right="-90"/>
        <w:contextualSpacing/>
        <w:rPr>
          <w:sz w:val="20"/>
          <w:szCs w:val="20"/>
        </w:rPr>
      </w:pPr>
    </w:p>
    <w:p w14:paraId="2BF7B76B" w14:textId="19A62A0B" w:rsidR="00703F3B" w:rsidRPr="0064597D" w:rsidRDefault="00703F3B" w:rsidP="00703F3B">
      <w:pPr>
        <w:numPr>
          <w:ilvl w:val="0"/>
          <w:numId w:val="7"/>
        </w:numPr>
        <w:tabs>
          <w:tab w:val="left" w:pos="720"/>
        </w:tabs>
        <w:spacing w:line="20" w:lineRule="atLeast"/>
        <w:ind w:right="-90"/>
        <w:contextualSpacing/>
        <w:rPr>
          <w:b/>
          <w:i/>
          <w:sz w:val="20"/>
          <w:szCs w:val="20"/>
          <w:lang w:eastAsia="en-US"/>
        </w:rPr>
      </w:pPr>
      <w:r w:rsidRPr="0064597D">
        <w:rPr>
          <w:sz w:val="20"/>
          <w:szCs w:val="20"/>
          <w:lang w:val="es-ES_tradnl"/>
        </w:rPr>
        <w:t>El Estado es responsable por la violación del derecho a la integridad personal y prohibición de</w:t>
      </w:r>
      <w:r w:rsidR="00CA0126" w:rsidRPr="0064597D">
        <w:rPr>
          <w:sz w:val="20"/>
          <w:szCs w:val="20"/>
          <w:lang w:val="es-ES_tradnl"/>
        </w:rPr>
        <w:t xml:space="preserve"> </w:t>
      </w:r>
      <w:r w:rsidRPr="0064597D">
        <w:rPr>
          <w:sz w:val="20"/>
          <w:szCs w:val="20"/>
          <w:lang w:val="es-ES_tradnl"/>
        </w:rPr>
        <w:t>la</w:t>
      </w:r>
      <w:r w:rsidR="00CA0126" w:rsidRPr="0064597D">
        <w:rPr>
          <w:sz w:val="20"/>
          <w:szCs w:val="20"/>
          <w:lang w:val="es-ES_tradnl"/>
        </w:rPr>
        <w:t xml:space="preserve"> </w:t>
      </w:r>
      <w:r w:rsidRPr="0064597D">
        <w:rPr>
          <w:sz w:val="20"/>
          <w:szCs w:val="20"/>
          <w:lang w:val="es-ES_tradnl"/>
        </w:rPr>
        <w:t>tortura</w:t>
      </w:r>
      <w:r w:rsidR="00CA0126" w:rsidRPr="0064597D">
        <w:rPr>
          <w:sz w:val="20"/>
          <w:szCs w:val="20"/>
          <w:lang w:val="es-ES_tradnl"/>
        </w:rPr>
        <w:t xml:space="preserve"> </w:t>
      </w:r>
      <w:r w:rsidRPr="0064597D">
        <w:rPr>
          <w:sz w:val="20"/>
          <w:szCs w:val="20"/>
          <w:lang w:val="es-ES_tradnl"/>
        </w:rPr>
        <w:t>y</w:t>
      </w:r>
      <w:r w:rsidR="00CA0126" w:rsidRPr="0064597D">
        <w:rPr>
          <w:sz w:val="20"/>
          <w:szCs w:val="20"/>
          <w:lang w:val="es-ES_tradnl"/>
        </w:rPr>
        <w:t xml:space="preserve"> </w:t>
      </w:r>
      <w:r w:rsidRPr="0064597D">
        <w:rPr>
          <w:sz w:val="20"/>
          <w:szCs w:val="20"/>
          <w:lang w:val="es-ES_tradnl"/>
        </w:rPr>
        <w:t>otros</w:t>
      </w:r>
      <w:r w:rsidR="00CA0126" w:rsidRPr="0064597D">
        <w:rPr>
          <w:sz w:val="20"/>
          <w:szCs w:val="20"/>
          <w:lang w:val="es-ES_tradnl"/>
        </w:rPr>
        <w:t xml:space="preserve"> </w:t>
      </w:r>
      <w:r w:rsidRPr="0064597D">
        <w:rPr>
          <w:kern w:val="2"/>
          <w:sz w:val="20"/>
          <w:szCs w:val="20"/>
        </w:rPr>
        <w:t>tratos</w:t>
      </w:r>
      <w:r w:rsidR="00CA0126" w:rsidRPr="0064597D">
        <w:rPr>
          <w:sz w:val="20"/>
          <w:szCs w:val="20"/>
          <w:lang w:val="es-ES_tradnl"/>
        </w:rPr>
        <w:t xml:space="preserve"> </w:t>
      </w:r>
      <w:r w:rsidRPr="0064597D">
        <w:rPr>
          <w:sz w:val="20"/>
          <w:szCs w:val="20"/>
          <w:lang w:val="es-ES_tradnl"/>
        </w:rPr>
        <w:t>crueles,</w:t>
      </w:r>
      <w:r w:rsidR="00CA0126" w:rsidRPr="0064597D">
        <w:rPr>
          <w:sz w:val="20"/>
          <w:szCs w:val="20"/>
          <w:lang w:val="es-ES_tradnl"/>
        </w:rPr>
        <w:t xml:space="preserve"> </w:t>
      </w:r>
      <w:r w:rsidRPr="0064597D">
        <w:rPr>
          <w:sz w:val="20"/>
          <w:szCs w:val="20"/>
          <w:lang w:val="es-ES_tradnl"/>
        </w:rPr>
        <w:t>inhumanos</w:t>
      </w:r>
      <w:r w:rsidR="00CA0126" w:rsidRPr="0064597D">
        <w:rPr>
          <w:sz w:val="20"/>
          <w:szCs w:val="20"/>
          <w:lang w:val="es-ES_tradnl"/>
        </w:rPr>
        <w:t xml:space="preserve"> </w:t>
      </w:r>
      <w:r w:rsidRPr="0064597D">
        <w:rPr>
          <w:sz w:val="20"/>
          <w:szCs w:val="20"/>
          <w:lang w:val="es-ES_tradnl"/>
        </w:rPr>
        <w:t>o</w:t>
      </w:r>
      <w:r w:rsidR="00CA0126" w:rsidRPr="0064597D">
        <w:rPr>
          <w:sz w:val="20"/>
          <w:szCs w:val="20"/>
          <w:lang w:val="es-ES_tradnl"/>
        </w:rPr>
        <w:t xml:space="preserve"> </w:t>
      </w:r>
      <w:r w:rsidRPr="0064597D">
        <w:rPr>
          <w:sz w:val="20"/>
          <w:szCs w:val="20"/>
          <w:lang w:val="es-ES_tradnl"/>
        </w:rPr>
        <w:t xml:space="preserve">degradantes, consagrado en </w:t>
      </w:r>
      <w:r w:rsidR="00063252" w:rsidRPr="0064597D">
        <w:rPr>
          <w:sz w:val="20"/>
          <w:szCs w:val="20"/>
          <w:lang w:eastAsia="en-US"/>
        </w:rPr>
        <w:t>los</w:t>
      </w:r>
      <w:r w:rsidRPr="0064597D">
        <w:rPr>
          <w:sz w:val="20"/>
          <w:szCs w:val="20"/>
          <w:lang w:eastAsia="en-US"/>
        </w:rPr>
        <w:t xml:space="preserve"> artículo</w:t>
      </w:r>
      <w:r w:rsidR="00063252" w:rsidRPr="0064597D">
        <w:rPr>
          <w:sz w:val="20"/>
          <w:szCs w:val="20"/>
          <w:lang w:eastAsia="en-US"/>
        </w:rPr>
        <w:t>s 5.1,</w:t>
      </w:r>
      <w:r w:rsidRPr="0064597D">
        <w:rPr>
          <w:sz w:val="20"/>
          <w:szCs w:val="20"/>
          <w:lang w:eastAsia="en-US"/>
        </w:rPr>
        <w:t xml:space="preserve"> 5.2 de la </w:t>
      </w:r>
      <w:r w:rsidR="008D1A0F" w:rsidRPr="0064597D">
        <w:rPr>
          <w:rFonts w:eastAsia="Verdana" w:cs="Verdana"/>
          <w:spacing w:val="1"/>
          <w:sz w:val="20"/>
          <w:szCs w:val="20"/>
          <w:lang w:val="es-ES"/>
        </w:rPr>
        <w:t>Convención Americana sobre Derechos Humanos</w:t>
      </w:r>
      <w:r w:rsidRPr="0064597D">
        <w:rPr>
          <w:sz w:val="20"/>
          <w:szCs w:val="20"/>
          <w:lang w:eastAsia="en-US"/>
        </w:rPr>
        <w:t xml:space="preserve">, </w:t>
      </w:r>
      <w:r w:rsidRPr="0064597D">
        <w:rPr>
          <w:bCs/>
          <w:iCs/>
          <w:sz w:val="20"/>
          <w:szCs w:val="20"/>
        </w:rPr>
        <w:t>en relación con el artículo 1.1 de la Convención</w:t>
      </w:r>
      <w:r w:rsidRPr="0064597D">
        <w:rPr>
          <w:sz w:val="20"/>
          <w:szCs w:val="20"/>
          <w:lang w:eastAsia="en-US"/>
        </w:rPr>
        <w:t xml:space="preserve">, </w:t>
      </w:r>
      <w:r w:rsidR="00063252" w:rsidRPr="0064597D">
        <w:rPr>
          <w:sz w:val="20"/>
          <w:szCs w:val="20"/>
          <w:lang w:eastAsia="en-US"/>
        </w:rPr>
        <w:t xml:space="preserve">y en los artículos 1 y </w:t>
      </w:r>
      <w:r w:rsidRPr="0064597D">
        <w:rPr>
          <w:sz w:val="20"/>
          <w:szCs w:val="20"/>
          <w:lang w:eastAsia="en-US"/>
        </w:rPr>
        <w:t>6 de la Convención Interamericana para prevenir y sancionar la tortura</w:t>
      </w:r>
      <w:r w:rsidRPr="0064597D">
        <w:rPr>
          <w:rFonts w:eastAsia="Verdana" w:cs="Verdana"/>
          <w:spacing w:val="1"/>
          <w:sz w:val="20"/>
          <w:szCs w:val="20"/>
          <w:lang w:val="es-ES"/>
        </w:rPr>
        <w:t xml:space="preserve">, </w:t>
      </w:r>
      <w:r w:rsidRPr="0064597D">
        <w:rPr>
          <w:kern w:val="2"/>
          <w:sz w:val="20"/>
          <w:szCs w:val="20"/>
        </w:rPr>
        <w:t xml:space="preserve">en perjuicio de Hugo Humberto Ruiz Fuentes, </w:t>
      </w:r>
      <w:r w:rsidRPr="0064597D">
        <w:rPr>
          <w:sz w:val="20"/>
          <w:szCs w:val="20"/>
        </w:rPr>
        <w:t xml:space="preserve">en los términos de los párrafos </w:t>
      </w:r>
      <w:r w:rsidR="00BE49FF">
        <w:rPr>
          <w:sz w:val="20"/>
          <w:szCs w:val="20"/>
        </w:rPr>
        <w:t>123</w:t>
      </w:r>
      <w:r w:rsidRPr="0064597D">
        <w:rPr>
          <w:sz w:val="20"/>
          <w:szCs w:val="20"/>
        </w:rPr>
        <w:t xml:space="preserve"> a </w:t>
      </w:r>
      <w:r w:rsidR="00470E44" w:rsidRPr="0064597D">
        <w:rPr>
          <w:sz w:val="20"/>
          <w:szCs w:val="20"/>
        </w:rPr>
        <w:t>13</w:t>
      </w:r>
      <w:r w:rsidR="00BE49FF">
        <w:rPr>
          <w:sz w:val="20"/>
          <w:szCs w:val="20"/>
        </w:rPr>
        <w:t>7</w:t>
      </w:r>
      <w:r w:rsidRPr="0064597D">
        <w:rPr>
          <w:sz w:val="20"/>
          <w:szCs w:val="20"/>
        </w:rPr>
        <w:t xml:space="preserve"> de la presente Sentencia.</w:t>
      </w:r>
    </w:p>
    <w:p w14:paraId="64157DDF" w14:textId="77777777" w:rsidR="00703F3B" w:rsidRPr="0064597D" w:rsidRDefault="00703F3B" w:rsidP="00703F3B">
      <w:pPr>
        <w:tabs>
          <w:tab w:val="left" w:pos="567"/>
        </w:tabs>
        <w:spacing w:line="240" w:lineRule="auto"/>
        <w:rPr>
          <w:sz w:val="20"/>
          <w:szCs w:val="20"/>
        </w:rPr>
      </w:pPr>
    </w:p>
    <w:p w14:paraId="43B5E2D1" w14:textId="67693B1E" w:rsidR="008D1A0F" w:rsidRPr="0064597D" w:rsidRDefault="00703F3B" w:rsidP="008D1A0F">
      <w:pPr>
        <w:numPr>
          <w:ilvl w:val="0"/>
          <w:numId w:val="7"/>
        </w:numPr>
        <w:tabs>
          <w:tab w:val="left" w:pos="720"/>
        </w:tabs>
        <w:spacing w:line="20" w:lineRule="atLeast"/>
        <w:ind w:right="-90"/>
        <w:contextualSpacing/>
        <w:rPr>
          <w:b/>
          <w:i/>
          <w:sz w:val="20"/>
          <w:szCs w:val="20"/>
          <w:lang w:eastAsia="en-US"/>
        </w:rPr>
      </w:pPr>
      <w:r w:rsidRPr="0064597D">
        <w:rPr>
          <w:sz w:val="20"/>
          <w:szCs w:val="20"/>
        </w:rPr>
        <w:t xml:space="preserve">El Estado es responsable por la violación del derecho a las garantías judiciales </w:t>
      </w:r>
      <w:r w:rsidRPr="0064597D">
        <w:rPr>
          <w:rFonts w:eastAsia="Verdana" w:cs="Verdana"/>
          <w:sz w:val="20"/>
          <w:szCs w:val="20"/>
        </w:rPr>
        <w:t xml:space="preserve">consagrado en los artículos </w:t>
      </w:r>
      <w:r w:rsidR="008D1A0F" w:rsidRPr="0064597D">
        <w:rPr>
          <w:rFonts w:eastAsia="Verdana" w:cs="Verdana"/>
          <w:sz w:val="20"/>
          <w:szCs w:val="20"/>
        </w:rPr>
        <w:t>8.2.c</w:t>
      </w:r>
      <w:r w:rsidR="007C2F92" w:rsidRPr="0064597D">
        <w:rPr>
          <w:rFonts w:eastAsia="Verdana" w:cs="Verdana"/>
          <w:sz w:val="20"/>
          <w:szCs w:val="20"/>
        </w:rPr>
        <w:t>)</w:t>
      </w:r>
      <w:r w:rsidR="008D1A0F" w:rsidRPr="0064597D">
        <w:rPr>
          <w:rFonts w:eastAsia="Verdana" w:cs="Verdana"/>
          <w:sz w:val="20"/>
          <w:szCs w:val="20"/>
        </w:rPr>
        <w:t xml:space="preserve"> y 8.2.h</w:t>
      </w:r>
      <w:r w:rsidR="007C2F92" w:rsidRPr="0064597D">
        <w:rPr>
          <w:rFonts w:eastAsia="Verdana" w:cs="Verdana"/>
          <w:sz w:val="20"/>
          <w:szCs w:val="20"/>
        </w:rPr>
        <w:t>)</w:t>
      </w:r>
      <w:r w:rsidRPr="0064597D">
        <w:rPr>
          <w:rFonts w:eastAsia="Verdana" w:cs="Verdana"/>
          <w:sz w:val="20"/>
          <w:szCs w:val="20"/>
        </w:rPr>
        <w:t xml:space="preserve"> de la </w:t>
      </w:r>
      <w:r w:rsidR="008D1A0F" w:rsidRPr="0064597D">
        <w:rPr>
          <w:rFonts w:eastAsia="Verdana" w:cs="Verdana"/>
          <w:spacing w:val="1"/>
          <w:sz w:val="20"/>
          <w:szCs w:val="20"/>
          <w:lang w:val="es-ES"/>
        </w:rPr>
        <w:t>Convención Americana sobre Derechos Humanos</w:t>
      </w:r>
      <w:r w:rsidRPr="0064597D">
        <w:rPr>
          <w:rFonts w:eastAsia="Verdana" w:cs="Verdana"/>
          <w:sz w:val="20"/>
          <w:szCs w:val="20"/>
        </w:rPr>
        <w:t xml:space="preserve">, en relación con el 1.1 </w:t>
      </w:r>
      <w:r w:rsidRPr="0064597D">
        <w:rPr>
          <w:sz w:val="20"/>
          <w:szCs w:val="20"/>
          <w:lang w:val="es-ES_tradnl"/>
        </w:rPr>
        <w:t>de la Convención</w:t>
      </w:r>
      <w:r w:rsidRPr="0064597D">
        <w:rPr>
          <w:rFonts w:eastAsia="Verdana" w:cs="Verdana"/>
          <w:sz w:val="20"/>
          <w:szCs w:val="20"/>
        </w:rPr>
        <w:t>,</w:t>
      </w:r>
      <w:r w:rsidRPr="0064597D">
        <w:rPr>
          <w:sz w:val="20"/>
          <w:szCs w:val="20"/>
          <w:lang w:val="es-ES_tradnl"/>
        </w:rPr>
        <w:t xml:space="preserve"> </w:t>
      </w:r>
      <w:r w:rsidR="008D1A0F" w:rsidRPr="0064597D">
        <w:rPr>
          <w:kern w:val="2"/>
          <w:sz w:val="20"/>
          <w:szCs w:val="20"/>
        </w:rPr>
        <w:t xml:space="preserve">en perjuicio de Hugo Humberto Ruiz Fuentes, </w:t>
      </w:r>
      <w:r w:rsidR="008D1A0F" w:rsidRPr="0064597D">
        <w:rPr>
          <w:sz w:val="20"/>
          <w:szCs w:val="20"/>
        </w:rPr>
        <w:t xml:space="preserve">en los términos de los párrafos </w:t>
      </w:r>
      <w:r w:rsidR="00470E44" w:rsidRPr="0064597D">
        <w:rPr>
          <w:sz w:val="20"/>
          <w:szCs w:val="20"/>
        </w:rPr>
        <w:t>14</w:t>
      </w:r>
      <w:r w:rsidR="00BE49FF">
        <w:rPr>
          <w:sz w:val="20"/>
          <w:szCs w:val="20"/>
        </w:rPr>
        <w:t>6</w:t>
      </w:r>
      <w:r w:rsidR="008D1A0F" w:rsidRPr="0064597D">
        <w:rPr>
          <w:sz w:val="20"/>
          <w:szCs w:val="20"/>
        </w:rPr>
        <w:t xml:space="preserve"> a </w:t>
      </w:r>
      <w:r w:rsidR="00BE49FF">
        <w:rPr>
          <w:sz w:val="20"/>
          <w:szCs w:val="20"/>
        </w:rPr>
        <w:t>168</w:t>
      </w:r>
      <w:r w:rsidR="008D1A0F" w:rsidRPr="0064597D">
        <w:rPr>
          <w:sz w:val="20"/>
          <w:szCs w:val="20"/>
        </w:rPr>
        <w:t xml:space="preserve"> de la presente Sentencia.</w:t>
      </w:r>
    </w:p>
    <w:p w14:paraId="671CEC7C" w14:textId="77777777" w:rsidR="008D1A0F" w:rsidRPr="0064597D" w:rsidRDefault="008D1A0F" w:rsidP="008D1A0F">
      <w:pPr>
        <w:tabs>
          <w:tab w:val="left" w:pos="720"/>
        </w:tabs>
        <w:spacing w:line="20" w:lineRule="atLeast"/>
        <w:ind w:right="-90"/>
        <w:contextualSpacing/>
        <w:rPr>
          <w:b/>
          <w:i/>
          <w:sz w:val="20"/>
          <w:szCs w:val="20"/>
          <w:lang w:eastAsia="en-US"/>
        </w:rPr>
      </w:pPr>
    </w:p>
    <w:p w14:paraId="2A1FCF7A" w14:textId="090FB2FA" w:rsidR="00CC3D0C" w:rsidRPr="0064597D" w:rsidRDefault="008D1A0F" w:rsidP="00CC3D0C">
      <w:pPr>
        <w:numPr>
          <w:ilvl w:val="0"/>
          <w:numId w:val="7"/>
        </w:numPr>
        <w:tabs>
          <w:tab w:val="left" w:pos="720"/>
        </w:tabs>
        <w:spacing w:line="20" w:lineRule="atLeast"/>
        <w:ind w:right="-90"/>
        <w:contextualSpacing/>
        <w:rPr>
          <w:b/>
          <w:i/>
          <w:sz w:val="20"/>
          <w:szCs w:val="20"/>
          <w:lang w:eastAsia="en-US"/>
        </w:rPr>
      </w:pPr>
      <w:r w:rsidRPr="0064597D">
        <w:rPr>
          <w:sz w:val="20"/>
          <w:szCs w:val="20"/>
        </w:rPr>
        <w:t xml:space="preserve">El Estado es responsable por la violación del derecho a las garantías judiciales </w:t>
      </w:r>
      <w:r w:rsidR="009B2836" w:rsidRPr="0064597D">
        <w:rPr>
          <w:sz w:val="20"/>
          <w:szCs w:val="20"/>
        </w:rPr>
        <w:t xml:space="preserve">y protección judicial </w:t>
      </w:r>
      <w:r w:rsidRPr="0064597D">
        <w:rPr>
          <w:rFonts w:eastAsia="Verdana" w:cs="Verdana"/>
          <w:sz w:val="20"/>
          <w:szCs w:val="20"/>
        </w:rPr>
        <w:t>consagrado</w:t>
      </w:r>
      <w:r w:rsidR="009B2836" w:rsidRPr="0064597D">
        <w:rPr>
          <w:rFonts w:eastAsia="Verdana" w:cs="Verdana"/>
          <w:sz w:val="20"/>
          <w:szCs w:val="20"/>
        </w:rPr>
        <w:t>s</w:t>
      </w:r>
      <w:r w:rsidRPr="0064597D">
        <w:rPr>
          <w:rFonts w:eastAsia="Verdana" w:cs="Verdana"/>
          <w:sz w:val="20"/>
          <w:szCs w:val="20"/>
        </w:rPr>
        <w:t xml:space="preserve"> en los artículos 8.1 y 25 de la </w:t>
      </w:r>
      <w:r w:rsidRPr="0064597D">
        <w:rPr>
          <w:rFonts w:eastAsia="Verdana" w:cs="Verdana"/>
          <w:spacing w:val="1"/>
          <w:sz w:val="20"/>
          <w:szCs w:val="20"/>
          <w:lang w:val="es-ES"/>
        </w:rPr>
        <w:t>Convención Americana sobre Derechos Humanos</w:t>
      </w:r>
      <w:r w:rsidRPr="0064597D">
        <w:rPr>
          <w:rFonts w:eastAsia="Verdana" w:cs="Verdana"/>
          <w:sz w:val="20"/>
          <w:szCs w:val="20"/>
        </w:rPr>
        <w:t xml:space="preserve">, en relación con el 1.1 </w:t>
      </w:r>
      <w:r w:rsidRPr="0064597D">
        <w:rPr>
          <w:sz w:val="20"/>
          <w:szCs w:val="20"/>
          <w:lang w:val="es-ES_tradnl"/>
        </w:rPr>
        <w:t>de la Convención</w:t>
      </w:r>
      <w:r w:rsidRPr="0064597D">
        <w:rPr>
          <w:rFonts w:eastAsia="Verdana" w:cs="Verdana"/>
          <w:sz w:val="20"/>
          <w:szCs w:val="20"/>
        </w:rPr>
        <w:t>,</w:t>
      </w:r>
      <w:r w:rsidRPr="0064597D">
        <w:rPr>
          <w:sz w:val="20"/>
          <w:szCs w:val="20"/>
          <w:lang w:val="es-ES_tradnl"/>
        </w:rPr>
        <w:t xml:space="preserve"> </w:t>
      </w:r>
      <w:r w:rsidRPr="0064597D">
        <w:rPr>
          <w:sz w:val="20"/>
          <w:szCs w:val="20"/>
          <w:lang w:eastAsia="en-US"/>
        </w:rPr>
        <w:t>y en los artículos 1</w:t>
      </w:r>
      <w:r w:rsidR="00CD292B" w:rsidRPr="0064597D">
        <w:rPr>
          <w:sz w:val="20"/>
          <w:szCs w:val="20"/>
          <w:lang w:eastAsia="en-US"/>
        </w:rPr>
        <w:t xml:space="preserve">, </w:t>
      </w:r>
      <w:r w:rsidRPr="0064597D">
        <w:rPr>
          <w:sz w:val="20"/>
          <w:szCs w:val="20"/>
          <w:lang w:eastAsia="en-US"/>
        </w:rPr>
        <w:t xml:space="preserve">6 y 8 de la Convención Interamericana para prevenir y sancionar la </w:t>
      </w:r>
      <w:r w:rsidR="00391244" w:rsidRPr="0064597D">
        <w:rPr>
          <w:sz w:val="20"/>
          <w:szCs w:val="20"/>
          <w:lang w:eastAsia="en-US"/>
        </w:rPr>
        <w:t>t</w:t>
      </w:r>
      <w:r w:rsidRPr="0064597D">
        <w:rPr>
          <w:sz w:val="20"/>
          <w:szCs w:val="20"/>
          <w:lang w:eastAsia="en-US"/>
        </w:rPr>
        <w:t>ortura,</w:t>
      </w:r>
      <w:r w:rsidRPr="0064597D">
        <w:rPr>
          <w:kern w:val="2"/>
          <w:sz w:val="20"/>
          <w:szCs w:val="20"/>
        </w:rPr>
        <w:t xml:space="preserve"> en perjuicio de Hugo Humberto Ruiz Fuentes, </w:t>
      </w:r>
      <w:r w:rsidRPr="0064597D">
        <w:rPr>
          <w:sz w:val="20"/>
          <w:szCs w:val="20"/>
        </w:rPr>
        <w:t xml:space="preserve">en los términos de los párrafos </w:t>
      </w:r>
      <w:r w:rsidR="00470E44" w:rsidRPr="0064597D">
        <w:rPr>
          <w:sz w:val="20"/>
          <w:szCs w:val="20"/>
        </w:rPr>
        <w:t>1</w:t>
      </w:r>
      <w:r w:rsidR="00BE49FF">
        <w:rPr>
          <w:sz w:val="20"/>
          <w:szCs w:val="20"/>
        </w:rPr>
        <w:t>69</w:t>
      </w:r>
      <w:r w:rsidRPr="0064597D">
        <w:rPr>
          <w:sz w:val="20"/>
          <w:szCs w:val="20"/>
        </w:rPr>
        <w:t xml:space="preserve"> a </w:t>
      </w:r>
      <w:r w:rsidR="00470E44" w:rsidRPr="0064597D">
        <w:rPr>
          <w:sz w:val="20"/>
          <w:szCs w:val="20"/>
        </w:rPr>
        <w:t>17</w:t>
      </w:r>
      <w:r w:rsidR="00BE49FF">
        <w:rPr>
          <w:sz w:val="20"/>
          <w:szCs w:val="20"/>
        </w:rPr>
        <w:t>4</w:t>
      </w:r>
      <w:r w:rsidRPr="0064597D">
        <w:rPr>
          <w:sz w:val="20"/>
          <w:szCs w:val="20"/>
        </w:rPr>
        <w:t xml:space="preserve"> de la presente Sentencia</w:t>
      </w:r>
      <w:r w:rsidR="009B2836" w:rsidRPr="0064597D">
        <w:rPr>
          <w:sz w:val="20"/>
          <w:szCs w:val="20"/>
        </w:rPr>
        <w:t>,</w:t>
      </w:r>
      <w:r w:rsidR="009B2836" w:rsidRPr="0064597D">
        <w:rPr>
          <w:b/>
          <w:sz w:val="20"/>
          <w:szCs w:val="20"/>
        </w:rPr>
        <w:t xml:space="preserve"> </w:t>
      </w:r>
      <w:r w:rsidR="009B2836" w:rsidRPr="0064597D">
        <w:rPr>
          <w:sz w:val="20"/>
          <w:szCs w:val="20"/>
        </w:rPr>
        <w:t xml:space="preserve">y por la violación del derecho a las garantías judiciales y protección judicial </w:t>
      </w:r>
      <w:r w:rsidR="009B2836" w:rsidRPr="0064597D">
        <w:rPr>
          <w:rFonts w:eastAsia="Verdana" w:cs="Verdana"/>
          <w:sz w:val="20"/>
          <w:szCs w:val="20"/>
        </w:rPr>
        <w:t xml:space="preserve">consagrados en los artículos 8.1 y 25 de la </w:t>
      </w:r>
      <w:r w:rsidR="009B2836" w:rsidRPr="0064597D">
        <w:rPr>
          <w:rFonts w:eastAsia="Verdana" w:cs="Verdana"/>
          <w:spacing w:val="1"/>
          <w:sz w:val="20"/>
          <w:szCs w:val="20"/>
          <w:lang w:val="es-ES"/>
        </w:rPr>
        <w:t>Convención Americana sobre Derechos Humanos</w:t>
      </w:r>
      <w:r w:rsidR="009B2836" w:rsidRPr="0064597D">
        <w:rPr>
          <w:rFonts w:eastAsia="Verdana" w:cs="Verdana"/>
          <w:sz w:val="20"/>
          <w:szCs w:val="20"/>
        </w:rPr>
        <w:t xml:space="preserve">, en relación con el 1.1 </w:t>
      </w:r>
      <w:r w:rsidR="009B2836" w:rsidRPr="0064597D">
        <w:rPr>
          <w:sz w:val="20"/>
          <w:szCs w:val="20"/>
          <w:lang w:val="es-ES_tradnl"/>
        </w:rPr>
        <w:t>de la Convención</w:t>
      </w:r>
      <w:r w:rsidR="009B2836" w:rsidRPr="0064597D">
        <w:rPr>
          <w:rFonts w:eastAsia="Verdana" w:cs="Verdana"/>
          <w:sz w:val="20"/>
          <w:szCs w:val="20"/>
        </w:rPr>
        <w:t>,</w:t>
      </w:r>
      <w:r w:rsidR="009B2836" w:rsidRPr="0064597D">
        <w:rPr>
          <w:sz w:val="20"/>
          <w:szCs w:val="20"/>
          <w:lang w:val="es-ES_tradnl"/>
        </w:rPr>
        <w:t xml:space="preserve"> </w:t>
      </w:r>
      <w:r w:rsidR="009B2836" w:rsidRPr="0064597D">
        <w:rPr>
          <w:sz w:val="20"/>
          <w:szCs w:val="20"/>
        </w:rPr>
        <w:t xml:space="preserve">en perjuicio de Hugo Humberto Ruiz Fuentes </w:t>
      </w:r>
      <w:r w:rsidR="009B2836" w:rsidRPr="0064597D">
        <w:rPr>
          <w:kern w:val="2"/>
          <w:sz w:val="20"/>
          <w:szCs w:val="20"/>
        </w:rPr>
        <w:t>y su hermana,</w:t>
      </w:r>
      <w:r w:rsidR="009B2836" w:rsidRPr="0064597D">
        <w:rPr>
          <w:sz w:val="20"/>
          <w:szCs w:val="20"/>
        </w:rPr>
        <w:t xml:space="preserve"> en los términos de los párrafos 17</w:t>
      </w:r>
      <w:r w:rsidR="00BE49FF">
        <w:rPr>
          <w:sz w:val="20"/>
          <w:szCs w:val="20"/>
        </w:rPr>
        <w:t>5</w:t>
      </w:r>
      <w:r w:rsidR="009B2836" w:rsidRPr="0064597D">
        <w:rPr>
          <w:sz w:val="20"/>
          <w:szCs w:val="20"/>
        </w:rPr>
        <w:t xml:space="preserve"> a 18</w:t>
      </w:r>
      <w:r w:rsidR="00BE49FF">
        <w:rPr>
          <w:sz w:val="20"/>
          <w:szCs w:val="20"/>
        </w:rPr>
        <w:t>4</w:t>
      </w:r>
      <w:r w:rsidR="009B2836" w:rsidRPr="0064597D">
        <w:rPr>
          <w:sz w:val="20"/>
          <w:szCs w:val="20"/>
        </w:rPr>
        <w:t xml:space="preserve"> de la presente Sentencia.</w:t>
      </w:r>
    </w:p>
    <w:p w14:paraId="0290DC90" w14:textId="77777777" w:rsidR="009B2836" w:rsidRPr="0064597D" w:rsidRDefault="009B2836" w:rsidP="009B2836">
      <w:pPr>
        <w:tabs>
          <w:tab w:val="left" w:pos="720"/>
        </w:tabs>
        <w:spacing w:line="20" w:lineRule="atLeast"/>
        <w:ind w:right="-90"/>
        <w:contextualSpacing/>
        <w:rPr>
          <w:b/>
          <w:i/>
          <w:sz w:val="20"/>
          <w:szCs w:val="20"/>
          <w:lang w:eastAsia="en-US"/>
        </w:rPr>
      </w:pPr>
    </w:p>
    <w:p w14:paraId="0570AF4F" w14:textId="0E075A6E" w:rsidR="00703F3B" w:rsidRPr="0064597D" w:rsidRDefault="00063252" w:rsidP="008D1A0F">
      <w:pPr>
        <w:numPr>
          <w:ilvl w:val="0"/>
          <w:numId w:val="7"/>
        </w:numPr>
        <w:tabs>
          <w:tab w:val="left" w:pos="720"/>
        </w:tabs>
        <w:spacing w:line="20" w:lineRule="atLeast"/>
        <w:ind w:right="-90"/>
        <w:contextualSpacing/>
        <w:rPr>
          <w:sz w:val="20"/>
          <w:szCs w:val="20"/>
        </w:rPr>
      </w:pPr>
      <w:r w:rsidRPr="0064597D">
        <w:rPr>
          <w:sz w:val="20"/>
          <w:szCs w:val="20"/>
        </w:rPr>
        <w:t>El Estado es responsable por la violación del derecho a la integridad personal, reconocido en el artículo</w:t>
      </w:r>
      <w:r w:rsidR="008D1A0F" w:rsidRPr="0064597D">
        <w:rPr>
          <w:sz w:val="20"/>
          <w:szCs w:val="20"/>
        </w:rPr>
        <w:t xml:space="preserve"> </w:t>
      </w:r>
      <w:r w:rsidRPr="0064597D">
        <w:rPr>
          <w:sz w:val="20"/>
          <w:szCs w:val="20"/>
        </w:rPr>
        <w:t xml:space="preserve">5.1 de la Convención Americana de Derechos Humanos, en relación con el artículo 1.1 de la misma, en perjuicio </w:t>
      </w:r>
      <w:r w:rsidR="007D2F43" w:rsidRPr="0064597D">
        <w:rPr>
          <w:sz w:val="20"/>
          <w:szCs w:val="20"/>
        </w:rPr>
        <w:t>de la hermana del señor Ruiz Fuentes</w:t>
      </w:r>
      <w:r w:rsidRPr="0064597D">
        <w:rPr>
          <w:sz w:val="20"/>
          <w:szCs w:val="20"/>
        </w:rPr>
        <w:t xml:space="preserve">, en los términos de los párrafos </w:t>
      </w:r>
      <w:r w:rsidR="00BE49FF">
        <w:rPr>
          <w:sz w:val="20"/>
          <w:szCs w:val="20"/>
        </w:rPr>
        <w:t>188</w:t>
      </w:r>
      <w:r w:rsidRPr="0064597D">
        <w:rPr>
          <w:sz w:val="20"/>
          <w:szCs w:val="20"/>
        </w:rPr>
        <w:t xml:space="preserve"> a </w:t>
      </w:r>
      <w:r w:rsidR="00BE49FF">
        <w:rPr>
          <w:sz w:val="20"/>
          <w:szCs w:val="20"/>
        </w:rPr>
        <w:t>191</w:t>
      </w:r>
      <w:r w:rsidRPr="0064597D">
        <w:rPr>
          <w:sz w:val="20"/>
          <w:szCs w:val="20"/>
        </w:rPr>
        <w:t xml:space="preserve"> de la presente Sentencia.</w:t>
      </w:r>
    </w:p>
    <w:p w14:paraId="5A31168D" w14:textId="77777777" w:rsidR="007A21E6" w:rsidRPr="0064597D" w:rsidRDefault="007A21E6" w:rsidP="007A21E6">
      <w:pPr>
        <w:tabs>
          <w:tab w:val="left" w:pos="720"/>
        </w:tabs>
        <w:spacing w:line="20" w:lineRule="atLeast"/>
        <w:ind w:right="-90"/>
        <w:contextualSpacing/>
        <w:rPr>
          <w:b/>
          <w:sz w:val="20"/>
          <w:szCs w:val="20"/>
        </w:rPr>
      </w:pPr>
    </w:p>
    <w:p w14:paraId="49F72824" w14:textId="7A7CDBA9" w:rsidR="007A21E6" w:rsidRPr="0064597D" w:rsidRDefault="007A21E6" w:rsidP="007A21E6">
      <w:pPr>
        <w:numPr>
          <w:ilvl w:val="0"/>
          <w:numId w:val="7"/>
        </w:numPr>
        <w:tabs>
          <w:tab w:val="left" w:pos="720"/>
        </w:tabs>
        <w:spacing w:line="20" w:lineRule="atLeast"/>
        <w:ind w:right="-90"/>
        <w:contextualSpacing/>
        <w:rPr>
          <w:sz w:val="20"/>
          <w:szCs w:val="20"/>
        </w:rPr>
      </w:pPr>
      <w:r w:rsidRPr="0064597D">
        <w:rPr>
          <w:kern w:val="2"/>
          <w:sz w:val="20"/>
          <w:szCs w:val="20"/>
        </w:rPr>
        <w:t xml:space="preserve">El Estado no es responsable por la violación del derecho a la vida consagrado </w:t>
      </w:r>
      <w:r w:rsidRPr="0064597D">
        <w:rPr>
          <w:sz w:val="20"/>
          <w:szCs w:val="20"/>
        </w:rPr>
        <w:t>en el artículo 4.1 de la Convención</w:t>
      </w:r>
      <w:r w:rsidRPr="0064597D">
        <w:rPr>
          <w:kern w:val="2"/>
          <w:sz w:val="20"/>
          <w:szCs w:val="20"/>
        </w:rPr>
        <w:t xml:space="preserve"> Americana sobre Derechos Humanos</w:t>
      </w:r>
      <w:r w:rsidRPr="0064597D">
        <w:rPr>
          <w:sz w:val="20"/>
          <w:szCs w:val="20"/>
        </w:rPr>
        <w:t xml:space="preserve">, en relación </w:t>
      </w:r>
      <w:r w:rsidRPr="0064597D">
        <w:rPr>
          <w:kern w:val="2"/>
          <w:sz w:val="20"/>
          <w:szCs w:val="20"/>
        </w:rPr>
        <w:t>con la obligación de garantizar los derechos establecida en el artículo 1.1 de la Convención,</w:t>
      </w:r>
      <w:r w:rsidRPr="0064597D">
        <w:rPr>
          <w:sz w:val="20"/>
          <w:szCs w:val="20"/>
        </w:rPr>
        <w:t xml:space="preserve"> </w:t>
      </w:r>
      <w:r w:rsidRPr="0064597D">
        <w:rPr>
          <w:kern w:val="2"/>
          <w:sz w:val="20"/>
          <w:szCs w:val="20"/>
        </w:rPr>
        <w:t xml:space="preserve">por la imposición de la pena de muerte, en perjuicio de Hugo Humberto Ruiz Fuentes, </w:t>
      </w:r>
      <w:r w:rsidRPr="0064597D">
        <w:rPr>
          <w:sz w:val="20"/>
          <w:szCs w:val="20"/>
        </w:rPr>
        <w:t xml:space="preserve">en los términos de </w:t>
      </w:r>
      <w:r w:rsidR="00BE49FF">
        <w:rPr>
          <w:sz w:val="20"/>
          <w:szCs w:val="20"/>
        </w:rPr>
        <w:t>del párrafo 89</w:t>
      </w:r>
      <w:r w:rsidRPr="0064597D">
        <w:rPr>
          <w:sz w:val="20"/>
          <w:szCs w:val="20"/>
        </w:rPr>
        <w:t xml:space="preserve"> de la presente Sentencia.</w:t>
      </w:r>
    </w:p>
    <w:p w14:paraId="12569D06" w14:textId="77777777" w:rsidR="007A21E6" w:rsidRPr="0064597D" w:rsidRDefault="007A21E6" w:rsidP="007A21E6">
      <w:pPr>
        <w:tabs>
          <w:tab w:val="left" w:pos="720"/>
        </w:tabs>
        <w:spacing w:line="20" w:lineRule="atLeast"/>
        <w:ind w:right="-90"/>
        <w:contextualSpacing/>
        <w:rPr>
          <w:sz w:val="20"/>
          <w:szCs w:val="20"/>
        </w:rPr>
      </w:pPr>
    </w:p>
    <w:p w14:paraId="4F020F76" w14:textId="77777777" w:rsidR="00703F3B" w:rsidRPr="0064597D" w:rsidRDefault="00703F3B" w:rsidP="00703F3B">
      <w:pPr>
        <w:tabs>
          <w:tab w:val="left" w:pos="720"/>
        </w:tabs>
        <w:spacing w:before="360" w:after="360" w:line="20" w:lineRule="atLeast"/>
        <w:ind w:right="-86"/>
        <w:contextualSpacing/>
        <w:rPr>
          <w:rFonts w:eastAsia="MS Mincho"/>
          <w:b/>
          <w:bCs/>
          <w:sz w:val="20"/>
          <w:szCs w:val="20"/>
          <w:lang w:bidi="en-US"/>
        </w:rPr>
      </w:pPr>
      <w:r w:rsidRPr="0064597D">
        <w:rPr>
          <w:rFonts w:eastAsia="MS Mincho"/>
          <w:b/>
          <w:bCs/>
          <w:sz w:val="20"/>
          <w:szCs w:val="20"/>
          <w:lang w:bidi="en-US"/>
        </w:rPr>
        <w:lastRenderedPageBreak/>
        <w:t>Y DISPONE:</w:t>
      </w:r>
    </w:p>
    <w:p w14:paraId="1D1810B0" w14:textId="77777777" w:rsidR="00703F3B" w:rsidRPr="0064597D" w:rsidRDefault="00703F3B" w:rsidP="00703F3B">
      <w:pPr>
        <w:tabs>
          <w:tab w:val="left" w:pos="720"/>
        </w:tabs>
        <w:spacing w:line="20" w:lineRule="atLeast"/>
        <w:ind w:right="-90"/>
        <w:contextualSpacing/>
        <w:rPr>
          <w:rFonts w:eastAsia="MS Mincho"/>
          <w:b/>
          <w:bCs/>
          <w:sz w:val="20"/>
          <w:szCs w:val="20"/>
          <w:lang w:bidi="en-US"/>
        </w:rPr>
      </w:pPr>
    </w:p>
    <w:p w14:paraId="3F44FC37" w14:textId="0A34F27C" w:rsidR="00703F3B" w:rsidRPr="0064597D" w:rsidRDefault="00703F3B" w:rsidP="00703F3B">
      <w:pPr>
        <w:tabs>
          <w:tab w:val="left" w:pos="720"/>
        </w:tabs>
        <w:spacing w:line="20" w:lineRule="atLeast"/>
        <w:ind w:right="-90"/>
        <w:contextualSpacing/>
        <w:rPr>
          <w:rFonts w:eastAsia="MS Mincho"/>
          <w:sz w:val="20"/>
          <w:szCs w:val="20"/>
          <w:lang w:bidi="en-US"/>
        </w:rPr>
      </w:pPr>
      <w:r w:rsidRPr="0064597D">
        <w:rPr>
          <w:rFonts w:eastAsia="MS Mincho"/>
          <w:sz w:val="20"/>
          <w:szCs w:val="20"/>
          <w:lang w:bidi="en-US"/>
        </w:rPr>
        <w:t xml:space="preserve">Por </w:t>
      </w:r>
      <w:r w:rsidR="000678D0" w:rsidRPr="0064597D">
        <w:rPr>
          <w:rFonts w:eastAsia="MS Mincho"/>
          <w:sz w:val="20"/>
          <w:szCs w:val="20"/>
          <w:lang w:bidi="en-US"/>
        </w:rPr>
        <w:t>unanimidad</w:t>
      </w:r>
      <w:r w:rsidRPr="0064597D">
        <w:rPr>
          <w:rFonts w:eastAsia="MS Mincho"/>
          <w:sz w:val="20"/>
          <w:szCs w:val="20"/>
          <w:lang w:bidi="en-US"/>
        </w:rPr>
        <w:t>, que:</w:t>
      </w:r>
    </w:p>
    <w:p w14:paraId="548CA05F" w14:textId="77777777" w:rsidR="00703F3B" w:rsidRPr="0064597D" w:rsidRDefault="00703F3B" w:rsidP="00703F3B">
      <w:pPr>
        <w:tabs>
          <w:tab w:val="left" w:pos="720"/>
        </w:tabs>
        <w:spacing w:line="20" w:lineRule="atLeast"/>
        <w:ind w:right="-90"/>
        <w:contextualSpacing/>
        <w:rPr>
          <w:rFonts w:eastAsia="MS Mincho"/>
          <w:bCs/>
          <w:sz w:val="20"/>
          <w:szCs w:val="20"/>
          <w:lang w:bidi="en-US"/>
        </w:rPr>
      </w:pPr>
    </w:p>
    <w:p w14:paraId="31F146E9" w14:textId="77777777" w:rsidR="00703F3B" w:rsidRPr="0064597D" w:rsidRDefault="00703F3B" w:rsidP="00703F3B">
      <w:pPr>
        <w:numPr>
          <w:ilvl w:val="0"/>
          <w:numId w:val="7"/>
        </w:numPr>
        <w:tabs>
          <w:tab w:val="left" w:pos="720"/>
        </w:tabs>
        <w:spacing w:line="20" w:lineRule="atLeast"/>
        <w:ind w:right="-90"/>
        <w:contextualSpacing/>
        <w:rPr>
          <w:bCs/>
          <w:sz w:val="20"/>
          <w:szCs w:val="20"/>
        </w:rPr>
      </w:pPr>
      <w:r w:rsidRPr="0064597D">
        <w:rPr>
          <w:sz w:val="20"/>
          <w:szCs w:val="20"/>
        </w:rPr>
        <w:t>Esta</w:t>
      </w:r>
      <w:r w:rsidRPr="0064597D">
        <w:rPr>
          <w:bCs/>
          <w:sz w:val="20"/>
          <w:szCs w:val="20"/>
        </w:rPr>
        <w:t xml:space="preserve"> Sentencia constituye, por sí misma, una forma de reparación.</w:t>
      </w:r>
    </w:p>
    <w:p w14:paraId="103A2FCA" w14:textId="77777777" w:rsidR="00703F3B" w:rsidRPr="0064597D" w:rsidRDefault="00703F3B" w:rsidP="00703F3B">
      <w:pPr>
        <w:tabs>
          <w:tab w:val="left" w:pos="720"/>
        </w:tabs>
        <w:spacing w:line="20" w:lineRule="atLeast"/>
        <w:ind w:right="-90"/>
        <w:contextualSpacing/>
        <w:rPr>
          <w:bCs/>
          <w:sz w:val="20"/>
          <w:szCs w:val="20"/>
        </w:rPr>
      </w:pPr>
    </w:p>
    <w:p w14:paraId="69B2F4BE" w14:textId="35F713B4" w:rsidR="008D1A0F" w:rsidRPr="0064597D" w:rsidRDefault="00703F3B" w:rsidP="008D1A0F">
      <w:pPr>
        <w:numPr>
          <w:ilvl w:val="0"/>
          <w:numId w:val="7"/>
        </w:numPr>
        <w:tabs>
          <w:tab w:val="left" w:pos="720"/>
        </w:tabs>
        <w:spacing w:line="20" w:lineRule="atLeast"/>
        <w:ind w:right="-90"/>
        <w:contextualSpacing/>
        <w:rPr>
          <w:b/>
          <w:i/>
          <w:sz w:val="20"/>
          <w:szCs w:val="20"/>
          <w:lang w:eastAsia="en-US"/>
        </w:rPr>
      </w:pPr>
      <w:r w:rsidRPr="0064597D">
        <w:rPr>
          <w:sz w:val="20"/>
          <w:szCs w:val="20"/>
          <w:lang w:val="es-PE"/>
        </w:rPr>
        <w:t xml:space="preserve">El Estado </w:t>
      </w:r>
      <w:r w:rsidR="008A1151" w:rsidRPr="0064597D">
        <w:rPr>
          <w:sz w:val="20"/>
          <w:szCs w:val="20"/>
          <w:lang w:val="es-PE"/>
        </w:rPr>
        <w:t>continuará</w:t>
      </w:r>
      <w:r w:rsidR="008D1A0F" w:rsidRPr="0064597D">
        <w:rPr>
          <w:sz w:val="20"/>
          <w:szCs w:val="20"/>
        </w:rPr>
        <w:t xml:space="preserve"> con las investigaciones que sean necesarias para identificar, juzgar y, en su caso, sancionar a los responsables </w:t>
      </w:r>
      <w:r w:rsidR="008D1A0F" w:rsidRPr="0064597D">
        <w:rPr>
          <w:rFonts w:eastAsia="MS Mincho"/>
          <w:sz w:val="20"/>
          <w:szCs w:val="20"/>
          <w:lang w:bidi="en-US"/>
        </w:rPr>
        <w:t>de</w:t>
      </w:r>
      <w:r w:rsidR="008D1A0F" w:rsidRPr="0064597D">
        <w:rPr>
          <w:sz w:val="20"/>
          <w:szCs w:val="20"/>
        </w:rPr>
        <w:t xml:space="preserve"> la muerte del señor Hugo Humberto Ruiz Fuentes</w:t>
      </w:r>
      <w:r w:rsidRPr="0064597D">
        <w:rPr>
          <w:sz w:val="20"/>
          <w:szCs w:val="20"/>
        </w:rPr>
        <w:t xml:space="preserve">, </w:t>
      </w:r>
      <w:r w:rsidR="008D1A0F" w:rsidRPr="0064597D">
        <w:rPr>
          <w:sz w:val="20"/>
          <w:szCs w:val="20"/>
        </w:rPr>
        <w:t xml:space="preserve">en los términos </w:t>
      </w:r>
      <w:r w:rsidR="00AC2AC7" w:rsidRPr="0064597D">
        <w:rPr>
          <w:sz w:val="20"/>
          <w:szCs w:val="20"/>
        </w:rPr>
        <w:t>del párrafo</w:t>
      </w:r>
      <w:r w:rsidR="008D1A0F" w:rsidRPr="0064597D">
        <w:rPr>
          <w:sz w:val="20"/>
          <w:szCs w:val="20"/>
        </w:rPr>
        <w:t xml:space="preserve"> </w:t>
      </w:r>
      <w:r w:rsidR="00450C8F">
        <w:rPr>
          <w:sz w:val="20"/>
          <w:szCs w:val="20"/>
        </w:rPr>
        <w:t>200</w:t>
      </w:r>
      <w:r w:rsidR="008D1A0F" w:rsidRPr="0064597D">
        <w:rPr>
          <w:sz w:val="20"/>
          <w:szCs w:val="20"/>
        </w:rPr>
        <w:t xml:space="preserve"> de la presente Sentencia.</w:t>
      </w:r>
    </w:p>
    <w:p w14:paraId="0CAB006D" w14:textId="77777777" w:rsidR="008D1A0F" w:rsidRPr="0064597D" w:rsidRDefault="008D1A0F" w:rsidP="008D1A0F">
      <w:pPr>
        <w:tabs>
          <w:tab w:val="left" w:pos="720"/>
        </w:tabs>
        <w:spacing w:line="20" w:lineRule="atLeast"/>
        <w:ind w:right="-90"/>
        <w:contextualSpacing/>
        <w:rPr>
          <w:b/>
          <w:i/>
          <w:sz w:val="20"/>
          <w:szCs w:val="20"/>
          <w:lang w:eastAsia="en-US"/>
        </w:rPr>
      </w:pPr>
    </w:p>
    <w:p w14:paraId="00C73918" w14:textId="2CDE2CB8" w:rsidR="008D1A0F" w:rsidRPr="0064597D" w:rsidRDefault="008D1A0F" w:rsidP="008D1A0F">
      <w:pPr>
        <w:numPr>
          <w:ilvl w:val="0"/>
          <w:numId w:val="7"/>
        </w:numPr>
        <w:tabs>
          <w:tab w:val="left" w:pos="720"/>
        </w:tabs>
        <w:spacing w:line="20" w:lineRule="atLeast"/>
        <w:ind w:right="-90"/>
        <w:contextualSpacing/>
        <w:rPr>
          <w:sz w:val="20"/>
          <w:szCs w:val="20"/>
        </w:rPr>
      </w:pPr>
      <w:r w:rsidRPr="0064597D">
        <w:rPr>
          <w:sz w:val="20"/>
          <w:szCs w:val="20"/>
          <w:lang w:val="es-PE"/>
        </w:rPr>
        <w:t xml:space="preserve">El Estado </w:t>
      </w:r>
      <w:r w:rsidR="008A1151" w:rsidRPr="0064597D">
        <w:rPr>
          <w:sz w:val="20"/>
          <w:szCs w:val="20"/>
          <w:lang w:val="es-PE"/>
        </w:rPr>
        <w:t>iniciará</w:t>
      </w:r>
      <w:r w:rsidRPr="0064597D">
        <w:rPr>
          <w:sz w:val="20"/>
          <w:szCs w:val="20"/>
          <w:lang w:val="es-PE"/>
        </w:rPr>
        <w:t xml:space="preserve">, de acuerdo a lo previsto en la legislación interna, en un plazo no superior a seis meses, </w:t>
      </w:r>
      <w:r w:rsidRPr="0064597D">
        <w:rPr>
          <w:sz w:val="20"/>
          <w:szCs w:val="20"/>
        </w:rPr>
        <w:t xml:space="preserve">las investigaciones que sean necesarias para identificar, juzgar y, en su caso, sancionar a los responsables de las torturas sufridas por el señor Hugo Humberto </w:t>
      </w:r>
      <w:r w:rsidR="00AC2AC7" w:rsidRPr="0064597D">
        <w:rPr>
          <w:sz w:val="20"/>
          <w:szCs w:val="20"/>
        </w:rPr>
        <w:t xml:space="preserve">del párrafo </w:t>
      </w:r>
      <w:r w:rsidR="00450C8F">
        <w:rPr>
          <w:sz w:val="20"/>
          <w:szCs w:val="20"/>
        </w:rPr>
        <w:t>201</w:t>
      </w:r>
      <w:r w:rsidR="00AC2AC7" w:rsidRPr="0064597D">
        <w:rPr>
          <w:sz w:val="20"/>
          <w:szCs w:val="20"/>
        </w:rPr>
        <w:t xml:space="preserve"> </w:t>
      </w:r>
      <w:r w:rsidRPr="0064597D">
        <w:rPr>
          <w:sz w:val="20"/>
          <w:szCs w:val="20"/>
        </w:rPr>
        <w:t>de la presente Sentencia.</w:t>
      </w:r>
    </w:p>
    <w:p w14:paraId="447A8438" w14:textId="77777777" w:rsidR="008D1A0F" w:rsidRPr="0064597D" w:rsidRDefault="008D1A0F" w:rsidP="008D1A0F">
      <w:pPr>
        <w:tabs>
          <w:tab w:val="left" w:pos="720"/>
        </w:tabs>
        <w:spacing w:line="20" w:lineRule="atLeast"/>
        <w:ind w:right="-90"/>
        <w:contextualSpacing/>
        <w:rPr>
          <w:sz w:val="20"/>
          <w:szCs w:val="20"/>
        </w:rPr>
      </w:pPr>
    </w:p>
    <w:p w14:paraId="1BF27817" w14:textId="3B9966E0" w:rsidR="008D1A0F" w:rsidRPr="0064597D" w:rsidRDefault="008D1A0F" w:rsidP="008D1A0F">
      <w:pPr>
        <w:numPr>
          <w:ilvl w:val="0"/>
          <w:numId w:val="7"/>
        </w:numPr>
        <w:tabs>
          <w:tab w:val="left" w:pos="720"/>
        </w:tabs>
        <w:spacing w:line="20" w:lineRule="atLeast"/>
        <w:ind w:right="-90"/>
        <w:contextualSpacing/>
        <w:rPr>
          <w:bCs/>
          <w:sz w:val="20"/>
          <w:szCs w:val="20"/>
        </w:rPr>
      </w:pPr>
      <w:r w:rsidRPr="0064597D">
        <w:rPr>
          <w:bCs/>
          <w:sz w:val="20"/>
          <w:szCs w:val="20"/>
        </w:rPr>
        <w:t xml:space="preserve">El Estado </w:t>
      </w:r>
      <w:r w:rsidR="008A1151" w:rsidRPr="0064597D">
        <w:rPr>
          <w:bCs/>
          <w:sz w:val="20"/>
          <w:szCs w:val="20"/>
        </w:rPr>
        <w:t>realizará</w:t>
      </w:r>
      <w:r w:rsidRPr="0064597D">
        <w:rPr>
          <w:bCs/>
          <w:sz w:val="20"/>
          <w:szCs w:val="20"/>
        </w:rPr>
        <w:t xml:space="preserve"> las publicaciones indicadas en el párrafo </w:t>
      </w:r>
      <w:r w:rsidR="00450C8F">
        <w:rPr>
          <w:bCs/>
          <w:sz w:val="20"/>
          <w:szCs w:val="20"/>
        </w:rPr>
        <w:t>206</w:t>
      </w:r>
      <w:r w:rsidRPr="0064597D">
        <w:rPr>
          <w:bCs/>
          <w:sz w:val="20"/>
          <w:szCs w:val="20"/>
        </w:rPr>
        <w:t xml:space="preserve"> de la presente Sentencia.</w:t>
      </w:r>
    </w:p>
    <w:p w14:paraId="5F3275A2" w14:textId="77777777" w:rsidR="008D1A0F" w:rsidRPr="0064597D" w:rsidRDefault="008D1A0F" w:rsidP="008D1A0F">
      <w:pPr>
        <w:tabs>
          <w:tab w:val="left" w:pos="720"/>
        </w:tabs>
        <w:spacing w:line="20" w:lineRule="atLeast"/>
        <w:ind w:right="-90"/>
        <w:contextualSpacing/>
        <w:rPr>
          <w:bCs/>
          <w:sz w:val="20"/>
          <w:szCs w:val="20"/>
        </w:rPr>
      </w:pPr>
    </w:p>
    <w:p w14:paraId="5CCE79A7" w14:textId="6947A6B0" w:rsidR="008D1A0F" w:rsidRPr="0064597D" w:rsidRDefault="008D1A0F" w:rsidP="008D1A0F">
      <w:pPr>
        <w:numPr>
          <w:ilvl w:val="0"/>
          <w:numId w:val="7"/>
        </w:numPr>
        <w:tabs>
          <w:tab w:val="left" w:pos="720"/>
        </w:tabs>
        <w:spacing w:line="20" w:lineRule="atLeast"/>
        <w:ind w:right="-90"/>
        <w:contextualSpacing/>
        <w:rPr>
          <w:rFonts w:cs="Arial"/>
          <w:bCs/>
          <w:sz w:val="20"/>
          <w:szCs w:val="20"/>
          <w:lang w:val="es-PE"/>
        </w:rPr>
      </w:pPr>
      <w:r w:rsidRPr="0064597D">
        <w:rPr>
          <w:sz w:val="20"/>
          <w:szCs w:val="20"/>
        </w:rPr>
        <w:t xml:space="preserve">El Estado </w:t>
      </w:r>
      <w:r w:rsidR="008A1151" w:rsidRPr="0064597D">
        <w:rPr>
          <w:sz w:val="20"/>
          <w:szCs w:val="20"/>
        </w:rPr>
        <w:t>incluirá</w:t>
      </w:r>
      <w:r w:rsidRPr="0064597D">
        <w:rPr>
          <w:sz w:val="20"/>
          <w:szCs w:val="20"/>
        </w:rPr>
        <w:t>, dentro de los cursos de formación de los miembros de la policía y organismos de seguridad, capacitación específica y cursos de carácter permanente sobre la prohibición absoluta de la tortura.</w:t>
      </w:r>
    </w:p>
    <w:p w14:paraId="63A9E0CA" w14:textId="77777777" w:rsidR="008D1A0F" w:rsidRPr="0064597D" w:rsidRDefault="008D1A0F" w:rsidP="00656467">
      <w:pPr>
        <w:tabs>
          <w:tab w:val="left" w:pos="720"/>
        </w:tabs>
        <w:spacing w:line="20" w:lineRule="atLeast"/>
        <w:ind w:right="-90"/>
        <w:contextualSpacing/>
        <w:rPr>
          <w:bCs/>
          <w:sz w:val="20"/>
          <w:szCs w:val="20"/>
        </w:rPr>
      </w:pPr>
    </w:p>
    <w:p w14:paraId="30164459" w14:textId="06EA84BC" w:rsidR="00703F3B" w:rsidRPr="0064597D" w:rsidRDefault="00703F3B" w:rsidP="00703F3B">
      <w:pPr>
        <w:numPr>
          <w:ilvl w:val="0"/>
          <w:numId w:val="7"/>
        </w:numPr>
        <w:tabs>
          <w:tab w:val="left" w:pos="720"/>
        </w:tabs>
        <w:spacing w:line="20" w:lineRule="atLeast"/>
        <w:ind w:right="-90"/>
        <w:contextualSpacing/>
        <w:rPr>
          <w:bCs/>
          <w:sz w:val="20"/>
          <w:szCs w:val="20"/>
        </w:rPr>
      </w:pPr>
      <w:r w:rsidRPr="0064597D">
        <w:rPr>
          <w:bCs/>
          <w:sz w:val="20"/>
          <w:szCs w:val="20"/>
        </w:rPr>
        <w:t xml:space="preserve">El Estado </w:t>
      </w:r>
      <w:r w:rsidR="008A1151" w:rsidRPr="0064597D">
        <w:rPr>
          <w:bCs/>
          <w:sz w:val="20"/>
          <w:szCs w:val="20"/>
        </w:rPr>
        <w:t>pagará</w:t>
      </w:r>
      <w:r w:rsidR="00AC2AC7" w:rsidRPr="0064597D">
        <w:rPr>
          <w:bCs/>
          <w:sz w:val="20"/>
          <w:szCs w:val="20"/>
        </w:rPr>
        <w:t xml:space="preserve"> las cantidades fijadas en los</w:t>
      </w:r>
      <w:r w:rsidRPr="0064597D">
        <w:rPr>
          <w:bCs/>
          <w:sz w:val="20"/>
          <w:szCs w:val="20"/>
        </w:rPr>
        <w:t xml:space="preserve"> párrafo</w:t>
      </w:r>
      <w:r w:rsidR="00AC2AC7" w:rsidRPr="0064597D">
        <w:rPr>
          <w:bCs/>
          <w:sz w:val="20"/>
          <w:szCs w:val="20"/>
        </w:rPr>
        <w:t>s</w:t>
      </w:r>
      <w:r w:rsidRPr="0064597D">
        <w:rPr>
          <w:bCs/>
          <w:sz w:val="20"/>
          <w:szCs w:val="20"/>
        </w:rPr>
        <w:t xml:space="preserve"> </w:t>
      </w:r>
      <w:r w:rsidR="00450C8F">
        <w:rPr>
          <w:bCs/>
          <w:sz w:val="20"/>
          <w:szCs w:val="20"/>
        </w:rPr>
        <w:t>245</w:t>
      </w:r>
      <w:r w:rsidR="00AC2AC7" w:rsidRPr="0064597D">
        <w:rPr>
          <w:bCs/>
          <w:sz w:val="20"/>
          <w:szCs w:val="20"/>
        </w:rPr>
        <w:t>, 2</w:t>
      </w:r>
      <w:r w:rsidR="00450C8F">
        <w:rPr>
          <w:bCs/>
          <w:sz w:val="20"/>
          <w:szCs w:val="20"/>
        </w:rPr>
        <w:t>46</w:t>
      </w:r>
      <w:r w:rsidR="00AC2AC7" w:rsidRPr="0064597D">
        <w:rPr>
          <w:bCs/>
          <w:sz w:val="20"/>
          <w:szCs w:val="20"/>
        </w:rPr>
        <w:t xml:space="preserve"> y 25</w:t>
      </w:r>
      <w:r w:rsidR="00450C8F">
        <w:rPr>
          <w:bCs/>
          <w:sz w:val="20"/>
          <w:szCs w:val="20"/>
        </w:rPr>
        <w:t>2</w:t>
      </w:r>
      <w:r w:rsidR="00AC2AC7" w:rsidRPr="0064597D">
        <w:rPr>
          <w:bCs/>
          <w:sz w:val="20"/>
          <w:szCs w:val="20"/>
        </w:rPr>
        <w:t xml:space="preserve"> </w:t>
      </w:r>
      <w:r w:rsidRPr="0064597D">
        <w:rPr>
          <w:bCs/>
          <w:sz w:val="20"/>
          <w:szCs w:val="20"/>
        </w:rPr>
        <w:t>de la presente Sentencia por concepto de indemnización por daño inmaterial</w:t>
      </w:r>
      <w:r w:rsidR="00656467" w:rsidRPr="0064597D">
        <w:rPr>
          <w:bCs/>
          <w:sz w:val="20"/>
          <w:szCs w:val="20"/>
        </w:rPr>
        <w:t xml:space="preserve"> y costas</w:t>
      </w:r>
      <w:r w:rsidRPr="0064597D">
        <w:rPr>
          <w:bCs/>
          <w:sz w:val="20"/>
          <w:szCs w:val="20"/>
        </w:rPr>
        <w:t>.</w:t>
      </w:r>
    </w:p>
    <w:p w14:paraId="6148D3AF" w14:textId="77777777" w:rsidR="00703F3B" w:rsidRPr="0064597D" w:rsidRDefault="00703F3B" w:rsidP="00703F3B">
      <w:pPr>
        <w:tabs>
          <w:tab w:val="left" w:pos="720"/>
        </w:tabs>
        <w:spacing w:line="20" w:lineRule="atLeast"/>
        <w:ind w:right="-90"/>
        <w:contextualSpacing/>
        <w:rPr>
          <w:bCs/>
          <w:sz w:val="20"/>
          <w:szCs w:val="20"/>
        </w:rPr>
      </w:pPr>
    </w:p>
    <w:p w14:paraId="41EDDA1C" w14:textId="1275146D" w:rsidR="00703F3B" w:rsidRPr="0064597D" w:rsidRDefault="00703F3B" w:rsidP="00703F3B">
      <w:pPr>
        <w:numPr>
          <w:ilvl w:val="0"/>
          <w:numId w:val="7"/>
        </w:numPr>
        <w:tabs>
          <w:tab w:val="left" w:pos="720"/>
        </w:tabs>
        <w:spacing w:line="20" w:lineRule="atLeast"/>
        <w:ind w:right="-90"/>
        <w:contextualSpacing/>
        <w:rPr>
          <w:sz w:val="20"/>
          <w:szCs w:val="20"/>
        </w:rPr>
      </w:pPr>
      <w:r w:rsidRPr="0064597D">
        <w:rPr>
          <w:sz w:val="20"/>
          <w:szCs w:val="20"/>
        </w:rPr>
        <w:t xml:space="preserve">El Estado </w:t>
      </w:r>
      <w:r w:rsidR="008A1151" w:rsidRPr="0064597D">
        <w:rPr>
          <w:sz w:val="20"/>
          <w:szCs w:val="20"/>
        </w:rPr>
        <w:t>reintegrará</w:t>
      </w:r>
      <w:r w:rsidRPr="0064597D">
        <w:rPr>
          <w:sz w:val="20"/>
          <w:szCs w:val="20"/>
        </w:rPr>
        <w:t xml:space="preserve"> al Fondo de Asistencia Legal de Víctimas de la Corte Interamericana de Derechos Humanos la cantidad erogada durante la tramitación del presente caso, en los términos del párrafo </w:t>
      </w:r>
      <w:r w:rsidR="00D714A4">
        <w:rPr>
          <w:sz w:val="20"/>
          <w:szCs w:val="20"/>
        </w:rPr>
        <w:t>255</w:t>
      </w:r>
      <w:r w:rsidRPr="0064597D">
        <w:rPr>
          <w:sz w:val="20"/>
          <w:szCs w:val="20"/>
        </w:rPr>
        <w:t xml:space="preserve"> de esta Sentencia.</w:t>
      </w:r>
    </w:p>
    <w:p w14:paraId="5CD52F79" w14:textId="77777777" w:rsidR="00703F3B" w:rsidRPr="0064597D" w:rsidRDefault="00703F3B" w:rsidP="00703F3B">
      <w:pPr>
        <w:tabs>
          <w:tab w:val="left" w:pos="720"/>
        </w:tabs>
        <w:spacing w:line="20" w:lineRule="atLeast"/>
        <w:ind w:right="-90"/>
        <w:contextualSpacing/>
        <w:rPr>
          <w:sz w:val="20"/>
          <w:szCs w:val="20"/>
        </w:rPr>
      </w:pPr>
    </w:p>
    <w:p w14:paraId="798B23D9" w14:textId="49213EA2" w:rsidR="00703F3B" w:rsidRPr="0064597D" w:rsidRDefault="00703F3B" w:rsidP="00703F3B">
      <w:pPr>
        <w:numPr>
          <w:ilvl w:val="0"/>
          <w:numId w:val="7"/>
        </w:numPr>
        <w:tabs>
          <w:tab w:val="left" w:pos="720"/>
        </w:tabs>
        <w:spacing w:line="20" w:lineRule="atLeast"/>
        <w:ind w:right="-90"/>
        <w:contextualSpacing/>
        <w:rPr>
          <w:rFonts w:eastAsia="MS Mincho"/>
          <w:bCs/>
          <w:sz w:val="20"/>
          <w:szCs w:val="20"/>
          <w:lang w:bidi="en-US"/>
        </w:rPr>
      </w:pPr>
      <w:r w:rsidRPr="0064597D">
        <w:rPr>
          <w:bCs/>
          <w:sz w:val="20"/>
          <w:szCs w:val="20"/>
        </w:rPr>
        <w:t xml:space="preserve">El Estado, dentro del plazo de un año contado a partir de la notificación de esta Sentencia, </w:t>
      </w:r>
      <w:r w:rsidR="008A1151" w:rsidRPr="0064597D">
        <w:rPr>
          <w:bCs/>
          <w:sz w:val="20"/>
          <w:szCs w:val="20"/>
        </w:rPr>
        <w:t>rendirá</w:t>
      </w:r>
      <w:r w:rsidRPr="0064597D">
        <w:rPr>
          <w:bCs/>
          <w:sz w:val="20"/>
          <w:szCs w:val="20"/>
        </w:rPr>
        <w:t xml:space="preserve"> al Tribunal un informe sobre las medidas adoptadas para cumplir con la misma</w:t>
      </w:r>
      <w:r w:rsidR="00E136CA" w:rsidRPr="0064597D">
        <w:rPr>
          <w:bCs/>
          <w:sz w:val="20"/>
          <w:szCs w:val="20"/>
        </w:rPr>
        <w:t>.</w:t>
      </w:r>
    </w:p>
    <w:p w14:paraId="69EB3570" w14:textId="1B2E4719" w:rsidR="00703F3B" w:rsidRPr="0064597D" w:rsidRDefault="005101FE" w:rsidP="00703F3B">
      <w:pPr>
        <w:tabs>
          <w:tab w:val="left" w:pos="720"/>
        </w:tabs>
        <w:spacing w:line="20" w:lineRule="atLeast"/>
        <w:ind w:right="-90"/>
        <w:contextualSpacing/>
        <w:rPr>
          <w:rFonts w:eastAsia="MS Mincho"/>
          <w:bCs/>
          <w:sz w:val="20"/>
          <w:szCs w:val="20"/>
          <w:lang w:bidi="en-US"/>
        </w:rPr>
      </w:pPr>
      <w:r w:rsidRPr="0064597D">
        <w:rPr>
          <w:rFonts w:eastAsia="MS Mincho"/>
          <w:bCs/>
          <w:sz w:val="20"/>
          <w:szCs w:val="20"/>
          <w:lang w:bidi="en-US"/>
        </w:rPr>
        <w:t xml:space="preserve"> </w:t>
      </w:r>
    </w:p>
    <w:p w14:paraId="7F6E0265" w14:textId="77777777" w:rsidR="00703F3B" w:rsidRPr="0064597D" w:rsidRDefault="00703F3B" w:rsidP="00703F3B">
      <w:pPr>
        <w:numPr>
          <w:ilvl w:val="0"/>
          <w:numId w:val="7"/>
        </w:numPr>
        <w:tabs>
          <w:tab w:val="left" w:pos="720"/>
        </w:tabs>
        <w:spacing w:line="20" w:lineRule="atLeast"/>
        <w:ind w:right="-90"/>
        <w:contextualSpacing/>
        <w:rPr>
          <w:b/>
          <w:bCs/>
          <w:sz w:val="20"/>
          <w:szCs w:val="20"/>
        </w:rPr>
      </w:pPr>
      <w:r w:rsidRPr="0064597D">
        <w:rPr>
          <w:bCs/>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3A5ECE6F" w14:textId="77777777" w:rsidR="00703F3B" w:rsidRPr="0064597D" w:rsidRDefault="00703F3B" w:rsidP="00703F3B">
      <w:pPr>
        <w:tabs>
          <w:tab w:val="left" w:pos="720"/>
        </w:tabs>
        <w:spacing w:line="20" w:lineRule="atLeast"/>
        <w:ind w:right="-93"/>
        <w:contextualSpacing/>
        <w:rPr>
          <w:rFonts w:cs="Verdana"/>
          <w:color w:val="FF0000"/>
          <w:sz w:val="20"/>
          <w:szCs w:val="20"/>
        </w:rPr>
      </w:pPr>
    </w:p>
    <w:p w14:paraId="582FF884" w14:textId="361D5692" w:rsidR="002055E2" w:rsidRDefault="00703F3B" w:rsidP="00F26380">
      <w:pPr>
        <w:tabs>
          <w:tab w:val="left" w:pos="720"/>
        </w:tabs>
        <w:spacing w:line="20" w:lineRule="atLeast"/>
        <w:ind w:right="-93"/>
        <w:contextualSpacing/>
        <w:rPr>
          <w:rFonts w:cs="Verdana"/>
          <w:sz w:val="20"/>
          <w:szCs w:val="20"/>
        </w:rPr>
      </w:pPr>
      <w:r w:rsidRPr="0064597D">
        <w:rPr>
          <w:rFonts w:cs="Verdana"/>
          <w:sz w:val="20"/>
          <w:szCs w:val="20"/>
        </w:rPr>
        <w:t xml:space="preserve">Redactada en español en San José, Costa Rica, el </w:t>
      </w:r>
      <w:r w:rsidR="008A1151" w:rsidRPr="0064597D">
        <w:rPr>
          <w:rFonts w:cs="Verdana"/>
          <w:sz w:val="20"/>
          <w:szCs w:val="20"/>
        </w:rPr>
        <w:t>10</w:t>
      </w:r>
      <w:r w:rsidRPr="0064597D">
        <w:rPr>
          <w:rFonts w:cs="Verdana"/>
          <w:sz w:val="20"/>
          <w:szCs w:val="20"/>
        </w:rPr>
        <w:t xml:space="preserve"> de octubre de 2019.</w:t>
      </w:r>
    </w:p>
    <w:p w14:paraId="1E8EF61C" w14:textId="77777777" w:rsidR="002055E2" w:rsidRDefault="002055E2">
      <w:pPr>
        <w:widowControl/>
        <w:adjustRightInd/>
        <w:spacing w:after="200" w:line="276" w:lineRule="auto"/>
        <w:jc w:val="left"/>
        <w:textAlignment w:val="auto"/>
        <w:rPr>
          <w:rFonts w:cs="Verdana"/>
          <w:sz w:val="20"/>
          <w:szCs w:val="20"/>
        </w:rPr>
      </w:pPr>
      <w:r>
        <w:rPr>
          <w:rFonts w:cs="Verdana"/>
          <w:sz w:val="20"/>
          <w:szCs w:val="20"/>
        </w:rPr>
        <w:br w:type="page"/>
      </w:r>
    </w:p>
    <w:p w14:paraId="66743431" w14:textId="77777777" w:rsidR="002055E2" w:rsidRPr="00745B6E" w:rsidRDefault="002055E2" w:rsidP="002055E2">
      <w:pPr>
        <w:keepNext/>
        <w:outlineLvl w:val="0"/>
        <w:rPr>
          <w:sz w:val="20"/>
        </w:rPr>
      </w:pPr>
      <w:r w:rsidRPr="00745B6E">
        <w:rPr>
          <w:sz w:val="20"/>
          <w:lang w:val="es-ES"/>
        </w:rPr>
        <w:lastRenderedPageBreak/>
        <w:t xml:space="preserve">Corte IDH. </w:t>
      </w:r>
      <w:r w:rsidRPr="00745B6E">
        <w:rPr>
          <w:i/>
          <w:sz w:val="20"/>
          <w:lang w:val="es-ES"/>
        </w:rPr>
        <w:t xml:space="preserve">Caso </w:t>
      </w:r>
      <w:r>
        <w:rPr>
          <w:i/>
          <w:sz w:val="20"/>
          <w:lang w:val="es-ES"/>
        </w:rPr>
        <w:t>Ruiz Fuentes y otra</w:t>
      </w:r>
      <w:r w:rsidRPr="00745B6E">
        <w:rPr>
          <w:i/>
          <w:sz w:val="20"/>
          <w:lang w:val="es-ES"/>
        </w:rPr>
        <w:t xml:space="preserve"> Vs. </w:t>
      </w:r>
      <w:r>
        <w:rPr>
          <w:i/>
          <w:sz w:val="20"/>
          <w:lang w:val="es-ES"/>
        </w:rPr>
        <w:t>Guatemala</w:t>
      </w:r>
      <w:r w:rsidRPr="00745B6E">
        <w:rPr>
          <w:i/>
          <w:sz w:val="20"/>
          <w:lang w:val="es-ES"/>
        </w:rPr>
        <w:t xml:space="preserve">. </w:t>
      </w:r>
      <w:r>
        <w:rPr>
          <w:i/>
          <w:sz w:val="20"/>
          <w:lang w:val="es-ES"/>
        </w:rPr>
        <w:t>Excepción Preliminar, Fondo, Reparaciones y Costas. Sentencia de 10 de octubre de 2019.</w:t>
      </w:r>
    </w:p>
    <w:p w14:paraId="1303376F" w14:textId="77777777" w:rsidR="002055E2" w:rsidRPr="00745B6E" w:rsidRDefault="002055E2" w:rsidP="002055E2">
      <w:pPr>
        <w:jc w:val="center"/>
        <w:rPr>
          <w:sz w:val="20"/>
          <w:lang w:val="es-ES"/>
        </w:rPr>
      </w:pPr>
    </w:p>
    <w:p w14:paraId="77696101" w14:textId="77777777" w:rsidR="002055E2" w:rsidRPr="00745B6E" w:rsidRDefault="002055E2" w:rsidP="002055E2">
      <w:pPr>
        <w:jc w:val="center"/>
        <w:rPr>
          <w:sz w:val="20"/>
          <w:lang w:val="es-ES"/>
        </w:rPr>
      </w:pPr>
    </w:p>
    <w:p w14:paraId="20BB4CCA" w14:textId="77777777" w:rsidR="002055E2" w:rsidRPr="00745B6E" w:rsidRDefault="002055E2" w:rsidP="002055E2">
      <w:pPr>
        <w:jc w:val="center"/>
        <w:rPr>
          <w:sz w:val="20"/>
          <w:lang w:val="es-ES"/>
        </w:rPr>
      </w:pPr>
      <w:r w:rsidRPr="00745B6E">
        <w:rPr>
          <w:sz w:val="20"/>
          <w:lang w:val="es-ES"/>
        </w:rPr>
        <w:t xml:space="preserve">Eduardo Ferrer Mac-Gregor Poisot </w:t>
      </w:r>
    </w:p>
    <w:p w14:paraId="4C7DAABD" w14:textId="77777777" w:rsidR="002055E2" w:rsidRPr="00745B6E" w:rsidRDefault="002055E2" w:rsidP="002055E2">
      <w:pPr>
        <w:jc w:val="center"/>
        <w:rPr>
          <w:sz w:val="20"/>
          <w:lang w:val="es-ES"/>
        </w:rPr>
      </w:pPr>
      <w:r w:rsidRPr="00745B6E">
        <w:rPr>
          <w:sz w:val="20"/>
          <w:lang w:val="es-ES"/>
        </w:rPr>
        <w:t xml:space="preserve">Presidente </w:t>
      </w:r>
    </w:p>
    <w:p w14:paraId="0C0BE7D6" w14:textId="77777777" w:rsidR="002055E2" w:rsidRPr="00745B6E" w:rsidRDefault="002055E2" w:rsidP="002055E2">
      <w:pPr>
        <w:rPr>
          <w:sz w:val="20"/>
          <w:lang w:val="es-ES"/>
        </w:rPr>
      </w:pPr>
    </w:p>
    <w:p w14:paraId="051CA55C" w14:textId="77777777" w:rsidR="002055E2" w:rsidRPr="00745B6E" w:rsidRDefault="002055E2" w:rsidP="002055E2">
      <w:pPr>
        <w:rPr>
          <w:sz w:val="20"/>
          <w:lang w:val="es-ES"/>
        </w:rPr>
      </w:pPr>
    </w:p>
    <w:p w14:paraId="37007ED5" w14:textId="77777777" w:rsidR="002055E2" w:rsidRPr="00745B6E" w:rsidRDefault="002055E2" w:rsidP="002055E2">
      <w:pPr>
        <w:rPr>
          <w:sz w:val="20"/>
          <w:lang w:val="es-ES"/>
        </w:rPr>
      </w:pPr>
      <w:r w:rsidRPr="00745B6E">
        <w:rPr>
          <w:sz w:val="20"/>
          <w:lang w:val="es-ES"/>
        </w:rPr>
        <w:t>Eduardo Vio Grossi</w:t>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sidRPr="00745B6E">
        <w:rPr>
          <w:sz w:val="20"/>
          <w:lang w:val="es-ES"/>
        </w:rPr>
        <w:t>H</w:t>
      </w:r>
      <w:r>
        <w:rPr>
          <w:sz w:val="20"/>
          <w:lang w:val="es-ES"/>
        </w:rPr>
        <w:t xml:space="preserve">umberto Antonio </w:t>
      </w:r>
      <w:r w:rsidRPr="00745B6E">
        <w:rPr>
          <w:sz w:val="20"/>
          <w:lang w:val="es-ES"/>
        </w:rPr>
        <w:t>Sierra Porto</w:t>
      </w:r>
    </w:p>
    <w:p w14:paraId="290E8500" w14:textId="77777777" w:rsidR="002055E2" w:rsidRPr="00745B6E" w:rsidRDefault="002055E2" w:rsidP="002055E2">
      <w:pPr>
        <w:rPr>
          <w:sz w:val="20"/>
          <w:lang w:val="es-ES"/>
        </w:rPr>
      </w:pPr>
    </w:p>
    <w:p w14:paraId="4DA3B2DD" w14:textId="77777777" w:rsidR="002055E2" w:rsidRPr="00745B6E" w:rsidRDefault="002055E2" w:rsidP="002055E2">
      <w:pPr>
        <w:rPr>
          <w:sz w:val="20"/>
          <w:lang w:val="es-ES"/>
        </w:rPr>
      </w:pPr>
    </w:p>
    <w:p w14:paraId="1C11ABCB" w14:textId="77777777" w:rsidR="002055E2" w:rsidRPr="00745B6E" w:rsidRDefault="002055E2" w:rsidP="002055E2">
      <w:pPr>
        <w:rPr>
          <w:sz w:val="20"/>
          <w:lang w:val="es-ES"/>
        </w:rPr>
      </w:pPr>
    </w:p>
    <w:p w14:paraId="6CF8469D" w14:textId="77777777" w:rsidR="002055E2" w:rsidRPr="00745B6E" w:rsidRDefault="002055E2" w:rsidP="002055E2">
      <w:pPr>
        <w:jc w:val="center"/>
        <w:rPr>
          <w:sz w:val="20"/>
          <w:lang w:val="es-ES"/>
        </w:rPr>
      </w:pPr>
      <w:r w:rsidRPr="00745B6E">
        <w:rPr>
          <w:sz w:val="20"/>
          <w:lang w:val="es-ES"/>
        </w:rPr>
        <w:t>Elizabeth Odio Benito</w:t>
      </w:r>
      <w:r w:rsidRPr="00745B6E">
        <w:rPr>
          <w:sz w:val="20"/>
          <w:lang w:val="es-ES"/>
        </w:rPr>
        <w:tab/>
      </w:r>
      <w:r w:rsidRPr="00745B6E">
        <w:rPr>
          <w:sz w:val="20"/>
          <w:lang w:val="es-ES"/>
        </w:rPr>
        <w:tab/>
      </w:r>
      <w:r w:rsidRPr="00745B6E">
        <w:rPr>
          <w:sz w:val="20"/>
          <w:lang w:val="es-ES"/>
        </w:rPr>
        <w:tab/>
      </w:r>
      <w:r w:rsidRPr="00745B6E">
        <w:rPr>
          <w:sz w:val="20"/>
          <w:lang w:val="es-ES"/>
        </w:rPr>
        <w:tab/>
      </w:r>
      <w:r w:rsidRPr="00745B6E">
        <w:rPr>
          <w:sz w:val="20"/>
          <w:lang w:val="es-ES"/>
        </w:rPr>
        <w:tab/>
        <w:t xml:space="preserve">        </w:t>
      </w:r>
      <w:r>
        <w:rPr>
          <w:sz w:val="20"/>
          <w:lang w:val="es-ES"/>
        </w:rPr>
        <w:t>L. Patricio Pazmiño Freire</w:t>
      </w:r>
    </w:p>
    <w:p w14:paraId="0BB9D3E6" w14:textId="77777777" w:rsidR="002055E2" w:rsidRPr="00745B6E" w:rsidRDefault="002055E2" w:rsidP="002055E2">
      <w:pPr>
        <w:rPr>
          <w:sz w:val="20"/>
          <w:lang w:val="es-ES"/>
        </w:rPr>
      </w:pPr>
    </w:p>
    <w:p w14:paraId="7693177D" w14:textId="77777777" w:rsidR="002055E2" w:rsidRPr="00745B6E" w:rsidRDefault="002055E2" w:rsidP="002055E2">
      <w:pPr>
        <w:rPr>
          <w:sz w:val="20"/>
          <w:lang w:val="es-ES"/>
        </w:rPr>
      </w:pPr>
    </w:p>
    <w:p w14:paraId="03F91172" w14:textId="77777777" w:rsidR="002055E2" w:rsidRDefault="002055E2" w:rsidP="002055E2">
      <w:pPr>
        <w:jc w:val="center"/>
        <w:rPr>
          <w:sz w:val="20"/>
          <w:lang w:val="es-ES"/>
        </w:rPr>
      </w:pPr>
    </w:p>
    <w:p w14:paraId="051EFFC9" w14:textId="77777777" w:rsidR="002055E2" w:rsidRPr="00745B6E" w:rsidRDefault="002055E2" w:rsidP="002055E2">
      <w:pPr>
        <w:rPr>
          <w:sz w:val="20"/>
        </w:rPr>
      </w:pPr>
      <w:r>
        <w:rPr>
          <w:sz w:val="20"/>
        </w:rPr>
        <w:tab/>
      </w:r>
      <w:r>
        <w:rPr>
          <w:sz w:val="20"/>
        </w:rPr>
        <w:tab/>
      </w:r>
      <w:r>
        <w:rPr>
          <w:sz w:val="20"/>
        </w:rPr>
        <w:tab/>
      </w:r>
      <w:r>
        <w:rPr>
          <w:sz w:val="20"/>
        </w:rPr>
        <w:tab/>
      </w:r>
      <w:r w:rsidRPr="00745B6E">
        <w:rPr>
          <w:sz w:val="20"/>
        </w:rPr>
        <w:t xml:space="preserve">Ricardo </w:t>
      </w:r>
      <w:r>
        <w:rPr>
          <w:sz w:val="20"/>
        </w:rPr>
        <w:t xml:space="preserve">C. </w:t>
      </w:r>
      <w:r w:rsidRPr="00745B6E">
        <w:rPr>
          <w:sz w:val="20"/>
        </w:rPr>
        <w:t>Pérez Manrique</w:t>
      </w:r>
    </w:p>
    <w:p w14:paraId="11476C6F" w14:textId="77777777" w:rsidR="002055E2" w:rsidRPr="00745B6E" w:rsidRDefault="002055E2" w:rsidP="002055E2">
      <w:pPr>
        <w:rPr>
          <w:sz w:val="20"/>
          <w:lang w:val="es-ES"/>
        </w:rPr>
      </w:pPr>
    </w:p>
    <w:p w14:paraId="7C178A74" w14:textId="77777777" w:rsidR="002055E2" w:rsidRPr="00745B6E" w:rsidRDefault="002055E2" w:rsidP="002055E2">
      <w:pPr>
        <w:rPr>
          <w:sz w:val="20"/>
          <w:lang w:val="es-ES"/>
        </w:rPr>
      </w:pPr>
    </w:p>
    <w:p w14:paraId="314B88BC" w14:textId="77777777" w:rsidR="002055E2" w:rsidRPr="00745B6E" w:rsidRDefault="002055E2" w:rsidP="002055E2">
      <w:pPr>
        <w:rPr>
          <w:sz w:val="20"/>
          <w:lang w:val="es-ES"/>
        </w:rPr>
      </w:pPr>
    </w:p>
    <w:p w14:paraId="39C95FE6" w14:textId="77777777" w:rsidR="002055E2" w:rsidRPr="00745B6E" w:rsidRDefault="002055E2" w:rsidP="002055E2">
      <w:pPr>
        <w:jc w:val="center"/>
        <w:rPr>
          <w:sz w:val="20"/>
          <w:lang w:val="es-ES"/>
        </w:rPr>
      </w:pPr>
      <w:r w:rsidRPr="00745B6E">
        <w:rPr>
          <w:sz w:val="20"/>
          <w:lang w:val="es-ES"/>
        </w:rPr>
        <w:t>Pablo Saavedra Alessandri</w:t>
      </w:r>
    </w:p>
    <w:p w14:paraId="7D70DEF5" w14:textId="77777777" w:rsidR="002055E2" w:rsidRPr="00745B6E" w:rsidRDefault="002055E2" w:rsidP="002055E2">
      <w:pPr>
        <w:jc w:val="center"/>
        <w:rPr>
          <w:sz w:val="20"/>
          <w:lang w:val="es-ES"/>
        </w:rPr>
      </w:pPr>
      <w:r w:rsidRPr="00745B6E">
        <w:rPr>
          <w:sz w:val="20"/>
          <w:lang w:val="es-ES"/>
        </w:rPr>
        <w:t>Secretario</w:t>
      </w:r>
    </w:p>
    <w:p w14:paraId="6E264620" w14:textId="77777777" w:rsidR="002055E2" w:rsidRPr="00745B6E" w:rsidRDefault="002055E2" w:rsidP="002055E2">
      <w:pPr>
        <w:rPr>
          <w:sz w:val="20"/>
          <w:lang w:val="es-ES"/>
        </w:rPr>
      </w:pPr>
    </w:p>
    <w:p w14:paraId="4D5D33D5" w14:textId="77777777" w:rsidR="002055E2" w:rsidRDefault="002055E2" w:rsidP="002055E2">
      <w:pPr>
        <w:pStyle w:val="Textonotapie"/>
        <w:rPr>
          <w:lang w:val="es-ES"/>
        </w:rPr>
      </w:pPr>
    </w:p>
    <w:p w14:paraId="0B9A561D" w14:textId="77777777" w:rsidR="002055E2" w:rsidRDefault="002055E2" w:rsidP="002055E2">
      <w:pPr>
        <w:pStyle w:val="Textonotapie"/>
        <w:rPr>
          <w:lang w:val="es-ES"/>
        </w:rPr>
      </w:pPr>
    </w:p>
    <w:p w14:paraId="3AE640F2" w14:textId="77777777" w:rsidR="002055E2" w:rsidRPr="00745B6E" w:rsidRDefault="002055E2" w:rsidP="002055E2">
      <w:pPr>
        <w:pStyle w:val="Textonotapie"/>
        <w:rPr>
          <w:lang w:val="es-ES"/>
        </w:rPr>
      </w:pPr>
    </w:p>
    <w:p w14:paraId="2E565669" w14:textId="77777777" w:rsidR="002055E2" w:rsidRPr="00745B6E" w:rsidRDefault="002055E2" w:rsidP="002055E2">
      <w:pPr>
        <w:pStyle w:val="Textonotapie"/>
        <w:rPr>
          <w:lang w:val="es-ES"/>
        </w:rPr>
      </w:pPr>
    </w:p>
    <w:p w14:paraId="413DD376" w14:textId="77777777" w:rsidR="002055E2" w:rsidRPr="00745B6E" w:rsidRDefault="002055E2" w:rsidP="002055E2">
      <w:pPr>
        <w:rPr>
          <w:sz w:val="20"/>
          <w:lang w:val="es-ES"/>
        </w:rPr>
      </w:pPr>
      <w:r w:rsidRPr="00745B6E">
        <w:rPr>
          <w:sz w:val="20"/>
          <w:lang w:val="es-ES"/>
        </w:rPr>
        <w:t>Comuníquese y ejecútese,</w:t>
      </w:r>
    </w:p>
    <w:p w14:paraId="7BE61D1F" w14:textId="77777777" w:rsidR="002055E2" w:rsidRPr="00745B6E" w:rsidRDefault="002055E2" w:rsidP="002055E2">
      <w:pPr>
        <w:rPr>
          <w:sz w:val="20"/>
          <w:lang w:val="es-ES"/>
        </w:rPr>
      </w:pPr>
    </w:p>
    <w:p w14:paraId="33389F97" w14:textId="77777777" w:rsidR="002055E2" w:rsidRPr="00745B6E" w:rsidRDefault="002055E2" w:rsidP="002055E2">
      <w:pPr>
        <w:rPr>
          <w:sz w:val="20"/>
          <w:lang w:val="es-ES"/>
        </w:rPr>
      </w:pPr>
    </w:p>
    <w:p w14:paraId="1E4F44BD" w14:textId="77777777" w:rsidR="002055E2" w:rsidRPr="00745B6E" w:rsidRDefault="002055E2" w:rsidP="002055E2">
      <w:pPr>
        <w:ind w:left="4956"/>
        <w:jc w:val="center"/>
        <w:rPr>
          <w:sz w:val="20"/>
          <w:lang w:val="es-ES"/>
        </w:rPr>
      </w:pPr>
      <w:r w:rsidRPr="00745B6E">
        <w:rPr>
          <w:sz w:val="20"/>
          <w:lang w:val="es-ES"/>
        </w:rPr>
        <w:t>Eduardo Ferrer Mac-Gregor Poisot</w:t>
      </w:r>
    </w:p>
    <w:p w14:paraId="620CDB2D" w14:textId="77777777" w:rsidR="002055E2" w:rsidRPr="00745B6E" w:rsidRDefault="002055E2" w:rsidP="002055E2">
      <w:pPr>
        <w:ind w:left="4956"/>
        <w:jc w:val="center"/>
        <w:rPr>
          <w:sz w:val="20"/>
          <w:lang w:val="es-ES"/>
        </w:rPr>
      </w:pPr>
      <w:r w:rsidRPr="00745B6E">
        <w:rPr>
          <w:sz w:val="20"/>
          <w:lang w:val="es-ES"/>
        </w:rPr>
        <w:t>Presidente</w:t>
      </w:r>
    </w:p>
    <w:p w14:paraId="2241495B" w14:textId="77777777" w:rsidR="002055E2" w:rsidRPr="00745B6E" w:rsidRDefault="002055E2" w:rsidP="002055E2">
      <w:pPr>
        <w:rPr>
          <w:sz w:val="20"/>
          <w:lang w:val="es-ES"/>
        </w:rPr>
      </w:pPr>
    </w:p>
    <w:p w14:paraId="1AC93D26" w14:textId="77777777" w:rsidR="002055E2" w:rsidRPr="00745B6E" w:rsidRDefault="002055E2" w:rsidP="002055E2">
      <w:pPr>
        <w:rPr>
          <w:sz w:val="20"/>
          <w:lang w:val="es-ES"/>
        </w:rPr>
      </w:pPr>
      <w:bookmarkStart w:id="156" w:name="_GoBack"/>
      <w:bookmarkEnd w:id="156"/>
    </w:p>
    <w:p w14:paraId="353BA9C8" w14:textId="77777777" w:rsidR="002055E2" w:rsidRPr="00745B6E" w:rsidRDefault="002055E2" w:rsidP="002055E2">
      <w:pPr>
        <w:rPr>
          <w:sz w:val="20"/>
          <w:lang w:val="es-ES"/>
        </w:rPr>
      </w:pPr>
      <w:r w:rsidRPr="00745B6E">
        <w:rPr>
          <w:sz w:val="20"/>
          <w:lang w:val="es-ES"/>
        </w:rPr>
        <w:t>Pablo Saavedra Alessandri</w:t>
      </w:r>
    </w:p>
    <w:p w14:paraId="4CED225D" w14:textId="77777777" w:rsidR="002055E2" w:rsidRPr="00745B6E" w:rsidRDefault="002055E2" w:rsidP="002055E2">
      <w:pPr>
        <w:rPr>
          <w:sz w:val="20"/>
        </w:rPr>
      </w:pPr>
      <w:r w:rsidRPr="00745B6E">
        <w:rPr>
          <w:sz w:val="20"/>
          <w:lang w:val="es-ES"/>
        </w:rPr>
        <w:tab/>
      </w:r>
      <w:r w:rsidRPr="00745B6E">
        <w:rPr>
          <w:sz w:val="20"/>
        </w:rPr>
        <w:t>Secretario</w:t>
      </w:r>
    </w:p>
    <w:p w14:paraId="479B912D" w14:textId="77777777" w:rsidR="00703F3B" w:rsidRPr="0064597D" w:rsidRDefault="00703F3B" w:rsidP="00F26380">
      <w:pPr>
        <w:tabs>
          <w:tab w:val="left" w:pos="720"/>
        </w:tabs>
        <w:spacing w:line="20" w:lineRule="atLeast"/>
        <w:ind w:right="-93"/>
        <w:contextualSpacing/>
        <w:rPr>
          <w:sz w:val="20"/>
          <w:szCs w:val="20"/>
        </w:rPr>
      </w:pPr>
    </w:p>
    <w:p w14:paraId="6C281518" w14:textId="77777777" w:rsidR="00703F3B" w:rsidRPr="0064597D" w:rsidRDefault="00703F3B" w:rsidP="00703F3B"/>
    <w:sectPr w:rsidR="00703F3B" w:rsidRPr="0064597D" w:rsidSect="000E3A01">
      <w:type w:val="continuous"/>
      <w:pgSz w:w="12240" w:h="15840" w:code="1"/>
      <w:pgMar w:top="1440" w:right="1080" w:bottom="547"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692B" w14:textId="77777777" w:rsidR="00656033" w:rsidRDefault="00656033" w:rsidP="00833D5A">
      <w:pPr>
        <w:spacing w:line="240" w:lineRule="auto"/>
      </w:pPr>
      <w:r>
        <w:separator/>
      </w:r>
    </w:p>
  </w:endnote>
  <w:endnote w:type="continuationSeparator" w:id="0">
    <w:p w14:paraId="5007F67D" w14:textId="77777777" w:rsidR="00656033" w:rsidRDefault="00656033" w:rsidP="0083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ItalicMT">
    <w:panose1 w:val="020B0604020202020204"/>
    <w:charset w:val="00"/>
    <w:family w:val="swiss"/>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AmnestyTradeGothic">
    <w:panose1 w:val="020B0604020202020204"/>
    <w:charset w:val="00"/>
    <w:family w:val="swiss"/>
    <w:notTrueType/>
    <w:pitch w:val="default"/>
    <w:sig w:usb0="00000003" w:usb1="00000000" w:usb2="00000000" w:usb3="00000000" w:csb0="00000001" w:csb1="00000000"/>
  </w:font>
  <w:font w:name="AmnestyTradeGothic-Light">
    <w:panose1 w:val="020B0604020202020204"/>
    <w:charset w:val="00"/>
    <w:family w:val="swiss"/>
    <w:notTrueType/>
    <w:pitch w:val="default"/>
    <w:sig w:usb0="00000003" w:usb1="00000000" w:usb2="00000000" w:usb3="00000000" w:csb0="00000001" w:csb1="00000000"/>
  </w:font>
  <w:font w:name="AmnestyTradeGothic-LightObl">
    <w:panose1 w:val="020B0604020202020204"/>
    <w:charset w:val="00"/>
    <w:family w:val="swiss"/>
    <w:notTrueType/>
    <w:pitch w:val="default"/>
    <w:sig w:usb0="00000003" w:usb1="00000000" w:usb2="00000000" w:usb3="00000000" w:csb0="00000001" w:csb1="00000000"/>
  </w:font>
  <w:font w:name="DejaVuSans">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6474226"/>
      <w:docPartObj>
        <w:docPartGallery w:val="Page Numbers (Bottom of Page)"/>
        <w:docPartUnique/>
      </w:docPartObj>
    </w:sdtPr>
    <w:sdtEndPr>
      <w:rPr>
        <w:noProof/>
      </w:rPr>
    </w:sdtEndPr>
    <w:sdtContent>
      <w:p w14:paraId="1A6BA86E" w14:textId="5AD07A67" w:rsidR="001A2991" w:rsidRPr="00B47883" w:rsidRDefault="001A2991" w:rsidP="00B47883">
        <w:pPr>
          <w:pStyle w:val="Piedepgina"/>
          <w:spacing w:before="120"/>
          <w:jc w:val="center"/>
          <w:rPr>
            <w:sz w:val="18"/>
            <w:szCs w:val="18"/>
          </w:rPr>
        </w:pPr>
        <w:r w:rsidRPr="00B47883">
          <w:rPr>
            <w:sz w:val="18"/>
            <w:szCs w:val="18"/>
          </w:rPr>
          <w:fldChar w:fldCharType="begin"/>
        </w:r>
        <w:r w:rsidRPr="00B47883">
          <w:rPr>
            <w:sz w:val="18"/>
            <w:szCs w:val="18"/>
          </w:rPr>
          <w:instrText xml:space="preserve"> PAGE   \* MERGEFORMAT </w:instrText>
        </w:r>
        <w:r w:rsidRPr="00B47883">
          <w:rPr>
            <w:sz w:val="18"/>
            <w:szCs w:val="18"/>
          </w:rPr>
          <w:fldChar w:fldCharType="separate"/>
        </w:r>
        <w:r w:rsidR="007E04F7">
          <w:rPr>
            <w:noProof/>
            <w:sz w:val="18"/>
            <w:szCs w:val="18"/>
          </w:rPr>
          <w:t>61</w:t>
        </w:r>
        <w:r w:rsidRPr="00B47883">
          <w:rPr>
            <w:noProof/>
            <w:sz w:val="18"/>
            <w:szCs w:val="18"/>
          </w:rPr>
          <w:fldChar w:fldCharType="end"/>
        </w:r>
      </w:p>
    </w:sdtContent>
  </w:sdt>
  <w:p w14:paraId="440FCD34" w14:textId="77777777" w:rsidR="001A2991" w:rsidRPr="00B47883" w:rsidRDefault="001A2991">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6F83" w14:textId="77777777" w:rsidR="00656033" w:rsidRDefault="00656033" w:rsidP="00833D5A">
      <w:pPr>
        <w:spacing w:line="240" w:lineRule="auto"/>
      </w:pPr>
      <w:r>
        <w:separator/>
      </w:r>
    </w:p>
  </w:footnote>
  <w:footnote w:type="continuationSeparator" w:id="0">
    <w:p w14:paraId="61A37ECA" w14:textId="77777777" w:rsidR="00656033" w:rsidRDefault="00656033" w:rsidP="00833D5A">
      <w:pPr>
        <w:spacing w:line="240" w:lineRule="auto"/>
      </w:pPr>
      <w:r>
        <w:continuationSeparator/>
      </w:r>
    </w:p>
  </w:footnote>
  <w:footnote w:id="1">
    <w:p w14:paraId="4E0D6F03" w14:textId="6F9DA728" w:rsidR="001A2991" w:rsidRPr="007E04F7" w:rsidRDefault="001A2991" w:rsidP="0064597D">
      <w:pPr>
        <w:pStyle w:val="Textonotapie"/>
        <w:rPr>
          <w:sz w:val="16"/>
          <w:szCs w:val="16"/>
        </w:rPr>
      </w:pPr>
      <w:r w:rsidRPr="007E04F7">
        <w:rPr>
          <w:rStyle w:val="Refdenotaalpie"/>
          <w:sz w:val="16"/>
          <w:szCs w:val="16"/>
        </w:rPr>
        <w:footnoteRef/>
      </w:r>
      <w:r w:rsidRPr="007E04F7">
        <w:rPr>
          <w:sz w:val="16"/>
          <w:szCs w:val="16"/>
        </w:rPr>
        <w:t xml:space="preserve"> </w:t>
      </w:r>
      <w:r w:rsidRPr="007E04F7">
        <w:rPr>
          <w:sz w:val="16"/>
          <w:szCs w:val="16"/>
        </w:rPr>
        <w:tab/>
        <w:t>El Juez Eugenio Raúl Zaffaroni se excusó de participar en el presente caso, conforme a lo dispuesto en el artículo 21 de su Reglamento, lo cual fue aceptado por el Pleno de la Corte.</w:t>
      </w:r>
    </w:p>
  </w:footnote>
  <w:footnote w:id="2">
    <w:p w14:paraId="6F3C8F7D" w14:textId="05CB1B70" w:rsidR="001A2991" w:rsidRPr="007E04F7" w:rsidRDefault="001A2991" w:rsidP="0064597D">
      <w:pPr>
        <w:pStyle w:val="Textonotapie"/>
        <w:tabs>
          <w:tab w:val="left" w:pos="567"/>
        </w:tabs>
        <w:rPr>
          <w:sz w:val="16"/>
          <w:szCs w:val="16"/>
        </w:rPr>
      </w:pPr>
      <w:r w:rsidRPr="007E04F7">
        <w:rPr>
          <w:rStyle w:val="Refdenotaalpie"/>
          <w:sz w:val="16"/>
          <w:szCs w:val="16"/>
        </w:rPr>
        <w:t>**</w:t>
      </w:r>
      <w:r w:rsidRPr="007E04F7">
        <w:rPr>
          <w:sz w:val="16"/>
          <w:szCs w:val="16"/>
        </w:rPr>
        <w:t xml:space="preserve"> </w:t>
      </w:r>
      <w:r w:rsidRPr="007E04F7">
        <w:rPr>
          <w:sz w:val="16"/>
          <w:szCs w:val="16"/>
        </w:rPr>
        <w:tab/>
      </w:r>
      <w:r w:rsidRPr="007E04F7">
        <w:rPr>
          <w:rFonts w:cs="Arial"/>
          <w:sz w:val="16"/>
          <w:szCs w:val="16"/>
        </w:rPr>
        <w:t xml:space="preserve">A solicitud de las representantes de las presuntas víctimas y por decisión del pleno de la Corte, reunido durante su 131 Período Ordinario de Sesiones, se reservó la identidad de los familiares del señor Hugo Humberto Ruiz Fuentes. </w:t>
      </w:r>
    </w:p>
  </w:footnote>
  <w:footnote w:id="3">
    <w:p w14:paraId="2D3FC158" w14:textId="77777777" w:rsidR="001A2991" w:rsidRPr="007E04F7" w:rsidRDefault="001A2991" w:rsidP="0064597D">
      <w:pPr>
        <w:pStyle w:val="Textonotapie"/>
        <w:tabs>
          <w:tab w:val="left" w:pos="567"/>
        </w:tabs>
        <w:rPr>
          <w:sz w:val="16"/>
          <w:szCs w:val="16"/>
          <w:lang w:val="es-CR"/>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rPr>
        <w:t>Caso Raxcacó Reyes y otros respecto Guatemala. Medidas Provisionales</w:t>
      </w:r>
      <w:r w:rsidRPr="007E04F7">
        <w:rPr>
          <w:rStyle w:val="Textoennegrita"/>
          <w:b w:val="0"/>
          <w:sz w:val="16"/>
          <w:szCs w:val="16"/>
        </w:rPr>
        <w:t>. Resolución de la Corte Interamericana de Derechos Humanos de 30 de agosto de 2004, punto resolutivo no. 1.</w:t>
      </w:r>
    </w:p>
  </w:footnote>
  <w:footnote w:id="4">
    <w:p w14:paraId="66BF592C" w14:textId="77777777"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Refdenotaalpie"/>
          <w:i/>
          <w:sz w:val="16"/>
          <w:szCs w:val="16"/>
          <w:vertAlign w:val="baseline"/>
          <w:lang w:val="es-CR"/>
        </w:rPr>
        <w:t>Caso Raxcacó Reyes y otros respecto Guatemala. Medidas Provisionales</w:t>
      </w:r>
      <w:r w:rsidRPr="007E04F7">
        <w:rPr>
          <w:rStyle w:val="Refdenotaalpie"/>
          <w:sz w:val="16"/>
          <w:szCs w:val="16"/>
          <w:vertAlign w:val="baseline"/>
          <w:lang w:val="es-CR"/>
        </w:rPr>
        <w:t>. Resolución de la Corte Interamericana de Derechos Humanos de 4 de julio de 2006.</w:t>
      </w:r>
    </w:p>
  </w:footnote>
  <w:footnote w:id="5">
    <w:p w14:paraId="55CCE792" w14:textId="5291DCAC" w:rsidR="001A2991" w:rsidRPr="007E04F7" w:rsidRDefault="001A2991" w:rsidP="0064597D">
      <w:pPr>
        <w:pStyle w:val="Textonotapie"/>
        <w:tabs>
          <w:tab w:val="left" w:pos="567"/>
        </w:tabs>
        <w:rPr>
          <w:sz w:val="16"/>
          <w:szCs w:val="16"/>
          <w:lang w:val="es-CR"/>
        </w:rPr>
      </w:pPr>
      <w:r w:rsidRPr="007E04F7">
        <w:rPr>
          <w:rStyle w:val="Refdenotaalpie"/>
          <w:sz w:val="16"/>
          <w:szCs w:val="16"/>
          <w:lang w:val="es-CR"/>
        </w:rPr>
        <w:footnoteRef/>
      </w:r>
      <w:r w:rsidRPr="007E04F7">
        <w:rPr>
          <w:sz w:val="16"/>
          <w:szCs w:val="16"/>
          <w:lang w:val="es-CR"/>
        </w:rPr>
        <w:t xml:space="preserve"> </w:t>
      </w:r>
      <w:r w:rsidRPr="007E04F7">
        <w:rPr>
          <w:sz w:val="16"/>
          <w:szCs w:val="16"/>
          <w:lang w:val="es-CR"/>
        </w:rPr>
        <w:tab/>
        <w:t>El mismo fue notificado a las partes el 24 de marzo de 2008. En dicho informe, la Comisión decidió que la petición era admisible respecto de la presunta violación de los derechos reconocidos en los artículos 4, 5, 8.1, 11.1 y 25 de la Convención Americana, todos ellos en conexión con el artículo 1.1 de dicho instrumento y los artículos 1, 6 y 8 de la Convención Interamericana para Prevenir y Sancionar la Tortura, en perjuicio de Hugo Humberto Ruiz Fuentes.</w:t>
      </w:r>
      <w:r w:rsidRPr="007E04F7">
        <w:rPr>
          <w:i/>
          <w:sz w:val="16"/>
          <w:szCs w:val="16"/>
          <w:lang w:val="es-CR"/>
        </w:rPr>
        <w:t xml:space="preserve"> Cfr. </w:t>
      </w:r>
      <w:r w:rsidRPr="007E04F7">
        <w:rPr>
          <w:sz w:val="16"/>
          <w:szCs w:val="16"/>
          <w:lang w:val="es-CR"/>
        </w:rPr>
        <w:t xml:space="preserve">Informe de Admisibilidad No. 14/07, </w:t>
      </w:r>
      <w:r w:rsidRPr="007E04F7">
        <w:rPr>
          <w:i/>
          <w:sz w:val="16"/>
          <w:szCs w:val="16"/>
          <w:lang w:val="es-CR"/>
        </w:rPr>
        <w:t>Caso Hugo Humberto Ruiz Fuentes Vs. Guatemala</w:t>
      </w:r>
      <w:r w:rsidRPr="007E04F7">
        <w:rPr>
          <w:sz w:val="16"/>
          <w:szCs w:val="16"/>
          <w:lang w:val="es-CR"/>
        </w:rPr>
        <w:t>, de 5 de marzo de 2008 (expediente de prueba, folios 2269 a 2284).</w:t>
      </w:r>
    </w:p>
  </w:footnote>
  <w:footnote w:id="6">
    <w:p w14:paraId="30DC9CD0" w14:textId="0071684F" w:rsidR="001A2991" w:rsidRPr="007E04F7" w:rsidRDefault="001A2991" w:rsidP="0064597D">
      <w:pPr>
        <w:pStyle w:val="Textonotapie"/>
        <w:tabs>
          <w:tab w:val="left" w:pos="567"/>
        </w:tabs>
        <w:rPr>
          <w:rFonts w:eastAsiaTheme="minorHAnsi"/>
          <w:sz w:val="16"/>
          <w:szCs w:val="16"/>
          <w:lang w:eastAsia="en-US"/>
        </w:rPr>
      </w:pPr>
      <w:r w:rsidRPr="007E04F7">
        <w:rPr>
          <w:rStyle w:val="Refdenotaalpie"/>
          <w:sz w:val="16"/>
          <w:szCs w:val="16"/>
        </w:rPr>
        <w:footnoteRef/>
      </w:r>
      <w:r w:rsidRPr="007E04F7">
        <w:rPr>
          <w:sz w:val="16"/>
          <w:szCs w:val="16"/>
        </w:rPr>
        <w:t xml:space="preserve"> </w:t>
      </w:r>
      <w:r w:rsidRPr="007E04F7">
        <w:rPr>
          <w:sz w:val="16"/>
          <w:szCs w:val="16"/>
        </w:rPr>
        <w:tab/>
        <w:t>La Comisión concluyó que el Estado de Guatemala era responsable por “</w:t>
      </w:r>
      <w:r w:rsidRPr="007E04F7">
        <w:rPr>
          <w:rFonts w:eastAsiaTheme="minorHAnsi"/>
          <w:sz w:val="16"/>
          <w:szCs w:val="16"/>
          <w:lang w:eastAsia="en-US"/>
        </w:rPr>
        <w:t>la violación de los derechos a la vida, a la integridad personal, a las garantías judiciales y a la protección judicial establecidos en los artículos 4.1, 4.2, 4.6, 5.1, 5.2, 8.1, 8.2 c), f), g), h) y 25.1 de la Convención Americana en relación con las obligaciones establecidas en los artículos 1.1 y 2 del mismo instrumento, en perjuicio de Hugo Humberto Ruiz Fuentes</w:t>
      </w:r>
      <w:r w:rsidRPr="007E04F7">
        <w:rPr>
          <w:sz w:val="16"/>
          <w:szCs w:val="16"/>
        </w:rPr>
        <w:t xml:space="preserve">”. </w:t>
      </w:r>
    </w:p>
    <w:p w14:paraId="1A78AA10" w14:textId="1998AE49" w:rsidR="001A2991" w:rsidRPr="007E04F7" w:rsidRDefault="001A2991" w:rsidP="0064597D">
      <w:pPr>
        <w:widowControl/>
        <w:autoSpaceDE w:val="0"/>
        <w:autoSpaceDN w:val="0"/>
        <w:spacing w:line="240" w:lineRule="auto"/>
        <w:textAlignment w:val="auto"/>
        <w:rPr>
          <w:rFonts w:eastAsiaTheme="minorHAnsi"/>
          <w:sz w:val="16"/>
          <w:szCs w:val="16"/>
          <w:lang w:eastAsia="en-US"/>
        </w:rPr>
      </w:pPr>
      <w:r w:rsidRPr="007E04F7">
        <w:rPr>
          <w:sz w:val="16"/>
          <w:szCs w:val="16"/>
        </w:rPr>
        <w:t>Asimismo, la Comisión concluyó que el Estado violó “</w:t>
      </w:r>
      <w:r w:rsidRPr="007E04F7">
        <w:rPr>
          <w:rFonts w:eastAsiaTheme="minorHAnsi"/>
          <w:sz w:val="16"/>
          <w:szCs w:val="16"/>
          <w:lang w:eastAsia="en-US"/>
        </w:rPr>
        <w:t xml:space="preserve">los derechos a la integridad personal, garantías judiciales y protección judicial establecidos en los artículos 5.1, 8.1 y 25.1 de la Convención Americana en relación con las obligaciones establecidas en el artículo 1.1 del mismo instrumento, en perjuicio de los familiares de Hugo Humberto Ruiz Fuentes”. </w:t>
      </w:r>
      <w:r w:rsidRPr="007E04F7">
        <w:rPr>
          <w:sz w:val="16"/>
          <w:szCs w:val="16"/>
        </w:rPr>
        <w:t>Finalmente, la Comisión concluyó que el Estado violó “</w:t>
      </w:r>
      <w:r w:rsidRPr="007E04F7">
        <w:rPr>
          <w:rFonts w:eastAsiaTheme="minorHAnsi"/>
          <w:sz w:val="16"/>
          <w:szCs w:val="16"/>
          <w:lang w:eastAsia="en-US"/>
        </w:rPr>
        <w:t>los artículos 1, 6 y 8 de la Convención Interamericana para Prevenir y Sancionar la Tortura</w:t>
      </w:r>
      <w:r w:rsidRPr="007E04F7">
        <w:rPr>
          <w:sz w:val="16"/>
          <w:szCs w:val="16"/>
        </w:rPr>
        <w:t xml:space="preserve">”. </w:t>
      </w:r>
    </w:p>
  </w:footnote>
  <w:footnote w:id="7">
    <w:p w14:paraId="3F2C964B" w14:textId="11983FE0" w:rsidR="001A2991" w:rsidRPr="007E04F7" w:rsidRDefault="001A2991" w:rsidP="0064597D">
      <w:pPr>
        <w:pStyle w:val="Textonotapie"/>
        <w:tabs>
          <w:tab w:val="left" w:pos="567"/>
        </w:tabs>
        <w:rPr>
          <w:sz w:val="16"/>
          <w:szCs w:val="16"/>
          <w:lang w:val="es-CR"/>
        </w:rPr>
      </w:pPr>
      <w:r w:rsidRPr="007E04F7">
        <w:rPr>
          <w:rStyle w:val="Refdenotaalpie"/>
          <w:sz w:val="16"/>
          <w:szCs w:val="16"/>
          <w:lang w:val="es-CR"/>
        </w:rPr>
        <w:footnoteRef/>
      </w:r>
      <w:r w:rsidRPr="007E04F7">
        <w:rPr>
          <w:sz w:val="16"/>
          <w:szCs w:val="16"/>
          <w:lang w:val="es-CR"/>
        </w:rPr>
        <w:t xml:space="preserve"> </w:t>
      </w:r>
      <w:r w:rsidRPr="007E04F7">
        <w:rPr>
          <w:sz w:val="16"/>
          <w:szCs w:val="16"/>
          <w:lang w:val="es-CR"/>
        </w:rPr>
        <w:tab/>
        <w:t xml:space="preserve">La Comisión designó, como sus delegados ante la Corte, al Comisionado Luis Ernesto Vargas Silva y al Secretario Ejecutivo Paulo Abrão. Asimismo, designó como asesoras legales a la señora Elizabeth Abi-Mershed, entonces Secretaria Ejecutiva Adjunta, así como a la señora Silvia Serrano Guzmán, abogada de la Secretaría Ejecutiva. </w:t>
      </w:r>
    </w:p>
  </w:footnote>
  <w:footnote w:id="8">
    <w:p w14:paraId="2C8E8C9F" w14:textId="18D72F1F" w:rsidR="001A2991" w:rsidRPr="007E04F7" w:rsidRDefault="001A2991" w:rsidP="0064597D">
      <w:pPr>
        <w:pStyle w:val="Textonotapie"/>
        <w:tabs>
          <w:tab w:val="left" w:pos="567"/>
        </w:tabs>
        <w:rPr>
          <w:sz w:val="16"/>
          <w:szCs w:val="16"/>
          <w:lang w:val="es-CR"/>
        </w:rPr>
      </w:pPr>
      <w:r w:rsidRPr="007E04F7">
        <w:rPr>
          <w:rStyle w:val="Refdenotaalpie"/>
          <w:sz w:val="16"/>
          <w:szCs w:val="16"/>
          <w:lang w:val="es-CR"/>
        </w:rPr>
        <w:footnoteRef/>
      </w:r>
      <w:r w:rsidRPr="007E04F7">
        <w:rPr>
          <w:sz w:val="16"/>
          <w:szCs w:val="16"/>
          <w:lang w:val="es-CR"/>
        </w:rPr>
        <w:t xml:space="preserve"> </w:t>
      </w:r>
      <w:r w:rsidRPr="007E04F7">
        <w:rPr>
          <w:sz w:val="16"/>
          <w:szCs w:val="16"/>
          <w:lang w:val="es-CR"/>
        </w:rPr>
        <w:tab/>
        <w:t xml:space="preserve">El Centro por la Justicia y el Derecho Internacional (CEJIL) y el Instituto de Estudios Comparados en Ciencias Penales de Guatemala (ICCPG) ejercen la representación de las presuntas víctimas en este caso. </w:t>
      </w:r>
    </w:p>
  </w:footnote>
  <w:footnote w:id="9">
    <w:p w14:paraId="73B56D46" w14:textId="7977C985" w:rsidR="001A2991" w:rsidRPr="007E04F7" w:rsidRDefault="001A2991" w:rsidP="0064597D">
      <w:pPr>
        <w:pStyle w:val="Textonotapie"/>
        <w:tabs>
          <w:tab w:val="left" w:pos="567"/>
        </w:tabs>
        <w:rPr>
          <w:sz w:val="16"/>
          <w:szCs w:val="16"/>
          <w:lang w:val="es-CR"/>
        </w:rPr>
      </w:pPr>
      <w:r w:rsidRPr="007E04F7">
        <w:rPr>
          <w:rStyle w:val="Refdenotaalpie"/>
          <w:sz w:val="16"/>
          <w:szCs w:val="16"/>
          <w:lang w:val="es-CR"/>
        </w:rPr>
        <w:footnoteRef/>
      </w:r>
      <w:r w:rsidRPr="007E04F7">
        <w:rPr>
          <w:sz w:val="16"/>
          <w:szCs w:val="16"/>
          <w:lang w:val="es-CR"/>
        </w:rPr>
        <w:t xml:space="preserve"> </w:t>
      </w:r>
      <w:r w:rsidRPr="007E04F7">
        <w:rPr>
          <w:sz w:val="16"/>
          <w:szCs w:val="16"/>
          <w:lang w:val="es-CR"/>
        </w:rPr>
        <w:tab/>
      </w:r>
      <w:r w:rsidRPr="007E04F7">
        <w:rPr>
          <w:i/>
          <w:sz w:val="16"/>
          <w:szCs w:val="16"/>
          <w:lang w:val="es-CR"/>
        </w:rPr>
        <w:t xml:space="preserve">Cfr. Caso Ruiz Fuentes Vs. Guatemala. Convocatoria a Audiencia. </w:t>
      </w:r>
      <w:r w:rsidRPr="007E04F7">
        <w:rPr>
          <w:sz w:val="16"/>
          <w:szCs w:val="16"/>
          <w:lang w:val="es-CR"/>
        </w:rPr>
        <w:t xml:space="preserve">Resolución del Presidente de la Corte Interamericana de 14 de febrero de 2017. Disponible en: </w:t>
      </w:r>
      <w:hyperlink r:id="rId1" w:history="1">
        <w:r w:rsidRPr="007E04F7">
          <w:rPr>
            <w:rStyle w:val="Hipervnculo"/>
            <w:sz w:val="16"/>
            <w:szCs w:val="16"/>
          </w:rPr>
          <w:t>http://www.corteidh.or.cr/docs/asuntos/ruiz_fuentes_14_02_19.pdf</w:t>
        </w:r>
      </w:hyperlink>
      <w:r w:rsidRPr="007E04F7">
        <w:rPr>
          <w:rStyle w:val="Hipervnculo"/>
          <w:color w:val="auto"/>
          <w:sz w:val="16"/>
          <w:szCs w:val="16"/>
        </w:rPr>
        <w:t xml:space="preserve"> </w:t>
      </w:r>
      <w:r w:rsidRPr="007E04F7">
        <w:rPr>
          <w:sz w:val="16"/>
          <w:szCs w:val="16"/>
          <w:lang w:val="es-CR"/>
        </w:rPr>
        <w:t xml:space="preserve"> </w:t>
      </w:r>
    </w:p>
  </w:footnote>
  <w:footnote w:id="10">
    <w:p w14:paraId="122E1B81" w14:textId="77777777" w:rsidR="001A2991" w:rsidRPr="007E04F7" w:rsidRDefault="001A2991" w:rsidP="0064597D">
      <w:pPr>
        <w:pStyle w:val="Textonotapie"/>
        <w:tabs>
          <w:tab w:val="left" w:pos="567"/>
        </w:tabs>
        <w:rPr>
          <w:sz w:val="16"/>
          <w:szCs w:val="16"/>
          <w:lang w:val="es-CR"/>
        </w:rPr>
      </w:pPr>
      <w:r w:rsidRPr="007E04F7">
        <w:rPr>
          <w:rStyle w:val="Refdenotaalpie"/>
          <w:sz w:val="16"/>
          <w:szCs w:val="16"/>
          <w:lang w:val="es-CR"/>
        </w:rPr>
        <w:footnoteRef/>
      </w:r>
      <w:r w:rsidRPr="007E04F7">
        <w:rPr>
          <w:sz w:val="16"/>
          <w:szCs w:val="16"/>
          <w:lang w:val="es-CR"/>
        </w:rPr>
        <w:t xml:space="preserve"> </w:t>
      </w:r>
      <w:r w:rsidRPr="007E04F7">
        <w:rPr>
          <w:sz w:val="16"/>
          <w:szCs w:val="16"/>
          <w:lang w:val="es-CR"/>
        </w:rPr>
        <w:tab/>
        <w:t xml:space="preserve">A esta audiencia comparecieron: </w:t>
      </w:r>
    </w:p>
    <w:p w14:paraId="2F78CEF7" w14:textId="77777777" w:rsidR="001A2991" w:rsidRPr="007E04F7" w:rsidRDefault="001A2991" w:rsidP="0064597D">
      <w:pPr>
        <w:pStyle w:val="Textonotapie"/>
        <w:tabs>
          <w:tab w:val="left" w:pos="810"/>
        </w:tabs>
        <w:ind w:left="900" w:right="90"/>
        <w:rPr>
          <w:sz w:val="16"/>
          <w:szCs w:val="16"/>
          <w:lang w:val="es-CR"/>
        </w:rPr>
      </w:pPr>
      <w:r w:rsidRPr="007E04F7">
        <w:rPr>
          <w:sz w:val="16"/>
          <w:szCs w:val="16"/>
          <w:lang w:val="es-CR"/>
        </w:rPr>
        <w:t>a) por la Comisión Interamericana: el Comisionado Luis Ernesto Vargas Ilva y la Asesora Silvia Serrano Guzmán;</w:t>
      </w:r>
    </w:p>
    <w:p w14:paraId="0726A5F2" w14:textId="3F40ABAE" w:rsidR="001A2991" w:rsidRPr="007E04F7" w:rsidRDefault="001A2991" w:rsidP="0064597D">
      <w:pPr>
        <w:pStyle w:val="Textonotapie"/>
        <w:tabs>
          <w:tab w:val="left" w:pos="810"/>
        </w:tabs>
        <w:ind w:left="900" w:right="90"/>
        <w:rPr>
          <w:sz w:val="16"/>
          <w:szCs w:val="16"/>
          <w:lang w:val="es-CR"/>
        </w:rPr>
      </w:pPr>
      <w:r w:rsidRPr="007E04F7">
        <w:rPr>
          <w:sz w:val="16"/>
          <w:szCs w:val="16"/>
          <w:lang w:val="es-CR"/>
        </w:rPr>
        <w:t xml:space="preserve">b) por las representantes de las presuntas víctimas: por el Instituto de Estudios Comparados en Ciencias Penales de Guatemala (ICCPG), Alejandro Rodríguez y por el Centro por la Justicia y el Derecho Internacional (CEJIL), Marcela Martino, Gisela de León, Paola Limón, Luisa Gómez y Camila Ormar, y </w:t>
      </w:r>
    </w:p>
    <w:p w14:paraId="62AEEED8" w14:textId="17882F32" w:rsidR="001A2991" w:rsidRPr="007E04F7" w:rsidRDefault="001A2991" w:rsidP="0064597D">
      <w:pPr>
        <w:pStyle w:val="Textonotapie"/>
        <w:tabs>
          <w:tab w:val="left" w:pos="810"/>
        </w:tabs>
        <w:ind w:left="900" w:right="90"/>
        <w:rPr>
          <w:strike/>
          <w:sz w:val="16"/>
          <w:szCs w:val="16"/>
          <w:lang w:val="es-CR"/>
        </w:rPr>
      </w:pPr>
      <w:r w:rsidRPr="007E04F7">
        <w:rPr>
          <w:sz w:val="16"/>
          <w:szCs w:val="16"/>
          <w:lang w:val="es-CR"/>
        </w:rPr>
        <w:t>c) por el Estado de Guatemala: el Presidente de COPREDEH Jorge Luis Borrayo Reyes, el Director Ejecutivo de COPREDEH Felipe Sánchez González, la Directora de Defensores Carla Gabriela Morales, los Asesores de la Dirección de Seguimiento de Casos Internacionales Steffany Rebeca Vásquez y Rafael Eduardo Bran y el Fiscal del Ministerio Publico Carlos Alberto de León Moreno.</w:t>
      </w:r>
    </w:p>
  </w:footnote>
  <w:footnote w:id="11">
    <w:p w14:paraId="381EFD21" w14:textId="77777777" w:rsidR="001A2991" w:rsidRPr="007E04F7" w:rsidRDefault="001A2991" w:rsidP="0064597D">
      <w:pPr>
        <w:pStyle w:val="Textonotapie"/>
        <w:tabs>
          <w:tab w:val="left" w:pos="567"/>
        </w:tabs>
        <w:rPr>
          <w:sz w:val="16"/>
          <w:szCs w:val="16"/>
          <w:lang w:val="es-CR"/>
        </w:rPr>
      </w:pPr>
      <w:r w:rsidRPr="007E04F7">
        <w:rPr>
          <w:rStyle w:val="Refdenotaalpie"/>
          <w:sz w:val="16"/>
          <w:szCs w:val="16"/>
        </w:rPr>
        <w:footnoteRef/>
      </w:r>
      <w:r w:rsidRPr="007E04F7">
        <w:rPr>
          <w:sz w:val="16"/>
          <w:szCs w:val="16"/>
        </w:rPr>
        <w:t xml:space="preserve"> </w:t>
      </w:r>
      <w:r w:rsidRPr="007E04F7">
        <w:rPr>
          <w:sz w:val="16"/>
          <w:szCs w:val="16"/>
          <w:lang w:val="es-CR"/>
        </w:rPr>
        <w:tab/>
        <w:t>El escrito firmado por Francisco J. Rivera Juaristi, en su carácter de Director de dicha clínica, versa sobre el fenómeno del corredor de la muerte y el derecho a la integridad personal.</w:t>
      </w:r>
    </w:p>
  </w:footnote>
  <w:footnote w:id="12">
    <w:p w14:paraId="17E1A312" w14:textId="6E7BAB58"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Arial"/>
          <w:i/>
          <w:sz w:val="16"/>
          <w:szCs w:val="16"/>
        </w:rPr>
        <w:t xml:space="preserve">Cfr. Caso Las Palmeras Vs. Colombia. Excepciones Preliminares. </w:t>
      </w:r>
      <w:r w:rsidRPr="007E04F7">
        <w:rPr>
          <w:rFonts w:cs="Arial"/>
          <w:sz w:val="16"/>
          <w:szCs w:val="16"/>
        </w:rPr>
        <w:t xml:space="preserve">Sentencia de 4 de febrero de 2000. Serie C No. 67, párr. 34, y </w:t>
      </w:r>
      <w:r w:rsidRPr="007E04F7">
        <w:rPr>
          <w:rFonts w:cs="Arial"/>
          <w:i/>
          <w:sz w:val="16"/>
          <w:szCs w:val="16"/>
        </w:rPr>
        <w:t>Caso Muelle Flores Vs. Perú. Excepciones Preliminares, Fondo, Reparaciones y Costas</w:t>
      </w:r>
      <w:r w:rsidRPr="007E04F7">
        <w:rPr>
          <w:rFonts w:cs="Arial"/>
          <w:sz w:val="16"/>
          <w:szCs w:val="16"/>
        </w:rPr>
        <w:t>. Sentencia de 6 de marzo de 2019. Serie C No. 375, párr. 20.</w:t>
      </w:r>
    </w:p>
  </w:footnote>
  <w:footnote w:id="13">
    <w:p w14:paraId="4639B956" w14:textId="72423A47" w:rsidR="001A2991" w:rsidRPr="007E04F7" w:rsidRDefault="001A2991" w:rsidP="0064597D">
      <w:pPr>
        <w:pStyle w:val="Textonotapie"/>
        <w:tabs>
          <w:tab w:val="left" w:pos="567"/>
        </w:tabs>
        <w:rPr>
          <w:sz w:val="16"/>
          <w:szCs w:val="16"/>
          <w:lang w:val="es-CR"/>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Arial"/>
          <w:i/>
          <w:sz w:val="16"/>
          <w:szCs w:val="16"/>
        </w:rPr>
        <w:t>Cfr. Caso Castañeda Gutman Vs. México. Excepciones Preliminares, Fondo, Reparaciones y Costas</w:t>
      </w:r>
      <w:r w:rsidRPr="007E04F7">
        <w:rPr>
          <w:rFonts w:cs="Arial"/>
          <w:sz w:val="16"/>
          <w:szCs w:val="16"/>
        </w:rPr>
        <w:t xml:space="preserve">. Sentencia de 6 de agosto de 2008. Serie C No. 184, párr. 39, y </w:t>
      </w:r>
      <w:r w:rsidRPr="007E04F7">
        <w:rPr>
          <w:rFonts w:cs="Arial"/>
          <w:i/>
          <w:sz w:val="16"/>
          <w:szCs w:val="16"/>
        </w:rPr>
        <w:t xml:space="preserve">Caso Muelle Flores Vs. Perú, supra, </w:t>
      </w:r>
      <w:r w:rsidRPr="007E04F7">
        <w:rPr>
          <w:rFonts w:cs="Arial"/>
          <w:sz w:val="16"/>
          <w:szCs w:val="16"/>
        </w:rPr>
        <w:t>párr. 20.</w:t>
      </w:r>
    </w:p>
  </w:footnote>
  <w:footnote w:id="14">
    <w:p w14:paraId="2F88033E" w14:textId="4AE8B7D7" w:rsidR="001A2991" w:rsidRPr="007E04F7" w:rsidRDefault="001A2991" w:rsidP="0064597D">
      <w:pPr>
        <w:pStyle w:val="Textonotapie"/>
        <w:tabs>
          <w:tab w:val="left" w:pos="567"/>
        </w:tabs>
        <w:rPr>
          <w:i/>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Caso de las Masacres de Ituango Vs. Colombia. Excepción Preliminar, Fondo, Reparaciones y Costas. </w:t>
      </w:r>
      <w:r w:rsidRPr="007E04F7">
        <w:rPr>
          <w:sz w:val="16"/>
          <w:szCs w:val="16"/>
        </w:rPr>
        <w:t xml:space="preserve">Sentencia de 1 de julio de 2006. Serie C No. 148, párr. 98 y </w:t>
      </w:r>
      <w:r w:rsidRPr="007E04F7">
        <w:rPr>
          <w:i/>
          <w:sz w:val="16"/>
          <w:szCs w:val="16"/>
        </w:rPr>
        <w:t xml:space="preserve">Caso Gorigoitía Vs. Argentina. Excepción Preliminar, Fondo, Reparaciones y Costas. </w:t>
      </w:r>
      <w:r w:rsidRPr="007E04F7">
        <w:rPr>
          <w:sz w:val="16"/>
          <w:szCs w:val="16"/>
        </w:rPr>
        <w:t>Sentencia de 2 de septiembre de 2019. Serie C No. 382, párr. 25</w:t>
      </w:r>
      <w:r w:rsidRPr="007E04F7">
        <w:rPr>
          <w:rStyle w:val="Textoennegrita"/>
          <w:b w:val="0"/>
          <w:sz w:val="16"/>
          <w:szCs w:val="16"/>
          <w:shd w:val="clear" w:color="auto" w:fill="FFFFFF"/>
        </w:rPr>
        <w:t>.</w:t>
      </w:r>
    </w:p>
  </w:footnote>
  <w:footnote w:id="15">
    <w:p w14:paraId="0FF123B0" w14:textId="3D7289B4"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Caso Masacres de Río Negro Vs. Guatemala. Excepción Preliminar, Fondo, Reparaciones y Costas. </w:t>
      </w:r>
      <w:r w:rsidRPr="007E04F7">
        <w:rPr>
          <w:sz w:val="16"/>
          <w:szCs w:val="16"/>
        </w:rPr>
        <w:t xml:space="preserve">Sentencia de 4 de septiembre de 2012. Serie C No. 250, párr. 48, y </w:t>
      </w:r>
      <w:r w:rsidRPr="007E04F7">
        <w:rPr>
          <w:rStyle w:val="Textoennegrita"/>
          <w:b w:val="0"/>
          <w:i/>
          <w:sz w:val="16"/>
          <w:szCs w:val="16"/>
          <w:shd w:val="clear" w:color="auto" w:fill="FFFFFF"/>
        </w:rPr>
        <w:t xml:space="preserve">Caso Martínez Coronado Vs. Guatemala. Fondo, Reparaciones y Costas. </w:t>
      </w:r>
      <w:r w:rsidRPr="007E04F7">
        <w:rPr>
          <w:rStyle w:val="Textoennegrita"/>
          <w:b w:val="0"/>
          <w:sz w:val="16"/>
          <w:szCs w:val="16"/>
          <w:shd w:val="clear" w:color="auto" w:fill="FFFFFF"/>
        </w:rPr>
        <w:t>Sentencia de 10 de mayo de 2019. Serie C No. 376, párr. 18.</w:t>
      </w:r>
    </w:p>
  </w:footnote>
  <w:footnote w:id="16">
    <w:p w14:paraId="6F6A0646" w14:textId="65803CEA"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Omeara Carrascal y otros Vs. Colombia. Fondo, Reparaciones y Costas</w:t>
      </w:r>
      <w:r w:rsidRPr="007E04F7">
        <w:rPr>
          <w:sz w:val="16"/>
          <w:szCs w:val="16"/>
        </w:rPr>
        <w:t xml:space="preserve">. Sentencia de 21 de noviembre de 2018. Serie C No. 368, párrs. 55 y 56, y </w:t>
      </w:r>
      <w:r w:rsidRPr="007E04F7">
        <w:rPr>
          <w:i/>
          <w:sz w:val="16"/>
          <w:szCs w:val="16"/>
        </w:rPr>
        <w:t xml:space="preserve">Caso Martínez Coronado Vs. Guatemala, </w:t>
      </w:r>
      <w:r w:rsidRPr="007E04F7">
        <w:rPr>
          <w:rFonts w:cs="Arial"/>
          <w:i/>
          <w:sz w:val="16"/>
          <w:szCs w:val="16"/>
        </w:rPr>
        <w:t>supra,</w:t>
      </w:r>
      <w:r w:rsidRPr="007E04F7">
        <w:rPr>
          <w:sz w:val="16"/>
          <w:szCs w:val="16"/>
        </w:rPr>
        <w:t xml:space="preserve"> párr. 19. </w:t>
      </w:r>
      <w:r w:rsidRPr="007E04F7">
        <w:rPr>
          <w:sz w:val="16"/>
          <w:szCs w:val="16"/>
        </w:rPr>
        <w:tab/>
        <w:t xml:space="preserve"> </w:t>
      </w:r>
    </w:p>
  </w:footnote>
  <w:footnote w:id="17">
    <w:p w14:paraId="40FBF617" w14:textId="05FCCDA2" w:rsidR="001A2991" w:rsidRPr="007E04F7" w:rsidRDefault="001A2991" w:rsidP="0064597D">
      <w:pPr>
        <w:pStyle w:val="Textonotapie"/>
        <w:tabs>
          <w:tab w:val="left" w:pos="567"/>
        </w:tabs>
        <w:rPr>
          <w:sz w:val="16"/>
          <w:szCs w:val="16"/>
        </w:rPr>
      </w:pPr>
      <w:r w:rsidRPr="007E04F7">
        <w:rPr>
          <w:rStyle w:val="Refdenotaalpie"/>
          <w:rFonts w:eastAsiaTheme="majorEastAsia"/>
          <w:sz w:val="16"/>
          <w:szCs w:val="16"/>
        </w:rPr>
        <w:footnoteRef/>
      </w:r>
      <w:r w:rsidRPr="007E04F7">
        <w:rPr>
          <w:sz w:val="16"/>
          <w:szCs w:val="16"/>
        </w:rPr>
        <w:t xml:space="preserve"> </w:t>
      </w:r>
      <w:r w:rsidRPr="007E04F7">
        <w:rPr>
          <w:sz w:val="16"/>
          <w:szCs w:val="16"/>
        </w:rPr>
        <w:tab/>
        <w:t xml:space="preserve">De manera general, esos hechos se refieren a que la detención del señor Ruiz Fuentes fue presuntamente ilegal y arbitraria y no respetó las garantías contenidas en los artículos 7.4 y 7.5 de la Convención Americana (violación de los artículos 7.1, 7.2, 7.3, 7.4 y 7.5 de la Convención Americana, en relación con el artículo 1.1 del mismo instrumento). </w:t>
      </w:r>
    </w:p>
  </w:footnote>
  <w:footnote w:id="18">
    <w:p w14:paraId="6C84B8ED" w14:textId="6FD5D66B"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Las representantes argumentaron que (i) la detención del señor Ruiz Fuentes fue ilegal y arbitraria, (ii) que no fue informado de las razones de su detención y los cargos formulados en su contra y que (iii) su detención no fue sometida a control judicial. </w:t>
      </w:r>
    </w:p>
  </w:footnote>
  <w:footnote w:id="19">
    <w:p w14:paraId="7073F8EB" w14:textId="385AA720"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Las representantes indicaron, por un lado, que el Estado de Guatemala no había brindado la atención médica adecuada al señor Ruiz Fuentes mientras permaneció privado de libertad. Precisaron que se retrasó por varias semanas la nueva intervención que precisaba el señor Ruiz Fuentes para cerrar la bolsa de colostomía y reestablecer su tránsito intestinal. Añadieron que todas las dilaciones y retrasos injustificados para brindar al señor Ruiz Fuentes la atención posoperatoria que necesitaba llevaron a que la víctima cursase una infección de la herida, que le generó problemas de salud que requirieron un nuevo tratamiento médico en el Hospital Roosevelt. Por otro lado, las representantes indicaron que las condiciones carcelarias a las que estuvo sometido el señor Ruiz Fuentes fueron extremadamente severas y contrarias a la dignidad humana, destacando, entre ellas: hacinamiento, mala alimentación, serias falencias en la infraestructura sanitaria básica, ausencia de servicio médico y psicológico suficiente para contrarrestar la angustia y el estrés que padecía, oportunidades educativas y laborales muy limitadas, y, además, sometido a duras restricciones de sus visitas.</w:t>
      </w:r>
    </w:p>
  </w:footnote>
  <w:footnote w:id="20">
    <w:p w14:paraId="53A35216" w14:textId="6B2D1AD1"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Esto es 1) la detención del señor Ruiz Fuentes y las alegadas torturas cometidas, 2) las alegadas falencias ocurridas en el marco del procedimiento penal, 3) la condena a pena de muerte, 4) la posterior muerte del señor Ruiz Fuentes y 5) las alegadas afectaciones a la integridad personal a la hermana del señor Ruiz Fuentes.</w:t>
      </w:r>
    </w:p>
  </w:footnote>
  <w:footnote w:id="21">
    <w:p w14:paraId="70EDFEED" w14:textId="2B7BA347" w:rsidR="001A2991" w:rsidRPr="007E04F7" w:rsidRDefault="001A2991" w:rsidP="0064597D">
      <w:pPr>
        <w:pStyle w:val="Textonotapie"/>
        <w:tabs>
          <w:tab w:val="left" w:pos="567"/>
        </w:tabs>
        <w:rPr>
          <w:b/>
          <w:sz w:val="16"/>
          <w:szCs w:val="16"/>
          <w:lang w:val="es-CR"/>
        </w:rPr>
      </w:pPr>
      <w:r w:rsidRPr="007E04F7">
        <w:rPr>
          <w:rStyle w:val="Refdenotaalpie"/>
          <w:sz w:val="16"/>
          <w:szCs w:val="16"/>
        </w:rPr>
        <w:footnoteRef/>
      </w:r>
      <w:r w:rsidRPr="007E04F7">
        <w:rPr>
          <w:sz w:val="16"/>
          <w:szCs w:val="16"/>
          <w:lang w:val="es-CR"/>
        </w:rPr>
        <w:t xml:space="preserve"> </w:t>
      </w:r>
      <w:r w:rsidRPr="007E04F7">
        <w:rPr>
          <w:sz w:val="16"/>
          <w:szCs w:val="16"/>
          <w:lang w:val="es-CR"/>
        </w:rPr>
        <w:tab/>
      </w:r>
      <w:r w:rsidRPr="007E04F7">
        <w:rPr>
          <w:i/>
          <w:sz w:val="16"/>
          <w:szCs w:val="16"/>
          <w:lang w:val="es-CR"/>
        </w:rPr>
        <w:t>Cfr</w:t>
      </w:r>
      <w:r w:rsidRPr="007E04F7">
        <w:rPr>
          <w:sz w:val="16"/>
          <w:szCs w:val="16"/>
          <w:lang w:val="es-CR"/>
        </w:rPr>
        <w:t xml:space="preserve">. </w:t>
      </w:r>
      <w:r w:rsidRPr="007E04F7">
        <w:rPr>
          <w:bCs/>
          <w:i/>
          <w:sz w:val="16"/>
          <w:szCs w:val="16"/>
        </w:rPr>
        <w:t xml:space="preserve">Caso Vera Vera y otra Vs. Ecuador. Excepción Preliminar, Fondo, Reparaciones y Costas. </w:t>
      </w:r>
      <w:r w:rsidRPr="007E04F7">
        <w:rPr>
          <w:bCs/>
          <w:sz w:val="16"/>
          <w:szCs w:val="16"/>
        </w:rPr>
        <w:t>Sentencia de 19 de mayo de 2011. Serie C No. 226</w:t>
      </w:r>
      <w:r w:rsidRPr="007E04F7">
        <w:rPr>
          <w:iCs/>
          <w:sz w:val="16"/>
          <w:szCs w:val="16"/>
          <w:lang w:val="es-MX"/>
        </w:rPr>
        <w:t>,</w:t>
      </w:r>
      <w:r w:rsidRPr="007E04F7">
        <w:rPr>
          <w:rStyle w:val="Textoennegrita"/>
          <w:b w:val="0"/>
          <w:sz w:val="16"/>
          <w:szCs w:val="16"/>
        </w:rPr>
        <w:t xml:space="preserve"> párr. 32, y </w:t>
      </w:r>
      <w:r w:rsidRPr="007E04F7">
        <w:rPr>
          <w:rStyle w:val="Textoennegrita"/>
          <w:b w:val="0"/>
          <w:i/>
          <w:sz w:val="16"/>
          <w:szCs w:val="16"/>
        </w:rPr>
        <w:t>Caso Villamizar Durán y otros Vs. Colombia. Excepción Preliminar, Fondo, Reparaciones y Costas.</w:t>
      </w:r>
      <w:r w:rsidRPr="007E04F7">
        <w:rPr>
          <w:rStyle w:val="Textoennegrita"/>
          <w:b w:val="0"/>
          <w:sz w:val="16"/>
          <w:szCs w:val="16"/>
        </w:rPr>
        <w:t xml:space="preserve"> Sentencia de 20 de noviembre de 2018. Serie C No. 364, párr. 49</w:t>
      </w:r>
      <w:r w:rsidRPr="007E04F7">
        <w:rPr>
          <w:rStyle w:val="Textoennegrita"/>
          <w:b w:val="0"/>
          <w:sz w:val="16"/>
          <w:szCs w:val="16"/>
          <w:lang w:val="es-CR"/>
        </w:rPr>
        <w:t>.</w:t>
      </w:r>
    </w:p>
  </w:footnote>
  <w:footnote w:id="22">
    <w:p w14:paraId="7331AA3E" w14:textId="4B1D6FBB"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o impedimento grave) o salvo si se tratara de un hecho superviniente, es decir, ocurrido con posterioridad a los citados momentos procesales. </w:t>
      </w:r>
      <w:r w:rsidRPr="007E04F7">
        <w:rPr>
          <w:i/>
          <w:sz w:val="16"/>
          <w:szCs w:val="16"/>
        </w:rPr>
        <w:t>Cfr.</w:t>
      </w:r>
      <w:r w:rsidRPr="007E04F7">
        <w:rPr>
          <w:sz w:val="16"/>
          <w:szCs w:val="16"/>
        </w:rPr>
        <w:t xml:space="preserve"> </w:t>
      </w:r>
      <w:r w:rsidRPr="007E04F7">
        <w:rPr>
          <w:i/>
          <w:sz w:val="16"/>
          <w:szCs w:val="16"/>
        </w:rPr>
        <w:t xml:space="preserve">Caso Familia Barrios Vs. Venezuela. Fondo, Reparaciones y Costas. </w:t>
      </w:r>
      <w:r w:rsidRPr="007E04F7">
        <w:rPr>
          <w:sz w:val="16"/>
          <w:szCs w:val="16"/>
        </w:rPr>
        <w:t xml:space="preserve">Sentencia de 24 de noviembre de 2011. Serie C No. 237, párrs. 17 y 18, y </w:t>
      </w:r>
      <w:r w:rsidRPr="007E04F7">
        <w:rPr>
          <w:rStyle w:val="Textoennegrita"/>
          <w:b w:val="0"/>
          <w:i/>
          <w:sz w:val="16"/>
          <w:szCs w:val="16"/>
          <w:shd w:val="clear" w:color="auto" w:fill="FFFFFF"/>
        </w:rPr>
        <w:t xml:space="preserve">Caso Muelle Flores Vs. Perú. Excepciones Preliminares, Fondo, Reparaciones y Costas. </w:t>
      </w:r>
      <w:r w:rsidRPr="007E04F7">
        <w:rPr>
          <w:rStyle w:val="Textoennegrita"/>
          <w:b w:val="0"/>
          <w:sz w:val="16"/>
          <w:szCs w:val="16"/>
          <w:shd w:val="clear" w:color="auto" w:fill="FFFFFF"/>
        </w:rPr>
        <w:t>Sentencia de 6 de marzo de 2019. Serie C No. 375,</w:t>
      </w:r>
      <w:r w:rsidRPr="007E04F7">
        <w:rPr>
          <w:rStyle w:val="Textoennegrita"/>
          <w:b w:val="0"/>
          <w:i/>
          <w:sz w:val="16"/>
          <w:szCs w:val="16"/>
          <w:shd w:val="clear" w:color="auto" w:fill="FFFFFF"/>
        </w:rPr>
        <w:t xml:space="preserve"> </w:t>
      </w:r>
      <w:r w:rsidRPr="007E04F7">
        <w:rPr>
          <w:rStyle w:val="Textoennegrita"/>
          <w:b w:val="0"/>
          <w:sz w:val="16"/>
          <w:szCs w:val="16"/>
          <w:shd w:val="clear" w:color="auto" w:fill="FFFFFF"/>
        </w:rPr>
        <w:t>párr. 38</w:t>
      </w:r>
      <w:r w:rsidRPr="007E04F7">
        <w:rPr>
          <w:rStyle w:val="Textoennegrita"/>
          <w:b w:val="0"/>
          <w:i/>
          <w:sz w:val="16"/>
          <w:szCs w:val="16"/>
          <w:shd w:val="clear" w:color="auto" w:fill="FFFFFF"/>
        </w:rPr>
        <w:t>.</w:t>
      </w:r>
    </w:p>
  </w:footnote>
  <w:footnote w:id="23">
    <w:p w14:paraId="2EDDE609" w14:textId="28DA7812" w:rsidR="001A2991" w:rsidRPr="007E04F7" w:rsidRDefault="001A2991" w:rsidP="0064597D">
      <w:pPr>
        <w:pStyle w:val="Textonotapie"/>
        <w:tabs>
          <w:tab w:val="left" w:pos="567"/>
        </w:tabs>
        <w:rPr>
          <w:sz w:val="16"/>
          <w:szCs w:val="16"/>
          <w:lang w:val="es-ES"/>
        </w:rPr>
      </w:pPr>
      <w:r w:rsidRPr="007E04F7">
        <w:rPr>
          <w:rStyle w:val="Refdenotaalpie"/>
          <w:sz w:val="16"/>
          <w:szCs w:val="16"/>
        </w:rPr>
        <w:footnoteRef/>
      </w:r>
      <w:r w:rsidRPr="007E04F7">
        <w:rPr>
          <w:sz w:val="16"/>
          <w:szCs w:val="16"/>
        </w:rPr>
        <w:t xml:space="preserve"> </w:t>
      </w:r>
      <w:r w:rsidRPr="007E04F7">
        <w:rPr>
          <w:sz w:val="16"/>
          <w:szCs w:val="16"/>
        </w:rPr>
        <w:tab/>
        <w:t>(i) Escrito de acusación del Ministerio Público por delito de ejecución extrajudicial en el marco del expediente MP:M3542-2005-4338 de 6 de marzo de 2019; (ii) Observaciones Finales del Informe Periódico del Comité contra la Tortura CAT/C/GTM/CO/7, de 23 de noviembre de 2018; (iii) “Informe Anual circunstanciado de actividades y de la situación de los Derechos Humanos de 2018”, elaborado por el Procurador de los Derechos Humanos de Guatemala; (iv) documentos de soporte de gastos y costas incurridos por CEJIL, y (v) los certificados de nacimiento de Herbert Ruiz Marroquín, Jenyfer Ruiz Marroquín y Hugo Ruiz Marroquín.</w:t>
      </w:r>
    </w:p>
  </w:footnote>
  <w:footnote w:id="24">
    <w:p w14:paraId="535CFD37" w14:textId="550FDF44"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Anexo </w:t>
      </w:r>
      <w:r w:rsidRPr="007E04F7">
        <w:rPr>
          <w:rStyle w:val="Refdenotaalpie"/>
          <w:rFonts w:eastAsia="Calibri"/>
          <w:sz w:val="16"/>
          <w:szCs w:val="16"/>
          <w:vertAlign w:val="baseline"/>
          <w:lang w:val="es-CR"/>
        </w:rPr>
        <w:t>no</w:t>
      </w:r>
      <w:r w:rsidRPr="007E04F7">
        <w:rPr>
          <w:sz w:val="16"/>
          <w:szCs w:val="16"/>
        </w:rPr>
        <w:t>. 18 aportado por la Comisión en su Informe de Fondo (Expediente de prueba, folios 225 a 230).</w:t>
      </w:r>
    </w:p>
  </w:footnote>
  <w:footnote w:id="25">
    <w:p w14:paraId="0B65B9BC" w14:textId="2E779757"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En audiencia pública la Corte recibió las declaraciones de A.M.V. y Jorge Santos, así como el dictamen de Guillermo Austreberto Carranza.</w:t>
      </w:r>
    </w:p>
  </w:footnote>
  <w:footnote w:id="26">
    <w:p w14:paraId="5D77024D" w14:textId="63B1F608" w:rsidR="001A2991" w:rsidRPr="007E04F7" w:rsidRDefault="001A2991" w:rsidP="0064597D">
      <w:pPr>
        <w:pStyle w:val="Textonotapie"/>
        <w:tabs>
          <w:tab w:val="left" w:pos="567"/>
        </w:tabs>
        <w:rPr>
          <w:sz w:val="16"/>
          <w:szCs w:val="16"/>
        </w:rPr>
      </w:pPr>
      <w:r w:rsidRPr="007E04F7">
        <w:rPr>
          <w:rStyle w:val="Refdenotaalpie"/>
          <w:sz w:val="16"/>
          <w:szCs w:val="16"/>
        </w:rPr>
        <w:footnoteRef/>
      </w:r>
      <w:r w:rsidRPr="007E04F7">
        <w:rPr>
          <w:sz w:val="16"/>
          <w:szCs w:val="16"/>
        </w:rPr>
        <w:t xml:space="preserve"> </w:t>
      </w:r>
      <w:r w:rsidRPr="007E04F7">
        <w:rPr>
          <w:sz w:val="16"/>
          <w:szCs w:val="16"/>
        </w:rPr>
        <w:tab/>
        <w:t>La Corte recibió las declaraciones rendidas ante fedatario público (afidávit) de la hermana del señor Ruiz Fuentes, W.E.R.V., Benedicto Tenas, propuestos por las representantes; los peritos Juan Cristóbal Aldana, Leonel González, Edgar René Celada Quezada, propuestos por las representantes, así como de los peritos propuestos por la Comisión Parvais Jabbar y Edward Fitzgerald.</w:t>
      </w:r>
    </w:p>
  </w:footnote>
  <w:footnote w:id="27">
    <w:p w14:paraId="3476D1E6" w14:textId="77777777" w:rsidR="001A2991" w:rsidRPr="007E04F7" w:rsidRDefault="001A2991" w:rsidP="0064597D">
      <w:pPr>
        <w:pStyle w:val="Textonotapie"/>
        <w:tabs>
          <w:tab w:val="left" w:pos="567"/>
        </w:tabs>
        <w:rPr>
          <w:sz w:val="16"/>
          <w:szCs w:val="16"/>
          <w:lang w:val="es-CR"/>
        </w:rPr>
      </w:pPr>
      <w:r w:rsidRPr="007E04F7">
        <w:rPr>
          <w:rStyle w:val="Refdenotaalpie"/>
          <w:rFonts w:eastAsia="Calibri"/>
          <w:sz w:val="16"/>
          <w:szCs w:val="16"/>
          <w:lang w:val="es-CR"/>
        </w:rPr>
        <w:footnoteRef/>
      </w:r>
      <w:r w:rsidRPr="007E04F7">
        <w:rPr>
          <w:sz w:val="16"/>
          <w:szCs w:val="16"/>
          <w:lang w:val="es-CR"/>
        </w:rPr>
        <w:t xml:space="preserve"> </w:t>
      </w:r>
      <w:r w:rsidRPr="007E04F7">
        <w:rPr>
          <w:sz w:val="16"/>
          <w:szCs w:val="16"/>
          <w:lang w:val="es-CR"/>
        </w:rPr>
        <w:tab/>
        <w:t>Los objetos de todas estas declaraciones se encuentran establecidos en la Resolución del Presidente de la Corte Interamericana emitida el</w:t>
      </w:r>
      <w:r w:rsidRPr="007E04F7">
        <w:rPr>
          <w:i/>
          <w:sz w:val="16"/>
          <w:szCs w:val="16"/>
          <w:lang w:val="es-CR"/>
        </w:rPr>
        <w:t xml:space="preserve"> </w:t>
      </w:r>
      <w:r w:rsidRPr="007E04F7">
        <w:rPr>
          <w:sz w:val="16"/>
          <w:szCs w:val="16"/>
          <w:lang w:val="es-CR"/>
        </w:rPr>
        <w:t>14 de febrero de 2019. Disponible en:</w:t>
      </w:r>
    </w:p>
    <w:p w14:paraId="4CE068A0" w14:textId="704CD2F1" w:rsidR="001A2991" w:rsidRPr="007E04F7" w:rsidRDefault="00656033" w:rsidP="0064597D">
      <w:pPr>
        <w:pStyle w:val="Textonotapie"/>
        <w:tabs>
          <w:tab w:val="left" w:pos="567"/>
        </w:tabs>
        <w:rPr>
          <w:rFonts w:eastAsia="ヒラギノ角ゴ Pro W3"/>
          <w:sz w:val="16"/>
          <w:szCs w:val="16"/>
          <w:lang w:val="es-CR"/>
        </w:rPr>
      </w:pPr>
      <w:hyperlink r:id="rId2" w:history="1">
        <w:r w:rsidR="001A2991" w:rsidRPr="007E04F7">
          <w:rPr>
            <w:rStyle w:val="Hipervnculo"/>
            <w:rFonts w:eastAsia="ヒラギノ角ゴ Pro W3"/>
            <w:sz w:val="16"/>
            <w:szCs w:val="16"/>
            <w:lang w:val="es-CR"/>
          </w:rPr>
          <w:t>http://www.corteidh.or.cr/docs/asuntos/ruiz_fuentes_14_02_19.pdf</w:t>
        </w:r>
      </w:hyperlink>
      <w:r w:rsidR="001A2991" w:rsidRPr="007E04F7">
        <w:rPr>
          <w:rFonts w:eastAsia="ヒラギノ角ゴ Pro W3"/>
          <w:sz w:val="16"/>
          <w:szCs w:val="16"/>
          <w:lang w:val="es-CR"/>
        </w:rPr>
        <w:t xml:space="preserve"> </w:t>
      </w:r>
    </w:p>
  </w:footnote>
  <w:footnote w:id="28">
    <w:p w14:paraId="721F3D8B" w14:textId="2F20547A"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El Estado indicó en particular que los peritos “obviaron exponer que dicha condena fue conmutada por la de privación de libertad. También obviaron manifestarse respecto al hecho de que después de diversos intentos, al final el señor Ruiz Fuentes logró fugarse del centro de privación de libertad, por consiguiente, tampoco estaba bajo custodia del Estado, tampoco hacen referencia a los verdaderos hechos del caso, de los delitos cometidos por el señor Ruiz Fuentes en perjuicio de un menor, por consiguiente, el peritaje es parcializado de forma intencional”.</w:t>
      </w:r>
    </w:p>
  </w:footnote>
  <w:footnote w:id="29">
    <w:p w14:paraId="3388F143"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Style w:val="Refdenotaalpie"/>
          <w:sz w:val="16"/>
          <w:szCs w:val="16"/>
          <w:vertAlign w:val="baseline"/>
        </w:rPr>
        <w:t>Constitución</w:t>
      </w:r>
      <w:r w:rsidRPr="007E04F7">
        <w:rPr>
          <w:sz w:val="16"/>
          <w:szCs w:val="16"/>
        </w:rPr>
        <w:t xml:space="preserve"> Política de la República de Guatemala decretada por la Asamblea Constituyente, 31 de mayo de 1985, Reformada por la Consulta Popular Acuerdo Legislativo 18-93:</w:t>
      </w:r>
    </w:p>
    <w:p w14:paraId="35981B70" w14:textId="77777777" w:rsidR="001A2991" w:rsidRPr="007E04F7" w:rsidRDefault="001A2991" w:rsidP="0064597D">
      <w:pPr>
        <w:pStyle w:val="Textonotapie"/>
        <w:ind w:left="720" w:right="720"/>
        <w:rPr>
          <w:sz w:val="16"/>
          <w:szCs w:val="16"/>
          <w:lang w:val="es-PE"/>
        </w:rPr>
      </w:pPr>
      <w:r w:rsidRPr="007E04F7">
        <w:rPr>
          <w:sz w:val="16"/>
          <w:szCs w:val="16"/>
          <w:lang w:val="es-CR"/>
        </w:rPr>
        <w:t xml:space="preserve">“Artículo 18. </w:t>
      </w:r>
      <w:r w:rsidRPr="007E04F7">
        <w:rPr>
          <w:sz w:val="16"/>
          <w:szCs w:val="16"/>
          <w:lang w:val="es-PE"/>
        </w:rPr>
        <w:t>Pena de muerte. La pena de muerte no podrá imponerse en los siguientes casos:</w:t>
      </w:r>
    </w:p>
    <w:p w14:paraId="27617054" w14:textId="77777777" w:rsidR="001A2991" w:rsidRPr="007E04F7" w:rsidRDefault="001A2991" w:rsidP="0064597D">
      <w:pPr>
        <w:pStyle w:val="Textonotapie"/>
        <w:ind w:left="720" w:right="720"/>
        <w:rPr>
          <w:sz w:val="16"/>
          <w:szCs w:val="16"/>
          <w:lang w:val="es-PE"/>
        </w:rPr>
      </w:pPr>
      <w:r w:rsidRPr="007E04F7">
        <w:rPr>
          <w:sz w:val="16"/>
          <w:szCs w:val="16"/>
          <w:lang w:val="es-PE"/>
        </w:rPr>
        <w:t>a. Con fundamento en presunciones;</w:t>
      </w:r>
    </w:p>
    <w:p w14:paraId="601F1BC8" w14:textId="77777777" w:rsidR="001A2991" w:rsidRPr="007E04F7" w:rsidRDefault="001A2991" w:rsidP="0064597D">
      <w:pPr>
        <w:pStyle w:val="Textonotapie"/>
        <w:ind w:left="720" w:right="720"/>
        <w:rPr>
          <w:sz w:val="16"/>
          <w:szCs w:val="16"/>
          <w:lang w:val="es-PE"/>
        </w:rPr>
      </w:pPr>
      <w:r w:rsidRPr="007E04F7">
        <w:rPr>
          <w:sz w:val="16"/>
          <w:szCs w:val="16"/>
          <w:lang w:val="es-PE"/>
        </w:rPr>
        <w:t>b. A las mujeres;</w:t>
      </w:r>
    </w:p>
    <w:p w14:paraId="2479BC9F" w14:textId="77777777" w:rsidR="001A2991" w:rsidRPr="007E04F7" w:rsidRDefault="001A2991" w:rsidP="0064597D">
      <w:pPr>
        <w:pStyle w:val="Textonotapie"/>
        <w:ind w:left="720" w:right="720"/>
        <w:rPr>
          <w:sz w:val="16"/>
          <w:szCs w:val="16"/>
          <w:lang w:val="es-PE"/>
        </w:rPr>
      </w:pPr>
      <w:r w:rsidRPr="007E04F7">
        <w:rPr>
          <w:sz w:val="16"/>
          <w:szCs w:val="16"/>
          <w:lang w:val="es-PE"/>
        </w:rPr>
        <w:t>c. A los mayores de sesenta años;</w:t>
      </w:r>
    </w:p>
    <w:p w14:paraId="6D45E7FD" w14:textId="77777777" w:rsidR="001A2991" w:rsidRPr="007E04F7" w:rsidRDefault="001A2991" w:rsidP="0064597D">
      <w:pPr>
        <w:pStyle w:val="Textonotapie"/>
        <w:ind w:left="720" w:right="720"/>
        <w:rPr>
          <w:sz w:val="16"/>
          <w:szCs w:val="16"/>
          <w:lang w:val="es-PE"/>
        </w:rPr>
      </w:pPr>
      <w:r w:rsidRPr="007E04F7">
        <w:rPr>
          <w:sz w:val="16"/>
          <w:szCs w:val="16"/>
          <w:lang w:val="es-PE"/>
        </w:rPr>
        <w:t>d. A los reos de delitos políticos y comunes conexos con los políticos; y</w:t>
      </w:r>
    </w:p>
    <w:p w14:paraId="2DE1D903" w14:textId="77777777" w:rsidR="001A2991" w:rsidRPr="007E04F7" w:rsidRDefault="001A2991" w:rsidP="0064597D">
      <w:pPr>
        <w:pStyle w:val="Textonotapie"/>
        <w:ind w:left="720" w:right="720"/>
        <w:rPr>
          <w:sz w:val="16"/>
          <w:szCs w:val="16"/>
          <w:lang w:val="es-PE"/>
        </w:rPr>
      </w:pPr>
      <w:r w:rsidRPr="007E04F7">
        <w:rPr>
          <w:sz w:val="16"/>
          <w:szCs w:val="16"/>
          <w:lang w:val="es-PE"/>
        </w:rPr>
        <w:t xml:space="preserve">e. </w:t>
      </w:r>
      <w:r w:rsidRPr="007E04F7">
        <w:rPr>
          <w:iCs/>
          <w:sz w:val="16"/>
          <w:szCs w:val="16"/>
          <w:lang w:val="es-PE"/>
        </w:rPr>
        <w:t>A</w:t>
      </w:r>
      <w:r w:rsidRPr="007E04F7">
        <w:rPr>
          <w:i/>
          <w:iCs/>
          <w:sz w:val="16"/>
          <w:szCs w:val="16"/>
          <w:lang w:val="es-PE"/>
        </w:rPr>
        <w:t xml:space="preserve"> </w:t>
      </w:r>
      <w:r w:rsidRPr="007E04F7">
        <w:rPr>
          <w:sz w:val="16"/>
          <w:szCs w:val="16"/>
          <w:lang w:val="es-PE"/>
        </w:rPr>
        <w:t>reos cuya extradición haya sido concedida bajo esa condición.</w:t>
      </w:r>
    </w:p>
    <w:p w14:paraId="4C4F048E" w14:textId="77777777" w:rsidR="001A2991" w:rsidRPr="007E04F7" w:rsidRDefault="001A2991" w:rsidP="0064597D">
      <w:pPr>
        <w:pStyle w:val="Textonotapie"/>
        <w:ind w:left="720" w:right="720"/>
        <w:rPr>
          <w:sz w:val="16"/>
          <w:szCs w:val="16"/>
          <w:lang w:val="es-PE"/>
        </w:rPr>
      </w:pPr>
      <w:r w:rsidRPr="007E04F7">
        <w:rPr>
          <w:sz w:val="16"/>
          <w:szCs w:val="16"/>
          <w:lang w:val="es-PE"/>
        </w:rPr>
        <w:t xml:space="preserve">Contra la sentencia que imponga la pena de muerte, serán admisibles todos los recursos legales pertinentes, inclusive el de casación; éste siempre será admitido para su trámite. La pena se ejecutará después de agotarse todos los recursos. </w:t>
      </w:r>
    </w:p>
    <w:p w14:paraId="46C2C19A" w14:textId="03ADCE3A" w:rsidR="001A2991" w:rsidRPr="007E04F7" w:rsidRDefault="001A2991" w:rsidP="0064597D">
      <w:pPr>
        <w:pStyle w:val="Textonotapie"/>
        <w:ind w:left="720" w:right="720"/>
        <w:rPr>
          <w:sz w:val="16"/>
          <w:szCs w:val="16"/>
        </w:rPr>
      </w:pPr>
      <w:r w:rsidRPr="007E04F7">
        <w:rPr>
          <w:sz w:val="16"/>
          <w:szCs w:val="16"/>
          <w:lang w:val="es-PE"/>
        </w:rPr>
        <w:t>El Congreso de la República podrá abolir la pena de muerte”.</w:t>
      </w:r>
    </w:p>
  </w:footnote>
  <w:footnote w:id="30">
    <w:p w14:paraId="388A05C4"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lang w:val="pt-BR"/>
        </w:rPr>
        <w:t xml:space="preserve"> </w:t>
      </w:r>
      <w:r w:rsidRPr="007E04F7">
        <w:rPr>
          <w:sz w:val="16"/>
          <w:szCs w:val="16"/>
          <w:lang w:val="pt-BR"/>
        </w:rPr>
        <w:tab/>
      </w:r>
      <w:r w:rsidRPr="007E04F7">
        <w:rPr>
          <w:rFonts w:cs="Verdana"/>
          <w:sz w:val="16"/>
          <w:szCs w:val="16"/>
        </w:rPr>
        <w:t>Decreto Legislativo No. 17/73 (Código Penal) emitido por el Congreso de la República de Guatemala el 5 de julio de 1973.</w:t>
      </w:r>
    </w:p>
  </w:footnote>
  <w:footnote w:id="31">
    <w:p w14:paraId="220BFB5C"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lang w:val="pt-BR"/>
        </w:rPr>
        <w:t xml:space="preserve"> </w:t>
      </w:r>
      <w:r w:rsidRPr="007E04F7">
        <w:rPr>
          <w:sz w:val="16"/>
          <w:szCs w:val="16"/>
          <w:lang w:val="pt-BR"/>
        </w:rPr>
        <w:tab/>
      </w:r>
      <w:r w:rsidRPr="007E04F7">
        <w:rPr>
          <w:rFonts w:cs="Verdana"/>
          <w:sz w:val="16"/>
          <w:szCs w:val="16"/>
        </w:rPr>
        <w:t>Decreto Legislativo No. 17/73 (Código Penal) emitido por el Congreso de la República de Guatemala el 5 de julio de 1973.</w:t>
      </w:r>
    </w:p>
  </w:footnote>
  <w:footnote w:id="32">
    <w:p w14:paraId="40B6B304"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sz w:val="16"/>
          <w:szCs w:val="16"/>
        </w:rPr>
        <w:t>Decreto Legislativo No. 38/94 emitido por el Congreso de la República de Guatemala el 26 de abril de 1994.</w:t>
      </w:r>
    </w:p>
  </w:footnote>
  <w:footnote w:id="33">
    <w:p w14:paraId="3BFE7BF1"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sz w:val="16"/>
          <w:szCs w:val="16"/>
        </w:rPr>
        <w:t>Decreto Legislativo No. 14/95 emitido por el Congreso de la República de Guatemala el 16 de marzo de 1995.</w:t>
      </w:r>
    </w:p>
  </w:footnote>
  <w:footnote w:id="34">
    <w:p w14:paraId="2CE59E13" w14:textId="46B9D4E8"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sz w:val="16"/>
          <w:szCs w:val="16"/>
        </w:rPr>
        <w:t>Decreto Legislativo No. 81/96 emitido por el Congreso de la República de Guatemala el 19 de septiembre de 1996.</w:t>
      </w:r>
    </w:p>
  </w:footnote>
  <w:footnote w:id="35">
    <w:p w14:paraId="7FEE0A5A" w14:textId="237A2A95"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sz w:val="16"/>
          <w:szCs w:val="16"/>
        </w:rPr>
        <w:t>Sentencia de la Corte de Constitucionalidad de la República de Guatemala</w:t>
      </w:r>
      <w:r w:rsidRPr="007E04F7">
        <w:rPr>
          <w:rFonts w:cs="Verdana"/>
          <w:sz w:val="16"/>
          <w:szCs w:val="16"/>
        </w:rPr>
        <w:t>, en calidad de Tribunal Extraordinario de Amparo, de 31 de octubre del 2000, Expediente No. 30-2000 (expediente de prueba, folio 1365).</w:t>
      </w:r>
    </w:p>
  </w:footnote>
  <w:footnote w:id="36">
    <w:p w14:paraId="6A101B86" w14:textId="3185843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Acción de amparo interpuesta por Hugo Humberto Ruiz Fuentes y </w:t>
      </w:r>
      <w:r w:rsidRPr="007E04F7">
        <w:rPr>
          <w:rFonts w:cs="Arial"/>
          <w:sz w:val="16"/>
          <w:szCs w:val="16"/>
        </w:rPr>
        <w:t xml:space="preserve">J.M.M.R. </w:t>
      </w:r>
      <w:r w:rsidRPr="007E04F7">
        <w:rPr>
          <w:sz w:val="16"/>
          <w:szCs w:val="16"/>
        </w:rPr>
        <w:t xml:space="preserve">(expediente de prueba, folios 1339 a 1345), y Sentencia de la Corte de Constitucionalidad de la República de Guatemala, dictada en el expediente 889-2000, de 4 de julio de 2001 (expediente de prueba, folios 1351 a 1367). Véase también, </w:t>
      </w:r>
      <w:r w:rsidRPr="007E04F7">
        <w:rPr>
          <w:rStyle w:val="Textoennegrita"/>
          <w:b w:val="0"/>
          <w:i/>
          <w:sz w:val="16"/>
          <w:szCs w:val="16"/>
        </w:rPr>
        <w:t>Caso Raxcacó Reyes Vs. Guatemala. Fondo, Reparaciones y Costas</w:t>
      </w:r>
      <w:r w:rsidRPr="007E04F7">
        <w:rPr>
          <w:rStyle w:val="Textoennegrita"/>
          <w:b w:val="0"/>
          <w:sz w:val="16"/>
          <w:szCs w:val="16"/>
        </w:rPr>
        <w:t>. Sentencia de 15 de septiembre de 2005. Serie C No. 13, párr. 43.6.</w:t>
      </w:r>
    </w:p>
  </w:footnote>
  <w:footnote w:id="37">
    <w:p w14:paraId="06FCD533" w14:textId="582803F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sz w:val="16"/>
          <w:szCs w:val="16"/>
        </w:rPr>
        <w:t>Sentencia de la Corte de Constitucionalidad de la República de Guatemala, de 4 de julio de 2001, Expediente 889-2000 (expediente de prueba, folio 1365).</w:t>
      </w:r>
    </w:p>
  </w:footnote>
  <w:footnote w:id="38">
    <w:p w14:paraId="1E0E349C" w14:textId="77777777"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rPr>
        <w:t>Caso Raxcacó Reyes Vs. Guatemala. Fondo, Reparaciones y Costas</w:t>
      </w:r>
      <w:r w:rsidRPr="007E04F7">
        <w:rPr>
          <w:rStyle w:val="Textoennegrita"/>
          <w:b w:val="0"/>
          <w:sz w:val="16"/>
          <w:szCs w:val="16"/>
        </w:rPr>
        <w:t>. Sentencia de 15 de septiembre de 2005. Serie C No. 133.</w:t>
      </w:r>
    </w:p>
  </w:footnote>
  <w:footnote w:id="39">
    <w:p w14:paraId="220515E5" w14:textId="6B126A98"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Sentencia de la Corte de Constitucionalidad de la República de Guatemala, de 24 de octubre de 2018, Expediente 5986-2016. </w:t>
      </w:r>
    </w:p>
  </w:footnote>
  <w:footnote w:id="40">
    <w:p w14:paraId="629952C9" w14:textId="53D772D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lang w:val="es-ES"/>
        </w:rPr>
        <w:t xml:space="preserve"> </w:t>
      </w:r>
      <w:r w:rsidRPr="007E04F7">
        <w:rPr>
          <w:sz w:val="16"/>
          <w:szCs w:val="16"/>
          <w:lang w:val="es-ES"/>
        </w:rPr>
        <w:tab/>
      </w:r>
      <w:r w:rsidRPr="007E04F7">
        <w:rPr>
          <w:sz w:val="16"/>
          <w:szCs w:val="16"/>
        </w:rPr>
        <w:t>Decreto Legislativo No. 159 emitido por la Asamblea Nacional Legislativa de la República de Guatemala, de 20 de abril del 1892.</w:t>
      </w:r>
    </w:p>
  </w:footnote>
  <w:footnote w:id="41">
    <w:p w14:paraId="6FFED745" w14:textId="2F2C1570"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Para un mayor desarrollo, véase </w:t>
      </w:r>
      <w:r w:rsidRPr="007E04F7">
        <w:rPr>
          <w:rStyle w:val="Textoennegrita"/>
          <w:b w:val="0"/>
          <w:i/>
          <w:sz w:val="16"/>
          <w:szCs w:val="16"/>
        </w:rPr>
        <w:t>Caso Raxcacó Reyes Vs. Guatemala, supra</w:t>
      </w:r>
      <w:r w:rsidRPr="007E04F7">
        <w:rPr>
          <w:rStyle w:val="Textoennegrita"/>
          <w:b w:val="0"/>
          <w:sz w:val="16"/>
          <w:szCs w:val="16"/>
        </w:rPr>
        <w:t>, párr. 43.17.</w:t>
      </w:r>
      <w:r w:rsidRPr="007E04F7">
        <w:rPr>
          <w:rStyle w:val="Textoennegrita"/>
          <w:sz w:val="16"/>
          <w:szCs w:val="16"/>
        </w:rPr>
        <w:t xml:space="preserve"> </w:t>
      </w:r>
    </w:p>
  </w:footnote>
  <w:footnote w:id="42">
    <w:p w14:paraId="1E9563E3" w14:textId="15A3729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Oficio No. 4325-97 emitido por el Departamento de Investigaciones Criminológicas de la Policía Nacional, de 6 de agosto de 1997 (expediente de prueba, folio 5).</w:t>
      </w:r>
    </w:p>
  </w:footnote>
  <w:footnote w:id="43">
    <w:p w14:paraId="6425ABA4" w14:textId="7086E72A"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Oficio No. 4325-97 emitido por el Departamento de Investigaciones Criminológicas de la Policía Nacional, de 6 de agosto de 1997 (expediente de prueba, folio 5).</w:t>
      </w:r>
    </w:p>
  </w:footnote>
  <w:footnote w:id="44">
    <w:p w14:paraId="1436AAEA" w14:textId="6CD108A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Oficio No. 4325-97 emitido por el Departamento de Investigaciones Criminológicas de la Policía Nacional, de 6 de agosto de 1997 (expediente de prueba, folio 5). Véase también, </w:t>
      </w:r>
      <w:r w:rsidRPr="007E04F7">
        <w:rPr>
          <w:rFonts w:cs="Verdana"/>
          <w:iCs/>
          <w:sz w:val="16"/>
          <w:szCs w:val="16"/>
        </w:rPr>
        <w:t>S</w:t>
      </w:r>
      <w:r w:rsidRPr="007E04F7">
        <w:rPr>
          <w:rFonts w:cs="Verdana"/>
          <w:sz w:val="16"/>
          <w:szCs w:val="16"/>
        </w:rPr>
        <w:t>entencia emitida por el Tribunal Sexto de Sentencia Penal, Narcoactividad y Delitos contra el Ambiente de Guatemala, de 14 de mayo de 1999 (expediente de prueba, folio 7341).</w:t>
      </w:r>
    </w:p>
  </w:footnote>
  <w:footnote w:id="45">
    <w:p w14:paraId="271B2563" w14:textId="4645DDD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Oficio No. 4325-97 emitido por el Departamento de Investigaciones Criminológicas de la Policía Nacional, de 6 de agosto de 1997 (expediente de prueba, folio 5).</w:t>
      </w:r>
    </w:p>
  </w:footnote>
  <w:footnote w:id="46">
    <w:p w14:paraId="67F2663B" w14:textId="77D73624"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Cfr. S</w:t>
      </w:r>
      <w:r w:rsidRPr="007E04F7">
        <w:rPr>
          <w:rFonts w:cs="Verdana"/>
          <w:sz w:val="16"/>
          <w:szCs w:val="16"/>
        </w:rPr>
        <w:t>entencia emitida por el Tribunal Sexto de Sentencia Penal, Narcoactividad y Delitos contra el Ambiente de Guatemala, de 14 de mayo de 1999 (expediente de prueba, folio 7341).</w:t>
      </w:r>
    </w:p>
  </w:footnote>
  <w:footnote w:id="47">
    <w:p w14:paraId="56D15393" w14:textId="07A4CB6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El término abdomen agudo se refiere a un cuadro grave de emergencia médica, caracterizado por síntomas y signos localizados en la cavidad abdominal. Véase Informe médico No. 492-484 emitido por el Hospital Roosevelt, de 9 de diciembre de 1997 (expediente de prueba, folio 15).</w:t>
      </w:r>
    </w:p>
  </w:footnote>
  <w:footnote w:id="48">
    <w:p w14:paraId="37801C19" w14:textId="41171DC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médico No. 492-484 emitido por el Hospital Roosevelt, de 9 de diciembre de 1997 (expediente de prueba, folio 15). Véase también, Informe del médico residente del Departamento de Cirugía del Hospital Roosevelt, de 20 de enero de 1998 (expediente de prueba, folio 17).</w:t>
      </w:r>
    </w:p>
  </w:footnote>
  <w:footnote w:id="49">
    <w:p w14:paraId="48C2C1EC" w14:textId="4508F13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médico del Departamento de Cirugía del Hospital Roosevelt, de 11 de diciembre de 2000 (expediente de prueba, folio 21).</w:t>
      </w:r>
    </w:p>
  </w:footnote>
  <w:footnote w:id="50">
    <w:p w14:paraId="72966894" w14:textId="7941925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w:t>
      </w:r>
    </w:p>
  </w:footnote>
  <w:footnote w:id="51">
    <w:p w14:paraId="0F36DA8C" w14:textId="49AD1805"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Esto es, desde su ingreso el 6 de agosto de 1997 hasta el alta el 18 de agosto de 1997. </w:t>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w:t>
      </w:r>
    </w:p>
  </w:footnote>
  <w:footnote w:id="52">
    <w:p w14:paraId="466AEC2C" w14:textId="4BECED1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w:t>
      </w:r>
    </w:p>
  </w:footnote>
  <w:footnote w:id="53">
    <w:p w14:paraId="0EF3407C" w14:textId="1A533C8E"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 Véase también, Informe del Departamento Médico Forense dirigido al Juzgado no.8 de Primera Instancia Penal, Narcoactividad y delitos contra el Ambiente de Guatemala, de 13 de febrero de 1998 (expediente de prueba, folio 19).</w:t>
      </w:r>
    </w:p>
  </w:footnote>
  <w:footnote w:id="54">
    <w:p w14:paraId="24FD8920" w14:textId="7CE01CB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médico del Departamento de Cirugía del Hospital Roosevelt, de 11 de diciembre de 2000 (expediente de prueba, folio 21).</w:t>
      </w:r>
    </w:p>
  </w:footnote>
  <w:footnote w:id="55">
    <w:p w14:paraId="12259ECA"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folios 8 a 13).</w:t>
      </w:r>
    </w:p>
  </w:footnote>
  <w:footnote w:id="56">
    <w:p w14:paraId="484970C4" w14:textId="0646C59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 11).</w:t>
      </w:r>
    </w:p>
  </w:footnote>
  <w:footnote w:id="57">
    <w:p w14:paraId="4477F0AF"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 12).</w:t>
      </w:r>
    </w:p>
  </w:footnote>
  <w:footnote w:id="58">
    <w:p w14:paraId="48594F7A" w14:textId="6416051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Declaración de Hugo Humberto Ruiz Fuentes en audiencias de juicio oral y público ante el Tribunal Sexto de Sentencia Penal, Narcoactividad y Delitos contra el Ambiente, de 21 de abril de 1999 (expediente de prueba, folios 1142 y 1143).</w:t>
      </w:r>
    </w:p>
  </w:footnote>
  <w:footnote w:id="59">
    <w:p w14:paraId="254AD65C" w14:textId="3BCD62A0"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Declaración de Hugo Humberto Ruiz Fuentes en audiencias de juicio oral y público ante el Tribunal Sexto de Sentencia Penal, Narcoactividad y Delitos contra el Ambiente, de 21 de abril de 1999 (expediente de prueba, folio 1143).</w:t>
      </w:r>
    </w:p>
  </w:footnote>
  <w:footnote w:id="60">
    <w:p w14:paraId="430E557F" w14:textId="0AA42D1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El señor J.M.M.R. declaró lo siguiente: “Lo condujeron al vehículo de atrás […] lo ingresaron, no se identificaron y no le decían por qué lo detenían y solo decían que ellos eran los que estaban secuestrados; adentro del penal había más gente y lo pusieron boca abajo y le taparon los ojos con una cinta adhesiva gris y también en las manos, lo golpearon y le preguntaban que dónde estaban los secuestrados. Después de un tiempo, con rumbo desconocido, llegaron a un lugar y llegó una persona que le quitó las vendas y dijo que era de los secuestradores. En eso llevaron a Hugo Humberto Ruiz quien estaba inconsciente y dijeron que mejor lo sacaran porque si no ahí se iba a morir”. </w:t>
      </w:r>
      <w:r w:rsidRPr="007E04F7">
        <w:rPr>
          <w:i/>
          <w:sz w:val="16"/>
          <w:szCs w:val="16"/>
        </w:rPr>
        <w:t>Cfr.</w:t>
      </w:r>
      <w:r w:rsidRPr="007E04F7">
        <w:rPr>
          <w:sz w:val="16"/>
          <w:szCs w:val="16"/>
        </w:rPr>
        <w:t xml:space="preserve"> Acta de debate C-4-98. Declaración de </w:t>
      </w:r>
      <w:r w:rsidRPr="007E04F7">
        <w:rPr>
          <w:rFonts w:cs="Arial"/>
          <w:sz w:val="16"/>
          <w:szCs w:val="16"/>
        </w:rPr>
        <w:t xml:space="preserve">J.M.M.R. </w:t>
      </w:r>
      <w:r w:rsidRPr="007E04F7">
        <w:rPr>
          <w:sz w:val="16"/>
          <w:szCs w:val="16"/>
        </w:rPr>
        <w:t>en audiencias de juicio oral y público ante el Tribunal Sexto de Sentencia Penal, Narcoactividad y Delitos contra el Ambiente, de 21 de abril de 1999 (expediente de prueba, folio 1141).</w:t>
      </w:r>
    </w:p>
  </w:footnote>
  <w:footnote w:id="61">
    <w:p w14:paraId="6E9603F4" w14:textId="0AEA08F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Declaración de Hugo Humberto Ruiz Fuentes en audiencias de juicio oral y público ante el Tribunal Sexto de Sentencia Penal, Narcoactividad y Delitos contra el Ambiente, de 21 de abril de 1999 (expediente de prueba, folio 1143).</w:t>
      </w:r>
    </w:p>
  </w:footnote>
  <w:footnote w:id="62">
    <w:p w14:paraId="09A85A49" w14:textId="57161E12"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Sentencia emitida por el Tribunal Sexto de Sentencia Penal, Narcoactividad y Delitos contra el Ambiente de Guatemala, de 14 de mayo de 1999 (expediente de prueba, folios 7339 y 7340. 7341 y 7334). El señor Ruiz Fuentes fue puesto a disposición judicial el 8 de agosto de 1997, tras haberle realizado una intervención quirúrgica el 6 de agosto de 1997. </w:t>
      </w:r>
      <w:r w:rsidRPr="007E04F7">
        <w:rPr>
          <w:rFonts w:cs="Verdana"/>
          <w:i/>
          <w:sz w:val="16"/>
          <w:szCs w:val="16"/>
        </w:rPr>
        <w:t>Cfr</w:t>
      </w:r>
      <w:r w:rsidRPr="007E04F7">
        <w:rPr>
          <w:rFonts w:cs="Verdana"/>
          <w:sz w:val="16"/>
          <w:szCs w:val="16"/>
        </w:rPr>
        <w:t>. Entrevista realizada a Hugo Humberto Ruiz Fuentes en el Centro Preventivo de la Zona 18, realizada por Alejandro Rodríguez, sin fecha (expediente de prueba, folio 521).</w:t>
      </w:r>
    </w:p>
  </w:footnote>
  <w:footnote w:id="63">
    <w:p w14:paraId="1A9C4E94"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el Tribunal Sexto de Sentencia Penal, Narcoactividad y Delitos contra el Ambiente de Guatemala, de 14 de mayo de 1999 (expediente de prueba, folio 7334).</w:t>
      </w:r>
    </w:p>
  </w:footnote>
  <w:footnote w:id="64">
    <w:p w14:paraId="797F561C" w14:textId="4F66200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Tribunal Sexto de Sentencia Penal, Narcoactividad y Delitos contra el Ambiente, de 21 de abril de 1999 (expediente de prueba,</w:t>
      </w:r>
      <w:r w:rsidRPr="007E04F7">
        <w:rPr>
          <w:rFonts w:cs="Verdana"/>
          <w:sz w:val="16"/>
          <w:szCs w:val="16"/>
        </w:rPr>
        <w:t xml:space="preserve"> </w:t>
      </w:r>
      <w:r w:rsidRPr="007E04F7">
        <w:rPr>
          <w:sz w:val="16"/>
          <w:szCs w:val="16"/>
        </w:rPr>
        <w:t>folios 1135 y 1136).</w:t>
      </w:r>
    </w:p>
  </w:footnote>
  <w:footnote w:id="65">
    <w:p w14:paraId="42524281" w14:textId="38874DD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el Tribunal Sexto de Sentencia Penal, Narcoactividad y Delitos contra el Ambiente, de 14 de mayo de 1999 (expediente de prueba, folio 7203).</w:t>
      </w:r>
    </w:p>
  </w:footnote>
  <w:footnote w:id="66">
    <w:p w14:paraId="1A03EF44"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100).</w:t>
      </w:r>
    </w:p>
  </w:footnote>
  <w:footnote w:id="67">
    <w:p w14:paraId="23FEBBA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folios 105 y 106).</w:t>
      </w:r>
    </w:p>
  </w:footnote>
  <w:footnote w:id="68">
    <w:p w14:paraId="7E72A99F"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Recurso de apelación especial interpuesto por Hugo Humberto Ruiz Fuentes ante la Sala Cuarta de la Corte de Apelaciones (expediente de prueba, folio 762).</w:t>
      </w:r>
    </w:p>
  </w:footnote>
  <w:footnote w:id="69">
    <w:p w14:paraId="53FDD2CC" w14:textId="1F96AA78"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Recurso de apelación especial interpuesto por Hugo Humberto Ruiz Fuentes ante la Sala Cuarta de la Corte de Apelaciones (expediente de prueba, folios 768 a 771).</w:t>
      </w:r>
    </w:p>
  </w:footnote>
  <w:footnote w:id="70">
    <w:p w14:paraId="720F8BB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Cfr. S</w:t>
      </w:r>
      <w:r w:rsidRPr="007E04F7">
        <w:rPr>
          <w:rFonts w:cs="Verdana"/>
          <w:sz w:val="16"/>
          <w:szCs w:val="16"/>
        </w:rPr>
        <w:t>entencia emitida por la Sala Cuarta de la Corte de Apelaciones de Guatemala, de 13 de septiembre de 1999 (expediente de prueba, folio 108).</w:t>
      </w:r>
    </w:p>
  </w:footnote>
  <w:footnote w:id="71">
    <w:p w14:paraId="5970B743"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folios 120 y 121).</w:t>
      </w:r>
    </w:p>
  </w:footnote>
  <w:footnote w:id="72">
    <w:p w14:paraId="3AF4E721"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Recurso de casación presentado el 4 de noviembre de 1999 (expediente de prueba, folios 123 a 133).</w:t>
      </w:r>
    </w:p>
  </w:footnote>
  <w:footnote w:id="73">
    <w:p w14:paraId="4F138E2F" w14:textId="0C69559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sz w:val="16"/>
          <w:szCs w:val="16"/>
        </w:rPr>
        <w:t xml:space="preserve">Con respecto a la aplicación del artículo 4.2 de la Convención, la Corte Suprema de Justicia señaló lo siguiente: “[D]esde el inicio de la vigencia de la Convención Americana sobre Derechos Humanos, ya contemplaba la pena de muerte, y aún con las reformas contenidas por los Decretos 14-95 y 81-96 del Congreso de la República, no se ha modificado el tipo penal en su estructura, ya que continúa individualizando las mismas conductas que prohibía con anterioridad a ellas, en determinadas condiciones se aplicaba ya la pena de muerte. En tal virtud la aplicación de la muerte no se extendió a otro delito como lo prohíbe la mencionada Convención, no existiendo por lo tanto una interpretación extensiva de la norma, sino una interpretación literal. Por tal razón el recurso interpuesto por el presente subcaso deviene improcedente”. </w:t>
      </w:r>
      <w:r w:rsidRPr="007E04F7">
        <w:rPr>
          <w:rFonts w:cs="Verdana"/>
          <w:i/>
          <w:iCs/>
          <w:sz w:val="16"/>
          <w:szCs w:val="16"/>
        </w:rPr>
        <w:t xml:space="preserve">Cfr. </w:t>
      </w:r>
      <w:r w:rsidRPr="007E04F7">
        <w:rPr>
          <w:rFonts w:cs="Verdana"/>
          <w:sz w:val="16"/>
          <w:szCs w:val="16"/>
        </w:rPr>
        <w:t>Sentencia emitida por la Corte Suprema de Justicia, de 20 de julio de 2000 (expediente de prueba, folios 135 a 156).</w:t>
      </w:r>
    </w:p>
  </w:footnote>
  <w:footnote w:id="74">
    <w:p w14:paraId="5E05AC7E" w14:textId="7614025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Acción de amparo interpuesta el 29 de agosto de 2000 (expediente de prueba, folio 159). </w:t>
      </w:r>
    </w:p>
  </w:footnote>
  <w:footnote w:id="75">
    <w:p w14:paraId="03084643"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Recurso de revisión no. 23-2002, decisión de la Cámara Penal de la Corte Suprema de Justicia, de 1 de diciembre de 2003 (expediente de prueba, folio 185). </w:t>
      </w:r>
    </w:p>
  </w:footnote>
  <w:footnote w:id="76">
    <w:p w14:paraId="6F7C24C5" w14:textId="277EE03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Recurso de revisión no. 23-2002, decisión de la Cámara Penal de la Corte Suprema de Justicia, de 1 de diciembre de 2003 (expediente de prueba, folio 197). </w:t>
      </w:r>
    </w:p>
  </w:footnote>
  <w:footnote w:id="77">
    <w:p w14:paraId="089B8EC3" w14:textId="78AB889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Recurso de revisión no. 23-2002, decisión de la Cámara Penal de la Corte Suprema de Justicia, de 1 de diciembre de 2003, (expediente de prueba, folios 212 y 213). </w:t>
      </w:r>
    </w:p>
  </w:footnote>
  <w:footnote w:id="78">
    <w:p w14:paraId="52C07654" w14:textId="7531C4DE"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 xml:space="preserve">Recurso de gracia interpuesto por el señor Ruiz Fuentes ante el Ministro de Gobernación, de 16 de diciembre de 2003 (expediente de prueba, folios 224). </w:t>
      </w:r>
    </w:p>
  </w:footnote>
  <w:footnote w:id="79">
    <w:p w14:paraId="3C8843CA" w14:textId="4BBF0EF8" w:rsidR="001A2991" w:rsidRPr="007E04F7" w:rsidRDefault="001A2991" w:rsidP="0064597D">
      <w:pPr>
        <w:tabs>
          <w:tab w:val="left" w:pos="567"/>
        </w:tabs>
        <w:spacing w:line="240" w:lineRule="auto"/>
        <w:rPr>
          <w:rFonts w:cs="Arial"/>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Ver </w:t>
      </w:r>
      <w:r w:rsidRPr="007E04F7">
        <w:rPr>
          <w:rFonts w:cs="Arial"/>
          <w:i/>
          <w:sz w:val="16"/>
          <w:szCs w:val="16"/>
        </w:rPr>
        <w:t xml:space="preserve">Caso </w:t>
      </w:r>
      <w:r w:rsidRPr="007E04F7">
        <w:rPr>
          <w:rFonts w:cs="Arial"/>
          <w:i/>
          <w:iCs/>
          <w:sz w:val="16"/>
          <w:szCs w:val="16"/>
        </w:rPr>
        <w:t xml:space="preserve">Raxcacó Reyes Vs. Guatemala </w:t>
      </w:r>
      <w:r w:rsidRPr="007E04F7">
        <w:rPr>
          <w:rFonts w:cs="Arial"/>
          <w:i/>
          <w:sz w:val="16"/>
          <w:szCs w:val="16"/>
        </w:rPr>
        <w:t>Fondo, Reparaciones y Costas, supra</w:t>
      </w:r>
      <w:r w:rsidRPr="007E04F7">
        <w:rPr>
          <w:rFonts w:cs="Arial"/>
          <w:sz w:val="16"/>
          <w:szCs w:val="16"/>
        </w:rPr>
        <w:t xml:space="preserve">, párr. 43.18, donde se indica que, debido a la falta de regulación legal, el recurso de gracia interpuesto por el también condenado señor Raxcacó Reyes el 19 de mayo de 2004 no había sido tramitado. </w:t>
      </w:r>
    </w:p>
  </w:footnote>
  <w:footnote w:id="80">
    <w:p w14:paraId="529D7CF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Plan de acción interno No. 002-2005, “Operación Gavilán”, de 24 de octubre de 2005 (expediente de prueba, folio 228).</w:t>
      </w:r>
    </w:p>
  </w:footnote>
  <w:footnote w:id="81">
    <w:p w14:paraId="7ECFEEBC" w14:textId="71631D2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Plan de acción interno No. 002-2005, “Operación Gavilán”, de 24 de octubre de 2005 (expediente de prueba, folio 228).</w:t>
      </w:r>
    </w:p>
  </w:footnote>
  <w:footnote w:id="82">
    <w:p w14:paraId="31EC333F" w14:textId="256AB049"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Plan de acción interno No. 002-2005, “Operación Gavilán”, de 24 de octubre de 2005 (expediente de prueba, folios 227 y 228).</w:t>
      </w:r>
    </w:p>
  </w:footnote>
  <w:footnote w:id="83">
    <w:p w14:paraId="06F8ACE1"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w:t>
      </w:r>
    </w:p>
  </w:footnote>
  <w:footnote w:id="84">
    <w:p w14:paraId="7D7102F8"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policial de 14 de noviembre de 2005, Diligencia No. 1709-2005 (expediente de prueba, folio 233). </w:t>
      </w:r>
    </w:p>
  </w:footnote>
  <w:footnote w:id="85">
    <w:p w14:paraId="5A2F1901" w14:textId="7F0DF1F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Autopsia practicada por el Dr. Edgar Ricardo Arriola Barrios, Médico Forense Departamental del Organismo Judicial de Cuilapa, Santa Rosa, de 15 de noviembre de 2005 (expediente de prueba, folio 231).</w:t>
      </w:r>
    </w:p>
  </w:footnote>
  <w:footnote w:id="86">
    <w:p w14:paraId="5BDF307A"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iCs/>
          <w:sz w:val="16"/>
          <w:szCs w:val="16"/>
        </w:rPr>
        <w:t xml:space="preserve">Expediente de Investigación del </w:t>
      </w:r>
      <w:r w:rsidRPr="007E04F7">
        <w:rPr>
          <w:rFonts w:cs="Arial"/>
          <w:sz w:val="16"/>
          <w:szCs w:val="16"/>
        </w:rPr>
        <w:t xml:space="preserve">Ministerio Público No. 332/2005/4338 </w:t>
      </w:r>
      <w:r w:rsidRPr="007E04F7">
        <w:rPr>
          <w:rFonts w:cs="Verdana"/>
          <w:sz w:val="16"/>
          <w:szCs w:val="16"/>
        </w:rPr>
        <w:t>(expediente de prueba, folio 1609).</w:t>
      </w:r>
    </w:p>
  </w:footnote>
  <w:footnote w:id="87">
    <w:p w14:paraId="1C538E7E"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Informe del Estado de Guatemala a la Comisión Interamericana de Derechos Humanos con relación al caso P652-04 – Hugo Humberto Ruiz Fuentes, de 24 de julio de 2007 (expediente de prueba, folio 1120).</w:t>
      </w:r>
    </w:p>
  </w:footnote>
  <w:footnote w:id="88">
    <w:p w14:paraId="4C8E26E7" w14:textId="5A78638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Informe de la Sección Balística del Ministerio Publico, de 28 de marzo de 2006 (expediente de prueba, folio 335).</w:t>
      </w:r>
    </w:p>
  </w:footnote>
  <w:footnote w:id="89">
    <w:p w14:paraId="04774F6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Acta número 80-2005 levantada en la comisaría número 11 de la Policía Nacional Civil, de 7 de noviembre de 2005 (expediente de prueba, folio 343).</w:t>
      </w:r>
    </w:p>
  </w:footnote>
  <w:footnote w:id="90">
    <w:p w14:paraId="702EC476" w14:textId="32895F1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Resolución de la Sub-Dirección General de Finanzas y Logística de la Dirección General de la Policía Nacional Civil, de 10 de julio de 2006 (expediente de prueba, folio 343).</w:t>
      </w:r>
    </w:p>
  </w:footnote>
  <w:footnote w:id="91">
    <w:p w14:paraId="55489D08" w14:textId="3B7E305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En particular, dicho informe indica lo siguiente: “El Sr. H. Ruiz fue capturado el día 14 de noviembre 2005 en el Municipio de Mixco, Departamento de Guatemala, derivado de lo cual uno de los posibles implicados en el ilícito, el Director General de la Policía Nacional [E.S.V.] tuvo conocimiento de su recaptura. Posteriormente el Sr. H. Ruiz fue trasladado al Municipio de Barberena, Departamento de Santa Rosa, lugar en el que fue ejecutado ese mismo día simulando un enfrentamiento armado con personas desconocidas. En el informe oficial de la PNC, el fallecimiento del Sr. H. Ruiz se debió a que se tenía conocimiento que la persona fallecida era perseguida por sujetos desconocidos, con quien sostuvo un enfrentamiento armado del cual resultó muerto. Sin embargo, […] el Ministerio de Gobernación pagó la recompensa ofrecida indicando que la misma fue otorgada por información proporcionada por particulares que llevó a la localización del Sr. H. Ruiz, quien al momento en que las fuerzas de seguridad intentaban su captura, se opuso y fue abatido […], versión que contradice el informe policial. Cabe destacar que en la escena del crimen según testigos, fueron vistos el Sr. [V.S.D.] y el entonces Director General de la PNC, [E.S.V] […] Mediante resolución de fecha 14 de agosto de 2008 emitida por el Juzgado de Primera Instancia Penal, Narcoactividad y Delitos Contra el Ambiente del Departamento de Santa Rosa, Cuilapa, se ordenó la aprehensión del Sr. [E.R.C.C.], sindicado del delito de Ejecución Extrajudicial, misma que a la fecha no se ha verificado”. </w:t>
      </w:r>
      <w:r w:rsidRPr="007E04F7">
        <w:rPr>
          <w:rFonts w:cs="Verdana"/>
          <w:i/>
          <w:iCs/>
          <w:sz w:val="16"/>
          <w:szCs w:val="16"/>
        </w:rPr>
        <w:t xml:space="preserve">Cfr. </w:t>
      </w:r>
      <w:r w:rsidRPr="007E04F7">
        <w:rPr>
          <w:rFonts w:cs="Verdana"/>
          <w:sz w:val="16"/>
          <w:szCs w:val="16"/>
        </w:rPr>
        <w:t>Informe del Estado de Guatemala a la Comisión Interamericana de Derechos Humanos en el caso 12.650 Hugo Humberto Ruiz Fuentes, de 27 de octubre de 2016 (expediente de prueba, folios 2568 a 2570).</w:t>
      </w:r>
    </w:p>
  </w:footnote>
  <w:footnote w:id="92">
    <w:p w14:paraId="5B5B92B2" w14:textId="283182C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Informe del Estado de Guatemala a la Comisión Interamericana de Derechos Humanos en el caso 12.650 Hugo Humberto Ruiz Fuentes, de 27 de octubre de 2016 (expediente de prueba, folio 2569). Véase también, declaración del Estado a una pregunta efectuada por el Juez Pérez Manrique con respecto a la información de la que dispone el Estado sobre el estado actual de la investigación de la muerte del señor Ruiz Fuentes, el cual señaló que “el proceso se encuentra en la etapa intermedia y que por lo tanto no es adecuado que este honorable Tribunal conozca de ese caso, porque no ha concluido todavía la investigación” (</w:t>
      </w:r>
      <w:r w:rsidRPr="007E04F7">
        <w:rPr>
          <w:rFonts w:cs="Verdana"/>
          <w:i/>
          <w:sz w:val="16"/>
          <w:szCs w:val="16"/>
        </w:rPr>
        <w:t>Cfr</w:t>
      </w:r>
      <w:r w:rsidRPr="007E04F7">
        <w:rPr>
          <w:rFonts w:cs="Verdana"/>
          <w:sz w:val="16"/>
          <w:szCs w:val="16"/>
        </w:rPr>
        <w:t xml:space="preserve">. Declaración del Estado brindada </w:t>
      </w:r>
      <w:r w:rsidRPr="007E04F7">
        <w:rPr>
          <w:sz w:val="16"/>
          <w:szCs w:val="16"/>
        </w:rPr>
        <w:t>en la audiencia pública ante la Corte Interamericana celebrada el 5 de marzo de 2019)</w:t>
      </w:r>
      <w:r w:rsidRPr="007E04F7">
        <w:rPr>
          <w:rFonts w:cs="Arial"/>
          <w:spacing w:val="-2"/>
          <w:sz w:val="16"/>
          <w:szCs w:val="16"/>
        </w:rPr>
        <w:t xml:space="preserve">. Véase también </w:t>
      </w:r>
      <w:r w:rsidRPr="007E04F7">
        <w:rPr>
          <w:color w:val="393939"/>
          <w:sz w:val="16"/>
          <w:szCs w:val="16"/>
        </w:rPr>
        <w:t xml:space="preserve">Nota de prensa aparecida en “La Hora” </w:t>
      </w:r>
      <w:r w:rsidRPr="007E04F7">
        <w:rPr>
          <w:rFonts w:cs="Verdana"/>
          <w:sz w:val="16"/>
          <w:szCs w:val="16"/>
        </w:rPr>
        <w:t xml:space="preserve">titulada “Ejecuciones y Tortura: Jueza autoriza a sindicados presenciar entrevista a las víctimas”, </w:t>
      </w:r>
      <w:r w:rsidRPr="007E04F7">
        <w:rPr>
          <w:color w:val="393939"/>
          <w:sz w:val="16"/>
          <w:szCs w:val="16"/>
        </w:rPr>
        <w:t xml:space="preserve">de 11 de diciembre </w:t>
      </w:r>
      <w:r w:rsidRPr="007E04F7">
        <w:rPr>
          <w:rFonts w:cs="Verdana"/>
          <w:sz w:val="16"/>
          <w:szCs w:val="16"/>
        </w:rPr>
        <w:t xml:space="preserve">de 2018, disponible aquí: </w:t>
      </w:r>
      <w:hyperlink r:id="rId3" w:history="1">
        <w:r w:rsidRPr="007E04F7">
          <w:rPr>
            <w:rStyle w:val="Hipervnculo"/>
            <w:rFonts w:cs="Verdana"/>
            <w:sz w:val="16"/>
            <w:szCs w:val="16"/>
          </w:rPr>
          <w:t>https://lahora.gt/ejecuciones-y-tortura-jueza-autoriza-a-sindicados-presenciar-entrevista-a-las-victimas/</w:t>
        </w:r>
      </w:hyperlink>
      <w:r w:rsidRPr="007E04F7">
        <w:rPr>
          <w:rFonts w:cs="Verdana"/>
          <w:sz w:val="16"/>
          <w:szCs w:val="16"/>
        </w:rPr>
        <w:t xml:space="preserve"> </w:t>
      </w:r>
    </w:p>
  </w:footnote>
  <w:footnote w:id="93">
    <w:p w14:paraId="084E153C" w14:textId="16EA5A1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Artículo 4 de la Convención Americana.</w:t>
      </w:r>
    </w:p>
  </w:footnote>
  <w:footnote w:id="94">
    <w:p w14:paraId="61C8153A" w14:textId="2711176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Martínez Coronado Vs. Guatemala. Fondo, Reparaciones y Costas</w:t>
      </w:r>
      <w:r w:rsidRPr="007E04F7">
        <w:rPr>
          <w:sz w:val="16"/>
          <w:szCs w:val="16"/>
        </w:rPr>
        <w:t>. Sentencia de 10 de mayo de 2019. Serie C No. 376.</w:t>
      </w:r>
    </w:p>
  </w:footnote>
  <w:footnote w:id="95">
    <w:p w14:paraId="25FA2BC8" w14:textId="5A075BF0"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i/>
          <w:sz w:val="16"/>
          <w:szCs w:val="16"/>
        </w:rPr>
        <w:t xml:space="preserve">Caso Martínez Coronado Vs. Guatemala, </w:t>
      </w:r>
      <w:r w:rsidRPr="007E04F7">
        <w:rPr>
          <w:rFonts w:cs="Arial"/>
          <w:i/>
          <w:sz w:val="16"/>
          <w:szCs w:val="16"/>
        </w:rPr>
        <w:t xml:space="preserve">supra, </w:t>
      </w:r>
      <w:r w:rsidRPr="007E04F7">
        <w:rPr>
          <w:sz w:val="16"/>
          <w:szCs w:val="16"/>
        </w:rPr>
        <w:t xml:space="preserve"> párr. 62.</w:t>
      </w:r>
    </w:p>
  </w:footnote>
  <w:footnote w:id="96">
    <w:p w14:paraId="38881E0A" w14:textId="67A84B5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i/>
          <w:sz w:val="16"/>
          <w:szCs w:val="16"/>
        </w:rPr>
        <w:t xml:space="preserve">Caso Martínez Coronado Vs. Guatemala, </w:t>
      </w:r>
      <w:r w:rsidRPr="007E04F7">
        <w:rPr>
          <w:rFonts w:cs="Arial"/>
          <w:i/>
          <w:sz w:val="16"/>
          <w:szCs w:val="16"/>
        </w:rPr>
        <w:t xml:space="preserve">supra, </w:t>
      </w:r>
      <w:r w:rsidRPr="007E04F7">
        <w:rPr>
          <w:sz w:val="16"/>
          <w:szCs w:val="16"/>
        </w:rPr>
        <w:t xml:space="preserve"> párr. 62.</w:t>
      </w:r>
    </w:p>
  </w:footnote>
  <w:footnote w:id="97">
    <w:p w14:paraId="53D013C8" w14:textId="6C9C78A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iCs/>
          <w:sz w:val="16"/>
          <w:szCs w:val="16"/>
        </w:rPr>
        <w:t>S</w:t>
      </w:r>
      <w:r w:rsidRPr="007E04F7">
        <w:rPr>
          <w:rFonts w:cs="Verdana"/>
          <w:sz w:val="16"/>
          <w:szCs w:val="16"/>
        </w:rPr>
        <w:t>entencia emitida por el Tribunal Sexto de Sentencia Penal, Narcoactividad y Delitos contra el Ambiente de Guatemala, de 14 de mayo de 1999 (expediente de prueba, folios 7138 a 7204)</w:t>
      </w:r>
      <w:r w:rsidRPr="007E04F7">
        <w:rPr>
          <w:sz w:val="16"/>
          <w:szCs w:val="16"/>
        </w:rPr>
        <w:t>.</w:t>
      </w:r>
    </w:p>
  </w:footnote>
  <w:footnote w:id="98">
    <w:p w14:paraId="7093D178" w14:textId="616E8492"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rPr>
        <w:t xml:space="preserve"> </w:t>
      </w:r>
      <w:r w:rsidRPr="007E04F7">
        <w:rPr>
          <w:sz w:val="16"/>
          <w:szCs w:val="16"/>
          <w:lang w:val="es-ES"/>
        </w:rPr>
        <w:tab/>
      </w:r>
      <w:r w:rsidRPr="007E04F7">
        <w:rPr>
          <w:i/>
          <w:sz w:val="16"/>
          <w:szCs w:val="16"/>
        </w:rPr>
        <w:t>Cfr</w:t>
      </w:r>
      <w:r w:rsidRPr="007E04F7">
        <w:rPr>
          <w:sz w:val="16"/>
          <w:szCs w:val="16"/>
        </w:rPr>
        <w:t xml:space="preserve">. </w:t>
      </w:r>
      <w:r w:rsidRPr="007E04F7">
        <w:rPr>
          <w:rFonts w:cs="Verdana"/>
          <w:iCs/>
          <w:sz w:val="16"/>
          <w:szCs w:val="16"/>
        </w:rPr>
        <w:t>S</w:t>
      </w:r>
      <w:r w:rsidRPr="007E04F7">
        <w:rPr>
          <w:rFonts w:cs="Verdana"/>
          <w:sz w:val="16"/>
          <w:szCs w:val="16"/>
        </w:rPr>
        <w:t>entencia emitida por el Tribunal Sexto de Sentencia Penal, Narcoactividad y Delitos contra el Ambiente de Guatemala, de 14 de mayo de 1999 (expediente de prueba, folios 7138 a 7204)</w:t>
      </w:r>
      <w:r w:rsidRPr="007E04F7">
        <w:rPr>
          <w:sz w:val="16"/>
          <w:szCs w:val="16"/>
        </w:rPr>
        <w:t>.</w:t>
      </w:r>
    </w:p>
  </w:footnote>
  <w:footnote w:id="99">
    <w:p w14:paraId="71D7E56C" w14:textId="4953259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i/>
          <w:sz w:val="16"/>
          <w:szCs w:val="16"/>
        </w:rPr>
        <w:t xml:space="preserve">Caso Martínez Coronado Vs. Guatemala, </w:t>
      </w:r>
      <w:r w:rsidRPr="007E04F7">
        <w:rPr>
          <w:rFonts w:cs="Arial"/>
          <w:i/>
          <w:sz w:val="16"/>
          <w:szCs w:val="16"/>
        </w:rPr>
        <w:t xml:space="preserve">supra, </w:t>
      </w:r>
      <w:r w:rsidRPr="007E04F7">
        <w:rPr>
          <w:sz w:val="16"/>
          <w:szCs w:val="16"/>
        </w:rPr>
        <w:t xml:space="preserve"> párr. 63.</w:t>
      </w:r>
    </w:p>
  </w:footnote>
  <w:footnote w:id="100">
    <w:p w14:paraId="028951C1" w14:textId="1B4DDB87" w:rsidR="001A2991" w:rsidRPr="007E04F7" w:rsidRDefault="001A2991" w:rsidP="0064597D">
      <w:pPr>
        <w:tabs>
          <w:tab w:val="left" w:pos="567"/>
        </w:tabs>
        <w:spacing w:line="240" w:lineRule="auto"/>
        <w:rPr>
          <w:sz w:val="16"/>
          <w:szCs w:val="16"/>
          <w:u w:val="single"/>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Protocolo a la Convención Americana sobre Derechos Humanos relativo a la Abolición de la Pena de muerte. Estado de firmas y ratificaciones. Disponible en: </w:t>
      </w:r>
      <w:hyperlink r:id="rId4" w:history="1">
        <w:r w:rsidRPr="007E04F7">
          <w:rPr>
            <w:rStyle w:val="Hipervnculo"/>
            <w:sz w:val="16"/>
            <w:szCs w:val="16"/>
          </w:rPr>
          <w:t>http://www.oas.org/juridico/spanish/tratados/a-53.html</w:t>
        </w:r>
      </w:hyperlink>
      <w:r w:rsidRPr="007E04F7">
        <w:rPr>
          <w:rStyle w:val="Hipervnculo"/>
          <w:color w:val="auto"/>
          <w:sz w:val="16"/>
          <w:szCs w:val="16"/>
        </w:rPr>
        <w:t xml:space="preserve">  </w:t>
      </w:r>
    </w:p>
  </w:footnote>
  <w:footnote w:id="101">
    <w:p w14:paraId="691213C8" w14:textId="331D2E57" w:rsidR="001A2991" w:rsidRPr="007E04F7" w:rsidRDefault="001A2991" w:rsidP="0064597D">
      <w:pPr>
        <w:tabs>
          <w:tab w:val="left" w:pos="567"/>
        </w:tabs>
        <w:spacing w:line="240" w:lineRule="auto"/>
        <w:rPr>
          <w:i/>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En el Sistema Interamericano, los trece Estados que han suscrito y ratificado el Protocolo </w:t>
      </w:r>
      <w:r w:rsidRPr="007E04F7">
        <w:rPr>
          <w:sz w:val="16"/>
          <w:szCs w:val="16"/>
          <w:lang w:val="es-ES"/>
        </w:rPr>
        <w:t>a la Convención Americana sobre Derechos Humanos relativo a la Abolición de la Pena de Muerte son: Argentina, Costa Rica, Ecuador, Honduras, México, Nicaragua, Panamá, Paraguay, República Dominicana, Uruguay, Venezuela, junto con dos que han ratificado el Protocolo con una reserva sobre la aplicación de la pena de muerte en tiempo de guerra y por delitos graves de carácter militar: Brasil y Chile.</w:t>
      </w:r>
      <w:r w:rsidRPr="007E04F7">
        <w:rPr>
          <w:i/>
          <w:sz w:val="16"/>
          <w:szCs w:val="16"/>
          <w:lang w:val="es-ES"/>
        </w:rPr>
        <w:t xml:space="preserve"> </w:t>
      </w:r>
      <w:r w:rsidRPr="007E04F7">
        <w:rPr>
          <w:i/>
          <w:sz w:val="16"/>
          <w:szCs w:val="16"/>
        </w:rPr>
        <w:t xml:space="preserve">Cfr. </w:t>
      </w:r>
      <w:r w:rsidRPr="007E04F7">
        <w:rPr>
          <w:sz w:val="16"/>
          <w:szCs w:val="16"/>
        </w:rPr>
        <w:t>Protocolo a la Convención Americana sobre Derechos Humanos relativo a la Abolición de la Pena de Muerte, Estado de firmas y ratificaciones disponible aquí</w:t>
      </w:r>
      <w:r w:rsidRPr="007E04F7">
        <w:rPr>
          <w:i/>
          <w:sz w:val="16"/>
          <w:szCs w:val="16"/>
        </w:rPr>
        <w:t xml:space="preserve">: </w:t>
      </w:r>
      <w:hyperlink r:id="rId5" w:history="1">
        <w:r w:rsidRPr="007E04F7">
          <w:rPr>
            <w:rStyle w:val="Hipervnculo"/>
            <w:sz w:val="16"/>
            <w:szCs w:val="16"/>
          </w:rPr>
          <w:t>https://www.oas.org/juridico/spanish/firmas/a-53.html</w:t>
        </w:r>
      </w:hyperlink>
      <w:r w:rsidRPr="007E04F7">
        <w:rPr>
          <w:rStyle w:val="Hipervnculo"/>
          <w:color w:val="auto"/>
          <w:sz w:val="16"/>
          <w:szCs w:val="16"/>
        </w:rPr>
        <w:t xml:space="preserve"> </w:t>
      </w:r>
    </w:p>
  </w:footnote>
  <w:footnote w:id="102">
    <w:p w14:paraId="758DC21D" w14:textId="2C92DA0D" w:rsidR="001A2991" w:rsidRPr="007E04F7" w:rsidRDefault="001A2991" w:rsidP="0064597D">
      <w:pPr>
        <w:pStyle w:val="Textonotapie"/>
        <w:rPr>
          <w:sz w:val="16"/>
          <w:szCs w:val="16"/>
        </w:rPr>
      </w:pPr>
      <w:r w:rsidRPr="007E04F7">
        <w:rPr>
          <w:rStyle w:val="Refdenotaalpie"/>
          <w:sz w:val="16"/>
          <w:szCs w:val="16"/>
        </w:rPr>
        <w:footnoteRef/>
      </w:r>
      <w:r w:rsidRPr="007E04F7">
        <w:rPr>
          <w:sz w:val="16"/>
          <w:szCs w:val="16"/>
        </w:rPr>
        <w:t xml:space="preserve"> La frase “y cuando esta no pueda ser impuesta” se refiere al artículo 43 del mismo Código Penal, que establece que:</w:t>
      </w:r>
    </w:p>
    <w:p w14:paraId="31E2FE50" w14:textId="77777777" w:rsidR="001A2991" w:rsidRPr="007E04F7" w:rsidRDefault="001A2991" w:rsidP="0064597D">
      <w:pPr>
        <w:pStyle w:val="Textonotapie"/>
        <w:ind w:left="720"/>
        <w:rPr>
          <w:sz w:val="16"/>
          <w:szCs w:val="16"/>
        </w:rPr>
      </w:pPr>
      <w:r w:rsidRPr="007E04F7">
        <w:rPr>
          <w:sz w:val="16"/>
          <w:szCs w:val="16"/>
        </w:rPr>
        <w:t xml:space="preserve">“No podrá imponerse la pena de muerte: </w:t>
      </w:r>
    </w:p>
    <w:p w14:paraId="64CFC610" w14:textId="77777777" w:rsidR="001A2991" w:rsidRPr="007E04F7" w:rsidRDefault="001A2991" w:rsidP="0064597D">
      <w:pPr>
        <w:pStyle w:val="Textonotapie"/>
        <w:ind w:left="720"/>
        <w:rPr>
          <w:sz w:val="16"/>
          <w:szCs w:val="16"/>
        </w:rPr>
      </w:pPr>
      <w:r w:rsidRPr="007E04F7">
        <w:rPr>
          <w:sz w:val="16"/>
          <w:szCs w:val="16"/>
        </w:rPr>
        <w:t>1. Por delitos políticos.</w:t>
      </w:r>
    </w:p>
    <w:p w14:paraId="11EE482E" w14:textId="77777777" w:rsidR="001A2991" w:rsidRPr="007E04F7" w:rsidRDefault="001A2991" w:rsidP="0064597D">
      <w:pPr>
        <w:pStyle w:val="Textonotapie"/>
        <w:ind w:left="720"/>
        <w:rPr>
          <w:sz w:val="16"/>
          <w:szCs w:val="16"/>
        </w:rPr>
      </w:pPr>
      <w:r w:rsidRPr="007E04F7">
        <w:rPr>
          <w:sz w:val="16"/>
          <w:szCs w:val="16"/>
        </w:rPr>
        <w:t xml:space="preserve">2. Cuando la condena se fundamente en presunciones. </w:t>
      </w:r>
    </w:p>
    <w:p w14:paraId="7D53C38E" w14:textId="77777777" w:rsidR="001A2991" w:rsidRPr="007E04F7" w:rsidRDefault="001A2991" w:rsidP="0064597D">
      <w:pPr>
        <w:pStyle w:val="Textonotapie"/>
        <w:ind w:left="720"/>
        <w:rPr>
          <w:sz w:val="16"/>
          <w:szCs w:val="16"/>
        </w:rPr>
      </w:pPr>
      <w:r w:rsidRPr="007E04F7">
        <w:rPr>
          <w:sz w:val="16"/>
          <w:szCs w:val="16"/>
        </w:rPr>
        <w:t xml:space="preserve">3. A mujeres. </w:t>
      </w:r>
    </w:p>
    <w:p w14:paraId="47AA7FB7" w14:textId="1894F4C7" w:rsidR="001A2991" w:rsidRPr="007E04F7" w:rsidRDefault="001A2991" w:rsidP="0064597D">
      <w:pPr>
        <w:pStyle w:val="Textonotapie"/>
        <w:ind w:left="720"/>
        <w:rPr>
          <w:sz w:val="16"/>
          <w:szCs w:val="16"/>
          <w:lang w:val="es-CR"/>
        </w:rPr>
      </w:pPr>
      <w:r w:rsidRPr="007E04F7">
        <w:rPr>
          <w:sz w:val="16"/>
          <w:szCs w:val="16"/>
        </w:rPr>
        <w:t>4. A varones mayores de setenta años”.</w:t>
      </w:r>
    </w:p>
  </w:footnote>
  <w:footnote w:id="103">
    <w:p w14:paraId="72F27588" w14:textId="4C2688C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shd w:val="clear" w:color="auto" w:fill="FFFFFF"/>
        </w:rPr>
        <w:t>Caso Raxcacó Reyes Vs. Guatemala</w:t>
      </w:r>
      <w:r w:rsidRPr="007E04F7">
        <w:rPr>
          <w:i/>
          <w:sz w:val="16"/>
          <w:szCs w:val="16"/>
        </w:rPr>
        <w:t xml:space="preserve">, </w:t>
      </w:r>
      <w:r w:rsidRPr="007E04F7">
        <w:rPr>
          <w:rFonts w:cs="Arial"/>
          <w:i/>
          <w:sz w:val="16"/>
          <w:szCs w:val="16"/>
        </w:rPr>
        <w:t>supra,</w:t>
      </w:r>
      <w:r w:rsidRPr="007E04F7">
        <w:rPr>
          <w:sz w:val="16"/>
          <w:szCs w:val="16"/>
        </w:rPr>
        <w:t xml:space="preserve"> </w:t>
      </w:r>
      <w:r w:rsidRPr="007E04F7">
        <w:rPr>
          <w:rStyle w:val="Textoennegrita"/>
          <w:b w:val="0"/>
          <w:sz w:val="16"/>
          <w:szCs w:val="16"/>
          <w:shd w:val="clear" w:color="auto" w:fill="FFFFFF"/>
        </w:rPr>
        <w:t>párr. 63.</w:t>
      </w:r>
    </w:p>
  </w:footnote>
  <w:footnote w:id="104">
    <w:p w14:paraId="5A93CB61" w14:textId="5864D295"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shd w:val="clear" w:color="auto" w:fill="FFFFFF"/>
        </w:rPr>
        <w:t>Caso Raxcacó Reyes Vs. Guatemala</w:t>
      </w:r>
      <w:r w:rsidRPr="007E04F7">
        <w:rPr>
          <w:i/>
          <w:sz w:val="16"/>
          <w:szCs w:val="16"/>
        </w:rPr>
        <w:t xml:space="preserve">, </w:t>
      </w:r>
      <w:r w:rsidRPr="007E04F7">
        <w:rPr>
          <w:rFonts w:cs="Arial"/>
          <w:i/>
          <w:sz w:val="16"/>
          <w:szCs w:val="16"/>
        </w:rPr>
        <w:t>supra,</w:t>
      </w:r>
      <w:r w:rsidRPr="007E04F7">
        <w:rPr>
          <w:rStyle w:val="Textoennegrita"/>
          <w:b w:val="0"/>
          <w:sz w:val="16"/>
          <w:szCs w:val="16"/>
          <w:shd w:val="clear" w:color="auto" w:fill="FFFFFF"/>
        </w:rPr>
        <w:t xml:space="preserve"> párr. 64.</w:t>
      </w:r>
    </w:p>
  </w:footnote>
  <w:footnote w:id="105">
    <w:p w14:paraId="72EE3482" w14:textId="6C84C19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shd w:val="clear" w:color="auto" w:fill="FFFFFF"/>
        </w:rPr>
        <w:t>Caso Raxcacó Reyes Vs. Guatemala</w:t>
      </w:r>
      <w:r w:rsidRPr="007E04F7">
        <w:rPr>
          <w:i/>
          <w:sz w:val="16"/>
          <w:szCs w:val="16"/>
        </w:rPr>
        <w:t xml:space="preserve">, </w:t>
      </w:r>
      <w:r w:rsidRPr="007E04F7">
        <w:rPr>
          <w:rFonts w:cs="Arial"/>
          <w:i/>
          <w:sz w:val="16"/>
          <w:szCs w:val="16"/>
        </w:rPr>
        <w:t>supra,</w:t>
      </w:r>
      <w:r w:rsidRPr="007E04F7">
        <w:rPr>
          <w:sz w:val="16"/>
          <w:szCs w:val="16"/>
        </w:rPr>
        <w:t xml:space="preserve"> </w:t>
      </w:r>
      <w:r w:rsidRPr="007E04F7">
        <w:rPr>
          <w:rStyle w:val="Textoennegrita"/>
          <w:b w:val="0"/>
          <w:sz w:val="16"/>
          <w:szCs w:val="16"/>
          <w:shd w:val="clear" w:color="auto" w:fill="FFFFFF"/>
        </w:rPr>
        <w:t xml:space="preserve">párrs. 65 y 66. </w:t>
      </w:r>
    </w:p>
  </w:footnote>
  <w:footnote w:id="106">
    <w:p w14:paraId="469494AF" w14:textId="57D819C1"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Sentencia de la Corte de Constitucionalidad de la República de Guatemala, de 24 de octubre de 2018, Expediente 5986-2016. </w:t>
      </w:r>
    </w:p>
  </w:footnote>
  <w:footnote w:id="107">
    <w:p w14:paraId="37614B20" w14:textId="1860D31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ONU, Comité de Derechos Humanos, </w:t>
      </w:r>
      <w:r w:rsidRPr="007E04F7">
        <w:rPr>
          <w:i/>
          <w:sz w:val="16"/>
          <w:szCs w:val="16"/>
        </w:rPr>
        <w:t>Kennedy c. Trinidad y Tobago</w:t>
      </w:r>
      <w:r w:rsidRPr="007E04F7">
        <w:rPr>
          <w:sz w:val="16"/>
          <w:szCs w:val="16"/>
        </w:rPr>
        <w:t xml:space="preserve"> (Comunicación No. 845/1999), UN Doc. CCPR/C/74/D/845/1999 de 28 de marzo de 2002, párr. 7.3; ONU, Comité de Derechos Humanos, </w:t>
      </w:r>
      <w:r w:rsidRPr="007E04F7">
        <w:rPr>
          <w:i/>
          <w:sz w:val="16"/>
          <w:szCs w:val="16"/>
        </w:rPr>
        <w:t>Thompson c. San Vicente y Las Granadinas</w:t>
      </w:r>
      <w:r w:rsidRPr="007E04F7">
        <w:rPr>
          <w:sz w:val="16"/>
          <w:szCs w:val="16"/>
        </w:rPr>
        <w:t xml:space="preserve"> (Comunicación No. 806/1998), UN Doc. CCPR/C/70/D/806/1998 de 5 de diciembre de 2000, párr. 8.2; ONU, Comité de Derechos Humanos, </w:t>
      </w:r>
      <w:r w:rsidRPr="007E04F7">
        <w:rPr>
          <w:i/>
          <w:sz w:val="16"/>
          <w:szCs w:val="16"/>
        </w:rPr>
        <w:t>Pagdayawon c. Filipinas</w:t>
      </w:r>
      <w:r w:rsidRPr="007E04F7">
        <w:rPr>
          <w:sz w:val="16"/>
          <w:szCs w:val="16"/>
        </w:rPr>
        <w:t xml:space="preserve">, Comunicación 1110/2002, párr. 5.2. </w:t>
      </w:r>
    </w:p>
  </w:footnote>
  <w:footnote w:id="108">
    <w:p w14:paraId="2A8BD3AF" w14:textId="528AEDEB" w:rsidR="001A2991" w:rsidRPr="007E04F7" w:rsidRDefault="001A2991" w:rsidP="0064597D">
      <w:pPr>
        <w:tabs>
          <w:tab w:val="left" w:pos="567"/>
        </w:tabs>
        <w:spacing w:line="240" w:lineRule="auto"/>
        <w:rPr>
          <w:sz w:val="16"/>
          <w:szCs w:val="16"/>
          <w:lang w:val="es-ES" w:eastAsia="es-ES_tradnl"/>
        </w:rPr>
      </w:pPr>
      <w:r w:rsidRPr="007E04F7">
        <w:rPr>
          <w:rStyle w:val="Refdenotaalpie"/>
          <w:sz w:val="16"/>
          <w:szCs w:val="16"/>
          <w:lang w:val="es-ES"/>
        </w:rPr>
        <w:footnoteRef/>
      </w:r>
      <w:r w:rsidRPr="007E04F7">
        <w:rPr>
          <w:sz w:val="16"/>
          <w:szCs w:val="16"/>
          <w:lang w:val="es-ES"/>
        </w:rPr>
        <w:t xml:space="preserve"> </w:t>
      </w:r>
      <w:r w:rsidRPr="007E04F7">
        <w:rPr>
          <w:sz w:val="16"/>
          <w:szCs w:val="16"/>
          <w:lang w:val="es-ES"/>
        </w:rPr>
        <w:tab/>
      </w:r>
      <w:r w:rsidRPr="007E04F7">
        <w:rPr>
          <w:i/>
          <w:iCs/>
          <w:sz w:val="16"/>
          <w:szCs w:val="16"/>
          <w:lang w:val="es-ES"/>
        </w:rPr>
        <w:t>Cfr</w:t>
      </w:r>
      <w:r w:rsidRPr="007E04F7">
        <w:rPr>
          <w:sz w:val="16"/>
          <w:szCs w:val="16"/>
          <w:lang w:val="es-ES"/>
        </w:rPr>
        <w:t xml:space="preserve">. </w:t>
      </w:r>
      <w:r w:rsidRPr="007E04F7">
        <w:rPr>
          <w:i/>
          <w:sz w:val="16"/>
          <w:szCs w:val="16"/>
          <w:lang w:val="es-ES"/>
        </w:rPr>
        <w:t>Caso Boyce y otros Vs. Barbados. Excepción Preliminar, Fondo, Reparaciones y Costas.</w:t>
      </w:r>
      <w:r w:rsidRPr="007E04F7">
        <w:rPr>
          <w:sz w:val="16"/>
          <w:szCs w:val="16"/>
          <w:lang w:val="es-ES"/>
        </w:rPr>
        <w:t xml:space="preserve"> Sentencia de 20 de noviembre de 2007. Serie C No. 16, párr. 54 y 55 y 108. Ver también, Naciones Unidas, Consejo de Derechos Humanos, Informe anual del Alto Comisionado de las Naciones Unidas para los Derechos Humanos e informes de la Oficina del Alto Comisionado y del Secretario General, </w:t>
      </w:r>
      <w:r w:rsidRPr="007E04F7">
        <w:rPr>
          <w:sz w:val="16"/>
          <w:szCs w:val="16"/>
          <w:lang w:val="es-ES" w:eastAsia="es-ES_tradnl"/>
        </w:rPr>
        <w:t xml:space="preserve">de 14 de septiembre de 2018, A/HRC/39/19, párr. 24, y Naciones Unidas, Consejo Económico y Social, Informe del Secretario General, “La pena capital y la aplicación de las salvaguardias para garantizar la protección de los derechos de los condenados a la pena de muerte”, E/2015/49, párr. 63. </w:t>
      </w:r>
    </w:p>
  </w:footnote>
  <w:footnote w:id="109">
    <w:p w14:paraId="1F39A576" w14:textId="693CA834" w:rsidR="001A2991" w:rsidRPr="007E04F7" w:rsidRDefault="001A2991" w:rsidP="0064597D">
      <w:pPr>
        <w:tabs>
          <w:tab w:val="left" w:pos="567"/>
        </w:tabs>
        <w:spacing w:line="240" w:lineRule="auto"/>
        <w:rPr>
          <w:b/>
          <w:sz w:val="16"/>
          <w:szCs w:val="16"/>
        </w:rPr>
      </w:pPr>
      <w:r w:rsidRPr="007E04F7">
        <w:rPr>
          <w:rStyle w:val="Refdenotaalpie"/>
          <w:sz w:val="16"/>
          <w:szCs w:val="16"/>
        </w:rPr>
        <w:footnoteRef/>
      </w:r>
      <w:r w:rsidRPr="007E04F7">
        <w:rPr>
          <w:sz w:val="16"/>
          <w:szCs w:val="16"/>
        </w:rPr>
        <w:t xml:space="preserve"> </w:t>
      </w:r>
      <w:r w:rsidRPr="007E04F7">
        <w:rPr>
          <w:b/>
          <w:sz w:val="16"/>
          <w:szCs w:val="16"/>
        </w:rPr>
        <w:tab/>
      </w:r>
      <w:r w:rsidRPr="007E04F7">
        <w:rPr>
          <w:i/>
          <w:sz w:val="16"/>
          <w:szCs w:val="16"/>
        </w:rPr>
        <w:t>Cfr</w:t>
      </w:r>
      <w:r w:rsidRPr="007E04F7">
        <w:rPr>
          <w:sz w:val="16"/>
          <w:szCs w:val="16"/>
        </w:rPr>
        <w:t xml:space="preserve">. </w:t>
      </w:r>
      <w:r w:rsidRPr="007E04F7">
        <w:rPr>
          <w:i/>
          <w:sz w:val="16"/>
          <w:szCs w:val="16"/>
        </w:rPr>
        <w:t>Mutatis mutandis</w:t>
      </w:r>
      <w:r w:rsidRPr="007E04F7">
        <w:rPr>
          <w:sz w:val="16"/>
          <w:szCs w:val="16"/>
        </w:rPr>
        <w:t>,</w:t>
      </w:r>
      <w:r w:rsidRPr="007E04F7">
        <w:rPr>
          <w:b/>
          <w:sz w:val="16"/>
          <w:szCs w:val="16"/>
        </w:rPr>
        <w:t xml:space="preserve"> </w:t>
      </w:r>
      <w:r w:rsidRPr="007E04F7">
        <w:rPr>
          <w:rStyle w:val="Textoennegrita"/>
          <w:b w:val="0"/>
          <w:i/>
          <w:sz w:val="16"/>
          <w:szCs w:val="16"/>
        </w:rPr>
        <w:t>Caso Raxcacó Reyes Vs. Guatemala</w:t>
      </w:r>
      <w:r w:rsidRPr="007E04F7">
        <w:rPr>
          <w:i/>
          <w:sz w:val="16"/>
          <w:szCs w:val="16"/>
        </w:rPr>
        <w:t xml:space="preserve">, </w:t>
      </w:r>
      <w:r w:rsidRPr="007E04F7">
        <w:rPr>
          <w:rFonts w:cs="Arial"/>
          <w:i/>
          <w:sz w:val="16"/>
          <w:szCs w:val="16"/>
        </w:rPr>
        <w:t xml:space="preserve">supra, </w:t>
      </w:r>
      <w:r w:rsidRPr="007E04F7">
        <w:rPr>
          <w:sz w:val="16"/>
          <w:szCs w:val="16"/>
        </w:rPr>
        <w:t xml:space="preserve"> </w:t>
      </w:r>
      <w:r w:rsidRPr="007E04F7">
        <w:rPr>
          <w:rStyle w:val="Textoennegrita"/>
          <w:b w:val="0"/>
          <w:sz w:val="16"/>
          <w:szCs w:val="16"/>
        </w:rPr>
        <w:t>párrs. 81 y 82.</w:t>
      </w:r>
    </w:p>
  </w:footnote>
  <w:footnote w:id="110">
    <w:p w14:paraId="4B194232" w14:textId="0205902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ab/>
      </w:r>
      <w:r w:rsidRPr="007E04F7">
        <w:rPr>
          <w:i/>
          <w:sz w:val="16"/>
          <w:szCs w:val="16"/>
        </w:rPr>
        <w:t>Cfr.</w:t>
      </w:r>
      <w:r w:rsidRPr="007E04F7">
        <w:rPr>
          <w:sz w:val="16"/>
          <w:szCs w:val="16"/>
        </w:rPr>
        <w:t xml:space="preserve"> </w:t>
      </w:r>
      <w:r w:rsidRPr="007E04F7">
        <w:rPr>
          <w:i/>
          <w:iCs/>
          <w:sz w:val="16"/>
          <w:szCs w:val="16"/>
          <w:lang w:val="es-ES"/>
        </w:rPr>
        <w:t xml:space="preserve">Caso Fermín Ramírez Vs. Guatemala. Fondo, Reparaciones y Costas, supra, </w:t>
      </w:r>
      <w:r w:rsidRPr="007E04F7">
        <w:rPr>
          <w:sz w:val="16"/>
          <w:szCs w:val="16"/>
          <w:lang w:val="es-ES"/>
        </w:rPr>
        <w:t xml:space="preserve">párr. 107, y </w:t>
      </w:r>
      <w:r w:rsidRPr="007E04F7">
        <w:rPr>
          <w:rStyle w:val="Textoennegrita"/>
          <w:b w:val="0"/>
          <w:i/>
          <w:sz w:val="16"/>
          <w:szCs w:val="16"/>
          <w:shd w:val="clear" w:color="auto" w:fill="FFFFFF"/>
        </w:rPr>
        <w:t>Caso Raxcacó Reyes Vs. Guatemala</w:t>
      </w:r>
      <w:r w:rsidRPr="007E04F7">
        <w:rPr>
          <w:i/>
          <w:sz w:val="16"/>
          <w:szCs w:val="16"/>
        </w:rPr>
        <w:t xml:space="preserve">, </w:t>
      </w:r>
      <w:r w:rsidRPr="007E04F7">
        <w:rPr>
          <w:rFonts w:cs="Arial"/>
          <w:i/>
          <w:sz w:val="16"/>
          <w:szCs w:val="16"/>
        </w:rPr>
        <w:t>supra,</w:t>
      </w:r>
      <w:r w:rsidRPr="007E04F7">
        <w:rPr>
          <w:sz w:val="16"/>
          <w:szCs w:val="16"/>
        </w:rPr>
        <w:t xml:space="preserve"> p</w:t>
      </w:r>
      <w:r w:rsidRPr="007E04F7">
        <w:rPr>
          <w:rStyle w:val="Textoennegrita"/>
          <w:b w:val="0"/>
          <w:sz w:val="16"/>
          <w:szCs w:val="16"/>
          <w:shd w:val="clear" w:color="auto" w:fill="FFFFFF"/>
        </w:rPr>
        <w:t xml:space="preserve">árr. 85. </w:t>
      </w:r>
    </w:p>
  </w:footnote>
  <w:footnote w:id="111">
    <w:p w14:paraId="230D5035" w14:textId="2A0DE4DE"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i/>
          <w:iCs/>
          <w:sz w:val="16"/>
          <w:szCs w:val="16"/>
          <w:lang w:val="es-ES"/>
        </w:rPr>
        <w:t xml:space="preserve">Caso Fermín Ramírez Vs. Guatemala, supra, </w:t>
      </w:r>
      <w:r w:rsidRPr="007E04F7">
        <w:rPr>
          <w:sz w:val="16"/>
          <w:szCs w:val="16"/>
          <w:lang w:val="es-ES"/>
        </w:rPr>
        <w:t>párr. 109.</w:t>
      </w:r>
    </w:p>
  </w:footnote>
  <w:footnote w:id="112">
    <w:p w14:paraId="50CAC523" w14:textId="3D0EC0EA"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ab/>
      </w:r>
      <w:r w:rsidRPr="007E04F7">
        <w:rPr>
          <w:i/>
          <w:iCs/>
          <w:sz w:val="16"/>
          <w:szCs w:val="16"/>
        </w:rPr>
        <w:t>Cfr</w:t>
      </w:r>
      <w:r w:rsidRPr="007E04F7">
        <w:rPr>
          <w:sz w:val="16"/>
          <w:szCs w:val="16"/>
        </w:rPr>
        <w:t xml:space="preserve">. </w:t>
      </w:r>
      <w:r w:rsidRPr="007E04F7">
        <w:rPr>
          <w:i/>
          <w:iCs/>
          <w:sz w:val="16"/>
          <w:szCs w:val="16"/>
          <w:lang w:val="es-ES"/>
        </w:rPr>
        <w:t xml:space="preserve">Caso Fermín Ramírez Vs. Guatemala. Fondo, Reparaciones y Costas, supra, </w:t>
      </w:r>
      <w:r w:rsidRPr="007E04F7">
        <w:rPr>
          <w:sz w:val="16"/>
          <w:szCs w:val="16"/>
          <w:lang w:val="es-ES"/>
        </w:rPr>
        <w:t xml:space="preserve">párr. 110, y </w:t>
      </w:r>
      <w:r w:rsidRPr="007E04F7">
        <w:rPr>
          <w:rStyle w:val="Textoennegrita"/>
          <w:b w:val="0"/>
          <w:i/>
          <w:sz w:val="16"/>
          <w:szCs w:val="16"/>
          <w:shd w:val="clear" w:color="auto" w:fill="FFFFFF"/>
        </w:rPr>
        <w:t xml:space="preserve">Caso Raxcacó Reyes Vs. Guatemala, supra, </w:t>
      </w:r>
      <w:r w:rsidRPr="007E04F7">
        <w:rPr>
          <w:rStyle w:val="Textoennegrita"/>
          <w:b w:val="0"/>
          <w:sz w:val="16"/>
          <w:szCs w:val="16"/>
          <w:shd w:val="clear" w:color="auto" w:fill="FFFFFF"/>
        </w:rPr>
        <w:t>párr. 90</w:t>
      </w:r>
      <w:r w:rsidRPr="007E04F7">
        <w:rPr>
          <w:i/>
          <w:sz w:val="16"/>
          <w:szCs w:val="16"/>
        </w:rPr>
        <w:t xml:space="preserve">. </w:t>
      </w:r>
    </w:p>
  </w:footnote>
  <w:footnote w:id="113">
    <w:p w14:paraId="0DF9BF49" w14:textId="779B1A3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rFonts w:cs="Verdana"/>
          <w:i/>
          <w:iCs/>
          <w:sz w:val="16"/>
          <w:szCs w:val="16"/>
        </w:rPr>
        <w:t xml:space="preserve">Caso </w:t>
      </w:r>
      <w:r w:rsidRPr="007E04F7">
        <w:rPr>
          <w:rStyle w:val="Textoennegrita"/>
          <w:b w:val="0"/>
          <w:i/>
          <w:sz w:val="16"/>
          <w:szCs w:val="16"/>
          <w:shd w:val="clear" w:color="auto" w:fill="FFFFFF"/>
        </w:rPr>
        <w:t>Raxcacó Reyes Vs. Guatemala</w:t>
      </w:r>
      <w:r w:rsidRPr="007E04F7">
        <w:rPr>
          <w:i/>
          <w:sz w:val="16"/>
          <w:szCs w:val="16"/>
        </w:rPr>
        <w:t xml:space="preserve">, </w:t>
      </w:r>
      <w:r w:rsidRPr="007E04F7">
        <w:rPr>
          <w:rFonts w:cs="Arial"/>
          <w:i/>
          <w:sz w:val="16"/>
          <w:szCs w:val="16"/>
        </w:rPr>
        <w:t xml:space="preserve">supra, </w:t>
      </w:r>
      <w:r w:rsidRPr="007E04F7">
        <w:rPr>
          <w:rFonts w:cs="Arial"/>
          <w:sz w:val="16"/>
          <w:szCs w:val="16"/>
        </w:rPr>
        <w:t>párr</w:t>
      </w:r>
      <w:r w:rsidRPr="007E04F7">
        <w:rPr>
          <w:rFonts w:cs="Arial"/>
          <w:i/>
          <w:sz w:val="16"/>
          <w:szCs w:val="16"/>
        </w:rPr>
        <w:t xml:space="preserve">. </w:t>
      </w:r>
      <w:r w:rsidRPr="007E04F7">
        <w:rPr>
          <w:rFonts w:cs="Arial"/>
          <w:sz w:val="16"/>
          <w:szCs w:val="16"/>
        </w:rPr>
        <w:t>89</w:t>
      </w:r>
      <w:r w:rsidRPr="007E04F7">
        <w:rPr>
          <w:rFonts w:cs="Arial"/>
          <w:i/>
          <w:sz w:val="16"/>
          <w:szCs w:val="16"/>
        </w:rPr>
        <w:t xml:space="preserve"> </w:t>
      </w:r>
      <w:r w:rsidRPr="007E04F7">
        <w:rPr>
          <w:rStyle w:val="Textoennegrita"/>
          <w:b w:val="0"/>
          <w:sz w:val="16"/>
          <w:szCs w:val="16"/>
          <w:shd w:val="clear" w:color="auto" w:fill="FFFFFF"/>
        </w:rPr>
        <w:t xml:space="preserve">y </w:t>
      </w:r>
      <w:r w:rsidRPr="007E04F7">
        <w:rPr>
          <w:rStyle w:val="Textoennegrita"/>
          <w:b w:val="0"/>
          <w:i/>
          <w:sz w:val="16"/>
          <w:szCs w:val="16"/>
          <w:shd w:val="clear" w:color="auto" w:fill="FFFFFF"/>
        </w:rPr>
        <w:t>Caso Palamara Iribarne Vs. Chile. Fondo, Reparaciones y Costas</w:t>
      </w:r>
      <w:r w:rsidRPr="007E04F7">
        <w:rPr>
          <w:rStyle w:val="Textoennegrita"/>
          <w:b w:val="0"/>
          <w:sz w:val="16"/>
          <w:szCs w:val="16"/>
          <w:shd w:val="clear" w:color="auto" w:fill="FFFFFF"/>
        </w:rPr>
        <w:t>. Sentencia de 22 de noviembre de 2005. Serie C No. 135, párr. 89.</w:t>
      </w:r>
    </w:p>
  </w:footnote>
  <w:footnote w:id="114">
    <w:p w14:paraId="412C18C1" w14:textId="6B8AB911"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i/>
          <w:iCs/>
          <w:sz w:val="16"/>
          <w:szCs w:val="16"/>
          <w:lang w:val="es-ES"/>
        </w:rPr>
        <w:t>Caso Fermín Ramírez Vs. Guatemala</w:t>
      </w:r>
      <w:r w:rsidRPr="007E04F7">
        <w:rPr>
          <w:i/>
          <w:sz w:val="16"/>
          <w:szCs w:val="16"/>
        </w:rPr>
        <w:t xml:space="preserve">, </w:t>
      </w:r>
      <w:r w:rsidRPr="007E04F7">
        <w:rPr>
          <w:rFonts w:cs="Arial"/>
          <w:i/>
          <w:sz w:val="16"/>
          <w:szCs w:val="16"/>
        </w:rPr>
        <w:t xml:space="preserve">supra, </w:t>
      </w:r>
      <w:r w:rsidRPr="007E04F7">
        <w:rPr>
          <w:sz w:val="16"/>
          <w:szCs w:val="16"/>
        </w:rPr>
        <w:t xml:space="preserve"> </w:t>
      </w:r>
      <w:r w:rsidRPr="007E04F7">
        <w:rPr>
          <w:sz w:val="16"/>
          <w:szCs w:val="16"/>
          <w:lang w:val="es-ES"/>
        </w:rPr>
        <w:t xml:space="preserve">párr. 110, y </w:t>
      </w:r>
      <w:r w:rsidRPr="007E04F7">
        <w:rPr>
          <w:rFonts w:cs="Verdana"/>
          <w:i/>
          <w:iCs/>
          <w:sz w:val="16"/>
          <w:szCs w:val="16"/>
        </w:rPr>
        <w:t xml:space="preserve">Caso </w:t>
      </w:r>
      <w:r w:rsidRPr="007E04F7">
        <w:rPr>
          <w:rStyle w:val="Textoennegrita"/>
          <w:b w:val="0"/>
          <w:i/>
          <w:sz w:val="16"/>
          <w:szCs w:val="16"/>
          <w:shd w:val="clear" w:color="auto" w:fill="FFFFFF"/>
        </w:rPr>
        <w:t>Raxcacó Reyes Vs. Guatemala</w:t>
      </w:r>
      <w:r w:rsidRPr="007E04F7">
        <w:rPr>
          <w:i/>
          <w:sz w:val="16"/>
          <w:szCs w:val="16"/>
        </w:rPr>
        <w:t xml:space="preserve">, </w:t>
      </w:r>
      <w:r w:rsidRPr="007E04F7">
        <w:rPr>
          <w:rFonts w:cs="Arial"/>
          <w:i/>
          <w:sz w:val="16"/>
          <w:szCs w:val="16"/>
        </w:rPr>
        <w:t xml:space="preserve">supra, </w:t>
      </w:r>
      <w:r w:rsidRPr="007E04F7">
        <w:rPr>
          <w:rStyle w:val="Textoennegrita"/>
          <w:b w:val="0"/>
          <w:sz w:val="16"/>
          <w:szCs w:val="16"/>
          <w:shd w:val="clear" w:color="auto" w:fill="FFFFFF"/>
        </w:rPr>
        <w:t xml:space="preserve">párr. 88. </w:t>
      </w:r>
    </w:p>
  </w:footnote>
  <w:footnote w:id="115">
    <w:p w14:paraId="37408FD2" w14:textId="202BF66F"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t xml:space="preserve">Artículo 4 </w:t>
      </w:r>
      <w:r w:rsidRPr="007E04F7">
        <w:rPr>
          <w:rStyle w:val="Refdenotaalpie"/>
          <w:sz w:val="16"/>
          <w:szCs w:val="16"/>
          <w:vertAlign w:val="baseline"/>
        </w:rPr>
        <w:t>de</w:t>
      </w:r>
      <w:r w:rsidRPr="007E04F7">
        <w:rPr>
          <w:sz w:val="16"/>
          <w:szCs w:val="16"/>
        </w:rPr>
        <w:t xml:space="preserve"> la Convención Americana. </w:t>
      </w:r>
    </w:p>
  </w:footnote>
  <w:footnote w:id="116">
    <w:p w14:paraId="4D01562D" w14:textId="77777777"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Informe pericial del Dr. Guillermo Austreberto Carranza Izquierdo, de 3 de junio de 2008 (expediente de prueba, folios 238 a 249).</w:t>
      </w:r>
    </w:p>
  </w:footnote>
  <w:footnote w:id="117">
    <w:p w14:paraId="765E0055" w14:textId="77777777" w:rsidR="001A2991" w:rsidRPr="007E04F7" w:rsidRDefault="001A2991" w:rsidP="0064597D">
      <w:pPr>
        <w:tabs>
          <w:tab w:val="left" w:pos="567"/>
        </w:tabs>
        <w:spacing w:line="240" w:lineRule="auto"/>
        <w:rPr>
          <w:sz w:val="16"/>
          <w:szCs w:val="16"/>
          <w:lang w:val="pt-BR"/>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lang w:val="es-AR"/>
        </w:rPr>
        <w:t>Cfr</w:t>
      </w:r>
      <w:r w:rsidRPr="007E04F7">
        <w:rPr>
          <w:sz w:val="16"/>
          <w:szCs w:val="16"/>
          <w:lang w:val="es-AR"/>
        </w:rPr>
        <w:t>.</w:t>
      </w:r>
      <w:r w:rsidRPr="007E04F7">
        <w:rPr>
          <w:rFonts w:eastAsiaTheme="minorEastAsia" w:cs="Courier New"/>
          <w:i/>
          <w:noProof/>
          <w:sz w:val="16"/>
          <w:szCs w:val="16"/>
          <w:lang w:val="pt-BR"/>
        </w:rPr>
        <w:t xml:space="preserve"> </w:t>
      </w:r>
      <w:r w:rsidRPr="007E04F7">
        <w:rPr>
          <w:i/>
          <w:sz w:val="16"/>
          <w:szCs w:val="16"/>
          <w:lang w:val="pt-BR"/>
        </w:rPr>
        <w:t>Caso de los “Niños de la Calle” (Villagrán Morales y otros) Vs. Guatemala.</w:t>
      </w:r>
      <w:r w:rsidRPr="007E04F7">
        <w:rPr>
          <w:i/>
          <w:iCs/>
          <w:sz w:val="16"/>
          <w:szCs w:val="16"/>
          <w:lang w:val="es-AR"/>
        </w:rPr>
        <w:t xml:space="preserve"> Fondo. </w:t>
      </w:r>
      <w:r w:rsidRPr="007E04F7">
        <w:rPr>
          <w:iCs/>
          <w:sz w:val="16"/>
          <w:szCs w:val="16"/>
          <w:lang w:val="es-AR"/>
        </w:rPr>
        <w:t>Sentencia de 19 de noviembre de 1999. Serie C No. 63</w:t>
      </w:r>
      <w:r w:rsidRPr="007E04F7">
        <w:rPr>
          <w:sz w:val="16"/>
          <w:szCs w:val="16"/>
          <w:lang w:val="pt-BR"/>
        </w:rPr>
        <w:t xml:space="preserve">, párr. 144, </w:t>
      </w:r>
      <w:r w:rsidRPr="007E04F7">
        <w:rPr>
          <w:sz w:val="16"/>
          <w:szCs w:val="16"/>
          <w:lang w:val="es-ES" w:eastAsia="es-ES"/>
        </w:rPr>
        <w:t xml:space="preserve">y </w:t>
      </w:r>
      <w:r w:rsidRPr="007E04F7">
        <w:rPr>
          <w:rStyle w:val="Textoennegrita"/>
          <w:b w:val="0"/>
          <w:i/>
          <w:sz w:val="16"/>
          <w:szCs w:val="16"/>
          <w:shd w:val="clear" w:color="auto" w:fill="FFFFFF"/>
        </w:rPr>
        <w:t xml:space="preserve">Caso Omeara Carrascal y otros Vs. Colombia. Fondo, Reparaciones y Costas. </w:t>
      </w:r>
      <w:r w:rsidRPr="007E04F7">
        <w:rPr>
          <w:rStyle w:val="Textoennegrita"/>
          <w:b w:val="0"/>
          <w:sz w:val="16"/>
          <w:szCs w:val="16"/>
          <w:shd w:val="clear" w:color="auto" w:fill="FFFFFF"/>
        </w:rPr>
        <w:t>Sentencia de 21 de noviembre de 2018. Serie C No. 368, párr. 175.</w:t>
      </w:r>
    </w:p>
  </w:footnote>
  <w:footnote w:id="118">
    <w:p w14:paraId="0F3FA3E9" w14:textId="71AA6133" w:rsidR="001A2991" w:rsidRPr="007E04F7" w:rsidRDefault="001A2991" w:rsidP="0064597D">
      <w:pPr>
        <w:tabs>
          <w:tab w:val="left" w:pos="567"/>
        </w:tabs>
        <w:spacing w:line="240" w:lineRule="auto"/>
        <w:rPr>
          <w:bCs/>
          <w:sz w:val="16"/>
          <w:szCs w:val="16"/>
          <w:lang w:val="pt-BR"/>
        </w:rPr>
      </w:pPr>
      <w:r w:rsidRPr="007E04F7">
        <w:rPr>
          <w:rStyle w:val="Refdenotaalpie"/>
          <w:sz w:val="16"/>
          <w:szCs w:val="16"/>
        </w:rPr>
        <w:footnoteRef/>
      </w:r>
      <w:r w:rsidRPr="007E04F7">
        <w:rPr>
          <w:sz w:val="16"/>
          <w:szCs w:val="16"/>
        </w:rPr>
        <w:tab/>
      </w:r>
      <w:r w:rsidRPr="007E04F7">
        <w:rPr>
          <w:i/>
          <w:sz w:val="16"/>
          <w:szCs w:val="16"/>
          <w:lang w:val="es-AR"/>
        </w:rPr>
        <w:t>Cfr</w:t>
      </w:r>
      <w:r w:rsidRPr="007E04F7">
        <w:rPr>
          <w:sz w:val="16"/>
          <w:szCs w:val="16"/>
          <w:lang w:val="es-AR"/>
        </w:rPr>
        <w:t xml:space="preserve">. </w:t>
      </w:r>
      <w:r w:rsidRPr="007E04F7">
        <w:rPr>
          <w:i/>
          <w:iCs/>
          <w:sz w:val="16"/>
          <w:szCs w:val="16"/>
          <w:lang w:val="es-AR"/>
        </w:rPr>
        <w:t>Caso de los “Niños de la Calle” (Villagrán Morales y otros) Vs. Guatemala, supra,</w:t>
      </w:r>
      <w:r w:rsidRPr="007E04F7">
        <w:rPr>
          <w:iCs/>
          <w:sz w:val="16"/>
          <w:szCs w:val="16"/>
          <w:lang w:val="es-AR"/>
        </w:rPr>
        <w:t xml:space="preserve"> párrs. </w:t>
      </w:r>
      <w:r w:rsidRPr="007E04F7">
        <w:rPr>
          <w:sz w:val="16"/>
          <w:szCs w:val="16"/>
          <w:lang w:val="es-AR"/>
        </w:rPr>
        <w:t xml:space="preserve">144 y 145, y </w:t>
      </w:r>
      <w:r w:rsidRPr="007E04F7">
        <w:rPr>
          <w:rStyle w:val="Textoennegrita"/>
          <w:b w:val="0"/>
          <w:i/>
          <w:sz w:val="16"/>
          <w:szCs w:val="16"/>
          <w:shd w:val="clear" w:color="auto" w:fill="FFFFFF"/>
        </w:rPr>
        <w:t xml:space="preserve">Caso Omeara Carrascal y otros Vs. Colombia. Fondo, Reparaciones y Costas, supra, </w:t>
      </w:r>
      <w:r w:rsidRPr="007E04F7">
        <w:rPr>
          <w:rStyle w:val="Textoennegrita"/>
          <w:b w:val="0"/>
          <w:sz w:val="16"/>
          <w:szCs w:val="16"/>
          <w:shd w:val="clear" w:color="auto" w:fill="FFFFFF"/>
        </w:rPr>
        <w:t>párr. 175.</w:t>
      </w:r>
    </w:p>
  </w:footnote>
  <w:footnote w:id="119">
    <w:p w14:paraId="177FCBD5" w14:textId="7D10B9A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 y Autopsia practicada por el Dr. Edgar Ricardo Arriola Barrios, Médico Forense Departamental del Organismo Judicial de Cuilapa, Santa Rosa, de 15 de noviembre de 2005 (expediente de prueba, folio 231).</w:t>
      </w:r>
    </w:p>
  </w:footnote>
  <w:footnote w:id="120">
    <w:p w14:paraId="1CBB67F9"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w:t>
      </w:r>
    </w:p>
  </w:footnote>
  <w:footnote w:id="121">
    <w:p w14:paraId="5C907AC5"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w:t>
      </w:r>
    </w:p>
  </w:footnote>
  <w:footnote w:id="122">
    <w:p w14:paraId="2DC2C410"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w:t>
      </w:r>
    </w:p>
  </w:footnote>
  <w:footnote w:id="123">
    <w:p w14:paraId="23E87441"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policial de 14 de noviembre de 2005, Diligencia No. 1709-2005 (expediente de prueba, folio 233). </w:t>
      </w:r>
    </w:p>
  </w:footnote>
  <w:footnote w:id="124">
    <w:p w14:paraId="27C09E4F" w14:textId="51BB198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Autopsia practicada por el Dr. Edgar Ricardo Arriola Barrios, Médico Forense Departamental del Organismo Judicial de Cuilapa, Santa Rosa, de 15 de noviembre de 2005 (expediente de prueba, folio 231).</w:t>
      </w:r>
    </w:p>
  </w:footnote>
  <w:footnote w:id="125">
    <w:p w14:paraId="2385F51F" w14:textId="238BB25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Autopsia practicada por el Dr. Edgar Ricardo Arriola Barrios, Médico Forense Departamental del Organismo Judicial de Cuilapa, Santa Rosa, de 15 de noviembre de 2005 (expediente de prueba, folio 231). Véase también, Informe pericial del Dr. Guillermo Austreberto Carranza Izquierdo, de 3 de junio de 2008 (expediente de prueba, folio 243).</w:t>
      </w:r>
    </w:p>
  </w:footnote>
  <w:footnote w:id="126">
    <w:p w14:paraId="1D09A5FE" w14:textId="66C9C61E"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pericial del Dr. Guillermo Austreberto Carranza Izquierdo, de 3 de junio de 2008 (expediente de prueba, folio 243). Véase también, Peritaje rendido por Guillermo Austreberto Carranza Izquierdo en la audiencia pública ante la Corte Interamericana celebrada el 5 de marzo de 2019.</w:t>
      </w:r>
    </w:p>
  </w:footnote>
  <w:footnote w:id="127">
    <w:p w14:paraId="3BB360D4" w14:textId="5EAA691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El perito Guillermo Carranza concluyó en su informe pericial de 3 de junio de 2008 lo siguiente: “[L]a primera herida y la mortal, causada por proyectil de arma de fuego, fue la que recibió el señor Hugo Humberto Ruiz Fuentes en el ángulo interno del párpado superior del ojo derecho con salida en la región occipital izquierda del cráneo, y que fue un disparo a corta distancia.[…] La posición víctima-victimario es de pie, frente a frente, apuntando el cañón del arma de fuego en un ángulo de 90 grados, a una distancia de 15 centímetros de la víctima, razón por la cual la víctima parpadeó de forma refleja y la herida está sobre el párpado, con los hallazgos de los residuos productos del disparo consistentes en ahumamiento y tatuaje alrededor de la herida”. </w:t>
      </w:r>
      <w:r w:rsidRPr="007E04F7">
        <w:rPr>
          <w:i/>
          <w:sz w:val="16"/>
          <w:szCs w:val="16"/>
        </w:rPr>
        <w:t>Cfr</w:t>
      </w:r>
      <w:r w:rsidRPr="007E04F7">
        <w:rPr>
          <w:sz w:val="16"/>
          <w:szCs w:val="16"/>
        </w:rPr>
        <w:t>. Peritaje rendido por Guillermo Austreberto Carranza Izquierdo en la audiencia pública ante la Corte Interamericana celebrada el 5 de marzo de 2019.</w:t>
      </w:r>
    </w:p>
  </w:footnote>
  <w:footnote w:id="128">
    <w:p w14:paraId="1631C1DD" w14:textId="6774C59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sz w:val="16"/>
          <w:szCs w:val="16"/>
        </w:rPr>
        <w:t>Declaración rendida ante notario por la hermana del señor Ruiz Fuentes, de 28 de febrero de 2019 (expediente de prueba, folio 8480).</w:t>
      </w:r>
    </w:p>
  </w:footnote>
  <w:footnote w:id="129">
    <w:p w14:paraId="656384F7" w14:textId="04287BD1"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t xml:space="preserve">Según la declaración del Agente de la Policía Nacional Civil Meregildo Cermeño Cabrera, “a las 20:00 aproximadamente, él se encontraba cenando, cuando escuchó varios disparos de arma de fuego”. “Varios minutos” después, el señor Cermeño acudió al lugar de los hechos, donde “observó que habían varias personas vestidas de particular, con gorros pasa montañas, con armas de fuego y armas largas y cortas, los que se encontraba al mando del comisario V.S.D.”. </w:t>
      </w:r>
      <w:r w:rsidRPr="007E04F7">
        <w:rPr>
          <w:rFonts w:cs="Verdana"/>
          <w:i/>
          <w:sz w:val="16"/>
          <w:szCs w:val="16"/>
        </w:rPr>
        <w:t>Cfr</w:t>
      </w:r>
      <w:r w:rsidRPr="007E04F7">
        <w:rPr>
          <w:rFonts w:cs="Verdana"/>
          <w:sz w:val="16"/>
          <w:szCs w:val="16"/>
        </w:rPr>
        <w:t>. Declaración de Meregildo Cermeño Cabrera rendida ante la Fiscalía del Ministerio Público, el 7 de noviembre de 2007 (expediente de prueba, folios 316 y 317). Véase también, Informe del Estado de Guatemala a la Comisión Interamericana de Derechos Humanos en el caso 12.650 Hugo Humberto Ruiz Fuentes, de 27 de octubre de 2016 (expediente de prueba, folio 2568) en el que se indica que “en la escena del crimen, según testigos, fueron vistos el Sr. V.S.D. y el entonces Director General de la PNC, E.S.V.” y Acta policial de 14 de noviembre de 2005, Diligencia No. 1709-2005 (expediente de prueba, folio 233).</w:t>
      </w:r>
    </w:p>
  </w:footnote>
  <w:footnote w:id="130">
    <w:p w14:paraId="0DE704CB" w14:textId="6C200FC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pericial del Dr. Guillermo Austreberto Carranza Izquierdo, de 3 de junio de 2008 (expediente de prueba, folios 242 y 243). Véase también, Peritaje rendido por Guillermo Austreberto Carranza Izquierdo en la audiencia pública ante la Corte Interamericana celebrada el 5 de marzo de 2019.</w:t>
      </w:r>
    </w:p>
  </w:footnote>
  <w:footnote w:id="131">
    <w:p w14:paraId="3E955919" w14:textId="349AEB6E"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Peritaje rendido por Guillermo Austreberto Carranza Izquierdo en la audiencia pública ante la Corte Interamericana celebrada el 5 de marzo de 2019.</w:t>
      </w:r>
    </w:p>
  </w:footnote>
  <w:footnote w:id="132">
    <w:p w14:paraId="0287E742" w14:textId="4DF2A3A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A este respecto, </w:t>
      </w:r>
      <w:r w:rsidRPr="007E04F7">
        <w:rPr>
          <w:rFonts w:eastAsiaTheme="minorHAnsi" w:cs="Arial"/>
          <w:spacing w:val="-2"/>
          <w:sz w:val="16"/>
          <w:szCs w:val="16"/>
        </w:rPr>
        <w:t>el perito Carranza Izquierdo indicó que, debido a la herida que recibió el señor Ruiz Fuentes en el rostro, “no e[ra] posible que el arma de fuego no present[ara] machas de sangre, contrario a lo que se observa en la mano derecha, [donde] hay vestigios de sangre hasta en el lecho ungueal”</w:t>
      </w:r>
      <w:r w:rsidRPr="007E04F7">
        <w:rPr>
          <w:rStyle w:val="Refdenotaalpie"/>
          <w:rFonts w:eastAsiaTheme="minorHAnsi" w:cs="Arial"/>
          <w:spacing w:val="-2"/>
          <w:sz w:val="16"/>
          <w:szCs w:val="16"/>
        </w:rPr>
        <w:t xml:space="preserve"> </w:t>
      </w:r>
      <w:r w:rsidRPr="007E04F7">
        <w:rPr>
          <w:rFonts w:eastAsiaTheme="minorHAnsi" w:cs="Arial"/>
          <w:spacing w:val="-2"/>
          <w:sz w:val="16"/>
          <w:szCs w:val="16"/>
        </w:rPr>
        <w:t xml:space="preserve">(esto es, el área situada debajo de la uña). </w:t>
      </w:r>
      <w:r w:rsidRPr="007E04F7">
        <w:rPr>
          <w:i/>
          <w:sz w:val="16"/>
          <w:szCs w:val="16"/>
        </w:rPr>
        <w:t>Cfr</w:t>
      </w:r>
      <w:r w:rsidRPr="007E04F7">
        <w:rPr>
          <w:sz w:val="16"/>
          <w:szCs w:val="16"/>
        </w:rPr>
        <w:t>. Peritaje rendido por Guillermo Austreberto Carranza Izquierdo en la audiencia pública ante la Corte Interamericana celebrada el 5 de marzo de 2019.</w:t>
      </w:r>
    </w:p>
  </w:footnote>
  <w:footnote w:id="133">
    <w:p w14:paraId="198C5B78"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pericial del Dr. Guillermo Austreberto Carranza Izquierdo, de 3 de junio de 2008 (expediente de prueba, folio 243).</w:t>
      </w:r>
    </w:p>
  </w:footnote>
  <w:footnote w:id="134">
    <w:p w14:paraId="75CEC6E7" w14:textId="138DA86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pericial del Dr. Guillermo Austreberto Carranza Izquierdo, de 3 de junio de 2008 (expediente de prueba, folio 243 y 247). Véase también, Peritaje rendido por Guillermo Austreberto Carranza Izquierdo en la audiencia pública ante la Corte Interamericana celebrada el 5 de marzo de 2019.</w:t>
      </w:r>
    </w:p>
  </w:footnote>
  <w:footnote w:id="135">
    <w:p w14:paraId="18B1762B" w14:textId="1C34A03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Sobre este particular, el perito Guillermo Carranza indicó que “[e]n toda escena del crimen, los procedimientos manda[n] que en donde se encuentra evidencia de un tiroteo, en el que se halle un arma de fuego, como en este caso, se debe de practicar una prueba de absorción atómica”, esto es, una prueba para analizar los residuos producidos por un eventual disparo, algo no que se realizó en el presente caso. </w:t>
      </w:r>
      <w:r w:rsidRPr="007E04F7">
        <w:rPr>
          <w:i/>
          <w:iCs/>
          <w:sz w:val="16"/>
          <w:szCs w:val="16"/>
        </w:rPr>
        <w:t>Cfr</w:t>
      </w:r>
      <w:r w:rsidRPr="007E04F7">
        <w:rPr>
          <w:sz w:val="16"/>
          <w:szCs w:val="16"/>
        </w:rPr>
        <w:t>. Informe pericial del Dr. Guillermo Austreberto Carranza Izquierdo, de 3 de junio de 2008 (expediente de prueba, folio 243 y 247). Véase también, peritaje rendido por Guillermo Austreberto Carranza Izquierdo en la audiencia pública ante la Corte Interamericana celebrada el 5 de marzo de 2019.</w:t>
      </w:r>
    </w:p>
  </w:footnote>
  <w:footnote w:id="136">
    <w:p w14:paraId="44710792" w14:textId="29F4481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Cfr.</w:t>
      </w:r>
      <w:r w:rsidRPr="007E04F7">
        <w:rPr>
          <w:sz w:val="16"/>
          <w:szCs w:val="16"/>
        </w:rPr>
        <w:t xml:space="preserve"> Nota de prensa aparecida en “El Periódico” </w:t>
      </w:r>
      <w:r w:rsidRPr="007E04F7">
        <w:rPr>
          <w:rFonts w:cs="Verdana"/>
          <w:sz w:val="16"/>
          <w:szCs w:val="16"/>
        </w:rPr>
        <w:t xml:space="preserve">titulada “Abaten a tiros a uno de los reos prófugos”, </w:t>
      </w:r>
      <w:r w:rsidRPr="007E04F7">
        <w:rPr>
          <w:sz w:val="16"/>
          <w:szCs w:val="16"/>
        </w:rPr>
        <w:t xml:space="preserve">de 15 de noviembre </w:t>
      </w:r>
      <w:r w:rsidRPr="007E04F7">
        <w:rPr>
          <w:rFonts w:cs="Verdana"/>
          <w:sz w:val="16"/>
          <w:szCs w:val="16"/>
        </w:rPr>
        <w:t>de 2005 (expediente de prueba, expediente de trámite ante la Comisión, tomo II folio 436). En el mismo sentido se pronunció e</w:t>
      </w:r>
      <w:r w:rsidRPr="007E04F7">
        <w:rPr>
          <w:sz w:val="16"/>
          <w:szCs w:val="16"/>
        </w:rPr>
        <w:t xml:space="preserve">l comisario de la Policía y jefe del SIC [V.S.D.], quien confirmó a los medios de prensa que “llevaban cuatro días siguiendo al prófugo, y que fue hasta anoche que lograron ubicarlo, y al solicitarle que se detuviera éste desenfundo un arma, originando el saldo antes mencionado” </w:t>
      </w:r>
      <w:r w:rsidRPr="007E04F7">
        <w:rPr>
          <w:rFonts w:cs="Verdana"/>
          <w:i/>
          <w:iCs/>
          <w:sz w:val="16"/>
          <w:szCs w:val="16"/>
        </w:rPr>
        <w:t>Cfr.</w:t>
      </w:r>
      <w:r w:rsidRPr="007E04F7">
        <w:rPr>
          <w:sz w:val="16"/>
          <w:szCs w:val="16"/>
        </w:rPr>
        <w:t xml:space="preserve"> Nota de prensa aparecida en “La Hora” </w:t>
      </w:r>
      <w:r w:rsidRPr="007E04F7">
        <w:rPr>
          <w:rFonts w:cs="Verdana"/>
          <w:sz w:val="16"/>
          <w:szCs w:val="16"/>
        </w:rPr>
        <w:t xml:space="preserve">titulada “Catorce siguen fugados”, </w:t>
      </w:r>
      <w:r w:rsidRPr="007E04F7">
        <w:rPr>
          <w:sz w:val="16"/>
          <w:szCs w:val="16"/>
        </w:rPr>
        <w:t xml:space="preserve">de 15 de noviembre </w:t>
      </w:r>
      <w:r w:rsidRPr="007E04F7">
        <w:rPr>
          <w:rFonts w:cs="Verdana"/>
          <w:sz w:val="16"/>
          <w:szCs w:val="16"/>
        </w:rPr>
        <w:t xml:space="preserve">de 2005 (expediente de prueba, folio 438). En otro periódico, en cuanto el enfrentamiento con agentes del SIC, el comisario V.S.D. indicó “[c]uando los detectives procedieron a solicitarle [al señor Ruiz Fuentes] que se identificara, desenfundó una pistola y empezó a dispararles. En medio del fuego cruzado el prófugo cayo a media calle”. </w:t>
      </w:r>
      <w:r w:rsidRPr="007E04F7">
        <w:rPr>
          <w:rFonts w:cs="Verdana"/>
          <w:i/>
          <w:iCs/>
          <w:sz w:val="16"/>
          <w:szCs w:val="16"/>
        </w:rPr>
        <w:t>Cfr.</w:t>
      </w:r>
      <w:r w:rsidRPr="007E04F7">
        <w:rPr>
          <w:sz w:val="16"/>
          <w:szCs w:val="16"/>
        </w:rPr>
        <w:t xml:space="preserve"> Nota de prensa aparecida en “Nuestro Diario” </w:t>
      </w:r>
      <w:r w:rsidRPr="007E04F7">
        <w:rPr>
          <w:rFonts w:cs="Verdana"/>
          <w:sz w:val="16"/>
          <w:szCs w:val="16"/>
        </w:rPr>
        <w:t>titulada “Prófugo abatido en enfrentamiento, de</w:t>
      </w:r>
      <w:r w:rsidRPr="007E04F7">
        <w:rPr>
          <w:sz w:val="16"/>
          <w:szCs w:val="16"/>
        </w:rPr>
        <w:t xml:space="preserve"> 15 de noviembre </w:t>
      </w:r>
      <w:r w:rsidRPr="007E04F7">
        <w:rPr>
          <w:rFonts w:cs="Verdana"/>
          <w:sz w:val="16"/>
          <w:szCs w:val="16"/>
        </w:rPr>
        <w:t>de 2005 (expediente de prueba, folio 440).</w:t>
      </w:r>
    </w:p>
  </w:footnote>
  <w:footnote w:id="137">
    <w:p w14:paraId="6B0F18F9" w14:textId="4324A0D5"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En este sentido declaró el señor Marroquín Solis, funcionario de la Dirección de Investigación Criminal de la Policía Nacional Civil de Cuilapa, Santa Rosa, quien indicó que “no se pudo establecer la identidad de las personas responsables de dicho hecho, solo se estableció que eran personas desconocidas que perseguían al hoy fallecido y que le causaron la muerte”. </w:t>
      </w:r>
      <w:r w:rsidRPr="007E04F7">
        <w:rPr>
          <w:i/>
          <w:sz w:val="16"/>
          <w:szCs w:val="16"/>
        </w:rPr>
        <w:t>Cfr</w:t>
      </w:r>
      <w:r w:rsidRPr="007E04F7">
        <w:rPr>
          <w:sz w:val="16"/>
          <w:szCs w:val="16"/>
        </w:rPr>
        <w:t xml:space="preserve">. Declaración de Juan José Marroquín Solis rendida ante la Fiscalía Distrital del Ministerio Público, Cuilapa, Santa Rosa, de 21 de marzo de 2006 (expediente de prueba, folio 313). En el mismo sentido se pronunció el señor Meregildo Cermeño Cabrera en su declaración rendida ante la Fiscalía del Ministerio Público el 7 de noviembre de 2007. </w:t>
      </w:r>
      <w:r w:rsidRPr="007E04F7">
        <w:rPr>
          <w:i/>
          <w:sz w:val="16"/>
          <w:szCs w:val="16"/>
        </w:rPr>
        <w:t>Cfr</w:t>
      </w:r>
      <w:r w:rsidRPr="007E04F7">
        <w:rPr>
          <w:sz w:val="16"/>
          <w:szCs w:val="16"/>
        </w:rPr>
        <w:t>. Declaración de Meregildo Cermeño Cabrera rendida ante la Fiscalía del Ministerio Público, de 7 de noviembre de 2007 (expediente de prueba, folios 316 y 317).</w:t>
      </w:r>
    </w:p>
  </w:footnote>
  <w:footnote w:id="138">
    <w:p w14:paraId="0EDF38BB" w14:textId="6F3AE29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del Fiscal Distrital dirigido al Coordinador de la Secretaría Técnica del Ministerio Público, de 8 de junio de 2007 (expediente de prueba, folio 322).</w:t>
      </w:r>
    </w:p>
  </w:footnote>
  <w:footnote w:id="139">
    <w:p w14:paraId="0FC3203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Estado de Guatemala </w:t>
      </w:r>
      <w:r w:rsidRPr="007E04F7">
        <w:rPr>
          <w:rFonts w:cs="Verdana"/>
          <w:sz w:val="16"/>
          <w:szCs w:val="16"/>
        </w:rPr>
        <w:t>a la Comisión Interamericana de Derechos Humanos relacionado al caso del señor Hugo Humberto Ruiz Fuentes</w:t>
      </w:r>
      <w:r w:rsidRPr="007E04F7">
        <w:rPr>
          <w:sz w:val="16"/>
          <w:szCs w:val="16"/>
        </w:rPr>
        <w:t>, de 21 de febrero de 2006 (expediente de prueba, folio 934).</w:t>
      </w:r>
    </w:p>
  </w:footnote>
  <w:footnote w:id="140">
    <w:p w14:paraId="4BB8818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Estado de Guatemala </w:t>
      </w:r>
      <w:r w:rsidRPr="007E04F7">
        <w:rPr>
          <w:rFonts w:cs="Verdana"/>
          <w:sz w:val="16"/>
          <w:szCs w:val="16"/>
        </w:rPr>
        <w:t>a la Comisión Interamericana de Derechos Humanos con relación al caso Hugo Humberto Ruiz Fuentes (Caso 12.650)</w:t>
      </w:r>
      <w:r w:rsidRPr="007E04F7">
        <w:rPr>
          <w:sz w:val="16"/>
          <w:szCs w:val="16"/>
        </w:rPr>
        <w:t>, de 22 de julio de 2009 (expediente de prueba, folio 2121).</w:t>
      </w:r>
    </w:p>
  </w:footnote>
  <w:footnote w:id="141">
    <w:p w14:paraId="004DE8D2"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Raxcacó Reyes y otros respecto Guatemala. Medidas Provisionales</w:t>
      </w:r>
      <w:r w:rsidRPr="007E04F7">
        <w:rPr>
          <w:sz w:val="16"/>
          <w:szCs w:val="16"/>
        </w:rPr>
        <w:t>. Resolución de la Corte Interamericana de Derechos Humanos de 4 de julio de 2006, párr. 20.</w:t>
      </w:r>
    </w:p>
  </w:footnote>
  <w:footnote w:id="142">
    <w:p w14:paraId="47E96C6C" w14:textId="04C17C2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Contestación del Estado de 14 de agosto de 20</w:t>
      </w:r>
      <w:r w:rsidR="007B2C2E" w:rsidRPr="007E04F7">
        <w:rPr>
          <w:sz w:val="16"/>
          <w:szCs w:val="16"/>
        </w:rPr>
        <w:t>18 (expediente de fondo, folio 368</w:t>
      </w:r>
      <w:r w:rsidRPr="007E04F7">
        <w:rPr>
          <w:sz w:val="16"/>
          <w:szCs w:val="16"/>
        </w:rPr>
        <w:t xml:space="preserve">). </w:t>
      </w:r>
    </w:p>
  </w:footnote>
  <w:footnote w:id="143">
    <w:p w14:paraId="0D29D888"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Recurso de apelación presentado por la Fiscalía Especial Contra la Impunidad (FECI) del Ministerio Público, de 29 de noviembre de 2018 (expediente de prueba, folio 8405 y 8406). Véase también, comunicado de prensa de la CICIG “Ejecuciones extrajudiciales y torturas 2004-2007”, de 29 de octubre de 2019, disponible aquí: </w:t>
      </w:r>
    </w:p>
    <w:p w14:paraId="19648E02" w14:textId="77777777" w:rsidR="001A2991" w:rsidRPr="007E04F7" w:rsidRDefault="00656033" w:rsidP="0064597D">
      <w:pPr>
        <w:tabs>
          <w:tab w:val="left" w:pos="567"/>
        </w:tabs>
        <w:spacing w:line="240" w:lineRule="auto"/>
        <w:rPr>
          <w:sz w:val="16"/>
          <w:szCs w:val="16"/>
        </w:rPr>
      </w:pPr>
      <w:hyperlink r:id="rId6" w:history="1">
        <w:r w:rsidR="001A2991" w:rsidRPr="007E04F7">
          <w:rPr>
            <w:rStyle w:val="Hipervnculo"/>
            <w:sz w:val="16"/>
            <w:szCs w:val="16"/>
          </w:rPr>
          <w:t>https://www.cicig.org/casos/ejecuciones-extrajudiciales-y-torturas-2004-2007/</w:t>
        </w:r>
      </w:hyperlink>
      <w:r w:rsidR="001A2991" w:rsidRPr="007E04F7">
        <w:rPr>
          <w:sz w:val="16"/>
          <w:szCs w:val="16"/>
        </w:rPr>
        <w:t xml:space="preserve"> </w:t>
      </w:r>
    </w:p>
  </w:footnote>
  <w:footnote w:id="144">
    <w:p w14:paraId="41A8A9D5"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Recurso de apelación presentado por la Fiscalía Especial Contra la Impunidad (FECI) del Ministerio Público, de 29 de noviembre de 2018 (expediente de prueba, folios 8406 y 8407).</w:t>
      </w:r>
    </w:p>
  </w:footnote>
  <w:footnote w:id="145">
    <w:p w14:paraId="7E8838AD" w14:textId="77777777"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Recurso de apelación presentado por la Fiscalía Especial Contra la Impunidad (FECI) del Ministerio Público, de 29 de noviembre de 2018 (expediente de prueba, folio 8407).</w:t>
      </w:r>
    </w:p>
  </w:footnote>
  <w:footnote w:id="146">
    <w:p w14:paraId="2D93DC53" w14:textId="188BEDD9"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t xml:space="preserve">Artículo 5 </w:t>
      </w:r>
      <w:r w:rsidRPr="007E04F7">
        <w:rPr>
          <w:rStyle w:val="Refdenotaalpie"/>
          <w:sz w:val="16"/>
          <w:szCs w:val="16"/>
          <w:vertAlign w:val="baseline"/>
        </w:rPr>
        <w:t>de</w:t>
      </w:r>
      <w:r w:rsidRPr="007E04F7">
        <w:rPr>
          <w:sz w:val="16"/>
          <w:szCs w:val="16"/>
        </w:rPr>
        <w:t xml:space="preserve"> la Convención Americana y artículos 1 y 6 de la Convención Interamericana para prevenir y sancionar la tortura.</w:t>
      </w:r>
    </w:p>
  </w:footnote>
  <w:footnote w:id="147">
    <w:p w14:paraId="40A130B4" w14:textId="77777777"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Refdenotaalpie"/>
          <w:sz w:val="16"/>
          <w:szCs w:val="16"/>
          <w:vertAlign w:val="baseline"/>
        </w:rPr>
        <w:t>Declaración</w:t>
      </w:r>
      <w:r w:rsidRPr="007E04F7">
        <w:rPr>
          <w:sz w:val="16"/>
          <w:szCs w:val="16"/>
        </w:rPr>
        <w:t xml:space="preserve"> del señor Ruiz Fuentes rendida ante la Jueza Octava de Primera Instancia Penal, Narcoactividad y Delitos contra el Ambiente, de 29 de abril de 1998 (expediente de prueba, folios 8 a 13).</w:t>
      </w:r>
    </w:p>
  </w:footnote>
  <w:footnote w:id="148">
    <w:p w14:paraId="795B0BB6" w14:textId="31C476C3" w:rsidR="001A2991" w:rsidRPr="007E04F7" w:rsidRDefault="001A2991" w:rsidP="0064597D">
      <w:pPr>
        <w:tabs>
          <w:tab w:val="left" w:pos="567"/>
        </w:tabs>
        <w:spacing w:line="240" w:lineRule="auto"/>
        <w:rPr>
          <w:i/>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Maritza Urrutia Vs. Guatemala. Fondo, Reparaciones y Costas.</w:t>
      </w:r>
      <w:r w:rsidRPr="007E04F7">
        <w:rPr>
          <w:sz w:val="16"/>
          <w:szCs w:val="16"/>
        </w:rPr>
        <w:t xml:space="preserve"> Sentencia de 27 de noviembre de 2003. Serie C No. 103, párr. 92, y </w:t>
      </w:r>
      <w:r w:rsidRPr="007E04F7">
        <w:rPr>
          <w:rStyle w:val="Textoennegrita"/>
          <w:b w:val="0"/>
          <w:i/>
          <w:sz w:val="16"/>
          <w:szCs w:val="16"/>
        </w:rPr>
        <w:t xml:space="preserve">Caso Mujeres Víctimas de Tortura Sexual en Atenco Vs. México. Fondo, Reparaciones y Costas. </w:t>
      </w:r>
      <w:r w:rsidRPr="007E04F7">
        <w:rPr>
          <w:rStyle w:val="Textoennegrita"/>
          <w:b w:val="0"/>
          <w:sz w:val="16"/>
          <w:szCs w:val="16"/>
        </w:rPr>
        <w:t>Sentencia de 28 de noviembre de 2018. Serie C No. 371, párrs. 177 y 178</w:t>
      </w:r>
      <w:r w:rsidRPr="007E04F7">
        <w:rPr>
          <w:rFonts w:cs="Courier New"/>
          <w:sz w:val="16"/>
          <w:szCs w:val="16"/>
        </w:rPr>
        <w:t>.</w:t>
      </w:r>
    </w:p>
  </w:footnote>
  <w:footnote w:id="149">
    <w:p w14:paraId="34DD398F" w14:textId="46E870C5" w:rsidR="001A2991" w:rsidRPr="007E04F7" w:rsidRDefault="001A2991" w:rsidP="0064597D">
      <w:pPr>
        <w:tabs>
          <w:tab w:val="left" w:pos="567"/>
        </w:tabs>
        <w:spacing w:line="240" w:lineRule="auto"/>
        <w:rPr>
          <w:i/>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 xml:space="preserve">Cfr. Caso Loayza Tamayo Vs. Perú. Fondo, supra, </w:t>
      </w:r>
      <w:r w:rsidRPr="007E04F7">
        <w:rPr>
          <w:sz w:val="16"/>
          <w:szCs w:val="16"/>
        </w:rPr>
        <w:t xml:space="preserve">párr. 57, y </w:t>
      </w:r>
      <w:r w:rsidRPr="007E04F7">
        <w:rPr>
          <w:rStyle w:val="Textoennegrita"/>
          <w:b w:val="0"/>
          <w:i/>
          <w:sz w:val="16"/>
          <w:szCs w:val="16"/>
        </w:rPr>
        <w:t>Caso Mujeres Víctimas de Tortura Sexual en Atenco Vs. México</w:t>
      </w:r>
      <w:r w:rsidRPr="007E04F7">
        <w:rPr>
          <w:i/>
          <w:sz w:val="16"/>
          <w:szCs w:val="16"/>
        </w:rPr>
        <w:t xml:space="preserve">, </w:t>
      </w:r>
      <w:r w:rsidRPr="007E04F7">
        <w:rPr>
          <w:rFonts w:cs="Arial"/>
          <w:i/>
          <w:sz w:val="16"/>
          <w:szCs w:val="16"/>
        </w:rPr>
        <w:t xml:space="preserve">supra, </w:t>
      </w:r>
      <w:r w:rsidRPr="007E04F7">
        <w:rPr>
          <w:sz w:val="16"/>
          <w:szCs w:val="16"/>
        </w:rPr>
        <w:t xml:space="preserve"> </w:t>
      </w:r>
      <w:r w:rsidRPr="007E04F7">
        <w:rPr>
          <w:rFonts w:cs="Courier New"/>
          <w:sz w:val="16"/>
          <w:szCs w:val="16"/>
        </w:rPr>
        <w:t>párr. 177.</w:t>
      </w:r>
    </w:p>
  </w:footnote>
  <w:footnote w:id="150">
    <w:p w14:paraId="25F5E0EB" w14:textId="399C94F3"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 xml:space="preserve">Cfr. Caso Ximenes Lopes Vs. Brasil. </w:t>
      </w:r>
      <w:r w:rsidRPr="007E04F7">
        <w:rPr>
          <w:sz w:val="16"/>
          <w:szCs w:val="16"/>
        </w:rPr>
        <w:t>Sentencia de 4 de julio de 2006</w:t>
      </w:r>
      <w:r w:rsidRPr="007E04F7">
        <w:rPr>
          <w:i/>
          <w:sz w:val="16"/>
          <w:szCs w:val="16"/>
        </w:rPr>
        <w:t xml:space="preserve">. </w:t>
      </w:r>
      <w:r w:rsidRPr="007E04F7">
        <w:rPr>
          <w:sz w:val="16"/>
          <w:szCs w:val="16"/>
        </w:rPr>
        <w:t xml:space="preserve">Serie C No. 149, párr. 127, y </w:t>
      </w:r>
      <w:r w:rsidRPr="007E04F7">
        <w:rPr>
          <w:rStyle w:val="Textoennegrita"/>
          <w:b w:val="0"/>
          <w:i/>
          <w:sz w:val="16"/>
          <w:szCs w:val="16"/>
        </w:rPr>
        <w:t>Caso Omeara Carrascal y otros Vs. Colombia, supra</w:t>
      </w:r>
      <w:r w:rsidRPr="007E04F7">
        <w:rPr>
          <w:rFonts w:cs="Courier New"/>
          <w:sz w:val="16"/>
          <w:szCs w:val="16"/>
        </w:rPr>
        <w:t>, párr. 193.</w:t>
      </w:r>
    </w:p>
  </w:footnote>
  <w:footnote w:id="151">
    <w:p w14:paraId="01F0BD41" w14:textId="4E1D033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Oficio No. 4325-97 emitido por el Departamento de Investigaciones Criminológicas de la Policía Nacional, de 6 de agosto de 1997 (expediente de prueba, folio 5).</w:t>
      </w:r>
    </w:p>
  </w:footnote>
  <w:footnote w:id="152">
    <w:p w14:paraId="64C25329" w14:textId="3898745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folios 9 y 10). Véase también, Acta de debate C-4-98. Declaración de Hugo Humberto Ruiz Fuentes en audiencias de juicio oral y público ante el Tribunal Sexto de Sentencia Penal, Narcoactividad y Delitos contra el Ambiente, de 21 de abril de 1999 (expediente de prueba, folios 1142 y 1143), y e</w:t>
      </w:r>
      <w:r w:rsidRPr="007E04F7">
        <w:rPr>
          <w:rFonts w:cs="Verdana"/>
          <w:sz w:val="16"/>
          <w:szCs w:val="16"/>
        </w:rPr>
        <w:t>ntrevista realizada a Hugo Humberto Ruiz Fuentes en el Centro Preventivo de la Zona 18, realizada por Alejandro Rodríguez, sin fecha (expediente de prueba, folio 521).</w:t>
      </w:r>
    </w:p>
  </w:footnote>
  <w:footnote w:id="153">
    <w:p w14:paraId="4912701E" w14:textId="03B128D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Declaración privada de A.M.V. en la audiencia pública ante la Corte Interamericana celebrada el 5 de marzo de 2019.</w:t>
      </w:r>
    </w:p>
  </w:footnote>
  <w:footnote w:id="154">
    <w:p w14:paraId="63640058" w14:textId="4781C33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Declaración privada de A.M.V. en la audiencia pública ante la Corte Interamericana celebrada el 5 de marzo de 2019.</w:t>
      </w:r>
    </w:p>
  </w:footnote>
  <w:footnote w:id="155">
    <w:p w14:paraId="0E6E1AD2" w14:textId="759B440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theme="majorHAnsi"/>
          <w:sz w:val="16"/>
          <w:szCs w:val="16"/>
        </w:rPr>
        <w:t>Declaración rendida ante notario por la hermana del señor Ruiz Fuentes, de 28 de febrero de 2019 (expediente de prueba, folio 8476).</w:t>
      </w:r>
    </w:p>
  </w:footnote>
  <w:footnote w:id="156">
    <w:p w14:paraId="31079E84"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El término abdomen agudo se refiere a un cuadro grave de emergencia médica, caracterizado por síntomas y signos localizados en la cavidad abdominal. Véase Informe médico No. 492-484 emitido por el Hospital Roosevelt el 9 de diciembre de 1997 (expediente de prueba, folio 15).</w:t>
      </w:r>
    </w:p>
  </w:footnote>
  <w:footnote w:id="157">
    <w:p w14:paraId="0C58F896" w14:textId="3C1D7CC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médico del Departamento de Cirugía del Hospital Roosevelt, de 11 de diciembre de 2000 (expediente de prueba, folio 21).</w:t>
      </w:r>
    </w:p>
  </w:footnote>
  <w:footnote w:id="158">
    <w:p w14:paraId="4C4542AC" w14:textId="24D94AEE"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Dr. Alejandro Moreno, de 21 de mayo de 2008 (expediente de prueba, folios 23 y 24).</w:t>
      </w:r>
    </w:p>
  </w:footnote>
  <w:footnote w:id="159">
    <w:p w14:paraId="7230EFDC" w14:textId="297AE2F6"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t>El señor Ruiz Fuentes también declaró que, a los tres días de estar en el hospital, llegaron “unos muchachos” que le dijeron que “no dijera que le habían pegado, sino que dijera que se había hecho los golpes porque se había caído de una pared de ocho metros y que ellos lo iban a ayudar para que saliera a los dos o tres meses”</w:t>
      </w:r>
      <w:r w:rsidRPr="007E04F7">
        <w:rPr>
          <w:i/>
          <w:sz w:val="16"/>
          <w:szCs w:val="16"/>
        </w:rPr>
        <w:t xml:space="preserve"> Cfr.</w:t>
      </w:r>
      <w:r w:rsidRPr="007E04F7">
        <w:rPr>
          <w:sz w:val="16"/>
          <w:szCs w:val="16"/>
        </w:rPr>
        <w:t xml:space="preserve"> Acta de debate C-4-98. Declaración de Hugo Humberto Ruiz Fuentes en audiencias de juicio oral y público ante el Tribunal Sexto de Sentencia Penal, Narcoactividad y Delitos contra el Ambiente, de 21 de abril de 1999 (expediente de prueba, folio 1143). A lo anterior se añade la carta elaborada por el señor Ruiz Fuentes y dirigida a su hermana indicó que “él tenía miedo de denunciar lo de la tortura, porque el comisario Soto lo llegaba a amenazar”. </w:t>
      </w:r>
      <w:r w:rsidRPr="007E04F7">
        <w:rPr>
          <w:i/>
          <w:sz w:val="16"/>
          <w:szCs w:val="16"/>
        </w:rPr>
        <w:t xml:space="preserve">Cfr. </w:t>
      </w:r>
      <w:r w:rsidRPr="007E04F7">
        <w:rPr>
          <w:sz w:val="16"/>
          <w:szCs w:val="16"/>
        </w:rPr>
        <w:t>Declaración rendida ante notario por la hermana del señor Ruiz Fuentes el 28 de febrero de 2019 (expediente de prueba, folios 8477 a 8480).</w:t>
      </w:r>
    </w:p>
  </w:footnote>
  <w:footnote w:id="160">
    <w:p w14:paraId="4E092967" w14:textId="0ABDC44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sz w:val="16"/>
          <w:szCs w:val="16"/>
        </w:rPr>
        <w:t xml:space="preserve">Declaración rendida ante notario por la hermana del señor Ruiz Fuentes el 28 de febrero de 2019 (expediente de prueba, folio 8477). </w:t>
      </w:r>
    </w:p>
  </w:footnote>
  <w:footnote w:id="161">
    <w:p w14:paraId="181B9275" w14:textId="7D29C5EA"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rStyle w:val="Refdenotaalpie"/>
          <w:rFonts w:eastAsia="Calibri"/>
          <w:sz w:val="16"/>
          <w:szCs w:val="16"/>
        </w:rPr>
        <w:t xml:space="preserve"> </w:t>
      </w:r>
      <w:r w:rsidRPr="007E04F7">
        <w:rPr>
          <w:sz w:val="16"/>
          <w:szCs w:val="16"/>
        </w:rPr>
        <w:tab/>
      </w:r>
      <w:r w:rsidRPr="007E04F7">
        <w:rPr>
          <w:i/>
          <w:sz w:val="16"/>
          <w:szCs w:val="16"/>
        </w:rPr>
        <w:t xml:space="preserve">Cfr. Caso Bueno Alves Vs. Argentina. Fondo, Reparaciones y Costas. </w:t>
      </w:r>
      <w:r w:rsidRPr="007E04F7">
        <w:rPr>
          <w:sz w:val="16"/>
          <w:szCs w:val="16"/>
        </w:rPr>
        <w:t xml:space="preserve">Sentencia de 11 de mayo de 2007. Serie C No. 164, párr. 79, y </w:t>
      </w:r>
      <w:r w:rsidRPr="007E04F7">
        <w:rPr>
          <w:rStyle w:val="Textoennegrita"/>
          <w:b w:val="0"/>
          <w:i/>
          <w:sz w:val="16"/>
          <w:szCs w:val="16"/>
        </w:rPr>
        <w:t xml:space="preserve">Caso Mujeres Víctimas de Tortura Sexual en Atenco Vs. México, supra, </w:t>
      </w:r>
      <w:r w:rsidRPr="007E04F7">
        <w:rPr>
          <w:rStyle w:val="Textoennegrita"/>
          <w:b w:val="0"/>
          <w:sz w:val="16"/>
          <w:szCs w:val="16"/>
        </w:rPr>
        <w:t>párr. 191.</w:t>
      </w:r>
    </w:p>
  </w:footnote>
  <w:footnote w:id="162">
    <w:p w14:paraId="74CE6167" w14:textId="4387483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folios 9 y 10).</w:t>
      </w:r>
    </w:p>
  </w:footnote>
  <w:footnote w:id="163">
    <w:p w14:paraId="2C7B9086" w14:textId="21E7076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snapToGrid w:val="0"/>
          <w:sz w:val="16"/>
          <w:szCs w:val="16"/>
        </w:rPr>
        <w:t xml:space="preserve">Según su declaración, tras su detención fue sometido a numerosos golpes, “se desmayaba, le pegaban, y como él no sabía nada de lo que le preguntaban lo </w:t>
      </w:r>
      <w:r w:rsidRPr="007E04F7">
        <w:rPr>
          <w:sz w:val="16"/>
          <w:szCs w:val="16"/>
          <w:lang w:eastAsia="en-US"/>
        </w:rPr>
        <w:t>seguían</w:t>
      </w:r>
      <w:r w:rsidRPr="007E04F7">
        <w:rPr>
          <w:snapToGrid w:val="0"/>
          <w:sz w:val="16"/>
          <w:szCs w:val="16"/>
        </w:rPr>
        <w:t xml:space="preserve"> golpeando y torturando para que hablara. Varias horas después lo llevaron a una casa […] para que reconociera a alguien de esa casa, pero como él no conocía a nadie lo siguieron golpeando y le amarraron los pies y las manos, le vendaron los ojos. </w:t>
      </w:r>
      <w:r w:rsidRPr="007E04F7">
        <w:rPr>
          <w:i/>
          <w:sz w:val="16"/>
          <w:szCs w:val="16"/>
        </w:rPr>
        <w:t>Cfr</w:t>
      </w:r>
      <w:r w:rsidRPr="007E04F7">
        <w:rPr>
          <w:sz w:val="16"/>
          <w:szCs w:val="16"/>
        </w:rPr>
        <w:t xml:space="preserve">. </w:t>
      </w:r>
      <w:r w:rsidRPr="007E04F7">
        <w:rPr>
          <w:rFonts w:cstheme="majorHAnsi"/>
          <w:sz w:val="16"/>
          <w:szCs w:val="16"/>
        </w:rPr>
        <w:t>Declaración rendida ante notario por la hermana del señor Ruiz Fuentes, de 28 de febrero de 2019 (expediente de prueba, folio 8476).</w:t>
      </w:r>
    </w:p>
  </w:footnote>
  <w:footnote w:id="164">
    <w:p w14:paraId="6DDC5BB6" w14:textId="3B82B436"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w:t>
      </w:r>
    </w:p>
  </w:footnote>
  <w:footnote w:id="165">
    <w:p w14:paraId="39B756AB" w14:textId="291A0B6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Esto es, desde su ingreso el 6 de agosto de 1997 hasta el alta el 18 de agosto de 1997. </w:t>
      </w:r>
      <w:r w:rsidRPr="007E04F7">
        <w:rPr>
          <w:i/>
          <w:sz w:val="16"/>
          <w:szCs w:val="16"/>
        </w:rPr>
        <w:t>Cfr.</w:t>
      </w:r>
      <w:r w:rsidRPr="007E04F7">
        <w:rPr>
          <w:sz w:val="16"/>
          <w:szCs w:val="16"/>
        </w:rPr>
        <w:t xml:space="preserve"> Informe del médico residente del Departamento de Cirugía del Hospital Roosevelt, de 20 de enero de 1998 (expediente de prueba, folio 17).</w:t>
      </w:r>
    </w:p>
  </w:footnote>
  <w:footnote w:id="166">
    <w:p w14:paraId="4984BA35"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 11).</w:t>
      </w:r>
    </w:p>
  </w:footnote>
  <w:footnote w:id="167">
    <w:p w14:paraId="03E8662A" w14:textId="039A7965"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Declaración privada de A.M.V. en la audiencia pública ante la Corte Interamericana celebrada el 5 de marzo de 2019.</w:t>
      </w:r>
      <w:r w:rsidRPr="007E04F7" w:rsidDel="004D3591">
        <w:rPr>
          <w:sz w:val="16"/>
          <w:szCs w:val="16"/>
        </w:rPr>
        <w:t xml:space="preserve"> </w:t>
      </w:r>
      <w:r w:rsidRPr="007E04F7">
        <w:rPr>
          <w:sz w:val="16"/>
          <w:szCs w:val="16"/>
        </w:rPr>
        <w:t xml:space="preserve">A este respecto, la hermana del señor Ruiz Fuentes declaró que, en el contexto de la detención, y tras haber sido sometido al interrogatorio donde sufrió múltiples golpes “llegó un señor de apellido Cojulun y le indicó [al comisario] Soto que lo llevaran al hospital porque se estaba muriendo”. Además, indicó que al señor Ruiz Fuentes “[l]o llevaron al hospital y los doctores le dijeron que lo tenían que operar de emergencia y que cuando despertó se sentía muy mal y que le dolía el cuerpo de tantos golpes que los policías le habían dado y que de tantas patadas le habían reventado el intestino y defecaba en las bolsas que le habían colocado en el hospital”. </w:t>
      </w:r>
      <w:r w:rsidRPr="007E04F7">
        <w:rPr>
          <w:i/>
          <w:sz w:val="16"/>
          <w:szCs w:val="16"/>
        </w:rPr>
        <w:t>Cfr</w:t>
      </w:r>
      <w:r w:rsidRPr="007E04F7">
        <w:rPr>
          <w:sz w:val="16"/>
          <w:szCs w:val="16"/>
        </w:rPr>
        <w:t xml:space="preserve">. </w:t>
      </w:r>
      <w:r w:rsidRPr="007E04F7">
        <w:rPr>
          <w:rFonts w:cstheme="majorHAnsi"/>
          <w:sz w:val="16"/>
          <w:szCs w:val="16"/>
        </w:rPr>
        <w:t>Declaración rendida ante notario por la hermana del señor Ruiz Fuentes, de 28 de febrero de 2019 (expediente de prueba, folio 8476).</w:t>
      </w:r>
      <w:r w:rsidRPr="007E04F7">
        <w:rPr>
          <w:i/>
          <w:sz w:val="16"/>
          <w:szCs w:val="16"/>
        </w:rPr>
        <w:t xml:space="preserve"> </w:t>
      </w:r>
      <w:r w:rsidRPr="007E04F7">
        <w:rPr>
          <w:sz w:val="16"/>
          <w:szCs w:val="16"/>
        </w:rPr>
        <w:t xml:space="preserve">En este sentido, el perito Carranza Izquierdo declaró en la audiencia celebrada ante esta Corte que las lesiones fueron “mortales según el protocolo de Estambul”. </w:t>
      </w:r>
      <w:r w:rsidRPr="007E04F7">
        <w:rPr>
          <w:i/>
          <w:sz w:val="16"/>
          <w:szCs w:val="16"/>
        </w:rPr>
        <w:t>Cfr</w:t>
      </w:r>
      <w:r w:rsidRPr="007E04F7">
        <w:rPr>
          <w:sz w:val="16"/>
          <w:szCs w:val="16"/>
        </w:rPr>
        <w:t xml:space="preserve">. Peritaje rendido por Guillermo Austreberto Carranza Izquierdo en la audiencia pública ante la Corte Interamericana celebrada el 5 de marzo de 2019. </w:t>
      </w:r>
    </w:p>
  </w:footnote>
  <w:footnote w:id="168">
    <w:p w14:paraId="2B487EEC" w14:textId="77777777" w:rsidR="00C560F7" w:rsidRPr="007E04F7" w:rsidRDefault="00C560F7" w:rsidP="00C560F7">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iCs/>
          <w:sz w:val="16"/>
          <w:szCs w:val="16"/>
        </w:rPr>
        <w:t>Cfr</w:t>
      </w:r>
      <w:r w:rsidRPr="007E04F7">
        <w:rPr>
          <w:sz w:val="16"/>
          <w:szCs w:val="16"/>
        </w:rPr>
        <w:t xml:space="preserve">. </w:t>
      </w:r>
      <w:r w:rsidRPr="007E04F7">
        <w:rPr>
          <w:i/>
          <w:iCs/>
          <w:sz w:val="16"/>
          <w:szCs w:val="16"/>
        </w:rPr>
        <w:t>Caso Raxcacó Reyes y otros respecto Guatemala. Medidas Provisionales</w:t>
      </w:r>
      <w:r w:rsidRPr="007E04F7">
        <w:rPr>
          <w:sz w:val="16"/>
          <w:szCs w:val="16"/>
        </w:rPr>
        <w:t>. Resolución de la Corte Interamericana de Derechos Humanos, de 30 de agosto de 2004.</w:t>
      </w:r>
    </w:p>
  </w:footnote>
  <w:footnote w:id="169">
    <w:p w14:paraId="1739DF61" w14:textId="77777777" w:rsidR="00C560F7" w:rsidRPr="007E04F7" w:rsidRDefault="00C560F7" w:rsidP="00C560F7">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Informe de Fondo de la Comisión de 30 de julio de 2017, párr. 161 (expediente de fondo, folio 39).</w:t>
      </w:r>
    </w:p>
  </w:footnote>
  <w:footnote w:id="170">
    <w:p w14:paraId="2A58EF53" w14:textId="675F9409"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bCs/>
          <w:i/>
          <w:sz w:val="16"/>
          <w:szCs w:val="16"/>
          <w:lang w:eastAsia="en-US"/>
        </w:rPr>
        <w:t>Caso Hilaire, Constantine y Benjamin y otros Vs. Trinidad y Tobago</w:t>
      </w:r>
      <w:r w:rsidRPr="007E04F7">
        <w:rPr>
          <w:bCs/>
          <w:sz w:val="16"/>
          <w:szCs w:val="16"/>
          <w:lang w:eastAsia="en-US"/>
        </w:rPr>
        <w:t xml:space="preserve">. </w:t>
      </w:r>
      <w:r w:rsidRPr="007E04F7">
        <w:rPr>
          <w:bCs/>
          <w:i/>
          <w:sz w:val="16"/>
          <w:szCs w:val="16"/>
          <w:lang w:eastAsia="en-US"/>
        </w:rPr>
        <w:t>Fondo, Reparaciones y Costas.</w:t>
      </w:r>
      <w:r w:rsidRPr="007E04F7">
        <w:rPr>
          <w:bCs/>
          <w:sz w:val="16"/>
          <w:szCs w:val="16"/>
          <w:lang w:eastAsia="en-US"/>
        </w:rPr>
        <w:t xml:space="preserve"> Sentencia de 21 de junio de 2002. Serie C No. 94.</w:t>
      </w:r>
      <w:r w:rsidRPr="007E04F7">
        <w:rPr>
          <w:sz w:val="16"/>
          <w:szCs w:val="16"/>
          <w:lang w:eastAsia="en-US"/>
        </w:rPr>
        <w:t xml:space="preserve"> </w:t>
      </w:r>
    </w:p>
  </w:footnote>
  <w:footnote w:id="171">
    <w:p w14:paraId="5C4BB59A" w14:textId="556352A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rPr>
        <w:t>Caso Raxcacó Reyes Vs. Guatemala</w:t>
      </w:r>
      <w:r w:rsidRPr="007E04F7">
        <w:rPr>
          <w:i/>
          <w:sz w:val="16"/>
          <w:szCs w:val="16"/>
        </w:rPr>
        <w:t xml:space="preserve">, </w:t>
      </w:r>
      <w:r w:rsidRPr="007E04F7">
        <w:rPr>
          <w:rFonts w:cs="Arial"/>
          <w:i/>
          <w:sz w:val="16"/>
          <w:szCs w:val="16"/>
        </w:rPr>
        <w:t xml:space="preserve">supra, </w:t>
      </w:r>
      <w:r w:rsidRPr="007E04F7">
        <w:rPr>
          <w:rFonts w:cs="Arial"/>
          <w:sz w:val="16"/>
          <w:szCs w:val="16"/>
        </w:rPr>
        <w:t>párrs. 100 a 102</w:t>
      </w:r>
      <w:r w:rsidRPr="007E04F7">
        <w:rPr>
          <w:rStyle w:val="Textoennegrita"/>
          <w:b w:val="0"/>
          <w:sz w:val="16"/>
          <w:szCs w:val="16"/>
        </w:rPr>
        <w:t>.</w:t>
      </w:r>
    </w:p>
  </w:footnote>
  <w:footnote w:id="172">
    <w:p w14:paraId="130EFC9B" w14:textId="77777777" w:rsidR="00C560F7" w:rsidRPr="007E04F7" w:rsidRDefault="00C560F7" w:rsidP="00C560F7">
      <w:pPr>
        <w:tabs>
          <w:tab w:val="left" w:pos="567"/>
        </w:tabs>
        <w:spacing w:line="240" w:lineRule="auto"/>
        <w:rPr>
          <w:rFonts w:cs="AmnestyTradeGothic-Light"/>
          <w:color w:val="000000"/>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TEDH, </w:t>
      </w:r>
      <w:r w:rsidRPr="007E04F7">
        <w:rPr>
          <w:i/>
          <w:sz w:val="16"/>
          <w:szCs w:val="16"/>
        </w:rPr>
        <w:t xml:space="preserve">Case of </w:t>
      </w:r>
      <w:r w:rsidRPr="007E04F7">
        <w:rPr>
          <w:rFonts w:cs="AmnestyTradeGothic-LightObl"/>
          <w:i/>
          <w:iCs/>
          <w:sz w:val="16"/>
          <w:szCs w:val="16"/>
        </w:rPr>
        <w:t xml:space="preserve">Öcalan v. Turkey </w:t>
      </w:r>
      <w:r w:rsidRPr="007E04F7">
        <w:rPr>
          <w:rFonts w:cs="AmnestyTradeGothic-LightObl"/>
          <w:iCs/>
          <w:sz w:val="16"/>
          <w:szCs w:val="16"/>
        </w:rPr>
        <w:t xml:space="preserve">[GC], no. </w:t>
      </w:r>
      <w:r w:rsidRPr="007E04F7">
        <w:rPr>
          <w:rFonts w:cs="AmnestyTradeGothic-Light"/>
          <w:sz w:val="16"/>
          <w:szCs w:val="16"/>
        </w:rPr>
        <w:t xml:space="preserve">46221/99, Sentencia de 12 de mayo de 2005, párrs. 166-169, </w:t>
      </w:r>
      <w:r w:rsidRPr="007E04F7">
        <w:rPr>
          <w:rFonts w:cs="AmnestyTradeGothic-Light"/>
          <w:i/>
          <w:sz w:val="16"/>
          <w:szCs w:val="16"/>
        </w:rPr>
        <w:t xml:space="preserve">Case of </w:t>
      </w:r>
      <w:r w:rsidRPr="007E04F7">
        <w:rPr>
          <w:rFonts w:cs="AmnestyTradeGothic-LightObl"/>
          <w:i/>
          <w:iCs/>
          <w:sz w:val="16"/>
          <w:szCs w:val="16"/>
        </w:rPr>
        <w:t xml:space="preserve">Bader and Kanbor v Sweden, </w:t>
      </w:r>
      <w:r w:rsidRPr="007E04F7">
        <w:rPr>
          <w:rFonts w:cs="AmnestyTradeGothic-LightObl"/>
          <w:iCs/>
          <w:sz w:val="16"/>
          <w:szCs w:val="16"/>
        </w:rPr>
        <w:t>no.</w:t>
      </w:r>
      <w:r w:rsidRPr="007E04F7">
        <w:rPr>
          <w:rFonts w:cs="AmnestyTradeGothic-LightObl"/>
          <w:i/>
          <w:iCs/>
          <w:sz w:val="16"/>
          <w:szCs w:val="16"/>
        </w:rPr>
        <w:t xml:space="preserve"> </w:t>
      </w:r>
      <w:r w:rsidRPr="007E04F7">
        <w:rPr>
          <w:rFonts w:cs="AmnestyTradeGothic-Light"/>
          <w:sz w:val="16"/>
          <w:szCs w:val="16"/>
        </w:rPr>
        <w:t xml:space="preserve">13284/04, Sentencia de 8 de noviembre de 2005, párrs. 42 a 48. </w:t>
      </w:r>
    </w:p>
  </w:footnote>
  <w:footnote w:id="173">
    <w:p w14:paraId="40FD9236" w14:textId="77777777" w:rsidR="00C560F7" w:rsidRPr="007E04F7" w:rsidRDefault="00C560F7" w:rsidP="00C560F7">
      <w:pPr>
        <w:tabs>
          <w:tab w:val="left" w:pos="567"/>
        </w:tabs>
        <w:spacing w:line="240" w:lineRule="auto"/>
        <w:rPr>
          <w:sz w:val="16"/>
          <w:szCs w:val="16"/>
          <w:lang w:val="en-US"/>
        </w:rPr>
      </w:pPr>
      <w:r w:rsidRPr="007E04F7">
        <w:rPr>
          <w:rStyle w:val="Refdenotaalpie"/>
          <w:sz w:val="16"/>
          <w:szCs w:val="16"/>
        </w:rPr>
        <w:footnoteRef/>
      </w:r>
      <w:r w:rsidRPr="007E04F7">
        <w:rPr>
          <w:sz w:val="16"/>
          <w:szCs w:val="16"/>
        </w:rPr>
        <w:t xml:space="preserve"> </w:t>
      </w:r>
      <w:r w:rsidRPr="007E04F7">
        <w:rPr>
          <w:sz w:val="16"/>
          <w:szCs w:val="16"/>
        </w:rPr>
        <w:tab/>
        <w:t xml:space="preserve">Naciones Unidas. Informe del Relator Especial sobre la tortura y otros tratos o penas crueles, inhumanos o degradantes. 9 de agosto de 2012. A/67/279, párr. 42. Se define al fenómeno del corredor de la muerte como: “(…) Consiste en una combinación de circunstancias que producen graves traumas mentales y deterioro físico en los presos sentenciados a muerte.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 (…)”. Véase también, </w:t>
      </w:r>
      <w:r w:rsidRPr="007E04F7">
        <w:rPr>
          <w:rFonts w:cs="AmnestyTradeGothic-Light"/>
          <w:sz w:val="16"/>
          <w:szCs w:val="16"/>
        </w:rPr>
        <w:t xml:space="preserve">HRC, </w:t>
      </w:r>
      <w:r w:rsidRPr="007E04F7">
        <w:rPr>
          <w:rFonts w:cs="AmnestyTradeGothic-LightObl"/>
          <w:i/>
          <w:iCs/>
          <w:sz w:val="16"/>
          <w:szCs w:val="16"/>
        </w:rPr>
        <w:t>Larrañaga vs. Filipinas</w:t>
      </w:r>
      <w:r w:rsidRPr="007E04F7">
        <w:rPr>
          <w:rFonts w:cs="AmnestyTradeGothic-Light"/>
          <w:sz w:val="16"/>
          <w:szCs w:val="16"/>
        </w:rPr>
        <w:t xml:space="preserve">, Doc. ONU: CCPR/C/87/D/1421/2005 (2006), párr. </w:t>
      </w:r>
      <w:r w:rsidRPr="007E04F7">
        <w:rPr>
          <w:rFonts w:cs="AmnestyTradeGothic-Light"/>
          <w:sz w:val="16"/>
          <w:szCs w:val="16"/>
          <w:lang w:val="en-US"/>
        </w:rPr>
        <w:t xml:space="preserve">7.11; </w:t>
      </w:r>
      <w:r w:rsidRPr="007E04F7">
        <w:rPr>
          <w:rFonts w:cs="AmnestyTradeGothic-LightObl"/>
          <w:i/>
          <w:iCs/>
          <w:sz w:val="16"/>
          <w:szCs w:val="16"/>
          <w:lang w:val="en-US"/>
        </w:rPr>
        <w:t>Mwamba vs. Zambia</w:t>
      </w:r>
      <w:r w:rsidRPr="007E04F7">
        <w:rPr>
          <w:rFonts w:cs="AmnestyTradeGothic-Light"/>
          <w:sz w:val="16"/>
          <w:szCs w:val="16"/>
          <w:lang w:val="en-US"/>
        </w:rPr>
        <w:t>, Doc. ONU: CCPR/C/98/D/1520/2006 (2010), párr. 6.8.</w:t>
      </w:r>
    </w:p>
  </w:footnote>
  <w:footnote w:id="174">
    <w:p w14:paraId="5ADEFB88" w14:textId="77777777" w:rsidR="00C560F7" w:rsidRPr="007E04F7" w:rsidRDefault="00C560F7" w:rsidP="00C560F7">
      <w:pPr>
        <w:tabs>
          <w:tab w:val="left" w:pos="567"/>
        </w:tabs>
        <w:spacing w:line="240" w:lineRule="auto"/>
        <w:rPr>
          <w:sz w:val="16"/>
          <w:szCs w:val="16"/>
          <w:lang w:val="en-US"/>
        </w:rPr>
      </w:pPr>
      <w:r w:rsidRPr="007E04F7">
        <w:rPr>
          <w:rStyle w:val="Refdenotaalpie"/>
          <w:sz w:val="16"/>
          <w:szCs w:val="16"/>
        </w:rPr>
        <w:footnoteRef/>
      </w:r>
      <w:r w:rsidRPr="007E04F7">
        <w:rPr>
          <w:sz w:val="16"/>
          <w:szCs w:val="16"/>
          <w:lang w:val="en-US"/>
        </w:rPr>
        <w:t xml:space="preserve"> </w:t>
      </w:r>
      <w:r w:rsidRPr="007E04F7">
        <w:rPr>
          <w:sz w:val="16"/>
          <w:szCs w:val="16"/>
          <w:lang w:val="en-US"/>
        </w:rPr>
        <w:tab/>
      </w:r>
      <w:r w:rsidRPr="007E04F7">
        <w:rPr>
          <w:i/>
          <w:sz w:val="16"/>
          <w:szCs w:val="16"/>
          <w:lang w:val="en-US"/>
        </w:rPr>
        <w:t xml:space="preserve">Judgment of the Supreme Court of Zimbabwe </w:t>
      </w:r>
      <w:r w:rsidRPr="007E04F7">
        <w:rPr>
          <w:sz w:val="16"/>
          <w:szCs w:val="16"/>
          <w:lang w:val="en-US"/>
        </w:rPr>
        <w:t xml:space="preserve">of 24 June 1993 in Catholic Commissioner for Justice and Peace in </w:t>
      </w:r>
      <w:r w:rsidRPr="007E04F7">
        <w:rPr>
          <w:i/>
          <w:sz w:val="16"/>
          <w:szCs w:val="16"/>
          <w:lang w:val="en-US"/>
        </w:rPr>
        <w:t>Zimbabwe v. Attorney General</w:t>
      </w:r>
      <w:r w:rsidRPr="007E04F7">
        <w:rPr>
          <w:sz w:val="16"/>
          <w:szCs w:val="16"/>
          <w:lang w:val="en-US"/>
        </w:rPr>
        <w:t xml:space="preserve"> (4) SA 239 (ZS); </w:t>
      </w:r>
      <w:r w:rsidRPr="007E04F7">
        <w:rPr>
          <w:i/>
          <w:sz w:val="16"/>
          <w:szCs w:val="16"/>
          <w:lang w:val="en-US"/>
        </w:rPr>
        <w:t>Supreme Court of Uganda in Attorney General v. Susan Kigula</w:t>
      </w:r>
      <w:r w:rsidRPr="007E04F7">
        <w:rPr>
          <w:sz w:val="16"/>
          <w:szCs w:val="16"/>
          <w:lang w:val="en-US"/>
        </w:rPr>
        <w:t xml:space="preserve"> and 417 others (Constitutional Appeal No. 3 of 2006), 2009. AG v Susan Kigula &amp; 417 others, Tribunal Supremo de Uganda (2009); </w:t>
      </w:r>
      <w:r w:rsidRPr="007E04F7">
        <w:rPr>
          <w:i/>
          <w:sz w:val="16"/>
          <w:szCs w:val="16"/>
          <w:lang w:val="en-US"/>
        </w:rPr>
        <w:t>Catholic Commission for Justice and Peace in Zimbabwe v the Attorney General &amp; Others, Tribunal Supremo de Zimbabue</w:t>
      </w:r>
      <w:r w:rsidRPr="007E04F7">
        <w:rPr>
          <w:sz w:val="16"/>
          <w:szCs w:val="16"/>
          <w:lang w:val="en-US"/>
        </w:rPr>
        <w:t xml:space="preserve"> (1993), 2LRC 277; </w:t>
      </w:r>
      <w:r w:rsidRPr="007E04F7">
        <w:rPr>
          <w:i/>
          <w:sz w:val="16"/>
          <w:szCs w:val="16"/>
          <w:lang w:val="en-US"/>
        </w:rPr>
        <w:t>Godfrey Mutiso v Republic, Tribunal de Apelación de Kenia</w:t>
      </w:r>
      <w:r w:rsidRPr="007E04F7">
        <w:rPr>
          <w:sz w:val="16"/>
          <w:szCs w:val="16"/>
          <w:lang w:val="en-US"/>
        </w:rPr>
        <w:t xml:space="preserve"> (2010). </w:t>
      </w:r>
      <w:r w:rsidRPr="007E04F7">
        <w:rPr>
          <w:sz w:val="16"/>
          <w:szCs w:val="16"/>
        </w:rPr>
        <w:t xml:space="preserve">Véase también </w:t>
      </w:r>
      <w:r w:rsidRPr="007E04F7">
        <w:rPr>
          <w:i/>
          <w:sz w:val="16"/>
          <w:szCs w:val="16"/>
        </w:rPr>
        <w:t xml:space="preserve">US v. Burns, </w:t>
      </w:r>
      <w:r w:rsidRPr="007E04F7">
        <w:rPr>
          <w:sz w:val="16"/>
          <w:szCs w:val="16"/>
        </w:rPr>
        <w:t>Tribunal Supremo de Canadá, 2001 SCC 7, párrs. </w:t>
      </w:r>
      <w:r w:rsidRPr="007E04F7">
        <w:rPr>
          <w:sz w:val="16"/>
          <w:szCs w:val="16"/>
          <w:lang w:val="en-US"/>
        </w:rPr>
        <w:t>118-123</w:t>
      </w:r>
    </w:p>
  </w:footnote>
  <w:footnote w:id="175">
    <w:p w14:paraId="3764690C" w14:textId="77777777" w:rsidR="00C560F7" w:rsidRPr="007E04F7" w:rsidRDefault="00C560F7" w:rsidP="00C560F7">
      <w:pPr>
        <w:tabs>
          <w:tab w:val="left" w:pos="567"/>
        </w:tabs>
        <w:spacing w:line="240" w:lineRule="auto"/>
        <w:rPr>
          <w:sz w:val="16"/>
          <w:szCs w:val="16"/>
        </w:rPr>
      </w:pPr>
      <w:r w:rsidRPr="007E04F7">
        <w:rPr>
          <w:rStyle w:val="Refdenotaalpie"/>
          <w:sz w:val="16"/>
          <w:szCs w:val="16"/>
        </w:rPr>
        <w:footnoteRef/>
      </w:r>
      <w:r w:rsidRPr="007E04F7">
        <w:rPr>
          <w:sz w:val="16"/>
          <w:szCs w:val="16"/>
          <w:lang w:val="en-US"/>
        </w:rPr>
        <w:t xml:space="preserve"> </w:t>
      </w:r>
      <w:r w:rsidRPr="007E04F7">
        <w:rPr>
          <w:sz w:val="16"/>
          <w:szCs w:val="16"/>
          <w:lang w:val="en-US"/>
        </w:rPr>
        <w:tab/>
      </w:r>
      <w:r w:rsidRPr="007E04F7">
        <w:rPr>
          <w:i/>
          <w:sz w:val="16"/>
          <w:szCs w:val="16"/>
          <w:lang w:val="en-US"/>
        </w:rPr>
        <w:t>Cfr</w:t>
      </w:r>
      <w:r w:rsidRPr="007E04F7">
        <w:rPr>
          <w:sz w:val="16"/>
          <w:szCs w:val="16"/>
          <w:lang w:val="en-US"/>
        </w:rPr>
        <w:t xml:space="preserve">. TEDH, </w:t>
      </w:r>
      <w:r w:rsidRPr="007E04F7">
        <w:rPr>
          <w:i/>
          <w:sz w:val="16"/>
          <w:szCs w:val="16"/>
          <w:lang w:val="en-US"/>
        </w:rPr>
        <w:t xml:space="preserve">Case of Soering v the United Kingdom </w:t>
      </w:r>
      <w:r w:rsidRPr="007E04F7">
        <w:rPr>
          <w:sz w:val="16"/>
          <w:szCs w:val="16"/>
          <w:lang w:val="en-US"/>
        </w:rPr>
        <w:t>[GS], no. 14038/88, Sentencia de 7 de Julio de 1989, párrs. </w:t>
      </w:r>
      <w:r w:rsidRPr="007E04F7">
        <w:rPr>
          <w:sz w:val="16"/>
          <w:szCs w:val="16"/>
        </w:rPr>
        <w:t>56, 81 y 111.</w:t>
      </w:r>
    </w:p>
  </w:footnote>
  <w:footnote w:id="176">
    <w:p w14:paraId="2CBA829D" w14:textId="71F625AB"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bCs/>
          <w:i/>
          <w:sz w:val="16"/>
          <w:szCs w:val="16"/>
          <w:lang w:eastAsia="en-US"/>
        </w:rPr>
        <w:t>Caso Hilaire, Constantine y Benjamin y otros Vs. Trinidad y Tobago</w:t>
      </w:r>
      <w:r w:rsidRPr="007E04F7">
        <w:rPr>
          <w:bCs/>
          <w:sz w:val="16"/>
          <w:szCs w:val="16"/>
          <w:lang w:eastAsia="en-US"/>
        </w:rPr>
        <w:t xml:space="preserve">, </w:t>
      </w:r>
      <w:r w:rsidRPr="007E04F7">
        <w:rPr>
          <w:bCs/>
          <w:i/>
          <w:sz w:val="16"/>
          <w:szCs w:val="16"/>
          <w:lang w:eastAsia="en-US"/>
        </w:rPr>
        <w:t>supra</w:t>
      </w:r>
      <w:r w:rsidRPr="007E04F7">
        <w:rPr>
          <w:bCs/>
          <w:sz w:val="16"/>
          <w:szCs w:val="16"/>
          <w:lang w:eastAsia="en-US"/>
        </w:rPr>
        <w:t xml:space="preserve">, párrs. 167 a 172, y </w:t>
      </w:r>
      <w:r w:rsidRPr="007E04F7">
        <w:rPr>
          <w:rStyle w:val="Textoennegrita"/>
          <w:b w:val="0"/>
          <w:i/>
          <w:sz w:val="16"/>
          <w:szCs w:val="16"/>
        </w:rPr>
        <w:t>Caso Raxcacó Reyes Vs. Guatemala</w:t>
      </w:r>
      <w:r w:rsidRPr="007E04F7">
        <w:rPr>
          <w:i/>
          <w:sz w:val="16"/>
          <w:szCs w:val="16"/>
        </w:rPr>
        <w:t xml:space="preserve">, </w:t>
      </w:r>
      <w:r w:rsidRPr="007E04F7">
        <w:rPr>
          <w:rFonts w:cs="Arial"/>
          <w:i/>
          <w:sz w:val="16"/>
          <w:szCs w:val="16"/>
        </w:rPr>
        <w:t xml:space="preserve">supra, </w:t>
      </w:r>
      <w:r w:rsidRPr="007E04F7">
        <w:rPr>
          <w:rStyle w:val="Textoennegrita"/>
          <w:b w:val="0"/>
          <w:sz w:val="16"/>
          <w:szCs w:val="16"/>
        </w:rPr>
        <w:t>párrs. 100 a 102.</w:t>
      </w:r>
    </w:p>
  </w:footnote>
  <w:footnote w:id="177">
    <w:p w14:paraId="7BC0FE41" w14:textId="176AB9D4"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Vera Vera y otra Vs. Ecuador. Excepción Preliminar, Fondo, Reparaciones y Costas</w:t>
      </w:r>
      <w:r w:rsidRPr="007E04F7">
        <w:rPr>
          <w:sz w:val="16"/>
          <w:szCs w:val="16"/>
        </w:rPr>
        <w:t xml:space="preserve">. Sentencia de 19 de mayo de 2011. Serie C No. 226, párr. </w:t>
      </w:r>
      <w:r w:rsidRPr="007E04F7">
        <w:rPr>
          <w:sz w:val="16"/>
          <w:szCs w:val="16"/>
          <w:lang w:val="es-ES_tradnl"/>
        </w:rPr>
        <w:t xml:space="preserve">76. Véase también, TEDH, </w:t>
      </w:r>
      <w:r w:rsidRPr="007E04F7">
        <w:rPr>
          <w:i/>
          <w:sz w:val="16"/>
          <w:szCs w:val="16"/>
          <w:lang w:val="es-ES_tradnl"/>
        </w:rPr>
        <w:t>Case of Ireland v. the United Kingdom</w:t>
      </w:r>
      <w:r w:rsidRPr="007E04F7">
        <w:rPr>
          <w:sz w:val="16"/>
          <w:szCs w:val="16"/>
          <w:lang w:val="es-ES_tradnl"/>
        </w:rPr>
        <w:t xml:space="preserve">, no. 5310/71, Sentencia de 18 de enero de 1978, párr. 162; </w:t>
      </w:r>
      <w:r w:rsidRPr="007E04F7">
        <w:rPr>
          <w:i/>
          <w:sz w:val="16"/>
          <w:szCs w:val="16"/>
          <w:lang w:val="es-ES_tradnl"/>
        </w:rPr>
        <w:t>Case of Jalloh v. Germany</w:t>
      </w:r>
      <w:r w:rsidRPr="007E04F7">
        <w:rPr>
          <w:sz w:val="16"/>
          <w:szCs w:val="16"/>
          <w:lang w:val="es-ES_tradnl"/>
        </w:rPr>
        <w:t xml:space="preserve"> [GS], no. 5</w:t>
      </w:r>
      <w:r w:rsidRPr="007E04F7">
        <w:rPr>
          <w:sz w:val="16"/>
          <w:szCs w:val="16"/>
        </w:rPr>
        <w:t>4810/00, Sentencia de 11 de julio de 2006, párr. 67</w:t>
      </w:r>
      <w:r w:rsidRPr="007E04F7">
        <w:rPr>
          <w:sz w:val="16"/>
          <w:szCs w:val="16"/>
          <w:lang w:val="es-ES_tradnl"/>
        </w:rPr>
        <w:t xml:space="preserve"> </w:t>
      </w:r>
      <w:r w:rsidRPr="007E04F7">
        <w:rPr>
          <w:sz w:val="16"/>
          <w:szCs w:val="16"/>
        </w:rPr>
        <w:t xml:space="preserve">y </w:t>
      </w:r>
      <w:r w:rsidRPr="007E04F7">
        <w:rPr>
          <w:rFonts w:cs="Arial"/>
          <w:i/>
          <w:sz w:val="16"/>
          <w:szCs w:val="16"/>
        </w:rPr>
        <w:t xml:space="preserve">Case of Bouyid v. Belgium </w:t>
      </w:r>
      <w:r w:rsidRPr="007E04F7">
        <w:rPr>
          <w:rFonts w:cs="Arial"/>
          <w:sz w:val="16"/>
          <w:szCs w:val="16"/>
        </w:rPr>
        <w:t>[GS], no. 23380/09, Sentencia de 28 de septiembre de 2015, párr. 86.</w:t>
      </w:r>
    </w:p>
  </w:footnote>
  <w:footnote w:id="178">
    <w:p w14:paraId="3B544911" w14:textId="77777777" w:rsidR="001A2991" w:rsidRPr="007E04F7" w:rsidRDefault="001A2991" w:rsidP="0064597D">
      <w:pPr>
        <w:tabs>
          <w:tab w:val="left" w:pos="567"/>
        </w:tabs>
        <w:spacing w:line="240" w:lineRule="auto"/>
        <w:rPr>
          <w:sz w:val="16"/>
          <w:szCs w:val="16"/>
          <w:lang w:val="en-US"/>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Peritaje </w:t>
      </w:r>
      <w:r w:rsidRPr="007E04F7">
        <w:rPr>
          <w:rFonts w:cs="Arial"/>
          <w:bCs/>
          <w:color w:val="000000"/>
          <w:sz w:val="16"/>
          <w:szCs w:val="16"/>
        </w:rPr>
        <w:t>de la licenciada Aída Castro Conde, de 18 de mayo de 2005</w:t>
      </w:r>
      <w:r w:rsidRPr="007E04F7">
        <w:rPr>
          <w:rFonts w:cs="Arial"/>
          <w:b/>
          <w:bCs/>
          <w:color w:val="000000"/>
          <w:sz w:val="16"/>
          <w:szCs w:val="16"/>
        </w:rPr>
        <w:t xml:space="preserve"> </w:t>
      </w:r>
      <w:r w:rsidRPr="007E04F7">
        <w:rPr>
          <w:rFonts w:cs="Arial"/>
          <w:bCs/>
          <w:color w:val="000000"/>
          <w:sz w:val="16"/>
          <w:szCs w:val="16"/>
        </w:rPr>
        <w:t>(expediente de prueba, folio 7531).</w:t>
      </w:r>
      <w:r w:rsidRPr="007E04F7">
        <w:rPr>
          <w:rFonts w:cs="Arial"/>
          <w:b/>
          <w:bCs/>
          <w:color w:val="000000"/>
          <w:sz w:val="16"/>
          <w:szCs w:val="16"/>
        </w:rPr>
        <w:t xml:space="preserve"> </w:t>
      </w:r>
      <w:r w:rsidRPr="007E04F7">
        <w:rPr>
          <w:rFonts w:cs="Arial"/>
          <w:bCs/>
          <w:color w:val="000000"/>
          <w:sz w:val="16"/>
          <w:szCs w:val="16"/>
        </w:rPr>
        <w:t xml:space="preserve">Véase también, </w:t>
      </w:r>
      <w:r w:rsidRPr="007E04F7">
        <w:rPr>
          <w:i/>
          <w:sz w:val="16"/>
          <w:szCs w:val="16"/>
        </w:rPr>
        <w:t xml:space="preserve">Caso Hilaire, Constantine y Benjamin y otros Vs. </w:t>
      </w:r>
      <w:r w:rsidRPr="007E04F7">
        <w:rPr>
          <w:i/>
          <w:sz w:val="16"/>
          <w:szCs w:val="16"/>
          <w:lang w:val="en-US"/>
        </w:rPr>
        <w:t xml:space="preserve">Trinidad y Tobago, supra, </w:t>
      </w:r>
      <w:r w:rsidRPr="007E04F7">
        <w:rPr>
          <w:sz w:val="16"/>
          <w:szCs w:val="16"/>
          <w:lang w:val="en-US"/>
        </w:rPr>
        <w:t>párr. 168.</w:t>
      </w:r>
    </w:p>
  </w:footnote>
  <w:footnote w:id="179">
    <w:p w14:paraId="5DE8FD2F" w14:textId="4EA6CACA"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lang w:val="en-US"/>
        </w:rPr>
        <w:t xml:space="preserve"> </w:t>
      </w:r>
      <w:r w:rsidRPr="007E04F7">
        <w:rPr>
          <w:sz w:val="16"/>
          <w:szCs w:val="16"/>
          <w:lang w:val="en-US"/>
        </w:rPr>
        <w:tab/>
      </w:r>
      <w:r w:rsidRPr="007E04F7">
        <w:rPr>
          <w:i/>
          <w:iCs/>
          <w:sz w:val="16"/>
          <w:szCs w:val="16"/>
          <w:lang w:val="en-US"/>
        </w:rPr>
        <w:t>Cfr</w:t>
      </w:r>
      <w:r w:rsidRPr="007E04F7">
        <w:rPr>
          <w:sz w:val="16"/>
          <w:szCs w:val="16"/>
          <w:lang w:val="en-US"/>
        </w:rPr>
        <w:t xml:space="preserve">. TEDH, </w:t>
      </w:r>
      <w:r w:rsidRPr="007E04F7">
        <w:rPr>
          <w:i/>
          <w:sz w:val="16"/>
          <w:szCs w:val="16"/>
          <w:lang w:val="en-US"/>
        </w:rPr>
        <w:t xml:space="preserve">Case of Soering v the United Kingdom </w:t>
      </w:r>
      <w:r w:rsidRPr="007E04F7">
        <w:rPr>
          <w:sz w:val="16"/>
          <w:szCs w:val="16"/>
          <w:lang w:val="en-US"/>
        </w:rPr>
        <w:t xml:space="preserve">[GS], </w:t>
      </w:r>
      <w:r w:rsidRPr="007E04F7">
        <w:rPr>
          <w:i/>
          <w:sz w:val="16"/>
          <w:szCs w:val="16"/>
          <w:lang w:val="en-US"/>
        </w:rPr>
        <w:t>supra</w:t>
      </w:r>
      <w:r w:rsidRPr="007E04F7">
        <w:rPr>
          <w:sz w:val="16"/>
          <w:szCs w:val="16"/>
          <w:lang w:val="en-US"/>
        </w:rPr>
        <w:t xml:space="preserve">, párr. </w:t>
      </w:r>
      <w:r w:rsidRPr="007E04F7">
        <w:rPr>
          <w:sz w:val="16"/>
          <w:szCs w:val="16"/>
          <w:lang w:val="es-ES"/>
        </w:rPr>
        <w:t xml:space="preserve">106, y </w:t>
      </w:r>
      <w:r w:rsidRPr="007E04F7">
        <w:rPr>
          <w:i/>
          <w:sz w:val="16"/>
          <w:szCs w:val="16"/>
          <w:lang w:val="es-ES"/>
        </w:rPr>
        <w:t xml:space="preserve">Case of </w:t>
      </w:r>
      <w:r w:rsidRPr="007E04F7">
        <w:rPr>
          <w:i/>
          <w:iCs/>
          <w:sz w:val="16"/>
          <w:szCs w:val="16"/>
          <w:lang w:val="es-ES"/>
        </w:rPr>
        <w:t>Shamayev and others v. Georgia y Rusia</w:t>
      </w:r>
      <w:r w:rsidRPr="007E04F7">
        <w:rPr>
          <w:sz w:val="16"/>
          <w:szCs w:val="16"/>
          <w:lang w:val="es-ES"/>
        </w:rPr>
        <w:t>, no. 36378/02, Sentencia de 12 de abril de 2005, párr. 333.</w:t>
      </w:r>
    </w:p>
  </w:footnote>
  <w:footnote w:id="180">
    <w:p w14:paraId="606AEC58"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Peritaje de la licenciada Aída Castro Conde, de 18 de mayo de 2005 (expediente de prueba, folio 7528).</w:t>
      </w:r>
    </w:p>
  </w:footnote>
  <w:footnote w:id="181">
    <w:p w14:paraId="111E38E1" w14:textId="2BBAF250"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Style w:val="Refdenotaalpie"/>
          <w:sz w:val="16"/>
          <w:szCs w:val="16"/>
          <w:vertAlign w:val="baseline"/>
        </w:rPr>
        <w:t>Artículo</w:t>
      </w:r>
      <w:r w:rsidRPr="007E04F7">
        <w:rPr>
          <w:sz w:val="16"/>
          <w:szCs w:val="16"/>
        </w:rPr>
        <w:t xml:space="preserve"> 8 y 25 </w:t>
      </w:r>
      <w:r w:rsidRPr="007E04F7">
        <w:rPr>
          <w:rStyle w:val="Refdenotaalpie"/>
          <w:sz w:val="16"/>
          <w:szCs w:val="16"/>
          <w:vertAlign w:val="baseline"/>
        </w:rPr>
        <w:t>de</w:t>
      </w:r>
      <w:r w:rsidRPr="007E04F7">
        <w:rPr>
          <w:sz w:val="16"/>
          <w:szCs w:val="16"/>
        </w:rPr>
        <w:t xml:space="preserve"> la </w:t>
      </w:r>
      <w:r w:rsidRPr="007E04F7">
        <w:rPr>
          <w:rStyle w:val="Refdenotaalpie"/>
          <w:sz w:val="16"/>
          <w:szCs w:val="16"/>
          <w:vertAlign w:val="baseline"/>
        </w:rPr>
        <w:t>Convención</w:t>
      </w:r>
      <w:r w:rsidRPr="007E04F7">
        <w:rPr>
          <w:sz w:val="16"/>
          <w:szCs w:val="16"/>
        </w:rPr>
        <w:t xml:space="preserve"> Americana.</w:t>
      </w:r>
    </w:p>
  </w:footnote>
  <w:footnote w:id="182">
    <w:p w14:paraId="4338B5FD" w14:textId="0D2CABAC" w:rsidR="001A2991" w:rsidRPr="007E04F7" w:rsidRDefault="001A2991" w:rsidP="0064597D">
      <w:pPr>
        <w:pStyle w:val="Textonotapie"/>
        <w:rPr>
          <w:sz w:val="16"/>
          <w:szCs w:val="16"/>
        </w:rPr>
      </w:pPr>
      <w:r w:rsidRPr="007E04F7">
        <w:rPr>
          <w:rStyle w:val="Refdenotaalpie"/>
          <w:sz w:val="16"/>
          <w:szCs w:val="16"/>
        </w:rPr>
        <w:footnoteRef/>
      </w:r>
      <w:r w:rsidRPr="007E04F7">
        <w:rPr>
          <w:sz w:val="16"/>
          <w:szCs w:val="16"/>
        </w:rPr>
        <w:t xml:space="preserve"> </w:t>
      </w:r>
      <w:r w:rsidRPr="007E04F7">
        <w:rPr>
          <w:sz w:val="16"/>
          <w:szCs w:val="16"/>
        </w:rPr>
        <w:tab/>
        <w:t xml:space="preserve">Los representantes indicaron que, en primer lugar, se vio privado de presentar prueba de descargo durante el debate debido a que el memorial fue rechazado ya que no contaba con la firma y el sello del defensor, a pesar de que esta formalidad no era exigida por el Código Procesal Penal. En segundo lugar, el día en el que tenía que celebrarse la audiencia de debate, el abogado abandonó súbita e injustificadamente a la víctima en una etapa crucial del proceso. </w:t>
      </w:r>
    </w:p>
  </w:footnote>
  <w:footnote w:id="183">
    <w:p w14:paraId="71AA7E4D" w14:textId="3BBEA97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Castillo Petruzzi y otros Vs. Perú. Excepciones Preliminares.</w:t>
      </w:r>
      <w:r w:rsidRPr="007E04F7">
        <w:rPr>
          <w:sz w:val="16"/>
          <w:szCs w:val="16"/>
        </w:rPr>
        <w:t xml:space="preserve"> Sentencia de 4 de septiembre de 1998. Serie C No. 41, párr. 83, y </w:t>
      </w:r>
      <w:r w:rsidRPr="007E04F7">
        <w:rPr>
          <w:i/>
          <w:sz w:val="16"/>
          <w:szCs w:val="16"/>
        </w:rPr>
        <w:t>Caso Mémoli Vs. Argentina. Excepciones Preliminares, Fondo, Reparaciones y Costas.</w:t>
      </w:r>
      <w:r w:rsidRPr="007E04F7">
        <w:rPr>
          <w:sz w:val="16"/>
          <w:szCs w:val="16"/>
        </w:rPr>
        <w:t xml:space="preserve"> Sentencia de 22 de agosto de 2013. Serie C No. 265, párr. 190.</w:t>
      </w:r>
    </w:p>
  </w:footnote>
  <w:footnote w:id="184">
    <w:p w14:paraId="34BC568B" w14:textId="58A68D6A" w:rsidR="001A2991" w:rsidRPr="007E04F7" w:rsidRDefault="001A2991" w:rsidP="0064597D">
      <w:pPr>
        <w:tabs>
          <w:tab w:val="left" w:pos="567"/>
        </w:tabs>
        <w:spacing w:line="240" w:lineRule="auto"/>
        <w:rPr>
          <w:sz w:val="16"/>
          <w:szCs w:val="16"/>
          <w:lang w:val="es-ES"/>
        </w:rPr>
      </w:pPr>
      <w:r w:rsidRPr="007E04F7">
        <w:rPr>
          <w:rStyle w:val="Refdenotaalpie"/>
          <w:sz w:val="16"/>
          <w:szCs w:val="16"/>
        </w:rPr>
        <w:footnoteRef/>
      </w:r>
      <w:r w:rsidRPr="007E04F7">
        <w:rPr>
          <w:sz w:val="16"/>
          <w:szCs w:val="16"/>
          <w:lang w:val="es-ES"/>
        </w:rPr>
        <w:t xml:space="preserve"> </w:t>
      </w:r>
      <w:r w:rsidRPr="007E04F7">
        <w:rPr>
          <w:sz w:val="16"/>
          <w:szCs w:val="16"/>
          <w:lang w:val="es-ES"/>
        </w:rPr>
        <w:tab/>
      </w:r>
      <w:r w:rsidRPr="007E04F7">
        <w:rPr>
          <w:i/>
          <w:iCs/>
          <w:sz w:val="16"/>
          <w:szCs w:val="16"/>
          <w:lang w:val="es-ES"/>
        </w:rPr>
        <w:t>Cfr. Caso Hilaire, Constantine y Benjamin y otros</w:t>
      </w:r>
      <w:r w:rsidRPr="007E04F7">
        <w:rPr>
          <w:sz w:val="16"/>
          <w:szCs w:val="16"/>
          <w:lang w:val="es-ES"/>
        </w:rPr>
        <w:t xml:space="preserve">, </w:t>
      </w:r>
      <w:r w:rsidRPr="007E04F7">
        <w:rPr>
          <w:i/>
          <w:sz w:val="16"/>
          <w:szCs w:val="16"/>
          <w:lang w:val="es-ES"/>
        </w:rPr>
        <w:t>supra</w:t>
      </w:r>
      <w:r w:rsidRPr="007E04F7">
        <w:rPr>
          <w:sz w:val="16"/>
          <w:szCs w:val="16"/>
          <w:lang w:val="es-ES"/>
        </w:rPr>
        <w:t xml:space="preserve">, párr. 101, y </w:t>
      </w:r>
      <w:r w:rsidRPr="007E04F7">
        <w:rPr>
          <w:i/>
          <w:iCs/>
          <w:sz w:val="16"/>
          <w:szCs w:val="16"/>
          <w:lang w:val="es-ES"/>
        </w:rPr>
        <w:t>Caso Fermín Ramírez Vs. Guatemala, supra</w:t>
      </w:r>
      <w:r w:rsidRPr="007E04F7">
        <w:rPr>
          <w:sz w:val="16"/>
          <w:szCs w:val="16"/>
          <w:lang w:val="es-ES"/>
        </w:rPr>
        <w:t xml:space="preserve">, párr. 63.  </w:t>
      </w:r>
    </w:p>
  </w:footnote>
  <w:footnote w:id="185">
    <w:p w14:paraId="00943A7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113).</w:t>
      </w:r>
    </w:p>
  </w:footnote>
  <w:footnote w:id="186">
    <w:p w14:paraId="2ABD586C" w14:textId="77777777" w:rsidR="001A2991" w:rsidRPr="007E04F7" w:rsidRDefault="001A2991" w:rsidP="0064597D">
      <w:pPr>
        <w:tabs>
          <w:tab w:val="left" w:pos="567"/>
        </w:tabs>
        <w:spacing w:line="240" w:lineRule="auto"/>
        <w:rPr>
          <w:sz w:val="16"/>
          <w:szCs w:val="16"/>
          <w:lang w:val="es-ES" w:eastAsia="en-US"/>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bCs/>
          <w:i/>
          <w:sz w:val="16"/>
          <w:szCs w:val="16"/>
          <w:lang w:val="es-ES" w:eastAsia="en-US"/>
        </w:rPr>
        <w:t>Caso Barreto Leiva Vs. Venezuela. Fondo, Reparaciones y Costa</w:t>
      </w:r>
      <w:r w:rsidRPr="007E04F7">
        <w:rPr>
          <w:bCs/>
          <w:sz w:val="16"/>
          <w:szCs w:val="16"/>
          <w:lang w:val="es-ES" w:eastAsia="en-US"/>
        </w:rPr>
        <w:t xml:space="preserve">s. Sentencia de 17 de noviembre de 2009. Serie C No. 206, párr. 29 y </w:t>
      </w:r>
      <w:r w:rsidRPr="007E04F7">
        <w:rPr>
          <w:bCs/>
          <w:i/>
          <w:sz w:val="16"/>
          <w:szCs w:val="16"/>
          <w:lang w:val="es-ES" w:eastAsia="en-US"/>
        </w:rPr>
        <w:t>Caso Ruano Torres y otros Vs. El Salvador. Fondo, Reparaciones y Costas.</w:t>
      </w:r>
      <w:r w:rsidRPr="007E04F7">
        <w:rPr>
          <w:bCs/>
          <w:sz w:val="16"/>
          <w:szCs w:val="16"/>
          <w:lang w:val="es-ES" w:eastAsia="en-US"/>
        </w:rPr>
        <w:t xml:space="preserve"> Sentencia de 5 de octubre de 2015. Serie C No. 303, párr. 153.</w:t>
      </w:r>
      <w:r w:rsidRPr="007E04F7">
        <w:rPr>
          <w:b/>
          <w:bCs/>
          <w:sz w:val="16"/>
          <w:szCs w:val="16"/>
          <w:lang w:val="es-ES" w:eastAsia="en-US"/>
        </w:rPr>
        <w:t xml:space="preserve"> </w:t>
      </w:r>
    </w:p>
  </w:footnote>
  <w:footnote w:id="187">
    <w:p w14:paraId="3CF5FED3" w14:textId="6FD419F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bCs/>
          <w:i/>
          <w:sz w:val="16"/>
          <w:szCs w:val="16"/>
          <w:lang w:val="es-ES" w:eastAsia="en-US"/>
        </w:rPr>
        <w:t>Caso Barreto Leiva Vs. Venezuela</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bCs/>
          <w:sz w:val="16"/>
          <w:szCs w:val="16"/>
          <w:lang w:val="es-ES" w:eastAsia="en-US"/>
        </w:rPr>
        <w:t xml:space="preserve"> párr. 29 y </w:t>
      </w:r>
      <w:r w:rsidRPr="007E04F7">
        <w:rPr>
          <w:bCs/>
          <w:i/>
          <w:sz w:val="16"/>
          <w:szCs w:val="16"/>
          <w:lang w:val="es-ES" w:eastAsia="en-US"/>
        </w:rPr>
        <w:t>Caso Ruano Torres y otros Vs. El Salvador</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bCs/>
          <w:sz w:val="16"/>
          <w:szCs w:val="16"/>
          <w:lang w:eastAsia="en-US"/>
        </w:rPr>
        <w:t xml:space="preserve"> párr. 153.</w:t>
      </w:r>
    </w:p>
  </w:footnote>
  <w:footnote w:id="188">
    <w:p w14:paraId="46E296A8"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113).</w:t>
      </w:r>
    </w:p>
  </w:footnote>
  <w:footnote w:id="189">
    <w:p w14:paraId="46A4BA3A"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113).</w:t>
      </w:r>
    </w:p>
  </w:footnote>
  <w:footnote w:id="190">
    <w:p w14:paraId="2C38B4BE" w14:textId="060C2AA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de debate C-4-98. Declaración de Hugo Humberto Ruiz Fuentes en audiencias de juicio oral y público ante el Tribunal Sexto de Sentencia Penal, Narcoactividad y Delitos contra el Ambiente, de 21 de abril de 1999 (expediente de prueba, folio 1135).</w:t>
      </w:r>
    </w:p>
  </w:footnote>
  <w:footnote w:id="191">
    <w:p w14:paraId="6152CCFF" w14:textId="3A82DAD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de debate C-4-98. Declaración de Hugo Humberto Ruiz Fuentes en audiencias de juicio oral y público ante el Tribunal Sexto de Sentencia Penal, Narcoactividad y Delitos contra el Ambiente, de 21 de abril de 1999 (expediente de prueba, folio 1136).</w:t>
      </w:r>
    </w:p>
  </w:footnote>
  <w:footnote w:id="192">
    <w:p w14:paraId="44448D9B" w14:textId="0FA5D71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de debate C-4-98. Declaración de Hugo Humberto Ruiz Fuentes en audiencias de juicio oral y público ante el Tribunal Sexto de Sentencia Penal, Narcoactividad y Delitos contra el Ambiente, de 21 de abril de 1999 (expediente de prueba, folio 1136).</w:t>
      </w:r>
    </w:p>
  </w:footnote>
  <w:footnote w:id="193">
    <w:p w14:paraId="3E78D5F6" w14:textId="06C80501"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rFonts w:cs="Arial"/>
          <w:i/>
          <w:sz w:val="16"/>
          <w:szCs w:val="16"/>
        </w:rPr>
        <w:t>Caso Palamara Iribarne vs. Chile</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rFonts w:cs="Arial"/>
          <w:sz w:val="16"/>
          <w:szCs w:val="16"/>
        </w:rPr>
        <w:t xml:space="preserve"> párr. 170, y </w:t>
      </w:r>
      <w:r w:rsidRPr="007E04F7">
        <w:rPr>
          <w:rFonts w:cs="Arial"/>
          <w:i/>
          <w:sz w:val="16"/>
          <w:szCs w:val="16"/>
        </w:rPr>
        <w:t>Caso Cabrera García y Montiel Flores Vs. México</w:t>
      </w:r>
      <w:r w:rsidRPr="007E04F7">
        <w:rPr>
          <w:rFonts w:cs="Arial"/>
          <w:sz w:val="16"/>
          <w:szCs w:val="16"/>
        </w:rPr>
        <w:t xml:space="preserve">, </w:t>
      </w:r>
      <w:r w:rsidRPr="007E04F7">
        <w:rPr>
          <w:rFonts w:cs="Arial"/>
          <w:i/>
          <w:sz w:val="16"/>
          <w:szCs w:val="16"/>
        </w:rPr>
        <w:t>supra</w:t>
      </w:r>
      <w:r w:rsidRPr="007E04F7">
        <w:rPr>
          <w:rFonts w:cs="Arial"/>
          <w:sz w:val="16"/>
          <w:szCs w:val="16"/>
        </w:rPr>
        <w:t>, párr. 156.</w:t>
      </w:r>
    </w:p>
  </w:footnote>
  <w:footnote w:id="194">
    <w:p w14:paraId="232A9DDD" w14:textId="51DD6BD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Arial"/>
          <w:i/>
          <w:sz w:val="16"/>
          <w:szCs w:val="16"/>
        </w:rPr>
        <w:t>Caso Barreto Leiva Vs. Venezuela</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rFonts w:cs="Arial"/>
          <w:sz w:val="16"/>
          <w:szCs w:val="16"/>
        </w:rPr>
        <w:t xml:space="preserve"> párr. 55 y </w:t>
      </w:r>
      <w:r w:rsidRPr="007E04F7">
        <w:rPr>
          <w:rFonts w:cs="Arial"/>
          <w:i/>
          <w:sz w:val="16"/>
          <w:szCs w:val="16"/>
        </w:rPr>
        <w:t>Caso J. Vs. Perú. Excepción Preliminar, Fondo, Reparaciones y Costas</w:t>
      </w:r>
      <w:r w:rsidRPr="007E04F7">
        <w:rPr>
          <w:rFonts w:cs="Arial"/>
          <w:sz w:val="16"/>
          <w:szCs w:val="16"/>
        </w:rPr>
        <w:t>. Sentencia de 27 de noviembre de 2013. Serie C No. 275, párr. 206.</w:t>
      </w:r>
    </w:p>
  </w:footnote>
  <w:footnote w:id="195">
    <w:p w14:paraId="0BE26228" w14:textId="3C539B1B"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de debate C-4-98. Declaración de Hugo Humberto Ruiz Fuentes en audiencias de juicio oral y público ante el Tribunal Sexto de Sentencia Penal, Narcoactividad y Delitos contra el Ambiente, de 21 de abril de 1999 (expediente de prueba, folios 1135 y 1136).</w:t>
      </w:r>
    </w:p>
  </w:footnote>
  <w:footnote w:id="196">
    <w:p w14:paraId="231D18AA" w14:textId="619A20F0"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mutatis mutandis</w:t>
      </w:r>
      <w:r w:rsidRPr="007E04F7">
        <w:rPr>
          <w:sz w:val="16"/>
          <w:szCs w:val="16"/>
        </w:rPr>
        <w:t xml:space="preserve">, el </w:t>
      </w:r>
      <w:r w:rsidRPr="007E04F7">
        <w:rPr>
          <w:i/>
          <w:sz w:val="16"/>
          <w:szCs w:val="16"/>
        </w:rPr>
        <w:t>Caso Castillo Petruzzi y otros Vs. Perú</w:t>
      </w:r>
      <w:r w:rsidRPr="007E04F7">
        <w:rPr>
          <w:sz w:val="16"/>
          <w:szCs w:val="16"/>
        </w:rPr>
        <w:t xml:space="preserve">, donde los abogados sólo tuvieron acceso al expediente el día anterior al de la emisión de la sentencia de primera instancia, en virtud de lo cual la Corte concluyó que la presencia y actuación de los defensores fueron meramente formales y que las víctimas no contaron con una defensa adecuada. Véase también, </w:t>
      </w:r>
      <w:r w:rsidRPr="007E04F7">
        <w:rPr>
          <w:i/>
          <w:sz w:val="16"/>
          <w:szCs w:val="16"/>
        </w:rPr>
        <w:t>Caso Castillo Petruzzi y otros Vs. Perú</w:t>
      </w:r>
      <w:r w:rsidRPr="007E04F7">
        <w:rPr>
          <w:sz w:val="16"/>
          <w:szCs w:val="16"/>
        </w:rPr>
        <w:t>.</w:t>
      </w:r>
      <w:r w:rsidRPr="007E04F7">
        <w:rPr>
          <w:i/>
          <w:sz w:val="16"/>
          <w:szCs w:val="16"/>
        </w:rPr>
        <w:t>Fondo, Reparaciones y Costas</w:t>
      </w:r>
      <w:r w:rsidRPr="007E04F7">
        <w:rPr>
          <w:sz w:val="16"/>
          <w:szCs w:val="16"/>
        </w:rPr>
        <w:t>. Sentencia de 30 de mayo de 1999. Serie C No. 52, pár. 141.</w:t>
      </w:r>
    </w:p>
  </w:footnote>
  <w:footnote w:id="197">
    <w:p w14:paraId="43A2DD42" w14:textId="4274B867"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de la “Panel Blanca” (Paniagua Morales y otros) Vs. Guatemala. Fondo</w:t>
      </w:r>
      <w:r w:rsidRPr="007E04F7">
        <w:rPr>
          <w:sz w:val="16"/>
          <w:szCs w:val="16"/>
        </w:rPr>
        <w:t xml:space="preserve">. Sentencia de 8 de marzo de 1998. Serie C No. 37, párr. 152, y </w:t>
      </w:r>
      <w:r w:rsidRPr="007E04F7">
        <w:rPr>
          <w:rStyle w:val="Textoennegrita"/>
          <w:b w:val="0"/>
          <w:i/>
          <w:sz w:val="16"/>
          <w:szCs w:val="16"/>
        </w:rPr>
        <w:t>Caso Barreto Leiva Vs. Venezuela</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rStyle w:val="Textoennegrita"/>
          <w:b w:val="0"/>
          <w:sz w:val="16"/>
          <w:szCs w:val="16"/>
        </w:rPr>
        <w:t xml:space="preserve"> párr. 54.</w:t>
      </w:r>
    </w:p>
  </w:footnote>
  <w:footnote w:id="198">
    <w:p w14:paraId="45EB95B7" w14:textId="77777777" w:rsidR="001A2991" w:rsidRPr="007E04F7" w:rsidRDefault="001A2991" w:rsidP="0064597D">
      <w:pPr>
        <w:tabs>
          <w:tab w:val="left" w:pos="567"/>
        </w:tabs>
        <w:spacing w:line="240" w:lineRule="auto"/>
        <w:rPr>
          <w:sz w:val="16"/>
          <w:szCs w:val="16"/>
        </w:rPr>
      </w:pPr>
      <w:r w:rsidRPr="007E04F7">
        <w:rPr>
          <w:rStyle w:val="Refdenotaalpie"/>
          <w:rFonts w:eastAsiaTheme="majorEastAsia"/>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shd w:val="clear" w:color="auto" w:fill="FFFFFF"/>
        </w:rPr>
        <w:t>Caso Herrera Ulloa Vs. Costa Rica. Excepciones Preliminares, Fondo, Reparaciones y Costas.</w:t>
      </w:r>
      <w:r w:rsidRPr="007E04F7">
        <w:rPr>
          <w:rStyle w:val="Textoennegrita"/>
          <w:b w:val="0"/>
          <w:sz w:val="16"/>
          <w:szCs w:val="16"/>
          <w:shd w:val="clear" w:color="auto" w:fill="FFFFFF"/>
        </w:rPr>
        <w:t xml:space="preserve"> Sentencia de 2 de julio de 2004. Serie C No. 107</w:t>
      </w:r>
      <w:r w:rsidRPr="007E04F7">
        <w:rPr>
          <w:i/>
          <w:sz w:val="16"/>
          <w:szCs w:val="16"/>
        </w:rPr>
        <w:t>,</w:t>
      </w:r>
      <w:r w:rsidRPr="007E04F7">
        <w:rPr>
          <w:sz w:val="16"/>
          <w:szCs w:val="16"/>
        </w:rPr>
        <w:t xml:space="preserve"> párr. 158, y</w:t>
      </w:r>
      <w:r w:rsidRPr="007E04F7">
        <w:rPr>
          <w:i/>
          <w:sz w:val="16"/>
          <w:szCs w:val="16"/>
        </w:rPr>
        <w:t xml:space="preserve"> </w:t>
      </w:r>
      <w:r w:rsidRPr="007E04F7">
        <w:rPr>
          <w:rStyle w:val="Textoennegrita"/>
          <w:b w:val="0"/>
          <w:i/>
          <w:sz w:val="16"/>
          <w:szCs w:val="16"/>
          <w:shd w:val="clear" w:color="auto" w:fill="FFFFFF"/>
        </w:rPr>
        <w:t>Caso Amrhein y otros Vs. Costa Rica. Excepciones Preliminares, Fondo, Reparaciones y Costas.</w:t>
      </w:r>
      <w:r w:rsidRPr="007E04F7">
        <w:rPr>
          <w:rStyle w:val="Textoennegrita"/>
          <w:b w:val="0"/>
          <w:sz w:val="16"/>
          <w:szCs w:val="16"/>
          <w:shd w:val="clear" w:color="auto" w:fill="FFFFFF"/>
        </w:rPr>
        <w:t xml:space="preserve"> Sentencia de 25 de abril de 2018. Serie C No. 354, párr. 255.</w:t>
      </w:r>
    </w:p>
  </w:footnote>
  <w:footnote w:id="199">
    <w:p w14:paraId="79DB60CC" w14:textId="407B287B" w:rsidR="001A2991" w:rsidRPr="007E04F7" w:rsidRDefault="001A2991" w:rsidP="0064597D">
      <w:pPr>
        <w:tabs>
          <w:tab w:val="left" w:pos="567"/>
        </w:tabs>
        <w:spacing w:line="240" w:lineRule="auto"/>
        <w:rPr>
          <w:sz w:val="16"/>
          <w:szCs w:val="16"/>
        </w:rPr>
      </w:pPr>
      <w:r w:rsidRPr="007E04F7">
        <w:rPr>
          <w:rStyle w:val="Refdenotaalpie"/>
          <w:rFonts w:eastAsiaTheme="majorEastAsia"/>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Mohamed Vs. Argentina. Excepción Preliminar, Fondo, Reparaciones y Costas</w:t>
      </w:r>
      <w:r w:rsidRPr="007E04F7">
        <w:rPr>
          <w:sz w:val="16"/>
          <w:szCs w:val="16"/>
        </w:rPr>
        <w:t xml:space="preserve">. Sentencia de 23 noviembre de 2012. Serie C No. 255, párrs. 92 y 93, y </w:t>
      </w:r>
      <w:r w:rsidRPr="007E04F7">
        <w:rPr>
          <w:rStyle w:val="Textoennegrita"/>
          <w:b w:val="0"/>
          <w:i/>
          <w:sz w:val="16"/>
          <w:szCs w:val="16"/>
          <w:shd w:val="clear" w:color="auto" w:fill="FFFFFF"/>
        </w:rPr>
        <w:t>Caso Gorigoitía Vs. Argentina. Excepciones Preliminares, Fondo, Reparaciones y Costas.</w:t>
      </w:r>
      <w:r w:rsidRPr="007E04F7">
        <w:rPr>
          <w:rStyle w:val="Textoennegrita"/>
          <w:b w:val="0"/>
          <w:sz w:val="16"/>
          <w:szCs w:val="16"/>
          <w:shd w:val="clear" w:color="auto" w:fill="FFFFFF"/>
        </w:rPr>
        <w:t xml:space="preserve"> Sentencia de 2 de septiembre de 2019. Serie C No. 382, párr. 47.</w:t>
      </w:r>
    </w:p>
  </w:footnote>
  <w:footnote w:id="200">
    <w:p w14:paraId="701D71B6" w14:textId="022853A6" w:rsidR="001A2991" w:rsidRPr="007E04F7" w:rsidRDefault="001A2991" w:rsidP="0064597D">
      <w:pPr>
        <w:tabs>
          <w:tab w:val="left" w:pos="567"/>
        </w:tabs>
        <w:spacing w:line="240" w:lineRule="auto"/>
        <w:rPr>
          <w:sz w:val="16"/>
          <w:szCs w:val="16"/>
        </w:rPr>
      </w:pPr>
      <w:r w:rsidRPr="007E04F7">
        <w:rPr>
          <w:rStyle w:val="Refdenotaalpie"/>
          <w:rFonts w:eastAsiaTheme="majorEastAsia"/>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 xml:space="preserve">Caso Baena Ricardo y otros Vs. Panamá. Fondo, Reparaciones y Costas. </w:t>
      </w:r>
      <w:r w:rsidRPr="007E04F7">
        <w:rPr>
          <w:sz w:val="16"/>
          <w:szCs w:val="16"/>
        </w:rPr>
        <w:t xml:space="preserve">Sentencia de 2 de febrero de 2001. Serie C No. 72, párr. 107, y </w:t>
      </w:r>
      <w:r w:rsidRPr="007E04F7">
        <w:rPr>
          <w:rStyle w:val="Textoennegrita"/>
          <w:b w:val="0"/>
          <w:i/>
          <w:sz w:val="16"/>
          <w:szCs w:val="16"/>
          <w:shd w:val="clear" w:color="auto" w:fill="FFFFFF"/>
        </w:rPr>
        <w:t>Caso Gorigoitía Vs. Argentina. Excepciones Preliminares, Fondo, Reparaciones y Costas, supra</w:t>
      </w:r>
      <w:r w:rsidRPr="007E04F7">
        <w:rPr>
          <w:rStyle w:val="Textoennegrita"/>
          <w:b w:val="0"/>
          <w:sz w:val="16"/>
          <w:szCs w:val="16"/>
          <w:shd w:val="clear" w:color="auto" w:fill="FFFFFF"/>
        </w:rPr>
        <w:t>, párr. 47.</w:t>
      </w:r>
    </w:p>
  </w:footnote>
  <w:footnote w:id="201">
    <w:p w14:paraId="34A039D8" w14:textId="2A15388D" w:rsidR="001A2991" w:rsidRPr="007E04F7" w:rsidRDefault="001A2991" w:rsidP="0064597D">
      <w:pPr>
        <w:tabs>
          <w:tab w:val="left" w:pos="567"/>
        </w:tabs>
        <w:spacing w:line="240" w:lineRule="auto"/>
        <w:rPr>
          <w:sz w:val="16"/>
          <w:szCs w:val="16"/>
        </w:rPr>
      </w:pPr>
      <w:r w:rsidRPr="007E04F7">
        <w:rPr>
          <w:rStyle w:val="Refdenotaalpie"/>
          <w:rFonts w:eastAsiaTheme="majorEastAsia"/>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rStyle w:val="Textoennegrita"/>
          <w:b w:val="0"/>
          <w:i/>
          <w:sz w:val="16"/>
          <w:szCs w:val="16"/>
          <w:shd w:val="clear" w:color="auto" w:fill="FFFFFF"/>
        </w:rPr>
        <w:t>Caso Zegarra Marín Vs. Perú. Excepciones Preliminares, Fondo, Reparaciones y Costas.</w:t>
      </w:r>
      <w:r w:rsidRPr="007E04F7">
        <w:rPr>
          <w:rStyle w:val="Textoennegrita"/>
          <w:b w:val="0"/>
          <w:sz w:val="16"/>
          <w:szCs w:val="16"/>
          <w:shd w:val="clear" w:color="auto" w:fill="FFFFFF"/>
        </w:rPr>
        <w:t xml:space="preserve"> Sentencia de 15 de febrero de 2017. Serie C No. 331</w:t>
      </w:r>
      <w:r w:rsidRPr="007E04F7">
        <w:rPr>
          <w:i/>
          <w:sz w:val="16"/>
          <w:szCs w:val="16"/>
        </w:rPr>
        <w:t>,</w:t>
      </w:r>
      <w:r w:rsidRPr="007E04F7">
        <w:rPr>
          <w:sz w:val="16"/>
          <w:szCs w:val="16"/>
        </w:rPr>
        <w:t xml:space="preserve"> párr. 171, y </w:t>
      </w:r>
      <w:r w:rsidRPr="007E04F7">
        <w:rPr>
          <w:rStyle w:val="Textoennegrita"/>
          <w:b w:val="0"/>
          <w:i/>
          <w:sz w:val="16"/>
          <w:szCs w:val="16"/>
          <w:shd w:val="clear" w:color="auto" w:fill="FFFFFF"/>
        </w:rPr>
        <w:t>Caso Gorigoitía Vs. Argentina. Excepciones Preliminares, Fondo, Reparaciones y Costas, supra</w:t>
      </w:r>
      <w:r w:rsidRPr="007E04F7">
        <w:rPr>
          <w:rStyle w:val="Textoennegrita"/>
          <w:b w:val="0"/>
          <w:sz w:val="16"/>
          <w:szCs w:val="16"/>
          <w:shd w:val="clear" w:color="auto" w:fill="FFFFFF"/>
        </w:rPr>
        <w:t>, párr. 47.</w:t>
      </w:r>
    </w:p>
  </w:footnote>
  <w:footnote w:id="202">
    <w:p w14:paraId="53E5BF4D" w14:textId="1F2C066F" w:rsidR="001A2991" w:rsidRPr="007E04F7" w:rsidRDefault="001A2991" w:rsidP="0064597D">
      <w:pPr>
        <w:tabs>
          <w:tab w:val="left" w:pos="567"/>
        </w:tabs>
        <w:spacing w:line="240" w:lineRule="auto"/>
        <w:rPr>
          <w:sz w:val="16"/>
          <w:szCs w:val="16"/>
          <w:lang w:val="pt-PT"/>
        </w:rPr>
      </w:pPr>
      <w:r w:rsidRPr="007E04F7">
        <w:rPr>
          <w:rStyle w:val="Refdenotaalpie"/>
          <w:rFonts w:eastAsiaTheme="majorEastAsia"/>
          <w:spacing w:val="-4"/>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shd w:val="clear" w:color="auto" w:fill="FFFFFF"/>
        </w:rPr>
        <w:t>Caso Herrera Ulloa Vs. Costa Rica</w:t>
      </w:r>
      <w:r w:rsidRPr="007E04F7">
        <w:rPr>
          <w:sz w:val="16"/>
          <w:szCs w:val="16"/>
          <w:lang w:val="es-ES"/>
        </w:rPr>
        <w:t xml:space="preserve">, </w:t>
      </w:r>
      <w:r w:rsidRPr="007E04F7">
        <w:rPr>
          <w:i/>
          <w:sz w:val="16"/>
          <w:szCs w:val="16"/>
          <w:lang w:val="es-ES"/>
        </w:rPr>
        <w:t>supra</w:t>
      </w:r>
      <w:r w:rsidRPr="007E04F7">
        <w:rPr>
          <w:i/>
          <w:sz w:val="16"/>
          <w:szCs w:val="16"/>
        </w:rPr>
        <w:t>,</w:t>
      </w:r>
      <w:r w:rsidRPr="007E04F7">
        <w:rPr>
          <w:sz w:val="16"/>
          <w:szCs w:val="16"/>
        </w:rPr>
        <w:t xml:space="preserve"> párrs. 161, 164 y 165, y </w:t>
      </w:r>
      <w:r w:rsidRPr="007E04F7">
        <w:rPr>
          <w:bCs/>
          <w:i/>
          <w:sz w:val="16"/>
          <w:szCs w:val="16"/>
        </w:rPr>
        <w:t>Caso Zegarra Marín Vs. Perú</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sz w:val="16"/>
          <w:szCs w:val="16"/>
        </w:rPr>
        <w:t xml:space="preserve"> párr. 172.</w:t>
      </w:r>
    </w:p>
  </w:footnote>
  <w:footnote w:id="203">
    <w:p w14:paraId="7D01C315" w14:textId="77777777" w:rsidR="001A2991" w:rsidRPr="007E04F7" w:rsidRDefault="001A2991" w:rsidP="0064597D">
      <w:pPr>
        <w:tabs>
          <w:tab w:val="left" w:pos="567"/>
        </w:tabs>
        <w:spacing w:line="240" w:lineRule="auto"/>
        <w:rPr>
          <w:rFonts w:cs="Verdana"/>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100).</w:t>
      </w:r>
    </w:p>
  </w:footnote>
  <w:footnote w:id="204">
    <w:p w14:paraId="3656EA74" w14:textId="2F6132F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Cfr. S</w:t>
      </w:r>
      <w:r w:rsidRPr="007E04F7">
        <w:rPr>
          <w:rFonts w:cs="Verdana"/>
          <w:sz w:val="16"/>
          <w:szCs w:val="16"/>
        </w:rPr>
        <w:t>entencia emitida por la Sala Cuarta de la Corte de Apelaciones de Guatemala, de 13 de septiembre de 1999 (expediente de prueba, folios 105 a 108).</w:t>
      </w:r>
    </w:p>
  </w:footnote>
  <w:footnote w:id="205">
    <w:p w14:paraId="7397EB2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folios 120 y 121).</w:t>
      </w:r>
    </w:p>
  </w:footnote>
  <w:footnote w:id="206">
    <w:p w14:paraId="40C4916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folios 112 y 113).</w:t>
      </w:r>
    </w:p>
  </w:footnote>
  <w:footnote w:id="207">
    <w:p w14:paraId="742737B8" w14:textId="70EC49E5"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i/>
          <w:iCs/>
          <w:sz w:val="16"/>
          <w:szCs w:val="16"/>
        </w:rPr>
        <w:t xml:space="preserve">Cfr. </w:t>
      </w:r>
      <w:r w:rsidRPr="007E04F7">
        <w:rPr>
          <w:rFonts w:cs="Verdana"/>
          <w:sz w:val="16"/>
          <w:szCs w:val="16"/>
        </w:rPr>
        <w:t>Sentencia emitida por la Sala Cuarta de la Corte de Apelaciones de Guatemala, de 13 de septiembre de 1999 (expediente de prueba, folio 115).</w:t>
      </w:r>
    </w:p>
  </w:footnote>
  <w:footnote w:id="208">
    <w:p w14:paraId="11ACB065" w14:textId="3E3D000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Anzualdo Castro Vs. Perú. Excepción Preliminar, Fondo, Reparaciones y Costas</w:t>
      </w:r>
      <w:r w:rsidRPr="007E04F7">
        <w:rPr>
          <w:sz w:val="16"/>
          <w:szCs w:val="16"/>
        </w:rPr>
        <w:t xml:space="preserve">. Sentencia de 22 de septiembre de 2009. Serie C No. 202, párr. 77, y </w:t>
      </w:r>
      <w:r w:rsidRPr="007E04F7">
        <w:rPr>
          <w:i/>
          <w:sz w:val="16"/>
          <w:szCs w:val="16"/>
        </w:rPr>
        <w:t>Caso Vélez Loor Vs. Panamá. Excepciones Preliminares, Fondo, Reparaciones y Costas</w:t>
      </w:r>
      <w:r w:rsidRPr="007E04F7">
        <w:rPr>
          <w:sz w:val="16"/>
          <w:szCs w:val="16"/>
        </w:rPr>
        <w:t>. Sentencia de 23 de noviembre de 2010. Serie C No. 218, párr. 123.</w:t>
      </w:r>
    </w:p>
  </w:footnote>
  <w:footnote w:id="209">
    <w:p w14:paraId="15AFB6CF"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Tibi Vs. Ecuador. Excepciones Preliminares, Fondo, Reparaciones y Costas</w:t>
      </w:r>
      <w:r w:rsidRPr="007E04F7">
        <w:rPr>
          <w:sz w:val="16"/>
          <w:szCs w:val="16"/>
        </w:rPr>
        <w:t>. Sentencia de 7 de septiembre de 2004. Serie C No. 114, párr. 159.</w:t>
      </w:r>
    </w:p>
  </w:footnote>
  <w:footnote w:id="210">
    <w:p w14:paraId="3BA8B841"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Declaración del señor Ruiz Fuentes rendida ante la Jueza Octava de Primera Instancia Penal, Narcoactividad y Delitos contra el Ambiente, de 29 de abril de 1998 (expediente de prueba, folios 8 a 13).</w:t>
      </w:r>
    </w:p>
  </w:footnote>
  <w:footnote w:id="211">
    <w:p w14:paraId="5BED0CB2" w14:textId="77777777"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Refdenotaalpie"/>
          <w:sz w:val="16"/>
          <w:szCs w:val="16"/>
          <w:vertAlign w:val="baseline"/>
        </w:rPr>
        <w:t>Declaración</w:t>
      </w:r>
      <w:r w:rsidRPr="007E04F7">
        <w:rPr>
          <w:sz w:val="16"/>
          <w:szCs w:val="16"/>
        </w:rPr>
        <w:t xml:space="preserve"> del señor Ruiz Fuentes rendida ante la Jueza Octava de Primera Instancia Penal, Narcoactividad y Delitos contra el Ambiente, de 29 de abril de 1998 (expediente de prueba, folio 12).</w:t>
      </w:r>
    </w:p>
  </w:footnote>
  <w:footnote w:id="212">
    <w:p w14:paraId="136A2AB6" w14:textId="1ACE5BA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Declaración de </w:t>
      </w:r>
      <w:r w:rsidRPr="007E04F7">
        <w:rPr>
          <w:rFonts w:cs="Arial"/>
          <w:sz w:val="16"/>
          <w:szCs w:val="16"/>
        </w:rPr>
        <w:t xml:space="preserve">J.M.M.R. </w:t>
      </w:r>
      <w:r w:rsidRPr="007E04F7">
        <w:rPr>
          <w:sz w:val="16"/>
          <w:szCs w:val="16"/>
        </w:rPr>
        <w:t>en audiencias de juicio oral y público ante el Tribunal Sexto de Sentencia Penal, Narcoactividad y Delitos contra el Ambiente de 21 de abril de 1999 (expediente de prueba, folios 1134 a 1208).</w:t>
      </w:r>
    </w:p>
  </w:footnote>
  <w:footnote w:id="213">
    <w:p w14:paraId="6DA0F1B6" w14:textId="1D5C8F7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Acta de debate C-4-98. Declaración de Hugo Humberto Ruiz Fuentes en audiencias de juicio oral y público ante el Tribunal Sexto de Sentencia Penal, Narcoactividad y Delitos contra el Ambiente de 21 de abril de 1999 (expediente de prueba, folio 1143).</w:t>
      </w:r>
    </w:p>
  </w:footnote>
  <w:footnote w:id="214">
    <w:p w14:paraId="16D15FCA" w14:textId="64FC6B5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iCs/>
          <w:sz w:val="16"/>
          <w:szCs w:val="16"/>
        </w:rPr>
        <w:t>S</w:t>
      </w:r>
      <w:r w:rsidRPr="007E04F7">
        <w:rPr>
          <w:rFonts w:cs="Verdana"/>
          <w:sz w:val="16"/>
          <w:szCs w:val="16"/>
        </w:rPr>
        <w:t>entencia emitida por el Tribunal Sexto de Sentencia Penal, Narcoactividad y Delitos contra el Ambiente de Guatemala, de 14 de mayo de 1999 (expediente de prueba, folios 7351 a 7363).</w:t>
      </w:r>
    </w:p>
  </w:footnote>
  <w:footnote w:id="215">
    <w:p w14:paraId="754F0784" w14:textId="38708F3D"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lang w:val="pt-BR"/>
        </w:rPr>
        <w:t xml:space="preserve"> </w:t>
      </w:r>
      <w:r w:rsidRPr="007E04F7">
        <w:rPr>
          <w:sz w:val="16"/>
          <w:szCs w:val="16"/>
          <w:lang w:val="pt-BR"/>
        </w:rPr>
        <w:tab/>
      </w:r>
      <w:r w:rsidRPr="007E04F7">
        <w:rPr>
          <w:i/>
          <w:sz w:val="16"/>
          <w:szCs w:val="16"/>
          <w:lang w:val="pt-BR"/>
        </w:rPr>
        <w:t xml:space="preserve">Cfr. Caso Favela Nova Brasília Vs. </w:t>
      </w:r>
      <w:r w:rsidRPr="007E04F7">
        <w:rPr>
          <w:i/>
          <w:sz w:val="16"/>
          <w:szCs w:val="16"/>
        </w:rPr>
        <w:t>Brasil</w:t>
      </w:r>
      <w:r w:rsidRPr="007E04F7">
        <w:rPr>
          <w:sz w:val="16"/>
          <w:szCs w:val="16"/>
        </w:rPr>
        <w:t xml:space="preserve">, </w:t>
      </w:r>
      <w:r w:rsidRPr="007E04F7">
        <w:rPr>
          <w:i/>
          <w:sz w:val="16"/>
          <w:szCs w:val="16"/>
        </w:rPr>
        <w:t>supra</w:t>
      </w:r>
      <w:r w:rsidRPr="007E04F7">
        <w:rPr>
          <w:sz w:val="16"/>
          <w:szCs w:val="16"/>
        </w:rPr>
        <w:t xml:space="preserve">, párr. 252, y </w:t>
      </w:r>
      <w:r w:rsidRPr="007E04F7">
        <w:rPr>
          <w:i/>
          <w:sz w:val="16"/>
          <w:szCs w:val="16"/>
        </w:rPr>
        <w:t>Caso Villamizar Durán y otros Vs. Colombia</w:t>
      </w:r>
      <w:r w:rsidRPr="007E04F7">
        <w:rPr>
          <w:sz w:val="16"/>
          <w:szCs w:val="16"/>
        </w:rPr>
        <w:t xml:space="preserve">, </w:t>
      </w:r>
      <w:r w:rsidRPr="007E04F7">
        <w:rPr>
          <w:i/>
          <w:sz w:val="16"/>
          <w:szCs w:val="16"/>
        </w:rPr>
        <w:t>supra</w:t>
      </w:r>
      <w:r w:rsidRPr="007E04F7">
        <w:rPr>
          <w:sz w:val="16"/>
          <w:szCs w:val="16"/>
        </w:rPr>
        <w:t xml:space="preserve">, párr. 185. </w:t>
      </w:r>
    </w:p>
  </w:footnote>
  <w:footnote w:id="216">
    <w:p w14:paraId="423663D6" w14:textId="77777777" w:rsidR="001A2991" w:rsidRPr="007E04F7" w:rsidRDefault="001A2991" w:rsidP="0064597D">
      <w:pPr>
        <w:tabs>
          <w:tab w:val="left" w:pos="567"/>
        </w:tabs>
        <w:spacing w:line="240" w:lineRule="auto"/>
        <w:rPr>
          <w:sz w:val="16"/>
          <w:szCs w:val="16"/>
          <w:lang w:val="es-MX"/>
        </w:rPr>
      </w:pPr>
      <w:r w:rsidRPr="007E04F7">
        <w:rPr>
          <w:rStyle w:val="Refdenotaalpie"/>
          <w:sz w:val="16"/>
          <w:szCs w:val="16"/>
        </w:rPr>
        <w:footnoteRef/>
      </w:r>
      <w:r w:rsidRPr="007E04F7">
        <w:rPr>
          <w:sz w:val="16"/>
          <w:szCs w:val="16"/>
          <w:lang w:val="es-MX"/>
        </w:rPr>
        <w:t xml:space="preserve"> </w:t>
      </w:r>
      <w:r w:rsidRPr="007E04F7">
        <w:rPr>
          <w:sz w:val="16"/>
          <w:szCs w:val="16"/>
          <w:lang w:val="es-MX"/>
        </w:rPr>
        <w:tab/>
      </w:r>
      <w:r w:rsidRPr="007E04F7">
        <w:rPr>
          <w:i/>
          <w:sz w:val="16"/>
          <w:szCs w:val="16"/>
          <w:lang w:val="es-MX"/>
        </w:rPr>
        <w:t>Cfr</w:t>
      </w:r>
      <w:r w:rsidRPr="007E04F7">
        <w:rPr>
          <w:sz w:val="16"/>
          <w:szCs w:val="16"/>
          <w:lang w:val="es-MX"/>
        </w:rPr>
        <w:t xml:space="preserve">. </w:t>
      </w:r>
      <w:r w:rsidRPr="007E04F7">
        <w:rPr>
          <w:i/>
          <w:sz w:val="16"/>
          <w:szCs w:val="16"/>
          <w:lang w:val="es-PE"/>
        </w:rPr>
        <w:t>Caso Juan Humberto Sánchez Vs. Honduras.</w:t>
      </w:r>
      <w:r w:rsidRPr="007E04F7">
        <w:rPr>
          <w:sz w:val="16"/>
          <w:szCs w:val="16"/>
          <w:lang w:val="es-PE"/>
        </w:rPr>
        <w:t xml:space="preserve"> </w:t>
      </w:r>
      <w:r w:rsidRPr="007E04F7">
        <w:rPr>
          <w:i/>
          <w:sz w:val="16"/>
          <w:szCs w:val="16"/>
          <w:lang w:val="es-PE"/>
        </w:rPr>
        <w:t>Excepción Preliminar, Fondo, Reparaciones y Costas</w:t>
      </w:r>
      <w:r w:rsidRPr="007E04F7">
        <w:rPr>
          <w:sz w:val="16"/>
          <w:szCs w:val="16"/>
          <w:lang w:val="es-PE"/>
        </w:rPr>
        <w:t xml:space="preserve">. Sentencia de 7 de junio de 2003. Serie C No. 99, párr. 127, y </w:t>
      </w:r>
      <w:r w:rsidRPr="007E04F7">
        <w:rPr>
          <w:i/>
          <w:sz w:val="16"/>
          <w:szCs w:val="16"/>
          <w:lang w:val="es-MX"/>
        </w:rPr>
        <w:t xml:space="preserve">Caso Arrom Suhurt y Otros Vs. Paraguay. Fondo. </w:t>
      </w:r>
      <w:r w:rsidRPr="007E04F7">
        <w:rPr>
          <w:sz w:val="16"/>
          <w:szCs w:val="16"/>
          <w:lang w:val="es-MX"/>
        </w:rPr>
        <w:t>Sentencia de 13 de mayo de 2019, párr. 142.</w:t>
      </w:r>
    </w:p>
  </w:footnote>
  <w:footnote w:id="217">
    <w:p w14:paraId="235B3FBF"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 y Autopsia practicada por el Dr. Edgar Ricardo Arriola Barrios, Médico Forense Departamental del Organismo Judicial de Cuilapa, Santa Rosa, de 15 de noviembre de 2005 (expediente de prueba, folio 231).</w:t>
      </w:r>
    </w:p>
  </w:footnote>
  <w:footnote w:id="218">
    <w:p w14:paraId="7EA949DD"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Acta policial de 14 de noviembre de 2005, Diligencia No. 1709-2005 (expediente de prueba, folio 233).</w:t>
      </w:r>
    </w:p>
  </w:footnote>
  <w:footnote w:id="219">
    <w:p w14:paraId="3F83AE6D" w14:textId="77777777" w:rsidR="001A2991" w:rsidRPr="007E04F7" w:rsidRDefault="001A2991" w:rsidP="0064597D">
      <w:pPr>
        <w:tabs>
          <w:tab w:val="left" w:pos="567"/>
        </w:tabs>
        <w:spacing w:line="240" w:lineRule="auto"/>
        <w:rPr>
          <w:sz w:val="16"/>
          <w:szCs w:val="16"/>
          <w:lang w:val="es-MX"/>
        </w:rPr>
      </w:pPr>
      <w:r w:rsidRPr="007E04F7">
        <w:rPr>
          <w:rStyle w:val="Refdenotaalpie"/>
          <w:sz w:val="16"/>
          <w:szCs w:val="16"/>
        </w:rPr>
        <w:footnoteRef/>
      </w:r>
      <w:r w:rsidRPr="007E04F7">
        <w:rPr>
          <w:sz w:val="16"/>
          <w:szCs w:val="16"/>
          <w:lang w:val="es-MX"/>
        </w:rPr>
        <w:t xml:space="preserve"> </w:t>
      </w:r>
      <w:r w:rsidRPr="007E04F7">
        <w:rPr>
          <w:sz w:val="16"/>
          <w:szCs w:val="16"/>
          <w:lang w:val="es-MX"/>
        </w:rPr>
        <w:tab/>
      </w:r>
      <w:r w:rsidRPr="007E04F7">
        <w:rPr>
          <w:i/>
          <w:sz w:val="16"/>
          <w:szCs w:val="16"/>
          <w:lang w:val="es-MX"/>
        </w:rPr>
        <w:t>Cfr</w:t>
      </w:r>
      <w:r w:rsidRPr="007E04F7">
        <w:rPr>
          <w:sz w:val="16"/>
          <w:szCs w:val="16"/>
          <w:lang w:val="es-MX"/>
        </w:rPr>
        <w:t xml:space="preserve">. </w:t>
      </w:r>
      <w:r w:rsidRPr="007E04F7">
        <w:rPr>
          <w:i/>
          <w:sz w:val="16"/>
          <w:szCs w:val="16"/>
          <w:lang w:val="es-MX"/>
        </w:rPr>
        <w:t>Caso Juan Humberto Sánchez Vs. Honduras</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lang w:val="es-MX"/>
        </w:rPr>
        <w:t xml:space="preserve">párr. 127, y </w:t>
      </w:r>
      <w:r w:rsidRPr="007E04F7">
        <w:rPr>
          <w:i/>
          <w:sz w:val="16"/>
          <w:szCs w:val="16"/>
          <w:lang w:val="es-MX"/>
        </w:rPr>
        <w:t>Caso Pacheco León y Otros Vs. Honduras</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lang w:val="es-MX"/>
        </w:rPr>
        <w:t xml:space="preserve"> párr. 79.</w:t>
      </w:r>
    </w:p>
  </w:footnote>
  <w:footnote w:id="220">
    <w:p w14:paraId="03331B71"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Informe pericial del Dr. Guillermo Austreberto Carranza Izquierdo, de 3 de junio de 2008 (expediente de prueba, folio 242).</w:t>
      </w:r>
    </w:p>
  </w:footnote>
  <w:footnote w:id="221">
    <w:p w14:paraId="5AB068E9" w14:textId="77777777" w:rsidR="001A2991" w:rsidRPr="007E04F7" w:rsidRDefault="001A2991" w:rsidP="0064597D">
      <w:pPr>
        <w:tabs>
          <w:tab w:val="left" w:pos="567"/>
        </w:tabs>
        <w:spacing w:line="240" w:lineRule="auto"/>
        <w:rPr>
          <w:sz w:val="16"/>
          <w:szCs w:val="16"/>
          <w:lang w:val="es-MX"/>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 xml:space="preserve">Caso Pacheco León y Otros Vs. </w:t>
      </w:r>
      <w:r w:rsidRPr="007E04F7">
        <w:rPr>
          <w:i/>
          <w:sz w:val="16"/>
          <w:szCs w:val="16"/>
          <w:lang w:val="es-MX"/>
        </w:rPr>
        <w:t>Honduras. Fondo, Reparaciones y Costas</w:t>
      </w:r>
      <w:r w:rsidRPr="007E04F7">
        <w:rPr>
          <w:sz w:val="16"/>
          <w:szCs w:val="16"/>
          <w:lang w:val="es-MX"/>
        </w:rPr>
        <w:t>. Sentencia de 15 de noviembre de 2017, párr. 89.</w:t>
      </w:r>
    </w:p>
  </w:footnote>
  <w:footnote w:id="222">
    <w:p w14:paraId="3CB5889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Autopsia practicada por el Dr. Edgar Ricardo Arriola Barrios, Médico Forense Departamental del Organismo Judicial de Cuilapa, Santa Rosa, de 15 de noviembre de 20</w:t>
      </w:r>
      <w:r w:rsidRPr="007E04F7">
        <w:rPr>
          <w:rFonts w:cs="Verdana"/>
          <w:vanish/>
          <w:sz w:val="16"/>
          <w:szCs w:val="16"/>
        </w:rPr>
        <w:t>0ca que o externo del cadopa del señor Ruiz Fuentes para realizar las pruebas pertinentes sobre l</w:t>
      </w:r>
      <w:r w:rsidRPr="007E04F7">
        <w:rPr>
          <w:rFonts w:cs="Verdana"/>
          <w:sz w:val="16"/>
          <w:szCs w:val="16"/>
        </w:rPr>
        <w:t>05 (expediente de prueba, folio 231).</w:t>
      </w:r>
    </w:p>
  </w:footnote>
  <w:footnote w:id="223">
    <w:p w14:paraId="1B45E073"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i/>
          <w:sz w:val="16"/>
          <w:szCs w:val="16"/>
        </w:rPr>
        <w:t>Caso González y otras (“Campo Algodonero”) Vs. México. Excepción Preliminar, Fondo, Reparaciones y Costas</w:t>
      </w:r>
      <w:r w:rsidRPr="007E04F7">
        <w:rPr>
          <w:sz w:val="16"/>
          <w:szCs w:val="16"/>
        </w:rPr>
        <w:t>. Sentencia de 16 de noviembre de 2009. Serie C No. 205, párr. 310.</w:t>
      </w:r>
    </w:p>
  </w:footnote>
  <w:footnote w:id="224">
    <w:p w14:paraId="62C05C37"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 xml:space="preserve">Informe pericial del Dr. Guillermo Austreberto Carranza Izquierdo, de 3 de junio de 2008 (expediente de prueba, folios 244 a 246). Véase también, </w:t>
      </w:r>
      <w:r w:rsidRPr="007E04F7">
        <w:rPr>
          <w:sz w:val="16"/>
          <w:szCs w:val="16"/>
        </w:rPr>
        <w:t>Peritaje rendido por Guillermo Austreberto Carranza Izquierdo en la audiencia pública ante la Corte Interamericana celebrada el 5 de marzo de 2019.</w:t>
      </w:r>
    </w:p>
  </w:footnote>
  <w:footnote w:id="225">
    <w:p w14:paraId="089E8BEA"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Informe pericial del Dr. Guillermo Austreberto Carranza Izquierdo, de 3 de junio de 2008 (expediente de prueba, folio 245).</w:t>
      </w:r>
    </w:p>
  </w:footnote>
  <w:footnote w:id="226">
    <w:p w14:paraId="456A52FE"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Verdana"/>
          <w:sz w:val="16"/>
          <w:szCs w:val="16"/>
        </w:rPr>
        <w:t>Declaración de Juan José Marroquín Solis rendida ante la Fiscalía Distrital del Ministerio Público, Cuilapa, Santa Rosa, de 21 de marzo de 2006 (expediente de prueba, folios 314 y 314); Declaración de Óscar Valero Lara rendida ante la Fiscalía Distrital del Ministerio Público, Cuilapa, Santa Rosa, de 27 de marzo de 2006 (expediente de prueba, folios 1691 a 1694), y Declaración de César Augusto Argueta rendida ante la Fiscalía Distrital del Ministerio Público, Cuilapa, Santa Rosa, de 28 de marzo de 2006 (expediente de prueba, folios 1695 y 1696).</w:t>
      </w:r>
    </w:p>
  </w:footnote>
  <w:footnote w:id="227">
    <w:p w14:paraId="1981DD04" w14:textId="6B014243" w:rsidR="001A2991" w:rsidRPr="007E04F7" w:rsidRDefault="001A2991" w:rsidP="0064597D">
      <w:pPr>
        <w:tabs>
          <w:tab w:val="left" w:pos="567"/>
        </w:tabs>
        <w:spacing w:line="240" w:lineRule="auto"/>
        <w:rPr>
          <w:rStyle w:val="Refdenotaalpie"/>
          <w:sz w:val="16"/>
          <w:szCs w:val="16"/>
        </w:rPr>
      </w:pPr>
      <w:r w:rsidRPr="007E04F7">
        <w:rPr>
          <w:rStyle w:val="Refdenotaalpie"/>
          <w:sz w:val="16"/>
          <w:szCs w:val="16"/>
        </w:rPr>
        <w:footnoteRef/>
      </w:r>
      <w:r w:rsidRPr="007E04F7">
        <w:rPr>
          <w:rStyle w:val="Refdenotaalpie"/>
          <w:sz w:val="16"/>
          <w:szCs w:val="16"/>
        </w:rPr>
        <w:t xml:space="preserve"> </w:t>
      </w:r>
      <w:r w:rsidRPr="007E04F7">
        <w:rPr>
          <w:rStyle w:val="Refdenotaalpie"/>
          <w:sz w:val="16"/>
          <w:szCs w:val="16"/>
        </w:rPr>
        <w:tab/>
      </w:r>
      <w:r w:rsidRPr="007E04F7">
        <w:rPr>
          <w:rStyle w:val="Refdenotaalpie"/>
          <w:sz w:val="16"/>
          <w:szCs w:val="16"/>
          <w:vertAlign w:val="baseline"/>
        </w:rPr>
        <w:t>Artículo 5 de la Convención Americana.</w:t>
      </w:r>
    </w:p>
  </w:footnote>
  <w:footnote w:id="228">
    <w:p w14:paraId="440FD614" w14:textId="2E8045FF"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rFonts w:cs="Courier New"/>
          <w:i/>
          <w:sz w:val="16"/>
          <w:szCs w:val="16"/>
        </w:rPr>
        <w:t>Caso de los “Niños de la Calle” (Villagrán Morales y otros)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rPr>
        <w:t xml:space="preserve">párr. 176, y </w:t>
      </w:r>
      <w:r w:rsidRPr="007E04F7">
        <w:rPr>
          <w:i/>
          <w:sz w:val="16"/>
          <w:szCs w:val="16"/>
        </w:rPr>
        <w:t xml:space="preserve">Caso Villaseñor Velarde y otros Vs. Guatemala. Fondo, reparaciones y costas. </w:t>
      </w:r>
      <w:r w:rsidRPr="007E04F7">
        <w:rPr>
          <w:sz w:val="16"/>
          <w:szCs w:val="16"/>
        </w:rPr>
        <w:t>Sentencia de 5 de febrero de 2019</w:t>
      </w:r>
      <w:r w:rsidRPr="007E04F7">
        <w:rPr>
          <w:i/>
          <w:sz w:val="16"/>
          <w:szCs w:val="16"/>
        </w:rPr>
        <w:t xml:space="preserve">. </w:t>
      </w:r>
      <w:r w:rsidRPr="007E04F7">
        <w:rPr>
          <w:rFonts w:cs="Courier New"/>
          <w:sz w:val="16"/>
          <w:szCs w:val="16"/>
        </w:rPr>
        <w:t xml:space="preserve">Serie C No. 374, </w:t>
      </w:r>
      <w:r w:rsidRPr="007E04F7">
        <w:rPr>
          <w:sz w:val="16"/>
          <w:szCs w:val="16"/>
        </w:rPr>
        <w:t>párr. 143.</w:t>
      </w:r>
    </w:p>
  </w:footnote>
  <w:footnote w:id="229">
    <w:p w14:paraId="2E9495AF" w14:textId="14B440B8"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Blake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rPr>
        <w:t xml:space="preserve"> párr. 114, y </w:t>
      </w:r>
      <w:r w:rsidRPr="007E04F7">
        <w:rPr>
          <w:i/>
          <w:sz w:val="16"/>
          <w:szCs w:val="16"/>
        </w:rPr>
        <w:t>Caso Villaseñor Velarde y otros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rPr>
        <w:t>párr. 143.</w:t>
      </w:r>
    </w:p>
  </w:footnote>
  <w:footnote w:id="230">
    <w:p w14:paraId="153F1AF1" w14:textId="1EBF0E52"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ab/>
      </w:r>
      <w:r w:rsidRPr="007E04F7">
        <w:rPr>
          <w:rFonts w:eastAsiaTheme="minorEastAsia" w:cstheme="minorBidi"/>
          <w:i/>
          <w:sz w:val="16"/>
          <w:szCs w:val="16"/>
          <w:lang w:eastAsia="es-PE"/>
        </w:rPr>
        <w:t>Cfr. Caso Bámaca Velásquez Vs. Guatemala</w:t>
      </w:r>
      <w:r w:rsidRPr="007E04F7">
        <w:rPr>
          <w:sz w:val="16"/>
          <w:szCs w:val="16"/>
          <w:lang w:val="es-ES"/>
        </w:rPr>
        <w:t xml:space="preserve">, </w:t>
      </w:r>
      <w:r w:rsidRPr="007E04F7">
        <w:rPr>
          <w:i/>
          <w:sz w:val="16"/>
          <w:szCs w:val="16"/>
          <w:lang w:val="es-ES"/>
        </w:rPr>
        <w:t>supra</w:t>
      </w:r>
      <w:r w:rsidRPr="007E04F7">
        <w:rPr>
          <w:sz w:val="16"/>
          <w:szCs w:val="16"/>
          <w:lang w:val="es-ES"/>
        </w:rPr>
        <w:t>,</w:t>
      </w:r>
      <w:r w:rsidRPr="007E04F7">
        <w:rPr>
          <w:rFonts w:eastAsiaTheme="minorEastAsia" w:cstheme="minorBidi"/>
          <w:sz w:val="16"/>
          <w:szCs w:val="16"/>
          <w:lang w:eastAsia="es-PE"/>
        </w:rPr>
        <w:t xml:space="preserve"> párr. 163, y </w:t>
      </w:r>
      <w:r w:rsidRPr="007E04F7">
        <w:rPr>
          <w:i/>
          <w:sz w:val="16"/>
          <w:szCs w:val="16"/>
        </w:rPr>
        <w:t>Caso Villaseñor Velarde y otros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rPr>
        <w:t>párr. 143.</w:t>
      </w:r>
    </w:p>
  </w:footnote>
  <w:footnote w:id="231">
    <w:p w14:paraId="30F94427" w14:textId="0720C6FC"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Declaración rendida ante notario por la hermana del señor Ruiz Fuentes, de 28 de febrero de 2019 (expediente de prueba, folio 8479).</w:t>
      </w:r>
    </w:p>
  </w:footnote>
  <w:footnote w:id="232">
    <w:p w14:paraId="6B5F8CBA" w14:textId="1AED7DB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Declaración rendida ante notario por la hermana del señor Ruiz Fuentes, de 28 de febrero de 2019 (expediente de prueba, folio 8479).</w:t>
      </w:r>
    </w:p>
  </w:footnote>
  <w:footnote w:id="233">
    <w:p w14:paraId="05C0F024" w14:textId="7777777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Fonts w:cs="Verdana"/>
          <w:sz w:val="16"/>
          <w:szCs w:val="16"/>
        </w:rPr>
        <w:t>Informe pericial del Dr. Juan Cristóbal Aldana Alfaro, de 28 de febrero de 2019 (expediente de prueba, folio 8508).</w:t>
      </w:r>
    </w:p>
  </w:footnote>
  <w:footnote w:id="234">
    <w:p w14:paraId="484A9510" w14:textId="77777777" w:rsidR="001A2991" w:rsidRPr="007E04F7" w:rsidRDefault="001A2991" w:rsidP="0064597D">
      <w:pPr>
        <w:pStyle w:val="Textonotapie"/>
        <w:tabs>
          <w:tab w:val="left" w:pos="567"/>
        </w:tabs>
        <w:rPr>
          <w:sz w:val="16"/>
          <w:szCs w:val="16"/>
          <w:lang w:val="es-CR"/>
        </w:rPr>
      </w:pPr>
      <w:r w:rsidRPr="007E04F7">
        <w:rPr>
          <w:rStyle w:val="Refdenotaalpie"/>
          <w:rFonts w:eastAsia="Calibri"/>
          <w:sz w:val="16"/>
          <w:szCs w:val="16"/>
        </w:rPr>
        <w:footnoteRef/>
      </w:r>
      <w:r w:rsidRPr="007E04F7">
        <w:rPr>
          <w:sz w:val="16"/>
          <w:szCs w:val="16"/>
          <w:lang w:val="es-CR"/>
        </w:rPr>
        <w:t xml:space="preserve"> </w:t>
      </w:r>
      <w:r w:rsidRPr="007E04F7">
        <w:rPr>
          <w:sz w:val="16"/>
          <w:szCs w:val="16"/>
          <w:lang w:val="es-CR"/>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35">
    <w:p w14:paraId="704566F1" w14:textId="154188A9" w:rsidR="001A2991" w:rsidRPr="007E04F7" w:rsidRDefault="001A2991" w:rsidP="0064597D">
      <w:pPr>
        <w:tabs>
          <w:tab w:val="left" w:pos="567"/>
        </w:tabs>
        <w:spacing w:line="240" w:lineRule="auto"/>
        <w:rPr>
          <w:i/>
          <w:sz w:val="16"/>
          <w:szCs w:val="16"/>
          <w:lang w:eastAsia="es-PE"/>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lang w:eastAsia="es-PE"/>
        </w:rPr>
        <w:t xml:space="preserve">Cfr. Caso Velásquez Rodríguez Vs. Honduras. Reparaciones y Costas. </w:t>
      </w:r>
      <w:r w:rsidRPr="007E04F7">
        <w:rPr>
          <w:sz w:val="16"/>
          <w:szCs w:val="16"/>
          <w:lang w:eastAsia="es-PE"/>
        </w:rPr>
        <w:t>Sentencia de 21 de julio de 1989. Serie C No. 7, párr. 25, y</w:t>
      </w:r>
      <w:r w:rsidRPr="007E04F7">
        <w:rPr>
          <w:i/>
          <w:sz w:val="16"/>
          <w:szCs w:val="16"/>
          <w:lang w:eastAsia="es-PE"/>
        </w:rPr>
        <w:t xml:space="preserve"> Caso Gorigoitía Vs. Argentina</w:t>
      </w:r>
      <w:r w:rsidRPr="007E04F7">
        <w:rPr>
          <w:i/>
          <w:sz w:val="16"/>
          <w:szCs w:val="16"/>
        </w:rPr>
        <w:t>, supra</w:t>
      </w:r>
      <w:r w:rsidRPr="007E04F7">
        <w:rPr>
          <w:i/>
          <w:sz w:val="16"/>
          <w:szCs w:val="16"/>
          <w:lang w:eastAsia="es-PE"/>
        </w:rPr>
        <w:t xml:space="preserve">, </w:t>
      </w:r>
      <w:r w:rsidRPr="007E04F7">
        <w:rPr>
          <w:sz w:val="16"/>
          <w:szCs w:val="16"/>
          <w:lang w:eastAsia="es-PE"/>
        </w:rPr>
        <w:t>párr. 59.</w:t>
      </w:r>
    </w:p>
  </w:footnote>
  <w:footnote w:id="236">
    <w:p w14:paraId="318B2D7A" w14:textId="643F66F6" w:rsidR="001A2991" w:rsidRPr="007E04F7" w:rsidRDefault="001A2991" w:rsidP="0064597D">
      <w:pPr>
        <w:tabs>
          <w:tab w:val="left" w:pos="567"/>
        </w:tabs>
        <w:spacing w:line="240" w:lineRule="auto"/>
        <w:rPr>
          <w:i/>
          <w:sz w:val="16"/>
          <w:szCs w:val="16"/>
          <w:lang w:eastAsia="es-PE"/>
        </w:rPr>
      </w:pPr>
      <w:r w:rsidRPr="007E04F7">
        <w:rPr>
          <w:rStyle w:val="Refdenotaalpie"/>
          <w:rFonts w:eastAsia="MS Mincho"/>
          <w:sz w:val="16"/>
          <w:szCs w:val="16"/>
        </w:rPr>
        <w:footnoteRef/>
      </w:r>
      <w:r w:rsidRPr="007E04F7">
        <w:rPr>
          <w:sz w:val="16"/>
          <w:szCs w:val="16"/>
        </w:rPr>
        <w:t xml:space="preserve"> </w:t>
      </w:r>
      <w:r w:rsidRPr="007E04F7">
        <w:rPr>
          <w:sz w:val="16"/>
          <w:szCs w:val="16"/>
        </w:rPr>
        <w:tab/>
      </w:r>
      <w:r w:rsidRPr="007E04F7">
        <w:rPr>
          <w:i/>
          <w:sz w:val="16"/>
          <w:szCs w:val="16"/>
          <w:lang w:eastAsia="es-PE"/>
        </w:rPr>
        <w:t>Cfr. Caso Velásquez Rodríguez Vs. Honduras</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lang w:eastAsia="es-PE"/>
        </w:rPr>
        <w:t xml:space="preserve">párrs. 25 y 26, y </w:t>
      </w:r>
      <w:r w:rsidRPr="007E04F7">
        <w:rPr>
          <w:i/>
          <w:sz w:val="16"/>
          <w:szCs w:val="16"/>
          <w:lang w:eastAsia="es-PE"/>
        </w:rPr>
        <w:t>Caso Coc Max y otros (Masacre de Xamán) Vs. Guatemala, supra</w:t>
      </w:r>
      <w:r w:rsidRPr="007E04F7">
        <w:rPr>
          <w:sz w:val="16"/>
          <w:szCs w:val="16"/>
          <w:lang w:eastAsia="es-PE"/>
        </w:rPr>
        <w:t xml:space="preserve">, párr. 144 y </w:t>
      </w:r>
      <w:r w:rsidRPr="007E04F7">
        <w:rPr>
          <w:i/>
          <w:sz w:val="16"/>
          <w:szCs w:val="16"/>
          <w:lang w:eastAsia="es-PE"/>
        </w:rPr>
        <w:t>Caso Gorigoitía Vs. Argentina</w:t>
      </w:r>
      <w:r w:rsidRPr="007E04F7">
        <w:rPr>
          <w:i/>
          <w:sz w:val="16"/>
          <w:szCs w:val="16"/>
        </w:rPr>
        <w:t>, supra</w:t>
      </w:r>
      <w:r w:rsidRPr="007E04F7">
        <w:rPr>
          <w:i/>
          <w:sz w:val="16"/>
          <w:szCs w:val="16"/>
          <w:lang w:eastAsia="es-PE"/>
        </w:rPr>
        <w:t xml:space="preserve">, </w:t>
      </w:r>
      <w:r w:rsidRPr="007E04F7">
        <w:rPr>
          <w:sz w:val="16"/>
          <w:szCs w:val="16"/>
          <w:lang w:eastAsia="es-PE"/>
        </w:rPr>
        <w:t>párr. 60.</w:t>
      </w:r>
    </w:p>
  </w:footnote>
  <w:footnote w:id="237">
    <w:p w14:paraId="435C79F6" w14:textId="61A9320D" w:rsidR="001A2991" w:rsidRPr="007E04F7" w:rsidRDefault="001A2991" w:rsidP="0064597D">
      <w:pPr>
        <w:tabs>
          <w:tab w:val="left" w:pos="567"/>
        </w:tabs>
        <w:spacing w:line="240" w:lineRule="auto"/>
        <w:rPr>
          <w:rFonts w:cs="Courier New"/>
          <w:bCs/>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bCs/>
          <w:i/>
          <w:sz w:val="16"/>
          <w:szCs w:val="16"/>
        </w:rPr>
        <w:t xml:space="preserve"> Caso Cantoral Benavides Vs. Perú. </w:t>
      </w:r>
      <w:r w:rsidRPr="007E04F7">
        <w:rPr>
          <w:i/>
          <w:sz w:val="16"/>
          <w:szCs w:val="16"/>
        </w:rPr>
        <w:t>Reparaciones y Costas</w:t>
      </w:r>
      <w:r w:rsidRPr="007E04F7">
        <w:rPr>
          <w:sz w:val="16"/>
          <w:szCs w:val="16"/>
        </w:rPr>
        <w:t xml:space="preserve">. Sentencia de 3 de diciembre de 2001. Serie C No. 88, párrs. 79 a 81, y </w:t>
      </w:r>
      <w:r w:rsidRPr="007E04F7">
        <w:rPr>
          <w:i/>
          <w:sz w:val="16"/>
          <w:szCs w:val="16"/>
          <w:lang w:eastAsia="es-PE"/>
        </w:rPr>
        <w:t>Caso Gorigoitía Vs. Argentina</w:t>
      </w:r>
      <w:r w:rsidRPr="007E04F7">
        <w:rPr>
          <w:i/>
          <w:sz w:val="16"/>
          <w:szCs w:val="16"/>
        </w:rPr>
        <w:t>, supra</w:t>
      </w:r>
      <w:r w:rsidRPr="007E04F7">
        <w:rPr>
          <w:i/>
          <w:sz w:val="16"/>
          <w:szCs w:val="16"/>
          <w:lang w:eastAsia="es-PE"/>
        </w:rPr>
        <w:t xml:space="preserve">, </w:t>
      </w:r>
      <w:r w:rsidRPr="007E04F7">
        <w:rPr>
          <w:sz w:val="16"/>
          <w:szCs w:val="16"/>
          <w:lang w:eastAsia="es-PE"/>
        </w:rPr>
        <w:t>párr. 60.</w:t>
      </w:r>
    </w:p>
  </w:footnote>
  <w:footnote w:id="238">
    <w:p w14:paraId="4DBFA7A3" w14:textId="11E48C9B" w:rsidR="001A2991" w:rsidRPr="007E04F7" w:rsidRDefault="001A2991" w:rsidP="0064597D">
      <w:pPr>
        <w:tabs>
          <w:tab w:val="left" w:pos="567"/>
        </w:tabs>
        <w:spacing w:line="240" w:lineRule="auto"/>
        <w:rPr>
          <w:bCs/>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 xml:space="preserve">Cfr. Caso Ticona Estrada Vs. Bolivia. Fondo, Reparaciones y Costas. </w:t>
      </w:r>
      <w:r w:rsidRPr="007E04F7">
        <w:rPr>
          <w:sz w:val="16"/>
          <w:szCs w:val="16"/>
        </w:rPr>
        <w:t xml:space="preserve">Sentencia de 27 de noviembre de 2008. Serie C No. 191, párr. 110, y </w:t>
      </w:r>
      <w:r w:rsidRPr="007E04F7">
        <w:rPr>
          <w:i/>
          <w:sz w:val="16"/>
          <w:szCs w:val="16"/>
          <w:lang w:eastAsia="es-PE"/>
        </w:rPr>
        <w:t>Caso Gorigoitía Vs. Argentina</w:t>
      </w:r>
      <w:r w:rsidRPr="007E04F7">
        <w:rPr>
          <w:i/>
          <w:sz w:val="16"/>
          <w:szCs w:val="16"/>
        </w:rPr>
        <w:t>, supra</w:t>
      </w:r>
      <w:r w:rsidRPr="007E04F7">
        <w:rPr>
          <w:i/>
          <w:sz w:val="16"/>
          <w:szCs w:val="16"/>
          <w:lang w:eastAsia="es-PE"/>
        </w:rPr>
        <w:t xml:space="preserve">, </w:t>
      </w:r>
      <w:r w:rsidRPr="007E04F7">
        <w:rPr>
          <w:sz w:val="16"/>
          <w:szCs w:val="16"/>
          <w:lang w:eastAsia="es-PE"/>
        </w:rPr>
        <w:t>párr. 61.</w:t>
      </w:r>
    </w:p>
  </w:footnote>
  <w:footnote w:id="239">
    <w:p w14:paraId="4C8EE6D0" w14:textId="55334ADA" w:rsidR="001A2991" w:rsidRPr="007E04F7" w:rsidRDefault="001A2991" w:rsidP="0064597D">
      <w:pPr>
        <w:pStyle w:val="Textonotapie"/>
        <w:tabs>
          <w:tab w:val="left" w:pos="567"/>
        </w:tabs>
        <w:rPr>
          <w:i/>
          <w:sz w:val="16"/>
          <w:szCs w:val="16"/>
          <w:lang w:val="es-CR"/>
        </w:rPr>
      </w:pPr>
      <w:r w:rsidRPr="007E04F7">
        <w:rPr>
          <w:rStyle w:val="Refdenotaalpie"/>
          <w:sz w:val="16"/>
          <w:szCs w:val="16"/>
        </w:rPr>
        <w:footnoteRef/>
      </w:r>
      <w:r w:rsidRPr="007E04F7">
        <w:rPr>
          <w:sz w:val="16"/>
          <w:szCs w:val="16"/>
          <w:lang w:val="es-CR"/>
        </w:rPr>
        <w:t xml:space="preserve"> </w:t>
      </w:r>
      <w:r w:rsidRPr="007E04F7">
        <w:rPr>
          <w:sz w:val="16"/>
          <w:szCs w:val="16"/>
          <w:lang w:val="es-CR"/>
        </w:rPr>
        <w:tab/>
      </w:r>
      <w:r w:rsidRPr="007E04F7">
        <w:rPr>
          <w:i/>
          <w:sz w:val="16"/>
          <w:szCs w:val="16"/>
          <w:lang w:val="es-CR"/>
        </w:rPr>
        <w:t>Cfr. Caso I.V. Vs Bolivia, supra</w:t>
      </w:r>
      <w:r w:rsidRPr="007E04F7">
        <w:rPr>
          <w:sz w:val="16"/>
          <w:szCs w:val="16"/>
          <w:lang w:val="es-CR"/>
        </w:rPr>
        <w:t xml:space="preserve">, párr. 326, y </w:t>
      </w:r>
      <w:r w:rsidRPr="007E04F7">
        <w:rPr>
          <w:i/>
          <w:sz w:val="16"/>
          <w:szCs w:val="16"/>
          <w:lang w:val="es-CR"/>
        </w:rPr>
        <w:t xml:space="preserve">Caso </w:t>
      </w:r>
      <w:r w:rsidRPr="007E04F7">
        <w:rPr>
          <w:rFonts w:cs="Courier New"/>
          <w:i/>
          <w:sz w:val="16"/>
          <w:szCs w:val="16"/>
          <w:lang w:val="es-CR"/>
        </w:rPr>
        <w:t>López Soto y otros Vs. Venezuela</w:t>
      </w:r>
      <w:r w:rsidRPr="007E04F7">
        <w:rPr>
          <w:i/>
          <w:sz w:val="16"/>
          <w:szCs w:val="16"/>
          <w:lang w:val="es-CR"/>
        </w:rPr>
        <w:t>, supra</w:t>
      </w:r>
      <w:r w:rsidRPr="007E04F7">
        <w:rPr>
          <w:rFonts w:cs="Courier New"/>
          <w:sz w:val="16"/>
          <w:szCs w:val="16"/>
          <w:lang w:val="es-CR"/>
        </w:rPr>
        <w:t>, párr. 270</w:t>
      </w:r>
      <w:r w:rsidRPr="007E04F7">
        <w:rPr>
          <w:sz w:val="16"/>
          <w:szCs w:val="16"/>
          <w:lang w:val="es-CR"/>
        </w:rPr>
        <w:t>.</w:t>
      </w:r>
    </w:p>
  </w:footnote>
  <w:footnote w:id="240">
    <w:p w14:paraId="2139A829" w14:textId="7D2F3F3B" w:rsidR="001A2991" w:rsidRPr="007E04F7" w:rsidRDefault="001A2991" w:rsidP="0064597D">
      <w:pPr>
        <w:pStyle w:val="Textonotapie"/>
        <w:tabs>
          <w:tab w:val="left" w:pos="567"/>
          <w:tab w:val="left" w:pos="709"/>
        </w:tabs>
        <w:rPr>
          <w:i/>
          <w:sz w:val="16"/>
          <w:szCs w:val="16"/>
          <w:lang w:val="es-CR" w:eastAsia="es-PE"/>
        </w:rPr>
      </w:pPr>
      <w:r w:rsidRPr="007E04F7">
        <w:rPr>
          <w:rStyle w:val="Refdenotaalpie"/>
          <w:rFonts w:eastAsia="Calibri"/>
          <w:sz w:val="16"/>
          <w:szCs w:val="16"/>
        </w:rPr>
        <w:footnoteRef/>
      </w:r>
      <w:r w:rsidRPr="007E04F7">
        <w:rPr>
          <w:rFonts w:cs="Verdana"/>
          <w:bCs/>
          <w:i/>
          <w:sz w:val="16"/>
          <w:szCs w:val="16"/>
          <w:lang w:val="es-CR"/>
        </w:rPr>
        <w:tab/>
      </w:r>
      <w:r w:rsidRPr="007E04F7">
        <w:rPr>
          <w:i/>
          <w:sz w:val="16"/>
          <w:szCs w:val="16"/>
          <w:lang w:val="es-CR"/>
        </w:rPr>
        <w:t>Cfr.</w:t>
      </w:r>
      <w:r w:rsidRPr="007E04F7">
        <w:rPr>
          <w:bCs/>
          <w:i/>
          <w:sz w:val="16"/>
          <w:szCs w:val="16"/>
          <w:lang w:val="es-CR"/>
        </w:rPr>
        <w:t xml:space="preserve"> Caso Velásquez Rodríguez Vs. Honduras</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sz w:val="16"/>
          <w:szCs w:val="16"/>
          <w:lang w:val="es-CR"/>
        </w:rPr>
        <w:t xml:space="preserve">párrs. 25 a 27, y </w:t>
      </w:r>
      <w:r w:rsidRPr="007E04F7">
        <w:rPr>
          <w:i/>
          <w:sz w:val="16"/>
          <w:szCs w:val="16"/>
          <w:lang w:eastAsia="es-PE"/>
        </w:rPr>
        <w:t>Caso Gorigoitía Vs. Argentina</w:t>
      </w:r>
      <w:r w:rsidRPr="007E04F7">
        <w:rPr>
          <w:i/>
          <w:sz w:val="16"/>
          <w:szCs w:val="16"/>
          <w:lang w:val="es-CR" w:eastAsia="es-PE"/>
        </w:rPr>
        <w:t>, supra</w:t>
      </w:r>
      <w:r w:rsidRPr="007E04F7">
        <w:rPr>
          <w:sz w:val="16"/>
          <w:szCs w:val="16"/>
          <w:lang w:val="es-CR" w:eastAsia="es-PE"/>
        </w:rPr>
        <w:t>,</w:t>
      </w:r>
      <w:r w:rsidRPr="007E04F7">
        <w:rPr>
          <w:i/>
          <w:sz w:val="16"/>
          <w:szCs w:val="16"/>
          <w:lang w:val="es-CR" w:eastAsia="es-PE"/>
        </w:rPr>
        <w:t xml:space="preserve"> </w:t>
      </w:r>
      <w:r w:rsidRPr="007E04F7">
        <w:rPr>
          <w:sz w:val="16"/>
          <w:szCs w:val="16"/>
          <w:lang w:val="es-CR" w:eastAsia="es-PE"/>
        </w:rPr>
        <w:t>párr. 62.</w:t>
      </w:r>
    </w:p>
  </w:footnote>
  <w:footnote w:id="241">
    <w:p w14:paraId="6F7AA5C6" w14:textId="5B7A5DE5" w:rsidR="001A2991" w:rsidRPr="007E04F7" w:rsidRDefault="001A2991" w:rsidP="0064597D">
      <w:pPr>
        <w:pStyle w:val="Textonotapie"/>
        <w:tabs>
          <w:tab w:val="left" w:pos="426"/>
          <w:tab w:val="left" w:pos="567"/>
        </w:tabs>
        <w:rPr>
          <w:b/>
          <w:sz w:val="16"/>
          <w:szCs w:val="16"/>
          <w:lang w:val="es-CR"/>
        </w:rPr>
      </w:pPr>
      <w:r w:rsidRPr="007E04F7">
        <w:rPr>
          <w:rStyle w:val="Refdenotaalpie"/>
          <w:sz w:val="16"/>
          <w:szCs w:val="16"/>
        </w:rPr>
        <w:footnoteRef/>
      </w:r>
      <w:r w:rsidRPr="007E04F7">
        <w:rPr>
          <w:sz w:val="16"/>
          <w:szCs w:val="16"/>
          <w:lang w:val="es-CR"/>
        </w:rPr>
        <w:t xml:space="preserve"> </w:t>
      </w:r>
      <w:r w:rsidRPr="007E04F7">
        <w:rPr>
          <w:sz w:val="16"/>
          <w:szCs w:val="16"/>
          <w:lang w:val="es-CR"/>
        </w:rPr>
        <w:tab/>
      </w:r>
      <w:r w:rsidRPr="007E04F7">
        <w:rPr>
          <w:sz w:val="16"/>
          <w:szCs w:val="16"/>
          <w:lang w:val="es-CR"/>
        </w:rPr>
        <w:tab/>
      </w:r>
      <w:r w:rsidRPr="007E04F7">
        <w:rPr>
          <w:i/>
          <w:sz w:val="16"/>
          <w:szCs w:val="16"/>
          <w:lang w:val="es-CR"/>
        </w:rPr>
        <w:t>Cfr</w:t>
      </w:r>
      <w:r w:rsidRPr="007E04F7">
        <w:rPr>
          <w:b/>
          <w:i/>
          <w:sz w:val="16"/>
          <w:szCs w:val="16"/>
          <w:lang w:val="es-CR"/>
        </w:rPr>
        <w:t xml:space="preserve">. </w:t>
      </w:r>
      <w:r w:rsidRPr="007E04F7">
        <w:rPr>
          <w:rStyle w:val="Textoennegrita"/>
          <w:b w:val="0"/>
          <w:i/>
          <w:sz w:val="16"/>
          <w:szCs w:val="16"/>
          <w:shd w:val="clear" w:color="auto" w:fill="FFFFFF"/>
          <w:lang w:val="es-CR"/>
        </w:rPr>
        <w:t>Caso Defensor de Derechos Humanos y otros Vs. Guatemala. Excepciones Preliminares, Fondo, Reparaciones y Costas.</w:t>
      </w:r>
      <w:r w:rsidRPr="007E04F7">
        <w:rPr>
          <w:rStyle w:val="Textoennegrita"/>
          <w:b w:val="0"/>
          <w:sz w:val="16"/>
          <w:szCs w:val="16"/>
          <w:shd w:val="clear" w:color="auto" w:fill="FFFFFF"/>
          <w:lang w:val="es-CR"/>
        </w:rPr>
        <w:t xml:space="preserve"> Sentencia de 28 de agosto de 2014. Serie C No. 283, párr. 252, y </w:t>
      </w:r>
      <w:r w:rsidRPr="007E04F7">
        <w:rPr>
          <w:rStyle w:val="Textoennegrita"/>
          <w:b w:val="0"/>
          <w:i/>
          <w:sz w:val="16"/>
          <w:szCs w:val="16"/>
          <w:shd w:val="clear" w:color="auto" w:fill="FFFFFF"/>
          <w:lang w:val="es-CR"/>
        </w:rPr>
        <w:t>Caso Munárriz Escobar y otros Vs. Perú</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rStyle w:val="Textoennegrita"/>
          <w:b w:val="0"/>
          <w:sz w:val="16"/>
          <w:szCs w:val="16"/>
          <w:shd w:val="clear" w:color="auto" w:fill="FFFFFF"/>
          <w:lang w:val="es-CR"/>
        </w:rPr>
        <w:t xml:space="preserve"> párr. 122.</w:t>
      </w:r>
    </w:p>
  </w:footnote>
  <w:footnote w:id="242">
    <w:p w14:paraId="602799B0" w14:textId="6A457213" w:rsidR="001A2991" w:rsidRPr="007E04F7" w:rsidRDefault="001A2991" w:rsidP="0064597D">
      <w:pPr>
        <w:pStyle w:val="Textonotapie"/>
        <w:tabs>
          <w:tab w:val="left" w:pos="426"/>
          <w:tab w:val="left" w:pos="567"/>
        </w:tabs>
        <w:rPr>
          <w:b/>
          <w:sz w:val="16"/>
          <w:szCs w:val="16"/>
          <w:lang w:val="es-CR"/>
        </w:rPr>
      </w:pPr>
      <w:r w:rsidRPr="007E04F7">
        <w:rPr>
          <w:rStyle w:val="Refdenotaalpie"/>
          <w:sz w:val="16"/>
          <w:szCs w:val="16"/>
        </w:rPr>
        <w:footnoteRef/>
      </w:r>
      <w:r w:rsidRPr="007E04F7">
        <w:rPr>
          <w:sz w:val="16"/>
          <w:szCs w:val="16"/>
          <w:lang w:val="es-CR"/>
        </w:rPr>
        <w:t xml:space="preserve"> </w:t>
      </w:r>
      <w:r w:rsidRPr="007E04F7">
        <w:rPr>
          <w:sz w:val="16"/>
          <w:szCs w:val="16"/>
          <w:lang w:val="es-CR"/>
        </w:rPr>
        <w:tab/>
      </w:r>
      <w:r w:rsidRPr="007E04F7">
        <w:rPr>
          <w:sz w:val="16"/>
          <w:szCs w:val="16"/>
          <w:lang w:val="es-CR"/>
        </w:rPr>
        <w:tab/>
      </w:r>
      <w:r w:rsidRPr="007E04F7">
        <w:rPr>
          <w:i/>
          <w:sz w:val="16"/>
          <w:szCs w:val="16"/>
          <w:lang w:val="es-CR"/>
        </w:rPr>
        <w:t>Cfr</w:t>
      </w:r>
      <w:r w:rsidRPr="007E04F7">
        <w:rPr>
          <w:b/>
          <w:i/>
          <w:sz w:val="16"/>
          <w:szCs w:val="16"/>
          <w:lang w:val="es-CR"/>
        </w:rPr>
        <w:t xml:space="preserve">. </w:t>
      </w:r>
      <w:r w:rsidRPr="007E04F7">
        <w:rPr>
          <w:rStyle w:val="Textoennegrita"/>
          <w:b w:val="0"/>
          <w:i/>
          <w:sz w:val="16"/>
          <w:szCs w:val="16"/>
          <w:shd w:val="clear" w:color="auto" w:fill="FFFFFF"/>
          <w:lang w:val="es-CR"/>
        </w:rPr>
        <w:t>Caso Defensor de Derechos Humanos y otros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rStyle w:val="Textoennegrita"/>
          <w:b w:val="0"/>
          <w:sz w:val="16"/>
          <w:szCs w:val="16"/>
          <w:shd w:val="clear" w:color="auto" w:fill="FFFFFF"/>
          <w:lang w:val="es-CR"/>
        </w:rPr>
        <w:t xml:space="preserve">y </w:t>
      </w:r>
      <w:r w:rsidRPr="007E04F7">
        <w:rPr>
          <w:rStyle w:val="Textoennegrita"/>
          <w:b w:val="0"/>
          <w:i/>
          <w:sz w:val="16"/>
          <w:szCs w:val="16"/>
          <w:shd w:val="clear" w:color="auto" w:fill="FFFFFF"/>
          <w:lang w:val="es-CR"/>
        </w:rPr>
        <w:t>Caso Munárriz Escobar y otros Vs. Perú</w:t>
      </w:r>
      <w:r w:rsidRPr="007E04F7">
        <w:rPr>
          <w:b/>
          <w:i/>
          <w:spacing w:val="-4"/>
          <w:sz w:val="16"/>
          <w:szCs w:val="16"/>
          <w:lang w:val="es-CR"/>
        </w:rPr>
        <w:t xml:space="preserve">, </w:t>
      </w:r>
      <w:r w:rsidRPr="007E04F7">
        <w:rPr>
          <w:i/>
          <w:spacing w:val="-4"/>
          <w:sz w:val="16"/>
          <w:szCs w:val="16"/>
          <w:lang w:val="es-CR"/>
        </w:rPr>
        <w:t>supra</w:t>
      </w:r>
      <w:r w:rsidRPr="007E04F7">
        <w:rPr>
          <w:rStyle w:val="Textoennegrita"/>
          <w:b w:val="0"/>
          <w:sz w:val="16"/>
          <w:szCs w:val="16"/>
          <w:shd w:val="clear" w:color="auto" w:fill="FFFFFF"/>
          <w:lang w:val="es-CR"/>
        </w:rPr>
        <w:t>, párr. 122.</w:t>
      </w:r>
    </w:p>
  </w:footnote>
  <w:footnote w:id="243">
    <w:p w14:paraId="0D489355" w14:textId="03D3EBC7" w:rsidR="001A2991" w:rsidRPr="007E04F7" w:rsidRDefault="001A2991" w:rsidP="0064597D">
      <w:pPr>
        <w:pStyle w:val="Textonotapie"/>
        <w:tabs>
          <w:tab w:val="left" w:pos="567"/>
        </w:tabs>
        <w:rPr>
          <w:spacing w:val="-4"/>
          <w:sz w:val="16"/>
          <w:szCs w:val="16"/>
        </w:rPr>
      </w:pPr>
      <w:r w:rsidRPr="007E04F7">
        <w:rPr>
          <w:rStyle w:val="Refdenotaalpie"/>
          <w:rFonts w:eastAsia="Calibri"/>
          <w:spacing w:val="-4"/>
          <w:sz w:val="16"/>
          <w:szCs w:val="16"/>
        </w:rPr>
        <w:footnoteRef/>
      </w:r>
      <w:r w:rsidRPr="007E04F7">
        <w:rPr>
          <w:spacing w:val="-4"/>
          <w:sz w:val="16"/>
          <w:szCs w:val="16"/>
          <w:lang w:val="pt-BR"/>
        </w:rPr>
        <w:tab/>
      </w:r>
      <w:r w:rsidRPr="007E04F7">
        <w:rPr>
          <w:i/>
          <w:iCs/>
          <w:spacing w:val="-4"/>
          <w:sz w:val="16"/>
          <w:szCs w:val="16"/>
          <w:lang w:val="pt-BR"/>
        </w:rPr>
        <w:t xml:space="preserve">Cfr. </w:t>
      </w:r>
      <w:r w:rsidRPr="007E04F7">
        <w:rPr>
          <w:i/>
          <w:iCs/>
          <w:spacing w:val="-4"/>
          <w:sz w:val="16"/>
          <w:szCs w:val="16"/>
          <w:lang w:val="es-CR"/>
        </w:rPr>
        <w:t xml:space="preserve">Caso De la Masacre de las Dos Erres Vs. Guatemala, supra, </w:t>
      </w:r>
      <w:r w:rsidRPr="007E04F7">
        <w:rPr>
          <w:iCs/>
          <w:spacing w:val="-4"/>
          <w:sz w:val="16"/>
          <w:szCs w:val="16"/>
          <w:lang w:val="es-CO"/>
        </w:rPr>
        <w:t>párr.</w:t>
      </w:r>
      <w:r w:rsidRPr="007E04F7">
        <w:rPr>
          <w:iCs/>
          <w:spacing w:val="-4"/>
          <w:sz w:val="16"/>
          <w:szCs w:val="16"/>
          <w:lang w:val="es-CR"/>
        </w:rPr>
        <w:t xml:space="preserve"> 231, y</w:t>
      </w:r>
      <w:r w:rsidRPr="007E04F7">
        <w:rPr>
          <w:i/>
          <w:iCs/>
          <w:spacing w:val="-4"/>
          <w:sz w:val="16"/>
          <w:szCs w:val="16"/>
          <w:lang w:val="es-CR"/>
        </w:rPr>
        <w:t xml:space="preserve"> </w:t>
      </w:r>
      <w:r w:rsidRPr="007E04F7">
        <w:rPr>
          <w:i/>
          <w:iCs/>
          <w:spacing w:val="-4"/>
          <w:sz w:val="16"/>
          <w:szCs w:val="16"/>
          <w:lang w:val="es-CO"/>
        </w:rPr>
        <w:t>Caso Omeara Carrascal y otros Vs. Colombia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iCs/>
          <w:spacing w:val="-4"/>
          <w:sz w:val="16"/>
          <w:szCs w:val="16"/>
          <w:lang w:val="es-CO"/>
        </w:rPr>
        <w:t>párr. 293.</w:t>
      </w:r>
    </w:p>
  </w:footnote>
  <w:footnote w:id="244">
    <w:p w14:paraId="3448E5E4" w14:textId="5CBD4748" w:rsidR="001A2991" w:rsidRPr="007E04F7" w:rsidRDefault="001A2991" w:rsidP="0064597D">
      <w:pPr>
        <w:pStyle w:val="Textonotapie"/>
        <w:tabs>
          <w:tab w:val="left" w:pos="567"/>
        </w:tabs>
        <w:rPr>
          <w:spacing w:val="-4"/>
          <w:sz w:val="16"/>
          <w:szCs w:val="16"/>
          <w:lang w:val="es-CR"/>
        </w:rPr>
      </w:pPr>
      <w:r w:rsidRPr="007E04F7">
        <w:rPr>
          <w:rStyle w:val="Refdenotaalpie"/>
          <w:spacing w:val="-4"/>
          <w:sz w:val="16"/>
          <w:szCs w:val="16"/>
        </w:rPr>
        <w:footnoteRef/>
      </w:r>
      <w:r w:rsidRPr="007E04F7">
        <w:rPr>
          <w:spacing w:val="-4"/>
          <w:sz w:val="16"/>
          <w:szCs w:val="16"/>
        </w:rPr>
        <w:t xml:space="preserve"> </w:t>
      </w:r>
      <w:r w:rsidRPr="007E04F7">
        <w:rPr>
          <w:spacing w:val="-4"/>
          <w:sz w:val="16"/>
          <w:szCs w:val="16"/>
        </w:rPr>
        <w:tab/>
      </w:r>
      <w:r w:rsidRPr="007E04F7">
        <w:rPr>
          <w:i/>
          <w:iCs/>
          <w:spacing w:val="-4"/>
          <w:sz w:val="16"/>
          <w:szCs w:val="16"/>
        </w:rPr>
        <w:t xml:space="preserve">Cfr. Caso Montero Aranguren y otros (Retén de Catia) Vs. Venezuela. Fondo, Reparaciones y Costas. </w:t>
      </w:r>
      <w:r w:rsidRPr="007E04F7">
        <w:rPr>
          <w:iCs/>
          <w:spacing w:val="-4"/>
          <w:sz w:val="16"/>
          <w:szCs w:val="16"/>
        </w:rPr>
        <w:t xml:space="preserve">Sentencia de 5 de julio de 2006. Serie C No. 150, párr. 139, y </w:t>
      </w:r>
      <w:r w:rsidRPr="007E04F7">
        <w:rPr>
          <w:i/>
          <w:iCs/>
          <w:spacing w:val="-4"/>
          <w:sz w:val="16"/>
          <w:szCs w:val="16"/>
          <w:lang w:val="es-CO"/>
        </w:rPr>
        <w:t>Caso</w:t>
      </w:r>
      <w:r w:rsidRPr="007E04F7">
        <w:rPr>
          <w:iCs/>
          <w:spacing w:val="-4"/>
          <w:sz w:val="16"/>
          <w:szCs w:val="16"/>
          <w:lang w:val="es-CO"/>
        </w:rPr>
        <w:t xml:space="preserve"> </w:t>
      </w:r>
      <w:r w:rsidRPr="007E04F7">
        <w:rPr>
          <w:i/>
          <w:iCs/>
          <w:spacing w:val="-4"/>
          <w:sz w:val="16"/>
          <w:szCs w:val="16"/>
          <w:lang w:val="es-CO"/>
        </w:rPr>
        <w:t xml:space="preserve">Terrones Silva y otros Vs. Perú. Excepciones Preliminares, Fondo, Reparaciones y Costas. </w:t>
      </w:r>
      <w:r w:rsidRPr="007E04F7">
        <w:rPr>
          <w:iCs/>
          <w:spacing w:val="-4"/>
          <w:sz w:val="16"/>
          <w:szCs w:val="16"/>
          <w:lang w:val="es-CO"/>
        </w:rPr>
        <w:t xml:space="preserve">Sentencia de 26 de septiembre de 2018. Serie </w:t>
      </w:r>
      <w:r w:rsidRPr="007E04F7">
        <w:rPr>
          <w:rStyle w:val="Textoennegrita"/>
          <w:b w:val="0"/>
          <w:sz w:val="16"/>
          <w:szCs w:val="16"/>
          <w:shd w:val="clear" w:color="auto" w:fill="FFFFFF"/>
          <w:lang w:val="es-CR"/>
        </w:rPr>
        <w:t>C No. 360</w:t>
      </w:r>
      <w:r w:rsidRPr="007E04F7">
        <w:rPr>
          <w:iCs/>
          <w:spacing w:val="-4"/>
          <w:sz w:val="16"/>
          <w:szCs w:val="16"/>
          <w:lang w:val="es-CO"/>
        </w:rPr>
        <w:t>,</w:t>
      </w:r>
      <w:r w:rsidRPr="007E04F7">
        <w:rPr>
          <w:iCs/>
          <w:spacing w:val="-4"/>
          <w:sz w:val="16"/>
          <w:szCs w:val="16"/>
          <w:lang w:val="es-CR"/>
        </w:rPr>
        <w:t xml:space="preserve"> párr. 246. </w:t>
      </w:r>
    </w:p>
  </w:footnote>
  <w:footnote w:id="245">
    <w:p w14:paraId="3CE5E776" w14:textId="49399F1A"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 Caso Comunidad Indígena Yakye Axa Vs. Paraguay. Fondo Reparaciones y Costas.</w:t>
      </w:r>
      <w:r w:rsidRPr="007E04F7">
        <w:rPr>
          <w:sz w:val="16"/>
          <w:szCs w:val="16"/>
        </w:rPr>
        <w:t xml:space="preserve"> Sentencia 17 de junio de 2005. Serie C No. 125, párr. 227, y </w:t>
      </w:r>
      <w:r w:rsidRPr="007E04F7">
        <w:rPr>
          <w:i/>
          <w:sz w:val="16"/>
          <w:szCs w:val="16"/>
          <w:lang w:eastAsia="es-PE"/>
        </w:rPr>
        <w:t>Caso Gorigoitía Vs. Argentina</w:t>
      </w:r>
      <w:r w:rsidRPr="007E04F7">
        <w:rPr>
          <w:i/>
          <w:sz w:val="16"/>
          <w:szCs w:val="16"/>
        </w:rPr>
        <w:t>, supra</w:t>
      </w:r>
      <w:r w:rsidRPr="007E04F7">
        <w:rPr>
          <w:sz w:val="16"/>
          <w:szCs w:val="16"/>
        </w:rPr>
        <w:t>, párr. 68.</w:t>
      </w:r>
    </w:p>
  </w:footnote>
  <w:footnote w:id="246">
    <w:p w14:paraId="1E5DDF63" w14:textId="04B07110"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t>Según el Estado, el régimen jurídico fundamental del procedimiento disciplinario que aplica el Tribunal de Honor del Colegio de Abogados y Notarios de Guatemala se encuentra fundamentado en los artículos 18 y 19 de la ley de Colegiación Profesional Obligatoria, Decreto No. 72-2001 del Congreso de la Republica, entre otros, sobre lo cuales la representación de las presuntas víctimas no puede alegar ignorancia.</w:t>
      </w:r>
    </w:p>
  </w:footnote>
  <w:footnote w:id="247">
    <w:p w14:paraId="3811839D" w14:textId="76102273"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Textoennegrita"/>
          <w:b w:val="0"/>
          <w:i/>
          <w:sz w:val="16"/>
          <w:szCs w:val="16"/>
        </w:rPr>
        <w:t>Caso Raxcacó Reyes Vs. Guatemala</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rStyle w:val="Textoennegrita"/>
          <w:b w:val="0"/>
          <w:sz w:val="16"/>
          <w:szCs w:val="16"/>
        </w:rPr>
        <w:t>párr. 132.</w:t>
      </w:r>
    </w:p>
  </w:footnote>
  <w:footnote w:id="248">
    <w:p w14:paraId="25789C95" w14:textId="22A20D04"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Sentencia de la Corte de Constitucionalidad de la República de Guatemala, de 17 de julio de 2012, expediente 1822-2011 (expediente de prueba, folios 6855 y 6856).</w:t>
      </w:r>
    </w:p>
  </w:footnote>
  <w:footnote w:id="249">
    <w:p w14:paraId="1AA84D11" w14:textId="7DC73B09"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w:t>
      </w:r>
      <w:r w:rsidRPr="007E04F7">
        <w:rPr>
          <w:rStyle w:val="Refdenotaalpie"/>
          <w:sz w:val="16"/>
          <w:szCs w:val="16"/>
          <w:vertAlign w:val="baseline"/>
        </w:rPr>
        <w:t>Sentencia</w:t>
      </w:r>
      <w:r w:rsidRPr="007E04F7">
        <w:rPr>
          <w:sz w:val="16"/>
          <w:szCs w:val="16"/>
        </w:rPr>
        <w:t xml:space="preserve"> de la Corte de Constitucionalidad de la República de Guatemala, de 17 de julio de 2012, expediente 1822-2011 (expediente de prueba, folio 6858).</w:t>
      </w:r>
    </w:p>
  </w:footnote>
  <w:footnote w:id="250">
    <w:p w14:paraId="31A5C27F" w14:textId="39758EE0" w:rsidR="001A2991" w:rsidRPr="007E04F7" w:rsidRDefault="001A2991" w:rsidP="0064597D">
      <w:pPr>
        <w:tabs>
          <w:tab w:val="left" w:pos="567"/>
        </w:tabs>
        <w:spacing w:line="240" w:lineRule="auto"/>
        <w:rPr>
          <w:sz w:val="16"/>
          <w:szCs w:val="16"/>
          <w:lang w:val="es-ES_tradnl"/>
        </w:rPr>
      </w:pPr>
      <w:r w:rsidRPr="007E04F7">
        <w:rPr>
          <w:rStyle w:val="Refdenotaalpie"/>
          <w:sz w:val="16"/>
          <w:szCs w:val="16"/>
        </w:rPr>
        <w:footnoteRef/>
      </w:r>
      <w:r w:rsidRPr="007E04F7">
        <w:rPr>
          <w:sz w:val="16"/>
          <w:szCs w:val="16"/>
        </w:rPr>
        <w:t xml:space="preserve"> </w:t>
      </w:r>
      <w:r w:rsidRPr="007E04F7">
        <w:rPr>
          <w:sz w:val="16"/>
          <w:szCs w:val="16"/>
        </w:rPr>
        <w:tab/>
      </w:r>
      <w:r w:rsidRPr="007E04F7">
        <w:rPr>
          <w:i/>
          <w:sz w:val="16"/>
          <w:szCs w:val="16"/>
        </w:rPr>
        <w:t>Cfr</w:t>
      </w:r>
      <w:r w:rsidRPr="007E04F7">
        <w:rPr>
          <w:sz w:val="16"/>
          <w:szCs w:val="16"/>
        </w:rPr>
        <w:t xml:space="preserve">. Sentencia de la Corte de Constitucionalidad de la República de Guatemala, de 24 de octubre de 2018, Expediente 5986-2016. </w:t>
      </w:r>
    </w:p>
  </w:footnote>
  <w:footnote w:id="251">
    <w:p w14:paraId="51828F8E" w14:textId="75094C14" w:rsidR="001A2991" w:rsidRPr="007E04F7" w:rsidRDefault="001A2991" w:rsidP="0064597D">
      <w:pPr>
        <w:tabs>
          <w:tab w:val="left" w:pos="567"/>
        </w:tabs>
        <w:spacing w:line="240" w:lineRule="auto"/>
        <w:rPr>
          <w:b/>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Arial"/>
          <w:i/>
          <w:sz w:val="16"/>
          <w:szCs w:val="16"/>
        </w:rPr>
        <w:t>Cfr. Caso Claude Reyes y otros Vs. Chile. Supervisión de Cumplimiento de Sentencia.</w:t>
      </w:r>
      <w:r w:rsidRPr="007E04F7">
        <w:rPr>
          <w:rFonts w:cs="Arial"/>
          <w:sz w:val="16"/>
          <w:szCs w:val="16"/>
        </w:rPr>
        <w:t xml:space="preserve"> Resolución de la Corte de 24 de noviembre de 2008, Considerando 19, y </w:t>
      </w:r>
      <w:r w:rsidRPr="007E04F7">
        <w:rPr>
          <w:rStyle w:val="Textoennegrita"/>
          <w:b w:val="0"/>
          <w:i/>
          <w:sz w:val="16"/>
          <w:szCs w:val="16"/>
        </w:rPr>
        <w:t>Caso Alvarado Espinoza y otros Vs. México. Fondo, Reparaciones y Costas.</w:t>
      </w:r>
      <w:r w:rsidRPr="007E04F7">
        <w:rPr>
          <w:rStyle w:val="Textoennegrita"/>
          <w:b w:val="0"/>
          <w:sz w:val="16"/>
          <w:szCs w:val="16"/>
        </w:rPr>
        <w:t xml:space="preserve"> Sentencia de 28 de noviembre de 2018. Serie C No. 370, párr. 327.</w:t>
      </w:r>
    </w:p>
  </w:footnote>
  <w:footnote w:id="252">
    <w:p w14:paraId="23E9D0D9" w14:textId="690B4EA7" w:rsidR="001A2991" w:rsidRPr="007E04F7" w:rsidRDefault="001A2991" w:rsidP="0064597D">
      <w:pPr>
        <w:tabs>
          <w:tab w:val="left" w:pos="567"/>
        </w:tabs>
        <w:spacing w:line="240" w:lineRule="auto"/>
        <w:rPr>
          <w:sz w:val="16"/>
          <w:szCs w:val="16"/>
        </w:rPr>
      </w:pPr>
      <w:r w:rsidRPr="007E04F7">
        <w:rPr>
          <w:rStyle w:val="Refdenotaalpie"/>
          <w:sz w:val="16"/>
          <w:szCs w:val="16"/>
        </w:rPr>
        <w:footnoteRef/>
      </w:r>
      <w:r w:rsidRPr="007E04F7">
        <w:rPr>
          <w:sz w:val="16"/>
          <w:szCs w:val="16"/>
        </w:rPr>
        <w:t xml:space="preserve"> </w:t>
      </w:r>
      <w:r w:rsidRPr="007E04F7">
        <w:rPr>
          <w:sz w:val="16"/>
          <w:szCs w:val="16"/>
        </w:rPr>
        <w:tab/>
      </w:r>
      <w:r w:rsidRPr="007E04F7">
        <w:rPr>
          <w:rFonts w:cs="Arial"/>
          <w:i/>
          <w:sz w:val="16"/>
          <w:szCs w:val="16"/>
        </w:rPr>
        <w:t>Cfr. Caso Bámaca Velásquez Vs. Guatemala. Reparaciones y Costas</w:t>
      </w:r>
      <w:r w:rsidRPr="007E04F7">
        <w:rPr>
          <w:sz w:val="16"/>
          <w:szCs w:val="16"/>
          <w:lang w:val="es-ES"/>
        </w:rPr>
        <w:t xml:space="preserve">, </w:t>
      </w:r>
      <w:r w:rsidRPr="007E04F7">
        <w:rPr>
          <w:i/>
          <w:sz w:val="16"/>
          <w:szCs w:val="16"/>
          <w:lang w:val="es-ES"/>
        </w:rPr>
        <w:t>supra</w:t>
      </w:r>
      <w:r w:rsidRPr="007E04F7">
        <w:rPr>
          <w:sz w:val="16"/>
          <w:szCs w:val="16"/>
          <w:lang w:val="es-ES"/>
        </w:rPr>
        <w:t xml:space="preserve">, </w:t>
      </w:r>
      <w:r w:rsidRPr="007E04F7">
        <w:rPr>
          <w:rFonts w:cs="Arial"/>
          <w:sz w:val="16"/>
          <w:szCs w:val="16"/>
        </w:rPr>
        <w:t xml:space="preserve">párr. 43, y </w:t>
      </w:r>
      <w:r w:rsidRPr="007E04F7">
        <w:rPr>
          <w:bCs/>
          <w:i/>
          <w:sz w:val="16"/>
          <w:szCs w:val="16"/>
        </w:rPr>
        <w:t>Caso</w:t>
      </w:r>
      <w:r w:rsidRPr="007E04F7">
        <w:rPr>
          <w:i/>
          <w:sz w:val="16"/>
          <w:szCs w:val="16"/>
          <w:lang w:eastAsia="es-PE"/>
        </w:rPr>
        <w:t xml:space="preserve"> Caso Gorigoitía Vs. Argentina</w:t>
      </w:r>
      <w:r w:rsidRPr="007E04F7">
        <w:rPr>
          <w:i/>
          <w:sz w:val="16"/>
          <w:szCs w:val="16"/>
        </w:rPr>
        <w:t>, supra</w:t>
      </w:r>
      <w:r w:rsidRPr="007E04F7">
        <w:rPr>
          <w:bCs/>
          <w:i/>
          <w:sz w:val="16"/>
          <w:szCs w:val="16"/>
        </w:rPr>
        <w:t xml:space="preserve">, </w:t>
      </w:r>
      <w:r w:rsidRPr="007E04F7">
        <w:rPr>
          <w:bCs/>
          <w:sz w:val="16"/>
          <w:szCs w:val="16"/>
        </w:rPr>
        <w:t>párr. 80</w:t>
      </w:r>
      <w:r w:rsidRPr="007E04F7">
        <w:rPr>
          <w:rFonts w:cs="Arial"/>
          <w:sz w:val="16"/>
          <w:szCs w:val="16"/>
        </w:rPr>
        <w:t>.</w:t>
      </w:r>
    </w:p>
  </w:footnote>
  <w:footnote w:id="253">
    <w:p w14:paraId="15917472" w14:textId="2041D53B"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Cfr. Caso de los “Niños de la Calle” (Villagrán Morales y otros) Vs. Guatemala</w:t>
      </w:r>
      <w:r w:rsidRPr="007E04F7">
        <w:rPr>
          <w:sz w:val="16"/>
          <w:szCs w:val="16"/>
        </w:rPr>
        <w:t xml:space="preserve">. </w:t>
      </w:r>
      <w:r w:rsidRPr="007E04F7">
        <w:rPr>
          <w:i/>
          <w:sz w:val="16"/>
          <w:szCs w:val="16"/>
        </w:rPr>
        <w:t xml:space="preserve">Reparaciones y Costas, supra, </w:t>
      </w:r>
      <w:r w:rsidRPr="007E04F7">
        <w:rPr>
          <w:sz w:val="16"/>
          <w:szCs w:val="16"/>
        </w:rPr>
        <w:t>párr. 84, y</w:t>
      </w:r>
      <w:r w:rsidRPr="007E04F7">
        <w:rPr>
          <w:rFonts w:cs="Arial"/>
          <w:sz w:val="16"/>
          <w:szCs w:val="16"/>
        </w:rPr>
        <w:t xml:space="preserve"> </w:t>
      </w:r>
      <w:r w:rsidRPr="007E04F7">
        <w:rPr>
          <w:bCs/>
          <w:i/>
          <w:sz w:val="16"/>
          <w:szCs w:val="16"/>
        </w:rPr>
        <w:t>Caso</w:t>
      </w:r>
      <w:r w:rsidRPr="007E04F7">
        <w:rPr>
          <w:i/>
          <w:sz w:val="16"/>
          <w:szCs w:val="16"/>
          <w:lang w:eastAsia="es-PE"/>
        </w:rPr>
        <w:t xml:space="preserve"> Gorigoitía Vs. Argentina</w:t>
      </w:r>
      <w:r w:rsidRPr="007E04F7">
        <w:rPr>
          <w:i/>
          <w:sz w:val="16"/>
          <w:szCs w:val="16"/>
        </w:rPr>
        <w:t>, supra</w:t>
      </w:r>
      <w:r w:rsidRPr="007E04F7">
        <w:rPr>
          <w:bCs/>
          <w:i/>
          <w:sz w:val="16"/>
          <w:szCs w:val="16"/>
        </w:rPr>
        <w:t xml:space="preserve">, </w:t>
      </w:r>
      <w:r w:rsidRPr="007E04F7">
        <w:rPr>
          <w:bCs/>
          <w:sz w:val="16"/>
          <w:szCs w:val="16"/>
        </w:rPr>
        <w:t>párr. 82</w:t>
      </w:r>
      <w:r w:rsidRPr="007E04F7">
        <w:rPr>
          <w:sz w:val="16"/>
          <w:szCs w:val="16"/>
        </w:rPr>
        <w:t>.</w:t>
      </w:r>
    </w:p>
  </w:footnote>
  <w:footnote w:id="254">
    <w:p w14:paraId="082D0818" w14:textId="192A528D"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rFonts w:eastAsia="Calibri"/>
          <w:bCs/>
          <w:i/>
          <w:sz w:val="16"/>
          <w:szCs w:val="16"/>
          <w:shd w:val="clear" w:color="auto" w:fill="FFFFFF"/>
        </w:rPr>
        <w:t>Caso Garrido y Baigorria Vs. Argentina. Reparaciones y Costas.</w:t>
      </w:r>
      <w:r w:rsidRPr="007E04F7">
        <w:rPr>
          <w:rFonts w:eastAsia="Calibri"/>
          <w:bCs/>
          <w:sz w:val="16"/>
          <w:szCs w:val="16"/>
          <w:shd w:val="clear" w:color="auto" w:fill="FFFFFF"/>
        </w:rPr>
        <w:t xml:space="preserve"> Sentencia de 27 de agosto de 1998. Serie C No. 39, párr. 79, y </w:t>
      </w:r>
      <w:r w:rsidRPr="007E04F7">
        <w:rPr>
          <w:bCs/>
          <w:i/>
          <w:sz w:val="16"/>
          <w:szCs w:val="16"/>
        </w:rPr>
        <w:t>Caso</w:t>
      </w:r>
      <w:r w:rsidRPr="007E04F7">
        <w:rPr>
          <w:i/>
          <w:sz w:val="16"/>
          <w:szCs w:val="16"/>
          <w:lang w:eastAsia="es-PE"/>
        </w:rPr>
        <w:t xml:space="preserve"> Gorigoitía Vs. Argentina</w:t>
      </w:r>
      <w:r w:rsidRPr="007E04F7">
        <w:rPr>
          <w:i/>
          <w:sz w:val="16"/>
          <w:szCs w:val="16"/>
        </w:rPr>
        <w:t>, supra</w:t>
      </w:r>
      <w:r w:rsidRPr="007E04F7">
        <w:rPr>
          <w:bCs/>
          <w:sz w:val="16"/>
          <w:szCs w:val="16"/>
        </w:rPr>
        <w:t>, párr. 80</w:t>
      </w:r>
      <w:r w:rsidRPr="007E04F7">
        <w:rPr>
          <w:sz w:val="16"/>
          <w:szCs w:val="16"/>
        </w:rPr>
        <w:t>.</w:t>
      </w:r>
    </w:p>
  </w:footnote>
  <w:footnote w:id="255">
    <w:p w14:paraId="429C298E" w14:textId="11E79996"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 xml:space="preserve">Cfr. </w:t>
      </w:r>
      <w:r w:rsidRPr="007E04F7">
        <w:rPr>
          <w:rFonts w:eastAsia="Calibri"/>
          <w:bCs/>
          <w:i/>
          <w:sz w:val="16"/>
          <w:szCs w:val="16"/>
          <w:shd w:val="clear" w:color="auto" w:fill="FFFFFF"/>
        </w:rPr>
        <w:t>Caso Garrido y Baigorria Vs. Argentina. Reparaciones y Costas, supra</w:t>
      </w:r>
      <w:r w:rsidRPr="007E04F7">
        <w:rPr>
          <w:sz w:val="16"/>
          <w:szCs w:val="16"/>
        </w:rPr>
        <w:t xml:space="preserve">, párr. 82, y </w:t>
      </w:r>
      <w:r w:rsidRPr="007E04F7">
        <w:rPr>
          <w:bCs/>
          <w:i/>
          <w:sz w:val="16"/>
          <w:szCs w:val="16"/>
        </w:rPr>
        <w:t>Caso</w:t>
      </w:r>
      <w:r w:rsidRPr="007E04F7">
        <w:rPr>
          <w:i/>
          <w:sz w:val="16"/>
          <w:szCs w:val="16"/>
          <w:lang w:eastAsia="es-PE"/>
        </w:rPr>
        <w:t xml:space="preserve"> Gorigoitía Vs. Argentina</w:t>
      </w:r>
      <w:r w:rsidRPr="007E04F7">
        <w:rPr>
          <w:i/>
          <w:sz w:val="16"/>
          <w:szCs w:val="16"/>
        </w:rPr>
        <w:t>, supra</w:t>
      </w:r>
      <w:r w:rsidRPr="007E04F7">
        <w:rPr>
          <w:bCs/>
          <w:i/>
          <w:sz w:val="16"/>
          <w:szCs w:val="16"/>
        </w:rPr>
        <w:t>, supra,</w:t>
      </w:r>
      <w:r w:rsidRPr="007E04F7">
        <w:rPr>
          <w:rFonts w:eastAsia="Calibri"/>
          <w:bCs/>
          <w:sz w:val="16"/>
          <w:szCs w:val="16"/>
          <w:shd w:val="clear" w:color="auto" w:fill="FFFFFF"/>
        </w:rPr>
        <w:t xml:space="preserve"> párr. 84.</w:t>
      </w:r>
    </w:p>
  </w:footnote>
  <w:footnote w:id="256">
    <w:p w14:paraId="7BF30632" w14:textId="5481E6B4"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ab/>
      </w:r>
      <w:r w:rsidR="007E04F7" w:rsidRPr="007E04F7">
        <w:rPr>
          <w:i/>
          <w:sz w:val="16"/>
          <w:szCs w:val="16"/>
        </w:rPr>
        <w:t xml:space="preserve">Cfr. </w:t>
      </w:r>
      <w:r w:rsidRPr="007E04F7">
        <w:rPr>
          <w:rFonts w:eastAsia="Calibri"/>
          <w:bCs/>
          <w:i/>
          <w:sz w:val="16"/>
          <w:szCs w:val="16"/>
          <w:shd w:val="clear" w:color="auto" w:fill="FFFFFF"/>
        </w:rPr>
        <w:t>Caso Garrido y Baigorria Vs. Argentina. Reparaciones y Costas, supra</w:t>
      </w:r>
      <w:r w:rsidRPr="007E04F7">
        <w:rPr>
          <w:sz w:val="16"/>
          <w:szCs w:val="16"/>
        </w:rPr>
        <w:t>, párrs. 79 y 82,</w:t>
      </w:r>
      <w:r w:rsidRPr="007E04F7">
        <w:rPr>
          <w:i/>
          <w:sz w:val="16"/>
          <w:szCs w:val="16"/>
        </w:rPr>
        <w:t xml:space="preserve"> </w:t>
      </w:r>
      <w:r w:rsidRPr="007E04F7">
        <w:rPr>
          <w:sz w:val="16"/>
          <w:szCs w:val="16"/>
        </w:rPr>
        <w:t>y</w:t>
      </w:r>
      <w:r w:rsidRPr="007E04F7">
        <w:rPr>
          <w:i/>
          <w:sz w:val="16"/>
          <w:szCs w:val="16"/>
        </w:rPr>
        <w:t xml:space="preserve"> </w:t>
      </w:r>
      <w:r w:rsidRPr="007E04F7">
        <w:rPr>
          <w:bCs/>
          <w:i/>
          <w:sz w:val="16"/>
          <w:szCs w:val="16"/>
        </w:rPr>
        <w:t>Caso</w:t>
      </w:r>
      <w:r w:rsidRPr="007E04F7">
        <w:rPr>
          <w:i/>
          <w:sz w:val="16"/>
          <w:szCs w:val="16"/>
          <w:lang w:eastAsia="es-PE"/>
        </w:rPr>
        <w:t xml:space="preserve"> Gorigoitía Vs. Argentina</w:t>
      </w:r>
      <w:r w:rsidRPr="007E04F7">
        <w:rPr>
          <w:i/>
          <w:sz w:val="16"/>
          <w:szCs w:val="16"/>
        </w:rPr>
        <w:t>, supra</w:t>
      </w:r>
      <w:r w:rsidRPr="007E04F7">
        <w:rPr>
          <w:bCs/>
          <w:i/>
          <w:sz w:val="16"/>
          <w:szCs w:val="16"/>
        </w:rPr>
        <w:t>, supra,</w:t>
      </w:r>
      <w:r w:rsidRPr="007E04F7">
        <w:rPr>
          <w:rFonts w:eastAsia="Calibri"/>
          <w:bCs/>
          <w:sz w:val="16"/>
          <w:szCs w:val="16"/>
          <w:shd w:val="clear" w:color="auto" w:fill="FFFFFF"/>
        </w:rPr>
        <w:t xml:space="preserve"> párr. 85</w:t>
      </w:r>
      <w:r w:rsidRPr="007E04F7">
        <w:rPr>
          <w:sz w:val="16"/>
          <w:szCs w:val="16"/>
        </w:rPr>
        <w:t>.</w:t>
      </w:r>
    </w:p>
  </w:footnote>
  <w:footnote w:id="257">
    <w:p w14:paraId="3541B5A9" w14:textId="322B7427" w:rsidR="001A2991" w:rsidRPr="007E04F7" w:rsidRDefault="001A2991" w:rsidP="0064597D">
      <w:pPr>
        <w:tabs>
          <w:tab w:val="left" w:pos="567"/>
        </w:tabs>
        <w:spacing w:line="240" w:lineRule="auto"/>
        <w:rPr>
          <w:sz w:val="16"/>
          <w:szCs w:val="16"/>
        </w:rPr>
      </w:pPr>
      <w:r w:rsidRPr="007E04F7">
        <w:rPr>
          <w:rStyle w:val="Refdenotaalpie"/>
          <w:rFonts w:eastAsia="Calibri"/>
          <w:sz w:val="16"/>
          <w:szCs w:val="16"/>
        </w:rPr>
        <w:footnoteRef/>
      </w:r>
      <w:r w:rsidRPr="007E04F7">
        <w:rPr>
          <w:sz w:val="16"/>
          <w:szCs w:val="16"/>
        </w:rPr>
        <w:t xml:space="preserve"> </w:t>
      </w:r>
      <w:r w:rsidRPr="007E04F7">
        <w:rPr>
          <w:sz w:val="16"/>
          <w:szCs w:val="16"/>
        </w:rPr>
        <w:tab/>
      </w:r>
      <w:r w:rsidRPr="007E04F7">
        <w:rPr>
          <w:i/>
          <w:sz w:val="16"/>
          <w:szCs w:val="16"/>
        </w:rPr>
        <w:t>Cfr. Caso Chaparro Álvarez y Lapo Íñiguez Vs. Ecuador, supra</w:t>
      </w:r>
      <w:r w:rsidRPr="007E04F7">
        <w:rPr>
          <w:sz w:val="16"/>
          <w:szCs w:val="16"/>
        </w:rPr>
        <w:t>, párr. 277, y</w:t>
      </w:r>
      <w:r w:rsidRPr="007E04F7">
        <w:rPr>
          <w:bCs/>
          <w:i/>
          <w:sz w:val="16"/>
          <w:szCs w:val="16"/>
        </w:rPr>
        <w:t xml:space="preserve"> Caso</w:t>
      </w:r>
      <w:r w:rsidRPr="007E04F7">
        <w:rPr>
          <w:i/>
          <w:sz w:val="16"/>
          <w:szCs w:val="16"/>
          <w:lang w:eastAsia="es-PE"/>
        </w:rPr>
        <w:t xml:space="preserve"> Gorigoitía Vs. Argentina</w:t>
      </w:r>
      <w:r w:rsidRPr="007E04F7">
        <w:rPr>
          <w:i/>
          <w:sz w:val="16"/>
          <w:szCs w:val="16"/>
        </w:rPr>
        <w:t>, supra</w:t>
      </w:r>
      <w:r w:rsidRPr="007E04F7">
        <w:rPr>
          <w:bCs/>
          <w:i/>
          <w:sz w:val="16"/>
          <w:szCs w:val="16"/>
        </w:rPr>
        <w:t xml:space="preserve">, </w:t>
      </w:r>
      <w:r w:rsidRPr="007E04F7">
        <w:rPr>
          <w:rFonts w:eastAsia="Calibri"/>
          <w:bCs/>
          <w:sz w:val="16"/>
          <w:szCs w:val="16"/>
          <w:shd w:val="clear" w:color="auto" w:fill="FFFFFF"/>
        </w:rPr>
        <w:t>párr. 85.</w:t>
      </w:r>
    </w:p>
  </w:footnote>
  <w:footnote w:id="258">
    <w:p w14:paraId="19C71265" w14:textId="77777777" w:rsidR="001A2991" w:rsidRPr="007E04F7" w:rsidRDefault="001A2991" w:rsidP="0064597D">
      <w:pPr>
        <w:pStyle w:val="Textonotapie"/>
        <w:tabs>
          <w:tab w:val="left" w:pos="567"/>
        </w:tabs>
        <w:rPr>
          <w:sz w:val="16"/>
          <w:szCs w:val="16"/>
          <w:u w:val="single"/>
          <w:lang w:val="es-CR"/>
        </w:rPr>
      </w:pPr>
      <w:r w:rsidRPr="007E04F7">
        <w:rPr>
          <w:rStyle w:val="Refdenotaalpie"/>
          <w:rFonts w:eastAsia="Calibri"/>
          <w:sz w:val="16"/>
          <w:szCs w:val="16"/>
        </w:rPr>
        <w:footnoteRef/>
      </w:r>
      <w:r w:rsidRPr="007E04F7">
        <w:rPr>
          <w:sz w:val="16"/>
          <w:szCs w:val="16"/>
          <w:lang w:val="es-CR"/>
        </w:rPr>
        <w:t xml:space="preserve"> </w:t>
      </w:r>
      <w:r w:rsidRPr="007E04F7">
        <w:rPr>
          <w:sz w:val="16"/>
          <w:szCs w:val="16"/>
          <w:lang w:val="es-CR"/>
        </w:rPr>
        <w:tab/>
      </w:r>
      <w:r w:rsidRPr="007E04F7">
        <w:rPr>
          <w:bCs/>
          <w:sz w:val="16"/>
          <w:szCs w:val="16"/>
          <w:lang w:val="es-CR"/>
        </w:rPr>
        <w:t>AG/RES. 2426 (XXXVIII-O/08),</w:t>
      </w:r>
      <w:r w:rsidRPr="007E04F7">
        <w:rPr>
          <w:rFonts w:cs="Verdana"/>
          <w:sz w:val="16"/>
          <w:szCs w:val="16"/>
          <w:lang w:val="es-CR"/>
        </w:rPr>
        <w:t xml:space="preserve"> </w:t>
      </w:r>
      <w:r w:rsidRPr="007E04F7">
        <w:rPr>
          <w:sz w:val="16"/>
          <w:szCs w:val="16"/>
          <w:lang w:val="es-CR"/>
        </w:rPr>
        <w:t xml:space="preserve">Resolución adoptada por la Asamblea General de la OEA </w:t>
      </w:r>
      <w:r w:rsidRPr="007E04F7">
        <w:rPr>
          <w:rFonts w:cs="Verdana"/>
          <w:sz w:val="16"/>
          <w:szCs w:val="16"/>
          <w:lang w:val="es-CR"/>
        </w:rPr>
        <w:t>durante la celebración del XXXVIII Período Ordinario de Sesiones de la OEA,</w:t>
      </w:r>
      <w:r w:rsidRPr="007E04F7">
        <w:rPr>
          <w:bCs/>
          <w:sz w:val="16"/>
          <w:szCs w:val="16"/>
          <w:lang w:val="es-CR"/>
        </w:rPr>
        <w:t xml:space="preserve"> </w:t>
      </w:r>
      <w:r w:rsidRPr="007E04F7">
        <w:rPr>
          <w:sz w:val="16"/>
          <w:szCs w:val="16"/>
          <w:lang w:val="es-CR"/>
        </w:rPr>
        <w:t>en la cuarta sesión plenaria,</w:t>
      </w:r>
      <w:r w:rsidRPr="007E04F7">
        <w:rPr>
          <w:bCs/>
          <w:sz w:val="16"/>
          <w:szCs w:val="16"/>
          <w:lang w:val="es-CR"/>
        </w:rPr>
        <w:t xml:space="preserve"> </w:t>
      </w:r>
      <w:r w:rsidRPr="007E04F7">
        <w:rPr>
          <w:sz w:val="16"/>
          <w:szCs w:val="16"/>
          <w:lang w:val="es-CR"/>
        </w:rPr>
        <w:t xml:space="preserve">celebrada el 3 de junio de 2008, </w:t>
      </w:r>
      <w:r w:rsidRPr="007E04F7">
        <w:rPr>
          <w:i/>
          <w:sz w:val="16"/>
          <w:szCs w:val="16"/>
          <w:lang w:val="es-CR"/>
        </w:rPr>
        <w:t>“Creación del Fondo de Asistencia Legal del Sistema Interamericano de Derechos Humanos</w:t>
      </w:r>
      <w:r w:rsidRPr="007E04F7">
        <w:rPr>
          <w:sz w:val="16"/>
          <w:szCs w:val="16"/>
          <w:lang w:val="es-CR"/>
        </w:rPr>
        <w:t>”, Punto Resolutivo 2.a</w:t>
      </w:r>
      <w:r w:rsidRPr="007E04F7">
        <w:rPr>
          <w:rFonts w:cs="Verdana"/>
          <w:sz w:val="16"/>
          <w:szCs w:val="16"/>
          <w:lang w:val="es-CR"/>
        </w:rPr>
        <w:t xml:space="preserve">), y </w:t>
      </w:r>
      <w:r w:rsidRPr="007E04F7">
        <w:rPr>
          <w:sz w:val="16"/>
          <w:szCs w:val="16"/>
          <w:lang w:val="es-CR"/>
        </w:rPr>
        <w:t>CP/RES. 963 (1728/09), Resolución adoptada el 11 de noviembre de 2009 por el Consejo Permanente de la OEA, “</w:t>
      </w:r>
      <w:r w:rsidRPr="007E04F7">
        <w:rPr>
          <w:i/>
          <w:iCs/>
          <w:sz w:val="16"/>
          <w:szCs w:val="16"/>
          <w:lang w:val="es-CR"/>
        </w:rPr>
        <w:t xml:space="preserve">Reglamento para el Funcionamiento del Fondo de Asistencia </w:t>
      </w:r>
      <w:r w:rsidRPr="007E04F7">
        <w:rPr>
          <w:iCs/>
          <w:sz w:val="16"/>
          <w:szCs w:val="16"/>
          <w:lang w:val="es-CR"/>
        </w:rPr>
        <w:t>Legal</w:t>
      </w:r>
      <w:r w:rsidRPr="007E04F7">
        <w:rPr>
          <w:i/>
          <w:iCs/>
          <w:sz w:val="16"/>
          <w:szCs w:val="16"/>
          <w:lang w:val="es-CR"/>
        </w:rPr>
        <w:t xml:space="preserve"> del Sistema Interamericano de Derechos Humanos</w:t>
      </w:r>
      <w:r w:rsidRPr="007E04F7">
        <w:rPr>
          <w:sz w:val="16"/>
          <w:szCs w:val="16"/>
          <w:lang w:val="es-CR"/>
        </w:rPr>
        <w:t>”, artículo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92B4" w14:textId="19E74EE3" w:rsidR="001A2991" w:rsidRDefault="001A29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BB9"/>
    <w:multiLevelType w:val="hybridMultilevel"/>
    <w:tmpl w:val="750245E0"/>
    <w:lvl w:ilvl="0" w:tplc="018E16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6B66"/>
    <w:multiLevelType w:val="hybridMultilevel"/>
    <w:tmpl w:val="3830D59E"/>
    <w:lvl w:ilvl="0" w:tplc="4E2A0C4C">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7271B0C"/>
    <w:multiLevelType w:val="hybridMultilevel"/>
    <w:tmpl w:val="B0FC2E86"/>
    <w:lvl w:ilvl="0" w:tplc="400C9FC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897ADC"/>
    <w:multiLevelType w:val="hybridMultilevel"/>
    <w:tmpl w:val="8EF284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FC4AE8"/>
    <w:multiLevelType w:val="hybridMultilevel"/>
    <w:tmpl w:val="7B669198"/>
    <w:lvl w:ilvl="0" w:tplc="7AA0DE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9C5BB8">
      <w:start w:val="1"/>
      <w:numFmt w:val="decimal"/>
      <w:lvlText w:val="%4."/>
      <w:lvlJc w:val="left"/>
      <w:pPr>
        <w:ind w:left="2880" w:hanging="360"/>
      </w:pPr>
      <w:rPr>
        <w:i w:val="0"/>
      </w:rPr>
    </w:lvl>
    <w:lvl w:ilvl="4" w:tplc="04090019">
      <w:start w:val="1"/>
      <w:numFmt w:val="lowerLetter"/>
      <w:lvlText w:val="%5."/>
      <w:lvlJc w:val="left"/>
      <w:pPr>
        <w:ind w:left="644" w:hanging="360"/>
      </w:pPr>
      <w:rPr>
        <w:rFonts w:hint="default"/>
      </w:rPr>
    </w:lvl>
    <w:lvl w:ilvl="5" w:tplc="B0DC9D8C">
      <w:start w:val="5"/>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07F9"/>
    <w:multiLevelType w:val="hybridMultilevel"/>
    <w:tmpl w:val="0796724C"/>
    <w:lvl w:ilvl="0" w:tplc="083431E2">
      <w:start w:val="1"/>
      <w:numFmt w:val="bullet"/>
      <w:lvlText w:val="-"/>
      <w:lvlJc w:val="left"/>
      <w:pPr>
        <w:ind w:left="720" w:hanging="360"/>
      </w:pPr>
      <w:rPr>
        <w:rFonts w:ascii="Verdana" w:eastAsiaTheme="minorHAnsi" w:hAnsi="Verdana" w:cs="Times New Roman" w:hint="default"/>
        <w:color w:val="313131"/>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D32E13"/>
    <w:multiLevelType w:val="hybridMultilevel"/>
    <w:tmpl w:val="A890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52760"/>
    <w:multiLevelType w:val="hybridMultilevel"/>
    <w:tmpl w:val="AB80F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37B61"/>
    <w:multiLevelType w:val="hybridMultilevel"/>
    <w:tmpl w:val="B77CBFE8"/>
    <w:lvl w:ilvl="0" w:tplc="B9E660D2">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0A7AE1"/>
    <w:multiLevelType w:val="multilevel"/>
    <w:tmpl w:val="976A5FA6"/>
    <w:lvl w:ilvl="0">
      <w:start w:val="1"/>
      <w:numFmt w:val="decimal"/>
      <w:lvlText w:val="%1."/>
      <w:lvlJc w:val="left"/>
      <w:pPr>
        <w:ind w:left="1211" w:hanging="360"/>
      </w:pPr>
      <w:rPr>
        <w:rFonts w:ascii="Verdana" w:hAnsi="Verdana" w:hint="default"/>
        <w:b w:val="0"/>
        <w:i w:val="0"/>
        <w:sz w:val="20"/>
        <w:szCs w:val="20"/>
        <w:lang w:val="es-CR"/>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4F17C6"/>
    <w:multiLevelType w:val="hybridMultilevel"/>
    <w:tmpl w:val="64C411CA"/>
    <w:lvl w:ilvl="0" w:tplc="04090015">
      <w:start w:val="1"/>
      <w:numFmt w:val="upperLetter"/>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FE8103F"/>
    <w:multiLevelType w:val="hybridMultilevel"/>
    <w:tmpl w:val="B1E65DDE"/>
    <w:lvl w:ilvl="0" w:tplc="0546C094">
      <w:start w:val="1"/>
      <w:numFmt w:val="decimal"/>
      <w:lvlText w:val="%1."/>
      <w:lvlJc w:val="left"/>
      <w:pPr>
        <w:ind w:left="1080" w:hanging="360"/>
      </w:pPr>
      <w:rPr>
        <w:rFonts w:hint="default"/>
      </w:rPr>
    </w:lvl>
    <w:lvl w:ilvl="1" w:tplc="9E662AE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07B10"/>
    <w:multiLevelType w:val="hybridMultilevel"/>
    <w:tmpl w:val="1A98B54A"/>
    <w:lvl w:ilvl="0" w:tplc="9FA4F6D6">
      <w:start w:val="2"/>
      <w:numFmt w:val="lowerLetter"/>
      <w:lvlText w:val="%1)"/>
      <w:lvlJc w:val="left"/>
      <w:pPr>
        <w:ind w:left="2345" w:hanging="360"/>
      </w:pPr>
    </w:lvl>
    <w:lvl w:ilvl="1" w:tplc="140A0019">
      <w:start w:val="1"/>
      <w:numFmt w:val="lowerLetter"/>
      <w:lvlText w:val="%2."/>
      <w:lvlJc w:val="left"/>
      <w:pPr>
        <w:ind w:left="3065" w:hanging="360"/>
      </w:pPr>
    </w:lvl>
    <w:lvl w:ilvl="2" w:tplc="140A001B">
      <w:start w:val="1"/>
      <w:numFmt w:val="lowerRoman"/>
      <w:lvlText w:val="%3."/>
      <w:lvlJc w:val="right"/>
      <w:pPr>
        <w:ind w:left="3785" w:hanging="180"/>
      </w:pPr>
    </w:lvl>
    <w:lvl w:ilvl="3" w:tplc="140A000F">
      <w:start w:val="1"/>
      <w:numFmt w:val="decimal"/>
      <w:lvlText w:val="%4."/>
      <w:lvlJc w:val="left"/>
      <w:pPr>
        <w:ind w:left="4505" w:hanging="360"/>
      </w:pPr>
    </w:lvl>
    <w:lvl w:ilvl="4" w:tplc="140A0019">
      <w:start w:val="1"/>
      <w:numFmt w:val="lowerLetter"/>
      <w:lvlText w:val="%5."/>
      <w:lvlJc w:val="left"/>
      <w:pPr>
        <w:ind w:left="5225" w:hanging="360"/>
      </w:pPr>
    </w:lvl>
    <w:lvl w:ilvl="5" w:tplc="140A001B">
      <w:start w:val="1"/>
      <w:numFmt w:val="lowerRoman"/>
      <w:lvlText w:val="%6."/>
      <w:lvlJc w:val="right"/>
      <w:pPr>
        <w:ind w:left="5945" w:hanging="180"/>
      </w:pPr>
    </w:lvl>
    <w:lvl w:ilvl="6" w:tplc="140A000F">
      <w:start w:val="1"/>
      <w:numFmt w:val="decimal"/>
      <w:lvlText w:val="%7."/>
      <w:lvlJc w:val="left"/>
      <w:pPr>
        <w:ind w:left="6665" w:hanging="360"/>
      </w:pPr>
    </w:lvl>
    <w:lvl w:ilvl="7" w:tplc="140A0019">
      <w:start w:val="1"/>
      <w:numFmt w:val="lowerLetter"/>
      <w:lvlText w:val="%8."/>
      <w:lvlJc w:val="left"/>
      <w:pPr>
        <w:ind w:left="7385" w:hanging="360"/>
      </w:pPr>
    </w:lvl>
    <w:lvl w:ilvl="8" w:tplc="140A001B">
      <w:start w:val="1"/>
      <w:numFmt w:val="lowerRoman"/>
      <w:lvlText w:val="%9."/>
      <w:lvlJc w:val="right"/>
      <w:pPr>
        <w:ind w:left="8105" w:hanging="180"/>
      </w:pPr>
    </w:lvl>
  </w:abstractNum>
  <w:abstractNum w:abstractNumId="16" w15:restartNumberingAfterBreak="0">
    <w:nsid w:val="36E65998"/>
    <w:multiLevelType w:val="hybridMultilevel"/>
    <w:tmpl w:val="1B120036"/>
    <w:lvl w:ilvl="0" w:tplc="670C958C">
      <w:start w:val="1"/>
      <w:numFmt w:val="decimal"/>
      <w:lvlText w:val="%1."/>
      <w:lvlJc w:val="left"/>
      <w:pPr>
        <w:ind w:left="360" w:hanging="360"/>
      </w:pPr>
      <w:rPr>
        <w:rFonts w:ascii="Verdana" w:hAnsi="Verdana" w:hint="default"/>
        <w:b w:val="0"/>
        <w:i w:val="0"/>
        <w:strike w:val="0"/>
        <w:sz w:val="20"/>
        <w:szCs w:val="20"/>
        <w:lang w:val="es-MX"/>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8792EA1"/>
    <w:multiLevelType w:val="hybridMultilevel"/>
    <w:tmpl w:val="6EB2FF94"/>
    <w:lvl w:ilvl="0" w:tplc="EF16D824">
      <w:start w:val="1"/>
      <w:numFmt w:val="decimal"/>
      <w:lvlText w:val="%1."/>
      <w:lvlJc w:val="left"/>
      <w:pPr>
        <w:ind w:left="360" w:hanging="360"/>
      </w:pPr>
      <w:rPr>
        <w:rFonts w:hint="default"/>
        <w:b w:val="0"/>
        <w:i w:val="0"/>
        <w:color w:val="auto"/>
        <w:sz w:val="20"/>
        <w:szCs w:val="20"/>
      </w:rPr>
    </w:lvl>
    <w:lvl w:ilvl="1" w:tplc="97F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C61D90"/>
    <w:multiLevelType w:val="hybridMultilevel"/>
    <w:tmpl w:val="26BC633E"/>
    <w:lvl w:ilvl="0" w:tplc="CC2E9194">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D1B5F"/>
    <w:multiLevelType w:val="hybridMultilevel"/>
    <w:tmpl w:val="F2B0DBD8"/>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15:restartNumberingAfterBreak="0">
    <w:nsid w:val="58087B72"/>
    <w:multiLevelType w:val="hybridMultilevel"/>
    <w:tmpl w:val="F55A28EA"/>
    <w:lvl w:ilvl="0" w:tplc="00B22BC8">
      <w:start w:val="1"/>
      <w:numFmt w:val="decimal"/>
      <w:lvlText w:val="%1."/>
      <w:lvlJc w:val="left"/>
      <w:pPr>
        <w:tabs>
          <w:tab w:val="num" w:pos="360"/>
        </w:tabs>
        <w:ind w:left="360" w:hanging="360"/>
      </w:pPr>
      <w:rPr>
        <w:rFonts w:ascii="Verdana" w:hAnsi="Verdana" w:cs="Times New Roman" w:hint="default"/>
        <w:b w:val="0"/>
        <w:i w:val="0"/>
        <w:strike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8C0434"/>
    <w:multiLevelType w:val="hybridMultilevel"/>
    <w:tmpl w:val="498003F6"/>
    <w:lvl w:ilvl="0" w:tplc="435EF360">
      <w:start w:val="1"/>
      <w:numFmt w:val="decimal"/>
      <w:lvlText w:val="%1."/>
      <w:lvlJc w:val="left"/>
      <w:pPr>
        <w:ind w:left="720" w:hanging="360"/>
      </w:pPr>
      <w:rPr>
        <w:rFonts w:ascii="Verdana" w:hAnsi="Verdana"/>
        <w:b w:val="0"/>
        <w:i w:val="0"/>
        <w:sz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DD86B66"/>
    <w:multiLevelType w:val="hybridMultilevel"/>
    <w:tmpl w:val="14902710"/>
    <w:lvl w:ilvl="0" w:tplc="FA0A065E">
      <w:start w:val="1"/>
      <w:numFmt w:val="lowerRoman"/>
      <w:lvlText w:val="%1)"/>
      <w:lvlJc w:val="left"/>
      <w:pPr>
        <w:ind w:left="1854" w:hanging="720"/>
      </w:pPr>
    </w:lvl>
    <w:lvl w:ilvl="1" w:tplc="F538E97A">
      <w:start w:val="1"/>
      <w:numFmt w:val="decimal"/>
      <w:lvlText w:val="%2."/>
      <w:lvlJc w:val="left"/>
      <w:pPr>
        <w:ind w:left="1800" w:hanging="360"/>
      </w:pPr>
      <w:rPr>
        <w:rFonts w:ascii="Verdana" w:hAnsi="Verdana" w:hint="default"/>
        <w:b w:val="0"/>
        <w:i w:val="0"/>
        <w:strike w:val="0"/>
        <w:dstrike w:val="0"/>
        <w:color w:val="auto"/>
        <w:sz w:val="20"/>
        <w:szCs w:val="20"/>
        <w:u w:val="none"/>
        <w:effect w:val="none"/>
        <w:lang w:val="es-ES"/>
      </w:rPr>
    </w:lvl>
    <w:lvl w:ilvl="2" w:tplc="EF566DDC">
      <w:start w:val="1"/>
      <w:numFmt w:val="upperLetter"/>
      <w:lvlText w:val="%3."/>
      <w:lvlJc w:val="left"/>
      <w:pPr>
        <w:ind w:left="0" w:firstLine="0"/>
      </w:pPr>
      <w:rPr>
        <w:b/>
        <w:i/>
      </w:r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26" w15:restartNumberingAfterBreak="0">
    <w:nsid w:val="60A0355D"/>
    <w:multiLevelType w:val="hybridMultilevel"/>
    <w:tmpl w:val="BD8050DA"/>
    <w:lvl w:ilvl="0" w:tplc="A64A01AE">
      <w:start w:val="3"/>
      <w:numFmt w:val="upperLetter"/>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28" w15:restartNumberingAfterBreak="0">
    <w:nsid w:val="6450298B"/>
    <w:multiLevelType w:val="hybridMultilevel"/>
    <w:tmpl w:val="9E3C0506"/>
    <w:lvl w:ilvl="0" w:tplc="2C5ADC88">
      <w:start w:val="1"/>
      <w:numFmt w:val="decimal"/>
      <w:lvlText w:val="%1."/>
      <w:lvlJc w:val="left"/>
      <w:pPr>
        <w:ind w:left="36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8AF4C44"/>
    <w:multiLevelType w:val="hybridMultilevel"/>
    <w:tmpl w:val="0CC4FA94"/>
    <w:lvl w:ilvl="0" w:tplc="384883AC">
      <w:start w:val="4"/>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75E32"/>
    <w:multiLevelType w:val="hybridMultilevel"/>
    <w:tmpl w:val="23FCDE72"/>
    <w:numStyleLink w:val="ImportedStyle1"/>
  </w:abstractNum>
  <w:abstractNum w:abstractNumId="31" w15:restartNumberingAfterBreak="0">
    <w:nsid w:val="6C9268B9"/>
    <w:multiLevelType w:val="hybridMultilevel"/>
    <w:tmpl w:val="896207C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F0B50CC"/>
    <w:multiLevelType w:val="hybridMultilevel"/>
    <w:tmpl w:val="CA883CFC"/>
    <w:lvl w:ilvl="0" w:tplc="0409000F">
      <w:start w:val="1"/>
      <w:numFmt w:val="decimal"/>
      <w:lvlText w:val="%1."/>
      <w:lvlJc w:val="left"/>
      <w:pPr>
        <w:ind w:left="720" w:hanging="360"/>
      </w:pPr>
      <w:rPr>
        <w:rFonts w:hint="default"/>
        <w:color w:val="313131"/>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3961595"/>
    <w:multiLevelType w:val="hybridMultilevel"/>
    <w:tmpl w:val="535C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40DAC"/>
    <w:multiLevelType w:val="hybridMultilevel"/>
    <w:tmpl w:val="08D052E0"/>
    <w:lvl w:ilvl="0" w:tplc="0C0A0015">
      <w:start w:val="1"/>
      <w:numFmt w:val="upperLetter"/>
      <w:lvlText w:val="%1."/>
      <w:lvlJc w:val="left"/>
      <w:pPr>
        <w:ind w:left="1222"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5" w15:restartNumberingAfterBreak="0">
    <w:nsid w:val="76753A80"/>
    <w:multiLevelType w:val="hybridMultilevel"/>
    <w:tmpl w:val="A44EEC14"/>
    <w:lvl w:ilvl="0" w:tplc="3F0893E6">
      <w:start w:val="1"/>
      <w:numFmt w:val="decimal"/>
      <w:lvlText w:val="%1."/>
      <w:lvlJc w:val="left"/>
      <w:pPr>
        <w:ind w:left="0" w:firstLine="0"/>
      </w:pPr>
      <w:rPr>
        <w:rFonts w:hint="default"/>
        <w:b w:val="0"/>
        <w:i w:val="0"/>
        <w:strike w:val="0"/>
        <w:dstrike w:val="0"/>
        <w:color w:val="auto"/>
        <w:sz w:val="20"/>
        <w:szCs w:val="20"/>
        <w:u w:val="none"/>
        <w:effect w:val="none"/>
        <w:lang w:val="es-ES"/>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6" w15:restartNumberingAfterBreak="0">
    <w:nsid w:val="79354707"/>
    <w:multiLevelType w:val="hybridMultilevel"/>
    <w:tmpl w:val="D3482DF2"/>
    <w:lvl w:ilvl="0" w:tplc="E878CDC4">
      <w:start w:val="1"/>
      <w:numFmt w:val="decimal"/>
      <w:lvlText w:val="%1."/>
      <w:lvlJc w:val="left"/>
      <w:pPr>
        <w:ind w:left="730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7ED21B12"/>
    <w:multiLevelType w:val="hybridMultilevel"/>
    <w:tmpl w:val="8B363210"/>
    <w:lvl w:ilvl="0" w:tplc="FF2AB168">
      <w:start w:val="1"/>
      <w:numFmt w:val="lowerLetter"/>
      <w:lvlText w:val="%1)"/>
      <w:lvlJc w:val="left"/>
      <w:pPr>
        <w:ind w:left="720" w:hanging="360"/>
      </w:pPr>
      <w:rPr>
        <w:rFonts w:ascii="Verdana" w:hAnsi="Verdana"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6EBA"/>
    <w:multiLevelType w:val="hybridMultilevel"/>
    <w:tmpl w:val="66D213A8"/>
    <w:lvl w:ilvl="0" w:tplc="14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10"/>
  </w:num>
  <w:num w:numId="4">
    <w:abstractNumId w:val="20"/>
  </w:num>
  <w:num w:numId="5">
    <w:abstractNumId w:val="34"/>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7"/>
  </w:num>
  <w:num w:numId="9">
    <w:abstractNumId w:val="35"/>
  </w:num>
  <w:num w:numId="10">
    <w:abstractNumId w:val="25"/>
  </w:num>
  <w:num w:numId="11">
    <w:abstractNumId w:val="1"/>
  </w:num>
  <w:num w:numId="12">
    <w:abstractNumId w:val="33"/>
  </w:num>
  <w:num w:numId="13">
    <w:abstractNumId w:val="16"/>
  </w:num>
  <w:num w:numId="14">
    <w:abstractNumId w:val="9"/>
  </w:num>
  <w:num w:numId="15">
    <w:abstractNumId w:val="4"/>
  </w:num>
  <w:num w:numId="16">
    <w:abstractNumId w:val="7"/>
  </w:num>
  <w:num w:numId="17">
    <w:abstractNumId w:val="19"/>
  </w:num>
  <w:num w:numId="18">
    <w:abstractNumId w:val="14"/>
  </w:num>
  <w:num w:numId="19">
    <w:abstractNumId w:val="17"/>
  </w:num>
  <w:num w:numId="20">
    <w:abstractNumId w:val="28"/>
  </w:num>
  <w:num w:numId="21">
    <w:abstractNumId w:val="23"/>
  </w:num>
  <w:num w:numId="22">
    <w:abstractNumId w:val="26"/>
  </w:num>
  <w:num w:numId="23">
    <w:abstractNumId w:val="29"/>
  </w:num>
  <w:num w:numId="24">
    <w:abstractNumId w:val="13"/>
  </w:num>
  <w:num w:numId="25">
    <w:abstractNumId w:val="6"/>
  </w:num>
  <w:num w:numId="26">
    <w:abstractNumId w:val="31"/>
  </w:num>
  <w:num w:numId="27">
    <w:abstractNumId w:val="32"/>
  </w:num>
  <w:num w:numId="28">
    <w:abstractNumId w:val="0"/>
  </w:num>
  <w:num w:numId="29">
    <w:abstractNumId w:val="5"/>
  </w:num>
  <w:num w:numId="30">
    <w:abstractNumId w:val="24"/>
  </w:num>
  <w:num w:numId="31">
    <w:abstractNumId w:val="2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0"/>
    <w:lvlOverride w:ilvl="0">
      <w:lvl w:ilvl="0" w:tplc="0EC285EC">
        <w:start w:val="1"/>
        <w:numFmt w:val="decimal"/>
        <w:lvlText w:val="%1."/>
        <w:lvlJc w:val="left"/>
        <w:pPr>
          <w:ind w:left="360" w:hanging="360"/>
        </w:pPr>
        <w:rPr>
          <w:rFonts w:hAnsi="Arial Unicode MS"/>
          <w:b w:val="0"/>
          <w:i w:val="0"/>
          <w:caps w:val="0"/>
          <w:smallCaps w:val="0"/>
          <w:strike w:val="0"/>
          <w:dstrike w:val="0"/>
          <w:outline w:val="0"/>
          <w:emboss w:val="0"/>
          <w:imprint w:val="0"/>
          <w:spacing w:val="0"/>
          <w:w w:val="100"/>
          <w:kern w:val="0"/>
          <w:position w:val="0"/>
          <w:sz w:val="20"/>
          <w:highlight w:val="none"/>
          <w:vertAlign w:val="baseline"/>
        </w:rPr>
      </w:lvl>
    </w:lvlOverride>
    <w:lvlOverride w:ilvl="1">
      <w:lvl w:ilvl="1" w:tplc="3E94053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B27544">
        <w:start w:val="1"/>
        <w:numFmt w:val="lowerRoman"/>
        <w:lvlText w:val="%3."/>
        <w:lvlJc w:val="left"/>
        <w:pPr>
          <w:ind w:left="1440"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4F5B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1A1940">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A293FC">
        <w:start w:val="1"/>
        <w:numFmt w:val="lowerRoman"/>
        <w:lvlText w:val="%6."/>
        <w:lvlJc w:val="left"/>
        <w:pPr>
          <w:ind w:left="3600"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6ABA2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584FE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FCF840">
        <w:start w:val="1"/>
        <w:numFmt w:val="lowerRoman"/>
        <w:lvlText w:val="%9."/>
        <w:lvlJc w:val="left"/>
        <w:pPr>
          <w:ind w:left="5760" w:hanging="6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
  </w:num>
  <w:num w:numId="36">
    <w:abstractNumId w:val="8"/>
  </w:num>
  <w:num w:numId="37">
    <w:abstractNumId w:val="38"/>
  </w:num>
  <w:num w:numId="38">
    <w:abstractNumId w:val="12"/>
  </w:num>
  <w:num w:numId="3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A"/>
    <w:rsid w:val="000013C4"/>
    <w:rsid w:val="0000216B"/>
    <w:rsid w:val="00004CA5"/>
    <w:rsid w:val="00005674"/>
    <w:rsid w:val="000057B2"/>
    <w:rsid w:val="000060F7"/>
    <w:rsid w:val="00006191"/>
    <w:rsid w:val="000065D4"/>
    <w:rsid w:val="000066F6"/>
    <w:rsid w:val="00006F24"/>
    <w:rsid w:val="0000748D"/>
    <w:rsid w:val="000075D9"/>
    <w:rsid w:val="00010074"/>
    <w:rsid w:val="00010713"/>
    <w:rsid w:val="0001079E"/>
    <w:rsid w:val="00011243"/>
    <w:rsid w:val="000119D9"/>
    <w:rsid w:val="00011B52"/>
    <w:rsid w:val="00013CDD"/>
    <w:rsid w:val="000145B1"/>
    <w:rsid w:val="00014C38"/>
    <w:rsid w:val="000150BB"/>
    <w:rsid w:val="000152F8"/>
    <w:rsid w:val="00015D01"/>
    <w:rsid w:val="00015E97"/>
    <w:rsid w:val="00017FB2"/>
    <w:rsid w:val="000219C2"/>
    <w:rsid w:val="00022935"/>
    <w:rsid w:val="00022EFC"/>
    <w:rsid w:val="00023A4C"/>
    <w:rsid w:val="00023C79"/>
    <w:rsid w:val="000248ED"/>
    <w:rsid w:val="00025297"/>
    <w:rsid w:val="0002534F"/>
    <w:rsid w:val="00025B68"/>
    <w:rsid w:val="00026EB0"/>
    <w:rsid w:val="0002702C"/>
    <w:rsid w:val="00027F4E"/>
    <w:rsid w:val="000302FF"/>
    <w:rsid w:val="000307C5"/>
    <w:rsid w:val="00031B06"/>
    <w:rsid w:val="00033061"/>
    <w:rsid w:val="00033407"/>
    <w:rsid w:val="00033D3F"/>
    <w:rsid w:val="00035149"/>
    <w:rsid w:val="0003516E"/>
    <w:rsid w:val="000353F2"/>
    <w:rsid w:val="00036060"/>
    <w:rsid w:val="0003622E"/>
    <w:rsid w:val="0003688E"/>
    <w:rsid w:val="00036ECB"/>
    <w:rsid w:val="00037672"/>
    <w:rsid w:val="000377EF"/>
    <w:rsid w:val="00040E00"/>
    <w:rsid w:val="00040F1D"/>
    <w:rsid w:val="0004216E"/>
    <w:rsid w:val="00042AEA"/>
    <w:rsid w:val="000437D3"/>
    <w:rsid w:val="00046D65"/>
    <w:rsid w:val="00047DCB"/>
    <w:rsid w:val="00047DD6"/>
    <w:rsid w:val="00047F6F"/>
    <w:rsid w:val="00050831"/>
    <w:rsid w:val="00050A16"/>
    <w:rsid w:val="00050E74"/>
    <w:rsid w:val="000529DE"/>
    <w:rsid w:val="00052E3A"/>
    <w:rsid w:val="00052EF0"/>
    <w:rsid w:val="00052FB4"/>
    <w:rsid w:val="000535E0"/>
    <w:rsid w:val="00054807"/>
    <w:rsid w:val="00056701"/>
    <w:rsid w:val="0005756C"/>
    <w:rsid w:val="0005766E"/>
    <w:rsid w:val="00060934"/>
    <w:rsid w:val="00060BEC"/>
    <w:rsid w:val="000622DD"/>
    <w:rsid w:val="00062341"/>
    <w:rsid w:val="00063252"/>
    <w:rsid w:val="0006358C"/>
    <w:rsid w:val="0006421B"/>
    <w:rsid w:val="00064278"/>
    <w:rsid w:val="00064DB0"/>
    <w:rsid w:val="0006563B"/>
    <w:rsid w:val="0006564C"/>
    <w:rsid w:val="00065BE5"/>
    <w:rsid w:val="000678D0"/>
    <w:rsid w:val="00067956"/>
    <w:rsid w:val="00070340"/>
    <w:rsid w:val="000707F1"/>
    <w:rsid w:val="00070F7A"/>
    <w:rsid w:val="00071411"/>
    <w:rsid w:val="00072585"/>
    <w:rsid w:val="00073696"/>
    <w:rsid w:val="000736FB"/>
    <w:rsid w:val="00073A0C"/>
    <w:rsid w:val="00073A7F"/>
    <w:rsid w:val="00073AD4"/>
    <w:rsid w:val="0007543A"/>
    <w:rsid w:val="00075902"/>
    <w:rsid w:val="00075BE0"/>
    <w:rsid w:val="000761D6"/>
    <w:rsid w:val="0007693E"/>
    <w:rsid w:val="00076CA9"/>
    <w:rsid w:val="00076D0F"/>
    <w:rsid w:val="0007793F"/>
    <w:rsid w:val="00080917"/>
    <w:rsid w:val="00081F12"/>
    <w:rsid w:val="00082EEC"/>
    <w:rsid w:val="00083381"/>
    <w:rsid w:val="000844E9"/>
    <w:rsid w:val="000876F6"/>
    <w:rsid w:val="00091056"/>
    <w:rsid w:val="000912D6"/>
    <w:rsid w:val="00092EE7"/>
    <w:rsid w:val="00094210"/>
    <w:rsid w:val="00094C95"/>
    <w:rsid w:val="00095517"/>
    <w:rsid w:val="000958F1"/>
    <w:rsid w:val="00096BA0"/>
    <w:rsid w:val="0009788A"/>
    <w:rsid w:val="000A01F8"/>
    <w:rsid w:val="000A0A5C"/>
    <w:rsid w:val="000A1014"/>
    <w:rsid w:val="000A137A"/>
    <w:rsid w:val="000A154C"/>
    <w:rsid w:val="000A3602"/>
    <w:rsid w:val="000A3B04"/>
    <w:rsid w:val="000A3CB7"/>
    <w:rsid w:val="000A46D9"/>
    <w:rsid w:val="000A4902"/>
    <w:rsid w:val="000A5CBC"/>
    <w:rsid w:val="000A63C3"/>
    <w:rsid w:val="000A63FD"/>
    <w:rsid w:val="000A74A9"/>
    <w:rsid w:val="000B0FF3"/>
    <w:rsid w:val="000B21B2"/>
    <w:rsid w:val="000B37EE"/>
    <w:rsid w:val="000B3E8C"/>
    <w:rsid w:val="000B44B4"/>
    <w:rsid w:val="000B44D3"/>
    <w:rsid w:val="000B4B2C"/>
    <w:rsid w:val="000B5710"/>
    <w:rsid w:val="000B5809"/>
    <w:rsid w:val="000B6780"/>
    <w:rsid w:val="000B6AE8"/>
    <w:rsid w:val="000B7969"/>
    <w:rsid w:val="000B7C8E"/>
    <w:rsid w:val="000C10E7"/>
    <w:rsid w:val="000C3751"/>
    <w:rsid w:val="000C375D"/>
    <w:rsid w:val="000C391B"/>
    <w:rsid w:val="000C40D9"/>
    <w:rsid w:val="000C4E98"/>
    <w:rsid w:val="000C55A0"/>
    <w:rsid w:val="000C56AE"/>
    <w:rsid w:val="000C5787"/>
    <w:rsid w:val="000C6E44"/>
    <w:rsid w:val="000C79A0"/>
    <w:rsid w:val="000D02F4"/>
    <w:rsid w:val="000D08C9"/>
    <w:rsid w:val="000D0A93"/>
    <w:rsid w:val="000D1A8F"/>
    <w:rsid w:val="000D2B22"/>
    <w:rsid w:val="000D32D0"/>
    <w:rsid w:val="000D38BD"/>
    <w:rsid w:val="000D4369"/>
    <w:rsid w:val="000D44BB"/>
    <w:rsid w:val="000D492A"/>
    <w:rsid w:val="000D4F08"/>
    <w:rsid w:val="000D6188"/>
    <w:rsid w:val="000D6D73"/>
    <w:rsid w:val="000E04B9"/>
    <w:rsid w:val="000E0660"/>
    <w:rsid w:val="000E1DAF"/>
    <w:rsid w:val="000E1E5E"/>
    <w:rsid w:val="000E2128"/>
    <w:rsid w:val="000E2677"/>
    <w:rsid w:val="000E3A01"/>
    <w:rsid w:val="000E4099"/>
    <w:rsid w:val="000E42B1"/>
    <w:rsid w:val="000E43FA"/>
    <w:rsid w:val="000E770C"/>
    <w:rsid w:val="000E7AA5"/>
    <w:rsid w:val="000F061F"/>
    <w:rsid w:val="000F08F5"/>
    <w:rsid w:val="000F0BE5"/>
    <w:rsid w:val="000F12EA"/>
    <w:rsid w:val="000F3072"/>
    <w:rsid w:val="000F32F3"/>
    <w:rsid w:val="000F398D"/>
    <w:rsid w:val="000F3A2D"/>
    <w:rsid w:val="000F40D5"/>
    <w:rsid w:val="000F43A8"/>
    <w:rsid w:val="000F44DC"/>
    <w:rsid w:val="000F64F4"/>
    <w:rsid w:val="000F670E"/>
    <w:rsid w:val="000F6998"/>
    <w:rsid w:val="000F7AD4"/>
    <w:rsid w:val="000F7C16"/>
    <w:rsid w:val="00100403"/>
    <w:rsid w:val="0010044D"/>
    <w:rsid w:val="001028F3"/>
    <w:rsid w:val="00102B3B"/>
    <w:rsid w:val="001037AF"/>
    <w:rsid w:val="00104168"/>
    <w:rsid w:val="0010513D"/>
    <w:rsid w:val="00106410"/>
    <w:rsid w:val="001065D3"/>
    <w:rsid w:val="00107357"/>
    <w:rsid w:val="00107A54"/>
    <w:rsid w:val="00110598"/>
    <w:rsid w:val="00112729"/>
    <w:rsid w:val="00113A46"/>
    <w:rsid w:val="0011607E"/>
    <w:rsid w:val="00116B13"/>
    <w:rsid w:val="00117DD1"/>
    <w:rsid w:val="00120905"/>
    <w:rsid w:val="0012098C"/>
    <w:rsid w:val="00120EE2"/>
    <w:rsid w:val="00121D96"/>
    <w:rsid w:val="00121F48"/>
    <w:rsid w:val="0012229D"/>
    <w:rsid w:val="001228C1"/>
    <w:rsid w:val="00123029"/>
    <w:rsid w:val="00123D5C"/>
    <w:rsid w:val="00124228"/>
    <w:rsid w:val="00124C0A"/>
    <w:rsid w:val="00126862"/>
    <w:rsid w:val="00126AF5"/>
    <w:rsid w:val="00126FE2"/>
    <w:rsid w:val="00127D3A"/>
    <w:rsid w:val="00130729"/>
    <w:rsid w:val="001307CB"/>
    <w:rsid w:val="00130B34"/>
    <w:rsid w:val="00130FE4"/>
    <w:rsid w:val="001319EF"/>
    <w:rsid w:val="0013206D"/>
    <w:rsid w:val="00132903"/>
    <w:rsid w:val="00132D04"/>
    <w:rsid w:val="00134281"/>
    <w:rsid w:val="001343EE"/>
    <w:rsid w:val="0013488A"/>
    <w:rsid w:val="00135293"/>
    <w:rsid w:val="00136B42"/>
    <w:rsid w:val="001406EF"/>
    <w:rsid w:val="00140896"/>
    <w:rsid w:val="00141068"/>
    <w:rsid w:val="0014173B"/>
    <w:rsid w:val="0014311E"/>
    <w:rsid w:val="0014406B"/>
    <w:rsid w:val="001448A3"/>
    <w:rsid w:val="00144FA3"/>
    <w:rsid w:val="001458EB"/>
    <w:rsid w:val="00145DDC"/>
    <w:rsid w:val="00145F74"/>
    <w:rsid w:val="00147A52"/>
    <w:rsid w:val="0015067E"/>
    <w:rsid w:val="00152ADF"/>
    <w:rsid w:val="001537CB"/>
    <w:rsid w:val="00153ECC"/>
    <w:rsid w:val="00154B0D"/>
    <w:rsid w:val="0015605B"/>
    <w:rsid w:val="00157362"/>
    <w:rsid w:val="00157F6E"/>
    <w:rsid w:val="00161121"/>
    <w:rsid w:val="001628E5"/>
    <w:rsid w:val="00162B86"/>
    <w:rsid w:val="00162D4A"/>
    <w:rsid w:val="00165892"/>
    <w:rsid w:val="00166CD6"/>
    <w:rsid w:val="00167C5B"/>
    <w:rsid w:val="001702C0"/>
    <w:rsid w:val="00170C72"/>
    <w:rsid w:val="00170CB2"/>
    <w:rsid w:val="001717EB"/>
    <w:rsid w:val="001734EC"/>
    <w:rsid w:val="001738E3"/>
    <w:rsid w:val="0017394C"/>
    <w:rsid w:val="001745CA"/>
    <w:rsid w:val="001746FB"/>
    <w:rsid w:val="00176377"/>
    <w:rsid w:val="00177A7B"/>
    <w:rsid w:val="001801E2"/>
    <w:rsid w:val="0018152C"/>
    <w:rsid w:val="001821FB"/>
    <w:rsid w:val="00182C38"/>
    <w:rsid w:val="0018438F"/>
    <w:rsid w:val="001849BA"/>
    <w:rsid w:val="001849E1"/>
    <w:rsid w:val="0018508D"/>
    <w:rsid w:val="00185335"/>
    <w:rsid w:val="00186015"/>
    <w:rsid w:val="00186067"/>
    <w:rsid w:val="001870DC"/>
    <w:rsid w:val="00187212"/>
    <w:rsid w:val="00187A72"/>
    <w:rsid w:val="00190ED5"/>
    <w:rsid w:val="001913F3"/>
    <w:rsid w:val="00192513"/>
    <w:rsid w:val="00192C3D"/>
    <w:rsid w:val="001930E0"/>
    <w:rsid w:val="00193149"/>
    <w:rsid w:val="0019317C"/>
    <w:rsid w:val="00193F2F"/>
    <w:rsid w:val="0019420B"/>
    <w:rsid w:val="001944B8"/>
    <w:rsid w:val="00194724"/>
    <w:rsid w:val="00195CC2"/>
    <w:rsid w:val="00195D49"/>
    <w:rsid w:val="00196CD7"/>
    <w:rsid w:val="00196EEB"/>
    <w:rsid w:val="00197079"/>
    <w:rsid w:val="00197242"/>
    <w:rsid w:val="00197B49"/>
    <w:rsid w:val="00197DAE"/>
    <w:rsid w:val="001A15D9"/>
    <w:rsid w:val="001A1895"/>
    <w:rsid w:val="001A1D28"/>
    <w:rsid w:val="001A2991"/>
    <w:rsid w:val="001A2CB5"/>
    <w:rsid w:val="001A30D4"/>
    <w:rsid w:val="001A37B9"/>
    <w:rsid w:val="001A3F78"/>
    <w:rsid w:val="001A423E"/>
    <w:rsid w:val="001A5DF6"/>
    <w:rsid w:val="001A75C1"/>
    <w:rsid w:val="001A78BB"/>
    <w:rsid w:val="001A7F10"/>
    <w:rsid w:val="001B0C4B"/>
    <w:rsid w:val="001B14E8"/>
    <w:rsid w:val="001B1B0D"/>
    <w:rsid w:val="001B207F"/>
    <w:rsid w:val="001B2088"/>
    <w:rsid w:val="001B3AF9"/>
    <w:rsid w:val="001B4B25"/>
    <w:rsid w:val="001B51E0"/>
    <w:rsid w:val="001B5550"/>
    <w:rsid w:val="001B55A7"/>
    <w:rsid w:val="001B7177"/>
    <w:rsid w:val="001B7560"/>
    <w:rsid w:val="001B7763"/>
    <w:rsid w:val="001C042E"/>
    <w:rsid w:val="001C114C"/>
    <w:rsid w:val="001C26E2"/>
    <w:rsid w:val="001C45D9"/>
    <w:rsid w:val="001C48C0"/>
    <w:rsid w:val="001C4BBD"/>
    <w:rsid w:val="001C5B16"/>
    <w:rsid w:val="001C6C44"/>
    <w:rsid w:val="001D0068"/>
    <w:rsid w:val="001D0959"/>
    <w:rsid w:val="001D0ACA"/>
    <w:rsid w:val="001D405A"/>
    <w:rsid w:val="001D4164"/>
    <w:rsid w:val="001D422B"/>
    <w:rsid w:val="001D427D"/>
    <w:rsid w:val="001D5713"/>
    <w:rsid w:val="001D58A5"/>
    <w:rsid w:val="001D77BB"/>
    <w:rsid w:val="001E0ACE"/>
    <w:rsid w:val="001E1177"/>
    <w:rsid w:val="001E11A2"/>
    <w:rsid w:val="001E155B"/>
    <w:rsid w:val="001E25D3"/>
    <w:rsid w:val="001E276D"/>
    <w:rsid w:val="001E308D"/>
    <w:rsid w:val="001E320B"/>
    <w:rsid w:val="001E4FB6"/>
    <w:rsid w:val="001E5887"/>
    <w:rsid w:val="001E65CF"/>
    <w:rsid w:val="001F0BF8"/>
    <w:rsid w:val="001F22F6"/>
    <w:rsid w:val="001F29D5"/>
    <w:rsid w:val="001F5C74"/>
    <w:rsid w:val="001F6712"/>
    <w:rsid w:val="001F6FA6"/>
    <w:rsid w:val="0020011A"/>
    <w:rsid w:val="002006AC"/>
    <w:rsid w:val="002009A5"/>
    <w:rsid w:val="00200BB6"/>
    <w:rsid w:val="00201195"/>
    <w:rsid w:val="00201EA7"/>
    <w:rsid w:val="002023DD"/>
    <w:rsid w:val="00203BA6"/>
    <w:rsid w:val="002042ED"/>
    <w:rsid w:val="00204840"/>
    <w:rsid w:val="00204A55"/>
    <w:rsid w:val="00204D8D"/>
    <w:rsid w:val="002055E2"/>
    <w:rsid w:val="0020592E"/>
    <w:rsid w:val="00206ABC"/>
    <w:rsid w:val="00210AB5"/>
    <w:rsid w:val="00211AEF"/>
    <w:rsid w:val="00212019"/>
    <w:rsid w:val="002122F1"/>
    <w:rsid w:val="00212522"/>
    <w:rsid w:val="002138FA"/>
    <w:rsid w:val="00213907"/>
    <w:rsid w:val="00213D67"/>
    <w:rsid w:val="0021501D"/>
    <w:rsid w:val="002152A0"/>
    <w:rsid w:val="00215B98"/>
    <w:rsid w:val="00215F5E"/>
    <w:rsid w:val="0021609F"/>
    <w:rsid w:val="00216132"/>
    <w:rsid w:val="002164DF"/>
    <w:rsid w:val="00217017"/>
    <w:rsid w:val="00217558"/>
    <w:rsid w:val="00217709"/>
    <w:rsid w:val="00217F79"/>
    <w:rsid w:val="00220A3D"/>
    <w:rsid w:val="0022106F"/>
    <w:rsid w:val="00221175"/>
    <w:rsid w:val="002240B1"/>
    <w:rsid w:val="00224143"/>
    <w:rsid w:val="002246AD"/>
    <w:rsid w:val="00224BE1"/>
    <w:rsid w:val="002252B4"/>
    <w:rsid w:val="002257B0"/>
    <w:rsid w:val="0022660A"/>
    <w:rsid w:val="0022697E"/>
    <w:rsid w:val="002269FD"/>
    <w:rsid w:val="00227A8C"/>
    <w:rsid w:val="002319CF"/>
    <w:rsid w:val="00231F17"/>
    <w:rsid w:val="0023277C"/>
    <w:rsid w:val="0023330E"/>
    <w:rsid w:val="00233BC0"/>
    <w:rsid w:val="0023533F"/>
    <w:rsid w:val="00235B47"/>
    <w:rsid w:val="00237A50"/>
    <w:rsid w:val="00240080"/>
    <w:rsid w:val="002409A6"/>
    <w:rsid w:val="00240B08"/>
    <w:rsid w:val="0024270E"/>
    <w:rsid w:val="00242A22"/>
    <w:rsid w:val="00242B93"/>
    <w:rsid w:val="00242BBD"/>
    <w:rsid w:val="00242F6B"/>
    <w:rsid w:val="002435E6"/>
    <w:rsid w:val="00243B51"/>
    <w:rsid w:val="0024432A"/>
    <w:rsid w:val="00244674"/>
    <w:rsid w:val="00244AAC"/>
    <w:rsid w:val="00244AC9"/>
    <w:rsid w:val="00244F5A"/>
    <w:rsid w:val="00245330"/>
    <w:rsid w:val="00245590"/>
    <w:rsid w:val="002456B2"/>
    <w:rsid w:val="0024686B"/>
    <w:rsid w:val="00246AB6"/>
    <w:rsid w:val="00246DC5"/>
    <w:rsid w:val="00247535"/>
    <w:rsid w:val="002479A4"/>
    <w:rsid w:val="00247B97"/>
    <w:rsid w:val="002505EE"/>
    <w:rsid w:val="002516A3"/>
    <w:rsid w:val="00251948"/>
    <w:rsid w:val="00254858"/>
    <w:rsid w:val="00254AF1"/>
    <w:rsid w:val="002553C7"/>
    <w:rsid w:val="002557EF"/>
    <w:rsid w:val="0025643C"/>
    <w:rsid w:val="00257426"/>
    <w:rsid w:val="00260BBB"/>
    <w:rsid w:val="0026108D"/>
    <w:rsid w:val="00261223"/>
    <w:rsid w:val="00261651"/>
    <w:rsid w:val="00262041"/>
    <w:rsid w:val="00262554"/>
    <w:rsid w:val="002632BC"/>
    <w:rsid w:val="002637B8"/>
    <w:rsid w:val="00263ED1"/>
    <w:rsid w:val="002645E3"/>
    <w:rsid w:val="00264E96"/>
    <w:rsid w:val="002651E1"/>
    <w:rsid w:val="00266E05"/>
    <w:rsid w:val="00266F0F"/>
    <w:rsid w:val="00267460"/>
    <w:rsid w:val="00270207"/>
    <w:rsid w:val="0027153A"/>
    <w:rsid w:val="002719F1"/>
    <w:rsid w:val="002720F1"/>
    <w:rsid w:val="00272A7E"/>
    <w:rsid w:val="002735DF"/>
    <w:rsid w:val="00273B5B"/>
    <w:rsid w:val="00274172"/>
    <w:rsid w:val="00274768"/>
    <w:rsid w:val="00276649"/>
    <w:rsid w:val="00277F1C"/>
    <w:rsid w:val="00280235"/>
    <w:rsid w:val="002808D1"/>
    <w:rsid w:val="002810A0"/>
    <w:rsid w:val="0028159D"/>
    <w:rsid w:val="0028162C"/>
    <w:rsid w:val="0028174D"/>
    <w:rsid w:val="002820AA"/>
    <w:rsid w:val="002831D5"/>
    <w:rsid w:val="002834B1"/>
    <w:rsid w:val="0028350E"/>
    <w:rsid w:val="0028383B"/>
    <w:rsid w:val="00283CC1"/>
    <w:rsid w:val="0028471D"/>
    <w:rsid w:val="00284755"/>
    <w:rsid w:val="00284F37"/>
    <w:rsid w:val="002853FA"/>
    <w:rsid w:val="0028652F"/>
    <w:rsid w:val="00286955"/>
    <w:rsid w:val="00286AC9"/>
    <w:rsid w:val="00286FFB"/>
    <w:rsid w:val="00290A9C"/>
    <w:rsid w:val="002913C3"/>
    <w:rsid w:val="00291D81"/>
    <w:rsid w:val="00291EB4"/>
    <w:rsid w:val="0029264D"/>
    <w:rsid w:val="00293026"/>
    <w:rsid w:val="002937EE"/>
    <w:rsid w:val="002946C7"/>
    <w:rsid w:val="0029495B"/>
    <w:rsid w:val="002961B3"/>
    <w:rsid w:val="00296490"/>
    <w:rsid w:val="00296B86"/>
    <w:rsid w:val="00297054"/>
    <w:rsid w:val="00297A71"/>
    <w:rsid w:val="002A0F50"/>
    <w:rsid w:val="002A1125"/>
    <w:rsid w:val="002A14C2"/>
    <w:rsid w:val="002A1702"/>
    <w:rsid w:val="002A213B"/>
    <w:rsid w:val="002A229A"/>
    <w:rsid w:val="002A2BD7"/>
    <w:rsid w:val="002A3438"/>
    <w:rsid w:val="002A4192"/>
    <w:rsid w:val="002A4980"/>
    <w:rsid w:val="002A50D3"/>
    <w:rsid w:val="002A5715"/>
    <w:rsid w:val="002A5C1E"/>
    <w:rsid w:val="002A5FA3"/>
    <w:rsid w:val="002A74AD"/>
    <w:rsid w:val="002A7893"/>
    <w:rsid w:val="002B0613"/>
    <w:rsid w:val="002B07DA"/>
    <w:rsid w:val="002B132B"/>
    <w:rsid w:val="002B2691"/>
    <w:rsid w:val="002B269F"/>
    <w:rsid w:val="002B303F"/>
    <w:rsid w:val="002B356D"/>
    <w:rsid w:val="002B39B0"/>
    <w:rsid w:val="002B3DA1"/>
    <w:rsid w:val="002B45FC"/>
    <w:rsid w:val="002B53B7"/>
    <w:rsid w:val="002B5842"/>
    <w:rsid w:val="002B619C"/>
    <w:rsid w:val="002B6893"/>
    <w:rsid w:val="002B772D"/>
    <w:rsid w:val="002C010F"/>
    <w:rsid w:val="002C074B"/>
    <w:rsid w:val="002C1451"/>
    <w:rsid w:val="002C1C60"/>
    <w:rsid w:val="002C28CF"/>
    <w:rsid w:val="002C2C9C"/>
    <w:rsid w:val="002C30DC"/>
    <w:rsid w:val="002C32D9"/>
    <w:rsid w:val="002C35F9"/>
    <w:rsid w:val="002C362C"/>
    <w:rsid w:val="002C3B61"/>
    <w:rsid w:val="002C4320"/>
    <w:rsid w:val="002C4E99"/>
    <w:rsid w:val="002C5F8C"/>
    <w:rsid w:val="002C623F"/>
    <w:rsid w:val="002C6760"/>
    <w:rsid w:val="002C7B98"/>
    <w:rsid w:val="002D0905"/>
    <w:rsid w:val="002D1857"/>
    <w:rsid w:val="002D1E2A"/>
    <w:rsid w:val="002D27C8"/>
    <w:rsid w:val="002D55D5"/>
    <w:rsid w:val="002D5CDE"/>
    <w:rsid w:val="002D65EA"/>
    <w:rsid w:val="002D7408"/>
    <w:rsid w:val="002D7A62"/>
    <w:rsid w:val="002E122C"/>
    <w:rsid w:val="002E1750"/>
    <w:rsid w:val="002E2F8E"/>
    <w:rsid w:val="002E5285"/>
    <w:rsid w:val="002E57CC"/>
    <w:rsid w:val="002E580B"/>
    <w:rsid w:val="002E5CE8"/>
    <w:rsid w:val="002F068E"/>
    <w:rsid w:val="002F3CED"/>
    <w:rsid w:val="002F3E97"/>
    <w:rsid w:val="002F3F43"/>
    <w:rsid w:val="002F4643"/>
    <w:rsid w:val="002F4F08"/>
    <w:rsid w:val="002F659E"/>
    <w:rsid w:val="002F68E5"/>
    <w:rsid w:val="002F6FF1"/>
    <w:rsid w:val="002F7699"/>
    <w:rsid w:val="002F7E29"/>
    <w:rsid w:val="00301093"/>
    <w:rsid w:val="003010AD"/>
    <w:rsid w:val="00301247"/>
    <w:rsid w:val="00301F76"/>
    <w:rsid w:val="0030240D"/>
    <w:rsid w:val="00303C70"/>
    <w:rsid w:val="003049D9"/>
    <w:rsid w:val="0030534F"/>
    <w:rsid w:val="00305F36"/>
    <w:rsid w:val="00306181"/>
    <w:rsid w:val="00306310"/>
    <w:rsid w:val="00306431"/>
    <w:rsid w:val="00306F5D"/>
    <w:rsid w:val="003074AD"/>
    <w:rsid w:val="00310B1C"/>
    <w:rsid w:val="00310CFF"/>
    <w:rsid w:val="003115BA"/>
    <w:rsid w:val="00315276"/>
    <w:rsid w:val="0031673B"/>
    <w:rsid w:val="00317299"/>
    <w:rsid w:val="00321EFA"/>
    <w:rsid w:val="003238E4"/>
    <w:rsid w:val="00324E53"/>
    <w:rsid w:val="00324EC8"/>
    <w:rsid w:val="00326050"/>
    <w:rsid w:val="00327774"/>
    <w:rsid w:val="003303B6"/>
    <w:rsid w:val="003308A6"/>
    <w:rsid w:val="00330FC5"/>
    <w:rsid w:val="003317DA"/>
    <w:rsid w:val="0033222A"/>
    <w:rsid w:val="00332333"/>
    <w:rsid w:val="00332EA2"/>
    <w:rsid w:val="003336E4"/>
    <w:rsid w:val="00333A82"/>
    <w:rsid w:val="0033473D"/>
    <w:rsid w:val="003354C4"/>
    <w:rsid w:val="0033619F"/>
    <w:rsid w:val="00340B46"/>
    <w:rsid w:val="00340D28"/>
    <w:rsid w:val="00341AF9"/>
    <w:rsid w:val="003426B1"/>
    <w:rsid w:val="00342CE6"/>
    <w:rsid w:val="00344A86"/>
    <w:rsid w:val="00345E0C"/>
    <w:rsid w:val="0034637D"/>
    <w:rsid w:val="003477D4"/>
    <w:rsid w:val="00347D38"/>
    <w:rsid w:val="00350B6D"/>
    <w:rsid w:val="00351080"/>
    <w:rsid w:val="00351636"/>
    <w:rsid w:val="003528DA"/>
    <w:rsid w:val="003529C9"/>
    <w:rsid w:val="00352E46"/>
    <w:rsid w:val="00353775"/>
    <w:rsid w:val="003544DD"/>
    <w:rsid w:val="0035451B"/>
    <w:rsid w:val="00354747"/>
    <w:rsid w:val="003556D6"/>
    <w:rsid w:val="0035665D"/>
    <w:rsid w:val="00356691"/>
    <w:rsid w:val="003567F4"/>
    <w:rsid w:val="00356804"/>
    <w:rsid w:val="00357582"/>
    <w:rsid w:val="00357CBF"/>
    <w:rsid w:val="003600BD"/>
    <w:rsid w:val="00360581"/>
    <w:rsid w:val="003607B3"/>
    <w:rsid w:val="003608A0"/>
    <w:rsid w:val="00360CA2"/>
    <w:rsid w:val="00362181"/>
    <w:rsid w:val="0036328E"/>
    <w:rsid w:val="003638DC"/>
    <w:rsid w:val="003645D3"/>
    <w:rsid w:val="003655ED"/>
    <w:rsid w:val="00365A6E"/>
    <w:rsid w:val="00365B72"/>
    <w:rsid w:val="00366AE9"/>
    <w:rsid w:val="00367583"/>
    <w:rsid w:val="003726F8"/>
    <w:rsid w:val="003745D4"/>
    <w:rsid w:val="0037622F"/>
    <w:rsid w:val="0037689D"/>
    <w:rsid w:val="003769D9"/>
    <w:rsid w:val="00377181"/>
    <w:rsid w:val="003775FA"/>
    <w:rsid w:val="0037770C"/>
    <w:rsid w:val="00380806"/>
    <w:rsid w:val="00381FEB"/>
    <w:rsid w:val="00382126"/>
    <w:rsid w:val="00382EE2"/>
    <w:rsid w:val="00383B36"/>
    <w:rsid w:val="0038419D"/>
    <w:rsid w:val="00384244"/>
    <w:rsid w:val="00384310"/>
    <w:rsid w:val="003848FC"/>
    <w:rsid w:val="003852C7"/>
    <w:rsid w:val="003861A1"/>
    <w:rsid w:val="00387DE2"/>
    <w:rsid w:val="0039078F"/>
    <w:rsid w:val="00391164"/>
    <w:rsid w:val="00391244"/>
    <w:rsid w:val="003915A2"/>
    <w:rsid w:val="00391F65"/>
    <w:rsid w:val="003924BD"/>
    <w:rsid w:val="00393372"/>
    <w:rsid w:val="00393708"/>
    <w:rsid w:val="00394ED8"/>
    <w:rsid w:val="00395CA6"/>
    <w:rsid w:val="00396489"/>
    <w:rsid w:val="003A02A7"/>
    <w:rsid w:val="003A093C"/>
    <w:rsid w:val="003A1006"/>
    <w:rsid w:val="003A1042"/>
    <w:rsid w:val="003A213F"/>
    <w:rsid w:val="003A28F1"/>
    <w:rsid w:val="003A39AF"/>
    <w:rsid w:val="003A453C"/>
    <w:rsid w:val="003A46BB"/>
    <w:rsid w:val="003A73BF"/>
    <w:rsid w:val="003A742D"/>
    <w:rsid w:val="003A7A06"/>
    <w:rsid w:val="003B0BA5"/>
    <w:rsid w:val="003B1109"/>
    <w:rsid w:val="003B19EC"/>
    <w:rsid w:val="003B1DBF"/>
    <w:rsid w:val="003B1E05"/>
    <w:rsid w:val="003B1F49"/>
    <w:rsid w:val="003B32D6"/>
    <w:rsid w:val="003B3A50"/>
    <w:rsid w:val="003B3E94"/>
    <w:rsid w:val="003B77E9"/>
    <w:rsid w:val="003C0791"/>
    <w:rsid w:val="003C0EEE"/>
    <w:rsid w:val="003C1401"/>
    <w:rsid w:val="003C179B"/>
    <w:rsid w:val="003C23AB"/>
    <w:rsid w:val="003C24B4"/>
    <w:rsid w:val="003C2FB2"/>
    <w:rsid w:val="003C32EF"/>
    <w:rsid w:val="003C3CB3"/>
    <w:rsid w:val="003C53B9"/>
    <w:rsid w:val="003C547E"/>
    <w:rsid w:val="003C5569"/>
    <w:rsid w:val="003C5989"/>
    <w:rsid w:val="003C5D40"/>
    <w:rsid w:val="003C6180"/>
    <w:rsid w:val="003C6B76"/>
    <w:rsid w:val="003C705D"/>
    <w:rsid w:val="003D261F"/>
    <w:rsid w:val="003D3DBF"/>
    <w:rsid w:val="003D696C"/>
    <w:rsid w:val="003E0573"/>
    <w:rsid w:val="003E0947"/>
    <w:rsid w:val="003E0FF8"/>
    <w:rsid w:val="003E2564"/>
    <w:rsid w:val="003E34EE"/>
    <w:rsid w:val="003E4EC0"/>
    <w:rsid w:val="003E56C3"/>
    <w:rsid w:val="003E5D3C"/>
    <w:rsid w:val="003E6311"/>
    <w:rsid w:val="003E6501"/>
    <w:rsid w:val="003E70AA"/>
    <w:rsid w:val="003E7285"/>
    <w:rsid w:val="003E7829"/>
    <w:rsid w:val="003E7FBA"/>
    <w:rsid w:val="003F07E1"/>
    <w:rsid w:val="003F1600"/>
    <w:rsid w:val="003F1D39"/>
    <w:rsid w:val="003F2799"/>
    <w:rsid w:val="003F36E4"/>
    <w:rsid w:val="003F384A"/>
    <w:rsid w:val="003F387B"/>
    <w:rsid w:val="003F3B73"/>
    <w:rsid w:val="003F3BFD"/>
    <w:rsid w:val="003F3D3E"/>
    <w:rsid w:val="003F4EE0"/>
    <w:rsid w:val="003F50D5"/>
    <w:rsid w:val="003F6359"/>
    <w:rsid w:val="003F753F"/>
    <w:rsid w:val="003F7C36"/>
    <w:rsid w:val="003F7C80"/>
    <w:rsid w:val="003F7F3B"/>
    <w:rsid w:val="00400505"/>
    <w:rsid w:val="004012DF"/>
    <w:rsid w:val="0040149D"/>
    <w:rsid w:val="00401C58"/>
    <w:rsid w:val="004047D8"/>
    <w:rsid w:val="00405581"/>
    <w:rsid w:val="004056DC"/>
    <w:rsid w:val="0041007E"/>
    <w:rsid w:val="0041172D"/>
    <w:rsid w:val="00411E7A"/>
    <w:rsid w:val="00412B60"/>
    <w:rsid w:val="00413330"/>
    <w:rsid w:val="0041336A"/>
    <w:rsid w:val="00413443"/>
    <w:rsid w:val="00413EB2"/>
    <w:rsid w:val="00413F1E"/>
    <w:rsid w:val="00413F45"/>
    <w:rsid w:val="00415312"/>
    <w:rsid w:val="00415708"/>
    <w:rsid w:val="00417419"/>
    <w:rsid w:val="00422942"/>
    <w:rsid w:val="004231D1"/>
    <w:rsid w:val="004234EB"/>
    <w:rsid w:val="00423906"/>
    <w:rsid w:val="004241F1"/>
    <w:rsid w:val="00424C61"/>
    <w:rsid w:val="004305CD"/>
    <w:rsid w:val="00430AB8"/>
    <w:rsid w:val="00430BB1"/>
    <w:rsid w:val="004318A0"/>
    <w:rsid w:val="00431B40"/>
    <w:rsid w:val="00433D0F"/>
    <w:rsid w:val="00433E51"/>
    <w:rsid w:val="004344C1"/>
    <w:rsid w:val="00434992"/>
    <w:rsid w:val="00435701"/>
    <w:rsid w:val="00435ADF"/>
    <w:rsid w:val="00435C0B"/>
    <w:rsid w:val="00435D16"/>
    <w:rsid w:val="00435EB4"/>
    <w:rsid w:val="00437A1D"/>
    <w:rsid w:val="00437D67"/>
    <w:rsid w:val="00440162"/>
    <w:rsid w:val="00440991"/>
    <w:rsid w:val="00440CDD"/>
    <w:rsid w:val="0044135F"/>
    <w:rsid w:val="00441FD4"/>
    <w:rsid w:val="0044268E"/>
    <w:rsid w:val="00442E38"/>
    <w:rsid w:val="00443028"/>
    <w:rsid w:val="00443217"/>
    <w:rsid w:val="00443761"/>
    <w:rsid w:val="00444A95"/>
    <w:rsid w:val="004452EE"/>
    <w:rsid w:val="00446567"/>
    <w:rsid w:val="00446C2F"/>
    <w:rsid w:val="00446D33"/>
    <w:rsid w:val="00446F03"/>
    <w:rsid w:val="0044766C"/>
    <w:rsid w:val="004477ED"/>
    <w:rsid w:val="00450751"/>
    <w:rsid w:val="00450C8F"/>
    <w:rsid w:val="00452569"/>
    <w:rsid w:val="0045331B"/>
    <w:rsid w:val="00453678"/>
    <w:rsid w:val="00453EEF"/>
    <w:rsid w:val="004545D6"/>
    <w:rsid w:val="00454ABB"/>
    <w:rsid w:val="00454FA9"/>
    <w:rsid w:val="00456038"/>
    <w:rsid w:val="004577B5"/>
    <w:rsid w:val="004600E0"/>
    <w:rsid w:val="00460100"/>
    <w:rsid w:val="00460191"/>
    <w:rsid w:val="00461BC4"/>
    <w:rsid w:val="0046205C"/>
    <w:rsid w:val="004626B5"/>
    <w:rsid w:val="004629B4"/>
    <w:rsid w:val="00464148"/>
    <w:rsid w:val="00464B25"/>
    <w:rsid w:val="00464E33"/>
    <w:rsid w:val="00465055"/>
    <w:rsid w:val="00465B28"/>
    <w:rsid w:val="00465B58"/>
    <w:rsid w:val="0046603C"/>
    <w:rsid w:val="004665E2"/>
    <w:rsid w:val="00467DC7"/>
    <w:rsid w:val="004701E0"/>
    <w:rsid w:val="004706DA"/>
    <w:rsid w:val="0047074F"/>
    <w:rsid w:val="00470E44"/>
    <w:rsid w:val="004711FD"/>
    <w:rsid w:val="00471435"/>
    <w:rsid w:val="00471446"/>
    <w:rsid w:val="00472CF9"/>
    <w:rsid w:val="0047300F"/>
    <w:rsid w:val="0047390F"/>
    <w:rsid w:val="00474207"/>
    <w:rsid w:val="0047425D"/>
    <w:rsid w:val="004745A1"/>
    <w:rsid w:val="00475098"/>
    <w:rsid w:val="004750B7"/>
    <w:rsid w:val="0047549E"/>
    <w:rsid w:val="0047577B"/>
    <w:rsid w:val="00476A5A"/>
    <w:rsid w:val="00476C69"/>
    <w:rsid w:val="0047705A"/>
    <w:rsid w:val="004775C8"/>
    <w:rsid w:val="00480513"/>
    <w:rsid w:val="00481B94"/>
    <w:rsid w:val="00482842"/>
    <w:rsid w:val="00482EE0"/>
    <w:rsid w:val="00482FDF"/>
    <w:rsid w:val="00483472"/>
    <w:rsid w:val="004855EA"/>
    <w:rsid w:val="004857BF"/>
    <w:rsid w:val="004862AD"/>
    <w:rsid w:val="0048770D"/>
    <w:rsid w:val="00490837"/>
    <w:rsid w:val="00490A9F"/>
    <w:rsid w:val="00491524"/>
    <w:rsid w:val="00492BBB"/>
    <w:rsid w:val="0049469F"/>
    <w:rsid w:val="00496DCE"/>
    <w:rsid w:val="00496FD7"/>
    <w:rsid w:val="00497745"/>
    <w:rsid w:val="004A111F"/>
    <w:rsid w:val="004A151F"/>
    <w:rsid w:val="004A25F0"/>
    <w:rsid w:val="004A2859"/>
    <w:rsid w:val="004A3AA0"/>
    <w:rsid w:val="004A3C2A"/>
    <w:rsid w:val="004A4AB8"/>
    <w:rsid w:val="004A5338"/>
    <w:rsid w:val="004A5464"/>
    <w:rsid w:val="004A5BAE"/>
    <w:rsid w:val="004A68FC"/>
    <w:rsid w:val="004B052F"/>
    <w:rsid w:val="004B10E9"/>
    <w:rsid w:val="004B122B"/>
    <w:rsid w:val="004B2461"/>
    <w:rsid w:val="004B28A0"/>
    <w:rsid w:val="004B3E95"/>
    <w:rsid w:val="004B460E"/>
    <w:rsid w:val="004B4A71"/>
    <w:rsid w:val="004B6592"/>
    <w:rsid w:val="004B66D1"/>
    <w:rsid w:val="004B67B1"/>
    <w:rsid w:val="004B79B0"/>
    <w:rsid w:val="004B7A62"/>
    <w:rsid w:val="004C017B"/>
    <w:rsid w:val="004C0FB0"/>
    <w:rsid w:val="004C1C0E"/>
    <w:rsid w:val="004C2B96"/>
    <w:rsid w:val="004C4393"/>
    <w:rsid w:val="004C4F04"/>
    <w:rsid w:val="004C6958"/>
    <w:rsid w:val="004C7846"/>
    <w:rsid w:val="004C7999"/>
    <w:rsid w:val="004C7A29"/>
    <w:rsid w:val="004C7B64"/>
    <w:rsid w:val="004C7E8A"/>
    <w:rsid w:val="004C7F14"/>
    <w:rsid w:val="004D17DC"/>
    <w:rsid w:val="004D2D62"/>
    <w:rsid w:val="004D3591"/>
    <w:rsid w:val="004D498D"/>
    <w:rsid w:val="004D4EA8"/>
    <w:rsid w:val="004D59B3"/>
    <w:rsid w:val="004D7AD4"/>
    <w:rsid w:val="004D7C59"/>
    <w:rsid w:val="004D7F59"/>
    <w:rsid w:val="004E1A83"/>
    <w:rsid w:val="004E1D76"/>
    <w:rsid w:val="004E20EE"/>
    <w:rsid w:val="004E2D8A"/>
    <w:rsid w:val="004E3976"/>
    <w:rsid w:val="004E3BEF"/>
    <w:rsid w:val="004E3F95"/>
    <w:rsid w:val="004E456E"/>
    <w:rsid w:val="004E505D"/>
    <w:rsid w:val="004E54E1"/>
    <w:rsid w:val="004E6B6D"/>
    <w:rsid w:val="004F0265"/>
    <w:rsid w:val="004F08B4"/>
    <w:rsid w:val="004F0A4B"/>
    <w:rsid w:val="004F0E0C"/>
    <w:rsid w:val="004F0FDE"/>
    <w:rsid w:val="004F211F"/>
    <w:rsid w:val="004F22D6"/>
    <w:rsid w:val="004F2579"/>
    <w:rsid w:val="004F2F81"/>
    <w:rsid w:val="004F2F99"/>
    <w:rsid w:val="004F338B"/>
    <w:rsid w:val="004F4BB5"/>
    <w:rsid w:val="004F4C08"/>
    <w:rsid w:val="004F526E"/>
    <w:rsid w:val="004F5346"/>
    <w:rsid w:val="004F53EE"/>
    <w:rsid w:val="004F6A65"/>
    <w:rsid w:val="004F6D4D"/>
    <w:rsid w:val="00500CBB"/>
    <w:rsid w:val="00501A8D"/>
    <w:rsid w:val="00503324"/>
    <w:rsid w:val="00503EF7"/>
    <w:rsid w:val="0050411F"/>
    <w:rsid w:val="0050560E"/>
    <w:rsid w:val="00506766"/>
    <w:rsid w:val="0050759D"/>
    <w:rsid w:val="00507C7E"/>
    <w:rsid w:val="005101FE"/>
    <w:rsid w:val="00511351"/>
    <w:rsid w:val="00511FCE"/>
    <w:rsid w:val="00512D19"/>
    <w:rsid w:val="00512F82"/>
    <w:rsid w:val="00514160"/>
    <w:rsid w:val="00514EB7"/>
    <w:rsid w:val="00514FFE"/>
    <w:rsid w:val="00515450"/>
    <w:rsid w:val="00515BF9"/>
    <w:rsid w:val="0051609B"/>
    <w:rsid w:val="00516502"/>
    <w:rsid w:val="00516703"/>
    <w:rsid w:val="00516A4A"/>
    <w:rsid w:val="00520B82"/>
    <w:rsid w:val="00520D6C"/>
    <w:rsid w:val="00520FDF"/>
    <w:rsid w:val="0052226A"/>
    <w:rsid w:val="00522F18"/>
    <w:rsid w:val="00523392"/>
    <w:rsid w:val="00523F9A"/>
    <w:rsid w:val="0052408B"/>
    <w:rsid w:val="00524D5A"/>
    <w:rsid w:val="0052607C"/>
    <w:rsid w:val="0052664C"/>
    <w:rsid w:val="00526FFF"/>
    <w:rsid w:val="00527513"/>
    <w:rsid w:val="00527F6E"/>
    <w:rsid w:val="00530469"/>
    <w:rsid w:val="0053047C"/>
    <w:rsid w:val="00530E0E"/>
    <w:rsid w:val="005316CD"/>
    <w:rsid w:val="00531A7F"/>
    <w:rsid w:val="00531E10"/>
    <w:rsid w:val="005326E7"/>
    <w:rsid w:val="005326EE"/>
    <w:rsid w:val="00533495"/>
    <w:rsid w:val="00533E03"/>
    <w:rsid w:val="005342A1"/>
    <w:rsid w:val="00534B08"/>
    <w:rsid w:val="00535D08"/>
    <w:rsid w:val="005363F5"/>
    <w:rsid w:val="0053644F"/>
    <w:rsid w:val="00536789"/>
    <w:rsid w:val="0053696C"/>
    <w:rsid w:val="00537AAE"/>
    <w:rsid w:val="00541480"/>
    <w:rsid w:val="005422E8"/>
    <w:rsid w:val="00543708"/>
    <w:rsid w:val="00543B2B"/>
    <w:rsid w:val="00544438"/>
    <w:rsid w:val="00544540"/>
    <w:rsid w:val="00544A4C"/>
    <w:rsid w:val="00544B95"/>
    <w:rsid w:val="0054505B"/>
    <w:rsid w:val="00546083"/>
    <w:rsid w:val="0054685E"/>
    <w:rsid w:val="00546DAF"/>
    <w:rsid w:val="00547AF8"/>
    <w:rsid w:val="00547C14"/>
    <w:rsid w:val="00547D2B"/>
    <w:rsid w:val="00547EDC"/>
    <w:rsid w:val="00550059"/>
    <w:rsid w:val="00550A16"/>
    <w:rsid w:val="00550AE7"/>
    <w:rsid w:val="00550C28"/>
    <w:rsid w:val="00550E2B"/>
    <w:rsid w:val="005511F3"/>
    <w:rsid w:val="00551C20"/>
    <w:rsid w:val="00554111"/>
    <w:rsid w:val="005549F0"/>
    <w:rsid w:val="005557D1"/>
    <w:rsid w:val="00556287"/>
    <w:rsid w:val="005578E2"/>
    <w:rsid w:val="005578F2"/>
    <w:rsid w:val="0056007C"/>
    <w:rsid w:val="005613A1"/>
    <w:rsid w:val="00561ADA"/>
    <w:rsid w:val="005635EB"/>
    <w:rsid w:val="00563EE4"/>
    <w:rsid w:val="005640AA"/>
    <w:rsid w:val="00564ACD"/>
    <w:rsid w:val="00566C5B"/>
    <w:rsid w:val="005675BD"/>
    <w:rsid w:val="0057079D"/>
    <w:rsid w:val="005708A8"/>
    <w:rsid w:val="00571690"/>
    <w:rsid w:val="0057191B"/>
    <w:rsid w:val="00571992"/>
    <w:rsid w:val="00571E99"/>
    <w:rsid w:val="00572145"/>
    <w:rsid w:val="0057248E"/>
    <w:rsid w:val="00572A96"/>
    <w:rsid w:val="00572BBA"/>
    <w:rsid w:val="005751DC"/>
    <w:rsid w:val="005758EC"/>
    <w:rsid w:val="00575B8D"/>
    <w:rsid w:val="0057717B"/>
    <w:rsid w:val="00577676"/>
    <w:rsid w:val="00577A4F"/>
    <w:rsid w:val="00577CD7"/>
    <w:rsid w:val="00577FD4"/>
    <w:rsid w:val="00580200"/>
    <w:rsid w:val="005806EC"/>
    <w:rsid w:val="00581B20"/>
    <w:rsid w:val="00583158"/>
    <w:rsid w:val="00584672"/>
    <w:rsid w:val="0058518E"/>
    <w:rsid w:val="0058615A"/>
    <w:rsid w:val="005878E4"/>
    <w:rsid w:val="00587F1F"/>
    <w:rsid w:val="00590100"/>
    <w:rsid w:val="005903CE"/>
    <w:rsid w:val="00590D63"/>
    <w:rsid w:val="0059166A"/>
    <w:rsid w:val="00591CFF"/>
    <w:rsid w:val="00592719"/>
    <w:rsid w:val="00593AF8"/>
    <w:rsid w:val="005947FA"/>
    <w:rsid w:val="00594CC8"/>
    <w:rsid w:val="00595125"/>
    <w:rsid w:val="0059591B"/>
    <w:rsid w:val="00596660"/>
    <w:rsid w:val="005978C8"/>
    <w:rsid w:val="00597C30"/>
    <w:rsid w:val="00597CEA"/>
    <w:rsid w:val="005A024F"/>
    <w:rsid w:val="005A120A"/>
    <w:rsid w:val="005A2275"/>
    <w:rsid w:val="005A27C2"/>
    <w:rsid w:val="005A280E"/>
    <w:rsid w:val="005A4FA2"/>
    <w:rsid w:val="005A51EB"/>
    <w:rsid w:val="005A6C94"/>
    <w:rsid w:val="005A6F14"/>
    <w:rsid w:val="005A78F5"/>
    <w:rsid w:val="005A7D52"/>
    <w:rsid w:val="005B0269"/>
    <w:rsid w:val="005B103B"/>
    <w:rsid w:val="005B12EE"/>
    <w:rsid w:val="005B1C1A"/>
    <w:rsid w:val="005B20E9"/>
    <w:rsid w:val="005B3DD7"/>
    <w:rsid w:val="005B4E7A"/>
    <w:rsid w:val="005B4FCC"/>
    <w:rsid w:val="005B6C22"/>
    <w:rsid w:val="005B6CD2"/>
    <w:rsid w:val="005B7074"/>
    <w:rsid w:val="005C03B8"/>
    <w:rsid w:val="005C04FA"/>
    <w:rsid w:val="005C1450"/>
    <w:rsid w:val="005C25D2"/>
    <w:rsid w:val="005C264A"/>
    <w:rsid w:val="005C2AAD"/>
    <w:rsid w:val="005C2D9E"/>
    <w:rsid w:val="005C4001"/>
    <w:rsid w:val="005C4246"/>
    <w:rsid w:val="005C543F"/>
    <w:rsid w:val="005C5820"/>
    <w:rsid w:val="005C61DE"/>
    <w:rsid w:val="005C69CC"/>
    <w:rsid w:val="005C7849"/>
    <w:rsid w:val="005C7C1D"/>
    <w:rsid w:val="005D0137"/>
    <w:rsid w:val="005D0D0E"/>
    <w:rsid w:val="005D1064"/>
    <w:rsid w:val="005D185D"/>
    <w:rsid w:val="005D196C"/>
    <w:rsid w:val="005D1DE5"/>
    <w:rsid w:val="005D1ECE"/>
    <w:rsid w:val="005D474E"/>
    <w:rsid w:val="005D6B82"/>
    <w:rsid w:val="005D6C40"/>
    <w:rsid w:val="005D7503"/>
    <w:rsid w:val="005E05C5"/>
    <w:rsid w:val="005E1C79"/>
    <w:rsid w:val="005E239B"/>
    <w:rsid w:val="005E2F32"/>
    <w:rsid w:val="005E31D9"/>
    <w:rsid w:val="005E3406"/>
    <w:rsid w:val="005E3DA0"/>
    <w:rsid w:val="005E4404"/>
    <w:rsid w:val="005E4AD2"/>
    <w:rsid w:val="005E54DC"/>
    <w:rsid w:val="005E5BE8"/>
    <w:rsid w:val="005E72BA"/>
    <w:rsid w:val="005E7446"/>
    <w:rsid w:val="005E75B0"/>
    <w:rsid w:val="005E7C33"/>
    <w:rsid w:val="005E7F49"/>
    <w:rsid w:val="005F0058"/>
    <w:rsid w:val="005F0ACC"/>
    <w:rsid w:val="005F18DA"/>
    <w:rsid w:val="005F196B"/>
    <w:rsid w:val="005F2BA3"/>
    <w:rsid w:val="005F2FF2"/>
    <w:rsid w:val="005F328A"/>
    <w:rsid w:val="005F3292"/>
    <w:rsid w:val="005F3ED6"/>
    <w:rsid w:val="005F5047"/>
    <w:rsid w:val="005F52E1"/>
    <w:rsid w:val="005F53D8"/>
    <w:rsid w:val="005F58B8"/>
    <w:rsid w:val="005F5E39"/>
    <w:rsid w:val="005F60A8"/>
    <w:rsid w:val="005F7B7C"/>
    <w:rsid w:val="005F7BE2"/>
    <w:rsid w:val="005F7CBF"/>
    <w:rsid w:val="00600C58"/>
    <w:rsid w:val="006013DB"/>
    <w:rsid w:val="0060435D"/>
    <w:rsid w:val="0060490C"/>
    <w:rsid w:val="00604C41"/>
    <w:rsid w:val="00604E7C"/>
    <w:rsid w:val="00606A42"/>
    <w:rsid w:val="006077BD"/>
    <w:rsid w:val="00611331"/>
    <w:rsid w:val="00611992"/>
    <w:rsid w:val="00611CB5"/>
    <w:rsid w:val="00612B90"/>
    <w:rsid w:val="006141EE"/>
    <w:rsid w:val="00614E0E"/>
    <w:rsid w:val="00614F8A"/>
    <w:rsid w:val="0061682C"/>
    <w:rsid w:val="00616D47"/>
    <w:rsid w:val="00616F2F"/>
    <w:rsid w:val="00617256"/>
    <w:rsid w:val="006175B8"/>
    <w:rsid w:val="006179A5"/>
    <w:rsid w:val="00622AC2"/>
    <w:rsid w:val="00622D9B"/>
    <w:rsid w:val="0062359F"/>
    <w:rsid w:val="0062451B"/>
    <w:rsid w:val="0062591E"/>
    <w:rsid w:val="006265AC"/>
    <w:rsid w:val="006271B2"/>
    <w:rsid w:val="00627737"/>
    <w:rsid w:val="00627ED4"/>
    <w:rsid w:val="00630324"/>
    <w:rsid w:val="006315DA"/>
    <w:rsid w:val="00631FB6"/>
    <w:rsid w:val="006322C2"/>
    <w:rsid w:val="006340BD"/>
    <w:rsid w:val="006343E0"/>
    <w:rsid w:val="00634647"/>
    <w:rsid w:val="00634721"/>
    <w:rsid w:val="006350CB"/>
    <w:rsid w:val="00635422"/>
    <w:rsid w:val="00635B6D"/>
    <w:rsid w:val="00635BDE"/>
    <w:rsid w:val="006365CE"/>
    <w:rsid w:val="006366C9"/>
    <w:rsid w:val="006368FC"/>
    <w:rsid w:val="00636C40"/>
    <w:rsid w:val="00637174"/>
    <w:rsid w:val="00637BEE"/>
    <w:rsid w:val="00637D34"/>
    <w:rsid w:val="00637F84"/>
    <w:rsid w:val="00642788"/>
    <w:rsid w:val="006436F4"/>
    <w:rsid w:val="00644DCA"/>
    <w:rsid w:val="00645336"/>
    <w:rsid w:val="006458EF"/>
    <w:rsid w:val="0064597D"/>
    <w:rsid w:val="00645F87"/>
    <w:rsid w:val="0064633A"/>
    <w:rsid w:val="00646E7A"/>
    <w:rsid w:val="00646F24"/>
    <w:rsid w:val="006473EA"/>
    <w:rsid w:val="006514D7"/>
    <w:rsid w:val="00651681"/>
    <w:rsid w:val="00652A11"/>
    <w:rsid w:val="00652ABF"/>
    <w:rsid w:val="00652E0E"/>
    <w:rsid w:val="00652FEF"/>
    <w:rsid w:val="0065333E"/>
    <w:rsid w:val="00653653"/>
    <w:rsid w:val="00653921"/>
    <w:rsid w:val="00654F55"/>
    <w:rsid w:val="006552C8"/>
    <w:rsid w:val="00655711"/>
    <w:rsid w:val="00655865"/>
    <w:rsid w:val="00655884"/>
    <w:rsid w:val="00656033"/>
    <w:rsid w:val="00656467"/>
    <w:rsid w:val="006603F9"/>
    <w:rsid w:val="00660DBD"/>
    <w:rsid w:val="00660ED5"/>
    <w:rsid w:val="0066155D"/>
    <w:rsid w:val="00662427"/>
    <w:rsid w:val="0066387A"/>
    <w:rsid w:val="00663D4F"/>
    <w:rsid w:val="00663EBC"/>
    <w:rsid w:val="006653BE"/>
    <w:rsid w:val="00665B1E"/>
    <w:rsid w:val="0066744D"/>
    <w:rsid w:val="0067044D"/>
    <w:rsid w:val="00671499"/>
    <w:rsid w:val="00672802"/>
    <w:rsid w:val="0067281C"/>
    <w:rsid w:val="00673A8B"/>
    <w:rsid w:val="00673D2A"/>
    <w:rsid w:val="00674191"/>
    <w:rsid w:val="00675C89"/>
    <w:rsid w:val="00675F41"/>
    <w:rsid w:val="00676191"/>
    <w:rsid w:val="0067650E"/>
    <w:rsid w:val="00676FA0"/>
    <w:rsid w:val="00677C2C"/>
    <w:rsid w:val="00677C8B"/>
    <w:rsid w:val="00680C3F"/>
    <w:rsid w:val="00681277"/>
    <w:rsid w:val="00682328"/>
    <w:rsid w:val="00682C38"/>
    <w:rsid w:val="0068357F"/>
    <w:rsid w:val="00683D83"/>
    <w:rsid w:val="00684AF1"/>
    <w:rsid w:val="006861AB"/>
    <w:rsid w:val="00686C3E"/>
    <w:rsid w:val="00687660"/>
    <w:rsid w:val="006876E2"/>
    <w:rsid w:val="00690E7C"/>
    <w:rsid w:val="0069110A"/>
    <w:rsid w:val="00691C91"/>
    <w:rsid w:val="006925C7"/>
    <w:rsid w:val="006957D9"/>
    <w:rsid w:val="006958DA"/>
    <w:rsid w:val="0069628A"/>
    <w:rsid w:val="00696691"/>
    <w:rsid w:val="00697237"/>
    <w:rsid w:val="00697FC0"/>
    <w:rsid w:val="006A1057"/>
    <w:rsid w:val="006A16F9"/>
    <w:rsid w:val="006A2A72"/>
    <w:rsid w:val="006A3145"/>
    <w:rsid w:val="006A38DF"/>
    <w:rsid w:val="006A4CBB"/>
    <w:rsid w:val="006A62C3"/>
    <w:rsid w:val="006A6D7B"/>
    <w:rsid w:val="006B098D"/>
    <w:rsid w:val="006B1543"/>
    <w:rsid w:val="006B1E41"/>
    <w:rsid w:val="006B3733"/>
    <w:rsid w:val="006B3C01"/>
    <w:rsid w:val="006B3F35"/>
    <w:rsid w:val="006B597B"/>
    <w:rsid w:val="006B5E0C"/>
    <w:rsid w:val="006B6390"/>
    <w:rsid w:val="006B6908"/>
    <w:rsid w:val="006B6C6F"/>
    <w:rsid w:val="006C0629"/>
    <w:rsid w:val="006C102D"/>
    <w:rsid w:val="006C16DA"/>
    <w:rsid w:val="006C2489"/>
    <w:rsid w:val="006C2CA8"/>
    <w:rsid w:val="006C3E2D"/>
    <w:rsid w:val="006C42F9"/>
    <w:rsid w:val="006C4D28"/>
    <w:rsid w:val="006C4F38"/>
    <w:rsid w:val="006C5FD8"/>
    <w:rsid w:val="006C7FD1"/>
    <w:rsid w:val="006D2478"/>
    <w:rsid w:val="006D3084"/>
    <w:rsid w:val="006D32A2"/>
    <w:rsid w:val="006D34EF"/>
    <w:rsid w:val="006D3BD5"/>
    <w:rsid w:val="006D4B5D"/>
    <w:rsid w:val="006D4C35"/>
    <w:rsid w:val="006D535E"/>
    <w:rsid w:val="006D680D"/>
    <w:rsid w:val="006D73E7"/>
    <w:rsid w:val="006E0912"/>
    <w:rsid w:val="006E0B15"/>
    <w:rsid w:val="006E1C35"/>
    <w:rsid w:val="006E38C6"/>
    <w:rsid w:val="006E4994"/>
    <w:rsid w:val="006E4E59"/>
    <w:rsid w:val="006E56DA"/>
    <w:rsid w:val="006E5FCE"/>
    <w:rsid w:val="006E6655"/>
    <w:rsid w:val="006F0568"/>
    <w:rsid w:val="006F30F7"/>
    <w:rsid w:val="006F441F"/>
    <w:rsid w:val="006F4D8F"/>
    <w:rsid w:val="006F4E4C"/>
    <w:rsid w:val="006F5021"/>
    <w:rsid w:val="006F52E5"/>
    <w:rsid w:val="006F5B8D"/>
    <w:rsid w:val="006F5C3E"/>
    <w:rsid w:val="006F6333"/>
    <w:rsid w:val="006F6792"/>
    <w:rsid w:val="006F6E82"/>
    <w:rsid w:val="00700B5E"/>
    <w:rsid w:val="007012D7"/>
    <w:rsid w:val="00702B0B"/>
    <w:rsid w:val="00703F3B"/>
    <w:rsid w:val="0070405E"/>
    <w:rsid w:val="00705FE9"/>
    <w:rsid w:val="007063B0"/>
    <w:rsid w:val="0070665C"/>
    <w:rsid w:val="00706877"/>
    <w:rsid w:val="00710492"/>
    <w:rsid w:val="00710884"/>
    <w:rsid w:val="00710B2F"/>
    <w:rsid w:val="0071134E"/>
    <w:rsid w:val="0071172F"/>
    <w:rsid w:val="00711A25"/>
    <w:rsid w:val="00711A68"/>
    <w:rsid w:val="00713AE0"/>
    <w:rsid w:val="00713B07"/>
    <w:rsid w:val="0071427D"/>
    <w:rsid w:val="007150AF"/>
    <w:rsid w:val="007204D8"/>
    <w:rsid w:val="00720805"/>
    <w:rsid w:val="00721B76"/>
    <w:rsid w:val="00723237"/>
    <w:rsid w:val="00723D4D"/>
    <w:rsid w:val="0072502F"/>
    <w:rsid w:val="00725092"/>
    <w:rsid w:val="0072571A"/>
    <w:rsid w:val="0072611A"/>
    <w:rsid w:val="00726875"/>
    <w:rsid w:val="00726A9C"/>
    <w:rsid w:val="00727880"/>
    <w:rsid w:val="00727D30"/>
    <w:rsid w:val="00730038"/>
    <w:rsid w:val="00730923"/>
    <w:rsid w:val="007309C7"/>
    <w:rsid w:val="00730FCF"/>
    <w:rsid w:val="00731713"/>
    <w:rsid w:val="00731D3E"/>
    <w:rsid w:val="00733140"/>
    <w:rsid w:val="00733573"/>
    <w:rsid w:val="007341C0"/>
    <w:rsid w:val="0073504B"/>
    <w:rsid w:val="0073522D"/>
    <w:rsid w:val="007358A1"/>
    <w:rsid w:val="00736378"/>
    <w:rsid w:val="0073638E"/>
    <w:rsid w:val="00736392"/>
    <w:rsid w:val="00737A34"/>
    <w:rsid w:val="00737B5F"/>
    <w:rsid w:val="00737B95"/>
    <w:rsid w:val="00740290"/>
    <w:rsid w:val="007405C9"/>
    <w:rsid w:val="00740927"/>
    <w:rsid w:val="00740C49"/>
    <w:rsid w:val="007425CA"/>
    <w:rsid w:val="00742AAC"/>
    <w:rsid w:val="00743A2F"/>
    <w:rsid w:val="00744527"/>
    <w:rsid w:val="007454E8"/>
    <w:rsid w:val="00745963"/>
    <w:rsid w:val="00745F52"/>
    <w:rsid w:val="00745FD9"/>
    <w:rsid w:val="0074622A"/>
    <w:rsid w:val="00746397"/>
    <w:rsid w:val="00746FA7"/>
    <w:rsid w:val="00747A64"/>
    <w:rsid w:val="0075056B"/>
    <w:rsid w:val="00750705"/>
    <w:rsid w:val="00750723"/>
    <w:rsid w:val="0075090C"/>
    <w:rsid w:val="007522DB"/>
    <w:rsid w:val="007537B7"/>
    <w:rsid w:val="00753AF7"/>
    <w:rsid w:val="00753E51"/>
    <w:rsid w:val="007548E0"/>
    <w:rsid w:val="00754F1C"/>
    <w:rsid w:val="00755998"/>
    <w:rsid w:val="00757CF7"/>
    <w:rsid w:val="007613F3"/>
    <w:rsid w:val="007616A5"/>
    <w:rsid w:val="00761BB5"/>
    <w:rsid w:val="007622C3"/>
    <w:rsid w:val="007624DE"/>
    <w:rsid w:val="00762928"/>
    <w:rsid w:val="007648C1"/>
    <w:rsid w:val="00764B72"/>
    <w:rsid w:val="00766894"/>
    <w:rsid w:val="007670FC"/>
    <w:rsid w:val="00767BF7"/>
    <w:rsid w:val="00767F41"/>
    <w:rsid w:val="00770773"/>
    <w:rsid w:val="00771FBB"/>
    <w:rsid w:val="00772084"/>
    <w:rsid w:val="00773BD8"/>
    <w:rsid w:val="00774BE5"/>
    <w:rsid w:val="00774CC4"/>
    <w:rsid w:val="00775972"/>
    <w:rsid w:val="00777EC1"/>
    <w:rsid w:val="00780632"/>
    <w:rsid w:val="0078088A"/>
    <w:rsid w:val="007811B2"/>
    <w:rsid w:val="007811D4"/>
    <w:rsid w:val="007814C8"/>
    <w:rsid w:val="00781D88"/>
    <w:rsid w:val="00782C5C"/>
    <w:rsid w:val="007835BA"/>
    <w:rsid w:val="007841A1"/>
    <w:rsid w:val="00784B65"/>
    <w:rsid w:val="007850F7"/>
    <w:rsid w:val="0078687D"/>
    <w:rsid w:val="0078769F"/>
    <w:rsid w:val="00792662"/>
    <w:rsid w:val="00793BD3"/>
    <w:rsid w:val="00794183"/>
    <w:rsid w:val="00795298"/>
    <w:rsid w:val="0079712D"/>
    <w:rsid w:val="007974D3"/>
    <w:rsid w:val="007A0068"/>
    <w:rsid w:val="007A0D06"/>
    <w:rsid w:val="007A2041"/>
    <w:rsid w:val="007A21E6"/>
    <w:rsid w:val="007A26D4"/>
    <w:rsid w:val="007A2779"/>
    <w:rsid w:val="007A2FC4"/>
    <w:rsid w:val="007A3611"/>
    <w:rsid w:val="007A37DC"/>
    <w:rsid w:val="007A3A05"/>
    <w:rsid w:val="007A3A3C"/>
    <w:rsid w:val="007A54CA"/>
    <w:rsid w:val="007A66D9"/>
    <w:rsid w:val="007A6AFB"/>
    <w:rsid w:val="007A7D2F"/>
    <w:rsid w:val="007B005D"/>
    <w:rsid w:val="007B06AD"/>
    <w:rsid w:val="007B07F1"/>
    <w:rsid w:val="007B09C2"/>
    <w:rsid w:val="007B0D1F"/>
    <w:rsid w:val="007B0F3B"/>
    <w:rsid w:val="007B1506"/>
    <w:rsid w:val="007B2C2E"/>
    <w:rsid w:val="007B3985"/>
    <w:rsid w:val="007B45B5"/>
    <w:rsid w:val="007B47AB"/>
    <w:rsid w:val="007B52B0"/>
    <w:rsid w:val="007B55BB"/>
    <w:rsid w:val="007B5E3F"/>
    <w:rsid w:val="007B6BE5"/>
    <w:rsid w:val="007B7EEF"/>
    <w:rsid w:val="007B7F3E"/>
    <w:rsid w:val="007C018B"/>
    <w:rsid w:val="007C0387"/>
    <w:rsid w:val="007C1331"/>
    <w:rsid w:val="007C14F8"/>
    <w:rsid w:val="007C2AAE"/>
    <w:rsid w:val="007C2F92"/>
    <w:rsid w:val="007C356C"/>
    <w:rsid w:val="007C5159"/>
    <w:rsid w:val="007C5304"/>
    <w:rsid w:val="007C5608"/>
    <w:rsid w:val="007C599B"/>
    <w:rsid w:val="007C6ADD"/>
    <w:rsid w:val="007C6E52"/>
    <w:rsid w:val="007C727D"/>
    <w:rsid w:val="007D1C82"/>
    <w:rsid w:val="007D2F43"/>
    <w:rsid w:val="007D395D"/>
    <w:rsid w:val="007D3DF4"/>
    <w:rsid w:val="007D444E"/>
    <w:rsid w:val="007D4D8F"/>
    <w:rsid w:val="007D50B4"/>
    <w:rsid w:val="007D5A44"/>
    <w:rsid w:val="007D5B37"/>
    <w:rsid w:val="007D5B4F"/>
    <w:rsid w:val="007D7935"/>
    <w:rsid w:val="007E04F7"/>
    <w:rsid w:val="007E08D6"/>
    <w:rsid w:val="007E0AA8"/>
    <w:rsid w:val="007E1950"/>
    <w:rsid w:val="007E1B0E"/>
    <w:rsid w:val="007E2E45"/>
    <w:rsid w:val="007E2E53"/>
    <w:rsid w:val="007E45E1"/>
    <w:rsid w:val="007E5734"/>
    <w:rsid w:val="007E5F73"/>
    <w:rsid w:val="007E6B31"/>
    <w:rsid w:val="007E7009"/>
    <w:rsid w:val="007E7D60"/>
    <w:rsid w:val="007F0A1A"/>
    <w:rsid w:val="007F1948"/>
    <w:rsid w:val="007F2188"/>
    <w:rsid w:val="007F26BC"/>
    <w:rsid w:val="007F4157"/>
    <w:rsid w:val="007F450C"/>
    <w:rsid w:val="007F456A"/>
    <w:rsid w:val="007F4FAD"/>
    <w:rsid w:val="007F6655"/>
    <w:rsid w:val="007F776D"/>
    <w:rsid w:val="007F7F4B"/>
    <w:rsid w:val="008006AA"/>
    <w:rsid w:val="00801321"/>
    <w:rsid w:val="0080185E"/>
    <w:rsid w:val="008020A8"/>
    <w:rsid w:val="0080297F"/>
    <w:rsid w:val="00802C1D"/>
    <w:rsid w:val="008033D9"/>
    <w:rsid w:val="0080340E"/>
    <w:rsid w:val="00803780"/>
    <w:rsid w:val="00803F0B"/>
    <w:rsid w:val="008050C4"/>
    <w:rsid w:val="00806357"/>
    <w:rsid w:val="008071EB"/>
    <w:rsid w:val="008078EC"/>
    <w:rsid w:val="00807F4C"/>
    <w:rsid w:val="008100AD"/>
    <w:rsid w:val="00811464"/>
    <w:rsid w:val="0081210B"/>
    <w:rsid w:val="008121E7"/>
    <w:rsid w:val="00813CC0"/>
    <w:rsid w:val="00814EB2"/>
    <w:rsid w:val="008157BE"/>
    <w:rsid w:val="00816387"/>
    <w:rsid w:val="008165C2"/>
    <w:rsid w:val="00816B0F"/>
    <w:rsid w:val="008174F4"/>
    <w:rsid w:val="0082006C"/>
    <w:rsid w:val="00820496"/>
    <w:rsid w:val="008204C8"/>
    <w:rsid w:val="00820C5A"/>
    <w:rsid w:val="0082142D"/>
    <w:rsid w:val="00821BB7"/>
    <w:rsid w:val="008220DE"/>
    <w:rsid w:val="0082261A"/>
    <w:rsid w:val="00822E28"/>
    <w:rsid w:val="008235F3"/>
    <w:rsid w:val="00823674"/>
    <w:rsid w:val="00823EC8"/>
    <w:rsid w:val="00824D24"/>
    <w:rsid w:val="00824E01"/>
    <w:rsid w:val="00825A66"/>
    <w:rsid w:val="008265DC"/>
    <w:rsid w:val="0082736D"/>
    <w:rsid w:val="008275C9"/>
    <w:rsid w:val="00827ED3"/>
    <w:rsid w:val="00830811"/>
    <w:rsid w:val="008316EC"/>
    <w:rsid w:val="00831761"/>
    <w:rsid w:val="00832D41"/>
    <w:rsid w:val="00833D5A"/>
    <w:rsid w:val="00835CC2"/>
    <w:rsid w:val="0083679F"/>
    <w:rsid w:val="00840166"/>
    <w:rsid w:val="00840561"/>
    <w:rsid w:val="00844207"/>
    <w:rsid w:val="00844320"/>
    <w:rsid w:val="00844E61"/>
    <w:rsid w:val="00844E82"/>
    <w:rsid w:val="00845A37"/>
    <w:rsid w:val="00845FEF"/>
    <w:rsid w:val="008510A2"/>
    <w:rsid w:val="00851235"/>
    <w:rsid w:val="00851696"/>
    <w:rsid w:val="00851831"/>
    <w:rsid w:val="00851D8C"/>
    <w:rsid w:val="00852576"/>
    <w:rsid w:val="00853263"/>
    <w:rsid w:val="00853AB3"/>
    <w:rsid w:val="00853DC4"/>
    <w:rsid w:val="00855230"/>
    <w:rsid w:val="00856F22"/>
    <w:rsid w:val="00862003"/>
    <w:rsid w:val="008633E2"/>
    <w:rsid w:val="0086355F"/>
    <w:rsid w:val="00864D2D"/>
    <w:rsid w:val="00866BEF"/>
    <w:rsid w:val="0086714B"/>
    <w:rsid w:val="00867B0B"/>
    <w:rsid w:val="0087010F"/>
    <w:rsid w:val="00870551"/>
    <w:rsid w:val="00870FAF"/>
    <w:rsid w:val="0087165E"/>
    <w:rsid w:val="00871767"/>
    <w:rsid w:val="00872017"/>
    <w:rsid w:val="00872995"/>
    <w:rsid w:val="008729AF"/>
    <w:rsid w:val="00872D1F"/>
    <w:rsid w:val="0087435C"/>
    <w:rsid w:val="00874C5C"/>
    <w:rsid w:val="00874DF4"/>
    <w:rsid w:val="0087515D"/>
    <w:rsid w:val="0087540E"/>
    <w:rsid w:val="008755AD"/>
    <w:rsid w:val="00876368"/>
    <w:rsid w:val="00876519"/>
    <w:rsid w:val="00876CCB"/>
    <w:rsid w:val="008775CA"/>
    <w:rsid w:val="008778DD"/>
    <w:rsid w:val="008807E0"/>
    <w:rsid w:val="00880B6B"/>
    <w:rsid w:val="00881D4E"/>
    <w:rsid w:val="00882BB7"/>
    <w:rsid w:val="00882D37"/>
    <w:rsid w:val="0088504D"/>
    <w:rsid w:val="0088563C"/>
    <w:rsid w:val="00886C33"/>
    <w:rsid w:val="008877A5"/>
    <w:rsid w:val="008903C4"/>
    <w:rsid w:val="00890854"/>
    <w:rsid w:val="00890CB2"/>
    <w:rsid w:val="00890D41"/>
    <w:rsid w:val="0089104E"/>
    <w:rsid w:val="00891F81"/>
    <w:rsid w:val="0089284D"/>
    <w:rsid w:val="0089299E"/>
    <w:rsid w:val="00892B87"/>
    <w:rsid w:val="008939F1"/>
    <w:rsid w:val="00893E2B"/>
    <w:rsid w:val="0089472D"/>
    <w:rsid w:val="00894C49"/>
    <w:rsid w:val="00895A63"/>
    <w:rsid w:val="008966AE"/>
    <w:rsid w:val="00896DA1"/>
    <w:rsid w:val="00896E0A"/>
    <w:rsid w:val="008979B5"/>
    <w:rsid w:val="00897BE5"/>
    <w:rsid w:val="00897CD6"/>
    <w:rsid w:val="00897D25"/>
    <w:rsid w:val="008A0097"/>
    <w:rsid w:val="008A1151"/>
    <w:rsid w:val="008A168A"/>
    <w:rsid w:val="008A38B1"/>
    <w:rsid w:val="008A39D9"/>
    <w:rsid w:val="008A4C65"/>
    <w:rsid w:val="008A4E62"/>
    <w:rsid w:val="008A4F2F"/>
    <w:rsid w:val="008A6223"/>
    <w:rsid w:val="008A6B2F"/>
    <w:rsid w:val="008A718B"/>
    <w:rsid w:val="008A7411"/>
    <w:rsid w:val="008A7D73"/>
    <w:rsid w:val="008B13F4"/>
    <w:rsid w:val="008B1C01"/>
    <w:rsid w:val="008B1F06"/>
    <w:rsid w:val="008B40CD"/>
    <w:rsid w:val="008B4662"/>
    <w:rsid w:val="008B4EB3"/>
    <w:rsid w:val="008B4FF9"/>
    <w:rsid w:val="008B6AA3"/>
    <w:rsid w:val="008B6CE6"/>
    <w:rsid w:val="008B756A"/>
    <w:rsid w:val="008C0AEA"/>
    <w:rsid w:val="008C3289"/>
    <w:rsid w:val="008C35F6"/>
    <w:rsid w:val="008C41C6"/>
    <w:rsid w:val="008C44B6"/>
    <w:rsid w:val="008C4CB4"/>
    <w:rsid w:val="008C532A"/>
    <w:rsid w:val="008C5E83"/>
    <w:rsid w:val="008C64EA"/>
    <w:rsid w:val="008C7023"/>
    <w:rsid w:val="008D0905"/>
    <w:rsid w:val="008D0CB7"/>
    <w:rsid w:val="008D169E"/>
    <w:rsid w:val="008D1A0F"/>
    <w:rsid w:val="008D1A69"/>
    <w:rsid w:val="008D2839"/>
    <w:rsid w:val="008D2C85"/>
    <w:rsid w:val="008D36E5"/>
    <w:rsid w:val="008D3AA6"/>
    <w:rsid w:val="008D3B1F"/>
    <w:rsid w:val="008D4948"/>
    <w:rsid w:val="008D546D"/>
    <w:rsid w:val="008D576D"/>
    <w:rsid w:val="008D57FF"/>
    <w:rsid w:val="008D6A28"/>
    <w:rsid w:val="008E009C"/>
    <w:rsid w:val="008E0D8B"/>
    <w:rsid w:val="008E16E4"/>
    <w:rsid w:val="008E1B5A"/>
    <w:rsid w:val="008E1C10"/>
    <w:rsid w:val="008E2861"/>
    <w:rsid w:val="008E2C7C"/>
    <w:rsid w:val="008E34C5"/>
    <w:rsid w:val="008E426C"/>
    <w:rsid w:val="008E49BB"/>
    <w:rsid w:val="008E5C6D"/>
    <w:rsid w:val="008E673A"/>
    <w:rsid w:val="008E7868"/>
    <w:rsid w:val="008E7DD5"/>
    <w:rsid w:val="008F01D8"/>
    <w:rsid w:val="008F17BD"/>
    <w:rsid w:val="008F1B1B"/>
    <w:rsid w:val="008F20E2"/>
    <w:rsid w:val="008F24E5"/>
    <w:rsid w:val="008F2E29"/>
    <w:rsid w:val="008F3496"/>
    <w:rsid w:val="008F411B"/>
    <w:rsid w:val="008F65CF"/>
    <w:rsid w:val="008F66DB"/>
    <w:rsid w:val="008F6FC4"/>
    <w:rsid w:val="008F734A"/>
    <w:rsid w:val="008F7B01"/>
    <w:rsid w:val="00900B97"/>
    <w:rsid w:val="00901225"/>
    <w:rsid w:val="009025A6"/>
    <w:rsid w:val="00902ED9"/>
    <w:rsid w:val="009030EB"/>
    <w:rsid w:val="00903C53"/>
    <w:rsid w:val="009052E5"/>
    <w:rsid w:val="00907307"/>
    <w:rsid w:val="009074F5"/>
    <w:rsid w:val="00907E55"/>
    <w:rsid w:val="00911F35"/>
    <w:rsid w:val="009124F0"/>
    <w:rsid w:val="00912F5A"/>
    <w:rsid w:val="00913083"/>
    <w:rsid w:val="009134ED"/>
    <w:rsid w:val="00917C65"/>
    <w:rsid w:val="0092385A"/>
    <w:rsid w:val="009250E4"/>
    <w:rsid w:val="009256C8"/>
    <w:rsid w:val="00925CF4"/>
    <w:rsid w:val="00925DF3"/>
    <w:rsid w:val="0092692D"/>
    <w:rsid w:val="00926CC2"/>
    <w:rsid w:val="00926FB8"/>
    <w:rsid w:val="009273A1"/>
    <w:rsid w:val="009273B5"/>
    <w:rsid w:val="009273FF"/>
    <w:rsid w:val="00927698"/>
    <w:rsid w:val="0092776C"/>
    <w:rsid w:val="00930E31"/>
    <w:rsid w:val="0093351F"/>
    <w:rsid w:val="00933530"/>
    <w:rsid w:val="009336A5"/>
    <w:rsid w:val="00933A55"/>
    <w:rsid w:val="009340D0"/>
    <w:rsid w:val="009342F4"/>
    <w:rsid w:val="00934358"/>
    <w:rsid w:val="0093488D"/>
    <w:rsid w:val="00934FDC"/>
    <w:rsid w:val="00935F35"/>
    <w:rsid w:val="009370EF"/>
    <w:rsid w:val="009375A8"/>
    <w:rsid w:val="009404CE"/>
    <w:rsid w:val="00941083"/>
    <w:rsid w:val="00942DA1"/>
    <w:rsid w:val="0094333F"/>
    <w:rsid w:val="00943A58"/>
    <w:rsid w:val="00943A60"/>
    <w:rsid w:val="00944095"/>
    <w:rsid w:val="009444C3"/>
    <w:rsid w:val="0094457E"/>
    <w:rsid w:val="009449FD"/>
    <w:rsid w:val="00945563"/>
    <w:rsid w:val="009466FF"/>
    <w:rsid w:val="0094683D"/>
    <w:rsid w:val="00947A1D"/>
    <w:rsid w:val="00947FF2"/>
    <w:rsid w:val="00950FD0"/>
    <w:rsid w:val="00951430"/>
    <w:rsid w:val="00951BE0"/>
    <w:rsid w:val="00952885"/>
    <w:rsid w:val="0095296B"/>
    <w:rsid w:val="00953525"/>
    <w:rsid w:val="00953C25"/>
    <w:rsid w:val="009540AE"/>
    <w:rsid w:val="00954EC4"/>
    <w:rsid w:val="00956535"/>
    <w:rsid w:val="0095672C"/>
    <w:rsid w:val="009569E9"/>
    <w:rsid w:val="0095749E"/>
    <w:rsid w:val="00960302"/>
    <w:rsid w:val="009603E8"/>
    <w:rsid w:val="009604E5"/>
    <w:rsid w:val="00960A67"/>
    <w:rsid w:val="0096333C"/>
    <w:rsid w:val="0096347D"/>
    <w:rsid w:val="0096374F"/>
    <w:rsid w:val="009637C9"/>
    <w:rsid w:val="00963DAA"/>
    <w:rsid w:val="009643DD"/>
    <w:rsid w:val="00964F74"/>
    <w:rsid w:val="009653BD"/>
    <w:rsid w:val="0096543F"/>
    <w:rsid w:val="00965B42"/>
    <w:rsid w:val="0096644B"/>
    <w:rsid w:val="00966669"/>
    <w:rsid w:val="00966FF4"/>
    <w:rsid w:val="00971496"/>
    <w:rsid w:val="00972140"/>
    <w:rsid w:val="0097479B"/>
    <w:rsid w:val="00974FB4"/>
    <w:rsid w:val="00975B71"/>
    <w:rsid w:val="00976432"/>
    <w:rsid w:val="00976477"/>
    <w:rsid w:val="009772D8"/>
    <w:rsid w:val="0097753F"/>
    <w:rsid w:val="00977E3C"/>
    <w:rsid w:val="00977FDC"/>
    <w:rsid w:val="00980515"/>
    <w:rsid w:val="0098055D"/>
    <w:rsid w:val="00980791"/>
    <w:rsid w:val="009822E8"/>
    <w:rsid w:val="009832CB"/>
    <w:rsid w:val="00983712"/>
    <w:rsid w:val="00983A0E"/>
    <w:rsid w:val="00983DD2"/>
    <w:rsid w:val="00984C70"/>
    <w:rsid w:val="0098608B"/>
    <w:rsid w:val="009868C4"/>
    <w:rsid w:val="009871F8"/>
    <w:rsid w:val="009873C8"/>
    <w:rsid w:val="00990A8E"/>
    <w:rsid w:val="0099156C"/>
    <w:rsid w:val="0099218B"/>
    <w:rsid w:val="00992191"/>
    <w:rsid w:val="00993415"/>
    <w:rsid w:val="009943D5"/>
    <w:rsid w:val="00995703"/>
    <w:rsid w:val="009A03A1"/>
    <w:rsid w:val="009A1578"/>
    <w:rsid w:val="009A2092"/>
    <w:rsid w:val="009A28DE"/>
    <w:rsid w:val="009A2C5B"/>
    <w:rsid w:val="009A2E3A"/>
    <w:rsid w:val="009A2FE1"/>
    <w:rsid w:val="009A3F72"/>
    <w:rsid w:val="009A4462"/>
    <w:rsid w:val="009A49D7"/>
    <w:rsid w:val="009A5256"/>
    <w:rsid w:val="009A53B7"/>
    <w:rsid w:val="009A609D"/>
    <w:rsid w:val="009A6C54"/>
    <w:rsid w:val="009A6DE9"/>
    <w:rsid w:val="009A7722"/>
    <w:rsid w:val="009A7800"/>
    <w:rsid w:val="009A7A06"/>
    <w:rsid w:val="009B0600"/>
    <w:rsid w:val="009B0C0C"/>
    <w:rsid w:val="009B0FFB"/>
    <w:rsid w:val="009B115D"/>
    <w:rsid w:val="009B20D1"/>
    <w:rsid w:val="009B27AF"/>
    <w:rsid w:val="009B2836"/>
    <w:rsid w:val="009B2D10"/>
    <w:rsid w:val="009B3039"/>
    <w:rsid w:val="009B3D46"/>
    <w:rsid w:val="009B3DAF"/>
    <w:rsid w:val="009B444D"/>
    <w:rsid w:val="009B45AF"/>
    <w:rsid w:val="009B4B7E"/>
    <w:rsid w:val="009B68D9"/>
    <w:rsid w:val="009B72C8"/>
    <w:rsid w:val="009B7537"/>
    <w:rsid w:val="009C0413"/>
    <w:rsid w:val="009C0A7B"/>
    <w:rsid w:val="009C268F"/>
    <w:rsid w:val="009C2B82"/>
    <w:rsid w:val="009C3072"/>
    <w:rsid w:val="009C32CB"/>
    <w:rsid w:val="009C3E7A"/>
    <w:rsid w:val="009C541F"/>
    <w:rsid w:val="009C60BB"/>
    <w:rsid w:val="009C615B"/>
    <w:rsid w:val="009C64F1"/>
    <w:rsid w:val="009C699C"/>
    <w:rsid w:val="009C7B6B"/>
    <w:rsid w:val="009C7FFB"/>
    <w:rsid w:val="009D05A8"/>
    <w:rsid w:val="009D0E04"/>
    <w:rsid w:val="009D0F87"/>
    <w:rsid w:val="009D1DA0"/>
    <w:rsid w:val="009D28E1"/>
    <w:rsid w:val="009D4972"/>
    <w:rsid w:val="009D50AE"/>
    <w:rsid w:val="009D587B"/>
    <w:rsid w:val="009D73ED"/>
    <w:rsid w:val="009D7D52"/>
    <w:rsid w:val="009E1B44"/>
    <w:rsid w:val="009E2900"/>
    <w:rsid w:val="009E2AF0"/>
    <w:rsid w:val="009E2C4A"/>
    <w:rsid w:val="009E3206"/>
    <w:rsid w:val="009E347F"/>
    <w:rsid w:val="009E352E"/>
    <w:rsid w:val="009E3610"/>
    <w:rsid w:val="009E37E3"/>
    <w:rsid w:val="009E4046"/>
    <w:rsid w:val="009E4738"/>
    <w:rsid w:val="009E49B8"/>
    <w:rsid w:val="009E4F6C"/>
    <w:rsid w:val="009E5350"/>
    <w:rsid w:val="009E53D8"/>
    <w:rsid w:val="009E550C"/>
    <w:rsid w:val="009E6234"/>
    <w:rsid w:val="009E6A24"/>
    <w:rsid w:val="009F0BA9"/>
    <w:rsid w:val="009F1C79"/>
    <w:rsid w:val="009F2EAF"/>
    <w:rsid w:val="009F385A"/>
    <w:rsid w:val="009F3976"/>
    <w:rsid w:val="009F5061"/>
    <w:rsid w:val="009F5A94"/>
    <w:rsid w:val="009F648F"/>
    <w:rsid w:val="009F65E4"/>
    <w:rsid w:val="009F69BF"/>
    <w:rsid w:val="009F6E83"/>
    <w:rsid w:val="009F73C5"/>
    <w:rsid w:val="00A003CC"/>
    <w:rsid w:val="00A01487"/>
    <w:rsid w:val="00A0150C"/>
    <w:rsid w:val="00A02DD1"/>
    <w:rsid w:val="00A0352F"/>
    <w:rsid w:val="00A037BD"/>
    <w:rsid w:val="00A03C2A"/>
    <w:rsid w:val="00A04BDD"/>
    <w:rsid w:val="00A054C0"/>
    <w:rsid w:val="00A0551C"/>
    <w:rsid w:val="00A05B88"/>
    <w:rsid w:val="00A05C4F"/>
    <w:rsid w:val="00A06A51"/>
    <w:rsid w:val="00A0703B"/>
    <w:rsid w:val="00A07295"/>
    <w:rsid w:val="00A07539"/>
    <w:rsid w:val="00A0789C"/>
    <w:rsid w:val="00A07900"/>
    <w:rsid w:val="00A10969"/>
    <w:rsid w:val="00A11523"/>
    <w:rsid w:val="00A11807"/>
    <w:rsid w:val="00A1265B"/>
    <w:rsid w:val="00A12B43"/>
    <w:rsid w:val="00A13065"/>
    <w:rsid w:val="00A14B85"/>
    <w:rsid w:val="00A151F0"/>
    <w:rsid w:val="00A15444"/>
    <w:rsid w:val="00A1602D"/>
    <w:rsid w:val="00A16F70"/>
    <w:rsid w:val="00A173EB"/>
    <w:rsid w:val="00A2004B"/>
    <w:rsid w:val="00A2032A"/>
    <w:rsid w:val="00A20E3B"/>
    <w:rsid w:val="00A225DA"/>
    <w:rsid w:val="00A22A4B"/>
    <w:rsid w:val="00A234EB"/>
    <w:rsid w:val="00A238B5"/>
    <w:rsid w:val="00A24119"/>
    <w:rsid w:val="00A2496B"/>
    <w:rsid w:val="00A24E1D"/>
    <w:rsid w:val="00A252AF"/>
    <w:rsid w:val="00A25358"/>
    <w:rsid w:val="00A2557D"/>
    <w:rsid w:val="00A26186"/>
    <w:rsid w:val="00A26B9D"/>
    <w:rsid w:val="00A26FDB"/>
    <w:rsid w:val="00A2778F"/>
    <w:rsid w:val="00A278BB"/>
    <w:rsid w:val="00A300DC"/>
    <w:rsid w:val="00A303CD"/>
    <w:rsid w:val="00A308A9"/>
    <w:rsid w:val="00A30C64"/>
    <w:rsid w:val="00A30CF9"/>
    <w:rsid w:val="00A30EDE"/>
    <w:rsid w:val="00A31305"/>
    <w:rsid w:val="00A31407"/>
    <w:rsid w:val="00A320CC"/>
    <w:rsid w:val="00A32604"/>
    <w:rsid w:val="00A32924"/>
    <w:rsid w:val="00A3322E"/>
    <w:rsid w:val="00A3488B"/>
    <w:rsid w:val="00A34E9E"/>
    <w:rsid w:val="00A35A84"/>
    <w:rsid w:val="00A36536"/>
    <w:rsid w:val="00A4183C"/>
    <w:rsid w:val="00A43335"/>
    <w:rsid w:val="00A435D2"/>
    <w:rsid w:val="00A43966"/>
    <w:rsid w:val="00A4444D"/>
    <w:rsid w:val="00A450E5"/>
    <w:rsid w:val="00A45DC9"/>
    <w:rsid w:val="00A45DCD"/>
    <w:rsid w:val="00A475A3"/>
    <w:rsid w:val="00A50BED"/>
    <w:rsid w:val="00A518F8"/>
    <w:rsid w:val="00A51A16"/>
    <w:rsid w:val="00A5210C"/>
    <w:rsid w:val="00A52CFF"/>
    <w:rsid w:val="00A53A6D"/>
    <w:rsid w:val="00A53EF4"/>
    <w:rsid w:val="00A54273"/>
    <w:rsid w:val="00A54911"/>
    <w:rsid w:val="00A55B3E"/>
    <w:rsid w:val="00A564C4"/>
    <w:rsid w:val="00A56F6D"/>
    <w:rsid w:val="00A56FF6"/>
    <w:rsid w:val="00A570ED"/>
    <w:rsid w:val="00A57334"/>
    <w:rsid w:val="00A608FF"/>
    <w:rsid w:val="00A61370"/>
    <w:rsid w:val="00A627DA"/>
    <w:rsid w:val="00A63751"/>
    <w:rsid w:val="00A640CA"/>
    <w:rsid w:val="00A64907"/>
    <w:rsid w:val="00A65120"/>
    <w:rsid w:val="00A6550D"/>
    <w:rsid w:val="00A65984"/>
    <w:rsid w:val="00A660BD"/>
    <w:rsid w:val="00A66442"/>
    <w:rsid w:val="00A66625"/>
    <w:rsid w:val="00A67917"/>
    <w:rsid w:val="00A6797D"/>
    <w:rsid w:val="00A67CD3"/>
    <w:rsid w:val="00A67FA4"/>
    <w:rsid w:val="00A70910"/>
    <w:rsid w:val="00A70F8D"/>
    <w:rsid w:val="00A73879"/>
    <w:rsid w:val="00A73A18"/>
    <w:rsid w:val="00A73D88"/>
    <w:rsid w:val="00A74555"/>
    <w:rsid w:val="00A74874"/>
    <w:rsid w:val="00A74D23"/>
    <w:rsid w:val="00A758E4"/>
    <w:rsid w:val="00A75EDF"/>
    <w:rsid w:val="00A75FA7"/>
    <w:rsid w:val="00A76699"/>
    <w:rsid w:val="00A76AA3"/>
    <w:rsid w:val="00A771A0"/>
    <w:rsid w:val="00A77F6A"/>
    <w:rsid w:val="00A8274F"/>
    <w:rsid w:val="00A83408"/>
    <w:rsid w:val="00A86198"/>
    <w:rsid w:val="00A875C1"/>
    <w:rsid w:val="00A906E3"/>
    <w:rsid w:val="00A90CDD"/>
    <w:rsid w:val="00A91A39"/>
    <w:rsid w:val="00A91B30"/>
    <w:rsid w:val="00A91C76"/>
    <w:rsid w:val="00A9242F"/>
    <w:rsid w:val="00A93351"/>
    <w:rsid w:val="00A934A6"/>
    <w:rsid w:val="00A937FD"/>
    <w:rsid w:val="00A94818"/>
    <w:rsid w:val="00A95651"/>
    <w:rsid w:val="00A95E1C"/>
    <w:rsid w:val="00A97BC5"/>
    <w:rsid w:val="00A97E2F"/>
    <w:rsid w:val="00AA0917"/>
    <w:rsid w:val="00AA1B63"/>
    <w:rsid w:val="00AA2FC5"/>
    <w:rsid w:val="00AA3E18"/>
    <w:rsid w:val="00AA4A85"/>
    <w:rsid w:val="00AA5BA0"/>
    <w:rsid w:val="00AA611C"/>
    <w:rsid w:val="00AA6395"/>
    <w:rsid w:val="00AA6E81"/>
    <w:rsid w:val="00AA758F"/>
    <w:rsid w:val="00AB0956"/>
    <w:rsid w:val="00AB28C4"/>
    <w:rsid w:val="00AB3A42"/>
    <w:rsid w:val="00AB46B0"/>
    <w:rsid w:val="00AB5A26"/>
    <w:rsid w:val="00AB5F69"/>
    <w:rsid w:val="00AB6A54"/>
    <w:rsid w:val="00AB6AD6"/>
    <w:rsid w:val="00AB77A2"/>
    <w:rsid w:val="00AC0854"/>
    <w:rsid w:val="00AC0B34"/>
    <w:rsid w:val="00AC14F1"/>
    <w:rsid w:val="00AC1F76"/>
    <w:rsid w:val="00AC2AC7"/>
    <w:rsid w:val="00AC343F"/>
    <w:rsid w:val="00AC398B"/>
    <w:rsid w:val="00AC46FE"/>
    <w:rsid w:val="00AC4E07"/>
    <w:rsid w:val="00AC5C1A"/>
    <w:rsid w:val="00AC62D6"/>
    <w:rsid w:val="00AC6514"/>
    <w:rsid w:val="00AC6BF2"/>
    <w:rsid w:val="00AC7173"/>
    <w:rsid w:val="00AD0BD6"/>
    <w:rsid w:val="00AD4BCB"/>
    <w:rsid w:val="00AD4E36"/>
    <w:rsid w:val="00AD57E9"/>
    <w:rsid w:val="00AD58E7"/>
    <w:rsid w:val="00AD60D5"/>
    <w:rsid w:val="00AD6183"/>
    <w:rsid w:val="00AD63DF"/>
    <w:rsid w:val="00AD694B"/>
    <w:rsid w:val="00AD7A3A"/>
    <w:rsid w:val="00AD7F0F"/>
    <w:rsid w:val="00AD7F2C"/>
    <w:rsid w:val="00AE02DC"/>
    <w:rsid w:val="00AE047F"/>
    <w:rsid w:val="00AE07C1"/>
    <w:rsid w:val="00AE0910"/>
    <w:rsid w:val="00AE0D23"/>
    <w:rsid w:val="00AE104D"/>
    <w:rsid w:val="00AE18B2"/>
    <w:rsid w:val="00AE1A18"/>
    <w:rsid w:val="00AE2758"/>
    <w:rsid w:val="00AE28C7"/>
    <w:rsid w:val="00AE2BC8"/>
    <w:rsid w:val="00AE32C1"/>
    <w:rsid w:val="00AE4110"/>
    <w:rsid w:val="00AE5FE1"/>
    <w:rsid w:val="00AE6B0B"/>
    <w:rsid w:val="00AE7096"/>
    <w:rsid w:val="00AF0F13"/>
    <w:rsid w:val="00AF1603"/>
    <w:rsid w:val="00AF33D0"/>
    <w:rsid w:val="00AF3FE9"/>
    <w:rsid w:val="00AF48E1"/>
    <w:rsid w:val="00AF6103"/>
    <w:rsid w:val="00AF7CA8"/>
    <w:rsid w:val="00B00098"/>
    <w:rsid w:val="00B002A4"/>
    <w:rsid w:val="00B002DC"/>
    <w:rsid w:val="00B0055F"/>
    <w:rsid w:val="00B00E54"/>
    <w:rsid w:val="00B011D9"/>
    <w:rsid w:val="00B01D52"/>
    <w:rsid w:val="00B03C66"/>
    <w:rsid w:val="00B04E5D"/>
    <w:rsid w:val="00B05769"/>
    <w:rsid w:val="00B057A7"/>
    <w:rsid w:val="00B05E32"/>
    <w:rsid w:val="00B0624C"/>
    <w:rsid w:val="00B0647D"/>
    <w:rsid w:val="00B0670E"/>
    <w:rsid w:val="00B0788C"/>
    <w:rsid w:val="00B07925"/>
    <w:rsid w:val="00B07AF4"/>
    <w:rsid w:val="00B11543"/>
    <w:rsid w:val="00B119DB"/>
    <w:rsid w:val="00B11AFD"/>
    <w:rsid w:val="00B11E2F"/>
    <w:rsid w:val="00B123C4"/>
    <w:rsid w:val="00B12E98"/>
    <w:rsid w:val="00B130BB"/>
    <w:rsid w:val="00B13C7A"/>
    <w:rsid w:val="00B13FE2"/>
    <w:rsid w:val="00B141FC"/>
    <w:rsid w:val="00B14407"/>
    <w:rsid w:val="00B14B06"/>
    <w:rsid w:val="00B14C3E"/>
    <w:rsid w:val="00B15AA3"/>
    <w:rsid w:val="00B162BC"/>
    <w:rsid w:val="00B174F8"/>
    <w:rsid w:val="00B17E6D"/>
    <w:rsid w:val="00B2026A"/>
    <w:rsid w:val="00B20701"/>
    <w:rsid w:val="00B22184"/>
    <w:rsid w:val="00B24328"/>
    <w:rsid w:val="00B24FC6"/>
    <w:rsid w:val="00B25E0F"/>
    <w:rsid w:val="00B27193"/>
    <w:rsid w:val="00B273E8"/>
    <w:rsid w:val="00B27C43"/>
    <w:rsid w:val="00B302A1"/>
    <w:rsid w:val="00B31B34"/>
    <w:rsid w:val="00B3343A"/>
    <w:rsid w:val="00B34AB6"/>
    <w:rsid w:val="00B36741"/>
    <w:rsid w:val="00B36F28"/>
    <w:rsid w:val="00B3705A"/>
    <w:rsid w:val="00B3730B"/>
    <w:rsid w:val="00B373FF"/>
    <w:rsid w:val="00B37F02"/>
    <w:rsid w:val="00B42766"/>
    <w:rsid w:val="00B427D1"/>
    <w:rsid w:val="00B42D84"/>
    <w:rsid w:val="00B45146"/>
    <w:rsid w:val="00B462DE"/>
    <w:rsid w:val="00B47883"/>
    <w:rsid w:val="00B47A48"/>
    <w:rsid w:val="00B50BE3"/>
    <w:rsid w:val="00B5100E"/>
    <w:rsid w:val="00B51807"/>
    <w:rsid w:val="00B5192F"/>
    <w:rsid w:val="00B51AB7"/>
    <w:rsid w:val="00B51C7F"/>
    <w:rsid w:val="00B53452"/>
    <w:rsid w:val="00B53657"/>
    <w:rsid w:val="00B54543"/>
    <w:rsid w:val="00B54A95"/>
    <w:rsid w:val="00B55267"/>
    <w:rsid w:val="00B56C66"/>
    <w:rsid w:val="00B56F76"/>
    <w:rsid w:val="00B5744C"/>
    <w:rsid w:val="00B57EC1"/>
    <w:rsid w:val="00B60E7F"/>
    <w:rsid w:val="00B61854"/>
    <w:rsid w:val="00B62140"/>
    <w:rsid w:val="00B62327"/>
    <w:rsid w:val="00B62810"/>
    <w:rsid w:val="00B64204"/>
    <w:rsid w:val="00B65784"/>
    <w:rsid w:val="00B666B6"/>
    <w:rsid w:val="00B66D6F"/>
    <w:rsid w:val="00B70565"/>
    <w:rsid w:val="00B70F6D"/>
    <w:rsid w:val="00B719AD"/>
    <w:rsid w:val="00B731B7"/>
    <w:rsid w:val="00B741E1"/>
    <w:rsid w:val="00B74D4B"/>
    <w:rsid w:val="00B75A3F"/>
    <w:rsid w:val="00B75AE8"/>
    <w:rsid w:val="00B76133"/>
    <w:rsid w:val="00B7789F"/>
    <w:rsid w:val="00B801F5"/>
    <w:rsid w:val="00B8112F"/>
    <w:rsid w:val="00B825BF"/>
    <w:rsid w:val="00B84E9D"/>
    <w:rsid w:val="00B86E25"/>
    <w:rsid w:val="00B87CC7"/>
    <w:rsid w:val="00B917E8"/>
    <w:rsid w:val="00B91A59"/>
    <w:rsid w:val="00B91E23"/>
    <w:rsid w:val="00B92559"/>
    <w:rsid w:val="00B93796"/>
    <w:rsid w:val="00B9451F"/>
    <w:rsid w:val="00B94797"/>
    <w:rsid w:val="00B94879"/>
    <w:rsid w:val="00B9593C"/>
    <w:rsid w:val="00B965BD"/>
    <w:rsid w:val="00B96A27"/>
    <w:rsid w:val="00B97DFD"/>
    <w:rsid w:val="00BA07F6"/>
    <w:rsid w:val="00BA0CF2"/>
    <w:rsid w:val="00BA0F58"/>
    <w:rsid w:val="00BA11B7"/>
    <w:rsid w:val="00BA1E13"/>
    <w:rsid w:val="00BA218B"/>
    <w:rsid w:val="00BA2E5A"/>
    <w:rsid w:val="00BA344E"/>
    <w:rsid w:val="00BA3F01"/>
    <w:rsid w:val="00BA4B56"/>
    <w:rsid w:val="00BA6D2F"/>
    <w:rsid w:val="00BB0091"/>
    <w:rsid w:val="00BB0F77"/>
    <w:rsid w:val="00BB39E7"/>
    <w:rsid w:val="00BB3BC1"/>
    <w:rsid w:val="00BB3FE8"/>
    <w:rsid w:val="00BB42E3"/>
    <w:rsid w:val="00BB4B7B"/>
    <w:rsid w:val="00BB528A"/>
    <w:rsid w:val="00BB68D5"/>
    <w:rsid w:val="00BB6E79"/>
    <w:rsid w:val="00BB7ACA"/>
    <w:rsid w:val="00BC2042"/>
    <w:rsid w:val="00BC25EF"/>
    <w:rsid w:val="00BC2B0B"/>
    <w:rsid w:val="00BC33C6"/>
    <w:rsid w:val="00BC42EB"/>
    <w:rsid w:val="00BC4710"/>
    <w:rsid w:val="00BC543B"/>
    <w:rsid w:val="00BC60F6"/>
    <w:rsid w:val="00BC6D67"/>
    <w:rsid w:val="00BC7350"/>
    <w:rsid w:val="00BC769B"/>
    <w:rsid w:val="00BD014F"/>
    <w:rsid w:val="00BD01ED"/>
    <w:rsid w:val="00BD05B4"/>
    <w:rsid w:val="00BD07EE"/>
    <w:rsid w:val="00BD0C3A"/>
    <w:rsid w:val="00BD1D9B"/>
    <w:rsid w:val="00BD3773"/>
    <w:rsid w:val="00BD4BD2"/>
    <w:rsid w:val="00BD4C7C"/>
    <w:rsid w:val="00BD4CFE"/>
    <w:rsid w:val="00BD60F8"/>
    <w:rsid w:val="00BD6163"/>
    <w:rsid w:val="00BD6370"/>
    <w:rsid w:val="00BD6749"/>
    <w:rsid w:val="00BD7865"/>
    <w:rsid w:val="00BE2A7E"/>
    <w:rsid w:val="00BE390D"/>
    <w:rsid w:val="00BE49FF"/>
    <w:rsid w:val="00BE5973"/>
    <w:rsid w:val="00BE6031"/>
    <w:rsid w:val="00BE65E4"/>
    <w:rsid w:val="00BE67F8"/>
    <w:rsid w:val="00BF0E55"/>
    <w:rsid w:val="00BF15DC"/>
    <w:rsid w:val="00BF2036"/>
    <w:rsid w:val="00BF2C98"/>
    <w:rsid w:val="00BF3A6E"/>
    <w:rsid w:val="00BF5C67"/>
    <w:rsid w:val="00BF6816"/>
    <w:rsid w:val="00BF74BB"/>
    <w:rsid w:val="00BF7FA0"/>
    <w:rsid w:val="00C00AAA"/>
    <w:rsid w:val="00C01515"/>
    <w:rsid w:val="00C0215A"/>
    <w:rsid w:val="00C024E7"/>
    <w:rsid w:val="00C03867"/>
    <w:rsid w:val="00C04008"/>
    <w:rsid w:val="00C04922"/>
    <w:rsid w:val="00C05A89"/>
    <w:rsid w:val="00C0686D"/>
    <w:rsid w:val="00C07D98"/>
    <w:rsid w:val="00C1187B"/>
    <w:rsid w:val="00C125E9"/>
    <w:rsid w:val="00C12F12"/>
    <w:rsid w:val="00C130E0"/>
    <w:rsid w:val="00C138ED"/>
    <w:rsid w:val="00C13959"/>
    <w:rsid w:val="00C14102"/>
    <w:rsid w:val="00C1486B"/>
    <w:rsid w:val="00C14CFF"/>
    <w:rsid w:val="00C153BE"/>
    <w:rsid w:val="00C164C7"/>
    <w:rsid w:val="00C16EB7"/>
    <w:rsid w:val="00C20A32"/>
    <w:rsid w:val="00C21D7D"/>
    <w:rsid w:val="00C21F05"/>
    <w:rsid w:val="00C22084"/>
    <w:rsid w:val="00C22321"/>
    <w:rsid w:val="00C239F6"/>
    <w:rsid w:val="00C23BC0"/>
    <w:rsid w:val="00C25240"/>
    <w:rsid w:val="00C25431"/>
    <w:rsid w:val="00C255AC"/>
    <w:rsid w:val="00C261DC"/>
    <w:rsid w:val="00C26D50"/>
    <w:rsid w:val="00C27967"/>
    <w:rsid w:val="00C27DF8"/>
    <w:rsid w:val="00C31B7F"/>
    <w:rsid w:val="00C352CA"/>
    <w:rsid w:val="00C354B8"/>
    <w:rsid w:val="00C3573D"/>
    <w:rsid w:val="00C358F3"/>
    <w:rsid w:val="00C36082"/>
    <w:rsid w:val="00C36558"/>
    <w:rsid w:val="00C369AF"/>
    <w:rsid w:val="00C36D7E"/>
    <w:rsid w:val="00C3708C"/>
    <w:rsid w:val="00C3793D"/>
    <w:rsid w:val="00C415B4"/>
    <w:rsid w:val="00C430C8"/>
    <w:rsid w:val="00C50EF6"/>
    <w:rsid w:val="00C514AF"/>
    <w:rsid w:val="00C5225F"/>
    <w:rsid w:val="00C52F60"/>
    <w:rsid w:val="00C53406"/>
    <w:rsid w:val="00C53970"/>
    <w:rsid w:val="00C542B9"/>
    <w:rsid w:val="00C54E84"/>
    <w:rsid w:val="00C5544A"/>
    <w:rsid w:val="00C560F7"/>
    <w:rsid w:val="00C56374"/>
    <w:rsid w:val="00C56C56"/>
    <w:rsid w:val="00C624AA"/>
    <w:rsid w:val="00C63F39"/>
    <w:rsid w:val="00C6410D"/>
    <w:rsid w:val="00C648AF"/>
    <w:rsid w:val="00C652CB"/>
    <w:rsid w:val="00C6536C"/>
    <w:rsid w:val="00C653DB"/>
    <w:rsid w:val="00C65759"/>
    <w:rsid w:val="00C65AB2"/>
    <w:rsid w:val="00C663F8"/>
    <w:rsid w:val="00C665EE"/>
    <w:rsid w:val="00C67853"/>
    <w:rsid w:val="00C7012B"/>
    <w:rsid w:val="00C70B9A"/>
    <w:rsid w:val="00C70CD9"/>
    <w:rsid w:val="00C718A9"/>
    <w:rsid w:val="00C71BE3"/>
    <w:rsid w:val="00C72AEF"/>
    <w:rsid w:val="00C72E4B"/>
    <w:rsid w:val="00C72F95"/>
    <w:rsid w:val="00C7320F"/>
    <w:rsid w:val="00C7525B"/>
    <w:rsid w:val="00C75DC2"/>
    <w:rsid w:val="00C76F3F"/>
    <w:rsid w:val="00C77C42"/>
    <w:rsid w:val="00C77DA6"/>
    <w:rsid w:val="00C77DE3"/>
    <w:rsid w:val="00C80172"/>
    <w:rsid w:val="00C80924"/>
    <w:rsid w:val="00C8127F"/>
    <w:rsid w:val="00C81685"/>
    <w:rsid w:val="00C81823"/>
    <w:rsid w:val="00C8226D"/>
    <w:rsid w:val="00C82272"/>
    <w:rsid w:val="00C82AD1"/>
    <w:rsid w:val="00C82CD6"/>
    <w:rsid w:val="00C82CFE"/>
    <w:rsid w:val="00C8320C"/>
    <w:rsid w:val="00C84093"/>
    <w:rsid w:val="00C844C9"/>
    <w:rsid w:val="00C8499F"/>
    <w:rsid w:val="00C84B7A"/>
    <w:rsid w:val="00C85FB7"/>
    <w:rsid w:val="00C865E3"/>
    <w:rsid w:val="00C8684D"/>
    <w:rsid w:val="00C87578"/>
    <w:rsid w:val="00C87610"/>
    <w:rsid w:val="00C908F6"/>
    <w:rsid w:val="00C91490"/>
    <w:rsid w:val="00C91517"/>
    <w:rsid w:val="00C915FB"/>
    <w:rsid w:val="00C919B6"/>
    <w:rsid w:val="00C91D7F"/>
    <w:rsid w:val="00C943C2"/>
    <w:rsid w:val="00C946C9"/>
    <w:rsid w:val="00C94840"/>
    <w:rsid w:val="00C95ABB"/>
    <w:rsid w:val="00C964DD"/>
    <w:rsid w:val="00C96606"/>
    <w:rsid w:val="00CA0126"/>
    <w:rsid w:val="00CA042F"/>
    <w:rsid w:val="00CA09DB"/>
    <w:rsid w:val="00CA131D"/>
    <w:rsid w:val="00CA44FC"/>
    <w:rsid w:val="00CA5B13"/>
    <w:rsid w:val="00CA5E14"/>
    <w:rsid w:val="00CA68E0"/>
    <w:rsid w:val="00CA7C58"/>
    <w:rsid w:val="00CB10CA"/>
    <w:rsid w:val="00CB11B9"/>
    <w:rsid w:val="00CB1F87"/>
    <w:rsid w:val="00CB2574"/>
    <w:rsid w:val="00CB3D55"/>
    <w:rsid w:val="00CB3FE1"/>
    <w:rsid w:val="00CB5603"/>
    <w:rsid w:val="00CB564C"/>
    <w:rsid w:val="00CB5665"/>
    <w:rsid w:val="00CB5BA4"/>
    <w:rsid w:val="00CB5BF2"/>
    <w:rsid w:val="00CB631F"/>
    <w:rsid w:val="00CB7B68"/>
    <w:rsid w:val="00CB7F00"/>
    <w:rsid w:val="00CC03DB"/>
    <w:rsid w:val="00CC0D78"/>
    <w:rsid w:val="00CC18E1"/>
    <w:rsid w:val="00CC1D10"/>
    <w:rsid w:val="00CC1FA8"/>
    <w:rsid w:val="00CC22CE"/>
    <w:rsid w:val="00CC2671"/>
    <w:rsid w:val="00CC2A46"/>
    <w:rsid w:val="00CC3D0C"/>
    <w:rsid w:val="00CC3E57"/>
    <w:rsid w:val="00CC4F88"/>
    <w:rsid w:val="00CC51E5"/>
    <w:rsid w:val="00CC57ED"/>
    <w:rsid w:val="00CC5CD2"/>
    <w:rsid w:val="00CC5F5B"/>
    <w:rsid w:val="00CC6FDC"/>
    <w:rsid w:val="00CC7516"/>
    <w:rsid w:val="00CC75BC"/>
    <w:rsid w:val="00CC7D7B"/>
    <w:rsid w:val="00CD07CF"/>
    <w:rsid w:val="00CD0B99"/>
    <w:rsid w:val="00CD0D49"/>
    <w:rsid w:val="00CD1B24"/>
    <w:rsid w:val="00CD2049"/>
    <w:rsid w:val="00CD24CD"/>
    <w:rsid w:val="00CD292B"/>
    <w:rsid w:val="00CD3790"/>
    <w:rsid w:val="00CD486A"/>
    <w:rsid w:val="00CD56B4"/>
    <w:rsid w:val="00CD6683"/>
    <w:rsid w:val="00CD6F72"/>
    <w:rsid w:val="00CD7075"/>
    <w:rsid w:val="00CD70C9"/>
    <w:rsid w:val="00CD7157"/>
    <w:rsid w:val="00CD7C38"/>
    <w:rsid w:val="00CE1831"/>
    <w:rsid w:val="00CE222D"/>
    <w:rsid w:val="00CE2E83"/>
    <w:rsid w:val="00CE3058"/>
    <w:rsid w:val="00CE307E"/>
    <w:rsid w:val="00CE3278"/>
    <w:rsid w:val="00CE32BD"/>
    <w:rsid w:val="00CE3526"/>
    <w:rsid w:val="00CE43F4"/>
    <w:rsid w:val="00CE4AE5"/>
    <w:rsid w:val="00CE52E3"/>
    <w:rsid w:val="00CE5B5E"/>
    <w:rsid w:val="00CE627F"/>
    <w:rsid w:val="00CE6F17"/>
    <w:rsid w:val="00CE7404"/>
    <w:rsid w:val="00CE7850"/>
    <w:rsid w:val="00CE7D7A"/>
    <w:rsid w:val="00CF0700"/>
    <w:rsid w:val="00CF077D"/>
    <w:rsid w:val="00CF0BBE"/>
    <w:rsid w:val="00CF1056"/>
    <w:rsid w:val="00CF19B7"/>
    <w:rsid w:val="00CF1E9F"/>
    <w:rsid w:val="00CF3A41"/>
    <w:rsid w:val="00CF53D8"/>
    <w:rsid w:val="00CF75DB"/>
    <w:rsid w:val="00D01673"/>
    <w:rsid w:val="00D01D9D"/>
    <w:rsid w:val="00D022BC"/>
    <w:rsid w:val="00D038A9"/>
    <w:rsid w:val="00D03F8B"/>
    <w:rsid w:val="00D04304"/>
    <w:rsid w:val="00D0432D"/>
    <w:rsid w:val="00D053B5"/>
    <w:rsid w:val="00D056AC"/>
    <w:rsid w:val="00D05DC8"/>
    <w:rsid w:val="00D05E9D"/>
    <w:rsid w:val="00D05EEF"/>
    <w:rsid w:val="00D065EA"/>
    <w:rsid w:val="00D067CB"/>
    <w:rsid w:val="00D11354"/>
    <w:rsid w:val="00D13CD0"/>
    <w:rsid w:val="00D14C91"/>
    <w:rsid w:val="00D173DC"/>
    <w:rsid w:val="00D20AD1"/>
    <w:rsid w:val="00D21935"/>
    <w:rsid w:val="00D22236"/>
    <w:rsid w:val="00D22A3D"/>
    <w:rsid w:val="00D22C27"/>
    <w:rsid w:val="00D23A85"/>
    <w:rsid w:val="00D24D42"/>
    <w:rsid w:val="00D25316"/>
    <w:rsid w:val="00D26807"/>
    <w:rsid w:val="00D26B37"/>
    <w:rsid w:val="00D27ACE"/>
    <w:rsid w:val="00D30316"/>
    <w:rsid w:val="00D305C1"/>
    <w:rsid w:val="00D30B8F"/>
    <w:rsid w:val="00D3219F"/>
    <w:rsid w:val="00D332D8"/>
    <w:rsid w:val="00D33AB4"/>
    <w:rsid w:val="00D3418B"/>
    <w:rsid w:val="00D358D2"/>
    <w:rsid w:val="00D35A96"/>
    <w:rsid w:val="00D364D8"/>
    <w:rsid w:val="00D3678B"/>
    <w:rsid w:val="00D36D59"/>
    <w:rsid w:val="00D37D1F"/>
    <w:rsid w:val="00D37DC8"/>
    <w:rsid w:val="00D4029C"/>
    <w:rsid w:val="00D40505"/>
    <w:rsid w:val="00D4090F"/>
    <w:rsid w:val="00D40910"/>
    <w:rsid w:val="00D40EC7"/>
    <w:rsid w:val="00D4123E"/>
    <w:rsid w:val="00D4124E"/>
    <w:rsid w:val="00D42332"/>
    <w:rsid w:val="00D42986"/>
    <w:rsid w:val="00D4575F"/>
    <w:rsid w:val="00D462EE"/>
    <w:rsid w:val="00D47013"/>
    <w:rsid w:val="00D47380"/>
    <w:rsid w:val="00D47B8B"/>
    <w:rsid w:val="00D47C98"/>
    <w:rsid w:val="00D5021D"/>
    <w:rsid w:val="00D504E7"/>
    <w:rsid w:val="00D50AC3"/>
    <w:rsid w:val="00D5147D"/>
    <w:rsid w:val="00D52CCD"/>
    <w:rsid w:val="00D5304A"/>
    <w:rsid w:val="00D53853"/>
    <w:rsid w:val="00D539AB"/>
    <w:rsid w:val="00D53D25"/>
    <w:rsid w:val="00D54F00"/>
    <w:rsid w:val="00D55E47"/>
    <w:rsid w:val="00D56568"/>
    <w:rsid w:val="00D5799C"/>
    <w:rsid w:val="00D57B07"/>
    <w:rsid w:val="00D601E3"/>
    <w:rsid w:val="00D61F79"/>
    <w:rsid w:val="00D626A7"/>
    <w:rsid w:val="00D631E7"/>
    <w:rsid w:val="00D6341B"/>
    <w:rsid w:val="00D63858"/>
    <w:rsid w:val="00D63BC4"/>
    <w:rsid w:val="00D6406E"/>
    <w:rsid w:val="00D648A9"/>
    <w:rsid w:val="00D65325"/>
    <w:rsid w:val="00D653FE"/>
    <w:rsid w:val="00D660BF"/>
    <w:rsid w:val="00D6617D"/>
    <w:rsid w:val="00D67232"/>
    <w:rsid w:val="00D67691"/>
    <w:rsid w:val="00D67C02"/>
    <w:rsid w:val="00D708CA"/>
    <w:rsid w:val="00D71481"/>
    <w:rsid w:val="00D714A4"/>
    <w:rsid w:val="00D71667"/>
    <w:rsid w:val="00D718CE"/>
    <w:rsid w:val="00D71E57"/>
    <w:rsid w:val="00D71F65"/>
    <w:rsid w:val="00D72086"/>
    <w:rsid w:val="00D727C0"/>
    <w:rsid w:val="00D72965"/>
    <w:rsid w:val="00D730C6"/>
    <w:rsid w:val="00D7321D"/>
    <w:rsid w:val="00D754FD"/>
    <w:rsid w:val="00D75BA1"/>
    <w:rsid w:val="00D774FF"/>
    <w:rsid w:val="00D775B6"/>
    <w:rsid w:val="00D77DC8"/>
    <w:rsid w:val="00D8280D"/>
    <w:rsid w:val="00D82AEB"/>
    <w:rsid w:val="00D82C74"/>
    <w:rsid w:val="00D82EF2"/>
    <w:rsid w:val="00D830E3"/>
    <w:rsid w:val="00D83972"/>
    <w:rsid w:val="00D83F36"/>
    <w:rsid w:val="00D84387"/>
    <w:rsid w:val="00D84A4C"/>
    <w:rsid w:val="00D85F43"/>
    <w:rsid w:val="00D86424"/>
    <w:rsid w:val="00D86740"/>
    <w:rsid w:val="00D87686"/>
    <w:rsid w:val="00D876E1"/>
    <w:rsid w:val="00D87766"/>
    <w:rsid w:val="00D87D48"/>
    <w:rsid w:val="00D87E56"/>
    <w:rsid w:val="00D902B5"/>
    <w:rsid w:val="00D91D0A"/>
    <w:rsid w:val="00D93DF1"/>
    <w:rsid w:val="00D95480"/>
    <w:rsid w:val="00D960A6"/>
    <w:rsid w:val="00DA01EF"/>
    <w:rsid w:val="00DA1173"/>
    <w:rsid w:val="00DA1267"/>
    <w:rsid w:val="00DA1FDF"/>
    <w:rsid w:val="00DA25E6"/>
    <w:rsid w:val="00DA284E"/>
    <w:rsid w:val="00DA3941"/>
    <w:rsid w:val="00DA3A43"/>
    <w:rsid w:val="00DA6605"/>
    <w:rsid w:val="00DA6794"/>
    <w:rsid w:val="00DA6B36"/>
    <w:rsid w:val="00DA7F1B"/>
    <w:rsid w:val="00DB013D"/>
    <w:rsid w:val="00DB0208"/>
    <w:rsid w:val="00DB0443"/>
    <w:rsid w:val="00DB1171"/>
    <w:rsid w:val="00DB226F"/>
    <w:rsid w:val="00DB279F"/>
    <w:rsid w:val="00DB2EB3"/>
    <w:rsid w:val="00DB373F"/>
    <w:rsid w:val="00DB55A1"/>
    <w:rsid w:val="00DB56CE"/>
    <w:rsid w:val="00DB580D"/>
    <w:rsid w:val="00DB63CD"/>
    <w:rsid w:val="00DB677B"/>
    <w:rsid w:val="00DB708F"/>
    <w:rsid w:val="00DB7A09"/>
    <w:rsid w:val="00DB7A90"/>
    <w:rsid w:val="00DC13BB"/>
    <w:rsid w:val="00DC2970"/>
    <w:rsid w:val="00DC3458"/>
    <w:rsid w:val="00DC4C88"/>
    <w:rsid w:val="00DC4CA2"/>
    <w:rsid w:val="00DC4F9C"/>
    <w:rsid w:val="00DC51F8"/>
    <w:rsid w:val="00DC7BF2"/>
    <w:rsid w:val="00DD0223"/>
    <w:rsid w:val="00DD182D"/>
    <w:rsid w:val="00DD1D45"/>
    <w:rsid w:val="00DD33CD"/>
    <w:rsid w:val="00DD42B6"/>
    <w:rsid w:val="00DD4469"/>
    <w:rsid w:val="00DD5A5A"/>
    <w:rsid w:val="00DD5FE7"/>
    <w:rsid w:val="00DD659F"/>
    <w:rsid w:val="00DD6911"/>
    <w:rsid w:val="00DE0373"/>
    <w:rsid w:val="00DE123F"/>
    <w:rsid w:val="00DE1515"/>
    <w:rsid w:val="00DE1665"/>
    <w:rsid w:val="00DE1BF4"/>
    <w:rsid w:val="00DE355D"/>
    <w:rsid w:val="00DE3A13"/>
    <w:rsid w:val="00DE57F8"/>
    <w:rsid w:val="00DE5A17"/>
    <w:rsid w:val="00DE7474"/>
    <w:rsid w:val="00DF0007"/>
    <w:rsid w:val="00DF0021"/>
    <w:rsid w:val="00DF1433"/>
    <w:rsid w:val="00DF1BFC"/>
    <w:rsid w:val="00DF2928"/>
    <w:rsid w:val="00DF3859"/>
    <w:rsid w:val="00DF3F73"/>
    <w:rsid w:val="00DF3FA6"/>
    <w:rsid w:val="00DF4369"/>
    <w:rsid w:val="00DF4ADA"/>
    <w:rsid w:val="00DF515C"/>
    <w:rsid w:val="00DF51D1"/>
    <w:rsid w:val="00DF5646"/>
    <w:rsid w:val="00DF5946"/>
    <w:rsid w:val="00DF5F73"/>
    <w:rsid w:val="00DF63F9"/>
    <w:rsid w:val="00DF7211"/>
    <w:rsid w:val="00DF74BA"/>
    <w:rsid w:val="00E0008F"/>
    <w:rsid w:val="00E002D7"/>
    <w:rsid w:val="00E00D7E"/>
    <w:rsid w:val="00E0159F"/>
    <w:rsid w:val="00E01896"/>
    <w:rsid w:val="00E02203"/>
    <w:rsid w:val="00E02813"/>
    <w:rsid w:val="00E03493"/>
    <w:rsid w:val="00E03BB8"/>
    <w:rsid w:val="00E03FA7"/>
    <w:rsid w:val="00E04147"/>
    <w:rsid w:val="00E04A48"/>
    <w:rsid w:val="00E05C2E"/>
    <w:rsid w:val="00E05FC5"/>
    <w:rsid w:val="00E068B2"/>
    <w:rsid w:val="00E06A06"/>
    <w:rsid w:val="00E06F43"/>
    <w:rsid w:val="00E071FE"/>
    <w:rsid w:val="00E0775A"/>
    <w:rsid w:val="00E07ED9"/>
    <w:rsid w:val="00E104C5"/>
    <w:rsid w:val="00E10B4E"/>
    <w:rsid w:val="00E11361"/>
    <w:rsid w:val="00E12081"/>
    <w:rsid w:val="00E1248A"/>
    <w:rsid w:val="00E12879"/>
    <w:rsid w:val="00E128C6"/>
    <w:rsid w:val="00E136CA"/>
    <w:rsid w:val="00E1388F"/>
    <w:rsid w:val="00E13B6E"/>
    <w:rsid w:val="00E15CA7"/>
    <w:rsid w:val="00E179E8"/>
    <w:rsid w:val="00E17A61"/>
    <w:rsid w:val="00E17DB4"/>
    <w:rsid w:val="00E20B2F"/>
    <w:rsid w:val="00E2118D"/>
    <w:rsid w:val="00E21451"/>
    <w:rsid w:val="00E22404"/>
    <w:rsid w:val="00E2284B"/>
    <w:rsid w:val="00E229A1"/>
    <w:rsid w:val="00E2380F"/>
    <w:rsid w:val="00E239B0"/>
    <w:rsid w:val="00E24774"/>
    <w:rsid w:val="00E2627E"/>
    <w:rsid w:val="00E26AB1"/>
    <w:rsid w:val="00E27EF8"/>
    <w:rsid w:val="00E300FC"/>
    <w:rsid w:val="00E31385"/>
    <w:rsid w:val="00E31B51"/>
    <w:rsid w:val="00E32A53"/>
    <w:rsid w:val="00E32B28"/>
    <w:rsid w:val="00E32DA9"/>
    <w:rsid w:val="00E34C3D"/>
    <w:rsid w:val="00E35810"/>
    <w:rsid w:val="00E35ACF"/>
    <w:rsid w:val="00E35BE3"/>
    <w:rsid w:val="00E35EC6"/>
    <w:rsid w:val="00E364B6"/>
    <w:rsid w:val="00E37695"/>
    <w:rsid w:val="00E40AB3"/>
    <w:rsid w:val="00E412B5"/>
    <w:rsid w:val="00E42442"/>
    <w:rsid w:val="00E42C72"/>
    <w:rsid w:val="00E42EA4"/>
    <w:rsid w:val="00E440CD"/>
    <w:rsid w:val="00E4516C"/>
    <w:rsid w:val="00E4537B"/>
    <w:rsid w:val="00E458CC"/>
    <w:rsid w:val="00E46466"/>
    <w:rsid w:val="00E46847"/>
    <w:rsid w:val="00E476C8"/>
    <w:rsid w:val="00E507AE"/>
    <w:rsid w:val="00E50B5E"/>
    <w:rsid w:val="00E50D8E"/>
    <w:rsid w:val="00E51192"/>
    <w:rsid w:val="00E51418"/>
    <w:rsid w:val="00E5158B"/>
    <w:rsid w:val="00E53D22"/>
    <w:rsid w:val="00E53DEC"/>
    <w:rsid w:val="00E5477C"/>
    <w:rsid w:val="00E54878"/>
    <w:rsid w:val="00E555C2"/>
    <w:rsid w:val="00E55A35"/>
    <w:rsid w:val="00E55DDA"/>
    <w:rsid w:val="00E5661B"/>
    <w:rsid w:val="00E56E67"/>
    <w:rsid w:val="00E56F89"/>
    <w:rsid w:val="00E603C1"/>
    <w:rsid w:val="00E6056B"/>
    <w:rsid w:val="00E60B4C"/>
    <w:rsid w:val="00E60FE6"/>
    <w:rsid w:val="00E61F61"/>
    <w:rsid w:val="00E62062"/>
    <w:rsid w:val="00E62B4E"/>
    <w:rsid w:val="00E63563"/>
    <w:rsid w:val="00E63B07"/>
    <w:rsid w:val="00E63B43"/>
    <w:rsid w:val="00E64AB0"/>
    <w:rsid w:val="00E6588E"/>
    <w:rsid w:val="00E66D21"/>
    <w:rsid w:val="00E70CF5"/>
    <w:rsid w:val="00E715EB"/>
    <w:rsid w:val="00E7215C"/>
    <w:rsid w:val="00E723D5"/>
    <w:rsid w:val="00E725C9"/>
    <w:rsid w:val="00E72944"/>
    <w:rsid w:val="00E73464"/>
    <w:rsid w:val="00E745D3"/>
    <w:rsid w:val="00E76235"/>
    <w:rsid w:val="00E7750A"/>
    <w:rsid w:val="00E77B75"/>
    <w:rsid w:val="00E805AF"/>
    <w:rsid w:val="00E8070F"/>
    <w:rsid w:val="00E824BE"/>
    <w:rsid w:val="00E83AA9"/>
    <w:rsid w:val="00E849C9"/>
    <w:rsid w:val="00E84A3F"/>
    <w:rsid w:val="00E85163"/>
    <w:rsid w:val="00E856EB"/>
    <w:rsid w:val="00E857F6"/>
    <w:rsid w:val="00E86C33"/>
    <w:rsid w:val="00E874DC"/>
    <w:rsid w:val="00E903A1"/>
    <w:rsid w:val="00E904BC"/>
    <w:rsid w:val="00E90586"/>
    <w:rsid w:val="00E90CD4"/>
    <w:rsid w:val="00E91701"/>
    <w:rsid w:val="00E9291F"/>
    <w:rsid w:val="00E92D36"/>
    <w:rsid w:val="00E93B42"/>
    <w:rsid w:val="00E940F3"/>
    <w:rsid w:val="00E94238"/>
    <w:rsid w:val="00E948CA"/>
    <w:rsid w:val="00E96256"/>
    <w:rsid w:val="00E96BF1"/>
    <w:rsid w:val="00E97A5E"/>
    <w:rsid w:val="00EA165E"/>
    <w:rsid w:val="00EA17E9"/>
    <w:rsid w:val="00EA1BC9"/>
    <w:rsid w:val="00EA283F"/>
    <w:rsid w:val="00EA2AC1"/>
    <w:rsid w:val="00EA31A2"/>
    <w:rsid w:val="00EA3C00"/>
    <w:rsid w:val="00EA3C19"/>
    <w:rsid w:val="00EA3C63"/>
    <w:rsid w:val="00EA3F94"/>
    <w:rsid w:val="00EA52BD"/>
    <w:rsid w:val="00EA54FE"/>
    <w:rsid w:val="00EA5A72"/>
    <w:rsid w:val="00EA5D83"/>
    <w:rsid w:val="00EA7E7A"/>
    <w:rsid w:val="00EB1301"/>
    <w:rsid w:val="00EB1EA8"/>
    <w:rsid w:val="00EB2309"/>
    <w:rsid w:val="00EB27C5"/>
    <w:rsid w:val="00EB2A20"/>
    <w:rsid w:val="00EB3AFD"/>
    <w:rsid w:val="00EB3C2F"/>
    <w:rsid w:val="00EB4024"/>
    <w:rsid w:val="00EB6192"/>
    <w:rsid w:val="00EB6321"/>
    <w:rsid w:val="00EB709B"/>
    <w:rsid w:val="00EC00D7"/>
    <w:rsid w:val="00EC32C1"/>
    <w:rsid w:val="00EC3A8A"/>
    <w:rsid w:val="00EC42BE"/>
    <w:rsid w:val="00EC436E"/>
    <w:rsid w:val="00EC48D2"/>
    <w:rsid w:val="00EC595E"/>
    <w:rsid w:val="00EC5D9A"/>
    <w:rsid w:val="00EC5DA8"/>
    <w:rsid w:val="00EC5FD2"/>
    <w:rsid w:val="00EC67B3"/>
    <w:rsid w:val="00EC7987"/>
    <w:rsid w:val="00EC7BEE"/>
    <w:rsid w:val="00ED00D8"/>
    <w:rsid w:val="00ED0466"/>
    <w:rsid w:val="00ED056E"/>
    <w:rsid w:val="00ED1B18"/>
    <w:rsid w:val="00ED1E99"/>
    <w:rsid w:val="00ED2347"/>
    <w:rsid w:val="00ED2426"/>
    <w:rsid w:val="00ED2784"/>
    <w:rsid w:val="00ED38B2"/>
    <w:rsid w:val="00ED46F1"/>
    <w:rsid w:val="00ED50EE"/>
    <w:rsid w:val="00ED5730"/>
    <w:rsid w:val="00ED5C6E"/>
    <w:rsid w:val="00ED65D0"/>
    <w:rsid w:val="00ED69EA"/>
    <w:rsid w:val="00ED6A91"/>
    <w:rsid w:val="00ED6AC9"/>
    <w:rsid w:val="00ED6EDF"/>
    <w:rsid w:val="00ED7FB9"/>
    <w:rsid w:val="00EE012E"/>
    <w:rsid w:val="00EE2055"/>
    <w:rsid w:val="00EE2DE2"/>
    <w:rsid w:val="00EE3A80"/>
    <w:rsid w:val="00EE3B43"/>
    <w:rsid w:val="00EE4B6E"/>
    <w:rsid w:val="00EE5F9B"/>
    <w:rsid w:val="00EE6022"/>
    <w:rsid w:val="00EE616F"/>
    <w:rsid w:val="00EE67EE"/>
    <w:rsid w:val="00EE6E4A"/>
    <w:rsid w:val="00EE7C2F"/>
    <w:rsid w:val="00EF007F"/>
    <w:rsid w:val="00EF0320"/>
    <w:rsid w:val="00EF16C8"/>
    <w:rsid w:val="00EF1A1B"/>
    <w:rsid w:val="00EF1A54"/>
    <w:rsid w:val="00EF1E0A"/>
    <w:rsid w:val="00EF21A1"/>
    <w:rsid w:val="00EF32D9"/>
    <w:rsid w:val="00EF3329"/>
    <w:rsid w:val="00EF3CE1"/>
    <w:rsid w:val="00EF5235"/>
    <w:rsid w:val="00EF60CC"/>
    <w:rsid w:val="00EF657F"/>
    <w:rsid w:val="00EF6928"/>
    <w:rsid w:val="00EF6B03"/>
    <w:rsid w:val="00EF7D17"/>
    <w:rsid w:val="00F01A46"/>
    <w:rsid w:val="00F02233"/>
    <w:rsid w:val="00F03FF7"/>
    <w:rsid w:val="00F05571"/>
    <w:rsid w:val="00F058A5"/>
    <w:rsid w:val="00F0627F"/>
    <w:rsid w:val="00F066C2"/>
    <w:rsid w:val="00F07133"/>
    <w:rsid w:val="00F07550"/>
    <w:rsid w:val="00F104EE"/>
    <w:rsid w:val="00F10C82"/>
    <w:rsid w:val="00F11061"/>
    <w:rsid w:val="00F11556"/>
    <w:rsid w:val="00F115A2"/>
    <w:rsid w:val="00F118FE"/>
    <w:rsid w:val="00F12E42"/>
    <w:rsid w:val="00F1329C"/>
    <w:rsid w:val="00F1354B"/>
    <w:rsid w:val="00F13BC5"/>
    <w:rsid w:val="00F13FB2"/>
    <w:rsid w:val="00F156E2"/>
    <w:rsid w:val="00F15719"/>
    <w:rsid w:val="00F16047"/>
    <w:rsid w:val="00F16BEC"/>
    <w:rsid w:val="00F171A6"/>
    <w:rsid w:val="00F17DC3"/>
    <w:rsid w:val="00F20952"/>
    <w:rsid w:val="00F20E8C"/>
    <w:rsid w:val="00F214DA"/>
    <w:rsid w:val="00F21F68"/>
    <w:rsid w:val="00F2238C"/>
    <w:rsid w:val="00F227A4"/>
    <w:rsid w:val="00F2328E"/>
    <w:rsid w:val="00F241AD"/>
    <w:rsid w:val="00F26380"/>
    <w:rsid w:val="00F30C2C"/>
    <w:rsid w:val="00F3109F"/>
    <w:rsid w:val="00F314C8"/>
    <w:rsid w:val="00F31D77"/>
    <w:rsid w:val="00F31DCA"/>
    <w:rsid w:val="00F31E83"/>
    <w:rsid w:val="00F32361"/>
    <w:rsid w:val="00F324C8"/>
    <w:rsid w:val="00F32B5B"/>
    <w:rsid w:val="00F334E1"/>
    <w:rsid w:val="00F3367D"/>
    <w:rsid w:val="00F3403C"/>
    <w:rsid w:val="00F34070"/>
    <w:rsid w:val="00F34B5D"/>
    <w:rsid w:val="00F34BA9"/>
    <w:rsid w:val="00F34C74"/>
    <w:rsid w:val="00F34EFE"/>
    <w:rsid w:val="00F35695"/>
    <w:rsid w:val="00F36A30"/>
    <w:rsid w:val="00F37326"/>
    <w:rsid w:val="00F378F3"/>
    <w:rsid w:val="00F40F61"/>
    <w:rsid w:val="00F4134C"/>
    <w:rsid w:val="00F414D2"/>
    <w:rsid w:val="00F42492"/>
    <w:rsid w:val="00F436CB"/>
    <w:rsid w:val="00F43B22"/>
    <w:rsid w:val="00F43C87"/>
    <w:rsid w:val="00F447C4"/>
    <w:rsid w:val="00F44AB2"/>
    <w:rsid w:val="00F44E48"/>
    <w:rsid w:val="00F4645B"/>
    <w:rsid w:val="00F46762"/>
    <w:rsid w:val="00F47A18"/>
    <w:rsid w:val="00F502E5"/>
    <w:rsid w:val="00F50946"/>
    <w:rsid w:val="00F5121B"/>
    <w:rsid w:val="00F51591"/>
    <w:rsid w:val="00F520B4"/>
    <w:rsid w:val="00F524F8"/>
    <w:rsid w:val="00F52C5F"/>
    <w:rsid w:val="00F53E99"/>
    <w:rsid w:val="00F54283"/>
    <w:rsid w:val="00F54ECC"/>
    <w:rsid w:val="00F54F49"/>
    <w:rsid w:val="00F55759"/>
    <w:rsid w:val="00F559F3"/>
    <w:rsid w:val="00F56377"/>
    <w:rsid w:val="00F567C1"/>
    <w:rsid w:val="00F568F3"/>
    <w:rsid w:val="00F56AEE"/>
    <w:rsid w:val="00F57D70"/>
    <w:rsid w:val="00F60854"/>
    <w:rsid w:val="00F6156F"/>
    <w:rsid w:val="00F615CE"/>
    <w:rsid w:val="00F618D5"/>
    <w:rsid w:val="00F64C14"/>
    <w:rsid w:val="00F662EB"/>
    <w:rsid w:val="00F664E2"/>
    <w:rsid w:val="00F6735D"/>
    <w:rsid w:val="00F678D3"/>
    <w:rsid w:val="00F7052D"/>
    <w:rsid w:val="00F713FB"/>
    <w:rsid w:val="00F71805"/>
    <w:rsid w:val="00F72122"/>
    <w:rsid w:val="00F72752"/>
    <w:rsid w:val="00F72C6A"/>
    <w:rsid w:val="00F74D31"/>
    <w:rsid w:val="00F7525C"/>
    <w:rsid w:val="00F75638"/>
    <w:rsid w:val="00F75779"/>
    <w:rsid w:val="00F75D0C"/>
    <w:rsid w:val="00F75F8F"/>
    <w:rsid w:val="00F76526"/>
    <w:rsid w:val="00F76843"/>
    <w:rsid w:val="00F7755A"/>
    <w:rsid w:val="00F81B61"/>
    <w:rsid w:val="00F829BA"/>
    <w:rsid w:val="00F83705"/>
    <w:rsid w:val="00F83C23"/>
    <w:rsid w:val="00F84A86"/>
    <w:rsid w:val="00F84B64"/>
    <w:rsid w:val="00F87229"/>
    <w:rsid w:val="00F8722D"/>
    <w:rsid w:val="00F8783A"/>
    <w:rsid w:val="00F87F21"/>
    <w:rsid w:val="00F9246E"/>
    <w:rsid w:val="00F928B9"/>
    <w:rsid w:val="00F92E25"/>
    <w:rsid w:val="00F940A2"/>
    <w:rsid w:val="00F94678"/>
    <w:rsid w:val="00F94CCB"/>
    <w:rsid w:val="00F9595A"/>
    <w:rsid w:val="00F95EC1"/>
    <w:rsid w:val="00F96049"/>
    <w:rsid w:val="00F97D92"/>
    <w:rsid w:val="00FA1268"/>
    <w:rsid w:val="00FA28B0"/>
    <w:rsid w:val="00FA297E"/>
    <w:rsid w:val="00FA2D6D"/>
    <w:rsid w:val="00FA31D2"/>
    <w:rsid w:val="00FA41BB"/>
    <w:rsid w:val="00FA46F9"/>
    <w:rsid w:val="00FA509D"/>
    <w:rsid w:val="00FA57AE"/>
    <w:rsid w:val="00FA5A6A"/>
    <w:rsid w:val="00FA60A1"/>
    <w:rsid w:val="00FA6227"/>
    <w:rsid w:val="00FA7C2F"/>
    <w:rsid w:val="00FB06C8"/>
    <w:rsid w:val="00FB1946"/>
    <w:rsid w:val="00FB22BF"/>
    <w:rsid w:val="00FB28E5"/>
    <w:rsid w:val="00FB342D"/>
    <w:rsid w:val="00FB390B"/>
    <w:rsid w:val="00FB4351"/>
    <w:rsid w:val="00FB4888"/>
    <w:rsid w:val="00FB696A"/>
    <w:rsid w:val="00FB6984"/>
    <w:rsid w:val="00FB6D0B"/>
    <w:rsid w:val="00FB7D40"/>
    <w:rsid w:val="00FB7F0B"/>
    <w:rsid w:val="00FC1A75"/>
    <w:rsid w:val="00FC2845"/>
    <w:rsid w:val="00FC3E2B"/>
    <w:rsid w:val="00FC3F10"/>
    <w:rsid w:val="00FC40ED"/>
    <w:rsid w:val="00FC45EE"/>
    <w:rsid w:val="00FC51D5"/>
    <w:rsid w:val="00FC53C6"/>
    <w:rsid w:val="00FC6ADA"/>
    <w:rsid w:val="00FC6F99"/>
    <w:rsid w:val="00FC79F6"/>
    <w:rsid w:val="00FD1E15"/>
    <w:rsid w:val="00FD1F48"/>
    <w:rsid w:val="00FD346D"/>
    <w:rsid w:val="00FD3652"/>
    <w:rsid w:val="00FD4032"/>
    <w:rsid w:val="00FD4FC9"/>
    <w:rsid w:val="00FD5666"/>
    <w:rsid w:val="00FD572C"/>
    <w:rsid w:val="00FD756F"/>
    <w:rsid w:val="00FD7E8F"/>
    <w:rsid w:val="00FE09C9"/>
    <w:rsid w:val="00FE13F3"/>
    <w:rsid w:val="00FE1D20"/>
    <w:rsid w:val="00FE24C8"/>
    <w:rsid w:val="00FE29A0"/>
    <w:rsid w:val="00FE2F23"/>
    <w:rsid w:val="00FE35A1"/>
    <w:rsid w:val="00FE3B32"/>
    <w:rsid w:val="00FE4A70"/>
    <w:rsid w:val="00FE532C"/>
    <w:rsid w:val="00FE5CA6"/>
    <w:rsid w:val="00FE6705"/>
    <w:rsid w:val="00FE6A29"/>
    <w:rsid w:val="00FE6E94"/>
    <w:rsid w:val="00FE7794"/>
    <w:rsid w:val="00FE7E41"/>
    <w:rsid w:val="00FF002C"/>
    <w:rsid w:val="00FF0D38"/>
    <w:rsid w:val="00FF21BB"/>
    <w:rsid w:val="00FF2B26"/>
    <w:rsid w:val="00FF30EA"/>
    <w:rsid w:val="00FF35C1"/>
    <w:rsid w:val="00FF3D26"/>
    <w:rsid w:val="00FF5857"/>
    <w:rsid w:val="00FF62E0"/>
    <w:rsid w:val="00FF67B6"/>
    <w:rsid w:val="00FF73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D104"/>
  <w15:docId w15:val="{2157439B-6A10-405B-8984-AEF5B3A2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C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Ttulo1">
    <w:name w:val="heading 1"/>
    <w:basedOn w:val="Normal"/>
    <w:next w:val="Normal"/>
    <w:link w:val="Ttulo1Car"/>
    <w:uiPriority w:val="9"/>
    <w:qFormat/>
    <w:rsid w:val="002F4F08"/>
    <w:pPr>
      <w:keepNext/>
      <w:keepLines/>
      <w:tabs>
        <w:tab w:val="left" w:pos="851"/>
      </w:tabs>
      <w:spacing w:before="240" w:after="240" w:line="240" w:lineRule="auto"/>
      <w:jc w:val="center"/>
      <w:outlineLvl w:val="0"/>
    </w:pPr>
    <w:rPr>
      <w:rFonts w:cs="Verdana"/>
      <w:b/>
      <w:bCs/>
      <w:caps/>
      <w:snapToGrid w:val="0"/>
      <w:sz w:val="20"/>
      <w:szCs w:val="20"/>
    </w:rPr>
  </w:style>
  <w:style w:type="paragraph" w:styleId="Ttulo2">
    <w:name w:val="heading 2"/>
    <w:basedOn w:val="Normal"/>
    <w:next w:val="Normal"/>
    <w:link w:val="Ttulo2Car"/>
    <w:uiPriority w:val="9"/>
    <w:unhideWhenUsed/>
    <w:qFormat/>
    <w:rsid w:val="00377181"/>
    <w:pPr>
      <w:keepNext/>
      <w:keepLines/>
      <w:tabs>
        <w:tab w:val="left" w:pos="1134"/>
      </w:tabs>
      <w:spacing w:before="240" w:after="240" w:line="240" w:lineRule="auto"/>
      <w:ind w:left="562"/>
      <w:outlineLvl w:val="1"/>
    </w:pPr>
    <w:rPr>
      <w:rFonts w:eastAsia="MS Mincho"/>
      <w:b/>
      <w:bCs/>
      <w:i/>
      <w:sz w:val="20"/>
      <w:szCs w:val="20"/>
    </w:rPr>
  </w:style>
  <w:style w:type="paragraph" w:styleId="Ttulo3">
    <w:name w:val="heading 3"/>
    <w:basedOn w:val="Ttulo2"/>
    <w:next w:val="Normal"/>
    <w:link w:val="Ttulo3Car"/>
    <w:uiPriority w:val="9"/>
    <w:unhideWhenUsed/>
    <w:qFormat/>
    <w:rsid w:val="00C82CD6"/>
    <w:pPr>
      <w:outlineLvl w:val="2"/>
    </w:pPr>
    <w:rPr>
      <w:b w:val="0"/>
    </w:rPr>
  </w:style>
  <w:style w:type="paragraph" w:styleId="Ttulo5">
    <w:name w:val="heading 5"/>
    <w:basedOn w:val="Normal"/>
    <w:next w:val="Normal"/>
    <w:link w:val="Ttulo5Car"/>
    <w:uiPriority w:val="9"/>
    <w:semiHidden/>
    <w:unhideWhenUsed/>
    <w:qFormat/>
    <w:rsid w:val="003C23A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3C23AB"/>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833D5A"/>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833D5A"/>
    <w:pPr>
      <w:spacing w:line="240" w:lineRule="auto"/>
    </w:pPr>
    <w:rPr>
      <w:sz w:val="20"/>
      <w:szCs w:val="20"/>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833D5A"/>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3D5A"/>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styleId="Nmerodelnea">
    <w:name w:val="line number"/>
    <w:basedOn w:val="Fuentedeprrafopredeter"/>
    <w:uiPriority w:val="99"/>
    <w:unhideWhenUsed/>
    <w:rsid w:val="00440CDD"/>
    <w:rPr>
      <w:rFonts w:ascii="Verdana" w:hAnsi="Verdana"/>
      <w:sz w:val="18"/>
    </w:rPr>
  </w:style>
  <w:style w:type="paragraph" w:styleId="Encabezado">
    <w:name w:val="header"/>
    <w:basedOn w:val="Normal"/>
    <w:link w:val="EncabezadoCar"/>
    <w:uiPriority w:val="99"/>
    <w:unhideWhenUsed/>
    <w:rsid w:val="0017637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76377"/>
    <w:rPr>
      <w:rFonts w:ascii="Verdana" w:eastAsia="Times New Roman" w:hAnsi="Verdana" w:cs="Times New Roman"/>
      <w:sz w:val="24"/>
      <w:szCs w:val="24"/>
      <w:lang w:eastAsia="es-CR"/>
    </w:rPr>
  </w:style>
  <w:style w:type="paragraph" w:styleId="Piedepgina">
    <w:name w:val="footer"/>
    <w:basedOn w:val="Normal"/>
    <w:link w:val="PiedepginaCar"/>
    <w:uiPriority w:val="99"/>
    <w:unhideWhenUsed/>
    <w:rsid w:val="0017637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76377"/>
    <w:rPr>
      <w:rFonts w:ascii="Verdana" w:eastAsia="Times New Roman" w:hAnsi="Verdana" w:cs="Times New Roman"/>
      <w:sz w:val="24"/>
      <w:szCs w:val="24"/>
      <w:lang w:eastAsia="es-CR"/>
    </w:rPr>
  </w:style>
  <w:style w:type="character" w:customStyle="1" w:styleId="Ttulo2Car">
    <w:name w:val="Título 2 Car"/>
    <w:basedOn w:val="Fuentedeprrafopredeter"/>
    <w:link w:val="Ttulo2"/>
    <w:uiPriority w:val="9"/>
    <w:rsid w:val="00377181"/>
    <w:rPr>
      <w:rFonts w:ascii="Verdana" w:eastAsia="MS Mincho" w:hAnsi="Verdana" w:cs="Times New Roman"/>
      <w:b/>
      <w:bCs/>
      <w:i/>
      <w:sz w:val="20"/>
      <w:szCs w:val="20"/>
      <w:lang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uiPriority w:val="34"/>
    <w:qFormat/>
    <w:rsid w:val="00652A11"/>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uiPriority w:val="34"/>
    <w:rsid w:val="00652A11"/>
    <w:rPr>
      <w:rFonts w:ascii="Verdana" w:eastAsia="Times New Roman" w:hAnsi="Verdana" w:cs="Times New Roman"/>
      <w:sz w:val="24"/>
      <w:szCs w:val="24"/>
      <w:lang w:eastAsia="es-CR"/>
    </w:rPr>
  </w:style>
  <w:style w:type="character" w:styleId="Textoennegrita">
    <w:name w:val="Strong"/>
    <w:aliases w:val="Heading 2.1"/>
    <w:basedOn w:val="Fuentedeprrafopredeter"/>
    <w:uiPriority w:val="22"/>
    <w:qFormat/>
    <w:rsid w:val="00D22236"/>
    <w:rPr>
      <w:b/>
      <w:bCs/>
    </w:rPr>
  </w:style>
  <w:style w:type="paragraph" w:styleId="NormalWeb">
    <w:name w:val="Normal (Web)"/>
    <w:basedOn w:val="Normal"/>
    <w:uiPriority w:val="99"/>
    <w:unhideWhenUsed/>
    <w:rsid w:val="00FA41BB"/>
    <w:rPr>
      <w:rFonts w:ascii="Times New Roman" w:hAnsi="Times New Roman"/>
    </w:rPr>
  </w:style>
  <w:style w:type="character" w:customStyle="1" w:styleId="apple-converted-space">
    <w:name w:val="apple-converted-space"/>
    <w:basedOn w:val="Fuentedeprrafopredeter"/>
    <w:rsid w:val="00FA41BB"/>
  </w:style>
  <w:style w:type="character" w:styleId="Hipervnculo">
    <w:name w:val="Hyperlink"/>
    <w:basedOn w:val="Fuentedeprrafopredeter"/>
    <w:uiPriority w:val="99"/>
    <w:unhideWhenUsed/>
    <w:rsid w:val="00731D3E"/>
    <w:rPr>
      <w:color w:val="0000FF" w:themeColor="hyperlink"/>
      <w:u w:val="single"/>
    </w:rPr>
  </w:style>
  <w:style w:type="character" w:customStyle="1" w:styleId="Ttulo1Car">
    <w:name w:val="Título 1 Car"/>
    <w:basedOn w:val="Fuentedeprrafopredeter"/>
    <w:link w:val="Ttulo1"/>
    <w:uiPriority w:val="9"/>
    <w:rsid w:val="002F4F08"/>
    <w:rPr>
      <w:rFonts w:ascii="Verdana" w:eastAsia="Times New Roman" w:hAnsi="Verdana" w:cs="Verdana"/>
      <w:b/>
      <w:bCs/>
      <w:caps/>
      <w:snapToGrid w:val="0"/>
      <w:sz w:val="20"/>
      <w:szCs w:val="20"/>
      <w:lang w:eastAsia="es-CR"/>
    </w:rPr>
  </w:style>
  <w:style w:type="paragraph" w:styleId="TtuloTDC">
    <w:name w:val="TOC Heading"/>
    <w:basedOn w:val="Ttulo1"/>
    <w:next w:val="Normal"/>
    <w:uiPriority w:val="39"/>
    <w:unhideWhenUsed/>
    <w:qFormat/>
    <w:rsid w:val="00731D3E"/>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B66D6F"/>
    <w:pPr>
      <w:tabs>
        <w:tab w:val="right" w:leader="dot" w:pos="10070"/>
      </w:tabs>
      <w:spacing w:before="120" w:after="120" w:line="240" w:lineRule="auto"/>
    </w:pPr>
    <w:rPr>
      <w:rFonts w:eastAsia="MS Mincho"/>
      <w:b/>
      <w:noProof/>
      <w:sz w:val="20"/>
      <w:szCs w:val="20"/>
    </w:rPr>
  </w:style>
  <w:style w:type="paragraph" w:styleId="TDC2">
    <w:name w:val="toc 2"/>
    <w:basedOn w:val="Normal"/>
    <w:next w:val="Normal"/>
    <w:autoRedefine/>
    <w:uiPriority w:val="39"/>
    <w:unhideWhenUsed/>
    <w:rsid w:val="000B0FF3"/>
    <w:pPr>
      <w:tabs>
        <w:tab w:val="left" w:pos="450"/>
        <w:tab w:val="left" w:pos="630"/>
        <w:tab w:val="right" w:leader="dot" w:pos="10070"/>
      </w:tabs>
      <w:spacing w:line="240" w:lineRule="auto"/>
      <w:ind w:left="240"/>
    </w:pPr>
  </w:style>
  <w:style w:type="paragraph" w:styleId="Textodeglobo">
    <w:name w:val="Balloon Text"/>
    <w:basedOn w:val="Normal"/>
    <w:link w:val="TextodegloboCar"/>
    <w:uiPriority w:val="99"/>
    <w:semiHidden/>
    <w:unhideWhenUsed/>
    <w:rsid w:val="00731D3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D3E"/>
    <w:rPr>
      <w:rFonts w:ascii="Tahoma" w:eastAsia="Times New Roman" w:hAnsi="Tahoma" w:cs="Tahoma"/>
      <w:sz w:val="16"/>
      <w:szCs w:val="16"/>
      <w:lang w:eastAsia="es-CR"/>
    </w:rPr>
  </w:style>
  <w:style w:type="table" w:styleId="Tablaconcuadrcula">
    <w:name w:val="Table Grid"/>
    <w:basedOn w:val="Tablanormal"/>
    <w:uiPriority w:val="59"/>
    <w:rsid w:val="0001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BB528A"/>
  </w:style>
  <w:style w:type="character" w:styleId="Refdecomentario">
    <w:name w:val="annotation reference"/>
    <w:basedOn w:val="Fuentedeprrafopredeter"/>
    <w:uiPriority w:val="99"/>
    <w:semiHidden/>
    <w:unhideWhenUsed/>
    <w:rsid w:val="00BB528A"/>
    <w:rPr>
      <w:sz w:val="16"/>
      <w:szCs w:val="16"/>
    </w:rPr>
  </w:style>
  <w:style w:type="paragraph" w:styleId="Textocomentario">
    <w:name w:val="annotation text"/>
    <w:basedOn w:val="Normal"/>
    <w:link w:val="TextocomentarioCar"/>
    <w:uiPriority w:val="99"/>
    <w:semiHidden/>
    <w:unhideWhenUsed/>
    <w:rsid w:val="00BB528A"/>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B528A"/>
    <w:rPr>
      <w:sz w:val="20"/>
      <w:szCs w:val="20"/>
    </w:rPr>
  </w:style>
  <w:style w:type="paragraph" w:styleId="Asuntodelcomentario">
    <w:name w:val="annotation subject"/>
    <w:basedOn w:val="Textocomentario"/>
    <w:next w:val="Textocomentario"/>
    <w:link w:val="AsuntodelcomentarioCar"/>
    <w:uiPriority w:val="99"/>
    <w:semiHidden/>
    <w:unhideWhenUsed/>
    <w:rsid w:val="00BB528A"/>
    <w:rPr>
      <w:b/>
      <w:bCs/>
    </w:rPr>
  </w:style>
  <w:style w:type="character" w:customStyle="1" w:styleId="AsuntodelcomentarioCar">
    <w:name w:val="Asunto del comentario Car"/>
    <w:basedOn w:val="TextocomentarioCar"/>
    <w:link w:val="Asuntodelcomentario"/>
    <w:uiPriority w:val="99"/>
    <w:semiHidden/>
    <w:rsid w:val="00BB528A"/>
    <w:rPr>
      <w:b/>
      <w:bCs/>
      <w:sz w:val="20"/>
      <w:szCs w:val="20"/>
    </w:rPr>
  </w:style>
  <w:style w:type="character" w:customStyle="1" w:styleId="Ttulo3Car">
    <w:name w:val="Título 3 Car"/>
    <w:basedOn w:val="Fuentedeprrafopredeter"/>
    <w:link w:val="Ttulo3"/>
    <w:uiPriority w:val="9"/>
    <w:rsid w:val="00C82CD6"/>
    <w:rPr>
      <w:rFonts w:ascii="Verdana" w:eastAsia="MS Mincho" w:hAnsi="Verdana" w:cs="Times New Roman"/>
      <w:bCs/>
      <w:i/>
      <w:sz w:val="20"/>
      <w:szCs w:val="20"/>
      <w:lang w:eastAsia="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9E4F6C"/>
    <w:rPr>
      <w:rFonts w:ascii="Verdana" w:eastAsia="Times New Roman" w:hAnsi="Verdana" w:cs="Times New Roman"/>
      <w:sz w:val="24"/>
      <w:szCs w:val="24"/>
      <w:lang w:eastAsia="es-CR"/>
    </w:rPr>
  </w:style>
  <w:style w:type="paragraph" w:customStyle="1" w:styleId="Default">
    <w:name w:val="Default"/>
    <w:rsid w:val="009E4F6C"/>
    <w:pPr>
      <w:autoSpaceDE w:val="0"/>
      <w:autoSpaceDN w:val="0"/>
      <w:adjustRightInd w:val="0"/>
      <w:spacing w:after="0" w:line="240" w:lineRule="auto"/>
    </w:pPr>
    <w:rPr>
      <w:rFonts w:ascii="Verdana" w:hAnsi="Verdana" w:cs="Verdana"/>
      <w:color w:val="000000"/>
      <w:sz w:val="24"/>
      <w:szCs w:val="24"/>
    </w:rPr>
  </w:style>
  <w:style w:type="paragraph" w:customStyle="1" w:styleId="PrrafodeSentencia">
    <w:name w:val="*. Párrafo de Sentencia"/>
    <w:basedOn w:val="Normal"/>
    <w:link w:val="PrrafodeSentenciaChar"/>
    <w:qFormat/>
    <w:rsid w:val="009E4F6C"/>
    <w:pPr>
      <w:widowControl/>
      <w:numPr>
        <w:numId w:val="3"/>
      </w:numPr>
      <w:tabs>
        <w:tab w:val="left" w:pos="567"/>
      </w:tabs>
      <w:adjustRightInd/>
      <w:spacing w:line="240" w:lineRule="auto"/>
      <w:textAlignment w:val="auto"/>
    </w:pPr>
    <w:rPr>
      <w:rFonts w:eastAsia="Batang"/>
      <w:sz w:val="20"/>
      <w:szCs w:val="20"/>
      <w:lang w:val="es-ES_tradnl" w:eastAsia="es-MX"/>
    </w:rPr>
  </w:style>
  <w:style w:type="character" w:customStyle="1" w:styleId="PrrafodeSentenciaChar">
    <w:name w:val="*. Párrafo de Sentencia Char"/>
    <w:link w:val="PrrafodeSentencia"/>
    <w:rsid w:val="009E4F6C"/>
    <w:rPr>
      <w:rFonts w:ascii="Verdana" w:eastAsia="Batang" w:hAnsi="Verdana" w:cs="Times New Roman"/>
      <w:sz w:val="20"/>
      <w:szCs w:val="20"/>
      <w:lang w:val="es-ES_tradnl" w:eastAsia="es-MX"/>
    </w:rPr>
  </w:style>
  <w:style w:type="character" w:customStyle="1" w:styleId="shorttext">
    <w:name w:val="shorttext"/>
    <w:basedOn w:val="Fuentedeprrafopredeter"/>
    <w:rsid w:val="009E4F6C"/>
  </w:style>
  <w:style w:type="paragraph" w:customStyle="1" w:styleId="Estilo4">
    <w:name w:val="Estilo4"/>
    <w:basedOn w:val="Prrafodelista"/>
    <w:qFormat/>
    <w:rsid w:val="009E4F6C"/>
    <w:pPr>
      <w:widowControl/>
      <w:numPr>
        <w:ilvl w:val="1"/>
        <w:numId w:val="4"/>
      </w:numPr>
      <w:adjustRightInd/>
      <w:spacing w:after="120" w:line="240" w:lineRule="auto"/>
      <w:ind w:left="0" w:firstLine="357"/>
      <w:textAlignment w:val="auto"/>
    </w:pPr>
    <w:rPr>
      <w:spacing w:val="-2"/>
      <w:sz w:val="20"/>
      <w:szCs w:val="20"/>
      <w:lang w:eastAsia="en-US"/>
    </w:rPr>
  </w:style>
  <w:style w:type="paragraph" w:customStyle="1" w:styleId="Numberedparagraphs">
    <w:name w:val="Numbered paragraphs"/>
    <w:basedOn w:val="Normal"/>
    <w:qFormat/>
    <w:rsid w:val="009E4F6C"/>
    <w:pPr>
      <w:widowControl/>
      <w:adjustRightInd/>
      <w:spacing w:after="200" w:line="240" w:lineRule="auto"/>
      <w:textAlignment w:val="auto"/>
    </w:pPr>
    <w:rPr>
      <w:rFonts w:eastAsia="MS Mincho"/>
      <w:color w:val="000000"/>
      <w:sz w:val="20"/>
      <w:szCs w:val="20"/>
      <w:lang w:val="es-ES_tradnl" w:eastAsia="en-US"/>
    </w:rPr>
  </w:style>
  <w:style w:type="character" w:customStyle="1" w:styleId="Ttulo6Car">
    <w:name w:val="Título 6 Car"/>
    <w:basedOn w:val="Fuentedeprrafopredeter"/>
    <w:link w:val="Ttulo6"/>
    <w:uiPriority w:val="9"/>
    <w:rsid w:val="003C23AB"/>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
    <w:semiHidden/>
    <w:rsid w:val="003C23AB"/>
    <w:rPr>
      <w:rFonts w:asciiTheme="majorHAnsi" w:eastAsiaTheme="majorEastAsia" w:hAnsiTheme="majorHAnsi" w:cstheme="majorBidi"/>
      <w:color w:val="243F60" w:themeColor="accent1" w:themeShade="7F"/>
      <w:sz w:val="24"/>
      <w:szCs w:val="24"/>
      <w:lang w:eastAsia="es-CR"/>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qFormat/>
    <w:rsid w:val="00935F35"/>
    <w:rPr>
      <w:sz w:val="20"/>
      <w:szCs w:val="20"/>
    </w:rPr>
  </w:style>
  <w:style w:type="character" w:customStyle="1" w:styleId="column">
    <w:name w:val="column"/>
    <w:basedOn w:val="Fuentedeprrafopredeter"/>
    <w:rsid w:val="00CD486A"/>
  </w:style>
  <w:style w:type="character" w:customStyle="1" w:styleId="summarytext">
    <w:name w:val="summarytext"/>
    <w:basedOn w:val="Fuentedeprrafopredeter"/>
    <w:rsid w:val="00CD486A"/>
  </w:style>
  <w:style w:type="character" w:customStyle="1" w:styleId="textcolumn">
    <w:name w:val="textcolumn"/>
    <w:basedOn w:val="Fuentedeprrafopredeter"/>
    <w:rsid w:val="00CD486A"/>
  </w:style>
  <w:style w:type="character" w:customStyle="1" w:styleId="more">
    <w:name w:val="more"/>
    <w:basedOn w:val="Fuentedeprrafopredeter"/>
    <w:rsid w:val="00CD486A"/>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E20B2F"/>
    <w:pPr>
      <w:widowControl/>
      <w:adjustRightInd/>
      <w:spacing w:after="160" w:line="240" w:lineRule="exact"/>
      <w:jc w:val="left"/>
      <w:textAlignment w:val="auto"/>
    </w:pPr>
    <w:rPr>
      <w:rFonts w:eastAsiaTheme="minorHAnsi" w:cstheme="minorBidi"/>
      <w:sz w:val="20"/>
      <w:szCs w:val="20"/>
      <w:vertAlign w:val="superscript"/>
      <w:lang w:eastAsia="en-US"/>
    </w:rPr>
  </w:style>
  <w:style w:type="paragraph" w:styleId="Sinespaciado">
    <w:name w:val="No Spacing"/>
    <w:link w:val="SinespaciadoCar"/>
    <w:uiPriority w:val="1"/>
    <w:qFormat/>
    <w:rsid w:val="003F1600"/>
    <w:pPr>
      <w:spacing w:after="0" w:line="240" w:lineRule="auto"/>
    </w:pPr>
  </w:style>
  <w:style w:type="character" w:customStyle="1" w:styleId="SinespaciadoCar">
    <w:name w:val="Sin espaciado Car"/>
    <w:basedOn w:val="Fuentedeprrafopredeter"/>
    <w:link w:val="Sinespaciado"/>
    <w:uiPriority w:val="1"/>
    <w:rsid w:val="003F1600"/>
  </w:style>
  <w:style w:type="paragraph" w:styleId="Textoindependiente3">
    <w:name w:val="Body Text 3"/>
    <w:basedOn w:val="Normal"/>
    <w:link w:val="Textoindependiente3Car"/>
    <w:rsid w:val="00CC7516"/>
    <w:pPr>
      <w:widowControl/>
      <w:adjustRightInd/>
      <w:spacing w:after="120" w:line="240" w:lineRule="auto"/>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CC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0A154C"/>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A154C"/>
    <w:rPr>
      <w:rFonts w:ascii="Verdana" w:eastAsia="Times New Roman" w:hAnsi="Verdana" w:cs="Times New Roman"/>
      <w:sz w:val="24"/>
      <w:szCs w:val="24"/>
      <w:lang w:eastAsia="es-CR"/>
    </w:rPr>
  </w:style>
  <w:style w:type="paragraph" w:customStyle="1" w:styleId="Normal1">
    <w:name w:val="Normal1"/>
    <w:rsid w:val="000A154C"/>
    <w:pPr>
      <w:widowControl w:val="0"/>
      <w:spacing w:after="0" w:line="240" w:lineRule="auto"/>
    </w:pPr>
    <w:rPr>
      <w:rFonts w:ascii="Times New Roman" w:eastAsia="Times New Roman" w:hAnsi="Times New Roman" w:cs="Times New Roman"/>
      <w:sz w:val="24"/>
      <w:szCs w:val="24"/>
    </w:rPr>
  </w:style>
  <w:style w:type="paragraph" w:styleId="Textodebloque">
    <w:name w:val="Block Text"/>
    <w:basedOn w:val="Normal"/>
    <w:rsid w:val="00EE5F9B"/>
    <w:pPr>
      <w:widowControl/>
      <w:tabs>
        <w:tab w:val="left" w:pos="720"/>
      </w:tabs>
      <w:adjustRightInd/>
      <w:spacing w:line="240" w:lineRule="auto"/>
      <w:ind w:left="720" w:right="720"/>
      <w:textAlignment w:val="auto"/>
    </w:pPr>
    <w:rPr>
      <w:rFonts w:ascii="Garamond" w:hAnsi="Garamond"/>
      <w:sz w:val="22"/>
      <w:szCs w:val="20"/>
      <w:lang w:val="en-GB" w:eastAsia="en-US"/>
    </w:rPr>
  </w:style>
  <w:style w:type="table" w:customStyle="1" w:styleId="GridTable5Dark-Accent11">
    <w:name w:val="Grid Table 5 Dark - Accent 11"/>
    <w:basedOn w:val="Tablanormal"/>
    <w:uiPriority w:val="50"/>
    <w:rsid w:val="00E412B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
    <w:name w:val="Unresolved Mention1"/>
    <w:basedOn w:val="Fuentedeprrafopredeter"/>
    <w:uiPriority w:val="99"/>
    <w:semiHidden/>
    <w:unhideWhenUsed/>
    <w:rsid w:val="00154B0D"/>
    <w:rPr>
      <w:color w:val="605E5C"/>
      <w:shd w:val="clear" w:color="auto" w:fill="E1DFDD"/>
    </w:rPr>
  </w:style>
  <w:style w:type="character" w:customStyle="1" w:styleId="highlight">
    <w:name w:val="highlight"/>
    <w:basedOn w:val="Fuentedeprrafopredeter"/>
    <w:rsid w:val="00A54911"/>
  </w:style>
  <w:style w:type="paragraph" w:customStyle="1" w:styleId="Prrafodelista2">
    <w:name w:val="Párrafo de lista2"/>
    <w:basedOn w:val="Normal"/>
    <w:uiPriority w:val="99"/>
    <w:rsid w:val="00E03493"/>
    <w:pPr>
      <w:widowControl/>
      <w:adjustRightInd/>
      <w:spacing w:line="240" w:lineRule="auto"/>
      <w:ind w:left="720"/>
      <w:jc w:val="left"/>
      <w:textAlignment w:val="auto"/>
    </w:pPr>
    <w:rPr>
      <w:rFonts w:eastAsia="MS Mincho"/>
      <w:sz w:val="20"/>
      <w:szCs w:val="20"/>
      <w:lang w:val="es-ES_tradnl" w:eastAsia="en-US"/>
    </w:rPr>
  </w:style>
  <w:style w:type="paragraph" w:styleId="TDC3">
    <w:name w:val="toc 3"/>
    <w:basedOn w:val="Normal"/>
    <w:next w:val="Normal"/>
    <w:autoRedefine/>
    <w:uiPriority w:val="39"/>
    <w:unhideWhenUsed/>
    <w:rsid w:val="000B0FF3"/>
    <w:pPr>
      <w:tabs>
        <w:tab w:val="left" w:pos="1080"/>
        <w:tab w:val="left" w:pos="1260"/>
        <w:tab w:val="left" w:pos="1440"/>
        <w:tab w:val="left" w:pos="1530"/>
        <w:tab w:val="right" w:leader="dot" w:pos="10070"/>
      </w:tabs>
      <w:spacing w:line="240" w:lineRule="auto"/>
      <w:ind w:left="1080" w:hanging="270"/>
    </w:pPr>
  </w:style>
  <w:style w:type="paragraph" w:customStyle="1" w:styleId="Estilo1">
    <w:name w:val="Estilo1"/>
    <w:basedOn w:val="Normal"/>
    <w:link w:val="Estilo1Car"/>
    <w:qFormat/>
    <w:rsid w:val="00324EC8"/>
    <w:pPr>
      <w:widowControl/>
      <w:adjustRightInd/>
      <w:spacing w:after="120" w:line="240" w:lineRule="auto"/>
      <w:ind w:left="2018" w:right="6" w:hanging="180"/>
      <w:textAlignment w:val="auto"/>
    </w:pPr>
    <w:rPr>
      <w:rFonts w:eastAsia="Batang" w:cs="Times"/>
      <w:i/>
      <w:sz w:val="20"/>
      <w:lang w:val="es-ES_tradnl" w:eastAsia="en-US"/>
    </w:rPr>
  </w:style>
  <w:style w:type="character" w:customStyle="1" w:styleId="Estilo1Car">
    <w:name w:val="Estilo1 Car"/>
    <w:basedOn w:val="Fuentedeprrafopredeter"/>
    <w:link w:val="Estilo1"/>
    <w:rsid w:val="00324EC8"/>
    <w:rPr>
      <w:rFonts w:ascii="Verdana" w:eastAsia="Batang" w:hAnsi="Verdana" w:cs="Times"/>
      <w:i/>
      <w:sz w:val="20"/>
      <w:szCs w:val="24"/>
      <w:lang w:val="es-ES_tradnl"/>
    </w:rPr>
  </w:style>
  <w:style w:type="numbering" w:customStyle="1" w:styleId="ImportedStyle1">
    <w:name w:val="Imported Style 1"/>
    <w:rsid w:val="00C14CFF"/>
    <w:pPr>
      <w:numPr>
        <w:numId w:val="33"/>
      </w:numPr>
    </w:pPr>
  </w:style>
  <w:style w:type="paragraph" w:customStyle="1" w:styleId="Estilo3">
    <w:name w:val="Estilo3"/>
    <w:basedOn w:val="Prrafodelista"/>
    <w:qFormat/>
    <w:rsid w:val="00514160"/>
    <w:pPr>
      <w:widowControl/>
      <w:numPr>
        <w:ilvl w:val="4"/>
        <w:numId w:val="38"/>
      </w:numPr>
      <w:adjustRightInd/>
      <w:spacing w:after="120" w:line="216" w:lineRule="auto"/>
      <w:ind w:right="17"/>
      <w:textAlignment w:val="auto"/>
    </w:pPr>
    <w:rPr>
      <w:rFonts w:eastAsia="Calibri"/>
      <w:spacing w:val="-2"/>
      <w:sz w:val="20"/>
      <w:szCs w:val="20"/>
      <w:lang w:val="es-MX" w:eastAsia="x-none"/>
    </w:rPr>
  </w:style>
  <w:style w:type="paragraph" w:customStyle="1" w:styleId="Estilo5">
    <w:name w:val="Estilo5"/>
    <w:basedOn w:val="Prrafodelista"/>
    <w:link w:val="Estilo5Car"/>
    <w:qFormat/>
    <w:rsid w:val="00514160"/>
    <w:pPr>
      <w:widowControl/>
      <w:numPr>
        <w:numId w:val="38"/>
      </w:numPr>
      <w:adjustRightInd/>
      <w:spacing w:after="120" w:line="216" w:lineRule="auto"/>
      <w:ind w:left="0" w:right="18" w:firstLine="0"/>
      <w:textAlignment w:val="auto"/>
    </w:pPr>
    <w:rPr>
      <w:rFonts w:eastAsia="Calibri"/>
      <w:spacing w:val="-2"/>
      <w:sz w:val="20"/>
      <w:szCs w:val="20"/>
      <w:lang w:val="es-MX" w:eastAsia="x-none"/>
    </w:rPr>
  </w:style>
  <w:style w:type="character" w:customStyle="1" w:styleId="Estilo5Car">
    <w:name w:val="Estilo5 Car"/>
    <w:link w:val="Estilo5"/>
    <w:rsid w:val="00514160"/>
    <w:rPr>
      <w:rFonts w:ascii="Verdana" w:eastAsia="Calibri" w:hAnsi="Verdana" w:cs="Times New Roman"/>
      <w:spacing w:val="-2"/>
      <w:sz w:val="20"/>
      <w:szCs w:val="20"/>
      <w:lang w:val="es-MX" w:eastAsia="x-none"/>
    </w:rPr>
  </w:style>
  <w:style w:type="paragraph" w:customStyle="1" w:styleId="Estilo8">
    <w:name w:val="Estilo8"/>
    <w:basedOn w:val="Estilo3"/>
    <w:qFormat/>
    <w:rsid w:val="00514160"/>
    <w:pPr>
      <w:numPr>
        <w:ilvl w:val="5"/>
      </w:numPr>
      <w:ind w:left="1080" w:hanging="358"/>
    </w:pPr>
  </w:style>
  <w:style w:type="table" w:customStyle="1" w:styleId="GridTable5Dark-Accent12">
    <w:name w:val="Grid Table 5 Dark - Accent 12"/>
    <w:basedOn w:val="Tablanormal"/>
    <w:uiPriority w:val="50"/>
    <w:rsid w:val="0059271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extonotaalfinal">
    <w:name w:val="endnote text"/>
    <w:basedOn w:val="Normal"/>
    <w:link w:val="TextonotaalfinalCar"/>
    <w:uiPriority w:val="99"/>
    <w:semiHidden/>
    <w:unhideWhenUsed/>
    <w:rsid w:val="008C44B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8C44B6"/>
    <w:rPr>
      <w:rFonts w:ascii="Verdana" w:eastAsia="Times New Roman" w:hAnsi="Verdana" w:cs="Times New Roman"/>
      <w:sz w:val="20"/>
      <w:szCs w:val="20"/>
      <w:lang w:eastAsia="es-CR"/>
    </w:rPr>
  </w:style>
  <w:style w:type="character" w:styleId="Refdenotaalfinal">
    <w:name w:val="endnote reference"/>
    <w:basedOn w:val="Fuentedeprrafopredeter"/>
    <w:uiPriority w:val="99"/>
    <w:semiHidden/>
    <w:unhideWhenUsed/>
    <w:rsid w:val="008C44B6"/>
    <w:rPr>
      <w:vertAlign w:val="superscript"/>
    </w:rPr>
  </w:style>
  <w:style w:type="paragraph" w:styleId="Revisin">
    <w:name w:val="Revision"/>
    <w:hidden/>
    <w:uiPriority w:val="99"/>
    <w:semiHidden/>
    <w:rsid w:val="001B51E0"/>
    <w:pPr>
      <w:spacing w:after="0" w:line="240" w:lineRule="auto"/>
    </w:pPr>
    <w:rPr>
      <w:rFonts w:ascii="Verdana" w:eastAsia="Times New Roman" w:hAnsi="Verdana"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3566">
      <w:bodyDiv w:val="1"/>
      <w:marLeft w:val="0"/>
      <w:marRight w:val="0"/>
      <w:marTop w:val="0"/>
      <w:marBottom w:val="0"/>
      <w:divBdr>
        <w:top w:val="none" w:sz="0" w:space="0" w:color="auto"/>
        <w:left w:val="none" w:sz="0" w:space="0" w:color="auto"/>
        <w:bottom w:val="none" w:sz="0" w:space="0" w:color="auto"/>
        <w:right w:val="none" w:sz="0" w:space="0" w:color="auto"/>
      </w:divBdr>
    </w:div>
    <w:div w:id="83108206">
      <w:bodyDiv w:val="1"/>
      <w:marLeft w:val="0"/>
      <w:marRight w:val="0"/>
      <w:marTop w:val="0"/>
      <w:marBottom w:val="0"/>
      <w:divBdr>
        <w:top w:val="none" w:sz="0" w:space="0" w:color="auto"/>
        <w:left w:val="none" w:sz="0" w:space="0" w:color="auto"/>
        <w:bottom w:val="none" w:sz="0" w:space="0" w:color="auto"/>
        <w:right w:val="none" w:sz="0" w:space="0" w:color="auto"/>
      </w:divBdr>
      <w:divsChild>
        <w:div w:id="992833517">
          <w:marLeft w:val="0"/>
          <w:marRight w:val="0"/>
          <w:marTop w:val="0"/>
          <w:marBottom w:val="0"/>
          <w:divBdr>
            <w:top w:val="none" w:sz="0" w:space="0" w:color="auto"/>
            <w:left w:val="none" w:sz="0" w:space="0" w:color="auto"/>
            <w:bottom w:val="none" w:sz="0" w:space="0" w:color="auto"/>
            <w:right w:val="none" w:sz="0" w:space="0" w:color="auto"/>
          </w:divBdr>
          <w:divsChild>
            <w:div w:id="712771596">
              <w:marLeft w:val="0"/>
              <w:marRight w:val="0"/>
              <w:marTop w:val="0"/>
              <w:marBottom w:val="0"/>
              <w:divBdr>
                <w:top w:val="none" w:sz="0" w:space="0" w:color="auto"/>
                <w:left w:val="none" w:sz="0" w:space="0" w:color="auto"/>
                <w:bottom w:val="none" w:sz="0" w:space="0" w:color="auto"/>
                <w:right w:val="none" w:sz="0" w:space="0" w:color="auto"/>
              </w:divBdr>
              <w:divsChild>
                <w:div w:id="71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9929">
      <w:bodyDiv w:val="1"/>
      <w:marLeft w:val="0"/>
      <w:marRight w:val="0"/>
      <w:marTop w:val="0"/>
      <w:marBottom w:val="0"/>
      <w:divBdr>
        <w:top w:val="none" w:sz="0" w:space="0" w:color="auto"/>
        <w:left w:val="none" w:sz="0" w:space="0" w:color="auto"/>
        <w:bottom w:val="none" w:sz="0" w:space="0" w:color="auto"/>
        <w:right w:val="none" w:sz="0" w:space="0" w:color="auto"/>
      </w:divBdr>
    </w:div>
    <w:div w:id="441725491">
      <w:bodyDiv w:val="1"/>
      <w:marLeft w:val="0"/>
      <w:marRight w:val="0"/>
      <w:marTop w:val="0"/>
      <w:marBottom w:val="0"/>
      <w:divBdr>
        <w:top w:val="none" w:sz="0" w:space="0" w:color="auto"/>
        <w:left w:val="none" w:sz="0" w:space="0" w:color="auto"/>
        <w:bottom w:val="none" w:sz="0" w:space="0" w:color="auto"/>
        <w:right w:val="none" w:sz="0" w:space="0" w:color="auto"/>
      </w:divBdr>
      <w:divsChild>
        <w:div w:id="553010902">
          <w:marLeft w:val="0"/>
          <w:marRight w:val="0"/>
          <w:marTop w:val="0"/>
          <w:marBottom w:val="0"/>
          <w:divBdr>
            <w:top w:val="none" w:sz="0" w:space="0" w:color="auto"/>
            <w:left w:val="none" w:sz="0" w:space="0" w:color="auto"/>
            <w:bottom w:val="none" w:sz="0" w:space="0" w:color="auto"/>
            <w:right w:val="none" w:sz="0" w:space="0" w:color="auto"/>
          </w:divBdr>
          <w:divsChild>
            <w:div w:id="85275189">
              <w:marLeft w:val="0"/>
              <w:marRight w:val="0"/>
              <w:marTop w:val="0"/>
              <w:marBottom w:val="0"/>
              <w:divBdr>
                <w:top w:val="none" w:sz="0" w:space="0" w:color="auto"/>
                <w:left w:val="none" w:sz="0" w:space="0" w:color="auto"/>
                <w:bottom w:val="none" w:sz="0" w:space="0" w:color="auto"/>
                <w:right w:val="none" w:sz="0" w:space="0" w:color="auto"/>
              </w:divBdr>
              <w:divsChild>
                <w:div w:id="18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985">
      <w:bodyDiv w:val="1"/>
      <w:marLeft w:val="0"/>
      <w:marRight w:val="0"/>
      <w:marTop w:val="0"/>
      <w:marBottom w:val="0"/>
      <w:divBdr>
        <w:top w:val="none" w:sz="0" w:space="0" w:color="auto"/>
        <w:left w:val="none" w:sz="0" w:space="0" w:color="auto"/>
        <w:bottom w:val="none" w:sz="0" w:space="0" w:color="auto"/>
        <w:right w:val="none" w:sz="0" w:space="0" w:color="auto"/>
      </w:divBdr>
      <w:divsChild>
        <w:div w:id="532620775">
          <w:marLeft w:val="547"/>
          <w:marRight w:val="0"/>
          <w:marTop w:val="0"/>
          <w:marBottom w:val="0"/>
          <w:divBdr>
            <w:top w:val="none" w:sz="0" w:space="0" w:color="auto"/>
            <w:left w:val="none" w:sz="0" w:space="0" w:color="auto"/>
            <w:bottom w:val="none" w:sz="0" w:space="0" w:color="auto"/>
            <w:right w:val="none" w:sz="0" w:space="0" w:color="auto"/>
          </w:divBdr>
        </w:div>
      </w:divsChild>
    </w:div>
    <w:div w:id="567619950">
      <w:bodyDiv w:val="1"/>
      <w:marLeft w:val="0"/>
      <w:marRight w:val="0"/>
      <w:marTop w:val="0"/>
      <w:marBottom w:val="0"/>
      <w:divBdr>
        <w:top w:val="none" w:sz="0" w:space="0" w:color="auto"/>
        <w:left w:val="none" w:sz="0" w:space="0" w:color="auto"/>
        <w:bottom w:val="none" w:sz="0" w:space="0" w:color="auto"/>
        <w:right w:val="none" w:sz="0" w:space="0" w:color="auto"/>
      </w:divBdr>
    </w:div>
    <w:div w:id="669260662">
      <w:bodyDiv w:val="1"/>
      <w:marLeft w:val="0"/>
      <w:marRight w:val="0"/>
      <w:marTop w:val="0"/>
      <w:marBottom w:val="0"/>
      <w:divBdr>
        <w:top w:val="none" w:sz="0" w:space="0" w:color="auto"/>
        <w:left w:val="none" w:sz="0" w:space="0" w:color="auto"/>
        <w:bottom w:val="none" w:sz="0" w:space="0" w:color="auto"/>
        <w:right w:val="none" w:sz="0" w:space="0" w:color="auto"/>
      </w:divBdr>
    </w:div>
    <w:div w:id="750003444">
      <w:bodyDiv w:val="1"/>
      <w:marLeft w:val="0"/>
      <w:marRight w:val="0"/>
      <w:marTop w:val="0"/>
      <w:marBottom w:val="0"/>
      <w:divBdr>
        <w:top w:val="none" w:sz="0" w:space="0" w:color="auto"/>
        <w:left w:val="none" w:sz="0" w:space="0" w:color="auto"/>
        <w:bottom w:val="none" w:sz="0" w:space="0" w:color="auto"/>
        <w:right w:val="none" w:sz="0" w:space="0" w:color="auto"/>
      </w:divBdr>
    </w:div>
    <w:div w:id="755400563">
      <w:bodyDiv w:val="1"/>
      <w:marLeft w:val="0"/>
      <w:marRight w:val="0"/>
      <w:marTop w:val="0"/>
      <w:marBottom w:val="0"/>
      <w:divBdr>
        <w:top w:val="none" w:sz="0" w:space="0" w:color="auto"/>
        <w:left w:val="none" w:sz="0" w:space="0" w:color="auto"/>
        <w:bottom w:val="none" w:sz="0" w:space="0" w:color="auto"/>
        <w:right w:val="none" w:sz="0" w:space="0" w:color="auto"/>
      </w:divBdr>
    </w:div>
    <w:div w:id="799690658">
      <w:bodyDiv w:val="1"/>
      <w:marLeft w:val="0"/>
      <w:marRight w:val="0"/>
      <w:marTop w:val="0"/>
      <w:marBottom w:val="0"/>
      <w:divBdr>
        <w:top w:val="none" w:sz="0" w:space="0" w:color="auto"/>
        <w:left w:val="none" w:sz="0" w:space="0" w:color="auto"/>
        <w:bottom w:val="none" w:sz="0" w:space="0" w:color="auto"/>
        <w:right w:val="none" w:sz="0" w:space="0" w:color="auto"/>
      </w:divBdr>
    </w:div>
    <w:div w:id="833030969">
      <w:bodyDiv w:val="1"/>
      <w:marLeft w:val="0"/>
      <w:marRight w:val="0"/>
      <w:marTop w:val="0"/>
      <w:marBottom w:val="0"/>
      <w:divBdr>
        <w:top w:val="none" w:sz="0" w:space="0" w:color="auto"/>
        <w:left w:val="none" w:sz="0" w:space="0" w:color="auto"/>
        <w:bottom w:val="none" w:sz="0" w:space="0" w:color="auto"/>
        <w:right w:val="none" w:sz="0" w:space="0" w:color="auto"/>
      </w:divBdr>
    </w:div>
    <w:div w:id="985938631">
      <w:bodyDiv w:val="1"/>
      <w:marLeft w:val="0"/>
      <w:marRight w:val="0"/>
      <w:marTop w:val="0"/>
      <w:marBottom w:val="0"/>
      <w:divBdr>
        <w:top w:val="none" w:sz="0" w:space="0" w:color="auto"/>
        <w:left w:val="none" w:sz="0" w:space="0" w:color="auto"/>
        <w:bottom w:val="none" w:sz="0" w:space="0" w:color="auto"/>
        <w:right w:val="none" w:sz="0" w:space="0" w:color="auto"/>
      </w:divBdr>
      <w:divsChild>
        <w:div w:id="771516615">
          <w:marLeft w:val="0"/>
          <w:marRight w:val="0"/>
          <w:marTop w:val="0"/>
          <w:marBottom w:val="0"/>
          <w:divBdr>
            <w:top w:val="none" w:sz="0" w:space="0" w:color="auto"/>
            <w:left w:val="none" w:sz="0" w:space="0" w:color="auto"/>
            <w:bottom w:val="none" w:sz="0" w:space="0" w:color="auto"/>
            <w:right w:val="none" w:sz="0" w:space="0" w:color="auto"/>
          </w:divBdr>
          <w:divsChild>
            <w:div w:id="204104579">
              <w:marLeft w:val="0"/>
              <w:marRight w:val="0"/>
              <w:marTop w:val="0"/>
              <w:marBottom w:val="0"/>
              <w:divBdr>
                <w:top w:val="none" w:sz="0" w:space="0" w:color="auto"/>
                <w:left w:val="none" w:sz="0" w:space="0" w:color="auto"/>
                <w:bottom w:val="none" w:sz="0" w:space="0" w:color="auto"/>
                <w:right w:val="none" w:sz="0" w:space="0" w:color="auto"/>
              </w:divBdr>
              <w:divsChild>
                <w:div w:id="9011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0905">
      <w:bodyDiv w:val="1"/>
      <w:marLeft w:val="0"/>
      <w:marRight w:val="0"/>
      <w:marTop w:val="0"/>
      <w:marBottom w:val="0"/>
      <w:divBdr>
        <w:top w:val="none" w:sz="0" w:space="0" w:color="auto"/>
        <w:left w:val="none" w:sz="0" w:space="0" w:color="auto"/>
        <w:bottom w:val="none" w:sz="0" w:space="0" w:color="auto"/>
        <w:right w:val="none" w:sz="0" w:space="0" w:color="auto"/>
      </w:divBdr>
    </w:div>
    <w:div w:id="1031952506">
      <w:bodyDiv w:val="1"/>
      <w:marLeft w:val="0"/>
      <w:marRight w:val="0"/>
      <w:marTop w:val="0"/>
      <w:marBottom w:val="0"/>
      <w:divBdr>
        <w:top w:val="none" w:sz="0" w:space="0" w:color="auto"/>
        <w:left w:val="none" w:sz="0" w:space="0" w:color="auto"/>
        <w:bottom w:val="none" w:sz="0" w:space="0" w:color="auto"/>
        <w:right w:val="none" w:sz="0" w:space="0" w:color="auto"/>
      </w:divBdr>
      <w:divsChild>
        <w:div w:id="1875337785">
          <w:marLeft w:val="0"/>
          <w:marRight w:val="0"/>
          <w:marTop w:val="0"/>
          <w:marBottom w:val="0"/>
          <w:divBdr>
            <w:top w:val="none" w:sz="0" w:space="0" w:color="auto"/>
            <w:left w:val="none" w:sz="0" w:space="0" w:color="auto"/>
            <w:bottom w:val="none" w:sz="0" w:space="0" w:color="auto"/>
            <w:right w:val="none" w:sz="0" w:space="0" w:color="auto"/>
          </w:divBdr>
          <w:divsChild>
            <w:div w:id="309554090">
              <w:marLeft w:val="0"/>
              <w:marRight w:val="0"/>
              <w:marTop w:val="0"/>
              <w:marBottom w:val="0"/>
              <w:divBdr>
                <w:top w:val="none" w:sz="0" w:space="0" w:color="auto"/>
                <w:left w:val="none" w:sz="0" w:space="0" w:color="auto"/>
                <w:bottom w:val="none" w:sz="0" w:space="0" w:color="auto"/>
                <w:right w:val="none" w:sz="0" w:space="0" w:color="auto"/>
              </w:divBdr>
              <w:divsChild>
                <w:div w:id="8764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5519">
      <w:bodyDiv w:val="1"/>
      <w:marLeft w:val="0"/>
      <w:marRight w:val="0"/>
      <w:marTop w:val="0"/>
      <w:marBottom w:val="0"/>
      <w:divBdr>
        <w:top w:val="none" w:sz="0" w:space="0" w:color="auto"/>
        <w:left w:val="none" w:sz="0" w:space="0" w:color="auto"/>
        <w:bottom w:val="none" w:sz="0" w:space="0" w:color="auto"/>
        <w:right w:val="none" w:sz="0" w:space="0" w:color="auto"/>
      </w:divBdr>
    </w:div>
    <w:div w:id="1178619268">
      <w:bodyDiv w:val="1"/>
      <w:marLeft w:val="0"/>
      <w:marRight w:val="0"/>
      <w:marTop w:val="0"/>
      <w:marBottom w:val="0"/>
      <w:divBdr>
        <w:top w:val="none" w:sz="0" w:space="0" w:color="auto"/>
        <w:left w:val="none" w:sz="0" w:space="0" w:color="auto"/>
        <w:bottom w:val="none" w:sz="0" w:space="0" w:color="auto"/>
        <w:right w:val="none" w:sz="0" w:space="0" w:color="auto"/>
      </w:divBdr>
    </w:div>
    <w:div w:id="1194146913">
      <w:bodyDiv w:val="1"/>
      <w:marLeft w:val="0"/>
      <w:marRight w:val="0"/>
      <w:marTop w:val="0"/>
      <w:marBottom w:val="0"/>
      <w:divBdr>
        <w:top w:val="none" w:sz="0" w:space="0" w:color="auto"/>
        <w:left w:val="none" w:sz="0" w:space="0" w:color="auto"/>
        <w:bottom w:val="none" w:sz="0" w:space="0" w:color="auto"/>
        <w:right w:val="none" w:sz="0" w:space="0" w:color="auto"/>
      </w:divBdr>
      <w:divsChild>
        <w:div w:id="1859466756">
          <w:marLeft w:val="0"/>
          <w:marRight w:val="0"/>
          <w:marTop w:val="0"/>
          <w:marBottom w:val="0"/>
          <w:divBdr>
            <w:top w:val="none" w:sz="0" w:space="0" w:color="auto"/>
            <w:left w:val="none" w:sz="0" w:space="0" w:color="auto"/>
            <w:bottom w:val="none" w:sz="0" w:space="0" w:color="auto"/>
            <w:right w:val="none" w:sz="0" w:space="0" w:color="auto"/>
          </w:divBdr>
          <w:divsChild>
            <w:div w:id="1961960166">
              <w:marLeft w:val="0"/>
              <w:marRight w:val="0"/>
              <w:marTop w:val="0"/>
              <w:marBottom w:val="0"/>
              <w:divBdr>
                <w:top w:val="none" w:sz="0" w:space="0" w:color="auto"/>
                <w:left w:val="none" w:sz="0" w:space="0" w:color="auto"/>
                <w:bottom w:val="none" w:sz="0" w:space="0" w:color="auto"/>
                <w:right w:val="none" w:sz="0" w:space="0" w:color="auto"/>
              </w:divBdr>
              <w:divsChild>
                <w:div w:id="9032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0162">
      <w:bodyDiv w:val="1"/>
      <w:marLeft w:val="0"/>
      <w:marRight w:val="0"/>
      <w:marTop w:val="0"/>
      <w:marBottom w:val="0"/>
      <w:divBdr>
        <w:top w:val="none" w:sz="0" w:space="0" w:color="auto"/>
        <w:left w:val="none" w:sz="0" w:space="0" w:color="auto"/>
        <w:bottom w:val="none" w:sz="0" w:space="0" w:color="auto"/>
        <w:right w:val="none" w:sz="0" w:space="0" w:color="auto"/>
      </w:divBdr>
      <w:divsChild>
        <w:div w:id="564921703">
          <w:marLeft w:val="0"/>
          <w:marRight w:val="0"/>
          <w:marTop w:val="0"/>
          <w:marBottom w:val="0"/>
          <w:divBdr>
            <w:top w:val="none" w:sz="0" w:space="0" w:color="auto"/>
            <w:left w:val="none" w:sz="0" w:space="0" w:color="auto"/>
            <w:bottom w:val="none" w:sz="0" w:space="0" w:color="auto"/>
            <w:right w:val="none" w:sz="0" w:space="0" w:color="auto"/>
          </w:divBdr>
          <w:divsChild>
            <w:div w:id="1412509043">
              <w:marLeft w:val="0"/>
              <w:marRight w:val="0"/>
              <w:marTop w:val="0"/>
              <w:marBottom w:val="0"/>
              <w:divBdr>
                <w:top w:val="none" w:sz="0" w:space="0" w:color="auto"/>
                <w:left w:val="none" w:sz="0" w:space="0" w:color="auto"/>
                <w:bottom w:val="none" w:sz="0" w:space="0" w:color="auto"/>
                <w:right w:val="none" w:sz="0" w:space="0" w:color="auto"/>
              </w:divBdr>
              <w:divsChild>
                <w:div w:id="3696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5950">
      <w:bodyDiv w:val="1"/>
      <w:marLeft w:val="0"/>
      <w:marRight w:val="0"/>
      <w:marTop w:val="0"/>
      <w:marBottom w:val="0"/>
      <w:divBdr>
        <w:top w:val="none" w:sz="0" w:space="0" w:color="auto"/>
        <w:left w:val="none" w:sz="0" w:space="0" w:color="auto"/>
        <w:bottom w:val="none" w:sz="0" w:space="0" w:color="auto"/>
        <w:right w:val="none" w:sz="0" w:space="0" w:color="auto"/>
      </w:divBdr>
    </w:div>
    <w:div w:id="1292249379">
      <w:bodyDiv w:val="1"/>
      <w:marLeft w:val="0"/>
      <w:marRight w:val="0"/>
      <w:marTop w:val="0"/>
      <w:marBottom w:val="0"/>
      <w:divBdr>
        <w:top w:val="none" w:sz="0" w:space="0" w:color="auto"/>
        <w:left w:val="none" w:sz="0" w:space="0" w:color="auto"/>
        <w:bottom w:val="none" w:sz="0" w:space="0" w:color="auto"/>
        <w:right w:val="none" w:sz="0" w:space="0" w:color="auto"/>
      </w:divBdr>
      <w:divsChild>
        <w:div w:id="1230920435">
          <w:marLeft w:val="0"/>
          <w:marRight w:val="0"/>
          <w:marTop w:val="0"/>
          <w:marBottom w:val="0"/>
          <w:divBdr>
            <w:top w:val="none" w:sz="0" w:space="0" w:color="auto"/>
            <w:left w:val="none" w:sz="0" w:space="0" w:color="auto"/>
            <w:bottom w:val="none" w:sz="0" w:space="0" w:color="auto"/>
            <w:right w:val="none" w:sz="0" w:space="0" w:color="auto"/>
          </w:divBdr>
          <w:divsChild>
            <w:div w:id="1109009039">
              <w:marLeft w:val="0"/>
              <w:marRight w:val="0"/>
              <w:marTop w:val="0"/>
              <w:marBottom w:val="0"/>
              <w:divBdr>
                <w:top w:val="none" w:sz="0" w:space="0" w:color="auto"/>
                <w:left w:val="none" w:sz="0" w:space="0" w:color="auto"/>
                <w:bottom w:val="none" w:sz="0" w:space="0" w:color="auto"/>
                <w:right w:val="none" w:sz="0" w:space="0" w:color="auto"/>
              </w:divBdr>
              <w:divsChild>
                <w:div w:id="1762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6982">
      <w:bodyDiv w:val="1"/>
      <w:marLeft w:val="0"/>
      <w:marRight w:val="0"/>
      <w:marTop w:val="0"/>
      <w:marBottom w:val="0"/>
      <w:divBdr>
        <w:top w:val="none" w:sz="0" w:space="0" w:color="auto"/>
        <w:left w:val="none" w:sz="0" w:space="0" w:color="auto"/>
        <w:bottom w:val="none" w:sz="0" w:space="0" w:color="auto"/>
        <w:right w:val="none" w:sz="0" w:space="0" w:color="auto"/>
      </w:divBdr>
      <w:divsChild>
        <w:div w:id="1916088549">
          <w:marLeft w:val="0"/>
          <w:marRight w:val="0"/>
          <w:marTop w:val="0"/>
          <w:marBottom w:val="0"/>
          <w:divBdr>
            <w:top w:val="none" w:sz="0" w:space="0" w:color="auto"/>
            <w:left w:val="none" w:sz="0" w:space="0" w:color="auto"/>
            <w:bottom w:val="none" w:sz="0" w:space="0" w:color="auto"/>
            <w:right w:val="none" w:sz="0" w:space="0" w:color="auto"/>
          </w:divBdr>
          <w:divsChild>
            <w:div w:id="1898084317">
              <w:marLeft w:val="0"/>
              <w:marRight w:val="0"/>
              <w:marTop w:val="0"/>
              <w:marBottom w:val="0"/>
              <w:divBdr>
                <w:top w:val="none" w:sz="0" w:space="0" w:color="auto"/>
                <w:left w:val="none" w:sz="0" w:space="0" w:color="auto"/>
                <w:bottom w:val="none" w:sz="0" w:space="0" w:color="auto"/>
                <w:right w:val="none" w:sz="0" w:space="0" w:color="auto"/>
              </w:divBdr>
              <w:divsChild>
                <w:div w:id="11744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2131">
      <w:bodyDiv w:val="1"/>
      <w:marLeft w:val="0"/>
      <w:marRight w:val="0"/>
      <w:marTop w:val="0"/>
      <w:marBottom w:val="0"/>
      <w:divBdr>
        <w:top w:val="none" w:sz="0" w:space="0" w:color="auto"/>
        <w:left w:val="none" w:sz="0" w:space="0" w:color="auto"/>
        <w:bottom w:val="none" w:sz="0" w:space="0" w:color="auto"/>
        <w:right w:val="none" w:sz="0" w:space="0" w:color="auto"/>
      </w:divBdr>
    </w:div>
    <w:div w:id="1393431302">
      <w:bodyDiv w:val="1"/>
      <w:marLeft w:val="0"/>
      <w:marRight w:val="0"/>
      <w:marTop w:val="0"/>
      <w:marBottom w:val="0"/>
      <w:divBdr>
        <w:top w:val="none" w:sz="0" w:space="0" w:color="auto"/>
        <w:left w:val="none" w:sz="0" w:space="0" w:color="auto"/>
        <w:bottom w:val="none" w:sz="0" w:space="0" w:color="auto"/>
        <w:right w:val="none" w:sz="0" w:space="0" w:color="auto"/>
      </w:divBdr>
      <w:divsChild>
        <w:div w:id="1143740390">
          <w:marLeft w:val="0"/>
          <w:marRight w:val="0"/>
          <w:marTop w:val="0"/>
          <w:marBottom w:val="0"/>
          <w:divBdr>
            <w:top w:val="none" w:sz="0" w:space="0" w:color="auto"/>
            <w:left w:val="none" w:sz="0" w:space="0" w:color="auto"/>
            <w:bottom w:val="none" w:sz="0" w:space="0" w:color="auto"/>
            <w:right w:val="none" w:sz="0" w:space="0" w:color="auto"/>
          </w:divBdr>
          <w:divsChild>
            <w:div w:id="1373579562">
              <w:marLeft w:val="0"/>
              <w:marRight w:val="0"/>
              <w:marTop w:val="0"/>
              <w:marBottom w:val="0"/>
              <w:divBdr>
                <w:top w:val="none" w:sz="0" w:space="0" w:color="auto"/>
                <w:left w:val="none" w:sz="0" w:space="0" w:color="auto"/>
                <w:bottom w:val="none" w:sz="0" w:space="0" w:color="auto"/>
                <w:right w:val="none" w:sz="0" w:space="0" w:color="auto"/>
              </w:divBdr>
              <w:divsChild>
                <w:div w:id="1299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333">
      <w:bodyDiv w:val="1"/>
      <w:marLeft w:val="0"/>
      <w:marRight w:val="0"/>
      <w:marTop w:val="0"/>
      <w:marBottom w:val="0"/>
      <w:divBdr>
        <w:top w:val="none" w:sz="0" w:space="0" w:color="auto"/>
        <w:left w:val="none" w:sz="0" w:space="0" w:color="auto"/>
        <w:bottom w:val="none" w:sz="0" w:space="0" w:color="auto"/>
        <w:right w:val="none" w:sz="0" w:space="0" w:color="auto"/>
      </w:divBdr>
    </w:div>
    <w:div w:id="1496989829">
      <w:bodyDiv w:val="1"/>
      <w:marLeft w:val="0"/>
      <w:marRight w:val="0"/>
      <w:marTop w:val="0"/>
      <w:marBottom w:val="0"/>
      <w:divBdr>
        <w:top w:val="none" w:sz="0" w:space="0" w:color="auto"/>
        <w:left w:val="none" w:sz="0" w:space="0" w:color="auto"/>
        <w:bottom w:val="none" w:sz="0" w:space="0" w:color="auto"/>
        <w:right w:val="none" w:sz="0" w:space="0" w:color="auto"/>
      </w:divBdr>
      <w:divsChild>
        <w:div w:id="1695227415">
          <w:marLeft w:val="0"/>
          <w:marRight w:val="0"/>
          <w:marTop w:val="0"/>
          <w:marBottom w:val="0"/>
          <w:divBdr>
            <w:top w:val="none" w:sz="0" w:space="0" w:color="auto"/>
            <w:left w:val="none" w:sz="0" w:space="0" w:color="auto"/>
            <w:bottom w:val="none" w:sz="0" w:space="0" w:color="auto"/>
            <w:right w:val="none" w:sz="0" w:space="0" w:color="auto"/>
          </w:divBdr>
          <w:divsChild>
            <w:div w:id="678043342">
              <w:marLeft w:val="0"/>
              <w:marRight w:val="0"/>
              <w:marTop w:val="0"/>
              <w:marBottom w:val="0"/>
              <w:divBdr>
                <w:top w:val="none" w:sz="0" w:space="0" w:color="auto"/>
                <w:left w:val="none" w:sz="0" w:space="0" w:color="auto"/>
                <w:bottom w:val="none" w:sz="0" w:space="0" w:color="auto"/>
                <w:right w:val="none" w:sz="0" w:space="0" w:color="auto"/>
              </w:divBdr>
              <w:divsChild>
                <w:div w:id="16483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7081">
      <w:bodyDiv w:val="1"/>
      <w:marLeft w:val="0"/>
      <w:marRight w:val="0"/>
      <w:marTop w:val="0"/>
      <w:marBottom w:val="0"/>
      <w:divBdr>
        <w:top w:val="none" w:sz="0" w:space="0" w:color="auto"/>
        <w:left w:val="none" w:sz="0" w:space="0" w:color="auto"/>
        <w:bottom w:val="none" w:sz="0" w:space="0" w:color="auto"/>
        <w:right w:val="none" w:sz="0" w:space="0" w:color="auto"/>
      </w:divBdr>
    </w:div>
    <w:div w:id="1527283249">
      <w:bodyDiv w:val="1"/>
      <w:marLeft w:val="0"/>
      <w:marRight w:val="0"/>
      <w:marTop w:val="0"/>
      <w:marBottom w:val="0"/>
      <w:divBdr>
        <w:top w:val="none" w:sz="0" w:space="0" w:color="auto"/>
        <w:left w:val="none" w:sz="0" w:space="0" w:color="auto"/>
        <w:bottom w:val="none" w:sz="0" w:space="0" w:color="auto"/>
        <w:right w:val="none" w:sz="0" w:space="0" w:color="auto"/>
      </w:divBdr>
    </w:div>
    <w:div w:id="1550070670">
      <w:bodyDiv w:val="1"/>
      <w:marLeft w:val="0"/>
      <w:marRight w:val="0"/>
      <w:marTop w:val="0"/>
      <w:marBottom w:val="0"/>
      <w:divBdr>
        <w:top w:val="none" w:sz="0" w:space="0" w:color="auto"/>
        <w:left w:val="none" w:sz="0" w:space="0" w:color="auto"/>
        <w:bottom w:val="none" w:sz="0" w:space="0" w:color="auto"/>
        <w:right w:val="none" w:sz="0" w:space="0" w:color="auto"/>
      </w:divBdr>
    </w:div>
    <w:div w:id="1648129660">
      <w:bodyDiv w:val="1"/>
      <w:marLeft w:val="0"/>
      <w:marRight w:val="0"/>
      <w:marTop w:val="0"/>
      <w:marBottom w:val="0"/>
      <w:divBdr>
        <w:top w:val="none" w:sz="0" w:space="0" w:color="auto"/>
        <w:left w:val="none" w:sz="0" w:space="0" w:color="auto"/>
        <w:bottom w:val="none" w:sz="0" w:space="0" w:color="auto"/>
        <w:right w:val="none" w:sz="0" w:space="0" w:color="auto"/>
      </w:divBdr>
    </w:div>
    <w:div w:id="1648582337">
      <w:bodyDiv w:val="1"/>
      <w:marLeft w:val="0"/>
      <w:marRight w:val="0"/>
      <w:marTop w:val="0"/>
      <w:marBottom w:val="0"/>
      <w:divBdr>
        <w:top w:val="none" w:sz="0" w:space="0" w:color="auto"/>
        <w:left w:val="none" w:sz="0" w:space="0" w:color="auto"/>
        <w:bottom w:val="none" w:sz="0" w:space="0" w:color="auto"/>
        <w:right w:val="none" w:sz="0" w:space="0" w:color="auto"/>
      </w:divBdr>
    </w:div>
    <w:div w:id="1660772341">
      <w:bodyDiv w:val="1"/>
      <w:marLeft w:val="0"/>
      <w:marRight w:val="0"/>
      <w:marTop w:val="0"/>
      <w:marBottom w:val="0"/>
      <w:divBdr>
        <w:top w:val="none" w:sz="0" w:space="0" w:color="auto"/>
        <w:left w:val="none" w:sz="0" w:space="0" w:color="auto"/>
        <w:bottom w:val="none" w:sz="0" w:space="0" w:color="auto"/>
        <w:right w:val="none" w:sz="0" w:space="0" w:color="auto"/>
      </w:divBdr>
    </w:div>
    <w:div w:id="1678576518">
      <w:bodyDiv w:val="1"/>
      <w:marLeft w:val="0"/>
      <w:marRight w:val="0"/>
      <w:marTop w:val="0"/>
      <w:marBottom w:val="0"/>
      <w:divBdr>
        <w:top w:val="none" w:sz="0" w:space="0" w:color="auto"/>
        <w:left w:val="none" w:sz="0" w:space="0" w:color="auto"/>
        <w:bottom w:val="none" w:sz="0" w:space="0" w:color="auto"/>
        <w:right w:val="none" w:sz="0" w:space="0" w:color="auto"/>
      </w:divBdr>
      <w:divsChild>
        <w:div w:id="1667512733">
          <w:marLeft w:val="547"/>
          <w:marRight w:val="0"/>
          <w:marTop w:val="0"/>
          <w:marBottom w:val="0"/>
          <w:divBdr>
            <w:top w:val="none" w:sz="0" w:space="0" w:color="auto"/>
            <w:left w:val="none" w:sz="0" w:space="0" w:color="auto"/>
            <w:bottom w:val="none" w:sz="0" w:space="0" w:color="auto"/>
            <w:right w:val="none" w:sz="0" w:space="0" w:color="auto"/>
          </w:divBdr>
        </w:div>
      </w:divsChild>
    </w:div>
    <w:div w:id="1715427623">
      <w:bodyDiv w:val="1"/>
      <w:marLeft w:val="0"/>
      <w:marRight w:val="0"/>
      <w:marTop w:val="0"/>
      <w:marBottom w:val="0"/>
      <w:divBdr>
        <w:top w:val="none" w:sz="0" w:space="0" w:color="auto"/>
        <w:left w:val="none" w:sz="0" w:space="0" w:color="auto"/>
        <w:bottom w:val="none" w:sz="0" w:space="0" w:color="auto"/>
        <w:right w:val="none" w:sz="0" w:space="0" w:color="auto"/>
      </w:divBdr>
    </w:div>
    <w:div w:id="1731879771">
      <w:bodyDiv w:val="1"/>
      <w:marLeft w:val="0"/>
      <w:marRight w:val="0"/>
      <w:marTop w:val="0"/>
      <w:marBottom w:val="0"/>
      <w:divBdr>
        <w:top w:val="none" w:sz="0" w:space="0" w:color="auto"/>
        <w:left w:val="none" w:sz="0" w:space="0" w:color="auto"/>
        <w:bottom w:val="none" w:sz="0" w:space="0" w:color="auto"/>
        <w:right w:val="none" w:sz="0" w:space="0" w:color="auto"/>
      </w:divBdr>
      <w:divsChild>
        <w:div w:id="1988896059">
          <w:marLeft w:val="0"/>
          <w:marRight w:val="0"/>
          <w:marTop w:val="0"/>
          <w:marBottom w:val="0"/>
          <w:divBdr>
            <w:top w:val="none" w:sz="0" w:space="0" w:color="auto"/>
            <w:left w:val="none" w:sz="0" w:space="0" w:color="auto"/>
            <w:bottom w:val="none" w:sz="0" w:space="0" w:color="auto"/>
            <w:right w:val="none" w:sz="0" w:space="0" w:color="auto"/>
          </w:divBdr>
          <w:divsChild>
            <w:div w:id="1857184725">
              <w:marLeft w:val="0"/>
              <w:marRight w:val="0"/>
              <w:marTop w:val="0"/>
              <w:marBottom w:val="0"/>
              <w:divBdr>
                <w:top w:val="none" w:sz="0" w:space="0" w:color="auto"/>
                <w:left w:val="none" w:sz="0" w:space="0" w:color="auto"/>
                <w:bottom w:val="none" w:sz="0" w:space="0" w:color="auto"/>
                <w:right w:val="none" w:sz="0" w:space="0" w:color="auto"/>
              </w:divBdr>
              <w:divsChild>
                <w:div w:id="1833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5044">
      <w:bodyDiv w:val="1"/>
      <w:marLeft w:val="0"/>
      <w:marRight w:val="0"/>
      <w:marTop w:val="0"/>
      <w:marBottom w:val="0"/>
      <w:divBdr>
        <w:top w:val="none" w:sz="0" w:space="0" w:color="auto"/>
        <w:left w:val="none" w:sz="0" w:space="0" w:color="auto"/>
        <w:bottom w:val="none" w:sz="0" w:space="0" w:color="auto"/>
        <w:right w:val="none" w:sz="0" w:space="0" w:color="auto"/>
      </w:divBdr>
    </w:div>
    <w:div w:id="1758480317">
      <w:bodyDiv w:val="1"/>
      <w:marLeft w:val="0"/>
      <w:marRight w:val="0"/>
      <w:marTop w:val="0"/>
      <w:marBottom w:val="0"/>
      <w:divBdr>
        <w:top w:val="none" w:sz="0" w:space="0" w:color="auto"/>
        <w:left w:val="none" w:sz="0" w:space="0" w:color="auto"/>
        <w:bottom w:val="none" w:sz="0" w:space="0" w:color="auto"/>
        <w:right w:val="none" w:sz="0" w:space="0" w:color="auto"/>
      </w:divBdr>
      <w:divsChild>
        <w:div w:id="890388297">
          <w:marLeft w:val="0"/>
          <w:marRight w:val="0"/>
          <w:marTop w:val="0"/>
          <w:marBottom w:val="0"/>
          <w:divBdr>
            <w:top w:val="none" w:sz="0" w:space="0" w:color="auto"/>
            <w:left w:val="none" w:sz="0" w:space="0" w:color="auto"/>
            <w:bottom w:val="none" w:sz="0" w:space="0" w:color="auto"/>
            <w:right w:val="none" w:sz="0" w:space="0" w:color="auto"/>
          </w:divBdr>
          <w:divsChild>
            <w:div w:id="1262762853">
              <w:marLeft w:val="0"/>
              <w:marRight w:val="0"/>
              <w:marTop w:val="0"/>
              <w:marBottom w:val="0"/>
              <w:divBdr>
                <w:top w:val="none" w:sz="0" w:space="0" w:color="auto"/>
                <w:left w:val="none" w:sz="0" w:space="0" w:color="auto"/>
                <w:bottom w:val="none" w:sz="0" w:space="0" w:color="auto"/>
                <w:right w:val="none" w:sz="0" w:space="0" w:color="auto"/>
              </w:divBdr>
              <w:divsChild>
                <w:div w:id="18752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6635">
      <w:bodyDiv w:val="1"/>
      <w:marLeft w:val="0"/>
      <w:marRight w:val="0"/>
      <w:marTop w:val="0"/>
      <w:marBottom w:val="0"/>
      <w:divBdr>
        <w:top w:val="none" w:sz="0" w:space="0" w:color="auto"/>
        <w:left w:val="none" w:sz="0" w:space="0" w:color="auto"/>
        <w:bottom w:val="none" w:sz="0" w:space="0" w:color="auto"/>
        <w:right w:val="none" w:sz="0" w:space="0" w:color="auto"/>
      </w:divBdr>
    </w:div>
    <w:div w:id="1926761293">
      <w:bodyDiv w:val="1"/>
      <w:marLeft w:val="0"/>
      <w:marRight w:val="0"/>
      <w:marTop w:val="0"/>
      <w:marBottom w:val="0"/>
      <w:divBdr>
        <w:top w:val="none" w:sz="0" w:space="0" w:color="auto"/>
        <w:left w:val="none" w:sz="0" w:space="0" w:color="auto"/>
        <w:bottom w:val="none" w:sz="0" w:space="0" w:color="auto"/>
        <w:right w:val="none" w:sz="0" w:space="0" w:color="auto"/>
      </w:divBdr>
    </w:div>
    <w:div w:id="1928490303">
      <w:bodyDiv w:val="1"/>
      <w:marLeft w:val="0"/>
      <w:marRight w:val="0"/>
      <w:marTop w:val="0"/>
      <w:marBottom w:val="0"/>
      <w:divBdr>
        <w:top w:val="none" w:sz="0" w:space="0" w:color="auto"/>
        <w:left w:val="none" w:sz="0" w:space="0" w:color="auto"/>
        <w:bottom w:val="none" w:sz="0" w:space="0" w:color="auto"/>
        <w:right w:val="none" w:sz="0" w:space="0" w:color="auto"/>
      </w:divBdr>
    </w:div>
    <w:div w:id="1947345115">
      <w:bodyDiv w:val="1"/>
      <w:marLeft w:val="0"/>
      <w:marRight w:val="0"/>
      <w:marTop w:val="0"/>
      <w:marBottom w:val="0"/>
      <w:divBdr>
        <w:top w:val="none" w:sz="0" w:space="0" w:color="auto"/>
        <w:left w:val="none" w:sz="0" w:space="0" w:color="auto"/>
        <w:bottom w:val="none" w:sz="0" w:space="0" w:color="auto"/>
        <w:right w:val="none" w:sz="0" w:space="0" w:color="auto"/>
      </w:divBdr>
    </w:div>
    <w:div w:id="20126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hora.gt/ejecuciones-y-tortura-jueza-autoriza-a-sindicados-presenciar-entrevista-a-las-victimas/" TargetMode="External"/><Relationship Id="rId2" Type="http://schemas.openxmlformats.org/officeDocument/2006/relationships/hyperlink" Target="http://www.corteidh.or.cr/docs/asuntos/ruiz_fuentes_14_02_19.pdf" TargetMode="External"/><Relationship Id="rId1" Type="http://schemas.openxmlformats.org/officeDocument/2006/relationships/hyperlink" Target="http://www.corteidh.or.cr/docs/asuntos/ruiz_fuentes_14_02_19.pdf" TargetMode="External"/><Relationship Id="rId6" Type="http://schemas.openxmlformats.org/officeDocument/2006/relationships/hyperlink" Target="https://www.cicig.org/casos/ejecuciones-extrajudiciales-y-torturas-2004-2007/" TargetMode="External"/><Relationship Id="rId5" Type="http://schemas.openxmlformats.org/officeDocument/2006/relationships/hyperlink" Target="https://www.oas.org/juridico/spanish/firmas/a-53.html" TargetMode="External"/><Relationship Id="rId4" Type="http://schemas.openxmlformats.org/officeDocument/2006/relationships/hyperlink" Target="http://www.oas.org/juridico/spanish/tratados/a-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8B84-5D39-3249-9D76-43426138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31524</Words>
  <Characters>159202</Characters>
  <Application>Microsoft Office Word</Application>
  <DocSecurity>0</DocSecurity>
  <Lines>2527</Lines>
  <Paragraphs>581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Sijniensky</dc:creator>
  <cp:lastModifiedBy>Microsoft Office User</cp:lastModifiedBy>
  <cp:revision>3</cp:revision>
  <cp:lastPrinted>2019-11-08T17:06:00Z</cp:lastPrinted>
  <dcterms:created xsi:type="dcterms:W3CDTF">2019-11-08T17:06:00Z</dcterms:created>
  <dcterms:modified xsi:type="dcterms:W3CDTF">2019-11-08T17:07:00Z</dcterms:modified>
</cp:coreProperties>
</file>