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E3C2F" w14:textId="77777777" w:rsidR="001C05D8" w:rsidRPr="002F036A" w:rsidRDefault="001C05D8" w:rsidP="001C05D8">
      <w:pPr>
        <w:pStyle w:val="TtuloTDC"/>
        <w:spacing w:before="120" w:after="120" w:line="240" w:lineRule="auto"/>
        <w:jc w:val="left"/>
      </w:pPr>
    </w:p>
    <w:p w14:paraId="50BE3C30" w14:textId="77777777" w:rsidR="001C05D8" w:rsidRPr="002F036A" w:rsidRDefault="001C05D8" w:rsidP="001C05D8">
      <w:pPr>
        <w:widowControl w:val="0"/>
        <w:adjustRightInd w:val="0"/>
        <w:spacing w:after="0" w:line="240" w:lineRule="auto"/>
        <w:jc w:val="center"/>
        <w:textAlignment w:val="baseline"/>
        <w:rPr>
          <w:rFonts w:ascii="Verdana" w:eastAsia="Calibri" w:hAnsi="Verdana" w:cs="Calibri"/>
          <w:b/>
          <w:sz w:val="20"/>
          <w:szCs w:val="20"/>
          <w:lang w:val="es-CR" w:eastAsia="es-CR"/>
        </w:rPr>
      </w:pPr>
    </w:p>
    <w:p w14:paraId="50BE3C31" w14:textId="77777777" w:rsidR="001C05D8" w:rsidRPr="002F036A" w:rsidRDefault="001C05D8" w:rsidP="001C05D8">
      <w:pPr>
        <w:widowControl w:val="0"/>
        <w:adjustRightInd w:val="0"/>
        <w:spacing w:after="0" w:line="240" w:lineRule="auto"/>
        <w:jc w:val="center"/>
        <w:textAlignment w:val="baseline"/>
        <w:rPr>
          <w:rFonts w:ascii="Verdana" w:eastAsia="Calibri" w:hAnsi="Verdana" w:cs="Calibri"/>
          <w:b/>
          <w:sz w:val="20"/>
          <w:szCs w:val="20"/>
          <w:lang w:val="es-ES" w:eastAsia="es-CR"/>
        </w:rPr>
      </w:pPr>
      <w:r w:rsidRPr="002F036A">
        <w:rPr>
          <w:rFonts w:ascii="Verdana" w:eastAsia="Calibri" w:hAnsi="Verdana" w:cs="Calibri"/>
          <w:b/>
          <w:sz w:val="20"/>
          <w:szCs w:val="20"/>
          <w:lang w:val="es-ES" w:eastAsia="es-CR"/>
        </w:rPr>
        <w:t>CORTE INTERAMERICANA DE DERECHOS HUMANOS</w:t>
      </w:r>
    </w:p>
    <w:p w14:paraId="50BE3C32" w14:textId="77777777" w:rsidR="001C05D8" w:rsidRPr="002F036A" w:rsidRDefault="001C05D8" w:rsidP="001C05D8">
      <w:pPr>
        <w:widowControl w:val="0"/>
        <w:tabs>
          <w:tab w:val="left" w:pos="720"/>
        </w:tabs>
        <w:adjustRightInd w:val="0"/>
        <w:spacing w:after="0" w:line="240" w:lineRule="auto"/>
        <w:jc w:val="center"/>
        <w:textAlignment w:val="baseline"/>
        <w:rPr>
          <w:rFonts w:ascii="Verdana" w:eastAsia="Calibri" w:hAnsi="Verdana" w:cs="Verdana"/>
          <w:b/>
          <w:bCs/>
          <w:caps/>
          <w:snapToGrid w:val="0"/>
          <w:sz w:val="20"/>
          <w:szCs w:val="20"/>
          <w:lang w:val="es-ES" w:eastAsia="es-ES"/>
        </w:rPr>
      </w:pPr>
    </w:p>
    <w:p w14:paraId="50BE3C33" w14:textId="77777777" w:rsidR="001C05D8" w:rsidRPr="002F036A" w:rsidRDefault="001C05D8" w:rsidP="001C05D8">
      <w:pPr>
        <w:spacing w:after="0" w:line="240" w:lineRule="auto"/>
        <w:jc w:val="center"/>
        <w:rPr>
          <w:rFonts w:ascii="Verdana" w:eastAsia="Calibri" w:hAnsi="Verdana" w:cs="Calibri"/>
          <w:b/>
          <w:sz w:val="20"/>
          <w:szCs w:val="20"/>
          <w:lang w:val="es-CR" w:eastAsia="es-CR"/>
        </w:rPr>
      </w:pPr>
      <w:r w:rsidRPr="002F036A">
        <w:rPr>
          <w:rFonts w:ascii="Verdana" w:eastAsia="Calibri" w:hAnsi="Verdana" w:cs="Calibri"/>
          <w:b/>
          <w:sz w:val="20"/>
          <w:szCs w:val="20"/>
          <w:lang w:val="es-CR" w:eastAsia="es-CR"/>
        </w:rPr>
        <w:t xml:space="preserve">CASO PERRONE Y PRECKEL </w:t>
      </w:r>
      <w:r w:rsidRPr="002F036A">
        <w:rPr>
          <w:rFonts w:ascii="Verdana" w:eastAsia="Calibri" w:hAnsi="Verdana" w:cs="Calibri"/>
          <w:b/>
          <w:i/>
          <w:sz w:val="20"/>
          <w:szCs w:val="20"/>
          <w:lang w:val="es-CR" w:eastAsia="es-CR"/>
        </w:rPr>
        <w:t>VS.</w:t>
      </w:r>
      <w:r w:rsidRPr="002F036A">
        <w:rPr>
          <w:rFonts w:ascii="Verdana" w:eastAsia="Calibri" w:hAnsi="Verdana" w:cs="Calibri"/>
          <w:b/>
          <w:sz w:val="20"/>
          <w:szCs w:val="20"/>
          <w:lang w:val="es-CR" w:eastAsia="es-CR"/>
        </w:rPr>
        <w:t xml:space="preserve"> ARGENTINA</w:t>
      </w:r>
    </w:p>
    <w:p w14:paraId="50BE3C34" w14:textId="77777777" w:rsidR="001C05D8" w:rsidRPr="002F036A" w:rsidRDefault="001C05D8" w:rsidP="001C05D8">
      <w:pPr>
        <w:widowControl w:val="0"/>
        <w:tabs>
          <w:tab w:val="left" w:pos="720"/>
        </w:tabs>
        <w:adjustRightInd w:val="0"/>
        <w:spacing w:after="0" w:line="240" w:lineRule="auto"/>
        <w:jc w:val="center"/>
        <w:textAlignment w:val="baseline"/>
        <w:rPr>
          <w:rFonts w:ascii="Verdana" w:eastAsia="Calibri" w:hAnsi="Verdana" w:cs="Verdana"/>
          <w:b/>
          <w:bCs/>
          <w:caps/>
          <w:snapToGrid w:val="0"/>
          <w:sz w:val="20"/>
          <w:szCs w:val="20"/>
          <w:lang w:val="es-ES" w:eastAsia="es-ES"/>
        </w:rPr>
      </w:pPr>
    </w:p>
    <w:p w14:paraId="50BE3C35" w14:textId="4B1BD5DE" w:rsidR="001C05D8" w:rsidRPr="002F036A" w:rsidRDefault="001C05D8" w:rsidP="001C05D8">
      <w:pPr>
        <w:widowControl w:val="0"/>
        <w:tabs>
          <w:tab w:val="left" w:pos="720"/>
        </w:tabs>
        <w:adjustRightInd w:val="0"/>
        <w:spacing w:after="0" w:line="240" w:lineRule="auto"/>
        <w:jc w:val="center"/>
        <w:textAlignment w:val="baseline"/>
        <w:rPr>
          <w:rFonts w:ascii="Verdana" w:eastAsia="Calibri" w:hAnsi="Verdana" w:cs="Verdana"/>
          <w:b/>
          <w:bCs/>
          <w:snapToGrid w:val="0"/>
          <w:sz w:val="20"/>
          <w:szCs w:val="20"/>
          <w:lang w:val="es-ES" w:eastAsia="es-ES"/>
        </w:rPr>
      </w:pPr>
      <w:r w:rsidRPr="002F036A">
        <w:rPr>
          <w:rFonts w:ascii="Verdana" w:eastAsia="Calibri" w:hAnsi="Verdana" w:cs="Verdana"/>
          <w:b/>
          <w:bCs/>
          <w:snapToGrid w:val="0"/>
          <w:sz w:val="20"/>
          <w:szCs w:val="20"/>
          <w:lang w:val="es-ES" w:eastAsia="es-ES"/>
        </w:rPr>
        <w:t xml:space="preserve">SENTENCIA DE </w:t>
      </w:r>
      <w:r w:rsidR="00A237D8">
        <w:rPr>
          <w:rFonts w:ascii="Verdana" w:eastAsia="Calibri" w:hAnsi="Verdana" w:cs="Verdana"/>
          <w:b/>
          <w:bCs/>
          <w:snapToGrid w:val="0"/>
          <w:sz w:val="20"/>
          <w:szCs w:val="20"/>
          <w:lang w:val="es-ES" w:eastAsia="es-ES"/>
        </w:rPr>
        <w:t>8</w:t>
      </w:r>
      <w:r w:rsidRPr="002F036A">
        <w:rPr>
          <w:rFonts w:ascii="Verdana" w:eastAsia="Calibri" w:hAnsi="Verdana" w:cs="Verdana"/>
          <w:b/>
          <w:bCs/>
          <w:snapToGrid w:val="0"/>
          <w:sz w:val="20"/>
          <w:szCs w:val="20"/>
          <w:lang w:val="es-ES" w:eastAsia="es-ES"/>
        </w:rPr>
        <w:t xml:space="preserve"> DE </w:t>
      </w:r>
      <w:r w:rsidR="00A237D8">
        <w:rPr>
          <w:rFonts w:ascii="Verdana" w:eastAsia="Calibri" w:hAnsi="Verdana" w:cs="Verdana"/>
          <w:b/>
          <w:bCs/>
          <w:snapToGrid w:val="0"/>
          <w:sz w:val="20"/>
          <w:szCs w:val="20"/>
          <w:lang w:val="es-ES" w:eastAsia="es-ES"/>
        </w:rPr>
        <w:t>OCTUBRE</w:t>
      </w:r>
      <w:r w:rsidR="00A237D8" w:rsidRPr="002F036A">
        <w:rPr>
          <w:rFonts w:ascii="Verdana" w:eastAsia="Calibri" w:hAnsi="Verdana" w:cs="Verdana"/>
          <w:b/>
          <w:bCs/>
          <w:snapToGrid w:val="0"/>
          <w:sz w:val="20"/>
          <w:szCs w:val="20"/>
          <w:lang w:val="es-ES" w:eastAsia="es-ES"/>
        </w:rPr>
        <w:t xml:space="preserve"> </w:t>
      </w:r>
      <w:r w:rsidRPr="002F036A">
        <w:rPr>
          <w:rFonts w:ascii="Verdana" w:eastAsia="Calibri" w:hAnsi="Verdana" w:cs="Verdana"/>
          <w:b/>
          <w:bCs/>
          <w:snapToGrid w:val="0"/>
          <w:sz w:val="20"/>
          <w:szCs w:val="20"/>
          <w:lang w:val="es-ES" w:eastAsia="es-ES"/>
        </w:rPr>
        <w:t>DE 2019</w:t>
      </w:r>
    </w:p>
    <w:p w14:paraId="50BE3C36" w14:textId="77777777" w:rsidR="001C05D8" w:rsidRPr="002F036A" w:rsidRDefault="001C05D8" w:rsidP="001C05D8">
      <w:pPr>
        <w:widowControl w:val="0"/>
        <w:tabs>
          <w:tab w:val="left" w:pos="720"/>
        </w:tabs>
        <w:adjustRightInd w:val="0"/>
        <w:spacing w:after="0" w:line="240" w:lineRule="auto"/>
        <w:jc w:val="center"/>
        <w:textAlignment w:val="baseline"/>
        <w:rPr>
          <w:rFonts w:ascii="Verdana" w:eastAsia="Calibri" w:hAnsi="Verdana" w:cs="Verdana"/>
          <w:b/>
          <w:bCs/>
          <w:caps/>
          <w:snapToGrid w:val="0"/>
          <w:sz w:val="20"/>
          <w:szCs w:val="20"/>
          <w:lang w:val="es-ES" w:eastAsia="es-ES"/>
        </w:rPr>
      </w:pPr>
    </w:p>
    <w:p w14:paraId="50BE3C37" w14:textId="43CBABF2" w:rsidR="001C05D8" w:rsidRPr="002F036A" w:rsidRDefault="001C05D8" w:rsidP="001C05D8">
      <w:pPr>
        <w:widowControl w:val="0"/>
        <w:tabs>
          <w:tab w:val="left" w:pos="720"/>
        </w:tabs>
        <w:adjustRightInd w:val="0"/>
        <w:spacing w:after="0" w:line="240" w:lineRule="auto"/>
        <w:jc w:val="center"/>
        <w:textAlignment w:val="baseline"/>
        <w:rPr>
          <w:rFonts w:ascii="Verdana" w:eastAsia="Calibri" w:hAnsi="Verdana" w:cs="Verdana"/>
          <w:b/>
          <w:bCs/>
          <w:i/>
          <w:iCs/>
          <w:snapToGrid w:val="0"/>
          <w:sz w:val="20"/>
          <w:szCs w:val="20"/>
          <w:lang w:val="es-ES" w:eastAsia="es-ES"/>
        </w:rPr>
      </w:pPr>
      <w:r w:rsidRPr="002F036A">
        <w:rPr>
          <w:rFonts w:ascii="Verdana" w:eastAsia="Calibri" w:hAnsi="Verdana" w:cs="Verdana"/>
          <w:b/>
          <w:bCs/>
          <w:i/>
          <w:iCs/>
          <w:snapToGrid w:val="0"/>
          <w:sz w:val="20"/>
          <w:szCs w:val="20"/>
          <w:lang w:val="es-ES" w:eastAsia="es-ES"/>
        </w:rPr>
        <w:t>(</w:t>
      </w:r>
      <w:r w:rsidR="00CF0F81" w:rsidRPr="002F036A">
        <w:rPr>
          <w:rFonts w:ascii="Verdana" w:eastAsia="Calibri" w:hAnsi="Verdana" w:cs="Verdana"/>
          <w:b/>
          <w:bCs/>
          <w:i/>
          <w:iCs/>
          <w:snapToGrid w:val="0"/>
          <w:sz w:val="20"/>
          <w:szCs w:val="20"/>
          <w:lang w:val="es-ES" w:eastAsia="es-ES"/>
        </w:rPr>
        <w:t xml:space="preserve">Excepciones </w:t>
      </w:r>
      <w:proofErr w:type="spellStart"/>
      <w:proofErr w:type="gramStart"/>
      <w:r w:rsidR="00CF0F81" w:rsidRPr="002F036A">
        <w:rPr>
          <w:rFonts w:ascii="Verdana" w:eastAsia="Calibri" w:hAnsi="Verdana" w:cs="Verdana"/>
          <w:b/>
          <w:bCs/>
          <w:i/>
          <w:iCs/>
          <w:snapToGrid w:val="0"/>
          <w:sz w:val="20"/>
          <w:szCs w:val="20"/>
          <w:lang w:val="es-ES" w:eastAsia="es-ES"/>
        </w:rPr>
        <w:t>Preliminares</w:t>
      </w:r>
      <w:r w:rsidR="00A237D8">
        <w:rPr>
          <w:rFonts w:ascii="Verdana" w:eastAsia="Calibri" w:hAnsi="Verdana" w:cs="Verdana"/>
          <w:b/>
          <w:bCs/>
          <w:i/>
          <w:iCs/>
          <w:snapToGrid w:val="0"/>
          <w:sz w:val="20"/>
          <w:szCs w:val="20"/>
          <w:lang w:val="es-ES" w:eastAsia="es-ES"/>
        </w:rPr>
        <w:t>,</w:t>
      </w:r>
      <w:r w:rsidRPr="002F036A">
        <w:rPr>
          <w:rFonts w:ascii="Verdana" w:eastAsia="Calibri" w:hAnsi="Verdana" w:cs="Verdana"/>
          <w:b/>
          <w:bCs/>
          <w:i/>
          <w:iCs/>
          <w:snapToGrid w:val="0"/>
          <w:sz w:val="20"/>
          <w:szCs w:val="20"/>
          <w:lang w:val="es-ES" w:eastAsia="es-ES"/>
        </w:rPr>
        <w:t>Fondo</w:t>
      </w:r>
      <w:proofErr w:type="spellEnd"/>
      <w:proofErr w:type="gramEnd"/>
      <w:r w:rsidR="00A237D8">
        <w:rPr>
          <w:rFonts w:ascii="Verdana" w:eastAsia="Calibri" w:hAnsi="Verdana" w:cs="Verdana"/>
          <w:b/>
          <w:bCs/>
          <w:i/>
          <w:iCs/>
          <w:snapToGrid w:val="0"/>
          <w:sz w:val="20"/>
          <w:szCs w:val="20"/>
          <w:lang w:val="es-ES" w:eastAsia="es-ES"/>
        </w:rPr>
        <w:t>, Reparaciones y Costas</w:t>
      </w:r>
      <w:r w:rsidRPr="002F036A">
        <w:rPr>
          <w:rFonts w:ascii="Verdana" w:eastAsia="Calibri" w:hAnsi="Verdana" w:cs="Verdana"/>
          <w:b/>
          <w:bCs/>
          <w:i/>
          <w:iCs/>
          <w:snapToGrid w:val="0"/>
          <w:sz w:val="20"/>
          <w:szCs w:val="20"/>
          <w:lang w:val="es-ES" w:eastAsia="es-ES"/>
        </w:rPr>
        <w:t>)</w:t>
      </w:r>
    </w:p>
    <w:p w14:paraId="50BE3C38" w14:textId="77777777" w:rsidR="001C05D8" w:rsidRPr="002F036A" w:rsidRDefault="001C05D8" w:rsidP="001C05D8">
      <w:pPr>
        <w:widowControl w:val="0"/>
        <w:tabs>
          <w:tab w:val="left" w:pos="720"/>
        </w:tabs>
        <w:adjustRightInd w:val="0"/>
        <w:spacing w:before="120" w:after="120" w:line="240" w:lineRule="auto"/>
        <w:jc w:val="center"/>
        <w:textAlignment w:val="baseline"/>
        <w:rPr>
          <w:rFonts w:ascii="Verdana" w:eastAsia="Calibri" w:hAnsi="Verdana" w:cs="Verdana"/>
          <w:b/>
          <w:bCs/>
          <w:caps/>
          <w:snapToGrid w:val="0"/>
          <w:sz w:val="20"/>
          <w:szCs w:val="20"/>
          <w:lang w:val="es-ES" w:eastAsia="es-ES"/>
        </w:rPr>
      </w:pPr>
    </w:p>
    <w:p w14:paraId="50BE3C39" w14:textId="77777777" w:rsidR="001C05D8" w:rsidRPr="002F036A" w:rsidRDefault="001C05D8" w:rsidP="001C05D8">
      <w:pPr>
        <w:widowControl w:val="0"/>
        <w:adjustRightInd w:val="0"/>
        <w:spacing w:after="0" w:line="240" w:lineRule="auto"/>
        <w:jc w:val="both"/>
        <w:textAlignment w:val="baseline"/>
        <w:rPr>
          <w:rFonts w:ascii="Verdana" w:eastAsia="Calibri" w:hAnsi="Verdana" w:cs="Times New Roman"/>
          <w:sz w:val="20"/>
          <w:szCs w:val="20"/>
          <w:lang w:val="es-ES" w:eastAsia="es-CR"/>
        </w:rPr>
      </w:pPr>
    </w:p>
    <w:p w14:paraId="50BE3C3A" w14:textId="77777777" w:rsidR="001C05D8" w:rsidRPr="002F036A" w:rsidRDefault="001C05D8" w:rsidP="001C05D8">
      <w:pPr>
        <w:widowControl w:val="0"/>
        <w:tabs>
          <w:tab w:val="left" w:pos="720"/>
        </w:tabs>
        <w:adjustRightInd w:val="0"/>
        <w:spacing w:after="0" w:line="240" w:lineRule="auto"/>
        <w:jc w:val="both"/>
        <w:textAlignment w:val="baseline"/>
        <w:rPr>
          <w:rFonts w:ascii="Verdana" w:eastAsia="Verdana" w:hAnsi="Verdana" w:cs="Verdana"/>
          <w:sz w:val="20"/>
          <w:szCs w:val="20"/>
          <w:lang w:val="es-ES" w:eastAsia="es-CR"/>
        </w:rPr>
      </w:pPr>
      <w:r w:rsidRPr="002F036A">
        <w:rPr>
          <w:rFonts w:ascii="Verdana" w:eastAsia="Verdana" w:hAnsi="Verdana" w:cs="Verdana"/>
          <w:sz w:val="20"/>
          <w:szCs w:val="20"/>
          <w:lang w:val="es-ES" w:eastAsia="es-CR"/>
        </w:rPr>
        <w:t xml:space="preserve">En el caso </w:t>
      </w:r>
      <w:proofErr w:type="spellStart"/>
      <w:r w:rsidRPr="002F036A">
        <w:rPr>
          <w:rFonts w:ascii="Verdana" w:eastAsia="Verdana" w:hAnsi="Verdana" w:cs="Verdana"/>
          <w:i/>
          <w:sz w:val="20"/>
          <w:szCs w:val="20"/>
          <w:lang w:val="es-ES" w:eastAsia="es-CR"/>
        </w:rPr>
        <w:t>Perrone</w:t>
      </w:r>
      <w:proofErr w:type="spellEnd"/>
      <w:r w:rsidRPr="002F036A">
        <w:rPr>
          <w:rFonts w:ascii="Verdana" w:eastAsia="Verdana" w:hAnsi="Verdana" w:cs="Verdana"/>
          <w:i/>
          <w:sz w:val="20"/>
          <w:szCs w:val="20"/>
          <w:lang w:val="es-ES" w:eastAsia="es-CR"/>
        </w:rPr>
        <w:t xml:space="preserve"> y </w:t>
      </w:r>
      <w:proofErr w:type="spellStart"/>
      <w:r w:rsidRPr="002F036A">
        <w:rPr>
          <w:rFonts w:ascii="Verdana" w:eastAsia="Verdana" w:hAnsi="Verdana" w:cs="Verdana"/>
          <w:i/>
          <w:sz w:val="20"/>
          <w:szCs w:val="20"/>
          <w:lang w:val="es-ES" w:eastAsia="es-CR"/>
        </w:rPr>
        <w:t>Preckel</w:t>
      </w:r>
      <w:proofErr w:type="spellEnd"/>
      <w:r w:rsidRPr="002F036A">
        <w:rPr>
          <w:rFonts w:ascii="Verdana" w:eastAsia="Verdana" w:hAnsi="Verdana" w:cs="Verdana"/>
          <w:sz w:val="20"/>
          <w:szCs w:val="20"/>
          <w:lang w:val="es-ES" w:eastAsia="es-CR"/>
        </w:rPr>
        <w:t>,</w:t>
      </w:r>
    </w:p>
    <w:p w14:paraId="50BE3C3B" w14:textId="77777777" w:rsidR="001C05D8" w:rsidRPr="002F036A" w:rsidRDefault="001C05D8" w:rsidP="001C05D8">
      <w:pPr>
        <w:widowControl w:val="0"/>
        <w:adjustRightInd w:val="0"/>
        <w:spacing w:after="0" w:line="240" w:lineRule="auto"/>
        <w:jc w:val="both"/>
        <w:textAlignment w:val="baseline"/>
        <w:rPr>
          <w:rFonts w:ascii="Verdana" w:eastAsia="Calibri" w:hAnsi="Verdana" w:cs="Times New Roman"/>
          <w:sz w:val="20"/>
          <w:szCs w:val="20"/>
          <w:lang w:val="es-ES" w:eastAsia="es-CR"/>
        </w:rPr>
      </w:pPr>
    </w:p>
    <w:p w14:paraId="50BE3C3C" w14:textId="77777777" w:rsidR="001C05D8" w:rsidRPr="002F036A" w:rsidRDefault="001C05D8" w:rsidP="001C05D8">
      <w:pPr>
        <w:widowControl w:val="0"/>
        <w:adjustRightInd w:val="0"/>
        <w:spacing w:after="0" w:line="240" w:lineRule="auto"/>
        <w:textAlignment w:val="baseline"/>
        <w:rPr>
          <w:rFonts w:ascii="Verdana" w:eastAsiaTheme="minorHAnsi" w:hAnsi="Verdana" w:cs="Times New Roman"/>
          <w:sz w:val="20"/>
          <w:szCs w:val="20"/>
          <w:lang w:val="es-CR" w:eastAsia="es-CR"/>
        </w:rPr>
      </w:pPr>
      <w:r w:rsidRPr="002F036A">
        <w:rPr>
          <w:rFonts w:ascii="Verdana" w:eastAsia="Calibri" w:hAnsi="Verdana" w:cs="Verdana"/>
          <w:sz w:val="20"/>
          <w:szCs w:val="20"/>
          <w:lang w:val="es-ES" w:eastAsia="es-CR"/>
        </w:rPr>
        <w:t>la Corte Interamericana de Derechos Humanos (en adelante “la Corte Interamericana”, “la Corte” o “este Tribunal”), integrada por los siguientes jueces</w:t>
      </w:r>
      <w:r w:rsidRPr="002F036A">
        <w:rPr>
          <w:rFonts w:ascii="Verdana" w:eastAsia="Times New Roman" w:hAnsi="Verdana" w:cs="Times New Roman"/>
          <w:sz w:val="20"/>
          <w:szCs w:val="20"/>
          <w:lang w:val="es-CR" w:eastAsia="es-CR"/>
        </w:rPr>
        <w:footnoteReference w:customMarkFollows="1" w:id="2"/>
        <w:t>*</w:t>
      </w:r>
      <w:r w:rsidRPr="002F036A">
        <w:rPr>
          <w:rFonts w:ascii="Verdana" w:eastAsia="Calibri" w:hAnsi="Verdana" w:cs="Verdana"/>
          <w:sz w:val="20"/>
          <w:szCs w:val="20"/>
          <w:lang w:val="es-ES" w:eastAsia="es-CR"/>
        </w:rPr>
        <w:t>:</w:t>
      </w:r>
    </w:p>
    <w:p w14:paraId="50BE3C3D" w14:textId="77777777" w:rsidR="001C05D8" w:rsidRPr="002F036A" w:rsidRDefault="001C05D8" w:rsidP="001C05D8">
      <w:pPr>
        <w:widowControl w:val="0"/>
        <w:adjustRightInd w:val="0"/>
        <w:spacing w:after="0" w:line="240" w:lineRule="auto"/>
        <w:textAlignment w:val="baseline"/>
        <w:rPr>
          <w:rFonts w:ascii="Verdana" w:eastAsia="Calibri" w:hAnsi="Verdana" w:cs="Verdana"/>
          <w:sz w:val="20"/>
          <w:szCs w:val="20"/>
          <w:lang w:val="es-ES" w:eastAsia="es-CR"/>
        </w:rPr>
      </w:pPr>
    </w:p>
    <w:p w14:paraId="50BE3C3E" w14:textId="77777777" w:rsidR="001C05D8" w:rsidRPr="002F036A" w:rsidRDefault="001C05D8" w:rsidP="001C05D8">
      <w:pPr>
        <w:widowControl w:val="0"/>
        <w:tabs>
          <w:tab w:val="left" w:pos="720"/>
        </w:tabs>
        <w:adjustRightInd w:val="0"/>
        <w:spacing w:after="0" w:line="240" w:lineRule="auto"/>
        <w:jc w:val="both"/>
        <w:textAlignment w:val="baseline"/>
        <w:rPr>
          <w:rFonts w:ascii="Verdana" w:eastAsia="Calibri" w:hAnsi="Verdana" w:cs="Verdana"/>
          <w:sz w:val="20"/>
          <w:szCs w:val="20"/>
          <w:lang w:val="es-CR" w:eastAsia="es-CR"/>
        </w:rPr>
      </w:pPr>
      <w:r w:rsidRPr="002F036A">
        <w:rPr>
          <w:rFonts w:ascii="Verdana" w:eastAsia="Calibri" w:hAnsi="Verdana" w:cs="Verdana"/>
          <w:sz w:val="20"/>
          <w:szCs w:val="20"/>
          <w:lang w:val="es-CR" w:eastAsia="es-CR"/>
        </w:rPr>
        <w:t>Eduardo Ferrer Mac-Gregor Poisot, Presidente;</w:t>
      </w:r>
    </w:p>
    <w:p w14:paraId="50BE3C3F" w14:textId="77777777" w:rsidR="001C05D8" w:rsidRPr="002F036A" w:rsidRDefault="001C05D8" w:rsidP="001C05D8">
      <w:pPr>
        <w:widowControl w:val="0"/>
        <w:tabs>
          <w:tab w:val="left" w:pos="720"/>
        </w:tabs>
        <w:adjustRightInd w:val="0"/>
        <w:spacing w:after="0" w:line="240" w:lineRule="auto"/>
        <w:jc w:val="both"/>
        <w:textAlignment w:val="baseline"/>
        <w:rPr>
          <w:rFonts w:ascii="Verdana" w:eastAsia="Calibri" w:hAnsi="Verdana" w:cs="Verdana"/>
          <w:sz w:val="20"/>
          <w:szCs w:val="20"/>
          <w:lang w:val="es-CR" w:eastAsia="es-CR"/>
        </w:rPr>
      </w:pPr>
      <w:r w:rsidRPr="002F036A">
        <w:rPr>
          <w:rFonts w:ascii="Verdana" w:eastAsia="Calibri" w:hAnsi="Verdana" w:cs="Verdana"/>
          <w:sz w:val="20"/>
          <w:szCs w:val="20"/>
          <w:lang w:val="es-CR" w:eastAsia="es-CR"/>
        </w:rPr>
        <w:t>Eduardo Vio Grossi, Vice Presidente;</w:t>
      </w:r>
    </w:p>
    <w:p w14:paraId="50BE3C40" w14:textId="391B345A" w:rsidR="001C05D8" w:rsidRPr="002F036A" w:rsidRDefault="001C05D8" w:rsidP="001C05D8">
      <w:pPr>
        <w:widowControl w:val="0"/>
        <w:tabs>
          <w:tab w:val="left" w:pos="720"/>
        </w:tabs>
        <w:adjustRightInd w:val="0"/>
        <w:spacing w:after="0" w:line="240" w:lineRule="auto"/>
        <w:jc w:val="both"/>
        <w:textAlignment w:val="baseline"/>
        <w:rPr>
          <w:rFonts w:ascii="Verdana" w:eastAsia="Calibri" w:hAnsi="Verdana" w:cs="Verdana"/>
          <w:sz w:val="20"/>
          <w:szCs w:val="20"/>
          <w:lang w:val="es-ES" w:eastAsia="es-CR"/>
        </w:rPr>
      </w:pPr>
      <w:r w:rsidRPr="002F036A">
        <w:rPr>
          <w:rFonts w:ascii="Verdana" w:eastAsia="Calibri" w:hAnsi="Verdana" w:cs="Verdana"/>
          <w:sz w:val="20"/>
          <w:szCs w:val="20"/>
          <w:lang w:val="es-ES" w:eastAsia="es-CR"/>
        </w:rPr>
        <w:t>Humberto Antonio Sierra Porto</w:t>
      </w:r>
      <w:r w:rsidR="00164CF2" w:rsidRPr="002F036A">
        <w:rPr>
          <w:rFonts w:ascii="Verdana" w:eastAsia="Calibri" w:hAnsi="Verdana" w:cs="Verdana"/>
          <w:sz w:val="20"/>
          <w:szCs w:val="20"/>
          <w:lang w:val="es-ES" w:eastAsia="es-CR"/>
        </w:rPr>
        <w:t>, Juez;</w:t>
      </w:r>
    </w:p>
    <w:p w14:paraId="50BE3C41" w14:textId="77777777" w:rsidR="001C05D8" w:rsidRPr="002F036A" w:rsidRDefault="001C05D8" w:rsidP="001C05D8">
      <w:pPr>
        <w:widowControl w:val="0"/>
        <w:tabs>
          <w:tab w:val="left" w:pos="720"/>
        </w:tabs>
        <w:adjustRightInd w:val="0"/>
        <w:spacing w:after="0" w:line="240" w:lineRule="auto"/>
        <w:jc w:val="both"/>
        <w:textAlignment w:val="baseline"/>
        <w:rPr>
          <w:rFonts w:ascii="Verdana" w:eastAsia="Calibri" w:hAnsi="Verdana" w:cs="Verdana"/>
          <w:sz w:val="20"/>
          <w:szCs w:val="20"/>
          <w:lang w:val="es-ES" w:eastAsia="es-CR"/>
        </w:rPr>
      </w:pPr>
      <w:r w:rsidRPr="002F036A">
        <w:rPr>
          <w:rFonts w:ascii="Verdana" w:eastAsia="Calibri" w:hAnsi="Verdana" w:cs="Verdana"/>
          <w:sz w:val="20"/>
          <w:szCs w:val="20"/>
          <w:lang w:val="es-ES" w:eastAsia="es-CR"/>
        </w:rPr>
        <w:t>Elizabeth Odio Benito, Jueza;</w:t>
      </w:r>
    </w:p>
    <w:p w14:paraId="50BE3C42" w14:textId="77777777" w:rsidR="001C05D8" w:rsidRPr="002F036A" w:rsidRDefault="001C05D8" w:rsidP="001C05D8">
      <w:pPr>
        <w:widowControl w:val="0"/>
        <w:tabs>
          <w:tab w:val="left" w:pos="720"/>
        </w:tabs>
        <w:adjustRightInd w:val="0"/>
        <w:spacing w:after="0" w:line="240" w:lineRule="auto"/>
        <w:jc w:val="both"/>
        <w:textAlignment w:val="baseline"/>
        <w:rPr>
          <w:rFonts w:ascii="Verdana" w:eastAsia="Calibri" w:hAnsi="Verdana" w:cs="Verdana"/>
          <w:sz w:val="20"/>
          <w:szCs w:val="20"/>
          <w:lang w:val="es-ES" w:eastAsia="es-CR"/>
        </w:rPr>
      </w:pPr>
      <w:r w:rsidRPr="002F036A">
        <w:rPr>
          <w:rFonts w:ascii="Verdana" w:eastAsia="Calibri" w:hAnsi="Verdana" w:cs="Verdana"/>
          <w:sz w:val="20"/>
          <w:szCs w:val="20"/>
          <w:lang w:val="es-ES" w:eastAsia="es-CR"/>
        </w:rPr>
        <w:t>L. Patricio Pazmiño Freire, Juez, y</w:t>
      </w:r>
    </w:p>
    <w:p w14:paraId="50BE3C43" w14:textId="77777777" w:rsidR="001C05D8" w:rsidRPr="002F036A" w:rsidRDefault="001C05D8" w:rsidP="001C05D8">
      <w:pPr>
        <w:widowControl w:val="0"/>
        <w:tabs>
          <w:tab w:val="left" w:pos="720"/>
        </w:tabs>
        <w:adjustRightInd w:val="0"/>
        <w:spacing w:after="0" w:line="240" w:lineRule="auto"/>
        <w:jc w:val="both"/>
        <w:textAlignment w:val="baseline"/>
        <w:rPr>
          <w:rFonts w:ascii="Verdana" w:eastAsia="Calibri" w:hAnsi="Verdana" w:cs="Verdana"/>
          <w:sz w:val="20"/>
          <w:szCs w:val="20"/>
          <w:lang w:val="es-ES" w:eastAsia="es-CR"/>
        </w:rPr>
      </w:pPr>
      <w:r w:rsidRPr="002F036A">
        <w:rPr>
          <w:rFonts w:ascii="Verdana" w:eastAsia="Calibri" w:hAnsi="Verdana" w:cs="Verdana"/>
          <w:sz w:val="20"/>
          <w:szCs w:val="20"/>
          <w:lang w:val="es-ES" w:eastAsia="es-CR"/>
        </w:rPr>
        <w:t xml:space="preserve">Ricardo Pérez Manrique, Juez. </w:t>
      </w:r>
    </w:p>
    <w:p w14:paraId="50BE3C44" w14:textId="77777777" w:rsidR="001C05D8" w:rsidRPr="002F036A" w:rsidRDefault="001C05D8" w:rsidP="001C05D8">
      <w:pPr>
        <w:widowControl w:val="0"/>
        <w:tabs>
          <w:tab w:val="left" w:pos="720"/>
        </w:tabs>
        <w:adjustRightInd w:val="0"/>
        <w:spacing w:after="0" w:line="240" w:lineRule="auto"/>
        <w:jc w:val="both"/>
        <w:textAlignment w:val="baseline"/>
        <w:rPr>
          <w:rFonts w:ascii="Verdana" w:eastAsia="Calibri" w:hAnsi="Verdana" w:cs="Verdana"/>
          <w:sz w:val="20"/>
          <w:szCs w:val="20"/>
          <w:lang w:val="es-ES" w:eastAsia="es-CR"/>
        </w:rPr>
      </w:pPr>
    </w:p>
    <w:p w14:paraId="50BE3C45" w14:textId="29C9D26A" w:rsidR="001C05D8" w:rsidRPr="002F036A" w:rsidRDefault="0006055E" w:rsidP="001C05D8">
      <w:pPr>
        <w:widowControl w:val="0"/>
        <w:tabs>
          <w:tab w:val="left" w:pos="720"/>
        </w:tabs>
        <w:adjustRightInd w:val="0"/>
        <w:spacing w:after="0" w:line="240" w:lineRule="auto"/>
        <w:jc w:val="both"/>
        <w:textAlignment w:val="baseline"/>
        <w:rPr>
          <w:rFonts w:ascii="Verdana" w:eastAsia="Calibri" w:hAnsi="Verdana" w:cs="Verdana"/>
          <w:sz w:val="20"/>
          <w:szCs w:val="20"/>
          <w:lang w:val="es-ES" w:eastAsia="es-CR"/>
        </w:rPr>
      </w:pPr>
      <w:proofErr w:type="gramStart"/>
      <w:r w:rsidRPr="002F036A">
        <w:rPr>
          <w:rFonts w:ascii="Verdana" w:eastAsia="Calibri" w:hAnsi="Verdana" w:cs="Verdana"/>
          <w:sz w:val="20"/>
          <w:szCs w:val="20"/>
          <w:lang w:val="es-ES" w:eastAsia="es-CR"/>
        </w:rPr>
        <w:t>presente</w:t>
      </w:r>
      <w:proofErr w:type="gramEnd"/>
      <w:r w:rsidR="001C05D8" w:rsidRPr="002F036A">
        <w:rPr>
          <w:rFonts w:ascii="Verdana" w:eastAsia="Calibri" w:hAnsi="Verdana" w:cs="Verdana"/>
          <w:sz w:val="20"/>
          <w:szCs w:val="20"/>
          <w:lang w:val="es-ES" w:eastAsia="es-CR"/>
        </w:rPr>
        <w:t xml:space="preserve"> además,</w:t>
      </w:r>
    </w:p>
    <w:p w14:paraId="50BE3C46" w14:textId="77777777" w:rsidR="001C05D8" w:rsidRPr="002F036A" w:rsidRDefault="001C05D8" w:rsidP="001C05D8">
      <w:pPr>
        <w:widowControl w:val="0"/>
        <w:tabs>
          <w:tab w:val="left" w:pos="720"/>
        </w:tabs>
        <w:adjustRightInd w:val="0"/>
        <w:spacing w:after="0" w:line="240" w:lineRule="auto"/>
        <w:jc w:val="both"/>
        <w:textAlignment w:val="baseline"/>
        <w:rPr>
          <w:rFonts w:ascii="Verdana" w:eastAsia="Calibri" w:hAnsi="Verdana" w:cs="Verdana"/>
          <w:sz w:val="20"/>
          <w:szCs w:val="20"/>
          <w:lang w:val="es-ES" w:eastAsia="es-CR"/>
        </w:rPr>
      </w:pPr>
    </w:p>
    <w:p w14:paraId="50BE3C47" w14:textId="0ECCE99F" w:rsidR="001C05D8" w:rsidRPr="002F036A" w:rsidRDefault="001C05D8" w:rsidP="001C05D8">
      <w:pPr>
        <w:widowControl w:val="0"/>
        <w:tabs>
          <w:tab w:val="left" w:pos="720"/>
        </w:tabs>
        <w:adjustRightInd w:val="0"/>
        <w:spacing w:after="0" w:line="240" w:lineRule="auto"/>
        <w:jc w:val="both"/>
        <w:textAlignment w:val="baseline"/>
        <w:rPr>
          <w:rFonts w:ascii="Verdana" w:eastAsia="Calibri" w:hAnsi="Verdana" w:cs="Verdana"/>
          <w:sz w:val="20"/>
          <w:szCs w:val="20"/>
          <w:lang w:val="es-ES" w:eastAsia="es-CR"/>
        </w:rPr>
      </w:pPr>
      <w:r w:rsidRPr="002F036A">
        <w:rPr>
          <w:rFonts w:ascii="Verdana" w:eastAsia="Calibri" w:hAnsi="Verdana" w:cs="Verdana"/>
          <w:sz w:val="20"/>
          <w:szCs w:val="20"/>
          <w:lang w:val="es-ES" w:eastAsia="es-CR"/>
        </w:rPr>
        <w:t xml:space="preserve">Pablo </w:t>
      </w:r>
      <w:r w:rsidR="0006055E" w:rsidRPr="002F036A">
        <w:rPr>
          <w:rFonts w:ascii="Verdana" w:eastAsia="Calibri" w:hAnsi="Verdana" w:cs="Verdana"/>
          <w:sz w:val="20"/>
          <w:szCs w:val="20"/>
          <w:lang w:val="es-ES" w:eastAsia="es-CR"/>
        </w:rPr>
        <w:t>Saavedra Alessandri, Secretario,</w:t>
      </w:r>
    </w:p>
    <w:p w14:paraId="642FDA99" w14:textId="77777777" w:rsidR="008379B6" w:rsidRPr="002F036A" w:rsidRDefault="008379B6" w:rsidP="001C05D8">
      <w:pPr>
        <w:widowControl w:val="0"/>
        <w:tabs>
          <w:tab w:val="left" w:pos="720"/>
        </w:tabs>
        <w:adjustRightInd w:val="0"/>
        <w:spacing w:before="120" w:after="120" w:line="240" w:lineRule="auto"/>
        <w:jc w:val="both"/>
        <w:textAlignment w:val="baseline"/>
        <w:rPr>
          <w:rFonts w:ascii="Verdana" w:eastAsia="Calibri" w:hAnsi="Verdana" w:cs="Verdana"/>
          <w:sz w:val="20"/>
          <w:szCs w:val="20"/>
          <w:lang w:val="es-ES" w:eastAsia="es-CR"/>
        </w:rPr>
      </w:pPr>
    </w:p>
    <w:p w14:paraId="50BE3C49" w14:textId="29D43DA9" w:rsidR="001C05D8" w:rsidRPr="002F036A" w:rsidRDefault="0006055E" w:rsidP="001C05D8">
      <w:pPr>
        <w:widowControl w:val="0"/>
        <w:tabs>
          <w:tab w:val="left" w:pos="720"/>
        </w:tabs>
        <w:adjustRightInd w:val="0"/>
        <w:spacing w:before="120" w:after="120" w:line="240" w:lineRule="auto"/>
        <w:jc w:val="both"/>
        <w:textAlignment w:val="baseline"/>
        <w:rPr>
          <w:rFonts w:ascii="Verdana" w:eastAsia="Calibri" w:hAnsi="Verdana" w:cs="Verdana"/>
          <w:sz w:val="20"/>
          <w:szCs w:val="20"/>
          <w:lang w:val="es-ES" w:eastAsia="es-CR"/>
        </w:rPr>
      </w:pPr>
      <w:r w:rsidRPr="002F036A">
        <w:rPr>
          <w:rFonts w:ascii="Verdana" w:eastAsia="Calibri" w:hAnsi="Verdana" w:cs="Verdana"/>
          <w:sz w:val="20"/>
          <w:szCs w:val="20"/>
          <w:lang w:val="es-ES" w:eastAsia="es-CR"/>
        </w:rPr>
        <w:t>De</w:t>
      </w:r>
      <w:r w:rsidR="001C05D8" w:rsidRPr="002F036A">
        <w:rPr>
          <w:rFonts w:ascii="Verdana" w:eastAsia="Calibri" w:hAnsi="Verdana" w:cs="Verdana"/>
          <w:sz w:val="20"/>
          <w:szCs w:val="20"/>
          <w:lang w:val="es-ES" w:eastAsia="es-CR"/>
        </w:rPr>
        <w:t xml:space="preserve"> conformidad con los artículos 62.3 y 63.1 de la Convención Americana sobre Derechos Humanos (en adelante “la Convención Americana” o “la Convención”) y con los artículos 31, 32,</w:t>
      </w:r>
      <w:r w:rsidR="00713E16" w:rsidRPr="002F036A">
        <w:rPr>
          <w:rFonts w:ascii="Verdana" w:eastAsia="Calibri" w:hAnsi="Verdana" w:cs="Verdana"/>
          <w:sz w:val="20"/>
          <w:szCs w:val="20"/>
          <w:lang w:val="es-ES" w:eastAsia="es-CR"/>
        </w:rPr>
        <w:t xml:space="preserve"> 42,</w:t>
      </w:r>
      <w:r w:rsidR="001C05D8" w:rsidRPr="002F036A">
        <w:rPr>
          <w:rFonts w:ascii="Verdana" w:eastAsia="Calibri" w:hAnsi="Verdana" w:cs="Verdana"/>
          <w:sz w:val="20"/>
          <w:szCs w:val="20"/>
          <w:lang w:val="es-ES" w:eastAsia="es-CR"/>
        </w:rPr>
        <w:t xml:space="preserve"> 65 y 67 del Reglamento de la Corte (en adelante “el Reglamento” o “Reglamento de la Corte”), dicta la presente Sentencia, que se estructura en el siguiente orden:</w:t>
      </w:r>
    </w:p>
    <w:p w14:paraId="50BE3C4A" w14:textId="77777777" w:rsidR="001C05D8" w:rsidRPr="002F036A" w:rsidRDefault="001C05D8" w:rsidP="001C05D8">
      <w:pPr>
        <w:widowControl w:val="0"/>
        <w:adjustRightInd w:val="0"/>
        <w:spacing w:before="120" w:after="120" w:line="235" w:lineRule="exact"/>
        <w:ind w:left="100" w:right="-1085"/>
        <w:jc w:val="both"/>
        <w:textAlignment w:val="baseline"/>
        <w:rPr>
          <w:rFonts w:ascii="Verdana" w:eastAsia="Verdana" w:hAnsi="Verdana" w:cs="Verdana"/>
          <w:position w:val="-1"/>
          <w:sz w:val="20"/>
          <w:szCs w:val="20"/>
          <w:lang w:val="es-ES" w:eastAsia="es-CR"/>
        </w:rPr>
      </w:pPr>
    </w:p>
    <w:p w14:paraId="50BE3C4B" w14:textId="77777777" w:rsidR="001C05D8" w:rsidRPr="002F036A" w:rsidRDefault="001C05D8" w:rsidP="001C05D8">
      <w:pPr>
        <w:widowControl w:val="0"/>
        <w:adjustRightInd w:val="0"/>
        <w:spacing w:before="120" w:after="120" w:line="240" w:lineRule="auto"/>
        <w:jc w:val="both"/>
        <w:textAlignment w:val="baseline"/>
        <w:rPr>
          <w:rFonts w:ascii="Verdana" w:eastAsia="Verdana" w:hAnsi="Verdana" w:cs="Verdana"/>
          <w:position w:val="-1"/>
          <w:sz w:val="20"/>
          <w:szCs w:val="20"/>
          <w:lang w:val="es-ES" w:eastAsia="es-CR"/>
        </w:rPr>
      </w:pPr>
      <w:r w:rsidRPr="002F036A">
        <w:rPr>
          <w:rFonts w:ascii="Verdana" w:eastAsia="Verdana" w:hAnsi="Verdana" w:cs="Verdana"/>
          <w:position w:val="-1"/>
          <w:sz w:val="20"/>
          <w:szCs w:val="20"/>
          <w:lang w:val="es-ES" w:eastAsia="es-CR"/>
        </w:rPr>
        <w:br w:type="page"/>
      </w:r>
    </w:p>
    <w:p w14:paraId="50BE3C4D" w14:textId="77777777" w:rsidR="001C05D8" w:rsidRPr="002F036A" w:rsidRDefault="001C05D8" w:rsidP="001C05D8">
      <w:pPr>
        <w:tabs>
          <w:tab w:val="left" w:pos="1683"/>
          <w:tab w:val="center" w:pos="4816"/>
        </w:tabs>
        <w:spacing w:after="0" w:line="240" w:lineRule="auto"/>
        <w:rPr>
          <w:rFonts w:ascii="Verdana" w:eastAsia="Calibri" w:hAnsi="Verdana" w:cs="Times New Roman"/>
          <w:b/>
          <w:sz w:val="20"/>
          <w:szCs w:val="20"/>
          <w:lang w:val="es-ES_tradnl"/>
        </w:rPr>
      </w:pPr>
      <w:r w:rsidRPr="002F036A">
        <w:rPr>
          <w:rFonts w:ascii="Verdana" w:eastAsia="Calibri" w:hAnsi="Verdana" w:cs="Times New Roman"/>
          <w:b/>
          <w:sz w:val="20"/>
          <w:szCs w:val="20"/>
          <w:lang w:val="es-ES_tradnl"/>
        </w:rPr>
        <w:lastRenderedPageBreak/>
        <w:tab/>
      </w:r>
      <w:r w:rsidRPr="002F036A">
        <w:rPr>
          <w:rFonts w:ascii="Verdana" w:eastAsia="Calibri" w:hAnsi="Verdana" w:cs="Times New Roman"/>
          <w:b/>
          <w:sz w:val="20"/>
          <w:szCs w:val="20"/>
          <w:lang w:val="es-ES_tradnl"/>
        </w:rPr>
        <w:tab/>
        <w:t>TABLA DE CONTENIDO</w:t>
      </w:r>
    </w:p>
    <w:p w14:paraId="50BE3C4E" w14:textId="77777777" w:rsidR="001C05D8" w:rsidRPr="002F036A" w:rsidRDefault="001C05D8" w:rsidP="008053EE">
      <w:pPr>
        <w:tabs>
          <w:tab w:val="left" w:pos="1683"/>
          <w:tab w:val="center" w:pos="4816"/>
        </w:tabs>
        <w:spacing w:after="0" w:line="240" w:lineRule="auto"/>
        <w:rPr>
          <w:rFonts w:ascii="Verdana" w:eastAsia="Calibri" w:hAnsi="Verdana" w:cs="Times New Roman"/>
          <w:b/>
          <w:sz w:val="20"/>
          <w:szCs w:val="20"/>
          <w:lang w:val="es-ES_tradnl"/>
        </w:rPr>
      </w:pPr>
    </w:p>
    <w:bookmarkStart w:id="0" w:name="_Toc390328152"/>
    <w:p w14:paraId="5FE53927" w14:textId="4292150F" w:rsidR="00E55198" w:rsidRPr="00E55198" w:rsidRDefault="00E55198" w:rsidP="00E55198">
      <w:pPr>
        <w:pStyle w:val="TDC1"/>
        <w:tabs>
          <w:tab w:val="right" w:leader="dot" w:pos="9792"/>
        </w:tabs>
        <w:spacing w:before="0" w:after="0" w:line="240" w:lineRule="auto"/>
        <w:jc w:val="both"/>
        <w:rPr>
          <w:rFonts w:ascii="Verdana" w:eastAsiaTheme="minorEastAsia" w:hAnsi="Verdana"/>
          <w:b w:val="0"/>
          <w:bCs w:val="0"/>
          <w:caps w:val="0"/>
          <w:noProof/>
          <w:sz w:val="22"/>
          <w:szCs w:val="22"/>
          <w:lang w:val="es-CR" w:eastAsia="es-CR"/>
        </w:rPr>
      </w:pPr>
      <w:r w:rsidRPr="00E55198">
        <w:rPr>
          <w:rFonts w:ascii="Verdana" w:eastAsia="Calibri" w:hAnsi="Verdana" w:cs="Verdana"/>
          <w:b w:val="0"/>
          <w:caps w:val="0"/>
          <w:noProof/>
          <w:snapToGrid w:val="0"/>
          <w:lang w:val="es-ES_tradnl"/>
        </w:rPr>
        <w:fldChar w:fldCharType="begin"/>
      </w:r>
      <w:r w:rsidRPr="00E55198">
        <w:rPr>
          <w:rFonts w:ascii="Verdana" w:eastAsia="Calibri" w:hAnsi="Verdana" w:cs="Verdana"/>
          <w:b w:val="0"/>
          <w:caps w:val="0"/>
          <w:noProof/>
          <w:snapToGrid w:val="0"/>
          <w:lang w:val="es-ES_tradnl"/>
        </w:rPr>
        <w:instrText xml:space="preserve"> TOC \o "1-4" \h \z \u </w:instrText>
      </w:r>
      <w:r w:rsidRPr="00E55198">
        <w:rPr>
          <w:rFonts w:ascii="Verdana" w:eastAsia="Calibri" w:hAnsi="Verdana" w:cs="Verdana"/>
          <w:b w:val="0"/>
          <w:caps w:val="0"/>
          <w:noProof/>
          <w:snapToGrid w:val="0"/>
          <w:lang w:val="es-ES_tradnl"/>
        </w:rPr>
        <w:fldChar w:fldCharType="separate"/>
      </w:r>
      <w:hyperlink w:anchor="_Toc20755705" w:history="1">
        <w:r w:rsidRPr="00E55198">
          <w:rPr>
            <w:rStyle w:val="Hipervnculo"/>
            <w:rFonts w:ascii="Verdana" w:eastAsia="Times New Roman" w:hAnsi="Verdana" w:cs="Verdana"/>
            <w:noProof/>
            <w:snapToGrid w:val="0"/>
            <w:lang w:val="es-ES_tradnl"/>
          </w:rPr>
          <w:t>I INTRODUCCIÓN DE LA CAUSA Y OBJETO DE LA CONTROVERSIA</w:t>
        </w:r>
        <w:r w:rsidRPr="00E55198">
          <w:rPr>
            <w:rFonts w:ascii="Verdana" w:hAnsi="Verdana"/>
            <w:noProof/>
            <w:webHidden/>
          </w:rPr>
          <w:tab/>
        </w:r>
        <w:r w:rsidRPr="00E55198">
          <w:rPr>
            <w:rFonts w:ascii="Verdana" w:hAnsi="Verdana"/>
            <w:noProof/>
            <w:webHidden/>
          </w:rPr>
          <w:fldChar w:fldCharType="begin"/>
        </w:r>
        <w:r w:rsidRPr="00E55198">
          <w:rPr>
            <w:rFonts w:ascii="Verdana" w:hAnsi="Verdana"/>
            <w:noProof/>
            <w:webHidden/>
          </w:rPr>
          <w:instrText xml:space="preserve"> PAGEREF _Toc20755705 \h </w:instrText>
        </w:r>
        <w:r w:rsidRPr="00E55198">
          <w:rPr>
            <w:rFonts w:ascii="Verdana" w:hAnsi="Verdana"/>
            <w:noProof/>
            <w:webHidden/>
          </w:rPr>
        </w:r>
        <w:r w:rsidRPr="00E55198">
          <w:rPr>
            <w:rFonts w:ascii="Verdana" w:hAnsi="Verdana"/>
            <w:noProof/>
            <w:webHidden/>
          </w:rPr>
          <w:fldChar w:fldCharType="separate"/>
        </w:r>
        <w:r w:rsidR="00DC4437">
          <w:rPr>
            <w:rFonts w:ascii="Verdana" w:hAnsi="Verdana"/>
            <w:noProof/>
            <w:webHidden/>
          </w:rPr>
          <w:t>3</w:t>
        </w:r>
        <w:r w:rsidRPr="00E55198">
          <w:rPr>
            <w:rFonts w:ascii="Verdana" w:hAnsi="Verdana"/>
            <w:noProof/>
            <w:webHidden/>
          </w:rPr>
          <w:fldChar w:fldCharType="end"/>
        </w:r>
      </w:hyperlink>
    </w:p>
    <w:p w14:paraId="77CE711F" w14:textId="2BD1BE74" w:rsidR="00E55198" w:rsidRPr="00E55198" w:rsidRDefault="00D05549" w:rsidP="00E55198">
      <w:pPr>
        <w:pStyle w:val="TDC1"/>
        <w:tabs>
          <w:tab w:val="right" w:leader="dot" w:pos="9792"/>
        </w:tabs>
        <w:spacing w:before="0" w:after="0" w:line="240" w:lineRule="auto"/>
        <w:jc w:val="both"/>
        <w:rPr>
          <w:rFonts w:ascii="Verdana" w:eastAsiaTheme="minorEastAsia" w:hAnsi="Verdana"/>
          <w:b w:val="0"/>
          <w:bCs w:val="0"/>
          <w:caps w:val="0"/>
          <w:noProof/>
          <w:sz w:val="22"/>
          <w:szCs w:val="22"/>
          <w:lang w:val="es-CR" w:eastAsia="es-CR"/>
        </w:rPr>
      </w:pPr>
      <w:hyperlink w:anchor="_Toc20755706" w:history="1">
        <w:r w:rsidR="00E55198" w:rsidRPr="00E55198">
          <w:rPr>
            <w:rStyle w:val="Hipervnculo"/>
            <w:rFonts w:ascii="Verdana" w:eastAsia="Times New Roman" w:hAnsi="Verdana" w:cs="Verdana"/>
            <w:noProof/>
            <w:snapToGrid w:val="0"/>
            <w:lang w:val="es-ES_tradnl"/>
          </w:rPr>
          <w:t>II PROCEDIMIENTO ANTE LA CORTE</w:t>
        </w:r>
        <w:r w:rsidR="00E55198" w:rsidRPr="00E55198">
          <w:rPr>
            <w:rFonts w:ascii="Verdana" w:hAnsi="Verdana"/>
            <w:noProof/>
            <w:webHidden/>
          </w:rPr>
          <w:tab/>
        </w:r>
        <w:r w:rsidR="00E55198" w:rsidRPr="00E55198">
          <w:rPr>
            <w:rFonts w:ascii="Verdana" w:hAnsi="Verdana"/>
            <w:noProof/>
            <w:webHidden/>
          </w:rPr>
          <w:fldChar w:fldCharType="begin"/>
        </w:r>
        <w:r w:rsidR="00E55198" w:rsidRPr="00E55198">
          <w:rPr>
            <w:rFonts w:ascii="Verdana" w:hAnsi="Verdana"/>
            <w:noProof/>
            <w:webHidden/>
          </w:rPr>
          <w:instrText xml:space="preserve"> PAGEREF _Toc20755706 \h </w:instrText>
        </w:r>
        <w:r w:rsidR="00E55198" w:rsidRPr="00E55198">
          <w:rPr>
            <w:rFonts w:ascii="Verdana" w:hAnsi="Verdana"/>
            <w:noProof/>
            <w:webHidden/>
          </w:rPr>
        </w:r>
        <w:r w:rsidR="00E55198" w:rsidRPr="00E55198">
          <w:rPr>
            <w:rFonts w:ascii="Verdana" w:hAnsi="Verdana"/>
            <w:noProof/>
            <w:webHidden/>
          </w:rPr>
          <w:fldChar w:fldCharType="separate"/>
        </w:r>
        <w:r w:rsidR="00DC4437">
          <w:rPr>
            <w:rFonts w:ascii="Verdana" w:hAnsi="Verdana"/>
            <w:noProof/>
            <w:webHidden/>
          </w:rPr>
          <w:t>4</w:t>
        </w:r>
        <w:r w:rsidR="00E55198" w:rsidRPr="00E55198">
          <w:rPr>
            <w:rFonts w:ascii="Verdana" w:hAnsi="Verdana"/>
            <w:noProof/>
            <w:webHidden/>
          </w:rPr>
          <w:fldChar w:fldCharType="end"/>
        </w:r>
      </w:hyperlink>
    </w:p>
    <w:p w14:paraId="45D697F0" w14:textId="28842150" w:rsidR="00E55198" w:rsidRPr="00E55198" w:rsidRDefault="00D05549" w:rsidP="00E55198">
      <w:pPr>
        <w:pStyle w:val="TDC1"/>
        <w:tabs>
          <w:tab w:val="right" w:leader="dot" w:pos="9792"/>
        </w:tabs>
        <w:spacing w:before="0" w:after="0" w:line="240" w:lineRule="auto"/>
        <w:jc w:val="both"/>
        <w:rPr>
          <w:rFonts w:ascii="Verdana" w:eastAsiaTheme="minorEastAsia" w:hAnsi="Verdana"/>
          <w:b w:val="0"/>
          <w:bCs w:val="0"/>
          <w:caps w:val="0"/>
          <w:noProof/>
          <w:sz w:val="22"/>
          <w:szCs w:val="22"/>
          <w:lang w:val="es-CR" w:eastAsia="es-CR"/>
        </w:rPr>
      </w:pPr>
      <w:hyperlink w:anchor="_Toc20755707" w:history="1">
        <w:r w:rsidR="00E55198" w:rsidRPr="00E55198">
          <w:rPr>
            <w:rStyle w:val="Hipervnculo"/>
            <w:rFonts w:ascii="Verdana" w:eastAsia="Times New Roman" w:hAnsi="Verdana" w:cs="Verdana"/>
            <w:noProof/>
            <w:snapToGrid w:val="0"/>
            <w:lang w:val="es-ES_tradnl"/>
          </w:rPr>
          <w:t>III COMPETENCIA</w:t>
        </w:r>
        <w:r w:rsidR="00E55198" w:rsidRPr="00E55198">
          <w:rPr>
            <w:rFonts w:ascii="Verdana" w:hAnsi="Verdana"/>
            <w:noProof/>
            <w:webHidden/>
          </w:rPr>
          <w:tab/>
        </w:r>
        <w:r w:rsidR="00E55198" w:rsidRPr="00E55198">
          <w:rPr>
            <w:rFonts w:ascii="Verdana" w:hAnsi="Verdana"/>
            <w:noProof/>
            <w:webHidden/>
          </w:rPr>
          <w:fldChar w:fldCharType="begin"/>
        </w:r>
        <w:r w:rsidR="00E55198" w:rsidRPr="00E55198">
          <w:rPr>
            <w:rFonts w:ascii="Verdana" w:hAnsi="Verdana"/>
            <w:noProof/>
            <w:webHidden/>
          </w:rPr>
          <w:instrText xml:space="preserve"> PAGEREF _Toc20755707 \h </w:instrText>
        </w:r>
        <w:r w:rsidR="00E55198" w:rsidRPr="00E55198">
          <w:rPr>
            <w:rFonts w:ascii="Verdana" w:hAnsi="Verdana"/>
            <w:noProof/>
            <w:webHidden/>
          </w:rPr>
        </w:r>
        <w:r w:rsidR="00E55198" w:rsidRPr="00E55198">
          <w:rPr>
            <w:rFonts w:ascii="Verdana" w:hAnsi="Verdana"/>
            <w:noProof/>
            <w:webHidden/>
          </w:rPr>
          <w:fldChar w:fldCharType="separate"/>
        </w:r>
        <w:r w:rsidR="00DC4437">
          <w:rPr>
            <w:rFonts w:ascii="Verdana" w:hAnsi="Verdana"/>
            <w:noProof/>
            <w:webHidden/>
          </w:rPr>
          <w:t>5</w:t>
        </w:r>
        <w:r w:rsidR="00E55198" w:rsidRPr="00E55198">
          <w:rPr>
            <w:rFonts w:ascii="Verdana" w:hAnsi="Verdana"/>
            <w:noProof/>
            <w:webHidden/>
          </w:rPr>
          <w:fldChar w:fldCharType="end"/>
        </w:r>
      </w:hyperlink>
    </w:p>
    <w:p w14:paraId="548FBEC2" w14:textId="6FFEC43D" w:rsidR="00E55198" w:rsidRPr="00E55198" w:rsidRDefault="00D05549" w:rsidP="00E55198">
      <w:pPr>
        <w:pStyle w:val="TDC1"/>
        <w:tabs>
          <w:tab w:val="right" w:leader="dot" w:pos="9792"/>
        </w:tabs>
        <w:spacing w:before="0" w:after="0" w:line="240" w:lineRule="auto"/>
        <w:jc w:val="both"/>
        <w:rPr>
          <w:rFonts w:ascii="Verdana" w:eastAsiaTheme="minorEastAsia" w:hAnsi="Verdana"/>
          <w:b w:val="0"/>
          <w:bCs w:val="0"/>
          <w:caps w:val="0"/>
          <w:noProof/>
          <w:sz w:val="22"/>
          <w:szCs w:val="22"/>
          <w:lang w:val="es-CR" w:eastAsia="es-CR"/>
        </w:rPr>
      </w:pPr>
      <w:hyperlink w:anchor="_Toc20755708" w:history="1">
        <w:r w:rsidR="00E55198" w:rsidRPr="00E55198">
          <w:rPr>
            <w:rStyle w:val="Hipervnculo"/>
            <w:rFonts w:ascii="Verdana" w:eastAsia="Times New Roman" w:hAnsi="Verdana" w:cs="Verdana"/>
            <w:noProof/>
            <w:snapToGrid w:val="0"/>
            <w:lang w:val="es-ES_tradnl"/>
          </w:rPr>
          <w:t xml:space="preserve">IV </w:t>
        </w:r>
        <w:r w:rsidR="00E55198" w:rsidRPr="00E55198">
          <w:rPr>
            <w:rStyle w:val="Hipervnculo"/>
            <w:rFonts w:ascii="Verdana" w:eastAsia="Times New Roman" w:hAnsi="Verdana" w:cs="Times New Roman"/>
            <w:noProof/>
            <w:snapToGrid w:val="0"/>
            <w:lang w:val="es-ES_tradnl"/>
          </w:rPr>
          <w:t>EXCEPCIONES PRELIMINARES</w:t>
        </w:r>
        <w:r w:rsidR="00E55198" w:rsidRPr="00E55198">
          <w:rPr>
            <w:rFonts w:ascii="Verdana" w:hAnsi="Verdana"/>
            <w:noProof/>
            <w:webHidden/>
          </w:rPr>
          <w:tab/>
        </w:r>
        <w:r w:rsidR="00E55198" w:rsidRPr="00E55198">
          <w:rPr>
            <w:rFonts w:ascii="Verdana" w:hAnsi="Verdana"/>
            <w:noProof/>
            <w:webHidden/>
          </w:rPr>
          <w:fldChar w:fldCharType="begin"/>
        </w:r>
        <w:r w:rsidR="00E55198" w:rsidRPr="00E55198">
          <w:rPr>
            <w:rFonts w:ascii="Verdana" w:hAnsi="Verdana"/>
            <w:noProof/>
            <w:webHidden/>
          </w:rPr>
          <w:instrText xml:space="preserve"> PAGEREF _Toc20755708 \h </w:instrText>
        </w:r>
        <w:r w:rsidR="00E55198" w:rsidRPr="00E55198">
          <w:rPr>
            <w:rFonts w:ascii="Verdana" w:hAnsi="Verdana"/>
            <w:noProof/>
            <w:webHidden/>
          </w:rPr>
        </w:r>
        <w:r w:rsidR="00E55198" w:rsidRPr="00E55198">
          <w:rPr>
            <w:rFonts w:ascii="Verdana" w:hAnsi="Verdana"/>
            <w:noProof/>
            <w:webHidden/>
          </w:rPr>
          <w:fldChar w:fldCharType="separate"/>
        </w:r>
        <w:r w:rsidR="00DC4437">
          <w:rPr>
            <w:rFonts w:ascii="Verdana" w:hAnsi="Verdana"/>
            <w:noProof/>
            <w:webHidden/>
          </w:rPr>
          <w:t>5</w:t>
        </w:r>
        <w:r w:rsidR="00E55198" w:rsidRPr="00E55198">
          <w:rPr>
            <w:rFonts w:ascii="Verdana" w:hAnsi="Verdana"/>
            <w:noProof/>
            <w:webHidden/>
          </w:rPr>
          <w:fldChar w:fldCharType="end"/>
        </w:r>
      </w:hyperlink>
    </w:p>
    <w:p w14:paraId="2995F9E3" w14:textId="1BBB519F" w:rsidR="00E55198" w:rsidRPr="00E55198" w:rsidRDefault="00D05549" w:rsidP="00E55198">
      <w:pPr>
        <w:pStyle w:val="TDC2"/>
        <w:rPr>
          <w:rFonts w:eastAsiaTheme="minorEastAsia"/>
          <w:i w:val="0"/>
          <w:sz w:val="22"/>
          <w:szCs w:val="22"/>
          <w:lang w:eastAsia="es-CR"/>
        </w:rPr>
      </w:pPr>
      <w:hyperlink w:anchor="_Toc20755709" w:history="1">
        <w:r w:rsidR="00E55198" w:rsidRPr="00E55198">
          <w:rPr>
            <w:rStyle w:val="Hipervnculo"/>
            <w:i w:val="0"/>
          </w:rPr>
          <w:t>A.</w:t>
        </w:r>
        <w:r w:rsidR="00E55198" w:rsidRPr="00E55198">
          <w:rPr>
            <w:rFonts w:eastAsiaTheme="minorEastAsia"/>
            <w:i w:val="0"/>
            <w:sz w:val="22"/>
            <w:szCs w:val="22"/>
            <w:lang w:eastAsia="es-CR"/>
          </w:rPr>
          <w:tab/>
        </w:r>
        <w:r w:rsidR="00E55198" w:rsidRPr="00E55198">
          <w:rPr>
            <w:rStyle w:val="Hipervnculo"/>
            <w:rFonts w:eastAsia="MS Gothic"/>
            <w:i w:val="0"/>
            <w:lang w:val="es-CR"/>
          </w:rPr>
          <w:t>Falta de competencia ratione temporis en relación con la petición de restitutio in integrum de la representación</w:t>
        </w:r>
        <w:r w:rsidR="00E55198" w:rsidRPr="00E55198">
          <w:rPr>
            <w:i w:val="0"/>
            <w:webHidden/>
          </w:rPr>
          <w:tab/>
        </w:r>
        <w:r w:rsidR="00E55198" w:rsidRPr="00E55198">
          <w:rPr>
            <w:i w:val="0"/>
            <w:webHidden/>
          </w:rPr>
          <w:fldChar w:fldCharType="begin"/>
        </w:r>
        <w:r w:rsidR="00E55198" w:rsidRPr="00E55198">
          <w:rPr>
            <w:i w:val="0"/>
            <w:webHidden/>
          </w:rPr>
          <w:instrText xml:space="preserve"> PAGEREF _Toc20755709 \h </w:instrText>
        </w:r>
        <w:r w:rsidR="00E55198" w:rsidRPr="00E55198">
          <w:rPr>
            <w:i w:val="0"/>
            <w:webHidden/>
          </w:rPr>
        </w:r>
        <w:r w:rsidR="00E55198" w:rsidRPr="00E55198">
          <w:rPr>
            <w:i w:val="0"/>
            <w:webHidden/>
          </w:rPr>
          <w:fldChar w:fldCharType="separate"/>
        </w:r>
        <w:r w:rsidR="00DC4437">
          <w:rPr>
            <w:i w:val="0"/>
            <w:webHidden/>
          </w:rPr>
          <w:t>5</w:t>
        </w:r>
        <w:r w:rsidR="00E55198" w:rsidRPr="00E55198">
          <w:rPr>
            <w:i w:val="0"/>
            <w:webHidden/>
          </w:rPr>
          <w:fldChar w:fldCharType="end"/>
        </w:r>
      </w:hyperlink>
    </w:p>
    <w:p w14:paraId="79A03208" w14:textId="7C37052B" w:rsidR="00E55198" w:rsidRPr="00E55198" w:rsidRDefault="00D05549" w:rsidP="00E55198">
      <w:pPr>
        <w:pStyle w:val="TDC3"/>
        <w:tabs>
          <w:tab w:val="left" w:pos="1100"/>
          <w:tab w:val="right" w:leader="dot" w:pos="9792"/>
        </w:tabs>
        <w:spacing w:line="240" w:lineRule="auto"/>
        <w:jc w:val="both"/>
        <w:rPr>
          <w:rFonts w:ascii="Verdana" w:eastAsiaTheme="minorEastAsia" w:hAnsi="Verdana"/>
          <w:i w:val="0"/>
          <w:iCs w:val="0"/>
          <w:noProof/>
          <w:sz w:val="22"/>
          <w:szCs w:val="22"/>
          <w:lang w:val="es-CR" w:eastAsia="es-CR"/>
        </w:rPr>
      </w:pPr>
      <w:hyperlink w:anchor="_Toc20755710" w:history="1">
        <w:r w:rsidR="00E55198" w:rsidRPr="00E55198">
          <w:rPr>
            <w:rStyle w:val="Hipervnculo"/>
            <w:rFonts w:ascii="Verdana" w:hAnsi="Verdana"/>
            <w:i w:val="0"/>
            <w:noProof/>
            <w:lang w:val="es-ES_tradnl"/>
          </w:rPr>
          <w:t>A.1.</w:t>
        </w:r>
        <w:r w:rsidR="00E55198" w:rsidRPr="00E55198">
          <w:rPr>
            <w:rFonts w:ascii="Verdana" w:eastAsiaTheme="minorEastAsia" w:hAnsi="Verdana"/>
            <w:i w:val="0"/>
            <w:iCs w:val="0"/>
            <w:noProof/>
            <w:sz w:val="22"/>
            <w:szCs w:val="22"/>
            <w:lang w:val="es-CR" w:eastAsia="es-CR"/>
          </w:rPr>
          <w:tab/>
        </w:r>
        <w:r w:rsidR="00E55198" w:rsidRPr="00E55198">
          <w:rPr>
            <w:rStyle w:val="Hipervnculo"/>
            <w:rFonts w:ascii="Verdana" w:hAnsi="Verdana"/>
            <w:i w:val="0"/>
            <w:noProof/>
            <w:lang w:val="es-ES_tradnl"/>
          </w:rPr>
          <w:t>Alegatos de las partes y de la Comisión</w:t>
        </w:r>
        <w:r w:rsidR="00E55198" w:rsidRPr="00E55198">
          <w:rPr>
            <w:rFonts w:ascii="Verdana" w:hAnsi="Verdana"/>
            <w:i w:val="0"/>
            <w:noProof/>
            <w:webHidden/>
          </w:rPr>
          <w:tab/>
        </w:r>
        <w:r w:rsidR="00E55198" w:rsidRPr="00E55198">
          <w:rPr>
            <w:rFonts w:ascii="Verdana" w:hAnsi="Verdana"/>
            <w:i w:val="0"/>
            <w:noProof/>
            <w:webHidden/>
          </w:rPr>
          <w:fldChar w:fldCharType="begin"/>
        </w:r>
        <w:r w:rsidR="00E55198" w:rsidRPr="00E55198">
          <w:rPr>
            <w:rFonts w:ascii="Verdana" w:hAnsi="Verdana"/>
            <w:i w:val="0"/>
            <w:noProof/>
            <w:webHidden/>
          </w:rPr>
          <w:instrText xml:space="preserve"> PAGEREF _Toc20755710 \h </w:instrText>
        </w:r>
        <w:r w:rsidR="00E55198" w:rsidRPr="00E55198">
          <w:rPr>
            <w:rFonts w:ascii="Verdana" w:hAnsi="Verdana"/>
            <w:i w:val="0"/>
            <w:noProof/>
            <w:webHidden/>
          </w:rPr>
        </w:r>
        <w:r w:rsidR="00E55198" w:rsidRPr="00E55198">
          <w:rPr>
            <w:rFonts w:ascii="Verdana" w:hAnsi="Verdana"/>
            <w:i w:val="0"/>
            <w:noProof/>
            <w:webHidden/>
          </w:rPr>
          <w:fldChar w:fldCharType="separate"/>
        </w:r>
        <w:r w:rsidR="00DC4437">
          <w:rPr>
            <w:rFonts w:ascii="Verdana" w:hAnsi="Verdana"/>
            <w:i w:val="0"/>
            <w:noProof/>
            <w:webHidden/>
          </w:rPr>
          <w:t>5</w:t>
        </w:r>
        <w:r w:rsidR="00E55198" w:rsidRPr="00E55198">
          <w:rPr>
            <w:rFonts w:ascii="Verdana" w:hAnsi="Verdana"/>
            <w:i w:val="0"/>
            <w:noProof/>
            <w:webHidden/>
          </w:rPr>
          <w:fldChar w:fldCharType="end"/>
        </w:r>
      </w:hyperlink>
    </w:p>
    <w:p w14:paraId="11AC626E" w14:textId="65CE3C9A" w:rsidR="00E55198" w:rsidRPr="00E55198" w:rsidRDefault="00D05549" w:rsidP="00E55198">
      <w:pPr>
        <w:pStyle w:val="TDC3"/>
        <w:tabs>
          <w:tab w:val="left" w:pos="1100"/>
          <w:tab w:val="right" w:leader="dot" w:pos="9792"/>
        </w:tabs>
        <w:spacing w:line="240" w:lineRule="auto"/>
        <w:jc w:val="both"/>
        <w:rPr>
          <w:rFonts w:ascii="Verdana" w:eastAsiaTheme="minorEastAsia" w:hAnsi="Verdana"/>
          <w:i w:val="0"/>
          <w:iCs w:val="0"/>
          <w:noProof/>
          <w:sz w:val="22"/>
          <w:szCs w:val="22"/>
          <w:lang w:val="es-CR" w:eastAsia="es-CR"/>
        </w:rPr>
      </w:pPr>
      <w:hyperlink w:anchor="_Toc20755711" w:history="1">
        <w:r w:rsidR="00E55198" w:rsidRPr="00E55198">
          <w:rPr>
            <w:rStyle w:val="Hipervnculo"/>
            <w:rFonts w:ascii="Verdana" w:hAnsi="Verdana"/>
            <w:i w:val="0"/>
            <w:noProof/>
            <w:lang w:val="es-ES_tradnl"/>
          </w:rPr>
          <w:t>A.2.</w:t>
        </w:r>
        <w:r w:rsidR="00E55198" w:rsidRPr="00E55198">
          <w:rPr>
            <w:rFonts w:ascii="Verdana" w:eastAsiaTheme="minorEastAsia" w:hAnsi="Verdana"/>
            <w:i w:val="0"/>
            <w:iCs w:val="0"/>
            <w:noProof/>
            <w:sz w:val="22"/>
            <w:szCs w:val="22"/>
            <w:lang w:val="es-CR" w:eastAsia="es-CR"/>
          </w:rPr>
          <w:tab/>
        </w:r>
        <w:r w:rsidR="00E55198" w:rsidRPr="00E55198">
          <w:rPr>
            <w:rStyle w:val="Hipervnculo"/>
            <w:rFonts w:ascii="Verdana" w:hAnsi="Verdana"/>
            <w:i w:val="0"/>
            <w:noProof/>
            <w:lang w:val="es-ES_tradnl"/>
          </w:rPr>
          <w:t>Consideraciones de la Corte</w:t>
        </w:r>
        <w:r w:rsidR="00E55198" w:rsidRPr="00E55198">
          <w:rPr>
            <w:rFonts w:ascii="Verdana" w:hAnsi="Verdana"/>
            <w:i w:val="0"/>
            <w:noProof/>
            <w:webHidden/>
          </w:rPr>
          <w:tab/>
        </w:r>
        <w:r w:rsidR="00E55198" w:rsidRPr="00E55198">
          <w:rPr>
            <w:rFonts w:ascii="Verdana" w:hAnsi="Verdana"/>
            <w:i w:val="0"/>
            <w:noProof/>
            <w:webHidden/>
          </w:rPr>
          <w:fldChar w:fldCharType="begin"/>
        </w:r>
        <w:r w:rsidR="00E55198" w:rsidRPr="00E55198">
          <w:rPr>
            <w:rFonts w:ascii="Verdana" w:hAnsi="Verdana"/>
            <w:i w:val="0"/>
            <w:noProof/>
            <w:webHidden/>
          </w:rPr>
          <w:instrText xml:space="preserve"> PAGEREF _Toc20755711 \h </w:instrText>
        </w:r>
        <w:r w:rsidR="00E55198" w:rsidRPr="00E55198">
          <w:rPr>
            <w:rFonts w:ascii="Verdana" w:hAnsi="Verdana"/>
            <w:i w:val="0"/>
            <w:noProof/>
            <w:webHidden/>
          </w:rPr>
        </w:r>
        <w:r w:rsidR="00E55198" w:rsidRPr="00E55198">
          <w:rPr>
            <w:rFonts w:ascii="Verdana" w:hAnsi="Verdana"/>
            <w:i w:val="0"/>
            <w:noProof/>
            <w:webHidden/>
          </w:rPr>
          <w:fldChar w:fldCharType="separate"/>
        </w:r>
        <w:r w:rsidR="00DC4437">
          <w:rPr>
            <w:rFonts w:ascii="Verdana" w:hAnsi="Verdana"/>
            <w:i w:val="0"/>
            <w:noProof/>
            <w:webHidden/>
          </w:rPr>
          <w:t>6</w:t>
        </w:r>
        <w:r w:rsidR="00E55198" w:rsidRPr="00E55198">
          <w:rPr>
            <w:rFonts w:ascii="Verdana" w:hAnsi="Verdana"/>
            <w:i w:val="0"/>
            <w:noProof/>
            <w:webHidden/>
          </w:rPr>
          <w:fldChar w:fldCharType="end"/>
        </w:r>
      </w:hyperlink>
    </w:p>
    <w:p w14:paraId="1D48E3D0" w14:textId="33F7D50F" w:rsidR="00E55198" w:rsidRPr="00E55198" w:rsidRDefault="00D05549" w:rsidP="00E55198">
      <w:pPr>
        <w:pStyle w:val="TDC2"/>
        <w:rPr>
          <w:rFonts w:eastAsiaTheme="minorEastAsia"/>
          <w:i w:val="0"/>
          <w:sz w:val="22"/>
          <w:szCs w:val="22"/>
          <w:lang w:val="es-CR" w:eastAsia="es-CR"/>
        </w:rPr>
      </w:pPr>
      <w:hyperlink w:anchor="_Toc20755712" w:history="1">
        <w:r w:rsidR="00E55198" w:rsidRPr="00E55198">
          <w:rPr>
            <w:rStyle w:val="Hipervnculo"/>
            <w:i w:val="0"/>
          </w:rPr>
          <w:t>B.</w:t>
        </w:r>
        <w:r w:rsidR="00E55198" w:rsidRPr="00E55198">
          <w:rPr>
            <w:rFonts w:eastAsiaTheme="minorEastAsia"/>
            <w:i w:val="0"/>
            <w:sz w:val="22"/>
            <w:szCs w:val="22"/>
            <w:lang w:val="es-CR" w:eastAsia="es-CR"/>
          </w:rPr>
          <w:tab/>
        </w:r>
        <w:r w:rsidR="00E55198" w:rsidRPr="00E55198">
          <w:rPr>
            <w:rStyle w:val="Hipervnculo"/>
            <w:i w:val="0"/>
          </w:rPr>
          <w:t>Falta de agotamiento de los recursos de la jurisdicción interna.</w:t>
        </w:r>
        <w:r w:rsidR="00E55198" w:rsidRPr="00E55198">
          <w:rPr>
            <w:i w:val="0"/>
            <w:webHidden/>
          </w:rPr>
          <w:tab/>
        </w:r>
        <w:r w:rsidR="00E55198" w:rsidRPr="00E55198">
          <w:rPr>
            <w:i w:val="0"/>
            <w:webHidden/>
          </w:rPr>
          <w:fldChar w:fldCharType="begin"/>
        </w:r>
        <w:r w:rsidR="00E55198" w:rsidRPr="00E55198">
          <w:rPr>
            <w:i w:val="0"/>
            <w:webHidden/>
          </w:rPr>
          <w:instrText xml:space="preserve"> PAGEREF _Toc20755712 \h </w:instrText>
        </w:r>
        <w:r w:rsidR="00E55198" w:rsidRPr="00E55198">
          <w:rPr>
            <w:i w:val="0"/>
            <w:webHidden/>
          </w:rPr>
        </w:r>
        <w:r w:rsidR="00E55198" w:rsidRPr="00E55198">
          <w:rPr>
            <w:i w:val="0"/>
            <w:webHidden/>
          </w:rPr>
          <w:fldChar w:fldCharType="separate"/>
        </w:r>
        <w:r w:rsidR="00DC4437">
          <w:rPr>
            <w:i w:val="0"/>
            <w:webHidden/>
          </w:rPr>
          <w:t>7</w:t>
        </w:r>
        <w:r w:rsidR="00E55198" w:rsidRPr="00E55198">
          <w:rPr>
            <w:i w:val="0"/>
            <w:webHidden/>
          </w:rPr>
          <w:fldChar w:fldCharType="end"/>
        </w:r>
      </w:hyperlink>
    </w:p>
    <w:p w14:paraId="105871D7" w14:textId="45B5769E" w:rsidR="00E55198" w:rsidRPr="00E55198" w:rsidRDefault="00D05549" w:rsidP="00E55198">
      <w:pPr>
        <w:pStyle w:val="TDC3"/>
        <w:tabs>
          <w:tab w:val="left" w:pos="1100"/>
          <w:tab w:val="right" w:leader="dot" w:pos="9792"/>
        </w:tabs>
        <w:spacing w:line="240" w:lineRule="auto"/>
        <w:jc w:val="both"/>
        <w:rPr>
          <w:rFonts w:ascii="Verdana" w:eastAsiaTheme="minorEastAsia" w:hAnsi="Verdana"/>
          <w:i w:val="0"/>
          <w:iCs w:val="0"/>
          <w:noProof/>
          <w:sz w:val="22"/>
          <w:szCs w:val="22"/>
          <w:lang w:val="es-CR" w:eastAsia="es-CR"/>
        </w:rPr>
      </w:pPr>
      <w:hyperlink w:anchor="_Toc20755713" w:history="1">
        <w:r w:rsidR="00E55198" w:rsidRPr="00E55198">
          <w:rPr>
            <w:rStyle w:val="Hipervnculo"/>
            <w:rFonts w:ascii="Verdana" w:hAnsi="Verdana"/>
            <w:i w:val="0"/>
            <w:noProof/>
            <w:lang w:val="es-ES_tradnl"/>
          </w:rPr>
          <w:t>B.1.</w:t>
        </w:r>
        <w:r w:rsidR="00E55198" w:rsidRPr="00E55198">
          <w:rPr>
            <w:rFonts w:ascii="Verdana" w:eastAsiaTheme="minorEastAsia" w:hAnsi="Verdana"/>
            <w:i w:val="0"/>
            <w:iCs w:val="0"/>
            <w:noProof/>
            <w:sz w:val="22"/>
            <w:szCs w:val="22"/>
            <w:lang w:val="es-CR" w:eastAsia="es-CR"/>
          </w:rPr>
          <w:tab/>
        </w:r>
        <w:r w:rsidR="00E55198" w:rsidRPr="00E55198">
          <w:rPr>
            <w:rStyle w:val="Hipervnculo"/>
            <w:rFonts w:ascii="Verdana" w:hAnsi="Verdana"/>
            <w:i w:val="0"/>
            <w:noProof/>
            <w:lang w:val="es-ES_tradnl"/>
          </w:rPr>
          <w:t>Alegatos de las partes y de la Comisión</w:t>
        </w:r>
        <w:r w:rsidR="00E55198" w:rsidRPr="00E55198">
          <w:rPr>
            <w:rFonts w:ascii="Verdana" w:hAnsi="Verdana"/>
            <w:i w:val="0"/>
            <w:noProof/>
            <w:webHidden/>
          </w:rPr>
          <w:tab/>
        </w:r>
        <w:r w:rsidR="00E55198" w:rsidRPr="00E55198">
          <w:rPr>
            <w:rFonts w:ascii="Verdana" w:hAnsi="Verdana"/>
            <w:i w:val="0"/>
            <w:noProof/>
            <w:webHidden/>
          </w:rPr>
          <w:fldChar w:fldCharType="begin"/>
        </w:r>
        <w:r w:rsidR="00E55198" w:rsidRPr="00E55198">
          <w:rPr>
            <w:rFonts w:ascii="Verdana" w:hAnsi="Verdana"/>
            <w:i w:val="0"/>
            <w:noProof/>
            <w:webHidden/>
          </w:rPr>
          <w:instrText xml:space="preserve"> PAGEREF _Toc20755713 \h </w:instrText>
        </w:r>
        <w:r w:rsidR="00E55198" w:rsidRPr="00E55198">
          <w:rPr>
            <w:rFonts w:ascii="Verdana" w:hAnsi="Verdana"/>
            <w:i w:val="0"/>
            <w:noProof/>
            <w:webHidden/>
          </w:rPr>
        </w:r>
        <w:r w:rsidR="00E55198" w:rsidRPr="00E55198">
          <w:rPr>
            <w:rFonts w:ascii="Verdana" w:hAnsi="Verdana"/>
            <w:i w:val="0"/>
            <w:noProof/>
            <w:webHidden/>
          </w:rPr>
          <w:fldChar w:fldCharType="separate"/>
        </w:r>
        <w:r w:rsidR="00DC4437">
          <w:rPr>
            <w:rFonts w:ascii="Verdana" w:hAnsi="Verdana"/>
            <w:i w:val="0"/>
            <w:noProof/>
            <w:webHidden/>
          </w:rPr>
          <w:t>7</w:t>
        </w:r>
        <w:r w:rsidR="00E55198" w:rsidRPr="00E55198">
          <w:rPr>
            <w:rFonts w:ascii="Verdana" w:hAnsi="Verdana"/>
            <w:i w:val="0"/>
            <w:noProof/>
            <w:webHidden/>
          </w:rPr>
          <w:fldChar w:fldCharType="end"/>
        </w:r>
      </w:hyperlink>
    </w:p>
    <w:p w14:paraId="2C13FF54" w14:textId="5D9460E4" w:rsidR="00E55198" w:rsidRPr="00E55198" w:rsidRDefault="00D05549" w:rsidP="00E55198">
      <w:pPr>
        <w:pStyle w:val="TDC3"/>
        <w:tabs>
          <w:tab w:val="left" w:pos="1100"/>
          <w:tab w:val="right" w:leader="dot" w:pos="9792"/>
        </w:tabs>
        <w:spacing w:line="240" w:lineRule="auto"/>
        <w:jc w:val="both"/>
        <w:rPr>
          <w:rFonts w:ascii="Verdana" w:eastAsiaTheme="minorEastAsia" w:hAnsi="Verdana"/>
          <w:i w:val="0"/>
          <w:iCs w:val="0"/>
          <w:noProof/>
          <w:sz w:val="22"/>
          <w:szCs w:val="22"/>
          <w:lang w:val="es-CR" w:eastAsia="es-CR"/>
        </w:rPr>
      </w:pPr>
      <w:hyperlink w:anchor="_Toc20755714" w:history="1">
        <w:r w:rsidR="00E55198" w:rsidRPr="00E55198">
          <w:rPr>
            <w:rStyle w:val="Hipervnculo"/>
            <w:rFonts w:ascii="Verdana" w:hAnsi="Verdana"/>
            <w:i w:val="0"/>
            <w:noProof/>
            <w:lang w:val="es-ES_tradnl"/>
          </w:rPr>
          <w:t>B.2.</w:t>
        </w:r>
        <w:r w:rsidR="00E55198" w:rsidRPr="00E55198">
          <w:rPr>
            <w:rFonts w:ascii="Verdana" w:eastAsiaTheme="minorEastAsia" w:hAnsi="Verdana"/>
            <w:i w:val="0"/>
            <w:iCs w:val="0"/>
            <w:noProof/>
            <w:sz w:val="22"/>
            <w:szCs w:val="22"/>
            <w:lang w:val="es-CR" w:eastAsia="es-CR"/>
          </w:rPr>
          <w:tab/>
        </w:r>
        <w:r w:rsidR="00E55198" w:rsidRPr="00E55198">
          <w:rPr>
            <w:rStyle w:val="Hipervnculo"/>
            <w:rFonts w:ascii="Verdana" w:hAnsi="Verdana"/>
            <w:i w:val="0"/>
            <w:noProof/>
            <w:lang w:val="es-ES_tradnl"/>
          </w:rPr>
          <w:t>Consideraciones de la Corte</w:t>
        </w:r>
        <w:r w:rsidR="00E55198" w:rsidRPr="00E55198">
          <w:rPr>
            <w:rFonts w:ascii="Verdana" w:hAnsi="Verdana"/>
            <w:i w:val="0"/>
            <w:noProof/>
            <w:webHidden/>
          </w:rPr>
          <w:tab/>
        </w:r>
        <w:r w:rsidR="00E55198" w:rsidRPr="00E55198">
          <w:rPr>
            <w:rFonts w:ascii="Verdana" w:hAnsi="Verdana"/>
            <w:i w:val="0"/>
            <w:noProof/>
            <w:webHidden/>
          </w:rPr>
          <w:fldChar w:fldCharType="begin"/>
        </w:r>
        <w:r w:rsidR="00E55198" w:rsidRPr="00E55198">
          <w:rPr>
            <w:rFonts w:ascii="Verdana" w:hAnsi="Verdana"/>
            <w:i w:val="0"/>
            <w:noProof/>
            <w:webHidden/>
          </w:rPr>
          <w:instrText xml:space="preserve"> PAGEREF _Toc20755714 \h </w:instrText>
        </w:r>
        <w:r w:rsidR="00E55198" w:rsidRPr="00E55198">
          <w:rPr>
            <w:rFonts w:ascii="Verdana" w:hAnsi="Verdana"/>
            <w:i w:val="0"/>
            <w:noProof/>
            <w:webHidden/>
          </w:rPr>
        </w:r>
        <w:r w:rsidR="00E55198" w:rsidRPr="00E55198">
          <w:rPr>
            <w:rFonts w:ascii="Verdana" w:hAnsi="Verdana"/>
            <w:i w:val="0"/>
            <w:noProof/>
            <w:webHidden/>
          </w:rPr>
          <w:fldChar w:fldCharType="separate"/>
        </w:r>
        <w:r w:rsidR="00DC4437">
          <w:rPr>
            <w:rFonts w:ascii="Verdana" w:hAnsi="Verdana"/>
            <w:i w:val="0"/>
            <w:noProof/>
            <w:webHidden/>
          </w:rPr>
          <w:t>9</w:t>
        </w:r>
        <w:r w:rsidR="00E55198" w:rsidRPr="00E55198">
          <w:rPr>
            <w:rFonts w:ascii="Verdana" w:hAnsi="Verdana"/>
            <w:i w:val="0"/>
            <w:noProof/>
            <w:webHidden/>
          </w:rPr>
          <w:fldChar w:fldCharType="end"/>
        </w:r>
      </w:hyperlink>
    </w:p>
    <w:p w14:paraId="1636F22A" w14:textId="2055EE56" w:rsidR="00E55198" w:rsidRPr="00E55198" w:rsidRDefault="00D05549" w:rsidP="00E55198">
      <w:pPr>
        <w:pStyle w:val="TDC1"/>
        <w:tabs>
          <w:tab w:val="right" w:leader="dot" w:pos="9792"/>
        </w:tabs>
        <w:spacing w:before="0" w:after="0" w:line="240" w:lineRule="auto"/>
        <w:jc w:val="both"/>
        <w:rPr>
          <w:rFonts w:ascii="Verdana" w:eastAsiaTheme="minorEastAsia" w:hAnsi="Verdana"/>
          <w:b w:val="0"/>
          <w:bCs w:val="0"/>
          <w:caps w:val="0"/>
          <w:noProof/>
          <w:sz w:val="22"/>
          <w:szCs w:val="22"/>
          <w:lang w:val="es-CR" w:eastAsia="es-CR"/>
        </w:rPr>
      </w:pPr>
      <w:hyperlink w:anchor="_Toc20755715" w:history="1">
        <w:r w:rsidR="00E55198" w:rsidRPr="00E55198">
          <w:rPr>
            <w:rStyle w:val="Hipervnculo"/>
            <w:rFonts w:ascii="Verdana" w:eastAsia="Times New Roman" w:hAnsi="Verdana" w:cs="Verdana"/>
            <w:noProof/>
            <w:snapToGrid w:val="0"/>
            <w:lang w:val="es-ES_tradnl"/>
          </w:rPr>
          <w:t>V PRUEBA</w:t>
        </w:r>
        <w:r w:rsidR="00E55198" w:rsidRPr="00E55198">
          <w:rPr>
            <w:rFonts w:ascii="Verdana" w:hAnsi="Verdana"/>
            <w:noProof/>
            <w:webHidden/>
          </w:rPr>
          <w:tab/>
        </w:r>
        <w:r w:rsidR="00E55198" w:rsidRPr="00E55198">
          <w:rPr>
            <w:rFonts w:ascii="Verdana" w:hAnsi="Verdana"/>
            <w:noProof/>
            <w:webHidden/>
          </w:rPr>
          <w:fldChar w:fldCharType="begin"/>
        </w:r>
        <w:r w:rsidR="00E55198" w:rsidRPr="00E55198">
          <w:rPr>
            <w:rFonts w:ascii="Verdana" w:hAnsi="Verdana"/>
            <w:noProof/>
            <w:webHidden/>
          </w:rPr>
          <w:instrText xml:space="preserve"> PAGEREF _Toc20755715 \h </w:instrText>
        </w:r>
        <w:r w:rsidR="00E55198" w:rsidRPr="00E55198">
          <w:rPr>
            <w:rFonts w:ascii="Verdana" w:hAnsi="Verdana"/>
            <w:noProof/>
            <w:webHidden/>
          </w:rPr>
        </w:r>
        <w:r w:rsidR="00E55198" w:rsidRPr="00E55198">
          <w:rPr>
            <w:rFonts w:ascii="Verdana" w:hAnsi="Verdana"/>
            <w:noProof/>
            <w:webHidden/>
          </w:rPr>
          <w:fldChar w:fldCharType="separate"/>
        </w:r>
        <w:r w:rsidR="00DC4437">
          <w:rPr>
            <w:rFonts w:ascii="Verdana" w:hAnsi="Verdana"/>
            <w:noProof/>
            <w:webHidden/>
          </w:rPr>
          <w:t>11</w:t>
        </w:r>
        <w:r w:rsidR="00E55198" w:rsidRPr="00E55198">
          <w:rPr>
            <w:rFonts w:ascii="Verdana" w:hAnsi="Verdana"/>
            <w:noProof/>
            <w:webHidden/>
          </w:rPr>
          <w:fldChar w:fldCharType="end"/>
        </w:r>
      </w:hyperlink>
    </w:p>
    <w:p w14:paraId="54F4F505" w14:textId="1BA5151D" w:rsidR="00E55198" w:rsidRPr="00E55198" w:rsidRDefault="00D05549" w:rsidP="00E55198">
      <w:pPr>
        <w:pStyle w:val="TDC2"/>
        <w:rPr>
          <w:rFonts w:eastAsiaTheme="minorEastAsia"/>
          <w:i w:val="0"/>
          <w:sz w:val="22"/>
          <w:szCs w:val="22"/>
          <w:lang w:val="es-CR" w:eastAsia="es-CR"/>
        </w:rPr>
      </w:pPr>
      <w:hyperlink w:anchor="_Toc20755716" w:history="1">
        <w:r w:rsidR="00E55198" w:rsidRPr="00E55198">
          <w:rPr>
            <w:rStyle w:val="Hipervnculo"/>
            <w:i w:val="0"/>
          </w:rPr>
          <w:t>A.</w:t>
        </w:r>
        <w:r w:rsidR="00E55198" w:rsidRPr="00E55198">
          <w:rPr>
            <w:rFonts w:eastAsiaTheme="minorEastAsia"/>
            <w:i w:val="0"/>
            <w:sz w:val="22"/>
            <w:szCs w:val="22"/>
            <w:lang w:val="es-CR" w:eastAsia="es-CR"/>
          </w:rPr>
          <w:tab/>
        </w:r>
        <w:r w:rsidR="00E55198" w:rsidRPr="00E55198">
          <w:rPr>
            <w:rStyle w:val="Hipervnculo"/>
            <w:i w:val="0"/>
          </w:rPr>
          <w:t>Admisibilidad de la prueba documental</w:t>
        </w:r>
        <w:r w:rsidR="00E55198" w:rsidRPr="00E55198">
          <w:rPr>
            <w:i w:val="0"/>
            <w:webHidden/>
          </w:rPr>
          <w:tab/>
        </w:r>
        <w:r w:rsidR="00E55198" w:rsidRPr="00E55198">
          <w:rPr>
            <w:i w:val="0"/>
            <w:webHidden/>
          </w:rPr>
          <w:fldChar w:fldCharType="begin"/>
        </w:r>
        <w:r w:rsidR="00E55198" w:rsidRPr="00E55198">
          <w:rPr>
            <w:i w:val="0"/>
            <w:webHidden/>
          </w:rPr>
          <w:instrText xml:space="preserve"> PAGEREF _Toc20755716 \h </w:instrText>
        </w:r>
        <w:r w:rsidR="00E55198" w:rsidRPr="00E55198">
          <w:rPr>
            <w:i w:val="0"/>
            <w:webHidden/>
          </w:rPr>
        </w:r>
        <w:r w:rsidR="00E55198" w:rsidRPr="00E55198">
          <w:rPr>
            <w:i w:val="0"/>
            <w:webHidden/>
          </w:rPr>
          <w:fldChar w:fldCharType="separate"/>
        </w:r>
        <w:r w:rsidR="00DC4437">
          <w:rPr>
            <w:i w:val="0"/>
            <w:webHidden/>
          </w:rPr>
          <w:t>11</w:t>
        </w:r>
        <w:r w:rsidR="00E55198" w:rsidRPr="00E55198">
          <w:rPr>
            <w:i w:val="0"/>
            <w:webHidden/>
          </w:rPr>
          <w:fldChar w:fldCharType="end"/>
        </w:r>
      </w:hyperlink>
    </w:p>
    <w:p w14:paraId="5468B0C2" w14:textId="2727B208" w:rsidR="00E55198" w:rsidRPr="00E55198" w:rsidRDefault="00D05549" w:rsidP="00E55198">
      <w:pPr>
        <w:pStyle w:val="TDC2"/>
        <w:rPr>
          <w:rFonts w:eastAsiaTheme="minorEastAsia"/>
          <w:i w:val="0"/>
          <w:sz w:val="22"/>
          <w:szCs w:val="22"/>
          <w:lang w:val="es-CR" w:eastAsia="es-CR"/>
        </w:rPr>
      </w:pPr>
      <w:hyperlink w:anchor="_Toc20755717" w:history="1">
        <w:r w:rsidR="00E55198" w:rsidRPr="00E55198">
          <w:rPr>
            <w:rStyle w:val="Hipervnculo"/>
            <w:i w:val="0"/>
          </w:rPr>
          <w:t>B.</w:t>
        </w:r>
        <w:r w:rsidR="00E55198" w:rsidRPr="00E55198">
          <w:rPr>
            <w:rFonts w:eastAsiaTheme="minorEastAsia"/>
            <w:i w:val="0"/>
            <w:sz w:val="22"/>
            <w:szCs w:val="22"/>
            <w:lang w:val="es-CR" w:eastAsia="es-CR"/>
          </w:rPr>
          <w:tab/>
        </w:r>
        <w:r w:rsidR="00E55198" w:rsidRPr="00E55198">
          <w:rPr>
            <w:rStyle w:val="Hipervnculo"/>
            <w:i w:val="0"/>
          </w:rPr>
          <w:t>Admisibilidad de la prueba testimonial y pericial</w:t>
        </w:r>
        <w:r w:rsidR="00E55198" w:rsidRPr="00E55198">
          <w:rPr>
            <w:i w:val="0"/>
            <w:webHidden/>
          </w:rPr>
          <w:tab/>
        </w:r>
        <w:r w:rsidR="00E55198" w:rsidRPr="00E55198">
          <w:rPr>
            <w:i w:val="0"/>
            <w:webHidden/>
          </w:rPr>
          <w:fldChar w:fldCharType="begin"/>
        </w:r>
        <w:r w:rsidR="00E55198" w:rsidRPr="00E55198">
          <w:rPr>
            <w:i w:val="0"/>
            <w:webHidden/>
          </w:rPr>
          <w:instrText xml:space="preserve"> PAGEREF _Toc20755717 \h </w:instrText>
        </w:r>
        <w:r w:rsidR="00E55198" w:rsidRPr="00E55198">
          <w:rPr>
            <w:i w:val="0"/>
            <w:webHidden/>
          </w:rPr>
        </w:r>
        <w:r w:rsidR="00E55198" w:rsidRPr="00E55198">
          <w:rPr>
            <w:i w:val="0"/>
            <w:webHidden/>
          </w:rPr>
          <w:fldChar w:fldCharType="separate"/>
        </w:r>
        <w:r w:rsidR="00DC4437">
          <w:rPr>
            <w:i w:val="0"/>
            <w:webHidden/>
          </w:rPr>
          <w:t>12</w:t>
        </w:r>
        <w:r w:rsidR="00E55198" w:rsidRPr="00E55198">
          <w:rPr>
            <w:i w:val="0"/>
            <w:webHidden/>
          </w:rPr>
          <w:fldChar w:fldCharType="end"/>
        </w:r>
      </w:hyperlink>
    </w:p>
    <w:p w14:paraId="4F51EA8D" w14:textId="38E5B519" w:rsidR="00E55198" w:rsidRPr="00E55198" w:rsidRDefault="00D05549" w:rsidP="00E55198">
      <w:pPr>
        <w:pStyle w:val="TDC1"/>
        <w:tabs>
          <w:tab w:val="right" w:leader="dot" w:pos="9792"/>
        </w:tabs>
        <w:spacing w:before="0" w:after="0" w:line="240" w:lineRule="auto"/>
        <w:jc w:val="both"/>
        <w:rPr>
          <w:rFonts w:ascii="Verdana" w:eastAsiaTheme="minorEastAsia" w:hAnsi="Verdana"/>
          <w:b w:val="0"/>
          <w:bCs w:val="0"/>
          <w:caps w:val="0"/>
          <w:noProof/>
          <w:sz w:val="22"/>
          <w:szCs w:val="22"/>
          <w:lang w:val="es-CR" w:eastAsia="es-CR"/>
        </w:rPr>
      </w:pPr>
      <w:hyperlink w:anchor="_Toc20755718" w:history="1">
        <w:r w:rsidR="00E55198" w:rsidRPr="00E55198">
          <w:rPr>
            <w:rStyle w:val="Hipervnculo"/>
            <w:rFonts w:ascii="Verdana" w:eastAsia="Times New Roman" w:hAnsi="Verdana" w:cs="Verdana"/>
            <w:noProof/>
            <w:snapToGrid w:val="0"/>
            <w:lang w:val="es-ES_tradnl"/>
          </w:rPr>
          <w:t>Vi hechos</w:t>
        </w:r>
        <w:r w:rsidR="00E55198" w:rsidRPr="00E55198">
          <w:rPr>
            <w:rFonts w:ascii="Verdana" w:hAnsi="Verdana"/>
            <w:noProof/>
            <w:webHidden/>
          </w:rPr>
          <w:tab/>
        </w:r>
        <w:r w:rsidR="00E55198" w:rsidRPr="00E55198">
          <w:rPr>
            <w:rFonts w:ascii="Verdana" w:hAnsi="Verdana"/>
            <w:noProof/>
            <w:webHidden/>
          </w:rPr>
          <w:fldChar w:fldCharType="begin"/>
        </w:r>
        <w:r w:rsidR="00E55198" w:rsidRPr="00E55198">
          <w:rPr>
            <w:rFonts w:ascii="Verdana" w:hAnsi="Verdana"/>
            <w:noProof/>
            <w:webHidden/>
          </w:rPr>
          <w:instrText xml:space="preserve"> PAGEREF _Toc20755718 \h </w:instrText>
        </w:r>
        <w:r w:rsidR="00E55198" w:rsidRPr="00E55198">
          <w:rPr>
            <w:rFonts w:ascii="Verdana" w:hAnsi="Verdana"/>
            <w:noProof/>
            <w:webHidden/>
          </w:rPr>
        </w:r>
        <w:r w:rsidR="00E55198" w:rsidRPr="00E55198">
          <w:rPr>
            <w:rFonts w:ascii="Verdana" w:hAnsi="Verdana"/>
            <w:noProof/>
            <w:webHidden/>
          </w:rPr>
          <w:fldChar w:fldCharType="separate"/>
        </w:r>
        <w:r w:rsidR="00DC4437">
          <w:rPr>
            <w:rFonts w:ascii="Verdana" w:hAnsi="Verdana"/>
            <w:noProof/>
            <w:webHidden/>
          </w:rPr>
          <w:t>12</w:t>
        </w:r>
        <w:r w:rsidR="00E55198" w:rsidRPr="00E55198">
          <w:rPr>
            <w:rFonts w:ascii="Verdana" w:hAnsi="Verdana"/>
            <w:noProof/>
            <w:webHidden/>
          </w:rPr>
          <w:fldChar w:fldCharType="end"/>
        </w:r>
      </w:hyperlink>
    </w:p>
    <w:p w14:paraId="14A00887" w14:textId="5F6151E7" w:rsidR="00E55198" w:rsidRPr="00E55198" w:rsidRDefault="00D05549" w:rsidP="00E55198">
      <w:pPr>
        <w:pStyle w:val="TDC2"/>
        <w:rPr>
          <w:rFonts w:eastAsiaTheme="minorEastAsia"/>
          <w:i w:val="0"/>
          <w:sz w:val="22"/>
          <w:szCs w:val="22"/>
          <w:lang w:val="es-CR" w:eastAsia="es-CR"/>
        </w:rPr>
      </w:pPr>
      <w:hyperlink w:anchor="_Toc20755719" w:history="1">
        <w:r w:rsidR="00E55198" w:rsidRPr="00E55198">
          <w:rPr>
            <w:rStyle w:val="Hipervnculo"/>
            <w:i w:val="0"/>
          </w:rPr>
          <w:t>A.</w:t>
        </w:r>
        <w:r w:rsidR="00E55198" w:rsidRPr="00E55198">
          <w:rPr>
            <w:rFonts w:eastAsiaTheme="minorEastAsia"/>
            <w:i w:val="0"/>
            <w:sz w:val="22"/>
            <w:szCs w:val="22"/>
            <w:lang w:val="es-CR" w:eastAsia="es-CR"/>
          </w:rPr>
          <w:tab/>
        </w:r>
        <w:r w:rsidR="00E55198" w:rsidRPr="00E55198">
          <w:rPr>
            <w:rStyle w:val="Hipervnculo"/>
            <w:i w:val="0"/>
          </w:rPr>
          <w:t>Sobre Elba Clotilde Perrone y Juan José Preckel</w:t>
        </w:r>
        <w:r w:rsidR="00E55198" w:rsidRPr="00E55198">
          <w:rPr>
            <w:i w:val="0"/>
            <w:webHidden/>
          </w:rPr>
          <w:tab/>
        </w:r>
        <w:r w:rsidR="00E55198" w:rsidRPr="00E55198">
          <w:rPr>
            <w:i w:val="0"/>
            <w:webHidden/>
          </w:rPr>
          <w:fldChar w:fldCharType="begin"/>
        </w:r>
        <w:r w:rsidR="00E55198" w:rsidRPr="00E55198">
          <w:rPr>
            <w:i w:val="0"/>
            <w:webHidden/>
          </w:rPr>
          <w:instrText xml:space="preserve"> PAGEREF _Toc20755719 \h </w:instrText>
        </w:r>
        <w:r w:rsidR="00E55198" w:rsidRPr="00E55198">
          <w:rPr>
            <w:i w:val="0"/>
            <w:webHidden/>
          </w:rPr>
        </w:r>
        <w:r w:rsidR="00E55198" w:rsidRPr="00E55198">
          <w:rPr>
            <w:i w:val="0"/>
            <w:webHidden/>
          </w:rPr>
          <w:fldChar w:fldCharType="separate"/>
        </w:r>
        <w:r w:rsidR="00DC4437">
          <w:rPr>
            <w:i w:val="0"/>
            <w:webHidden/>
          </w:rPr>
          <w:t>12</w:t>
        </w:r>
        <w:r w:rsidR="00E55198" w:rsidRPr="00E55198">
          <w:rPr>
            <w:i w:val="0"/>
            <w:webHidden/>
          </w:rPr>
          <w:fldChar w:fldCharType="end"/>
        </w:r>
      </w:hyperlink>
    </w:p>
    <w:p w14:paraId="5A73ECB2" w14:textId="338FF23F" w:rsidR="00E55198" w:rsidRPr="00E55198" w:rsidRDefault="00D05549" w:rsidP="00E55198">
      <w:pPr>
        <w:pStyle w:val="TDC2"/>
        <w:rPr>
          <w:rFonts w:eastAsiaTheme="minorEastAsia"/>
          <w:i w:val="0"/>
          <w:sz w:val="22"/>
          <w:szCs w:val="22"/>
          <w:lang w:val="es-CR" w:eastAsia="es-CR"/>
        </w:rPr>
      </w:pPr>
      <w:hyperlink w:anchor="_Toc20755720" w:history="1">
        <w:r w:rsidR="00E55198" w:rsidRPr="00E55198">
          <w:rPr>
            <w:rStyle w:val="Hipervnculo"/>
            <w:i w:val="0"/>
          </w:rPr>
          <w:t>B.</w:t>
        </w:r>
        <w:r w:rsidR="00E55198" w:rsidRPr="00E55198">
          <w:rPr>
            <w:rFonts w:eastAsiaTheme="minorEastAsia"/>
            <w:i w:val="0"/>
            <w:sz w:val="22"/>
            <w:szCs w:val="22"/>
            <w:lang w:val="es-CR" w:eastAsia="es-CR"/>
          </w:rPr>
          <w:tab/>
        </w:r>
        <w:r w:rsidR="00E55198" w:rsidRPr="00E55198">
          <w:rPr>
            <w:rStyle w:val="Hipervnculo"/>
            <w:i w:val="0"/>
          </w:rPr>
          <w:t>Antecedentes contextuales: sobre las detenciones de Elba Clotilde Perrone y Juan José Preckel en 1976</w:t>
        </w:r>
        <w:r w:rsidR="00E55198" w:rsidRPr="00E55198">
          <w:rPr>
            <w:i w:val="0"/>
            <w:webHidden/>
          </w:rPr>
          <w:tab/>
        </w:r>
        <w:r w:rsidR="00E55198" w:rsidRPr="00E55198">
          <w:rPr>
            <w:i w:val="0"/>
            <w:webHidden/>
          </w:rPr>
          <w:fldChar w:fldCharType="begin"/>
        </w:r>
        <w:r w:rsidR="00E55198" w:rsidRPr="00E55198">
          <w:rPr>
            <w:i w:val="0"/>
            <w:webHidden/>
          </w:rPr>
          <w:instrText xml:space="preserve"> PAGEREF _Toc20755720 \h </w:instrText>
        </w:r>
        <w:r w:rsidR="00E55198" w:rsidRPr="00E55198">
          <w:rPr>
            <w:i w:val="0"/>
            <w:webHidden/>
          </w:rPr>
        </w:r>
        <w:r w:rsidR="00E55198" w:rsidRPr="00E55198">
          <w:rPr>
            <w:i w:val="0"/>
            <w:webHidden/>
          </w:rPr>
          <w:fldChar w:fldCharType="separate"/>
        </w:r>
        <w:r w:rsidR="00DC4437">
          <w:rPr>
            <w:i w:val="0"/>
            <w:webHidden/>
          </w:rPr>
          <w:t>13</w:t>
        </w:r>
        <w:r w:rsidR="00E55198" w:rsidRPr="00E55198">
          <w:rPr>
            <w:i w:val="0"/>
            <w:webHidden/>
          </w:rPr>
          <w:fldChar w:fldCharType="end"/>
        </w:r>
      </w:hyperlink>
    </w:p>
    <w:p w14:paraId="2C4C57B6" w14:textId="344D20DF" w:rsidR="00E55198" w:rsidRPr="00E55198" w:rsidRDefault="00D05549" w:rsidP="00E55198">
      <w:pPr>
        <w:pStyle w:val="TDC2"/>
        <w:rPr>
          <w:rFonts w:eastAsiaTheme="minorEastAsia"/>
          <w:i w:val="0"/>
          <w:sz w:val="22"/>
          <w:szCs w:val="22"/>
          <w:lang w:val="es-CR" w:eastAsia="es-CR"/>
        </w:rPr>
      </w:pPr>
      <w:hyperlink w:anchor="_Toc20755721" w:history="1">
        <w:r w:rsidR="00E55198" w:rsidRPr="00E55198">
          <w:rPr>
            <w:rStyle w:val="Hipervnculo"/>
            <w:i w:val="0"/>
          </w:rPr>
          <w:t>C.</w:t>
        </w:r>
        <w:r w:rsidR="00E55198" w:rsidRPr="00E55198">
          <w:rPr>
            <w:rFonts w:eastAsiaTheme="minorEastAsia"/>
            <w:i w:val="0"/>
            <w:sz w:val="22"/>
            <w:szCs w:val="22"/>
            <w:lang w:val="es-CR" w:eastAsia="es-CR"/>
          </w:rPr>
          <w:tab/>
        </w:r>
        <w:r w:rsidR="00E55198" w:rsidRPr="00E55198">
          <w:rPr>
            <w:rStyle w:val="Hipervnculo"/>
            <w:i w:val="0"/>
          </w:rPr>
          <w:t>Relación laboral entre el Estado y las presuntas víctimas</w:t>
        </w:r>
        <w:r w:rsidR="00E55198" w:rsidRPr="00E55198">
          <w:rPr>
            <w:i w:val="0"/>
            <w:webHidden/>
          </w:rPr>
          <w:tab/>
        </w:r>
        <w:r w:rsidR="00E55198" w:rsidRPr="00E55198">
          <w:rPr>
            <w:i w:val="0"/>
            <w:webHidden/>
          </w:rPr>
          <w:fldChar w:fldCharType="begin"/>
        </w:r>
        <w:r w:rsidR="00E55198" w:rsidRPr="00E55198">
          <w:rPr>
            <w:i w:val="0"/>
            <w:webHidden/>
          </w:rPr>
          <w:instrText xml:space="preserve"> PAGEREF _Toc20755721 \h </w:instrText>
        </w:r>
        <w:r w:rsidR="00E55198" w:rsidRPr="00E55198">
          <w:rPr>
            <w:i w:val="0"/>
            <w:webHidden/>
          </w:rPr>
        </w:r>
        <w:r w:rsidR="00E55198" w:rsidRPr="00E55198">
          <w:rPr>
            <w:i w:val="0"/>
            <w:webHidden/>
          </w:rPr>
          <w:fldChar w:fldCharType="separate"/>
        </w:r>
        <w:r w:rsidR="00DC4437">
          <w:rPr>
            <w:i w:val="0"/>
            <w:webHidden/>
          </w:rPr>
          <w:t>14</w:t>
        </w:r>
        <w:r w:rsidR="00E55198" w:rsidRPr="00E55198">
          <w:rPr>
            <w:i w:val="0"/>
            <w:webHidden/>
          </w:rPr>
          <w:fldChar w:fldCharType="end"/>
        </w:r>
      </w:hyperlink>
    </w:p>
    <w:p w14:paraId="07CD9BF1" w14:textId="0DF2D784" w:rsidR="00E55198" w:rsidRPr="00E55198" w:rsidRDefault="00D05549" w:rsidP="00E55198">
      <w:pPr>
        <w:pStyle w:val="TDC2"/>
        <w:rPr>
          <w:rFonts w:eastAsiaTheme="minorEastAsia"/>
          <w:i w:val="0"/>
          <w:sz w:val="22"/>
          <w:szCs w:val="22"/>
          <w:lang w:val="es-CR" w:eastAsia="es-CR"/>
        </w:rPr>
      </w:pPr>
      <w:hyperlink w:anchor="_Toc20755722" w:history="1">
        <w:r w:rsidR="00E55198" w:rsidRPr="00E55198">
          <w:rPr>
            <w:rStyle w:val="Hipervnculo"/>
            <w:i w:val="0"/>
          </w:rPr>
          <w:t>D.</w:t>
        </w:r>
        <w:r w:rsidR="00E55198" w:rsidRPr="00E55198">
          <w:rPr>
            <w:rFonts w:eastAsiaTheme="minorEastAsia"/>
            <w:i w:val="0"/>
            <w:sz w:val="22"/>
            <w:szCs w:val="22"/>
            <w:lang w:val="es-CR" w:eastAsia="es-CR"/>
          </w:rPr>
          <w:tab/>
        </w:r>
        <w:r w:rsidR="00E55198" w:rsidRPr="00E55198">
          <w:rPr>
            <w:rStyle w:val="Hipervnculo"/>
            <w:i w:val="0"/>
          </w:rPr>
          <w:t>Procedimientos administrativos</w:t>
        </w:r>
        <w:r w:rsidR="00E55198" w:rsidRPr="00E55198">
          <w:rPr>
            <w:i w:val="0"/>
            <w:webHidden/>
          </w:rPr>
          <w:tab/>
        </w:r>
        <w:r w:rsidR="00E55198" w:rsidRPr="00E55198">
          <w:rPr>
            <w:i w:val="0"/>
            <w:webHidden/>
          </w:rPr>
          <w:fldChar w:fldCharType="begin"/>
        </w:r>
        <w:r w:rsidR="00E55198" w:rsidRPr="00E55198">
          <w:rPr>
            <w:i w:val="0"/>
            <w:webHidden/>
          </w:rPr>
          <w:instrText xml:space="preserve"> PAGEREF _Toc20755722 \h </w:instrText>
        </w:r>
        <w:r w:rsidR="00E55198" w:rsidRPr="00E55198">
          <w:rPr>
            <w:i w:val="0"/>
            <w:webHidden/>
          </w:rPr>
        </w:r>
        <w:r w:rsidR="00E55198" w:rsidRPr="00E55198">
          <w:rPr>
            <w:i w:val="0"/>
            <w:webHidden/>
          </w:rPr>
          <w:fldChar w:fldCharType="separate"/>
        </w:r>
        <w:r w:rsidR="00DC4437">
          <w:rPr>
            <w:i w:val="0"/>
            <w:webHidden/>
          </w:rPr>
          <w:t>15</w:t>
        </w:r>
        <w:r w:rsidR="00E55198" w:rsidRPr="00E55198">
          <w:rPr>
            <w:i w:val="0"/>
            <w:webHidden/>
          </w:rPr>
          <w:fldChar w:fldCharType="end"/>
        </w:r>
      </w:hyperlink>
    </w:p>
    <w:p w14:paraId="75E41037" w14:textId="3842A7E3" w:rsidR="00E55198" w:rsidRPr="00E55198" w:rsidRDefault="00D05549" w:rsidP="00E55198">
      <w:pPr>
        <w:pStyle w:val="TDC3"/>
        <w:tabs>
          <w:tab w:val="left" w:pos="1100"/>
          <w:tab w:val="right" w:leader="dot" w:pos="9792"/>
        </w:tabs>
        <w:spacing w:line="240" w:lineRule="auto"/>
        <w:jc w:val="both"/>
        <w:rPr>
          <w:rFonts w:ascii="Verdana" w:eastAsiaTheme="minorEastAsia" w:hAnsi="Verdana"/>
          <w:i w:val="0"/>
          <w:iCs w:val="0"/>
          <w:noProof/>
          <w:sz w:val="22"/>
          <w:szCs w:val="22"/>
          <w:lang w:val="es-CR" w:eastAsia="es-CR"/>
        </w:rPr>
      </w:pPr>
      <w:hyperlink w:anchor="_Toc20755723" w:history="1">
        <w:r w:rsidR="00E55198" w:rsidRPr="00E55198">
          <w:rPr>
            <w:rStyle w:val="Hipervnculo"/>
            <w:rFonts w:ascii="Verdana" w:hAnsi="Verdana"/>
            <w:i w:val="0"/>
            <w:noProof/>
            <w:lang w:val="es-ES_tradnl"/>
          </w:rPr>
          <w:t>D.1.</w:t>
        </w:r>
        <w:r w:rsidR="00E55198" w:rsidRPr="00E55198">
          <w:rPr>
            <w:rFonts w:ascii="Verdana" w:eastAsiaTheme="minorEastAsia" w:hAnsi="Verdana"/>
            <w:i w:val="0"/>
            <w:iCs w:val="0"/>
            <w:noProof/>
            <w:sz w:val="22"/>
            <w:szCs w:val="22"/>
            <w:lang w:val="es-CR" w:eastAsia="es-CR"/>
          </w:rPr>
          <w:tab/>
        </w:r>
        <w:r w:rsidR="00E55198" w:rsidRPr="00E55198">
          <w:rPr>
            <w:rStyle w:val="Hipervnculo"/>
            <w:rFonts w:ascii="Verdana" w:hAnsi="Verdana"/>
            <w:i w:val="0"/>
            <w:noProof/>
            <w:lang w:val="es-ES_tradnl"/>
          </w:rPr>
          <w:t>Procedimientos administrativos de Elba Clotilde Perrone</w:t>
        </w:r>
        <w:r w:rsidR="00E55198" w:rsidRPr="00E55198">
          <w:rPr>
            <w:rFonts w:ascii="Verdana" w:hAnsi="Verdana"/>
            <w:i w:val="0"/>
            <w:noProof/>
            <w:webHidden/>
          </w:rPr>
          <w:tab/>
        </w:r>
        <w:r w:rsidR="00E55198" w:rsidRPr="00E55198">
          <w:rPr>
            <w:rFonts w:ascii="Verdana" w:hAnsi="Verdana"/>
            <w:i w:val="0"/>
            <w:noProof/>
            <w:webHidden/>
          </w:rPr>
          <w:fldChar w:fldCharType="begin"/>
        </w:r>
        <w:r w:rsidR="00E55198" w:rsidRPr="00E55198">
          <w:rPr>
            <w:rFonts w:ascii="Verdana" w:hAnsi="Verdana"/>
            <w:i w:val="0"/>
            <w:noProof/>
            <w:webHidden/>
          </w:rPr>
          <w:instrText xml:space="preserve"> PAGEREF _Toc20755723 \h </w:instrText>
        </w:r>
        <w:r w:rsidR="00E55198" w:rsidRPr="00E55198">
          <w:rPr>
            <w:rFonts w:ascii="Verdana" w:hAnsi="Verdana"/>
            <w:i w:val="0"/>
            <w:noProof/>
            <w:webHidden/>
          </w:rPr>
        </w:r>
        <w:r w:rsidR="00E55198" w:rsidRPr="00E55198">
          <w:rPr>
            <w:rFonts w:ascii="Verdana" w:hAnsi="Verdana"/>
            <w:i w:val="0"/>
            <w:noProof/>
            <w:webHidden/>
          </w:rPr>
          <w:fldChar w:fldCharType="separate"/>
        </w:r>
        <w:r w:rsidR="00DC4437">
          <w:rPr>
            <w:rFonts w:ascii="Verdana" w:hAnsi="Verdana"/>
            <w:i w:val="0"/>
            <w:noProof/>
            <w:webHidden/>
          </w:rPr>
          <w:t>15</w:t>
        </w:r>
        <w:r w:rsidR="00E55198" w:rsidRPr="00E55198">
          <w:rPr>
            <w:rFonts w:ascii="Verdana" w:hAnsi="Verdana"/>
            <w:i w:val="0"/>
            <w:noProof/>
            <w:webHidden/>
          </w:rPr>
          <w:fldChar w:fldCharType="end"/>
        </w:r>
      </w:hyperlink>
    </w:p>
    <w:p w14:paraId="494EF981" w14:textId="702F8D7F" w:rsidR="00E55198" w:rsidRPr="00E55198" w:rsidRDefault="00D05549" w:rsidP="00E55198">
      <w:pPr>
        <w:pStyle w:val="TDC3"/>
        <w:tabs>
          <w:tab w:val="left" w:pos="1100"/>
          <w:tab w:val="right" w:leader="dot" w:pos="9792"/>
        </w:tabs>
        <w:spacing w:line="240" w:lineRule="auto"/>
        <w:jc w:val="both"/>
        <w:rPr>
          <w:rFonts w:ascii="Verdana" w:eastAsiaTheme="minorEastAsia" w:hAnsi="Verdana"/>
          <w:i w:val="0"/>
          <w:iCs w:val="0"/>
          <w:noProof/>
          <w:sz w:val="22"/>
          <w:szCs w:val="22"/>
          <w:lang w:val="es-CR" w:eastAsia="es-CR"/>
        </w:rPr>
      </w:pPr>
      <w:hyperlink w:anchor="_Toc20755724" w:history="1">
        <w:r w:rsidR="00E55198" w:rsidRPr="00E55198">
          <w:rPr>
            <w:rStyle w:val="Hipervnculo"/>
            <w:rFonts w:ascii="Verdana" w:hAnsi="Verdana"/>
            <w:i w:val="0"/>
            <w:noProof/>
            <w:lang w:val="es-ES_tradnl"/>
          </w:rPr>
          <w:t>D.2.</w:t>
        </w:r>
        <w:r w:rsidR="00E55198" w:rsidRPr="00E55198">
          <w:rPr>
            <w:rFonts w:ascii="Verdana" w:eastAsiaTheme="minorEastAsia" w:hAnsi="Verdana"/>
            <w:i w:val="0"/>
            <w:iCs w:val="0"/>
            <w:noProof/>
            <w:sz w:val="22"/>
            <w:szCs w:val="22"/>
            <w:lang w:val="es-CR" w:eastAsia="es-CR"/>
          </w:rPr>
          <w:tab/>
        </w:r>
        <w:r w:rsidR="00E55198" w:rsidRPr="00E55198">
          <w:rPr>
            <w:rStyle w:val="Hipervnculo"/>
            <w:rFonts w:ascii="Verdana" w:hAnsi="Verdana"/>
            <w:i w:val="0"/>
            <w:noProof/>
            <w:lang w:val="es-ES_tradnl"/>
          </w:rPr>
          <w:t>Procedimientos administrativos de Juan José Preckel</w:t>
        </w:r>
        <w:r w:rsidR="00E55198" w:rsidRPr="00E55198">
          <w:rPr>
            <w:rFonts w:ascii="Verdana" w:hAnsi="Verdana"/>
            <w:i w:val="0"/>
            <w:noProof/>
            <w:webHidden/>
          </w:rPr>
          <w:tab/>
        </w:r>
        <w:r w:rsidR="00E55198" w:rsidRPr="00E55198">
          <w:rPr>
            <w:rFonts w:ascii="Verdana" w:hAnsi="Verdana"/>
            <w:i w:val="0"/>
            <w:noProof/>
            <w:webHidden/>
          </w:rPr>
          <w:fldChar w:fldCharType="begin"/>
        </w:r>
        <w:r w:rsidR="00E55198" w:rsidRPr="00E55198">
          <w:rPr>
            <w:rFonts w:ascii="Verdana" w:hAnsi="Verdana"/>
            <w:i w:val="0"/>
            <w:noProof/>
            <w:webHidden/>
          </w:rPr>
          <w:instrText xml:space="preserve"> PAGEREF _Toc20755724 \h </w:instrText>
        </w:r>
        <w:r w:rsidR="00E55198" w:rsidRPr="00E55198">
          <w:rPr>
            <w:rFonts w:ascii="Verdana" w:hAnsi="Verdana"/>
            <w:i w:val="0"/>
            <w:noProof/>
            <w:webHidden/>
          </w:rPr>
        </w:r>
        <w:r w:rsidR="00E55198" w:rsidRPr="00E55198">
          <w:rPr>
            <w:rFonts w:ascii="Verdana" w:hAnsi="Verdana"/>
            <w:i w:val="0"/>
            <w:noProof/>
            <w:webHidden/>
          </w:rPr>
          <w:fldChar w:fldCharType="separate"/>
        </w:r>
        <w:r w:rsidR="00DC4437">
          <w:rPr>
            <w:rFonts w:ascii="Verdana" w:hAnsi="Verdana"/>
            <w:i w:val="0"/>
            <w:noProof/>
            <w:webHidden/>
          </w:rPr>
          <w:t>17</w:t>
        </w:r>
        <w:r w:rsidR="00E55198" w:rsidRPr="00E55198">
          <w:rPr>
            <w:rFonts w:ascii="Verdana" w:hAnsi="Verdana"/>
            <w:i w:val="0"/>
            <w:noProof/>
            <w:webHidden/>
          </w:rPr>
          <w:fldChar w:fldCharType="end"/>
        </w:r>
      </w:hyperlink>
    </w:p>
    <w:p w14:paraId="75C69683" w14:textId="6B543FC3" w:rsidR="00E55198" w:rsidRPr="00E55198" w:rsidRDefault="00D05549" w:rsidP="00E55198">
      <w:pPr>
        <w:pStyle w:val="TDC2"/>
        <w:rPr>
          <w:rFonts w:eastAsiaTheme="minorEastAsia"/>
          <w:i w:val="0"/>
          <w:sz w:val="22"/>
          <w:szCs w:val="22"/>
          <w:lang w:val="es-CR" w:eastAsia="es-CR"/>
        </w:rPr>
      </w:pPr>
      <w:hyperlink w:anchor="_Toc20755725" w:history="1">
        <w:r w:rsidR="00E55198" w:rsidRPr="00E55198">
          <w:rPr>
            <w:rStyle w:val="Hipervnculo"/>
            <w:i w:val="0"/>
          </w:rPr>
          <w:t>E.</w:t>
        </w:r>
        <w:r w:rsidR="00E55198" w:rsidRPr="00E55198">
          <w:rPr>
            <w:rFonts w:eastAsiaTheme="minorEastAsia"/>
            <w:i w:val="0"/>
            <w:sz w:val="22"/>
            <w:szCs w:val="22"/>
            <w:lang w:val="es-CR" w:eastAsia="es-CR"/>
          </w:rPr>
          <w:tab/>
        </w:r>
        <w:r w:rsidR="00E55198" w:rsidRPr="00E55198">
          <w:rPr>
            <w:rStyle w:val="Hipervnculo"/>
            <w:i w:val="0"/>
          </w:rPr>
          <w:t>Procedimientos judiciales</w:t>
        </w:r>
        <w:r w:rsidR="00E55198" w:rsidRPr="00E55198">
          <w:rPr>
            <w:i w:val="0"/>
            <w:webHidden/>
          </w:rPr>
          <w:tab/>
        </w:r>
        <w:r w:rsidR="00E55198" w:rsidRPr="00E55198">
          <w:rPr>
            <w:i w:val="0"/>
            <w:webHidden/>
          </w:rPr>
          <w:fldChar w:fldCharType="begin"/>
        </w:r>
        <w:r w:rsidR="00E55198" w:rsidRPr="00E55198">
          <w:rPr>
            <w:i w:val="0"/>
            <w:webHidden/>
          </w:rPr>
          <w:instrText xml:space="preserve"> PAGEREF _Toc20755725 \h </w:instrText>
        </w:r>
        <w:r w:rsidR="00E55198" w:rsidRPr="00E55198">
          <w:rPr>
            <w:i w:val="0"/>
            <w:webHidden/>
          </w:rPr>
        </w:r>
        <w:r w:rsidR="00E55198" w:rsidRPr="00E55198">
          <w:rPr>
            <w:i w:val="0"/>
            <w:webHidden/>
          </w:rPr>
          <w:fldChar w:fldCharType="separate"/>
        </w:r>
        <w:r w:rsidR="00DC4437">
          <w:rPr>
            <w:i w:val="0"/>
            <w:webHidden/>
          </w:rPr>
          <w:t>17</w:t>
        </w:r>
        <w:r w:rsidR="00E55198" w:rsidRPr="00E55198">
          <w:rPr>
            <w:i w:val="0"/>
            <w:webHidden/>
          </w:rPr>
          <w:fldChar w:fldCharType="end"/>
        </w:r>
      </w:hyperlink>
    </w:p>
    <w:p w14:paraId="5E8918D3" w14:textId="551692C3" w:rsidR="00E55198" w:rsidRPr="00E55198" w:rsidRDefault="00D05549" w:rsidP="00E55198">
      <w:pPr>
        <w:pStyle w:val="TDC3"/>
        <w:tabs>
          <w:tab w:val="left" w:pos="1100"/>
          <w:tab w:val="right" w:leader="dot" w:pos="9792"/>
        </w:tabs>
        <w:spacing w:line="240" w:lineRule="auto"/>
        <w:jc w:val="both"/>
        <w:rPr>
          <w:rFonts w:ascii="Verdana" w:eastAsiaTheme="minorEastAsia" w:hAnsi="Verdana"/>
          <w:i w:val="0"/>
          <w:iCs w:val="0"/>
          <w:noProof/>
          <w:sz w:val="22"/>
          <w:szCs w:val="22"/>
          <w:lang w:val="es-CR" w:eastAsia="es-CR"/>
        </w:rPr>
      </w:pPr>
      <w:hyperlink w:anchor="_Toc20755726" w:history="1">
        <w:r w:rsidR="00E55198" w:rsidRPr="00E55198">
          <w:rPr>
            <w:rStyle w:val="Hipervnculo"/>
            <w:rFonts w:ascii="Verdana" w:hAnsi="Verdana"/>
            <w:i w:val="0"/>
            <w:noProof/>
            <w:lang w:val="es-ES_tradnl"/>
          </w:rPr>
          <w:t>E.1.</w:t>
        </w:r>
        <w:r w:rsidR="00E55198" w:rsidRPr="00E55198">
          <w:rPr>
            <w:rFonts w:ascii="Verdana" w:eastAsiaTheme="minorEastAsia" w:hAnsi="Verdana"/>
            <w:i w:val="0"/>
            <w:iCs w:val="0"/>
            <w:noProof/>
            <w:sz w:val="22"/>
            <w:szCs w:val="22"/>
            <w:lang w:val="es-CR" w:eastAsia="es-CR"/>
          </w:rPr>
          <w:tab/>
        </w:r>
        <w:r w:rsidR="00E55198" w:rsidRPr="00E55198">
          <w:rPr>
            <w:rStyle w:val="Hipervnculo"/>
            <w:rFonts w:ascii="Verdana" w:hAnsi="Verdana"/>
            <w:i w:val="0"/>
            <w:noProof/>
            <w:lang w:val="es-ES_tradnl"/>
          </w:rPr>
          <w:t>Recursos en la causa seguida por Juan José Preckel</w:t>
        </w:r>
        <w:r w:rsidR="00E55198" w:rsidRPr="00E55198">
          <w:rPr>
            <w:rFonts w:ascii="Verdana" w:hAnsi="Verdana"/>
            <w:i w:val="0"/>
            <w:noProof/>
            <w:webHidden/>
          </w:rPr>
          <w:tab/>
        </w:r>
        <w:r w:rsidR="00E55198" w:rsidRPr="00E55198">
          <w:rPr>
            <w:rFonts w:ascii="Verdana" w:hAnsi="Verdana"/>
            <w:i w:val="0"/>
            <w:noProof/>
            <w:webHidden/>
          </w:rPr>
          <w:fldChar w:fldCharType="begin"/>
        </w:r>
        <w:r w:rsidR="00E55198" w:rsidRPr="00E55198">
          <w:rPr>
            <w:rFonts w:ascii="Verdana" w:hAnsi="Verdana"/>
            <w:i w:val="0"/>
            <w:noProof/>
            <w:webHidden/>
          </w:rPr>
          <w:instrText xml:space="preserve"> PAGEREF _Toc20755726 \h </w:instrText>
        </w:r>
        <w:r w:rsidR="00E55198" w:rsidRPr="00E55198">
          <w:rPr>
            <w:rFonts w:ascii="Verdana" w:hAnsi="Verdana"/>
            <w:i w:val="0"/>
            <w:noProof/>
            <w:webHidden/>
          </w:rPr>
        </w:r>
        <w:r w:rsidR="00E55198" w:rsidRPr="00E55198">
          <w:rPr>
            <w:rFonts w:ascii="Verdana" w:hAnsi="Verdana"/>
            <w:i w:val="0"/>
            <w:noProof/>
            <w:webHidden/>
          </w:rPr>
          <w:fldChar w:fldCharType="separate"/>
        </w:r>
        <w:r w:rsidR="00DC4437">
          <w:rPr>
            <w:rFonts w:ascii="Verdana" w:hAnsi="Verdana"/>
            <w:i w:val="0"/>
            <w:noProof/>
            <w:webHidden/>
          </w:rPr>
          <w:t>18</w:t>
        </w:r>
        <w:r w:rsidR="00E55198" w:rsidRPr="00E55198">
          <w:rPr>
            <w:rFonts w:ascii="Verdana" w:hAnsi="Verdana"/>
            <w:i w:val="0"/>
            <w:noProof/>
            <w:webHidden/>
          </w:rPr>
          <w:fldChar w:fldCharType="end"/>
        </w:r>
      </w:hyperlink>
    </w:p>
    <w:p w14:paraId="4C8A2C98" w14:textId="365B658E" w:rsidR="00E55198" w:rsidRPr="00E55198" w:rsidRDefault="00D05549" w:rsidP="00E55198">
      <w:pPr>
        <w:pStyle w:val="TDC3"/>
        <w:tabs>
          <w:tab w:val="left" w:pos="1100"/>
          <w:tab w:val="right" w:leader="dot" w:pos="9792"/>
        </w:tabs>
        <w:spacing w:line="240" w:lineRule="auto"/>
        <w:jc w:val="both"/>
        <w:rPr>
          <w:rFonts w:ascii="Verdana" w:eastAsiaTheme="minorEastAsia" w:hAnsi="Verdana"/>
          <w:i w:val="0"/>
          <w:iCs w:val="0"/>
          <w:noProof/>
          <w:sz w:val="22"/>
          <w:szCs w:val="22"/>
          <w:lang w:val="es-CR" w:eastAsia="es-CR"/>
        </w:rPr>
      </w:pPr>
      <w:hyperlink w:anchor="_Toc20755727" w:history="1">
        <w:r w:rsidR="00E55198" w:rsidRPr="00E55198">
          <w:rPr>
            <w:rStyle w:val="Hipervnculo"/>
            <w:rFonts w:ascii="Verdana" w:hAnsi="Verdana"/>
            <w:i w:val="0"/>
            <w:noProof/>
            <w:lang w:val="es-ES_tradnl"/>
          </w:rPr>
          <w:t>E.2.</w:t>
        </w:r>
        <w:r w:rsidR="00E55198" w:rsidRPr="00E55198">
          <w:rPr>
            <w:rFonts w:ascii="Verdana" w:eastAsiaTheme="minorEastAsia" w:hAnsi="Verdana"/>
            <w:i w:val="0"/>
            <w:iCs w:val="0"/>
            <w:noProof/>
            <w:sz w:val="22"/>
            <w:szCs w:val="22"/>
            <w:lang w:val="es-CR" w:eastAsia="es-CR"/>
          </w:rPr>
          <w:tab/>
        </w:r>
        <w:r w:rsidR="00E55198" w:rsidRPr="00E55198">
          <w:rPr>
            <w:rStyle w:val="Hipervnculo"/>
            <w:rFonts w:ascii="Verdana" w:hAnsi="Verdana"/>
            <w:i w:val="0"/>
            <w:noProof/>
            <w:lang w:val="es-ES_tradnl"/>
          </w:rPr>
          <w:t>Recursos en la causa seguida por Elba Clotilde Perrone</w:t>
        </w:r>
        <w:r w:rsidR="00E55198" w:rsidRPr="00E55198">
          <w:rPr>
            <w:rFonts w:ascii="Verdana" w:hAnsi="Verdana"/>
            <w:i w:val="0"/>
            <w:noProof/>
            <w:webHidden/>
          </w:rPr>
          <w:tab/>
        </w:r>
        <w:r w:rsidR="00E55198" w:rsidRPr="00E55198">
          <w:rPr>
            <w:rFonts w:ascii="Verdana" w:hAnsi="Verdana"/>
            <w:i w:val="0"/>
            <w:noProof/>
            <w:webHidden/>
          </w:rPr>
          <w:fldChar w:fldCharType="begin"/>
        </w:r>
        <w:r w:rsidR="00E55198" w:rsidRPr="00E55198">
          <w:rPr>
            <w:rFonts w:ascii="Verdana" w:hAnsi="Verdana"/>
            <w:i w:val="0"/>
            <w:noProof/>
            <w:webHidden/>
          </w:rPr>
          <w:instrText xml:space="preserve"> PAGEREF _Toc20755727 \h </w:instrText>
        </w:r>
        <w:r w:rsidR="00E55198" w:rsidRPr="00E55198">
          <w:rPr>
            <w:rFonts w:ascii="Verdana" w:hAnsi="Verdana"/>
            <w:i w:val="0"/>
            <w:noProof/>
            <w:webHidden/>
          </w:rPr>
        </w:r>
        <w:r w:rsidR="00E55198" w:rsidRPr="00E55198">
          <w:rPr>
            <w:rFonts w:ascii="Verdana" w:hAnsi="Verdana"/>
            <w:i w:val="0"/>
            <w:noProof/>
            <w:webHidden/>
          </w:rPr>
          <w:fldChar w:fldCharType="separate"/>
        </w:r>
        <w:r w:rsidR="00DC4437">
          <w:rPr>
            <w:rFonts w:ascii="Verdana" w:hAnsi="Verdana"/>
            <w:i w:val="0"/>
            <w:noProof/>
            <w:webHidden/>
          </w:rPr>
          <w:t>20</w:t>
        </w:r>
        <w:r w:rsidR="00E55198" w:rsidRPr="00E55198">
          <w:rPr>
            <w:rFonts w:ascii="Verdana" w:hAnsi="Verdana"/>
            <w:i w:val="0"/>
            <w:noProof/>
            <w:webHidden/>
          </w:rPr>
          <w:fldChar w:fldCharType="end"/>
        </w:r>
      </w:hyperlink>
    </w:p>
    <w:p w14:paraId="6BDDAA2B" w14:textId="6B53C5E9" w:rsidR="00E55198" w:rsidRPr="00E55198" w:rsidRDefault="00D05549" w:rsidP="00E55198">
      <w:pPr>
        <w:pStyle w:val="TDC2"/>
        <w:rPr>
          <w:rFonts w:eastAsiaTheme="minorEastAsia"/>
          <w:i w:val="0"/>
          <w:sz w:val="22"/>
          <w:szCs w:val="22"/>
          <w:lang w:val="es-CR" w:eastAsia="es-CR"/>
        </w:rPr>
      </w:pPr>
      <w:hyperlink w:anchor="_Toc20755728" w:history="1">
        <w:r w:rsidR="00E55198" w:rsidRPr="00E55198">
          <w:rPr>
            <w:rStyle w:val="Hipervnculo"/>
            <w:i w:val="0"/>
          </w:rPr>
          <w:t>F.</w:t>
        </w:r>
        <w:r w:rsidR="00E55198" w:rsidRPr="00E55198">
          <w:rPr>
            <w:rFonts w:eastAsiaTheme="minorEastAsia"/>
            <w:i w:val="0"/>
            <w:sz w:val="22"/>
            <w:szCs w:val="22"/>
            <w:lang w:val="es-CR" w:eastAsia="es-CR"/>
          </w:rPr>
          <w:tab/>
        </w:r>
        <w:r w:rsidR="00E55198" w:rsidRPr="00E55198">
          <w:rPr>
            <w:rStyle w:val="Hipervnculo"/>
            <w:i w:val="0"/>
          </w:rPr>
          <w:t>Sobre las indemnizaciones recibidas por la presuntas víctimas a través de la Ley 24.043 (Indemnización para Ex Detenidos)</w:t>
        </w:r>
        <w:r w:rsidR="00E55198" w:rsidRPr="00E55198">
          <w:rPr>
            <w:i w:val="0"/>
            <w:webHidden/>
          </w:rPr>
          <w:tab/>
        </w:r>
        <w:r w:rsidR="00E55198" w:rsidRPr="00E55198">
          <w:rPr>
            <w:i w:val="0"/>
            <w:webHidden/>
          </w:rPr>
          <w:fldChar w:fldCharType="begin"/>
        </w:r>
        <w:r w:rsidR="00E55198" w:rsidRPr="00E55198">
          <w:rPr>
            <w:i w:val="0"/>
            <w:webHidden/>
          </w:rPr>
          <w:instrText xml:space="preserve"> PAGEREF _Toc20755728 \h </w:instrText>
        </w:r>
        <w:r w:rsidR="00E55198" w:rsidRPr="00E55198">
          <w:rPr>
            <w:i w:val="0"/>
            <w:webHidden/>
          </w:rPr>
        </w:r>
        <w:r w:rsidR="00E55198" w:rsidRPr="00E55198">
          <w:rPr>
            <w:i w:val="0"/>
            <w:webHidden/>
          </w:rPr>
          <w:fldChar w:fldCharType="separate"/>
        </w:r>
        <w:r w:rsidR="00DC4437">
          <w:rPr>
            <w:i w:val="0"/>
            <w:webHidden/>
          </w:rPr>
          <w:t>21</w:t>
        </w:r>
        <w:r w:rsidR="00E55198" w:rsidRPr="00E55198">
          <w:rPr>
            <w:i w:val="0"/>
            <w:webHidden/>
          </w:rPr>
          <w:fldChar w:fldCharType="end"/>
        </w:r>
      </w:hyperlink>
    </w:p>
    <w:p w14:paraId="31D6237D" w14:textId="07DC66DF" w:rsidR="00E55198" w:rsidRPr="00E55198" w:rsidRDefault="00D05549" w:rsidP="00E55198">
      <w:pPr>
        <w:pStyle w:val="TDC2"/>
        <w:rPr>
          <w:rFonts w:eastAsiaTheme="minorEastAsia"/>
          <w:i w:val="0"/>
          <w:sz w:val="22"/>
          <w:szCs w:val="22"/>
          <w:lang w:val="es-CR" w:eastAsia="es-CR"/>
        </w:rPr>
      </w:pPr>
      <w:hyperlink w:anchor="_Toc20755729" w:history="1">
        <w:r w:rsidR="00E55198" w:rsidRPr="00E55198">
          <w:rPr>
            <w:rStyle w:val="Hipervnculo"/>
            <w:i w:val="0"/>
          </w:rPr>
          <w:t>G.</w:t>
        </w:r>
        <w:r w:rsidR="00E55198" w:rsidRPr="00E55198">
          <w:rPr>
            <w:rFonts w:eastAsiaTheme="minorEastAsia"/>
            <w:i w:val="0"/>
            <w:sz w:val="22"/>
            <w:szCs w:val="22"/>
            <w:lang w:val="es-CR" w:eastAsia="es-CR"/>
          </w:rPr>
          <w:tab/>
        </w:r>
        <w:r w:rsidR="00E55198" w:rsidRPr="00E55198">
          <w:rPr>
            <w:rStyle w:val="Hipervnculo"/>
            <w:i w:val="0"/>
          </w:rPr>
          <w:t>Otros actos internos</w:t>
        </w:r>
        <w:r w:rsidR="00E55198" w:rsidRPr="00E55198">
          <w:rPr>
            <w:i w:val="0"/>
            <w:webHidden/>
          </w:rPr>
          <w:tab/>
        </w:r>
        <w:r w:rsidR="00E55198" w:rsidRPr="00E55198">
          <w:rPr>
            <w:i w:val="0"/>
            <w:webHidden/>
          </w:rPr>
          <w:fldChar w:fldCharType="begin"/>
        </w:r>
        <w:r w:rsidR="00E55198" w:rsidRPr="00E55198">
          <w:rPr>
            <w:i w:val="0"/>
            <w:webHidden/>
          </w:rPr>
          <w:instrText xml:space="preserve"> PAGEREF _Toc20755729 \h </w:instrText>
        </w:r>
        <w:r w:rsidR="00E55198" w:rsidRPr="00E55198">
          <w:rPr>
            <w:i w:val="0"/>
            <w:webHidden/>
          </w:rPr>
        </w:r>
        <w:r w:rsidR="00E55198" w:rsidRPr="00E55198">
          <w:rPr>
            <w:i w:val="0"/>
            <w:webHidden/>
          </w:rPr>
          <w:fldChar w:fldCharType="separate"/>
        </w:r>
        <w:r w:rsidR="00DC4437">
          <w:rPr>
            <w:i w:val="0"/>
            <w:webHidden/>
          </w:rPr>
          <w:t>23</w:t>
        </w:r>
        <w:r w:rsidR="00E55198" w:rsidRPr="00E55198">
          <w:rPr>
            <w:i w:val="0"/>
            <w:webHidden/>
          </w:rPr>
          <w:fldChar w:fldCharType="end"/>
        </w:r>
      </w:hyperlink>
    </w:p>
    <w:p w14:paraId="7F1C5397" w14:textId="2D6329CB" w:rsidR="00E55198" w:rsidRPr="00E55198" w:rsidRDefault="00D05549" w:rsidP="00E55198">
      <w:pPr>
        <w:pStyle w:val="TDC1"/>
        <w:tabs>
          <w:tab w:val="right" w:leader="dot" w:pos="9792"/>
        </w:tabs>
        <w:spacing w:before="0" w:after="0" w:line="240" w:lineRule="auto"/>
        <w:jc w:val="both"/>
        <w:rPr>
          <w:rFonts w:ascii="Verdana" w:eastAsiaTheme="minorEastAsia" w:hAnsi="Verdana"/>
          <w:b w:val="0"/>
          <w:bCs w:val="0"/>
          <w:caps w:val="0"/>
          <w:noProof/>
          <w:sz w:val="22"/>
          <w:szCs w:val="22"/>
          <w:lang w:val="es-CR" w:eastAsia="es-CR"/>
        </w:rPr>
      </w:pPr>
      <w:hyperlink w:anchor="_Toc20755730" w:history="1">
        <w:r w:rsidR="00E55198" w:rsidRPr="00E55198">
          <w:rPr>
            <w:rStyle w:val="Hipervnculo"/>
            <w:rFonts w:ascii="Verdana" w:eastAsia="Times New Roman" w:hAnsi="Verdana" w:cs="Verdana"/>
            <w:noProof/>
            <w:snapToGrid w:val="0"/>
            <w:lang w:val="es-ES_tradnl"/>
          </w:rPr>
          <w:t>VII Fondo</w:t>
        </w:r>
        <w:r w:rsidR="00E55198" w:rsidRPr="00E55198">
          <w:rPr>
            <w:rFonts w:ascii="Verdana" w:hAnsi="Verdana"/>
            <w:noProof/>
            <w:webHidden/>
          </w:rPr>
          <w:tab/>
        </w:r>
        <w:r w:rsidR="00E55198" w:rsidRPr="00E55198">
          <w:rPr>
            <w:rFonts w:ascii="Verdana" w:hAnsi="Verdana"/>
            <w:noProof/>
            <w:webHidden/>
          </w:rPr>
          <w:fldChar w:fldCharType="begin"/>
        </w:r>
        <w:r w:rsidR="00E55198" w:rsidRPr="00E55198">
          <w:rPr>
            <w:rFonts w:ascii="Verdana" w:hAnsi="Verdana"/>
            <w:noProof/>
            <w:webHidden/>
          </w:rPr>
          <w:instrText xml:space="preserve"> PAGEREF _Toc20755730 \h </w:instrText>
        </w:r>
        <w:r w:rsidR="00E55198" w:rsidRPr="00E55198">
          <w:rPr>
            <w:rFonts w:ascii="Verdana" w:hAnsi="Verdana"/>
            <w:noProof/>
            <w:webHidden/>
          </w:rPr>
        </w:r>
        <w:r w:rsidR="00E55198" w:rsidRPr="00E55198">
          <w:rPr>
            <w:rFonts w:ascii="Verdana" w:hAnsi="Verdana"/>
            <w:noProof/>
            <w:webHidden/>
          </w:rPr>
          <w:fldChar w:fldCharType="separate"/>
        </w:r>
        <w:r w:rsidR="00DC4437">
          <w:rPr>
            <w:rFonts w:ascii="Verdana" w:hAnsi="Verdana"/>
            <w:noProof/>
            <w:webHidden/>
          </w:rPr>
          <w:t>23</w:t>
        </w:r>
        <w:r w:rsidR="00E55198" w:rsidRPr="00E55198">
          <w:rPr>
            <w:rFonts w:ascii="Verdana" w:hAnsi="Verdana"/>
            <w:noProof/>
            <w:webHidden/>
          </w:rPr>
          <w:fldChar w:fldCharType="end"/>
        </w:r>
      </w:hyperlink>
    </w:p>
    <w:p w14:paraId="09436CCD" w14:textId="50470DBD" w:rsidR="00E55198" w:rsidRPr="00E55198" w:rsidRDefault="00D05549" w:rsidP="00E55198">
      <w:pPr>
        <w:pStyle w:val="TDC1"/>
        <w:tabs>
          <w:tab w:val="right" w:leader="dot" w:pos="9792"/>
        </w:tabs>
        <w:spacing w:before="0" w:after="0" w:line="240" w:lineRule="auto"/>
        <w:jc w:val="both"/>
        <w:rPr>
          <w:rFonts w:ascii="Verdana" w:eastAsiaTheme="minorEastAsia" w:hAnsi="Verdana"/>
          <w:b w:val="0"/>
          <w:bCs w:val="0"/>
          <w:caps w:val="0"/>
          <w:noProof/>
          <w:sz w:val="22"/>
          <w:szCs w:val="22"/>
          <w:lang w:val="es-CR" w:eastAsia="es-CR"/>
        </w:rPr>
      </w:pPr>
      <w:hyperlink w:anchor="_Toc20755731" w:history="1">
        <w:r w:rsidR="00E55198" w:rsidRPr="00E55198">
          <w:rPr>
            <w:rStyle w:val="Hipervnculo"/>
            <w:rFonts w:ascii="Verdana" w:eastAsia="Times New Roman" w:hAnsi="Verdana" w:cs="Verdana"/>
            <w:noProof/>
            <w:snapToGrid w:val="0"/>
            <w:lang w:val="es-ES_tradnl"/>
          </w:rPr>
          <w:t>VII.1</w:t>
        </w:r>
      </w:hyperlink>
      <w:r w:rsidR="00E55198" w:rsidRPr="00E55198">
        <w:rPr>
          <w:rFonts w:ascii="Verdana" w:eastAsiaTheme="minorEastAsia" w:hAnsi="Verdana"/>
          <w:b w:val="0"/>
          <w:bCs w:val="0"/>
          <w:caps w:val="0"/>
          <w:noProof/>
          <w:sz w:val="22"/>
          <w:szCs w:val="22"/>
          <w:lang w:val="es-CR" w:eastAsia="es-CR"/>
        </w:rPr>
        <w:t xml:space="preserve"> </w:t>
      </w:r>
      <w:hyperlink w:anchor="_Toc20755732" w:history="1">
        <w:r w:rsidR="00E55198" w:rsidRPr="00E55198">
          <w:rPr>
            <w:rStyle w:val="Hipervnculo"/>
            <w:rFonts w:ascii="Verdana" w:eastAsia="Times New Roman" w:hAnsi="Verdana" w:cs="Verdana"/>
            <w:noProof/>
            <w:snapToGrid w:val="0"/>
            <w:lang w:val="es-ES_tradnl"/>
          </w:rPr>
          <w:t>DERECHOS A LAS GARANTÍAS JUDICIALES Y PROTECCIÓN JUDICIAL</w:t>
        </w:r>
      </w:hyperlink>
      <w:r w:rsidR="00E55198" w:rsidRPr="00E55198">
        <w:rPr>
          <w:rFonts w:ascii="Verdana" w:eastAsiaTheme="minorEastAsia" w:hAnsi="Verdana"/>
          <w:b w:val="0"/>
          <w:bCs w:val="0"/>
          <w:caps w:val="0"/>
          <w:noProof/>
          <w:sz w:val="22"/>
          <w:szCs w:val="22"/>
          <w:lang w:val="es-CR" w:eastAsia="es-CR"/>
        </w:rPr>
        <w:t xml:space="preserve"> </w:t>
      </w:r>
      <w:hyperlink w:anchor="_Toc20755733" w:history="1">
        <w:r w:rsidR="00E55198" w:rsidRPr="00E55198">
          <w:rPr>
            <w:rStyle w:val="Hipervnculo"/>
            <w:rFonts w:ascii="Verdana" w:eastAsia="Times New Roman" w:hAnsi="Verdana" w:cs="Verdana"/>
            <w:noProof/>
            <w:snapToGrid w:val="0"/>
            <w:lang w:val="es-ES_tradnl"/>
          </w:rPr>
          <w:t>(ACCESO A LA JUSTICIA, ARTÍCULOS 8 Y 25)</w:t>
        </w:r>
        <w:r w:rsidR="00E55198" w:rsidRPr="00E55198">
          <w:rPr>
            <w:rFonts w:ascii="Verdana" w:hAnsi="Verdana"/>
            <w:noProof/>
            <w:webHidden/>
          </w:rPr>
          <w:tab/>
        </w:r>
        <w:r w:rsidR="00E55198" w:rsidRPr="00E55198">
          <w:rPr>
            <w:rFonts w:ascii="Verdana" w:hAnsi="Verdana"/>
            <w:noProof/>
            <w:webHidden/>
          </w:rPr>
          <w:fldChar w:fldCharType="begin"/>
        </w:r>
        <w:r w:rsidR="00E55198" w:rsidRPr="00E55198">
          <w:rPr>
            <w:rFonts w:ascii="Verdana" w:hAnsi="Verdana"/>
            <w:noProof/>
            <w:webHidden/>
          </w:rPr>
          <w:instrText xml:space="preserve"> PAGEREF _Toc20755733 \h </w:instrText>
        </w:r>
        <w:r w:rsidR="00E55198" w:rsidRPr="00E55198">
          <w:rPr>
            <w:rFonts w:ascii="Verdana" w:hAnsi="Verdana"/>
            <w:noProof/>
            <w:webHidden/>
          </w:rPr>
        </w:r>
        <w:r w:rsidR="00E55198" w:rsidRPr="00E55198">
          <w:rPr>
            <w:rFonts w:ascii="Verdana" w:hAnsi="Verdana"/>
            <w:noProof/>
            <w:webHidden/>
          </w:rPr>
          <w:fldChar w:fldCharType="separate"/>
        </w:r>
        <w:r w:rsidR="00DC4437">
          <w:rPr>
            <w:rFonts w:ascii="Verdana" w:hAnsi="Verdana"/>
            <w:noProof/>
            <w:webHidden/>
          </w:rPr>
          <w:t>24</w:t>
        </w:r>
        <w:r w:rsidR="00E55198" w:rsidRPr="00E55198">
          <w:rPr>
            <w:rFonts w:ascii="Verdana" w:hAnsi="Verdana"/>
            <w:noProof/>
            <w:webHidden/>
          </w:rPr>
          <w:fldChar w:fldCharType="end"/>
        </w:r>
      </w:hyperlink>
    </w:p>
    <w:p w14:paraId="7AB1A0FA" w14:textId="50E6DFF4" w:rsidR="00E55198" w:rsidRPr="00E55198" w:rsidRDefault="00D05549" w:rsidP="00E55198">
      <w:pPr>
        <w:pStyle w:val="TDC2"/>
        <w:rPr>
          <w:rFonts w:eastAsiaTheme="minorEastAsia"/>
          <w:i w:val="0"/>
          <w:sz w:val="22"/>
          <w:szCs w:val="22"/>
          <w:lang w:val="es-CR" w:eastAsia="es-CR"/>
        </w:rPr>
      </w:pPr>
      <w:hyperlink w:anchor="_Toc20755734" w:history="1">
        <w:r w:rsidR="00E55198" w:rsidRPr="00E55198">
          <w:rPr>
            <w:rStyle w:val="Hipervnculo"/>
            <w:i w:val="0"/>
          </w:rPr>
          <w:t>A.</w:t>
        </w:r>
        <w:r w:rsidR="00E55198" w:rsidRPr="00E55198">
          <w:rPr>
            <w:rFonts w:eastAsiaTheme="minorEastAsia"/>
            <w:i w:val="0"/>
            <w:sz w:val="22"/>
            <w:szCs w:val="22"/>
            <w:lang w:val="es-CR" w:eastAsia="es-CR"/>
          </w:rPr>
          <w:tab/>
        </w:r>
        <w:r w:rsidR="00E55198" w:rsidRPr="00E55198">
          <w:rPr>
            <w:rStyle w:val="Hipervnculo"/>
            <w:i w:val="0"/>
          </w:rPr>
          <w:t>Argumentos de las partes y de la Comisión</w:t>
        </w:r>
        <w:r w:rsidR="00E55198" w:rsidRPr="00E55198">
          <w:rPr>
            <w:i w:val="0"/>
            <w:webHidden/>
          </w:rPr>
          <w:tab/>
        </w:r>
        <w:r w:rsidR="00E55198" w:rsidRPr="00E55198">
          <w:rPr>
            <w:i w:val="0"/>
            <w:webHidden/>
          </w:rPr>
          <w:fldChar w:fldCharType="begin"/>
        </w:r>
        <w:r w:rsidR="00E55198" w:rsidRPr="00E55198">
          <w:rPr>
            <w:i w:val="0"/>
            <w:webHidden/>
          </w:rPr>
          <w:instrText xml:space="preserve"> PAGEREF _Toc20755734 \h </w:instrText>
        </w:r>
        <w:r w:rsidR="00E55198" w:rsidRPr="00E55198">
          <w:rPr>
            <w:i w:val="0"/>
            <w:webHidden/>
          </w:rPr>
        </w:r>
        <w:r w:rsidR="00E55198" w:rsidRPr="00E55198">
          <w:rPr>
            <w:i w:val="0"/>
            <w:webHidden/>
          </w:rPr>
          <w:fldChar w:fldCharType="separate"/>
        </w:r>
        <w:r w:rsidR="00DC4437">
          <w:rPr>
            <w:i w:val="0"/>
            <w:webHidden/>
          </w:rPr>
          <w:t>24</w:t>
        </w:r>
        <w:r w:rsidR="00E55198" w:rsidRPr="00E55198">
          <w:rPr>
            <w:i w:val="0"/>
            <w:webHidden/>
          </w:rPr>
          <w:fldChar w:fldCharType="end"/>
        </w:r>
      </w:hyperlink>
    </w:p>
    <w:p w14:paraId="0B7992FB" w14:textId="442A7ABE" w:rsidR="00E55198" w:rsidRPr="00E55198" w:rsidRDefault="00D05549" w:rsidP="00E55198">
      <w:pPr>
        <w:pStyle w:val="TDC2"/>
        <w:rPr>
          <w:rFonts w:eastAsiaTheme="minorEastAsia"/>
          <w:i w:val="0"/>
          <w:sz w:val="22"/>
          <w:szCs w:val="22"/>
          <w:lang w:val="es-CR" w:eastAsia="es-CR"/>
        </w:rPr>
      </w:pPr>
      <w:hyperlink w:anchor="_Toc20755735" w:history="1">
        <w:r w:rsidR="00E55198" w:rsidRPr="00E55198">
          <w:rPr>
            <w:rStyle w:val="Hipervnculo"/>
            <w:i w:val="0"/>
          </w:rPr>
          <w:t>B.</w:t>
        </w:r>
        <w:r w:rsidR="00E55198" w:rsidRPr="00E55198">
          <w:rPr>
            <w:rFonts w:eastAsiaTheme="minorEastAsia"/>
            <w:i w:val="0"/>
            <w:sz w:val="22"/>
            <w:szCs w:val="22"/>
            <w:lang w:val="es-CR" w:eastAsia="es-CR"/>
          </w:rPr>
          <w:tab/>
        </w:r>
        <w:r w:rsidR="00E55198" w:rsidRPr="00E55198">
          <w:rPr>
            <w:rStyle w:val="Hipervnculo"/>
            <w:i w:val="0"/>
          </w:rPr>
          <w:t>Consideraciones de la Corte</w:t>
        </w:r>
        <w:r w:rsidR="00E55198" w:rsidRPr="00E55198">
          <w:rPr>
            <w:i w:val="0"/>
            <w:webHidden/>
          </w:rPr>
          <w:tab/>
        </w:r>
        <w:r w:rsidR="00E55198" w:rsidRPr="00E55198">
          <w:rPr>
            <w:i w:val="0"/>
            <w:webHidden/>
          </w:rPr>
          <w:fldChar w:fldCharType="begin"/>
        </w:r>
        <w:r w:rsidR="00E55198" w:rsidRPr="00E55198">
          <w:rPr>
            <w:i w:val="0"/>
            <w:webHidden/>
          </w:rPr>
          <w:instrText xml:space="preserve"> PAGEREF _Toc20755735 \h </w:instrText>
        </w:r>
        <w:r w:rsidR="00E55198" w:rsidRPr="00E55198">
          <w:rPr>
            <w:i w:val="0"/>
            <w:webHidden/>
          </w:rPr>
        </w:r>
        <w:r w:rsidR="00E55198" w:rsidRPr="00E55198">
          <w:rPr>
            <w:i w:val="0"/>
            <w:webHidden/>
          </w:rPr>
          <w:fldChar w:fldCharType="separate"/>
        </w:r>
        <w:r w:rsidR="00DC4437">
          <w:rPr>
            <w:i w:val="0"/>
            <w:webHidden/>
          </w:rPr>
          <w:t>25</w:t>
        </w:r>
        <w:r w:rsidR="00E55198" w:rsidRPr="00E55198">
          <w:rPr>
            <w:i w:val="0"/>
            <w:webHidden/>
          </w:rPr>
          <w:fldChar w:fldCharType="end"/>
        </w:r>
      </w:hyperlink>
    </w:p>
    <w:p w14:paraId="520859E9" w14:textId="2CB3A277" w:rsidR="00E55198" w:rsidRPr="00E55198" w:rsidRDefault="00D05549" w:rsidP="00E55198">
      <w:pPr>
        <w:pStyle w:val="TDC3"/>
        <w:tabs>
          <w:tab w:val="left" w:pos="1100"/>
          <w:tab w:val="right" w:leader="dot" w:pos="9792"/>
        </w:tabs>
        <w:spacing w:line="240" w:lineRule="auto"/>
        <w:jc w:val="both"/>
        <w:rPr>
          <w:rFonts w:ascii="Verdana" w:eastAsiaTheme="minorEastAsia" w:hAnsi="Verdana"/>
          <w:i w:val="0"/>
          <w:iCs w:val="0"/>
          <w:noProof/>
          <w:sz w:val="22"/>
          <w:szCs w:val="22"/>
          <w:lang w:val="es-CR" w:eastAsia="es-CR"/>
        </w:rPr>
      </w:pPr>
      <w:hyperlink w:anchor="_Toc20755736" w:history="1">
        <w:r w:rsidR="00E55198" w:rsidRPr="00E55198">
          <w:rPr>
            <w:rStyle w:val="Hipervnculo"/>
            <w:rFonts w:ascii="Verdana" w:hAnsi="Verdana"/>
            <w:i w:val="0"/>
            <w:noProof/>
          </w:rPr>
          <w:t>B.1.</w:t>
        </w:r>
        <w:r w:rsidR="00E55198" w:rsidRPr="00E55198">
          <w:rPr>
            <w:rFonts w:ascii="Verdana" w:eastAsiaTheme="minorEastAsia" w:hAnsi="Verdana"/>
            <w:i w:val="0"/>
            <w:iCs w:val="0"/>
            <w:noProof/>
            <w:sz w:val="22"/>
            <w:szCs w:val="22"/>
            <w:lang w:val="es-CR" w:eastAsia="es-CR"/>
          </w:rPr>
          <w:tab/>
        </w:r>
        <w:r w:rsidR="00E55198" w:rsidRPr="00E55198">
          <w:rPr>
            <w:rStyle w:val="Hipervnculo"/>
            <w:rFonts w:ascii="Verdana" w:hAnsi="Verdana"/>
            <w:i w:val="0"/>
            <w:noProof/>
          </w:rPr>
          <w:t>Deber de motivar y derecho a la protección judicial</w:t>
        </w:r>
        <w:r w:rsidR="00E55198" w:rsidRPr="00E55198">
          <w:rPr>
            <w:rFonts w:ascii="Verdana" w:hAnsi="Verdana"/>
            <w:i w:val="0"/>
            <w:noProof/>
            <w:webHidden/>
          </w:rPr>
          <w:tab/>
        </w:r>
        <w:r w:rsidR="00E55198" w:rsidRPr="00E55198">
          <w:rPr>
            <w:rFonts w:ascii="Verdana" w:hAnsi="Verdana"/>
            <w:i w:val="0"/>
            <w:noProof/>
            <w:webHidden/>
          </w:rPr>
          <w:fldChar w:fldCharType="begin"/>
        </w:r>
        <w:r w:rsidR="00E55198" w:rsidRPr="00E55198">
          <w:rPr>
            <w:rFonts w:ascii="Verdana" w:hAnsi="Verdana"/>
            <w:i w:val="0"/>
            <w:noProof/>
            <w:webHidden/>
          </w:rPr>
          <w:instrText xml:space="preserve"> PAGEREF _Toc20755736 \h </w:instrText>
        </w:r>
        <w:r w:rsidR="00E55198" w:rsidRPr="00E55198">
          <w:rPr>
            <w:rFonts w:ascii="Verdana" w:hAnsi="Verdana"/>
            <w:i w:val="0"/>
            <w:noProof/>
            <w:webHidden/>
          </w:rPr>
        </w:r>
        <w:r w:rsidR="00E55198" w:rsidRPr="00E55198">
          <w:rPr>
            <w:rFonts w:ascii="Verdana" w:hAnsi="Verdana"/>
            <w:i w:val="0"/>
            <w:noProof/>
            <w:webHidden/>
          </w:rPr>
          <w:fldChar w:fldCharType="separate"/>
        </w:r>
        <w:r w:rsidR="00DC4437">
          <w:rPr>
            <w:rFonts w:ascii="Verdana" w:hAnsi="Verdana"/>
            <w:i w:val="0"/>
            <w:noProof/>
            <w:webHidden/>
          </w:rPr>
          <w:t>25</w:t>
        </w:r>
        <w:r w:rsidR="00E55198" w:rsidRPr="00E55198">
          <w:rPr>
            <w:rFonts w:ascii="Verdana" w:hAnsi="Verdana"/>
            <w:i w:val="0"/>
            <w:noProof/>
            <w:webHidden/>
          </w:rPr>
          <w:fldChar w:fldCharType="end"/>
        </w:r>
      </w:hyperlink>
    </w:p>
    <w:p w14:paraId="256E185D" w14:textId="026C8819" w:rsidR="00E55198" w:rsidRPr="00E55198" w:rsidRDefault="00D05549" w:rsidP="00E55198">
      <w:pPr>
        <w:pStyle w:val="TDC3"/>
        <w:tabs>
          <w:tab w:val="left" w:pos="1100"/>
          <w:tab w:val="right" w:leader="dot" w:pos="9792"/>
        </w:tabs>
        <w:spacing w:line="240" w:lineRule="auto"/>
        <w:jc w:val="both"/>
        <w:rPr>
          <w:rFonts w:ascii="Verdana" w:eastAsiaTheme="minorEastAsia" w:hAnsi="Verdana"/>
          <w:i w:val="0"/>
          <w:iCs w:val="0"/>
          <w:noProof/>
          <w:sz w:val="22"/>
          <w:szCs w:val="22"/>
          <w:lang w:val="es-CR" w:eastAsia="es-CR"/>
        </w:rPr>
      </w:pPr>
      <w:hyperlink w:anchor="_Toc20755737" w:history="1">
        <w:r w:rsidR="00E55198" w:rsidRPr="00E55198">
          <w:rPr>
            <w:rStyle w:val="Hipervnculo"/>
            <w:rFonts w:ascii="Verdana" w:hAnsi="Verdana"/>
            <w:i w:val="0"/>
            <w:noProof/>
          </w:rPr>
          <w:t>B.2.</w:t>
        </w:r>
        <w:r w:rsidR="00E55198" w:rsidRPr="00E55198">
          <w:rPr>
            <w:rFonts w:ascii="Verdana" w:eastAsiaTheme="minorEastAsia" w:hAnsi="Verdana"/>
            <w:i w:val="0"/>
            <w:iCs w:val="0"/>
            <w:noProof/>
            <w:sz w:val="22"/>
            <w:szCs w:val="22"/>
            <w:lang w:val="es-CR" w:eastAsia="es-CR"/>
          </w:rPr>
          <w:tab/>
        </w:r>
        <w:r w:rsidR="00E55198" w:rsidRPr="00E55198">
          <w:rPr>
            <w:rStyle w:val="Hipervnculo"/>
            <w:rFonts w:ascii="Verdana" w:hAnsi="Verdana"/>
            <w:i w:val="0"/>
            <w:noProof/>
          </w:rPr>
          <w:t>Sobre la garantía del plazo razonable</w:t>
        </w:r>
        <w:r w:rsidR="00E55198" w:rsidRPr="00E55198">
          <w:rPr>
            <w:rFonts w:ascii="Verdana" w:hAnsi="Verdana"/>
            <w:i w:val="0"/>
            <w:noProof/>
            <w:webHidden/>
          </w:rPr>
          <w:tab/>
        </w:r>
        <w:r w:rsidR="00E55198" w:rsidRPr="00E55198">
          <w:rPr>
            <w:rFonts w:ascii="Verdana" w:hAnsi="Verdana"/>
            <w:i w:val="0"/>
            <w:noProof/>
            <w:webHidden/>
          </w:rPr>
          <w:fldChar w:fldCharType="begin"/>
        </w:r>
        <w:r w:rsidR="00E55198" w:rsidRPr="00E55198">
          <w:rPr>
            <w:rFonts w:ascii="Verdana" w:hAnsi="Verdana"/>
            <w:i w:val="0"/>
            <w:noProof/>
            <w:webHidden/>
          </w:rPr>
          <w:instrText xml:space="preserve"> PAGEREF _Toc20755737 \h </w:instrText>
        </w:r>
        <w:r w:rsidR="00E55198" w:rsidRPr="00E55198">
          <w:rPr>
            <w:rFonts w:ascii="Verdana" w:hAnsi="Verdana"/>
            <w:i w:val="0"/>
            <w:noProof/>
            <w:webHidden/>
          </w:rPr>
        </w:r>
        <w:r w:rsidR="00E55198" w:rsidRPr="00E55198">
          <w:rPr>
            <w:rFonts w:ascii="Verdana" w:hAnsi="Verdana"/>
            <w:i w:val="0"/>
            <w:noProof/>
            <w:webHidden/>
          </w:rPr>
          <w:fldChar w:fldCharType="separate"/>
        </w:r>
        <w:r w:rsidR="00DC4437">
          <w:rPr>
            <w:rFonts w:ascii="Verdana" w:hAnsi="Verdana"/>
            <w:i w:val="0"/>
            <w:noProof/>
            <w:webHidden/>
          </w:rPr>
          <w:t>33</w:t>
        </w:r>
        <w:r w:rsidR="00E55198" w:rsidRPr="00E55198">
          <w:rPr>
            <w:rFonts w:ascii="Verdana" w:hAnsi="Verdana"/>
            <w:i w:val="0"/>
            <w:noProof/>
            <w:webHidden/>
          </w:rPr>
          <w:fldChar w:fldCharType="end"/>
        </w:r>
      </w:hyperlink>
    </w:p>
    <w:p w14:paraId="0BA95DAA" w14:textId="18ADEAE5" w:rsidR="00E55198" w:rsidRPr="00E55198" w:rsidRDefault="00D05549" w:rsidP="00E55198">
      <w:pPr>
        <w:pStyle w:val="TDC3"/>
        <w:tabs>
          <w:tab w:val="left" w:pos="1100"/>
          <w:tab w:val="right" w:leader="dot" w:pos="9792"/>
        </w:tabs>
        <w:spacing w:line="240" w:lineRule="auto"/>
        <w:jc w:val="both"/>
        <w:rPr>
          <w:rFonts w:ascii="Verdana" w:eastAsiaTheme="minorEastAsia" w:hAnsi="Verdana"/>
          <w:i w:val="0"/>
          <w:iCs w:val="0"/>
          <w:noProof/>
          <w:sz w:val="22"/>
          <w:szCs w:val="22"/>
          <w:lang w:val="es-CR" w:eastAsia="es-CR"/>
        </w:rPr>
      </w:pPr>
      <w:hyperlink w:anchor="_Toc20755738" w:history="1">
        <w:r w:rsidR="00E55198" w:rsidRPr="00E55198">
          <w:rPr>
            <w:rStyle w:val="Hipervnculo"/>
            <w:rFonts w:ascii="Verdana" w:hAnsi="Verdana"/>
            <w:i w:val="0"/>
            <w:noProof/>
          </w:rPr>
          <w:t>B.3.</w:t>
        </w:r>
        <w:r w:rsidR="00E55198" w:rsidRPr="00E55198">
          <w:rPr>
            <w:rFonts w:ascii="Verdana" w:eastAsiaTheme="minorEastAsia" w:hAnsi="Verdana"/>
            <w:i w:val="0"/>
            <w:iCs w:val="0"/>
            <w:noProof/>
            <w:sz w:val="22"/>
            <w:szCs w:val="22"/>
            <w:lang w:val="es-CR" w:eastAsia="es-CR"/>
          </w:rPr>
          <w:tab/>
        </w:r>
        <w:r w:rsidR="00E55198" w:rsidRPr="00E55198">
          <w:rPr>
            <w:rStyle w:val="Hipervnculo"/>
            <w:rFonts w:ascii="Verdana" w:hAnsi="Verdana"/>
            <w:i w:val="0"/>
            <w:noProof/>
          </w:rPr>
          <w:t>Conclusión General</w:t>
        </w:r>
        <w:r w:rsidR="00E55198" w:rsidRPr="00E55198">
          <w:rPr>
            <w:rFonts w:ascii="Verdana" w:hAnsi="Verdana"/>
            <w:i w:val="0"/>
            <w:noProof/>
            <w:webHidden/>
          </w:rPr>
          <w:tab/>
        </w:r>
        <w:r w:rsidR="00E55198" w:rsidRPr="00E55198">
          <w:rPr>
            <w:rFonts w:ascii="Verdana" w:hAnsi="Verdana"/>
            <w:i w:val="0"/>
            <w:noProof/>
            <w:webHidden/>
          </w:rPr>
          <w:fldChar w:fldCharType="begin"/>
        </w:r>
        <w:r w:rsidR="00E55198" w:rsidRPr="00E55198">
          <w:rPr>
            <w:rFonts w:ascii="Verdana" w:hAnsi="Verdana"/>
            <w:i w:val="0"/>
            <w:noProof/>
            <w:webHidden/>
          </w:rPr>
          <w:instrText xml:space="preserve"> PAGEREF _Toc20755738 \h </w:instrText>
        </w:r>
        <w:r w:rsidR="00E55198" w:rsidRPr="00E55198">
          <w:rPr>
            <w:rFonts w:ascii="Verdana" w:hAnsi="Verdana"/>
            <w:i w:val="0"/>
            <w:noProof/>
            <w:webHidden/>
          </w:rPr>
        </w:r>
        <w:r w:rsidR="00E55198" w:rsidRPr="00E55198">
          <w:rPr>
            <w:rFonts w:ascii="Verdana" w:hAnsi="Verdana"/>
            <w:i w:val="0"/>
            <w:noProof/>
            <w:webHidden/>
          </w:rPr>
          <w:fldChar w:fldCharType="separate"/>
        </w:r>
        <w:r w:rsidR="00DC4437">
          <w:rPr>
            <w:rFonts w:ascii="Verdana" w:hAnsi="Verdana"/>
            <w:i w:val="0"/>
            <w:noProof/>
            <w:webHidden/>
          </w:rPr>
          <w:t>35</w:t>
        </w:r>
        <w:r w:rsidR="00E55198" w:rsidRPr="00E55198">
          <w:rPr>
            <w:rFonts w:ascii="Verdana" w:hAnsi="Verdana"/>
            <w:i w:val="0"/>
            <w:noProof/>
            <w:webHidden/>
          </w:rPr>
          <w:fldChar w:fldCharType="end"/>
        </w:r>
      </w:hyperlink>
    </w:p>
    <w:p w14:paraId="7B7AE6DF" w14:textId="20480FC3" w:rsidR="00E55198" w:rsidRPr="00E55198" w:rsidRDefault="00D05549" w:rsidP="00E55198">
      <w:pPr>
        <w:pStyle w:val="TDC1"/>
        <w:tabs>
          <w:tab w:val="right" w:leader="dot" w:pos="9792"/>
        </w:tabs>
        <w:spacing w:before="0" w:after="0" w:line="240" w:lineRule="auto"/>
        <w:jc w:val="both"/>
        <w:rPr>
          <w:rFonts w:ascii="Verdana" w:eastAsiaTheme="minorEastAsia" w:hAnsi="Verdana"/>
          <w:b w:val="0"/>
          <w:bCs w:val="0"/>
          <w:caps w:val="0"/>
          <w:noProof/>
          <w:sz w:val="22"/>
          <w:szCs w:val="22"/>
          <w:lang w:val="es-CR" w:eastAsia="es-CR"/>
        </w:rPr>
      </w:pPr>
      <w:hyperlink w:anchor="_Toc20755739" w:history="1">
        <w:r w:rsidR="00E55198" w:rsidRPr="00E55198">
          <w:rPr>
            <w:rStyle w:val="Hipervnculo"/>
            <w:rFonts w:ascii="Verdana" w:eastAsia="Times New Roman" w:hAnsi="Verdana" w:cs="Verdana"/>
            <w:noProof/>
            <w:snapToGrid w:val="0"/>
            <w:lang w:val="es-ES_tradnl"/>
          </w:rPr>
          <w:t>viii reparaciones</w:t>
        </w:r>
        <w:r w:rsidR="00E55198" w:rsidRPr="00E55198">
          <w:rPr>
            <w:rFonts w:ascii="Verdana" w:hAnsi="Verdana"/>
            <w:noProof/>
            <w:webHidden/>
          </w:rPr>
          <w:tab/>
        </w:r>
        <w:r w:rsidR="00E55198" w:rsidRPr="00E55198">
          <w:rPr>
            <w:rFonts w:ascii="Verdana" w:hAnsi="Verdana"/>
            <w:noProof/>
            <w:webHidden/>
          </w:rPr>
          <w:fldChar w:fldCharType="begin"/>
        </w:r>
        <w:r w:rsidR="00E55198" w:rsidRPr="00E55198">
          <w:rPr>
            <w:rFonts w:ascii="Verdana" w:hAnsi="Verdana"/>
            <w:noProof/>
            <w:webHidden/>
          </w:rPr>
          <w:instrText xml:space="preserve"> PAGEREF _Toc20755739 \h </w:instrText>
        </w:r>
        <w:r w:rsidR="00E55198" w:rsidRPr="00E55198">
          <w:rPr>
            <w:rFonts w:ascii="Verdana" w:hAnsi="Verdana"/>
            <w:noProof/>
            <w:webHidden/>
          </w:rPr>
        </w:r>
        <w:r w:rsidR="00E55198" w:rsidRPr="00E55198">
          <w:rPr>
            <w:rFonts w:ascii="Verdana" w:hAnsi="Verdana"/>
            <w:noProof/>
            <w:webHidden/>
          </w:rPr>
          <w:fldChar w:fldCharType="separate"/>
        </w:r>
        <w:r w:rsidR="00DC4437">
          <w:rPr>
            <w:rFonts w:ascii="Verdana" w:hAnsi="Verdana"/>
            <w:noProof/>
            <w:webHidden/>
          </w:rPr>
          <w:t>35</w:t>
        </w:r>
        <w:r w:rsidR="00E55198" w:rsidRPr="00E55198">
          <w:rPr>
            <w:rFonts w:ascii="Verdana" w:hAnsi="Verdana"/>
            <w:noProof/>
            <w:webHidden/>
          </w:rPr>
          <w:fldChar w:fldCharType="end"/>
        </w:r>
      </w:hyperlink>
    </w:p>
    <w:p w14:paraId="34F7E7FB" w14:textId="5457FD51" w:rsidR="00E55198" w:rsidRPr="00E55198" w:rsidRDefault="00D05549" w:rsidP="00E55198">
      <w:pPr>
        <w:pStyle w:val="TDC2"/>
        <w:rPr>
          <w:rFonts w:eastAsiaTheme="minorEastAsia"/>
          <w:i w:val="0"/>
          <w:sz w:val="22"/>
          <w:szCs w:val="22"/>
          <w:lang w:val="es-CR" w:eastAsia="es-CR"/>
        </w:rPr>
      </w:pPr>
      <w:hyperlink w:anchor="_Toc20755740" w:history="1">
        <w:r w:rsidR="00E55198" w:rsidRPr="00E55198">
          <w:rPr>
            <w:rStyle w:val="Hipervnculo"/>
            <w:i w:val="0"/>
          </w:rPr>
          <w:t>A.</w:t>
        </w:r>
        <w:r w:rsidR="00E55198" w:rsidRPr="00E55198">
          <w:rPr>
            <w:rFonts w:eastAsiaTheme="minorEastAsia"/>
            <w:i w:val="0"/>
            <w:sz w:val="22"/>
            <w:szCs w:val="22"/>
            <w:lang w:val="es-CR" w:eastAsia="es-CR"/>
          </w:rPr>
          <w:tab/>
        </w:r>
        <w:r w:rsidR="00E55198" w:rsidRPr="00E55198">
          <w:rPr>
            <w:rStyle w:val="Hipervnculo"/>
            <w:i w:val="0"/>
          </w:rPr>
          <w:t>Parte Lesionada</w:t>
        </w:r>
        <w:r w:rsidR="00E55198" w:rsidRPr="00E55198">
          <w:rPr>
            <w:i w:val="0"/>
            <w:webHidden/>
          </w:rPr>
          <w:tab/>
        </w:r>
        <w:r w:rsidR="00E55198" w:rsidRPr="00E55198">
          <w:rPr>
            <w:i w:val="0"/>
            <w:webHidden/>
          </w:rPr>
          <w:fldChar w:fldCharType="begin"/>
        </w:r>
        <w:r w:rsidR="00E55198" w:rsidRPr="00E55198">
          <w:rPr>
            <w:i w:val="0"/>
            <w:webHidden/>
          </w:rPr>
          <w:instrText xml:space="preserve"> PAGEREF _Toc20755740 \h </w:instrText>
        </w:r>
        <w:r w:rsidR="00E55198" w:rsidRPr="00E55198">
          <w:rPr>
            <w:i w:val="0"/>
            <w:webHidden/>
          </w:rPr>
        </w:r>
        <w:r w:rsidR="00E55198" w:rsidRPr="00E55198">
          <w:rPr>
            <w:i w:val="0"/>
            <w:webHidden/>
          </w:rPr>
          <w:fldChar w:fldCharType="separate"/>
        </w:r>
        <w:r w:rsidR="00DC4437">
          <w:rPr>
            <w:i w:val="0"/>
            <w:webHidden/>
          </w:rPr>
          <w:t>36</w:t>
        </w:r>
        <w:r w:rsidR="00E55198" w:rsidRPr="00E55198">
          <w:rPr>
            <w:i w:val="0"/>
            <w:webHidden/>
          </w:rPr>
          <w:fldChar w:fldCharType="end"/>
        </w:r>
      </w:hyperlink>
    </w:p>
    <w:p w14:paraId="258B6279" w14:textId="4E9DFCE5" w:rsidR="00E55198" w:rsidRPr="00E55198" w:rsidRDefault="00D05549" w:rsidP="00E55198">
      <w:pPr>
        <w:pStyle w:val="TDC2"/>
        <w:rPr>
          <w:rFonts w:eastAsiaTheme="minorEastAsia"/>
          <w:i w:val="0"/>
          <w:sz w:val="22"/>
          <w:szCs w:val="22"/>
          <w:lang w:val="es-CR" w:eastAsia="es-CR"/>
        </w:rPr>
      </w:pPr>
      <w:hyperlink w:anchor="_Toc20755741" w:history="1">
        <w:r w:rsidR="00E55198" w:rsidRPr="00E55198">
          <w:rPr>
            <w:rStyle w:val="Hipervnculo"/>
            <w:i w:val="0"/>
          </w:rPr>
          <w:t>B.</w:t>
        </w:r>
        <w:r w:rsidR="00E55198" w:rsidRPr="00E55198">
          <w:rPr>
            <w:rFonts w:eastAsiaTheme="minorEastAsia"/>
            <w:i w:val="0"/>
            <w:sz w:val="22"/>
            <w:szCs w:val="22"/>
            <w:lang w:val="es-CR" w:eastAsia="es-CR"/>
          </w:rPr>
          <w:tab/>
        </w:r>
        <w:r w:rsidR="00E55198" w:rsidRPr="00E55198">
          <w:rPr>
            <w:rStyle w:val="Hipervnculo"/>
            <w:i w:val="0"/>
          </w:rPr>
          <w:t>Medidas de restitución y satisfacción</w:t>
        </w:r>
        <w:r w:rsidR="00E55198" w:rsidRPr="00E55198">
          <w:rPr>
            <w:i w:val="0"/>
            <w:webHidden/>
          </w:rPr>
          <w:tab/>
        </w:r>
        <w:r w:rsidR="00E55198" w:rsidRPr="00E55198">
          <w:rPr>
            <w:i w:val="0"/>
            <w:webHidden/>
          </w:rPr>
          <w:fldChar w:fldCharType="begin"/>
        </w:r>
        <w:r w:rsidR="00E55198" w:rsidRPr="00E55198">
          <w:rPr>
            <w:i w:val="0"/>
            <w:webHidden/>
          </w:rPr>
          <w:instrText xml:space="preserve"> PAGEREF _Toc20755741 \h </w:instrText>
        </w:r>
        <w:r w:rsidR="00E55198" w:rsidRPr="00E55198">
          <w:rPr>
            <w:i w:val="0"/>
            <w:webHidden/>
          </w:rPr>
        </w:r>
        <w:r w:rsidR="00E55198" w:rsidRPr="00E55198">
          <w:rPr>
            <w:i w:val="0"/>
            <w:webHidden/>
          </w:rPr>
          <w:fldChar w:fldCharType="separate"/>
        </w:r>
        <w:r w:rsidR="00DC4437">
          <w:rPr>
            <w:i w:val="0"/>
            <w:webHidden/>
          </w:rPr>
          <w:t>36</w:t>
        </w:r>
        <w:r w:rsidR="00E55198" w:rsidRPr="00E55198">
          <w:rPr>
            <w:i w:val="0"/>
            <w:webHidden/>
          </w:rPr>
          <w:fldChar w:fldCharType="end"/>
        </w:r>
      </w:hyperlink>
    </w:p>
    <w:p w14:paraId="6F4D9113" w14:textId="1DFBA952" w:rsidR="00E55198" w:rsidRPr="00E55198" w:rsidRDefault="00D05549" w:rsidP="00E55198">
      <w:pPr>
        <w:pStyle w:val="TDC3"/>
        <w:tabs>
          <w:tab w:val="left" w:pos="1100"/>
          <w:tab w:val="right" w:leader="dot" w:pos="9792"/>
        </w:tabs>
        <w:spacing w:line="240" w:lineRule="auto"/>
        <w:jc w:val="both"/>
        <w:rPr>
          <w:rFonts w:ascii="Verdana" w:eastAsiaTheme="minorEastAsia" w:hAnsi="Verdana"/>
          <w:i w:val="0"/>
          <w:iCs w:val="0"/>
          <w:noProof/>
          <w:sz w:val="22"/>
          <w:szCs w:val="22"/>
          <w:lang w:val="es-CR" w:eastAsia="es-CR"/>
        </w:rPr>
      </w:pPr>
      <w:hyperlink w:anchor="_Toc20755742" w:history="1">
        <w:r w:rsidR="00E55198" w:rsidRPr="00E55198">
          <w:rPr>
            <w:rStyle w:val="Hipervnculo"/>
            <w:rFonts w:ascii="Verdana" w:hAnsi="Verdana" w:cs="Arial"/>
            <w:i w:val="0"/>
            <w:noProof/>
            <w:lang w:val="es-CR"/>
          </w:rPr>
          <w:t>B.1.</w:t>
        </w:r>
        <w:r w:rsidR="00E55198" w:rsidRPr="00E55198">
          <w:rPr>
            <w:rFonts w:ascii="Verdana" w:eastAsiaTheme="minorEastAsia" w:hAnsi="Verdana"/>
            <w:i w:val="0"/>
            <w:iCs w:val="0"/>
            <w:noProof/>
            <w:sz w:val="22"/>
            <w:szCs w:val="22"/>
            <w:lang w:val="es-CR" w:eastAsia="es-CR"/>
          </w:rPr>
          <w:tab/>
        </w:r>
        <w:r w:rsidR="00E55198" w:rsidRPr="00E55198">
          <w:rPr>
            <w:rStyle w:val="Hipervnculo"/>
            <w:rFonts w:ascii="Verdana" w:hAnsi="Verdana" w:cs="Arial"/>
            <w:i w:val="0"/>
            <w:noProof/>
            <w:lang w:val="es-CR"/>
          </w:rPr>
          <w:t>Medidas de restitución</w:t>
        </w:r>
        <w:r w:rsidR="00E55198" w:rsidRPr="00E55198">
          <w:rPr>
            <w:rFonts w:ascii="Verdana" w:hAnsi="Verdana"/>
            <w:i w:val="0"/>
            <w:noProof/>
            <w:webHidden/>
          </w:rPr>
          <w:tab/>
        </w:r>
        <w:r w:rsidR="00E55198" w:rsidRPr="00E55198">
          <w:rPr>
            <w:rFonts w:ascii="Verdana" w:hAnsi="Verdana"/>
            <w:i w:val="0"/>
            <w:noProof/>
            <w:webHidden/>
          </w:rPr>
          <w:fldChar w:fldCharType="begin"/>
        </w:r>
        <w:r w:rsidR="00E55198" w:rsidRPr="00E55198">
          <w:rPr>
            <w:rFonts w:ascii="Verdana" w:hAnsi="Verdana"/>
            <w:i w:val="0"/>
            <w:noProof/>
            <w:webHidden/>
          </w:rPr>
          <w:instrText xml:space="preserve"> PAGEREF _Toc20755742 \h </w:instrText>
        </w:r>
        <w:r w:rsidR="00E55198" w:rsidRPr="00E55198">
          <w:rPr>
            <w:rFonts w:ascii="Verdana" w:hAnsi="Verdana"/>
            <w:i w:val="0"/>
            <w:noProof/>
            <w:webHidden/>
          </w:rPr>
        </w:r>
        <w:r w:rsidR="00E55198" w:rsidRPr="00E55198">
          <w:rPr>
            <w:rFonts w:ascii="Verdana" w:hAnsi="Verdana"/>
            <w:i w:val="0"/>
            <w:noProof/>
            <w:webHidden/>
          </w:rPr>
          <w:fldChar w:fldCharType="separate"/>
        </w:r>
        <w:r w:rsidR="00DC4437">
          <w:rPr>
            <w:rFonts w:ascii="Verdana" w:hAnsi="Verdana"/>
            <w:i w:val="0"/>
            <w:noProof/>
            <w:webHidden/>
          </w:rPr>
          <w:t>36</w:t>
        </w:r>
        <w:r w:rsidR="00E55198" w:rsidRPr="00E55198">
          <w:rPr>
            <w:rFonts w:ascii="Verdana" w:hAnsi="Verdana"/>
            <w:i w:val="0"/>
            <w:noProof/>
            <w:webHidden/>
          </w:rPr>
          <w:fldChar w:fldCharType="end"/>
        </w:r>
      </w:hyperlink>
    </w:p>
    <w:p w14:paraId="0DC36CEF" w14:textId="5A9B773E" w:rsidR="00E55198" w:rsidRPr="00E55198" w:rsidRDefault="00D05549" w:rsidP="00E55198">
      <w:pPr>
        <w:pStyle w:val="TDC3"/>
        <w:tabs>
          <w:tab w:val="left" w:pos="1100"/>
          <w:tab w:val="right" w:leader="dot" w:pos="9792"/>
        </w:tabs>
        <w:spacing w:line="240" w:lineRule="auto"/>
        <w:jc w:val="both"/>
        <w:rPr>
          <w:rFonts w:ascii="Verdana" w:eastAsiaTheme="minorEastAsia" w:hAnsi="Verdana"/>
          <w:i w:val="0"/>
          <w:iCs w:val="0"/>
          <w:noProof/>
          <w:sz w:val="22"/>
          <w:szCs w:val="22"/>
          <w:lang w:val="es-CR" w:eastAsia="es-CR"/>
        </w:rPr>
      </w:pPr>
      <w:hyperlink w:anchor="_Toc20755743" w:history="1">
        <w:r w:rsidR="00E55198" w:rsidRPr="00E55198">
          <w:rPr>
            <w:rStyle w:val="Hipervnculo"/>
            <w:rFonts w:ascii="Verdana" w:hAnsi="Verdana" w:cs="Arial"/>
            <w:i w:val="0"/>
            <w:noProof/>
            <w:lang w:val="es-CR"/>
          </w:rPr>
          <w:t>B.2.</w:t>
        </w:r>
        <w:r w:rsidR="00E55198" w:rsidRPr="00E55198">
          <w:rPr>
            <w:rFonts w:ascii="Verdana" w:eastAsiaTheme="minorEastAsia" w:hAnsi="Verdana"/>
            <w:i w:val="0"/>
            <w:iCs w:val="0"/>
            <w:noProof/>
            <w:sz w:val="22"/>
            <w:szCs w:val="22"/>
            <w:lang w:val="es-CR" w:eastAsia="es-CR"/>
          </w:rPr>
          <w:tab/>
        </w:r>
        <w:r w:rsidR="00E55198" w:rsidRPr="00E55198">
          <w:rPr>
            <w:rStyle w:val="Hipervnculo"/>
            <w:rFonts w:ascii="Verdana" w:hAnsi="Verdana" w:cs="Arial"/>
            <w:i w:val="0"/>
            <w:noProof/>
            <w:lang w:val="es-CR"/>
          </w:rPr>
          <w:t>Medida de satisfacción</w:t>
        </w:r>
        <w:r w:rsidR="00E55198" w:rsidRPr="00E55198">
          <w:rPr>
            <w:rFonts w:ascii="Verdana" w:hAnsi="Verdana"/>
            <w:i w:val="0"/>
            <w:noProof/>
            <w:webHidden/>
          </w:rPr>
          <w:tab/>
        </w:r>
        <w:r w:rsidR="00E55198" w:rsidRPr="00E55198">
          <w:rPr>
            <w:rFonts w:ascii="Verdana" w:hAnsi="Verdana"/>
            <w:i w:val="0"/>
            <w:noProof/>
            <w:webHidden/>
          </w:rPr>
          <w:fldChar w:fldCharType="begin"/>
        </w:r>
        <w:r w:rsidR="00E55198" w:rsidRPr="00E55198">
          <w:rPr>
            <w:rFonts w:ascii="Verdana" w:hAnsi="Verdana"/>
            <w:i w:val="0"/>
            <w:noProof/>
            <w:webHidden/>
          </w:rPr>
          <w:instrText xml:space="preserve"> PAGEREF _Toc20755743 \h </w:instrText>
        </w:r>
        <w:r w:rsidR="00E55198" w:rsidRPr="00E55198">
          <w:rPr>
            <w:rFonts w:ascii="Verdana" w:hAnsi="Verdana"/>
            <w:i w:val="0"/>
            <w:noProof/>
            <w:webHidden/>
          </w:rPr>
        </w:r>
        <w:r w:rsidR="00E55198" w:rsidRPr="00E55198">
          <w:rPr>
            <w:rFonts w:ascii="Verdana" w:hAnsi="Verdana"/>
            <w:i w:val="0"/>
            <w:noProof/>
            <w:webHidden/>
          </w:rPr>
          <w:fldChar w:fldCharType="separate"/>
        </w:r>
        <w:r w:rsidR="00DC4437">
          <w:rPr>
            <w:rFonts w:ascii="Verdana" w:hAnsi="Verdana"/>
            <w:i w:val="0"/>
            <w:noProof/>
            <w:webHidden/>
          </w:rPr>
          <w:t>37</w:t>
        </w:r>
        <w:r w:rsidR="00E55198" w:rsidRPr="00E55198">
          <w:rPr>
            <w:rFonts w:ascii="Verdana" w:hAnsi="Verdana"/>
            <w:i w:val="0"/>
            <w:noProof/>
            <w:webHidden/>
          </w:rPr>
          <w:fldChar w:fldCharType="end"/>
        </w:r>
      </w:hyperlink>
    </w:p>
    <w:p w14:paraId="1D36B703" w14:textId="07916CF3" w:rsidR="00E55198" w:rsidRPr="00E55198" w:rsidRDefault="00D05549" w:rsidP="00E55198">
      <w:pPr>
        <w:pStyle w:val="TDC2"/>
        <w:rPr>
          <w:rFonts w:eastAsiaTheme="minorEastAsia"/>
          <w:i w:val="0"/>
          <w:sz w:val="22"/>
          <w:szCs w:val="22"/>
          <w:lang w:val="es-CR" w:eastAsia="es-CR"/>
        </w:rPr>
      </w:pPr>
      <w:hyperlink w:anchor="_Toc20755744" w:history="1">
        <w:r w:rsidR="00E55198" w:rsidRPr="00E55198">
          <w:rPr>
            <w:rStyle w:val="Hipervnculo"/>
            <w:i w:val="0"/>
          </w:rPr>
          <w:t>C.</w:t>
        </w:r>
        <w:r w:rsidR="00E55198" w:rsidRPr="00E55198">
          <w:rPr>
            <w:rFonts w:eastAsiaTheme="minorEastAsia"/>
            <w:i w:val="0"/>
            <w:sz w:val="22"/>
            <w:szCs w:val="22"/>
            <w:lang w:val="es-CR" w:eastAsia="es-CR"/>
          </w:rPr>
          <w:tab/>
        </w:r>
        <w:r w:rsidR="00E55198" w:rsidRPr="00E55198">
          <w:rPr>
            <w:rStyle w:val="Hipervnculo"/>
            <w:i w:val="0"/>
          </w:rPr>
          <w:t>Indemnizaciones compensatorias</w:t>
        </w:r>
        <w:r w:rsidR="00E55198" w:rsidRPr="00E55198">
          <w:rPr>
            <w:i w:val="0"/>
            <w:webHidden/>
          </w:rPr>
          <w:tab/>
        </w:r>
        <w:r w:rsidR="00E55198" w:rsidRPr="00E55198">
          <w:rPr>
            <w:i w:val="0"/>
            <w:webHidden/>
          </w:rPr>
          <w:fldChar w:fldCharType="begin"/>
        </w:r>
        <w:r w:rsidR="00E55198" w:rsidRPr="00E55198">
          <w:rPr>
            <w:i w:val="0"/>
            <w:webHidden/>
          </w:rPr>
          <w:instrText xml:space="preserve"> PAGEREF _Toc20755744 \h </w:instrText>
        </w:r>
        <w:r w:rsidR="00E55198" w:rsidRPr="00E55198">
          <w:rPr>
            <w:i w:val="0"/>
            <w:webHidden/>
          </w:rPr>
        </w:r>
        <w:r w:rsidR="00E55198" w:rsidRPr="00E55198">
          <w:rPr>
            <w:i w:val="0"/>
            <w:webHidden/>
          </w:rPr>
          <w:fldChar w:fldCharType="separate"/>
        </w:r>
        <w:r w:rsidR="00DC4437">
          <w:rPr>
            <w:i w:val="0"/>
            <w:webHidden/>
          </w:rPr>
          <w:t>37</w:t>
        </w:r>
        <w:r w:rsidR="00E55198" w:rsidRPr="00E55198">
          <w:rPr>
            <w:i w:val="0"/>
            <w:webHidden/>
          </w:rPr>
          <w:fldChar w:fldCharType="end"/>
        </w:r>
      </w:hyperlink>
    </w:p>
    <w:p w14:paraId="5717ABAE" w14:textId="7320B9A6" w:rsidR="00E55198" w:rsidRPr="00E55198" w:rsidRDefault="00D05549" w:rsidP="00E55198">
      <w:pPr>
        <w:pStyle w:val="TDC2"/>
        <w:rPr>
          <w:rFonts w:eastAsiaTheme="minorEastAsia"/>
          <w:i w:val="0"/>
          <w:sz w:val="22"/>
          <w:szCs w:val="22"/>
          <w:lang w:val="es-CR" w:eastAsia="es-CR"/>
        </w:rPr>
      </w:pPr>
      <w:hyperlink w:anchor="_Toc20755745" w:history="1">
        <w:r w:rsidR="00E55198" w:rsidRPr="00E55198">
          <w:rPr>
            <w:rStyle w:val="Hipervnculo"/>
            <w:i w:val="0"/>
          </w:rPr>
          <w:t>D.</w:t>
        </w:r>
        <w:r w:rsidR="00E55198" w:rsidRPr="00E55198">
          <w:rPr>
            <w:rFonts w:eastAsiaTheme="minorEastAsia"/>
            <w:i w:val="0"/>
            <w:sz w:val="22"/>
            <w:szCs w:val="22"/>
            <w:lang w:val="es-CR" w:eastAsia="es-CR"/>
          </w:rPr>
          <w:tab/>
        </w:r>
        <w:r w:rsidR="00E55198" w:rsidRPr="00E55198">
          <w:rPr>
            <w:rStyle w:val="Hipervnculo"/>
            <w:i w:val="0"/>
          </w:rPr>
          <w:t>Costas y gastos</w:t>
        </w:r>
        <w:r w:rsidR="00E55198" w:rsidRPr="00E55198">
          <w:rPr>
            <w:i w:val="0"/>
            <w:webHidden/>
          </w:rPr>
          <w:tab/>
        </w:r>
        <w:r w:rsidR="00E55198" w:rsidRPr="00E55198">
          <w:rPr>
            <w:i w:val="0"/>
            <w:webHidden/>
          </w:rPr>
          <w:fldChar w:fldCharType="begin"/>
        </w:r>
        <w:r w:rsidR="00E55198" w:rsidRPr="00E55198">
          <w:rPr>
            <w:i w:val="0"/>
            <w:webHidden/>
          </w:rPr>
          <w:instrText xml:space="preserve"> PAGEREF _Toc20755745 \h </w:instrText>
        </w:r>
        <w:r w:rsidR="00E55198" w:rsidRPr="00E55198">
          <w:rPr>
            <w:i w:val="0"/>
            <w:webHidden/>
          </w:rPr>
        </w:r>
        <w:r w:rsidR="00E55198" w:rsidRPr="00E55198">
          <w:rPr>
            <w:i w:val="0"/>
            <w:webHidden/>
          </w:rPr>
          <w:fldChar w:fldCharType="separate"/>
        </w:r>
        <w:r w:rsidR="00DC4437">
          <w:rPr>
            <w:i w:val="0"/>
            <w:webHidden/>
          </w:rPr>
          <w:t>38</w:t>
        </w:r>
        <w:r w:rsidR="00E55198" w:rsidRPr="00E55198">
          <w:rPr>
            <w:i w:val="0"/>
            <w:webHidden/>
          </w:rPr>
          <w:fldChar w:fldCharType="end"/>
        </w:r>
      </w:hyperlink>
    </w:p>
    <w:p w14:paraId="422217E4" w14:textId="497EFFB4" w:rsidR="00E55198" w:rsidRPr="00E55198" w:rsidRDefault="00D05549" w:rsidP="00E55198">
      <w:pPr>
        <w:pStyle w:val="TDC2"/>
        <w:rPr>
          <w:rFonts w:eastAsiaTheme="minorEastAsia"/>
          <w:i w:val="0"/>
          <w:sz w:val="22"/>
          <w:szCs w:val="22"/>
          <w:lang w:val="es-CR" w:eastAsia="es-CR"/>
        </w:rPr>
      </w:pPr>
      <w:hyperlink w:anchor="_Toc20755746" w:history="1">
        <w:r w:rsidR="00E55198" w:rsidRPr="00E55198">
          <w:rPr>
            <w:rStyle w:val="Hipervnculo"/>
            <w:i w:val="0"/>
          </w:rPr>
          <w:t>E.</w:t>
        </w:r>
        <w:r w:rsidR="00E55198" w:rsidRPr="00E55198">
          <w:rPr>
            <w:rFonts w:eastAsiaTheme="minorEastAsia"/>
            <w:i w:val="0"/>
            <w:sz w:val="22"/>
            <w:szCs w:val="22"/>
            <w:lang w:val="es-CR" w:eastAsia="es-CR"/>
          </w:rPr>
          <w:tab/>
        </w:r>
        <w:r w:rsidR="00E55198" w:rsidRPr="00E55198">
          <w:rPr>
            <w:rStyle w:val="Hipervnculo"/>
            <w:i w:val="0"/>
          </w:rPr>
          <w:t>Modalidad de cumplimiento de los pagos ordenados</w:t>
        </w:r>
        <w:r w:rsidR="00E55198" w:rsidRPr="00E55198">
          <w:rPr>
            <w:i w:val="0"/>
            <w:webHidden/>
          </w:rPr>
          <w:tab/>
        </w:r>
        <w:r w:rsidR="00E55198" w:rsidRPr="00E55198">
          <w:rPr>
            <w:i w:val="0"/>
            <w:webHidden/>
          </w:rPr>
          <w:fldChar w:fldCharType="begin"/>
        </w:r>
        <w:r w:rsidR="00E55198" w:rsidRPr="00E55198">
          <w:rPr>
            <w:i w:val="0"/>
            <w:webHidden/>
          </w:rPr>
          <w:instrText xml:space="preserve"> PAGEREF _Toc20755746 \h </w:instrText>
        </w:r>
        <w:r w:rsidR="00E55198" w:rsidRPr="00E55198">
          <w:rPr>
            <w:i w:val="0"/>
            <w:webHidden/>
          </w:rPr>
        </w:r>
        <w:r w:rsidR="00E55198" w:rsidRPr="00E55198">
          <w:rPr>
            <w:i w:val="0"/>
            <w:webHidden/>
          </w:rPr>
          <w:fldChar w:fldCharType="separate"/>
        </w:r>
        <w:r w:rsidR="00DC4437">
          <w:rPr>
            <w:i w:val="0"/>
            <w:webHidden/>
          </w:rPr>
          <w:t>39</w:t>
        </w:r>
        <w:r w:rsidR="00E55198" w:rsidRPr="00E55198">
          <w:rPr>
            <w:i w:val="0"/>
            <w:webHidden/>
          </w:rPr>
          <w:fldChar w:fldCharType="end"/>
        </w:r>
      </w:hyperlink>
    </w:p>
    <w:p w14:paraId="30FB4BF6" w14:textId="28247389" w:rsidR="00E55198" w:rsidRPr="00E55198" w:rsidRDefault="00D05549" w:rsidP="00E55198">
      <w:pPr>
        <w:pStyle w:val="TDC1"/>
        <w:tabs>
          <w:tab w:val="right" w:leader="dot" w:pos="9792"/>
        </w:tabs>
        <w:spacing w:before="0" w:after="0" w:line="240" w:lineRule="auto"/>
        <w:jc w:val="both"/>
        <w:rPr>
          <w:rFonts w:ascii="Verdana" w:eastAsiaTheme="minorEastAsia" w:hAnsi="Verdana"/>
          <w:b w:val="0"/>
          <w:bCs w:val="0"/>
          <w:caps w:val="0"/>
          <w:noProof/>
          <w:sz w:val="22"/>
          <w:szCs w:val="22"/>
          <w:lang w:val="es-CR" w:eastAsia="es-CR"/>
        </w:rPr>
      </w:pPr>
      <w:hyperlink w:anchor="_Toc20755747" w:history="1">
        <w:r w:rsidR="00E55198" w:rsidRPr="00E55198">
          <w:rPr>
            <w:rStyle w:val="Hipervnculo"/>
            <w:rFonts w:ascii="Verdana" w:eastAsia="Times New Roman" w:hAnsi="Verdana" w:cs="Verdana"/>
            <w:noProof/>
            <w:snapToGrid w:val="0"/>
            <w:lang w:val="es-ES_tradnl"/>
          </w:rPr>
          <w:t>VIII PUNTOS RESOLUTIVOS</w:t>
        </w:r>
        <w:r w:rsidR="00E55198" w:rsidRPr="00E55198">
          <w:rPr>
            <w:rFonts w:ascii="Verdana" w:hAnsi="Verdana"/>
            <w:noProof/>
            <w:webHidden/>
          </w:rPr>
          <w:tab/>
        </w:r>
        <w:r w:rsidR="00E55198" w:rsidRPr="00E55198">
          <w:rPr>
            <w:rFonts w:ascii="Verdana" w:hAnsi="Verdana"/>
            <w:noProof/>
            <w:webHidden/>
          </w:rPr>
          <w:fldChar w:fldCharType="begin"/>
        </w:r>
        <w:r w:rsidR="00E55198" w:rsidRPr="00E55198">
          <w:rPr>
            <w:rFonts w:ascii="Verdana" w:hAnsi="Verdana"/>
            <w:noProof/>
            <w:webHidden/>
          </w:rPr>
          <w:instrText xml:space="preserve"> PAGEREF _Toc20755747 \h </w:instrText>
        </w:r>
        <w:r w:rsidR="00E55198" w:rsidRPr="00E55198">
          <w:rPr>
            <w:rFonts w:ascii="Verdana" w:hAnsi="Verdana"/>
            <w:noProof/>
            <w:webHidden/>
          </w:rPr>
        </w:r>
        <w:r w:rsidR="00E55198" w:rsidRPr="00E55198">
          <w:rPr>
            <w:rFonts w:ascii="Verdana" w:hAnsi="Verdana"/>
            <w:noProof/>
            <w:webHidden/>
          </w:rPr>
          <w:fldChar w:fldCharType="separate"/>
        </w:r>
        <w:r w:rsidR="00DC4437">
          <w:rPr>
            <w:rFonts w:ascii="Verdana" w:hAnsi="Verdana"/>
            <w:noProof/>
            <w:webHidden/>
          </w:rPr>
          <w:t>40</w:t>
        </w:r>
        <w:r w:rsidR="00E55198" w:rsidRPr="00E55198">
          <w:rPr>
            <w:rFonts w:ascii="Verdana" w:hAnsi="Verdana"/>
            <w:noProof/>
            <w:webHidden/>
          </w:rPr>
          <w:fldChar w:fldCharType="end"/>
        </w:r>
      </w:hyperlink>
    </w:p>
    <w:p w14:paraId="50BE3C6F" w14:textId="735FC017" w:rsidR="001C05D8" w:rsidRPr="002F036A" w:rsidRDefault="00E55198" w:rsidP="00E55198">
      <w:pPr>
        <w:tabs>
          <w:tab w:val="left" w:pos="0"/>
          <w:tab w:val="left" w:pos="8730"/>
          <w:tab w:val="right" w:leader="dot" w:pos="8789"/>
          <w:tab w:val="left" w:pos="8931"/>
          <w:tab w:val="left" w:pos="9639"/>
          <w:tab w:val="right" w:leader="dot" w:pos="10065"/>
        </w:tabs>
        <w:spacing w:after="0" w:line="240" w:lineRule="auto"/>
        <w:ind w:right="815"/>
        <w:jc w:val="both"/>
        <w:rPr>
          <w:rFonts w:ascii="Verdana" w:eastAsia="Calibri" w:hAnsi="Verdana" w:cs="Verdana"/>
          <w:b/>
          <w:caps/>
          <w:noProof/>
          <w:snapToGrid w:val="0"/>
          <w:sz w:val="20"/>
          <w:szCs w:val="20"/>
          <w:lang w:val="es-ES_tradnl"/>
        </w:rPr>
      </w:pPr>
      <w:r w:rsidRPr="00E55198">
        <w:rPr>
          <w:rFonts w:ascii="Verdana" w:eastAsia="Calibri" w:hAnsi="Verdana" w:cs="Verdana"/>
          <w:b/>
          <w:caps/>
          <w:noProof/>
          <w:snapToGrid w:val="0"/>
          <w:sz w:val="20"/>
          <w:szCs w:val="20"/>
          <w:lang w:val="es-ES_tradnl"/>
        </w:rPr>
        <w:fldChar w:fldCharType="end"/>
      </w:r>
    </w:p>
    <w:p w14:paraId="50BE3C70" w14:textId="77777777" w:rsidR="001C05D8" w:rsidRPr="002F036A" w:rsidRDefault="001C05D8" w:rsidP="00CF0F81">
      <w:pPr>
        <w:spacing w:after="0" w:line="240" w:lineRule="auto"/>
        <w:jc w:val="both"/>
        <w:rPr>
          <w:rFonts w:ascii="Verdana" w:eastAsia="Calibri" w:hAnsi="Verdana" w:cs="Verdana"/>
          <w:b/>
          <w:caps/>
          <w:noProof/>
          <w:snapToGrid w:val="0"/>
          <w:sz w:val="20"/>
          <w:szCs w:val="20"/>
          <w:lang w:val="es-ES_tradnl"/>
        </w:rPr>
      </w:pPr>
      <w:r w:rsidRPr="002F036A">
        <w:rPr>
          <w:rFonts w:ascii="Verdana" w:eastAsia="Calibri" w:hAnsi="Verdana" w:cs="Verdana"/>
          <w:b/>
          <w:caps/>
          <w:noProof/>
          <w:snapToGrid w:val="0"/>
          <w:sz w:val="20"/>
          <w:szCs w:val="20"/>
          <w:lang w:val="es-ES_tradnl"/>
        </w:rPr>
        <w:br w:type="page"/>
      </w:r>
    </w:p>
    <w:p w14:paraId="50BE3C71" w14:textId="77777777" w:rsidR="001C05D8" w:rsidRPr="002F036A" w:rsidRDefault="001C05D8" w:rsidP="00972D9D">
      <w:pPr>
        <w:keepNext/>
        <w:keepLines/>
        <w:tabs>
          <w:tab w:val="left" w:pos="851"/>
        </w:tabs>
        <w:spacing w:after="0" w:line="240" w:lineRule="auto"/>
        <w:jc w:val="center"/>
        <w:outlineLvl w:val="0"/>
        <w:rPr>
          <w:rFonts w:ascii="Verdana" w:eastAsia="Calibri" w:hAnsi="Verdana" w:cs="Times New Roman"/>
          <w:sz w:val="20"/>
          <w:szCs w:val="20"/>
          <w:lang w:val="es-ES_tradnl"/>
        </w:rPr>
      </w:pPr>
      <w:bookmarkStart w:id="1" w:name="_Toc494123963"/>
      <w:bookmarkStart w:id="2" w:name="_Toc20755705"/>
      <w:r w:rsidRPr="002F036A">
        <w:rPr>
          <w:rFonts w:ascii="Verdana" w:eastAsia="Times New Roman" w:hAnsi="Verdana" w:cs="Verdana"/>
          <w:b/>
          <w:bCs/>
          <w:caps/>
          <w:snapToGrid w:val="0"/>
          <w:sz w:val="20"/>
          <w:szCs w:val="20"/>
          <w:lang w:val="es-ES_tradnl"/>
        </w:rPr>
        <w:lastRenderedPageBreak/>
        <w:t>I</w:t>
      </w:r>
      <w:r w:rsidRPr="002F036A">
        <w:rPr>
          <w:rFonts w:ascii="Verdana" w:eastAsia="Times New Roman" w:hAnsi="Verdana" w:cs="Verdana"/>
          <w:b/>
          <w:bCs/>
          <w:caps/>
          <w:snapToGrid w:val="0"/>
          <w:sz w:val="20"/>
          <w:szCs w:val="20"/>
          <w:lang w:val="es-ES_tradnl"/>
        </w:rPr>
        <w:br/>
      </w:r>
      <w:bookmarkEnd w:id="0"/>
      <w:r w:rsidRPr="002F036A">
        <w:rPr>
          <w:rFonts w:ascii="Verdana" w:eastAsia="Times New Roman" w:hAnsi="Verdana" w:cs="Verdana"/>
          <w:b/>
          <w:bCs/>
          <w:caps/>
          <w:snapToGrid w:val="0"/>
          <w:sz w:val="20"/>
          <w:szCs w:val="20"/>
          <w:lang w:val="es-ES_tradnl"/>
        </w:rPr>
        <w:t>INTRODUCCIÓN DE LA CAUSA Y OBJETO DE LA CONTROVERSIA</w:t>
      </w:r>
      <w:bookmarkEnd w:id="1"/>
      <w:bookmarkEnd w:id="2"/>
    </w:p>
    <w:p w14:paraId="50BE3C72" w14:textId="0A859DD0" w:rsidR="001C05D8" w:rsidRPr="002F036A" w:rsidRDefault="001C05D8"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lang w:val="es-CR" w:eastAsia="es-CR"/>
        </w:rPr>
      </w:pPr>
      <w:r w:rsidRPr="002F036A">
        <w:rPr>
          <w:rFonts w:ascii="Verdana" w:eastAsia="Verdana" w:hAnsi="Verdana" w:cs="Verdana"/>
          <w:i/>
          <w:sz w:val="20"/>
          <w:szCs w:val="20"/>
          <w:lang w:val="es-ES" w:eastAsia="es-CR"/>
        </w:rPr>
        <w:t xml:space="preserve">El caso sometido a la Corte. – </w:t>
      </w:r>
      <w:r w:rsidRPr="002F036A">
        <w:rPr>
          <w:rFonts w:ascii="Verdana" w:eastAsia="Verdana" w:hAnsi="Verdana" w:cs="Verdana"/>
          <w:sz w:val="20"/>
          <w:szCs w:val="20"/>
          <w:lang w:val="es-ES" w:eastAsia="es-CR"/>
        </w:rPr>
        <w:t xml:space="preserve">El 19 de octubre de 2017 la Comisión Interamericana de Derechos Humanos (en adelante “la Comisión Interamericana” o “la Comisión”) sometió a la jurisdicción de la Corte el caso </w:t>
      </w:r>
      <w:r w:rsidRPr="002F036A">
        <w:rPr>
          <w:rFonts w:ascii="Verdana" w:eastAsia="Verdana" w:hAnsi="Verdana" w:cs="Verdana"/>
          <w:i/>
          <w:sz w:val="20"/>
          <w:szCs w:val="20"/>
          <w:lang w:val="es-ES" w:eastAsia="es-CR"/>
        </w:rPr>
        <w:t>“</w:t>
      </w:r>
      <w:proofErr w:type="spellStart"/>
      <w:r w:rsidRPr="002F036A">
        <w:rPr>
          <w:rFonts w:ascii="Verdana" w:eastAsia="Verdana" w:hAnsi="Verdana" w:cs="Verdana"/>
          <w:i/>
          <w:sz w:val="20"/>
          <w:szCs w:val="20"/>
          <w:lang w:val="es-ES" w:eastAsia="es-CR"/>
        </w:rPr>
        <w:t>Perrone</w:t>
      </w:r>
      <w:proofErr w:type="spellEnd"/>
      <w:r w:rsidRPr="002F036A">
        <w:rPr>
          <w:rFonts w:ascii="Verdana" w:eastAsia="Verdana" w:hAnsi="Verdana" w:cs="Verdana"/>
          <w:i/>
          <w:sz w:val="20"/>
          <w:szCs w:val="20"/>
          <w:lang w:val="es-ES" w:eastAsia="es-CR"/>
        </w:rPr>
        <w:t xml:space="preserve"> y </w:t>
      </w:r>
      <w:proofErr w:type="spellStart"/>
      <w:r w:rsidRPr="002F036A">
        <w:rPr>
          <w:rFonts w:ascii="Verdana" w:eastAsia="Verdana" w:hAnsi="Verdana" w:cs="Verdana"/>
          <w:i/>
          <w:sz w:val="20"/>
          <w:szCs w:val="20"/>
          <w:lang w:val="es-ES" w:eastAsia="es-CR"/>
        </w:rPr>
        <w:t>Preckel</w:t>
      </w:r>
      <w:proofErr w:type="spellEnd"/>
      <w:r w:rsidRPr="002F036A">
        <w:rPr>
          <w:rFonts w:ascii="Verdana" w:eastAsia="Verdana" w:hAnsi="Verdana" w:cs="Verdana"/>
          <w:i/>
          <w:sz w:val="20"/>
          <w:szCs w:val="20"/>
          <w:lang w:val="es-ES" w:eastAsia="es-CR"/>
        </w:rPr>
        <w:t>”</w:t>
      </w:r>
      <w:r w:rsidRPr="002F036A">
        <w:rPr>
          <w:rFonts w:ascii="Verdana" w:eastAsia="Verdana" w:hAnsi="Verdana" w:cs="Verdana"/>
          <w:sz w:val="20"/>
          <w:szCs w:val="20"/>
          <w:lang w:val="es-ES" w:eastAsia="es-CR"/>
        </w:rPr>
        <w:t xml:space="preserve"> contra la República de Argentina (en adelante “el Estado de Argentina”, “el Estado” o “Argentina”). De acuerdo con lo indicado por la Comisión, el caso </w:t>
      </w:r>
      <w:r w:rsidR="00130BEF" w:rsidRPr="002F036A">
        <w:rPr>
          <w:rFonts w:ascii="Verdana" w:eastAsia="Verdana" w:hAnsi="Verdana" w:cs="Verdana"/>
          <w:sz w:val="20"/>
          <w:szCs w:val="20"/>
          <w:lang w:val="es-ES" w:eastAsia="es-CR"/>
        </w:rPr>
        <w:t xml:space="preserve">se </w:t>
      </w:r>
      <w:r w:rsidRPr="002F036A">
        <w:rPr>
          <w:rFonts w:ascii="Verdana" w:hAnsi="Verdana"/>
          <w:sz w:val="20"/>
          <w:szCs w:val="20"/>
          <w:lang w:val="es-CR" w:eastAsia="es-CR"/>
        </w:rPr>
        <w:t xml:space="preserve">relaciona </w:t>
      </w:r>
      <w:r w:rsidRPr="002F036A">
        <w:rPr>
          <w:rFonts w:ascii="Verdana" w:hAnsi="Verdana" w:cs="Arial"/>
          <w:sz w:val="20"/>
          <w:szCs w:val="20"/>
          <w:lang w:val="es-CR" w:eastAsia="es-CR"/>
        </w:rPr>
        <w:t xml:space="preserve">con la violación de los derechos a las garantías judiciales y protección judicial en los procesos administrativos y judiciales iniciados por Elba Clotilde Perrone y Juan José Preckel a efectos de solicitar el pago de los salarios y beneficios sociales dejados de percibir en la entidad estatal en la que laboraban, como consecuencia de su alegada privación arbitraria de libertad </w:t>
      </w:r>
      <w:r w:rsidR="00635C42" w:rsidRPr="002F036A">
        <w:rPr>
          <w:rFonts w:ascii="Verdana" w:hAnsi="Verdana" w:cs="Arial"/>
          <w:sz w:val="20"/>
          <w:szCs w:val="20"/>
          <w:lang w:val="es-CR" w:eastAsia="es-CR"/>
        </w:rPr>
        <w:t xml:space="preserve">por parte de agentes estatales </w:t>
      </w:r>
      <w:r w:rsidRPr="002F036A">
        <w:rPr>
          <w:rFonts w:ascii="Verdana" w:hAnsi="Verdana" w:cs="Arial"/>
          <w:sz w:val="20"/>
          <w:szCs w:val="20"/>
          <w:lang w:val="es-CR" w:eastAsia="es-CR"/>
        </w:rPr>
        <w:t xml:space="preserve">durante la dictadura militar. La Comisión consideró que el lapso de más de doce años de duración de los procesos administrativos y judiciales sobrepasó un plazo que pueda considerarse razonable. Asimismo, concluyó que las autoridades judiciales y administrativas violaron el derecho a contar con una motivación suficiente y adecuada. Adicionalmente, la Comisión consideró que al haberse violado dichas garantías del debido proceso, los procesos administrativos y judiciales también implicaron una vulneración del derecho a la protección judicial. </w:t>
      </w:r>
    </w:p>
    <w:p w14:paraId="50BE3C73" w14:textId="77777777" w:rsidR="001C05D8" w:rsidRPr="002F036A" w:rsidRDefault="001C05D8"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eastAsia="Calibri" w:hAnsi="Verdana" w:cs="Arial"/>
          <w:sz w:val="20"/>
          <w:szCs w:val="20"/>
          <w:lang w:val="es-ES" w:eastAsia="es-CR"/>
        </w:rPr>
      </w:pPr>
      <w:r w:rsidRPr="002F036A">
        <w:rPr>
          <w:rFonts w:ascii="Verdana" w:eastAsia="Verdana" w:hAnsi="Verdana" w:cs="Verdana"/>
          <w:i/>
          <w:sz w:val="20"/>
          <w:szCs w:val="20"/>
          <w:lang w:val="es-ES" w:eastAsia="es-CR"/>
        </w:rPr>
        <w:t xml:space="preserve">Trámite ante la Comisión. – </w:t>
      </w:r>
      <w:r w:rsidRPr="002F036A">
        <w:rPr>
          <w:rFonts w:ascii="Verdana" w:eastAsia="Verdana" w:hAnsi="Verdana" w:cs="Verdana"/>
          <w:sz w:val="20"/>
          <w:szCs w:val="20"/>
          <w:lang w:val="es-ES" w:eastAsia="es-CR"/>
        </w:rPr>
        <w:t>El trámite ante la Comisión fue el siguiente:</w:t>
      </w:r>
    </w:p>
    <w:p w14:paraId="50BE3C74" w14:textId="51ED37D3" w:rsidR="001C05D8" w:rsidRPr="002F036A" w:rsidRDefault="001C05D8" w:rsidP="00972D9D">
      <w:pPr>
        <w:widowControl w:val="0"/>
        <w:numPr>
          <w:ilvl w:val="0"/>
          <w:numId w:val="14"/>
        </w:numPr>
        <w:adjustRightInd w:val="0"/>
        <w:spacing w:before="120" w:after="120" w:line="240" w:lineRule="auto"/>
        <w:ind w:left="816" w:right="142" w:hanging="357"/>
        <w:jc w:val="both"/>
        <w:textAlignment w:val="baseline"/>
        <w:rPr>
          <w:rFonts w:ascii="Verdana" w:eastAsia="Verdana" w:hAnsi="Verdana" w:cs="Verdana"/>
          <w:sz w:val="20"/>
          <w:szCs w:val="20"/>
          <w:lang w:val="es-ES" w:eastAsia="es-CR"/>
        </w:rPr>
      </w:pPr>
      <w:r w:rsidRPr="002F036A">
        <w:rPr>
          <w:rFonts w:ascii="Verdana" w:eastAsia="Verdana" w:hAnsi="Verdana" w:cs="Verdana"/>
          <w:i/>
          <w:sz w:val="20"/>
          <w:szCs w:val="20"/>
          <w:lang w:val="es-ES" w:eastAsia="es-CR"/>
        </w:rPr>
        <w:t xml:space="preserve">Petición. – </w:t>
      </w:r>
      <w:r w:rsidRPr="002F036A">
        <w:rPr>
          <w:rFonts w:ascii="Verdana" w:eastAsia="Verdana" w:hAnsi="Verdana" w:cs="Verdana"/>
          <w:sz w:val="20"/>
          <w:szCs w:val="20"/>
          <w:lang w:val="es-ES" w:eastAsia="es-CR"/>
        </w:rPr>
        <w:t>Mediante comunicaciones de 23 de diciembre de 1996 y 13 de enero de 1997, la Asamblea Permanente por los Derechos (en adelante “los peticionarios”) presen</w:t>
      </w:r>
      <w:r w:rsidR="00164CF2" w:rsidRPr="002F036A">
        <w:rPr>
          <w:rFonts w:ascii="Verdana" w:eastAsia="Verdana" w:hAnsi="Verdana" w:cs="Verdana"/>
          <w:sz w:val="20"/>
          <w:szCs w:val="20"/>
          <w:lang w:val="es-ES" w:eastAsia="es-CR"/>
        </w:rPr>
        <w:t>tó</w:t>
      </w:r>
      <w:r w:rsidRPr="002F036A">
        <w:rPr>
          <w:rFonts w:ascii="Verdana" w:eastAsia="Verdana" w:hAnsi="Verdana" w:cs="Verdana"/>
          <w:sz w:val="20"/>
          <w:szCs w:val="20"/>
          <w:lang w:val="es-ES" w:eastAsia="es-CR"/>
        </w:rPr>
        <w:t xml:space="preserve"> la petición inicial ante la Comisión. </w:t>
      </w:r>
    </w:p>
    <w:p w14:paraId="50BE3C75" w14:textId="4303F706" w:rsidR="001C05D8" w:rsidRPr="002F036A" w:rsidRDefault="001C05D8" w:rsidP="00972D9D">
      <w:pPr>
        <w:widowControl w:val="0"/>
        <w:numPr>
          <w:ilvl w:val="0"/>
          <w:numId w:val="14"/>
        </w:numPr>
        <w:adjustRightInd w:val="0"/>
        <w:spacing w:before="120" w:after="120" w:line="240" w:lineRule="auto"/>
        <w:ind w:left="816" w:right="142" w:hanging="357"/>
        <w:jc w:val="both"/>
        <w:textAlignment w:val="baseline"/>
        <w:rPr>
          <w:rFonts w:ascii="Verdana" w:eastAsia="Verdana" w:hAnsi="Verdana" w:cs="Verdana"/>
          <w:sz w:val="20"/>
          <w:szCs w:val="20"/>
          <w:lang w:val="es-ES" w:eastAsia="es-CR"/>
        </w:rPr>
      </w:pPr>
      <w:r w:rsidRPr="002F036A">
        <w:rPr>
          <w:rFonts w:ascii="Verdana" w:eastAsia="Verdana" w:hAnsi="Verdana" w:cs="Verdana"/>
          <w:i/>
          <w:sz w:val="20"/>
          <w:szCs w:val="20"/>
          <w:lang w:val="es-ES" w:eastAsia="es-CR"/>
        </w:rPr>
        <w:t xml:space="preserve">Informe de Admisibilidad. – </w:t>
      </w:r>
      <w:r w:rsidRPr="002F036A">
        <w:rPr>
          <w:rFonts w:ascii="Verdana" w:eastAsia="Verdana" w:hAnsi="Verdana" w:cs="Verdana"/>
          <w:sz w:val="20"/>
          <w:szCs w:val="20"/>
          <w:lang w:val="es-ES" w:eastAsia="es-CR"/>
        </w:rPr>
        <w:t>El 4 de mayo de 1999</w:t>
      </w:r>
      <w:r w:rsidR="00C27C71" w:rsidRPr="002F036A">
        <w:rPr>
          <w:rFonts w:ascii="Verdana" w:eastAsia="Verdana" w:hAnsi="Verdana" w:cs="Verdana"/>
          <w:sz w:val="20"/>
          <w:szCs w:val="20"/>
          <w:lang w:val="es-ES" w:eastAsia="es-CR"/>
        </w:rPr>
        <w:t>,</w:t>
      </w:r>
      <w:r w:rsidRPr="002F036A">
        <w:rPr>
          <w:rFonts w:ascii="Verdana" w:eastAsia="Verdana" w:hAnsi="Verdana" w:cs="Verdana"/>
          <w:sz w:val="20"/>
          <w:szCs w:val="20"/>
          <w:lang w:val="es-ES" w:eastAsia="es-CR"/>
        </w:rPr>
        <w:t xml:space="preserve"> la Comisión aprobó el Informe de </w:t>
      </w:r>
      <w:r w:rsidRPr="002F036A">
        <w:rPr>
          <w:rFonts w:ascii="Verdana" w:eastAsia="Verdana" w:hAnsi="Verdana" w:cs="Verdana"/>
          <w:position w:val="-1"/>
          <w:sz w:val="20"/>
          <w:szCs w:val="20"/>
          <w:lang w:val="es-ES" w:eastAsia="es-CR"/>
        </w:rPr>
        <w:t>Admisibilidad No. 67/99</w:t>
      </w:r>
      <w:r w:rsidRPr="002F036A">
        <w:rPr>
          <w:rStyle w:val="Refdenotaalpie"/>
          <w:rFonts w:ascii="Verdana" w:eastAsia="Verdana" w:hAnsi="Verdana" w:cs="Verdana"/>
          <w:position w:val="-1"/>
          <w:sz w:val="20"/>
          <w:szCs w:val="20"/>
          <w:lang w:val="es-ES" w:eastAsia="es-CR"/>
        </w:rPr>
        <w:footnoteReference w:id="3"/>
      </w:r>
      <w:r w:rsidRPr="002F036A">
        <w:rPr>
          <w:rFonts w:ascii="Verdana" w:eastAsia="Verdana" w:hAnsi="Verdana" w:cs="Verdana"/>
          <w:position w:val="-1"/>
          <w:sz w:val="20"/>
          <w:szCs w:val="20"/>
          <w:lang w:val="es-ES" w:eastAsia="es-CR"/>
        </w:rPr>
        <w:t xml:space="preserve">, </w:t>
      </w:r>
      <w:r w:rsidRPr="002F036A">
        <w:rPr>
          <w:rFonts w:ascii="Verdana" w:eastAsia="Times New Roman" w:hAnsi="Verdana" w:cs="Verdana"/>
          <w:sz w:val="20"/>
          <w:szCs w:val="20"/>
          <w:lang w:val="es-ES" w:eastAsia="es-CR"/>
        </w:rPr>
        <w:t xml:space="preserve">en el que declaró que la petición era admisible </w:t>
      </w:r>
      <w:r w:rsidRPr="002F036A">
        <w:rPr>
          <w:rFonts w:ascii="Verdana" w:hAnsi="Verdana"/>
          <w:sz w:val="20"/>
          <w:szCs w:val="20"/>
        </w:rPr>
        <w:t xml:space="preserve">respecto de la presunta violación de los derechos reconocidos en los artículos 3, 8, 21, 24 y 25 de la Convención Americana y en el artículo XIV de la Declaración Americana </w:t>
      </w:r>
      <w:r w:rsidR="00164CF2" w:rsidRPr="002F036A">
        <w:rPr>
          <w:rFonts w:ascii="Verdana" w:hAnsi="Verdana"/>
          <w:sz w:val="20"/>
          <w:szCs w:val="20"/>
        </w:rPr>
        <w:t xml:space="preserve">de los </w:t>
      </w:r>
      <w:r w:rsidRPr="002F036A">
        <w:rPr>
          <w:rFonts w:ascii="Verdana" w:hAnsi="Verdana"/>
          <w:sz w:val="20"/>
          <w:szCs w:val="20"/>
        </w:rPr>
        <w:t>Derechos y Deberes del Hombre</w:t>
      </w:r>
      <w:r w:rsidR="00713E16" w:rsidRPr="002F036A">
        <w:rPr>
          <w:rStyle w:val="Refdenotaalpie"/>
          <w:rFonts w:ascii="Verdana" w:eastAsia="Times New Roman" w:hAnsi="Verdana" w:cs="Verdana"/>
          <w:sz w:val="20"/>
          <w:szCs w:val="20"/>
          <w:lang w:val="es-ES" w:eastAsia="es-CR"/>
        </w:rPr>
        <w:footnoteReference w:id="4"/>
      </w:r>
      <w:r w:rsidR="00C77A2E" w:rsidRPr="002F036A">
        <w:rPr>
          <w:rFonts w:ascii="Verdana" w:eastAsia="Times New Roman" w:hAnsi="Verdana" w:cs="Verdana"/>
          <w:sz w:val="20"/>
          <w:szCs w:val="20"/>
          <w:lang w:val="es-ES" w:eastAsia="es-CR"/>
        </w:rPr>
        <w:t>.</w:t>
      </w:r>
      <w:r w:rsidRPr="002F036A">
        <w:rPr>
          <w:rFonts w:ascii="Verdana" w:eastAsia="Verdana" w:hAnsi="Verdana" w:cs="Verdana"/>
          <w:position w:val="-1"/>
          <w:sz w:val="20"/>
          <w:szCs w:val="20"/>
          <w:lang w:val="es-ES" w:eastAsia="es-CR"/>
        </w:rPr>
        <w:t xml:space="preserve"> </w:t>
      </w:r>
    </w:p>
    <w:p w14:paraId="50BE3C76" w14:textId="0A287F71" w:rsidR="001C05D8" w:rsidRPr="002F036A" w:rsidRDefault="001C05D8" w:rsidP="00972D9D">
      <w:pPr>
        <w:widowControl w:val="0"/>
        <w:numPr>
          <w:ilvl w:val="0"/>
          <w:numId w:val="14"/>
        </w:numPr>
        <w:adjustRightInd w:val="0"/>
        <w:spacing w:before="120" w:after="120" w:line="240" w:lineRule="auto"/>
        <w:ind w:right="142"/>
        <w:jc w:val="both"/>
        <w:textAlignment w:val="baseline"/>
        <w:rPr>
          <w:rFonts w:ascii="Verdana" w:eastAsia="Verdana" w:hAnsi="Verdana" w:cs="Verdana"/>
          <w:sz w:val="20"/>
          <w:szCs w:val="20"/>
          <w:lang w:val="es-ES" w:eastAsia="es-CR"/>
        </w:rPr>
      </w:pPr>
      <w:r w:rsidRPr="002F036A">
        <w:rPr>
          <w:rFonts w:ascii="Verdana" w:eastAsia="Verdana" w:hAnsi="Verdana" w:cs="Verdana"/>
          <w:i/>
          <w:sz w:val="20"/>
          <w:szCs w:val="20"/>
          <w:lang w:val="es-ES" w:eastAsia="es-CR"/>
        </w:rPr>
        <w:t>Acuerdo de solución amistosa. –</w:t>
      </w:r>
      <w:r w:rsidRPr="002F036A">
        <w:rPr>
          <w:rFonts w:ascii="Verdana" w:eastAsia="Verdana" w:hAnsi="Verdana" w:cs="Verdana"/>
          <w:sz w:val="20"/>
          <w:szCs w:val="20"/>
          <w:lang w:val="es-ES" w:eastAsia="es-CR"/>
        </w:rPr>
        <w:t xml:space="preserve"> El 14 de abril de 2000 los peticionarios enviaron una comunicación a la Comisión indicando su disposición para alcanzar un acuerdo de solución amistosa. El 8 de febrero de 2001 el Estado presentó una comunicación indicando que no aceptaba entrar a un proceso de solución amistosa.</w:t>
      </w:r>
      <w:r w:rsidR="00604B8A" w:rsidRPr="002F036A">
        <w:rPr>
          <w:rFonts w:ascii="Verdana" w:eastAsia="Verdana" w:hAnsi="Verdana" w:cs="Verdana"/>
          <w:sz w:val="20"/>
          <w:szCs w:val="20"/>
          <w:lang w:val="es-ES" w:eastAsia="es-CR"/>
        </w:rPr>
        <w:t xml:space="preserve"> </w:t>
      </w:r>
    </w:p>
    <w:p w14:paraId="50BE3C77" w14:textId="4EADD8DC" w:rsidR="001C05D8" w:rsidRPr="002F036A" w:rsidRDefault="001C05D8" w:rsidP="00972D9D">
      <w:pPr>
        <w:widowControl w:val="0"/>
        <w:numPr>
          <w:ilvl w:val="0"/>
          <w:numId w:val="14"/>
        </w:numPr>
        <w:adjustRightInd w:val="0"/>
        <w:spacing w:before="120" w:after="120" w:line="240" w:lineRule="auto"/>
        <w:ind w:left="816" w:right="142" w:hanging="357"/>
        <w:jc w:val="both"/>
        <w:textAlignment w:val="baseline"/>
        <w:rPr>
          <w:rFonts w:ascii="Verdana" w:eastAsia="Verdana" w:hAnsi="Verdana" w:cs="Verdana"/>
          <w:sz w:val="20"/>
          <w:szCs w:val="20"/>
          <w:lang w:val="es-ES" w:eastAsia="es-CR"/>
        </w:rPr>
      </w:pPr>
      <w:r w:rsidRPr="002F036A">
        <w:rPr>
          <w:rFonts w:ascii="Verdana" w:eastAsia="Verdana" w:hAnsi="Verdana" w:cs="Verdana"/>
          <w:i/>
          <w:sz w:val="20"/>
          <w:szCs w:val="20"/>
          <w:lang w:val="es-ES" w:eastAsia="es-CR"/>
        </w:rPr>
        <w:t xml:space="preserve">Informe de Fondo. – </w:t>
      </w:r>
      <w:r w:rsidRPr="002F036A">
        <w:rPr>
          <w:rFonts w:ascii="Verdana" w:eastAsia="Verdana" w:hAnsi="Verdana" w:cs="Verdana"/>
          <w:sz w:val="20"/>
          <w:szCs w:val="20"/>
          <w:lang w:val="es-ES" w:eastAsia="es-CR"/>
        </w:rPr>
        <w:t xml:space="preserve">El 18 de marzo de 2017 la Comisión aprobó el Informe de Fondo No. 21/17, de conformidad con el artículo 50 de la Convención (en adelante también “el Informe de Fondo” o “el Informe No. </w:t>
      </w:r>
      <w:r w:rsidR="00E05FB3" w:rsidRPr="002F036A">
        <w:rPr>
          <w:rFonts w:ascii="Verdana" w:eastAsia="Verdana" w:hAnsi="Verdana" w:cs="Verdana"/>
          <w:sz w:val="20"/>
          <w:szCs w:val="20"/>
          <w:lang w:val="es-ES" w:eastAsia="es-CR"/>
        </w:rPr>
        <w:t>21</w:t>
      </w:r>
      <w:r w:rsidRPr="002F036A">
        <w:rPr>
          <w:rFonts w:ascii="Verdana" w:eastAsia="Verdana" w:hAnsi="Verdana" w:cs="Verdana"/>
          <w:sz w:val="20"/>
          <w:szCs w:val="20"/>
          <w:lang w:val="es-ES" w:eastAsia="es-CR"/>
        </w:rPr>
        <w:t>/1</w:t>
      </w:r>
      <w:r w:rsidR="00E05FB3" w:rsidRPr="002F036A">
        <w:rPr>
          <w:rFonts w:ascii="Verdana" w:eastAsia="Verdana" w:hAnsi="Verdana" w:cs="Verdana"/>
          <w:sz w:val="20"/>
          <w:szCs w:val="20"/>
          <w:lang w:val="es-ES" w:eastAsia="es-CR"/>
        </w:rPr>
        <w:t>7</w:t>
      </w:r>
      <w:r w:rsidRPr="002F036A">
        <w:rPr>
          <w:rFonts w:ascii="Verdana" w:eastAsia="Verdana" w:hAnsi="Verdana" w:cs="Verdana"/>
          <w:sz w:val="20"/>
          <w:szCs w:val="20"/>
          <w:lang w:val="es-ES" w:eastAsia="es-CR"/>
        </w:rPr>
        <w:t>”), en el cual llegó a una serie de conclusiones y formuló varias recomendaciones al Estado</w:t>
      </w:r>
      <w:r w:rsidRPr="002F036A">
        <w:rPr>
          <w:rStyle w:val="Refdenotaalpie"/>
          <w:rFonts w:ascii="Verdana" w:eastAsia="Verdana" w:hAnsi="Verdana" w:cs="Verdana"/>
          <w:sz w:val="20"/>
          <w:szCs w:val="20"/>
          <w:lang w:val="es-ES" w:eastAsia="es-CR"/>
        </w:rPr>
        <w:footnoteReference w:id="5"/>
      </w:r>
      <w:r w:rsidRPr="002F036A">
        <w:rPr>
          <w:rFonts w:ascii="Verdana" w:eastAsia="Verdana" w:hAnsi="Verdana" w:cs="Verdana"/>
          <w:sz w:val="20"/>
          <w:szCs w:val="20"/>
          <w:lang w:val="es-ES" w:eastAsia="es-CR"/>
        </w:rPr>
        <w:t xml:space="preserve">. </w:t>
      </w:r>
    </w:p>
    <w:p w14:paraId="50BE3C78" w14:textId="21115B47" w:rsidR="001C05D8" w:rsidRPr="002F036A" w:rsidRDefault="001C05D8" w:rsidP="00972D9D">
      <w:pPr>
        <w:widowControl w:val="0"/>
        <w:numPr>
          <w:ilvl w:val="0"/>
          <w:numId w:val="14"/>
        </w:numPr>
        <w:adjustRightInd w:val="0"/>
        <w:spacing w:before="120" w:after="120" w:line="240" w:lineRule="auto"/>
        <w:ind w:left="816" w:right="142" w:hanging="357"/>
        <w:jc w:val="both"/>
        <w:textAlignment w:val="baseline"/>
        <w:rPr>
          <w:rFonts w:ascii="Verdana" w:eastAsia="Verdana" w:hAnsi="Verdana" w:cs="Verdana"/>
          <w:sz w:val="20"/>
          <w:szCs w:val="20"/>
          <w:lang w:val="es-ES" w:eastAsia="es-CR"/>
        </w:rPr>
      </w:pPr>
      <w:r w:rsidRPr="002F036A">
        <w:rPr>
          <w:rFonts w:ascii="Verdana" w:eastAsia="Verdana" w:hAnsi="Verdana" w:cs="Verdana"/>
          <w:i/>
          <w:sz w:val="20"/>
          <w:szCs w:val="20"/>
          <w:lang w:val="es-ES" w:eastAsia="es-CR"/>
        </w:rPr>
        <w:t xml:space="preserve">Notificación al Estado. – </w:t>
      </w:r>
      <w:r w:rsidRPr="002F036A">
        <w:rPr>
          <w:rFonts w:ascii="Verdana" w:eastAsia="Verdana" w:hAnsi="Verdana" w:cs="Verdana"/>
          <w:sz w:val="20"/>
          <w:szCs w:val="20"/>
          <w:lang w:val="es-ES" w:eastAsia="es-CR"/>
        </w:rPr>
        <w:t>El 19 de abril de 2017 fue notificado al Estado el Informe No. 21/17, otorgándo</w:t>
      </w:r>
      <w:r w:rsidR="003619E9">
        <w:rPr>
          <w:rFonts w:ascii="Verdana" w:eastAsia="Verdana" w:hAnsi="Verdana" w:cs="Verdana"/>
          <w:sz w:val="20"/>
          <w:szCs w:val="20"/>
          <w:lang w:val="es-ES" w:eastAsia="es-CR"/>
        </w:rPr>
        <w:t>se</w:t>
      </w:r>
      <w:r w:rsidRPr="002F036A">
        <w:rPr>
          <w:rFonts w:ascii="Verdana" w:eastAsia="Verdana" w:hAnsi="Verdana" w:cs="Verdana"/>
          <w:sz w:val="20"/>
          <w:szCs w:val="20"/>
          <w:lang w:val="es-ES" w:eastAsia="es-CR"/>
        </w:rPr>
        <w:t xml:space="preserve">le un plazo de dos meses para informar sobre el cumplimiento de las recomendaciones. </w:t>
      </w:r>
    </w:p>
    <w:p w14:paraId="50BE3C79" w14:textId="22B791DA" w:rsidR="001C05D8" w:rsidRPr="002F036A" w:rsidRDefault="001C05D8" w:rsidP="00972D9D">
      <w:pPr>
        <w:widowControl w:val="0"/>
        <w:numPr>
          <w:ilvl w:val="0"/>
          <w:numId w:val="14"/>
        </w:numPr>
        <w:adjustRightInd w:val="0"/>
        <w:spacing w:before="120" w:after="120" w:line="240" w:lineRule="auto"/>
        <w:ind w:left="816" w:right="142" w:hanging="357"/>
        <w:jc w:val="both"/>
        <w:textAlignment w:val="baseline"/>
        <w:rPr>
          <w:rFonts w:ascii="Verdana" w:eastAsia="Verdana" w:hAnsi="Verdana" w:cs="Verdana"/>
          <w:sz w:val="20"/>
          <w:szCs w:val="20"/>
          <w:lang w:val="es-ES" w:eastAsia="es-CR"/>
        </w:rPr>
      </w:pPr>
      <w:r w:rsidRPr="002F036A">
        <w:rPr>
          <w:rFonts w:ascii="Verdana" w:eastAsia="Verdana" w:hAnsi="Verdana" w:cs="Verdana"/>
          <w:i/>
          <w:sz w:val="20"/>
          <w:szCs w:val="20"/>
          <w:lang w:val="es-ES" w:eastAsia="es-CR"/>
        </w:rPr>
        <w:t xml:space="preserve">Informes sobre las recomendaciones de la Comisión. – </w:t>
      </w:r>
      <w:r w:rsidRPr="002F036A">
        <w:rPr>
          <w:rFonts w:ascii="Verdana" w:eastAsia="Verdana" w:hAnsi="Verdana" w:cs="Verdana"/>
          <w:sz w:val="20"/>
          <w:szCs w:val="20"/>
          <w:lang w:val="es-ES" w:eastAsia="es-CR"/>
        </w:rPr>
        <w:t xml:space="preserve">El Estado no dio respuesta al Informe de Fondo de la Comisión. </w:t>
      </w:r>
    </w:p>
    <w:p w14:paraId="50BE3C7A" w14:textId="171163A1" w:rsidR="001C05D8" w:rsidRPr="002F036A" w:rsidRDefault="001C05D8" w:rsidP="00972D9D">
      <w:pPr>
        <w:widowControl w:val="0"/>
        <w:numPr>
          <w:ilvl w:val="0"/>
          <w:numId w:val="14"/>
        </w:numPr>
        <w:adjustRightInd w:val="0"/>
        <w:spacing w:before="120" w:after="120" w:line="240" w:lineRule="auto"/>
        <w:ind w:left="816" w:right="142" w:hanging="357"/>
        <w:jc w:val="both"/>
        <w:textAlignment w:val="baseline"/>
        <w:rPr>
          <w:rFonts w:ascii="Verdana" w:eastAsia="Times New Roman" w:hAnsi="Verdana" w:cs="Arial"/>
          <w:sz w:val="20"/>
          <w:szCs w:val="20"/>
          <w:lang w:val="es-ES" w:eastAsia="es-CR"/>
        </w:rPr>
      </w:pPr>
      <w:r w:rsidRPr="002F036A">
        <w:rPr>
          <w:rFonts w:ascii="Verdana" w:eastAsia="Verdana" w:hAnsi="Verdana" w:cs="Verdana"/>
          <w:i/>
          <w:sz w:val="20"/>
          <w:szCs w:val="20"/>
          <w:lang w:val="es-ES" w:eastAsia="es-CR"/>
        </w:rPr>
        <w:t>Sometimiento a la Corte. –</w:t>
      </w:r>
      <w:r w:rsidRPr="002F036A">
        <w:rPr>
          <w:rFonts w:ascii="Verdana" w:eastAsia="Verdana" w:hAnsi="Verdana" w:cs="Verdana"/>
          <w:sz w:val="20"/>
          <w:szCs w:val="20"/>
          <w:lang w:val="es-ES" w:eastAsia="es-CR"/>
        </w:rPr>
        <w:t xml:space="preserve"> El 19 de octubre de 2017</w:t>
      </w:r>
      <w:r w:rsidR="00C70633" w:rsidRPr="002F036A">
        <w:rPr>
          <w:rFonts w:ascii="Verdana" w:eastAsia="Verdana" w:hAnsi="Verdana" w:cs="Verdana"/>
          <w:sz w:val="20"/>
          <w:szCs w:val="20"/>
          <w:lang w:val="es-ES" w:eastAsia="es-CR"/>
        </w:rPr>
        <w:t>,</w:t>
      </w:r>
      <w:r w:rsidRPr="002F036A">
        <w:rPr>
          <w:rFonts w:ascii="Verdana" w:eastAsia="Verdana" w:hAnsi="Verdana" w:cs="Verdana"/>
          <w:sz w:val="20"/>
          <w:szCs w:val="20"/>
          <w:lang w:val="es-ES" w:eastAsia="es-CR"/>
        </w:rPr>
        <w:t xml:space="preserve"> la Comisión sometió a la jurisdicción de la Corte Interamericana la totalidad de los hechos y violaciones de derechos humanos descritos en el Informe de Fondo</w:t>
      </w:r>
      <w:r w:rsidRPr="002F036A">
        <w:rPr>
          <w:rFonts w:ascii="Verdana" w:eastAsia="Verdana" w:hAnsi="Verdana" w:cs="Verdana"/>
          <w:sz w:val="20"/>
          <w:szCs w:val="20"/>
          <w:vertAlign w:val="superscript"/>
          <w:lang w:val="es-ES" w:eastAsia="es-CR"/>
        </w:rPr>
        <w:footnoteReference w:id="6"/>
      </w:r>
      <w:r w:rsidRPr="002F036A">
        <w:rPr>
          <w:rFonts w:ascii="Verdana" w:eastAsia="Verdana" w:hAnsi="Verdana" w:cs="Verdana"/>
          <w:sz w:val="20"/>
          <w:szCs w:val="20"/>
          <w:lang w:val="es-ES" w:eastAsia="es-CR"/>
        </w:rPr>
        <w:t xml:space="preserve">. </w:t>
      </w:r>
    </w:p>
    <w:p w14:paraId="50BE3C7B" w14:textId="18A3F399" w:rsidR="001C05D8" w:rsidRPr="002F036A" w:rsidRDefault="001C05D8"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eastAsia="Verdana" w:hAnsi="Verdana" w:cs="Verdana"/>
          <w:sz w:val="20"/>
          <w:szCs w:val="20"/>
          <w:lang w:val="es-ES" w:eastAsia="es-CR"/>
        </w:rPr>
      </w:pPr>
      <w:r w:rsidRPr="002F036A">
        <w:rPr>
          <w:rFonts w:ascii="Verdana" w:eastAsia="Verdana" w:hAnsi="Verdana" w:cs="Verdana"/>
          <w:i/>
          <w:sz w:val="20"/>
          <w:szCs w:val="20"/>
          <w:lang w:val="es-ES" w:eastAsia="es-CR"/>
        </w:rPr>
        <w:lastRenderedPageBreak/>
        <w:t>Solicitudes de la Comisión Interamericana. –</w:t>
      </w:r>
      <w:r w:rsidR="00604B8A" w:rsidRPr="002F036A">
        <w:rPr>
          <w:rFonts w:ascii="Verdana" w:eastAsia="Verdana" w:hAnsi="Verdana" w:cs="Verdana"/>
          <w:i/>
          <w:sz w:val="20"/>
          <w:szCs w:val="20"/>
          <w:lang w:val="es-ES" w:eastAsia="es-CR"/>
        </w:rPr>
        <w:t xml:space="preserve"> </w:t>
      </w:r>
      <w:r w:rsidR="00604B8A" w:rsidRPr="002F036A">
        <w:rPr>
          <w:rFonts w:ascii="Verdana" w:eastAsia="Verdana" w:hAnsi="Verdana" w:cs="Verdana"/>
          <w:sz w:val="20"/>
          <w:szCs w:val="20"/>
          <w:lang w:val="es-ES" w:eastAsia="es-CR"/>
        </w:rPr>
        <w:t>L</w:t>
      </w:r>
      <w:r w:rsidRPr="002F036A">
        <w:rPr>
          <w:rFonts w:ascii="Verdana" w:eastAsia="Verdana" w:hAnsi="Verdana" w:cs="Verdana"/>
          <w:sz w:val="20"/>
          <w:szCs w:val="20"/>
          <w:lang w:val="es-ES" w:eastAsia="es-CR"/>
        </w:rPr>
        <w:t xml:space="preserve">a Comisión solicitó a </w:t>
      </w:r>
      <w:r w:rsidR="00604B8A" w:rsidRPr="002F036A">
        <w:rPr>
          <w:rFonts w:ascii="Verdana" w:eastAsia="Verdana" w:hAnsi="Verdana" w:cs="Verdana"/>
          <w:sz w:val="20"/>
          <w:szCs w:val="20"/>
          <w:lang w:val="es-ES" w:eastAsia="es-CR"/>
        </w:rPr>
        <w:t>este Tribunal</w:t>
      </w:r>
      <w:r w:rsidRPr="002F036A">
        <w:rPr>
          <w:rFonts w:ascii="Verdana" w:eastAsia="Verdana" w:hAnsi="Verdana" w:cs="Verdana"/>
          <w:sz w:val="20"/>
          <w:szCs w:val="20"/>
          <w:lang w:val="es-ES" w:eastAsia="es-CR"/>
        </w:rPr>
        <w:t xml:space="preserve"> que </w:t>
      </w:r>
      <w:r w:rsidR="00604B8A" w:rsidRPr="002F036A">
        <w:rPr>
          <w:rFonts w:ascii="Verdana" w:eastAsia="Verdana" w:hAnsi="Verdana" w:cs="Verdana"/>
          <w:sz w:val="20"/>
          <w:szCs w:val="20"/>
          <w:lang w:val="es-ES" w:eastAsia="es-CR"/>
        </w:rPr>
        <w:t xml:space="preserve">concluya y </w:t>
      </w:r>
      <w:r w:rsidRPr="002F036A">
        <w:rPr>
          <w:rFonts w:ascii="Verdana" w:eastAsia="Verdana" w:hAnsi="Verdana" w:cs="Verdana"/>
          <w:sz w:val="20"/>
          <w:szCs w:val="20"/>
          <w:lang w:val="es-ES" w:eastAsia="es-CR"/>
        </w:rPr>
        <w:t>declar</w:t>
      </w:r>
      <w:r w:rsidR="00604B8A" w:rsidRPr="002F036A">
        <w:rPr>
          <w:rFonts w:ascii="Verdana" w:eastAsia="Verdana" w:hAnsi="Verdana" w:cs="Verdana"/>
          <w:sz w:val="20"/>
          <w:szCs w:val="20"/>
          <w:lang w:val="es-ES" w:eastAsia="es-CR"/>
        </w:rPr>
        <w:t>e</w:t>
      </w:r>
      <w:r w:rsidRPr="002F036A">
        <w:rPr>
          <w:rFonts w:ascii="Verdana" w:eastAsia="Verdana" w:hAnsi="Verdana" w:cs="Verdana"/>
          <w:sz w:val="20"/>
          <w:szCs w:val="20"/>
          <w:lang w:val="es-ES" w:eastAsia="es-CR"/>
        </w:rPr>
        <w:t xml:space="preserve"> la responsabilidad internacional del Estado por las violaciones </w:t>
      </w:r>
      <w:r w:rsidR="00604B8A" w:rsidRPr="002F036A">
        <w:rPr>
          <w:rFonts w:ascii="Verdana" w:eastAsia="Verdana" w:hAnsi="Verdana" w:cs="Verdana"/>
          <w:sz w:val="20"/>
          <w:szCs w:val="20"/>
          <w:lang w:val="es-ES" w:eastAsia="es-CR"/>
        </w:rPr>
        <w:t>contenidas en el Informe de Fondo y que ordene a Argentina, como me</w:t>
      </w:r>
      <w:r w:rsidR="00A7367D" w:rsidRPr="002F036A">
        <w:rPr>
          <w:rFonts w:ascii="Verdana" w:eastAsia="Verdana" w:hAnsi="Verdana" w:cs="Verdana"/>
          <w:sz w:val="20"/>
          <w:szCs w:val="20"/>
          <w:lang w:val="es-ES" w:eastAsia="es-CR"/>
        </w:rPr>
        <w:t>didas de reparación, las recomendaciones incluidas en el mismo (</w:t>
      </w:r>
      <w:r w:rsidR="00904755" w:rsidRPr="002F036A">
        <w:rPr>
          <w:rFonts w:ascii="Verdana" w:eastAsia="Verdana" w:hAnsi="Verdana" w:cs="Verdana"/>
          <w:i/>
          <w:sz w:val="20"/>
          <w:szCs w:val="20"/>
          <w:lang w:val="es-ES" w:eastAsia="es-CR"/>
        </w:rPr>
        <w:t>supra</w:t>
      </w:r>
      <w:r w:rsidR="00A7367D" w:rsidRPr="002F036A">
        <w:rPr>
          <w:rFonts w:ascii="Verdana" w:eastAsia="Verdana" w:hAnsi="Verdana" w:cs="Verdana"/>
          <w:i/>
          <w:sz w:val="20"/>
          <w:szCs w:val="20"/>
          <w:lang w:val="es-ES" w:eastAsia="es-CR"/>
        </w:rPr>
        <w:t xml:space="preserve"> </w:t>
      </w:r>
      <w:r w:rsidR="00A7367D" w:rsidRPr="002F036A">
        <w:rPr>
          <w:rFonts w:ascii="Verdana" w:eastAsia="Verdana" w:hAnsi="Verdana" w:cs="Verdana"/>
          <w:sz w:val="20"/>
          <w:szCs w:val="20"/>
          <w:lang w:val="es-ES" w:eastAsia="es-CR"/>
        </w:rPr>
        <w:t>párr. 2.b)</w:t>
      </w:r>
      <w:r w:rsidR="00E05FB3" w:rsidRPr="002F036A">
        <w:rPr>
          <w:rFonts w:ascii="Verdana" w:eastAsia="Verdana" w:hAnsi="Verdana" w:cs="Verdana"/>
          <w:sz w:val="20"/>
          <w:szCs w:val="20"/>
          <w:lang w:val="es-ES" w:eastAsia="es-CR"/>
        </w:rPr>
        <w:t>.</w:t>
      </w:r>
    </w:p>
    <w:p w14:paraId="50BE3C7C" w14:textId="77777777" w:rsidR="001C05D8" w:rsidRPr="002F036A" w:rsidRDefault="001C05D8" w:rsidP="00972D9D">
      <w:pPr>
        <w:keepNext/>
        <w:keepLines/>
        <w:tabs>
          <w:tab w:val="left" w:pos="851"/>
        </w:tabs>
        <w:spacing w:after="0" w:line="240" w:lineRule="auto"/>
        <w:jc w:val="center"/>
        <w:outlineLvl w:val="0"/>
        <w:rPr>
          <w:rFonts w:ascii="Verdana" w:eastAsia="Times New Roman" w:hAnsi="Verdana" w:cs="Verdana"/>
          <w:b/>
          <w:bCs/>
          <w:caps/>
          <w:snapToGrid w:val="0"/>
          <w:sz w:val="20"/>
          <w:szCs w:val="20"/>
          <w:lang w:val="es-ES_tradnl"/>
        </w:rPr>
      </w:pPr>
      <w:bookmarkStart w:id="3" w:name="_Toc494123964"/>
      <w:bookmarkStart w:id="4" w:name="_Toc20755706"/>
      <w:r w:rsidRPr="002F036A">
        <w:rPr>
          <w:rFonts w:ascii="Verdana" w:eastAsia="Times New Roman" w:hAnsi="Verdana" w:cs="Verdana"/>
          <w:b/>
          <w:bCs/>
          <w:caps/>
          <w:snapToGrid w:val="0"/>
          <w:sz w:val="20"/>
          <w:szCs w:val="20"/>
          <w:lang w:val="es-ES_tradnl"/>
        </w:rPr>
        <w:t>II</w:t>
      </w:r>
      <w:r w:rsidRPr="002F036A">
        <w:rPr>
          <w:rFonts w:ascii="Verdana" w:eastAsia="Times New Roman" w:hAnsi="Verdana" w:cs="Verdana"/>
          <w:b/>
          <w:bCs/>
          <w:caps/>
          <w:snapToGrid w:val="0"/>
          <w:sz w:val="20"/>
          <w:szCs w:val="20"/>
          <w:lang w:val="es-ES_tradnl"/>
        </w:rPr>
        <w:br/>
        <w:t>PROCEDIMIENTO ANTE LA CORTE</w:t>
      </w:r>
      <w:bookmarkEnd w:id="3"/>
      <w:bookmarkEnd w:id="4"/>
    </w:p>
    <w:p w14:paraId="50BE3C7D" w14:textId="77630BF8" w:rsidR="001C05D8" w:rsidRPr="002F036A" w:rsidRDefault="001C05D8"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eastAsia="Verdana" w:hAnsi="Verdana" w:cs="Verdana"/>
          <w:sz w:val="20"/>
          <w:szCs w:val="20"/>
          <w:lang w:val="es-ES" w:eastAsia="es-CR"/>
        </w:rPr>
      </w:pPr>
      <w:r w:rsidRPr="002F036A">
        <w:rPr>
          <w:rFonts w:ascii="Verdana" w:eastAsia="Verdana" w:hAnsi="Verdana" w:cs="Verdana"/>
          <w:i/>
          <w:sz w:val="20"/>
          <w:szCs w:val="20"/>
          <w:lang w:val="es-ES" w:eastAsia="es-CR"/>
        </w:rPr>
        <w:t xml:space="preserve">Notificación al representante y al Estado. – </w:t>
      </w:r>
      <w:r w:rsidRPr="002F036A">
        <w:rPr>
          <w:rFonts w:ascii="Verdana" w:eastAsia="Verdana" w:hAnsi="Verdana" w:cs="Verdana"/>
          <w:sz w:val="20"/>
          <w:szCs w:val="20"/>
          <w:lang w:val="es-ES" w:eastAsia="es-CR"/>
        </w:rPr>
        <w:t>El sometimiento del caso por parte de la Comisión fue notificado por la Corte a</w:t>
      </w:r>
      <w:r w:rsidR="00C70633" w:rsidRPr="002F036A">
        <w:rPr>
          <w:rFonts w:ascii="Verdana" w:eastAsia="Verdana" w:hAnsi="Verdana" w:cs="Verdana"/>
          <w:sz w:val="20"/>
          <w:szCs w:val="20"/>
          <w:lang w:val="es-ES" w:eastAsia="es-CR"/>
        </w:rPr>
        <w:t>l</w:t>
      </w:r>
      <w:r w:rsidRPr="002F036A">
        <w:rPr>
          <w:rFonts w:ascii="Verdana" w:eastAsia="Verdana" w:hAnsi="Verdana" w:cs="Verdana"/>
          <w:sz w:val="20"/>
          <w:szCs w:val="20"/>
          <w:lang w:val="es-ES" w:eastAsia="es-CR"/>
        </w:rPr>
        <w:t xml:space="preserve"> representante de las presuntas víctimas (en adelante “</w:t>
      </w:r>
      <w:r w:rsidR="00687FF0">
        <w:rPr>
          <w:rFonts w:ascii="Verdana" w:eastAsia="Verdana" w:hAnsi="Verdana" w:cs="Verdana"/>
          <w:sz w:val="20"/>
          <w:szCs w:val="20"/>
          <w:lang w:val="es-ES" w:eastAsia="es-CR"/>
        </w:rPr>
        <w:t>el</w:t>
      </w:r>
      <w:r w:rsidRPr="002F036A">
        <w:rPr>
          <w:rFonts w:ascii="Verdana" w:eastAsia="Verdana" w:hAnsi="Verdana" w:cs="Verdana"/>
          <w:sz w:val="20"/>
          <w:szCs w:val="20"/>
          <w:lang w:val="es-ES" w:eastAsia="es-CR"/>
        </w:rPr>
        <w:t xml:space="preserve"> representante”) el 1 de febrero de 2018 y al Estado el 29 de enero de 2018. </w:t>
      </w:r>
    </w:p>
    <w:p w14:paraId="50BE3C7E" w14:textId="7907F31E" w:rsidR="001C05D8" w:rsidRPr="002F036A" w:rsidRDefault="001C05D8"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eastAsia="Verdana" w:hAnsi="Verdana" w:cs="Verdana"/>
          <w:sz w:val="20"/>
          <w:szCs w:val="20"/>
          <w:u w:val="single"/>
          <w:lang w:val="es-ES" w:eastAsia="es-CR"/>
        </w:rPr>
      </w:pPr>
      <w:r w:rsidRPr="002F036A">
        <w:rPr>
          <w:rFonts w:ascii="Verdana" w:eastAsia="Verdana" w:hAnsi="Verdana" w:cs="Verdana"/>
          <w:i/>
          <w:sz w:val="20"/>
          <w:szCs w:val="20"/>
          <w:lang w:val="es-ES" w:eastAsia="es-CR"/>
        </w:rPr>
        <w:t xml:space="preserve">Escrito de solicitudes, argumentos y pruebas. – </w:t>
      </w:r>
      <w:r w:rsidRPr="002F036A">
        <w:rPr>
          <w:rFonts w:ascii="Verdana" w:eastAsia="Verdana" w:hAnsi="Verdana" w:cs="Verdana"/>
          <w:sz w:val="20"/>
          <w:szCs w:val="20"/>
          <w:lang w:val="es-ES" w:eastAsia="es-CR"/>
        </w:rPr>
        <w:t xml:space="preserve">El 30 de marzo de 2018 </w:t>
      </w:r>
      <w:r w:rsidR="00687FF0">
        <w:rPr>
          <w:rFonts w:ascii="Verdana" w:eastAsia="Verdana" w:hAnsi="Verdana" w:cs="Verdana"/>
          <w:sz w:val="20"/>
          <w:szCs w:val="20"/>
          <w:lang w:val="es-ES" w:eastAsia="es-CR"/>
        </w:rPr>
        <w:t>el</w:t>
      </w:r>
      <w:r w:rsidRPr="002F036A">
        <w:rPr>
          <w:rFonts w:ascii="Verdana" w:eastAsia="Verdana" w:hAnsi="Verdana" w:cs="Verdana"/>
          <w:sz w:val="20"/>
          <w:szCs w:val="20"/>
          <w:lang w:val="es-ES" w:eastAsia="es-CR"/>
        </w:rPr>
        <w:t xml:space="preserve"> </w:t>
      </w:r>
      <w:r w:rsidRPr="002F036A">
        <w:rPr>
          <w:rFonts w:ascii="Verdana" w:eastAsia="Calibri" w:hAnsi="Verdana" w:cs="Arial"/>
          <w:sz w:val="20"/>
          <w:szCs w:val="20"/>
          <w:lang w:val="es-ES" w:eastAsia="es-CR"/>
        </w:rPr>
        <w:t>representante</w:t>
      </w:r>
      <w:r w:rsidRPr="002F036A">
        <w:rPr>
          <w:rFonts w:ascii="Verdana" w:eastAsia="Verdana" w:hAnsi="Verdana" w:cs="Verdana"/>
          <w:sz w:val="20"/>
          <w:szCs w:val="20"/>
          <w:lang w:val="es-ES" w:eastAsia="es-CR"/>
        </w:rPr>
        <w:t xml:space="preserve"> present</w:t>
      </w:r>
      <w:r w:rsidR="00687FF0">
        <w:rPr>
          <w:rFonts w:ascii="Verdana" w:eastAsia="Verdana" w:hAnsi="Verdana" w:cs="Verdana"/>
          <w:sz w:val="20"/>
          <w:szCs w:val="20"/>
          <w:lang w:val="es-ES" w:eastAsia="es-CR"/>
        </w:rPr>
        <w:t>ó</w:t>
      </w:r>
      <w:r w:rsidRPr="002F036A">
        <w:rPr>
          <w:rFonts w:ascii="Verdana" w:eastAsia="Verdana" w:hAnsi="Verdana" w:cs="Verdana"/>
          <w:sz w:val="20"/>
          <w:szCs w:val="20"/>
          <w:lang w:val="es-ES" w:eastAsia="es-CR"/>
        </w:rPr>
        <w:t xml:space="preserve"> ante la Corte su escrito de solicitudes, argumentos y pruebas (en adelante “escrito de solicitudes y argumentos” o </w:t>
      </w:r>
      <w:r w:rsidR="00E05FB3" w:rsidRPr="002F036A">
        <w:rPr>
          <w:rFonts w:ascii="Verdana" w:eastAsia="Verdana" w:hAnsi="Verdana" w:cs="Verdana"/>
          <w:sz w:val="20"/>
          <w:szCs w:val="20"/>
          <w:lang w:val="es-ES" w:eastAsia="es-CR"/>
        </w:rPr>
        <w:t>“</w:t>
      </w:r>
      <w:r w:rsidRPr="002F036A">
        <w:rPr>
          <w:rFonts w:ascii="Verdana" w:eastAsia="Verdana" w:hAnsi="Verdana" w:cs="Verdana"/>
          <w:sz w:val="20"/>
          <w:szCs w:val="20"/>
          <w:lang w:val="es-ES" w:eastAsia="es-CR"/>
        </w:rPr>
        <w:t>ESAP</w:t>
      </w:r>
      <w:r w:rsidR="00E05FB3" w:rsidRPr="002F036A">
        <w:rPr>
          <w:rFonts w:ascii="Verdana" w:eastAsia="Verdana" w:hAnsi="Verdana" w:cs="Verdana"/>
          <w:sz w:val="20"/>
          <w:szCs w:val="20"/>
          <w:lang w:val="es-ES" w:eastAsia="es-CR"/>
        </w:rPr>
        <w:t>”</w:t>
      </w:r>
      <w:r w:rsidRPr="002F036A">
        <w:rPr>
          <w:rFonts w:ascii="Verdana" w:eastAsia="Verdana" w:hAnsi="Verdana" w:cs="Verdana"/>
          <w:sz w:val="20"/>
          <w:szCs w:val="20"/>
          <w:lang w:val="es-ES" w:eastAsia="es-CR"/>
        </w:rPr>
        <w:t xml:space="preserve">). </w:t>
      </w:r>
      <w:r w:rsidR="00687FF0">
        <w:rPr>
          <w:rFonts w:ascii="Verdana" w:eastAsia="Verdana" w:hAnsi="Verdana" w:cs="Verdana"/>
          <w:sz w:val="20"/>
          <w:szCs w:val="20"/>
          <w:lang w:val="es-ES" w:eastAsia="es-CR"/>
        </w:rPr>
        <w:t>En este escrito se adhirió a</w:t>
      </w:r>
      <w:r w:rsidRPr="002F036A">
        <w:rPr>
          <w:rFonts w:ascii="Verdana" w:eastAsia="Verdana" w:hAnsi="Verdana" w:cs="Verdana"/>
          <w:sz w:val="20"/>
          <w:szCs w:val="20"/>
          <w:lang w:val="es-ES" w:eastAsia="es-CR"/>
        </w:rPr>
        <w:t xml:space="preserve"> la descripción de hechos efectuada por la Comisión. De igual manera, se adhiri</w:t>
      </w:r>
      <w:r w:rsidR="00687FF0">
        <w:rPr>
          <w:rFonts w:ascii="Verdana" w:eastAsia="Verdana" w:hAnsi="Verdana" w:cs="Verdana"/>
          <w:sz w:val="20"/>
          <w:szCs w:val="20"/>
          <w:lang w:val="es-ES" w:eastAsia="es-CR"/>
        </w:rPr>
        <w:t>ó</w:t>
      </w:r>
      <w:r w:rsidRPr="002F036A">
        <w:rPr>
          <w:rFonts w:ascii="Verdana" w:eastAsia="Verdana" w:hAnsi="Verdana" w:cs="Verdana"/>
          <w:sz w:val="20"/>
          <w:szCs w:val="20"/>
          <w:lang w:val="es-ES" w:eastAsia="es-CR"/>
        </w:rPr>
        <w:t xml:space="preserve"> a los alegatos de la Comisión en cuanto a las excepciones preliminares y el fondo del asunto. Finalmente, solicit</w:t>
      </w:r>
      <w:r w:rsidR="00687FF0">
        <w:rPr>
          <w:rFonts w:ascii="Verdana" w:eastAsia="Verdana" w:hAnsi="Verdana" w:cs="Verdana"/>
          <w:sz w:val="20"/>
          <w:szCs w:val="20"/>
          <w:lang w:val="es-ES" w:eastAsia="es-CR"/>
        </w:rPr>
        <w:t>ó</w:t>
      </w:r>
      <w:r w:rsidRPr="002F036A">
        <w:rPr>
          <w:rFonts w:ascii="Verdana" w:eastAsia="Verdana" w:hAnsi="Verdana" w:cs="Verdana"/>
          <w:sz w:val="20"/>
          <w:szCs w:val="20"/>
          <w:lang w:val="es-ES" w:eastAsia="es-CR"/>
        </w:rPr>
        <w:t xml:space="preserve"> a la Corte que ordenara al Estado la adopción de diversas medidas de reparación y el reintegro de costas y gastos. </w:t>
      </w:r>
    </w:p>
    <w:p w14:paraId="50BE3C7F" w14:textId="259ED52D" w:rsidR="001C05D8" w:rsidRPr="002F036A" w:rsidRDefault="001C05D8"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eastAsia="Verdana" w:hAnsi="Verdana" w:cs="Verdana"/>
          <w:i/>
          <w:sz w:val="20"/>
          <w:szCs w:val="20"/>
          <w:lang w:val="es-ES" w:eastAsia="es-CR"/>
        </w:rPr>
      </w:pPr>
      <w:r w:rsidRPr="002F036A">
        <w:rPr>
          <w:rFonts w:ascii="Verdana" w:eastAsia="Verdana" w:hAnsi="Verdana" w:cs="Verdana"/>
          <w:i/>
          <w:sz w:val="20"/>
          <w:szCs w:val="20"/>
          <w:lang w:val="es-ES" w:eastAsia="es-CR"/>
        </w:rPr>
        <w:t xml:space="preserve">Escrito de contestación. – </w:t>
      </w:r>
      <w:r w:rsidRPr="002F036A">
        <w:rPr>
          <w:rFonts w:ascii="Verdana" w:eastAsia="Verdana" w:hAnsi="Verdana" w:cs="Verdana"/>
          <w:sz w:val="20"/>
          <w:szCs w:val="20"/>
          <w:lang w:val="es-ES" w:eastAsia="es-CR"/>
        </w:rPr>
        <w:t>El 4 de julio de 2018 el Estado</w:t>
      </w:r>
      <w:r w:rsidRPr="002F036A">
        <w:rPr>
          <w:rFonts w:ascii="Verdana" w:eastAsia="Verdana" w:hAnsi="Verdana" w:cs="Verdana"/>
          <w:sz w:val="20"/>
          <w:szCs w:val="20"/>
          <w:vertAlign w:val="superscript"/>
          <w:lang w:val="es-ES" w:eastAsia="es-CR"/>
        </w:rPr>
        <w:footnoteReference w:id="7"/>
      </w:r>
      <w:r w:rsidRPr="002F036A">
        <w:rPr>
          <w:rFonts w:ascii="Verdana" w:eastAsia="Verdana" w:hAnsi="Verdana" w:cs="Verdana"/>
          <w:sz w:val="20"/>
          <w:szCs w:val="20"/>
          <w:lang w:val="es-ES" w:eastAsia="es-CR"/>
        </w:rPr>
        <w:t xml:space="preserve"> presentó ante la Corte su </w:t>
      </w:r>
      <w:r w:rsidRPr="002F036A">
        <w:rPr>
          <w:rFonts w:ascii="Verdana" w:eastAsia="Calibri" w:hAnsi="Verdana" w:cs="Arial"/>
          <w:sz w:val="20"/>
          <w:szCs w:val="20"/>
          <w:lang w:val="es-ES" w:eastAsia="es-CR"/>
        </w:rPr>
        <w:t>escrito</w:t>
      </w:r>
      <w:r w:rsidRPr="002F036A">
        <w:rPr>
          <w:rFonts w:ascii="Verdana" w:eastAsia="Verdana" w:hAnsi="Verdana" w:cs="Verdana"/>
          <w:sz w:val="20"/>
          <w:szCs w:val="20"/>
          <w:lang w:val="es-ES" w:eastAsia="es-CR"/>
        </w:rPr>
        <w:t xml:space="preserve"> de contestación al sometimiento e Informe de Fondo de la Comisión y al escrito de solicitudes y argumentos</w:t>
      </w:r>
      <w:r w:rsidR="00FB23F2" w:rsidRPr="002F036A">
        <w:rPr>
          <w:rFonts w:ascii="Verdana" w:eastAsia="Verdana" w:hAnsi="Verdana" w:cs="Verdana"/>
          <w:sz w:val="20"/>
          <w:szCs w:val="20"/>
          <w:lang w:val="es-ES" w:eastAsia="es-CR"/>
        </w:rPr>
        <w:t xml:space="preserve"> (en adelante “escrito de contestación”)</w:t>
      </w:r>
      <w:r w:rsidRPr="002F036A">
        <w:rPr>
          <w:rFonts w:ascii="Verdana" w:eastAsia="Verdana" w:hAnsi="Verdana" w:cs="Verdana"/>
          <w:sz w:val="20"/>
          <w:szCs w:val="20"/>
          <w:lang w:val="es-ES" w:eastAsia="es-CR"/>
        </w:rPr>
        <w:t xml:space="preserve">. </w:t>
      </w:r>
      <w:r w:rsidRPr="002F036A">
        <w:rPr>
          <w:rFonts w:ascii="Verdana" w:eastAsia="Verdana" w:hAnsi="Verdana" w:cs="Verdana"/>
          <w:sz w:val="20"/>
          <w:szCs w:val="20"/>
          <w:lang w:val="es-CR" w:eastAsia="es-CR"/>
        </w:rPr>
        <w:t xml:space="preserve">El Estado presentó las excepciones preliminares de </w:t>
      </w:r>
      <w:r w:rsidRPr="002F036A">
        <w:rPr>
          <w:rFonts w:ascii="Verdana" w:eastAsia="Verdana" w:hAnsi="Verdana" w:cs="Verdana"/>
          <w:i/>
          <w:sz w:val="20"/>
          <w:szCs w:val="20"/>
          <w:lang w:val="es-CR" w:eastAsia="es-CR"/>
        </w:rPr>
        <w:t xml:space="preserve">ratione temporis </w:t>
      </w:r>
      <w:r w:rsidRPr="002F036A">
        <w:rPr>
          <w:rFonts w:ascii="Verdana" w:eastAsia="Verdana" w:hAnsi="Verdana" w:cs="Verdana"/>
          <w:sz w:val="20"/>
          <w:szCs w:val="20"/>
          <w:lang w:val="es-CR" w:eastAsia="es-CR"/>
        </w:rPr>
        <w:t>y la de no agotamiento</w:t>
      </w:r>
      <w:r w:rsidR="00A7367D" w:rsidRPr="002F036A">
        <w:rPr>
          <w:rFonts w:ascii="Verdana" w:eastAsia="Verdana" w:hAnsi="Verdana" w:cs="Verdana"/>
          <w:sz w:val="20"/>
          <w:szCs w:val="20"/>
          <w:lang w:val="es-CR" w:eastAsia="es-CR"/>
        </w:rPr>
        <w:t xml:space="preserve"> </w:t>
      </w:r>
      <w:r w:rsidRPr="002F036A">
        <w:rPr>
          <w:rFonts w:ascii="Verdana" w:eastAsia="Verdana" w:hAnsi="Verdana" w:cs="Verdana"/>
          <w:sz w:val="20"/>
          <w:szCs w:val="20"/>
          <w:lang w:val="es-CR" w:eastAsia="es-CR"/>
        </w:rPr>
        <w:t>de los recursos intern</w:t>
      </w:r>
      <w:r w:rsidR="00A7367D" w:rsidRPr="002F036A">
        <w:rPr>
          <w:rFonts w:ascii="Verdana" w:eastAsia="Verdana" w:hAnsi="Verdana" w:cs="Verdana"/>
          <w:sz w:val="20"/>
          <w:szCs w:val="20"/>
          <w:lang w:val="es-CR" w:eastAsia="es-CR"/>
        </w:rPr>
        <w:t>os</w:t>
      </w:r>
      <w:r w:rsidRPr="002F036A">
        <w:rPr>
          <w:rFonts w:ascii="Verdana" w:eastAsia="Verdana" w:hAnsi="Verdana" w:cs="Verdana"/>
          <w:sz w:val="20"/>
          <w:szCs w:val="20"/>
          <w:lang w:val="es-CR" w:eastAsia="es-CR"/>
        </w:rPr>
        <w:t>. Dicho escrito fue notificado a la</w:t>
      </w:r>
      <w:r w:rsidR="00C70633" w:rsidRPr="002F036A">
        <w:rPr>
          <w:rFonts w:ascii="Verdana" w:eastAsia="Verdana" w:hAnsi="Verdana" w:cs="Verdana"/>
          <w:sz w:val="20"/>
          <w:szCs w:val="20"/>
          <w:lang w:val="es-CR" w:eastAsia="es-CR"/>
        </w:rPr>
        <w:t>s</w:t>
      </w:r>
      <w:r w:rsidRPr="002F036A">
        <w:rPr>
          <w:rFonts w:ascii="Verdana" w:eastAsia="Verdana" w:hAnsi="Verdana" w:cs="Verdana"/>
          <w:sz w:val="20"/>
          <w:szCs w:val="20"/>
          <w:lang w:val="es-CR" w:eastAsia="es-CR"/>
        </w:rPr>
        <w:t xml:space="preserve"> partes</w:t>
      </w:r>
      <w:r w:rsidR="00A7367D" w:rsidRPr="002F036A">
        <w:rPr>
          <w:rFonts w:ascii="Verdana" w:eastAsia="Verdana" w:hAnsi="Verdana" w:cs="Verdana"/>
          <w:sz w:val="20"/>
          <w:szCs w:val="20"/>
          <w:lang w:val="es-CR" w:eastAsia="es-CR"/>
        </w:rPr>
        <w:t xml:space="preserve"> y a la Comisión</w:t>
      </w:r>
      <w:r w:rsidRPr="002F036A">
        <w:rPr>
          <w:rFonts w:ascii="Verdana" w:eastAsia="Verdana" w:hAnsi="Verdana" w:cs="Verdana"/>
          <w:sz w:val="20"/>
          <w:szCs w:val="20"/>
          <w:lang w:val="es-CR" w:eastAsia="es-CR"/>
        </w:rPr>
        <w:t xml:space="preserve"> el 6 de agosto de 2018.</w:t>
      </w:r>
      <w:r w:rsidRPr="002F036A">
        <w:rPr>
          <w:rFonts w:ascii="Verdana" w:eastAsia="Verdana" w:hAnsi="Verdana" w:cs="Verdana"/>
          <w:b/>
          <w:sz w:val="20"/>
          <w:szCs w:val="20"/>
          <w:lang w:val="es-CR" w:eastAsia="es-CR"/>
        </w:rPr>
        <w:t xml:space="preserve"> </w:t>
      </w:r>
    </w:p>
    <w:p w14:paraId="50BE3C80" w14:textId="558EC973" w:rsidR="001C05D8" w:rsidRPr="002F036A" w:rsidRDefault="001C05D8"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eastAsia="Verdana" w:hAnsi="Verdana" w:cs="Verdana"/>
          <w:i/>
          <w:sz w:val="20"/>
          <w:szCs w:val="20"/>
          <w:lang w:val="es-ES" w:eastAsia="es-CR"/>
        </w:rPr>
      </w:pPr>
      <w:r w:rsidRPr="002F036A">
        <w:rPr>
          <w:rFonts w:ascii="Verdana" w:eastAsia="Verdana" w:hAnsi="Verdana" w:cs="Verdana"/>
          <w:i/>
          <w:sz w:val="20"/>
          <w:szCs w:val="20"/>
          <w:lang w:val="es-ES" w:eastAsia="es-CR"/>
        </w:rPr>
        <w:t xml:space="preserve">Observaciones a las excepciones preliminares. – </w:t>
      </w:r>
      <w:r w:rsidRPr="002F036A">
        <w:rPr>
          <w:rFonts w:ascii="Verdana" w:eastAsia="Verdana" w:hAnsi="Verdana" w:cs="Verdana"/>
          <w:sz w:val="20"/>
          <w:szCs w:val="20"/>
          <w:lang w:val="es-ES" w:eastAsia="es-CR"/>
        </w:rPr>
        <w:t xml:space="preserve">El 5 y </w:t>
      </w:r>
      <w:r w:rsidR="00FB23F2" w:rsidRPr="002F036A">
        <w:rPr>
          <w:rFonts w:ascii="Verdana" w:eastAsia="Verdana" w:hAnsi="Verdana" w:cs="Verdana"/>
          <w:sz w:val="20"/>
          <w:szCs w:val="20"/>
          <w:lang w:val="es-ES" w:eastAsia="es-CR"/>
        </w:rPr>
        <w:t>7</w:t>
      </w:r>
      <w:r w:rsidRPr="002F036A">
        <w:rPr>
          <w:rFonts w:ascii="Verdana" w:eastAsia="Verdana" w:hAnsi="Verdana" w:cs="Verdana"/>
          <w:sz w:val="20"/>
          <w:szCs w:val="20"/>
          <w:lang w:val="es-ES" w:eastAsia="es-CR"/>
        </w:rPr>
        <w:t xml:space="preserve"> de se</w:t>
      </w:r>
      <w:r w:rsidR="00FB23F2" w:rsidRPr="002F036A">
        <w:rPr>
          <w:rFonts w:ascii="Verdana" w:eastAsia="Verdana" w:hAnsi="Verdana" w:cs="Verdana"/>
          <w:sz w:val="20"/>
          <w:szCs w:val="20"/>
          <w:lang w:val="es-ES" w:eastAsia="es-CR"/>
        </w:rPr>
        <w:t>p</w:t>
      </w:r>
      <w:r w:rsidRPr="002F036A">
        <w:rPr>
          <w:rFonts w:ascii="Verdana" w:eastAsia="Verdana" w:hAnsi="Verdana" w:cs="Verdana"/>
          <w:sz w:val="20"/>
          <w:szCs w:val="20"/>
          <w:lang w:val="es-ES" w:eastAsia="es-CR"/>
        </w:rPr>
        <w:t>tiembre de 2018 la Comisión y la representación de las</w:t>
      </w:r>
      <w:r w:rsidR="00C70633" w:rsidRPr="002F036A">
        <w:rPr>
          <w:rFonts w:ascii="Verdana" w:eastAsia="Verdana" w:hAnsi="Verdana" w:cs="Verdana"/>
          <w:sz w:val="20"/>
          <w:szCs w:val="20"/>
          <w:lang w:val="es-ES" w:eastAsia="es-CR"/>
        </w:rPr>
        <w:t xml:space="preserve"> presuntas</w:t>
      </w:r>
      <w:r w:rsidRPr="002F036A">
        <w:rPr>
          <w:rFonts w:ascii="Verdana" w:eastAsia="Verdana" w:hAnsi="Verdana" w:cs="Verdana"/>
          <w:sz w:val="20"/>
          <w:szCs w:val="20"/>
          <w:lang w:val="es-ES" w:eastAsia="es-CR"/>
        </w:rPr>
        <w:t xml:space="preserve"> víctimas, respectivamente, presentaron sus observaciones a las excepciones preliminares interpuestas por el Estado. </w:t>
      </w:r>
    </w:p>
    <w:p w14:paraId="50BE3C81" w14:textId="113FBD8B" w:rsidR="001C05D8" w:rsidRPr="002F036A" w:rsidRDefault="001C05D8"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eastAsia="Verdana" w:hAnsi="Verdana" w:cs="Verdana"/>
          <w:sz w:val="20"/>
          <w:szCs w:val="20"/>
          <w:lang w:val="es-ES" w:eastAsia="es-CR"/>
        </w:rPr>
      </w:pPr>
      <w:r w:rsidRPr="002F036A">
        <w:rPr>
          <w:rFonts w:ascii="Verdana" w:eastAsia="Verdana" w:hAnsi="Verdana" w:cs="Verdana"/>
          <w:i/>
          <w:position w:val="-1"/>
          <w:sz w:val="20"/>
          <w:szCs w:val="20"/>
          <w:lang w:val="es-ES" w:eastAsia="es-CR"/>
        </w:rPr>
        <w:t xml:space="preserve">Audiencia Pública - </w:t>
      </w:r>
      <w:r w:rsidRPr="002F036A">
        <w:rPr>
          <w:rFonts w:ascii="Verdana" w:eastAsia="Verdana" w:hAnsi="Verdana" w:cs="Verdana"/>
          <w:position w:val="-1"/>
          <w:sz w:val="20"/>
          <w:szCs w:val="20"/>
          <w:lang w:val="es-ES" w:eastAsia="es-CR"/>
        </w:rPr>
        <w:t xml:space="preserve">Mediante </w:t>
      </w:r>
      <w:r w:rsidR="00130BEF" w:rsidRPr="002F036A">
        <w:rPr>
          <w:rFonts w:ascii="Verdana" w:eastAsia="Verdana" w:hAnsi="Verdana" w:cs="Verdana"/>
          <w:position w:val="-1"/>
          <w:sz w:val="20"/>
          <w:szCs w:val="20"/>
          <w:lang w:val="es-ES" w:eastAsia="es-CR"/>
        </w:rPr>
        <w:t>r</w:t>
      </w:r>
      <w:r w:rsidRPr="002F036A">
        <w:rPr>
          <w:rFonts w:ascii="Verdana" w:eastAsia="Verdana" w:hAnsi="Verdana" w:cs="Verdana"/>
          <w:position w:val="-1"/>
          <w:sz w:val="20"/>
          <w:szCs w:val="20"/>
          <w:lang w:val="es-ES" w:eastAsia="es-CR"/>
        </w:rPr>
        <w:t>esoluciones de 7 de diciembre de 2018</w:t>
      </w:r>
      <w:r w:rsidRPr="002F036A">
        <w:rPr>
          <w:rFonts w:ascii="Verdana" w:eastAsia="Verdana" w:hAnsi="Verdana" w:cs="Verdana"/>
          <w:position w:val="-1"/>
          <w:sz w:val="20"/>
          <w:szCs w:val="20"/>
          <w:vertAlign w:val="superscript"/>
          <w:lang w:val="es-ES" w:eastAsia="es-CR"/>
        </w:rPr>
        <w:footnoteReference w:id="8"/>
      </w:r>
      <w:r w:rsidRPr="002F036A">
        <w:rPr>
          <w:rFonts w:ascii="Verdana" w:eastAsia="Verdana" w:hAnsi="Verdana" w:cs="Verdana"/>
          <w:position w:val="-1"/>
          <w:sz w:val="20"/>
          <w:szCs w:val="20"/>
          <w:lang w:val="es-ES" w:eastAsia="es-CR"/>
        </w:rPr>
        <w:t xml:space="preserve"> del Presidente y de 29 de enero de 2019 de la Corte</w:t>
      </w:r>
      <w:r w:rsidRPr="002F036A">
        <w:rPr>
          <w:rFonts w:ascii="Verdana" w:eastAsia="Verdana" w:hAnsi="Verdana" w:cs="Verdana"/>
          <w:position w:val="-1"/>
          <w:sz w:val="20"/>
          <w:szCs w:val="20"/>
          <w:vertAlign w:val="superscript"/>
          <w:lang w:val="es-ES" w:eastAsia="es-CR"/>
        </w:rPr>
        <w:footnoteReference w:id="9"/>
      </w:r>
      <w:r w:rsidRPr="002F036A">
        <w:rPr>
          <w:rFonts w:ascii="Verdana" w:eastAsia="Verdana" w:hAnsi="Verdana" w:cs="Verdana"/>
          <w:position w:val="-1"/>
          <w:sz w:val="20"/>
          <w:szCs w:val="20"/>
          <w:lang w:val="es-ES" w:eastAsia="es-CR"/>
        </w:rPr>
        <w:t xml:space="preserve">, se convocó a las partes y a la Comisión Interamericana a una audiencia pública para recibir sus observaciones finales orales sobre las excepciones preliminares, </w:t>
      </w:r>
      <w:r w:rsidR="00FB23F2" w:rsidRPr="002F036A">
        <w:rPr>
          <w:rFonts w:ascii="Verdana" w:eastAsia="Verdana" w:hAnsi="Verdana" w:cs="Verdana"/>
          <w:position w:val="-1"/>
          <w:sz w:val="20"/>
          <w:szCs w:val="20"/>
          <w:lang w:val="es-ES" w:eastAsia="es-CR"/>
        </w:rPr>
        <w:t>y eventuales</w:t>
      </w:r>
      <w:r w:rsidRPr="002F036A">
        <w:rPr>
          <w:rFonts w:ascii="Verdana" w:eastAsia="Verdana" w:hAnsi="Verdana" w:cs="Verdana"/>
          <w:position w:val="-1"/>
          <w:sz w:val="20"/>
          <w:szCs w:val="20"/>
          <w:lang w:val="es-ES" w:eastAsia="es-CR"/>
        </w:rPr>
        <w:t xml:space="preserve"> fondo</w:t>
      </w:r>
      <w:r w:rsidR="00FB23F2" w:rsidRPr="002F036A">
        <w:rPr>
          <w:rFonts w:ascii="Verdana" w:eastAsia="Verdana" w:hAnsi="Verdana" w:cs="Verdana"/>
          <w:position w:val="-1"/>
          <w:sz w:val="20"/>
          <w:szCs w:val="20"/>
          <w:lang w:val="es-ES" w:eastAsia="es-CR"/>
        </w:rPr>
        <w:t>,</w:t>
      </w:r>
      <w:r w:rsidRPr="002F036A">
        <w:rPr>
          <w:rFonts w:ascii="Verdana" w:eastAsia="Verdana" w:hAnsi="Verdana" w:cs="Verdana"/>
          <w:position w:val="-1"/>
          <w:sz w:val="20"/>
          <w:szCs w:val="20"/>
          <w:lang w:val="es-ES" w:eastAsia="es-CR"/>
        </w:rPr>
        <w:t xml:space="preserve"> reparaciones y costas, así como para recibir la declaración </w:t>
      </w:r>
      <w:r w:rsidRPr="002F036A">
        <w:rPr>
          <w:rFonts w:ascii="Verdana" w:eastAsia="Verdana" w:hAnsi="Verdana" w:cs="Verdana"/>
          <w:sz w:val="20"/>
          <w:szCs w:val="20"/>
          <w:lang w:val="es-ES" w:eastAsia="es-CR"/>
        </w:rPr>
        <w:t>de una</w:t>
      </w:r>
      <w:r w:rsidRPr="002F036A">
        <w:rPr>
          <w:rFonts w:ascii="Verdana" w:eastAsia="Verdana" w:hAnsi="Verdana" w:cs="Verdana"/>
          <w:position w:val="-1"/>
          <w:sz w:val="20"/>
          <w:szCs w:val="20"/>
          <w:lang w:val="es-ES" w:eastAsia="es-CR"/>
        </w:rPr>
        <w:t xml:space="preserve"> perita ofrecida por la Comisión. Mediante comunicación </w:t>
      </w:r>
      <w:r w:rsidR="00A7367D" w:rsidRPr="002F036A">
        <w:rPr>
          <w:rFonts w:ascii="Verdana" w:eastAsia="Verdana" w:hAnsi="Verdana" w:cs="Verdana"/>
          <w:position w:val="-1"/>
          <w:sz w:val="20"/>
          <w:szCs w:val="20"/>
          <w:lang w:val="es-ES" w:eastAsia="es-CR"/>
        </w:rPr>
        <w:t>de</w:t>
      </w:r>
      <w:r w:rsidRPr="002F036A">
        <w:rPr>
          <w:rFonts w:ascii="Verdana" w:eastAsia="Verdana" w:hAnsi="Verdana" w:cs="Verdana"/>
          <w:position w:val="-1"/>
          <w:sz w:val="20"/>
          <w:szCs w:val="20"/>
          <w:lang w:val="es-ES" w:eastAsia="es-CR"/>
        </w:rPr>
        <w:t xml:space="preserve"> 18 de enero de 2019 la Comisión desistió del peritaje ofrecido para el presente caso. </w:t>
      </w:r>
      <w:r w:rsidRPr="002F036A">
        <w:rPr>
          <w:rFonts w:ascii="Verdana" w:eastAsia="Verdana" w:hAnsi="Verdana" w:cs="Verdana"/>
          <w:sz w:val="20"/>
          <w:szCs w:val="20"/>
          <w:lang w:val="es-ES" w:eastAsia="es-CR"/>
        </w:rPr>
        <w:t>La audiencia pública fue celebrada el 30 de enero de 2019, durante el 129° Período Ordinario de Sesiones de la Corte, llevado a cabo en su sede</w:t>
      </w:r>
      <w:r w:rsidRPr="002F036A">
        <w:rPr>
          <w:rFonts w:ascii="Verdana" w:eastAsia="Verdana" w:hAnsi="Verdana" w:cs="Verdana"/>
          <w:sz w:val="20"/>
          <w:szCs w:val="20"/>
          <w:vertAlign w:val="superscript"/>
          <w:lang w:val="es-ES" w:eastAsia="es-CR"/>
        </w:rPr>
        <w:footnoteReference w:id="10"/>
      </w:r>
      <w:r w:rsidRPr="002F036A">
        <w:rPr>
          <w:rFonts w:ascii="Verdana" w:eastAsia="Verdana" w:hAnsi="Verdana" w:cs="Verdana"/>
          <w:sz w:val="20"/>
          <w:szCs w:val="20"/>
          <w:lang w:val="es-ES" w:eastAsia="es-CR"/>
        </w:rPr>
        <w:t xml:space="preserve">. </w:t>
      </w:r>
    </w:p>
    <w:p w14:paraId="50BE3C82" w14:textId="63A2B963" w:rsidR="001C05D8" w:rsidRPr="002F036A" w:rsidRDefault="001C05D8"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eastAsia="Times New Roman" w:hAnsi="Verdana" w:cs="Verdana"/>
          <w:snapToGrid w:val="0"/>
          <w:sz w:val="20"/>
          <w:szCs w:val="20"/>
          <w:lang w:val="es-ES" w:eastAsia="es-ES"/>
        </w:rPr>
      </w:pPr>
      <w:bookmarkStart w:id="5" w:name="_Ref354147731"/>
      <w:r w:rsidRPr="002F036A">
        <w:rPr>
          <w:rFonts w:ascii="Verdana" w:eastAsia="Times New Roman" w:hAnsi="Verdana" w:cs="Verdana"/>
          <w:i/>
          <w:sz w:val="20"/>
          <w:szCs w:val="20"/>
          <w:lang w:val="es-ES" w:eastAsia="es-CR"/>
        </w:rPr>
        <w:t xml:space="preserve">Alegatos y observaciones finales escritas. </w:t>
      </w:r>
      <w:bookmarkEnd w:id="5"/>
      <w:r w:rsidRPr="002F036A">
        <w:rPr>
          <w:rFonts w:ascii="Verdana" w:eastAsia="Times New Roman" w:hAnsi="Verdana" w:cs="Verdana"/>
          <w:i/>
          <w:sz w:val="20"/>
          <w:szCs w:val="20"/>
          <w:lang w:val="es-ES" w:eastAsia="es-CR"/>
        </w:rPr>
        <w:t xml:space="preserve">– </w:t>
      </w:r>
      <w:r w:rsidR="004E0B3D" w:rsidRPr="002F036A">
        <w:rPr>
          <w:rFonts w:ascii="Verdana" w:eastAsia="Times New Roman" w:hAnsi="Verdana" w:cs="Verdana"/>
          <w:sz w:val="20"/>
          <w:szCs w:val="20"/>
          <w:lang w:val="es-ES" w:eastAsia="es-CR"/>
        </w:rPr>
        <w:t>Los días</w:t>
      </w:r>
      <w:r w:rsidRPr="002F036A">
        <w:rPr>
          <w:rFonts w:ascii="Verdana" w:eastAsia="Times New Roman" w:hAnsi="Verdana" w:cs="Verdana"/>
          <w:sz w:val="20"/>
          <w:szCs w:val="20"/>
          <w:lang w:val="es-ES" w:eastAsia="es-CR"/>
        </w:rPr>
        <w:t xml:space="preserve"> 1 y 4 marzo de 2019</w:t>
      </w:r>
      <w:r w:rsidR="00A7367D" w:rsidRPr="002F036A">
        <w:rPr>
          <w:rFonts w:ascii="Verdana" w:eastAsia="Times New Roman" w:hAnsi="Verdana" w:cs="Verdana"/>
          <w:sz w:val="20"/>
          <w:szCs w:val="20"/>
          <w:lang w:val="es-ES" w:eastAsia="es-CR"/>
        </w:rPr>
        <w:t xml:space="preserve"> </w:t>
      </w:r>
      <w:r w:rsidRPr="002F036A">
        <w:rPr>
          <w:rFonts w:ascii="Verdana" w:eastAsia="Times New Roman" w:hAnsi="Verdana" w:cs="Verdana"/>
          <w:sz w:val="20"/>
          <w:szCs w:val="20"/>
          <w:lang w:val="es-ES" w:eastAsia="es-CR"/>
        </w:rPr>
        <w:t xml:space="preserve">el Estado y </w:t>
      </w:r>
      <w:r w:rsidR="0089613C">
        <w:rPr>
          <w:rFonts w:ascii="Verdana" w:eastAsia="Times New Roman" w:hAnsi="Verdana" w:cs="Verdana"/>
          <w:sz w:val="20"/>
          <w:szCs w:val="20"/>
          <w:lang w:val="es-ES" w:eastAsia="es-CR"/>
        </w:rPr>
        <w:t>el representante</w:t>
      </w:r>
      <w:r w:rsidR="00A7367D" w:rsidRPr="002F036A">
        <w:rPr>
          <w:rFonts w:ascii="Verdana" w:eastAsia="Times New Roman" w:hAnsi="Verdana" w:cs="Verdana"/>
          <w:sz w:val="20"/>
          <w:szCs w:val="20"/>
          <w:lang w:val="es-ES" w:eastAsia="es-CR"/>
        </w:rPr>
        <w:t>, respectivamente,</w:t>
      </w:r>
      <w:r w:rsidRPr="002F036A">
        <w:rPr>
          <w:rFonts w:ascii="Verdana" w:eastAsia="Times New Roman" w:hAnsi="Verdana" w:cs="Verdana"/>
          <w:sz w:val="20"/>
          <w:szCs w:val="20"/>
          <w:lang w:val="es-ES" w:eastAsia="es-CR"/>
        </w:rPr>
        <w:t xml:space="preserve"> remitieron alegatos finales escritos, junto con sus anexos</w:t>
      </w:r>
      <w:r w:rsidR="00A7367D" w:rsidRPr="002F036A">
        <w:rPr>
          <w:rFonts w:ascii="Verdana" w:eastAsia="Times New Roman" w:hAnsi="Verdana" w:cs="Verdana"/>
          <w:sz w:val="20"/>
          <w:szCs w:val="20"/>
          <w:lang w:val="es-ES" w:eastAsia="es-CR"/>
        </w:rPr>
        <w:t xml:space="preserve"> (en el caso de</w:t>
      </w:r>
      <w:r w:rsidR="0089613C">
        <w:rPr>
          <w:rFonts w:ascii="Verdana" w:eastAsia="Times New Roman" w:hAnsi="Verdana" w:cs="Verdana"/>
          <w:sz w:val="20"/>
          <w:szCs w:val="20"/>
          <w:lang w:val="es-ES" w:eastAsia="es-CR"/>
        </w:rPr>
        <w:t>l</w:t>
      </w:r>
      <w:r w:rsidR="00A7367D" w:rsidRPr="002F036A">
        <w:rPr>
          <w:rFonts w:ascii="Verdana" w:eastAsia="Times New Roman" w:hAnsi="Verdana" w:cs="Verdana"/>
          <w:sz w:val="20"/>
          <w:szCs w:val="20"/>
          <w:lang w:val="es-ES" w:eastAsia="es-CR"/>
        </w:rPr>
        <w:t xml:space="preserve"> </w:t>
      </w:r>
      <w:r w:rsidR="00C77A2E" w:rsidRPr="002F036A">
        <w:rPr>
          <w:rFonts w:ascii="Verdana" w:eastAsia="Times New Roman" w:hAnsi="Verdana" w:cs="Verdana"/>
          <w:sz w:val="20"/>
          <w:szCs w:val="20"/>
          <w:lang w:val="es-ES" w:eastAsia="es-CR"/>
        </w:rPr>
        <w:t>representante</w:t>
      </w:r>
      <w:r w:rsidR="00A7367D" w:rsidRPr="002F036A">
        <w:rPr>
          <w:rFonts w:ascii="Verdana" w:eastAsia="Times New Roman" w:hAnsi="Verdana" w:cs="Verdana"/>
          <w:sz w:val="20"/>
          <w:szCs w:val="20"/>
          <w:lang w:val="es-ES" w:eastAsia="es-CR"/>
        </w:rPr>
        <w:t>)</w:t>
      </w:r>
      <w:r w:rsidRPr="002F036A">
        <w:rPr>
          <w:rFonts w:ascii="Verdana" w:eastAsia="Times New Roman" w:hAnsi="Verdana" w:cs="Verdana"/>
          <w:sz w:val="20"/>
          <w:szCs w:val="20"/>
          <w:lang w:val="es-ES" w:eastAsia="es-CR"/>
        </w:rPr>
        <w:t>. El 4 de marzo de 2019 la Comisión presentó sus observaciones finales escritas.</w:t>
      </w:r>
    </w:p>
    <w:p w14:paraId="50BE3C83" w14:textId="74AEEC5E" w:rsidR="001C05D8" w:rsidRPr="002F036A" w:rsidRDefault="001C05D8"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eastAsia="Times New Roman" w:hAnsi="Verdana" w:cs="Verdana"/>
          <w:snapToGrid w:val="0"/>
          <w:sz w:val="20"/>
          <w:szCs w:val="20"/>
          <w:lang w:val="es-ES" w:eastAsia="es-ES"/>
        </w:rPr>
      </w:pPr>
      <w:r w:rsidRPr="002F036A">
        <w:rPr>
          <w:rFonts w:ascii="Verdana" w:eastAsia="Times New Roman" w:hAnsi="Verdana" w:cs="Verdana"/>
          <w:i/>
          <w:snapToGrid w:val="0"/>
          <w:sz w:val="20"/>
          <w:szCs w:val="20"/>
          <w:lang w:val="es-ES" w:eastAsia="es-ES"/>
        </w:rPr>
        <w:lastRenderedPageBreak/>
        <w:t>Observaciones de los anexos a los alegatos finales</w:t>
      </w:r>
      <w:r w:rsidRPr="002F036A">
        <w:rPr>
          <w:rFonts w:ascii="Verdana" w:eastAsia="Times New Roman" w:hAnsi="Verdana" w:cs="Verdana"/>
          <w:snapToGrid w:val="0"/>
          <w:sz w:val="20"/>
          <w:szCs w:val="20"/>
          <w:lang w:val="es-ES" w:eastAsia="es-ES"/>
        </w:rPr>
        <w:t xml:space="preserve">- </w:t>
      </w:r>
      <w:r w:rsidR="004E0B3D" w:rsidRPr="002F036A">
        <w:rPr>
          <w:rFonts w:ascii="Verdana" w:eastAsia="Times New Roman" w:hAnsi="Verdana" w:cs="Verdana"/>
          <w:snapToGrid w:val="0"/>
          <w:sz w:val="20"/>
          <w:szCs w:val="20"/>
          <w:lang w:val="es-ES" w:eastAsia="es-ES"/>
        </w:rPr>
        <w:t>Los días</w:t>
      </w:r>
      <w:r w:rsidRPr="002F036A">
        <w:rPr>
          <w:rFonts w:ascii="Verdana" w:eastAsia="Times New Roman" w:hAnsi="Verdana" w:cs="Verdana"/>
          <w:snapToGrid w:val="0"/>
          <w:sz w:val="20"/>
          <w:szCs w:val="20"/>
          <w:lang w:val="es-ES" w:eastAsia="es-ES"/>
        </w:rPr>
        <w:t xml:space="preserve"> 18 y 20 de marzo de 2019, respectivamente, el Estado y </w:t>
      </w:r>
      <w:r w:rsidR="00687FF0">
        <w:rPr>
          <w:rFonts w:ascii="Verdana" w:eastAsia="Times New Roman" w:hAnsi="Verdana" w:cs="Verdana"/>
          <w:snapToGrid w:val="0"/>
          <w:sz w:val="20"/>
          <w:szCs w:val="20"/>
          <w:lang w:val="es-ES" w:eastAsia="es-ES"/>
        </w:rPr>
        <w:t xml:space="preserve">el representante </w:t>
      </w:r>
      <w:r w:rsidRPr="002F036A">
        <w:rPr>
          <w:rFonts w:ascii="Verdana" w:eastAsia="Times New Roman" w:hAnsi="Verdana" w:cs="Verdana"/>
          <w:snapToGrid w:val="0"/>
          <w:sz w:val="20"/>
          <w:szCs w:val="20"/>
          <w:lang w:val="es-ES" w:eastAsia="es-ES"/>
        </w:rPr>
        <w:t>remitieron sus observaciones a los anexos remitidos junto a los alegatos finales escritos.</w:t>
      </w:r>
      <w:r w:rsidR="00DD6C38" w:rsidRPr="002F036A">
        <w:rPr>
          <w:rFonts w:ascii="Verdana" w:eastAsia="Times New Roman" w:hAnsi="Verdana" w:cs="Verdana"/>
          <w:snapToGrid w:val="0"/>
          <w:sz w:val="20"/>
          <w:szCs w:val="20"/>
          <w:lang w:val="es-ES" w:eastAsia="es-ES"/>
        </w:rPr>
        <w:t xml:space="preserve"> La Comisión remitió sus observaciones el 18 de marzo de 2019. </w:t>
      </w:r>
    </w:p>
    <w:p w14:paraId="50BE3C84" w14:textId="3ED6269F" w:rsidR="001C05D8" w:rsidRPr="002F036A" w:rsidRDefault="001C05D8"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eastAsia="Times New Roman" w:hAnsi="Verdana" w:cs="Verdana"/>
          <w:snapToGrid w:val="0"/>
          <w:sz w:val="20"/>
          <w:szCs w:val="20"/>
          <w:lang w:val="es-ES" w:eastAsia="es-ES"/>
        </w:rPr>
      </w:pPr>
      <w:r w:rsidRPr="002F036A">
        <w:rPr>
          <w:rFonts w:ascii="Verdana" w:eastAsia="Times New Roman" w:hAnsi="Verdana" w:cs="Verdana"/>
          <w:i/>
          <w:snapToGrid w:val="0"/>
          <w:sz w:val="20"/>
          <w:szCs w:val="20"/>
          <w:lang w:val="es-ES" w:eastAsia="es-ES"/>
        </w:rPr>
        <w:t>Deliberación</w:t>
      </w:r>
      <w:r w:rsidRPr="002F036A">
        <w:rPr>
          <w:rFonts w:ascii="Verdana" w:eastAsia="Times New Roman" w:hAnsi="Verdana" w:cs="Verdana"/>
          <w:i/>
          <w:iCs/>
          <w:snapToGrid w:val="0"/>
          <w:sz w:val="20"/>
          <w:szCs w:val="20"/>
          <w:lang w:val="es-ES" w:eastAsia="es-ES"/>
        </w:rPr>
        <w:t xml:space="preserve"> del presente caso. - </w:t>
      </w:r>
      <w:r w:rsidRPr="002F036A">
        <w:rPr>
          <w:rFonts w:ascii="Verdana" w:eastAsia="Times New Roman" w:hAnsi="Verdana" w:cs="Verdana"/>
          <w:snapToGrid w:val="0"/>
          <w:sz w:val="20"/>
          <w:szCs w:val="20"/>
          <w:lang w:val="es-ES" w:eastAsia="es-ES"/>
        </w:rPr>
        <w:t>La Corte inició la deliberación de la presente Sentencia el</w:t>
      </w:r>
      <w:r w:rsidR="00DD6C38" w:rsidRPr="002F036A">
        <w:rPr>
          <w:rFonts w:ascii="Verdana" w:eastAsia="Times New Roman" w:hAnsi="Verdana" w:cs="Verdana"/>
          <w:snapToGrid w:val="0"/>
          <w:sz w:val="20"/>
          <w:szCs w:val="20"/>
          <w:lang w:val="es-ES" w:eastAsia="es-ES"/>
        </w:rPr>
        <w:t xml:space="preserve"> </w:t>
      </w:r>
      <w:r w:rsidR="004C04A8">
        <w:rPr>
          <w:rFonts w:ascii="Verdana" w:eastAsia="Times New Roman" w:hAnsi="Verdana" w:cs="Verdana"/>
          <w:snapToGrid w:val="0"/>
          <w:sz w:val="20"/>
          <w:szCs w:val="20"/>
          <w:lang w:val="es-ES" w:eastAsia="es-ES"/>
        </w:rPr>
        <w:t>2 de septiembre</w:t>
      </w:r>
      <w:r w:rsidRPr="002F036A">
        <w:rPr>
          <w:rFonts w:ascii="Verdana" w:eastAsia="Times New Roman" w:hAnsi="Verdana" w:cs="Verdana"/>
          <w:snapToGrid w:val="0"/>
          <w:sz w:val="20"/>
          <w:szCs w:val="20"/>
          <w:lang w:val="es-ES" w:eastAsia="es-ES"/>
        </w:rPr>
        <w:t xml:space="preserve"> de 2019</w:t>
      </w:r>
      <w:r w:rsidR="0042313F">
        <w:rPr>
          <w:rFonts w:ascii="Verdana" w:eastAsia="Times New Roman" w:hAnsi="Verdana" w:cs="Verdana"/>
          <w:snapToGrid w:val="0"/>
          <w:sz w:val="20"/>
          <w:szCs w:val="20"/>
          <w:lang w:val="es-ES" w:eastAsia="es-ES"/>
        </w:rPr>
        <w:t xml:space="preserve"> durante el 62 Período</w:t>
      </w:r>
      <w:r w:rsidR="004C04A8">
        <w:rPr>
          <w:rFonts w:ascii="Verdana" w:eastAsia="Times New Roman" w:hAnsi="Verdana" w:cs="Verdana"/>
          <w:snapToGrid w:val="0"/>
          <w:sz w:val="20"/>
          <w:szCs w:val="20"/>
          <w:lang w:val="es-ES" w:eastAsia="es-ES"/>
        </w:rPr>
        <w:t xml:space="preserve"> Extraordinario de Sesiones</w:t>
      </w:r>
      <w:r w:rsidR="0042313F">
        <w:rPr>
          <w:rFonts w:ascii="Verdana" w:eastAsia="Times New Roman" w:hAnsi="Verdana" w:cs="Verdana"/>
          <w:snapToGrid w:val="0"/>
          <w:sz w:val="20"/>
          <w:szCs w:val="20"/>
          <w:lang w:val="es-ES" w:eastAsia="es-ES"/>
        </w:rPr>
        <w:t xml:space="preserve">. </w:t>
      </w:r>
      <w:r w:rsidR="004C04A8">
        <w:rPr>
          <w:rFonts w:ascii="Verdana" w:eastAsia="Times New Roman" w:hAnsi="Verdana" w:cs="Verdana"/>
          <w:snapToGrid w:val="0"/>
          <w:sz w:val="20"/>
          <w:szCs w:val="20"/>
          <w:lang w:val="es-ES" w:eastAsia="es-ES"/>
        </w:rPr>
        <w:t xml:space="preserve">Continuó la deliberación </w:t>
      </w:r>
      <w:r w:rsidR="000F6745" w:rsidRPr="0074561B">
        <w:rPr>
          <w:rFonts w:ascii="Verdana" w:eastAsia="Times New Roman" w:hAnsi="Verdana" w:cs="Verdana"/>
          <w:snapToGrid w:val="0"/>
          <w:sz w:val="20"/>
          <w:szCs w:val="20"/>
          <w:lang w:val="es-ES" w:eastAsia="es-ES"/>
        </w:rPr>
        <w:t>el 8 de octubre de 2019</w:t>
      </w:r>
      <w:r w:rsidR="008256E1" w:rsidRPr="00F46AC0">
        <w:rPr>
          <w:rFonts w:ascii="Verdana" w:eastAsia="Times New Roman" w:hAnsi="Verdana" w:cs="Verdana"/>
          <w:snapToGrid w:val="0"/>
          <w:sz w:val="20"/>
          <w:szCs w:val="20"/>
          <w:lang w:val="es-ES" w:eastAsia="es-ES"/>
        </w:rPr>
        <w:t>,</w:t>
      </w:r>
      <w:r w:rsidR="00827BB1" w:rsidRPr="00F46AC0">
        <w:rPr>
          <w:rFonts w:ascii="Verdana" w:eastAsia="Times New Roman" w:hAnsi="Verdana" w:cs="Verdana"/>
          <w:snapToGrid w:val="0"/>
          <w:sz w:val="20"/>
          <w:szCs w:val="20"/>
          <w:lang w:val="es-ES" w:eastAsia="es-ES"/>
        </w:rPr>
        <w:t xml:space="preserve"> durante el 131 Período Ordinario de Sesiones</w:t>
      </w:r>
      <w:r w:rsidR="000F6745" w:rsidRPr="008256E1">
        <w:rPr>
          <w:rFonts w:ascii="Verdana" w:eastAsia="Times New Roman" w:hAnsi="Verdana" w:cs="Verdana"/>
          <w:snapToGrid w:val="0"/>
          <w:sz w:val="20"/>
          <w:szCs w:val="20"/>
          <w:lang w:val="es-ES" w:eastAsia="es-ES"/>
        </w:rPr>
        <w:t>.</w:t>
      </w:r>
    </w:p>
    <w:p w14:paraId="50BE3C85" w14:textId="77777777" w:rsidR="001C05D8" w:rsidRPr="002F036A" w:rsidRDefault="001C05D8" w:rsidP="00972D9D">
      <w:pPr>
        <w:keepNext/>
        <w:keepLines/>
        <w:tabs>
          <w:tab w:val="left" w:pos="851"/>
        </w:tabs>
        <w:spacing w:after="0" w:line="240" w:lineRule="auto"/>
        <w:jc w:val="center"/>
        <w:outlineLvl w:val="0"/>
        <w:rPr>
          <w:rFonts w:ascii="Verdana" w:eastAsia="Times New Roman" w:hAnsi="Verdana" w:cs="Verdana"/>
          <w:b/>
          <w:bCs/>
          <w:caps/>
          <w:snapToGrid w:val="0"/>
          <w:sz w:val="20"/>
          <w:szCs w:val="20"/>
          <w:lang w:val="es-ES_tradnl"/>
        </w:rPr>
      </w:pPr>
      <w:bookmarkStart w:id="6" w:name="_Toc437960385"/>
      <w:bookmarkStart w:id="7" w:name="_Toc494123965"/>
      <w:bookmarkStart w:id="8" w:name="_Toc20755707"/>
      <w:r w:rsidRPr="002F036A">
        <w:rPr>
          <w:rFonts w:ascii="Verdana" w:eastAsia="Times New Roman" w:hAnsi="Verdana" w:cs="Verdana"/>
          <w:b/>
          <w:bCs/>
          <w:caps/>
          <w:snapToGrid w:val="0"/>
          <w:sz w:val="20"/>
          <w:szCs w:val="20"/>
          <w:lang w:val="es-ES_tradnl"/>
        </w:rPr>
        <w:t>III</w:t>
      </w:r>
      <w:r w:rsidRPr="002F036A">
        <w:rPr>
          <w:rFonts w:ascii="Verdana" w:eastAsia="Times New Roman" w:hAnsi="Verdana" w:cs="Verdana"/>
          <w:b/>
          <w:bCs/>
          <w:caps/>
          <w:snapToGrid w:val="0"/>
          <w:sz w:val="20"/>
          <w:szCs w:val="20"/>
          <w:lang w:val="es-ES_tradnl"/>
        </w:rPr>
        <w:br/>
        <w:t>COMPETENCIA</w:t>
      </w:r>
      <w:bookmarkEnd w:id="6"/>
      <w:bookmarkEnd w:id="7"/>
      <w:bookmarkEnd w:id="8"/>
    </w:p>
    <w:p w14:paraId="50BE3C86" w14:textId="77777777" w:rsidR="001C05D8" w:rsidRPr="002F036A" w:rsidRDefault="001C05D8"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eastAsia="Times New Roman" w:hAnsi="Verdana" w:cs="Times New Roman"/>
          <w:sz w:val="20"/>
          <w:szCs w:val="20"/>
          <w:lang w:val="es-ES" w:eastAsia="es-CR"/>
        </w:rPr>
      </w:pPr>
      <w:r w:rsidRPr="002F036A">
        <w:rPr>
          <w:rFonts w:ascii="Verdana" w:eastAsia="Times New Roman" w:hAnsi="Verdana" w:cs="Times New Roman"/>
          <w:sz w:val="20"/>
          <w:szCs w:val="20"/>
          <w:lang w:val="es-ES" w:eastAsia="es-CR"/>
        </w:rPr>
        <w:t xml:space="preserve">La Corte Interamericana es competente para conocer del presente caso, en los términos del artículo 62.3 de la Convención Americana, en razón de que Argentina es Estado Parte de la Convención desde el 5 de setiembre de 1984 y reconoció la competencia contenciosa de este Tribunal en esa misma fecha. </w:t>
      </w:r>
    </w:p>
    <w:p w14:paraId="50BE3C87" w14:textId="77777777" w:rsidR="001C05D8" w:rsidRPr="002F036A" w:rsidRDefault="001C05D8" w:rsidP="00972D9D">
      <w:pPr>
        <w:keepNext/>
        <w:keepLines/>
        <w:tabs>
          <w:tab w:val="left" w:pos="851"/>
        </w:tabs>
        <w:spacing w:after="0" w:line="240" w:lineRule="auto"/>
        <w:jc w:val="center"/>
        <w:outlineLvl w:val="0"/>
        <w:rPr>
          <w:rFonts w:ascii="Verdana" w:eastAsia="Times New Roman" w:hAnsi="Verdana" w:cs="Times New Roman"/>
          <w:b/>
          <w:bCs/>
          <w:caps/>
          <w:snapToGrid w:val="0"/>
          <w:sz w:val="20"/>
          <w:szCs w:val="28"/>
          <w:lang w:val="es-ES_tradnl"/>
        </w:rPr>
      </w:pPr>
      <w:bookmarkStart w:id="9" w:name="_Toc437960386"/>
      <w:bookmarkStart w:id="10" w:name="_Toc494123966"/>
      <w:bookmarkStart w:id="11" w:name="_Toc20755708"/>
      <w:r w:rsidRPr="002F036A">
        <w:rPr>
          <w:rFonts w:ascii="Verdana" w:eastAsia="Times New Roman" w:hAnsi="Verdana" w:cs="Verdana"/>
          <w:b/>
          <w:bCs/>
          <w:caps/>
          <w:snapToGrid w:val="0"/>
          <w:sz w:val="20"/>
          <w:szCs w:val="20"/>
          <w:lang w:val="es-ES_tradnl"/>
        </w:rPr>
        <w:t>IV</w:t>
      </w:r>
      <w:r w:rsidRPr="002F036A">
        <w:rPr>
          <w:rFonts w:ascii="Verdana" w:eastAsia="Times New Roman" w:hAnsi="Verdana" w:cs="Verdana"/>
          <w:b/>
          <w:bCs/>
          <w:caps/>
          <w:snapToGrid w:val="0"/>
          <w:sz w:val="20"/>
          <w:szCs w:val="20"/>
          <w:lang w:val="es-ES_tradnl"/>
        </w:rPr>
        <w:br/>
      </w:r>
      <w:r w:rsidRPr="002F036A">
        <w:rPr>
          <w:rFonts w:ascii="Verdana" w:eastAsia="Times New Roman" w:hAnsi="Verdana" w:cs="Times New Roman"/>
          <w:b/>
          <w:bCs/>
          <w:caps/>
          <w:snapToGrid w:val="0"/>
          <w:sz w:val="20"/>
          <w:szCs w:val="28"/>
          <w:lang w:val="es-ES_tradnl"/>
        </w:rPr>
        <w:t>EXCEPCIONES PRELIMINARES</w:t>
      </w:r>
      <w:bookmarkEnd w:id="9"/>
      <w:bookmarkEnd w:id="10"/>
      <w:bookmarkEnd w:id="11"/>
    </w:p>
    <w:p w14:paraId="50BE3C88" w14:textId="7A6B32ED" w:rsidR="001C05D8" w:rsidRPr="002F036A" w:rsidRDefault="001C05D8"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eastAsia="Times New Roman" w:hAnsi="Verdana" w:cs="Times New Roman"/>
          <w:bCs/>
          <w:snapToGrid w:val="0"/>
          <w:sz w:val="20"/>
          <w:szCs w:val="20"/>
          <w:lang w:val="es-ES_tradnl"/>
        </w:rPr>
      </w:pPr>
      <w:r w:rsidRPr="002F036A">
        <w:rPr>
          <w:rFonts w:ascii="Verdana" w:eastAsia="Times New Roman" w:hAnsi="Verdana" w:cs="Times New Roman"/>
          <w:bCs/>
          <w:snapToGrid w:val="0"/>
          <w:sz w:val="20"/>
          <w:szCs w:val="20"/>
          <w:lang w:val="es-ES_tradnl"/>
        </w:rPr>
        <w:t>El Estado presentó dos excepciones preliminares referentes a la falta de competencia</w:t>
      </w:r>
      <w:r w:rsidRPr="002F036A">
        <w:rPr>
          <w:rFonts w:ascii="Verdana" w:eastAsia="Times New Roman" w:hAnsi="Verdana" w:cs="Times New Roman"/>
          <w:bCs/>
          <w:i/>
          <w:snapToGrid w:val="0"/>
          <w:sz w:val="20"/>
          <w:szCs w:val="20"/>
          <w:lang w:val="es-ES_tradnl"/>
        </w:rPr>
        <w:t xml:space="preserve"> </w:t>
      </w:r>
      <w:proofErr w:type="spellStart"/>
      <w:r w:rsidRPr="002F036A">
        <w:rPr>
          <w:rFonts w:ascii="Verdana" w:eastAsia="Times New Roman" w:hAnsi="Verdana" w:cs="Times New Roman"/>
          <w:bCs/>
          <w:i/>
          <w:snapToGrid w:val="0"/>
          <w:sz w:val="20"/>
          <w:szCs w:val="20"/>
          <w:lang w:val="es-ES_tradnl"/>
        </w:rPr>
        <w:t>ratione</w:t>
      </w:r>
      <w:proofErr w:type="spellEnd"/>
      <w:r w:rsidRPr="002F036A">
        <w:rPr>
          <w:rFonts w:ascii="Verdana" w:eastAsia="Times New Roman" w:hAnsi="Verdana" w:cs="Times New Roman"/>
          <w:bCs/>
          <w:i/>
          <w:snapToGrid w:val="0"/>
          <w:sz w:val="20"/>
          <w:szCs w:val="20"/>
          <w:lang w:val="es-ES_tradnl"/>
        </w:rPr>
        <w:t xml:space="preserve"> </w:t>
      </w:r>
      <w:proofErr w:type="spellStart"/>
      <w:r w:rsidRPr="002F036A">
        <w:rPr>
          <w:rFonts w:ascii="Verdana" w:eastAsia="Times New Roman" w:hAnsi="Verdana" w:cs="Times New Roman"/>
          <w:bCs/>
          <w:i/>
          <w:snapToGrid w:val="0"/>
          <w:sz w:val="20"/>
          <w:szCs w:val="20"/>
          <w:lang w:val="es-ES_tradnl"/>
        </w:rPr>
        <w:t>temporis</w:t>
      </w:r>
      <w:proofErr w:type="spellEnd"/>
      <w:r w:rsidRPr="002F036A">
        <w:rPr>
          <w:rFonts w:ascii="Verdana" w:eastAsia="Times New Roman" w:hAnsi="Verdana" w:cs="Times New Roman"/>
          <w:bCs/>
          <w:i/>
          <w:snapToGrid w:val="0"/>
          <w:sz w:val="20"/>
          <w:szCs w:val="20"/>
          <w:lang w:val="es-ES_tradnl"/>
        </w:rPr>
        <w:t xml:space="preserve"> </w:t>
      </w:r>
      <w:r w:rsidRPr="002F036A">
        <w:rPr>
          <w:rFonts w:ascii="Verdana" w:eastAsia="Times New Roman" w:hAnsi="Verdana" w:cs="Times New Roman"/>
          <w:bCs/>
          <w:snapToGrid w:val="0"/>
          <w:sz w:val="20"/>
          <w:szCs w:val="20"/>
          <w:lang w:val="es-ES_tradnl"/>
        </w:rPr>
        <w:t>en relación con la petición de</w:t>
      </w:r>
      <w:r w:rsidRPr="002F036A">
        <w:rPr>
          <w:rFonts w:ascii="Verdana" w:eastAsia="Times New Roman" w:hAnsi="Verdana" w:cs="Times New Roman"/>
          <w:bCs/>
          <w:i/>
          <w:snapToGrid w:val="0"/>
          <w:sz w:val="20"/>
          <w:szCs w:val="20"/>
          <w:lang w:val="es-ES_tradnl"/>
        </w:rPr>
        <w:t xml:space="preserve"> </w:t>
      </w:r>
      <w:proofErr w:type="spellStart"/>
      <w:r w:rsidRPr="002F036A">
        <w:rPr>
          <w:rFonts w:ascii="Verdana" w:eastAsia="Times New Roman" w:hAnsi="Verdana" w:cs="Times New Roman"/>
          <w:bCs/>
          <w:i/>
          <w:snapToGrid w:val="0"/>
          <w:sz w:val="20"/>
          <w:szCs w:val="20"/>
          <w:lang w:val="es-ES_tradnl"/>
        </w:rPr>
        <w:t>restitutio</w:t>
      </w:r>
      <w:proofErr w:type="spellEnd"/>
      <w:r w:rsidRPr="002F036A">
        <w:rPr>
          <w:rFonts w:ascii="Verdana" w:eastAsia="Times New Roman" w:hAnsi="Verdana" w:cs="Times New Roman"/>
          <w:bCs/>
          <w:i/>
          <w:snapToGrid w:val="0"/>
          <w:sz w:val="20"/>
          <w:szCs w:val="20"/>
          <w:lang w:val="es-ES_tradnl"/>
        </w:rPr>
        <w:t xml:space="preserve"> in </w:t>
      </w:r>
      <w:proofErr w:type="spellStart"/>
      <w:r w:rsidRPr="002F036A">
        <w:rPr>
          <w:rFonts w:ascii="Verdana" w:eastAsia="Times New Roman" w:hAnsi="Verdana" w:cs="Times New Roman"/>
          <w:bCs/>
          <w:i/>
          <w:snapToGrid w:val="0"/>
          <w:sz w:val="20"/>
          <w:szCs w:val="20"/>
          <w:lang w:val="es-ES_tradnl"/>
        </w:rPr>
        <w:t>integrum</w:t>
      </w:r>
      <w:proofErr w:type="spellEnd"/>
      <w:r w:rsidRPr="002F036A">
        <w:rPr>
          <w:rFonts w:ascii="Verdana" w:eastAsia="Times New Roman" w:hAnsi="Verdana" w:cs="Times New Roman"/>
          <w:bCs/>
          <w:i/>
          <w:snapToGrid w:val="0"/>
          <w:sz w:val="20"/>
          <w:szCs w:val="20"/>
          <w:lang w:val="es-ES_tradnl"/>
        </w:rPr>
        <w:t xml:space="preserve"> </w:t>
      </w:r>
      <w:r w:rsidRPr="002F036A">
        <w:rPr>
          <w:rFonts w:ascii="Verdana" w:eastAsia="Times New Roman" w:hAnsi="Verdana" w:cs="Times New Roman"/>
          <w:bCs/>
          <w:snapToGrid w:val="0"/>
          <w:sz w:val="20"/>
          <w:szCs w:val="20"/>
          <w:lang w:val="es-ES_tradnl"/>
        </w:rPr>
        <w:t xml:space="preserve">presentada por las presuntas víctimas y </w:t>
      </w:r>
      <w:r w:rsidR="00130BEF" w:rsidRPr="002F036A">
        <w:rPr>
          <w:rFonts w:ascii="Verdana" w:eastAsia="Times New Roman" w:hAnsi="Verdana" w:cs="Times New Roman"/>
          <w:bCs/>
          <w:snapToGrid w:val="0"/>
          <w:sz w:val="20"/>
          <w:szCs w:val="20"/>
          <w:lang w:val="es-ES_tradnl"/>
        </w:rPr>
        <w:t xml:space="preserve">a </w:t>
      </w:r>
      <w:r w:rsidRPr="002F036A">
        <w:rPr>
          <w:rFonts w:ascii="Verdana" w:eastAsia="Times New Roman" w:hAnsi="Verdana" w:cs="Times New Roman"/>
          <w:bCs/>
          <w:snapToGrid w:val="0"/>
          <w:sz w:val="20"/>
          <w:szCs w:val="20"/>
          <w:lang w:val="es-ES_tradnl"/>
        </w:rPr>
        <w:t>la excepción por indebido agotamiento de recursos de la jurisdicción interna. A continuación, la Corte presentará los argumentos esgrimidos por las partes y analizará las excepciones</w:t>
      </w:r>
      <w:r w:rsidR="00DD6C38" w:rsidRPr="002F036A">
        <w:rPr>
          <w:rFonts w:ascii="Verdana" w:eastAsia="Times New Roman" w:hAnsi="Verdana" w:cs="Times New Roman"/>
          <w:bCs/>
          <w:snapToGrid w:val="0"/>
          <w:sz w:val="20"/>
          <w:szCs w:val="20"/>
          <w:lang w:val="es-ES_tradnl"/>
        </w:rPr>
        <w:t xml:space="preserve"> </w:t>
      </w:r>
      <w:r w:rsidR="00130BEF" w:rsidRPr="002F036A">
        <w:rPr>
          <w:rFonts w:ascii="Verdana" w:eastAsia="Times New Roman" w:hAnsi="Verdana" w:cs="Times New Roman"/>
          <w:bCs/>
          <w:snapToGrid w:val="0"/>
          <w:sz w:val="20"/>
          <w:szCs w:val="20"/>
          <w:lang w:val="es-ES_tradnl"/>
        </w:rPr>
        <w:t>planteadas</w:t>
      </w:r>
      <w:r w:rsidRPr="002F036A">
        <w:rPr>
          <w:rFonts w:ascii="Verdana" w:eastAsia="Times New Roman" w:hAnsi="Verdana" w:cs="Times New Roman"/>
          <w:bCs/>
          <w:snapToGrid w:val="0"/>
          <w:sz w:val="20"/>
          <w:szCs w:val="20"/>
          <w:lang w:val="es-ES_tradnl"/>
        </w:rPr>
        <w:t>.</w:t>
      </w:r>
    </w:p>
    <w:p w14:paraId="50BE3C89" w14:textId="7D8D94D2" w:rsidR="001C05D8" w:rsidRPr="00972D9D" w:rsidRDefault="001C05D8" w:rsidP="00972D9D">
      <w:pPr>
        <w:keepNext/>
        <w:keepLines/>
        <w:numPr>
          <w:ilvl w:val="0"/>
          <w:numId w:val="11"/>
        </w:numPr>
        <w:spacing w:before="120" w:after="120" w:line="240" w:lineRule="auto"/>
        <w:ind w:left="567" w:hanging="283"/>
        <w:jc w:val="both"/>
        <w:outlineLvl w:val="1"/>
        <w:rPr>
          <w:rFonts w:ascii="Verdana" w:eastAsia="Times New Roman" w:hAnsi="Verdana" w:cs="Times New Roman"/>
          <w:b/>
          <w:bCs/>
          <w:i/>
          <w:sz w:val="20"/>
          <w:szCs w:val="20"/>
          <w:lang w:val="es-ES_tradnl"/>
        </w:rPr>
      </w:pPr>
      <w:r w:rsidRPr="00972D9D">
        <w:rPr>
          <w:rFonts w:ascii="Verdana" w:eastAsia="Times New Roman" w:hAnsi="Verdana" w:cs="Times New Roman"/>
          <w:b/>
          <w:bCs/>
          <w:i/>
          <w:sz w:val="20"/>
          <w:szCs w:val="20"/>
          <w:lang w:val="es-ES_tradnl"/>
        </w:rPr>
        <w:t xml:space="preserve"> </w:t>
      </w:r>
      <w:bookmarkStart w:id="12" w:name="_Toc20755709"/>
      <w:r w:rsidRPr="00972D9D">
        <w:rPr>
          <w:rFonts w:ascii="Verdana" w:eastAsia="MS Gothic" w:hAnsi="Verdana" w:cs="Times New Roman"/>
          <w:b/>
          <w:bCs/>
          <w:i/>
          <w:sz w:val="20"/>
          <w:szCs w:val="20"/>
          <w:lang w:val="es-CR"/>
        </w:rPr>
        <w:t>Falta de competencia ratione temporis en relación con la petición de restitutio in integrum de la representación</w:t>
      </w:r>
      <w:bookmarkEnd w:id="12"/>
      <w:r w:rsidRPr="00972D9D">
        <w:rPr>
          <w:rFonts w:ascii="Verdana" w:eastAsia="MS Gothic" w:hAnsi="Verdana" w:cs="Times New Roman"/>
          <w:b/>
          <w:bCs/>
          <w:i/>
          <w:sz w:val="20"/>
          <w:szCs w:val="20"/>
          <w:lang w:val="es-CR"/>
        </w:rPr>
        <w:t xml:space="preserve"> </w:t>
      </w:r>
    </w:p>
    <w:p w14:paraId="50BE3C8A" w14:textId="3B933DB1" w:rsidR="001C05D8" w:rsidRPr="00972D9D" w:rsidRDefault="001C05D8" w:rsidP="00972D9D">
      <w:pPr>
        <w:pStyle w:val="Ttulo3"/>
        <w:tabs>
          <w:tab w:val="clear" w:pos="1276"/>
          <w:tab w:val="left" w:pos="851"/>
        </w:tabs>
        <w:spacing w:before="120" w:after="120"/>
        <w:ind w:left="1418" w:hanging="567"/>
        <w:rPr>
          <w:b w:val="0"/>
          <w:lang w:val="es-ES_tradnl"/>
        </w:rPr>
      </w:pPr>
      <w:bookmarkStart w:id="13" w:name="_Toc20755710"/>
      <w:r w:rsidRPr="00972D9D">
        <w:rPr>
          <w:b w:val="0"/>
          <w:lang w:val="es-ES_tradnl"/>
        </w:rPr>
        <w:t>Alegatos de las partes y de la Comisión</w:t>
      </w:r>
      <w:bookmarkEnd w:id="13"/>
      <w:r w:rsidRPr="00972D9D">
        <w:rPr>
          <w:b w:val="0"/>
          <w:lang w:val="es-ES_tradnl"/>
        </w:rPr>
        <w:t xml:space="preserve"> </w:t>
      </w:r>
    </w:p>
    <w:p w14:paraId="50BE3C8B" w14:textId="2DCF16A4" w:rsidR="001C05D8" w:rsidRPr="00972D9D" w:rsidRDefault="001C05D8"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eastAsia="Calibri" w:hAnsi="Verdana" w:cs="Times New Roman"/>
          <w:sz w:val="20"/>
          <w:szCs w:val="20"/>
          <w:lang w:val="es-ES_tradnl"/>
        </w:rPr>
      </w:pPr>
      <w:r w:rsidRPr="00972D9D">
        <w:rPr>
          <w:rFonts w:ascii="Verdana" w:eastAsia="Calibri" w:hAnsi="Verdana" w:cs="Times New Roman"/>
          <w:sz w:val="20"/>
          <w:szCs w:val="20"/>
          <w:lang w:val="es-ES_tradnl"/>
        </w:rPr>
        <w:t xml:space="preserve">El </w:t>
      </w:r>
      <w:r w:rsidRPr="00972D9D">
        <w:rPr>
          <w:rFonts w:ascii="Verdana" w:eastAsia="Calibri" w:hAnsi="Verdana" w:cs="Times New Roman"/>
          <w:b/>
          <w:i/>
          <w:sz w:val="20"/>
          <w:szCs w:val="20"/>
          <w:lang w:val="es-ES_tradnl"/>
        </w:rPr>
        <w:t>Estado</w:t>
      </w:r>
      <w:r w:rsidRPr="00972D9D">
        <w:rPr>
          <w:rFonts w:ascii="Verdana" w:eastAsia="Calibri" w:hAnsi="Verdana" w:cs="Times New Roman"/>
          <w:sz w:val="20"/>
          <w:szCs w:val="20"/>
          <w:lang w:val="es-ES_tradnl"/>
        </w:rPr>
        <w:t xml:space="preserve"> precisó que su reconocimiento de la competencia de la Corte comenzó el 5 de septiembre de 1984, fecha en la que depositó el instrumento de ratificación de la Convención</w:t>
      </w:r>
      <w:r w:rsidRPr="00F46AC0">
        <w:rPr>
          <w:rFonts w:ascii="Verdana" w:eastAsia="Calibri" w:hAnsi="Verdana" w:cs="Times New Roman"/>
          <w:sz w:val="20"/>
          <w:szCs w:val="20"/>
          <w:lang w:val="es-ES_tradnl"/>
        </w:rPr>
        <w:t>.</w:t>
      </w:r>
      <w:r w:rsidRPr="00972D9D">
        <w:rPr>
          <w:rFonts w:ascii="Verdana" w:eastAsia="Calibri" w:hAnsi="Verdana" w:cs="Times New Roman"/>
          <w:sz w:val="20"/>
          <w:szCs w:val="20"/>
          <w:lang w:val="es-ES_tradnl"/>
        </w:rPr>
        <w:t xml:space="preserve"> </w:t>
      </w:r>
      <w:r w:rsidR="004A3E0F" w:rsidRPr="00972D9D">
        <w:rPr>
          <w:rFonts w:ascii="Verdana" w:eastAsia="Calibri" w:hAnsi="Verdana" w:cs="Times New Roman"/>
          <w:sz w:val="20"/>
          <w:szCs w:val="20"/>
          <w:lang w:val="es-ES_tradnl"/>
        </w:rPr>
        <w:t>I</w:t>
      </w:r>
      <w:r w:rsidRPr="00972D9D">
        <w:rPr>
          <w:rFonts w:ascii="Verdana" w:eastAsia="Calibri" w:hAnsi="Verdana" w:cs="Times New Roman"/>
          <w:sz w:val="20"/>
          <w:szCs w:val="20"/>
          <w:lang w:val="es-ES_tradnl"/>
        </w:rPr>
        <w:t>ndicó que la delimitación del caso hecha por la Comisión en el Informe de Admisibilidad y en el Informe de Fondo, se refiere</w:t>
      </w:r>
      <w:r w:rsidRPr="00972D9D">
        <w:rPr>
          <w:rFonts w:ascii="Verdana" w:eastAsia="Calibri" w:hAnsi="Verdana" w:cs="Times New Roman"/>
          <w:i/>
          <w:sz w:val="20"/>
          <w:szCs w:val="20"/>
          <w:lang w:val="es-ES_tradnl"/>
        </w:rPr>
        <w:t xml:space="preserve"> </w:t>
      </w:r>
      <w:r w:rsidRPr="00972D9D">
        <w:rPr>
          <w:rFonts w:ascii="Verdana" w:eastAsia="Calibri" w:hAnsi="Verdana" w:cs="Times New Roman"/>
          <w:sz w:val="20"/>
          <w:szCs w:val="20"/>
          <w:lang w:val="es-ES_tradnl"/>
        </w:rPr>
        <w:t xml:space="preserve">a las presuntas violaciones ocurridas durante las actuaciones administrativas y judiciales en las que los señores </w:t>
      </w:r>
      <w:proofErr w:type="spellStart"/>
      <w:r w:rsidRPr="00972D9D">
        <w:rPr>
          <w:rFonts w:ascii="Verdana" w:eastAsia="Calibri" w:hAnsi="Verdana" w:cs="Times New Roman"/>
          <w:sz w:val="20"/>
          <w:szCs w:val="20"/>
          <w:lang w:val="es-ES_tradnl"/>
        </w:rPr>
        <w:t>Perrone</w:t>
      </w:r>
      <w:proofErr w:type="spellEnd"/>
      <w:r w:rsidRPr="00972D9D">
        <w:rPr>
          <w:rFonts w:ascii="Verdana" w:eastAsia="Calibri" w:hAnsi="Verdana" w:cs="Times New Roman"/>
          <w:sz w:val="20"/>
          <w:szCs w:val="20"/>
          <w:lang w:val="es-ES_tradnl"/>
        </w:rPr>
        <w:t xml:space="preserve"> y </w:t>
      </w:r>
      <w:proofErr w:type="spellStart"/>
      <w:r w:rsidRPr="00972D9D">
        <w:rPr>
          <w:rFonts w:ascii="Verdana" w:eastAsia="Calibri" w:hAnsi="Verdana" w:cs="Times New Roman"/>
          <w:sz w:val="20"/>
          <w:szCs w:val="20"/>
          <w:lang w:val="es-ES_tradnl"/>
        </w:rPr>
        <w:t>Preckel</w:t>
      </w:r>
      <w:proofErr w:type="spellEnd"/>
      <w:r w:rsidRPr="00972D9D">
        <w:rPr>
          <w:rFonts w:ascii="Verdana" w:eastAsia="Calibri" w:hAnsi="Verdana" w:cs="Times New Roman"/>
          <w:sz w:val="20"/>
          <w:szCs w:val="20"/>
          <w:lang w:val="es-ES_tradnl"/>
        </w:rPr>
        <w:t xml:space="preserve"> solicitaban el pago de sus salarios y demás beneficios laborales dejados de percibir durante su detención en la dictadura militar. </w:t>
      </w:r>
      <w:r w:rsidR="004A3E0F" w:rsidRPr="00972D9D">
        <w:rPr>
          <w:rFonts w:ascii="Verdana" w:eastAsia="Calibri" w:hAnsi="Verdana" w:cs="Times New Roman"/>
          <w:sz w:val="20"/>
          <w:szCs w:val="20"/>
          <w:lang w:val="es-ES_tradnl"/>
        </w:rPr>
        <w:t>A</w:t>
      </w:r>
      <w:r w:rsidRPr="00972D9D">
        <w:rPr>
          <w:rFonts w:ascii="Verdana" w:eastAsia="Calibri" w:hAnsi="Verdana" w:cs="Times New Roman"/>
          <w:sz w:val="20"/>
          <w:szCs w:val="20"/>
          <w:lang w:val="es-ES_tradnl"/>
        </w:rPr>
        <w:t xml:space="preserve"> pesar de que </w:t>
      </w:r>
      <w:r w:rsidR="00687FF0">
        <w:rPr>
          <w:rFonts w:ascii="Verdana" w:eastAsia="Calibri" w:hAnsi="Verdana" w:cs="Times New Roman"/>
          <w:sz w:val="20"/>
          <w:szCs w:val="20"/>
          <w:lang w:val="es-ES_tradnl"/>
        </w:rPr>
        <w:t xml:space="preserve">el representante </w:t>
      </w:r>
      <w:r w:rsidRPr="00972D9D">
        <w:rPr>
          <w:rFonts w:ascii="Verdana" w:eastAsia="Calibri" w:hAnsi="Verdana" w:cs="Times New Roman"/>
          <w:sz w:val="20"/>
          <w:szCs w:val="20"/>
          <w:lang w:val="es-ES_tradnl"/>
        </w:rPr>
        <w:t>señal</w:t>
      </w:r>
      <w:r w:rsidR="00687FF0">
        <w:rPr>
          <w:rFonts w:ascii="Verdana" w:eastAsia="Calibri" w:hAnsi="Verdana" w:cs="Times New Roman"/>
          <w:sz w:val="20"/>
          <w:szCs w:val="20"/>
          <w:lang w:val="es-ES_tradnl"/>
        </w:rPr>
        <w:t xml:space="preserve">ó </w:t>
      </w:r>
      <w:r w:rsidRPr="00972D9D">
        <w:rPr>
          <w:rFonts w:ascii="Verdana" w:eastAsia="Calibri" w:hAnsi="Verdana" w:cs="Times New Roman"/>
          <w:sz w:val="20"/>
          <w:szCs w:val="20"/>
          <w:lang w:val="es-ES_tradnl"/>
        </w:rPr>
        <w:t>coincidir con tal delimitación, manej</w:t>
      </w:r>
      <w:r w:rsidR="00687FF0">
        <w:rPr>
          <w:rFonts w:ascii="Verdana" w:eastAsia="Calibri" w:hAnsi="Verdana" w:cs="Times New Roman"/>
          <w:sz w:val="20"/>
          <w:szCs w:val="20"/>
          <w:lang w:val="es-ES_tradnl"/>
        </w:rPr>
        <w:t>ó</w:t>
      </w:r>
      <w:r w:rsidRPr="00972D9D">
        <w:rPr>
          <w:rFonts w:ascii="Verdana" w:eastAsia="Calibri" w:hAnsi="Verdana" w:cs="Times New Roman"/>
          <w:sz w:val="20"/>
          <w:szCs w:val="20"/>
          <w:lang w:val="es-ES_tradnl"/>
        </w:rPr>
        <w:t xml:space="preserve"> también una postura “palmariamente ambigua” en la que orient</w:t>
      </w:r>
      <w:r w:rsidR="004A3E0F" w:rsidRPr="00972D9D">
        <w:rPr>
          <w:rFonts w:ascii="Verdana" w:eastAsia="Calibri" w:hAnsi="Verdana" w:cs="Times New Roman"/>
          <w:sz w:val="20"/>
          <w:szCs w:val="20"/>
          <w:lang w:val="es-ES_tradnl"/>
        </w:rPr>
        <w:t>ó</w:t>
      </w:r>
      <w:r w:rsidRPr="00972D9D">
        <w:rPr>
          <w:rFonts w:ascii="Verdana" w:eastAsia="Calibri" w:hAnsi="Verdana" w:cs="Times New Roman"/>
          <w:sz w:val="20"/>
          <w:szCs w:val="20"/>
          <w:lang w:val="es-ES_tradnl"/>
        </w:rPr>
        <w:t xml:space="preserve"> la discusión a los hechos de detención y exilio ocurridos entre 1976 y 1983. Señaló que la contradicción sucede principalmente cuando la petición indemnizatoria busca el pago de los salarios caídos, fundamentando tal pretensión en la detención de 1976. Pues, para poder estudiar la procedencia de esta petición</w:t>
      </w:r>
      <w:r w:rsidR="004E0B3D" w:rsidRPr="00972D9D">
        <w:rPr>
          <w:rFonts w:ascii="Verdana" w:eastAsia="Calibri" w:hAnsi="Verdana" w:cs="Times New Roman"/>
          <w:sz w:val="20"/>
          <w:szCs w:val="20"/>
          <w:lang w:val="es-ES_tradnl"/>
        </w:rPr>
        <w:t>,</w:t>
      </w:r>
      <w:r w:rsidRPr="00972D9D">
        <w:rPr>
          <w:rFonts w:ascii="Verdana" w:eastAsia="Calibri" w:hAnsi="Verdana" w:cs="Times New Roman"/>
          <w:sz w:val="20"/>
          <w:szCs w:val="20"/>
          <w:lang w:val="es-ES_tradnl"/>
        </w:rPr>
        <w:t xml:space="preserve"> la Corte necesariamente tendría que declarar como violaciones hechos ocurridos antes de la ratificación de la Convención y sobre los cuales no tiene competencia.</w:t>
      </w:r>
    </w:p>
    <w:p w14:paraId="50BE3C8C" w14:textId="29A2D86B" w:rsidR="001C05D8" w:rsidRPr="00972D9D" w:rsidRDefault="001C05D8"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eastAsia="Calibri" w:hAnsi="Verdana"/>
          <w:sz w:val="20"/>
          <w:szCs w:val="20"/>
          <w:lang w:val="es-ES"/>
        </w:rPr>
      </w:pPr>
      <w:r w:rsidRPr="00972D9D">
        <w:rPr>
          <w:rFonts w:ascii="Verdana" w:hAnsi="Verdana"/>
          <w:sz w:val="20"/>
          <w:szCs w:val="20"/>
          <w:lang w:val="es-ES_tradnl"/>
        </w:rPr>
        <w:t>E</w:t>
      </w:r>
      <w:r w:rsidR="004A3E0F" w:rsidRPr="00972D9D">
        <w:rPr>
          <w:rFonts w:ascii="Verdana" w:hAnsi="Verdana"/>
          <w:sz w:val="20"/>
          <w:szCs w:val="20"/>
          <w:lang w:val="es-ES_tradnl"/>
        </w:rPr>
        <w:t>l Estado</w:t>
      </w:r>
      <w:r w:rsidRPr="00972D9D">
        <w:rPr>
          <w:rFonts w:ascii="Verdana" w:hAnsi="Verdana"/>
          <w:sz w:val="20"/>
          <w:szCs w:val="20"/>
          <w:lang w:val="es-ES_tradnl"/>
        </w:rPr>
        <w:t xml:space="preserve"> </w:t>
      </w:r>
      <w:r w:rsidRPr="00972D9D">
        <w:rPr>
          <w:rFonts w:ascii="Verdana" w:hAnsi="Verdana"/>
          <w:sz w:val="20"/>
          <w:szCs w:val="20"/>
        </w:rPr>
        <w:t xml:space="preserve">alegó que el representante “cambi[ó] el objeto procesal del caso planteado como controversia” </w:t>
      </w:r>
      <w:r w:rsidR="00130BEF" w:rsidRPr="00972D9D">
        <w:rPr>
          <w:rFonts w:ascii="Verdana" w:hAnsi="Verdana"/>
          <w:sz w:val="20"/>
          <w:szCs w:val="20"/>
        </w:rPr>
        <w:t xml:space="preserve">al pretender como parte de la </w:t>
      </w:r>
      <w:r w:rsidRPr="00972D9D">
        <w:rPr>
          <w:rFonts w:ascii="Verdana" w:hAnsi="Verdana"/>
          <w:i/>
          <w:sz w:val="20"/>
          <w:szCs w:val="20"/>
        </w:rPr>
        <w:t>restitutio in integrum</w:t>
      </w:r>
      <w:r w:rsidRPr="00972D9D">
        <w:rPr>
          <w:rFonts w:ascii="Verdana" w:hAnsi="Verdana"/>
          <w:sz w:val="20"/>
          <w:szCs w:val="20"/>
        </w:rPr>
        <w:t xml:space="preserve"> </w:t>
      </w:r>
      <w:r w:rsidR="00130BEF" w:rsidRPr="00972D9D">
        <w:rPr>
          <w:rFonts w:ascii="Verdana" w:hAnsi="Verdana"/>
          <w:sz w:val="20"/>
          <w:szCs w:val="20"/>
        </w:rPr>
        <w:t xml:space="preserve">el pago </w:t>
      </w:r>
      <w:r w:rsidRPr="00972D9D">
        <w:rPr>
          <w:rFonts w:ascii="Verdana" w:hAnsi="Verdana"/>
          <w:sz w:val="20"/>
          <w:szCs w:val="20"/>
        </w:rPr>
        <w:t>de los salarios dejados de percibir por los hechos ocurridos en 1976</w:t>
      </w:r>
      <w:r w:rsidRPr="00F46AC0">
        <w:rPr>
          <w:rFonts w:ascii="Verdana" w:hAnsi="Verdana"/>
          <w:sz w:val="20"/>
          <w:szCs w:val="20"/>
        </w:rPr>
        <w:t>,</w:t>
      </w:r>
      <w:r w:rsidRPr="00972D9D">
        <w:rPr>
          <w:rFonts w:ascii="Verdana" w:hAnsi="Verdana"/>
          <w:sz w:val="20"/>
          <w:szCs w:val="20"/>
        </w:rPr>
        <w:t xml:space="preserve"> lo que pierde de vista el objeto procesal de la demanda, el cual se relaciona a la</w:t>
      </w:r>
      <w:r w:rsidR="00C70633" w:rsidRPr="00972D9D">
        <w:rPr>
          <w:rFonts w:ascii="Verdana" w:hAnsi="Verdana"/>
          <w:sz w:val="20"/>
          <w:szCs w:val="20"/>
        </w:rPr>
        <w:t>s</w:t>
      </w:r>
      <w:r w:rsidRPr="00972D9D">
        <w:rPr>
          <w:rFonts w:ascii="Verdana" w:hAnsi="Verdana"/>
          <w:sz w:val="20"/>
          <w:szCs w:val="20"/>
        </w:rPr>
        <w:t xml:space="preserve"> presuntas violaciones de la Convención que habrían tenido lugar en el marco de los procesos judiciales y administrativos en sede interna. </w:t>
      </w:r>
    </w:p>
    <w:p w14:paraId="50BE3C8D" w14:textId="748CEED6" w:rsidR="001C05D8" w:rsidRPr="00972D9D" w:rsidRDefault="001C05D8"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eastAsiaTheme="minorHAnsi" w:hAnsi="Verdana" w:cs="Times New Roman"/>
          <w:sz w:val="20"/>
          <w:szCs w:val="20"/>
          <w:lang w:val="es-CR"/>
        </w:rPr>
      </w:pPr>
      <w:r w:rsidRPr="00972D9D">
        <w:rPr>
          <w:rFonts w:ascii="Verdana" w:eastAsia="Calibri" w:hAnsi="Verdana" w:cs="Times New Roman"/>
          <w:sz w:val="20"/>
          <w:szCs w:val="20"/>
          <w:lang w:val="es-ES_tradnl"/>
        </w:rPr>
        <w:t xml:space="preserve">Por su parte, la </w:t>
      </w:r>
      <w:r w:rsidRPr="00972D9D">
        <w:rPr>
          <w:rFonts w:ascii="Verdana" w:eastAsia="Calibri" w:hAnsi="Verdana" w:cs="Times New Roman"/>
          <w:b/>
          <w:i/>
          <w:sz w:val="20"/>
          <w:szCs w:val="20"/>
          <w:lang w:val="es-ES_tradnl"/>
        </w:rPr>
        <w:t>Comisión</w:t>
      </w:r>
      <w:r w:rsidRPr="00972D9D">
        <w:rPr>
          <w:rFonts w:ascii="Verdana" w:eastAsia="Calibri" w:hAnsi="Verdana" w:cs="Times New Roman"/>
          <w:sz w:val="20"/>
          <w:szCs w:val="20"/>
          <w:lang w:val="es-ES_tradnl"/>
        </w:rPr>
        <w:t xml:space="preserve"> manifestó que las violaciones determinadas en su Informe de Fondo y sometidas a la Corte se basan en hechos autónomos e independientes a la detención de las presuntas víctimas; que el caso se relaciona con los procesos administrativos y judiciales iniciados por Elba Clotilde Perrone y Juan José </w:t>
      </w:r>
      <w:proofErr w:type="spellStart"/>
      <w:r w:rsidRPr="00972D9D">
        <w:rPr>
          <w:rFonts w:ascii="Verdana" w:eastAsia="Calibri" w:hAnsi="Verdana" w:cs="Times New Roman"/>
          <w:sz w:val="20"/>
          <w:szCs w:val="20"/>
          <w:lang w:val="es-ES_tradnl"/>
        </w:rPr>
        <w:t>Preckel</w:t>
      </w:r>
      <w:proofErr w:type="spellEnd"/>
      <w:r w:rsidRPr="00972D9D">
        <w:rPr>
          <w:rFonts w:ascii="Verdana" w:eastAsia="Calibri" w:hAnsi="Verdana" w:cs="Times New Roman"/>
          <w:sz w:val="20"/>
          <w:szCs w:val="20"/>
          <w:lang w:val="es-ES_tradnl"/>
        </w:rPr>
        <w:t xml:space="preserve"> a efectos de solicitar el pago de los salarios y beneficios sociales dejados de percibir, como consecuencia de su detención durante la dictadura militar, y que estos procesos fueron iniciados con posterioridad a la ratificación de la Convención, circunstancia que se ha expresado en el Informe de Admisibilidad 67/99, el Informe de Fondo 21/17 y en la nota de remisión del caso. En dicho informe, la Comisión </w:t>
      </w:r>
      <w:r w:rsidRPr="00972D9D">
        <w:rPr>
          <w:rFonts w:ascii="Verdana" w:eastAsia="Calibri" w:hAnsi="Verdana"/>
          <w:sz w:val="20"/>
          <w:szCs w:val="20"/>
          <w:lang w:val="es-ES"/>
        </w:rPr>
        <w:t xml:space="preserve">afirmó que los hechos anteriores a la ratificación de la Convención por parte del Estado fueron aportados al proceso a </w:t>
      </w:r>
      <w:r w:rsidRPr="00972D9D">
        <w:rPr>
          <w:rFonts w:ascii="Verdana" w:eastAsia="Calibri" w:hAnsi="Verdana"/>
          <w:sz w:val="20"/>
          <w:szCs w:val="20"/>
          <w:lang w:val="es-ES"/>
        </w:rPr>
        <w:lastRenderedPageBreak/>
        <w:t xml:space="preserve">modo de contexto, al mismo tiempo que circunscribió el objeto del presente caso al reclamo “sobre el pago de los salarios y beneficios sociales dejados de percibir […] como consecuencia de su privación arbitraria de libertad y el exilio en el caso del señor </w:t>
      </w:r>
      <w:proofErr w:type="spellStart"/>
      <w:r w:rsidRPr="00972D9D">
        <w:rPr>
          <w:rFonts w:ascii="Verdana" w:eastAsia="Calibri" w:hAnsi="Verdana"/>
          <w:sz w:val="20"/>
          <w:szCs w:val="20"/>
          <w:lang w:val="es-ES"/>
        </w:rPr>
        <w:t>Preckel</w:t>
      </w:r>
      <w:proofErr w:type="spellEnd"/>
      <w:r w:rsidR="00DD6C38" w:rsidRPr="00972D9D">
        <w:rPr>
          <w:rFonts w:ascii="Verdana" w:eastAsia="Calibri" w:hAnsi="Verdana"/>
          <w:sz w:val="20"/>
          <w:szCs w:val="20"/>
          <w:lang w:val="es-ES"/>
        </w:rPr>
        <w:t xml:space="preserve"> [</w:t>
      </w:r>
      <w:r w:rsidRPr="00972D9D">
        <w:rPr>
          <w:rFonts w:ascii="Verdana" w:eastAsia="Calibri" w:hAnsi="Verdana"/>
          <w:sz w:val="20"/>
          <w:szCs w:val="20"/>
          <w:lang w:val="es-ES"/>
        </w:rPr>
        <w:t>confirmando así, que</w:t>
      </w:r>
      <w:r w:rsidR="00DD6C38" w:rsidRPr="00972D9D">
        <w:rPr>
          <w:rFonts w:ascii="Verdana" w:eastAsia="Calibri" w:hAnsi="Verdana"/>
          <w:sz w:val="20"/>
          <w:szCs w:val="20"/>
          <w:lang w:val="es-ES"/>
        </w:rPr>
        <w:t>]</w:t>
      </w:r>
      <w:r w:rsidRPr="00972D9D">
        <w:rPr>
          <w:rFonts w:ascii="Verdana" w:eastAsia="Calibri" w:hAnsi="Verdana"/>
          <w:sz w:val="20"/>
          <w:szCs w:val="20"/>
          <w:lang w:val="es-ES"/>
        </w:rPr>
        <w:t xml:space="preserve"> </w:t>
      </w:r>
      <w:r w:rsidRPr="00972D9D">
        <w:rPr>
          <w:rFonts w:ascii="Verdana" w:eastAsiaTheme="minorHAnsi" w:hAnsi="Verdana" w:cs="Times New Roman"/>
          <w:sz w:val="20"/>
          <w:szCs w:val="20"/>
          <w:lang w:val="es-CR"/>
        </w:rPr>
        <w:t>la detención, tortura y exilio no se encuentran dentro del objeto del presente caso. Tampoco se encuentra dentro de dicho objeto la suficiencia o no de la indemnización recibida por las víctimas en virtud de la Ley No. 24.043”</w:t>
      </w:r>
      <w:r w:rsidR="00DD6C38" w:rsidRPr="00972D9D">
        <w:rPr>
          <w:rFonts w:ascii="Verdana" w:eastAsiaTheme="minorHAnsi" w:hAnsi="Verdana" w:cs="Times New Roman"/>
          <w:sz w:val="20"/>
          <w:szCs w:val="20"/>
          <w:lang w:val="es-CR"/>
        </w:rPr>
        <w:t>.</w:t>
      </w:r>
      <w:r w:rsidRPr="00972D9D">
        <w:rPr>
          <w:rFonts w:ascii="Verdana" w:eastAsia="Calibri" w:hAnsi="Verdana"/>
          <w:sz w:val="20"/>
          <w:szCs w:val="20"/>
          <w:lang w:val="es-ES"/>
        </w:rPr>
        <w:t xml:space="preserve"> </w:t>
      </w:r>
    </w:p>
    <w:p w14:paraId="50BE3C8E" w14:textId="1A5455F6" w:rsidR="001C05D8" w:rsidRPr="00972D9D" w:rsidRDefault="001C05D8"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eastAsia="Calibri" w:hAnsi="Verdana"/>
          <w:sz w:val="20"/>
          <w:szCs w:val="20"/>
          <w:lang w:val="es-ES"/>
        </w:rPr>
      </w:pPr>
      <w:r w:rsidRPr="00972D9D">
        <w:rPr>
          <w:rFonts w:ascii="Verdana" w:eastAsia="Times New Roman" w:hAnsi="Verdana" w:cs="Times New Roman"/>
          <w:bCs/>
          <w:sz w:val="20"/>
          <w:szCs w:val="20"/>
          <w:lang w:val="es-ES_tradnl"/>
        </w:rPr>
        <w:t xml:space="preserve">Finalmente, el </w:t>
      </w:r>
      <w:r w:rsidRPr="00972D9D">
        <w:rPr>
          <w:rFonts w:ascii="Verdana" w:eastAsia="Times New Roman" w:hAnsi="Verdana" w:cs="Times New Roman"/>
          <w:b/>
          <w:bCs/>
          <w:i/>
          <w:sz w:val="20"/>
          <w:szCs w:val="20"/>
          <w:lang w:val="es-ES_tradnl"/>
        </w:rPr>
        <w:t>representante</w:t>
      </w:r>
      <w:r w:rsidRPr="00972D9D">
        <w:rPr>
          <w:rFonts w:ascii="Verdana" w:eastAsia="Times New Roman" w:hAnsi="Verdana" w:cs="Times New Roman"/>
          <w:bCs/>
          <w:i/>
          <w:sz w:val="20"/>
          <w:szCs w:val="20"/>
          <w:lang w:val="es-ES_tradnl"/>
        </w:rPr>
        <w:t xml:space="preserve"> </w:t>
      </w:r>
      <w:r w:rsidRPr="00972D9D">
        <w:rPr>
          <w:rFonts w:ascii="Verdana" w:eastAsia="Times New Roman" w:hAnsi="Verdana" w:cs="Times New Roman"/>
          <w:bCs/>
          <w:sz w:val="20"/>
          <w:szCs w:val="20"/>
          <w:lang w:val="es-ES_tradnl"/>
        </w:rPr>
        <w:t>reiteró la pos</w:t>
      </w:r>
      <w:r w:rsidR="00130BEF" w:rsidRPr="00972D9D">
        <w:rPr>
          <w:rFonts w:ascii="Verdana" w:eastAsia="Times New Roman" w:hAnsi="Verdana" w:cs="Times New Roman"/>
          <w:bCs/>
          <w:sz w:val="20"/>
          <w:szCs w:val="20"/>
          <w:lang w:val="es-ES_tradnl"/>
        </w:rPr>
        <w:t>tura</w:t>
      </w:r>
      <w:r w:rsidRPr="00972D9D">
        <w:rPr>
          <w:rFonts w:ascii="Verdana" w:eastAsia="Times New Roman" w:hAnsi="Verdana" w:cs="Times New Roman"/>
          <w:bCs/>
          <w:sz w:val="20"/>
          <w:szCs w:val="20"/>
          <w:lang w:val="es-ES_tradnl"/>
        </w:rPr>
        <w:t xml:space="preserve"> de la Comisión en su Informe de Admisibilidad, </w:t>
      </w:r>
      <w:r w:rsidR="00130BEF" w:rsidRPr="00972D9D">
        <w:rPr>
          <w:rFonts w:ascii="Verdana" w:eastAsia="Times New Roman" w:hAnsi="Verdana" w:cs="Times New Roman"/>
          <w:bCs/>
          <w:sz w:val="20"/>
          <w:szCs w:val="20"/>
          <w:lang w:val="es-ES_tradnl"/>
        </w:rPr>
        <w:t xml:space="preserve">según la cual </w:t>
      </w:r>
      <w:r w:rsidRPr="00972D9D">
        <w:rPr>
          <w:rFonts w:ascii="Verdana" w:eastAsia="Times New Roman" w:hAnsi="Verdana" w:cs="Times New Roman"/>
          <w:bCs/>
          <w:sz w:val="20"/>
          <w:szCs w:val="20"/>
          <w:lang w:val="es-ES_tradnl"/>
        </w:rPr>
        <w:t>las decisiones administrativas y judiciales que rechazaron las peticiones de las partes se dictaron después de que la Convención hubiera entrado en vigencia. Además, estimó que con este Informe precluyeron los debates sobre la falta de competencia temporal de la Corte y que no pueden volver a oponerse en la actual instancia</w:t>
      </w:r>
      <w:r w:rsidR="001B0B8B">
        <w:rPr>
          <w:rFonts w:ascii="Verdana" w:eastAsia="Times New Roman" w:hAnsi="Verdana" w:cs="Times New Roman"/>
          <w:bCs/>
          <w:sz w:val="20"/>
          <w:szCs w:val="20"/>
          <w:lang w:val="es-ES_tradnl"/>
        </w:rPr>
        <w:t>.</w:t>
      </w:r>
      <w:r w:rsidRPr="00972D9D">
        <w:rPr>
          <w:rFonts w:ascii="Verdana" w:eastAsia="Times New Roman" w:hAnsi="Verdana" w:cs="Times New Roman"/>
          <w:bCs/>
          <w:sz w:val="20"/>
          <w:szCs w:val="20"/>
          <w:lang w:val="es-ES_tradnl"/>
        </w:rPr>
        <w:t xml:space="preserve"> </w:t>
      </w:r>
    </w:p>
    <w:p w14:paraId="50BE3C8F" w14:textId="0B5AF309" w:rsidR="001C05D8" w:rsidRPr="00972D9D" w:rsidRDefault="001C05D8" w:rsidP="00972D9D">
      <w:pPr>
        <w:pStyle w:val="Ttulo3"/>
        <w:tabs>
          <w:tab w:val="clear" w:pos="1276"/>
          <w:tab w:val="left" w:pos="851"/>
        </w:tabs>
        <w:spacing w:before="120" w:after="120"/>
        <w:ind w:left="1418" w:hanging="567"/>
        <w:rPr>
          <w:b w:val="0"/>
          <w:lang w:val="es-ES_tradnl"/>
        </w:rPr>
      </w:pPr>
      <w:bookmarkStart w:id="14" w:name="_Toc20755711"/>
      <w:r w:rsidRPr="00972D9D">
        <w:rPr>
          <w:b w:val="0"/>
          <w:lang w:val="es-ES_tradnl"/>
        </w:rPr>
        <w:t>Consideraciones de la Corte</w:t>
      </w:r>
      <w:bookmarkEnd w:id="14"/>
    </w:p>
    <w:p w14:paraId="50BE3C90" w14:textId="30728E9E" w:rsidR="001C05D8" w:rsidRPr="00972D9D" w:rsidRDefault="001C05D8"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eastAsia="Times New Roman" w:hAnsi="Verdana" w:cs="Times New Roman"/>
          <w:bCs/>
          <w:sz w:val="20"/>
          <w:szCs w:val="20"/>
          <w:lang w:val="es-ES_tradnl"/>
        </w:rPr>
      </w:pPr>
      <w:r w:rsidRPr="00972D9D">
        <w:rPr>
          <w:rFonts w:ascii="Verdana" w:eastAsia="Times New Roman" w:hAnsi="Verdana" w:cs="Times New Roman"/>
          <w:bCs/>
          <w:sz w:val="20"/>
          <w:szCs w:val="20"/>
          <w:lang w:val="es-ES_tradnl"/>
        </w:rPr>
        <w:t>A efectos de determinar su competencia temporal, de acuerdo con el artículo 62.1 de la Convención Americana, e</w:t>
      </w:r>
      <w:r w:rsidR="004E0B3D" w:rsidRPr="00972D9D">
        <w:rPr>
          <w:rFonts w:ascii="Verdana" w:eastAsia="Times New Roman" w:hAnsi="Verdana" w:cs="Times New Roman"/>
          <w:bCs/>
          <w:sz w:val="20"/>
          <w:szCs w:val="20"/>
          <w:lang w:val="es-ES_tradnl"/>
        </w:rPr>
        <w:t>ste</w:t>
      </w:r>
      <w:r w:rsidRPr="00972D9D">
        <w:rPr>
          <w:rFonts w:ascii="Verdana" w:eastAsia="Times New Roman" w:hAnsi="Verdana" w:cs="Times New Roman"/>
          <w:bCs/>
          <w:sz w:val="20"/>
          <w:szCs w:val="20"/>
          <w:lang w:val="es-ES_tradnl"/>
        </w:rPr>
        <w:t xml:space="preserve"> Tribunal debe tomar en consideración la fecha de reconocimiento de competencia por parte del Estado, los términos en que el mismo se ha dado y el principio de irretroactividad, dispuesto en el artículo 28 de la Convención de Viena sobre el Derecho de los Tratados de 1969</w:t>
      </w:r>
      <w:r w:rsidRPr="00972D9D">
        <w:rPr>
          <w:rFonts w:ascii="Verdana" w:eastAsia="Times New Roman" w:hAnsi="Verdana" w:cs="Times New Roman"/>
          <w:bCs/>
          <w:sz w:val="20"/>
          <w:szCs w:val="20"/>
          <w:vertAlign w:val="superscript"/>
          <w:lang w:val="es-ES_tradnl"/>
        </w:rPr>
        <w:footnoteReference w:id="11"/>
      </w:r>
      <w:r w:rsidRPr="00972D9D">
        <w:rPr>
          <w:rFonts w:ascii="Verdana" w:eastAsia="Times New Roman" w:hAnsi="Verdana" w:cs="Times New Roman"/>
          <w:bCs/>
          <w:sz w:val="20"/>
          <w:szCs w:val="20"/>
          <w:lang w:val="es-ES_tradnl"/>
        </w:rPr>
        <w:t xml:space="preserve">. </w:t>
      </w:r>
    </w:p>
    <w:p w14:paraId="50BE3C91" w14:textId="6EF19AE0" w:rsidR="001C05D8" w:rsidRPr="00972D9D" w:rsidRDefault="001C05D8"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eastAsia="Calibri" w:hAnsi="Verdana"/>
          <w:sz w:val="20"/>
          <w:szCs w:val="20"/>
          <w:lang w:val="es-ES"/>
        </w:rPr>
      </w:pPr>
      <w:r w:rsidRPr="00972D9D">
        <w:rPr>
          <w:rFonts w:ascii="Verdana" w:eastAsia="Times New Roman" w:hAnsi="Verdana" w:cs="Times New Roman"/>
          <w:bCs/>
          <w:sz w:val="20"/>
          <w:szCs w:val="20"/>
          <w:lang w:val="es-ES_tradnl"/>
        </w:rPr>
        <w:t>Argentina reconoció la competencia contenciosa de esta Corte el 5 de septiembre de 1984 y en su declaración interpretativa indicó que el Tribunal tendría competencia respecto de “hechos acaecidos con posterioridad a la ratificación” de la Convención Americana</w:t>
      </w:r>
      <w:r w:rsidRPr="00972D9D">
        <w:rPr>
          <w:rFonts w:ascii="Verdana" w:eastAsia="Times New Roman" w:hAnsi="Verdana" w:cs="Times New Roman"/>
          <w:bCs/>
          <w:sz w:val="20"/>
          <w:szCs w:val="20"/>
          <w:vertAlign w:val="superscript"/>
          <w:lang w:val="es-ES_tradnl"/>
        </w:rPr>
        <w:footnoteReference w:id="12"/>
      </w:r>
      <w:r w:rsidRPr="00972D9D">
        <w:rPr>
          <w:rFonts w:ascii="Verdana" w:eastAsia="Times New Roman" w:hAnsi="Verdana" w:cs="Times New Roman"/>
          <w:bCs/>
          <w:sz w:val="20"/>
          <w:szCs w:val="20"/>
          <w:lang w:val="es-ES_tradnl"/>
        </w:rPr>
        <w:t xml:space="preserve">, efectuada en esa misma fecha. </w:t>
      </w:r>
      <w:r w:rsidRPr="00972D9D">
        <w:rPr>
          <w:rFonts w:ascii="Verdana" w:eastAsia="Calibri" w:hAnsi="Verdana"/>
          <w:sz w:val="20"/>
          <w:szCs w:val="20"/>
          <w:lang w:val="es-ES"/>
        </w:rPr>
        <w:t xml:space="preserve">Con base en lo anterior y en el principio de irretroactividad, la Corte no puede ejercer su competencia contenciosa </w:t>
      </w:r>
      <w:r w:rsidR="004E0B3D" w:rsidRPr="00972D9D">
        <w:rPr>
          <w:rFonts w:ascii="Verdana" w:eastAsia="Calibri" w:hAnsi="Verdana"/>
          <w:sz w:val="20"/>
          <w:szCs w:val="20"/>
          <w:lang w:val="es-ES"/>
        </w:rPr>
        <w:t xml:space="preserve">para </w:t>
      </w:r>
      <w:r w:rsidRPr="00972D9D">
        <w:rPr>
          <w:rFonts w:ascii="Verdana" w:eastAsia="Calibri" w:hAnsi="Verdana"/>
          <w:sz w:val="20"/>
          <w:szCs w:val="20"/>
          <w:lang w:val="es-ES"/>
        </w:rPr>
        <w:t xml:space="preserve">declarar una violación a </w:t>
      </w:r>
      <w:r w:rsidR="004A3E0F" w:rsidRPr="00972D9D">
        <w:rPr>
          <w:rFonts w:ascii="Verdana" w:eastAsia="Calibri" w:hAnsi="Verdana"/>
          <w:sz w:val="20"/>
          <w:szCs w:val="20"/>
          <w:lang w:val="es-ES"/>
        </w:rPr>
        <w:t>las</w:t>
      </w:r>
      <w:r w:rsidRPr="00972D9D">
        <w:rPr>
          <w:rFonts w:ascii="Verdana" w:eastAsia="Calibri" w:hAnsi="Verdana"/>
          <w:sz w:val="20"/>
          <w:szCs w:val="20"/>
          <w:lang w:val="es-ES"/>
        </w:rPr>
        <w:t xml:space="preserve"> normas </w:t>
      </w:r>
      <w:r w:rsidR="004A3E0F" w:rsidRPr="00972D9D">
        <w:rPr>
          <w:rFonts w:ascii="Verdana" w:eastAsia="Calibri" w:hAnsi="Verdana"/>
          <w:sz w:val="20"/>
          <w:szCs w:val="20"/>
          <w:lang w:val="es-ES"/>
        </w:rPr>
        <w:t xml:space="preserve">convencionales </w:t>
      </w:r>
      <w:r w:rsidRPr="00972D9D">
        <w:rPr>
          <w:rFonts w:ascii="Verdana" w:eastAsia="Calibri" w:hAnsi="Verdana"/>
          <w:sz w:val="20"/>
          <w:szCs w:val="20"/>
          <w:lang w:val="es-ES"/>
        </w:rPr>
        <w:t>cuando los hechos alegados, o la conducta del Estado s</w:t>
      </w:r>
      <w:r w:rsidR="00130BEF" w:rsidRPr="00972D9D">
        <w:rPr>
          <w:rFonts w:ascii="Verdana" w:eastAsia="Calibri" w:hAnsi="Verdana"/>
          <w:sz w:val="20"/>
          <w:szCs w:val="20"/>
          <w:lang w:val="es-ES"/>
        </w:rPr>
        <w:t>ean</w:t>
      </w:r>
      <w:r w:rsidRPr="00972D9D">
        <w:rPr>
          <w:rFonts w:ascii="Verdana" w:eastAsia="Calibri" w:hAnsi="Verdana"/>
          <w:sz w:val="20"/>
          <w:szCs w:val="20"/>
          <w:lang w:val="es-ES"/>
        </w:rPr>
        <w:t xml:space="preserve"> anteriores a dicho reconocimiento de competencia</w:t>
      </w:r>
      <w:r w:rsidRPr="00972D9D">
        <w:rPr>
          <w:rFonts w:ascii="Verdana" w:hAnsi="Verdana"/>
          <w:sz w:val="20"/>
          <w:szCs w:val="20"/>
          <w:vertAlign w:val="superscript"/>
          <w:lang w:val="es-ES"/>
        </w:rPr>
        <w:footnoteReference w:id="13"/>
      </w:r>
      <w:r w:rsidRPr="00972D9D">
        <w:rPr>
          <w:rFonts w:ascii="Verdana" w:eastAsia="Calibri" w:hAnsi="Verdana"/>
          <w:sz w:val="20"/>
          <w:szCs w:val="20"/>
          <w:lang w:val="es-ES"/>
        </w:rPr>
        <w:t xml:space="preserve">. </w:t>
      </w:r>
    </w:p>
    <w:p w14:paraId="50BE3C92" w14:textId="5BE4C979" w:rsidR="001C05D8" w:rsidRPr="00972D9D" w:rsidRDefault="001C05D8"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eastAsia="Times New Roman" w:hAnsi="Verdana" w:cs="Times New Roman"/>
          <w:bCs/>
          <w:sz w:val="20"/>
          <w:szCs w:val="20"/>
          <w:lang w:val="es-ES_tradnl"/>
        </w:rPr>
      </w:pPr>
      <w:r w:rsidRPr="00972D9D">
        <w:rPr>
          <w:rFonts w:ascii="Verdana" w:eastAsia="Calibri" w:hAnsi="Verdana" w:cs="Times New Roman"/>
          <w:sz w:val="20"/>
          <w:szCs w:val="20"/>
          <w:lang w:val="es-ES_tradnl"/>
        </w:rPr>
        <w:t>No obstante, la Corte ha reconocido en diversos casos</w:t>
      </w:r>
      <w:r w:rsidRPr="00972D9D">
        <w:rPr>
          <w:rFonts w:ascii="Verdana" w:hAnsi="Verdana"/>
          <w:sz w:val="20"/>
          <w:szCs w:val="20"/>
          <w:vertAlign w:val="superscript"/>
          <w:lang w:val="es-ES_tradnl"/>
        </w:rPr>
        <w:footnoteReference w:id="14"/>
      </w:r>
      <w:r w:rsidRPr="00972D9D">
        <w:rPr>
          <w:rFonts w:ascii="Verdana" w:eastAsia="Calibri" w:hAnsi="Verdana" w:cs="Times New Roman"/>
          <w:sz w:val="20"/>
          <w:szCs w:val="20"/>
          <w:lang w:val="es-ES_tradnl"/>
        </w:rPr>
        <w:t xml:space="preserve"> que aun cuando las </w:t>
      </w:r>
      <w:r w:rsidR="00712093">
        <w:rPr>
          <w:rFonts w:ascii="Verdana" w:eastAsia="Calibri" w:hAnsi="Verdana" w:cs="Times New Roman"/>
          <w:sz w:val="20"/>
          <w:szCs w:val="20"/>
          <w:lang w:val="es-ES_tradnl"/>
        </w:rPr>
        <w:t xml:space="preserve">alegadas violaciones </w:t>
      </w:r>
      <w:r w:rsidRPr="00972D9D">
        <w:rPr>
          <w:rFonts w:ascii="Verdana" w:eastAsia="Calibri" w:hAnsi="Verdana" w:cs="Times New Roman"/>
          <w:sz w:val="20"/>
          <w:szCs w:val="20"/>
          <w:lang w:val="es-ES_tradnl"/>
        </w:rPr>
        <w:t xml:space="preserve">provengan de hechos previos a la ratificación de la competencia, puede ser competente en la medida en que haya hechos independientes ocurridos dentro de </w:t>
      </w:r>
      <w:r w:rsidR="00712093">
        <w:rPr>
          <w:rFonts w:ascii="Verdana" w:eastAsia="Calibri" w:hAnsi="Verdana" w:cs="Times New Roman"/>
          <w:sz w:val="20"/>
          <w:szCs w:val="20"/>
          <w:lang w:val="es-ES_tradnl"/>
        </w:rPr>
        <w:t>su</w:t>
      </w:r>
      <w:r w:rsidRPr="00972D9D">
        <w:rPr>
          <w:rFonts w:ascii="Verdana" w:eastAsia="Calibri" w:hAnsi="Verdana" w:cs="Times New Roman"/>
          <w:sz w:val="20"/>
          <w:szCs w:val="20"/>
          <w:lang w:val="es-ES_tradnl"/>
        </w:rPr>
        <w:t xml:space="preserve"> competencia temporal y que configur</w:t>
      </w:r>
      <w:r w:rsidR="00712093">
        <w:rPr>
          <w:rFonts w:ascii="Verdana" w:eastAsia="Calibri" w:hAnsi="Verdana" w:cs="Times New Roman"/>
          <w:sz w:val="20"/>
          <w:szCs w:val="20"/>
          <w:lang w:val="es-ES_tradnl"/>
        </w:rPr>
        <w:t>e</w:t>
      </w:r>
      <w:r w:rsidRPr="00972D9D">
        <w:rPr>
          <w:rFonts w:ascii="Verdana" w:eastAsia="Calibri" w:hAnsi="Verdana" w:cs="Times New Roman"/>
          <w:sz w:val="20"/>
          <w:szCs w:val="20"/>
          <w:lang w:val="es-ES_tradnl"/>
        </w:rPr>
        <w:t>n violaciones autónomas y específicas, así como, frente a hechos de carácter continuo o permanente, mientras continúe</w:t>
      </w:r>
      <w:r w:rsidR="00712093">
        <w:rPr>
          <w:rFonts w:ascii="Verdana" w:eastAsia="Calibri" w:hAnsi="Verdana" w:cs="Times New Roman"/>
          <w:sz w:val="20"/>
          <w:szCs w:val="20"/>
          <w:lang w:val="es-ES_tradnl"/>
        </w:rPr>
        <w:t>n</w:t>
      </w:r>
      <w:r w:rsidRPr="00972D9D">
        <w:rPr>
          <w:rFonts w:ascii="Verdana" w:eastAsia="Calibri" w:hAnsi="Verdana" w:cs="Times New Roman"/>
          <w:sz w:val="20"/>
          <w:szCs w:val="20"/>
          <w:lang w:val="es-ES_tradnl"/>
        </w:rPr>
        <w:t xml:space="preserve"> y se mantenga la violación a la obligación internacional</w:t>
      </w:r>
      <w:r w:rsidRPr="00972D9D">
        <w:rPr>
          <w:rFonts w:ascii="Verdana" w:hAnsi="Verdana"/>
          <w:sz w:val="20"/>
          <w:szCs w:val="20"/>
          <w:vertAlign w:val="superscript"/>
          <w:lang w:val="es-ES_tradnl"/>
        </w:rPr>
        <w:footnoteReference w:id="15"/>
      </w:r>
      <w:r w:rsidRPr="00972D9D">
        <w:rPr>
          <w:rFonts w:ascii="Verdana" w:eastAsia="Calibri" w:hAnsi="Verdana" w:cs="Times New Roman"/>
          <w:sz w:val="20"/>
          <w:szCs w:val="20"/>
          <w:lang w:val="es-ES_tradnl"/>
        </w:rPr>
        <w:t xml:space="preserve">, </w:t>
      </w:r>
      <w:r w:rsidR="00712093">
        <w:rPr>
          <w:rFonts w:ascii="Verdana" w:eastAsia="Calibri" w:hAnsi="Verdana" w:cs="Times New Roman"/>
          <w:sz w:val="20"/>
          <w:szCs w:val="20"/>
          <w:lang w:val="es-ES_tradnl"/>
        </w:rPr>
        <w:t>con posterioridad a</w:t>
      </w:r>
      <w:r w:rsidRPr="00972D9D">
        <w:rPr>
          <w:rFonts w:ascii="Verdana" w:eastAsia="Calibri" w:hAnsi="Verdana" w:cs="Times New Roman"/>
          <w:sz w:val="20"/>
          <w:szCs w:val="20"/>
          <w:lang w:val="es-ES_tradnl"/>
        </w:rPr>
        <w:t>l reconocimiento de competencia de</w:t>
      </w:r>
      <w:r w:rsidR="00C70633" w:rsidRPr="00972D9D">
        <w:rPr>
          <w:rFonts w:ascii="Verdana" w:eastAsia="Calibri" w:hAnsi="Verdana" w:cs="Times New Roman"/>
          <w:sz w:val="20"/>
          <w:szCs w:val="20"/>
          <w:lang w:val="es-ES_tradnl"/>
        </w:rPr>
        <w:t>l</w:t>
      </w:r>
      <w:r w:rsidRPr="00972D9D">
        <w:rPr>
          <w:rFonts w:ascii="Verdana" w:eastAsia="Calibri" w:hAnsi="Verdana" w:cs="Times New Roman"/>
          <w:sz w:val="20"/>
          <w:szCs w:val="20"/>
          <w:lang w:val="es-ES_tradnl"/>
        </w:rPr>
        <w:t xml:space="preserve"> Estado.</w:t>
      </w:r>
    </w:p>
    <w:p w14:paraId="50BE3C93" w14:textId="73121BD8" w:rsidR="001C05D8" w:rsidRPr="00972D9D" w:rsidRDefault="001C05D8"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eastAsia="Times New Roman" w:hAnsi="Verdana" w:cs="Times New Roman"/>
          <w:bCs/>
          <w:sz w:val="20"/>
          <w:szCs w:val="20"/>
          <w:lang w:val="es-ES_tradnl"/>
        </w:rPr>
      </w:pPr>
      <w:r w:rsidRPr="00972D9D">
        <w:rPr>
          <w:rFonts w:ascii="Verdana" w:eastAsia="Calibri" w:hAnsi="Verdana" w:cs="Times New Roman"/>
          <w:sz w:val="20"/>
          <w:szCs w:val="20"/>
          <w:lang w:val="es-ES_tradnl"/>
        </w:rPr>
        <w:t>Por lo anterior, corresponde a la Corte</w:t>
      </w:r>
      <w:r w:rsidRPr="00972D9D">
        <w:rPr>
          <w:rFonts w:ascii="Verdana" w:eastAsia="Calibri" w:hAnsi="Verdana" w:cs="Times New Roman"/>
          <w:b/>
          <w:sz w:val="20"/>
          <w:szCs w:val="20"/>
          <w:lang w:val="es-ES_tradnl"/>
        </w:rPr>
        <w:t xml:space="preserve"> </w:t>
      </w:r>
      <w:r w:rsidRPr="00972D9D">
        <w:rPr>
          <w:rFonts w:ascii="Verdana" w:eastAsia="Calibri" w:hAnsi="Verdana" w:cs="Times New Roman"/>
          <w:sz w:val="20"/>
          <w:szCs w:val="20"/>
          <w:lang w:val="es-ES_tradnl"/>
        </w:rPr>
        <w:t>determinar su competencia sobre la delimitación del caso plantead</w:t>
      </w:r>
      <w:r w:rsidR="001B0B8B">
        <w:rPr>
          <w:rFonts w:ascii="Verdana" w:eastAsia="Calibri" w:hAnsi="Verdana" w:cs="Times New Roman"/>
          <w:sz w:val="20"/>
          <w:szCs w:val="20"/>
          <w:lang w:val="es-ES_tradnl"/>
        </w:rPr>
        <w:t>o</w:t>
      </w:r>
      <w:r w:rsidRPr="00972D9D">
        <w:rPr>
          <w:rFonts w:ascii="Verdana" w:eastAsia="Calibri" w:hAnsi="Verdana" w:cs="Times New Roman"/>
          <w:sz w:val="20"/>
          <w:szCs w:val="20"/>
          <w:lang w:val="es-ES_tradnl"/>
        </w:rPr>
        <w:t xml:space="preserve"> por la Comisión, así como sobre las solicitudes de </w:t>
      </w:r>
      <w:proofErr w:type="spellStart"/>
      <w:r w:rsidRPr="00972D9D">
        <w:rPr>
          <w:rFonts w:ascii="Verdana" w:eastAsia="Calibri" w:hAnsi="Verdana" w:cs="Times New Roman"/>
          <w:i/>
          <w:sz w:val="20"/>
          <w:szCs w:val="20"/>
          <w:lang w:val="es-ES_tradnl"/>
        </w:rPr>
        <w:t>restitutio</w:t>
      </w:r>
      <w:proofErr w:type="spellEnd"/>
      <w:r w:rsidRPr="00972D9D">
        <w:rPr>
          <w:rFonts w:ascii="Verdana" w:eastAsia="Calibri" w:hAnsi="Verdana" w:cs="Times New Roman"/>
          <w:i/>
          <w:sz w:val="20"/>
          <w:szCs w:val="20"/>
          <w:lang w:val="es-ES_tradnl"/>
        </w:rPr>
        <w:t xml:space="preserve"> in </w:t>
      </w:r>
      <w:proofErr w:type="spellStart"/>
      <w:r w:rsidRPr="00972D9D">
        <w:rPr>
          <w:rFonts w:ascii="Verdana" w:eastAsia="Calibri" w:hAnsi="Verdana" w:cs="Times New Roman"/>
          <w:i/>
          <w:sz w:val="20"/>
          <w:szCs w:val="20"/>
          <w:lang w:val="es-ES_tradnl"/>
        </w:rPr>
        <w:t>integrum</w:t>
      </w:r>
      <w:proofErr w:type="spellEnd"/>
      <w:r w:rsidRPr="00972D9D">
        <w:rPr>
          <w:rFonts w:ascii="Verdana" w:eastAsia="Calibri" w:hAnsi="Verdana" w:cs="Times New Roman"/>
          <w:sz w:val="20"/>
          <w:szCs w:val="20"/>
          <w:lang w:val="es-ES_tradnl"/>
        </w:rPr>
        <w:t xml:space="preserve"> realizadas </w:t>
      </w:r>
      <w:r w:rsidRPr="00972D9D">
        <w:rPr>
          <w:rFonts w:ascii="Verdana" w:eastAsia="Calibri" w:hAnsi="Verdana" w:cs="Times New Roman"/>
          <w:sz w:val="20"/>
          <w:szCs w:val="20"/>
          <w:lang w:val="es-ES_tradnl"/>
        </w:rPr>
        <w:lastRenderedPageBreak/>
        <w:t>por la representación de las presuntas víctimas.</w:t>
      </w:r>
    </w:p>
    <w:p w14:paraId="50BE3C95" w14:textId="4D872707" w:rsidR="001C05D8" w:rsidRPr="00972D9D" w:rsidRDefault="001C05D8"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eastAsia="Times New Roman" w:hAnsi="Verdana" w:cs="Times New Roman"/>
          <w:bCs/>
          <w:sz w:val="20"/>
          <w:szCs w:val="20"/>
          <w:lang w:val="es-ES_tradnl"/>
        </w:rPr>
      </w:pPr>
      <w:r w:rsidRPr="00972D9D">
        <w:rPr>
          <w:rFonts w:ascii="Verdana" w:eastAsia="Calibri" w:hAnsi="Verdana" w:cs="Times New Roman"/>
          <w:sz w:val="20"/>
          <w:szCs w:val="20"/>
          <w:lang w:val="es-ES_tradnl"/>
        </w:rPr>
        <w:t>La Corte nota que</w:t>
      </w:r>
      <w:r w:rsidR="00130BEF" w:rsidRPr="00972D9D">
        <w:rPr>
          <w:rFonts w:ascii="Verdana" w:eastAsia="Calibri" w:hAnsi="Verdana" w:cs="Times New Roman"/>
          <w:sz w:val="20"/>
          <w:szCs w:val="20"/>
          <w:lang w:val="es-ES_tradnl"/>
        </w:rPr>
        <w:t>,</w:t>
      </w:r>
      <w:r w:rsidRPr="00972D9D">
        <w:rPr>
          <w:rFonts w:ascii="Verdana" w:eastAsia="Calibri" w:hAnsi="Verdana" w:cs="Times New Roman"/>
          <w:sz w:val="20"/>
          <w:szCs w:val="20"/>
          <w:lang w:val="es-ES_tradnl"/>
        </w:rPr>
        <w:t xml:space="preserve"> sobre los hechos referentes a la</w:t>
      </w:r>
      <w:r w:rsidR="00C4394A">
        <w:rPr>
          <w:rFonts w:ascii="Verdana" w:eastAsia="Calibri" w:hAnsi="Verdana" w:cs="Times New Roman"/>
          <w:sz w:val="20"/>
          <w:szCs w:val="20"/>
          <w:lang w:val="es-ES_tradnl"/>
        </w:rPr>
        <w:t>s</w:t>
      </w:r>
      <w:r w:rsidRPr="00972D9D">
        <w:rPr>
          <w:rFonts w:ascii="Verdana" w:eastAsia="Calibri" w:hAnsi="Verdana" w:cs="Times New Roman"/>
          <w:sz w:val="20"/>
          <w:szCs w:val="20"/>
          <w:lang w:val="es-ES_tradnl"/>
        </w:rPr>
        <w:t xml:space="preserve"> detenci</w:t>
      </w:r>
      <w:r w:rsidR="00C4394A">
        <w:rPr>
          <w:rFonts w:ascii="Verdana" w:eastAsia="Calibri" w:hAnsi="Verdana" w:cs="Times New Roman"/>
          <w:sz w:val="20"/>
          <w:szCs w:val="20"/>
          <w:lang w:val="es-ES_tradnl"/>
        </w:rPr>
        <w:t>ones</w:t>
      </w:r>
      <w:r w:rsidRPr="00972D9D">
        <w:rPr>
          <w:rFonts w:ascii="Verdana" w:eastAsia="Calibri" w:hAnsi="Verdana" w:cs="Times New Roman"/>
          <w:sz w:val="20"/>
          <w:szCs w:val="20"/>
          <w:lang w:val="es-ES_tradnl"/>
        </w:rPr>
        <w:t xml:space="preserve"> d</w:t>
      </w:r>
      <w:r w:rsidR="001B0B8B">
        <w:rPr>
          <w:rFonts w:ascii="Verdana" w:eastAsia="Calibri" w:hAnsi="Verdana" w:cs="Times New Roman"/>
          <w:sz w:val="20"/>
          <w:szCs w:val="20"/>
          <w:lang w:val="es-ES_tradnl"/>
        </w:rPr>
        <w:t>el señor</w:t>
      </w:r>
      <w:r w:rsidRPr="00972D9D">
        <w:rPr>
          <w:rFonts w:ascii="Verdana" w:eastAsia="Calibri" w:hAnsi="Verdana" w:cs="Times New Roman"/>
          <w:sz w:val="20"/>
          <w:szCs w:val="20"/>
          <w:lang w:val="es-ES_tradnl"/>
        </w:rPr>
        <w:t xml:space="preserve"> </w:t>
      </w:r>
      <w:proofErr w:type="spellStart"/>
      <w:r w:rsidRPr="00972D9D">
        <w:rPr>
          <w:rFonts w:ascii="Verdana" w:eastAsia="Calibri" w:hAnsi="Verdana" w:cs="Times New Roman"/>
          <w:sz w:val="20"/>
          <w:szCs w:val="20"/>
          <w:lang w:val="es-ES_tradnl"/>
        </w:rPr>
        <w:t>Preckel</w:t>
      </w:r>
      <w:proofErr w:type="spellEnd"/>
      <w:r w:rsidRPr="00972D9D">
        <w:rPr>
          <w:rFonts w:ascii="Verdana" w:eastAsia="Calibri" w:hAnsi="Verdana" w:cs="Times New Roman"/>
          <w:sz w:val="20"/>
          <w:szCs w:val="20"/>
          <w:lang w:val="es-ES_tradnl"/>
        </w:rPr>
        <w:t xml:space="preserve"> y </w:t>
      </w:r>
      <w:r w:rsidR="001B0B8B">
        <w:rPr>
          <w:rFonts w:ascii="Verdana" w:eastAsia="Calibri" w:hAnsi="Verdana" w:cs="Times New Roman"/>
          <w:sz w:val="20"/>
          <w:szCs w:val="20"/>
          <w:lang w:val="es-ES_tradnl"/>
        </w:rPr>
        <w:t xml:space="preserve">la señora </w:t>
      </w:r>
      <w:r w:rsidRPr="00972D9D">
        <w:rPr>
          <w:rFonts w:ascii="Verdana" w:eastAsia="Calibri" w:hAnsi="Verdana" w:cs="Times New Roman"/>
          <w:sz w:val="20"/>
          <w:szCs w:val="20"/>
          <w:lang w:val="es-ES_tradnl"/>
        </w:rPr>
        <w:t xml:space="preserve">Perrone y el exilio del señor </w:t>
      </w:r>
      <w:proofErr w:type="spellStart"/>
      <w:r w:rsidRPr="00972D9D">
        <w:rPr>
          <w:rFonts w:ascii="Verdana" w:eastAsia="Calibri" w:hAnsi="Verdana" w:cs="Times New Roman"/>
          <w:sz w:val="20"/>
          <w:szCs w:val="20"/>
          <w:lang w:val="es-ES_tradnl"/>
        </w:rPr>
        <w:t>Preckel</w:t>
      </w:r>
      <w:proofErr w:type="spellEnd"/>
      <w:r w:rsidRPr="00972D9D">
        <w:rPr>
          <w:rFonts w:ascii="Verdana" w:eastAsia="Calibri" w:hAnsi="Verdana" w:cs="Times New Roman"/>
          <w:sz w:val="20"/>
          <w:szCs w:val="20"/>
          <w:lang w:val="es-ES_tradnl"/>
        </w:rPr>
        <w:t xml:space="preserve">, no existe controversia entre las partes y la Comisión de que sucedieron previo a la ratificación de la Convención, por lo que pueden ser considerados por este Tribunal únicamente a manera de antecedentes contextuales. </w:t>
      </w:r>
    </w:p>
    <w:p w14:paraId="50BE3C96" w14:textId="36EF2758" w:rsidR="001C05D8" w:rsidRPr="00972D9D" w:rsidRDefault="001C05D8"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eastAsia="Times New Roman" w:hAnsi="Verdana" w:cs="Times New Roman"/>
          <w:bCs/>
          <w:sz w:val="20"/>
          <w:szCs w:val="20"/>
          <w:lang w:val="es-ES_tradnl"/>
        </w:rPr>
      </w:pPr>
      <w:r w:rsidRPr="00972D9D">
        <w:rPr>
          <w:rFonts w:ascii="Verdana" w:eastAsia="Calibri" w:hAnsi="Verdana" w:cs="Times New Roman"/>
          <w:sz w:val="20"/>
          <w:szCs w:val="20"/>
          <w:lang w:val="es-ES_tradnl"/>
        </w:rPr>
        <w:t xml:space="preserve">Ahora bien, los procesos administrativos y judiciales iniciados después de los hechos previamente mencionados, tuvieron lugar con posterioridad a la fecha de ratificación de la Convención por parte de Argentina, el 5 de septiembre de 1984. En este sentido, si bien la Corte carece de competencia para analizar los hechos relativos a la detención y exilio, sí es competente para examinar, como hechos autónomos, los procesos iniciados por las </w:t>
      </w:r>
      <w:r w:rsidR="004E0B3D" w:rsidRPr="00972D9D">
        <w:rPr>
          <w:rFonts w:ascii="Verdana" w:eastAsia="Calibri" w:hAnsi="Verdana" w:cs="Times New Roman"/>
          <w:sz w:val="20"/>
          <w:szCs w:val="20"/>
          <w:lang w:val="es-ES_tradnl"/>
        </w:rPr>
        <w:t xml:space="preserve">presuntas </w:t>
      </w:r>
      <w:r w:rsidRPr="00972D9D">
        <w:rPr>
          <w:rFonts w:ascii="Verdana" w:eastAsia="Calibri" w:hAnsi="Verdana" w:cs="Times New Roman"/>
          <w:sz w:val="20"/>
          <w:szCs w:val="20"/>
          <w:lang w:val="es-ES_tradnl"/>
        </w:rPr>
        <w:t xml:space="preserve">víctimas en la jurisdicción interna </w:t>
      </w:r>
      <w:r w:rsidR="00712093">
        <w:rPr>
          <w:rFonts w:ascii="Verdana" w:eastAsia="Calibri" w:hAnsi="Verdana" w:cs="Times New Roman"/>
          <w:sz w:val="20"/>
          <w:szCs w:val="20"/>
          <w:lang w:val="es-ES_tradnl"/>
        </w:rPr>
        <w:t xml:space="preserve">para establecer si </w:t>
      </w:r>
      <w:r w:rsidRPr="00972D9D">
        <w:rPr>
          <w:rFonts w:ascii="Verdana" w:eastAsia="Calibri" w:hAnsi="Verdana" w:cs="Times New Roman"/>
          <w:sz w:val="20"/>
          <w:szCs w:val="20"/>
          <w:lang w:val="es-ES_tradnl"/>
        </w:rPr>
        <w:t xml:space="preserve">se han cumplido las obligaciones del Estado a la luz de los derechos a las garantías </w:t>
      </w:r>
      <w:r w:rsidR="004A3E0F" w:rsidRPr="00972D9D">
        <w:rPr>
          <w:rFonts w:ascii="Verdana" w:eastAsia="Calibri" w:hAnsi="Verdana" w:cs="Times New Roman"/>
          <w:sz w:val="20"/>
          <w:szCs w:val="20"/>
          <w:lang w:val="es-ES_tradnl"/>
        </w:rPr>
        <w:t xml:space="preserve">judiciales </w:t>
      </w:r>
      <w:r w:rsidRPr="00972D9D">
        <w:rPr>
          <w:rFonts w:ascii="Verdana" w:eastAsia="Calibri" w:hAnsi="Verdana" w:cs="Times New Roman"/>
          <w:sz w:val="20"/>
          <w:szCs w:val="20"/>
          <w:lang w:val="es-ES_tradnl"/>
        </w:rPr>
        <w:t xml:space="preserve">y protección judicial establecidos en los artículos 8 y 25 de la Convención Americana. </w:t>
      </w:r>
    </w:p>
    <w:p w14:paraId="50BE3C97" w14:textId="1A1AAB4C" w:rsidR="001C05D8" w:rsidRPr="00972D9D" w:rsidRDefault="00F8530D"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eastAsia="Times New Roman" w:hAnsi="Verdana" w:cs="Times New Roman"/>
          <w:bCs/>
          <w:sz w:val="20"/>
          <w:szCs w:val="20"/>
          <w:lang w:val="es-ES_tradnl"/>
        </w:rPr>
      </w:pPr>
      <w:r w:rsidRPr="00972D9D">
        <w:rPr>
          <w:rFonts w:ascii="Verdana" w:eastAsia="Calibri" w:hAnsi="Verdana" w:cs="Times New Roman"/>
          <w:sz w:val="20"/>
          <w:szCs w:val="20"/>
          <w:lang w:val="es-ES_tradnl"/>
        </w:rPr>
        <w:t xml:space="preserve">Respecto de </w:t>
      </w:r>
      <w:r w:rsidR="001C05D8" w:rsidRPr="00972D9D">
        <w:rPr>
          <w:rFonts w:ascii="Verdana" w:eastAsia="Calibri" w:hAnsi="Verdana" w:cs="Times New Roman"/>
          <w:sz w:val="20"/>
          <w:szCs w:val="20"/>
          <w:lang w:val="es-ES_tradnl"/>
        </w:rPr>
        <w:t xml:space="preserve">la solicitud de reparación </w:t>
      </w:r>
      <w:r w:rsidR="00DA5453" w:rsidRPr="00972D9D">
        <w:rPr>
          <w:rFonts w:ascii="Verdana" w:eastAsia="Calibri" w:hAnsi="Verdana" w:cs="Times New Roman"/>
          <w:sz w:val="20"/>
          <w:szCs w:val="20"/>
          <w:lang w:val="es-ES_tradnl"/>
        </w:rPr>
        <w:t xml:space="preserve">como </w:t>
      </w:r>
      <w:proofErr w:type="spellStart"/>
      <w:r w:rsidR="001C05D8" w:rsidRPr="00972D9D">
        <w:rPr>
          <w:rFonts w:ascii="Verdana" w:eastAsia="Calibri" w:hAnsi="Verdana" w:cs="Times New Roman"/>
          <w:i/>
          <w:sz w:val="20"/>
          <w:szCs w:val="20"/>
          <w:lang w:val="es-ES_tradnl"/>
        </w:rPr>
        <w:t>restitutio</w:t>
      </w:r>
      <w:proofErr w:type="spellEnd"/>
      <w:r w:rsidR="001C05D8" w:rsidRPr="00972D9D">
        <w:rPr>
          <w:rFonts w:ascii="Verdana" w:eastAsia="Calibri" w:hAnsi="Verdana" w:cs="Times New Roman"/>
          <w:i/>
          <w:sz w:val="20"/>
          <w:szCs w:val="20"/>
          <w:lang w:val="es-ES_tradnl"/>
        </w:rPr>
        <w:t xml:space="preserve"> in </w:t>
      </w:r>
      <w:proofErr w:type="spellStart"/>
      <w:r w:rsidR="001C05D8" w:rsidRPr="00972D9D">
        <w:rPr>
          <w:rFonts w:ascii="Verdana" w:eastAsia="Calibri" w:hAnsi="Verdana" w:cs="Times New Roman"/>
          <w:i/>
          <w:sz w:val="20"/>
          <w:szCs w:val="20"/>
          <w:lang w:val="es-ES_tradnl"/>
        </w:rPr>
        <w:t>integrum</w:t>
      </w:r>
      <w:proofErr w:type="spellEnd"/>
      <w:r w:rsidR="001C05D8" w:rsidRPr="00972D9D">
        <w:rPr>
          <w:rFonts w:ascii="Verdana" w:eastAsia="Calibri" w:hAnsi="Verdana" w:cs="Times New Roman"/>
          <w:sz w:val="20"/>
          <w:szCs w:val="20"/>
          <w:lang w:val="es-ES_tradnl"/>
        </w:rPr>
        <w:t xml:space="preserve"> realizada por </w:t>
      </w:r>
      <w:r w:rsidR="00B36C55" w:rsidRPr="00972D9D">
        <w:rPr>
          <w:rFonts w:ascii="Verdana" w:eastAsia="Calibri" w:hAnsi="Verdana" w:cs="Times New Roman"/>
          <w:sz w:val="20"/>
          <w:szCs w:val="20"/>
          <w:lang w:val="es-ES_tradnl"/>
        </w:rPr>
        <w:t>e</w:t>
      </w:r>
      <w:r w:rsidR="00130BEF" w:rsidRPr="00972D9D">
        <w:rPr>
          <w:rFonts w:ascii="Verdana" w:eastAsia="Calibri" w:hAnsi="Verdana" w:cs="Times New Roman"/>
          <w:sz w:val="20"/>
          <w:szCs w:val="20"/>
          <w:lang w:val="es-ES_tradnl"/>
        </w:rPr>
        <w:t>l</w:t>
      </w:r>
      <w:r w:rsidR="001C05D8" w:rsidRPr="00972D9D">
        <w:rPr>
          <w:rFonts w:ascii="Verdana" w:eastAsia="Calibri" w:hAnsi="Verdana" w:cs="Times New Roman"/>
          <w:sz w:val="20"/>
          <w:szCs w:val="20"/>
          <w:lang w:val="es-ES_tradnl"/>
        </w:rPr>
        <w:t xml:space="preserve"> representante de las presuntas víctimas, en la que solicitó </w:t>
      </w:r>
      <w:r w:rsidR="004A3E0F" w:rsidRPr="00972D9D">
        <w:rPr>
          <w:rFonts w:ascii="Verdana" w:eastAsia="Calibri" w:hAnsi="Verdana" w:cs="Times New Roman"/>
          <w:sz w:val="20"/>
          <w:szCs w:val="20"/>
          <w:lang w:val="es-ES_tradnl"/>
        </w:rPr>
        <w:t xml:space="preserve">a la Corte </w:t>
      </w:r>
      <w:r w:rsidR="001C05D8" w:rsidRPr="00972D9D">
        <w:rPr>
          <w:rFonts w:ascii="Verdana" w:eastAsia="Calibri" w:hAnsi="Verdana" w:cs="Times New Roman"/>
          <w:sz w:val="20"/>
          <w:szCs w:val="20"/>
          <w:lang w:val="es-ES_tradnl"/>
        </w:rPr>
        <w:t>el pago de los salarios y haberes dejados de percibir por los hechos ocurrido</w:t>
      </w:r>
      <w:r w:rsidR="00130BEF" w:rsidRPr="00972D9D">
        <w:rPr>
          <w:rFonts w:ascii="Verdana" w:eastAsia="Calibri" w:hAnsi="Verdana" w:cs="Times New Roman"/>
          <w:sz w:val="20"/>
          <w:szCs w:val="20"/>
          <w:lang w:val="es-ES_tradnl"/>
        </w:rPr>
        <w:t>s</w:t>
      </w:r>
      <w:r w:rsidR="001C05D8" w:rsidRPr="00972D9D">
        <w:rPr>
          <w:rFonts w:ascii="Verdana" w:eastAsia="Calibri" w:hAnsi="Verdana" w:cs="Times New Roman"/>
          <w:sz w:val="20"/>
          <w:szCs w:val="20"/>
          <w:lang w:val="es-ES_tradnl"/>
        </w:rPr>
        <w:t xml:space="preserve"> entre 1976 y 1984</w:t>
      </w:r>
      <w:r w:rsidRPr="00972D9D">
        <w:rPr>
          <w:rFonts w:ascii="Verdana" w:eastAsia="Calibri" w:hAnsi="Verdana" w:cs="Times New Roman"/>
          <w:sz w:val="20"/>
          <w:szCs w:val="20"/>
          <w:lang w:val="es-ES_tradnl"/>
        </w:rPr>
        <w:t xml:space="preserve"> (</w:t>
      </w:r>
      <w:r w:rsidRPr="00972D9D">
        <w:rPr>
          <w:rFonts w:ascii="Verdana" w:eastAsia="Calibri" w:hAnsi="Verdana" w:cs="Times New Roman"/>
          <w:i/>
          <w:sz w:val="20"/>
          <w:szCs w:val="20"/>
          <w:lang w:val="es-ES_tradnl"/>
        </w:rPr>
        <w:t>infra</w:t>
      </w:r>
      <w:r w:rsidRPr="00972D9D">
        <w:rPr>
          <w:rFonts w:ascii="Verdana" w:eastAsia="Calibri" w:hAnsi="Verdana" w:cs="Times New Roman"/>
          <w:sz w:val="20"/>
          <w:szCs w:val="20"/>
          <w:lang w:val="es-ES_tradnl"/>
        </w:rPr>
        <w:t xml:space="preserve"> párr. </w:t>
      </w:r>
      <w:r w:rsidR="001B0B8B">
        <w:rPr>
          <w:rFonts w:ascii="Verdana" w:eastAsia="Calibri" w:hAnsi="Verdana" w:cs="Times New Roman"/>
          <w:sz w:val="20"/>
          <w:szCs w:val="20"/>
          <w:lang w:val="es-ES_tradnl"/>
        </w:rPr>
        <w:t>1</w:t>
      </w:r>
      <w:r w:rsidR="001B0B8B" w:rsidRPr="00972D9D">
        <w:rPr>
          <w:rFonts w:ascii="Verdana" w:eastAsia="Calibri" w:hAnsi="Verdana" w:cs="Times New Roman"/>
          <w:sz w:val="20"/>
          <w:szCs w:val="20"/>
          <w:lang w:val="es-ES_tradnl"/>
        </w:rPr>
        <w:t xml:space="preserve">), </w:t>
      </w:r>
      <w:r w:rsidR="001C05D8" w:rsidRPr="00972D9D">
        <w:rPr>
          <w:rFonts w:ascii="Verdana" w:eastAsia="Calibri" w:hAnsi="Verdana" w:cs="Times New Roman"/>
          <w:sz w:val="20"/>
          <w:szCs w:val="20"/>
          <w:lang w:val="es-ES_tradnl"/>
        </w:rPr>
        <w:t xml:space="preserve">la Corte </w:t>
      </w:r>
      <w:r w:rsidRPr="00972D9D">
        <w:rPr>
          <w:rFonts w:ascii="Verdana" w:eastAsia="Calibri" w:hAnsi="Verdana" w:cs="Times New Roman"/>
          <w:sz w:val="20"/>
          <w:szCs w:val="20"/>
          <w:lang w:val="es-ES_tradnl"/>
        </w:rPr>
        <w:t xml:space="preserve">reitera el criterio establecido en el </w:t>
      </w:r>
      <w:r w:rsidR="001C05D8" w:rsidRPr="00972D9D">
        <w:rPr>
          <w:rFonts w:ascii="Verdana" w:eastAsia="Calibri" w:hAnsi="Verdana" w:cs="Times New Roman"/>
          <w:sz w:val="20"/>
          <w:szCs w:val="20"/>
          <w:lang w:val="es-ES_tradnl"/>
        </w:rPr>
        <w:t xml:space="preserve">caso </w:t>
      </w:r>
      <w:r w:rsidR="001C05D8" w:rsidRPr="00972D9D">
        <w:rPr>
          <w:rFonts w:ascii="Verdana" w:eastAsia="Calibri" w:hAnsi="Verdana" w:cs="Times New Roman"/>
          <w:i/>
          <w:sz w:val="20"/>
          <w:szCs w:val="20"/>
          <w:lang w:val="es-ES_tradnl"/>
        </w:rPr>
        <w:t xml:space="preserve">García Lucero Vs. Chile, </w:t>
      </w:r>
      <w:r w:rsidRPr="00972D9D">
        <w:rPr>
          <w:rFonts w:ascii="Verdana" w:eastAsia="Calibri" w:hAnsi="Verdana" w:cs="Times New Roman"/>
          <w:sz w:val="20"/>
          <w:szCs w:val="20"/>
          <w:lang w:val="es-ES_tradnl"/>
        </w:rPr>
        <w:t xml:space="preserve">mediante el cual, </w:t>
      </w:r>
      <w:r w:rsidR="001C05D8" w:rsidRPr="00972D9D">
        <w:rPr>
          <w:rFonts w:ascii="Verdana" w:eastAsia="Calibri" w:hAnsi="Verdana" w:cs="Times New Roman"/>
          <w:sz w:val="20"/>
          <w:szCs w:val="20"/>
          <w:lang w:val="es-ES_tradnl"/>
        </w:rPr>
        <w:t xml:space="preserve">sostuvo que:  </w:t>
      </w:r>
    </w:p>
    <w:p w14:paraId="223E6482" w14:textId="77777777" w:rsidR="00DA5453" w:rsidRPr="001B5AFB" w:rsidRDefault="00DA5453" w:rsidP="001B5AFB">
      <w:pPr>
        <w:pStyle w:val="Prrafodelista"/>
        <w:widowControl w:val="0"/>
        <w:tabs>
          <w:tab w:val="left" w:pos="567"/>
        </w:tabs>
        <w:adjustRightInd w:val="0"/>
        <w:spacing w:before="120" w:after="120" w:line="240" w:lineRule="auto"/>
        <w:ind w:left="821" w:right="720"/>
        <w:jc w:val="both"/>
        <w:textAlignment w:val="baseline"/>
        <w:rPr>
          <w:rFonts w:ascii="Verdana" w:hAnsi="Verdana"/>
          <w:sz w:val="18"/>
          <w:szCs w:val="18"/>
        </w:rPr>
      </w:pPr>
      <w:r w:rsidRPr="001B5AFB">
        <w:rPr>
          <w:rFonts w:ascii="Verdana" w:hAnsi="Verdana"/>
          <w:sz w:val="18"/>
          <w:szCs w:val="18"/>
        </w:rPr>
        <w:t>[…] la integralidad o individualización de la reparación solo puede apreciarse a partir de un examen de los hechos generadores del daño y sus efectos, y los mismos están excluidos de la competencia temporal de la Corte</w:t>
      </w:r>
      <w:r w:rsidRPr="001B5AFB">
        <w:rPr>
          <w:rFonts w:ascii="Verdana" w:hAnsi="Verdana"/>
          <w:sz w:val="18"/>
          <w:szCs w:val="18"/>
          <w:vertAlign w:val="superscript"/>
        </w:rPr>
        <w:footnoteReference w:id="16"/>
      </w:r>
      <w:r w:rsidRPr="001B5AFB">
        <w:rPr>
          <w:rFonts w:ascii="Verdana" w:hAnsi="Verdana"/>
          <w:sz w:val="18"/>
          <w:szCs w:val="18"/>
        </w:rPr>
        <w:t xml:space="preserve">. </w:t>
      </w:r>
    </w:p>
    <w:p w14:paraId="5B8C00F7" w14:textId="70E695E6" w:rsidR="00F8530D" w:rsidRPr="00972D9D" w:rsidRDefault="00F8530D"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b/>
          <w:lang w:val="es-ES_tradnl"/>
        </w:rPr>
      </w:pPr>
      <w:r w:rsidRPr="00972D9D">
        <w:rPr>
          <w:rFonts w:ascii="Verdana" w:eastAsia="Calibri" w:hAnsi="Verdana" w:cs="Times New Roman"/>
          <w:sz w:val="20"/>
          <w:szCs w:val="20"/>
          <w:lang w:val="es-ES_tradnl"/>
        </w:rPr>
        <w:t>En</w:t>
      </w:r>
      <w:r w:rsidRPr="00972D9D">
        <w:rPr>
          <w:rFonts w:ascii="Verdana" w:eastAsia="Calibri" w:hAnsi="Verdana" w:cs="Times New Roman"/>
          <w:sz w:val="20"/>
          <w:szCs w:val="20"/>
        </w:rPr>
        <w:t xml:space="preserve"> este sentido</w:t>
      </w:r>
      <w:r w:rsidR="001C05D8" w:rsidRPr="00972D9D">
        <w:rPr>
          <w:rFonts w:ascii="Verdana" w:eastAsia="Calibri" w:hAnsi="Verdana" w:cs="Times New Roman"/>
          <w:sz w:val="20"/>
          <w:szCs w:val="20"/>
        </w:rPr>
        <w:t xml:space="preserve">, </w:t>
      </w:r>
      <w:r w:rsidRPr="00972D9D">
        <w:rPr>
          <w:rFonts w:ascii="Verdana" w:eastAsia="Calibri" w:hAnsi="Verdana" w:cs="Times New Roman"/>
          <w:sz w:val="20"/>
          <w:szCs w:val="20"/>
        </w:rPr>
        <w:t xml:space="preserve">el objeto del caso sometido por la Comisión ante la Corte versa en lo particular sobre </w:t>
      </w:r>
      <w:r w:rsidR="001C05D8" w:rsidRPr="00972D9D">
        <w:rPr>
          <w:rFonts w:ascii="Verdana" w:eastAsia="Calibri" w:hAnsi="Verdana" w:cs="Times New Roman"/>
          <w:sz w:val="20"/>
          <w:szCs w:val="20"/>
          <w:lang w:val="es-CO"/>
        </w:rPr>
        <w:t>los procesos</w:t>
      </w:r>
      <w:r w:rsidR="00910CA4">
        <w:rPr>
          <w:rFonts w:ascii="Verdana" w:eastAsia="Calibri" w:hAnsi="Verdana" w:cs="Times New Roman"/>
          <w:sz w:val="20"/>
          <w:szCs w:val="20"/>
          <w:lang w:val="es-CO"/>
        </w:rPr>
        <w:t xml:space="preserve"> administrativos y </w:t>
      </w:r>
      <w:r w:rsidR="001C05D8" w:rsidRPr="00972D9D">
        <w:rPr>
          <w:rFonts w:ascii="Verdana" w:eastAsia="Calibri" w:hAnsi="Verdana" w:cs="Times New Roman"/>
          <w:sz w:val="20"/>
          <w:szCs w:val="20"/>
          <w:lang w:val="es-CO"/>
        </w:rPr>
        <w:t xml:space="preserve"> judiciales iniciados por las presuntas víctimas</w:t>
      </w:r>
      <w:r w:rsidRPr="00972D9D">
        <w:rPr>
          <w:rFonts w:ascii="Verdana" w:eastAsia="Calibri" w:hAnsi="Verdana" w:cs="Times New Roman"/>
          <w:sz w:val="20"/>
          <w:szCs w:val="20"/>
          <w:lang w:val="es-CO"/>
        </w:rPr>
        <w:t xml:space="preserve"> (</w:t>
      </w:r>
      <w:r w:rsidR="00904755" w:rsidRPr="00972D9D">
        <w:rPr>
          <w:rFonts w:ascii="Verdana" w:eastAsia="Calibri" w:hAnsi="Verdana" w:cs="Times New Roman"/>
          <w:i/>
          <w:sz w:val="20"/>
          <w:szCs w:val="20"/>
          <w:lang w:val="es-CO"/>
        </w:rPr>
        <w:t>supra</w:t>
      </w:r>
      <w:r w:rsidRPr="00972D9D">
        <w:rPr>
          <w:rFonts w:ascii="Verdana" w:eastAsia="Calibri" w:hAnsi="Verdana" w:cs="Times New Roman"/>
          <w:sz w:val="20"/>
          <w:szCs w:val="20"/>
          <w:lang w:val="es-CO"/>
        </w:rPr>
        <w:t xml:space="preserve"> párr. </w:t>
      </w:r>
      <w:r w:rsidR="00233B2F">
        <w:rPr>
          <w:rFonts w:ascii="Verdana" w:eastAsia="Calibri" w:hAnsi="Verdana" w:cs="Times New Roman"/>
          <w:sz w:val="20"/>
          <w:szCs w:val="20"/>
          <w:lang w:val="es-CO"/>
        </w:rPr>
        <w:t>1</w:t>
      </w:r>
      <w:r w:rsidRPr="00972D9D">
        <w:rPr>
          <w:rFonts w:ascii="Verdana" w:eastAsia="Calibri" w:hAnsi="Verdana" w:cs="Times New Roman"/>
          <w:sz w:val="20"/>
          <w:szCs w:val="20"/>
          <w:lang w:val="es-CO"/>
        </w:rPr>
        <w:t>)</w:t>
      </w:r>
      <w:r w:rsidR="001C05D8" w:rsidRPr="00972D9D">
        <w:rPr>
          <w:rFonts w:ascii="Verdana" w:eastAsia="Calibri" w:hAnsi="Verdana" w:cs="Times New Roman"/>
          <w:sz w:val="20"/>
          <w:szCs w:val="20"/>
          <w:lang w:val="es-CO"/>
        </w:rPr>
        <w:t>, por lo que</w:t>
      </w:r>
      <w:r w:rsidRPr="00972D9D">
        <w:rPr>
          <w:rFonts w:ascii="Verdana" w:eastAsia="Calibri" w:hAnsi="Verdana" w:cs="Times New Roman"/>
          <w:sz w:val="20"/>
          <w:szCs w:val="20"/>
          <w:lang w:val="es-CO"/>
        </w:rPr>
        <w:t xml:space="preserve">, de encontrarse una eventual violación, </w:t>
      </w:r>
      <w:r w:rsidR="00130BEF" w:rsidRPr="00972D9D">
        <w:rPr>
          <w:rFonts w:ascii="Verdana" w:eastAsia="Calibri" w:hAnsi="Verdana" w:cs="Times New Roman"/>
          <w:sz w:val="20"/>
          <w:szCs w:val="20"/>
          <w:lang w:val="es-CO"/>
        </w:rPr>
        <w:t>en razón del</w:t>
      </w:r>
      <w:r w:rsidR="001C05D8" w:rsidRPr="00972D9D">
        <w:rPr>
          <w:rFonts w:ascii="Verdana" w:eastAsia="Calibri" w:hAnsi="Verdana" w:cs="Times New Roman"/>
          <w:sz w:val="20"/>
          <w:szCs w:val="20"/>
          <w:lang w:val="es-CO"/>
        </w:rPr>
        <w:t xml:space="preserve"> nexo causal, </w:t>
      </w:r>
      <w:r w:rsidR="00265133" w:rsidRPr="00972D9D">
        <w:rPr>
          <w:rFonts w:ascii="Verdana" w:eastAsia="Calibri" w:hAnsi="Verdana" w:cs="Times New Roman"/>
          <w:sz w:val="20"/>
          <w:szCs w:val="20"/>
          <w:lang w:val="es-CO"/>
        </w:rPr>
        <w:t xml:space="preserve">la reparación </w:t>
      </w:r>
      <w:r w:rsidR="001C05D8" w:rsidRPr="00972D9D">
        <w:rPr>
          <w:rFonts w:ascii="Verdana" w:eastAsia="Calibri" w:hAnsi="Verdana" w:cs="Times New Roman"/>
          <w:sz w:val="20"/>
          <w:szCs w:val="20"/>
          <w:lang w:val="es-CO"/>
        </w:rPr>
        <w:t>estaría relacionada únicamente con las violaciones acreditadas</w:t>
      </w:r>
      <w:r w:rsidR="004A3E0F" w:rsidRPr="00972D9D">
        <w:rPr>
          <w:rFonts w:ascii="Verdana" w:eastAsia="Calibri" w:hAnsi="Verdana" w:cs="Times New Roman"/>
          <w:sz w:val="20"/>
          <w:szCs w:val="20"/>
          <w:lang w:val="es-ES_tradnl"/>
        </w:rPr>
        <w:t>.</w:t>
      </w:r>
      <w:r w:rsidR="0052180A" w:rsidRPr="00972D9D">
        <w:rPr>
          <w:rFonts w:ascii="Verdana" w:eastAsia="Calibri" w:hAnsi="Verdana" w:cs="Times New Roman"/>
          <w:sz w:val="20"/>
          <w:szCs w:val="20"/>
          <w:lang w:val="es-ES_tradnl"/>
        </w:rPr>
        <w:t xml:space="preserve"> </w:t>
      </w:r>
      <w:r w:rsidR="001C05D8" w:rsidRPr="00972D9D">
        <w:rPr>
          <w:rFonts w:ascii="Verdana" w:eastAsia="Calibri" w:hAnsi="Verdana" w:cs="Times New Roman"/>
          <w:sz w:val="20"/>
          <w:szCs w:val="20"/>
          <w:lang w:val="es-CO"/>
        </w:rPr>
        <w:t xml:space="preserve">En </w:t>
      </w:r>
      <w:r w:rsidR="00B36C55" w:rsidRPr="00972D9D">
        <w:rPr>
          <w:rFonts w:ascii="Verdana" w:eastAsia="Calibri" w:hAnsi="Verdana" w:cs="Times New Roman"/>
          <w:sz w:val="20"/>
          <w:szCs w:val="20"/>
          <w:lang w:val="es-CO"/>
        </w:rPr>
        <w:t xml:space="preserve">los términos anteriores </w:t>
      </w:r>
      <w:r w:rsidR="001C05D8" w:rsidRPr="00972D9D">
        <w:rPr>
          <w:rFonts w:ascii="Verdana" w:eastAsia="Calibri" w:hAnsi="Verdana" w:cs="Times New Roman"/>
          <w:sz w:val="20"/>
          <w:szCs w:val="20"/>
        </w:rPr>
        <w:t xml:space="preserve">la </w:t>
      </w:r>
      <w:r w:rsidR="001C05D8" w:rsidRPr="00972D9D">
        <w:rPr>
          <w:rFonts w:ascii="Verdana" w:eastAsia="Calibri" w:hAnsi="Verdana" w:cs="Times New Roman"/>
          <w:sz w:val="20"/>
          <w:szCs w:val="20"/>
          <w:lang w:val="es-ES_tradnl"/>
        </w:rPr>
        <w:t>Corte admite la excepción interpuesta por el Estado</w:t>
      </w:r>
      <w:r w:rsidR="00B36C55" w:rsidRPr="00972D9D">
        <w:rPr>
          <w:rFonts w:ascii="Verdana" w:eastAsia="Calibri" w:hAnsi="Verdana" w:cs="Times New Roman"/>
          <w:sz w:val="20"/>
          <w:szCs w:val="20"/>
          <w:lang w:val="es-ES_tradnl"/>
        </w:rPr>
        <w:t xml:space="preserve"> en relación con la falta de competencia </w:t>
      </w:r>
      <w:proofErr w:type="spellStart"/>
      <w:r w:rsidR="00B36C55" w:rsidRPr="00972D9D">
        <w:rPr>
          <w:rFonts w:ascii="Verdana" w:eastAsia="Calibri" w:hAnsi="Verdana" w:cs="Times New Roman"/>
          <w:i/>
          <w:sz w:val="20"/>
          <w:szCs w:val="20"/>
          <w:lang w:val="es-ES_tradnl"/>
        </w:rPr>
        <w:t>ratione</w:t>
      </w:r>
      <w:proofErr w:type="spellEnd"/>
      <w:r w:rsidR="00B36C55" w:rsidRPr="00972D9D">
        <w:rPr>
          <w:rFonts w:ascii="Verdana" w:eastAsia="Calibri" w:hAnsi="Verdana" w:cs="Times New Roman"/>
          <w:i/>
          <w:sz w:val="20"/>
          <w:szCs w:val="20"/>
          <w:lang w:val="es-ES_tradnl"/>
        </w:rPr>
        <w:t xml:space="preserve"> </w:t>
      </w:r>
      <w:proofErr w:type="spellStart"/>
      <w:r w:rsidR="00B36C55" w:rsidRPr="00972D9D">
        <w:rPr>
          <w:rFonts w:ascii="Verdana" w:eastAsia="Calibri" w:hAnsi="Verdana" w:cs="Times New Roman"/>
          <w:i/>
          <w:sz w:val="20"/>
          <w:szCs w:val="20"/>
          <w:lang w:val="es-ES_tradnl"/>
        </w:rPr>
        <w:t>temporis</w:t>
      </w:r>
      <w:proofErr w:type="spellEnd"/>
      <w:r w:rsidR="00B36C55" w:rsidRPr="00972D9D">
        <w:rPr>
          <w:rFonts w:ascii="Verdana" w:eastAsia="Calibri" w:hAnsi="Verdana" w:cs="Times New Roman"/>
          <w:sz w:val="20"/>
          <w:szCs w:val="20"/>
          <w:lang w:val="es-ES_tradnl"/>
        </w:rPr>
        <w:t xml:space="preserve"> sobre los hechos relacionados con la detención arbitraria de la señora Perrone y la detención y posterior exilio del señor </w:t>
      </w:r>
      <w:proofErr w:type="spellStart"/>
      <w:r w:rsidR="00B36C55" w:rsidRPr="00972D9D">
        <w:rPr>
          <w:rFonts w:ascii="Verdana" w:eastAsia="Calibri" w:hAnsi="Verdana" w:cs="Times New Roman"/>
          <w:sz w:val="20"/>
          <w:szCs w:val="20"/>
          <w:lang w:val="es-ES_tradnl"/>
        </w:rPr>
        <w:t>Preckel</w:t>
      </w:r>
      <w:proofErr w:type="spellEnd"/>
      <w:r w:rsidR="00D73224" w:rsidRPr="00972D9D">
        <w:rPr>
          <w:rFonts w:ascii="Verdana" w:eastAsia="Calibri" w:hAnsi="Verdana" w:cs="Times New Roman"/>
          <w:sz w:val="20"/>
          <w:szCs w:val="20"/>
          <w:lang w:val="es-ES_tradnl"/>
        </w:rPr>
        <w:t xml:space="preserve">, así como a </w:t>
      </w:r>
      <w:r w:rsidR="00B36C55" w:rsidRPr="00972D9D">
        <w:rPr>
          <w:rFonts w:ascii="Verdana" w:eastAsia="Calibri" w:hAnsi="Verdana" w:cs="Times New Roman"/>
          <w:sz w:val="20"/>
          <w:szCs w:val="20"/>
          <w:lang w:val="es-ES_tradnl"/>
        </w:rPr>
        <w:t>su eventual reparación</w:t>
      </w:r>
      <w:r w:rsidR="000B0482" w:rsidRPr="00972D9D">
        <w:rPr>
          <w:rFonts w:ascii="Verdana" w:eastAsia="Calibri" w:hAnsi="Verdana" w:cs="Times New Roman"/>
          <w:sz w:val="20"/>
          <w:szCs w:val="20"/>
          <w:lang w:val="es-ES_tradnl"/>
        </w:rPr>
        <w:t xml:space="preserve"> mediante la </w:t>
      </w:r>
      <w:proofErr w:type="spellStart"/>
      <w:r w:rsidR="000B0482" w:rsidRPr="00972D9D">
        <w:rPr>
          <w:rFonts w:ascii="Verdana" w:eastAsia="Calibri" w:hAnsi="Verdana" w:cs="Times New Roman"/>
          <w:i/>
          <w:sz w:val="20"/>
          <w:szCs w:val="20"/>
          <w:lang w:val="es-ES_tradnl"/>
        </w:rPr>
        <w:t>restitutio</w:t>
      </w:r>
      <w:proofErr w:type="spellEnd"/>
      <w:r w:rsidR="000B0482" w:rsidRPr="00972D9D">
        <w:rPr>
          <w:rFonts w:ascii="Verdana" w:eastAsia="Calibri" w:hAnsi="Verdana" w:cs="Times New Roman"/>
          <w:i/>
          <w:sz w:val="20"/>
          <w:szCs w:val="20"/>
          <w:lang w:val="es-ES_tradnl"/>
        </w:rPr>
        <w:t xml:space="preserve"> in </w:t>
      </w:r>
      <w:proofErr w:type="spellStart"/>
      <w:r w:rsidR="000B0482" w:rsidRPr="00972D9D">
        <w:rPr>
          <w:rFonts w:ascii="Verdana" w:eastAsia="Calibri" w:hAnsi="Verdana" w:cs="Times New Roman"/>
          <w:i/>
          <w:sz w:val="20"/>
          <w:szCs w:val="20"/>
          <w:lang w:val="es-ES_tradnl"/>
        </w:rPr>
        <w:t>integrum</w:t>
      </w:r>
      <w:proofErr w:type="spellEnd"/>
      <w:r w:rsidR="000B0482" w:rsidRPr="00972D9D">
        <w:rPr>
          <w:rFonts w:ascii="Verdana" w:eastAsia="Calibri" w:hAnsi="Verdana" w:cs="Times New Roman"/>
          <w:sz w:val="20"/>
          <w:szCs w:val="20"/>
          <w:lang w:val="es-ES_tradnl"/>
        </w:rPr>
        <w:t xml:space="preserve"> solicitada por el representante de las presuntas víctimas</w:t>
      </w:r>
      <w:r w:rsidRPr="00A3482F">
        <w:rPr>
          <w:rFonts w:ascii="Verdana" w:hAnsi="Verdana"/>
          <w:lang w:val="es-ES_tradnl"/>
        </w:rPr>
        <w:t>.</w:t>
      </w:r>
      <w:r w:rsidRPr="00972D9D">
        <w:rPr>
          <w:rFonts w:ascii="Verdana" w:hAnsi="Verdana"/>
          <w:b/>
          <w:lang w:val="es-ES_tradnl"/>
        </w:rPr>
        <w:t xml:space="preserve"> </w:t>
      </w:r>
    </w:p>
    <w:p w14:paraId="50BE3CA3" w14:textId="39C2000A" w:rsidR="001C05D8" w:rsidRPr="00972D9D" w:rsidRDefault="00883F51" w:rsidP="00972D9D">
      <w:pPr>
        <w:keepNext/>
        <w:keepLines/>
        <w:numPr>
          <w:ilvl w:val="0"/>
          <w:numId w:val="11"/>
        </w:numPr>
        <w:spacing w:before="120" w:after="120" w:line="240" w:lineRule="auto"/>
        <w:ind w:left="567" w:hanging="283"/>
        <w:jc w:val="both"/>
        <w:outlineLvl w:val="1"/>
        <w:rPr>
          <w:rFonts w:ascii="Verdana" w:eastAsia="Times New Roman" w:hAnsi="Verdana" w:cs="Times New Roman"/>
          <w:b/>
          <w:bCs/>
          <w:i/>
          <w:sz w:val="20"/>
          <w:szCs w:val="20"/>
          <w:lang w:val="es-ES_tradnl"/>
        </w:rPr>
      </w:pPr>
      <w:bookmarkStart w:id="15" w:name="_Toc5178753"/>
      <w:bookmarkStart w:id="16" w:name="_Toc5178754"/>
      <w:bookmarkStart w:id="17" w:name="_Toc20755712"/>
      <w:bookmarkEnd w:id="15"/>
      <w:bookmarkEnd w:id="16"/>
      <w:r w:rsidRPr="00972D9D">
        <w:rPr>
          <w:rFonts w:ascii="Verdana" w:eastAsia="Times New Roman" w:hAnsi="Verdana" w:cs="Times New Roman"/>
          <w:b/>
          <w:bCs/>
          <w:i/>
          <w:sz w:val="20"/>
          <w:szCs w:val="20"/>
          <w:lang w:val="es-ES_tradnl"/>
        </w:rPr>
        <w:t>Falta de</w:t>
      </w:r>
      <w:r w:rsidR="001C05D8" w:rsidRPr="00972D9D">
        <w:rPr>
          <w:rFonts w:ascii="Verdana" w:eastAsia="Times New Roman" w:hAnsi="Verdana" w:cs="Times New Roman"/>
          <w:b/>
          <w:bCs/>
          <w:i/>
          <w:sz w:val="20"/>
          <w:szCs w:val="20"/>
          <w:lang w:val="es-ES_tradnl"/>
        </w:rPr>
        <w:t xml:space="preserve"> agotamiento de los recursos d</w:t>
      </w:r>
      <w:r w:rsidRPr="00972D9D">
        <w:rPr>
          <w:rFonts w:ascii="Verdana" w:eastAsia="Times New Roman" w:hAnsi="Verdana" w:cs="Times New Roman"/>
          <w:b/>
          <w:bCs/>
          <w:i/>
          <w:sz w:val="20"/>
          <w:szCs w:val="20"/>
          <w:lang w:val="es-ES_tradnl"/>
        </w:rPr>
        <w:t>e</w:t>
      </w:r>
      <w:r w:rsidR="001C05D8" w:rsidRPr="00972D9D">
        <w:rPr>
          <w:rFonts w:ascii="Verdana" w:eastAsia="Times New Roman" w:hAnsi="Verdana" w:cs="Times New Roman"/>
          <w:b/>
          <w:bCs/>
          <w:i/>
          <w:sz w:val="20"/>
          <w:szCs w:val="20"/>
          <w:lang w:val="es-ES_tradnl"/>
        </w:rPr>
        <w:t xml:space="preserve"> la jurisdicción interna.</w:t>
      </w:r>
      <w:bookmarkEnd w:id="17"/>
    </w:p>
    <w:p w14:paraId="50BE3CA4" w14:textId="33E71E7F" w:rsidR="001C05D8" w:rsidRPr="00972D9D" w:rsidRDefault="00422F8E" w:rsidP="00972D9D">
      <w:pPr>
        <w:pStyle w:val="Ttulo3"/>
        <w:numPr>
          <w:ilvl w:val="0"/>
          <w:numId w:val="35"/>
        </w:numPr>
        <w:tabs>
          <w:tab w:val="clear" w:pos="1276"/>
          <w:tab w:val="left" w:pos="851"/>
        </w:tabs>
        <w:spacing w:before="120" w:after="120"/>
        <w:ind w:left="1134" w:hanging="141"/>
        <w:rPr>
          <w:b w:val="0"/>
          <w:lang w:val="es-ES_tradnl"/>
        </w:rPr>
      </w:pPr>
      <w:r w:rsidRPr="00972D9D">
        <w:rPr>
          <w:b w:val="0"/>
          <w:lang w:val="es-ES_tradnl"/>
        </w:rPr>
        <w:t xml:space="preserve">  </w:t>
      </w:r>
      <w:bookmarkStart w:id="18" w:name="_Toc20755713"/>
      <w:r w:rsidR="001C05D8" w:rsidRPr="00972D9D">
        <w:rPr>
          <w:b w:val="0"/>
          <w:lang w:val="es-ES_tradnl"/>
        </w:rPr>
        <w:t>Alegatos de las partes y de la Comisión</w:t>
      </w:r>
      <w:bookmarkEnd w:id="18"/>
      <w:r w:rsidR="001C05D8" w:rsidRPr="00972D9D">
        <w:rPr>
          <w:b w:val="0"/>
          <w:lang w:val="es-ES_tradnl"/>
        </w:rPr>
        <w:t xml:space="preserve"> </w:t>
      </w:r>
    </w:p>
    <w:p w14:paraId="50BE3CA5" w14:textId="52257A06" w:rsidR="001C05D8" w:rsidRPr="00972D9D" w:rsidRDefault="00265133"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eastAsia="Calibri" w:hAnsi="Verdana" w:cs="Times New Roman"/>
          <w:sz w:val="20"/>
          <w:szCs w:val="20"/>
          <w:lang w:val="es-ES_tradnl"/>
        </w:rPr>
      </w:pPr>
      <w:r w:rsidRPr="00972D9D">
        <w:rPr>
          <w:rFonts w:ascii="Verdana" w:eastAsia="Calibri" w:hAnsi="Verdana" w:cs="Times New Roman"/>
          <w:sz w:val="20"/>
          <w:szCs w:val="20"/>
          <w:lang w:val="es-ES_tradnl"/>
        </w:rPr>
        <w:t>E</w:t>
      </w:r>
      <w:r w:rsidR="001C05D8" w:rsidRPr="00972D9D">
        <w:rPr>
          <w:rFonts w:ascii="Verdana" w:eastAsia="Calibri" w:hAnsi="Verdana" w:cs="Times New Roman"/>
          <w:sz w:val="20"/>
          <w:szCs w:val="20"/>
          <w:lang w:val="es-ES_tradnl"/>
        </w:rPr>
        <w:t xml:space="preserve">l </w:t>
      </w:r>
      <w:r w:rsidR="001C05D8" w:rsidRPr="00972D9D">
        <w:rPr>
          <w:rFonts w:ascii="Verdana" w:eastAsia="Calibri" w:hAnsi="Verdana" w:cs="Times New Roman"/>
          <w:b/>
          <w:i/>
          <w:sz w:val="20"/>
          <w:szCs w:val="20"/>
          <w:lang w:val="es-ES_tradnl"/>
        </w:rPr>
        <w:t>Estado</w:t>
      </w:r>
      <w:r w:rsidR="001C05D8" w:rsidRPr="00972D9D">
        <w:rPr>
          <w:rFonts w:ascii="Verdana" w:eastAsia="Calibri" w:hAnsi="Verdana" w:cs="Times New Roman"/>
          <w:sz w:val="20"/>
          <w:szCs w:val="20"/>
          <w:lang w:val="es-ES_tradnl"/>
        </w:rPr>
        <w:t xml:space="preserve"> presentó como excepción</w:t>
      </w:r>
      <w:r w:rsidR="00883F51" w:rsidRPr="00972D9D">
        <w:rPr>
          <w:rFonts w:ascii="Verdana" w:eastAsia="Calibri" w:hAnsi="Verdana" w:cs="Times New Roman"/>
          <w:sz w:val="20"/>
          <w:szCs w:val="20"/>
          <w:lang w:val="es-ES_tradnl"/>
        </w:rPr>
        <w:t xml:space="preserve"> preliminar</w:t>
      </w:r>
      <w:r w:rsidR="001C05D8" w:rsidRPr="00972D9D">
        <w:rPr>
          <w:rFonts w:ascii="Verdana" w:eastAsia="Calibri" w:hAnsi="Verdana" w:cs="Times New Roman"/>
          <w:sz w:val="20"/>
          <w:szCs w:val="20"/>
          <w:lang w:val="es-ES_tradnl"/>
        </w:rPr>
        <w:t xml:space="preserve"> la falta de agotamiento de los recursos de la jurisdicción interna, en los términos del artículo 46.1.a de la Convención</w:t>
      </w:r>
      <w:r w:rsidR="001C05D8" w:rsidRPr="00F46AC0">
        <w:rPr>
          <w:rFonts w:ascii="Verdana" w:eastAsia="Calibri" w:hAnsi="Verdana" w:cs="Times New Roman"/>
          <w:sz w:val="20"/>
          <w:szCs w:val="20"/>
          <w:lang w:val="es-ES_tradnl"/>
        </w:rPr>
        <w:t>.</w:t>
      </w:r>
      <w:r w:rsidR="001C05D8" w:rsidRPr="00972D9D">
        <w:rPr>
          <w:rFonts w:ascii="Verdana" w:eastAsia="Calibri" w:hAnsi="Verdana" w:cs="Times New Roman"/>
          <w:sz w:val="20"/>
          <w:szCs w:val="20"/>
          <w:lang w:val="es-ES_tradnl"/>
        </w:rPr>
        <w:t xml:space="preserve"> Sostuvo que los procesos judiciales agotados por las víctimas no eran los idóneos para lograr la retribución de sus salarios, sino que la acción civil de daños y perjuicios era el mecanismo procesal adecuado para ello. Indicó que esta excepción fue planteada en su primera respuesta ante la Comisión, cuando sostuvo que las presuntas víctimas “</w:t>
      </w:r>
      <w:r w:rsidR="001B0B8B">
        <w:rPr>
          <w:rFonts w:ascii="Verdana" w:eastAsia="Calibri" w:hAnsi="Verdana" w:cs="Times New Roman"/>
          <w:sz w:val="20"/>
          <w:szCs w:val="20"/>
          <w:lang w:val="es-ES_tradnl"/>
        </w:rPr>
        <w:t xml:space="preserve">[…] </w:t>
      </w:r>
      <w:r w:rsidR="001C05D8" w:rsidRPr="00972D9D">
        <w:rPr>
          <w:rFonts w:ascii="Verdana" w:eastAsia="Calibri" w:hAnsi="Verdana" w:cs="Times New Roman"/>
          <w:sz w:val="20"/>
          <w:szCs w:val="20"/>
          <w:lang w:val="es-ES_tradnl"/>
        </w:rPr>
        <w:t>deberían haber accionado contra el Estado nacional por los daños y perjuicios ocasionados durante su detención ilegal</w:t>
      </w:r>
      <w:r w:rsidR="001B0B8B">
        <w:rPr>
          <w:rFonts w:ascii="Verdana" w:eastAsia="Calibri" w:hAnsi="Verdana" w:cs="Times New Roman"/>
          <w:sz w:val="20"/>
          <w:szCs w:val="20"/>
          <w:lang w:val="es-ES_tradnl"/>
        </w:rPr>
        <w:t xml:space="preserve"> […]</w:t>
      </w:r>
      <w:r w:rsidR="001C05D8" w:rsidRPr="00972D9D">
        <w:rPr>
          <w:rFonts w:ascii="Verdana" w:eastAsia="Calibri" w:hAnsi="Verdana" w:cs="Times New Roman"/>
          <w:sz w:val="20"/>
          <w:szCs w:val="20"/>
          <w:lang w:val="es-ES_tradnl"/>
        </w:rPr>
        <w:t>”</w:t>
      </w:r>
      <w:r w:rsidR="001C05D8" w:rsidRPr="00F46AC0">
        <w:rPr>
          <w:rFonts w:ascii="Verdana" w:eastAsia="Calibri" w:hAnsi="Verdana" w:cs="Times New Roman"/>
          <w:sz w:val="20"/>
          <w:szCs w:val="20"/>
          <w:lang w:val="es-ES_tradnl"/>
        </w:rPr>
        <w:t>.</w:t>
      </w:r>
      <w:r w:rsidR="001C05D8" w:rsidRPr="00972D9D">
        <w:rPr>
          <w:rFonts w:ascii="Verdana" w:eastAsia="Calibri" w:hAnsi="Verdana" w:cs="Times New Roman"/>
          <w:sz w:val="20"/>
          <w:szCs w:val="20"/>
          <w:lang w:val="es-ES_tradnl"/>
        </w:rPr>
        <w:t xml:space="preserve"> Además, señaló que la representación de las </w:t>
      </w:r>
      <w:r w:rsidR="00CF374A" w:rsidRPr="00972D9D">
        <w:rPr>
          <w:rFonts w:ascii="Verdana" w:eastAsia="Calibri" w:hAnsi="Verdana" w:cs="Times New Roman"/>
          <w:sz w:val="20"/>
          <w:szCs w:val="20"/>
          <w:lang w:val="es-ES_tradnl"/>
        </w:rPr>
        <w:t xml:space="preserve">presuntas </w:t>
      </w:r>
      <w:r w:rsidR="001C05D8" w:rsidRPr="00972D9D">
        <w:rPr>
          <w:rFonts w:ascii="Verdana" w:eastAsia="Calibri" w:hAnsi="Verdana" w:cs="Times New Roman"/>
          <w:sz w:val="20"/>
          <w:szCs w:val="20"/>
          <w:lang w:val="es-ES_tradnl"/>
        </w:rPr>
        <w:t>víctimas no explicó por qué no se había agotado la acción de daños y perjuicios, sino que se limitó a indicar que los daños generados por la detención habían sido reclamados mediante el procedimiento de la Ley 24.043. Sin embargo, al momento de interponer las acciones judiciales</w:t>
      </w:r>
      <w:r w:rsidR="00BC786E">
        <w:rPr>
          <w:rFonts w:ascii="Verdana" w:eastAsia="Calibri" w:hAnsi="Verdana" w:cs="Times New Roman"/>
          <w:sz w:val="20"/>
          <w:szCs w:val="20"/>
          <w:lang w:val="es-ES_tradnl"/>
        </w:rPr>
        <w:t>,</w:t>
      </w:r>
      <w:r w:rsidR="001C05D8" w:rsidRPr="00972D9D">
        <w:rPr>
          <w:rFonts w:ascii="Verdana" w:eastAsia="Calibri" w:hAnsi="Verdana" w:cs="Times New Roman"/>
          <w:sz w:val="20"/>
          <w:szCs w:val="20"/>
          <w:lang w:val="es-ES_tradnl"/>
        </w:rPr>
        <w:t xml:space="preserve"> en junio de 1988</w:t>
      </w:r>
      <w:r w:rsidR="00BC786E">
        <w:rPr>
          <w:rFonts w:ascii="Verdana" w:eastAsia="Calibri" w:hAnsi="Verdana" w:cs="Times New Roman"/>
          <w:sz w:val="20"/>
          <w:szCs w:val="20"/>
          <w:lang w:val="es-ES_tradnl"/>
        </w:rPr>
        <w:t>,</w:t>
      </w:r>
      <w:r w:rsidR="001C05D8" w:rsidRPr="00972D9D">
        <w:rPr>
          <w:rFonts w:ascii="Verdana" w:eastAsia="Calibri" w:hAnsi="Verdana" w:cs="Times New Roman"/>
          <w:sz w:val="20"/>
          <w:szCs w:val="20"/>
          <w:lang w:val="es-ES_tradnl"/>
        </w:rPr>
        <w:t xml:space="preserve"> la Ley 24.043 no existía</w:t>
      </w:r>
      <w:r w:rsidR="001C05D8" w:rsidRPr="00F46AC0">
        <w:rPr>
          <w:rFonts w:ascii="Verdana" w:eastAsia="Calibri" w:hAnsi="Verdana" w:cs="Times New Roman"/>
          <w:sz w:val="20"/>
          <w:szCs w:val="20"/>
          <w:lang w:val="es-ES_tradnl"/>
        </w:rPr>
        <w:t>.</w:t>
      </w:r>
    </w:p>
    <w:p w14:paraId="50BE3CA6" w14:textId="7CBD227D" w:rsidR="001C05D8" w:rsidRPr="00972D9D" w:rsidRDefault="001C05D8"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eastAsia="Calibri" w:hAnsi="Verdana" w:cs="Times New Roman"/>
          <w:sz w:val="20"/>
          <w:szCs w:val="20"/>
          <w:lang w:val="es-ES_tradnl"/>
        </w:rPr>
      </w:pPr>
      <w:r w:rsidRPr="00972D9D">
        <w:rPr>
          <w:rFonts w:ascii="Verdana" w:eastAsia="Calibri" w:hAnsi="Verdana" w:cs="Times New Roman"/>
          <w:sz w:val="20"/>
          <w:szCs w:val="20"/>
          <w:lang w:val="es-ES_tradnl"/>
        </w:rPr>
        <w:t xml:space="preserve">Para el </w:t>
      </w:r>
      <w:r w:rsidRPr="00972D9D">
        <w:rPr>
          <w:rFonts w:ascii="Verdana" w:eastAsia="Calibri" w:hAnsi="Verdana" w:cs="Times New Roman"/>
          <w:i/>
          <w:sz w:val="20"/>
          <w:szCs w:val="20"/>
          <w:lang w:val="es-ES_tradnl"/>
        </w:rPr>
        <w:t>Estado</w:t>
      </w:r>
      <w:r w:rsidR="00CF374A" w:rsidRPr="00972D9D">
        <w:rPr>
          <w:rFonts w:ascii="Verdana" w:eastAsia="Calibri" w:hAnsi="Verdana" w:cs="Times New Roman"/>
          <w:i/>
          <w:sz w:val="20"/>
          <w:szCs w:val="20"/>
          <w:lang w:val="es-ES_tradnl"/>
        </w:rPr>
        <w:t>,</w:t>
      </w:r>
      <w:r w:rsidRPr="00972D9D">
        <w:rPr>
          <w:rFonts w:ascii="Verdana" w:eastAsia="Calibri" w:hAnsi="Verdana" w:cs="Times New Roman"/>
          <w:sz w:val="20"/>
          <w:szCs w:val="20"/>
          <w:lang w:val="es-ES_tradnl"/>
        </w:rPr>
        <w:t xml:space="preserve"> la acción iniciada por las presuntas víctimas fue inadecuada, en tanto centró sus reclamos en la relación de empleo público con la Dirección General Impositiva –DGI- y limitó el objeto procesal a solicitar la cancelación de salarios no pagados, fundando sus pretensiones en la normativa con que la DGI regulaba sus relaciones de empleo público</w:t>
      </w:r>
      <w:r w:rsidRPr="00F46AC0">
        <w:rPr>
          <w:rFonts w:ascii="Verdana" w:eastAsia="Calibri" w:hAnsi="Verdana" w:cs="Times New Roman"/>
          <w:sz w:val="20"/>
          <w:szCs w:val="20"/>
          <w:lang w:val="es-ES_tradnl"/>
        </w:rPr>
        <w:t>.</w:t>
      </w:r>
      <w:r w:rsidRPr="00972D9D">
        <w:rPr>
          <w:rFonts w:ascii="Verdana" w:eastAsia="Calibri" w:hAnsi="Verdana" w:cs="Times New Roman"/>
          <w:sz w:val="20"/>
          <w:szCs w:val="20"/>
          <w:lang w:val="es-ES_tradnl"/>
        </w:rPr>
        <w:t xml:space="preserve"> La falta de idoneidad de la acción se evidencia en las diferentes resoluciones judiciales, en las que aplicando la ley vigente el poder judicial encontró que la DGI no era responsable de cubrir los salarios no devengados y </w:t>
      </w:r>
      <w:r w:rsidRPr="00972D9D">
        <w:rPr>
          <w:rFonts w:ascii="Verdana" w:eastAsia="Calibri" w:hAnsi="Verdana" w:cs="Times New Roman"/>
          <w:sz w:val="20"/>
          <w:szCs w:val="20"/>
          <w:lang w:val="es-ES_tradnl"/>
        </w:rPr>
        <w:lastRenderedPageBreak/>
        <w:t>que en su lugar debieron “[…] haber accionado contra el Estado nacional por los daños y perjuicios ocasionados durante su detención ilegal</w:t>
      </w:r>
      <w:r w:rsidR="001B0B8B">
        <w:rPr>
          <w:rFonts w:ascii="Verdana" w:eastAsia="Calibri" w:hAnsi="Verdana" w:cs="Times New Roman"/>
          <w:sz w:val="20"/>
          <w:szCs w:val="20"/>
          <w:lang w:val="es-ES_tradnl"/>
        </w:rPr>
        <w:t xml:space="preserve"> […]</w:t>
      </w:r>
      <w:r w:rsidRPr="00972D9D">
        <w:rPr>
          <w:rFonts w:ascii="Verdana" w:eastAsia="Calibri" w:hAnsi="Verdana" w:cs="Times New Roman"/>
          <w:sz w:val="20"/>
          <w:szCs w:val="20"/>
          <w:lang w:val="es-ES_tradnl"/>
        </w:rPr>
        <w:t>”. En este sentido, la acción idónea era, la acción civil de responsabilidad extracontractual por daños y perjuicios. Según los artículos 33, 43, 1068, 1072, 1077, 1084 del Código Civil Argentino, el Estado Nacional es una persona jurídica de carácter público y como tal debe responder por los daños y perjuicios que ocasione, estos pueden provenir de delitos y su comisión genera una obligación de reparar los daños y perjuicios ocasionados</w:t>
      </w:r>
      <w:r w:rsidRPr="00F46AC0">
        <w:rPr>
          <w:rFonts w:ascii="Verdana" w:eastAsia="Calibri" w:hAnsi="Verdana" w:cs="Times New Roman"/>
          <w:sz w:val="20"/>
          <w:szCs w:val="20"/>
          <w:lang w:val="es-ES_tradnl"/>
        </w:rPr>
        <w:t>.</w:t>
      </w:r>
      <w:r w:rsidR="0097754C" w:rsidRPr="00972D9D">
        <w:rPr>
          <w:rFonts w:ascii="Verdana" w:eastAsia="Calibri" w:hAnsi="Verdana" w:cs="Times New Roman"/>
          <w:b/>
          <w:sz w:val="20"/>
          <w:szCs w:val="20"/>
          <w:lang w:val="es-ES_tradnl"/>
        </w:rPr>
        <w:t xml:space="preserve"> </w:t>
      </w:r>
      <w:r w:rsidR="0097754C" w:rsidRPr="00972D9D">
        <w:rPr>
          <w:rFonts w:ascii="Verdana" w:eastAsia="Calibri" w:hAnsi="Verdana" w:cs="Times New Roman"/>
          <w:sz w:val="20"/>
          <w:szCs w:val="20"/>
          <w:lang w:val="es-ES_tradnl"/>
        </w:rPr>
        <w:t>El Estado señaló que</w:t>
      </w:r>
      <w:r w:rsidRPr="00972D9D">
        <w:rPr>
          <w:rFonts w:ascii="Verdana" w:eastAsia="Calibri" w:hAnsi="Verdana" w:cs="Times New Roman"/>
          <w:sz w:val="20"/>
          <w:szCs w:val="20"/>
          <w:lang w:val="es-ES_tradnl"/>
        </w:rPr>
        <w:t xml:space="preserve"> </w:t>
      </w:r>
      <w:r w:rsidR="0097754C" w:rsidRPr="00972D9D">
        <w:rPr>
          <w:rFonts w:ascii="Verdana" w:eastAsia="Calibri" w:hAnsi="Verdana" w:cs="Times New Roman"/>
          <w:sz w:val="20"/>
          <w:szCs w:val="20"/>
          <w:lang w:val="es-ES_tradnl"/>
        </w:rPr>
        <w:t>l</w:t>
      </w:r>
      <w:r w:rsidRPr="00972D9D">
        <w:rPr>
          <w:rFonts w:ascii="Verdana" w:eastAsia="Calibri" w:hAnsi="Verdana" w:cs="Times New Roman"/>
          <w:sz w:val="20"/>
          <w:szCs w:val="20"/>
          <w:lang w:val="es-ES_tradnl"/>
        </w:rPr>
        <w:t>a procedencia de dicha acción es demostrada</w:t>
      </w:r>
      <w:r w:rsidR="0097754C" w:rsidRPr="00972D9D">
        <w:rPr>
          <w:rFonts w:ascii="Verdana" w:eastAsia="Calibri" w:hAnsi="Verdana" w:cs="Times New Roman"/>
          <w:sz w:val="20"/>
          <w:szCs w:val="20"/>
          <w:lang w:val="es-ES_tradnl"/>
        </w:rPr>
        <w:t xml:space="preserve"> </w:t>
      </w:r>
      <w:r w:rsidRPr="00972D9D">
        <w:rPr>
          <w:rFonts w:ascii="Verdana" w:eastAsia="Calibri" w:hAnsi="Verdana" w:cs="Times New Roman"/>
          <w:sz w:val="20"/>
          <w:szCs w:val="20"/>
          <w:lang w:val="es-ES_tradnl"/>
        </w:rPr>
        <w:t>por la extensa historia de acciones civiles interpuestas contra el Estado por hechos ocurridos durante la dictadura militar</w:t>
      </w:r>
      <w:r w:rsidRPr="00F46AC0">
        <w:rPr>
          <w:rFonts w:ascii="Verdana" w:eastAsia="Calibri" w:hAnsi="Verdana" w:cs="Times New Roman"/>
          <w:sz w:val="20"/>
          <w:szCs w:val="20"/>
          <w:lang w:val="es-ES_tradnl"/>
        </w:rPr>
        <w:t xml:space="preserve">. </w:t>
      </w:r>
    </w:p>
    <w:p w14:paraId="50BE3CA7" w14:textId="6C07B350" w:rsidR="001C05D8" w:rsidRPr="00972D9D" w:rsidRDefault="001C05D8"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eastAsia="Calibri" w:hAnsi="Verdana" w:cs="Times New Roman"/>
          <w:sz w:val="20"/>
          <w:szCs w:val="20"/>
          <w:lang w:val="es-ES_tradnl"/>
        </w:rPr>
      </w:pPr>
      <w:r w:rsidRPr="00972D9D">
        <w:rPr>
          <w:rFonts w:ascii="Verdana" w:eastAsia="Calibri" w:hAnsi="Verdana" w:cs="Times New Roman"/>
          <w:sz w:val="20"/>
          <w:szCs w:val="20"/>
          <w:lang w:val="es-ES_tradnl"/>
        </w:rPr>
        <w:t xml:space="preserve">Por último, el Estado señaló que si bien las presuntas víctimas sostuvieron que el hecho de no haber percibido sus salarios a partir de la detención ilegal constituye una violación derivada de la relación </w:t>
      </w:r>
      <w:r w:rsidR="00883F51" w:rsidRPr="00972D9D">
        <w:rPr>
          <w:rFonts w:ascii="Verdana" w:eastAsia="Calibri" w:hAnsi="Verdana" w:cs="Times New Roman"/>
          <w:sz w:val="20"/>
          <w:szCs w:val="20"/>
          <w:lang w:val="es-ES_tradnl"/>
        </w:rPr>
        <w:t xml:space="preserve">de </w:t>
      </w:r>
      <w:r w:rsidRPr="00972D9D">
        <w:rPr>
          <w:rFonts w:ascii="Verdana" w:eastAsia="Calibri" w:hAnsi="Verdana" w:cs="Times New Roman"/>
          <w:sz w:val="20"/>
          <w:szCs w:val="20"/>
          <w:lang w:val="es-ES_tradnl"/>
        </w:rPr>
        <w:t xml:space="preserve">empleo público, </w:t>
      </w:r>
      <w:r w:rsidR="00687FF0">
        <w:rPr>
          <w:rFonts w:ascii="Verdana" w:eastAsia="Calibri" w:hAnsi="Verdana" w:cs="Times New Roman"/>
          <w:sz w:val="20"/>
          <w:szCs w:val="20"/>
          <w:lang w:val="es-ES_tradnl"/>
        </w:rPr>
        <w:t xml:space="preserve">el representante </w:t>
      </w:r>
      <w:r w:rsidRPr="00972D9D">
        <w:rPr>
          <w:rFonts w:ascii="Verdana" w:eastAsia="Calibri" w:hAnsi="Verdana" w:cs="Times New Roman"/>
          <w:sz w:val="20"/>
          <w:szCs w:val="20"/>
          <w:lang w:val="es-ES_tradnl"/>
        </w:rPr>
        <w:t>nunca demostr</w:t>
      </w:r>
      <w:r w:rsidR="00687FF0">
        <w:rPr>
          <w:rFonts w:ascii="Verdana" w:eastAsia="Calibri" w:hAnsi="Verdana" w:cs="Times New Roman"/>
          <w:sz w:val="20"/>
          <w:szCs w:val="20"/>
          <w:lang w:val="es-ES_tradnl"/>
        </w:rPr>
        <w:t>ó</w:t>
      </w:r>
      <w:r w:rsidRPr="00972D9D">
        <w:rPr>
          <w:rFonts w:ascii="Verdana" w:eastAsia="Calibri" w:hAnsi="Verdana" w:cs="Times New Roman"/>
          <w:sz w:val="20"/>
          <w:szCs w:val="20"/>
          <w:lang w:val="es-ES_tradnl"/>
        </w:rPr>
        <w:t xml:space="preserve"> por qué dentro de los daños cubiertos por la indemnización obtenida a partir de la Ley </w:t>
      </w:r>
      <w:r w:rsidR="00B96B3B" w:rsidRPr="00972D9D">
        <w:rPr>
          <w:rFonts w:ascii="Verdana" w:eastAsia="Calibri" w:hAnsi="Verdana" w:cs="Times New Roman"/>
          <w:sz w:val="20"/>
          <w:szCs w:val="20"/>
          <w:lang w:val="es-ES_tradnl"/>
        </w:rPr>
        <w:t xml:space="preserve">No. </w:t>
      </w:r>
      <w:r w:rsidRPr="00972D9D">
        <w:rPr>
          <w:rFonts w:ascii="Verdana" w:eastAsia="Calibri" w:hAnsi="Verdana" w:cs="Times New Roman"/>
          <w:sz w:val="20"/>
          <w:szCs w:val="20"/>
          <w:lang w:val="es-ES_tradnl"/>
        </w:rPr>
        <w:t xml:space="preserve">24.043 no estaba incluido en el rubro de lucro cesante los haberes dejados de percibir, siendo que el “[…] no haber recibido los haberes a partir de la detención constituye claramente un daño de carácter patrimonial cuyo origen se encuentra en una detención ilegal producto de la actividad ilegítima del Estado […]”, acciones que ya habrían sido reparadas por medio del beneficio otorgado por la Ley 24.043 al cual se acogieron las presuntas víctimas. </w:t>
      </w:r>
    </w:p>
    <w:p w14:paraId="50BE3CA8" w14:textId="227ECEE7" w:rsidR="001C05D8" w:rsidRPr="00972D9D" w:rsidRDefault="001C05D8"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eastAsia="Calibri" w:hAnsi="Verdana" w:cs="Times New Roman"/>
          <w:sz w:val="20"/>
          <w:szCs w:val="20"/>
          <w:lang w:val="es-ES_tradnl"/>
        </w:rPr>
      </w:pPr>
      <w:r w:rsidRPr="00972D9D">
        <w:rPr>
          <w:rFonts w:ascii="Verdana" w:eastAsia="Calibri" w:hAnsi="Verdana" w:cs="Times New Roman"/>
          <w:sz w:val="20"/>
          <w:szCs w:val="20"/>
          <w:lang w:val="es-ES_tradnl"/>
        </w:rPr>
        <w:t xml:space="preserve">La </w:t>
      </w:r>
      <w:r w:rsidRPr="00972D9D">
        <w:rPr>
          <w:rFonts w:ascii="Verdana" w:eastAsia="Calibri" w:hAnsi="Verdana" w:cs="Times New Roman"/>
          <w:b/>
          <w:i/>
          <w:sz w:val="20"/>
          <w:szCs w:val="20"/>
          <w:lang w:val="es-ES_tradnl"/>
        </w:rPr>
        <w:t>Comisión</w:t>
      </w:r>
      <w:r w:rsidRPr="00972D9D">
        <w:rPr>
          <w:rFonts w:ascii="Verdana" w:eastAsia="Calibri" w:hAnsi="Verdana" w:cs="Times New Roman"/>
          <w:sz w:val="20"/>
          <w:szCs w:val="20"/>
          <w:lang w:val="es-ES_tradnl"/>
        </w:rPr>
        <w:t xml:space="preserve"> sostuvo que el argumento del Estado ya había sido presentado y desechado en la etapa de admisibilidad ante la Comisión por considerar que, las vías administrativa y contencioso administrativa habían sido agotadas, y que para el objeto procesal de las </w:t>
      </w:r>
      <w:r w:rsidR="00CF374A" w:rsidRPr="00972D9D">
        <w:rPr>
          <w:rFonts w:ascii="Verdana" w:eastAsia="Calibri" w:hAnsi="Verdana" w:cs="Times New Roman"/>
          <w:sz w:val="20"/>
          <w:szCs w:val="20"/>
          <w:lang w:val="es-ES_tradnl"/>
        </w:rPr>
        <w:t>presuntas</w:t>
      </w:r>
      <w:r w:rsidR="0097754C" w:rsidRPr="00972D9D">
        <w:rPr>
          <w:rFonts w:ascii="Verdana" w:eastAsia="Calibri" w:hAnsi="Verdana" w:cs="Times New Roman"/>
          <w:sz w:val="20"/>
          <w:szCs w:val="20"/>
          <w:lang w:val="es-ES_tradnl"/>
        </w:rPr>
        <w:t xml:space="preserve"> </w:t>
      </w:r>
      <w:r w:rsidRPr="00972D9D">
        <w:rPr>
          <w:rFonts w:ascii="Verdana" w:eastAsia="Calibri" w:hAnsi="Verdana" w:cs="Times New Roman"/>
          <w:sz w:val="20"/>
          <w:szCs w:val="20"/>
          <w:lang w:val="es-ES_tradnl"/>
        </w:rPr>
        <w:t>víctimas, que era solicitar la responsabilidad de</w:t>
      </w:r>
      <w:r w:rsidR="00883F51" w:rsidRPr="00972D9D">
        <w:rPr>
          <w:rFonts w:ascii="Verdana" w:eastAsia="Calibri" w:hAnsi="Verdana" w:cs="Times New Roman"/>
          <w:sz w:val="20"/>
          <w:szCs w:val="20"/>
          <w:lang w:val="es-ES_tradnl"/>
        </w:rPr>
        <w:t>l</w:t>
      </w:r>
      <w:r w:rsidRPr="00972D9D">
        <w:rPr>
          <w:rFonts w:ascii="Verdana" w:eastAsia="Calibri" w:hAnsi="Verdana" w:cs="Times New Roman"/>
          <w:sz w:val="20"/>
          <w:szCs w:val="20"/>
          <w:lang w:val="es-ES_tradnl"/>
        </w:rPr>
        <w:t xml:space="preserve"> Estado por el no pago de haberes salariales durante la detención, las acciones iniciadas eran adecuadas e idóneas. Igualmente, sostuvo que la violación al plazo razonable, determinada como tal en su Informe de Fondo, desdice la excepción propuesta por el Estado. Pues si los recursos interpuestos por las </w:t>
      </w:r>
      <w:r w:rsidR="00B96B3B" w:rsidRPr="00972D9D">
        <w:rPr>
          <w:rFonts w:ascii="Verdana" w:eastAsia="Calibri" w:hAnsi="Verdana" w:cs="Times New Roman"/>
          <w:sz w:val="20"/>
          <w:szCs w:val="20"/>
          <w:lang w:val="es-ES_tradnl"/>
        </w:rPr>
        <w:t xml:space="preserve">presuntas </w:t>
      </w:r>
      <w:r w:rsidRPr="00972D9D">
        <w:rPr>
          <w:rFonts w:ascii="Verdana" w:eastAsia="Calibri" w:hAnsi="Verdana" w:cs="Times New Roman"/>
          <w:sz w:val="20"/>
          <w:szCs w:val="20"/>
          <w:lang w:val="es-ES_tradnl"/>
        </w:rPr>
        <w:t>v</w:t>
      </w:r>
      <w:r w:rsidR="00B96B3B" w:rsidRPr="00972D9D">
        <w:rPr>
          <w:rFonts w:ascii="Verdana" w:eastAsia="Calibri" w:hAnsi="Verdana" w:cs="Times New Roman"/>
          <w:sz w:val="20"/>
          <w:szCs w:val="20"/>
          <w:lang w:val="es-ES_tradnl"/>
        </w:rPr>
        <w:t>í</w:t>
      </w:r>
      <w:r w:rsidRPr="00972D9D">
        <w:rPr>
          <w:rFonts w:ascii="Verdana" w:eastAsia="Calibri" w:hAnsi="Verdana" w:cs="Times New Roman"/>
          <w:sz w:val="20"/>
          <w:szCs w:val="20"/>
          <w:lang w:val="es-ES_tradnl"/>
        </w:rPr>
        <w:t xml:space="preserve">ctimas fueran inadecuados o no idóneos habrían sido desechados por su evidente improcedencia, y por el contrario los procesos continuaron y se emitieron en ellos decisiones de fondo en procesos que duraron más de 12 años en conjunto. </w:t>
      </w:r>
    </w:p>
    <w:p w14:paraId="50BE3CA9" w14:textId="6925C646" w:rsidR="001C05D8" w:rsidRPr="00972D9D" w:rsidRDefault="001C05D8"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eastAsia="Calibri" w:hAnsi="Verdana" w:cs="Times New Roman"/>
          <w:sz w:val="20"/>
          <w:szCs w:val="20"/>
          <w:lang w:val="es-ES_tradnl"/>
        </w:rPr>
      </w:pPr>
      <w:r w:rsidRPr="00972D9D">
        <w:rPr>
          <w:rFonts w:ascii="Verdana" w:eastAsia="Calibri" w:hAnsi="Verdana" w:cs="Times New Roman"/>
          <w:sz w:val="20"/>
          <w:szCs w:val="20"/>
          <w:lang w:val="es-ES_tradnl"/>
        </w:rPr>
        <w:t xml:space="preserve">Adicionalmente, la Comisión en sus observaciones finales agregó que “[…] </w:t>
      </w:r>
      <w:r w:rsidRPr="00972D9D">
        <w:rPr>
          <w:rFonts w:ascii="Verdana" w:eastAsiaTheme="minorHAnsi" w:hAnsi="Verdana" w:cs="Cambria"/>
          <w:sz w:val="20"/>
          <w:szCs w:val="20"/>
          <w:lang w:val="es-CR"/>
        </w:rPr>
        <w:t>aun aceptando subsidiariamente la idoneidad de la acción de daños y perjuicios contra la Nación, no es razonable exigir el agotamiento de múltiples vías posiblemente idóneas cuando el Estado ya contó con la oportunidad de resolver la cuestión a nivel interno.” Al mismo tiempo que solicitó que cualquier extensión a la excepción preliminar, en los términos en los que fue interpuesta, debe ser rechazado por extemporáneo. Por último,</w:t>
      </w:r>
      <w:r w:rsidRPr="00972D9D">
        <w:rPr>
          <w:rFonts w:ascii="Verdana" w:eastAsiaTheme="minorHAnsi" w:hAnsi="Verdana" w:cs="Cambria"/>
          <w:b/>
          <w:sz w:val="20"/>
          <w:szCs w:val="20"/>
          <w:lang w:val="es-CR"/>
        </w:rPr>
        <w:t xml:space="preserve"> </w:t>
      </w:r>
      <w:r w:rsidRPr="00972D9D">
        <w:rPr>
          <w:rFonts w:ascii="Verdana" w:eastAsiaTheme="minorHAnsi" w:hAnsi="Verdana" w:cs="Cambria"/>
          <w:sz w:val="20"/>
          <w:szCs w:val="20"/>
          <w:lang w:val="es-CR"/>
        </w:rPr>
        <w:t xml:space="preserve">reiteró que el presente caso se centró en determinar si los procedimientos administrativos y judiciales interpuestos por las presuntas víctimas, respetaron los derechos a las garantías judiciales y protección judicial. Esto sin entrar a conocer si les asistía razón en cuanto a los reclamos por haberes dejados de percibir o la suficiencia o no de la indemnización recibida por medio de la Ley 24.043. </w:t>
      </w:r>
    </w:p>
    <w:p w14:paraId="50BE3CAA" w14:textId="14C17D3A" w:rsidR="001C05D8" w:rsidRPr="00972D9D" w:rsidRDefault="001C05D8"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eastAsia="Calibri" w:hAnsi="Verdana" w:cs="Times New Roman"/>
          <w:sz w:val="20"/>
          <w:szCs w:val="20"/>
          <w:lang w:val="es-ES_tradnl"/>
        </w:rPr>
      </w:pPr>
      <w:r w:rsidRPr="00972D9D">
        <w:rPr>
          <w:rFonts w:ascii="Verdana" w:eastAsia="Calibri" w:hAnsi="Verdana" w:cs="Times New Roman"/>
          <w:sz w:val="20"/>
          <w:szCs w:val="20"/>
          <w:lang w:val="es-ES_tradnl"/>
        </w:rPr>
        <w:t xml:space="preserve">Por su parte, el </w:t>
      </w:r>
      <w:r w:rsidRPr="00972D9D">
        <w:rPr>
          <w:rFonts w:ascii="Verdana" w:eastAsia="Calibri" w:hAnsi="Verdana" w:cs="Times New Roman"/>
          <w:b/>
          <w:i/>
          <w:sz w:val="20"/>
          <w:szCs w:val="20"/>
          <w:lang w:val="es-ES_tradnl"/>
        </w:rPr>
        <w:t>representante</w:t>
      </w:r>
      <w:r w:rsidRPr="00972D9D">
        <w:rPr>
          <w:rFonts w:ascii="Verdana" w:eastAsia="Calibri" w:hAnsi="Verdana" w:cs="Times New Roman"/>
          <w:i/>
          <w:sz w:val="20"/>
          <w:szCs w:val="20"/>
          <w:lang w:val="es-ES_tradnl"/>
        </w:rPr>
        <w:t xml:space="preserve"> </w:t>
      </w:r>
      <w:r w:rsidRPr="00972D9D">
        <w:rPr>
          <w:rFonts w:ascii="Verdana" w:eastAsia="Calibri" w:hAnsi="Verdana" w:cs="Times New Roman"/>
          <w:sz w:val="20"/>
          <w:szCs w:val="20"/>
          <w:lang w:val="es-ES_tradnl"/>
        </w:rPr>
        <w:t>señaló que al momento de interponer la acción judicial</w:t>
      </w:r>
      <w:r w:rsidR="00CF374A" w:rsidRPr="00972D9D">
        <w:rPr>
          <w:rFonts w:ascii="Verdana" w:eastAsia="Calibri" w:hAnsi="Verdana" w:cs="Times New Roman"/>
          <w:sz w:val="20"/>
          <w:szCs w:val="20"/>
          <w:lang w:val="es-ES_tradnl"/>
        </w:rPr>
        <w:t>,</w:t>
      </w:r>
      <w:r w:rsidRPr="00972D9D">
        <w:rPr>
          <w:rFonts w:ascii="Verdana" w:eastAsia="Calibri" w:hAnsi="Verdana" w:cs="Times New Roman"/>
          <w:sz w:val="20"/>
          <w:szCs w:val="20"/>
          <w:lang w:val="es-ES_tradnl"/>
        </w:rPr>
        <w:t xml:space="preserve"> las </w:t>
      </w:r>
      <w:r w:rsidR="00C27C71" w:rsidRPr="00972D9D">
        <w:rPr>
          <w:rFonts w:ascii="Verdana" w:eastAsia="Calibri" w:hAnsi="Verdana" w:cs="Times New Roman"/>
          <w:sz w:val="20"/>
          <w:szCs w:val="20"/>
          <w:lang w:val="es-ES_tradnl"/>
        </w:rPr>
        <w:t xml:space="preserve">presuntas </w:t>
      </w:r>
      <w:r w:rsidRPr="00972D9D">
        <w:rPr>
          <w:rFonts w:ascii="Verdana" w:eastAsia="Calibri" w:hAnsi="Verdana" w:cs="Times New Roman"/>
          <w:sz w:val="20"/>
          <w:szCs w:val="20"/>
          <w:lang w:val="es-ES_tradnl"/>
        </w:rPr>
        <w:t>víctimas se encontraban ante un panorama jurídico incierto, pues si bien en aquel momento se presentaban múltiples acciones de responsabilidad estatal por las violaciones de derechos humanos ocurridas durante la dictadura, los resultados de las mismas eran imprevisibles “estando en tal momento, generalizado el criterio que declaraba prescri</w:t>
      </w:r>
      <w:r w:rsidR="001B0B8B">
        <w:rPr>
          <w:rFonts w:ascii="Verdana" w:eastAsia="Calibri" w:hAnsi="Verdana" w:cs="Times New Roman"/>
          <w:sz w:val="20"/>
          <w:szCs w:val="20"/>
          <w:lang w:val="es-ES_tradnl"/>
        </w:rPr>
        <w:t>p</w:t>
      </w:r>
      <w:r w:rsidRPr="00972D9D">
        <w:rPr>
          <w:rFonts w:ascii="Verdana" w:eastAsia="Calibri" w:hAnsi="Verdana" w:cs="Times New Roman"/>
          <w:sz w:val="20"/>
          <w:szCs w:val="20"/>
          <w:lang w:val="es-ES_tradnl"/>
        </w:rPr>
        <w:t xml:space="preserve">to el reclamo”. Por todo ello, decidieron no reclamar los daños sufridos durante su detención, pero sí reclamar el pago de los haberes salariales y beneficios económicos dejados de percibir, tratándose de cualquier manera de dos vías procesales diferentes, no excluyentes y que podrían haber sido iniciados de manera paralela. </w:t>
      </w:r>
    </w:p>
    <w:p w14:paraId="50BE3CAB" w14:textId="78434A31" w:rsidR="001C05D8" w:rsidRPr="00972D9D" w:rsidRDefault="001C05D8"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eastAsia="Calibri" w:hAnsi="Verdana" w:cs="Times New Roman"/>
          <w:sz w:val="20"/>
          <w:szCs w:val="20"/>
          <w:lang w:val="es-ES_tradnl"/>
        </w:rPr>
      </w:pPr>
      <w:r w:rsidRPr="00972D9D">
        <w:rPr>
          <w:rFonts w:ascii="Verdana" w:eastAsia="Times New Roman" w:hAnsi="Verdana" w:cs="Times New Roman"/>
          <w:sz w:val="20"/>
          <w:szCs w:val="20"/>
          <w:lang w:val="es-ES_tradnl"/>
        </w:rPr>
        <w:t xml:space="preserve">Además, </w:t>
      </w:r>
      <w:r w:rsidRPr="00972D9D">
        <w:rPr>
          <w:rFonts w:ascii="Verdana" w:eastAsia="Times New Roman" w:hAnsi="Verdana" w:cs="Times New Roman"/>
          <w:sz w:val="20"/>
          <w:szCs w:val="20"/>
          <w:lang w:val="es-ES"/>
        </w:rPr>
        <w:t xml:space="preserve">agregó </w:t>
      </w:r>
      <w:r w:rsidRPr="00972D9D">
        <w:rPr>
          <w:rFonts w:ascii="Verdana" w:eastAsia="SimSun" w:hAnsi="Verdana" w:cs="Arial"/>
          <w:sz w:val="20"/>
          <w:szCs w:val="20"/>
          <w:lang w:val="es-CR" w:eastAsia="es-CR"/>
        </w:rPr>
        <w:t xml:space="preserve">que son las presuntas víctimas y no el Estado quienes deben elegir el tipo y naturaleza de la acción que estimen procedente para hacer valer sus derechos reconocidos constitucional y convencionalmente. </w:t>
      </w:r>
      <w:r w:rsidR="001B0B8B">
        <w:rPr>
          <w:rFonts w:ascii="Verdana" w:eastAsia="SimSun" w:hAnsi="Verdana" w:cs="Arial"/>
          <w:sz w:val="20"/>
          <w:szCs w:val="20"/>
          <w:lang w:val="es-CR" w:eastAsia="es-CR"/>
        </w:rPr>
        <w:t xml:space="preserve">Asimismo, </w:t>
      </w:r>
      <w:r w:rsidR="001B0B8B">
        <w:rPr>
          <w:rFonts w:ascii="Verdana" w:eastAsia="Calibri" w:hAnsi="Verdana" w:cs="Times New Roman"/>
          <w:sz w:val="20"/>
          <w:szCs w:val="20"/>
          <w:lang w:val="es-ES_tradnl"/>
        </w:rPr>
        <w:t>i</w:t>
      </w:r>
      <w:r w:rsidRPr="00972D9D">
        <w:rPr>
          <w:rFonts w:ascii="Verdana" w:eastAsia="Calibri" w:hAnsi="Verdana" w:cs="Times New Roman"/>
          <w:sz w:val="20"/>
          <w:szCs w:val="20"/>
          <w:lang w:val="es-ES_tradnl"/>
        </w:rPr>
        <w:t>nsistió en que el debate sobre la excepción propuesta concluyó ante la Comisión</w:t>
      </w:r>
      <w:r w:rsidR="002D34FD">
        <w:rPr>
          <w:rFonts w:ascii="Verdana" w:eastAsia="Calibri" w:hAnsi="Verdana" w:cs="Times New Roman"/>
          <w:sz w:val="20"/>
          <w:szCs w:val="20"/>
          <w:lang w:val="es-ES_tradnl"/>
        </w:rPr>
        <w:t>.</w:t>
      </w:r>
      <w:r w:rsidRPr="00972D9D">
        <w:rPr>
          <w:rFonts w:ascii="Verdana" w:eastAsia="Calibri" w:hAnsi="Verdana" w:cs="Times New Roman"/>
          <w:sz w:val="20"/>
          <w:szCs w:val="20"/>
          <w:lang w:val="es-ES_tradnl"/>
        </w:rPr>
        <w:t xml:space="preserve"> </w:t>
      </w:r>
      <w:r w:rsidR="002D34FD">
        <w:rPr>
          <w:rFonts w:ascii="Verdana" w:eastAsia="Calibri" w:hAnsi="Verdana" w:cs="Times New Roman"/>
          <w:sz w:val="20"/>
          <w:szCs w:val="20"/>
          <w:lang w:val="es-ES_tradnl"/>
        </w:rPr>
        <w:t>P</w:t>
      </w:r>
      <w:r w:rsidRPr="00972D9D">
        <w:rPr>
          <w:rFonts w:ascii="Verdana" w:eastAsia="Calibri" w:hAnsi="Verdana" w:cs="Times New Roman"/>
          <w:sz w:val="20"/>
          <w:szCs w:val="20"/>
          <w:lang w:val="es-ES_tradnl"/>
        </w:rPr>
        <w:t xml:space="preserve">or tanto </w:t>
      </w:r>
      <w:r w:rsidR="00B96B3B" w:rsidRPr="00972D9D">
        <w:rPr>
          <w:rFonts w:ascii="Verdana" w:eastAsia="Calibri" w:hAnsi="Verdana" w:cs="Times New Roman"/>
          <w:sz w:val="20"/>
          <w:szCs w:val="20"/>
          <w:lang w:val="es-ES_tradnl"/>
        </w:rPr>
        <w:t>solicit</w:t>
      </w:r>
      <w:r w:rsidR="003D58B2">
        <w:rPr>
          <w:rFonts w:ascii="Verdana" w:eastAsia="Calibri" w:hAnsi="Verdana" w:cs="Times New Roman"/>
          <w:sz w:val="20"/>
          <w:szCs w:val="20"/>
          <w:lang w:val="es-ES_tradnl"/>
        </w:rPr>
        <w:t>ó</w:t>
      </w:r>
      <w:r w:rsidR="00B96B3B" w:rsidRPr="00972D9D">
        <w:rPr>
          <w:rFonts w:ascii="Verdana" w:eastAsia="Calibri" w:hAnsi="Verdana" w:cs="Times New Roman"/>
          <w:sz w:val="20"/>
          <w:szCs w:val="20"/>
          <w:lang w:val="es-ES_tradnl"/>
        </w:rPr>
        <w:t xml:space="preserve"> </w:t>
      </w:r>
      <w:r w:rsidRPr="00972D9D">
        <w:rPr>
          <w:rFonts w:ascii="Verdana" w:eastAsia="Calibri" w:hAnsi="Verdana" w:cs="Times New Roman"/>
          <w:sz w:val="20"/>
          <w:szCs w:val="20"/>
          <w:lang w:val="es-ES_tradnl"/>
        </w:rPr>
        <w:t>que se declare improcedente y extemporánea la excepción.</w:t>
      </w:r>
    </w:p>
    <w:p w14:paraId="50BE3CAD" w14:textId="77777777" w:rsidR="001C05D8" w:rsidRPr="00972D9D" w:rsidRDefault="001C05D8" w:rsidP="00972D9D">
      <w:pPr>
        <w:pStyle w:val="Ttulo3"/>
        <w:numPr>
          <w:ilvl w:val="0"/>
          <w:numId w:val="35"/>
        </w:numPr>
        <w:tabs>
          <w:tab w:val="clear" w:pos="1276"/>
          <w:tab w:val="left" w:pos="851"/>
        </w:tabs>
        <w:spacing w:before="120" w:after="120"/>
        <w:ind w:left="1134" w:hanging="141"/>
        <w:rPr>
          <w:b w:val="0"/>
          <w:lang w:val="es-ES_tradnl"/>
        </w:rPr>
      </w:pPr>
      <w:bookmarkStart w:id="19" w:name="_Toc20755714"/>
      <w:r w:rsidRPr="00972D9D">
        <w:rPr>
          <w:b w:val="0"/>
          <w:lang w:val="es-ES_tradnl"/>
        </w:rPr>
        <w:t>Consideraciones de la Corte</w:t>
      </w:r>
      <w:bookmarkEnd w:id="19"/>
    </w:p>
    <w:p w14:paraId="50BE3CAE" w14:textId="26DE7F17" w:rsidR="001C05D8" w:rsidRPr="00972D9D" w:rsidRDefault="001C05D8"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eastAsia="Times New Roman" w:hAnsi="Verdana" w:cs="Times New Roman"/>
          <w:sz w:val="20"/>
          <w:szCs w:val="20"/>
          <w:lang w:val="es-ES"/>
        </w:rPr>
      </w:pPr>
      <w:r w:rsidRPr="00972D9D">
        <w:rPr>
          <w:rFonts w:ascii="Verdana" w:eastAsia="Calibri" w:hAnsi="Verdana" w:cs="Times New Roman"/>
          <w:sz w:val="20"/>
          <w:szCs w:val="20"/>
          <w:lang w:val="es-ES_tradnl"/>
        </w:rPr>
        <w:lastRenderedPageBreak/>
        <w:t xml:space="preserve">La </w:t>
      </w:r>
      <w:r w:rsidRPr="00972D9D">
        <w:rPr>
          <w:rFonts w:ascii="Verdana" w:eastAsia="Calibri" w:hAnsi="Verdana" w:cs="Times New Roman"/>
          <w:b/>
          <w:i/>
          <w:sz w:val="20"/>
          <w:szCs w:val="20"/>
          <w:lang w:val="es-ES_tradnl"/>
        </w:rPr>
        <w:t>Corte</w:t>
      </w:r>
      <w:r w:rsidRPr="00972D9D">
        <w:rPr>
          <w:rFonts w:ascii="Verdana" w:eastAsia="Calibri" w:hAnsi="Verdana" w:cs="Times New Roman"/>
          <w:sz w:val="20"/>
          <w:szCs w:val="20"/>
          <w:lang w:val="es-ES_tradnl"/>
        </w:rPr>
        <w:t xml:space="preserve"> ha señalado que </w:t>
      </w:r>
      <w:r w:rsidR="0083239C" w:rsidRPr="00972D9D">
        <w:rPr>
          <w:rFonts w:ascii="Verdana" w:eastAsia="Calibri" w:hAnsi="Verdana" w:cs="Times New Roman"/>
          <w:sz w:val="20"/>
          <w:szCs w:val="20"/>
          <w:lang w:val="es-ES_tradnl"/>
        </w:rPr>
        <w:t xml:space="preserve">según </w:t>
      </w:r>
      <w:r w:rsidRPr="00972D9D">
        <w:rPr>
          <w:rFonts w:ascii="Verdana" w:eastAsia="Calibri" w:hAnsi="Verdana" w:cs="Times New Roman"/>
          <w:sz w:val="20"/>
          <w:szCs w:val="20"/>
          <w:lang w:val="es-ES_tradnl"/>
        </w:rPr>
        <w:t xml:space="preserve">el artículo 46.1.a) de la Convención, para determinar la admisibilidad de una petición o comunicación presentada ante la Comisión, de conformidad con los artículos 44 o 45 de la Convención, es necesario que se hayan interpuesto y agotado los recursos de la jurisdicción interna, conforme a los principios del Derecho Internacional generalmente reconocidos, y </w:t>
      </w:r>
      <w:r w:rsidRPr="00972D9D">
        <w:rPr>
          <w:rFonts w:ascii="Verdana" w:eastAsia="Times New Roman" w:hAnsi="Verdana" w:cs="Times New Roman"/>
          <w:sz w:val="20"/>
          <w:szCs w:val="20"/>
          <w:lang w:val="es-ES"/>
        </w:rPr>
        <w:t xml:space="preserve">estos principios no se refieren sólo a la existencia formal de tales recursos, sino también a que éstos sean adecuados y efectivos, como resulta de las excepciones contempladas en el artículo 46.2. </w:t>
      </w:r>
      <w:r w:rsidRPr="00972D9D">
        <w:rPr>
          <w:rFonts w:ascii="Verdana" w:eastAsia="Calibri" w:hAnsi="Verdana" w:cs="Times New Roman"/>
          <w:sz w:val="20"/>
          <w:szCs w:val="20"/>
          <w:lang w:val="es-ES_tradnl"/>
        </w:rPr>
        <w:t>Además, que al alegar la falta de agotamiento de los recursos internos corresponde al Estado especificar cuáles recursos aún no se han agotado, y demostrar, en su caso, que se encontraban disponibles y eran adecuados, idóneos y efectivos</w:t>
      </w:r>
      <w:r w:rsidRPr="00972D9D">
        <w:rPr>
          <w:rFonts w:ascii="Verdana" w:hAnsi="Verdana"/>
          <w:sz w:val="20"/>
          <w:szCs w:val="20"/>
          <w:vertAlign w:val="superscript"/>
          <w:lang w:val="es-ES_tradnl"/>
        </w:rPr>
        <w:footnoteReference w:id="17"/>
      </w:r>
      <w:r w:rsidRPr="00972D9D">
        <w:rPr>
          <w:rFonts w:ascii="Verdana" w:eastAsia="Calibri" w:hAnsi="Verdana" w:cs="Times New Roman"/>
          <w:sz w:val="20"/>
          <w:szCs w:val="20"/>
          <w:lang w:val="es-ES_tradnl"/>
        </w:rPr>
        <w:t xml:space="preserve">.  </w:t>
      </w:r>
    </w:p>
    <w:p w14:paraId="50BE3CAF" w14:textId="32C1D078" w:rsidR="001C05D8" w:rsidRPr="00972D9D" w:rsidRDefault="001C05D8"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eastAsia="Times New Roman" w:hAnsi="Verdana" w:cs="Times New Roman"/>
          <w:sz w:val="20"/>
          <w:szCs w:val="20"/>
          <w:lang w:val="es-ES"/>
        </w:rPr>
      </w:pPr>
      <w:r w:rsidRPr="00972D9D">
        <w:rPr>
          <w:rFonts w:ascii="Verdana" w:eastAsia="Calibri" w:hAnsi="Verdana" w:cs="Times New Roman"/>
          <w:sz w:val="20"/>
          <w:szCs w:val="20"/>
        </w:rPr>
        <w:t>La Corte nota que el Estado mediante comunicación de 31 octubre de 1997 solicitó la inadmisibilidad de la petición ante la Comisión e interpuso la excepción de falta de agotamiento indicando que “</w:t>
      </w:r>
      <w:r w:rsidR="002D34FD">
        <w:rPr>
          <w:rFonts w:ascii="Verdana" w:eastAsia="Calibri" w:hAnsi="Verdana" w:cs="Times New Roman"/>
          <w:sz w:val="20"/>
          <w:szCs w:val="20"/>
        </w:rPr>
        <w:t xml:space="preserve">[…] </w:t>
      </w:r>
      <w:r w:rsidRPr="00972D9D">
        <w:rPr>
          <w:rFonts w:ascii="Verdana" w:eastAsia="Calibri" w:hAnsi="Verdana" w:cs="Times New Roman"/>
          <w:sz w:val="20"/>
          <w:szCs w:val="20"/>
        </w:rPr>
        <w:t xml:space="preserve">los peticionarios podrían haber accionado judicialmente en el país por la responsabilidad del </w:t>
      </w:r>
      <w:r w:rsidR="00CF374A" w:rsidRPr="00972D9D">
        <w:rPr>
          <w:rFonts w:ascii="Verdana" w:eastAsia="Calibri" w:hAnsi="Verdana" w:cs="Times New Roman"/>
          <w:sz w:val="20"/>
          <w:szCs w:val="20"/>
        </w:rPr>
        <w:t>E</w:t>
      </w:r>
      <w:r w:rsidRPr="00972D9D">
        <w:rPr>
          <w:rFonts w:ascii="Verdana" w:eastAsia="Calibri" w:hAnsi="Verdana" w:cs="Times New Roman"/>
          <w:sz w:val="20"/>
          <w:szCs w:val="20"/>
        </w:rPr>
        <w:t>stado Nacional por los daños y perjuicios que les ocasionaron las detenciones de las que fueron objeto […]”</w:t>
      </w:r>
      <w:r w:rsidR="0097754C" w:rsidRPr="00972D9D">
        <w:rPr>
          <w:rStyle w:val="Refdenotaalpie"/>
          <w:rFonts w:ascii="Verdana" w:eastAsia="Calibri" w:hAnsi="Verdana" w:cs="Times New Roman"/>
          <w:sz w:val="20"/>
          <w:szCs w:val="20"/>
        </w:rPr>
        <w:footnoteReference w:id="18"/>
      </w:r>
      <w:r w:rsidRPr="00972D9D">
        <w:rPr>
          <w:rFonts w:ascii="Verdana" w:eastAsia="Calibri" w:hAnsi="Verdana" w:cs="Times New Roman"/>
          <w:sz w:val="20"/>
          <w:szCs w:val="20"/>
        </w:rPr>
        <w:t>.</w:t>
      </w:r>
      <w:r w:rsidRPr="00972D9D">
        <w:rPr>
          <w:rFonts w:ascii="Verdana" w:eastAsia="Calibri" w:hAnsi="Verdana" w:cs="Times New Roman"/>
          <w:sz w:val="20"/>
          <w:szCs w:val="20"/>
          <w:lang w:val="es-ES_tradnl"/>
        </w:rPr>
        <w:t>En este sentido, no existe controversia sobre</w:t>
      </w:r>
      <w:r w:rsidR="003D58B2">
        <w:rPr>
          <w:rFonts w:ascii="Verdana" w:eastAsia="Calibri" w:hAnsi="Verdana" w:cs="Times New Roman"/>
          <w:sz w:val="20"/>
          <w:szCs w:val="20"/>
          <w:lang w:val="es-ES_tradnl"/>
        </w:rPr>
        <w:t xml:space="preserve"> que dicha excepción fue presentada en</w:t>
      </w:r>
      <w:r w:rsidRPr="00972D9D">
        <w:rPr>
          <w:rFonts w:ascii="Verdana" w:eastAsia="Calibri" w:hAnsi="Verdana" w:cs="Times New Roman"/>
          <w:sz w:val="20"/>
          <w:szCs w:val="20"/>
          <w:lang w:val="es-ES_tradnl"/>
        </w:rPr>
        <w:t xml:space="preserve"> el momento procesal oportuno. </w:t>
      </w:r>
    </w:p>
    <w:p w14:paraId="50BE3CB0" w14:textId="50674836" w:rsidR="001C05D8" w:rsidRPr="00972D9D" w:rsidRDefault="001C05D8"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eastAsia="Times New Roman" w:hAnsi="Verdana" w:cs="Times New Roman"/>
          <w:sz w:val="20"/>
          <w:szCs w:val="20"/>
          <w:lang w:val="es-ES"/>
        </w:rPr>
      </w:pPr>
      <w:r w:rsidRPr="00972D9D">
        <w:rPr>
          <w:rFonts w:ascii="Verdana" w:eastAsia="Calibri" w:hAnsi="Verdana" w:cs="Times New Roman"/>
          <w:sz w:val="20"/>
          <w:szCs w:val="20"/>
          <w:lang w:val="es-ES_tradnl"/>
        </w:rPr>
        <w:t xml:space="preserve">Por lo anteriormente mencionado, corresponde a la Corte determinar si el recurso interpuesto por las presuntas víctimas </w:t>
      </w:r>
      <w:r w:rsidR="0052180A" w:rsidRPr="00972D9D">
        <w:rPr>
          <w:rFonts w:ascii="Verdana" w:eastAsia="Calibri" w:hAnsi="Verdana" w:cs="Times New Roman"/>
          <w:sz w:val="20"/>
          <w:szCs w:val="20"/>
          <w:lang w:val="es-ES_tradnl"/>
        </w:rPr>
        <w:t xml:space="preserve">podría resultar </w:t>
      </w:r>
      <w:r w:rsidRPr="00972D9D">
        <w:rPr>
          <w:rFonts w:ascii="Verdana" w:eastAsia="Calibri" w:hAnsi="Verdana" w:cs="Times New Roman"/>
          <w:sz w:val="20"/>
          <w:szCs w:val="20"/>
          <w:lang w:val="es-ES_tradnl"/>
        </w:rPr>
        <w:t xml:space="preserve">adecuado y efectivo para la pretensión materia de la </w:t>
      </w:r>
      <w:r w:rsidRPr="00972D9D">
        <w:rPr>
          <w:rFonts w:ascii="Verdana" w:eastAsia="Calibri" w:hAnsi="Verdana" w:cs="Times New Roman"/>
          <w:i/>
          <w:sz w:val="20"/>
          <w:szCs w:val="20"/>
          <w:lang w:val="es-ES_tradnl"/>
        </w:rPr>
        <w:t>litis</w:t>
      </w:r>
      <w:r w:rsidRPr="00972D9D">
        <w:rPr>
          <w:rFonts w:ascii="Verdana" w:eastAsia="Calibri" w:hAnsi="Verdana" w:cs="Times New Roman"/>
          <w:sz w:val="20"/>
          <w:szCs w:val="20"/>
          <w:lang w:val="es-ES_tradnl"/>
        </w:rPr>
        <w:t>.</w:t>
      </w:r>
    </w:p>
    <w:p w14:paraId="50BE3CB2" w14:textId="2671D2AB" w:rsidR="001C05D8" w:rsidRPr="00972D9D" w:rsidRDefault="00B36C55"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eastAsia="Calibri" w:hAnsi="Verdana" w:cs="Times New Roman"/>
          <w:sz w:val="20"/>
          <w:szCs w:val="20"/>
        </w:rPr>
      </w:pPr>
      <w:r w:rsidRPr="00972D9D">
        <w:rPr>
          <w:rFonts w:ascii="Verdana" w:eastAsia="Calibri" w:hAnsi="Verdana" w:cs="Times New Roman"/>
          <w:sz w:val="20"/>
          <w:szCs w:val="20"/>
        </w:rPr>
        <w:t>Para solucionar este extremo, l</w:t>
      </w:r>
      <w:r w:rsidR="001C05D8" w:rsidRPr="00972D9D">
        <w:rPr>
          <w:rFonts w:ascii="Verdana" w:eastAsia="Calibri" w:hAnsi="Verdana" w:cs="Times New Roman"/>
          <w:sz w:val="20"/>
          <w:szCs w:val="20"/>
        </w:rPr>
        <w:t xml:space="preserve">a Corte </w:t>
      </w:r>
      <w:r w:rsidRPr="00972D9D">
        <w:rPr>
          <w:rFonts w:ascii="Verdana" w:eastAsia="Calibri" w:hAnsi="Verdana" w:cs="Times New Roman"/>
          <w:sz w:val="20"/>
          <w:szCs w:val="20"/>
        </w:rPr>
        <w:t xml:space="preserve">inicialmente </w:t>
      </w:r>
      <w:r w:rsidR="001C05D8" w:rsidRPr="00972D9D">
        <w:rPr>
          <w:rFonts w:ascii="Verdana" w:eastAsia="Calibri" w:hAnsi="Verdana" w:cs="Times New Roman"/>
          <w:sz w:val="20"/>
          <w:szCs w:val="20"/>
        </w:rPr>
        <w:t>recuerda que su reiterada jurisprudencia ha indicado que la adecuación de los recursos significa que la función de esos recursos, dentro del sistema de derecho interno, sea idónea para proteger la situación jurídica infringida</w:t>
      </w:r>
      <w:r w:rsidR="001C05D8" w:rsidRPr="00972D9D">
        <w:rPr>
          <w:rStyle w:val="Refdenotaalpie"/>
          <w:rFonts w:ascii="Verdana" w:eastAsia="Calibri" w:hAnsi="Verdana"/>
          <w:sz w:val="20"/>
          <w:szCs w:val="20"/>
        </w:rPr>
        <w:footnoteReference w:id="19"/>
      </w:r>
      <w:r w:rsidR="001C05D8" w:rsidRPr="00972D9D">
        <w:rPr>
          <w:rFonts w:ascii="Verdana" w:eastAsia="Calibri" w:hAnsi="Verdana" w:cs="Times New Roman"/>
          <w:sz w:val="20"/>
          <w:szCs w:val="20"/>
        </w:rPr>
        <w:t xml:space="preserve">. </w:t>
      </w:r>
    </w:p>
    <w:p w14:paraId="32A2376F" w14:textId="5AA9ECA9" w:rsidR="00A21928" w:rsidRPr="00972D9D" w:rsidRDefault="00DA5453"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eastAsia="Calibri" w:hAnsi="Verdana" w:cs="Times New Roman"/>
          <w:sz w:val="20"/>
          <w:szCs w:val="20"/>
        </w:rPr>
      </w:pPr>
      <w:r w:rsidRPr="00972D9D">
        <w:rPr>
          <w:rFonts w:ascii="Verdana" w:eastAsia="Calibri" w:hAnsi="Verdana" w:cs="Times New Roman"/>
          <w:sz w:val="20"/>
          <w:szCs w:val="20"/>
        </w:rPr>
        <w:t>L</w:t>
      </w:r>
      <w:r w:rsidR="001C05D8" w:rsidRPr="00972D9D">
        <w:rPr>
          <w:rFonts w:ascii="Verdana" w:eastAsia="Calibri" w:hAnsi="Verdana" w:cs="Times New Roman"/>
          <w:sz w:val="20"/>
          <w:szCs w:val="20"/>
        </w:rPr>
        <w:t xml:space="preserve">a Corte constata que las presuntas víctimas, en los diferentes procesos realizados, solicitaron los salarios y demás beneficios no pagados durante su detención, y que </w:t>
      </w:r>
      <w:r w:rsidR="001C05D8" w:rsidRPr="00972D9D">
        <w:rPr>
          <w:rFonts w:ascii="Verdana" w:eastAsia="Calibri" w:hAnsi="Verdana" w:cs="Times New Roman"/>
          <w:sz w:val="20"/>
          <w:szCs w:val="20"/>
          <w:lang w:val="es-CR"/>
        </w:rPr>
        <w:t xml:space="preserve">la base de su reclamo </w:t>
      </w:r>
      <w:r w:rsidR="001C05D8" w:rsidRPr="00972D9D">
        <w:rPr>
          <w:rFonts w:ascii="Verdana" w:eastAsia="Calibri" w:hAnsi="Verdana" w:cs="Times New Roman"/>
          <w:sz w:val="20"/>
          <w:szCs w:val="20"/>
        </w:rPr>
        <w:t xml:space="preserve">era la normativa interna que contemplaba el pago de haberes salariales de trabajadores que no hubieran podido cumplir con su trabajo por una causal de “fuerza mayor”, y si bien relacionaron los hechos relativos a la detención </w:t>
      </w:r>
      <w:r w:rsidR="000A108A">
        <w:rPr>
          <w:rFonts w:ascii="Verdana" w:eastAsia="Calibri" w:hAnsi="Verdana" w:cs="Times New Roman"/>
          <w:sz w:val="20"/>
          <w:szCs w:val="20"/>
        </w:rPr>
        <w:t xml:space="preserve">y al exilio (en el caso del señor Preckel) </w:t>
      </w:r>
      <w:r w:rsidR="001C05D8" w:rsidRPr="00972D9D">
        <w:rPr>
          <w:rFonts w:ascii="Verdana" w:eastAsia="Calibri" w:hAnsi="Verdana" w:cs="Times New Roman"/>
          <w:sz w:val="20"/>
          <w:szCs w:val="20"/>
        </w:rPr>
        <w:t xml:space="preserve">como la causal de fuerza mayor que les impidió cumplir con su labor, dichos hechos no fueron </w:t>
      </w:r>
      <w:r w:rsidR="00D73224" w:rsidRPr="00972D9D">
        <w:rPr>
          <w:rFonts w:ascii="Verdana" w:eastAsia="Calibri" w:hAnsi="Verdana" w:cs="Times New Roman"/>
          <w:sz w:val="20"/>
          <w:szCs w:val="20"/>
        </w:rPr>
        <w:t xml:space="preserve">el objeto de la reclamación presentada </w:t>
      </w:r>
      <w:r w:rsidRPr="00972D9D">
        <w:rPr>
          <w:rFonts w:ascii="Verdana" w:eastAsia="Calibri" w:hAnsi="Verdana" w:cs="Times New Roman"/>
          <w:sz w:val="20"/>
          <w:szCs w:val="20"/>
        </w:rPr>
        <w:t>a nivel interno</w:t>
      </w:r>
      <w:r w:rsidR="00D73224" w:rsidRPr="00972D9D">
        <w:rPr>
          <w:rFonts w:ascii="Verdana" w:eastAsia="Calibri" w:hAnsi="Verdana" w:cs="Times New Roman"/>
          <w:sz w:val="20"/>
          <w:szCs w:val="20"/>
        </w:rPr>
        <w:t>.</w:t>
      </w:r>
    </w:p>
    <w:p w14:paraId="2934AE0E" w14:textId="43E8EA35" w:rsidR="00A21928" w:rsidRPr="00972D9D" w:rsidRDefault="00A21928"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eastAsia="Calibri" w:hAnsi="Verdana" w:cs="Times New Roman"/>
          <w:sz w:val="20"/>
          <w:szCs w:val="20"/>
        </w:rPr>
      </w:pPr>
      <w:r w:rsidRPr="00972D9D">
        <w:rPr>
          <w:rFonts w:ascii="Verdana" w:eastAsia="Calibri" w:hAnsi="Verdana" w:cs="Times New Roman"/>
          <w:sz w:val="20"/>
          <w:szCs w:val="20"/>
        </w:rPr>
        <w:t xml:space="preserve">Sobre las razones por las cuáles acudieron a esta vía </w:t>
      </w:r>
      <w:r w:rsidR="000B0482" w:rsidRPr="00972D9D">
        <w:rPr>
          <w:rFonts w:ascii="Verdana" w:eastAsia="Calibri" w:hAnsi="Verdana" w:cs="Times New Roman"/>
          <w:sz w:val="20"/>
          <w:szCs w:val="20"/>
        </w:rPr>
        <w:t xml:space="preserve">para tramitar su reclamo </w:t>
      </w:r>
      <w:r w:rsidRPr="00972D9D">
        <w:rPr>
          <w:rFonts w:ascii="Verdana" w:eastAsia="Calibri" w:hAnsi="Verdana" w:cs="Times New Roman"/>
          <w:sz w:val="20"/>
          <w:szCs w:val="20"/>
        </w:rPr>
        <w:t xml:space="preserve">el representante señaló que al momento de </w:t>
      </w:r>
      <w:r w:rsidR="004F7C30" w:rsidRPr="00972D9D">
        <w:rPr>
          <w:rFonts w:ascii="Verdana" w:eastAsia="Calibri" w:hAnsi="Verdana" w:cs="Times New Roman"/>
          <w:sz w:val="20"/>
          <w:szCs w:val="20"/>
        </w:rPr>
        <w:t>presentar</w:t>
      </w:r>
      <w:r w:rsidRPr="00972D9D">
        <w:rPr>
          <w:rFonts w:ascii="Verdana" w:eastAsia="Calibri" w:hAnsi="Verdana" w:cs="Times New Roman"/>
          <w:sz w:val="20"/>
          <w:szCs w:val="20"/>
        </w:rPr>
        <w:t xml:space="preserve"> la acción judicial, las presuntas víctimas se encontraban ante un panorama jurídico incierto, pues estaba “generalizado el criterio” de que estaba prescrito el reclamo de las violaciones a los derechos humanos ocurridas durante la dictadura por medio de la acción de daños y perjuicios. Por esta razón </w:t>
      </w:r>
      <w:r w:rsidR="000A108A">
        <w:rPr>
          <w:rFonts w:ascii="Verdana" w:eastAsia="Calibri" w:hAnsi="Verdana" w:cs="Times New Roman"/>
          <w:sz w:val="20"/>
          <w:szCs w:val="20"/>
        </w:rPr>
        <w:t>requirieron</w:t>
      </w:r>
      <w:r w:rsidR="000B0482" w:rsidRPr="00972D9D">
        <w:rPr>
          <w:rFonts w:ascii="Verdana" w:eastAsia="Calibri" w:hAnsi="Verdana" w:cs="Times New Roman"/>
          <w:sz w:val="20"/>
          <w:szCs w:val="20"/>
        </w:rPr>
        <w:t xml:space="preserve"> </w:t>
      </w:r>
      <w:r w:rsidRPr="00972D9D">
        <w:rPr>
          <w:rFonts w:ascii="Verdana" w:eastAsia="Calibri" w:hAnsi="Verdana" w:cs="Times New Roman"/>
          <w:sz w:val="20"/>
          <w:szCs w:val="20"/>
        </w:rPr>
        <w:t>el pago de los haberes salariales y beneficios económicos dejados de percibir</w:t>
      </w:r>
      <w:r w:rsidR="00BF5EBE" w:rsidRPr="00972D9D">
        <w:rPr>
          <w:rFonts w:ascii="Verdana" w:eastAsia="Calibri" w:hAnsi="Verdana" w:cs="Times New Roman"/>
          <w:sz w:val="20"/>
          <w:szCs w:val="20"/>
        </w:rPr>
        <w:t xml:space="preserve"> mediante reclamaciones administrativas y posteriormente acciones</w:t>
      </w:r>
      <w:r w:rsidR="004B170E" w:rsidRPr="00972D9D">
        <w:rPr>
          <w:rFonts w:ascii="Verdana" w:eastAsia="Calibri" w:hAnsi="Verdana" w:cs="Times New Roman"/>
          <w:sz w:val="20"/>
          <w:szCs w:val="20"/>
        </w:rPr>
        <w:t xml:space="preserve"> judiciales</w:t>
      </w:r>
      <w:r w:rsidR="00C265C3" w:rsidRPr="00972D9D">
        <w:rPr>
          <w:rFonts w:ascii="Verdana" w:eastAsia="Calibri" w:hAnsi="Verdana" w:cs="Times New Roman"/>
          <w:sz w:val="20"/>
          <w:szCs w:val="20"/>
        </w:rPr>
        <w:t xml:space="preserve"> ante lo contencioso administrativo</w:t>
      </w:r>
      <w:r w:rsidR="00BF5EBE" w:rsidRPr="00972D9D">
        <w:rPr>
          <w:rFonts w:ascii="Verdana" w:eastAsia="Calibri" w:hAnsi="Verdana" w:cs="Times New Roman"/>
          <w:sz w:val="20"/>
          <w:szCs w:val="20"/>
        </w:rPr>
        <w:t>. V</w:t>
      </w:r>
      <w:r w:rsidR="00707598" w:rsidRPr="00972D9D">
        <w:rPr>
          <w:rFonts w:ascii="Verdana" w:eastAsia="Calibri" w:hAnsi="Verdana" w:cs="Times New Roman"/>
          <w:sz w:val="20"/>
          <w:szCs w:val="20"/>
        </w:rPr>
        <w:t>ía</w:t>
      </w:r>
      <w:r w:rsidRPr="00972D9D">
        <w:rPr>
          <w:rFonts w:ascii="Verdana" w:eastAsia="Calibri" w:hAnsi="Verdana" w:cs="Times New Roman"/>
          <w:sz w:val="20"/>
          <w:szCs w:val="20"/>
        </w:rPr>
        <w:t xml:space="preserve"> que ninguna de las autoridades judiciales que conoció de las demandas presentadas declaró manifiestamente improcedente</w:t>
      </w:r>
      <w:r w:rsidR="00707598" w:rsidRPr="00972D9D">
        <w:rPr>
          <w:rFonts w:ascii="Verdana" w:eastAsia="Calibri" w:hAnsi="Verdana" w:cs="Times New Roman"/>
          <w:sz w:val="20"/>
          <w:szCs w:val="20"/>
        </w:rPr>
        <w:t>, pues todas las decisiones adoptadas se basaron en argumentos de fondo, relacionados con la supuesta inaplicabilidad de la causal de fuerza mayor alegada por los accionantes.</w:t>
      </w:r>
      <w:r w:rsidRPr="00972D9D">
        <w:rPr>
          <w:rFonts w:ascii="Verdana" w:eastAsia="Calibri" w:hAnsi="Verdana" w:cs="Times New Roman"/>
          <w:sz w:val="20"/>
          <w:szCs w:val="20"/>
        </w:rPr>
        <w:t xml:space="preserve"> </w:t>
      </w:r>
    </w:p>
    <w:p w14:paraId="704B737C" w14:textId="596DD2C9" w:rsidR="00DA5453" w:rsidRPr="00972D9D" w:rsidRDefault="000B0482"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eastAsia="Calibri" w:hAnsi="Verdana" w:cs="Times New Roman"/>
          <w:sz w:val="20"/>
          <w:szCs w:val="20"/>
        </w:rPr>
      </w:pPr>
      <w:r w:rsidRPr="00972D9D">
        <w:rPr>
          <w:rFonts w:ascii="Verdana" w:eastAsia="Calibri" w:hAnsi="Verdana" w:cs="Times New Roman"/>
          <w:sz w:val="20"/>
          <w:szCs w:val="20"/>
        </w:rPr>
        <w:t xml:space="preserve">En tal sentido la Corte encuentra que </w:t>
      </w:r>
      <w:r w:rsidRPr="00972D9D">
        <w:rPr>
          <w:rFonts w:ascii="Verdana" w:eastAsia="Calibri" w:hAnsi="Verdana" w:cs="Times New Roman"/>
          <w:sz w:val="20"/>
          <w:szCs w:val="20"/>
          <w:lang w:val="es-ES_tradnl"/>
        </w:rPr>
        <w:t xml:space="preserve">las vías administrativa y contencioso </w:t>
      </w:r>
      <w:r w:rsidR="000F6745" w:rsidRPr="00972D9D">
        <w:rPr>
          <w:rFonts w:ascii="Verdana" w:eastAsia="Calibri" w:hAnsi="Verdana" w:cs="Times New Roman"/>
          <w:sz w:val="20"/>
          <w:szCs w:val="20"/>
          <w:lang w:val="es-ES_tradnl"/>
        </w:rPr>
        <w:t>administrativa agotadas</w:t>
      </w:r>
      <w:r w:rsidRPr="00972D9D">
        <w:rPr>
          <w:rFonts w:ascii="Verdana" w:eastAsia="Calibri" w:hAnsi="Verdana" w:cs="Times New Roman"/>
          <w:sz w:val="20"/>
          <w:szCs w:val="20"/>
          <w:lang w:val="es-ES_tradnl"/>
        </w:rPr>
        <w:t xml:space="preserve"> por las presuntas víctimas para</w:t>
      </w:r>
      <w:r w:rsidR="00932C6A" w:rsidRPr="00972D9D">
        <w:rPr>
          <w:rFonts w:ascii="Verdana" w:eastAsia="Calibri" w:hAnsi="Verdana" w:cs="Times New Roman"/>
          <w:sz w:val="20"/>
          <w:szCs w:val="20"/>
          <w:lang w:val="es-ES_tradnl"/>
        </w:rPr>
        <w:t xml:space="preserve"> reclamar a </w:t>
      </w:r>
      <w:r w:rsidR="006F54EA" w:rsidRPr="00972D9D">
        <w:rPr>
          <w:rFonts w:ascii="Verdana" w:eastAsia="Calibri" w:hAnsi="Verdana" w:cs="Times New Roman"/>
          <w:sz w:val="20"/>
          <w:szCs w:val="20"/>
          <w:lang w:val="es-ES_tradnl"/>
        </w:rPr>
        <w:t>l</w:t>
      </w:r>
      <w:r w:rsidR="00932C6A" w:rsidRPr="00972D9D">
        <w:rPr>
          <w:rFonts w:ascii="Verdana" w:eastAsia="Calibri" w:hAnsi="Verdana" w:cs="Times New Roman"/>
          <w:sz w:val="20"/>
          <w:szCs w:val="20"/>
          <w:lang w:val="es-ES_tradnl"/>
        </w:rPr>
        <w:t>a D</w:t>
      </w:r>
      <w:r w:rsidR="006F54EA" w:rsidRPr="00972D9D">
        <w:rPr>
          <w:rFonts w:ascii="Verdana" w:eastAsia="Calibri" w:hAnsi="Verdana" w:cs="Times New Roman"/>
          <w:sz w:val="20"/>
          <w:szCs w:val="20"/>
          <w:lang w:val="es-ES_tradnl"/>
        </w:rPr>
        <w:t xml:space="preserve">irección </w:t>
      </w:r>
      <w:r w:rsidR="00932C6A" w:rsidRPr="00972D9D">
        <w:rPr>
          <w:rFonts w:ascii="Verdana" w:eastAsia="Calibri" w:hAnsi="Verdana" w:cs="Times New Roman"/>
          <w:sz w:val="20"/>
          <w:szCs w:val="20"/>
          <w:lang w:val="es-ES_tradnl"/>
        </w:rPr>
        <w:t>G</w:t>
      </w:r>
      <w:r w:rsidR="006F54EA" w:rsidRPr="00972D9D">
        <w:rPr>
          <w:rFonts w:ascii="Verdana" w:eastAsia="Calibri" w:hAnsi="Verdana" w:cs="Times New Roman"/>
          <w:sz w:val="20"/>
          <w:szCs w:val="20"/>
          <w:lang w:val="es-ES_tradnl"/>
        </w:rPr>
        <w:t xml:space="preserve">eneral </w:t>
      </w:r>
      <w:r w:rsidR="00932C6A" w:rsidRPr="00972D9D">
        <w:rPr>
          <w:rFonts w:ascii="Verdana" w:eastAsia="Calibri" w:hAnsi="Verdana" w:cs="Times New Roman"/>
          <w:sz w:val="20"/>
          <w:szCs w:val="20"/>
          <w:lang w:val="es-ES_tradnl"/>
        </w:rPr>
        <w:t>I</w:t>
      </w:r>
      <w:r w:rsidR="006F54EA" w:rsidRPr="00972D9D">
        <w:rPr>
          <w:rFonts w:ascii="Verdana" w:eastAsia="Calibri" w:hAnsi="Verdana" w:cs="Times New Roman"/>
          <w:sz w:val="20"/>
          <w:szCs w:val="20"/>
          <w:lang w:val="es-ES_tradnl"/>
        </w:rPr>
        <w:t>mpositiva</w:t>
      </w:r>
      <w:r w:rsidR="00932C6A" w:rsidRPr="00972D9D">
        <w:rPr>
          <w:rFonts w:ascii="Verdana" w:eastAsia="Calibri" w:hAnsi="Verdana" w:cs="Times New Roman"/>
          <w:sz w:val="20"/>
          <w:szCs w:val="20"/>
          <w:lang w:val="es-ES_tradnl"/>
        </w:rPr>
        <w:t xml:space="preserve"> el pago de</w:t>
      </w:r>
      <w:r w:rsidR="006F54EA" w:rsidRPr="00972D9D">
        <w:rPr>
          <w:rFonts w:ascii="Verdana" w:eastAsia="Calibri" w:hAnsi="Verdana" w:cs="Times New Roman"/>
          <w:sz w:val="20"/>
          <w:szCs w:val="20"/>
          <w:lang w:val="es-ES_tradnl"/>
        </w:rPr>
        <w:t xml:space="preserve"> </w:t>
      </w:r>
      <w:r w:rsidR="00932C6A" w:rsidRPr="00972D9D">
        <w:rPr>
          <w:rFonts w:ascii="Verdana" w:eastAsia="Calibri" w:hAnsi="Verdana" w:cs="Times New Roman"/>
          <w:sz w:val="20"/>
          <w:szCs w:val="20"/>
          <w:lang w:val="es-ES_tradnl"/>
        </w:rPr>
        <w:t>los haberes salariales no percibidos</w:t>
      </w:r>
      <w:r w:rsidR="00BB0A08" w:rsidRPr="00972D9D">
        <w:rPr>
          <w:rFonts w:ascii="Verdana" w:eastAsia="Calibri" w:hAnsi="Verdana" w:cs="Times New Roman"/>
          <w:sz w:val="20"/>
          <w:szCs w:val="20"/>
          <w:lang w:val="es-ES_tradnl"/>
        </w:rPr>
        <w:t xml:space="preserve"> no era</w:t>
      </w:r>
      <w:r w:rsidR="002D34FD">
        <w:rPr>
          <w:rFonts w:ascii="Verdana" w:eastAsia="Calibri" w:hAnsi="Verdana" w:cs="Times New Roman"/>
          <w:sz w:val="20"/>
          <w:szCs w:val="20"/>
          <w:lang w:val="es-ES_tradnl"/>
        </w:rPr>
        <w:t>n</w:t>
      </w:r>
      <w:r w:rsidR="00BB0A08" w:rsidRPr="00972D9D">
        <w:rPr>
          <w:rFonts w:ascii="Verdana" w:eastAsia="Calibri" w:hAnsi="Verdana" w:cs="Times New Roman"/>
          <w:sz w:val="20"/>
          <w:szCs w:val="20"/>
          <w:lang w:val="es-ES_tradnl"/>
        </w:rPr>
        <w:t xml:space="preserve"> manifiestamente improcedente</w:t>
      </w:r>
      <w:r w:rsidR="000F6745" w:rsidRPr="002D34FD">
        <w:rPr>
          <w:rFonts w:ascii="Verdana" w:eastAsia="Calibri" w:hAnsi="Verdana" w:cs="Times New Roman"/>
          <w:sz w:val="20"/>
          <w:szCs w:val="20"/>
          <w:lang w:val="es-ES_tradnl"/>
        </w:rPr>
        <w:t>s</w:t>
      </w:r>
      <w:r w:rsidR="00262700" w:rsidRPr="00972D9D">
        <w:rPr>
          <w:rFonts w:ascii="Verdana" w:eastAsia="Calibri" w:hAnsi="Verdana" w:cs="Times New Roman"/>
          <w:sz w:val="20"/>
          <w:szCs w:val="20"/>
          <w:lang w:val="es-ES_tradnl"/>
        </w:rPr>
        <w:t xml:space="preserve">, como lo corroboran </w:t>
      </w:r>
      <w:r w:rsidR="00932C6A" w:rsidRPr="00972D9D">
        <w:rPr>
          <w:rFonts w:ascii="Verdana" w:eastAsia="Calibri" w:hAnsi="Verdana" w:cs="Times New Roman"/>
          <w:sz w:val="20"/>
          <w:szCs w:val="20"/>
          <w:lang w:val="es-ES_tradnl"/>
        </w:rPr>
        <w:t>los trece años</w:t>
      </w:r>
      <w:r w:rsidR="004D6659">
        <w:rPr>
          <w:rFonts w:ascii="Verdana" w:eastAsia="Calibri" w:hAnsi="Verdana" w:cs="Times New Roman"/>
          <w:sz w:val="20"/>
          <w:szCs w:val="20"/>
          <w:lang w:val="es-ES_tradnl"/>
        </w:rPr>
        <w:t xml:space="preserve"> y catorce días</w:t>
      </w:r>
      <w:r w:rsidR="00932C6A" w:rsidRPr="00972D9D">
        <w:rPr>
          <w:rFonts w:ascii="Verdana" w:eastAsia="Calibri" w:hAnsi="Verdana" w:cs="Times New Roman"/>
          <w:sz w:val="20"/>
          <w:szCs w:val="20"/>
          <w:lang w:val="es-ES_tradnl"/>
        </w:rPr>
        <w:t xml:space="preserve"> que duró el trámite de la reclamación de la señora Perrone y los diez años y once meses en el caso del señor </w:t>
      </w:r>
      <w:proofErr w:type="spellStart"/>
      <w:r w:rsidR="00932C6A" w:rsidRPr="00972D9D">
        <w:rPr>
          <w:rFonts w:ascii="Verdana" w:eastAsia="Calibri" w:hAnsi="Verdana" w:cs="Times New Roman"/>
          <w:sz w:val="20"/>
          <w:szCs w:val="20"/>
          <w:lang w:val="es-ES_tradnl"/>
        </w:rPr>
        <w:t>Preckel</w:t>
      </w:r>
      <w:proofErr w:type="spellEnd"/>
      <w:r w:rsidR="001B5AFB">
        <w:rPr>
          <w:rFonts w:ascii="Verdana" w:eastAsia="Calibri" w:hAnsi="Verdana" w:cs="Times New Roman"/>
          <w:sz w:val="20"/>
          <w:szCs w:val="20"/>
          <w:lang w:val="es-ES_tradnl"/>
        </w:rPr>
        <w:t>. A</w:t>
      </w:r>
      <w:r w:rsidR="00932C6A" w:rsidRPr="00972D9D">
        <w:rPr>
          <w:rFonts w:ascii="Verdana" w:eastAsia="Calibri" w:hAnsi="Verdana" w:cs="Times New Roman"/>
          <w:sz w:val="20"/>
          <w:szCs w:val="20"/>
          <w:lang w:val="es-ES_tradnl"/>
        </w:rPr>
        <w:t>l igual que</w:t>
      </w:r>
      <w:r w:rsidR="00262700" w:rsidRPr="00972D9D">
        <w:rPr>
          <w:rFonts w:ascii="Verdana" w:eastAsia="Calibri" w:hAnsi="Verdana" w:cs="Times New Roman"/>
          <w:sz w:val="20"/>
          <w:szCs w:val="20"/>
          <w:lang w:val="es-ES_tradnl"/>
        </w:rPr>
        <w:t xml:space="preserve"> </w:t>
      </w:r>
      <w:r w:rsidR="001C05D8" w:rsidRPr="00972D9D">
        <w:rPr>
          <w:rFonts w:ascii="Verdana" w:eastAsia="Calibri" w:hAnsi="Verdana" w:cs="Times New Roman"/>
          <w:sz w:val="20"/>
          <w:szCs w:val="20"/>
        </w:rPr>
        <w:t xml:space="preserve">las decisiones </w:t>
      </w:r>
      <w:r w:rsidR="00BF5EBE" w:rsidRPr="00972D9D">
        <w:rPr>
          <w:rFonts w:ascii="Verdana" w:eastAsia="Calibri" w:hAnsi="Verdana" w:cs="Times New Roman"/>
          <w:sz w:val="20"/>
          <w:szCs w:val="20"/>
        </w:rPr>
        <w:t>favorables</w:t>
      </w:r>
      <w:r w:rsidR="00932C6A" w:rsidRPr="00972D9D">
        <w:rPr>
          <w:rFonts w:ascii="Verdana" w:eastAsia="Calibri" w:hAnsi="Verdana" w:cs="Times New Roman"/>
          <w:sz w:val="20"/>
          <w:szCs w:val="20"/>
        </w:rPr>
        <w:t xml:space="preserve"> que fueron </w:t>
      </w:r>
      <w:r w:rsidR="00932C6A" w:rsidRPr="00972D9D">
        <w:rPr>
          <w:rFonts w:ascii="Verdana" w:eastAsia="Calibri" w:hAnsi="Verdana" w:cs="Times New Roman"/>
          <w:sz w:val="20"/>
          <w:szCs w:val="20"/>
        </w:rPr>
        <w:lastRenderedPageBreak/>
        <w:t>adoptadas tanto en sede administrativa como en sede judicial en el caso de la señora Perrone,</w:t>
      </w:r>
      <w:r w:rsidR="001C05D8" w:rsidRPr="00972D9D">
        <w:rPr>
          <w:rFonts w:ascii="Verdana" w:eastAsia="Calibri" w:hAnsi="Verdana" w:cs="Times New Roman"/>
          <w:sz w:val="20"/>
          <w:szCs w:val="20"/>
        </w:rPr>
        <w:t xml:space="preserve"> particularmente</w:t>
      </w:r>
      <w:r w:rsidR="00932C6A" w:rsidRPr="00972D9D">
        <w:rPr>
          <w:rFonts w:ascii="Verdana" w:eastAsia="Calibri" w:hAnsi="Verdana" w:cs="Times New Roman"/>
          <w:sz w:val="20"/>
          <w:szCs w:val="20"/>
        </w:rPr>
        <w:t xml:space="preserve"> por</w:t>
      </w:r>
      <w:r w:rsidR="001C05D8" w:rsidRPr="00972D9D">
        <w:rPr>
          <w:rFonts w:ascii="Verdana" w:eastAsia="Calibri" w:hAnsi="Verdana" w:cs="Times New Roman"/>
          <w:sz w:val="20"/>
          <w:szCs w:val="20"/>
        </w:rPr>
        <w:t xml:space="preserve"> la Dirección de Asuntos Técnicos y Jurídicos de </w:t>
      </w:r>
      <w:r w:rsidR="000A108A">
        <w:rPr>
          <w:rFonts w:ascii="Verdana" w:eastAsia="Calibri" w:hAnsi="Verdana" w:cs="Times New Roman"/>
          <w:sz w:val="20"/>
          <w:szCs w:val="20"/>
        </w:rPr>
        <w:t>dicha entidad</w:t>
      </w:r>
      <w:r w:rsidR="001C05D8" w:rsidRPr="00972D9D">
        <w:rPr>
          <w:rFonts w:ascii="Verdana" w:eastAsia="Calibri" w:hAnsi="Verdana" w:cs="Times New Roman"/>
          <w:sz w:val="20"/>
          <w:szCs w:val="20"/>
        </w:rPr>
        <w:t xml:space="preserve"> y el fallo de segunda instancia emitido por la Sala IV de la Cámara de Apelaciones de septiembre de 1993</w:t>
      </w:r>
      <w:r w:rsidR="00932C6A" w:rsidRPr="00972D9D">
        <w:rPr>
          <w:rFonts w:ascii="Verdana" w:eastAsia="Calibri" w:hAnsi="Verdana" w:cs="Times New Roman"/>
          <w:sz w:val="20"/>
          <w:szCs w:val="20"/>
        </w:rPr>
        <w:t>, aunque finalmente fueran desestimada</w:t>
      </w:r>
      <w:r w:rsidR="001B5AFB">
        <w:rPr>
          <w:rFonts w:ascii="Verdana" w:eastAsia="Calibri" w:hAnsi="Verdana" w:cs="Times New Roman"/>
          <w:sz w:val="20"/>
          <w:szCs w:val="20"/>
        </w:rPr>
        <w:t>s en sede judicial</w:t>
      </w:r>
      <w:r w:rsidR="00BB0A08" w:rsidRPr="00972D9D">
        <w:rPr>
          <w:rFonts w:ascii="Verdana" w:eastAsia="Calibri" w:hAnsi="Verdana" w:cs="Times New Roman"/>
          <w:sz w:val="20"/>
          <w:szCs w:val="20"/>
        </w:rPr>
        <w:t xml:space="preserve"> </w:t>
      </w:r>
      <w:r w:rsidR="0097754C" w:rsidRPr="00972D9D">
        <w:rPr>
          <w:rFonts w:ascii="Verdana" w:eastAsia="Calibri" w:hAnsi="Verdana" w:cs="Times New Roman"/>
          <w:sz w:val="20"/>
          <w:szCs w:val="20"/>
        </w:rPr>
        <w:t>(</w:t>
      </w:r>
      <w:r w:rsidR="0097754C" w:rsidRPr="00972D9D">
        <w:rPr>
          <w:rFonts w:ascii="Verdana" w:eastAsia="Calibri" w:hAnsi="Verdana" w:cs="Times New Roman"/>
          <w:i/>
          <w:sz w:val="20"/>
          <w:szCs w:val="20"/>
        </w:rPr>
        <w:t xml:space="preserve">infra párrs. </w:t>
      </w:r>
      <w:r w:rsidR="0074561B">
        <w:rPr>
          <w:rFonts w:ascii="Verdana" w:eastAsia="Calibri" w:hAnsi="Verdana" w:cs="Times New Roman"/>
          <w:i/>
          <w:sz w:val="20"/>
          <w:szCs w:val="20"/>
        </w:rPr>
        <w:t>95-101</w:t>
      </w:r>
      <w:r w:rsidR="0097754C" w:rsidRPr="00972D9D">
        <w:rPr>
          <w:rFonts w:ascii="Verdana" w:eastAsia="Calibri" w:hAnsi="Verdana" w:cs="Times New Roman"/>
          <w:i/>
          <w:sz w:val="20"/>
          <w:szCs w:val="20"/>
        </w:rPr>
        <w:t>)</w:t>
      </w:r>
      <w:r w:rsidR="001C05D8" w:rsidRPr="00972D9D">
        <w:rPr>
          <w:rFonts w:ascii="Verdana" w:eastAsia="Calibri" w:hAnsi="Verdana" w:cs="Times New Roman"/>
          <w:sz w:val="20"/>
          <w:szCs w:val="20"/>
        </w:rPr>
        <w:t xml:space="preserve">. </w:t>
      </w:r>
    </w:p>
    <w:p w14:paraId="5FD961DD" w14:textId="57047248" w:rsidR="00D73224" w:rsidRPr="00972D9D" w:rsidRDefault="00674C0C"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eastAsia="Calibri" w:hAnsi="Verdana" w:cs="Times New Roman"/>
          <w:sz w:val="20"/>
          <w:szCs w:val="20"/>
        </w:rPr>
      </w:pPr>
      <w:r w:rsidRPr="00972D9D">
        <w:rPr>
          <w:rFonts w:ascii="Verdana" w:eastAsia="Calibri" w:hAnsi="Verdana" w:cs="Times New Roman"/>
          <w:sz w:val="20"/>
          <w:szCs w:val="20"/>
        </w:rPr>
        <w:t xml:space="preserve">Por lo </w:t>
      </w:r>
      <w:r w:rsidR="00D73224" w:rsidRPr="00972D9D">
        <w:rPr>
          <w:rFonts w:ascii="Verdana" w:eastAsia="Calibri" w:hAnsi="Verdana" w:cs="Times New Roman"/>
          <w:sz w:val="20"/>
          <w:szCs w:val="20"/>
        </w:rPr>
        <w:t>tanto el argumento del Estado, en relación a que la única vía judicial idónea para agotar en debida forma los recursos internos era la acción de daños y perjuicios</w:t>
      </w:r>
      <w:r w:rsidR="002D34FD">
        <w:rPr>
          <w:rFonts w:ascii="Verdana" w:eastAsia="Calibri" w:hAnsi="Verdana" w:cs="Times New Roman"/>
          <w:sz w:val="20"/>
          <w:szCs w:val="20"/>
        </w:rPr>
        <w:t>,</w:t>
      </w:r>
      <w:r w:rsidR="00D73224" w:rsidRPr="00972D9D">
        <w:rPr>
          <w:rFonts w:ascii="Verdana" w:eastAsia="Calibri" w:hAnsi="Verdana" w:cs="Times New Roman"/>
          <w:sz w:val="20"/>
          <w:szCs w:val="20"/>
        </w:rPr>
        <w:t xml:space="preserve"> no guarda consonancia con lo ocurrido en el presente caso, en el cual las autoridades judiciales y administrativas conocieron, tramitaron y decidieron el fondo de las solicitudes, demandas y recursos interpuestos por las presunta</w:t>
      </w:r>
      <w:r w:rsidR="00C265C3" w:rsidRPr="00972D9D">
        <w:rPr>
          <w:rFonts w:ascii="Verdana" w:eastAsia="Calibri" w:hAnsi="Verdana" w:cs="Times New Roman"/>
          <w:sz w:val="20"/>
          <w:szCs w:val="20"/>
        </w:rPr>
        <w:t>s</w:t>
      </w:r>
      <w:r w:rsidR="00D73224" w:rsidRPr="00972D9D">
        <w:rPr>
          <w:rFonts w:ascii="Verdana" w:eastAsia="Calibri" w:hAnsi="Verdana" w:cs="Times New Roman"/>
          <w:sz w:val="20"/>
          <w:szCs w:val="20"/>
        </w:rPr>
        <w:t xml:space="preserve"> víctimas a lo largo </w:t>
      </w:r>
      <w:r w:rsidR="006F54EA" w:rsidRPr="00972D9D">
        <w:rPr>
          <w:rFonts w:ascii="Verdana" w:eastAsia="Calibri" w:hAnsi="Verdana" w:cs="Times New Roman"/>
          <w:sz w:val="20"/>
          <w:szCs w:val="20"/>
          <w:lang w:val="es-ES_tradnl"/>
        </w:rPr>
        <w:t>de trece años</w:t>
      </w:r>
      <w:r w:rsidR="004D6659">
        <w:rPr>
          <w:rFonts w:ascii="Verdana" w:eastAsia="Calibri" w:hAnsi="Verdana" w:cs="Times New Roman"/>
          <w:sz w:val="20"/>
          <w:szCs w:val="20"/>
          <w:lang w:val="es-ES_tradnl"/>
        </w:rPr>
        <w:t xml:space="preserve"> y catorce días</w:t>
      </w:r>
      <w:r w:rsidR="006F54EA" w:rsidRPr="00972D9D">
        <w:rPr>
          <w:rFonts w:ascii="Verdana" w:eastAsia="Calibri" w:hAnsi="Verdana" w:cs="Times New Roman"/>
          <w:sz w:val="20"/>
          <w:szCs w:val="20"/>
          <w:lang w:val="es-ES_tradnl"/>
        </w:rPr>
        <w:t xml:space="preserve"> e</w:t>
      </w:r>
      <w:r w:rsidR="00BB0A08" w:rsidRPr="00972D9D">
        <w:rPr>
          <w:rFonts w:ascii="Verdana" w:eastAsia="Calibri" w:hAnsi="Verdana" w:cs="Times New Roman"/>
          <w:sz w:val="20"/>
          <w:szCs w:val="20"/>
          <w:lang w:val="es-ES_tradnl"/>
        </w:rPr>
        <w:t>n</w:t>
      </w:r>
      <w:r w:rsidR="006F54EA" w:rsidRPr="00972D9D">
        <w:rPr>
          <w:rFonts w:ascii="Verdana" w:eastAsia="Calibri" w:hAnsi="Verdana" w:cs="Times New Roman"/>
          <w:sz w:val="20"/>
          <w:szCs w:val="20"/>
          <w:lang w:val="es-ES_tradnl"/>
        </w:rPr>
        <w:t xml:space="preserve"> el caso de la señora Perrone y diez años y once meses en el caso del señor </w:t>
      </w:r>
      <w:proofErr w:type="spellStart"/>
      <w:r w:rsidR="006F54EA" w:rsidRPr="00972D9D">
        <w:rPr>
          <w:rFonts w:ascii="Verdana" w:eastAsia="Calibri" w:hAnsi="Verdana" w:cs="Times New Roman"/>
          <w:sz w:val="20"/>
          <w:szCs w:val="20"/>
          <w:lang w:val="es-ES_tradnl"/>
        </w:rPr>
        <w:t>Preckel</w:t>
      </w:r>
      <w:proofErr w:type="spellEnd"/>
      <w:r w:rsidR="00D73224" w:rsidRPr="00972D9D">
        <w:rPr>
          <w:rFonts w:ascii="Verdana" w:eastAsia="Calibri" w:hAnsi="Verdana" w:cs="Times New Roman"/>
          <w:sz w:val="20"/>
          <w:szCs w:val="20"/>
        </w:rPr>
        <w:t>, sin rechazar las acciones y recursos incoados por su manifiesta improcedencia.</w:t>
      </w:r>
    </w:p>
    <w:p w14:paraId="6D8D1650" w14:textId="0F174130" w:rsidR="00D73224" w:rsidRPr="00972D9D" w:rsidRDefault="00674C0C"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eastAsia="Calibri" w:hAnsi="Verdana" w:cs="Times New Roman"/>
          <w:sz w:val="20"/>
          <w:szCs w:val="20"/>
        </w:rPr>
      </w:pPr>
      <w:r w:rsidRPr="00972D9D">
        <w:rPr>
          <w:rFonts w:ascii="Verdana" w:eastAsia="Calibri" w:hAnsi="Verdana" w:cs="Times New Roman"/>
          <w:sz w:val="20"/>
          <w:szCs w:val="20"/>
          <w:lang w:val="es-CR"/>
        </w:rPr>
        <w:t>Adicionalmente, la Corte ha señalado que de existir mecanismos nacionales para determinar formas de reparación [que satisfagan] criterios de objetividad, razonabilidad y efectividad para reparar adecuadamente las violaciones de derechos reconocidos en la Convención, tales procedimientos y sus resultados pueden ser valorados</w:t>
      </w:r>
      <w:r w:rsidRPr="00972D9D">
        <w:rPr>
          <w:rFonts w:ascii="Verdana" w:eastAsia="Calibri" w:hAnsi="Verdana" w:cs="Times New Roman"/>
          <w:sz w:val="20"/>
          <w:szCs w:val="20"/>
          <w:vertAlign w:val="superscript"/>
          <w:lang w:val="es-CR"/>
        </w:rPr>
        <w:footnoteReference w:id="20"/>
      </w:r>
      <w:r w:rsidRPr="00972D9D">
        <w:rPr>
          <w:rFonts w:ascii="Verdana" w:eastAsia="Calibri" w:hAnsi="Verdana" w:cs="Times New Roman"/>
          <w:sz w:val="20"/>
          <w:szCs w:val="20"/>
          <w:lang w:val="es-CR"/>
        </w:rPr>
        <w:t>. De tal modo, las acciones civiles de reparación de daños intentados por las víctimas a nivel interno pueden ser relevantes tanto en la calificación y definición de determinados aspectos o alcances de la responsabilidad estatal, como en la satisfacción de ciertas pretensiones en el marco de una reparación integral. Por ello, lo decidido a nivel interno en esos procesos ha sido tomado en cuenta al momento de valorar las solicitudes de reparaciones en un caso ante el Sistema Interamericano</w:t>
      </w:r>
      <w:r w:rsidRPr="00972D9D">
        <w:rPr>
          <w:rFonts w:ascii="Verdana" w:eastAsia="Calibri" w:hAnsi="Verdana" w:cs="Times New Roman"/>
          <w:sz w:val="20"/>
          <w:szCs w:val="20"/>
          <w:vertAlign w:val="superscript"/>
          <w:lang w:val="es-CR"/>
        </w:rPr>
        <w:footnoteReference w:id="21"/>
      </w:r>
      <w:r w:rsidRPr="00972D9D">
        <w:rPr>
          <w:rFonts w:ascii="Verdana" w:eastAsia="Calibri" w:hAnsi="Verdana" w:cs="Times New Roman"/>
          <w:sz w:val="20"/>
          <w:szCs w:val="20"/>
          <w:lang w:val="es-CR"/>
        </w:rPr>
        <w:t>. Sin embargo, tal valoración se ha realizado en atención a las circunstancias de cada caso específico, según la naturaleza del derecho que se alega violado y de las pretensiones de quien lo ha incoado. Tal análisis puede corresponder, consecuentemente, al fondo del asunto o, en su caso, a la fase de reparaciones</w:t>
      </w:r>
      <w:r w:rsidRPr="00972D9D">
        <w:rPr>
          <w:rFonts w:ascii="Verdana" w:eastAsia="Calibri" w:hAnsi="Verdana" w:cs="Times New Roman"/>
          <w:sz w:val="20"/>
          <w:szCs w:val="20"/>
          <w:vertAlign w:val="superscript"/>
          <w:lang w:val="es-CR"/>
        </w:rPr>
        <w:footnoteReference w:id="22"/>
      </w:r>
      <w:r w:rsidRPr="00972D9D">
        <w:rPr>
          <w:rFonts w:ascii="Verdana" w:eastAsia="Calibri" w:hAnsi="Verdana" w:cs="Times New Roman"/>
          <w:sz w:val="20"/>
          <w:szCs w:val="20"/>
          <w:lang w:val="es-CR"/>
        </w:rPr>
        <w:t xml:space="preserve">. Por ende, en este caso no corresponde efectuar una valoración sobre la idoneidad y efectividad del referido juicio civil de daños y perjuicios para establecer la responsabilidad estatal por los hechos del presente caso, pues no era </w:t>
      </w:r>
      <w:r w:rsidR="00740F2D" w:rsidRPr="00972D9D">
        <w:rPr>
          <w:rFonts w:ascii="Verdana" w:eastAsia="Calibri" w:hAnsi="Verdana" w:cs="Times New Roman"/>
          <w:sz w:val="20"/>
          <w:szCs w:val="20"/>
          <w:lang w:val="es-CR"/>
        </w:rPr>
        <w:t xml:space="preserve">inminentemente </w:t>
      </w:r>
      <w:r w:rsidRPr="00972D9D">
        <w:rPr>
          <w:rFonts w:ascii="Verdana" w:eastAsia="Calibri" w:hAnsi="Verdana" w:cs="Times New Roman"/>
          <w:sz w:val="20"/>
          <w:szCs w:val="20"/>
          <w:lang w:val="es-CR"/>
        </w:rPr>
        <w:t>necesario que las presuntas víctimas lo agotaran</w:t>
      </w:r>
      <w:r w:rsidRPr="00972D9D">
        <w:rPr>
          <w:rFonts w:ascii="Verdana" w:eastAsia="Calibri" w:hAnsi="Verdana" w:cs="Times New Roman"/>
          <w:sz w:val="20"/>
          <w:szCs w:val="20"/>
          <w:vertAlign w:val="superscript"/>
          <w:lang w:val="es-CR"/>
        </w:rPr>
        <w:footnoteReference w:id="23"/>
      </w:r>
      <w:r w:rsidR="00740F2D" w:rsidRPr="00972D9D">
        <w:rPr>
          <w:rFonts w:ascii="Verdana" w:eastAsia="Calibri" w:hAnsi="Verdana" w:cs="Times New Roman"/>
          <w:sz w:val="20"/>
          <w:szCs w:val="20"/>
          <w:lang w:val="es-CR"/>
        </w:rPr>
        <w:t>, máxime que el Estado no probó la proce</w:t>
      </w:r>
      <w:r w:rsidR="0084505D" w:rsidRPr="00972D9D">
        <w:rPr>
          <w:rFonts w:ascii="Verdana" w:eastAsia="Calibri" w:hAnsi="Verdana" w:cs="Times New Roman"/>
          <w:sz w:val="20"/>
          <w:szCs w:val="20"/>
          <w:lang w:val="es-CR"/>
        </w:rPr>
        <w:t>d</w:t>
      </w:r>
      <w:r w:rsidR="00740F2D" w:rsidRPr="00972D9D">
        <w:rPr>
          <w:rFonts w:ascii="Verdana" w:eastAsia="Calibri" w:hAnsi="Verdana" w:cs="Times New Roman"/>
          <w:sz w:val="20"/>
          <w:szCs w:val="20"/>
          <w:lang w:val="es-CR"/>
        </w:rPr>
        <w:t>encia de dicha vía frente a este tipo de casos</w:t>
      </w:r>
      <w:r w:rsidR="00740F2D" w:rsidRPr="00C75AC8">
        <w:rPr>
          <w:rStyle w:val="Refdenotaalpie"/>
          <w:rFonts w:ascii="Verdana" w:eastAsia="Calibri" w:hAnsi="Verdana" w:cs="Times New Roman"/>
          <w:sz w:val="20"/>
          <w:szCs w:val="20"/>
          <w:lang w:val="es-CR"/>
        </w:rPr>
        <w:footnoteReference w:id="24"/>
      </w:r>
      <w:r w:rsidRPr="00972D9D">
        <w:rPr>
          <w:rFonts w:ascii="Verdana" w:eastAsia="Calibri" w:hAnsi="Verdana" w:cs="Times New Roman"/>
          <w:sz w:val="20"/>
          <w:szCs w:val="20"/>
          <w:lang w:val="es-CR"/>
        </w:rPr>
        <w:t>.</w:t>
      </w:r>
    </w:p>
    <w:p w14:paraId="50BE3CBC" w14:textId="708374A5" w:rsidR="001C05D8" w:rsidRPr="00972D9D" w:rsidRDefault="001C05D8"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eastAsia="Calibri" w:hAnsi="Verdana" w:cs="Times New Roman"/>
          <w:sz w:val="20"/>
          <w:szCs w:val="20"/>
        </w:rPr>
      </w:pPr>
      <w:r w:rsidRPr="00972D9D">
        <w:rPr>
          <w:rFonts w:ascii="Verdana" w:eastAsia="Calibri" w:hAnsi="Verdana" w:cs="Times New Roman"/>
          <w:sz w:val="20"/>
          <w:szCs w:val="20"/>
        </w:rPr>
        <w:t xml:space="preserve">En vista de lo anterior, la Corte </w:t>
      </w:r>
      <w:r w:rsidR="002E27D4">
        <w:rPr>
          <w:rFonts w:ascii="Verdana" w:eastAsia="Calibri" w:hAnsi="Verdana" w:cs="Times New Roman"/>
          <w:sz w:val="20"/>
          <w:szCs w:val="20"/>
        </w:rPr>
        <w:t>desestima</w:t>
      </w:r>
      <w:r w:rsidR="002F036A" w:rsidRPr="00972D9D">
        <w:rPr>
          <w:rFonts w:ascii="Verdana" w:eastAsia="Calibri" w:hAnsi="Verdana" w:cs="Times New Roman"/>
          <w:sz w:val="20"/>
          <w:szCs w:val="20"/>
        </w:rPr>
        <w:t xml:space="preserve"> l</w:t>
      </w:r>
      <w:r w:rsidR="00BF5EBE" w:rsidRPr="00972D9D">
        <w:rPr>
          <w:rFonts w:ascii="Verdana" w:eastAsia="Calibri" w:hAnsi="Verdana" w:cs="Times New Roman"/>
          <w:sz w:val="20"/>
          <w:szCs w:val="20"/>
        </w:rPr>
        <w:t xml:space="preserve">a </w:t>
      </w:r>
      <w:r w:rsidRPr="00972D9D">
        <w:rPr>
          <w:rFonts w:ascii="Verdana" w:eastAsia="Calibri" w:hAnsi="Verdana" w:cs="Times New Roman"/>
          <w:sz w:val="20"/>
          <w:szCs w:val="20"/>
        </w:rPr>
        <w:t xml:space="preserve">excepción </w:t>
      </w:r>
      <w:r w:rsidR="00DA5453" w:rsidRPr="00972D9D">
        <w:rPr>
          <w:rFonts w:ascii="Verdana" w:eastAsia="Calibri" w:hAnsi="Verdana" w:cs="Times New Roman"/>
          <w:sz w:val="20"/>
          <w:szCs w:val="20"/>
        </w:rPr>
        <w:t xml:space="preserve">preliminar formulada </w:t>
      </w:r>
      <w:r w:rsidRPr="00972D9D">
        <w:rPr>
          <w:rFonts w:ascii="Verdana" w:eastAsia="Calibri" w:hAnsi="Verdana" w:cs="Times New Roman"/>
          <w:sz w:val="20"/>
          <w:szCs w:val="20"/>
        </w:rPr>
        <w:t>por el Estado</w:t>
      </w:r>
      <w:r w:rsidR="00DA5453" w:rsidRPr="00972D9D">
        <w:rPr>
          <w:rFonts w:ascii="Verdana" w:eastAsia="Calibri" w:hAnsi="Verdana" w:cs="Times New Roman"/>
          <w:sz w:val="20"/>
          <w:szCs w:val="20"/>
        </w:rPr>
        <w:t>.</w:t>
      </w:r>
    </w:p>
    <w:p w14:paraId="50BE3CC7" w14:textId="77777777" w:rsidR="001C05D8" w:rsidRPr="002F036A" w:rsidRDefault="001C05D8" w:rsidP="00972D9D">
      <w:pPr>
        <w:keepNext/>
        <w:keepLines/>
        <w:tabs>
          <w:tab w:val="left" w:pos="851"/>
        </w:tabs>
        <w:spacing w:after="0" w:line="240" w:lineRule="auto"/>
        <w:jc w:val="center"/>
        <w:outlineLvl w:val="0"/>
        <w:rPr>
          <w:rFonts w:ascii="Verdana" w:eastAsia="Times New Roman" w:hAnsi="Verdana" w:cs="Verdana"/>
          <w:b/>
          <w:bCs/>
          <w:caps/>
          <w:snapToGrid w:val="0"/>
          <w:sz w:val="20"/>
          <w:szCs w:val="20"/>
          <w:lang w:val="es-ES_tradnl"/>
        </w:rPr>
      </w:pPr>
      <w:bookmarkStart w:id="20" w:name="_Toc375517114"/>
      <w:bookmarkStart w:id="21" w:name="_Toc459158102"/>
      <w:bookmarkStart w:id="22" w:name="_Toc470180046"/>
      <w:bookmarkStart w:id="23" w:name="_Toc514172609"/>
      <w:bookmarkStart w:id="24" w:name="_Toc526774142"/>
      <w:bookmarkStart w:id="25" w:name="_Toc526777474"/>
      <w:bookmarkStart w:id="26" w:name="_Toc526783753"/>
      <w:bookmarkStart w:id="27" w:name="_Toc529192672"/>
      <w:bookmarkStart w:id="28" w:name="_Toc20755715"/>
      <w:r w:rsidRPr="002F036A">
        <w:rPr>
          <w:rFonts w:ascii="Verdana" w:eastAsia="Times New Roman" w:hAnsi="Verdana" w:cs="Verdana"/>
          <w:b/>
          <w:bCs/>
          <w:caps/>
          <w:snapToGrid w:val="0"/>
          <w:sz w:val="20"/>
          <w:szCs w:val="20"/>
          <w:lang w:val="es-ES_tradnl"/>
        </w:rPr>
        <w:lastRenderedPageBreak/>
        <w:t>V</w:t>
      </w:r>
      <w:r w:rsidRPr="002F036A">
        <w:rPr>
          <w:rFonts w:ascii="Verdana" w:eastAsia="Times New Roman" w:hAnsi="Verdana" w:cs="Verdana"/>
          <w:b/>
          <w:bCs/>
          <w:caps/>
          <w:snapToGrid w:val="0"/>
          <w:sz w:val="20"/>
          <w:szCs w:val="20"/>
          <w:lang w:val="es-ES_tradnl"/>
        </w:rPr>
        <w:br/>
        <w:t>PRUEBA</w:t>
      </w:r>
      <w:bookmarkEnd w:id="20"/>
      <w:bookmarkEnd w:id="21"/>
      <w:bookmarkEnd w:id="22"/>
      <w:bookmarkEnd w:id="23"/>
      <w:bookmarkEnd w:id="24"/>
      <w:bookmarkEnd w:id="25"/>
      <w:bookmarkEnd w:id="26"/>
      <w:bookmarkEnd w:id="27"/>
      <w:bookmarkEnd w:id="28"/>
    </w:p>
    <w:p w14:paraId="50BE3CC8" w14:textId="2B3B5448" w:rsidR="001C05D8" w:rsidRPr="00422F8E" w:rsidRDefault="001C05D8" w:rsidP="00972D9D">
      <w:pPr>
        <w:keepNext/>
        <w:keepLines/>
        <w:numPr>
          <w:ilvl w:val="0"/>
          <w:numId w:val="37"/>
        </w:numPr>
        <w:spacing w:before="120" w:after="120" w:line="240" w:lineRule="auto"/>
        <w:ind w:left="567" w:hanging="283"/>
        <w:jc w:val="both"/>
        <w:outlineLvl w:val="1"/>
        <w:rPr>
          <w:rFonts w:ascii="Verdana" w:eastAsia="Times New Roman" w:hAnsi="Verdana" w:cs="Times New Roman"/>
          <w:b/>
          <w:bCs/>
          <w:i/>
          <w:sz w:val="20"/>
          <w:szCs w:val="20"/>
          <w:lang w:val="es-ES_tradnl"/>
        </w:rPr>
      </w:pPr>
      <w:bookmarkStart w:id="29" w:name="_Toc527560759"/>
      <w:bookmarkStart w:id="30" w:name="_Toc527561030"/>
      <w:bookmarkStart w:id="31" w:name="_Toc527560760"/>
      <w:bookmarkStart w:id="32" w:name="_Toc527561031"/>
      <w:bookmarkStart w:id="33" w:name="_Toc375517116"/>
      <w:bookmarkStart w:id="34" w:name="_Toc459158104"/>
      <w:bookmarkStart w:id="35" w:name="_Toc470180048"/>
      <w:bookmarkStart w:id="36" w:name="_Toc514172611"/>
      <w:bookmarkEnd w:id="29"/>
      <w:bookmarkEnd w:id="30"/>
      <w:bookmarkEnd w:id="31"/>
      <w:bookmarkEnd w:id="32"/>
      <w:r w:rsidRPr="00422F8E">
        <w:rPr>
          <w:rFonts w:ascii="Verdana" w:eastAsia="Times New Roman" w:hAnsi="Verdana" w:cs="Times New Roman"/>
          <w:b/>
          <w:bCs/>
          <w:i/>
          <w:sz w:val="20"/>
          <w:szCs w:val="20"/>
          <w:lang w:val="es-ES_tradnl"/>
        </w:rPr>
        <w:tab/>
      </w:r>
      <w:bookmarkStart w:id="37" w:name="_Toc526774144"/>
      <w:bookmarkStart w:id="38" w:name="_Toc526777476"/>
      <w:bookmarkStart w:id="39" w:name="_Toc526783755"/>
      <w:bookmarkStart w:id="40" w:name="_Toc529192673"/>
      <w:bookmarkStart w:id="41" w:name="_Toc20755716"/>
      <w:r w:rsidRPr="00422F8E">
        <w:rPr>
          <w:rFonts w:ascii="Verdana" w:eastAsia="Times New Roman" w:hAnsi="Verdana" w:cs="Times New Roman"/>
          <w:b/>
          <w:bCs/>
          <w:i/>
          <w:sz w:val="20"/>
          <w:szCs w:val="20"/>
          <w:lang w:val="es-ES_tradnl"/>
        </w:rPr>
        <w:t>Admisibilidad de la prueba</w:t>
      </w:r>
      <w:bookmarkEnd w:id="33"/>
      <w:bookmarkEnd w:id="34"/>
      <w:bookmarkEnd w:id="35"/>
      <w:bookmarkEnd w:id="36"/>
      <w:bookmarkEnd w:id="37"/>
      <w:bookmarkEnd w:id="38"/>
      <w:bookmarkEnd w:id="39"/>
      <w:r w:rsidRPr="00422F8E">
        <w:rPr>
          <w:rFonts w:ascii="Verdana" w:eastAsia="Times New Roman" w:hAnsi="Verdana" w:cs="Times New Roman"/>
          <w:b/>
          <w:bCs/>
          <w:i/>
          <w:sz w:val="20"/>
          <w:szCs w:val="20"/>
          <w:lang w:val="es-ES_tradnl"/>
        </w:rPr>
        <w:t xml:space="preserve"> documental</w:t>
      </w:r>
      <w:bookmarkEnd w:id="40"/>
      <w:bookmarkEnd w:id="41"/>
      <w:r w:rsidRPr="00422F8E">
        <w:rPr>
          <w:rFonts w:ascii="Verdana" w:eastAsia="Times New Roman" w:hAnsi="Verdana" w:cs="Times New Roman"/>
          <w:b/>
          <w:bCs/>
          <w:i/>
          <w:sz w:val="20"/>
          <w:szCs w:val="20"/>
          <w:lang w:val="es-ES_tradnl"/>
        </w:rPr>
        <w:t xml:space="preserve"> </w:t>
      </w:r>
    </w:p>
    <w:p w14:paraId="1E7A226B" w14:textId="01360F98" w:rsidR="000065A8" w:rsidRPr="002F036A" w:rsidRDefault="000065A8"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sidRPr="002F036A">
        <w:rPr>
          <w:rFonts w:ascii="Verdana" w:eastAsia="Times New Roman" w:hAnsi="Verdana" w:cs="Times New Roman"/>
          <w:sz w:val="20"/>
          <w:szCs w:val="20"/>
          <w:lang w:val="es-ES"/>
        </w:rPr>
        <w:t>En</w:t>
      </w:r>
      <w:r w:rsidRPr="002F036A">
        <w:rPr>
          <w:rFonts w:ascii="Verdana" w:hAnsi="Verdana"/>
          <w:sz w:val="20"/>
          <w:szCs w:val="20"/>
        </w:rPr>
        <w:t xml:space="preserve"> el presente caso, como en otros, e</w:t>
      </w:r>
      <w:r w:rsidR="00EF2453" w:rsidRPr="002F036A">
        <w:rPr>
          <w:rFonts w:ascii="Verdana" w:hAnsi="Verdana"/>
          <w:sz w:val="20"/>
          <w:szCs w:val="20"/>
        </w:rPr>
        <w:t>ste</w:t>
      </w:r>
      <w:r w:rsidRPr="002F036A">
        <w:rPr>
          <w:rFonts w:ascii="Verdana" w:hAnsi="Verdana"/>
          <w:sz w:val="20"/>
          <w:szCs w:val="20"/>
        </w:rPr>
        <w:t xml:space="preserve"> Tribunal admite el valor probatorio de aquellos documentos presentados por las partes y por la Comisión en la debida oportunidad procesal, que no fueron controvertidos ni objetados, y cuya autenticidad no fue puesta en duda. </w:t>
      </w:r>
    </w:p>
    <w:p w14:paraId="4E8721CF" w14:textId="22A63D51" w:rsidR="000065A8" w:rsidRPr="002F036A" w:rsidRDefault="000065A8"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sidRPr="002F036A">
        <w:rPr>
          <w:rFonts w:ascii="Verdana" w:hAnsi="Verdana"/>
          <w:sz w:val="20"/>
          <w:szCs w:val="20"/>
        </w:rPr>
        <w:t xml:space="preserve">Con respecto a la prueba documental </w:t>
      </w:r>
      <w:r w:rsidR="00687FF0">
        <w:rPr>
          <w:rFonts w:ascii="Verdana" w:hAnsi="Verdana"/>
          <w:sz w:val="20"/>
          <w:szCs w:val="20"/>
        </w:rPr>
        <w:t>el</w:t>
      </w:r>
      <w:r w:rsidRPr="002F036A">
        <w:rPr>
          <w:rFonts w:ascii="Verdana" w:hAnsi="Verdana"/>
          <w:sz w:val="20"/>
          <w:szCs w:val="20"/>
        </w:rPr>
        <w:t xml:space="preserve"> </w:t>
      </w:r>
      <w:r w:rsidRPr="002F036A">
        <w:rPr>
          <w:rFonts w:ascii="Verdana" w:hAnsi="Verdana"/>
          <w:b/>
          <w:i/>
          <w:sz w:val="20"/>
          <w:szCs w:val="20"/>
        </w:rPr>
        <w:t>representante</w:t>
      </w:r>
      <w:r w:rsidRPr="002F036A">
        <w:rPr>
          <w:rFonts w:ascii="Verdana" w:hAnsi="Verdana"/>
          <w:sz w:val="20"/>
          <w:szCs w:val="20"/>
        </w:rPr>
        <w:t xml:space="preserve"> ofreci</w:t>
      </w:r>
      <w:r w:rsidR="00687FF0">
        <w:rPr>
          <w:rFonts w:ascii="Verdana" w:hAnsi="Verdana"/>
          <w:sz w:val="20"/>
          <w:szCs w:val="20"/>
        </w:rPr>
        <w:t>ó</w:t>
      </w:r>
      <w:r w:rsidRPr="002F036A">
        <w:rPr>
          <w:rFonts w:ascii="Verdana" w:hAnsi="Verdana"/>
          <w:sz w:val="20"/>
          <w:szCs w:val="20"/>
        </w:rPr>
        <w:t xml:space="preserve"> como “</w:t>
      </w:r>
      <w:r w:rsidRPr="002F036A">
        <w:rPr>
          <w:rFonts w:ascii="Verdana" w:eastAsiaTheme="minorHAnsi" w:hAnsi="Verdana" w:cs="Arial"/>
          <w:sz w:val="20"/>
          <w:szCs w:val="20"/>
          <w:lang w:val="es-CR"/>
        </w:rPr>
        <w:t xml:space="preserve">[…] </w:t>
      </w:r>
      <w:r w:rsidR="002D34FD">
        <w:rPr>
          <w:rFonts w:ascii="Verdana" w:eastAsiaTheme="minorHAnsi" w:hAnsi="Verdana" w:cs="Arial"/>
          <w:sz w:val="20"/>
          <w:szCs w:val="20"/>
          <w:lang w:val="es-CR"/>
        </w:rPr>
        <w:t>[</w:t>
      </w:r>
      <w:r w:rsidRPr="002F036A">
        <w:rPr>
          <w:rFonts w:ascii="Verdana" w:eastAsiaTheme="minorHAnsi" w:hAnsi="Verdana" w:cs="Arial"/>
          <w:sz w:val="20"/>
          <w:szCs w:val="20"/>
          <w:lang w:val="es-CR"/>
        </w:rPr>
        <w:t>P</w:t>
      </w:r>
      <w:r w:rsidR="002D34FD">
        <w:rPr>
          <w:rFonts w:ascii="Verdana" w:eastAsiaTheme="minorHAnsi" w:hAnsi="Verdana" w:cs="Arial"/>
          <w:sz w:val="20"/>
          <w:szCs w:val="20"/>
          <w:lang w:val="es-CR"/>
        </w:rPr>
        <w:t>]</w:t>
      </w:r>
      <w:r w:rsidRPr="002F036A">
        <w:rPr>
          <w:rFonts w:ascii="Verdana" w:eastAsiaTheme="minorHAnsi" w:hAnsi="Verdana" w:cs="Arial"/>
          <w:sz w:val="20"/>
          <w:szCs w:val="20"/>
          <w:lang w:val="es-CR"/>
        </w:rPr>
        <w:t xml:space="preserve">rueba </w:t>
      </w:r>
      <w:r w:rsidR="002D34FD">
        <w:rPr>
          <w:rFonts w:ascii="Verdana" w:eastAsiaTheme="minorHAnsi" w:hAnsi="Verdana" w:cs="Arial"/>
          <w:sz w:val="20"/>
          <w:szCs w:val="20"/>
          <w:lang w:val="es-CR"/>
        </w:rPr>
        <w:t>[</w:t>
      </w:r>
      <w:r w:rsidRPr="002F036A">
        <w:rPr>
          <w:rFonts w:ascii="Verdana" w:eastAsiaTheme="minorHAnsi" w:hAnsi="Verdana" w:cs="Arial"/>
          <w:sz w:val="20"/>
          <w:szCs w:val="20"/>
          <w:lang w:val="es-CR"/>
        </w:rPr>
        <w:t>D</w:t>
      </w:r>
      <w:r w:rsidR="002D34FD">
        <w:rPr>
          <w:rFonts w:ascii="Verdana" w:eastAsiaTheme="minorHAnsi" w:hAnsi="Verdana" w:cs="Arial"/>
          <w:sz w:val="20"/>
          <w:szCs w:val="20"/>
          <w:lang w:val="es-CR"/>
        </w:rPr>
        <w:t>]</w:t>
      </w:r>
      <w:r w:rsidRPr="002F036A">
        <w:rPr>
          <w:rFonts w:ascii="Verdana" w:eastAsiaTheme="minorHAnsi" w:hAnsi="Verdana" w:cs="Arial"/>
          <w:sz w:val="20"/>
          <w:szCs w:val="20"/>
          <w:lang w:val="es-CR"/>
        </w:rPr>
        <w:t xml:space="preserve">ocumental en poder del </w:t>
      </w:r>
      <w:r w:rsidRPr="002F036A">
        <w:rPr>
          <w:rFonts w:ascii="Verdana" w:eastAsiaTheme="minorHAnsi" w:hAnsi="Verdana" w:cs="Arial"/>
          <w:iCs/>
          <w:sz w:val="20"/>
          <w:szCs w:val="20"/>
          <w:lang w:val="es-CR"/>
        </w:rPr>
        <w:t>[Estado argentino]</w:t>
      </w:r>
      <w:r w:rsidRPr="002F036A">
        <w:rPr>
          <w:rFonts w:ascii="Verdana" w:eastAsiaTheme="minorHAnsi" w:hAnsi="Verdana" w:cs="Arial"/>
          <w:sz w:val="20"/>
          <w:szCs w:val="20"/>
          <w:lang w:val="es-CR"/>
        </w:rPr>
        <w:t xml:space="preserve">, el expediente tramitado por ante el Ministerio de Relaciones Exteriores y Culto de dicho Estado, con motivo de las actuaciones promovidas a los efectos de arribar a una </w:t>
      </w:r>
      <w:r w:rsidRPr="002F036A">
        <w:rPr>
          <w:rFonts w:ascii="Verdana" w:eastAsiaTheme="minorHAnsi" w:hAnsi="Verdana" w:cs="Arial"/>
          <w:iCs/>
          <w:sz w:val="20"/>
          <w:szCs w:val="20"/>
          <w:lang w:val="es-CR"/>
        </w:rPr>
        <w:t xml:space="preserve">[solución amistosa] </w:t>
      </w:r>
      <w:r w:rsidRPr="002F036A">
        <w:rPr>
          <w:rFonts w:ascii="Verdana" w:eastAsiaTheme="minorHAnsi" w:hAnsi="Verdana" w:cs="Arial"/>
          <w:sz w:val="20"/>
          <w:szCs w:val="20"/>
          <w:lang w:val="es-CR"/>
        </w:rPr>
        <w:t>en el presente caso”</w:t>
      </w:r>
      <w:r w:rsidRPr="002F036A">
        <w:rPr>
          <w:rFonts w:ascii="Verdana" w:hAnsi="Verdana"/>
          <w:sz w:val="20"/>
          <w:szCs w:val="20"/>
        </w:rPr>
        <w:t>; además, solicit</w:t>
      </w:r>
      <w:r w:rsidR="00687FF0">
        <w:rPr>
          <w:rFonts w:ascii="Verdana" w:hAnsi="Verdana"/>
          <w:sz w:val="20"/>
          <w:szCs w:val="20"/>
        </w:rPr>
        <w:t>ó</w:t>
      </w:r>
      <w:r w:rsidRPr="002F036A">
        <w:rPr>
          <w:rFonts w:ascii="Verdana" w:hAnsi="Verdana"/>
          <w:sz w:val="20"/>
          <w:szCs w:val="20"/>
        </w:rPr>
        <w:t xml:space="preserve"> que se requiriera al Estado “</w:t>
      </w:r>
      <w:r w:rsidRPr="002F036A">
        <w:rPr>
          <w:rFonts w:ascii="Verdana" w:eastAsiaTheme="minorHAnsi" w:hAnsi="Verdana" w:cs="Arial"/>
          <w:sz w:val="20"/>
          <w:szCs w:val="20"/>
          <w:lang w:val="es-CR"/>
        </w:rPr>
        <w:t xml:space="preserve">practi[car] en debida y legal forma </w:t>
      </w:r>
      <w:r w:rsidRPr="002F036A">
        <w:rPr>
          <w:rFonts w:ascii="Verdana" w:eastAsiaTheme="minorHAnsi" w:hAnsi="Verdana" w:cs="Arial"/>
          <w:iCs/>
          <w:sz w:val="20"/>
          <w:szCs w:val="20"/>
          <w:lang w:val="es-CR"/>
        </w:rPr>
        <w:t>la liquidación de las acreencias de las víctimas</w:t>
      </w:r>
      <w:r w:rsidRPr="002F036A">
        <w:rPr>
          <w:rFonts w:ascii="Verdana" w:eastAsiaTheme="minorHAnsi" w:hAnsi="Verdana" w:cs="Arial"/>
          <w:sz w:val="20"/>
          <w:szCs w:val="20"/>
          <w:lang w:val="es-CR"/>
        </w:rPr>
        <w:t>, correspondientes a los salarios devengados, caídos y no percibidos por</w:t>
      </w:r>
      <w:r w:rsidRPr="002F036A">
        <w:rPr>
          <w:rFonts w:ascii="Verdana" w:eastAsiaTheme="minorHAnsi" w:hAnsi="Verdana" w:cs="Arial"/>
          <w:iCs/>
          <w:sz w:val="20"/>
          <w:szCs w:val="20"/>
          <w:lang w:val="es-CR"/>
        </w:rPr>
        <w:t xml:space="preserve"> </w:t>
      </w:r>
      <w:r w:rsidRPr="002F036A">
        <w:rPr>
          <w:rFonts w:ascii="Verdana" w:eastAsiaTheme="minorHAnsi" w:hAnsi="Verdana" w:cs="Arial"/>
          <w:sz w:val="20"/>
          <w:szCs w:val="20"/>
          <w:lang w:val="es-CR"/>
        </w:rPr>
        <w:t>aquellas, desde el momento de su detención ilegal hasta el de su reingreso a la misma</w:t>
      </w:r>
      <w:r w:rsidRPr="002F036A">
        <w:rPr>
          <w:rFonts w:ascii="Verdana" w:hAnsi="Verdana"/>
          <w:sz w:val="20"/>
          <w:szCs w:val="20"/>
        </w:rPr>
        <w:t xml:space="preserve">”. </w:t>
      </w:r>
      <w:r w:rsidRPr="002F036A">
        <w:rPr>
          <w:rFonts w:ascii="Verdana" w:eastAsiaTheme="minorHAnsi" w:hAnsi="Verdana" w:cs="Arial"/>
          <w:sz w:val="20"/>
          <w:szCs w:val="20"/>
          <w:lang w:val="es-CR"/>
        </w:rPr>
        <w:t xml:space="preserve">Dicha solicitud fue objetada por el </w:t>
      </w:r>
      <w:r w:rsidRPr="002F036A">
        <w:rPr>
          <w:rFonts w:ascii="Verdana" w:eastAsiaTheme="minorHAnsi" w:hAnsi="Verdana" w:cs="Arial"/>
          <w:b/>
          <w:i/>
          <w:sz w:val="20"/>
          <w:szCs w:val="20"/>
          <w:lang w:val="es-CR"/>
        </w:rPr>
        <w:t>Estado</w:t>
      </w:r>
      <w:r w:rsidRPr="002F036A">
        <w:rPr>
          <w:rFonts w:ascii="Verdana" w:eastAsiaTheme="minorHAnsi" w:hAnsi="Verdana" w:cs="Arial"/>
          <w:sz w:val="20"/>
          <w:szCs w:val="20"/>
          <w:lang w:val="es-CR"/>
        </w:rPr>
        <w:t xml:space="preserve"> indica</w:t>
      </w:r>
      <w:r w:rsidR="002D34FD">
        <w:rPr>
          <w:rFonts w:ascii="Verdana" w:eastAsiaTheme="minorHAnsi" w:hAnsi="Verdana" w:cs="Arial"/>
          <w:sz w:val="20"/>
          <w:szCs w:val="20"/>
          <w:lang w:val="es-CR"/>
        </w:rPr>
        <w:t>n</w:t>
      </w:r>
      <w:r w:rsidRPr="002F036A">
        <w:rPr>
          <w:rFonts w:ascii="Verdana" w:eastAsiaTheme="minorHAnsi" w:hAnsi="Verdana" w:cs="Arial"/>
          <w:sz w:val="20"/>
          <w:szCs w:val="20"/>
          <w:lang w:val="es-CR"/>
        </w:rPr>
        <w:t>do que, con respecto a la liquidación de acreencias, la carga probatoria recae en los representantes por lo que no es deber del Estado practicarlas. De la misma forma, y con respecto a la solicitud del expediente administrativo, señaló que el carácter confidencial de las reuniones realizadas en el marco del proyecto de solución amistosa intentado, se extiende a los documentos elaborados como resultado de ellas.</w:t>
      </w:r>
      <w:r w:rsidRPr="002F036A">
        <w:rPr>
          <w:rFonts w:ascii="Verdana" w:eastAsiaTheme="minorHAnsi" w:hAnsi="Verdana" w:cs="Arial"/>
          <w:b/>
          <w:sz w:val="20"/>
          <w:szCs w:val="20"/>
          <w:lang w:val="es-CR"/>
        </w:rPr>
        <w:t xml:space="preserve"> </w:t>
      </w:r>
    </w:p>
    <w:p w14:paraId="3128F238" w14:textId="7B231E9C" w:rsidR="000065A8" w:rsidRPr="002F036A" w:rsidRDefault="000065A8"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sidRPr="002F036A">
        <w:rPr>
          <w:rFonts w:ascii="Verdana" w:hAnsi="Verdana"/>
          <w:sz w:val="20"/>
          <w:szCs w:val="20"/>
        </w:rPr>
        <w:t>En este sentido, mediante la Resolución de Reconsideración de Convocatoria a Audiencia del 29 de enero de 2019</w:t>
      </w:r>
      <w:r w:rsidR="00B552FF" w:rsidRPr="002F036A">
        <w:rPr>
          <w:rStyle w:val="Refdenotaalpie"/>
          <w:rFonts w:ascii="Verdana" w:hAnsi="Verdana"/>
          <w:sz w:val="20"/>
          <w:szCs w:val="20"/>
        </w:rPr>
        <w:footnoteReference w:id="25"/>
      </w:r>
      <w:r w:rsidRPr="002F036A">
        <w:rPr>
          <w:rFonts w:ascii="Verdana" w:hAnsi="Verdana"/>
          <w:sz w:val="20"/>
          <w:szCs w:val="20"/>
        </w:rPr>
        <w:t xml:space="preserve">, en su considerando 12, la </w:t>
      </w:r>
      <w:r w:rsidRPr="00F46AC0">
        <w:rPr>
          <w:rFonts w:ascii="Verdana" w:hAnsi="Verdana"/>
          <w:sz w:val="20"/>
          <w:szCs w:val="20"/>
        </w:rPr>
        <w:t>Corte</w:t>
      </w:r>
      <w:r w:rsidRPr="00687FF0">
        <w:rPr>
          <w:rFonts w:ascii="Verdana" w:hAnsi="Verdana"/>
          <w:sz w:val="20"/>
          <w:szCs w:val="20"/>
        </w:rPr>
        <w:t xml:space="preserve"> </w:t>
      </w:r>
      <w:r w:rsidRPr="002F036A">
        <w:rPr>
          <w:rFonts w:ascii="Verdana" w:hAnsi="Verdana"/>
          <w:sz w:val="20"/>
          <w:szCs w:val="20"/>
        </w:rPr>
        <w:t xml:space="preserve">indicó </w:t>
      </w:r>
      <w:r w:rsidR="00B552FF" w:rsidRPr="002F036A">
        <w:rPr>
          <w:rFonts w:ascii="Verdana" w:hAnsi="Verdana"/>
          <w:sz w:val="20"/>
          <w:szCs w:val="20"/>
        </w:rPr>
        <w:t>que</w:t>
      </w:r>
      <w:r w:rsidRPr="002F036A">
        <w:rPr>
          <w:rFonts w:ascii="Verdana" w:hAnsi="Verdana"/>
          <w:sz w:val="20"/>
          <w:szCs w:val="20"/>
        </w:rPr>
        <w:t xml:space="preserve">: </w:t>
      </w:r>
    </w:p>
    <w:p w14:paraId="0AE11707" w14:textId="02FCCC7C" w:rsidR="000065A8" w:rsidRPr="002F036A" w:rsidRDefault="000065A8" w:rsidP="00972D9D">
      <w:pPr>
        <w:autoSpaceDE w:val="0"/>
        <w:autoSpaceDN w:val="0"/>
        <w:adjustRightInd w:val="0"/>
        <w:spacing w:before="120" w:after="120" w:line="240" w:lineRule="auto"/>
        <w:ind w:left="709"/>
        <w:jc w:val="both"/>
        <w:rPr>
          <w:rFonts w:ascii="Verdana" w:eastAsiaTheme="minorHAnsi" w:hAnsi="Verdana" w:cs="Arial"/>
          <w:sz w:val="18"/>
          <w:szCs w:val="20"/>
          <w:lang w:val="es-CR"/>
        </w:rPr>
      </w:pPr>
      <w:r w:rsidRPr="002F036A">
        <w:rPr>
          <w:rFonts w:ascii="Verdana" w:eastAsiaTheme="minorHAnsi" w:hAnsi="Verdana" w:cs="Arial"/>
          <w:sz w:val="18"/>
          <w:szCs w:val="20"/>
        </w:rPr>
        <w:t xml:space="preserve">[…] </w:t>
      </w:r>
      <w:r w:rsidRPr="002F036A">
        <w:rPr>
          <w:rFonts w:ascii="Verdana" w:eastAsiaTheme="minorHAnsi" w:hAnsi="Verdana" w:cs="Arial"/>
          <w:sz w:val="18"/>
          <w:szCs w:val="20"/>
          <w:lang w:val="es-CR"/>
        </w:rPr>
        <w:t xml:space="preserve">[L]as cuestiones de remisión de expedientes a la Corte no corresponde ser evacuado necesariamente mediante la Resolución de Convocatoria a Audiencia […] En este sentido, en el supuesto de estimarlo pertinente, la Corte podrá solicitarlo como prueba para mejor resolver en el momento procesal oportuno, de conformidad con el artículo 58 del Reglamento de la Corte. </w:t>
      </w:r>
    </w:p>
    <w:p w14:paraId="783D225C" w14:textId="3469D98A" w:rsidR="000065A8" w:rsidRPr="002F036A" w:rsidRDefault="000065A8"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sidRPr="002F036A">
        <w:rPr>
          <w:rFonts w:ascii="Verdana" w:hAnsi="Verdana"/>
          <w:sz w:val="20"/>
          <w:szCs w:val="20"/>
        </w:rPr>
        <w:t xml:space="preserve">En su escrito de alegatos finales, </w:t>
      </w:r>
      <w:r w:rsidR="00687FF0">
        <w:rPr>
          <w:rFonts w:ascii="Verdana" w:hAnsi="Verdana"/>
          <w:sz w:val="20"/>
          <w:szCs w:val="20"/>
        </w:rPr>
        <w:t xml:space="preserve">el representante </w:t>
      </w:r>
      <w:r w:rsidRPr="002F036A">
        <w:rPr>
          <w:rFonts w:ascii="Verdana" w:hAnsi="Verdana"/>
          <w:sz w:val="20"/>
          <w:szCs w:val="20"/>
        </w:rPr>
        <w:t>remiti</w:t>
      </w:r>
      <w:r w:rsidR="00687FF0">
        <w:rPr>
          <w:rFonts w:ascii="Verdana" w:hAnsi="Verdana"/>
          <w:sz w:val="20"/>
          <w:szCs w:val="20"/>
        </w:rPr>
        <w:t>ó</w:t>
      </w:r>
      <w:r w:rsidRPr="002F036A">
        <w:rPr>
          <w:rFonts w:ascii="Verdana" w:hAnsi="Verdana"/>
          <w:sz w:val="20"/>
          <w:szCs w:val="20"/>
        </w:rPr>
        <w:t xml:space="preserve"> como prueba dentro de proceso: i) el proyecto de acuerdo de solución amistosa intentado ante la Comisión, </w:t>
      </w:r>
      <w:r w:rsidR="0073300F" w:rsidRPr="002F036A">
        <w:rPr>
          <w:rFonts w:ascii="Verdana" w:hAnsi="Verdana"/>
          <w:sz w:val="20"/>
          <w:szCs w:val="20"/>
        </w:rPr>
        <w:t xml:space="preserve">y </w:t>
      </w:r>
      <w:r w:rsidRPr="002F036A">
        <w:rPr>
          <w:rFonts w:ascii="Verdana" w:hAnsi="Verdana"/>
          <w:sz w:val="20"/>
          <w:szCs w:val="20"/>
        </w:rPr>
        <w:t>ii) el proyecto Decreto Presidencial, los cuales que forman parte del expediente administrativo solicitado al Estado como prueba en el ESAP (</w:t>
      </w:r>
      <w:r w:rsidR="00904755" w:rsidRPr="002F036A">
        <w:rPr>
          <w:rFonts w:ascii="Verdana" w:hAnsi="Verdana"/>
          <w:i/>
          <w:sz w:val="20"/>
          <w:szCs w:val="20"/>
        </w:rPr>
        <w:t>supra</w:t>
      </w:r>
      <w:r w:rsidRPr="002F036A">
        <w:rPr>
          <w:rFonts w:ascii="Verdana" w:hAnsi="Verdana"/>
          <w:i/>
          <w:sz w:val="20"/>
          <w:szCs w:val="20"/>
        </w:rPr>
        <w:t xml:space="preserve"> </w:t>
      </w:r>
      <w:r w:rsidRPr="002F036A">
        <w:rPr>
          <w:rFonts w:ascii="Verdana" w:hAnsi="Verdana"/>
          <w:sz w:val="20"/>
          <w:szCs w:val="20"/>
        </w:rPr>
        <w:t>párr. *</w:t>
      </w:r>
      <w:r w:rsidRPr="002F036A">
        <w:rPr>
          <w:rFonts w:ascii="Verdana" w:hAnsi="Verdana"/>
          <w:i/>
          <w:sz w:val="20"/>
          <w:szCs w:val="20"/>
        </w:rPr>
        <w:t>)</w:t>
      </w:r>
      <w:r w:rsidRPr="002F036A">
        <w:rPr>
          <w:rFonts w:ascii="Verdana" w:hAnsi="Verdana"/>
          <w:sz w:val="20"/>
          <w:szCs w:val="20"/>
        </w:rPr>
        <w:t xml:space="preserve">, y cuadros de </w:t>
      </w:r>
      <w:r w:rsidRPr="002F036A">
        <w:rPr>
          <w:rFonts w:ascii="Verdana" w:eastAsiaTheme="minorHAnsi" w:hAnsi="Verdana" w:cs="Arial"/>
          <w:sz w:val="20"/>
          <w:szCs w:val="20"/>
          <w:lang w:val="es-CR"/>
        </w:rPr>
        <w:t>aproximaciones parametrales para el establecimiento del monto de la reparación integral solicitada, por medio de cálculos salariales.</w:t>
      </w:r>
    </w:p>
    <w:p w14:paraId="5C5C13D0" w14:textId="5EE5D327" w:rsidR="000065A8" w:rsidRPr="002F036A" w:rsidRDefault="000065A8"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sidRPr="002F036A">
        <w:rPr>
          <w:rFonts w:ascii="Verdana" w:hAnsi="Verdana"/>
          <w:sz w:val="20"/>
          <w:szCs w:val="20"/>
        </w:rPr>
        <w:t xml:space="preserve">El </w:t>
      </w:r>
      <w:r w:rsidRPr="002F036A">
        <w:rPr>
          <w:rFonts w:ascii="Verdana" w:hAnsi="Verdana"/>
          <w:b/>
          <w:i/>
          <w:sz w:val="20"/>
          <w:szCs w:val="20"/>
        </w:rPr>
        <w:t>Estado</w:t>
      </w:r>
      <w:r w:rsidRPr="002F036A">
        <w:rPr>
          <w:rFonts w:ascii="Verdana" w:hAnsi="Verdana"/>
          <w:sz w:val="20"/>
          <w:szCs w:val="20"/>
        </w:rPr>
        <w:t xml:space="preserve"> en sus observaciones a los documentos aportados en los alegatos finales de</w:t>
      </w:r>
      <w:r w:rsidR="00687FF0">
        <w:rPr>
          <w:rFonts w:ascii="Verdana" w:hAnsi="Verdana"/>
          <w:sz w:val="20"/>
          <w:szCs w:val="20"/>
        </w:rPr>
        <w:t>l</w:t>
      </w:r>
      <w:r w:rsidRPr="002F036A">
        <w:rPr>
          <w:rFonts w:ascii="Verdana" w:hAnsi="Verdana"/>
          <w:sz w:val="20"/>
          <w:szCs w:val="20"/>
        </w:rPr>
        <w:t xml:space="preserve"> representante, recordó su postura sobre la improcedencia de los documentos remitidos debido a que su aportación no fue realizada en el momento procesal oportuno. De esta manera, solicitó que se rechazaran </w:t>
      </w:r>
      <w:r w:rsidRPr="002F036A">
        <w:rPr>
          <w:rFonts w:ascii="Verdana" w:hAnsi="Verdana"/>
          <w:i/>
          <w:sz w:val="20"/>
          <w:szCs w:val="20"/>
        </w:rPr>
        <w:t>in limine</w:t>
      </w:r>
      <w:r w:rsidRPr="002F036A">
        <w:rPr>
          <w:rFonts w:ascii="Verdana" w:hAnsi="Verdana"/>
          <w:sz w:val="20"/>
          <w:szCs w:val="20"/>
        </w:rPr>
        <w:t xml:space="preserve">. </w:t>
      </w:r>
      <w:r w:rsidRPr="002F036A">
        <w:rPr>
          <w:rFonts w:ascii="Verdana" w:hAnsi="Verdana"/>
          <w:b/>
          <w:sz w:val="20"/>
          <w:szCs w:val="20"/>
        </w:rPr>
        <w:t xml:space="preserve">[Fondo, 369] </w:t>
      </w:r>
      <w:r w:rsidRPr="002F036A">
        <w:rPr>
          <w:rFonts w:ascii="Verdana" w:hAnsi="Verdana"/>
          <w:sz w:val="20"/>
          <w:szCs w:val="20"/>
        </w:rPr>
        <w:t xml:space="preserve">La </w:t>
      </w:r>
      <w:r w:rsidRPr="002F036A">
        <w:rPr>
          <w:rFonts w:ascii="Verdana" w:hAnsi="Verdana"/>
          <w:b/>
          <w:i/>
          <w:sz w:val="20"/>
          <w:szCs w:val="20"/>
        </w:rPr>
        <w:t>Comisión</w:t>
      </w:r>
      <w:r w:rsidRPr="002F036A">
        <w:rPr>
          <w:rFonts w:ascii="Verdana" w:hAnsi="Verdana"/>
          <w:sz w:val="20"/>
          <w:szCs w:val="20"/>
        </w:rPr>
        <w:t xml:space="preserve">, por su parte, indicó que la documentación aportada por </w:t>
      </w:r>
      <w:r w:rsidR="00687FF0">
        <w:rPr>
          <w:rFonts w:ascii="Verdana" w:hAnsi="Verdana"/>
          <w:sz w:val="20"/>
          <w:szCs w:val="20"/>
        </w:rPr>
        <w:t>el</w:t>
      </w:r>
      <w:r w:rsidRPr="002F036A">
        <w:rPr>
          <w:rFonts w:ascii="Verdana" w:hAnsi="Verdana"/>
          <w:sz w:val="20"/>
          <w:szCs w:val="20"/>
        </w:rPr>
        <w:t xml:space="preserve"> representante resulta importante para la determinación de las medidas de reparación que correspondan, asimismo, con respecto </w:t>
      </w:r>
      <w:r w:rsidR="002D34FD">
        <w:rPr>
          <w:rFonts w:ascii="Verdana" w:hAnsi="Verdana"/>
          <w:sz w:val="20"/>
          <w:szCs w:val="20"/>
        </w:rPr>
        <w:t xml:space="preserve">al </w:t>
      </w:r>
      <w:r w:rsidRPr="002F036A">
        <w:rPr>
          <w:rFonts w:ascii="Verdana" w:hAnsi="Verdana"/>
          <w:sz w:val="20"/>
          <w:szCs w:val="20"/>
        </w:rPr>
        <w:t>Dictamen del Ministerio de Justicia y Derechos Humanos, se permitió “</w:t>
      </w:r>
      <w:r w:rsidR="002D34FD">
        <w:rPr>
          <w:rFonts w:ascii="Verdana" w:hAnsi="Verdana"/>
          <w:sz w:val="20"/>
          <w:szCs w:val="20"/>
        </w:rPr>
        <w:t xml:space="preserve">[…] </w:t>
      </w:r>
      <w:r w:rsidRPr="002F036A">
        <w:rPr>
          <w:rFonts w:ascii="Verdana" w:hAnsi="Verdana"/>
          <w:sz w:val="20"/>
          <w:szCs w:val="20"/>
        </w:rPr>
        <w:t>precisar que en el Informe de Fondo [se] hizo referencia al mismo, [por lo que fue] valorado oportunamente por la Comisión</w:t>
      </w:r>
      <w:r w:rsidR="002D34FD">
        <w:rPr>
          <w:rFonts w:ascii="Verdana" w:hAnsi="Verdana"/>
          <w:sz w:val="20"/>
          <w:szCs w:val="20"/>
        </w:rPr>
        <w:t>[…]</w:t>
      </w:r>
      <w:r w:rsidRPr="002F036A">
        <w:rPr>
          <w:rFonts w:ascii="Verdana" w:hAnsi="Verdana"/>
          <w:sz w:val="20"/>
          <w:szCs w:val="20"/>
        </w:rPr>
        <w:t xml:space="preserve">”. </w:t>
      </w:r>
    </w:p>
    <w:p w14:paraId="5370FE15" w14:textId="4EF9ACD6" w:rsidR="000065A8" w:rsidRPr="002F036A" w:rsidRDefault="000065A8"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sidRPr="002F036A">
        <w:rPr>
          <w:rFonts w:ascii="Verdana" w:hAnsi="Verdana"/>
          <w:sz w:val="20"/>
          <w:szCs w:val="20"/>
        </w:rPr>
        <w:t xml:space="preserve">Visto lo anterior, la </w:t>
      </w:r>
      <w:r w:rsidRPr="002F036A">
        <w:rPr>
          <w:rFonts w:ascii="Verdana" w:hAnsi="Verdana"/>
          <w:b/>
          <w:i/>
          <w:sz w:val="20"/>
          <w:szCs w:val="20"/>
        </w:rPr>
        <w:t>Corte</w:t>
      </w:r>
      <w:r w:rsidRPr="002F036A">
        <w:rPr>
          <w:rFonts w:ascii="Verdana" w:hAnsi="Verdana"/>
          <w:sz w:val="20"/>
          <w:szCs w:val="20"/>
        </w:rPr>
        <w:t xml:space="preserve"> recuerda que la presentación de argumentos finales escritos de las partes y observaciones de la Comisión no permite la presentación de nueva prueba, siendo la excepción a ello, lo previsto en los artículos 57 y 58 del Reglamento de la Corte, aplicable a causas de fuerza mayor o impedimento grave, si esta prueba se refiere a un hecho ocurrido con posterioridad a los momentos procesales oportunos o si esta fue solicitada como prueba para mejor resolver por este Tribunal. En este sentido, la Corte nota que </w:t>
      </w:r>
      <w:r w:rsidR="00687FF0">
        <w:rPr>
          <w:rFonts w:ascii="Verdana" w:hAnsi="Verdana"/>
          <w:sz w:val="20"/>
          <w:szCs w:val="20"/>
        </w:rPr>
        <w:t xml:space="preserve">el representante </w:t>
      </w:r>
      <w:r w:rsidRPr="002F036A">
        <w:rPr>
          <w:rFonts w:ascii="Verdana" w:hAnsi="Verdana"/>
          <w:sz w:val="20"/>
          <w:szCs w:val="20"/>
        </w:rPr>
        <w:t>no remiti</w:t>
      </w:r>
      <w:r w:rsidR="00687FF0">
        <w:rPr>
          <w:rFonts w:ascii="Verdana" w:hAnsi="Verdana"/>
          <w:sz w:val="20"/>
          <w:szCs w:val="20"/>
        </w:rPr>
        <w:t>ó</w:t>
      </w:r>
      <w:r w:rsidRPr="002F036A">
        <w:rPr>
          <w:rFonts w:ascii="Verdana" w:hAnsi="Verdana"/>
          <w:sz w:val="20"/>
          <w:szCs w:val="20"/>
        </w:rPr>
        <w:t xml:space="preserve"> dicha prueba en el momento procesal oportuno, por lo que dicha remisión no se encuadra en las causales reglamentarias antes referidas. </w:t>
      </w:r>
    </w:p>
    <w:p w14:paraId="57D2AAF1" w14:textId="299C75B0" w:rsidR="00414121" w:rsidRPr="00972D9D" w:rsidRDefault="000065A8"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sidRPr="002F036A">
        <w:rPr>
          <w:rFonts w:ascii="Verdana" w:hAnsi="Verdana"/>
          <w:sz w:val="20"/>
          <w:szCs w:val="20"/>
        </w:rPr>
        <w:t>En consecuencia, la Corte rechaza los documentos de prueba remitidos como anexos a los alegatos finales de</w:t>
      </w:r>
      <w:r w:rsidR="0089613C">
        <w:rPr>
          <w:rFonts w:ascii="Verdana" w:hAnsi="Verdana"/>
          <w:sz w:val="20"/>
          <w:szCs w:val="20"/>
        </w:rPr>
        <w:t>l</w:t>
      </w:r>
      <w:r w:rsidR="00BB5287" w:rsidRPr="002F036A">
        <w:rPr>
          <w:rFonts w:ascii="Verdana" w:hAnsi="Verdana"/>
          <w:sz w:val="20"/>
          <w:szCs w:val="20"/>
        </w:rPr>
        <w:t xml:space="preserve"> representante</w:t>
      </w:r>
      <w:r w:rsidRPr="002F036A">
        <w:rPr>
          <w:rFonts w:ascii="Verdana" w:hAnsi="Verdana"/>
          <w:sz w:val="20"/>
          <w:szCs w:val="20"/>
        </w:rPr>
        <w:t xml:space="preserve">. </w:t>
      </w:r>
    </w:p>
    <w:p w14:paraId="0BF9D6D5" w14:textId="171C4612" w:rsidR="00414121" w:rsidRPr="00972D9D" w:rsidRDefault="001C05D8" w:rsidP="00972D9D">
      <w:pPr>
        <w:keepNext/>
        <w:keepLines/>
        <w:numPr>
          <w:ilvl w:val="0"/>
          <w:numId w:val="37"/>
        </w:numPr>
        <w:spacing w:before="120" w:after="120" w:line="240" w:lineRule="auto"/>
        <w:ind w:left="567" w:hanging="283"/>
        <w:jc w:val="both"/>
        <w:outlineLvl w:val="1"/>
        <w:rPr>
          <w:rFonts w:ascii="Verdana" w:eastAsia="Times New Roman" w:hAnsi="Verdana" w:cs="Times New Roman"/>
          <w:b/>
          <w:bCs/>
          <w:i/>
          <w:sz w:val="20"/>
          <w:szCs w:val="20"/>
          <w:lang w:val="es-ES_tradnl"/>
        </w:rPr>
      </w:pPr>
      <w:bookmarkStart w:id="42" w:name="_Toc20755717"/>
      <w:r w:rsidRPr="00422F8E">
        <w:rPr>
          <w:rFonts w:ascii="Verdana" w:eastAsia="Times New Roman" w:hAnsi="Verdana" w:cs="Times New Roman"/>
          <w:b/>
          <w:bCs/>
          <w:i/>
          <w:sz w:val="20"/>
          <w:szCs w:val="20"/>
          <w:lang w:val="es-ES_tradnl"/>
        </w:rPr>
        <w:lastRenderedPageBreak/>
        <w:t>Admisibilidad de la prueba testimonial y pericial</w:t>
      </w:r>
      <w:bookmarkEnd w:id="42"/>
      <w:r w:rsidRPr="00422F8E">
        <w:rPr>
          <w:rFonts w:ascii="Verdana" w:eastAsia="Times New Roman" w:hAnsi="Verdana" w:cs="Times New Roman"/>
          <w:b/>
          <w:bCs/>
          <w:i/>
          <w:sz w:val="20"/>
          <w:szCs w:val="20"/>
          <w:lang w:val="es-ES_tradnl"/>
        </w:rPr>
        <w:t xml:space="preserve">  </w:t>
      </w:r>
    </w:p>
    <w:p w14:paraId="5ABE53A4" w14:textId="1C9C4C1F" w:rsidR="009D3559" w:rsidRPr="00422F8E" w:rsidRDefault="001C05D8" w:rsidP="00422F8E">
      <w:pPr>
        <w:widowControl w:val="0"/>
        <w:numPr>
          <w:ilvl w:val="0"/>
          <w:numId w:val="13"/>
        </w:numPr>
        <w:tabs>
          <w:tab w:val="left" w:pos="567"/>
          <w:tab w:val="num" w:pos="12305"/>
        </w:tabs>
        <w:adjustRightInd w:val="0"/>
        <w:spacing w:after="0" w:line="240" w:lineRule="auto"/>
        <w:ind w:left="0" w:firstLine="0"/>
        <w:jc w:val="both"/>
        <w:textAlignment w:val="baseline"/>
        <w:rPr>
          <w:rFonts w:ascii="Verdana" w:hAnsi="Verdana"/>
          <w:sz w:val="20"/>
          <w:szCs w:val="20"/>
        </w:rPr>
      </w:pPr>
      <w:r w:rsidRPr="002F036A">
        <w:rPr>
          <w:rFonts w:ascii="Verdana" w:hAnsi="Verdana"/>
          <w:sz w:val="20"/>
          <w:szCs w:val="20"/>
        </w:rPr>
        <w:t>La Corte hace notar que durante la tramitación del presente caso no se recibió prueba testimonial ni pericial</w:t>
      </w:r>
      <w:r w:rsidR="00B552FF" w:rsidRPr="002F036A">
        <w:rPr>
          <w:rStyle w:val="Refdenotaalpie"/>
          <w:rFonts w:ascii="Verdana" w:hAnsi="Verdana"/>
          <w:sz w:val="20"/>
          <w:szCs w:val="20"/>
        </w:rPr>
        <w:footnoteReference w:id="26"/>
      </w:r>
      <w:bookmarkStart w:id="43" w:name="_Toc494123977"/>
      <w:r w:rsidR="00422F8E">
        <w:rPr>
          <w:rFonts w:ascii="Verdana" w:hAnsi="Verdana"/>
          <w:sz w:val="20"/>
          <w:szCs w:val="20"/>
        </w:rPr>
        <w:t xml:space="preserve">. </w:t>
      </w:r>
    </w:p>
    <w:p w14:paraId="50BE3CD1" w14:textId="77777777" w:rsidR="001C05D8" w:rsidRPr="002F036A" w:rsidRDefault="001C05D8" w:rsidP="00972D9D">
      <w:pPr>
        <w:keepNext/>
        <w:keepLines/>
        <w:tabs>
          <w:tab w:val="left" w:pos="851"/>
        </w:tabs>
        <w:spacing w:after="0" w:line="240" w:lineRule="auto"/>
        <w:jc w:val="center"/>
        <w:outlineLvl w:val="0"/>
        <w:rPr>
          <w:rFonts w:ascii="Verdana" w:eastAsia="Times New Roman" w:hAnsi="Verdana" w:cs="Verdana"/>
          <w:b/>
          <w:bCs/>
          <w:caps/>
          <w:snapToGrid w:val="0"/>
          <w:sz w:val="20"/>
          <w:szCs w:val="20"/>
          <w:lang w:val="es-ES_tradnl"/>
        </w:rPr>
      </w:pPr>
      <w:bookmarkStart w:id="44" w:name="_Toc20755718"/>
      <w:r w:rsidRPr="002F036A">
        <w:rPr>
          <w:rFonts w:ascii="Verdana" w:eastAsia="Times New Roman" w:hAnsi="Verdana" w:cs="Verdana"/>
          <w:b/>
          <w:bCs/>
          <w:caps/>
          <w:snapToGrid w:val="0"/>
          <w:sz w:val="20"/>
          <w:szCs w:val="20"/>
          <w:lang w:val="es-ES_tradnl"/>
        </w:rPr>
        <w:t>Vi</w:t>
      </w:r>
      <w:r w:rsidRPr="002F036A">
        <w:rPr>
          <w:rFonts w:ascii="Verdana" w:eastAsia="Times New Roman" w:hAnsi="Verdana" w:cs="Verdana"/>
          <w:b/>
          <w:bCs/>
          <w:caps/>
          <w:snapToGrid w:val="0"/>
          <w:sz w:val="20"/>
          <w:szCs w:val="20"/>
          <w:lang w:val="es-ES_tradnl"/>
        </w:rPr>
        <w:br/>
        <w:t>hechos</w:t>
      </w:r>
      <w:bookmarkEnd w:id="43"/>
      <w:bookmarkEnd w:id="44"/>
    </w:p>
    <w:p w14:paraId="50BE3CD2" w14:textId="725B9875" w:rsidR="001C05D8" w:rsidRPr="00972D9D" w:rsidRDefault="001C05D8"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eastAsia="Times New Roman" w:hAnsi="Verdana" w:cs="Verdana"/>
          <w:sz w:val="20"/>
          <w:szCs w:val="20"/>
          <w:lang w:val="es-ES" w:eastAsia="es-MX"/>
        </w:rPr>
      </w:pPr>
      <w:r w:rsidRPr="00972D9D">
        <w:rPr>
          <w:rFonts w:ascii="Verdana" w:hAnsi="Verdana"/>
          <w:sz w:val="20"/>
          <w:szCs w:val="20"/>
        </w:rPr>
        <w:t xml:space="preserve">En el presente capítulo se establecerán los hechos del presente caso, </w:t>
      </w:r>
      <w:r w:rsidR="00CC60F6" w:rsidRPr="00972D9D">
        <w:rPr>
          <w:rFonts w:ascii="Verdana" w:hAnsi="Verdana"/>
          <w:sz w:val="20"/>
          <w:szCs w:val="20"/>
        </w:rPr>
        <w:t>los cuales</w:t>
      </w:r>
      <w:r w:rsidRPr="00972D9D">
        <w:rPr>
          <w:rFonts w:ascii="Verdana" w:hAnsi="Verdana"/>
          <w:sz w:val="20"/>
          <w:szCs w:val="20"/>
        </w:rPr>
        <w:t xml:space="preserve"> </w:t>
      </w:r>
      <w:r w:rsidR="00CC60F6" w:rsidRPr="00972D9D">
        <w:rPr>
          <w:rFonts w:ascii="Verdana" w:hAnsi="Verdana"/>
          <w:sz w:val="20"/>
          <w:szCs w:val="20"/>
        </w:rPr>
        <w:t>no</w:t>
      </w:r>
      <w:r w:rsidRPr="00972D9D">
        <w:rPr>
          <w:rFonts w:ascii="Verdana" w:hAnsi="Verdana"/>
          <w:sz w:val="20"/>
          <w:szCs w:val="20"/>
        </w:rPr>
        <w:t xml:space="preserve"> fue</w:t>
      </w:r>
      <w:r w:rsidR="00CC60F6" w:rsidRPr="00972D9D">
        <w:rPr>
          <w:rFonts w:ascii="Verdana" w:hAnsi="Verdana"/>
          <w:sz w:val="20"/>
          <w:szCs w:val="20"/>
        </w:rPr>
        <w:t>ron</w:t>
      </w:r>
      <w:r w:rsidRPr="00972D9D">
        <w:rPr>
          <w:rFonts w:ascii="Verdana" w:hAnsi="Verdana"/>
          <w:sz w:val="20"/>
          <w:szCs w:val="20"/>
        </w:rPr>
        <w:t xml:space="preserve"> controvertido</w:t>
      </w:r>
      <w:r w:rsidR="00CC60F6" w:rsidRPr="00972D9D">
        <w:rPr>
          <w:rFonts w:ascii="Verdana" w:hAnsi="Verdana"/>
          <w:sz w:val="20"/>
          <w:szCs w:val="20"/>
        </w:rPr>
        <w:t>s</w:t>
      </w:r>
      <w:r w:rsidRPr="00972D9D">
        <w:rPr>
          <w:rFonts w:ascii="Verdana" w:hAnsi="Verdana"/>
          <w:sz w:val="20"/>
          <w:szCs w:val="20"/>
        </w:rPr>
        <w:t xml:space="preserve"> por las partes con base en </w:t>
      </w:r>
      <w:r w:rsidRPr="00972D9D">
        <w:rPr>
          <w:rFonts w:ascii="Verdana" w:hAnsi="Verdana"/>
          <w:sz w:val="20"/>
          <w:szCs w:val="20"/>
          <w:lang w:val="es-CR"/>
        </w:rPr>
        <w:t xml:space="preserve">el marco fáctico sometido al conocimiento de la Corte por la Comisión, tomando en consideración el acervo probatorio en vista del Tribunal, lo alegado por </w:t>
      </w:r>
      <w:r w:rsidR="00687FF0">
        <w:rPr>
          <w:rFonts w:ascii="Verdana" w:hAnsi="Verdana"/>
          <w:sz w:val="20"/>
          <w:szCs w:val="20"/>
          <w:lang w:val="es-CR"/>
        </w:rPr>
        <w:t xml:space="preserve">el representante </w:t>
      </w:r>
      <w:r w:rsidRPr="00972D9D">
        <w:rPr>
          <w:rFonts w:ascii="Verdana" w:hAnsi="Verdana"/>
          <w:sz w:val="20"/>
          <w:szCs w:val="20"/>
          <w:lang w:val="es-CR"/>
        </w:rPr>
        <w:t xml:space="preserve">y el Estado. Por consiguiente, los mismos serán expuestos conforme a los apartados siguientes: a) Sobre Elba Clotilde Perrone y Juan José Preckel; b) </w:t>
      </w:r>
      <w:r w:rsidR="00C022DE" w:rsidRPr="00972D9D">
        <w:rPr>
          <w:rFonts w:ascii="Verdana" w:hAnsi="Verdana"/>
          <w:sz w:val="20"/>
          <w:szCs w:val="20"/>
          <w:lang w:val="es-CR"/>
        </w:rPr>
        <w:t>Antecedentes contextuales (fuera de competencia): sobre</w:t>
      </w:r>
      <w:r w:rsidRPr="00972D9D">
        <w:rPr>
          <w:rFonts w:ascii="Verdana" w:hAnsi="Verdana"/>
          <w:sz w:val="20"/>
          <w:szCs w:val="20"/>
          <w:lang w:val="es-CR"/>
        </w:rPr>
        <w:t xml:space="preserve"> las detenciones de Elba Clotilde Perrone y Juan José Preckel en 1976; c) Relación laboral entre el Estado y las presuntas víctimas; d) Procedimientos administrativos; e) Procedimientos judiciales; f) Sobre las indemnizaciones recibidas por las presuntas víctimas a través de la Ley 24.043 (Indemnización para Ex Detenidos), y g) Otros actos internos.</w:t>
      </w:r>
    </w:p>
    <w:p w14:paraId="50BE3CD3" w14:textId="77777777" w:rsidR="001C05D8" w:rsidRPr="00972D9D" w:rsidRDefault="001C05D8" w:rsidP="00972D9D">
      <w:pPr>
        <w:keepNext/>
        <w:keepLines/>
        <w:numPr>
          <w:ilvl w:val="0"/>
          <w:numId w:val="38"/>
        </w:numPr>
        <w:spacing w:before="120" w:after="120" w:line="240" w:lineRule="auto"/>
        <w:ind w:left="567" w:hanging="283"/>
        <w:jc w:val="both"/>
        <w:outlineLvl w:val="1"/>
        <w:rPr>
          <w:rFonts w:ascii="Verdana" w:eastAsia="Times New Roman" w:hAnsi="Verdana" w:cs="Times New Roman"/>
          <w:b/>
          <w:bCs/>
          <w:i/>
          <w:sz w:val="20"/>
          <w:szCs w:val="20"/>
          <w:lang w:val="es-ES_tradnl"/>
        </w:rPr>
      </w:pPr>
      <w:bookmarkStart w:id="45" w:name="_Toc526774151"/>
      <w:bookmarkStart w:id="46" w:name="_Toc526777483"/>
      <w:bookmarkStart w:id="47" w:name="_Toc526783762"/>
      <w:bookmarkStart w:id="48" w:name="_Toc532995333"/>
      <w:bookmarkStart w:id="49" w:name="_Toc20755719"/>
      <w:r w:rsidRPr="00972D9D">
        <w:rPr>
          <w:rFonts w:ascii="Verdana" w:eastAsia="Times New Roman" w:hAnsi="Verdana" w:cs="Times New Roman"/>
          <w:b/>
          <w:bCs/>
          <w:i/>
          <w:sz w:val="20"/>
          <w:szCs w:val="20"/>
          <w:lang w:val="es-ES_tradnl"/>
        </w:rPr>
        <w:t xml:space="preserve">Sobre Elba Clotilde Perrone y Juan José </w:t>
      </w:r>
      <w:proofErr w:type="spellStart"/>
      <w:r w:rsidRPr="00972D9D">
        <w:rPr>
          <w:rFonts w:ascii="Verdana" w:eastAsia="Times New Roman" w:hAnsi="Verdana" w:cs="Times New Roman"/>
          <w:b/>
          <w:bCs/>
          <w:i/>
          <w:sz w:val="20"/>
          <w:szCs w:val="20"/>
          <w:lang w:val="es-ES_tradnl"/>
        </w:rPr>
        <w:t>Preckel</w:t>
      </w:r>
      <w:bookmarkEnd w:id="45"/>
      <w:bookmarkEnd w:id="46"/>
      <w:bookmarkEnd w:id="47"/>
      <w:bookmarkEnd w:id="48"/>
      <w:bookmarkEnd w:id="49"/>
      <w:proofErr w:type="spellEnd"/>
    </w:p>
    <w:p w14:paraId="50BE3CD4" w14:textId="37A08910" w:rsidR="001C05D8" w:rsidRPr="00972D9D" w:rsidRDefault="009F3ECA"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sidRPr="00972D9D">
        <w:rPr>
          <w:rFonts w:ascii="Verdana" w:hAnsi="Verdana"/>
          <w:sz w:val="20"/>
          <w:szCs w:val="20"/>
        </w:rPr>
        <w:t>Elba Cl</w:t>
      </w:r>
      <w:r w:rsidR="001C05D8" w:rsidRPr="00972D9D">
        <w:rPr>
          <w:rFonts w:ascii="Verdana" w:hAnsi="Verdana"/>
          <w:sz w:val="20"/>
          <w:szCs w:val="20"/>
        </w:rPr>
        <w:t>otilde Perrone Olague nació el 21 de mayo de 1946</w:t>
      </w:r>
      <w:r w:rsidR="001C05D8" w:rsidRPr="00972D9D">
        <w:rPr>
          <w:rFonts w:ascii="Verdana" w:hAnsi="Verdana"/>
          <w:sz w:val="20"/>
          <w:szCs w:val="20"/>
          <w:vertAlign w:val="superscript"/>
        </w:rPr>
        <w:footnoteReference w:id="27"/>
      </w:r>
      <w:r w:rsidR="001C05D8" w:rsidRPr="00972D9D">
        <w:rPr>
          <w:rFonts w:ascii="Verdana" w:hAnsi="Verdana"/>
          <w:sz w:val="20"/>
          <w:szCs w:val="20"/>
        </w:rPr>
        <w:t xml:space="preserve">, originaria de Bahía Blanca, Argentina. </w:t>
      </w:r>
    </w:p>
    <w:p w14:paraId="50BE3CD5" w14:textId="77777777" w:rsidR="001C05D8" w:rsidRPr="00972D9D" w:rsidRDefault="001C05D8"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sidRPr="00972D9D">
        <w:rPr>
          <w:rFonts w:ascii="Verdana" w:hAnsi="Verdana"/>
          <w:sz w:val="20"/>
          <w:szCs w:val="20"/>
        </w:rPr>
        <w:t>Juan José Preckel Russo nació el 6 de agosto de 1953</w:t>
      </w:r>
      <w:r w:rsidRPr="00972D9D">
        <w:rPr>
          <w:rStyle w:val="Refdenotaalpie"/>
          <w:rFonts w:ascii="Verdana" w:hAnsi="Verdana"/>
          <w:sz w:val="20"/>
          <w:szCs w:val="20"/>
        </w:rPr>
        <w:footnoteReference w:id="28"/>
      </w:r>
      <w:r w:rsidRPr="00972D9D">
        <w:rPr>
          <w:rFonts w:ascii="Verdana" w:hAnsi="Verdana"/>
          <w:sz w:val="20"/>
          <w:szCs w:val="20"/>
        </w:rPr>
        <w:t>, originario de Ayacucho, Provincia de Buenos Aires, Argentina.</w:t>
      </w:r>
    </w:p>
    <w:p w14:paraId="50BE3CD6" w14:textId="36A06E94" w:rsidR="001C05D8" w:rsidRPr="00972D9D" w:rsidRDefault="001C05D8"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sidRPr="00972D9D">
        <w:rPr>
          <w:rFonts w:ascii="Verdana" w:hAnsi="Verdana"/>
          <w:sz w:val="20"/>
          <w:szCs w:val="20"/>
        </w:rPr>
        <w:t xml:space="preserve">Las presuntas víctimas trabajaban </w:t>
      </w:r>
      <w:r w:rsidR="00C022DE" w:rsidRPr="00972D9D">
        <w:rPr>
          <w:rFonts w:ascii="Verdana" w:hAnsi="Verdana"/>
          <w:sz w:val="20"/>
          <w:szCs w:val="20"/>
        </w:rPr>
        <w:t xml:space="preserve">como funcionarios </w:t>
      </w:r>
      <w:r w:rsidRPr="00972D9D">
        <w:rPr>
          <w:rFonts w:ascii="Verdana" w:hAnsi="Verdana"/>
          <w:sz w:val="20"/>
          <w:szCs w:val="20"/>
        </w:rPr>
        <w:t>en la Dirección General Impositiva (en adelante “DGI”), Elba Clotilde Perrone pertenecía al Grupo 11, función 2</w:t>
      </w:r>
      <w:r w:rsidRPr="00972D9D">
        <w:rPr>
          <w:rStyle w:val="Refdenotaalpie"/>
          <w:rFonts w:ascii="Verdana" w:hAnsi="Verdana"/>
          <w:sz w:val="20"/>
          <w:szCs w:val="20"/>
        </w:rPr>
        <w:footnoteReference w:id="29"/>
      </w:r>
      <w:r w:rsidRPr="00972D9D">
        <w:rPr>
          <w:rFonts w:ascii="Verdana" w:hAnsi="Verdana"/>
          <w:sz w:val="20"/>
          <w:szCs w:val="20"/>
        </w:rPr>
        <w:t xml:space="preserve"> y Juan José Preckel al Grupo 41, función 1</w:t>
      </w:r>
      <w:r w:rsidRPr="00972D9D">
        <w:rPr>
          <w:rStyle w:val="Refdenotaalpie"/>
          <w:rFonts w:ascii="Verdana" w:hAnsi="Verdana"/>
          <w:sz w:val="20"/>
          <w:szCs w:val="20"/>
        </w:rPr>
        <w:footnoteReference w:id="30"/>
      </w:r>
      <w:r w:rsidRPr="00972D9D">
        <w:rPr>
          <w:rFonts w:ascii="Verdana" w:hAnsi="Verdana"/>
          <w:sz w:val="20"/>
          <w:szCs w:val="20"/>
        </w:rPr>
        <w:t>. La DGI es un órgano que forma parte de la Administración Federal de Ingresos Públicos (AFIP)</w:t>
      </w:r>
      <w:r w:rsidRPr="00972D9D">
        <w:rPr>
          <w:rStyle w:val="Refdenotaalpie"/>
          <w:rFonts w:ascii="Verdana" w:hAnsi="Verdana"/>
          <w:sz w:val="20"/>
          <w:szCs w:val="20"/>
        </w:rPr>
        <w:footnoteReference w:id="31"/>
      </w:r>
      <w:r w:rsidRPr="00972D9D">
        <w:rPr>
          <w:rFonts w:ascii="Verdana" w:hAnsi="Verdana"/>
          <w:sz w:val="20"/>
          <w:szCs w:val="20"/>
        </w:rPr>
        <w:t xml:space="preserve"> y que tiene como funciones la aplicación, percepción, recaudación y fiscalización de impuestos del Estado. Dicha dependencia, a inicios de julio de</w:t>
      </w:r>
      <w:r w:rsidR="009F3ECA" w:rsidRPr="00972D9D">
        <w:rPr>
          <w:rFonts w:ascii="Verdana" w:hAnsi="Verdana"/>
          <w:sz w:val="20"/>
          <w:szCs w:val="20"/>
        </w:rPr>
        <w:t xml:space="preserve"> 1976, pertenecía a la Secretaría</w:t>
      </w:r>
      <w:r w:rsidRPr="00972D9D">
        <w:rPr>
          <w:rFonts w:ascii="Verdana" w:hAnsi="Verdana"/>
          <w:sz w:val="20"/>
          <w:szCs w:val="20"/>
        </w:rPr>
        <w:t xml:space="preserve"> de Hacienda. </w:t>
      </w:r>
    </w:p>
    <w:p w14:paraId="4D92A805" w14:textId="684B5EEA" w:rsidR="00D46C68" w:rsidRPr="00D46C68" w:rsidRDefault="00C022DE" w:rsidP="00F46AC0">
      <w:pPr>
        <w:keepNext/>
        <w:keepLines/>
        <w:numPr>
          <w:ilvl w:val="0"/>
          <w:numId w:val="38"/>
        </w:numPr>
        <w:spacing w:before="120" w:after="120" w:line="240" w:lineRule="auto"/>
        <w:ind w:left="567" w:hanging="283"/>
        <w:jc w:val="both"/>
        <w:outlineLvl w:val="1"/>
        <w:rPr>
          <w:rFonts w:ascii="Verdana" w:hAnsi="Verdana"/>
          <w:b/>
          <w:sz w:val="20"/>
          <w:szCs w:val="20"/>
        </w:rPr>
      </w:pPr>
      <w:bookmarkStart w:id="50" w:name="_Toc527561044"/>
      <w:bookmarkStart w:id="51" w:name="_Toc526774152"/>
      <w:bookmarkStart w:id="52" w:name="_Toc526777484"/>
      <w:bookmarkStart w:id="53" w:name="_Toc526783763"/>
      <w:bookmarkStart w:id="54" w:name="_Toc532995334"/>
      <w:bookmarkStart w:id="55" w:name="_Toc20755720"/>
      <w:r w:rsidRPr="00972D9D">
        <w:rPr>
          <w:rFonts w:ascii="Verdana" w:eastAsia="Times New Roman" w:hAnsi="Verdana" w:cs="Times New Roman"/>
          <w:b/>
          <w:bCs/>
          <w:i/>
          <w:sz w:val="20"/>
          <w:szCs w:val="20"/>
          <w:lang w:val="es-ES_tradnl"/>
        </w:rPr>
        <w:t>Antecedentes cont</w:t>
      </w:r>
      <w:r w:rsidRPr="0074561B">
        <w:rPr>
          <w:rFonts w:ascii="Verdana" w:eastAsia="Times New Roman" w:hAnsi="Verdana" w:cs="Times New Roman"/>
          <w:b/>
          <w:bCs/>
          <w:i/>
          <w:sz w:val="20"/>
          <w:szCs w:val="20"/>
          <w:lang w:val="es-ES_tradnl"/>
        </w:rPr>
        <w:t>ext</w:t>
      </w:r>
      <w:r w:rsidRPr="00972D9D">
        <w:rPr>
          <w:rFonts w:ascii="Verdana" w:eastAsia="Times New Roman" w:hAnsi="Verdana" w:cs="Times New Roman"/>
          <w:b/>
          <w:bCs/>
          <w:i/>
          <w:sz w:val="20"/>
          <w:szCs w:val="20"/>
          <w:lang w:val="es-ES_tradnl"/>
        </w:rPr>
        <w:t xml:space="preserve">uales: sobre </w:t>
      </w:r>
      <w:r w:rsidR="001C05D8" w:rsidRPr="00972D9D">
        <w:rPr>
          <w:rFonts w:ascii="Verdana" w:eastAsia="Times New Roman" w:hAnsi="Verdana" w:cs="Times New Roman"/>
          <w:b/>
          <w:bCs/>
          <w:i/>
          <w:sz w:val="20"/>
          <w:szCs w:val="20"/>
          <w:lang w:val="es-ES_tradnl"/>
        </w:rPr>
        <w:t xml:space="preserve">las detenciones de Elba Clotilde Perrone y Juan José </w:t>
      </w:r>
      <w:proofErr w:type="spellStart"/>
      <w:r w:rsidR="001C05D8" w:rsidRPr="00972D9D">
        <w:rPr>
          <w:rFonts w:ascii="Verdana" w:eastAsia="Times New Roman" w:hAnsi="Verdana" w:cs="Times New Roman"/>
          <w:b/>
          <w:bCs/>
          <w:i/>
          <w:sz w:val="20"/>
          <w:szCs w:val="20"/>
          <w:lang w:val="es-ES_tradnl"/>
        </w:rPr>
        <w:t>Preckel</w:t>
      </w:r>
      <w:proofErr w:type="spellEnd"/>
      <w:r w:rsidR="001C05D8" w:rsidRPr="00972D9D">
        <w:rPr>
          <w:rFonts w:ascii="Verdana" w:eastAsia="Times New Roman" w:hAnsi="Verdana" w:cs="Times New Roman"/>
          <w:b/>
          <w:bCs/>
          <w:i/>
          <w:sz w:val="20"/>
          <w:szCs w:val="20"/>
          <w:lang w:val="es-ES_tradnl"/>
        </w:rPr>
        <w:t xml:space="preserve"> </w:t>
      </w:r>
      <w:bookmarkEnd w:id="50"/>
      <w:bookmarkEnd w:id="51"/>
      <w:bookmarkEnd w:id="52"/>
      <w:bookmarkEnd w:id="53"/>
      <w:bookmarkEnd w:id="54"/>
      <w:r w:rsidR="001C05D8" w:rsidRPr="00972D9D">
        <w:rPr>
          <w:rFonts w:ascii="Verdana" w:eastAsia="Times New Roman" w:hAnsi="Verdana" w:cs="Times New Roman"/>
          <w:b/>
          <w:bCs/>
          <w:i/>
          <w:sz w:val="20"/>
          <w:szCs w:val="20"/>
          <w:lang w:val="es-ES_tradnl"/>
        </w:rPr>
        <w:t>en 1976</w:t>
      </w:r>
      <w:bookmarkEnd w:id="55"/>
      <w:r w:rsidR="001C05D8" w:rsidRPr="00972D9D">
        <w:rPr>
          <w:rFonts w:ascii="Verdana" w:eastAsia="Times New Roman" w:hAnsi="Verdana" w:cs="Times New Roman"/>
          <w:b/>
          <w:bCs/>
          <w:i/>
          <w:sz w:val="20"/>
          <w:szCs w:val="20"/>
          <w:lang w:val="es-ES_tradnl"/>
        </w:rPr>
        <w:t xml:space="preserve"> </w:t>
      </w:r>
      <w:r w:rsidR="00A237D8" w:rsidRPr="00D46C68">
        <w:rPr>
          <w:rFonts w:ascii="Verdana" w:hAnsi="Verdana"/>
          <w:b/>
          <w:sz w:val="20"/>
          <w:szCs w:val="20"/>
        </w:rPr>
        <w:t xml:space="preserve"> </w:t>
      </w:r>
    </w:p>
    <w:p w14:paraId="4190A24D" w14:textId="0CB2D9A9" w:rsidR="00D46C68" w:rsidRDefault="00D46C68"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Pr>
          <w:rFonts w:ascii="Verdana" w:hAnsi="Verdana"/>
          <w:sz w:val="20"/>
          <w:szCs w:val="20"/>
        </w:rPr>
        <w:t xml:space="preserve">Los </w:t>
      </w:r>
      <w:r w:rsidR="0075731A">
        <w:rPr>
          <w:rFonts w:ascii="Verdana" w:hAnsi="Verdana"/>
          <w:sz w:val="20"/>
          <w:szCs w:val="20"/>
        </w:rPr>
        <w:t xml:space="preserve">antecedentes contextuales </w:t>
      </w:r>
      <w:r>
        <w:rPr>
          <w:rFonts w:ascii="Verdana" w:hAnsi="Verdana"/>
          <w:sz w:val="20"/>
          <w:szCs w:val="20"/>
        </w:rPr>
        <w:t xml:space="preserve">del presente caso </w:t>
      </w:r>
      <w:r w:rsidR="00EE4614">
        <w:rPr>
          <w:rFonts w:ascii="Verdana" w:hAnsi="Verdana"/>
          <w:sz w:val="20"/>
          <w:szCs w:val="20"/>
        </w:rPr>
        <w:t xml:space="preserve">tuvieron lugar </w:t>
      </w:r>
      <w:r w:rsidR="002319DD">
        <w:rPr>
          <w:rFonts w:ascii="Verdana" w:hAnsi="Verdana"/>
          <w:sz w:val="20"/>
          <w:szCs w:val="20"/>
        </w:rPr>
        <w:t xml:space="preserve">durante </w:t>
      </w:r>
      <w:r w:rsidR="0075731A">
        <w:rPr>
          <w:rFonts w:ascii="Verdana" w:hAnsi="Verdana"/>
          <w:sz w:val="20"/>
          <w:szCs w:val="20"/>
        </w:rPr>
        <w:t>la dictadura militar que gobernó Argentina desde 1976, durante la cual agentes estatales cometieron un conjunto de violaciones a los derechos humanos de la población y que llegó a su fin en diciembre de 1983, momento en el cual Raúl Alfonsín asumió el poder, al convertirse en Presidente de la República Argentina.</w:t>
      </w:r>
    </w:p>
    <w:p w14:paraId="126499B2" w14:textId="6833BFE4" w:rsidR="00D46C68" w:rsidRPr="00972D9D" w:rsidRDefault="0075731A"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Pr>
          <w:rFonts w:ascii="Verdana" w:hAnsi="Verdana"/>
          <w:sz w:val="20"/>
          <w:szCs w:val="20"/>
        </w:rPr>
        <w:t>E</w:t>
      </w:r>
      <w:r w:rsidR="00D46C68" w:rsidRPr="00972D9D">
        <w:rPr>
          <w:rFonts w:ascii="Verdana" w:hAnsi="Verdana"/>
          <w:sz w:val="20"/>
          <w:szCs w:val="20"/>
        </w:rPr>
        <w:t>l 6 de julio de 1976 un grupo de personas vestidas de civil</w:t>
      </w:r>
      <w:r w:rsidR="00D46C68">
        <w:rPr>
          <w:rFonts w:ascii="Verdana" w:hAnsi="Verdana"/>
          <w:sz w:val="20"/>
          <w:szCs w:val="20"/>
        </w:rPr>
        <w:t>es</w:t>
      </w:r>
      <w:r w:rsidR="00D46C68" w:rsidRPr="00972D9D">
        <w:rPr>
          <w:rFonts w:ascii="Verdana" w:hAnsi="Verdana"/>
          <w:sz w:val="20"/>
          <w:szCs w:val="20"/>
        </w:rPr>
        <w:t xml:space="preserve"> ingresaron a los domicilios de las presuntas víctimas, en la ciudad de Mar del Plata, Provincia de Buenos Aires, quienes los acusaron, según sus declaraciones, de ser “subversivos” y de “atentar contra la seguridad nacional”. Las presuntas víctimas permanecieron detenidas en distintas dependencias policiales y militares.</w:t>
      </w:r>
    </w:p>
    <w:p w14:paraId="50BE3CD9" w14:textId="43421C23" w:rsidR="001C05D8" w:rsidRPr="00972D9D" w:rsidRDefault="001C05D8"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sidRPr="00972D9D">
        <w:rPr>
          <w:rFonts w:ascii="Verdana" w:hAnsi="Verdana"/>
          <w:sz w:val="20"/>
          <w:szCs w:val="20"/>
        </w:rPr>
        <w:t xml:space="preserve">No obstante, fue hasta el 18 de marzo de 1977 que se informó a las presuntas víctimas que </w:t>
      </w:r>
      <w:r w:rsidRPr="00972D9D">
        <w:rPr>
          <w:rFonts w:ascii="Verdana" w:hAnsi="Verdana"/>
          <w:sz w:val="20"/>
          <w:szCs w:val="20"/>
        </w:rPr>
        <w:lastRenderedPageBreak/>
        <w:t>su detención había sido ordenada a través del Decreto del Poder Ejecutivo Nacional N°. 484</w:t>
      </w:r>
      <w:r w:rsidRPr="00972D9D">
        <w:rPr>
          <w:rStyle w:val="Refdenotaalpie"/>
          <w:rFonts w:ascii="Verdana" w:hAnsi="Verdana"/>
          <w:sz w:val="20"/>
          <w:szCs w:val="20"/>
        </w:rPr>
        <w:footnoteReference w:id="32"/>
      </w:r>
      <w:r w:rsidRPr="00972D9D">
        <w:rPr>
          <w:rFonts w:ascii="Verdana" w:hAnsi="Verdana"/>
          <w:sz w:val="20"/>
          <w:szCs w:val="20"/>
        </w:rPr>
        <w:t xml:space="preserve"> de 23 de febrero de 1977. </w:t>
      </w:r>
    </w:p>
    <w:p w14:paraId="50BE3CDA" w14:textId="45B85A67" w:rsidR="001C05D8" w:rsidRPr="00972D9D" w:rsidRDefault="001C05D8"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sidRPr="00972D9D">
        <w:rPr>
          <w:rFonts w:ascii="Verdana" w:hAnsi="Verdana"/>
          <w:sz w:val="20"/>
          <w:szCs w:val="20"/>
        </w:rPr>
        <w:t>La señora Perrone declaró posteriormente que continuó arrestada en diferentes centros de reclusión, como lo fueron la Unidad 8 de Olmos en la Ciudad de la Plata, Provincia de Buenos Aires y la Unidad 2 de Villa Devoto</w:t>
      </w:r>
      <w:r w:rsidRPr="00972D9D">
        <w:rPr>
          <w:rStyle w:val="Refdenotaalpie"/>
          <w:rFonts w:ascii="Verdana" w:hAnsi="Verdana"/>
          <w:sz w:val="20"/>
          <w:szCs w:val="20"/>
        </w:rPr>
        <w:footnoteReference w:id="33"/>
      </w:r>
      <w:r w:rsidRPr="00972D9D">
        <w:rPr>
          <w:rFonts w:ascii="Verdana" w:hAnsi="Verdana"/>
          <w:sz w:val="20"/>
          <w:szCs w:val="20"/>
        </w:rPr>
        <w:t>; quedando a disposición del Poder Ejecutivo Nacional (en adelante “PEN”)</w:t>
      </w:r>
      <w:r w:rsidRPr="00972D9D">
        <w:rPr>
          <w:rStyle w:val="Refdenotaalpie"/>
          <w:rFonts w:ascii="Verdana" w:hAnsi="Verdana"/>
          <w:sz w:val="20"/>
          <w:szCs w:val="20"/>
        </w:rPr>
        <w:footnoteReference w:id="34"/>
      </w:r>
      <w:r w:rsidRPr="00972D9D">
        <w:rPr>
          <w:rFonts w:ascii="Verdana" w:hAnsi="Verdana"/>
          <w:sz w:val="20"/>
          <w:szCs w:val="20"/>
        </w:rPr>
        <w:t xml:space="preserve"> hasta el 16 de octubre de 1982</w:t>
      </w:r>
      <w:r w:rsidRPr="00972D9D">
        <w:rPr>
          <w:rStyle w:val="Refdenotaalpie"/>
          <w:rFonts w:ascii="Verdana" w:hAnsi="Verdana"/>
          <w:sz w:val="20"/>
          <w:szCs w:val="20"/>
        </w:rPr>
        <w:footnoteReference w:id="35"/>
      </w:r>
      <w:r w:rsidRPr="00972D9D">
        <w:rPr>
          <w:rFonts w:ascii="Verdana" w:hAnsi="Verdana"/>
          <w:sz w:val="20"/>
          <w:szCs w:val="20"/>
        </w:rPr>
        <w:t>, cuando fue notificada por el Jefe de División Judicial sobre la modificación de su estado; pasando al régimen de libertad vigilada con la obligación de presentarse cada tres días ante las autoridades militares o policiales, así como de abstenerse de participar en reuniones públicas o privadas de cualquier naturaleza, entre otras. Dicha situación se mantuvo hasta el 25 de julio de 1983, fecha en que cesó por completo la puesta a disposición por parte del PEN mediante el Decreto No. 1859</w:t>
      </w:r>
      <w:r w:rsidRPr="00972D9D">
        <w:rPr>
          <w:rStyle w:val="Refdenotaalpie"/>
          <w:rFonts w:ascii="Verdana" w:hAnsi="Verdana"/>
          <w:sz w:val="20"/>
          <w:szCs w:val="20"/>
        </w:rPr>
        <w:footnoteReference w:id="36"/>
      </w:r>
      <w:r w:rsidRPr="00972D9D">
        <w:rPr>
          <w:rFonts w:ascii="Verdana" w:hAnsi="Verdana"/>
          <w:sz w:val="20"/>
          <w:szCs w:val="20"/>
        </w:rPr>
        <w:t>. La presunta víctima manifestó que intentó hacer uso de su derecho de opción de salida del país en diversas ocasiones, pero que su solicitud fue denegada en todas ellas.</w:t>
      </w:r>
    </w:p>
    <w:p w14:paraId="50BE3CDB" w14:textId="23A108FF" w:rsidR="001C05D8" w:rsidRPr="00972D9D" w:rsidRDefault="001C05D8"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sidRPr="00972D9D">
        <w:rPr>
          <w:rFonts w:ascii="Verdana" w:hAnsi="Verdana"/>
          <w:sz w:val="20"/>
          <w:szCs w:val="20"/>
        </w:rPr>
        <w:t>De acuerdo</w:t>
      </w:r>
      <w:r w:rsidR="00C022DE" w:rsidRPr="00972D9D">
        <w:rPr>
          <w:rFonts w:ascii="Verdana" w:hAnsi="Verdana"/>
          <w:sz w:val="20"/>
          <w:szCs w:val="20"/>
        </w:rPr>
        <w:t xml:space="preserve"> con las declaraciones de</w:t>
      </w:r>
      <w:r w:rsidRPr="00972D9D">
        <w:rPr>
          <w:rFonts w:ascii="Verdana" w:hAnsi="Verdana"/>
          <w:sz w:val="20"/>
          <w:szCs w:val="20"/>
        </w:rPr>
        <w:t xml:space="preserve"> la señora Perrone, en el tiempo de su detención sufrió “</w:t>
      </w:r>
      <w:r w:rsidR="0006007C">
        <w:rPr>
          <w:rFonts w:ascii="Verdana" w:hAnsi="Verdana"/>
          <w:sz w:val="20"/>
          <w:szCs w:val="20"/>
        </w:rPr>
        <w:t xml:space="preserve">[…] </w:t>
      </w:r>
      <w:r w:rsidRPr="00972D9D">
        <w:rPr>
          <w:rFonts w:ascii="Verdana" w:hAnsi="Verdana"/>
          <w:sz w:val="20"/>
          <w:szCs w:val="20"/>
        </w:rPr>
        <w:t>tortura psicológica que consistía</w:t>
      </w:r>
      <w:r w:rsidR="0006007C">
        <w:rPr>
          <w:rFonts w:ascii="Verdana" w:hAnsi="Verdana"/>
          <w:sz w:val="20"/>
          <w:szCs w:val="20"/>
        </w:rPr>
        <w:t>[,]</w:t>
      </w:r>
      <w:r w:rsidRPr="00972D9D">
        <w:rPr>
          <w:rFonts w:ascii="Verdana" w:hAnsi="Verdana"/>
          <w:sz w:val="20"/>
          <w:szCs w:val="20"/>
        </w:rPr>
        <w:t xml:space="preserve"> entre otras</w:t>
      </w:r>
      <w:r w:rsidR="0006007C">
        <w:rPr>
          <w:rFonts w:ascii="Verdana" w:hAnsi="Verdana"/>
          <w:sz w:val="20"/>
          <w:szCs w:val="20"/>
        </w:rPr>
        <w:t>[,]</w:t>
      </w:r>
      <w:r w:rsidRPr="00972D9D">
        <w:rPr>
          <w:rFonts w:ascii="Verdana" w:hAnsi="Verdana"/>
          <w:sz w:val="20"/>
          <w:szCs w:val="20"/>
        </w:rPr>
        <w:t xml:space="preserve"> en maniobras de simulacros de fusilamientos, [tortura física con</w:t>
      </w:r>
      <w:r w:rsidR="009F3ECA" w:rsidRPr="00972D9D">
        <w:rPr>
          <w:rFonts w:ascii="Verdana" w:hAnsi="Verdana"/>
          <w:sz w:val="20"/>
          <w:szCs w:val="20"/>
        </w:rPr>
        <w:t>]</w:t>
      </w:r>
      <w:r w:rsidRPr="00972D9D">
        <w:rPr>
          <w:rFonts w:ascii="Verdana" w:hAnsi="Verdana"/>
          <w:sz w:val="20"/>
          <w:szCs w:val="20"/>
        </w:rPr>
        <w:t xml:space="preserve"> la picana eléctrica [que] se localizaba en genitales, boca y pechos. […] Dado lo severo del clima de Azul, como de la precariedad de la cárcel, comen[zó] a padecer fuertes bronquitis y ataques de asma. [Las] torturas psicológicas [eran] implementadas por el Servicio Penitenciario Federal</w:t>
      </w:r>
      <w:r w:rsidR="0006007C">
        <w:rPr>
          <w:rFonts w:ascii="Verdana" w:hAnsi="Verdana"/>
          <w:sz w:val="20"/>
          <w:szCs w:val="20"/>
        </w:rPr>
        <w:t>[…]</w:t>
      </w:r>
      <w:r w:rsidRPr="00972D9D">
        <w:rPr>
          <w:rFonts w:ascii="Verdana" w:hAnsi="Verdana"/>
          <w:sz w:val="20"/>
          <w:szCs w:val="20"/>
        </w:rPr>
        <w:t>”, concluyendo que una vez obtenida su libertad, se sometió a diversos estudios y revisiones ginecológicas que “</w:t>
      </w:r>
      <w:r w:rsidR="0006007C">
        <w:rPr>
          <w:rFonts w:ascii="Verdana" w:hAnsi="Verdana"/>
          <w:sz w:val="20"/>
          <w:szCs w:val="20"/>
        </w:rPr>
        <w:t xml:space="preserve">[…] </w:t>
      </w:r>
      <w:r w:rsidRPr="00972D9D">
        <w:rPr>
          <w:rFonts w:ascii="Verdana" w:hAnsi="Verdana"/>
          <w:sz w:val="20"/>
          <w:szCs w:val="20"/>
        </w:rPr>
        <w:t>arrojaron un diagnóstico de marcado deterioro de la matriz y una polifibromatosis uterina […] perdiendo así la posibilidad de procrear</w:t>
      </w:r>
      <w:r w:rsidR="00EE4614">
        <w:rPr>
          <w:rFonts w:ascii="Verdana" w:hAnsi="Verdana"/>
          <w:sz w:val="20"/>
          <w:szCs w:val="20"/>
        </w:rPr>
        <w:t>”.</w:t>
      </w:r>
      <w:r w:rsidRPr="00972D9D">
        <w:rPr>
          <w:rStyle w:val="Refdenotaalpie"/>
          <w:rFonts w:ascii="Verdana" w:hAnsi="Verdana"/>
          <w:sz w:val="20"/>
          <w:szCs w:val="20"/>
        </w:rPr>
        <w:footnoteReference w:id="37"/>
      </w:r>
      <w:r w:rsidRPr="00972D9D">
        <w:rPr>
          <w:rFonts w:ascii="Verdana" w:hAnsi="Verdana"/>
          <w:sz w:val="20"/>
          <w:szCs w:val="20"/>
        </w:rPr>
        <w:t xml:space="preserve"> </w:t>
      </w:r>
    </w:p>
    <w:p w14:paraId="50BE3CDC" w14:textId="73E2F21B" w:rsidR="001C05D8" w:rsidRPr="00972D9D" w:rsidRDefault="001C05D8"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sidRPr="00972D9D">
        <w:rPr>
          <w:rFonts w:ascii="Verdana" w:hAnsi="Verdana"/>
          <w:sz w:val="20"/>
          <w:szCs w:val="20"/>
        </w:rPr>
        <w:t>Por su parte, el 7 de agosto de 1979 el señor Preckel fue trasladado al Departamento de Asuntos Extranjeros de la Policía Federal con la finalidad de gestionar su salida del país conforme a lo estipulado en el Decreto No. 2664</w:t>
      </w:r>
      <w:r w:rsidRPr="00972D9D">
        <w:rPr>
          <w:rStyle w:val="Refdenotaalpie"/>
          <w:rFonts w:ascii="Verdana" w:hAnsi="Verdana"/>
          <w:sz w:val="20"/>
          <w:szCs w:val="20"/>
        </w:rPr>
        <w:footnoteReference w:id="38"/>
      </w:r>
      <w:r w:rsidRPr="00972D9D">
        <w:rPr>
          <w:rFonts w:ascii="Verdana" w:hAnsi="Verdana"/>
          <w:sz w:val="20"/>
          <w:szCs w:val="20"/>
        </w:rPr>
        <w:t>. Después de diversos trámites ante la Embajada de Alemania y con el apoyo de Amnistía Internacional, el 7 de septiembre de 1979 el señor Preckel viajó a Alemania en calidad de exiliado, situación en la que se mantuvo hasta diciembre de 1984, fecha en que volvió a Argentina</w:t>
      </w:r>
      <w:r w:rsidRPr="00F46AC0">
        <w:rPr>
          <w:rFonts w:ascii="Verdana" w:hAnsi="Verdana"/>
          <w:sz w:val="20"/>
          <w:szCs w:val="20"/>
        </w:rPr>
        <w:t>.</w:t>
      </w:r>
      <w:r w:rsidRPr="00972D9D">
        <w:rPr>
          <w:rFonts w:ascii="Verdana" w:hAnsi="Verdana"/>
          <w:sz w:val="20"/>
          <w:szCs w:val="20"/>
        </w:rPr>
        <w:t xml:space="preserve"> </w:t>
      </w:r>
    </w:p>
    <w:p w14:paraId="50BE3CDD" w14:textId="0C208E09" w:rsidR="001C05D8" w:rsidRPr="00972D9D" w:rsidRDefault="001C05D8"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sidRPr="00972D9D">
        <w:rPr>
          <w:rFonts w:ascii="Verdana" w:hAnsi="Verdana"/>
          <w:sz w:val="20"/>
          <w:szCs w:val="20"/>
        </w:rPr>
        <w:t xml:space="preserve">Según las declaraciones del señor Preckel, durante su detención fue sometido a “tortura física y psicológica (picana eléctrica en dorso, genitales y boca, tortura mediante torno de odontología en piezas dentales y encías y simulacros de fusilamiento), perdi[ó] unas ocho piezas </w:t>
      </w:r>
      <w:r w:rsidRPr="00972D9D">
        <w:rPr>
          <w:rFonts w:ascii="Verdana" w:hAnsi="Verdana"/>
          <w:sz w:val="20"/>
          <w:szCs w:val="20"/>
        </w:rPr>
        <w:lastRenderedPageBreak/>
        <w:t xml:space="preserve">dentales debido al deterioro de éstas por las sesiones de tortura y </w:t>
      </w:r>
      <w:r w:rsidR="0013492D" w:rsidRPr="00972D9D">
        <w:rPr>
          <w:rFonts w:ascii="Verdana" w:hAnsi="Verdana"/>
          <w:sz w:val="20"/>
          <w:szCs w:val="20"/>
        </w:rPr>
        <w:t>[</w:t>
      </w:r>
      <w:r w:rsidRPr="00972D9D">
        <w:rPr>
          <w:rFonts w:ascii="Verdana" w:hAnsi="Verdana"/>
          <w:sz w:val="20"/>
          <w:szCs w:val="20"/>
        </w:rPr>
        <w:t>a su] debilidad física por falta de adecuada alimentación”</w:t>
      </w:r>
      <w:r w:rsidRPr="00972D9D">
        <w:rPr>
          <w:rFonts w:ascii="Verdana" w:hAnsi="Verdana"/>
          <w:sz w:val="20"/>
          <w:szCs w:val="20"/>
          <w:vertAlign w:val="superscript"/>
        </w:rPr>
        <w:footnoteReference w:id="39"/>
      </w:r>
      <w:r w:rsidRPr="00972D9D">
        <w:rPr>
          <w:rFonts w:ascii="Verdana" w:hAnsi="Verdana"/>
          <w:sz w:val="20"/>
          <w:szCs w:val="20"/>
        </w:rPr>
        <w:t>.</w:t>
      </w:r>
      <w:bookmarkStart w:id="56" w:name="_Toc526783765"/>
      <w:bookmarkStart w:id="57" w:name="_Toc532995336"/>
      <w:r w:rsidRPr="00972D9D">
        <w:rPr>
          <w:rFonts w:ascii="Verdana" w:hAnsi="Verdana"/>
          <w:sz w:val="20"/>
          <w:szCs w:val="20"/>
        </w:rPr>
        <w:t xml:space="preserve"> </w:t>
      </w:r>
    </w:p>
    <w:p w14:paraId="50BE3CDF" w14:textId="77777777" w:rsidR="001C05D8" w:rsidRPr="00972D9D" w:rsidRDefault="001C05D8" w:rsidP="00972D9D">
      <w:pPr>
        <w:keepNext/>
        <w:keepLines/>
        <w:numPr>
          <w:ilvl w:val="0"/>
          <w:numId w:val="38"/>
        </w:numPr>
        <w:spacing w:before="120" w:after="120" w:line="240" w:lineRule="auto"/>
        <w:ind w:left="567" w:hanging="283"/>
        <w:jc w:val="both"/>
        <w:outlineLvl w:val="1"/>
        <w:rPr>
          <w:rFonts w:ascii="Verdana" w:eastAsia="Times New Roman" w:hAnsi="Verdana" w:cs="Times New Roman"/>
          <w:b/>
          <w:bCs/>
          <w:i/>
          <w:sz w:val="20"/>
          <w:szCs w:val="20"/>
          <w:lang w:val="es-ES_tradnl"/>
        </w:rPr>
      </w:pPr>
      <w:bookmarkStart w:id="58" w:name="_Toc526783766"/>
      <w:bookmarkStart w:id="59" w:name="_Toc532995337"/>
      <w:bookmarkStart w:id="60" w:name="_Toc20755721"/>
      <w:bookmarkEnd w:id="56"/>
      <w:bookmarkEnd w:id="57"/>
      <w:r w:rsidRPr="00972D9D">
        <w:rPr>
          <w:rFonts w:ascii="Verdana" w:eastAsia="Times New Roman" w:hAnsi="Verdana" w:cs="Times New Roman"/>
          <w:b/>
          <w:bCs/>
          <w:i/>
          <w:sz w:val="20"/>
          <w:szCs w:val="20"/>
          <w:lang w:val="es-ES_tradnl"/>
        </w:rPr>
        <w:t xml:space="preserve">Relación laboral entre el Estado y las presuntas </w:t>
      </w:r>
      <w:bookmarkEnd w:id="58"/>
      <w:bookmarkEnd w:id="59"/>
      <w:r w:rsidRPr="00972D9D">
        <w:rPr>
          <w:rFonts w:ascii="Verdana" w:eastAsia="Times New Roman" w:hAnsi="Verdana" w:cs="Times New Roman"/>
          <w:b/>
          <w:bCs/>
          <w:i/>
          <w:sz w:val="20"/>
          <w:szCs w:val="20"/>
          <w:lang w:val="es-ES_tradnl"/>
        </w:rPr>
        <w:t>víctimas</w:t>
      </w:r>
      <w:bookmarkEnd w:id="60"/>
    </w:p>
    <w:p w14:paraId="50BE3CE0" w14:textId="41592D9A" w:rsidR="001C05D8" w:rsidRPr="00972D9D" w:rsidRDefault="001C05D8"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sidRPr="00972D9D">
        <w:rPr>
          <w:rFonts w:ascii="Verdana" w:hAnsi="Verdana"/>
          <w:sz w:val="20"/>
          <w:szCs w:val="20"/>
        </w:rPr>
        <w:t>Al momento de las detenciones de las presuntas víctimas ocurridas el 6 de julio de 1976, ambos laboraban para la Dirección General Impositiva</w:t>
      </w:r>
      <w:r w:rsidR="00C022DE" w:rsidRPr="00972D9D">
        <w:rPr>
          <w:rFonts w:ascii="Verdana" w:hAnsi="Verdana"/>
          <w:sz w:val="20"/>
          <w:szCs w:val="20"/>
        </w:rPr>
        <w:t xml:space="preserve"> (DGI)</w:t>
      </w:r>
      <w:r w:rsidRPr="00972D9D">
        <w:rPr>
          <w:rFonts w:ascii="Verdana" w:hAnsi="Verdana"/>
          <w:sz w:val="20"/>
          <w:szCs w:val="20"/>
        </w:rPr>
        <w:t>.</w:t>
      </w:r>
    </w:p>
    <w:p w14:paraId="50BE3CE1" w14:textId="2E5ED778" w:rsidR="001C05D8" w:rsidRPr="00972D9D" w:rsidRDefault="001C05D8"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sidRPr="00972D9D">
        <w:rPr>
          <w:rFonts w:ascii="Verdana" w:hAnsi="Verdana"/>
          <w:sz w:val="20"/>
          <w:szCs w:val="20"/>
        </w:rPr>
        <w:t>El 26 de agosto de 1976 la DGI dispuso instruir un proceso administrativo</w:t>
      </w:r>
      <w:r w:rsidRPr="00972D9D">
        <w:rPr>
          <w:rStyle w:val="Refdenotaalpie"/>
          <w:rFonts w:ascii="Verdana" w:hAnsi="Verdana"/>
          <w:sz w:val="20"/>
          <w:szCs w:val="20"/>
        </w:rPr>
        <w:footnoteReference w:id="40"/>
      </w:r>
      <w:r w:rsidRPr="00972D9D">
        <w:rPr>
          <w:rFonts w:ascii="Verdana" w:hAnsi="Verdana"/>
          <w:sz w:val="20"/>
          <w:szCs w:val="20"/>
        </w:rPr>
        <w:t xml:space="preserve"> contemplado en el artículo 36 del Reglamento de Investigaciones de la Función Pública – Decreto No. 179</w:t>
      </w:r>
      <w:r w:rsidR="0013492D" w:rsidRPr="00972D9D">
        <w:rPr>
          <w:rFonts w:ascii="Verdana" w:hAnsi="Verdana"/>
          <w:sz w:val="20"/>
          <w:szCs w:val="20"/>
        </w:rPr>
        <w:t>8</w:t>
      </w:r>
      <w:r w:rsidRPr="00972D9D">
        <w:rPr>
          <w:rFonts w:ascii="Verdana" w:hAnsi="Verdana"/>
          <w:sz w:val="20"/>
          <w:szCs w:val="20"/>
        </w:rPr>
        <w:t>/80</w:t>
      </w:r>
      <w:r w:rsidRPr="00972D9D">
        <w:rPr>
          <w:rStyle w:val="Refdenotaalpie"/>
          <w:rFonts w:ascii="Verdana" w:hAnsi="Verdana"/>
          <w:sz w:val="20"/>
          <w:szCs w:val="20"/>
        </w:rPr>
        <w:footnoteReference w:id="41"/>
      </w:r>
      <w:r w:rsidRPr="00972D9D">
        <w:rPr>
          <w:rFonts w:ascii="Verdana" w:hAnsi="Verdana"/>
          <w:sz w:val="20"/>
          <w:szCs w:val="20"/>
        </w:rPr>
        <w:t>, debido a las inasistencias de las presuntas víctimas a su centro de trabajo. El 27 de julio de 1976 la DGI envió una comunicación a la Agrupación de Artillería de Defensa Aérea, indicando que la señora Perrone y el señor Preckel, habían faltado a sus labores desde hace un tiempo y que según información proporcionada por sus familiares, habían sido detenidos. La DGI sostuvo que por falta de constancia de las detenciones, sus ausencias debían ser calificadas como injustificadas, teniendo como consecuencia la pérdida de su trabajo. Ese mismo día, el Coronel de la Agrupación de Artillería de Defensa Aérea informó que</w:t>
      </w:r>
      <w:r w:rsidR="0006007C">
        <w:rPr>
          <w:rFonts w:ascii="Verdana" w:hAnsi="Verdana"/>
          <w:sz w:val="20"/>
          <w:szCs w:val="20"/>
        </w:rPr>
        <w:t>,</w:t>
      </w:r>
      <w:r w:rsidRPr="00972D9D">
        <w:rPr>
          <w:rFonts w:ascii="Verdana" w:hAnsi="Verdana"/>
          <w:sz w:val="20"/>
          <w:szCs w:val="20"/>
        </w:rPr>
        <w:t xml:space="preserve"> en efecto, las presuntas víctimas se encontraban a disposición de las autoridades militares. </w:t>
      </w:r>
    </w:p>
    <w:p w14:paraId="50BE3CE2" w14:textId="23960A38" w:rsidR="001C05D8" w:rsidRPr="00972D9D" w:rsidRDefault="001C05D8"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sidRPr="00972D9D">
        <w:rPr>
          <w:rFonts w:ascii="Verdana" w:hAnsi="Verdana"/>
          <w:sz w:val="20"/>
          <w:szCs w:val="20"/>
        </w:rPr>
        <w:t>El 10 de agosto de 1976 la DGI decidió suspender preventivamente al señor Preckel</w:t>
      </w:r>
      <w:r w:rsidRPr="00972D9D">
        <w:rPr>
          <w:rStyle w:val="Refdenotaalpie"/>
          <w:rFonts w:ascii="Verdana" w:hAnsi="Verdana"/>
          <w:sz w:val="20"/>
          <w:szCs w:val="20"/>
        </w:rPr>
        <w:footnoteReference w:id="42"/>
      </w:r>
      <w:r w:rsidRPr="00972D9D">
        <w:rPr>
          <w:rFonts w:ascii="Verdana" w:hAnsi="Verdana"/>
          <w:sz w:val="20"/>
          <w:szCs w:val="20"/>
        </w:rPr>
        <w:t xml:space="preserve"> y a la señora Perrone</w:t>
      </w:r>
      <w:r w:rsidRPr="00972D9D">
        <w:rPr>
          <w:rStyle w:val="Refdenotaalpie"/>
          <w:rFonts w:ascii="Verdana" w:hAnsi="Verdana"/>
          <w:sz w:val="20"/>
          <w:szCs w:val="20"/>
        </w:rPr>
        <w:footnoteReference w:id="43"/>
      </w:r>
      <w:r w:rsidRPr="00972D9D">
        <w:rPr>
          <w:rFonts w:ascii="Verdana" w:hAnsi="Verdana"/>
          <w:sz w:val="20"/>
          <w:szCs w:val="20"/>
        </w:rPr>
        <w:t xml:space="preserve">, tomando en consideración que ambas personas se encontraban detenidas y que la suspensión procedía “sin perjuicio de la instrucción del </w:t>
      </w:r>
      <w:r w:rsidR="0006055E" w:rsidRPr="00972D9D">
        <w:rPr>
          <w:rFonts w:ascii="Verdana" w:hAnsi="Verdana"/>
          <w:sz w:val="20"/>
          <w:szCs w:val="20"/>
        </w:rPr>
        <w:t>pertinente</w:t>
      </w:r>
      <w:r w:rsidRPr="00972D9D">
        <w:rPr>
          <w:rFonts w:ascii="Verdana" w:hAnsi="Verdana"/>
          <w:sz w:val="20"/>
          <w:szCs w:val="20"/>
        </w:rPr>
        <w:t xml:space="preserve"> sumario administrativo”.</w:t>
      </w:r>
    </w:p>
    <w:p w14:paraId="50BE3CE3" w14:textId="77777777" w:rsidR="001C05D8" w:rsidRPr="00972D9D" w:rsidRDefault="001C05D8"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sidRPr="00972D9D">
        <w:rPr>
          <w:rFonts w:ascii="Verdana" w:hAnsi="Verdana"/>
          <w:sz w:val="20"/>
          <w:szCs w:val="20"/>
        </w:rPr>
        <w:t>El 26 de agosto de 1976 la DGI inició el sumario administrativo 49/76</w:t>
      </w:r>
      <w:r w:rsidRPr="00972D9D">
        <w:rPr>
          <w:rStyle w:val="Refdenotaalpie"/>
          <w:rFonts w:ascii="Verdana" w:hAnsi="Verdana"/>
          <w:sz w:val="20"/>
          <w:szCs w:val="20"/>
        </w:rPr>
        <w:footnoteReference w:id="44"/>
      </w:r>
      <w:r w:rsidRPr="00972D9D">
        <w:rPr>
          <w:rFonts w:ascii="Verdana" w:hAnsi="Verdana"/>
          <w:sz w:val="20"/>
          <w:szCs w:val="20"/>
        </w:rPr>
        <w:t xml:space="preserve"> para poder determinar la situación de las presuntas víctimas, considerando “que tales agentes inasist[ían] a sus tareas sin causa justificada”. </w:t>
      </w:r>
    </w:p>
    <w:p w14:paraId="50BE3CE4" w14:textId="077CEABE" w:rsidR="001C05D8" w:rsidRPr="00972D9D" w:rsidRDefault="001C05D8"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sidRPr="00972D9D">
        <w:rPr>
          <w:rFonts w:ascii="Verdana" w:hAnsi="Verdana"/>
          <w:sz w:val="20"/>
          <w:szCs w:val="20"/>
        </w:rPr>
        <w:t>Posteriormente, el 21 de octubre de 1976, el Coronel de la Agrupación de Artillería de Defensa Aérea, envió una comunicación a la DGI indicando que las presuntas víctimas habían sido detenidas “bajo sospecha de pertenecer a una organización paramilitar”</w:t>
      </w:r>
      <w:r w:rsidRPr="00972D9D">
        <w:rPr>
          <w:rStyle w:val="Refdenotaalpie"/>
          <w:rFonts w:ascii="Verdana" w:hAnsi="Verdana"/>
          <w:sz w:val="20"/>
          <w:szCs w:val="20"/>
        </w:rPr>
        <w:footnoteReference w:id="45"/>
      </w:r>
      <w:r w:rsidRPr="00972D9D">
        <w:rPr>
          <w:rFonts w:ascii="Verdana" w:hAnsi="Verdana"/>
          <w:sz w:val="20"/>
          <w:szCs w:val="20"/>
        </w:rPr>
        <w:t xml:space="preserve">. </w:t>
      </w:r>
    </w:p>
    <w:p w14:paraId="50BE3CE5" w14:textId="5E462DD3" w:rsidR="001C05D8" w:rsidRPr="00972D9D" w:rsidRDefault="001C05D8"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sidRPr="00972D9D">
        <w:rPr>
          <w:rFonts w:ascii="Verdana" w:hAnsi="Verdana"/>
          <w:sz w:val="20"/>
          <w:szCs w:val="20"/>
        </w:rPr>
        <w:t>El 10 de abril de 1979 la Junta Directiva de la DGI emitió un dictamen en el que compartió la opinión de la Dirección General de Asuntos Jurídicos de la Secretaría de Estado de Hacienda, respecto a la suspensión del sumario administrativo N°. 49/76, al concluir que “no surg[ían] elementos de juicio que posibilit[aran] […] aconsejar la sanción disciplinaria a aplicar a los sumariados, sobre los que por otra parte, no exist[ía] en su contra proceso judicial o militar”</w:t>
      </w:r>
      <w:r w:rsidRPr="00972D9D">
        <w:rPr>
          <w:rStyle w:val="Refdenotaalpie"/>
          <w:rFonts w:ascii="Verdana" w:hAnsi="Verdana"/>
          <w:sz w:val="20"/>
          <w:szCs w:val="20"/>
        </w:rPr>
        <w:footnoteReference w:id="46"/>
      </w:r>
      <w:r w:rsidRPr="00972D9D">
        <w:rPr>
          <w:rFonts w:ascii="Verdana" w:hAnsi="Verdana"/>
          <w:sz w:val="20"/>
          <w:szCs w:val="20"/>
        </w:rPr>
        <w:t xml:space="preserve">. Como consecuencia, la Dirección de Asuntos Técnicos y Jurídicos decidió que el procedimiento siguiese suspendido hasta que los involucrados pudiesen brindar su declaración. </w:t>
      </w:r>
    </w:p>
    <w:p w14:paraId="50BE3CE6" w14:textId="51BBDED1" w:rsidR="001C05D8" w:rsidRPr="00972D9D" w:rsidRDefault="001C05D8"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sidRPr="00972D9D">
        <w:rPr>
          <w:rFonts w:ascii="Verdana" w:hAnsi="Verdana"/>
          <w:b/>
          <w:sz w:val="20"/>
          <w:szCs w:val="20"/>
        </w:rPr>
        <w:t>Elba Clotilde Perrone</w:t>
      </w:r>
      <w:r w:rsidRPr="00972D9D">
        <w:rPr>
          <w:rFonts w:ascii="Verdana" w:hAnsi="Verdana"/>
          <w:sz w:val="20"/>
          <w:szCs w:val="20"/>
        </w:rPr>
        <w:t xml:space="preserve"> </w:t>
      </w:r>
      <w:r w:rsidR="00FE4657" w:rsidRPr="00972D9D">
        <w:rPr>
          <w:rFonts w:ascii="Verdana" w:hAnsi="Verdana"/>
          <w:sz w:val="20"/>
          <w:szCs w:val="20"/>
        </w:rPr>
        <w:t>fue liberada el 1</w:t>
      </w:r>
      <w:r w:rsidR="0006055E" w:rsidRPr="00972D9D">
        <w:rPr>
          <w:rFonts w:ascii="Verdana" w:hAnsi="Verdana"/>
          <w:sz w:val="20"/>
          <w:szCs w:val="20"/>
        </w:rPr>
        <w:t>9 de octubre de 1982 bajo el r[é]</w:t>
      </w:r>
      <w:r w:rsidR="00FE4657" w:rsidRPr="00972D9D">
        <w:rPr>
          <w:rFonts w:ascii="Verdana" w:hAnsi="Verdana"/>
          <w:sz w:val="20"/>
          <w:szCs w:val="20"/>
        </w:rPr>
        <w:t>gimen de libertad vigilada</w:t>
      </w:r>
      <w:r w:rsidR="00FE4657" w:rsidRPr="00972D9D">
        <w:rPr>
          <w:rStyle w:val="Refdenotaalpie"/>
          <w:rFonts w:ascii="Verdana" w:hAnsi="Verdana"/>
          <w:sz w:val="20"/>
          <w:szCs w:val="20"/>
        </w:rPr>
        <w:footnoteReference w:id="47"/>
      </w:r>
      <w:r w:rsidR="00FE4657" w:rsidRPr="00972D9D">
        <w:rPr>
          <w:rFonts w:ascii="Verdana" w:hAnsi="Verdana"/>
          <w:sz w:val="20"/>
          <w:szCs w:val="20"/>
        </w:rPr>
        <w:t xml:space="preserve"> y </w:t>
      </w:r>
      <w:r w:rsidRPr="00972D9D">
        <w:rPr>
          <w:rFonts w:ascii="Verdana" w:hAnsi="Verdana"/>
          <w:sz w:val="20"/>
          <w:szCs w:val="20"/>
        </w:rPr>
        <w:t xml:space="preserve">regresó a sus labores en la DGI el 20 de octubre de ese mismo año. Posteriormente, el 27 de abril de 1983 presentó un escrito dirigido a la DGI en donde manifestó no haber sido </w:t>
      </w:r>
      <w:r w:rsidRPr="00972D9D">
        <w:rPr>
          <w:rFonts w:ascii="Verdana" w:hAnsi="Verdana"/>
          <w:sz w:val="20"/>
          <w:szCs w:val="20"/>
        </w:rPr>
        <w:lastRenderedPageBreak/>
        <w:t>notificada del sumario administrativo N° 49/76 que se le seguía</w:t>
      </w:r>
      <w:r w:rsidRPr="00972D9D">
        <w:rPr>
          <w:rStyle w:val="Refdenotaalpie"/>
          <w:rFonts w:ascii="Verdana" w:hAnsi="Verdana"/>
          <w:sz w:val="20"/>
          <w:szCs w:val="20"/>
        </w:rPr>
        <w:footnoteReference w:id="48"/>
      </w:r>
      <w:r w:rsidRPr="00972D9D">
        <w:rPr>
          <w:rFonts w:ascii="Verdana" w:hAnsi="Verdana"/>
          <w:sz w:val="20"/>
          <w:szCs w:val="20"/>
        </w:rPr>
        <w:t xml:space="preserve">. Por orden del Instructor </w:t>
      </w:r>
      <w:r w:rsidR="005B5586" w:rsidRPr="00972D9D">
        <w:rPr>
          <w:rFonts w:ascii="Verdana" w:hAnsi="Verdana"/>
          <w:sz w:val="20"/>
          <w:szCs w:val="20"/>
        </w:rPr>
        <w:t>Sumariante</w:t>
      </w:r>
      <w:r w:rsidRPr="00972D9D">
        <w:rPr>
          <w:rFonts w:ascii="Verdana" w:hAnsi="Verdana"/>
          <w:sz w:val="20"/>
          <w:szCs w:val="20"/>
        </w:rPr>
        <w:t>, la DGI tomó la declaración de la señora Perrone el 23 de agosto de 1983</w:t>
      </w:r>
      <w:r w:rsidRPr="00972D9D">
        <w:rPr>
          <w:rStyle w:val="Refdenotaalpie"/>
          <w:rFonts w:ascii="Verdana" w:hAnsi="Verdana"/>
          <w:sz w:val="20"/>
          <w:szCs w:val="20"/>
        </w:rPr>
        <w:footnoteReference w:id="49"/>
      </w:r>
      <w:r w:rsidRPr="00972D9D">
        <w:rPr>
          <w:rFonts w:ascii="Verdana" w:hAnsi="Verdana"/>
          <w:sz w:val="20"/>
          <w:szCs w:val="20"/>
        </w:rPr>
        <w:t xml:space="preserve"> en la que ratificó lo dicho en su escrito anterior.</w:t>
      </w:r>
    </w:p>
    <w:p w14:paraId="50BE3CE7" w14:textId="34A1BBAE" w:rsidR="001C05D8" w:rsidRPr="00972D9D" w:rsidRDefault="001C05D8"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sidRPr="00972D9D">
        <w:rPr>
          <w:rFonts w:ascii="Verdana" w:hAnsi="Verdana"/>
          <w:sz w:val="20"/>
          <w:szCs w:val="20"/>
        </w:rPr>
        <w:t xml:space="preserve">En lo que respecta a </w:t>
      </w:r>
      <w:r w:rsidRPr="00972D9D">
        <w:rPr>
          <w:rFonts w:ascii="Verdana" w:hAnsi="Verdana"/>
          <w:b/>
          <w:sz w:val="20"/>
          <w:szCs w:val="20"/>
        </w:rPr>
        <w:t>Juan José Preckel</w:t>
      </w:r>
      <w:r w:rsidRPr="00972D9D">
        <w:rPr>
          <w:rFonts w:ascii="Verdana" w:hAnsi="Verdana"/>
          <w:sz w:val="20"/>
          <w:szCs w:val="20"/>
        </w:rPr>
        <w:t>, desde su exilio en Hidenheim, Alemania, envió un escrito dirigido a la DGI que fue recibido el 20 de febrero de 1984</w:t>
      </w:r>
      <w:r w:rsidRPr="00972D9D">
        <w:rPr>
          <w:rStyle w:val="Refdenotaalpie"/>
          <w:rFonts w:ascii="Verdana" w:hAnsi="Verdana"/>
          <w:sz w:val="20"/>
          <w:szCs w:val="20"/>
        </w:rPr>
        <w:footnoteReference w:id="50"/>
      </w:r>
      <w:r w:rsidRPr="00972D9D">
        <w:rPr>
          <w:rFonts w:ascii="Verdana" w:hAnsi="Verdana"/>
          <w:sz w:val="20"/>
          <w:szCs w:val="20"/>
        </w:rPr>
        <w:t>, a través del cual solicitó su reincorporación a su puesto de trabajo</w:t>
      </w:r>
      <w:r w:rsidRPr="00972D9D">
        <w:rPr>
          <w:rStyle w:val="Refdenotaalpie"/>
          <w:rFonts w:ascii="Verdana" w:hAnsi="Verdana"/>
          <w:sz w:val="20"/>
          <w:szCs w:val="20"/>
        </w:rPr>
        <w:footnoteReference w:id="51"/>
      </w:r>
      <w:r w:rsidRPr="00972D9D">
        <w:rPr>
          <w:rFonts w:ascii="Verdana" w:hAnsi="Verdana"/>
          <w:sz w:val="20"/>
          <w:szCs w:val="20"/>
        </w:rPr>
        <w:t>. El 7 de septiembre del mismo año, el Jefe de Departamento de Recursos Humanos de la DGI respondió a su solicitud informándole que procedía su reinstalación debido a que “</w:t>
      </w:r>
      <w:r w:rsidR="0006007C">
        <w:rPr>
          <w:rFonts w:ascii="Verdana" w:hAnsi="Verdana"/>
          <w:sz w:val="20"/>
          <w:szCs w:val="20"/>
        </w:rPr>
        <w:t xml:space="preserve">[…] </w:t>
      </w:r>
      <w:r w:rsidRPr="00972D9D">
        <w:rPr>
          <w:rFonts w:ascii="Verdana" w:hAnsi="Verdana"/>
          <w:sz w:val="20"/>
          <w:szCs w:val="20"/>
        </w:rPr>
        <w:t>no surg[ían] de las actuaciones sumariales incoadas cargos que formular [en su contra]”</w:t>
      </w:r>
      <w:r w:rsidR="0013492D" w:rsidRPr="00972D9D">
        <w:rPr>
          <w:rStyle w:val="Refdenotaalpie"/>
          <w:rFonts w:ascii="Verdana" w:hAnsi="Verdana"/>
          <w:sz w:val="20"/>
          <w:szCs w:val="20"/>
        </w:rPr>
        <w:t xml:space="preserve"> </w:t>
      </w:r>
      <w:r w:rsidR="0013492D" w:rsidRPr="00972D9D">
        <w:rPr>
          <w:rStyle w:val="Refdenotaalpie"/>
          <w:rFonts w:ascii="Verdana" w:hAnsi="Verdana"/>
          <w:sz w:val="20"/>
          <w:szCs w:val="20"/>
        </w:rPr>
        <w:footnoteReference w:id="52"/>
      </w:r>
      <w:r w:rsidRPr="00972D9D">
        <w:rPr>
          <w:rFonts w:ascii="Verdana" w:hAnsi="Verdana"/>
          <w:sz w:val="20"/>
          <w:szCs w:val="20"/>
        </w:rPr>
        <w:t>.</w:t>
      </w:r>
    </w:p>
    <w:p w14:paraId="50BE3CE8" w14:textId="77777777" w:rsidR="001C05D8" w:rsidRPr="00972D9D" w:rsidRDefault="001C05D8"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sidRPr="00972D9D">
        <w:rPr>
          <w:rFonts w:ascii="Verdana" w:hAnsi="Verdana"/>
          <w:sz w:val="20"/>
          <w:szCs w:val="20"/>
        </w:rPr>
        <w:t>El 16 de octubre de 1984 el Director General de la DGI emitió la resolución del sumario administrativo 49/76, mediante la cual se declaró la exención de responsabilidad de Elba Clotilde Perrone y Juan José Preckel y en consecuencia, se determinó el archivo del procedimiento seguido contra ambas personas</w:t>
      </w:r>
      <w:r w:rsidRPr="00972D9D">
        <w:rPr>
          <w:rStyle w:val="Refdenotaalpie"/>
          <w:rFonts w:ascii="Verdana" w:hAnsi="Verdana"/>
          <w:sz w:val="20"/>
          <w:szCs w:val="20"/>
        </w:rPr>
        <w:footnoteReference w:id="53"/>
      </w:r>
      <w:r w:rsidRPr="00972D9D">
        <w:rPr>
          <w:rFonts w:ascii="Verdana" w:hAnsi="Verdana"/>
          <w:sz w:val="20"/>
          <w:szCs w:val="20"/>
        </w:rPr>
        <w:t xml:space="preserve">. </w:t>
      </w:r>
    </w:p>
    <w:p w14:paraId="50BE3CE9" w14:textId="4AB232E8" w:rsidR="001C05D8" w:rsidRPr="00972D9D" w:rsidRDefault="001C05D8"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sidRPr="00972D9D">
        <w:rPr>
          <w:rFonts w:ascii="Verdana" w:hAnsi="Verdana"/>
          <w:sz w:val="20"/>
          <w:szCs w:val="20"/>
        </w:rPr>
        <w:t>El 4 de febrero de 1985 el señor Preckel se reincorporó a sus labores como empleado de la DGI</w:t>
      </w:r>
      <w:r w:rsidRPr="00972D9D">
        <w:rPr>
          <w:rStyle w:val="Refdenotaalpie"/>
          <w:rFonts w:ascii="Verdana" w:hAnsi="Verdana"/>
          <w:sz w:val="20"/>
          <w:szCs w:val="20"/>
        </w:rPr>
        <w:footnoteReference w:id="54"/>
      </w:r>
      <w:r w:rsidR="00C022DE" w:rsidRPr="00972D9D">
        <w:rPr>
          <w:rFonts w:ascii="Verdana" w:hAnsi="Verdana"/>
          <w:sz w:val="20"/>
          <w:szCs w:val="20"/>
        </w:rPr>
        <w:t>.</w:t>
      </w:r>
    </w:p>
    <w:p w14:paraId="50BE3CEA" w14:textId="77777777" w:rsidR="001C05D8" w:rsidRPr="00972D9D" w:rsidRDefault="001C05D8" w:rsidP="00972D9D">
      <w:pPr>
        <w:keepNext/>
        <w:keepLines/>
        <w:numPr>
          <w:ilvl w:val="0"/>
          <w:numId w:val="38"/>
        </w:numPr>
        <w:spacing w:before="120" w:after="120" w:line="240" w:lineRule="auto"/>
        <w:ind w:left="567" w:hanging="283"/>
        <w:jc w:val="both"/>
        <w:outlineLvl w:val="1"/>
        <w:rPr>
          <w:rFonts w:ascii="Verdana" w:eastAsia="Times New Roman" w:hAnsi="Verdana" w:cs="Times New Roman"/>
          <w:b/>
          <w:bCs/>
          <w:i/>
          <w:sz w:val="20"/>
          <w:szCs w:val="20"/>
          <w:lang w:val="es-ES_tradnl"/>
        </w:rPr>
      </w:pPr>
      <w:bookmarkStart w:id="61" w:name="_Toc20755722"/>
      <w:r w:rsidRPr="00972D9D">
        <w:rPr>
          <w:rFonts w:ascii="Verdana" w:eastAsia="Times New Roman" w:hAnsi="Verdana" w:cs="Times New Roman"/>
          <w:b/>
          <w:bCs/>
          <w:i/>
          <w:sz w:val="20"/>
          <w:szCs w:val="20"/>
          <w:lang w:val="es-ES_tradnl"/>
        </w:rPr>
        <w:t>Procedimientos administrativos</w:t>
      </w:r>
      <w:bookmarkEnd w:id="61"/>
      <w:r w:rsidRPr="00972D9D">
        <w:rPr>
          <w:rFonts w:ascii="Verdana" w:eastAsia="Times New Roman" w:hAnsi="Verdana" w:cs="Times New Roman"/>
          <w:b/>
          <w:bCs/>
          <w:i/>
          <w:sz w:val="20"/>
          <w:szCs w:val="20"/>
          <w:lang w:val="es-ES_tradnl"/>
        </w:rPr>
        <w:t xml:space="preserve">  </w:t>
      </w:r>
    </w:p>
    <w:p w14:paraId="50BE3CEB" w14:textId="77777777" w:rsidR="001C05D8" w:rsidRPr="00972D9D" w:rsidRDefault="001C05D8" w:rsidP="00972D9D">
      <w:pPr>
        <w:pStyle w:val="Ttulo3"/>
        <w:numPr>
          <w:ilvl w:val="0"/>
          <w:numId w:val="18"/>
        </w:numPr>
        <w:tabs>
          <w:tab w:val="clear" w:pos="1276"/>
          <w:tab w:val="left" w:pos="1134"/>
          <w:tab w:val="left" w:pos="2552"/>
        </w:tabs>
        <w:spacing w:before="120" w:after="120"/>
        <w:ind w:left="1418" w:hanging="567"/>
        <w:rPr>
          <w:b w:val="0"/>
          <w:lang w:val="es-ES_tradnl"/>
        </w:rPr>
      </w:pPr>
      <w:bookmarkStart w:id="62" w:name="_Toc20755723"/>
      <w:r w:rsidRPr="00972D9D">
        <w:rPr>
          <w:b w:val="0"/>
          <w:lang w:val="es-ES_tradnl"/>
        </w:rPr>
        <w:t>Procedimientos administrativos de Elba Clotilde Perrone</w:t>
      </w:r>
      <w:bookmarkEnd w:id="62"/>
    </w:p>
    <w:p w14:paraId="50BE3CEC" w14:textId="77777777" w:rsidR="001C05D8" w:rsidRPr="00972D9D" w:rsidRDefault="001C05D8"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sidRPr="00972D9D">
        <w:rPr>
          <w:rFonts w:ascii="Verdana" w:hAnsi="Verdana"/>
          <w:sz w:val="20"/>
          <w:szCs w:val="20"/>
        </w:rPr>
        <w:t>El 27 de abril de 1983 la señora Perrone presentó un escrito a la DGI  por medio del cual solicitó el inicio del trámite correspondiente para el pago de los haberes dejados de percibir durante su detención hasta el momento en que se reintegró al centro de labores, argumentando que la razón de sus inasistencias “no se debió a [su] voluntad sino a que fu[e] impedida de trabajar [al haber sido detenida]”</w:t>
      </w:r>
      <w:r w:rsidRPr="00972D9D">
        <w:rPr>
          <w:rStyle w:val="Refdenotaalpie"/>
          <w:rFonts w:ascii="Verdana" w:hAnsi="Verdana"/>
          <w:sz w:val="20"/>
          <w:szCs w:val="20"/>
        </w:rPr>
        <w:footnoteReference w:id="55"/>
      </w:r>
      <w:r w:rsidRPr="00972D9D">
        <w:rPr>
          <w:rFonts w:ascii="Verdana" w:hAnsi="Verdana"/>
          <w:sz w:val="20"/>
          <w:szCs w:val="20"/>
        </w:rPr>
        <w:t xml:space="preserve">. </w:t>
      </w:r>
    </w:p>
    <w:p w14:paraId="50BE3CED" w14:textId="77777777" w:rsidR="001C05D8" w:rsidRPr="00972D9D" w:rsidRDefault="001C05D8"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sidRPr="00972D9D">
        <w:rPr>
          <w:rFonts w:ascii="Verdana" w:hAnsi="Verdana"/>
          <w:sz w:val="20"/>
          <w:szCs w:val="20"/>
        </w:rPr>
        <w:t>El 26 mayo de 1984, la Dirección de Asuntos Técnicos y Jurídicos (en adelante “DATJ”) de la DGI emitió una resolución a través de la cual consideró viable el pago de los haberes salariales dejados de percibir durante la detención de la señora Perrone</w:t>
      </w:r>
      <w:r w:rsidRPr="00972D9D">
        <w:rPr>
          <w:rStyle w:val="Refdenotaalpie"/>
          <w:rFonts w:ascii="Verdana" w:hAnsi="Verdana"/>
          <w:sz w:val="20"/>
          <w:szCs w:val="20"/>
        </w:rPr>
        <w:footnoteReference w:id="56"/>
      </w:r>
      <w:r w:rsidRPr="00972D9D">
        <w:rPr>
          <w:rFonts w:ascii="Verdana" w:hAnsi="Verdana"/>
          <w:sz w:val="20"/>
          <w:szCs w:val="20"/>
        </w:rPr>
        <w:t>, argumentando lo siguiente:</w:t>
      </w:r>
    </w:p>
    <w:p w14:paraId="50BE3CEE" w14:textId="77777777" w:rsidR="001C05D8" w:rsidRPr="00972D9D" w:rsidRDefault="001C05D8" w:rsidP="00972D9D">
      <w:pPr>
        <w:widowControl w:val="0"/>
        <w:tabs>
          <w:tab w:val="left" w:pos="567"/>
        </w:tabs>
        <w:adjustRightInd w:val="0"/>
        <w:spacing w:before="120" w:after="120" w:line="240" w:lineRule="auto"/>
        <w:ind w:left="567"/>
        <w:jc w:val="both"/>
        <w:textAlignment w:val="baseline"/>
        <w:rPr>
          <w:rFonts w:ascii="Verdana" w:hAnsi="Verdana"/>
          <w:sz w:val="18"/>
          <w:szCs w:val="20"/>
        </w:rPr>
      </w:pPr>
      <w:r w:rsidRPr="00972D9D">
        <w:rPr>
          <w:rFonts w:ascii="Verdana" w:hAnsi="Verdana"/>
          <w:sz w:val="18"/>
          <w:szCs w:val="20"/>
        </w:rPr>
        <w:t>Resulta una solución justa por consiguiente que si en definitiva la Justicia [sic] establece que el agente ha sido ajeno al delito, la Administración le abone los salarios caídos durante el tiempo de la suspensión preventiva.</w:t>
      </w:r>
    </w:p>
    <w:p w14:paraId="50BE3CEF" w14:textId="7DCE71DF" w:rsidR="001C05D8" w:rsidRPr="00972D9D" w:rsidRDefault="001C05D8"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sidRPr="00972D9D">
        <w:rPr>
          <w:rFonts w:ascii="Verdana" w:hAnsi="Verdana"/>
          <w:sz w:val="20"/>
          <w:szCs w:val="20"/>
        </w:rPr>
        <w:t xml:space="preserve">En dicha resolución, la DATJ de la DGI concluyó que debía efectuarse el reconocimiento de la obligación de la Administración, por lo que resultaba </w:t>
      </w:r>
      <w:r w:rsidR="0052180A" w:rsidRPr="00972D9D">
        <w:rPr>
          <w:rFonts w:ascii="Verdana" w:hAnsi="Verdana"/>
          <w:sz w:val="20"/>
          <w:szCs w:val="20"/>
        </w:rPr>
        <w:t>procedente</w:t>
      </w:r>
      <w:r w:rsidRPr="00972D9D">
        <w:rPr>
          <w:rFonts w:ascii="Verdana" w:hAnsi="Verdana"/>
          <w:sz w:val="20"/>
          <w:szCs w:val="20"/>
        </w:rPr>
        <w:t xml:space="preserve"> el pago de los haberes caídos, </w:t>
      </w:r>
      <w:r w:rsidR="00B22D15" w:rsidRPr="00972D9D">
        <w:rPr>
          <w:rFonts w:ascii="Verdana" w:hAnsi="Verdana"/>
          <w:sz w:val="20"/>
          <w:szCs w:val="20"/>
        </w:rPr>
        <w:t>incluido</w:t>
      </w:r>
      <w:r w:rsidRPr="00972D9D">
        <w:rPr>
          <w:rFonts w:ascii="Verdana" w:hAnsi="Verdana"/>
          <w:sz w:val="20"/>
          <w:szCs w:val="20"/>
        </w:rPr>
        <w:t xml:space="preserve"> el respectivo “Fondo de Estímulo”; el cómputo del período de suspensión a efectos de los beneficios jubilatorios y de la licencia anual ordinaria, con excepción de la ubicación escalafonaria. No obstante lo anterior, dicha resolución señaló que a juicio de la asesoría el caso podría implicar la fijación de un “precedente de interés general para toda la </w:t>
      </w:r>
      <w:r w:rsidR="0013492D" w:rsidRPr="00972D9D">
        <w:rPr>
          <w:rFonts w:ascii="Verdana" w:hAnsi="Verdana"/>
          <w:sz w:val="20"/>
          <w:szCs w:val="20"/>
        </w:rPr>
        <w:t>A</w:t>
      </w:r>
      <w:r w:rsidRPr="00972D9D">
        <w:rPr>
          <w:rFonts w:ascii="Verdana" w:hAnsi="Verdana"/>
          <w:sz w:val="20"/>
          <w:szCs w:val="20"/>
        </w:rPr>
        <w:t>dministración”, por lo que remitió el mismo a la Procuración del Tesoro de la Nación (en adelante “PT</w:t>
      </w:r>
      <w:r w:rsidR="0013492D" w:rsidRPr="00972D9D">
        <w:rPr>
          <w:rFonts w:ascii="Verdana" w:hAnsi="Verdana"/>
          <w:sz w:val="20"/>
          <w:szCs w:val="20"/>
        </w:rPr>
        <w:t>N</w:t>
      </w:r>
      <w:r w:rsidRPr="00972D9D">
        <w:rPr>
          <w:rFonts w:ascii="Verdana" w:hAnsi="Verdana"/>
          <w:sz w:val="20"/>
          <w:szCs w:val="20"/>
        </w:rPr>
        <w:t>”), para su consulta.</w:t>
      </w:r>
    </w:p>
    <w:p w14:paraId="50BE3CF0" w14:textId="77777777" w:rsidR="001C05D8" w:rsidRPr="00972D9D" w:rsidRDefault="001C05D8"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sidRPr="00972D9D">
        <w:rPr>
          <w:rFonts w:ascii="Verdana" w:hAnsi="Verdana"/>
          <w:sz w:val="20"/>
          <w:szCs w:val="20"/>
        </w:rPr>
        <w:lastRenderedPageBreak/>
        <w:t>El 28 de mayo de 1985, la DATJ de la DGI</w:t>
      </w:r>
      <w:r w:rsidRPr="00972D9D">
        <w:rPr>
          <w:rStyle w:val="Refdenotaalpie"/>
          <w:rFonts w:ascii="Verdana" w:hAnsi="Verdana"/>
          <w:sz w:val="20"/>
          <w:szCs w:val="20"/>
        </w:rPr>
        <w:footnoteReference w:id="57"/>
      </w:r>
      <w:r w:rsidRPr="00972D9D">
        <w:rPr>
          <w:rFonts w:ascii="Verdana" w:hAnsi="Verdana"/>
          <w:sz w:val="20"/>
          <w:szCs w:val="20"/>
        </w:rPr>
        <w:t xml:space="preserve"> emitió nuevamente un dictamen en el que reiteró la procedencia del pago de los haberes salariales reclamados por la señora Perrone bajo los siguientes argumentos:</w:t>
      </w:r>
    </w:p>
    <w:p w14:paraId="50BE3CF1" w14:textId="5039A697" w:rsidR="001C05D8" w:rsidRPr="00972D9D" w:rsidRDefault="001C05D8" w:rsidP="00972D9D">
      <w:pPr>
        <w:widowControl w:val="0"/>
        <w:tabs>
          <w:tab w:val="left" w:pos="567"/>
        </w:tabs>
        <w:adjustRightInd w:val="0"/>
        <w:spacing w:before="120" w:after="120" w:line="240" w:lineRule="auto"/>
        <w:ind w:left="567"/>
        <w:jc w:val="both"/>
        <w:textAlignment w:val="baseline"/>
        <w:rPr>
          <w:rFonts w:ascii="Verdana" w:hAnsi="Verdana"/>
          <w:sz w:val="18"/>
          <w:szCs w:val="20"/>
        </w:rPr>
      </w:pPr>
      <w:r w:rsidRPr="00972D9D">
        <w:rPr>
          <w:rFonts w:ascii="Verdana" w:hAnsi="Verdana"/>
          <w:sz w:val="18"/>
          <w:szCs w:val="20"/>
        </w:rPr>
        <w:t>Partiendo de la base de que la agente Perrone sufrió una pena en el sentido atribuido por nuestro más alto tribunal, que deviene injusta al no haber estado sometida a proceso alguno […] no se encuentra inconveniente en reconocer a la presentante los salarios correspondientes al tiempo de su detención al igual que los importes correspondientes a vacaciones […] licencias no gozadas […] antigüed</w:t>
      </w:r>
      <w:r w:rsidR="00B22D15" w:rsidRPr="00972D9D">
        <w:rPr>
          <w:rFonts w:ascii="Verdana" w:hAnsi="Verdana"/>
          <w:sz w:val="18"/>
          <w:szCs w:val="20"/>
        </w:rPr>
        <w:t>ad a los fines no previsionales</w:t>
      </w:r>
      <w:r w:rsidRPr="00972D9D">
        <w:rPr>
          <w:rFonts w:ascii="Verdana" w:hAnsi="Verdana"/>
          <w:sz w:val="18"/>
          <w:szCs w:val="20"/>
        </w:rPr>
        <w:t>.</w:t>
      </w:r>
    </w:p>
    <w:p w14:paraId="50BE3CF2" w14:textId="77777777" w:rsidR="001C05D8" w:rsidRPr="00972D9D" w:rsidRDefault="001C05D8"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sidRPr="00972D9D">
        <w:rPr>
          <w:rFonts w:ascii="Verdana" w:hAnsi="Verdana"/>
          <w:sz w:val="20"/>
          <w:szCs w:val="20"/>
        </w:rPr>
        <w:t xml:space="preserve">Sin embargo, en su último resolutivo la DATJ remitió el asunto para consulta a la PTN, dada la falta de precedentes. </w:t>
      </w:r>
    </w:p>
    <w:p w14:paraId="50BE3CF3" w14:textId="168F0C3F" w:rsidR="001C05D8" w:rsidRPr="00972D9D" w:rsidRDefault="001C05D8"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sidRPr="00972D9D">
        <w:rPr>
          <w:rFonts w:ascii="Verdana" w:hAnsi="Verdana"/>
          <w:sz w:val="20"/>
          <w:szCs w:val="20"/>
        </w:rPr>
        <w:t>El 24 de julio de 1985</w:t>
      </w:r>
      <w:r w:rsidR="0006007C">
        <w:rPr>
          <w:rFonts w:ascii="Verdana" w:hAnsi="Verdana"/>
          <w:sz w:val="20"/>
          <w:szCs w:val="20"/>
        </w:rPr>
        <w:t>,</w:t>
      </w:r>
      <w:r w:rsidRPr="00972D9D">
        <w:rPr>
          <w:rFonts w:ascii="Verdana" w:hAnsi="Verdana"/>
          <w:sz w:val="20"/>
          <w:szCs w:val="20"/>
        </w:rPr>
        <w:t xml:space="preserve"> la Dirección General de Asuntos Jurídicos del Ministerio de Economía, dependiente de la Secretaría de Economía, emitió un dictamen mediante el cual, al igual que la DATJ de la DGI, consideró viable el reintegro de los haberes dejados de percibir durante el tiempo que duró la detención de la señora Perrone. En dicha resolución manifestó que “[…] si bien la Circular N°5/77 de la Secretaría General de la Presidencia de la Nación establec[ía] que no correspond[ía] el pago de salarios por servicios no prestados […] e[ra] evidente que en la especie la recurrente [había estado] imposibilitada [para] asistir a sus tareas en virtud de actos de autoridad</w:t>
      </w:r>
      <w:r w:rsidR="0006007C">
        <w:rPr>
          <w:rFonts w:ascii="Verdana" w:hAnsi="Verdana"/>
          <w:sz w:val="20"/>
          <w:szCs w:val="20"/>
        </w:rPr>
        <w:t xml:space="preserve"> […]</w:t>
      </w:r>
      <w:r w:rsidRPr="00972D9D">
        <w:rPr>
          <w:rFonts w:ascii="Verdana" w:hAnsi="Verdana"/>
          <w:sz w:val="20"/>
          <w:szCs w:val="20"/>
        </w:rPr>
        <w:t>”, y que tanto la doctrina como la jurisprudencia de los tribunales argentinos admitían en principio “</w:t>
      </w:r>
      <w:r w:rsidR="0006007C">
        <w:rPr>
          <w:rFonts w:ascii="Verdana" w:hAnsi="Verdana"/>
          <w:sz w:val="20"/>
          <w:szCs w:val="20"/>
        </w:rPr>
        <w:t xml:space="preserve">[…] </w:t>
      </w:r>
      <w:r w:rsidRPr="00972D9D">
        <w:rPr>
          <w:rFonts w:ascii="Verdana" w:hAnsi="Verdana"/>
          <w:sz w:val="20"/>
          <w:szCs w:val="20"/>
        </w:rPr>
        <w:t xml:space="preserve">que los actos de </w:t>
      </w:r>
      <w:r w:rsidR="0013492D" w:rsidRPr="00972D9D">
        <w:rPr>
          <w:rFonts w:ascii="Verdana" w:hAnsi="Verdana"/>
          <w:sz w:val="20"/>
          <w:szCs w:val="20"/>
        </w:rPr>
        <w:t xml:space="preserve">la </w:t>
      </w:r>
      <w:r w:rsidRPr="00972D9D">
        <w:rPr>
          <w:rFonts w:ascii="Verdana" w:hAnsi="Verdana"/>
          <w:sz w:val="20"/>
          <w:szCs w:val="20"/>
        </w:rPr>
        <w:t xml:space="preserve">autoridad o del soberano […] constitu[ían] fuerza mayor cuando crea[ban] dificultades </w:t>
      </w:r>
      <w:r w:rsidR="0013492D" w:rsidRPr="00972D9D">
        <w:rPr>
          <w:rFonts w:ascii="Verdana" w:hAnsi="Verdana"/>
          <w:sz w:val="20"/>
          <w:szCs w:val="20"/>
        </w:rPr>
        <w:t xml:space="preserve">imposibles </w:t>
      </w:r>
      <w:r w:rsidRPr="00972D9D">
        <w:rPr>
          <w:rFonts w:ascii="Verdana" w:hAnsi="Verdana"/>
          <w:sz w:val="20"/>
          <w:szCs w:val="20"/>
        </w:rPr>
        <w:t>de vencer para el cumplimiento de las obligaciones</w:t>
      </w:r>
      <w:r w:rsidR="0006007C">
        <w:rPr>
          <w:rFonts w:ascii="Verdana" w:hAnsi="Verdana"/>
          <w:sz w:val="20"/>
          <w:szCs w:val="20"/>
        </w:rPr>
        <w:t xml:space="preserve"> […]</w:t>
      </w:r>
      <w:r w:rsidRPr="00972D9D">
        <w:rPr>
          <w:rFonts w:ascii="Verdana" w:hAnsi="Verdana"/>
          <w:sz w:val="20"/>
          <w:szCs w:val="20"/>
        </w:rPr>
        <w:t>”. Asimismo manifestó que: “</w:t>
      </w:r>
      <w:r w:rsidR="0013492D" w:rsidRPr="00972D9D">
        <w:rPr>
          <w:rFonts w:ascii="Verdana" w:hAnsi="Verdana"/>
          <w:sz w:val="20"/>
          <w:szCs w:val="20"/>
        </w:rPr>
        <w:t>[</w:t>
      </w:r>
      <w:r w:rsidRPr="00972D9D">
        <w:rPr>
          <w:rFonts w:ascii="Verdana" w:hAnsi="Verdana"/>
          <w:sz w:val="20"/>
          <w:szCs w:val="20"/>
        </w:rPr>
        <w:t>t</w:t>
      </w:r>
      <w:r w:rsidR="0013492D" w:rsidRPr="00972D9D">
        <w:rPr>
          <w:rFonts w:ascii="Verdana" w:hAnsi="Verdana"/>
          <w:sz w:val="20"/>
          <w:szCs w:val="20"/>
        </w:rPr>
        <w:t>]</w:t>
      </w:r>
      <w:r w:rsidRPr="00972D9D">
        <w:rPr>
          <w:rFonts w:ascii="Verdana" w:hAnsi="Verdana"/>
          <w:sz w:val="20"/>
          <w:szCs w:val="20"/>
        </w:rPr>
        <w:t xml:space="preserve">eniendo en cuenta la índole de la cuestión que se plante[aba], el interés económico comprometido y a fin de establecer jurisprudencia administrativa […] se estima[ba] que correspond[ía] requerir la intervención de la </w:t>
      </w:r>
      <w:r w:rsidR="0013492D" w:rsidRPr="00972D9D">
        <w:rPr>
          <w:rFonts w:ascii="Verdana" w:hAnsi="Verdana"/>
          <w:sz w:val="20"/>
          <w:szCs w:val="20"/>
        </w:rPr>
        <w:t>[</w:t>
      </w:r>
      <w:r w:rsidRPr="00972D9D">
        <w:rPr>
          <w:rFonts w:ascii="Verdana" w:hAnsi="Verdana"/>
          <w:sz w:val="20"/>
          <w:szCs w:val="20"/>
        </w:rPr>
        <w:t>PTN a efecto de que emitiera su opinión en la resolución del caso]”</w:t>
      </w:r>
      <w:r w:rsidRPr="00972D9D">
        <w:rPr>
          <w:rStyle w:val="Refdenotaalpie"/>
          <w:rFonts w:ascii="Verdana" w:hAnsi="Verdana"/>
          <w:sz w:val="20"/>
          <w:szCs w:val="20"/>
        </w:rPr>
        <w:footnoteReference w:id="58"/>
      </w:r>
      <w:r w:rsidRPr="00972D9D">
        <w:rPr>
          <w:rFonts w:ascii="Verdana" w:hAnsi="Verdana"/>
          <w:sz w:val="20"/>
          <w:szCs w:val="20"/>
        </w:rPr>
        <w:t>.</w:t>
      </w:r>
    </w:p>
    <w:p w14:paraId="50BE3CF5" w14:textId="77777777" w:rsidR="001C05D8" w:rsidRPr="00972D9D" w:rsidRDefault="001C05D8"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sidRPr="00972D9D">
        <w:rPr>
          <w:rFonts w:ascii="Verdana" w:hAnsi="Verdana"/>
          <w:sz w:val="20"/>
          <w:szCs w:val="20"/>
        </w:rPr>
        <w:t>El 19 de septiembre de 1986 la PTN emitió su “opinión” respecto a las cuestiones sometidas a su consideración por las dos instancias anteriormente mencionadas, y manifestó que las reclamaciones deberían desestimarse, alegando lo siguiente:</w:t>
      </w:r>
    </w:p>
    <w:p w14:paraId="50BE3CF6" w14:textId="70209CDF" w:rsidR="00FE4657" w:rsidRPr="00972D9D" w:rsidRDefault="001C05D8" w:rsidP="00972D9D">
      <w:pPr>
        <w:widowControl w:val="0"/>
        <w:tabs>
          <w:tab w:val="left" w:pos="567"/>
        </w:tabs>
        <w:adjustRightInd w:val="0"/>
        <w:spacing w:before="120" w:after="120" w:line="240" w:lineRule="auto"/>
        <w:ind w:left="567"/>
        <w:jc w:val="both"/>
        <w:textAlignment w:val="baseline"/>
        <w:rPr>
          <w:rFonts w:ascii="Verdana" w:hAnsi="Verdana"/>
          <w:sz w:val="18"/>
          <w:szCs w:val="20"/>
        </w:rPr>
      </w:pPr>
      <w:r w:rsidRPr="00972D9D">
        <w:rPr>
          <w:rFonts w:ascii="Verdana" w:hAnsi="Verdana"/>
          <w:sz w:val="18"/>
          <w:szCs w:val="20"/>
        </w:rPr>
        <w:t>[…] no correspond</w:t>
      </w:r>
      <w:r w:rsidR="00FE4657" w:rsidRPr="00972D9D">
        <w:rPr>
          <w:rFonts w:ascii="Verdana" w:hAnsi="Verdana"/>
          <w:sz w:val="18"/>
          <w:szCs w:val="20"/>
        </w:rPr>
        <w:t>e</w:t>
      </w:r>
      <w:r w:rsidRPr="00972D9D">
        <w:rPr>
          <w:rFonts w:ascii="Verdana" w:hAnsi="Verdana"/>
          <w:sz w:val="18"/>
          <w:szCs w:val="20"/>
        </w:rPr>
        <w:t xml:space="preserve"> el reconocimiento a</w:t>
      </w:r>
      <w:r w:rsidR="00FE4657" w:rsidRPr="00972D9D">
        <w:rPr>
          <w:rFonts w:ascii="Verdana" w:hAnsi="Verdana"/>
          <w:sz w:val="18"/>
          <w:szCs w:val="20"/>
        </w:rPr>
        <w:t xml:space="preserve"> la mencionada agente</w:t>
      </w:r>
      <w:r w:rsidRPr="00972D9D">
        <w:rPr>
          <w:rFonts w:ascii="Verdana" w:hAnsi="Verdana"/>
          <w:sz w:val="18"/>
          <w:szCs w:val="20"/>
        </w:rPr>
        <w:t xml:space="preserve"> [Elba Clotilde Perrone]</w:t>
      </w:r>
      <w:r w:rsidR="0013492D" w:rsidRPr="00972D9D">
        <w:rPr>
          <w:rFonts w:ascii="Verdana" w:hAnsi="Verdana"/>
          <w:sz w:val="18"/>
          <w:szCs w:val="20"/>
        </w:rPr>
        <w:t>,</w:t>
      </w:r>
      <w:r w:rsidRPr="00972D9D">
        <w:rPr>
          <w:rFonts w:ascii="Verdana" w:hAnsi="Verdana"/>
          <w:sz w:val="18"/>
          <w:szCs w:val="20"/>
        </w:rPr>
        <w:t xml:space="preserve"> de los haberes por el precitado lapso [de su detención]. </w:t>
      </w:r>
    </w:p>
    <w:p w14:paraId="50BE3CF7" w14:textId="0F79E04F" w:rsidR="001C05D8" w:rsidRPr="00972D9D" w:rsidRDefault="001C05D8" w:rsidP="00972D9D">
      <w:pPr>
        <w:widowControl w:val="0"/>
        <w:tabs>
          <w:tab w:val="left" w:pos="567"/>
        </w:tabs>
        <w:adjustRightInd w:val="0"/>
        <w:spacing w:before="120" w:after="120" w:line="240" w:lineRule="auto"/>
        <w:ind w:left="567"/>
        <w:jc w:val="both"/>
        <w:textAlignment w:val="baseline"/>
        <w:rPr>
          <w:rFonts w:ascii="Verdana" w:hAnsi="Verdana"/>
          <w:sz w:val="18"/>
          <w:szCs w:val="20"/>
        </w:rPr>
      </w:pPr>
      <w:r w:rsidRPr="00972D9D">
        <w:rPr>
          <w:rFonts w:ascii="Verdana" w:hAnsi="Verdana"/>
          <w:sz w:val="18"/>
          <w:szCs w:val="20"/>
        </w:rPr>
        <w:t xml:space="preserve">En efecto, si bien durante la vigencia de la </w:t>
      </w:r>
      <w:r w:rsidR="00FE4657" w:rsidRPr="00972D9D">
        <w:rPr>
          <w:rFonts w:ascii="Verdana" w:hAnsi="Verdana"/>
          <w:sz w:val="18"/>
          <w:szCs w:val="20"/>
        </w:rPr>
        <w:t xml:space="preserve">C.C.T. </w:t>
      </w:r>
      <w:r w:rsidRPr="00972D9D">
        <w:rPr>
          <w:rFonts w:ascii="Verdana" w:hAnsi="Verdana"/>
          <w:sz w:val="18"/>
          <w:szCs w:val="20"/>
        </w:rPr>
        <w:t xml:space="preserve">[Convención Colectiva de Trabajo] n° 46/75 […] hubiera resultado factible </w:t>
      </w:r>
      <w:r w:rsidR="00492D33" w:rsidRPr="00972D9D">
        <w:rPr>
          <w:rFonts w:ascii="Verdana" w:hAnsi="Verdana"/>
          <w:sz w:val="18"/>
          <w:szCs w:val="20"/>
        </w:rPr>
        <w:t>su</w:t>
      </w:r>
      <w:r w:rsidRPr="00972D9D">
        <w:rPr>
          <w:rFonts w:ascii="Verdana" w:hAnsi="Verdana"/>
          <w:sz w:val="18"/>
          <w:szCs w:val="20"/>
        </w:rPr>
        <w:t xml:space="preserve"> reconocimient</w:t>
      </w:r>
      <w:r w:rsidR="00492D33" w:rsidRPr="00972D9D">
        <w:rPr>
          <w:rFonts w:ascii="Verdana" w:hAnsi="Verdana"/>
          <w:sz w:val="18"/>
          <w:szCs w:val="20"/>
        </w:rPr>
        <w:t>o</w:t>
      </w:r>
      <w:r w:rsidRPr="00972D9D">
        <w:rPr>
          <w:rFonts w:ascii="Verdana" w:hAnsi="Verdana"/>
          <w:sz w:val="18"/>
          <w:szCs w:val="20"/>
        </w:rPr>
        <w:t xml:space="preserve"> ante la falta de norma expresa</w:t>
      </w:r>
      <w:r w:rsidR="00492D33" w:rsidRPr="00972D9D">
        <w:rPr>
          <w:rFonts w:ascii="Verdana" w:hAnsi="Verdana"/>
          <w:sz w:val="18"/>
          <w:szCs w:val="20"/>
        </w:rPr>
        <w:t xml:space="preserve"> en contrario</w:t>
      </w:r>
      <w:r w:rsidRPr="00972D9D">
        <w:rPr>
          <w:rFonts w:ascii="Verdana" w:hAnsi="Verdana"/>
          <w:sz w:val="18"/>
          <w:szCs w:val="20"/>
        </w:rPr>
        <w:t xml:space="preserve"> […]</w:t>
      </w:r>
      <w:r w:rsidR="00492D33" w:rsidRPr="00972D9D">
        <w:rPr>
          <w:rFonts w:ascii="Verdana" w:hAnsi="Verdana"/>
          <w:sz w:val="18"/>
          <w:szCs w:val="20"/>
        </w:rPr>
        <w:t>,</w:t>
      </w:r>
      <w:r w:rsidRPr="00972D9D">
        <w:rPr>
          <w:rFonts w:ascii="Verdana" w:hAnsi="Verdana"/>
          <w:sz w:val="18"/>
          <w:szCs w:val="20"/>
        </w:rPr>
        <w:t xml:space="preserve"> la circunstancia de que la Circular n° 5/77 de la Secretaría General de la Presidencia de la Nación h</w:t>
      </w:r>
      <w:r w:rsidR="00492D33" w:rsidRPr="00972D9D">
        <w:rPr>
          <w:rFonts w:ascii="Verdana" w:hAnsi="Verdana"/>
          <w:sz w:val="18"/>
          <w:szCs w:val="20"/>
        </w:rPr>
        <w:t>aya</w:t>
      </w:r>
      <w:r w:rsidRPr="00972D9D">
        <w:rPr>
          <w:rFonts w:ascii="Verdana" w:hAnsi="Verdana"/>
          <w:sz w:val="18"/>
          <w:szCs w:val="20"/>
        </w:rPr>
        <w:t xml:space="preserve"> determinado un criterio restrictivo en materia de reconocimiento de haberes sin prestación de servicios, impon</w:t>
      </w:r>
      <w:r w:rsidR="00492D33" w:rsidRPr="00972D9D">
        <w:rPr>
          <w:rFonts w:ascii="Verdana" w:hAnsi="Verdana"/>
          <w:sz w:val="18"/>
          <w:szCs w:val="20"/>
        </w:rPr>
        <w:t>e</w:t>
      </w:r>
      <w:r w:rsidRPr="00972D9D">
        <w:rPr>
          <w:rFonts w:ascii="Verdana" w:hAnsi="Verdana"/>
          <w:sz w:val="18"/>
          <w:szCs w:val="20"/>
        </w:rPr>
        <w:t xml:space="preserve"> limitar éste</w:t>
      </w:r>
      <w:r w:rsidR="0013492D" w:rsidRPr="00972D9D">
        <w:rPr>
          <w:rFonts w:ascii="Verdana" w:hAnsi="Verdana"/>
          <w:sz w:val="18"/>
          <w:szCs w:val="20"/>
        </w:rPr>
        <w:t>,</w:t>
      </w:r>
      <w:r w:rsidRPr="00972D9D">
        <w:rPr>
          <w:rFonts w:ascii="Verdana" w:hAnsi="Verdana"/>
          <w:sz w:val="18"/>
          <w:szCs w:val="20"/>
        </w:rPr>
        <w:t xml:space="preserve"> </w:t>
      </w:r>
      <w:r w:rsidR="00492D33" w:rsidRPr="00972D9D">
        <w:rPr>
          <w:rFonts w:ascii="Verdana" w:hAnsi="Verdana"/>
          <w:sz w:val="18"/>
          <w:szCs w:val="20"/>
        </w:rPr>
        <w:t>a los supuestos en que exista norma expresa</w:t>
      </w:r>
      <w:r w:rsidRPr="00972D9D">
        <w:rPr>
          <w:rStyle w:val="Refdenotaalpie"/>
          <w:rFonts w:ascii="Verdana" w:hAnsi="Verdana"/>
          <w:sz w:val="18"/>
          <w:szCs w:val="20"/>
        </w:rPr>
        <w:footnoteReference w:id="59"/>
      </w:r>
      <w:r w:rsidRPr="00972D9D">
        <w:rPr>
          <w:rFonts w:ascii="Verdana" w:hAnsi="Verdana"/>
          <w:sz w:val="18"/>
          <w:szCs w:val="20"/>
        </w:rPr>
        <w:t>.</w:t>
      </w:r>
    </w:p>
    <w:p w14:paraId="46EF3AE1" w14:textId="453F4B60" w:rsidR="00C022DE" w:rsidRPr="00972D9D" w:rsidRDefault="00C022DE"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sidRPr="00972D9D">
        <w:rPr>
          <w:rFonts w:ascii="Verdana" w:hAnsi="Verdana"/>
          <w:sz w:val="20"/>
          <w:szCs w:val="20"/>
        </w:rPr>
        <w:t>Cabe precisar que la Circular N° 5/77 del 3 de marzo de 1977 fue emitida por la Secretaría General de la Presidencia de la Nación Argentina</w:t>
      </w:r>
      <w:r w:rsidRPr="00972D9D">
        <w:rPr>
          <w:rStyle w:val="Refdenotaalpie"/>
          <w:rFonts w:ascii="Verdana" w:hAnsi="Verdana"/>
          <w:sz w:val="20"/>
          <w:szCs w:val="20"/>
        </w:rPr>
        <w:footnoteReference w:id="60"/>
      </w:r>
      <w:r w:rsidRPr="00972D9D">
        <w:rPr>
          <w:rFonts w:ascii="Verdana" w:hAnsi="Verdana"/>
          <w:sz w:val="20"/>
          <w:szCs w:val="20"/>
        </w:rPr>
        <w:t>, referente a la limitación de servicios y sueldos, que señalaba que el salario era la contraprestación obligada de los servicios efectivamente prestados y que en el único supuesto en el que podría hacerse efectivo durante un período de inactividad, era si una disposición legal lo declaraba subsistente.</w:t>
      </w:r>
    </w:p>
    <w:p w14:paraId="50BE3CF8" w14:textId="413DCBC5" w:rsidR="001C05D8" w:rsidRPr="00972D9D" w:rsidRDefault="001C05D8"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sidRPr="00972D9D">
        <w:rPr>
          <w:rFonts w:ascii="Verdana" w:hAnsi="Verdana"/>
          <w:sz w:val="20"/>
          <w:szCs w:val="20"/>
        </w:rPr>
        <w:t>El 19 de marzo de 1987 el Director General de la DGI emitió la Resolución No. 75/87, mediante la cual resolvió que</w:t>
      </w:r>
      <w:r w:rsidR="0013492D" w:rsidRPr="00972D9D">
        <w:rPr>
          <w:rFonts w:ascii="Verdana" w:hAnsi="Verdana"/>
          <w:sz w:val="20"/>
          <w:szCs w:val="20"/>
        </w:rPr>
        <w:t>,</w:t>
      </w:r>
      <w:r w:rsidRPr="00972D9D">
        <w:rPr>
          <w:rFonts w:ascii="Verdana" w:hAnsi="Verdana"/>
          <w:sz w:val="20"/>
          <w:szCs w:val="20"/>
        </w:rPr>
        <w:t xml:space="preserve"> de acuerdo a todo lo actuado y a lo dictaminado por la PTN, “</w:t>
      </w:r>
      <w:r w:rsidR="0006007C">
        <w:rPr>
          <w:rFonts w:ascii="Verdana" w:hAnsi="Verdana"/>
          <w:sz w:val="20"/>
          <w:szCs w:val="20"/>
        </w:rPr>
        <w:t xml:space="preserve">[…] </w:t>
      </w:r>
      <w:r w:rsidRPr="00972D9D">
        <w:rPr>
          <w:rFonts w:ascii="Verdana" w:hAnsi="Verdana"/>
          <w:sz w:val="20"/>
          <w:szCs w:val="20"/>
        </w:rPr>
        <w:t xml:space="preserve">proce[dían] ser desestimad[os] [los reclamos de la señora Perrone], con excepción a lo relacionado con el reconocimiento de la </w:t>
      </w:r>
      <w:r w:rsidR="0013492D" w:rsidRPr="00972D9D">
        <w:rPr>
          <w:rFonts w:ascii="Verdana" w:hAnsi="Verdana"/>
          <w:sz w:val="20"/>
          <w:szCs w:val="20"/>
        </w:rPr>
        <w:t>antigüedad</w:t>
      </w:r>
      <w:r w:rsidRPr="00972D9D">
        <w:rPr>
          <w:rFonts w:ascii="Verdana" w:hAnsi="Verdana"/>
          <w:sz w:val="20"/>
          <w:szCs w:val="20"/>
        </w:rPr>
        <w:t xml:space="preserve"> a los fines previsionales, para lo cual deber[ía] </w:t>
      </w:r>
      <w:r w:rsidRPr="00972D9D">
        <w:rPr>
          <w:rFonts w:ascii="Verdana" w:hAnsi="Verdana"/>
          <w:sz w:val="20"/>
          <w:szCs w:val="20"/>
        </w:rPr>
        <w:lastRenderedPageBreak/>
        <w:t>promover la gestión respectiva ante la Caja de Previsión</w:t>
      </w:r>
      <w:r w:rsidR="0006007C">
        <w:rPr>
          <w:rFonts w:ascii="Verdana" w:hAnsi="Verdana"/>
          <w:sz w:val="20"/>
          <w:szCs w:val="20"/>
        </w:rPr>
        <w:t>[…]</w:t>
      </w:r>
      <w:r w:rsidRPr="00972D9D">
        <w:rPr>
          <w:rFonts w:ascii="Verdana" w:hAnsi="Verdana"/>
          <w:sz w:val="20"/>
          <w:szCs w:val="20"/>
        </w:rPr>
        <w:t>”</w:t>
      </w:r>
      <w:r w:rsidRPr="00972D9D">
        <w:rPr>
          <w:rStyle w:val="Refdenotaalpie"/>
          <w:rFonts w:ascii="Verdana" w:hAnsi="Verdana"/>
          <w:sz w:val="20"/>
          <w:szCs w:val="20"/>
        </w:rPr>
        <w:footnoteReference w:id="61"/>
      </w:r>
      <w:r w:rsidRPr="00972D9D">
        <w:rPr>
          <w:rFonts w:ascii="Verdana" w:hAnsi="Verdana"/>
          <w:sz w:val="20"/>
          <w:szCs w:val="20"/>
        </w:rPr>
        <w:t>.</w:t>
      </w:r>
    </w:p>
    <w:p w14:paraId="50BE3CF9" w14:textId="77777777" w:rsidR="001C05D8" w:rsidRPr="00972D9D" w:rsidRDefault="001C05D8" w:rsidP="00972D9D">
      <w:pPr>
        <w:pStyle w:val="Ttulo3"/>
        <w:numPr>
          <w:ilvl w:val="0"/>
          <w:numId w:val="18"/>
        </w:numPr>
        <w:tabs>
          <w:tab w:val="clear" w:pos="1276"/>
          <w:tab w:val="left" w:pos="1134"/>
          <w:tab w:val="left" w:pos="2552"/>
        </w:tabs>
        <w:spacing w:before="120" w:after="120"/>
        <w:ind w:left="1418" w:hanging="567"/>
        <w:rPr>
          <w:b w:val="0"/>
          <w:lang w:val="es-ES_tradnl"/>
        </w:rPr>
      </w:pPr>
      <w:bookmarkStart w:id="63" w:name="_Toc20755724"/>
      <w:r w:rsidRPr="00972D9D">
        <w:rPr>
          <w:b w:val="0"/>
          <w:lang w:val="es-ES_tradnl"/>
        </w:rPr>
        <w:t xml:space="preserve">Procedimientos administrativos de Juan José </w:t>
      </w:r>
      <w:proofErr w:type="spellStart"/>
      <w:r w:rsidRPr="00972D9D">
        <w:rPr>
          <w:b w:val="0"/>
          <w:lang w:val="es-ES_tradnl"/>
        </w:rPr>
        <w:t>Preckel</w:t>
      </w:r>
      <w:bookmarkEnd w:id="63"/>
      <w:proofErr w:type="spellEnd"/>
    </w:p>
    <w:p w14:paraId="50BE3CFA" w14:textId="2B665908" w:rsidR="001C05D8" w:rsidRPr="00972D9D" w:rsidRDefault="001C05D8"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sidRPr="00972D9D">
        <w:rPr>
          <w:rFonts w:ascii="Verdana" w:hAnsi="Verdana"/>
          <w:sz w:val="20"/>
          <w:szCs w:val="20"/>
        </w:rPr>
        <w:t>El 2 de julio de 1985 el señor Preckel presentó un reclamo administrativo ante la DGI</w:t>
      </w:r>
      <w:r w:rsidRPr="00972D9D">
        <w:rPr>
          <w:rStyle w:val="Refdenotaalpie"/>
          <w:rFonts w:ascii="Verdana" w:hAnsi="Verdana"/>
          <w:sz w:val="20"/>
          <w:szCs w:val="20"/>
        </w:rPr>
        <w:footnoteReference w:id="62"/>
      </w:r>
      <w:r w:rsidRPr="00972D9D">
        <w:rPr>
          <w:rFonts w:ascii="Verdana" w:hAnsi="Verdana"/>
          <w:sz w:val="20"/>
          <w:szCs w:val="20"/>
        </w:rPr>
        <w:t>, en el que solicitó el reconocimiento de sus derechos laborales y pr</w:t>
      </w:r>
      <w:r w:rsidR="00FB1AF1">
        <w:rPr>
          <w:rFonts w:ascii="Verdana" w:hAnsi="Verdana"/>
          <w:sz w:val="20"/>
          <w:szCs w:val="20"/>
        </w:rPr>
        <w:t>e</w:t>
      </w:r>
      <w:r w:rsidRPr="00972D9D">
        <w:rPr>
          <w:rFonts w:ascii="Verdana" w:hAnsi="Verdana"/>
          <w:sz w:val="20"/>
          <w:szCs w:val="20"/>
        </w:rPr>
        <w:t>visionales durante el período comprendido entre el 6 de julio de 1976 al 4 de febrero de 1985 (día en que se reincorporó a sus actividades en su centro de trabajo).</w:t>
      </w:r>
    </w:p>
    <w:p w14:paraId="50BE3CFB" w14:textId="124DFC90" w:rsidR="001C05D8" w:rsidRPr="00972D9D" w:rsidRDefault="001C05D8"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sidRPr="00972D9D">
        <w:rPr>
          <w:rFonts w:ascii="Verdana" w:hAnsi="Verdana"/>
          <w:sz w:val="20"/>
          <w:szCs w:val="20"/>
        </w:rPr>
        <w:t>El 17 de diciembre de 1987 el Ministerio de Economía rechazó la petición realizada por el señor Preckel, a través de la Resolución No. 1217, manifestando que a pesar de que “</w:t>
      </w:r>
      <w:r w:rsidR="0006007C">
        <w:rPr>
          <w:rFonts w:ascii="Verdana" w:hAnsi="Verdana"/>
          <w:sz w:val="20"/>
          <w:szCs w:val="20"/>
        </w:rPr>
        <w:t xml:space="preserve">[…] </w:t>
      </w:r>
      <w:r w:rsidRPr="00972D9D">
        <w:rPr>
          <w:rFonts w:ascii="Verdana" w:hAnsi="Verdana"/>
          <w:sz w:val="20"/>
          <w:szCs w:val="20"/>
        </w:rPr>
        <w:t>la Dirección General de Asuntos Jurídicos [del mismo] Ministerio manifestó que desde el punto de vista formal el reclamo [era] procedente […] en lo que se refer[ía] a la cuestión de fondo, […] la Procuración del Tesoro de la Nación [había] emiti[do] dictamen en un caso análogo […] a cuyos términos [debía] remitirse. Que tal criterio resulta[ba] de obligatorio acatamiento</w:t>
      </w:r>
      <w:r w:rsidR="0006007C">
        <w:rPr>
          <w:rFonts w:ascii="Verdana" w:hAnsi="Verdana"/>
          <w:sz w:val="20"/>
          <w:szCs w:val="20"/>
        </w:rPr>
        <w:t>[…]</w:t>
      </w:r>
      <w:r w:rsidRPr="00972D9D">
        <w:rPr>
          <w:rFonts w:ascii="Verdana" w:hAnsi="Verdana"/>
          <w:sz w:val="20"/>
          <w:szCs w:val="20"/>
        </w:rPr>
        <w:t>”</w:t>
      </w:r>
      <w:r w:rsidRPr="00972D9D">
        <w:rPr>
          <w:rStyle w:val="Refdenotaalpie"/>
          <w:rFonts w:ascii="Verdana" w:hAnsi="Verdana"/>
          <w:sz w:val="20"/>
          <w:szCs w:val="20"/>
        </w:rPr>
        <w:footnoteReference w:id="63"/>
      </w:r>
      <w:r w:rsidRPr="00972D9D">
        <w:rPr>
          <w:rFonts w:ascii="Verdana" w:hAnsi="Verdana"/>
          <w:sz w:val="20"/>
          <w:szCs w:val="20"/>
        </w:rPr>
        <w:t>.</w:t>
      </w:r>
    </w:p>
    <w:p w14:paraId="50BE3CFC" w14:textId="77777777" w:rsidR="001C05D8" w:rsidRPr="00972D9D" w:rsidRDefault="001C05D8" w:rsidP="00972D9D">
      <w:pPr>
        <w:keepNext/>
        <w:keepLines/>
        <w:numPr>
          <w:ilvl w:val="0"/>
          <w:numId w:val="38"/>
        </w:numPr>
        <w:spacing w:before="120" w:after="120" w:line="240" w:lineRule="auto"/>
        <w:ind w:left="567" w:hanging="283"/>
        <w:jc w:val="both"/>
        <w:outlineLvl w:val="1"/>
        <w:rPr>
          <w:rFonts w:ascii="Verdana" w:eastAsia="Times New Roman" w:hAnsi="Verdana" w:cs="Times New Roman"/>
          <w:b/>
          <w:bCs/>
          <w:i/>
          <w:sz w:val="20"/>
          <w:szCs w:val="20"/>
          <w:lang w:val="es-ES_tradnl"/>
        </w:rPr>
      </w:pPr>
      <w:bookmarkStart w:id="64" w:name="_Toc20755725"/>
      <w:r w:rsidRPr="00972D9D">
        <w:rPr>
          <w:rFonts w:ascii="Verdana" w:eastAsia="Times New Roman" w:hAnsi="Verdana" w:cs="Times New Roman"/>
          <w:b/>
          <w:bCs/>
          <w:i/>
          <w:sz w:val="20"/>
          <w:szCs w:val="20"/>
          <w:lang w:val="es-ES_tradnl"/>
        </w:rPr>
        <w:t>Procedimientos judiciales</w:t>
      </w:r>
      <w:bookmarkEnd w:id="64"/>
    </w:p>
    <w:p w14:paraId="50BE3CFD" w14:textId="77777777" w:rsidR="001C05D8" w:rsidRPr="00972D9D" w:rsidRDefault="001C05D8"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sidRPr="00972D9D">
        <w:rPr>
          <w:rFonts w:ascii="Verdana" w:hAnsi="Verdana"/>
          <w:sz w:val="20"/>
          <w:szCs w:val="20"/>
        </w:rPr>
        <w:t>El 24 de junio de 1988 las presuntas víctimas presentaron por separado sus demandas ante el juez federal en contra del Estado Nacional – DGI. Ambas demandas fueron fundamentadas en los artículos 14.c del Régimen de Licencias, Justificaciones y Franquicias de la Administración Pública Nacional (en adelante “el Régimen”)</w:t>
      </w:r>
      <w:r w:rsidRPr="00972D9D">
        <w:rPr>
          <w:rStyle w:val="Refdenotaalpie"/>
          <w:rFonts w:ascii="Verdana" w:hAnsi="Verdana"/>
          <w:sz w:val="20"/>
          <w:szCs w:val="20"/>
        </w:rPr>
        <w:footnoteReference w:id="64"/>
      </w:r>
      <w:r w:rsidRPr="00972D9D">
        <w:rPr>
          <w:rFonts w:ascii="Verdana" w:hAnsi="Verdana"/>
          <w:sz w:val="20"/>
          <w:szCs w:val="20"/>
        </w:rPr>
        <w:t xml:space="preserve"> y en el 192 de la Convención Colectiva del Trabajo N°46/75E</w:t>
      </w:r>
      <w:r w:rsidR="00487B84" w:rsidRPr="00972D9D">
        <w:rPr>
          <w:rStyle w:val="Refdenotaalpie"/>
          <w:rFonts w:ascii="Verdana" w:hAnsi="Verdana"/>
          <w:sz w:val="20"/>
          <w:szCs w:val="20"/>
        </w:rPr>
        <w:footnoteReference w:id="65"/>
      </w:r>
      <w:r w:rsidRPr="00972D9D">
        <w:rPr>
          <w:rFonts w:ascii="Verdana" w:hAnsi="Verdana"/>
          <w:sz w:val="20"/>
          <w:szCs w:val="20"/>
        </w:rPr>
        <w:t>.</w:t>
      </w:r>
    </w:p>
    <w:p w14:paraId="50BE3CFE" w14:textId="77777777" w:rsidR="001C05D8" w:rsidRPr="00972D9D" w:rsidRDefault="001C05D8"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sidRPr="00972D9D">
        <w:rPr>
          <w:rFonts w:ascii="Verdana" w:hAnsi="Verdana"/>
          <w:sz w:val="20"/>
          <w:szCs w:val="20"/>
        </w:rPr>
        <w:t>La demanda de la señora Perrone tuvo como objeto el reclamo del pago de los haberes no percibidos desde el 6 de julio de 1976 hasta el 19 de octubre de 1982, los montos por concepto de sueldo anual complementario, el reconocimiento de la reubicación escalafonaria y lo correspondiente a los períodos de licencias ordinarias generadas y no gozadas en el lapso de mencionado</w:t>
      </w:r>
      <w:r w:rsidRPr="00972D9D">
        <w:rPr>
          <w:rStyle w:val="Refdenotaalpie"/>
          <w:rFonts w:ascii="Verdana" w:hAnsi="Verdana"/>
          <w:sz w:val="20"/>
          <w:szCs w:val="20"/>
        </w:rPr>
        <w:footnoteReference w:id="66"/>
      </w:r>
      <w:r w:rsidRPr="00972D9D">
        <w:rPr>
          <w:rFonts w:ascii="Verdana" w:hAnsi="Verdana"/>
          <w:sz w:val="20"/>
          <w:szCs w:val="20"/>
        </w:rPr>
        <w:t>.</w:t>
      </w:r>
    </w:p>
    <w:p w14:paraId="50BE3CFF" w14:textId="371DE73B" w:rsidR="001C05D8" w:rsidRPr="00972D9D" w:rsidRDefault="001C05D8"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sidRPr="00972D9D">
        <w:rPr>
          <w:rFonts w:ascii="Verdana" w:hAnsi="Verdana"/>
          <w:sz w:val="20"/>
          <w:szCs w:val="20"/>
        </w:rPr>
        <w:t>Por su parte, la demanda del señor Preckel tuvo como finalidad el reclamo del cobro de los haberes no percibidos entre el 6 de julio de 1976 y el 4 de febrero de 1985, la participación en el Fondo de Estímulo, las licencias que no fueron gozadas y el reconocimiento de la antigüedad a los fines previsionales y provisionales</w:t>
      </w:r>
      <w:r w:rsidRPr="00972D9D">
        <w:rPr>
          <w:rStyle w:val="Refdenotaalpie"/>
          <w:rFonts w:ascii="Verdana" w:hAnsi="Verdana"/>
          <w:sz w:val="20"/>
          <w:szCs w:val="20"/>
        </w:rPr>
        <w:footnoteReference w:id="67"/>
      </w:r>
      <w:r w:rsidRPr="00972D9D">
        <w:rPr>
          <w:rFonts w:ascii="Verdana" w:hAnsi="Verdana"/>
          <w:sz w:val="20"/>
          <w:szCs w:val="20"/>
        </w:rPr>
        <w:t>.</w:t>
      </w:r>
    </w:p>
    <w:p w14:paraId="50BE3D00" w14:textId="5DCAB9CD" w:rsidR="001C05D8" w:rsidRPr="00972D9D" w:rsidRDefault="001C05D8"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sidRPr="00972D9D">
        <w:rPr>
          <w:rFonts w:ascii="Verdana" w:hAnsi="Verdana"/>
          <w:sz w:val="20"/>
          <w:szCs w:val="20"/>
        </w:rPr>
        <w:t xml:space="preserve">En ambas demandas, </w:t>
      </w:r>
      <w:r w:rsidR="00581B8F">
        <w:rPr>
          <w:rFonts w:ascii="Verdana" w:hAnsi="Verdana"/>
          <w:sz w:val="20"/>
          <w:szCs w:val="20"/>
        </w:rPr>
        <w:t>se argumentó</w:t>
      </w:r>
      <w:r w:rsidRPr="00972D9D">
        <w:rPr>
          <w:rFonts w:ascii="Verdana" w:hAnsi="Verdana"/>
          <w:sz w:val="20"/>
          <w:szCs w:val="20"/>
        </w:rPr>
        <w:t xml:space="preserve"> que dicha disposición justificaba el pago de haberes salariales cuando las inasistencias de los agentes de la DGI estuvieran motivadas por “casos de fuerza mayor debidamente comprobados”, hipótesis en la que se encuadraba su caso. En este sentido, manifestaron que la vigencia y aplicación de la Circular N°. 5/77, por medio de la cual las autoridades administrativas habían rechazado sus peticiones, no resultaba aplicable, ya que dicha circular señalaba que no correspondía el pago de salarios dejados de percibir por inasistencia, salvo la existencia de una norma que expresara lo contrario, como lo era el referido artículo 14.c del Régimen de Licencias, Justificaciones y Franquicias de la Administración Pública (en adelante </w:t>
      </w:r>
      <w:r w:rsidRPr="00972D9D">
        <w:rPr>
          <w:rFonts w:ascii="Verdana" w:hAnsi="Verdana"/>
          <w:sz w:val="20"/>
          <w:szCs w:val="20"/>
        </w:rPr>
        <w:lastRenderedPageBreak/>
        <w:t>“el Régimen”), que permitía dicha excepción bajo la figura de fuerza mayor.</w:t>
      </w:r>
    </w:p>
    <w:p w14:paraId="50BE3D01" w14:textId="77777777" w:rsidR="001C05D8" w:rsidRPr="00972D9D" w:rsidRDefault="001C05D8"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sidRPr="00972D9D">
        <w:rPr>
          <w:rFonts w:ascii="Verdana" w:hAnsi="Verdana"/>
          <w:sz w:val="20"/>
          <w:szCs w:val="20"/>
        </w:rPr>
        <w:t xml:space="preserve">Las presuntas víctimas manifestaron en sus escritos que existía una relación de causalidad entre el acto que ordenó la privación de su libertad y el daño material sufrido por la negativa del Estado a abonar los haberes y accesorios que solicitaban. </w:t>
      </w:r>
    </w:p>
    <w:p w14:paraId="50BE3D02" w14:textId="77777777" w:rsidR="001C05D8" w:rsidRPr="00972D9D" w:rsidRDefault="001C05D8"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sidRPr="00972D9D">
        <w:rPr>
          <w:rFonts w:ascii="Verdana" w:hAnsi="Verdana"/>
          <w:sz w:val="20"/>
          <w:szCs w:val="20"/>
        </w:rPr>
        <w:t>El 6</w:t>
      </w:r>
      <w:r w:rsidRPr="00972D9D">
        <w:rPr>
          <w:rStyle w:val="Refdenotaalpie"/>
          <w:rFonts w:ascii="Verdana" w:hAnsi="Verdana"/>
          <w:sz w:val="20"/>
          <w:szCs w:val="20"/>
        </w:rPr>
        <w:footnoteReference w:id="68"/>
      </w:r>
      <w:r w:rsidRPr="00972D9D">
        <w:rPr>
          <w:rFonts w:ascii="Verdana" w:hAnsi="Verdana"/>
          <w:sz w:val="20"/>
          <w:szCs w:val="20"/>
        </w:rPr>
        <w:t xml:space="preserve"> y 12</w:t>
      </w:r>
      <w:r w:rsidRPr="00972D9D">
        <w:rPr>
          <w:rStyle w:val="Refdenotaalpie"/>
          <w:rFonts w:ascii="Verdana" w:hAnsi="Verdana"/>
          <w:sz w:val="20"/>
          <w:szCs w:val="20"/>
        </w:rPr>
        <w:footnoteReference w:id="69"/>
      </w:r>
      <w:r w:rsidRPr="00972D9D">
        <w:rPr>
          <w:rFonts w:ascii="Verdana" w:hAnsi="Verdana"/>
          <w:sz w:val="20"/>
          <w:szCs w:val="20"/>
        </w:rPr>
        <w:t xml:space="preserve"> de febrero de 1992, el Juez Federal del Poder Judicial de la Nación denegó las reclamaciones del señor Preckel y la señora Perrone, respectivamente. Las resoluciones de las presuntas víctimas, concluyeron de la siguiente manera:</w:t>
      </w:r>
    </w:p>
    <w:p w14:paraId="50BE3D03" w14:textId="77777777" w:rsidR="001C05D8" w:rsidRPr="00972D9D" w:rsidRDefault="001C05D8" w:rsidP="00972D9D">
      <w:pPr>
        <w:widowControl w:val="0"/>
        <w:tabs>
          <w:tab w:val="left" w:pos="567"/>
        </w:tabs>
        <w:adjustRightInd w:val="0"/>
        <w:spacing w:before="120" w:after="120" w:line="240" w:lineRule="auto"/>
        <w:ind w:left="567"/>
        <w:jc w:val="both"/>
        <w:textAlignment w:val="baseline"/>
        <w:rPr>
          <w:rFonts w:ascii="Verdana" w:hAnsi="Verdana"/>
          <w:sz w:val="18"/>
          <w:szCs w:val="20"/>
        </w:rPr>
      </w:pPr>
      <w:r w:rsidRPr="00972D9D">
        <w:rPr>
          <w:rFonts w:ascii="Verdana" w:hAnsi="Verdana"/>
          <w:sz w:val="18"/>
          <w:szCs w:val="20"/>
        </w:rPr>
        <w:t>[…] debe admitirse que no fue la D.G.I. la que dispuso el arresto, luego considerado injustificado, y que fue el mismo P.E.N., a través del Ministerio del Interior, el que realizó y provocó el estado de cosas que perjudicó a la actora</w:t>
      </w:r>
      <w:r w:rsidR="00684CCE" w:rsidRPr="00972D9D">
        <w:rPr>
          <w:rFonts w:ascii="Verdana" w:hAnsi="Verdana"/>
          <w:sz w:val="18"/>
          <w:szCs w:val="20"/>
        </w:rPr>
        <w:t xml:space="preserve"> […]</w:t>
      </w:r>
      <w:r w:rsidRPr="00972D9D">
        <w:rPr>
          <w:rFonts w:ascii="Verdana" w:hAnsi="Verdana"/>
          <w:sz w:val="18"/>
          <w:szCs w:val="20"/>
        </w:rPr>
        <w:t>.</w:t>
      </w:r>
    </w:p>
    <w:p w14:paraId="50BE3D04" w14:textId="35C6617E" w:rsidR="001C05D8" w:rsidRPr="00972D9D" w:rsidRDefault="00684CCE" w:rsidP="00972D9D">
      <w:pPr>
        <w:widowControl w:val="0"/>
        <w:tabs>
          <w:tab w:val="left" w:pos="567"/>
        </w:tabs>
        <w:adjustRightInd w:val="0"/>
        <w:spacing w:before="120" w:after="120" w:line="240" w:lineRule="auto"/>
        <w:ind w:left="567"/>
        <w:jc w:val="both"/>
        <w:textAlignment w:val="baseline"/>
        <w:rPr>
          <w:rFonts w:ascii="Verdana" w:hAnsi="Verdana"/>
          <w:sz w:val="18"/>
          <w:szCs w:val="20"/>
        </w:rPr>
      </w:pPr>
      <w:r w:rsidRPr="00972D9D">
        <w:rPr>
          <w:rFonts w:ascii="Verdana" w:hAnsi="Verdana"/>
          <w:sz w:val="18"/>
          <w:szCs w:val="20"/>
        </w:rPr>
        <w:t xml:space="preserve">[…] </w:t>
      </w:r>
      <w:r w:rsidR="001C05D8" w:rsidRPr="00972D9D">
        <w:rPr>
          <w:rFonts w:ascii="Verdana" w:hAnsi="Verdana"/>
          <w:sz w:val="18"/>
          <w:szCs w:val="20"/>
        </w:rPr>
        <w:t>La circular 5/77 y el Reglamento de Investigaciones administrativas</w:t>
      </w:r>
      <w:r w:rsidR="00425643" w:rsidRPr="00972D9D">
        <w:rPr>
          <w:rFonts w:ascii="Verdana" w:hAnsi="Verdana"/>
          <w:sz w:val="18"/>
          <w:szCs w:val="20"/>
        </w:rPr>
        <w:t xml:space="preserve"> </w:t>
      </w:r>
      <w:r w:rsidR="001C05D8" w:rsidRPr="00972D9D">
        <w:rPr>
          <w:rFonts w:ascii="Verdana" w:hAnsi="Verdana"/>
          <w:sz w:val="18"/>
          <w:szCs w:val="20"/>
        </w:rPr>
        <w:t>(art. 39ª)</w:t>
      </w:r>
      <w:r w:rsidRPr="00972D9D">
        <w:rPr>
          <w:rFonts w:ascii="Verdana" w:hAnsi="Verdana"/>
          <w:sz w:val="18"/>
          <w:szCs w:val="20"/>
        </w:rPr>
        <w:t xml:space="preserve"> inc. a)</w:t>
      </w:r>
      <w:r w:rsidR="001C05D8" w:rsidRPr="00972D9D">
        <w:rPr>
          <w:rFonts w:ascii="Verdana" w:hAnsi="Verdana"/>
          <w:sz w:val="18"/>
          <w:szCs w:val="20"/>
        </w:rPr>
        <w:t xml:space="preserve">, establecieron que, a la no prestación de trabajo le habrá de corresponder el no abono de los mismos. No se trata […] de una penalidad, ocurre porque quien no recibió prestación no tiene </w:t>
      </w:r>
      <w:r w:rsidR="00A6683A" w:rsidRPr="00972D9D">
        <w:rPr>
          <w:rFonts w:ascii="Verdana" w:hAnsi="Verdana"/>
          <w:sz w:val="18"/>
          <w:szCs w:val="20"/>
        </w:rPr>
        <w:t>por qué</w:t>
      </w:r>
      <w:r w:rsidR="001C05D8" w:rsidRPr="00972D9D">
        <w:rPr>
          <w:rFonts w:ascii="Verdana" w:hAnsi="Verdana"/>
          <w:sz w:val="18"/>
          <w:szCs w:val="20"/>
        </w:rPr>
        <w:t xml:space="preserve"> pagarla.</w:t>
      </w:r>
    </w:p>
    <w:p w14:paraId="50BE3D05" w14:textId="77777777" w:rsidR="001C05D8" w:rsidRPr="00972D9D" w:rsidRDefault="001C05D8" w:rsidP="00972D9D">
      <w:pPr>
        <w:widowControl w:val="0"/>
        <w:tabs>
          <w:tab w:val="left" w:pos="567"/>
        </w:tabs>
        <w:adjustRightInd w:val="0"/>
        <w:spacing w:before="120" w:after="120" w:line="240" w:lineRule="auto"/>
        <w:ind w:left="567"/>
        <w:jc w:val="both"/>
        <w:textAlignment w:val="baseline"/>
        <w:rPr>
          <w:rFonts w:ascii="Verdana" w:hAnsi="Verdana"/>
          <w:sz w:val="18"/>
          <w:szCs w:val="20"/>
        </w:rPr>
      </w:pPr>
      <w:r w:rsidRPr="00972D9D">
        <w:rPr>
          <w:rFonts w:ascii="Verdana" w:hAnsi="Verdana"/>
          <w:sz w:val="18"/>
          <w:szCs w:val="20"/>
        </w:rPr>
        <w:t>Es doctrina de la Corte Suprema que, salvo disposición expresa y específica para el caso, no procede el pago de sueldos por funciones no desempeñadas […].</w:t>
      </w:r>
    </w:p>
    <w:p w14:paraId="50BE3D06" w14:textId="77777777" w:rsidR="001C05D8" w:rsidRPr="00972D9D" w:rsidRDefault="001C05D8" w:rsidP="00972D9D">
      <w:pPr>
        <w:widowControl w:val="0"/>
        <w:tabs>
          <w:tab w:val="left" w:pos="567"/>
        </w:tabs>
        <w:adjustRightInd w:val="0"/>
        <w:spacing w:before="120" w:after="120" w:line="240" w:lineRule="auto"/>
        <w:ind w:left="567"/>
        <w:jc w:val="both"/>
        <w:textAlignment w:val="baseline"/>
        <w:rPr>
          <w:rFonts w:ascii="Verdana" w:hAnsi="Verdana"/>
          <w:sz w:val="18"/>
          <w:szCs w:val="20"/>
        </w:rPr>
      </w:pPr>
      <w:r w:rsidRPr="00972D9D">
        <w:rPr>
          <w:rFonts w:ascii="Verdana" w:hAnsi="Verdana"/>
          <w:sz w:val="18"/>
          <w:szCs w:val="20"/>
        </w:rPr>
        <w:t>[…] es evidente que el sumario llevado a cabo en sede administrativa en nada influyó para que se concretara el perjuicio de [los] demandante[s] y es también claro que las normas de la circular 5/77 y el art. 39 inc. a), de la Reglamentación […] impedían la recuperación o abono de los salarios caídos; estos preceptos no fueron impugnados por l[os] accionante[s] quien[es], por otra parte, no pidi[eron] indemnización por las pérdidas sufridas en razón de su injustificada detención [y exilio, en el caso del señor Preckel].</w:t>
      </w:r>
    </w:p>
    <w:p w14:paraId="50BE3D07" w14:textId="2732CCD4" w:rsidR="001C05D8" w:rsidRPr="00972D9D" w:rsidRDefault="001C05D8" w:rsidP="00972D9D">
      <w:pPr>
        <w:widowControl w:val="0"/>
        <w:tabs>
          <w:tab w:val="left" w:pos="567"/>
        </w:tabs>
        <w:adjustRightInd w:val="0"/>
        <w:spacing w:before="120" w:after="120" w:line="240" w:lineRule="auto"/>
        <w:ind w:left="567"/>
        <w:jc w:val="both"/>
        <w:textAlignment w:val="baseline"/>
        <w:rPr>
          <w:rFonts w:ascii="Verdana" w:hAnsi="Verdana"/>
          <w:sz w:val="18"/>
          <w:szCs w:val="20"/>
        </w:rPr>
      </w:pPr>
      <w:r w:rsidRPr="00972D9D">
        <w:rPr>
          <w:rFonts w:ascii="Verdana" w:hAnsi="Verdana"/>
          <w:sz w:val="18"/>
          <w:szCs w:val="20"/>
        </w:rPr>
        <w:t xml:space="preserve">Por otra parte, se hace difícil aceptar, </w:t>
      </w:r>
      <w:r w:rsidR="00A6683A" w:rsidRPr="00972D9D">
        <w:rPr>
          <w:rFonts w:ascii="Verdana" w:hAnsi="Verdana"/>
          <w:sz w:val="18"/>
          <w:szCs w:val="20"/>
        </w:rPr>
        <w:t>aun</w:t>
      </w:r>
      <w:r w:rsidRPr="00972D9D">
        <w:rPr>
          <w:rFonts w:ascii="Verdana" w:hAnsi="Verdana"/>
          <w:sz w:val="18"/>
          <w:szCs w:val="20"/>
        </w:rPr>
        <w:t xml:space="preserve"> perteneciendo a la D.G.I. al Estado Nacional, que el reclamo, que pudo interpretarse, en virtud del principio de “</w:t>
      </w:r>
      <w:r w:rsidRPr="00972D9D">
        <w:rPr>
          <w:rFonts w:ascii="Verdana" w:hAnsi="Verdana"/>
          <w:i/>
          <w:sz w:val="18"/>
          <w:szCs w:val="20"/>
        </w:rPr>
        <w:t>iura novit curia</w:t>
      </w:r>
      <w:r w:rsidRPr="00972D9D">
        <w:rPr>
          <w:rFonts w:ascii="Verdana" w:hAnsi="Verdana"/>
          <w:sz w:val="18"/>
          <w:szCs w:val="20"/>
        </w:rPr>
        <w:t>” como una acción por daños y perjuicios, lo cual estaría abonado por alguna cita que contiene la demanda, comprendía “in integrum” al Estado Nacional en su función de gobernante; es decir, sería como admitir que la D.G.I. tuviera que responder por actos eminentemente políticos del propio Poder Ejecutivo […]</w:t>
      </w:r>
      <w:r w:rsidRPr="00972D9D">
        <w:rPr>
          <w:rStyle w:val="Refdenotaalpie"/>
          <w:rFonts w:ascii="Verdana" w:hAnsi="Verdana"/>
          <w:sz w:val="18"/>
          <w:szCs w:val="20"/>
        </w:rPr>
        <w:footnoteReference w:id="70"/>
      </w:r>
      <w:r w:rsidRPr="00972D9D">
        <w:rPr>
          <w:rFonts w:ascii="Verdana" w:hAnsi="Verdana"/>
          <w:sz w:val="18"/>
          <w:szCs w:val="20"/>
        </w:rPr>
        <w:t>.</w:t>
      </w:r>
    </w:p>
    <w:p w14:paraId="50BE3D08" w14:textId="77777777" w:rsidR="001C05D8" w:rsidRPr="00972D9D" w:rsidRDefault="001C05D8" w:rsidP="00972D9D">
      <w:pPr>
        <w:pStyle w:val="Ttulo3"/>
        <w:numPr>
          <w:ilvl w:val="0"/>
          <w:numId w:val="19"/>
        </w:numPr>
        <w:tabs>
          <w:tab w:val="clear" w:pos="1276"/>
          <w:tab w:val="left" w:pos="1418"/>
          <w:tab w:val="left" w:pos="2127"/>
          <w:tab w:val="left" w:pos="2552"/>
        </w:tabs>
        <w:spacing w:before="120" w:after="120"/>
        <w:ind w:left="1418" w:hanging="567"/>
        <w:rPr>
          <w:b w:val="0"/>
          <w:lang w:val="es-ES_tradnl"/>
        </w:rPr>
      </w:pPr>
      <w:bookmarkStart w:id="65" w:name="_Toc20755726"/>
      <w:r w:rsidRPr="00972D9D">
        <w:rPr>
          <w:b w:val="0"/>
          <w:lang w:val="es-ES_tradnl"/>
        </w:rPr>
        <w:t xml:space="preserve">Recursos en la causa seguida por Juan José </w:t>
      </w:r>
      <w:proofErr w:type="spellStart"/>
      <w:r w:rsidRPr="00972D9D">
        <w:rPr>
          <w:b w:val="0"/>
          <w:lang w:val="es-ES_tradnl"/>
        </w:rPr>
        <w:t>Preckel</w:t>
      </w:r>
      <w:bookmarkEnd w:id="65"/>
      <w:proofErr w:type="spellEnd"/>
    </w:p>
    <w:p w14:paraId="50BE3D09" w14:textId="4546C61D" w:rsidR="001C05D8" w:rsidRPr="00972D9D" w:rsidRDefault="001C05D8"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sidRPr="00972D9D">
        <w:rPr>
          <w:rFonts w:ascii="Verdana" w:hAnsi="Verdana"/>
          <w:sz w:val="20"/>
          <w:szCs w:val="20"/>
        </w:rPr>
        <w:t xml:space="preserve">El señor Preckel interpuso el recurso de apelación </w:t>
      </w:r>
      <w:r w:rsidR="00A6683A" w:rsidRPr="00972D9D">
        <w:rPr>
          <w:rFonts w:ascii="Verdana" w:hAnsi="Verdana"/>
          <w:sz w:val="20"/>
          <w:szCs w:val="20"/>
        </w:rPr>
        <w:t xml:space="preserve">(sin fecha) </w:t>
      </w:r>
      <w:r w:rsidRPr="00972D9D">
        <w:rPr>
          <w:rFonts w:ascii="Verdana" w:hAnsi="Verdana"/>
          <w:sz w:val="20"/>
          <w:szCs w:val="20"/>
        </w:rPr>
        <w:t xml:space="preserve">ante la Cámara Nacional de Apelaciones en lo Contencioso Administrativo Federal (en adelante “Cámara de Apelaciones”). Argumentó que, al margen de lo estipulado en la Circular 5/77, existían “causas particularísimas que habilitaría[n] el abono por servicios no prestados”, como lo fue el haber sido detenidos por agentes estatales sin que mediara un proceso en su contra. Además, agregó que el Régimen, permite el pago de haberes por razones de fuerza mayor, hipótesis en la que se ubicaba por la detención arbitraria de la que fue objeto. De igual forma </w:t>
      </w:r>
      <w:r w:rsidR="0006007C">
        <w:rPr>
          <w:rFonts w:ascii="Verdana" w:hAnsi="Verdana"/>
          <w:sz w:val="20"/>
          <w:szCs w:val="20"/>
        </w:rPr>
        <w:t>indicó</w:t>
      </w:r>
      <w:r w:rsidR="0006007C" w:rsidRPr="00972D9D">
        <w:rPr>
          <w:rFonts w:ascii="Verdana" w:hAnsi="Verdana"/>
          <w:sz w:val="20"/>
          <w:szCs w:val="20"/>
        </w:rPr>
        <w:t xml:space="preserve"> </w:t>
      </w:r>
      <w:r w:rsidRPr="00972D9D">
        <w:rPr>
          <w:rFonts w:ascii="Verdana" w:hAnsi="Verdana"/>
          <w:sz w:val="20"/>
          <w:szCs w:val="20"/>
        </w:rPr>
        <w:t>que contrario a lo manifestado por el Juez Federal del Poder Judicial de la Nación, “</w:t>
      </w:r>
      <w:r w:rsidR="0006007C">
        <w:rPr>
          <w:rFonts w:ascii="Verdana" w:hAnsi="Verdana"/>
          <w:sz w:val="20"/>
          <w:szCs w:val="20"/>
        </w:rPr>
        <w:t xml:space="preserve">[…] </w:t>
      </w:r>
      <w:r w:rsidRPr="00972D9D">
        <w:rPr>
          <w:rFonts w:ascii="Verdana" w:hAnsi="Verdana"/>
          <w:sz w:val="20"/>
          <w:szCs w:val="20"/>
        </w:rPr>
        <w:t>no se trata[ba] de imputar a [la DGI], las consecuencias patrimoniales que el accionar antijurídico […] de[l] Estado Nacional, “in integrum” [sino] de exigir que la entidad creada por el Estado, que ha[bía] sido demandada […] en relación a los salarios no percibidos y sus accesorios […] recono[ciera] […] el pago de los haberes no abonados</w:t>
      </w:r>
      <w:r w:rsidR="0006007C">
        <w:rPr>
          <w:rFonts w:ascii="Verdana" w:hAnsi="Verdana"/>
          <w:sz w:val="20"/>
          <w:szCs w:val="20"/>
        </w:rPr>
        <w:t xml:space="preserve"> […]</w:t>
      </w:r>
      <w:r w:rsidRPr="00972D9D">
        <w:rPr>
          <w:rFonts w:ascii="Verdana" w:hAnsi="Verdana"/>
          <w:sz w:val="20"/>
          <w:szCs w:val="20"/>
        </w:rPr>
        <w:t>”</w:t>
      </w:r>
      <w:r w:rsidR="00B36AC0" w:rsidRPr="00972D9D">
        <w:rPr>
          <w:rStyle w:val="Refdenotaalpie"/>
          <w:rFonts w:ascii="Verdana" w:hAnsi="Verdana"/>
          <w:sz w:val="20"/>
          <w:szCs w:val="20"/>
        </w:rPr>
        <w:t xml:space="preserve"> </w:t>
      </w:r>
      <w:r w:rsidR="00B36AC0" w:rsidRPr="00972D9D">
        <w:rPr>
          <w:rStyle w:val="Refdenotaalpie"/>
          <w:rFonts w:ascii="Verdana" w:hAnsi="Verdana"/>
          <w:sz w:val="20"/>
          <w:szCs w:val="20"/>
        </w:rPr>
        <w:footnoteReference w:id="71"/>
      </w:r>
      <w:r w:rsidRPr="00972D9D">
        <w:rPr>
          <w:rFonts w:ascii="Verdana" w:hAnsi="Verdana"/>
          <w:sz w:val="20"/>
          <w:szCs w:val="20"/>
        </w:rPr>
        <w:t>.</w:t>
      </w:r>
    </w:p>
    <w:p w14:paraId="50BE3D0A" w14:textId="4AD7EF7C" w:rsidR="001C05D8" w:rsidRPr="00972D9D" w:rsidRDefault="001C05D8"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sidRPr="00972D9D">
        <w:rPr>
          <w:rFonts w:ascii="Verdana" w:hAnsi="Verdana"/>
          <w:sz w:val="20"/>
          <w:szCs w:val="20"/>
        </w:rPr>
        <w:t>El 24 de noviembre de 1992 la Sala III de la Cámara de Apelaciones</w:t>
      </w:r>
      <w:r w:rsidR="00E91E81" w:rsidRPr="00972D9D">
        <w:rPr>
          <w:rFonts w:ascii="Verdana" w:hAnsi="Verdana"/>
          <w:sz w:val="20"/>
          <w:szCs w:val="20"/>
        </w:rPr>
        <w:t xml:space="preserve"> en lo Contencioso Administrativo Federal</w:t>
      </w:r>
      <w:r w:rsidRPr="00972D9D">
        <w:rPr>
          <w:rFonts w:ascii="Verdana" w:hAnsi="Verdana"/>
          <w:sz w:val="20"/>
          <w:szCs w:val="20"/>
        </w:rPr>
        <w:t xml:space="preserve"> emitió su resolución en la cual se confirmó el fallo de primera instancia, indicando que “no proced[ía] el pago de sueldos por servicios no prestados” y que las normas en las que fundamentó el reclamante sus argumentos correspondían al Régimen, que contemplaba supuestos evidentemente distintos al de la situación fáctica del caso. Sostuvo que “</w:t>
      </w:r>
      <w:r w:rsidR="0006007C">
        <w:rPr>
          <w:rFonts w:ascii="Verdana" w:hAnsi="Verdana"/>
          <w:sz w:val="20"/>
          <w:szCs w:val="20"/>
        </w:rPr>
        <w:t xml:space="preserve">[…] </w:t>
      </w:r>
      <w:r w:rsidRPr="00972D9D">
        <w:rPr>
          <w:rFonts w:ascii="Verdana" w:hAnsi="Verdana"/>
          <w:sz w:val="20"/>
          <w:szCs w:val="20"/>
        </w:rPr>
        <w:t xml:space="preserve">si bien el </w:t>
      </w:r>
      <w:r w:rsidRPr="00972D9D">
        <w:rPr>
          <w:rFonts w:ascii="Verdana" w:hAnsi="Verdana"/>
          <w:sz w:val="20"/>
          <w:szCs w:val="20"/>
        </w:rPr>
        <w:lastRenderedPageBreak/>
        <w:t xml:space="preserve">principio del </w:t>
      </w:r>
      <w:r w:rsidRPr="00972D9D">
        <w:rPr>
          <w:rFonts w:ascii="Verdana" w:hAnsi="Verdana"/>
          <w:i/>
          <w:sz w:val="20"/>
          <w:szCs w:val="20"/>
        </w:rPr>
        <w:t>iura novit curia</w:t>
      </w:r>
      <w:r w:rsidRPr="00972D9D">
        <w:rPr>
          <w:rFonts w:ascii="Verdana" w:hAnsi="Verdana"/>
          <w:sz w:val="20"/>
          <w:szCs w:val="20"/>
        </w:rPr>
        <w:t xml:space="preserve"> faculta a los jueces para aplicar de oficio el derecho, no permite apartarse de los términos y alcances de la pretensión articulada en la demanda y su contestación […] dado que la alteración unilateral de los términos de la </w:t>
      </w:r>
      <w:r w:rsidRPr="00972D9D">
        <w:rPr>
          <w:rFonts w:ascii="Verdana" w:hAnsi="Verdana"/>
          <w:i/>
          <w:sz w:val="20"/>
          <w:szCs w:val="20"/>
        </w:rPr>
        <w:t>litis</w:t>
      </w:r>
      <w:r w:rsidRPr="00972D9D">
        <w:rPr>
          <w:rFonts w:ascii="Verdana" w:hAnsi="Verdana"/>
          <w:sz w:val="20"/>
          <w:szCs w:val="20"/>
        </w:rPr>
        <w:t xml:space="preserve"> va en mengua del derecho de defensa. Por ello, teniendo en cuenta la persona y el objeto demandado (habiendo aclarado expresamente el actor que no imputa al organismo demandado las consecuencias patrimoniales del accionar jurídico y disvalioso del Estado Nacional), no corresponde que la DGI […] soporte la carga del resarcimiento por los daños derivados del comportamiento ilegítimo del Poder Ejecutivo Nacional</w:t>
      </w:r>
      <w:r w:rsidR="0006007C">
        <w:rPr>
          <w:rFonts w:ascii="Verdana" w:hAnsi="Verdana"/>
          <w:sz w:val="20"/>
          <w:szCs w:val="20"/>
        </w:rPr>
        <w:t xml:space="preserve"> […]</w:t>
      </w:r>
      <w:r w:rsidRPr="00972D9D">
        <w:rPr>
          <w:rFonts w:ascii="Verdana" w:hAnsi="Verdana"/>
          <w:sz w:val="20"/>
          <w:szCs w:val="20"/>
        </w:rPr>
        <w:t>”</w:t>
      </w:r>
      <w:r w:rsidR="00B36AC0" w:rsidRPr="00972D9D">
        <w:rPr>
          <w:rStyle w:val="Refdenotaalpie"/>
          <w:rFonts w:ascii="Verdana" w:hAnsi="Verdana"/>
          <w:sz w:val="20"/>
          <w:szCs w:val="20"/>
        </w:rPr>
        <w:footnoteReference w:id="72"/>
      </w:r>
      <w:r w:rsidRPr="00972D9D">
        <w:rPr>
          <w:rFonts w:ascii="Verdana" w:hAnsi="Verdana"/>
          <w:sz w:val="20"/>
          <w:szCs w:val="20"/>
        </w:rPr>
        <w:t>.</w:t>
      </w:r>
    </w:p>
    <w:p w14:paraId="50BE3D0B" w14:textId="113CA03F" w:rsidR="001C05D8" w:rsidRPr="00972D9D" w:rsidRDefault="001C05D8"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sidRPr="00972D9D">
        <w:rPr>
          <w:rFonts w:ascii="Verdana" w:hAnsi="Verdana"/>
          <w:sz w:val="20"/>
          <w:szCs w:val="20"/>
        </w:rPr>
        <w:t>Ante tal resultado, el 24 de diciembre de 1992 el señor Preckel decidió presentar un recurso extraordinario de apelación, a través del cual alegó la procedencia de sus reclamos ya que de acuerdo a los artículos 14.c del Régimen y</w:t>
      </w:r>
      <w:r w:rsidR="00B36AC0" w:rsidRPr="00972D9D">
        <w:rPr>
          <w:rFonts w:ascii="Verdana" w:hAnsi="Verdana"/>
          <w:sz w:val="20"/>
          <w:szCs w:val="20"/>
        </w:rPr>
        <w:t xml:space="preserve"> </w:t>
      </w:r>
      <w:r w:rsidRPr="00972D9D">
        <w:rPr>
          <w:rFonts w:ascii="Verdana" w:hAnsi="Verdana"/>
          <w:sz w:val="20"/>
          <w:szCs w:val="20"/>
        </w:rPr>
        <w:t>192.a de la Convención Colectiva de Trabajo N°. 46/75E, se determinaba que “los agentes tendrían derecho a justificación, con goce de haberes, de las inasistencias incurridas por casos de fuerza mayor, no determinando en ningún caso limitación alguna de tiempo”. Además, sostuvo que la normativa citada constituía una excepción a la Circular 5/77</w:t>
      </w:r>
      <w:r w:rsidRPr="00972D9D">
        <w:rPr>
          <w:rStyle w:val="Refdenotaalpie"/>
          <w:rFonts w:ascii="Verdana" w:hAnsi="Verdana"/>
          <w:sz w:val="20"/>
          <w:szCs w:val="20"/>
        </w:rPr>
        <w:footnoteReference w:id="73"/>
      </w:r>
      <w:r w:rsidRPr="00972D9D">
        <w:rPr>
          <w:rFonts w:ascii="Verdana" w:hAnsi="Verdana"/>
          <w:sz w:val="20"/>
          <w:szCs w:val="20"/>
        </w:rPr>
        <w:t>.</w:t>
      </w:r>
    </w:p>
    <w:p w14:paraId="50BE3D0E" w14:textId="5DDC543F" w:rsidR="001C05D8" w:rsidRPr="00972D9D" w:rsidRDefault="001C05D8"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sidRPr="00972D9D">
        <w:rPr>
          <w:rFonts w:ascii="Verdana" w:hAnsi="Verdana"/>
          <w:sz w:val="20"/>
          <w:szCs w:val="20"/>
        </w:rPr>
        <w:t>El 4 de marzo de 1993 la Sala Contencioso Administrativo declaró sin lugar el recurso presentado por el señor Preckel. Sostuvo que el reclamante se limitó “a discrepar con la valoración de la decisión recurrida, sin que se advierta que ésta resulte prima facie suficiente para descalificar el fallo recurrido como acto jurisdiccional por la gravedad de los desaciertos que se le imputan”</w:t>
      </w:r>
      <w:r w:rsidRPr="00972D9D">
        <w:rPr>
          <w:rStyle w:val="Refdenotaalpie"/>
          <w:rFonts w:ascii="Verdana" w:hAnsi="Verdana"/>
          <w:sz w:val="20"/>
          <w:szCs w:val="20"/>
        </w:rPr>
        <w:footnoteReference w:id="74"/>
      </w:r>
      <w:r w:rsidRPr="00972D9D">
        <w:rPr>
          <w:rFonts w:ascii="Verdana" w:hAnsi="Verdana"/>
          <w:sz w:val="20"/>
          <w:szCs w:val="20"/>
        </w:rPr>
        <w:t>.</w:t>
      </w:r>
    </w:p>
    <w:p w14:paraId="0E2E692B" w14:textId="7F68BAC1" w:rsidR="005B5586" w:rsidRPr="00972D9D" w:rsidRDefault="001C05D8"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sidRPr="00972D9D">
        <w:rPr>
          <w:rFonts w:ascii="Verdana" w:hAnsi="Verdana"/>
          <w:sz w:val="20"/>
          <w:szCs w:val="20"/>
        </w:rPr>
        <w:t>El señor Preckel interpuso un recurso de queja por la denegación del recurso extraordinario ante la Corte Suprema de Justicia de la Nación</w:t>
      </w:r>
      <w:r w:rsidRPr="00972D9D">
        <w:rPr>
          <w:rStyle w:val="Refdenotaalpie"/>
          <w:rFonts w:ascii="Verdana" w:hAnsi="Verdana"/>
          <w:sz w:val="20"/>
          <w:szCs w:val="20"/>
        </w:rPr>
        <w:footnoteReference w:id="75"/>
      </w:r>
      <w:r w:rsidRPr="00972D9D">
        <w:rPr>
          <w:rFonts w:ascii="Verdana" w:hAnsi="Verdana"/>
          <w:sz w:val="20"/>
          <w:szCs w:val="20"/>
        </w:rPr>
        <w:t xml:space="preserve">. El 21 de mayo de 1996, dicha </w:t>
      </w:r>
      <w:r w:rsidR="00DC29ED" w:rsidRPr="00972D9D">
        <w:rPr>
          <w:rFonts w:ascii="Verdana" w:hAnsi="Verdana"/>
          <w:sz w:val="20"/>
          <w:szCs w:val="20"/>
        </w:rPr>
        <w:t>Corte rechazó por mayoría el recurso por inadmisible, invocando el artículo 280</w:t>
      </w:r>
      <w:r w:rsidR="00DC29ED" w:rsidRPr="00972D9D">
        <w:rPr>
          <w:rFonts w:ascii="Verdana" w:hAnsi="Verdana"/>
          <w:sz w:val="20"/>
          <w:szCs w:val="20"/>
          <w:vertAlign w:val="superscript"/>
        </w:rPr>
        <w:footnoteReference w:id="76"/>
      </w:r>
      <w:r w:rsidR="00DC29ED" w:rsidRPr="00972D9D">
        <w:rPr>
          <w:rFonts w:ascii="Verdana" w:hAnsi="Verdana"/>
          <w:sz w:val="20"/>
          <w:szCs w:val="20"/>
        </w:rPr>
        <w:t xml:space="preserve"> del Código Civil y Comercial de la Nación (CCCN)</w:t>
      </w:r>
      <w:r w:rsidRPr="00972D9D">
        <w:rPr>
          <w:rStyle w:val="Refdenotaalpie"/>
          <w:rFonts w:ascii="Verdana" w:hAnsi="Verdana"/>
          <w:sz w:val="20"/>
          <w:szCs w:val="20"/>
        </w:rPr>
        <w:footnoteReference w:id="77"/>
      </w:r>
      <w:r w:rsidRPr="00972D9D">
        <w:rPr>
          <w:rFonts w:ascii="Verdana" w:hAnsi="Verdana"/>
          <w:sz w:val="20"/>
          <w:szCs w:val="20"/>
        </w:rPr>
        <w:t xml:space="preserve">. </w:t>
      </w:r>
    </w:p>
    <w:p w14:paraId="3BB239BE" w14:textId="77777777" w:rsidR="005B5586" w:rsidRPr="00972D9D" w:rsidRDefault="001C05D8"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sidRPr="00972D9D">
        <w:rPr>
          <w:rFonts w:ascii="Verdana" w:hAnsi="Verdana"/>
          <w:sz w:val="20"/>
          <w:szCs w:val="20"/>
        </w:rPr>
        <w:t>Cabe mencionar que esta resolución contó con un voto disidente del Vicepresidente de la Corte Suprema</w:t>
      </w:r>
      <w:r w:rsidRPr="00972D9D">
        <w:rPr>
          <w:rStyle w:val="Refdenotaalpie"/>
          <w:rFonts w:ascii="Verdana" w:hAnsi="Verdana"/>
          <w:sz w:val="20"/>
          <w:szCs w:val="20"/>
        </w:rPr>
        <w:footnoteReference w:id="78"/>
      </w:r>
      <w:r w:rsidRPr="00972D9D">
        <w:rPr>
          <w:rFonts w:ascii="Verdana" w:hAnsi="Verdana"/>
          <w:sz w:val="20"/>
          <w:szCs w:val="20"/>
        </w:rPr>
        <w:t>, quien señaló que “el juicio que correspond[ía] realizar se refer[ía] a hechos acontecidos durante un período de gravísima ruptura del orden jurídico […] de la eliminación absoluta de todo rastro de estabilidad en el empleo […] Ello exig[ía] […] otorgar a las normas jurídicas aplicables un alcance que resguard[ara] y prote[giera] a las víctimas de sucesos como los examinados respecto de circunstancias inconcebibles, flexibilizando su comprensión para adaptarlas a hipótesis […] que no pudieron ser contempladas por el legislador”</w:t>
      </w:r>
      <w:r w:rsidR="005B5586" w:rsidRPr="00972D9D">
        <w:rPr>
          <w:rStyle w:val="Refdenotaalpie"/>
          <w:rFonts w:ascii="Verdana" w:hAnsi="Verdana"/>
          <w:sz w:val="20"/>
          <w:szCs w:val="20"/>
        </w:rPr>
        <w:footnoteReference w:id="79"/>
      </w:r>
      <w:r w:rsidR="00DC29ED" w:rsidRPr="00972D9D">
        <w:rPr>
          <w:rFonts w:ascii="Verdana" w:hAnsi="Verdana"/>
          <w:sz w:val="20"/>
          <w:szCs w:val="20"/>
        </w:rPr>
        <w:t>.</w:t>
      </w:r>
      <w:r w:rsidR="005B5586" w:rsidRPr="00972D9D">
        <w:rPr>
          <w:rFonts w:ascii="Verdana" w:hAnsi="Verdana"/>
          <w:sz w:val="20"/>
          <w:szCs w:val="20"/>
        </w:rPr>
        <w:t xml:space="preserve"> </w:t>
      </w:r>
    </w:p>
    <w:p w14:paraId="50BE3D11" w14:textId="77777777" w:rsidR="001C05D8" w:rsidRPr="00972D9D" w:rsidRDefault="001C05D8" w:rsidP="00972D9D">
      <w:pPr>
        <w:pStyle w:val="Ttulo3"/>
        <w:numPr>
          <w:ilvl w:val="0"/>
          <w:numId w:val="19"/>
        </w:numPr>
        <w:tabs>
          <w:tab w:val="clear" w:pos="1276"/>
          <w:tab w:val="left" w:pos="1418"/>
          <w:tab w:val="left" w:pos="2127"/>
          <w:tab w:val="left" w:pos="2552"/>
        </w:tabs>
        <w:spacing w:before="120" w:after="120"/>
        <w:ind w:left="1418" w:hanging="567"/>
        <w:rPr>
          <w:b w:val="0"/>
          <w:lang w:val="es-ES_tradnl"/>
        </w:rPr>
      </w:pPr>
      <w:bookmarkStart w:id="66" w:name="_Toc20755727"/>
      <w:r w:rsidRPr="00972D9D">
        <w:rPr>
          <w:b w:val="0"/>
          <w:lang w:val="es-ES_tradnl"/>
        </w:rPr>
        <w:lastRenderedPageBreak/>
        <w:t>Recursos en la causa seguida por Elba Clotilde Perrone</w:t>
      </w:r>
      <w:bookmarkEnd w:id="66"/>
    </w:p>
    <w:p w14:paraId="50BE3D12" w14:textId="373D5756" w:rsidR="001C05D8" w:rsidRPr="00972D9D" w:rsidRDefault="001C05D8"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sidRPr="00972D9D">
        <w:rPr>
          <w:rFonts w:ascii="Verdana" w:hAnsi="Verdana"/>
          <w:sz w:val="20"/>
          <w:szCs w:val="20"/>
        </w:rPr>
        <w:t>El 6 de mayo de 1992 la señora Perrone interpuso el recurso de apelación</w:t>
      </w:r>
      <w:r w:rsidRPr="00972D9D">
        <w:rPr>
          <w:rStyle w:val="Refdenotaalpie"/>
          <w:rFonts w:ascii="Verdana" w:hAnsi="Verdana"/>
          <w:sz w:val="20"/>
          <w:szCs w:val="20"/>
        </w:rPr>
        <w:footnoteReference w:id="80"/>
      </w:r>
      <w:r w:rsidRPr="00972D9D">
        <w:rPr>
          <w:rFonts w:ascii="Verdana" w:hAnsi="Verdana"/>
          <w:sz w:val="20"/>
          <w:szCs w:val="20"/>
        </w:rPr>
        <w:t xml:space="preserve"> en contra de la sentencia emitida por el juez federal del 12 de febrero de 1992, en el cual argumentó que de acuerdo a lo estipulado por la legislación vigente en ese momento, resultaba viable el reclamo de salarios en el supuesto de que las inasistencias hubiesen sido provocadas por “razones de fuerza mayor”.</w:t>
      </w:r>
    </w:p>
    <w:p w14:paraId="50BE3D13" w14:textId="239C4722" w:rsidR="001C05D8" w:rsidRPr="00972D9D" w:rsidRDefault="001C05D8"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sidRPr="00972D9D">
        <w:rPr>
          <w:rFonts w:ascii="Verdana" w:hAnsi="Verdana"/>
          <w:sz w:val="20"/>
          <w:szCs w:val="20"/>
        </w:rPr>
        <w:t xml:space="preserve">El 21 de septiembre de 1993 la Sala IV de la Cámara de Apelaciones revocó el fallo de primera instancia </w:t>
      </w:r>
      <w:r w:rsidR="009B573F" w:rsidRPr="00972D9D">
        <w:rPr>
          <w:rFonts w:ascii="Verdana" w:hAnsi="Verdana"/>
          <w:sz w:val="20"/>
          <w:szCs w:val="20"/>
        </w:rPr>
        <w:t xml:space="preserve">dando </w:t>
      </w:r>
      <w:r w:rsidRPr="00972D9D">
        <w:rPr>
          <w:rFonts w:ascii="Verdana" w:hAnsi="Verdana"/>
          <w:sz w:val="20"/>
          <w:szCs w:val="20"/>
        </w:rPr>
        <w:t>lugar a la demanda en lo sustancial, manifestando lo siguiente:</w:t>
      </w:r>
    </w:p>
    <w:p w14:paraId="50BE3D14" w14:textId="49DD84BE" w:rsidR="001C05D8" w:rsidRPr="00972D9D" w:rsidRDefault="001C05D8" w:rsidP="00972D9D">
      <w:pPr>
        <w:widowControl w:val="0"/>
        <w:tabs>
          <w:tab w:val="left" w:pos="567"/>
        </w:tabs>
        <w:adjustRightInd w:val="0"/>
        <w:spacing w:before="120" w:after="120" w:line="240" w:lineRule="auto"/>
        <w:ind w:left="567"/>
        <w:jc w:val="both"/>
        <w:textAlignment w:val="baseline"/>
        <w:rPr>
          <w:rFonts w:ascii="Verdana" w:hAnsi="Verdana"/>
          <w:sz w:val="18"/>
          <w:szCs w:val="20"/>
        </w:rPr>
      </w:pPr>
      <w:r w:rsidRPr="00972D9D">
        <w:rPr>
          <w:rFonts w:ascii="Verdana" w:hAnsi="Verdana"/>
          <w:sz w:val="18"/>
          <w:szCs w:val="20"/>
        </w:rPr>
        <w:t xml:space="preserve"> […] la solución equitativa […] puede alcanzarse atendiendo a normas en las que se previó la justificación con goce de haberes de inasistencias en que incurrieran los agentes en casos de fuerza mayor debidamente comprobados. Son ejemplos de lo expuesto la Convención Colectiva D.G.I. 46/75 (artículo 192, inc.a) vigente al momento de la detención de la demandante, y el decreto 3.413/79 (artículo 14.c) con vigencia a la fecha de su </w:t>
      </w:r>
      <w:r w:rsidR="00B22D15" w:rsidRPr="00972D9D">
        <w:rPr>
          <w:rFonts w:ascii="Verdana" w:hAnsi="Verdana"/>
          <w:sz w:val="18"/>
          <w:szCs w:val="20"/>
        </w:rPr>
        <w:t>reincorporación [</w:t>
      </w:r>
      <w:r w:rsidRPr="00972D9D">
        <w:rPr>
          <w:rFonts w:ascii="Verdana" w:hAnsi="Verdana"/>
          <w:sz w:val="18"/>
          <w:szCs w:val="20"/>
        </w:rPr>
        <w:t>...]</w:t>
      </w:r>
      <w:r w:rsidRPr="00972D9D">
        <w:rPr>
          <w:rStyle w:val="Refdenotaalpie"/>
          <w:rFonts w:ascii="Verdana" w:hAnsi="Verdana"/>
          <w:sz w:val="18"/>
          <w:szCs w:val="20"/>
        </w:rPr>
        <w:footnoteReference w:id="81"/>
      </w:r>
    </w:p>
    <w:p w14:paraId="50BE3D15" w14:textId="7E0B905F" w:rsidR="001C05D8" w:rsidRPr="00972D9D" w:rsidRDefault="001C05D8"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sidRPr="00972D9D">
        <w:rPr>
          <w:rFonts w:ascii="Verdana" w:hAnsi="Verdana"/>
          <w:sz w:val="20"/>
          <w:szCs w:val="20"/>
        </w:rPr>
        <w:t>La Cámara de Apelaciones concluyó con el argumento de que “</w:t>
      </w:r>
      <w:r w:rsidR="0006007C">
        <w:rPr>
          <w:rFonts w:ascii="Verdana" w:hAnsi="Verdana"/>
          <w:sz w:val="20"/>
          <w:szCs w:val="20"/>
        </w:rPr>
        <w:t xml:space="preserve">[…] </w:t>
      </w:r>
      <w:r w:rsidRPr="00972D9D">
        <w:rPr>
          <w:rFonts w:ascii="Verdana" w:hAnsi="Verdana"/>
          <w:sz w:val="20"/>
          <w:szCs w:val="20"/>
        </w:rPr>
        <w:t>no parec[ía] irrazonable considerar que la referida detención de la actora, y su ilegítima prolongación […] sin ser sometida a juicio, y sin probársele responsabilidad disciplinaria alguna, constitu[ían] un caso de fuerza mayor que jusfica[ba] su falta de prestación de servicios y el pago de los haberes no percibidos; […] y aquellas circunstancias […] lleva</w:t>
      </w:r>
      <w:r w:rsidR="00B36AC0" w:rsidRPr="00972D9D">
        <w:rPr>
          <w:rFonts w:ascii="Verdana" w:hAnsi="Verdana"/>
          <w:sz w:val="20"/>
          <w:szCs w:val="20"/>
        </w:rPr>
        <w:t>[rían]</w:t>
      </w:r>
      <w:r w:rsidRPr="00972D9D">
        <w:rPr>
          <w:rFonts w:ascii="Verdana" w:hAnsi="Verdana"/>
          <w:sz w:val="20"/>
          <w:szCs w:val="20"/>
        </w:rPr>
        <w:t xml:space="preserve"> a tener por configurada […] la situación de excepción contemplada en la resolución 5/77 y en la doctrina de la Corte Suprema de Justicia invocadas en la sentencia apelada. […] La solución propuesta es congruente con los principios y garantías constitucionales […] teniendo en cuenta que una estricta y objetiva aplicación de las normas conduciría a resultados inequitativos</w:t>
      </w:r>
      <w:r w:rsidR="0006007C">
        <w:rPr>
          <w:rFonts w:ascii="Verdana" w:hAnsi="Verdana"/>
          <w:sz w:val="20"/>
          <w:szCs w:val="20"/>
        </w:rPr>
        <w:t xml:space="preserve"> […]</w:t>
      </w:r>
      <w:r w:rsidRPr="00972D9D">
        <w:rPr>
          <w:rFonts w:ascii="Verdana" w:hAnsi="Verdana"/>
          <w:sz w:val="20"/>
          <w:szCs w:val="20"/>
        </w:rPr>
        <w:t>”</w:t>
      </w:r>
      <w:r w:rsidRPr="00972D9D">
        <w:rPr>
          <w:rStyle w:val="Refdenotaalpie"/>
          <w:rFonts w:ascii="Verdana" w:hAnsi="Verdana"/>
          <w:sz w:val="20"/>
          <w:szCs w:val="20"/>
        </w:rPr>
        <w:footnoteReference w:id="82"/>
      </w:r>
      <w:r w:rsidRPr="00972D9D">
        <w:rPr>
          <w:rFonts w:ascii="Verdana" w:hAnsi="Verdana"/>
          <w:sz w:val="20"/>
          <w:szCs w:val="20"/>
        </w:rPr>
        <w:t>.</w:t>
      </w:r>
    </w:p>
    <w:p w14:paraId="50BE3D16" w14:textId="77777777" w:rsidR="001C05D8" w:rsidRPr="00972D9D" w:rsidRDefault="001C05D8"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sidRPr="00972D9D">
        <w:rPr>
          <w:rFonts w:ascii="Verdana" w:hAnsi="Verdana"/>
          <w:sz w:val="20"/>
          <w:szCs w:val="20"/>
        </w:rPr>
        <w:t>En consecuencia, la Cámara de Apelaciones reconoció en su sentencia el derecho de la señora Perrone al cobro de sus haberes laborales. Sin embargo, declaró que no resultaban procedentes su reubicación escalafonaria o los beneficios de períodos de licencia ordinaria no gozados.</w:t>
      </w:r>
    </w:p>
    <w:p w14:paraId="44216655" w14:textId="4CC694B1" w:rsidR="00D352D0" w:rsidRPr="00972D9D" w:rsidRDefault="001C05D8"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sidRPr="00972D9D">
        <w:rPr>
          <w:rFonts w:ascii="Verdana" w:hAnsi="Verdana"/>
          <w:sz w:val="20"/>
          <w:szCs w:val="20"/>
        </w:rPr>
        <w:t>En respuesta a la sentencia de la Cámara de Apelaciones, el 15 de octubre de 1993 la DGI presentó un recurso extraordinario</w:t>
      </w:r>
      <w:r w:rsidRPr="00972D9D">
        <w:rPr>
          <w:rStyle w:val="Refdenotaalpie"/>
          <w:rFonts w:ascii="Verdana" w:hAnsi="Verdana"/>
          <w:sz w:val="20"/>
          <w:szCs w:val="20"/>
        </w:rPr>
        <w:footnoteReference w:id="83"/>
      </w:r>
      <w:r w:rsidRPr="00972D9D">
        <w:rPr>
          <w:rFonts w:ascii="Verdana" w:hAnsi="Verdana"/>
          <w:sz w:val="20"/>
          <w:szCs w:val="20"/>
        </w:rPr>
        <w:t xml:space="preserve"> </w:t>
      </w:r>
      <w:r w:rsidR="00DC29ED" w:rsidRPr="00972D9D">
        <w:rPr>
          <w:rFonts w:ascii="Verdana" w:hAnsi="Verdana"/>
          <w:sz w:val="20"/>
          <w:szCs w:val="20"/>
        </w:rPr>
        <w:t xml:space="preserve">ante el mismo </w:t>
      </w:r>
      <w:r w:rsidR="00D352D0" w:rsidRPr="00972D9D">
        <w:rPr>
          <w:rFonts w:ascii="Verdana" w:hAnsi="Verdana"/>
          <w:sz w:val="20"/>
          <w:szCs w:val="20"/>
        </w:rPr>
        <w:t>órgano</w:t>
      </w:r>
      <w:r w:rsidR="00DC29ED" w:rsidRPr="00972D9D">
        <w:rPr>
          <w:rFonts w:ascii="Verdana" w:hAnsi="Verdana"/>
          <w:sz w:val="20"/>
          <w:szCs w:val="20"/>
        </w:rPr>
        <w:t xml:space="preserve"> para ser tratado por la</w:t>
      </w:r>
      <w:r w:rsidRPr="00972D9D">
        <w:rPr>
          <w:rFonts w:ascii="Verdana" w:hAnsi="Verdana"/>
          <w:sz w:val="20"/>
          <w:szCs w:val="20"/>
        </w:rPr>
        <w:t xml:space="preserve"> Corte Suprema alegando que el criterio de la fuerza mayor no debería aplicarse al caso de la señora Perrone, pues “la actora no [había concurrido] a su trabajo por estar arrestada a disposición del Poder Ejecutivo Nacional, circunstancia totalmente ajena al organismo”.</w:t>
      </w:r>
      <w:r w:rsidR="00DC29ED" w:rsidRPr="00972D9D">
        <w:rPr>
          <w:rFonts w:ascii="Verdana" w:hAnsi="Verdana"/>
          <w:sz w:val="20"/>
          <w:szCs w:val="20"/>
        </w:rPr>
        <w:t xml:space="preserve"> </w:t>
      </w:r>
    </w:p>
    <w:p w14:paraId="665FA43E" w14:textId="240A7A07" w:rsidR="00DC29ED" w:rsidRPr="00972D9D" w:rsidRDefault="00DC29ED"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sidRPr="00972D9D">
        <w:rPr>
          <w:rFonts w:ascii="Verdana" w:hAnsi="Verdana"/>
          <w:sz w:val="20"/>
          <w:szCs w:val="20"/>
        </w:rPr>
        <w:t xml:space="preserve">La Cámara de Apelaciones rechazó la admisibilidad del recurso por lo cual la DGI entabló recurso de queja directamente ante la Corte Suprema de Justicia de la Nación. El 21 de mayo de 1996, </w:t>
      </w:r>
      <w:r w:rsidR="00D352D0" w:rsidRPr="00972D9D">
        <w:rPr>
          <w:rFonts w:ascii="Verdana" w:hAnsi="Verdana"/>
          <w:sz w:val="20"/>
          <w:szCs w:val="20"/>
        </w:rPr>
        <w:t xml:space="preserve">el </w:t>
      </w:r>
      <w:r w:rsidRPr="00972D9D">
        <w:rPr>
          <w:rFonts w:ascii="Verdana" w:hAnsi="Verdana"/>
          <w:sz w:val="20"/>
          <w:szCs w:val="20"/>
        </w:rPr>
        <w:t>tribunal declaró admisible</w:t>
      </w:r>
      <w:r w:rsidR="007769CC" w:rsidRPr="00972D9D">
        <w:rPr>
          <w:rFonts w:ascii="Verdana" w:hAnsi="Verdana"/>
          <w:sz w:val="20"/>
          <w:szCs w:val="20"/>
        </w:rPr>
        <w:t xml:space="preserve"> </w:t>
      </w:r>
      <w:r w:rsidRPr="00972D9D">
        <w:rPr>
          <w:rFonts w:ascii="Verdana" w:hAnsi="Verdana"/>
          <w:sz w:val="20"/>
          <w:szCs w:val="20"/>
        </w:rPr>
        <w:t>la queja de la DGI con fundamento en que</w:t>
      </w:r>
      <w:r w:rsidR="00D352D0" w:rsidRPr="00972D9D">
        <w:rPr>
          <w:rFonts w:ascii="Verdana" w:hAnsi="Verdana"/>
          <w:sz w:val="20"/>
          <w:szCs w:val="20"/>
        </w:rPr>
        <w:t>:</w:t>
      </w:r>
    </w:p>
    <w:p w14:paraId="50BE3D17" w14:textId="5BD67C6F" w:rsidR="001C05D8" w:rsidRPr="00F46AC0" w:rsidRDefault="00DC29ED" w:rsidP="00972D9D">
      <w:pPr>
        <w:widowControl w:val="0"/>
        <w:tabs>
          <w:tab w:val="left" w:pos="567"/>
        </w:tabs>
        <w:adjustRightInd w:val="0"/>
        <w:spacing w:before="120" w:after="120" w:line="240" w:lineRule="auto"/>
        <w:ind w:left="567"/>
        <w:jc w:val="both"/>
        <w:textAlignment w:val="baseline"/>
        <w:rPr>
          <w:rFonts w:ascii="Verdana" w:hAnsi="Verdana"/>
          <w:sz w:val="18"/>
          <w:szCs w:val="20"/>
        </w:rPr>
      </w:pPr>
      <w:r w:rsidRPr="00F46AC0">
        <w:rPr>
          <w:rFonts w:ascii="Verdana" w:hAnsi="Verdana"/>
          <w:sz w:val="18"/>
          <w:szCs w:val="20"/>
        </w:rPr>
        <w:t>“[..] la controversia se ha planteado en términos que comportan una cuestión federal típica por hallarse en juego el ámbito de aplicación y la inteligencia de normas federales –cuales son el art. 14, inciso c, del decreto 3413/79; decreto-ley 666/57; decreto 1798/80-, y la decisión ha sido contraria a la pretensión que en ellas sustentó el recurrente (art. 14, inciso 3°, ley 48)”</w:t>
      </w:r>
      <w:r w:rsidR="00B36AC0" w:rsidRPr="00F46AC0">
        <w:rPr>
          <w:rFonts w:ascii="Verdana" w:hAnsi="Verdana"/>
          <w:sz w:val="18"/>
          <w:szCs w:val="20"/>
        </w:rPr>
        <w:t>.</w:t>
      </w:r>
    </w:p>
    <w:p w14:paraId="50BE3D18" w14:textId="05734C57" w:rsidR="001C05D8" w:rsidRPr="00972D9D" w:rsidRDefault="00636809"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sidRPr="00972D9D">
        <w:rPr>
          <w:rFonts w:ascii="Verdana" w:hAnsi="Verdana"/>
          <w:sz w:val="20"/>
          <w:szCs w:val="20"/>
        </w:rPr>
        <w:t xml:space="preserve">Como consecuencia </w:t>
      </w:r>
      <w:r w:rsidR="00D352D0" w:rsidRPr="00972D9D">
        <w:rPr>
          <w:rFonts w:ascii="Verdana" w:hAnsi="Verdana"/>
          <w:sz w:val="20"/>
          <w:szCs w:val="20"/>
        </w:rPr>
        <w:t xml:space="preserve">de lo anterior, la Corte Suprema procedió </w:t>
      </w:r>
      <w:r w:rsidRPr="00972D9D">
        <w:rPr>
          <w:rFonts w:ascii="Verdana" w:hAnsi="Verdana"/>
          <w:sz w:val="20"/>
          <w:szCs w:val="20"/>
        </w:rPr>
        <w:t>al análisis de fondo y revocó</w:t>
      </w:r>
      <w:r w:rsidR="00DC29ED" w:rsidRPr="00972D9D">
        <w:rPr>
          <w:rFonts w:ascii="Verdana" w:hAnsi="Verdana"/>
          <w:sz w:val="20"/>
          <w:szCs w:val="20"/>
        </w:rPr>
        <w:t xml:space="preserve"> </w:t>
      </w:r>
      <w:r w:rsidR="00DC29ED" w:rsidRPr="00972D9D">
        <w:rPr>
          <w:rFonts w:ascii="Verdana" w:hAnsi="Verdana"/>
          <w:sz w:val="20"/>
          <w:szCs w:val="20"/>
        </w:rPr>
        <w:lastRenderedPageBreak/>
        <w:t>la sentencia de segunda instancia de la Cámara de Apelaciones</w:t>
      </w:r>
      <w:r w:rsidR="00D352D0" w:rsidRPr="00972D9D">
        <w:rPr>
          <w:rFonts w:ascii="Verdana" w:hAnsi="Verdana"/>
          <w:sz w:val="20"/>
          <w:szCs w:val="20"/>
        </w:rPr>
        <w:t>,</w:t>
      </w:r>
      <w:r w:rsidRPr="00972D9D">
        <w:rPr>
          <w:rFonts w:ascii="Verdana" w:hAnsi="Verdana"/>
          <w:sz w:val="20"/>
          <w:szCs w:val="20"/>
        </w:rPr>
        <w:t xml:space="preserve"> en función de los siguientes argumentos</w:t>
      </w:r>
      <w:r w:rsidR="00D352D0" w:rsidRPr="00972D9D">
        <w:rPr>
          <w:rFonts w:ascii="Verdana" w:hAnsi="Verdana"/>
          <w:sz w:val="20"/>
          <w:szCs w:val="20"/>
        </w:rPr>
        <w:t>:</w:t>
      </w:r>
    </w:p>
    <w:p w14:paraId="50BE3D1A" w14:textId="547FBD0F" w:rsidR="001C05D8" w:rsidRPr="00972D9D" w:rsidRDefault="00636809" w:rsidP="00972D9D">
      <w:pPr>
        <w:widowControl w:val="0"/>
        <w:tabs>
          <w:tab w:val="left" w:pos="567"/>
        </w:tabs>
        <w:adjustRightInd w:val="0"/>
        <w:spacing w:before="120" w:after="120" w:line="240" w:lineRule="auto"/>
        <w:ind w:left="567"/>
        <w:jc w:val="both"/>
        <w:textAlignment w:val="baseline"/>
        <w:rPr>
          <w:rFonts w:ascii="Verdana" w:hAnsi="Verdana"/>
          <w:sz w:val="18"/>
          <w:szCs w:val="20"/>
        </w:rPr>
      </w:pPr>
      <w:r w:rsidRPr="00972D9D" w:rsidDel="00636809">
        <w:rPr>
          <w:rFonts w:ascii="Verdana" w:hAnsi="Verdana"/>
          <w:sz w:val="18"/>
          <w:szCs w:val="20"/>
        </w:rPr>
        <w:t xml:space="preserve"> </w:t>
      </w:r>
      <w:r w:rsidR="001C05D8" w:rsidRPr="00972D9D">
        <w:rPr>
          <w:rFonts w:ascii="Verdana" w:hAnsi="Verdana"/>
          <w:sz w:val="18"/>
          <w:szCs w:val="20"/>
        </w:rPr>
        <w:t>[…] la actora no asistió a su trabajo por razones ajenas a su voluntad durante casi seis años; en ese lapso, la empleadora no dispuso el cese de la relación de empleo público, que se mantuvo vigente sin goce de haberes.</w:t>
      </w:r>
    </w:p>
    <w:p w14:paraId="50BE3D1B" w14:textId="77777777" w:rsidR="001C05D8" w:rsidRPr="00972D9D" w:rsidRDefault="001C05D8" w:rsidP="00972D9D">
      <w:pPr>
        <w:widowControl w:val="0"/>
        <w:tabs>
          <w:tab w:val="left" w:pos="567"/>
        </w:tabs>
        <w:adjustRightInd w:val="0"/>
        <w:spacing w:before="120" w:after="120" w:line="240" w:lineRule="auto"/>
        <w:ind w:left="567"/>
        <w:jc w:val="both"/>
        <w:textAlignment w:val="baseline"/>
        <w:rPr>
          <w:rFonts w:ascii="Verdana" w:hAnsi="Verdana"/>
          <w:sz w:val="18"/>
          <w:szCs w:val="20"/>
        </w:rPr>
      </w:pPr>
      <w:r w:rsidRPr="00972D9D">
        <w:rPr>
          <w:rFonts w:ascii="Verdana" w:hAnsi="Verdana"/>
          <w:sz w:val="18"/>
          <w:szCs w:val="20"/>
        </w:rPr>
        <w:t>No cabe pues, formular analogías a partir del régimen de franquicias y licencias, sino aplicar las normas atinentes al procedimiento disciplinario o, en su caso, integrar las lagunas con sus principios.</w:t>
      </w:r>
    </w:p>
    <w:p w14:paraId="50BE3D1C" w14:textId="27F5CF90" w:rsidR="001C05D8" w:rsidRPr="00972D9D" w:rsidRDefault="001C05D8" w:rsidP="00972D9D">
      <w:pPr>
        <w:widowControl w:val="0"/>
        <w:tabs>
          <w:tab w:val="left" w:pos="567"/>
        </w:tabs>
        <w:adjustRightInd w:val="0"/>
        <w:spacing w:before="120" w:after="120" w:line="240" w:lineRule="auto"/>
        <w:ind w:left="567"/>
        <w:jc w:val="both"/>
        <w:textAlignment w:val="baseline"/>
        <w:rPr>
          <w:rFonts w:ascii="Verdana" w:hAnsi="Verdana"/>
          <w:sz w:val="18"/>
          <w:szCs w:val="20"/>
        </w:rPr>
      </w:pPr>
      <w:r w:rsidRPr="00972D9D">
        <w:rPr>
          <w:rFonts w:ascii="Verdana" w:hAnsi="Verdana"/>
          <w:sz w:val="18"/>
          <w:szCs w:val="20"/>
        </w:rPr>
        <w:t>[…] no ha existido disposición expresa que permita hacer excepción al principio esencial en materia de salarios, cual es, que no procede el pago de sueldos por funciones no prestadas. Ello no comporta negar las consecuencias del acto ilegítimo del gobierno de facto desde la óptica de la responsabilidad del Estado Nacional, cuestión que, procesal y sustancialmente, no se discutió en autos</w:t>
      </w:r>
      <w:r w:rsidR="00574AD8">
        <w:rPr>
          <w:rStyle w:val="Refdenotaalpie"/>
          <w:rFonts w:ascii="Verdana" w:hAnsi="Verdana"/>
          <w:sz w:val="18"/>
          <w:szCs w:val="20"/>
        </w:rPr>
        <w:footnoteReference w:id="84"/>
      </w:r>
      <w:r w:rsidRPr="00972D9D">
        <w:rPr>
          <w:rFonts w:ascii="Verdana" w:hAnsi="Verdana"/>
          <w:sz w:val="18"/>
          <w:szCs w:val="20"/>
        </w:rPr>
        <w:t>.</w:t>
      </w:r>
    </w:p>
    <w:p w14:paraId="50BE3D1D" w14:textId="4E709CEB" w:rsidR="001C05D8" w:rsidRPr="00972D9D" w:rsidRDefault="001C05D8" w:rsidP="00972D9D">
      <w:pPr>
        <w:keepNext/>
        <w:keepLines/>
        <w:numPr>
          <w:ilvl w:val="0"/>
          <w:numId w:val="38"/>
        </w:numPr>
        <w:spacing w:before="120" w:after="120" w:line="240" w:lineRule="auto"/>
        <w:ind w:left="567" w:hanging="283"/>
        <w:jc w:val="both"/>
        <w:outlineLvl w:val="1"/>
        <w:rPr>
          <w:rFonts w:ascii="Verdana" w:eastAsia="Times New Roman" w:hAnsi="Verdana" w:cs="Times New Roman"/>
          <w:b/>
          <w:bCs/>
          <w:i/>
          <w:sz w:val="20"/>
          <w:szCs w:val="20"/>
          <w:lang w:val="es-ES_tradnl"/>
        </w:rPr>
      </w:pPr>
      <w:bookmarkStart w:id="67" w:name="_Toc529192756"/>
      <w:bookmarkEnd w:id="67"/>
      <w:r w:rsidRPr="00972D9D">
        <w:rPr>
          <w:rFonts w:ascii="Verdana" w:eastAsia="Times New Roman" w:hAnsi="Verdana" w:cs="Times New Roman"/>
          <w:b/>
          <w:bCs/>
          <w:i/>
          <w:sz w:val="20"/>
          <w:szCs w:val="20"/>
          <w:lang w:val="es-ES_tradnl"/>
        </w:rPr>
        <w:t xml:space="preserve"> </w:t>
      </w:r>
      <w:bookmarkStart w:id="68" w:name="_Toc20755728"/>
      <w:r w:rsidRPr="00972D9D">
        <w:rPr>
          <w:rFonts w:ascii="Verdana" w:eastAsia="Times New Roman" w:hAnsi="Verdana" w:cs="Times New Roman"/>
          <w:b/>
          <w:bCs/>
          <w:i/>
          <w:sz w:val="20"/>
          <w:szCs w:val="20"/>
          <w:lang w:val="es-ES_tradnl"/>
        </w:rPr>
        <w:t xml:space="preserve">Sobre las indemnizaciones recibidas por la presuntas víctimas </w:t>
      </w:r>
      <w:r w:rsidR="00030560">
        <w:rPr>
          <w:rFonts w:ascii="Verdana" w:eastAsia="Times New Roman" w:hAnsi="Verdana" w:cs="Times New Roman"/>
          <w:b/>
          <w:bCs/>
          <w:i/>
          <w:sz w:val="20"/>
          <w:szCs w:val="20"/>
          <w:lang w:val="es-ES_tradnl"/>
        </w:rPr>
        <w:t>en virtud</w:t>
      </w:r>
      <w:r w:rsidRPr="00972D9D">
        <w:rPr>
          <w:rFonts w:ascii="Verdana" w:eastAsia="Times New Roman" w:hAnsi="Verdana" w:cs="Times New Roman"/>
          <w:b/>
          <w:bCs/>
          <w:i/>
          <w:sz w:val="20"/>
          <w:szCs w:val="20"/>
          <w:lang w:val="es-ES_tradnl"/>
        </w:rPr>
        <w:t xml:space="preserve"> de la Ley 24.043 (Indemnización para Ex Detenidos)</w:t>
      </w:r>
      <w:bookmarkEnd w:id="68"/>
    </w:p>
    <w:p w14:paraId="50BE3D1E" w14:textId="21E914A6" w:rsidR="001C05D8" w:rsidRPr="00972D9D" w:rsidRDefault="001C05D8"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sidRPr="00972D9D">
        <w:rPr>
          <w:rFonts w:ascii="Verdana" w:hAnsi="Verdana"/>
          <w:sz w:val="20"/>
          <w:szCs w:val="20"/>
        </w:rPr>
        <w:t xml:space="preserve">Como </w:t>
      </w:r>
      <w:r w:rsidR="00D352D0" w:rsidRPr="00972D9D">
        <w:rPr>
          <w:rFonts w:ascii="Verdana" w:hAnsi="Verdana"/>
          <w:sz w:val="20"/>
          <w:szCs w:val="20"/>
        </w:rPr>
        <w:t>consecuencia</w:t>
      </w:r>
      <w:r w:rsidRPr="00972D9D">
        <w:rPr>
          <w:rFonts w:ascii="Verdana" w:hAnsi="Verdana"/>
          <w:sz w:val="20"/>
          <w:szCs w:val="20"/>
        </w:rPr>
        <w:t xml:space="preserve"> de las graves violaciones a derechos humanos cometidas por la dictadura en Argentina en el período comprendido de 1976 a 1983</w:t>
      </w:r>
      <w:r w:rsidRPr="00972D9D">
        <w:rPr>
          <w:rStyle w:val="Refdenotaalpie"/>
          <w:rFonts w:ascii="Verdana" w:hAnsi="Verdana"/>
          <w:sz w:val="20"/>
          <w:szCs w:val="20"/>
        </w:rPr>
        <w:footnoteReference w:id="85"/>
      </w:r>
      <w:r w:rsidRPr="00972D9D">
        <w:rPr>
          <w:rFonts w:ascii="Verdana" w:hAnsi="Verdana"/>
          <w:sz w:val="20"/>
          <w:szCs w:val="20"/>
        </w:rPr>
        <w:t>, el 2 de enero de 1992 fue publicada en el Boletín Oficial la Ley 24.043</w:t>
      </w:r>
      <w:r w:rsidRPr="00972D9D">
        <w:rPr>
          <w:rStyle w:val="Refdenotaalpie"/>
          <w:rFonts w:ascii="Verdana" w:hAnsi="Verdana"/>
          <w:sz w:val="20"/>
          <w:szCs w:val="20"/>
        </w:rPr>
        <w:footnoteReference w:id="86"/>
      </w:r>
      <w:r w:rsidRPr="00972D9D">
        <w:rPr>
          <w:rFonts w:ascii="Verdana" w:hAnsi="Verdana"/>
          <w:sz w:val="20"/>
          <w:szCs w:val="20"/>
        </w:rPr>
        <w:t xml:space="preserve">, a través de la cual "se otorga[ban] beneficios a las personas que hubieran sido puestas a disposición del Poder Ejecutivo Nacional (P.E.N.) durante la vigencia del estado de sitio o </w:t>
      </w:r>
      <w:r w:rsidR="00B36AC0" w:rsidRPr="00972D9D">
        <w:rPr>
          <w:rFonts w:ascii="Verdana" w:hAnsi="Verdana"/>
          <w:sz w:val="20"/>
          <w:szCs w:val="20"/>
        </w:rPr>
        <w:t xml:space="preserve">que </w:t>
      </w:r>
      <w:r w:rsidRPr="00972D9D">
        <w:rPr>
          <w:rFonts w:ascii="Verdana" w:hAnsi="Verdana"/>
          <w:sz w:val="20"/>
          <w:szCs w:val="20"/>
        </w:rPr>
        <w:t>siendo civiles hubiesen sufrido detención en virtud de actos emanados de tribunales militares”</w:t>
      </w:r>
      <w:r w:rsidR="009B573F" w:rsidRPr="00972D9D">
        <w:rPr>
          <w:rFonts w:ascii="Verdana" w:hAnsi="Verdana"/>
          <w:sz w:val="20"/>
          <w:szCs w:val="20"/>
        </w:rPr>
        <w:t>,</w:t>
      </w:r>
      <w:r w:rsidR="000E3998" w:rsidRPr="00972D9D">
        <w:rPr>
          <w:rFonts w:ascii="Verdana" w:hAnsi="Verdana"/>
          <w:sz w:val="20"/>
          <w:szCs w:val="20"/>
        </w:rPr>
        <w:t xml:space="preserve"> siempre y cuando no hubiesen percibido indemnización alguna en virtud de sentencia judicial, </w:t>
      </w:r>
      <w:r w:rsidR="00CC31C8">
        <w:rPr>
          <w:rFonts w:ascii="Verdana" w:hAnsi="Verdana"/>
          <w:sz w:val="20"/>
          <w:szCs w:val="20"/>
        </w:rPr>
        <w:t>“</w:t>
      </w:r>
      <w:r w:rsidR="000E3998" w:rsidRPr="00972D9D">
        <w:rPr>
          <w:rFonts w:ascii="Verdana" w:hAnsi="Verdana"/>
          <w:sz w:val="20"/>
          <w:szCs w:val="20"/>
        </w:rPr>
        <w:t>con motivo de los hechos contemplados en la presente</w:t>
      </w:r>
      <w:r w:rsidR="00CC31C8">
        <w:rPr>
          <w:rFonts w:ascii="Verdana" w:hAnsi="Verdana"/>
          <w:sz w:val="20"/>
          <w:szCs w:val="20"/>
        </w:rPr>
        <w:t>”</w:t>
      </w:r>
      <w:r w:rsidR="000E3998" w:rsidRPr="00972D9D">
        <w:rPr>
          <w:rStyle w:val="Refdenotaalpie"/>
          <w:rFonts w:ascii="Verdana" w:hAnsi="Verdana"/>
          <w:sz w:val="20"/>
          <w:szCs w:val="20"/>
        </w:rPr>
        <w:footnoteReference w:id="87"/>
      </w:r>
      <w:r w:rsidRPr="00972D9D">
        <w:rPr>
          <w:rFonts w:ascii="Verdana" w:hAnsi="Verdana"/>
          <w:sz w:val="20"/>
          <w:szCs w:val="20"/>
        </w:rPr>
        <w:t>.</w:t>
      </w:r>
    </w:p>
    <w:p w14:paraId="31B63072" w14:textId="5140C11B" w:rsidR="009B573F" w:rsidRPr="00972D9D" w:rsidRDefault="009B573F"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sidRPr="00972D9D">
        <w:rPr>
          <w:rFonts w:ascii="Verdana" w:hAnsi="Verdana"/>
          <w:sz w:val="20"/>
          <w:szCs w:val="20"/>
        </w:rPr>
        <w:t xml:space="preserve">En lo pertinente, dicha Ley estableció que: </w:t>
      </w:r>
    </w:p>
    <w:p w14:paraId="5BC95607" w14:textId="633487CB" w:rsidR="00327F03" w:rsidRPr="00972D9D" w:rsidRDefault="000065A8" w:rsidP="00972D9D">
      <w:pPr>
        <w:pStyle w:val="NormalWeb"/>
        <w:spacing w:before="120" w:after="120" w:line="240" w:lineRule="auto"/>
        <w:ind w:left="720" w:right="601"/>
        <w:jc w:val="both"/>
        <w:rPr>
          <w:rFonts w:ascii="Verdana" w:hAnsi="Verdana"/>
          <w:sz w:val="18"/>
          <w:szCs w:val="18"/>
        </w:rPr>
      </w:pPr>
      <w:r w:rsidRPr="00972D9D">
        <w:rPr>
          <w:rFonts w:ascii="Verdana" w:hAnsi="Verdana"/>
          <w:bCs/>
          <w:sz w:val="18"/>
          <w:szCs w:val="18"/>
        </w:rPr>
        <w:t>Artículo</w:t>
      </w:r>
      <w:r w:rsidR="00327F03" w:rsidRPr="00972D9D">
        <w:rPr>
          <w:rFonts w:ascii="Verdana" w:hAnsi="Verdana"/>
          <w:bCs/>
          <w:sz w:val="18"/>
          <w:szCs w:val="18"/>
        </w:rPr>
        <w:t xml:space="preserve"> 1°</w:t>
      </w:r>
      <w:r w:rsidR="00327F03" w:rsidRPr="00972D9D">
        <w:rPr>
          <w:rFonts w:ascii="Verdana" w:hAnsi="Verdana"/>
          <w:sz w:val="18"/>
          <w:szCs w:val="18"/>
        </w:rPr>
        <w:t> — Las personas que durante la vigencia del estado de sitio hubieran sido puestas a disposición del Poder Ejecutivo Nacional, por decisión de éste, o que siendo civiles hubiesen sufrido detención en virtud de actos emanados de tribunales militares, hayan o no iniciado juicio por daños y perjuicios, podrán acogerse a los beneficios de esta ley, siempre que no hubiesen percibido indemnización alguna en virtud de sentencia judicial, con motivo de los hechos contemplados en la presente.</w:t>
      </w:r>
    </w:p>
    <w:p w14:paraId="58116866" w14:textId="08BFE656" w:rsidR="00327F03" w:rsidRPr="00972D9D" w:rsidRDefault="000065A8" w:rsidP="00972D9D">
      <w:pPr>
        <w:pStyle w:val="NormalWeb"/>
        <w:spacing w:before="120" w:after="120" w:line="240" w:lineRule="auto"/>
        <w:ind w:left="720" w:right="601"/>
        <w:jc w:val="both"/>
        <w:rPr>
          <w:rFonts w:ascii="Verdana" w:hAnsi="Verdana"/>
          <w:sz w:val="18"/>
          <w:szCs w:val="18"/>
        </w:rPr>
      </w:pPr>
      <w:r w:rsidRPr="00972D9D">
        <w:rPr>
          <w:rFonts w:ascii="Verdana" w:hAnsi="Verdana"/>
          <w:bCs/>
          <w:sz w:val="18"/>
          <w:szCs w:val="18"/>
        </w:rPr>
        <w:t>Artículo 2</w:t>
      </w:r>
      <w:r w:rsidRPr="00972D9D">
        <w:rPr>
          <w:rFonts w:ascii="Verdana" w:hAnsi="Verdana"/>
          <w:sz w:val="18"/>
          <w:szCs w:val="18"/>
        </w:rPr>
        <w:t xml:space="preserve">° </w:t>
      </w:r>
      <w:r w:rsidR="00327F03" w:rsidRPr="00972D9D">
        <w:rPr>
          <w:rFonts w:ascii="Verdana" w:hAnsi="Verdana"/>
          <w:sz w:val="18"/>
          <w:szCs w:val="18"/>
        </w:rPr>
        <w:t>— Para acogerse a los beneficios de esta ley, las personas mencionadas en el artículo anterior deberán reunir alguno de los siguientes requisitos:</w:t>
      </w:r>
    </w:p>
    <w:p w14:paraId="2EDEF1CA" w14:textId="77777777" w:rsidR="00327F03" w:rsidRPr="00972D9D" w:rsidRDefault="00327F03" w:rsidP="00972D9D">
      <w:pPr>
        <w:pStyle w:val="NormalWeb"/>
        <w:spacing w:before="120" w:after="120" w:line="240" w:lineRule="auto"/>
        <w:ind w:left="1440" w:right="601"/>
        <w:jc w:val="both"/>
        <w:rPr>
          <w:rFonts w:ascii="Verdana" w:hAnsi="Verdana"/>
          <w:sz w:val="18"/>
          <w:szCs w:val="18"/>
        </w:rPr>
      </w:pPr>
      <w:r w:rsidRPr="00972D9D">
        <w:rPr>
          <w:rFonts w:ascii="Verdana" w:hAnsi="Verdana"/>
          <w:sz w:val="18"/>
          <w:szCs w:val="18"/>
        </w:rPr>
        <w:t>a) Haber sido puestas a disposición del Poder Ejecutivo Nacional antes del 10 de diciembre de 1983.</w:t>
      </w:r>
    </w:p>
    <w:p w14:paraId="39EE98F7" w14:textId="77777777" w:rsidR="00327F03" w:rsidRPr="00972D9D" w:rsidRDefault="00327F03" w:rsidP="00972D9D">
      <w:pPr>
        <w:pStyle w:val="NormalWeb"/>
        <w:spacing w:before="120" w:after="120" w:line="240" w:lineRule="auto"/>
        <w:ind w:left="1440" w:right="601"/>
        <w:jc w:val="both"/>
        <w:rPr>
          <w:rFonts w:ascii="Verdana" w:hAnsi="Verdana"/>
          <w:sz w:val="18"/>
          <w:szCs w:val="18"/>
        </w:rPr>
      </w:pPr>
      <w:r w:rsidRPr="00972D9D">
        <w:rPr>
          <w:rFonts w:ascii="Verdana" w:hAnsi="Verdana"/>
          <w:sz w:val="18"/>
          <w:szCs w:val="18"/>
        </w:rPr>
        <w:t>b) En condición de civiles, haber sido privadas de su libertad por actos emanados de tribunales militares, haya habido o no sentencia condenatoria en este fuero.</w:t>
      </w:r>
    </w:p>
    <w:p w14:paraId="116F199E" w14:textId="30BCA467" w:rsidR="00327F03" w:rsidRPr="00972D9D" w:rsidRDefault="000065A8" w:rsidP="00972D9D">
      <w:pPr>
        <w:pStyle w:val="NormalWeb"/>
        <w:spacing w:before="120" w:after="120" w:line="240" w:lineRule="auto"/>
        <w:ind w:left="720" w:right="601"/>
        <w:jc w:val="both"/>
        <w:rPr>
          <w:rFonts w:ascii="Verdana" w:hAnsi="Verdana"/>
          <w:sz w:val="18"/>
          <w:szCs w:val="18"/>
        </w:rPr>
      </w:pPr>
      <w:r w:rsidRPr="00972D9D">
        <w:rPr>
          <w:rFonts w:ascii="Verdana" w:hAnsi="Verdana"/>
          <w:bCs/>
          <w:sz w:val="18"/>
          <w:szCs w:val="18"/>
        </w:rPr>
        <w:t>Artículo 3</w:t>
      </w:r>
      <w:r w:rsidRPr="00972D9D">
        <w:rPr>
          <w:rFonts w:ascii="Verdana" w:hAnsi="Verdana"/>
          <w:sz w:val="18"/>
          <w:szCs w:val="18"/>
        </w:rPr>
        <w:t xml:space="preserve">° </w:t>
      </w:r>
      <w:r w:rsidR="00327F03" w:rsidRPr="00972D9D">
        <w:rPr>
          <w:rFonts w:ascii="Verdana" w:hAnsi="Verdana"/>
          <w:sz w:val="18"/>
          <w:szCs w:val="18"/>
        </w:rPr>
        <w:t>— La solicitud del beneficio se hará ante el Ministerio del Interior, quien comprobará en forma sumarísima el cumplimiento de los recaudos exigidos por los artículos anteriores y el lapso que duró la vigencia de la medida mencionada en el artículo 2°, incisos a) y b).</w:t>
      </w:r>
    </w:p>
    <w:p w14:paraId="6E368CBA" w14:textId="77777777" w:rsidR="00327F03" w:rsidRPr="00972D9D" w:rsidRDefault="00327F03" w:rsidP="00972D9D">
      <w:pPr>
        <w:pStyle w:val="NormalWeb"/>
        <w:spacing w:before="120" w:after="120" w:line="240" w:lineRule="auto"/>
        <w:ind w:left="720" w:right="601"/>
        <w:jc w:val="both"/>
        <w:rPr>
          <w:rFonts w:ascii="Verdana" w:hAnsi="Verdana"/>
          <w:sz w:val="18"/>
          <w:szCs w:val="18"/>
        </w:rPr>
      </w:pPr>
      <w:r w:rsidRPr="00972D9D">
        <w:rPr>
          <w:rFonts w:ascii="Verdana" w:hAnsi="Verdana"/>
          <w:sz w:val="18"/>
          <w:szCs w:val="18"/>
        </w:rPr>
        <w:t xml:space="preserve">La resolución que deniegue en forma total o parcial el beneficio, será recurrible dentro de los diez (10) días de notificada ante la Cámara Nacional de Apelaciones en lo Contencioso Administrativo Federal de la Capital Federal. El recurso se presentará fundado y el Ministerio </w:t>
      </w:r>
      <w:r w:rsidRPr="00972D9D">
        <w:rPr>
          <w:rFonts w:ascii="Verdana" w:hAnsi="Verdana"/>
          <w:sz w:val="18"/>
          <w:szCs w:val="18"/>
        </w:rPr>
        <w:lastRenderedPageBreak/>
        <w:t>del Interior lo elevará a la Cámara con su opinión dentro del quinto día. La Cámara decidirá sin más trámite dentro del plazo de veinte (20) días de recibidas las actuaciones.</w:t>
      </w:r>
    </w:p>
    <w:p w14:paraId="3DC19C9A" w14:textId="65993D93" w:rsidR="00327F03" w:rsidRPr="00972D9D" w:rsidRDefault="000065A8" w:rsidP="00972D9D">
      <w:pPr>
        <w:pStyle w:val="NormalWeb"/>
        <w:spacing w:before="120" w:after="120" w:line="240" w:lineRule="auto"/>
        <w:ind w:left="720" w:right="601"/>
        <w:jc w:val="both"/>
        <w:rPr>
          <w:rFonts w:ascii="Verdana" w:hAnsi="Verdana"/>
          <w:sz w:val="18"/>
          <w:szCs w:val="18"/>
        </w:rPr>
      </w:pPr>
      <w:r w:rsidRPr="00972D9D">
        <w:rPr>
          <w:rFonts w:ascii="Verdana" w:hAnsi="Verdana"/>
          <w:bCs/>
          <w:sz w:val="18"/>
          <w:szCs w:val="18"/>
        </w:rPr>
        <w:t>Artículo 4°</w:t>
      </w:r>
      <w:r w:rsidRPr="00972D9D">
        <w:rPr>
          <w:rFonts w:ascii="Verdana" w:hAnsi="Verdana"/>
          <w:b/>
          <w:bCs/>
          <w:sz w:val="18"/>
          <w:szCs w:val="18"/>
        </w:rPr>
        <w:t xml:space="preserve"> </w:t>
      </w:r>
      <w:r w:rsidR="00327F03" w:rsidRPr="00972D9D">
        <w:rPr>
          <w:rFonts w:ascii="Verdana" w:hAnsi="Verdana"/>
          <w:bCs/>
          <w:sz w:val="18"/>
          <w:szCs w:val="18"/>
        </w:rPr>
        <w:t>—</w:t>
      </w:r>
      <w:r w:rsidR="00327F03" w:rsidRPr="00972D9D">
        <w:rPr>
          <w:rFonts w:ascii="Verdana" w:hAnsi="Verdana"/>
          <w:sz w:val="18"/>
          <w:szCs w:val="18"/>
        </w:rPr>
        <w:t> El beneficio que establece la presente ley será igual a la treintava parte de la remuneración mensual asignada a la categoría superior del escalafón para el personal civil de la administración pública nacional (aprobado por el Decreto N° 1428 del 22 de febrero de 1973, o el que lo reemplace), por cada día que duró la medida mencionada en el artículo 2°, incisos a) y b), respecto a cada beneficiario. A este efecto se considerará remuneración mensual a la totalidad de los rubros que integran el salario del agente sujetos a aportes jubilatorios, con exclusión de los adicionales particulares (</w:t>
      </w:r>
      <w:r w:rsidRPr="00972D9D">
        <w:rPr>
          <w:rFonts w:ascii="Verdana" w:hAnsi="Verdana"/>
          <w:sz w:val="18"/>
          <w:szCs w:val="18"/>
        </w:rPr>
        <w:t>antigüedad</w:t>
      </w:r>
      <w:r w:rsidR="00327F03" w:rsidRPr="00972D9D">
        <w:rPr>
          <w:rFonts w:ascii="Verdana" w:hAnsi="Verdana"/>
          <w:sz w:val="18"/>
          <w:szCs w:val="18"/>
        </w:rPr>
        <w:t>, título, etc.), y se tomará la correspondiente al mes en que se otorgue el beneficio.</w:t>
      </w:r>
    </w:p>
    <w:p w14:paraId="5B21A6DE" w14:textId="77777777" w:rsidR="000065A8" w:rsidRPr="00972D9D" w:rsidRDefault="00327F03" w:rsidP="00972D9D">
      <w:pPr>
        <w:pStyle w:val="NormalWeb"/>
        <w:spacing w:before="120" w:after="120" w:line="240" w:lineRule="auto"/>
        <w:ind w:left="720" w:right="601"/>
        <w:jc w:val="both"/>
        <w:rPr>
          <w:rFonts w:ascii="Verdana" w:hAnsi="Verdana"/>
          <w:sz w:val="18"/>
          <w:szCs w:val="18"/>
        </w:rPr>
      </w:pPr>
      <w:r w:rsidRPr="00972D9D">
        <w:rPr>
          <w:rFonts w:ascii="Verdana" w:hAnsi="Verdana"/>
          <w:sz w:val="18"/>
          <w:szCs w:val="18"/>
        </w:rPr>
        <w:t>Para el cómputo del lapso aludido en el párrafo anterior, se tomará en cuenta el acto del Poder Ejecutivo que decretó la medida o el arresto efectivo no dispuesto por orden de autoridad judicial competente, y el acto que la dejó sin efecto con carácter particular o como consecuencia del cese del estado de sitio.</w:t>
      </w:r>
    </w:p>
    <w:p w14:paraId="1EE2F6B1" w14:textId="350B842A" w:rsidR="00327F03" w:rsidRPr="00972D9D" w:rsidRDefault="00327F03" w:rsidP="00972D9D">
      <w:pPr>
        <w:pStyle w:val="NormalWeb"/>
        <w:spacing w:before="120" w:after="120" w:line="240" w:lineRule="auto"/>
        <w:ind w:left="720" w:right="601"/>
        <w:jc w:val="both"/>
        <w:rPr>
          <w:rFonts w:ascii="Verdana" w:hAnsi="Verdana"/>
          <w:sz w:val="18"/>
          <w:szCs w:val="18"/>
        </w:rPr>
      </w:pPr>
      <w:r w:rsidRPr="00972D9D">
        <w:rPr>
          <w:rFonts w:ascii="Verdana" w:hAnsi="Verdana"/>
          <w:sz w:val="18"/>
          <w:szCs w:val="18"/>
        </w:rPr>
        <w:t>[…]</w:t>
      </w:r>
    </w:p>
    <w:p w14:paraId="0ACF50A2" w14:textId="01D274F7" w:rsidR="00327F03" w:rsidRPr="00972D9D" w:rsidRDefault="00327F03" w:rsidP="00972D9D">
      <w:pPr>
        <w:pStyle w:val="NormalWeb"/>
        <w:spacing w:before="120" w:after="120" w:line="240" w:lineRule="auto"/>
        <w:ind w:left="720" w:right="601"/>
        <w:jc w:val="both"/>
        <w:rPr>
          <w:rFonts w:ascii="Verdana" w:hAnsi="Verdana"/>
          <w:sz w:val="18"/>
          <w:szCs w:val="18"/>
        </w:rPr>
      </w:pPr>
      <w:r w:rsidRPr="00972D9D">
        <w:rPr>
          <w:rFonts w:ascii="Verdana" w:hAnsi="Verdana"/>
          <w:sz w:val="18"/>
          <w:szCs w:val="18"/>
        </w:rPr>
        <w:t>El beneficio correspondiente a las personas que en iguales circunstancias hubiesen sufrido lesiones gravísimas, según la clasificación que hace el Código Penal, será incrementado, por ese solo hecho, en una suma equivalente a la prevista en el párrafo anterior, reducida en un treinta por ciento (30 %)</w:t>
      </w:r>
      <w:r w:rsidR="00574AD8" w:rsidRPr="00972D9D">
        <w:rPr>
          <w:rStyle w:val="Refdenotaalpie"/>
          <w:rFonts w:ascii="Verdana" w:hAnsi="Verdana"/>
          <w:sz w:val="20"/>
          <w:szCs w:val="20"/>
        </w:rPr>
        <w:footnoteReference w:id="88"/>
      </w:r>
      <w:r w:rsidRPr="00972D9D">
        <w:rPr>
          <w:rFonts w:ascii="Verdana" w:hAnsi="Verdana"/>
          <w:sz w:val="18"/>
          <w:szCs w:val="18"/>
        </w:rPr>
        <w:t>.</w:t>
      </w:r>
    </w:p>
    <w:p w14:paraId="50BE3D1F" w14:textId="3C3D0B91" w:rsidR="001C05D8" w:rsidRPr="00972D9D" w:rsidRDefault="001C05D8"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sidRPr="00972D9D">
        <w:rPr>
          <w:rFonts w:ascii="Verdana" w:hAnsi="Verdana"/>
          <w:sz w:val="20"/>
          <w:szCs w:val="20"/>
        </w:rPr>
        <w:t>El Estado manifestó que mediante la Resolución N°.</w:t>
      </w:r>
      <w:r w:rsidR="00B36AC0" w:rsidRPr="00972D9D">
        <w:rPr>
          <w:rFonts w:ascii="Verdana" w:hAnsi="Verdana"/>
          <w:sz w:val="20"/>
          <w:szCs w:val="20"/>
        </w:rPr>
        <w:t xml:space="preserve"> </w:t>
      </w:r>
      <w:r w:rsidRPr="00972D9D">
        <w:rPr>
          <w:rFonts w:ascii="Verdana" w:hAnsi="Verdana"/>
          <w:sz w:val="20"/>
          <w:szCs w:val="20"/>
        </w:rPr>
        <w:t>2294 emitida por la Subsecretaría de Derechos Humanos y Sociales del Ministerio del Interior de fecha 15 de julio de 1994, el señor Preckel recibió la cantidad de $172,956.00</w:t>
      </w:r>
      <w:r w:rsidRPr="00972D9D">
        <w:rPr>
          <w:rStyle w:val="Refdenotaalpie"/>
          <w:rFonts w:ascii="Verdana" w:hAnsi="Verdana"/>
          <w:sz w:val="20"/>
          <w:szCs w:val="20"/>
        </w:rPr>
        <w:footnoteReference w:id="89"/>
      </w:r>
      <w:r w:rsidRPr="00972D9D">
        <w:rPr>
          <w:rFonts w:ascii="Verdana" w:hAnsi="Verdana"/>
          <w:sz w:val="20"/>
          <w:szCs w:val="20"/>
        </w:rPr>
        <w:t xml:space="preserve"> (ciento setenta y dos mil novecientos cincuenta y seis pesos argentinos</w:t>
      </w:r>
      <w:r w:rsidR="0052180A" w:rsidRPr="00972D9D">
        <w:rPr>
          <w:rFonts w:ascii="Verdana" w:hAnsi="Verdana"/>
          <w:sz w:val="20"/>
          <w:szCs w:val="20"/>
        </w:rPr>
        <w:t>, misma cantidad equivalente en USD</w:t>
      </w:r>
      <w:r w:rsidRPr="00972D9D">
        <w:rPr>
          <w:rFonts w:ascii="Verdana" w:hAnsi="Verdana"/>
          <w:sz w:val="20"/>
          <w:szCs w:val="20"/>
        </w:rPr>
        <w:t>), un beneficio correspondiente al valor de 2647 días referidos al lapso comprendido entre el 30 de julio de 1976 y el 28 de octubre de 1983</w:t>
      </w:r>
      <w:r w:rsidRPr="00972D9D">
        <w:rPr>
          <w:rStyle w:val="Refdenotaalpie"/>
          <w:rFonts w:ascii="Verdana" w:hAnsi="Verdana"/>
          <w:sz w:val="20"/>
          <w:szCs w:val="20"/>
        </w:rPr>
        <w:footnoteReference w:id="90"/>
      </w:r>
      <w:r w:rsidRPr="00F46AC0">
        <w:rPr>
          <w:rFonts w:ascii="Verdana" w:hAnsi="Verdana"/>
          <w:sz w:val="20"/>
          <w:szCs w:val="20"/>
        </w:rPr>
        <w:t>.</w:t>
      </w:r>
    </w:p>
    <w:p w14:paraId="50BE3D20" w14:textId="0CF17C97" w:rsidR="001C05D8" w:rsidRPr="00972D9D" w:rsidRDefault="001C05D8"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sidRPr="00972D9D">
        <w:rPr>
          <w:rFonts w:ascii="Verdana" w:hAnsi="Verdana"/>
          <w:sz w:val="20"/>
          <w:szCs w:val="20"/>
        </w:rPr>
        <w:t>En lo que respecta a la señora Perrone, fue indemnizada a través de la Resolución N°. 203 emitida por la Subsecretaría de Derechos Humanos y Sociales del Ministerio del Interior de fecha 25 de julio de 1995, con la cantidad de $144,875.00</w:t>
      </w:r>
      <w:r w:rsidRPr="00972D9D">
        <w:rPr>
          <w:rStyle w:val="Refdenotaalpie"/>
          <w:rFonts w:ascii="Verdana" w:hAnsi="Verdana"/>
          <w:sz w:val="20"/>
          <w:szCs w:val="20"/>
        </w:rPr>
        <w:footnoteReference w:id="91"/>
      </w:r>
      <w:r w:rsidRPr="00972D9D">
        <w:rPr>
          <w:rFonts w:ascii="Verdana" w:hAnsi="Verdana"/>
          <w:sz w:val="20"/>
          <w:szCs w:val="20"/>
        </w:rPr>
        <w:t xml:space="preserve"> (ciento cuarenta y cuatro mil ochocientos setenta y cinco pesos argentinos</w:t>
      </w:r>
      <w:r w:rsidR="0052180A" w:rsidRPr="00972D9D">
        <w:rPr>
          <w:rFonts w:ascii="Verdana" w:hAnsi="Verdana"/>
          <w:sz w:val="20"/>
          <w:szCs w:val="20"/>
        </w:rPr>
        <w:t>, misma cantidad equivalente en USD</w:t>
      </w:r>
      <w:r w:rsidRPr="00972D9D">
        <w:rPr>
          <w:rFonts w:ascii="Verdana" w:hAnsi="Verdana"/>
          <w:sz w:val="20"/>
          <w:szCs w:val="20"/>
        </w:rPr>
        <w:t>), cantidad que fue liquidada “hasta la fecha del decreto que dispuso que cesara a disposición del Poder Ejecutivo nacional [sic]”</w:t>
      </w:r>
      <w:r w:rsidRPr="00972D9D">
        <w:rPr>
          <w:rStyle w:val="Refdenotaalpie"/>
          <w:rFonts w:ascii="Verdana" w:hAnsi="Verdana"/>
          <w:sz w:val="20"/>
          <w:szCs w:val="20"/>
        </w:rPr>
        <w:footnoteReference w:id="92"/>
      </w:r>
      <w:r w:rsidR="0052180A" w:rsidRPr="00972D9D">
        <w:rPr>
          <w:rFonts w:ascii="Verdana" w:hAnsi="Verdana"/>
          <w:sz w:val="20"/>
          <w:szCs w:val="20"/>
        </w:rPr>
        <w:t>.</w:t>
      </w:r>
    </w:p>
    <w:p w14:paraId="50BE3D22" w14:textId="77777777" w:rsidR="001C05D8" w:rsidRPr="00972D9D" w:rsidRDefault="001C05D8" w:rsidP="00972D9D">
      <w:pPr>
        <w:keepNext/>
        <w:keepLines/>
        <w:numPr>
          <w:ilvl w:val="0"/>
          <w:numId w:val="38"/>
        </w:numPr>
        <w:spacing w:before="120" w:after="120" w:line="240" w:lineRule="auto"/>
        <w:ind w:left="567" w:hanging="283"/>
        <w:jc w:val="both"/>
        <w:outlineLvl w:val="1"/>
        <w:rPr>
          <w:rFonts w:ascii="Verdana" w:eastAsia="Times New Roman" w:hAnsi="Verdana" w:cs="Times New Roman"/>
          <w:b/>
          <w:bCs/>
          <w:i/>
          <w:sz w:val="20"/>
          <w:szCs w:val="20"/>
          <w:lang w:val="es-ES_tradnl"/>
        </w:rPr>
      </w:pPr>
      <w:bookmarkStart w:id="69" w:name="_Toc20755729"/>
      <w:r w:rsidRPr="00972D9D">
        <w:rPr>
          <w:rFonts w:ascii="Verdana" w:eastAsia="Times New Roman" w:hAnsi="Verdana" w:cs="Times New Roman"/>
          <w:b/>
          <w:bCs/>
          <w:i/>
          <w:sz w:val="20"/>
          <w:szCs w:val="20"/>
          <w:lang w:val="es-ES_tradnl"/>
        </w:rPr>
        <w:t>Otros actos internos</w:t>
      </w:r>
      <w:bookmarkEnd w:id="69"/>
    </w:p>
    <w:p w14:paraId="234ED349" w14:textId="0C4C1C41" w:rsidR="00CC60F6" w:rsidRPr="00972D9D" w:rsidRDefault="00581B8F"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Pr>
          <w:rFonts w:ascii="Verdana" w:hAnsi="Verdana"/>
          <w:sz w:val="20"/>
          <w:szCs w:val="20"/>
        </w:rPr>
        <w:t>El</w:t>
      </w:r>
      <w:r w:rsidR="001C05D8" w:rsidRPr="00972D9D">
        <w:rPr>
          <w:rFonts w:ascii="Verdana" w:hAnsi="Verdana"/>
          <w:sz w:val="20"/>
          <w:szCs w:val="20"/>
        </w:rPr>
        <w:t xml:space="preserve"> representante inform</w:t>
      </w:r>
      <w:r>
        <w:rPr>
          <w:rFonts w:ascii="Verdana" w:hAnsi="Verdana"/>
          <w:sz w:val="20"/>
          <w:szCs w:val="20"/>
        </w:rPr>
        <w:t>ó</w:t>
      </w:r>
      <w:r w:rsidR="001C05D8" w:rsidRPr="00972D9D">
        <w:rPr>
          <w:rFonts w:ascii="Verdana" w:hAnsi="Verdana"/>
          <w:sz w:val="20"/>
          <w:szCs w:val="20"/>
        </w:rPr>
        <w:t xml:space="preserve"> que el 24 de enero de 2005 mediante la nota SDH-AJI N°32/05 y a requerimiento de la Dirección de Derechos Humanos de la Cancillería Argentina, la Secretaría de Derechos Humanos de la Nación concluyó que se habían violado los artículos 1, 2, 8, 21 y 24 </w:t>
      </w:r>
      <w:r w:rsidR="001C05D8" w:rsidRPr="00972D9D">
        <w:rPr>
          <w:rFonts w:ascii="Verdana" w:hAnsi="Verdana"/>
          <w:sz w:val="20"/>
          <w:szCs w:val="20"/>
        </w:rPr>
        <w:lastRenderedPageBreak/>
        <w:t>de la Convención y los artículos XIV, XVII, XVIII y XXIII de la Declaración Americana, y posteriormente, la Secretaría ratificó el mismo dictamen el 3 de abril de 2005 mediante la nota SDH/DAI N°. 56/05 firmada por el Subsecretario de Protección de Derechos Humanos de la Secretaría de la Nación</w:t>
      </w:r>
      <w:r w:rsidR="00E1296F" w:rsidRPr="00972D9D">
        <w:rPr>
          <w:rFonts w:ascii="Verdana" w:hAnsi="Verdana"/>
          <w:sz w:val="20"/>
          <w:szCs w:val="20"/>
        </w:rPr>
        <w:t xml:space="preserve"> y dirigida a la Dirección de Derechos Humanos del Ministerio de Relaciones Exteriores, Comercio Internacional y Culto concluyendo que encontraban pertinente iniciar un proceso de solución amistosa para el caso de los señores Perrone y Preckel</w:t>
      </w:r>
      <w:r w:rsidR="00E1296F" w:rsidRPr="00972D9D">
        <w:rPr>
          <w:rStyle w:val="Refdenotaalpie"/>
          <w:rFonts w:ascii="Verdana" w:hAnsi="Verdana"/>
          <w:sz w:val="20"/>
          <w:szCs w:val="20"/>
        </w:rPr>
        <w:footnoteReference w:id="93"/>
      </w:r>
      <w:r w:rsidR="001C05D8" w:rsidRPr="00972D9D">
        <w:rPr>
          <w:rFonts w:ascii="Verdana" w:hAnsi="Verdana"/>
          <w:sz w:val="20"/>
          <w:szCs w:val="20"/>
        </w:rPr>
        <w:t xml:space="preserve">. El 3 de abril de 2009 a través de la nota SDH/DAJ N° 91/09, firmada nuevamente por el Subsecretario de Protección de Derechos Humanos, se ratificaron los dos dictámenes anteriores. </w:t>
      </w:r>
      <w:r w:rsidR="009B573F" w:rsidRPr="00972D9D">
        <w:rPr>
          <w:rFonts w:ascii="Verdana" w:hAnsi="Verdana"/>
          <w:sz w:val="20"/>
          <w:szCs w:val="20"/>
        </w:rPr>
        <w:t xml:space="preserve">Sin perjuicio de lo anterior, dicho proceso no se concluyó </w:t>
      </w:r>
      <w:r w:rsidR="006E41A8" w:rsidRPr="00972D9D">
        <w:rPr>
          <w:rFonts w:ascii="Verdana" w:hAnsi="Verdana"/>
          <w:sz w:val="20"/>
          <w:szCs w:val="20"/>
        </w:rPr>
        <w:t xml:space="preserve">a nivel interno ni </w:t>
      </w:r>
      <w:r w:rsidR="009B573F" w:rsidRPr="00972D9D">
        <w:rPr>
          <w:rFonts w:ascii="Verdana" w:hAnsi="Verdana"/>
          <w:sz w:val="20"/>
          <w:szCs w:val="20"/>
        </w:rPr>
        <w:t xml:space="preserve">ante </w:t>
      </w:r>
      <w:r w:rsidR="006E41A8" w:rsidRPr="00972D9D">
        <w:rPr>
          <w:rFonts w:ascii="Verdana" w:hAnsi="Verdana"/>
          <w:sz w:val="20"/>
          <w:szCs w:val="20"/>
        </w:rPr>
        <w:t xml:space="preserve">el proceso de solución amistosa ante </w:t>
      </w:r>
      <w:r w:rsidR="009B573F" w:rsidRPr="00972D9D">
        <w:rPr>
          <w:rFonts w:ascii="Verdana" w:hAnsi="Verdana"/>
          <w:sz w:val="20"/>
          <w:szCs w:val="20"/>
        </w:rPr>
        <w:t xml:space="preserve">la Comisión. </w:t>
      </w:r>
    </w:p>
    <w:p w14:paraId="01745076" w14:textId="0129BCE9" w:rsidR="00B074E5" w:rsidRPr="00F46AC0" w:rsidRDefault="00B074E5" w:rsidP="00F46AC0">
      <w:pPr>
        <w:keepNext/>
        <w:keepLines/>
        <w:spacing w:before="120" w:after="120" w:line="240" w:lineRule="auto"/>
        <w:ind w:left="567"/>
        <w:jc w:val="both"/>
        <w:outlineLvl w:val="1"/>
        <w:rPr>
          <w:rFonts w:ascii="Verdana" w:eastAsia="Times New Roman" w:hAnsi="Verdana" w:cs="Times New Roman"/>
          <w:b/>
          <w:bCs/>
          <w:sz w:val="20"/>
          <w:szCs w:val="20"/>
          <w:lang w:val="es-ES_tradnl"/>
        </w:rPr>
      </w:pPr>
      <w:bookmarkStart w:id="70" w:name="_Toc494123986"/>
      <w:bookmarkStart w:id="71" w:name="_Toc20755730"/>
    </w:p>
    <w:p w14:paraId="1A09B5C9" w14:textId="27037542" w:rsidR="00B36AC0" w:rsidRPr="002F036A" w:rsidRDefault="001C05D8" w:rsidP="00972D9D">
      <w:pPr>
        <w:keepNext/>
        <w:keepLines/>
        <w:tabs>
          <w:tab w:val="left" w:pos="851"/>
        </w:tabs>
        <w:spacing w:after="0" w:line="240" w:lineRule="auto"/>
        <w:jc w:val="center"/>
        <w:outlineLvl w:val="0"/>
        <w:rPr>
          <w:rFonts w:ascii="Verdana" w:eastAsia="Times New Roman" w:hAnsi="Verdana" w:cs="Verdana"/>
          <w:b/>
          <w:bCs/>
          <w:caps/>
          <w:snapToGrid w:val="0"/>
          <w:sz w:val="20"/>
          <w:szCs w:val="20"/>
          <w:lang w:val="es-ES_tradnl"/>
        </w:rPr>
      </w:pPr>
      <w:r w:rsidRPr="002F036A">
        <w:rPr>
          <w:rFonts w:ascii="Verdana" w:eastAsia="Times New Roman" w:hAnsi="Verdana" w:cs="Verdana"/>
          <w:b/>
          <w:bCs/>
          <w:caps/>
          <w:snapToGrid w:val="0"/>
          <w:sz w:val="20"/>
          <w:szCs w:val="20"/>
          <w:lang w:val="es-ES_tradnl"/>
        </w:rPr>
        <w:t>VII</w:t>
      </w:r>
      <w:r w:rsidRPr="002F036A">
        <w:rPr>
          <w:rFonts w:ascii="Verdana" w:eastAsia="Times New Roman" w:hAnsi="Verdana" w:cs="Verdana"/>
          <w:b/>
          <w:bCs/>
          <w:caps/>
          <w:snapToGrid w:val="0"/>
          <w:sz w:val="20"/>
          <w:szCs w:val="20"/>
          <w:lang w:val="es-ES_tradnl"/>
        </w:rPr>
        <w:br/>
        <w:t>Fondo</w:t>
      </w:r>
      <w:bookmarkEnd w:id="70"/>
      <w:bookmarkEnd w:id="71"/>
    </w:p>
    <w:p w14:paraId="2D299A07" w14:textId="29A0E462" w:rsidR="0074561B" w:rsidRPr="0074561B" w:rsidRDefault="00851BFC" w:rsidP="0074561B">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lang w:val="es-CR"/>
        </w:rPr>
      </w:pPr>
      <w:r w:rsidRPr="002F036A">
        <w:rPr>
          <w:rFonts w:ascii="Verdana" w:hAnsi="Verdana"/>
          <w:sz w:val="20"/>
          <w:szCs w:val="20"/>
          <w:lang w:val="es-CR"/>
        </w:rPr>
        <w:t xml:space="preserve">El caso se relaciona con el acceso a un recurso adecuado y efectivo y con las debidas garantías procesales particularmente a través del deber de motivación y el plazo razonable, en favor de la señora Perrone y el señor Preckel, quienes interpusieron diversos recursos administrativos y judiciales, a fin de reclamar el pago de los haberes salariales y beneficios sociales, dejados de percibir como consecuencia de su alegada privación arbitraria de la libertad durante la dictadura militar en Argentina. En vista de la limitación temporal </w:t>
      </w:r>
      <w:r w:rsidR="0074561B">
        <w:rPr>
          <w:rFonts w:ascii="Verdana" w:hAnsi="Verdana"/>
          <w:sz w:val="20"/>
          <w:szCs w:val="20"/>
          <w:lang w:val="es-CR"/>
        </w:rPr>
        <w:t>del Tribunal</w:t>
      </w:r>
      <w:r w:rsidRPr="002F036A">
        <w:rPr>
          <w:rFonts w:ascii="Verdana" w:hAnsi="Verdana"/>
          <w:sz w:val="20"/>
          <w:szCs w:val="20"/>
          <w:lang w:val="es-CR"/>
        </w:rPr>
        <w:t xml:space="preserve"> para evaluar hechos anteriores a</w:t>
      </w:r>
      <w:r w:rsidR="0074561B">
        <w:rPr>
          <w:rFonts w:ascii="Verdana" w:hAnsi="Verdana"/>
          <w:sz w:val="20"/>
          <w:szCs w:val="20"/>
          <w:lang w:val="es-CR"/>
        </w:rPr>
        <w:t>l reconocimiento de la competencia contenciosa por parte de Argentina</w:t>
      </w:r>
      <w:r w:rsidRPr="002F036A">
        <w:rPr>
          <w:rFonts w:ascii="Verdana" w:hAnsi="Verdana"/>
          <w:sz w:val="20"/>
          <w:szCs w:val="20"/>
          <w:lang w:val="es-CR"/>
        </w:rPr>
        <w:t xml:space="preserve"> (1984), corresponde a la Corte pronunciarse sobre hechos autónomos</w:t>
      </w:r>
      <w:r w:rsidR="0074561B">
        <w:rPr>
          <w:rFonts w:ascii="Verdana" w:hAnsi="Verdana"/>
          <w:sz w:val="20"/>
          <w:szCs w:val="20"/>
          <w:lang w:val="es-CR"/>
        </w:rPr>
        <w:t xml:space="preserve"> posteriores</w:t>
      </w:r>
      <w:r w:rsidRPr="002F036A">
        <w:rPr>
          <w:rFonts w:ascii="Verdana" w:hAnsi="Verdana"/>
          <w:sz w:val="20"/>
          <w:szCs w:val="20"/>
          <w:lang w:val="es-CR"/>
        </w:rPr>
        <w:t xml:space="preserve">, a la luz del alcance de los derechos reconocidos en los artículos 8 y 25 de la Convención Americana para efectos del presente caso. </w:t>
      </w:r>
    </w:p>
    <w:p w14:paraId="775B2131" w14:textId="1C6640AC" w:rsidR="00851BFC" w:rsidRPr="002F036A" w:rsidRDefault="00851BFC" w:rsidP="00972D9D">
      <w:pPr>
        <w:keepNext/>
        <w:keepLines/>
        <w:tabs>
          <w:tab w:val="left" w:pos="851"/>
        </w:tabs>
        <w:spacing w:after="0" w:line="240" w:lineRule="auto"/>
        <w:jc w:val="center"/>
        <w:outlineLvl w:val="0"/>
        <w:rPr>
          <w:rFonts w:ascii="Verdana" w:eastAsia="Times New Roman" w:hAnsi="Verdana" w:cs="Verdana"/>
          <w:b/>
          <w:bCs/>
          <w:caps/>
          <w:snapToGrid w:val="0"/>
          <w:sz w:val="20"/>
          <w:szCs w:val="20"/>
          <w:lang w:val="es-ES_tradnl"/>
        </w:rPr>
      </w:pPr>
      <w:bookmarkStart w:id="72" w:name="_Toc7428413"/>
      <w:bookmarkStart w:id="73" w:name="_Toc20755731"/>
      <w:r w:rsidRPr="002F036A">
        <w:rPr>
          <w:rFonts w:ascii="Verdana" w:eastAsia="Times New Roman" w:hAnsi="Verdana" w:cs="Verdana"/>
          <w:b/>
          <w:bCs/>
          <w:caps/>
          <w:snapToGrid w:val="0"/>
          <w:sz w:val="20"/>
          <w:szCs w:val="20"/>
          <w:lang w:val="es-ES_tradnl"/>
        </w:rPr>
        <w:t>VII</w:t>
      </w:r>
      <w:bookmarkEnd w:id="72"/>
      <w:bookmarkEnd w:id="73"/>
    </w:p>
    <w:p w14:paraId="7E1545DD" w14:textId="77777777" w:rsidR="00851BFC" w:rsidRPr="002F036A" w:rsidRDefault="00851BFC" w:rsidP="00972D9D">
      <w:pPr>
        <w:keepNext/>
        <w:keepLines/>
        <w:tabs>
          <w:tab w:val="left" w:pos="851"/>
        </w:tabs>
        <w:spacing w:after="0" w:line="240" w:lineRule="auto"/>
        <w:jc w:val="center"/>
        <w:outlineLvl w:val="0"/>
        <w:rPr>
          <w:rFonts w:ascii="Verdana" w:eastAsia="Times New Roman" w:hAnsi="Verdana" w:cs="Verdana"/>
          <w:b/>
          <w:bCs/>
          <w:caps/>
          <w:snapToGrid w:val="0"/>
          <w:sz w:val="20"/>
          <w:szCs w:val="20"/>
          <w:lang w:val="es-ES_tradnl"/>
        </w:rPr>
      </w:pPr>
      <w:bookmarkStart w:id="74" w:name="_Toc20755732"/>
      <w:r w:rsidRPr="002F036A">
        <w:rPr>
          <w:rFonts w:ascii="Verdana" w:eastAsia="Times New Roman" w:hAnsi="Verdana" w:cs="Verdana"/>
          <w:b/>
          <w:bCs/>
          <w:caps/>
          <w:snapToGrid w:val="0"/>
          <w:sz w:val="20"/>
          <w:szCs w:val="20"/>
          <w:lang w:val="es-ES_tradnl"/>
        </w:rPr>
        <w:t>DERECHOS A LAS GARANTÍAS JUDICIALES Y PROTECCIÓN JUDICIAL</w:t>
      </w:r>
      <w:bookmarkEnd w:id="74"/>
    </w:p>
    <w:p w14:paraId="01792D31" w14:textId="0924CC2D" w:rsidR="003B7162" w:rsidRPr="00972D9D" w:rsidRDefault="00851BFC" w:rsidP="00972D9D">
      <w:pPr>
        <w:keepNext/>
        <w:keepLines/>
        <w:tabs>
          <w:tab w:val="left" w:pos="851"/>
        </w:tabs>
        <w:spacing w:after="0" w:line="240" w:lineRule="auto"/>
        <w:jc w:val="center"/>
        <w:outlineLvl w:val="0"/>
        <w:rPr>
          <w:rFonts w:ascii="Verdana" w:eastAsia="Times New Roman" w:hAnsi="Verdana" w:cs="Verdana"/>
          <w:b/>
          <w:bCs/>
          <w:caps/>
          <w:snapToGrid w:val="0"/>
          <w:sz w:val="20"/>
          <w:szCs w:val="20"/>
          <w:lang w:val="es-ES_tradnl"/>
        </w:rPr>
      </w:pPr>
      <w:bookmarkStart w:id="75" w:name="_Toc20755733"/>
      <w:r w:rsidRPr="002F036A">
        <w:rPr>
          <w:rFonts w:ascii="Verdana" w:eastAsia="Times New Roman" w:hAnsi="Verdana" w:cs="Verdana"/>
          <w:b/>
          <w:bCs/>
          <w:caps/>
          <w:snapToGrid w:val="0"/>
          <w:sz w:val="20"/>
          <w:szCs w:val="20"/>
          <w:lang w:val="es-ES_tradnl"/>
        </w:rPr>
        <w:t>(ACCESO A LA JUSTICIA, ARTÍCULOS 8 Y 25)</w:t>
      </w:r>
      <w:bookmarkEnd w:id="75"/>
    </w:p>
    <w:p w14:paraId="143AE513" w14:textId="176D6FD2" w:rsidR="00851BFC" w:rsidRPr="00422F8E" w:rsidRDefault="00851BFC" w:rsidP="00972D9D">
      <w:pPr>
        <w:keepNext/>
        <w:keepLines/>
        <w:numPr>
          <w:ilvl w:val="0"/>
          <w:numId w:val="39"/>
        </w:numPr>
        <w:spacing w:before="120" w:after="120" w:line="240" w:lineRule="auto"/>
        <w:ind w:left="568" w:hanging="284"/>
        <w:jc w:val="both"/>
        <w:outlineLvl w:val="1"/>
        <w:rPr>
          <w:rFonts w:ascii="Verdana" w:eastAsia="Times New Roman" w:hAnsi="Verdana" w:cs="Times New Roman"/>
          <w:b/>
          <w:bCs/>
          <w:i/>
          <w:sz w:val="20"/>
          <w:szCs w:val="20"/>
          <w:lang w:val="es-ES_tradnl"/>
        </w:rPr>
      </w:pPr>
      <w:bookmarkStart w:id="76" w:name="_Toc5178779"/>
      <w:bookmarkStart w:id="77" w:name="_Toc20755734"/>
      <w:bookmarkEnd w:id="76"/>
      <w:r w:rsidRPr="00422F8E">
        <w:rPr>
          <w:rFonts w:ascii="Verdana" w:eastAsia="Times New Roman" w:hAnsi="Verdana" w:cs="Times New Roman"/>
          <w:b/>
          <w:bCs/>
          <w:i/>
          <w:sz w:val="20"/>
          <w:szCs w:val="20"/>
          <w:lang w:val="es-ES_tradnl"/>
        </w:rPr>
        <w:t>Argumentos de las partes y de la Comisión</w:t>
      </w:r>
      <w:bookmarkEnd w:id="77"/>
      <w:r w:rsidRPr="00422F8E">
        <w:rPr>
          <w:rFonts w:ascii="Verdana" w:eastAsia="Times New Roman" w:hAnsi="Verdana" w:cs="Times New Roman"/>
          <w:b/>
          <w:bCs/>
          <w:i/>
          <w:sz w:val="20"/>
          <w:szCs w:val="20"/>
          <w:lang w:val="es-ES_tradnl"/>
        </w:rPr>
        <w:t xml:space="preserve"> </w:t>
      </w:r>
    </w:p>
    <w:p w14:paraId="4D832E00" w14:textId="29F9C202" w:rsidR="00851BFC" w:rsidRPr="00972D9D" w:rsidRDefault="00851BFC"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sidRPr="00972D9D">
        <w:rPr>
          <w:rFonts w:ascii="Verdana" w:hAnsi="Verdana"/>
          <w:sz w:val="20"/>
          <w:szCs w:val="20"/>
        </w:rPr>
        <w:t xml:space="preserve">La </w:t>
      </w:r>
      <w:r w:rsidRPr="00972D9D">
        <w:rPr>
          <w:rFonts w:ascii="Verdana" w:hAnsi="Verdana"/>
          <w:b/>
          <w:i/>
          <w:sz w:val="20"/>
          <w:szCs w:val="20"/>
        </w:rPr>
        <w:t xml:space="preserve">Comisión </w:t>
      </w:r>
      <w:r w:rsidRPr="00972D9D">
        <w:rPr>
          <w:rFonts w:ascii="Verdana" w:hAnsi="Verdana"/>
          <w:sz w:val="20"/>
          <w:szCs w:val="20"/>
        </w:rPr>
        <w:t>sostuvo que los Estados Partes de la Convención están obligados a suministrar recursos judiciales a víctimas de violaciones de derechos humanos, los cuales deben ser sustanciados de conformidad con las reglas del debido proceso. La Comisión indicó que ya se ha pronunciado en varios casos sobre el hecho que “la adopción de un programa de medidas administrativas, no debería excluir el acceso a vías judiciales para las víctimas</w:t>
      </w:r>
      <w:r w:rsidRPr="00972D9D">
        <w:rPr>
          <w:rStyle w:val="Refdenotaalpie"/>
          <w:rFonts w:ascii="Verdana" w:hAnsi="Verdana"/>
          <w:sz w:val="20"/>
          <w:szCs w:val="20"/>
        </w:rPr>
        <w:footnoteReference w:id="94"/>
      </w:r>
      <w:r w:rsidRPr="00972D9D">
        <w:rPr>
          <w:rFonts w:ascii="Verdana" w:hAnsi="Verdana"/>
          <w:sz w:val="20"/>
          <w:szCs w:val="20"/>
        </w:rPr>
        <w:t xml:space="preserve">”. La Comisión se centró en analizar si los recursos interpuestos a nivel interno fueron efectivos para resolver los reclamos de las presuntas víctimas en los términos del artículo 25 de la Convención. </w:t>
      </w:r>
      <w:r w:rsidR="00574AD8">
        <w:rPr>
          <w:rFonts w:ascii="Verdana" w:hAnsi="Verdana"/>
          <w:sz w:val="20"/>
          <w:szCs w:val="20"/>
        </w:rPr>
        <w:t xml:space="preserve">De esa manera </w:t>
      </w:r>
      <w:r w:rsidRPr="00972D9D">
        <w:rPr>
          <w:rFonts w:ascii="Verdana" w:hAnsi="Verdana"/>
          <w:sz w:val="20"/>
          <w:szCs w:val="20"/>
        </w:rPr>
        <w:t xml:space="preserve">analizó si la respuesta del Estado cumplió con las garantías del debido proceso y </w:t>
      </w:r>
      <w:r w:rsidR="0074561B">
        <w:rPr>
          <w:rFonts w:ascii="Verdana" w:hAnsi="Verdana"/>
          <w:sz w:val="20"/>
          <w:szCs w:val="20"/>
        </w:rPr>
        <w:t>ofreció</w:t>
      </w:r>
      <w:r w:rsidRPr="00972D9D">
        <w:rPr>
          <w:rFonts w:ascii="Verdana" w:hAnsi="Verdana"/>
          <w:sz w:val="20"/>
          <w:szCs w:val="20"/>
        </w:rPr>
        <w:t xml:space="preserve"> mecanismos efectivos frente a tales reclamos, sin entrar a </w:t>
      </w:r>
      <w:r w:rsidR="0074561B">
        <w:rPr>
          <w:rFonts w:ascii="Verdana" w:hAnsi="Verdana"/>
          <w:sz w:val="20"/>
          <w:szCs w:val="20"/>
        </w:rPr>
        <w:t>examinar</w:t>
      </w:r>
      <w:r w:rsidRPr="00972D9D">
        <w:rPr>
          <w:rFonts w:ascii="Verdana" w:hAnsi="Verdana"/>
          <w:sz w:val="20"/>
          <w:szCs w:val="20"/>
        </w:rPr>
        <w:t xml:space="preserve"> si les asistía razón </w:t>
      </w:r>
      <w:r w:rsidR="0074561B">
        <w:rPr>
          <w:rFonts w:ascii="Verdana" w:hAnsi="Verdana"/>
          <w:sz w:val="20"/>
          <w:szCs w:val="20"/>
        </w:rPr>
        <w:t xml:space="preserve">a las presuntas víctimas </w:t>
      </w:r>
      <w:r w:rsidRPr="00972D9D">
        <w:rPr>
          <w:rFonts w:ascii="Verdana" w:hAnsi="Verdana"/>
          <w:sz w:val="20"/>
          <w:szCs w:val="20"/>
        </w:rPr>
        <w:t xml:space="preserve">en sus reclamaciones en cuanto a los salarios y beneficios sociales dejados de percibir durante la privación de libertad y exilio en el caso del señor Preckel. </w:t>
      </w:r>
    </w:p>
    <w:p w14:paraId="15436F80" w14:textId="3CC16251" w:rsidR="00851BFC" w:rsidRPr="00972D9D" w:rsidRDefault="00851BFC"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sidRPr="00972D9D">
        <w:rPr>
          <w:rFonts w:ascii="Verdana" w:hAnsi="Verdana"/>
          <w:sz w:val="20"/>
          <w:szCs w:val="20"/>
        </w:rPr>
        <w:t xml:space="preserve">En cuanto al plazo razonable, la Comisión consideró que tomando en cuenta las características del asunto y la ausencia de justificación por parte del Estado, el lapso de más de doce años de duración de los procesos administrativos y judiciales sobrepasó el plazo razonable. Por ello, concluyó que el Estado es responsable por la violación al artículo 8.1 de la Convención Americana. Sobre el deber de motivación como garantía del debido proceso, la Comisión sostuvo que las decisiones administrativas de la DGI y el Ministerio de Economía declararon improcedentes los reclamos salariales de las presuntas víctimas sin brindar un motivo suficiente para desestimar los dictámenes emitidos por distintos órganos. Señaló que esta ausencia de motivación continuó en las sentencias judiciales posteriores. En particular, notó que estas decisiones no fundamentaron </w:t>
      </w:r>
      <w:r w:rsidRPr="00972D9D">
        <w:rPr>
          <w:rFonts w:ascii="Verdana" w:hAnsi="Verdana"/>
          <w:sz w:val="20"/>
          <w:szCs w:val="20"/>
        </w:rPr>
        <w:lastRenderedPageBreak/>
        <w:t xml:space="preserve">el aspecto central del debate, es decir de qué forma la situación de detención arbitraria de las presuntas víctimas no constituía un caso de fuerza mayor. La Comisión notó que en las motivaciones de las decisiones judiciales y administrativas, estuvo ausente prácticamente de manera absoluta el contexto de graves y sistemáticas violaciones de derechos humanos que dio lugar a que las víctimas no pudieran acudir a su centro de trabajo.  La Comisión concluyó que, al haberse violado esta garantía del debido proceso en la decisión de los recursos internos, </w:t>
      </w:r>
      <w:r w:rsidR="007507AB">
        <w:rPr>
          <w:rFonts w:ascii="Verdana" w:hAnsi="Verdana"/>
          <w:sz w:val="20"/>
          <w:szCs w:val="20"/>
        </w:rPr>
        <w:t xml:space="preserve">esto </w:t>
      </w:r>
      <w:r w:rsidRPr="00972D9D">
        <w:rPr>
          <w:rFonts w:ascii="Verdana" w:hAnsi="Verdana"/>
          <w:sz w:val="20"/>
          <w:szCs w:val="20"/>
        </w:rPr>
        <w:t>también implic</w:t>
      </w:r>
      <w:r w:rsidR="007507AB">
        <w:rPr>
          <w:rFonts w:ascii="Verdana" w:hAnsi="Verdana"/>
          <w:sz w:val="20"/>
          <w:szCs w:val="20"/>
        </w:rPr>
        <w:t>ó</w:t>
      </w:r>
      <w:r w:rsidRPr="00972D9D">
        <w:rPr>
          <w:rFonts w:ascii="Verdana" w:hAnsi="Verdana"/>
          <w:sz w:val="20"/>
          <w:szCs w:val="20"/>
        </w:rPr>
        <w:t xml:space="preserve"> una violación del derecho a la protección judicial, establecido en el artículo 25.1 de la Convención en relación con el artículo 1.1 del mismo instrumento.</w:t>
      </w:r>
    </w:p>
    <w:p w14:paraId="7C061002" w14:textId="474C511D" w:rsidR="00851BFC" w:rsidRPr="00972D9D" w:rsidRDefault="00851BFC"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sidRPr="00972D9D">
        <w:rPr>
          <w:rFonts w:ascii="Verdana" w:hAnsi="Verdana"/>
          <w:sz w:val="20"/>
          <w:szCs w:val="20"/>
        </w:rPr>
        <w:t>Respecto</w:t>
      </w:r>
      <w:r w:rsidRPr="00972D9D">
        <w:rPr>
          <w:rFonts w:ascii="Verdana" w:hAnsi="Verdana"/>
          <w:b/>
          <w:sz w:val="20"/>
          <w:szCs w:val="20"/>
        </w:rPr>
        <w:t xml:space="preserve"> </w:t>
      </w:r>
      <w:r w:rsidRPr="00972D9D">
        <w:rPr>
          <w:rFonts w:ascii="Verdana" w:hAnsi="Verdana"/>
          <w:sz w:val="20"/>
          <w:szCs w:val="20"/>
          <w:lang w:val="es-CR"/>
        </w:rPr>
        <w:t xml:space="preserve">del deber de motivación, </w:t>
      </w:r>
      <w:r w:rsidR="00581B8F">
        <w:rPr>
          <w:rFonts w:ascii="Verdana" w:hAnsi="Verdana"/>
          <w:sz w:val="20"/>
          <w:szCs w:val="20"/>
          <w:lang w:val="es-CR"/>
        </w:rPr>
        <w:t>el</w:t>
      </w:r>
      <w:r w:rsidRPr="00972D9D">
        <w:rPr>
          <w:rFonts w:ascii="Verdana" w:hAnsi="Verdana"/>
          <w:sz w:val="20"/>
          <w:szCs w:val="20"/>
          <w:lang w:val="es-CR"/>
        </w:rPr>
        <w:t xml:space="preserve"> </w:t>
      </w:r>
      <w:r w:rsidRPr="00972D9D">
        <w:rPr>
          <w:rFonts w:ascii="Verdana" w:hAnsi="Verdana"/>
          <w:b/>
          <w:i/>
          <w:sz w:val="20"/>
          <w:szCs w:val="20"/>
          <w:lang w:val="es-CR"/>
        </w:rPr>
        <w:t>representante</w:t>
      </w:r>
      <w:r w:rsidRPr="00972D9D">
        <w:rPr>
          <w:rFonts w:ascii="Verdana" w:hAnsi="Verdana"/>
          <w:sz w:val="20"/>
          <w:szCs w:val="20"/>
          <w:lang w:val="es-CR"/>
        </w:rPr>
        <w:t xml:space="preserve"> indic</w:t>
      </w:r>
      <w:r w:rsidR="00581B8F">
        <w:rPr>
          <w:rFonts w:ascii="Verdana" w:hAnsi="Verdana"/>
          <w:sz w:val="20"/>
          <w:szCs w:val="20"/>
          <w:lang w:val="es-CR"/>
        </w:rPr>
        <w:t>ó</w:t>
      </w:r>
      <w:r w:rsidRPr="00972D9D">
        <w:rPr>
          <w:rFonts w:ascii="Verdana" w:hAnsi="Verdana"/>
          <w:sz w:val="20"/>
          <w:szCs w:val="20"/>
          <w:lang w:val="es-CR"/>
        </w:rPr>
        <w:t xml:space="preserve"> que adhería con los argumentos expuestos por la Comisión. Añadi</w:t>
      </w:r>
      <w:r w:rsidR="00581B8F">
        <w:rPr>
          <w:rFonts w:ascii="Verdana" w:hAnsi="Verdana"/>
          <w:sz w:val="20"/>
          <w:szCs w:val="20"/>
          <w:lang w:val="es-CR"/>
        </w:rPr>
        <w:t>ó</w:t>
      </w:r>
      <w:r w:rsidRPr="00972D9D">
        <w:rPr>
          <w:rFonts w:ascii="Verdana" w:hAnsi="Verdana"/>
          <w:sz w:val="20"/>
          <w:szCs w:val="20"/>
          <w:lang w:val="es-CR"/>
        </w:rPr>
        <w:t xml:space="preserve"> que el Estado en sus contradictorias decisiones sobre el reclamo de las víctimas, hizo caso omiso de las graves circunstancias que impidieron que los agentes estatales desaparecidos y detenidos concurrieran a su lugar de trabajo y no invocó la causa de fuerza mayor para habilitar y justificar el pago de los salarios y accesorios no percibidos por las víctimas. </w:t>
      </w:r>
      <w:r w:rsidRPr="00972D9D">
        <w:rPr>
          <w:rFonts w:ascii="Verdana" w:hAnsi="Verdana"/>
          <w:sz w:val="20"/>
          <w:szCs w:val="20"/>
        </w:rPr>
        <w:t>En</w:t>
      </w:r>
      <w:r w:rsidRPr="00972D9D">
        <w:rPr>
          <w:rFonts w:ascii="Verdana" w:hAnsi="Verdana"/>
          <w:sz w:val="20"/>
          <w:szCs w:val="20"/>
          <w:lang w:val="es-CR"/>
        </w:rPr>
        <w:t xml:space="preserve"> cuanto a la garantía de plazo razonable, adhiri</w:t>
      </w:r>
      <w:r w:rsidR="00581B8F">
        <w:rPr>
          <w:rFonts w:ascii="Verdana" w:hAnsi="Verdana"/>
          <w:sz w:val="20"/>
          <w:szCs w:val="20"/>
          <w:lang w:val="es-CR"/>
        </w:rPr>
        <w:t>ó</w:t>
      </w:r>
      <w:r w:rsidRPr="00972D9D">
        <w:rPr>
          <w:rFonts w:ascii="Verdana" w:hAnsi="Verdana"/>
          <w:sz w:val="20"/>
          <w:szCs w:val="20"/>
          <w:lang w:val="es-CR"/>
        </w:rPr>
        <w:t xml:space="preserve"> a la posición de la Comisión en su informe de fondo. Señal</w:t>
      </w:r>
      <w:r w:rsidR="00581B8F">
        <w:rPr>
          <w:rFonts w:ascii="Verdana" w:hAnsi="Verdana"/>
          <w:sz w:val="20"/>
          <w:szCs w:val="20"/>
          <w:lang w:val="es-CR"/>
        </w:rPr>
        <w:t>ó</w:t>
      </w:r>
      <w:r w:rsidRPr="00972D9D">
        <w:rPr>
          <w:rFonts w:ascii="Verdana" w:hAnsi="Verdana"/>
          <w:sz w:val="20"/>
          <w:szCs w:val="20"/>
          <w:lang w:val="es-CR"/>
        </w:rPr>
        <w:t xml:space="preserve"> que la duración del proceso no se limitó a los doce años de procesos internos sino también al proceso ante la Comisión, que fue retrasado por el Estado. </w:t>
      </w:r>
      <w:r w:rsidRPr="00972D9D">
        <w:rPr>
          <w:rFonts w:ascii="Verdana" w:hAnsi="Verdana"/>
          <w:sz w:val="20"/>
          <w:szCs w:val="20"/>
        </w:rPr>
        <w:t>Además, señalaron</w:t>
      </w:r>
      <w:r w:rsidRPr="00972D9D">
        <w:rPr>
          <w:rFonts w:ascii="Verdana" w:hAnsi="Verdana"/>
          <w:sz w:val="20"/>
          <w:szCs w:val="20"/>
          <w:lang w:val="es-CR"/>
        </w:rPr>
        <w:t xml:space="preserve"> que la caracterización de los hechos acaecidos y denunciados en el caso como violatorios de las garantías de los artículos 8.1 y 25.1 de la Convención, no pueden sino abarcar e implicar la vulneración de los demás derechos identificados por su parte en su denuncia inicial y recogidos por la Comisión en su Informe de Admisibilidad correspondientes al reconocimiento de su personalidad jurídica (art. 3), a la propiedad privada en sentido amplio (art. 21), y a la igualdad ante la ley (art. 24) así como a su correlativo derecho a la justa retribución que les correspondía y que le fue ilegítimamente desconocida (art. XIV de la Declaración Americana). En sus alegatos finales, señalaron que el contexto de graves violaciones de derechos humanos mencionado arriba es fundamental para entender la primicia de fuerza mayor al origen del reclamo laboral de las presuntas víctimas.</w:t>
      </w:r>
    </w:p>
    <w:p w14:paraId="421CE775" w14:textId="00823597" w:rsidR="00851BFC" w:rsidRPr="00972D9D" w:rsidRDefault="00851BFC"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sidRPr="00972D9D">
        <w:rPr>
          <w:rFonts w:ascii="Verdana" w:hAnsi="Verdana"/>
          <w:sz w:val="20"/>
          <w:szCs w:val="20"/>
        </w:rPr>
        <w:t xml:space="preserve">El </w:t>
      </w:r>
      <w:r w:rsidRPr="00972D9D">
        <w:rPr>
          <w:rFonts w:ascii="Verdana" w:hAnsi="Verdana"/>
          <w:b/>
          <w:i/>
          <w:sz w:val="20"/>
          <w:szCs w:val="20"/>
        </w:rPr>
        <w:t>Estado</w:t>
      </w:r>
      <w:r w:rsidRPr="00972D9D">
        <w:rPr>
          <w:rFonts w:ascii="Verdana" w:hAnsi="Verdana"/>
          <w:sz w:val="20"/>
          <w:szCs w:val="20"/>
        </w:rPr>
        <w:t xml:space="preserve"> argumentó en su escrito de contestación que no cabe duda que los supuestos daños que aquí se discuten ya han sido reparados por aplicación de la Ley 24.043 vía una medida de reparación administrativa. Subrayó</w:t>
      </w:r>
      <w:r w:rsidRPr="00972D9D">
        <w:rPr>
          <w:rFonts w:ascii="Verdana" w:hAnsi="Verdana"/>
          <w:sz w:val="20"/>
          <w:szCs w:val="20"/>
          <w:lang w:val="es-CR"/>
        </w:rPr>
        <w:t xml:space="preserve"> la actitud confusa de</w:t>
      </w:r>
      <w:r w:rsidR="00581B8F">
        <w:rPr>
          <w:rFonts w:ascii="Verdana" w:hAnsi="Verdana"/>
          <w:sz w:val="20"/>
          <w:szCs w:val="20"/>
          <w:lang w:val="es-CR"/>
        </w:rPr>
        <w:t>l</w:t>
      </w:r>
      <w:r w:rsidRPr="00972D9D">
        <w:rPr>
          <w:rFonts w:ascii="Verdana" w:hAnsi="Verdana"/>
          <w:sz w:val="20"/>
          <w:szCs w:val="20"/>
          <w:lang w:val="es-CR"/>
        </w:rPr>
        <w:t xml:space="preserve"> </w:t>
      </w:r>
      <w:r w:rsidR="00581B8F">
        <w:rPr>
          <w:rFonts w:ascii="Verdana" w:hAnsi="Verdana"/>
          <w:sz w:val="20"/>
          <w:szCs w:val="20"/>
          <w:lang w:val="es-CR"/>
        </w:rPr>
        <w:t>r</w:t>
      </w:r>
      <w:r w:rsidRPr="00972D9D">
        <w:rPr>
          <w:rFonts w:ascii="Verdana" w:hAnsi="Verdana"/>
          <w:sz w:val="20"/>
          <w:szCs w:val="20"/>
          <w:lang w:val="es-CR"/>
        </w:rPr>
        <w:t>epresentante de las presuntas víctimas qu</w:t>
      </w:r>
      <w:r w:rsidR="00CC31C8">
        <w:rPr>
          <w:rFonts w:ascii="Verdana" w:hAnsi="Verdana"/>
          <w:sz w:val="20"/>
          <w:szCs w:val="20"/>
          <w:lang w:val="es-CR"/>
        </w:rPr>
        <w:t>ien</w:t>
      </w:r>
      <w:r w:rsidRPr="00972D9D">
        <w:rPr>
          <w:rFonts w:ascii="Verdana" w:hAnsi="Verdana"/>
          <w:sz w:val="20"/>
          <w:szCs w:val="20"/>
          <w:lang w:val="es-CR"/>
        </w:rPr>
        <w:t xml:space="preserve"> sostiene que no alega, en el presente caso, las violaciones de derechos humanos provocadas por </w:t>
      </w:r>
      <w:r w:rsidR="00581B8F">
        <w:rPr>
          <w:rFonts w:ascii="Verdana" w:hAnsi="Verdana"/>
          <w:sz w:val="20"/>
          <w:szCs w:val="20"/>
          <w:lang w:val="es-CR"/>
        </w:rPr>
        <w:t>la</w:t>
      </w:r>
      <w:r w:rsidRPr="00972D9D">
        <w:rPr>
          <w:rFonts w:ascii="Verdana" w:hAnsi="Verdana"/>
          <w:sz w:val="20"/>
          <w:szCs w:val="20"/>
          <w:lang w:val="es-CR"/>
        </w:rPr>
        <w:t xml:space="preserve"> detención arbitraria, tortura y exilio en el caso del señor Preckel y a su vez insiste en señalar “la relación de causalidad entre: a) la detención ileg</w:t>
      </w:r>
      <w:r w:rsidR="00BB5287" w:rsidRPr="00972D9D">
        <w:rPr>
          <w:rFonts w:ascii="Verdana" w:hAnsi="Verdana"/>
          <w:sz w:val="20"/>
          <w:szCs w:val="20"/>
          <w:lang w:val="es-CR"/>
        </w:rPr>
        <w:t>í</w:t>
      </w:r>
      <w:r w:rsidRPr="00972D9D">
        <w:rPr>
          <w:rFonts w:ascii="Verdana" w:hAnsi="Verdana"/>
          <w:sz w:val="20"/>
          <w:szCs w:val="20"/>
          <w:lang w:val="es-CR"/>
        </w:rPr>
        <w:t>tima, b) el no cumplimiento de sus deberes en el marco de la relación de empleo, y c) el no pago de salarios”</w:t>
      </w:r>
      <w:r w:rsidRPr="00972D9D">
        <w:rPr>
          <w:rFonts w:ascii="Verdana" w:hAnsi="Verdana"/>
          <w:sz w:val="20"/>
          <w:szCs w:val="20"/>
        </w:rPr>
        <w:t xml:space="preserve">. Añadió que las presuntas víctimas se beneficiaron de la ley y no explicaron porque la reparación otorgada mediante la ley no fue suficiente. En sus alegatos finales, los </w:t>
      </w:r>
      <w:r w:rsidR="00581B8F">
        <w:rPr>
          <w:rFonts w:ascii="Verdana" w:hAnsi="Verdana"/>
          <w:sz w:val="20"/>
          <w:szCs w:val="20"/>
        </w:rPr>
        <w:t xml:space="preserve">agentes </w:t>
      </w:r>
      <w:r w:rsidRPr="00972D9D">
        <w:rPr>
          <w:rFonts w:ascii="Verdana" w:hAnsi="Verdana"/>
          <w:sz w:val="20"/>
          <w:szCs w:val="20"/>
        </w:rPr>
        <w:t>del Estado señalaron que la oscilación permanente entre estas perspectivas contradictorias fue la razón primordial que impulsó a los peticionarios a agotar una serie de recursos que no eran los adecuados en el ámbito interno, en el marco de su búsqueda de reparaciones. El Estado reiteró que el recurso adecuado para dicho reclamo era la acción de daños y perjuicios</w:t>
      </w:r>
      <w:r w:rsidR="002367BF">
        <w:rPr>
          <w:rFonts w:ascii="Verdana" w:hAnsi="Verdana"/>
          <w:sz w:val="20"/>
          <w:szCs w:val="20"/>
        </w:rPr>
        <w:t>.</w:t>
      </w:r>
      <w:r w:rsidRPr="00972D9D">
        <w:rPr>
          <w:rFonts w:ascii="Verdana" w:hAnsi="Verdana"/>
          <w:sz w:val="20"/>
          <w:szCs w:val="20"/>
        </w:rPr>
        <w:t xml:space="preserve"> </w:t>
      </w:r>
    </w:p>
    <w:p w14:paraId="6721EAC4" w14:textId="48BAE46E" w:rsidR="00851BFC" w:rsidRPr="00972D9D" w:rsidRDefault="001B5AFB"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Pr>
          <w:rFonts w:ascii="Verdana" w:hAnsi="Verdana"/>
          <w:sz w:val="20"/>
          <w:szCs w:val="20"/>
        </w:rPr>
        <w:t>El Estado sostuvo</w:t>
      </w:r>
      <w:r w:rsidR="00851BFC" w:rsidRPr="00972D9D">
        <w:rPr>
          <w:rFonts w:ascii="Verdana" w:hAnsi="Verdana"/>
          <w:sz w:val="20"/>
          <w:szCs w:val="20"/>
        </w:rPr>
        <w:t xml:space="preserve">, en cuanto a la garantía del plazo razonable, que no existía en la época de tramitación de los reclamos, ningún texto normativo que establecería un plazo razonable. Además, que para poder examinar la complejidad del caso se debe tomar en cuenta que no existía ningún tipo de precedente </w:t>
      </w:r>
      <w:r w:rsidR="00EC2A4F">
        <w:rPr>
          <w:rFonts w:ascii="Verdana" w:hAnsi="Verdana"/>
          <w:sz w:val="20"/>
          <w:szCs w:val="20"/>
        </w:rPr>
        <w:t>ni</w:t>
      </w:r>
      <w:r w:rsidR="00851BFC" w:rsidRPr="00972D9D">
        <w:rPr>
          <w:rFonts w:ascii="Verdana" w:hAnsi="Verdana"/>
          <w:sz w:val="20"/>
          <w:szCs w:val="20"/>
        </w:rPr>
        <w:t xml:space="preserve"> normativa expresa en cuanto a la materia que era pretendida  y que los procesos iniciados ocurrieron en un momento de transición a un régimen de democracia plena que iniciaba sus primeros pasos. Además observó que las actuaciones por parte de los funcionarios públicos se efectuaron sin dilaciones indebidas.  Finalmente, argumentó que las mismas violaciones que la Comisión </w:t>
      </w:r>
      <w:r w:rsidR="007507AB">
        <w:rPr>
          <w:rFonts w:ascii="Verdana" w:hAnsi="Verdana"/>
          <w:sz w:val="20"/>
          <w:szCs w:val="20"/>
        </w:rPr>
        <w:t xml:space="preserve">imputa </w:t>
      </w:r>
      <w:r w:rsidR="00851BFC" w:rsidRPr="00972D9D">
        <w:rPr>
          <w:rFonts w:ascii="Verdana" w:hAnsi="Verdana"/>
          <w:sz w:val="20"/>
          <w:szCs w:val="20"/>
        </w:rPr>
        <w:t xml:space="preserve">al Estado le resultarían directamente aplicables a su actuación, ya que la Comisión recibió las peticiones iniciales de las presuntas víctimas hace más de 20 años. Sobre el deber de motivación, el Estado alegó que el argumento de la Comisión carece de fundamentación, ya que solo discrepa con la fundamentación dada por los jueces nacionales. Precisó que si bien las jurisdicciones nacionales tomaron en cuenta el contexto de graves violaciones de derechos humanos se limitaron a señalar que esa cuestión se encontraba fuera del alcance del proceso en los términos en que había sido planteado por los demandantes. </w:t>
      </w:r>
    </w:p>
    <w:p w14:paraId="59E44825" w14:textId="4C4FEC21" w:rsidR="00851BFC" w:rsidRPr="00972D9D" w:rsidRDefault="00851BFC" w:rsidP="00972D9D">
      <w:pPr>
        <w:keepNext/>
        <w:keepLines/>
        <w:numPr>
          <w:ilvl w:val="0"/>
          <w:numId w:val="39"/>
        </w:numPr>
        <w:spacing w:before="120" w:after="120" w:line="240" w:lineRule="auto"/>
        <w:ind w:left="567" w:hanging="283"/>
        <w:jc w:val="both"/>
        <w:outlineLvl w:val="1"/>
        <w:rPr>
          <w:rFonts w:ascii="Verdana" w:eastAsia="Times New Roman" w:hAnsi="Verdana" w:cs="Times New Roman"/>
          <w:b/>
          <w:bCs/>
          <w:i/>
          <w:sz w:val="20"/>
          <w:szCs w:val="20"/>
          <w:lang w:val="es-ES_tradnl"/>
        </w:rPr>
      </w:pPr>
      <w:bookmarkStart w:id="78" w:name="_Toc20755735"/>
      <w:r w:rsidRPr="00972D9D">
        <w:rPr>
          <w:rFonts w:ascii="Verdana" w:eastAsia="Times New Roman" w:hAnsi="Verdana" w:cs="Times New Roman"/>
          <w:b/>
          <w:bCs/>
          <w:i/>
          <w:sz w:val="20"/>
          <w:szCs w:val="20"/>
          <w:lang w:val="es-ES_tradnl"/>
        </w:rPr>
        <w:lastRenderedPageBreak/>
        <w:t>Consideraciones de la Corte</w:t>
      </w:r>
      <w:bookmarkEnd w:id="78"/>
      <w:r w:rsidRPr="00972D9D">
        <w:rPr>
          <w:rFonts w:ascii="Verdana" w:eastAsia="Times New Roman" w:hAnsi="Verdana" w:cs="Times New Roman"/>
          <w:b/>
          <w:bCs/>
          <w:i/>
          <w:sz w:val="20"/>
          <w:szCs w:val="20"/>
          <w:lang w:val="es-ES_tradnl"/>
        </w:rPr>
        <w:t xml:space="preserve"> </w:t>
      </w:r>
    </w:p>
    <w:p w14:paraId="04D1EAAC" w14:textId="523731B1" w:rsidR="00851BFC" w:rsidRPr="00972D9D" w:rsidRDefault="00125EF4" w:rsidP="00972D9D">
      <w:pPr>
        <w:pStyle w:val="Ttulo3"/>
        <w:numPr>
          <w:ilvl w:val="0"/>
          <w:numId w:val="20"/>
        </w:numPr>
        <w:tabs>
          <w:tab w:val="clear" w:pos="1276"/>
          <w:tab w:val="left" w:pos="851"/>
        </w:tabs>
        <w:spacing w:before="120" w:after="120"/>
        <w:ind w:left="1418" w:hanging="567"/>
        <w:contextualSpacing w:val="0"/>
        <w:rPr>
          <w:b w:val="0"/>
        </w:rPr>
      </w:pPr>
      <w:bookmarkStart w:id="79" w:name="_Toc20755736"/>
      <w:r w:rsidRPr="00972D9D">
        <w:rPr>
          <w:b w:val="0"/>
        </w:rPr>
        <w:t>Deber de motivar y d</w:t>
      </w:r>
      <w:r w:rsidR="00234DC2" w:rsidRPr="00972D9D">
        <w:rPr>
          <w:b w:val="0"/>
        </w:rPr>
        <w:t>erecho a la protección judicial</w:t>
      </w:r>
      <w:bookmarkEnd w:id="79"/>
    </w:p>
    <w:p w14:paraId="0686601D" w14:textId="5E2301E1" w:rsidR="00851BFC" w:rsidRPr="00972D9D" w:rsidRDefault="00851BFC"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sidRPr="00972D9D">
        <w:rPr>
          <w:rFonts w:ascii="Verdana" w:hAnsi="Verdana"/>
          <w:sz w:val="20"/>
          <w:szCs w:val="20"/>
        </w:rPr>
        <w:t xml:space="preserve">La Corte </w:t>
      </w:r>
      <w:r w:rsidR="00BB5287" w:rsidRPr="00972D9D">
        <w:rPr>
          <w:rFonts w:ascii="Verdana" w:hAnsi="Verdana"/>
          <w:sz w:val="20"/>
          <w:szCs w:val="20"/>
        </w:rPr>
        <w:t xml:space="preserve">estima </w:t>
      </w:r>
      <w:r w:rsidRPr="00972D9D">
        <w:rPr>
          <w:rFonts w:ascii="Verdana" w:hAnsi="Verdana"/>
          <w:sz w:val="20"/>
          <w:szCs w:val="20"/>
        </w:rPr>
        <w:t xml:space="preserve">que dado las limitaciones temporales de competencia para conocer </w:t>
      </w:r>
      <w:r w:rsidR="00265133" w:rsidRPr="00972D9D">
        <w:rPr>
          <w:rFonts w:ascii="Verdana" w:hAnsi="Verdana"/>
          <w:sz w:val="20"/>
          <w:szCs w:val="20"/>
        </w:rPr>
        <w:t xml:space="preserve">de los </w:t>
      </w:r>
      <w:r w:rsidRPr="00972D9D">
        <w:rPr>
          <w:rFonts w:ascii="Verdana" w:hAnsi="Verdana"/>
          <w:sz w:val="20"/>
          <w:szCs w:val="20"/>
        </w:rPr>
        <w:t xml:space="preserve">aspectos sustantivos </w:t>
      </w:r>
      <w:r w:rsidR="00265133" w:rsidRPr="00972D9D">
        <w:rPr>
          <w:rFonts w:ascii="Verdana" w:hAnsi="Verdana"/>
          <w:sz w:val="20"/>
          <w:szCs w:val="20"/>
        </w:rPr>
        <w:t xml:space="preserve">relativos a la </w:t>
      </w:r>
      <w:r w:rsidR="00FB23F2" w:rsidRPr="00972D9D">
        <w:rPr>
          <w:rFonts w:ascii="Verdana" w:hAnsi="Verdana"/>
          <w:sz w:val="20"/>
          <w:szCs w:val="20"/>
        </w:rPr>
        <w:t xml:space="preserve">alegada </w:t>
      </w:r>
      <w:r w:rsidR="00265133" w:rsidRPr="00972D9D">
        <w:rPr>
          <w:rFonts w:ascii="Verdana" w:hAnsi="Verdana"/>
          <w:sz w:val="20"/>
          <w:szCs w:val="20"/>
        </w:rPr>
        <w:t>detención</w:t>
      </w:r>
      <w:r w:rsidR="00FB23F2" w:rsidRPr="00972D9D">
        <w:rPr>
          <w:rFonts w:ascii="Verdana" w:hAnsi="Verdana"/>
          <w:sz w:val="20"/>
          <w:szCs w:val="20"/>
        </w:rPr>
        <w:t>, tortura y exilio</w:t>
      </w:r>
      <w:r w:rsidR="00265133" w:rsidRPr="00972D9D">
        <w:rPr>
          <w:rFonts w:ascii="Verdana" w:hAnsi="Verdana"/>
          <w:sz w:val="20"/>
          <w:szCs w:val="20"/>
        </w:rPr>
        <w:t xml:space="preserve"> en </w:t>
      </w:r>
      <w:r w:rsidRPr="00972D9D">
        <w:rPr>
          <w:rFonts w:ascii="Verdana" w:hAnsi="Verdana"/>
          <w:sz w:val="20"/>
          <w:szCs w:val="20"/>
        </w:rPr>
        <w:t xml:space="preserve">el presente caso, la controversia en este apartado consiste en determinar si las presuntas víctimas tuvieron acceso a la justicia, a través de un recurso, con las debidas garantías judiciales, a fin de buscar una reparación de carácter individual. Lo anterior, de manera complementaria a la reparación administrativa recibida a través de la Ley 24.043. En este sentido, no corresponde a la Corte pronunciarse sobre la integralidad y/o procedencia </w:t>
      </w:r>
      <w:r w:rsidR="00BB5287" w:rsidRPr="00972D9D">
        <w:rPr>
          <w:rFonts w:ascii="Verdana" w:hAnsi="Verdana"/>
          <w:sz w:val="20"/>
          <w:szCs w:val="20"/>
        </w:rPr>
        <w:t xml:space="preserve">a nivel </w:t>
      </w:r>
      <w:r w:rsidRPr="00972D9D">
        <w:rPr>
          <w:rFonts w:ascii="Verdana" w:hAnsi="Verdana"/>
          <w:sz w:val="20"/>
          <w:szCs w:val="20"/>
        </w:rPr>
        <w:t>doméstic</w:t>
      </w:r>
      <w:r w:rsidR="00BB5287" w:rsidRPr="00972D9D">
        <w:rPr>
          <w:rFonts w:ascii="Verdana" w:hAnsi="Verdana"/>
          <w:sz w:val="20"/>
          <w:szCs w:val="20"/>
        </w:rPr>
        <w:t>o</w:t>
      </w:r>
      <w:r w:rsidRPr="00972D9D">
        <w:rPr>
          <w:rFonts w:ascii="Verdana" w:hAnsi="Verdana"/>
          <w:sz w:val="20"/>
          <w:szCs w:val="20"/>
        </w:rPr>
        <w:t xml:space="preserve"> de la reparación perseguida (</w:t>
      </w:r>
      <w:r w:rsidR="00904755" w:rsidRPr="00972D9D">
        <w:rPr>
          <w:rFonts w:ascii="Verdana" w:hAnsi="Verdana"/>
          <w:i/>
          <w:sz w:val="20"/>
          <w:szCs w:val="20"/>
        </w:rPr>
        <w:t>supra</w:t>
      </w:r>
      <w:r w:rsidRPr="00972D9D">
        <w:rPr>
          <w:rFonts w:ascii="Verdana" w:hAnsi="Verdana"/>
          <w:sz w:val="20"/>
          <w:szCs w:val="20"/>
        </w:rPr>
        <w:t xml:space="preserve"> párr.</w:t>
      </w:r>
      <w:r w:rsidR="00233B2F">
        <w:rPr>
          <w:rFonts w:ascii="Verdana" w:hAnsi="Verdana"/>
          <w:sz w:val="20"/>
          <w:szCs w:val="20"/>
        </w:rPr>
        <w:t xml:space="preserve"> 25</w:t>
      </w:r>
      <w:r w:rsidRPr="00972D9D">
        <w:rPr>
          <w:rFonts w:ascii="Verdana" w:hAnsi="Verdana"/>
          <w:sz w:val="20"/>
          <w:szCs w:val="20"/>
        </w:rPr>
        <w:t>)</w:t>
      </w:r>
      <w:r w:rsidRPr="00972D9D">
        <w:rPr>
          <w:rStyle w:val="Refdenotaalpie"/>
          <w:rFonts w:ascii="Verdana" w:hAnsi="Verdana"/>
          <w:sz w:val="20"/>
          <w:szCs w:val="20"/>
        </w:rPr>
        <w:footnoteReference w:id="95"/>
      </w:r>
      <w:r w:rsidRPr="00972D9D">
        <w:rPr>
          <w:rFonts w:ascii="Verdana" w:hAnsi="Verdana"/>
          <w:sz w:val="20"/>
          <w:szCs w:val="20"/>
        </w:rPr>
        <w:t xml:space="preserve">. </w:t>
      </w:r>
    </w:p>
    <w:p w14:paraId="6AB8D429" w14:textId="7694E7A0" w:rsidR="00851BFC" w:rsidRPr="00972D9D" w:rsidRDefault="00851BFC"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sidRPr="00972D9D">
        <w:rPr>
          <w:rFonts w:ascii="Verdana" w:hAnsi="Verdana"/>
          <w:sz w:val="20"/>
          <w:szCs w:val="20"/>
        </w:rPr>
        <w:t xml:space="preserve">Al respecto, la Corte recuerda que ya ha establecido la concurrencia que puede existir entre medidas colectivas de reparación administrativa y el acceso a recursos en reclamo de reparaciones individuales. En particular, en el caso </w:t>
      </w:r>
      <w:r w:rsidRPr="00972D9D">
        <w:rPr>
          <w:rFonts w:ascii="Verdana" w:hAnsi="Verdana"/>
          <w:i/>
          <w:sz w:val="20"/>
          <w:szCs w:val="20"/>
        </w:rPr>
        <w:t>García Lucero Vs. Chile</w:t>
      </w:r>
      <w:r w:rsidRPr="00972D9D">
        <w:rPr>
          <w:rFonts w:ascii="Verdana" w:hAnsi="Verdana"/>
          <w:sz w:val="20"/>
          <w:szCs w:val="20"/>
        </w:rPr>
        <w:t xml:space="preserve">, esta Corte señaló que: </w:t>
      </w:r>
    </w:p>
    <w:p w14:paraId="2EFB313F" w14:textId="6977DC04" w:rsidR="00851BFC" w:rsidRPr="00972D9D" w:rsidRDefault="00972D9D" w:rsidP="00972D9D">
      <w:pPr>
        <w:pStyle w:val="Prrafodelista"/>
        <w:spacing w:before="120" w:after="120" w:line="240" w:lineRule="auto"/>
        <w:ind w:right="446"/>
        <w:contextualSpacing w:val="0"/>
        <w:jc w:val="both"/>
        <w:rPr>
          <w:rFonts w:ascii="Verdana" w:hAnsi="Verdana"/>
          <w:sz w:val="18"/>
          <w:szCs w:val="20"/>
        </w:rPr>
      </w:pPr>
      <w:r>
        <w:rPr>
          <w:rFonts w:ascii="Verdana" w:hAnsi="Verdana"/>
          <w:sz w:val="18"/>
          <w:szCs w:val="20"/>
        </w:rPr>
        <w:t>[…]</w:t>
      </w:r>
      <w:r w:rsidR="00851BFC" w:rsidRPr="00972D9D">
        <w:rPr>
          <w:rFonts w:ascii="Verdana" w:hAnsi="Verdana"/>
          <w:sz w:val="18"/>
          <w:szCs w:val="20"/>
        </w:rPr>
        <w:t xml:space="preserve"> los programas administrativos de reparación u otras medidas o acciones normativas o de otro carácter que coexistan con los mismos, no pueden generar una obstrucción a la posibilidad de que las víctimas, de conformidad a los derechos a las garantías y protección judiciales, interpongan acciones en reclamo de reparaciones. Dada esta relación entre programas administrativos de reparación y la posibilidad de interponer acciones en reclamo de reparaciones, es pertinente que la Corte examine los argumentos de las representantes al re</w:t>
      </w:r>
      <w:r w:rsidR="00B22D15" w:rsidRPr="00972D9D">
        <w:rPr>
          <w:rFonts w:ascii="Verdana" w:hAnsi="Verdana"/>
          <w:sz w:val="18"/>
          <w:szCs w:val="20"/>
        </w:rPr>
        <w:t>specto, así como los del Estado</w:t>
      </w:r>
      <w:r w:rsidR="00851BFC" w:rsidRPr="00972D9D">
        <w:rPr>
          <w:rStyle w:val="Refdenotaalpie"/>
          <w:rFonts w:ascii="Verdana" w:hAnsi="Verdana"/>
          <w:sz w:val="18"/>
          <w:szCs w:val="20"/>
        </w:rPr>
        <w:footnoteReference w:id="96"/>
      </w:r>
      <w:r w:rsidR="00851BFC" w:rsidRPr="00972D9D">
        <w:rPr>
          <w:rFonts w:ascii="Verdana" w:hAnsi="Verdana"/>
          <w:sz w:val="18"/>
          <w:szCs w:val="20"/>
        </w:rPr>
        <w:t xml:space="preserve">. </w:t>
      </w:r>
    </w:p>
    <w:p w14:paraId="233473D1" w14:textId="4986ED0B" w:rsidR="00851BFC" w:rsidRPr="00972D9D" w:rsidRDefault="00851BFC"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sidRPr="00972D9D">
        <w:rPr>
          <w:rFonts w:ascii="Verdana" w:hAnsi="Verdana"/>
          <w:sz w:val="20"/>
          <w:szCs w:val="20"/>
        </w:rPr>
        <w:t xml:space="preserve">Asimismo, en el caso </w:t>
      </w:r>
      <w:r w:rsidR="00BB5287" w:rsidRPr="00972D9D">
        <w:rPr>
          <w:rFonts w:ascii="Verdana" w:hAnsi="Verdana"/>
          <w:i/>
          <w:sz w:val="20"/>
          <w:szCs w:val="20"/>
        </w:rPr>
        <w:t>Ó</w:t>
      </w:r>
      <w:r w:rsidRPr="00972D9D">
        <w:rPr>
          <w:rFonts w:ascii="Verdana" w:hAnsi="Verdana"/>
          <w:i/>
          <w:sz w:val="20"/>
          <w:szCs w:val="20"/>
        </w:rPr>
        <w:t>rdenes Guerra Vs. Chile</w:t>
      </w:r>
      <w:r w:rsidRPr="00972D9D">
        <w:rPr>
          <w:rFonts w:ascii="Verdana" w:hAnsi="Verdana"/>
          <w:sz w:val="20"/>
          <w:szCs w:val="20"/>
        </w:rPr>
        <w:t>, la Corte reiteró dicho estándar al considerar que “</w:t>
      </w:r>
      <w:r w:rsidR="002367BF">
        <w:rPr>
          <w:rFonts w:ascii="Verdana" w:hAnsi="Verdana"/>
          <w:sz w:val="20"/>
          <w:szCs w:val="20"/>
        </w:rPr>
        <w:t xml:space="preserve">[…] </w:t>
      </w:r>
      <w:r w:rsidRPr="00972D9D">
        <w:rPr>
          <w:rFonts w:ascii="Verdana" w:hAnsi="Verdana"/>
          <w:sz w:val="20"/>
          <w:szCs w:val="20"/>
        </w:rPr>
        <w:t>el criterio jurisprudencial prevaleciente actualmente a nivel interno, acerca del carácter complementario y no excluyente de reparaciones otorgadas en vías administrativa y judicial es razonable en relación con el derecho de víctimas de graves violaciones de derechos humanos de acceder a la justicia para solicitar una declaratoria judicial de responsabilidad estatal, ya sea que se efectúe una determinación individual de daños o, en su caso, para cuestionar la suficiencia o efectividad de reparaciones recibidas con anterioridad</w:t>
      </w:r>
      <w:r w:rsidR="002367BF">
        <w:rPr>
          <w:rFonts w:ascii="Verdana" w:hAnsi="Verdana"/>
          <w:sz w:val="20"/>
          <w:szCs w:val="20"/>
        </w:rPr>
        <w:t xml:space="preserve"> […]</w:t>
      </w:r>
      <w:r w:rsidRPr="00972D9D">
        <w:rPr>
          <w:rFonts w:ascii="Verdana" w:hAnsi="Verdana"/>
          <w:sz w:val="20"/>
          <w:szCs w:val="20"/>
        </w:rPr>
        <w:t>”</w:t>
      </w:r>
      <w:r w:rsidRPr="00972D9D">
        <w:rPr>
          <w:rStyle w:val="Refdenotaalpie"/>
          <w:rFonts w:ascii="Verdana" w:hAnsi="Verdana"/>
          <w:sz w:val="20"/>
          <w:szCs w:val="20"/>
        </w:rPr>
        <w:footnoteReference w:id="97"/>
      </w:r>
      <w:r w:rsidRPr="00972D9D">
        <w:rPr>
          <w:rFonts w:ascii="Verdana" w:hAnsi="Verdana"/>
          <w:sz w:val="20"/>
          <w:szCs w:val="20"/>
        </w:rPr>
        <w:t>.</w:t>
      </w:r>
    </w:p>
    <w:p w14:paraId="31DE2430" w14:textId="30F4536E" w:rsidR="00851BFC" w:rsidRPr="00972D9D" w:rsidRDefault="00851BFC"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sidRPr="00972D9D">
        <w:rPr>
          <w:rFonts w:ascii="Verdana" w:hAnsi="Verdana"/>
          <w:sz w:val="20"/>
          <w:szCs w:val="20"/>
        </w:rPr>
        <w:t>Esta Corte ha reconocido, por un lado, que de existir mecanismos nacionales para determinar formas de reparación, esos procedimientos y [sus] resultados deben ser valorados</w:t>
      </w:r>
      <w:r w:rsidRPr="00972D9D">
        <w:rPr>
          <w:rStyle w:val="Refdenotaalpie"/>
          <w:rFonts w:ascii="Verdana" w:hAnsi="Verdana"/>
          <w:sz w:val="20"/>
          <w:szCs w:val="20"/>
        </w:rPr>
        <w:footnoteReference w:id="98"/>
      </w:r>
      <w:r w:rsidRPr="00972D9D">
        <w:rPr>
          <w:rFonts w:ascii="Verdana" w:hAnsi="Verdana"/>
          <w:sz w:val="20"/>
          <w:szCs w:val="20"/>
        </w:rPr>
        <w:t xml:space="preserve">, ya que constituyen un esfuerzo por parte del Estado en dirección de un proceso colectivo de reparación y de paz social. Así también, destaca diversos documentos en el contexto internacional que reconocen expresamente el derecho de las víctimas de violaciones a derechos humanos </w:t>
      </w:r>
      <w:r w:rsidR="0040370B" w:rsidRPr="00972D9D">
        <w:rPr>
          <w:rFonts w:ascii="Verdana" w:hAnsi="Verdana"/>
          <w:sz w:val="20"/>
          <w:szCs w:val="20"/>
        </w:rPr>
        <w:t>de</w:t>
      </w:r>
      <w:r w:rsidRPr="00972D9D">
        <w:rPr>
          <w:rFonts w:ascii="Verdana" w:hAnsi="Verdana"/>
          <w:sz w:val="20"/>
          <w:szCs w:val="20"/>
        </w:rPr>
        <w:t xml:space="preserve"> acceder a recursos y obtener reparaciones individuales; tales como la </w:t>
      </w:r>
      <w:r w:rsidRPr="00972D9D">
        <w:rPr>
          <w:rFonts w:ascii="Verdana" w:hAnsi="Verdana"/>
          <w:sz w:val="20"/>
          <w:szCs w:val="20"/>
          <w:lang w:val="es-CR"/>
        </w:rPr>
        <w:t>Declaración sobre los principios fundamentales de justicia para las víctimas de delitos y abuso de poder</w:t>
      </w:r>
      <w:r w:rsidRPr="00972D9D">
        <w:rPr>
          <w:rStyle w:val="Refdenotaalpie"/>
          <w:rFonts w:ascii="Verdana" w:hAnsi="Verdana" w:cs="Verdana"/>
          <w:sz w:val="20"/>
          <w:szCs w:val="20"/>
          <w:lang w:val="es-CR"/>
        </w:rPr>
        <w:footnoteReference w:id="99"/>
      </w:r>
      <w:r w:rsidRPr="00972D9D">
        <w:rPr>
          <w:rFonts w:ascii="Verdana" w:hAnsi="Verdana"/>
          <w:sz w:val="20"/>
          <w:szCs w:val="20"/>
          <w:lang w:val="es-CR"/>
        </w:rPr>
        <w:t xml:space="preserve">, el Conjunto de principios para la protección y la promoción de los derechos humanos mediante la lucha contra la </w:t>
      </w:r>
      <w:r w:rsidRPr="00972D9D">
        <w:rPr>
          <w:rFonts w:ascii="Verdana" w:hAnsi="Verdana"/>
          <w:sz w:val="20"/>
          <w:szCs w:val="20"/>
          <w:lang w:val="es-CR"/>
        </w:rPr>
        <w:lastRenderedPageBreak/>
        <w:t>impunidad</w:t>
      </w:r>
      <w:r w:rsidRPr="00972D9D">
        <w:rPr>
          <w:rStyle w:val="Refdenotaalpie"/>
          <w:rFonts w:ascii="Verdana" w:hAnsi="Verdana" w:cs="Verdana"/>
          <w:sz w:val="20"/>
          <w:szCs w:val="20"/>
          <w:lang w:val="es-CR"/>
        </w:rPr>
        <w:footnoteReference w:id="100"/>
      </w:r>
      <w:r w:rsidRPr="00972D9D">
        <w:rPr>
          <w:rFonts w:ascii="Verdana" w:hAnsi="Verdana"/>
          <w:sz w:val="20"/>
          <w:szCs w:val="20"/>
          <w:lang w:val="es-CR"/>
        </w:rPr>
        <w:t>, y los Principios y directrices básicos sobre el derecho de las víctimas de violaciones manifiestas de las normas internacionales de derechos humanos y del derecho internacional humanitario a interponer recursos y obtener reparaciones</w:t>
      </w:r>
      <w:r w:rsidRPr="00972D9D">
        <w:rPr>
          <w:rStyle w:val="Refdenotaalpie"/>
          <w:rFonts w:ascii="Verdana" w:hAnsi="Verdana" w:cs="Verdana"/>
          <w:sz w:val="20"/>
          <w:szCs w:val="20"/>
          <w:lang w:val="es-CR"/>
        </w:rPr>
        <w:footnoteReference w:id="101"/>
      </w:r>
      <w:r w:rsidRPr="00972D9D">
        <w:rPr>
          <w:rFonts w:ascii="Verdana" w:hAnsi="Verdana"/>
          <w:sz w:val="20"/>
          <w:szCs w:val="20"/>
          <w:lang w:val="es-CR"/>
        </w:rPr>
        <w:t xml:space="preserve"> (en adelante, “Principios Básicos”). </w:t>
      </w:r>
      <w:r w:rsidRPr="00972D9D">
        <w:rPr>
          <w:rFonts w:ascii="Verdana" w:hAnsi="Verdana"/>
          <w:sz w:val="20"/>
          <w:szCs w:val="20"/>
        </w:rPr>
        <w:t>En similar sentido, a lo establecido por esta Corte, el Tribunal Europeo de Derechos Humanos ha reconocido la compatibilidad entre medidas colectivas e individuales</w:t>
      </w:r>
      <w:r w:rsidRPr="00972D9D">
        <w:rPr>
          <w:rStyle w:val="Refdenotaalpie"/>
          <w:rFonts w:ascii="Verdana" w:hAnsi="Verdana"/>
          <w:sz w:val="20"/>
          <w:szCs w:val="20"/>
        </w:rPr>
        <w:footnoteReference w:id="102"/>
      </w:r>
      <w:r w:rsidRPr="00972D9D">
        <w:rPr>
          <w:rFonts w:ascii="Verdana" w:hAnsi="Verdana"/>
          <w:sz w:val="20"/>
          <w:szCs w:val="20"/>
        </w:rPr>
        <w:t>.</w:t>
      </w:r>
    </w:p>
    <w:p w14:paraId="6D678AD4" w14:textId="000C0309" w:rsidR="00851BFC" w:rsidRPr="00972D9D" w:rsidRDefault="00851BFC"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sidRPr="00972D9D">
        <w:rPr>
          <w:rFonts w:ascii="Verdana" w:hAnsi="Verdana"/>
          <w:sz w:val="20"/>
          <w:szCs w:val="20"/>
          <w:lang w:val="es-CR"/>
        </w:rPr>
        <w:t xml:space="preserve">En el presente caso, la </w:t>
      </w:r>
      <w:r w:rsidRPr="00972D9D">
        <w:rPr>
          <w:rFonts w:ascii="Verdana" w:hAnsi="Verdana"/>
          <w:sz w:val="20"/>
          <w:szCs w:val="20"/>
        </w:rPr>
        <w:t>Corte constata que las presuntas víctimas iniciaron sus recursos administrativos y judiciales años antes de la emisión de la Ley 24.043</w:t>
      </w:r>
      <w:r w:rsidRPr="00972D9D">
        <w:rPr>
          <w:rStyle w:val="Refdenotaalpie"/>
          <w:rFonts w:ascii="Verdana" w:hAnsi="Verdana"/>
          <w:sz w:val="20"/>
          <w:szCs w:val="20"/>
        </w:rPr>
        <w:footnoteReference w:id="103"/>
      </w:r>
      <w:r w:rsidRPr="00972D9D">
        <w:rPr>
          <w:rFonts w:ascii="Verdana" w:hAnsi="Verdana"/>
          <w:sz w:val="20"/>
          <w:szCs w:val="20"/>
        </w:rPr>
        <w:t>, que entró en vigor el 2 de enero de 1992. Particularmente, a través de los recursos administrativos de fechas 1983 y 1985 y judiciales en 1988. Posteriormente, la señora Perrone y el señor Preckel recibieron indemnizaciones derivadas de la Ley 24.043 en los años 1995 y 1994</w:t>
      </w:r>
      <w:r w:rsidRPr="00972D9D">
        <w:rPr>
          <w:rStyle w:val="Refdenotaalpie"/>
          <w:rFonts w:ascii="Verdana" w:hAnsi="Verdana"/>
          <w:sz w:val="20"/>
          <w:szCs w:val="20"/>
        </w:rPr>
        <w:footnoteReference w:id="104"/>
      </w:r>
      <w:r w:rsidRPr="00972D9D">
        <w:rPr>
          <w:rFonts w:ascii="Verdana" w:hAnsi="Verdana"/>
          <w:sz w:val="20"/>
          <w:szCs w:val="20"/>
        </w:rPr>
        <w:t>, respectivamente. Dicha Ley establecía expresamente que las personas podrían acogerse a los beneficios de la Ley, siempre y cuando no hubiesen percibido indemnización alguna en virtud de sentencia judicial, con motivo de los hechos contemplados en la presente</w:t>
      </w:r>
      <w:r w:rsidR="00265133" w:rsidRPr="00972D9D">
        <w:rPr>
          <w:rFonts w:ascii="Verdana" w:hAnsi="Verdana"/>
          <w:sz w:val="20"/>
          <w:szCs w:val="20"/>
        </w:rPr>
        <w:t xml:space="preserve"> (</w:t>
      </w:r>
      <w:r w:rsidR="00265133" w:rsidRPr="00972D9D">
        <w:rPr>
          <w:rFonts w:ascii="Verdana" w:hAnsi="Verdana"/>
          <w:i/>
          <w:sz w:val="20"/>
          <w:szCs w:val="20"/>
        </w:rPr>
        <w:t>supra</w:t>
      </w:r>
      <w:r w:rsidR="00265133" w:rsidRPr="00972D9D">
        <w:rPr>
          <w:rFonts w:ascii="Verdana" w:hAnsi="Verdana"/>
          <w:sz w:val="20"/>
          <w:szCs w:val="20"/>
        </w:rPr>
        <w:t xml:space="preserve"> párr. </w:t>
      </w:r>
      <w:r w:rsidR="00233B2F">
        <w:rPr>
          <w:rFonts w:ascii="Verdana" w:hAnsi="Verdana"/>
          <w:sz w:val="20"/>
          <w:szCs w:val="20"/>
        </w:rPr>
        <w:t>103</w:t>
      </w:r>
      <w:r w:rsidR="00265133" w:rsidRPr="00972D9D">
        <w:rPr>
          <w:rFonts w:ascii="Verdana" w:hAnsi="Verdana"/>
          <w:sz w:val="20"/>
          <w:szCs w:val="20"/>
        </w:rPr>
        <w:t>)</w:t>
      </w:r>
      <w:r w:rsidRPr="00972D9D">
        <w:rPr>
          <w:rStyle w:val="Refdenotaalpie"/>
          <w:rFonts w:ascii="Verdana" w:hAnsi="Verdana"/>
          <w:sz w:val="20"/>
          <w:szCs w:val="20"/>
        </w:rPr>
        <w:footnoteReference w:id="105"/>
      </w:r>
      <w:r w:rsidRPr="00972D9D">
        <w:rPr>
          <w:rFonts w:ascii="Verdana" w:hAnsi="Verdana"/>
          <w:sz w:val="20"/>
          <w:szCs w:val="20"/>
        </w:rPr>
        <w:t xml:space="preserve">. Cabe señalar que este aspecto no fue materia del debate en el presente caso, a la luz del artículo 2 de la Convención, por lo que no corresponde pronunciarse al respecto de manera general. </w:t>
      </w:r>
    </w:p>
    <w:p w14:paraId="7C34491E" w14:textId="5A8414D6" w:rsidR="00CA6169" w:rsidRPr="00972D9D" w:rsidRDefault="00CA6169"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sidRPr="00972D9D">
        <w:rPr>
          <w:rFonts w:ascii="Verdana" w:hAnsi="Verdana"/>
          <w:sz w:val="20"/>
          <w:szCs w:val="20"/>
        </w:rPr>
        <w:t>En particular, esta Corte nota que en los hechos concretos de este caso, el beneficio específico que recibieron los peticionarios a través de la Ley 24.043, no fue un excluyente por parte de las autoridades para continuar con las vías judiciales que habían emprendido y se encontraban en proceso.</w:t>
      </w:r>
    </w:p>
    <w:p w14:paraId="01A35E88" w14:textId="6155D2B7" w:rsidR="00234DC2" w:rsidRPr="00972D9D" w:rsidRDefault="0073609E"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sidRPr="00972D9D">
        <w:rPr>
          <w:rFonts w:ascii="Verdana" w:hAnsi="Verdana"/>
          <w:sz w:val="20"/>
          <w:szCs w:val="20"/>
          <w:lang w:val="es-CR"/>
        </w:rPr>
        <w:t>Una vez dilucidado lo anterior corresponde a la Corte analizar las vulneraciones del derecho a un recurso adecuado y efectivo y a las garantías procesales particularmente el deber de motivación, alegadas por la Comisión y por el representante de las presuntas víctimas</w:t>
      </w:r>
      <w:r w:rsidR="00234DC2" w:rsidRPr="00972D9D">
        <w:rPr>
          <w:rFonts w:ascii="Verdana" w:hAnsi="Verdana"/>
          <w:sz w:val="20"/>
          <w:szCs w:val="20"/>
          <w:lang w:val="es-CR"/>
        </w:rPr>
        <w:t>.</w:t>
      </w:r>
      <w:bookmarkStart w:id="80" w:name="_Ref532900220"/>
      <w:r w:rsidR="00234DC2" w:rsidRPr="00972D9D">
        <w:rPr>
          <w:rFonts w:ascii="Verdana" w:hAnsi="Verdana"/>
          <w:spacing w:val="-4"/>
          <w:sz w:val="20"/>
          <w:lang w:val="es-CR" w:eastAsia="es-MX"/>
        </w:rPr>
        <w:t xml:space="preserve"> </w:t>
      </w:r>
    </w:p>
    <w:bookmarkEnd w:id="80"/>
    <w:p w14:paraId="15C77AA4" w14:textId="1577E8D4" w:rsidR="0073609E" w:rsidRPr="00972D9D" w:rsidRDefault="0073609E"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sidRPr="00972D9D">
        <w:rPr>
          <w:rFonts w:ascii="Verdana" w:hAnsi="Verdana"/>
          <w:sz w:val="20"/>
          <w:szCs w:val="20"/>
        </w:rPr>
        <w:t>E</w:t>
      </w:r>
      <w:r w:rsidR="00234DC2" w:rsidRPr="00972D9D">
        <w:rPr>
          <w:rFonts w:ascii="Verdana" w:hAnsi="Verdana"/>
          <w:sz w:val="20"/>
          <w:szCs w:val="20"/>
        </w:rPr>
        <w:t>ste</w:t>
      </w:r>
      <w:r w:rsidR="00851BFC" w:rsidRPr="00972D9D">
        <w:rPr>
          <w:rFonts w:ascii="Verdana" w:hAnsi="Verdana"/>
          <w:sz w:val="20"/>
          <w:szCs w:val="20"/>
          <w:lang w:val="es-CR"/>
        </w:rPr>
        <w:t xml:space="preserve"> Tribunal ha sostenido que el deber de motivación es una de las debidas garantías incluidas en el artículo 8.1 para salvaguardar el derecho a un debido proceso. Es una garantía vinculada con la correcta administración de justicia que protege el derecho a ser juzgado por las razones que el derecho suministra, y otorga credibilidad de las decisiones jurídicas en el marco de </w:t>
      </w:r>
      <w:r w:rsidR="00851BFC" w:rsidRPr="00972D9D">
        <w:rPr>
          <w:rFonts w:ascii="Verdana" w:hAnsi="Verdana"/>
          <w:sz w:val="20"/>
          <w:szCs w:val="20"/>
          <w:lang w:val="es-CR"/>
        </w:rPr>
        <w:lastRenderedPageBreak/>
        <w:t>una sociedad democrática. Las decisiones que adopten los órganos internos que puedan afectar derechos humanos deben estar debidamente fundamentadas, pues de lo contrario serían decisiones arbitrarias</w:t>
      </w:r>
      <w:r w:rsidR="00851BFC" w:rsidRPr="00972D9D">
        <w:rPr>
          <w:rStyle w:val="Refdenotaalpie"/>
          <w:rFonts w:ascii="Verdana" w:hAnsi="Verdana"/>
          <w:sz w:val="20"/>
          <w:szCs w:val="20"/>
          <w:lang w:val="es-CR"/>
        </w:rPr>
        <w:footnoteReference w:id="106"/>
      </w:r>
      <w:r w:rsidR="0040370B" w:rsidRPr="00972D9D">
        <w:rPr>
          <w:rFonts w:ascii="Verdana" w:hAnsi="Verdana"/>
          <w:sz w:val="20"/>
          <w:szCs w:val="20"/>
          <w:lang w:val="es-CR"/>
        </w:rPr>
        <w:t>.</w:t>
      </w:r>
      <w:r w:rsidR="00851BFC" w:rsidRPr="00972D9D">
        <w:rPr>
          <w:rFonts w:ascii="Verdana" w:hAnsi="Verdana"/>
          <w:sz w:val="20"/>
          <w:szCs w:val="20"/>
          <w:lang w:val="es-CR"/>
        </w:rPr>
        <w:t xml:space="preserve"> En este sentido, la argumentación de un fallo y de ciertos actos administrativos deben permitir conocer cuáles fueron los hechos, motivos y normas en que se basó la autoridad para tomar su decisión, a fin de descartar cualquier indicio de arbitrariedad</w:t>
      </w:r>
      <w:r w:rsidR="00851BFC" w:rsidRPr="00972D9D">
        <w:rPr>
          <w:rStyle w:val="Refdenotaalpie"/>
          <w:rFonts w:ascii="Verdana" w:hAnsi="Verdana"/>
          <w:sz w:val="20"/>
          <w:szCs w:val="20"/>
          <w:lang w:val="es-CR"/>
        </w:rPr>
        <w:footnoteReference w:id="107"/>
      </w:r>
      <w:r w:rsidR="00851BFC" w:rsidRPr="00972D9D">
        <w:rPr>
          <w:rFonts w:ascii="Verdana" w:hAnsi="Verdana"/>
          <w:sz w:val="20"/>
          <w:szCs w:val="20"/>
          <w:lang w:val="es-CR"/>
        </w:rPr>
        <w:t xml:space="preserve">. </w:t>
      </w:r>
      <w:r w:rsidRPr="00972D9D">
        <w:rPr>
          <w:rFonts w:ascii="Verdana" w:hAnsi="Verdana"/>
          <w:b/>
          <w:sz w:val="20"/>
          <w:szCs w:val="20"/>
          <w:lang w:val="es-CR"/>
        </w:rPr>
        <w:t xml:space="preserve"> </w:t>
      </w:r>
      <w:r w:rsidR="000D499C" w:rsidRPr="00972D9D">
        <w:rPr>
          <w:rFonts w:ascii="Verdana" w:hAnsi="Verdana" w:cs="Times"/>
          <w:sz w:val="20"/>
          <w:szCs w:val="20"/>
          <w:lang w:val="es-CR"/>
        </w:rPr>
        <w:t>Por ello, el deber de motivación es una de las “debidas garantías” incluidas en el artículo 8.1 para salvaguardar los derechos a un debido proceso y de acceso a la justicia, en relación con el artículo 25 de la Convención</w:t>
      </w:r>
      <w:r w:rsidR="000D499C" w:rsidRPr="00972D9D">
        <w:rPr>
          <w:rFonts w:ascii="Verdana" w:hAnsi="Verdana" w:cs="Times New Roman"/>
          <w:sz w:val="20"/>
          <w:szCs w:val="20"/>
          <w:vertAlign w:val="superscript"/>
          <w:lang w:val="es-CR"/>
        </w:rPr>
        <w:footnoteReference w:id="108"/>
      </w:r>
      <w:r w:rsidR="000D499C" w:rsidRPr="00972D9D">
        <w:rPr>
          <w:rFonts w:ascii="Verdana" w:hAnsi="Verdana" w:cs="Times"/>
          <w:sz w:val="20"/>
          <w:szCs w:val="20"/>
          <w:lang w:val="es-CR"/>
        </w:rPr>
        <w:t>.</w:t>
      </w:r>
    </w:p>
    <w:p w14:paraId="6E545646" w14:textId="255C0E05" w:rsidR="00D525A9" w:rsidRPr="00972D9D" w:rsidRDefault="0073609E"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sidRPr="00972D9D">
        <w:rPr>
          <w:rFonts w:ascii="Verdana" w:hAnsi="Verdana" w:cs="Verdana"/>
          <w:bCs/>
          <w:iCs/>
          <w:noProof/>
          <w:sz w:val="20"/>
          <w:szCs w:val="20"/>
          <w:lang w:val="es-ES_tradnl"/>
        </w:rPr>
        <w:t>En</w:t>
      </w:r>
      <w:r w:rsidR="001B5AFB">
        <w:rPr>
          <w:rFonts w:ascii="Verdana" w:hAnsi="Verdana" w:cs="Verdana"/>
          <w:bCs/>
          <w:iCs/>
          <w:noProof/>
          <w:sz w:val="20"/>
          <w:szCs w:val="20"/>
          <w:lang w:val="es-ES_tradnl"/>
        </w:rPr>
        <w:t xml:space="preserve"> concordancia </w:t>
      </w:r>
      <w:r w:rsidRPr="00972D9D">
        <w:rPr>
          <w:rFonts w:ascii="Verdana" w:hAnsi="Verdana" w:cs="Verdana"/>
          <w:bCs/>
          <w:iCs/>
          <w:noProof/>
          <w:sz w:val="20"/>
          <w:szCs w:val="20"/>
          <w:lang w:val="es-ES_tradnl"/>
        </w:rPr>
        <w:t>con lo anterior, la Corte reitera que los Estados tienen el deber de garantizar, a todas las personas bajo su jurisdicción, un recurso judicial efectivo contra actos violatorios de sus derechos fundamentales. Esto implica que el recurso judicial debe ser idóneo para combatir la violación, por lo que la autoridad competente debe examinar las razones invocadas por el demandante y pronunciarse en torno a ellas</w:t>
      </w:r>
      <w:r w:rsidRPr="00972D9D">
        <w:rPr>
          <w:rStyle w:val="Refdenotaalpie"/>
          <w:rFonts w:ascii="Verdana" w:hAnsi="Verdana"/>
          <w:bCs/>
          <w:iCs/>
          <w:noProof/>
          <w:sz w:val="20"/>
          <w:szCs w:val="20"/>
          <w:lang w:val="es-ES_tradnl"/>
        </w:rPr>
        <w:footnoteReference w:id="109"/>
      </w:r>
      <w:r w:rsidRPr="00972D9D">
        <w:rPr>
          <w:rFonts w:ascii="Verdana" w:hAnsi="Verdana" w:cs="Verdana"/>
          <w:bCs/>
          <w:iCs/>
          <w:noProof/>
          <w:sz w:val="20"/>
          <w:szCs w:val="20"/>
          <w:lang w:val="es-ES_tradnl"/>
        </w:rPr>
        <w:t>. En ese sentido, este Tribunal ha establecido que el análisis por la autoridad competente de un recurso judicial, no puede reducirse a una mera formalidad y omitir argumentos de las partes, ya que debe examinar sus razones y manifestarse sobre ellas conforme a los parámetros establecidos por la Convención Americana</w:t>
      </w:r>
      <w:r w:rsidRPr="00972D9D">
        <w:rPr>
          <w:rFonts w:ascii="Verdana" w:hAnsi="Verdana" w:cs="Verdana"/>
          <w:bCs/>
          <w:iCs/>
          <w:noProof/>
          <w:sz w:val="20"/>
          <w:szCs w:val="20"/>
          <w:vertAlign w:val="superscript"/>
          <w:lang w:val="es-ES_tradnl"/>
        </w:rPr>
        <w:footnoteReference w:id="110"/>
      </w:r>
      <w:r w:rsidRPr="00972D9D">
        <w:rPr>
          <w:rFonts w:ascii="Verdana" w:hAnsi="Verdana"/>
          <w:sz w:val="20"/>
          <w:szCs w:val="20"/>
          <w:lang w:val="es-CO"/>
        </w:rPr>
        <w:t xml:space="preserve">. </w:t>
      </w:r>
    </w:p>
    <w:p w14:paraId="3268BA70" w14:textId="347EB963" w:rsidR="00851BFC" w:rsidRPr="00972D9D" w:rsidRDefault="00D525A9"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sidRPr="00972D9D">
        <w:rPr>
          <w:rFonts w:ascii="Verdana" w:hAnsi="Verdana"/>
          <w:sz w:val="20"/>
          <w:szCs w:val="20"/>
          <w:lang w:val="es-CR"/>
        </w:rPr>
        <w:t xml:space="preserve">En lo que se refiere específicamente a la efectividad del recurso, esta Corte ha establecido que </w:t>
      </w:r>
      <w:r w:rsidRPr="00972D9D">
        <w:rPr>
          <w:rFonts w:ascii="Verdana" w:hAnsi="Verdana"/>
          <w:sz w:val="20"/>
          <w:szCs w:val="20"/>
          <w:lang w:val="es-ES"/>
        </w:rPr>
        <w:t xml:space="preserve">el sentido de la protección del artículo </w:t>
      </w:r>
      <w:r w:rsidRPr="00972D9D">
        <w:rPr>
          <w:rFonts w:ascii="Verdana" w:hAnsi="Verdana"/>
          <w:sz w:val="20"/>
          <w:szCs w:val="20"/>
          <w:lang w:val="es-CR"/>
        </w:rPr>
        <w:t>es la posibilidad real de acceder a un recurso judicial para que una autoridad competente y capaz de emitir una decisión vinculante, determine si ha habido o no una violación a algún derecho que la persona que reclama estima tener y que, en caso de ser encontrada una violación, el recurso sea útil para restituir al interesado en el goce de su derecho y repararlo.</w:t>
      </w:r>
      <w:r w:rsidRPr="00972D9D">
        <w:rPr>
          <w:rFonts w:ascii="Verdana" w:hAnsi="Verdana"/>
          <w:sz w:val="20"/>
          <w:szCs w:val="20"/>
          <w:vertAlign w:val="superscript"/>
          <w:lang w:val="es-CR"/>
        </w:rPr>
        <w:footnoteReference w:id="111"/>
      </w:r>
      <w:r w:rsidRPr="00972D9D">
        <w:rPr>
          <w:rFonts w:ascii="Verdana" w:hAnsi="Verdana"/>
          <w:sz w:val="20"/>
          <w:szCs w:val="20"/>
          <w:lang w:val="es-CR"/>
        </w:rPr>
        <w:t xml:space="preserve"> Lo anterior no implica que se evalúe la efectividad de un recurso en función de que éste produzca un resultado favorable para el demandante</w:t>
      </w:r>
      <w:r w:rsidRPr="00972D9D">
        <w:rPr>
          <w:rFonts w:ascii="Verdana" w:hAnsi="Verdana"/>
          <w:sz w:val="20"/>
          <w:szCs w:val="20"/>
          <w:vertAlign w:val="superscript"/>
          <w:lang w:val="es-CR"/>
        </w:rPr>
        <w:footnoteReference w:id="112"/>
      </w:r>
      <w:r w:rsidRPr="00972D9D">
        <w:rPr>
          <w:rFonts w:ascii="Verdana" w:hAnsi="Verdana"/>
          <w:sz w:val="20"/>
          <w:szCs w:val="20"/>
          <w:lang w:val="es-CR"/>
        </w:rPr>
        <w:t>.</w:t>
      </w:r>
    </w:p>
    <w:p w14:paraId="420AF964" w14:textId="412A197C" w:rsidR="00851BFC" w:rsidRPr="00972D9D" w:rsidRDefault="00851BFC"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lang w:val="es-CR"/>
        </w:rPr>
      </w:pPr>
      <w:r w:rsidRPr="00972D9D">
        <w:rPr>
          <w:rFonts w:ascii="Verdana" w:hAnsi="Verdana"/>
          <w:sz w:val="20"/>
          <w:szCs w:val="20"/>
          <w:lang w:val="es-CR"/>
        </w:rPr>
        <w:t>La Corte reitera que en el presente caso las presuntas víctimas acudieron a dos etapas: administrativa y judicial. E</w:t>
      </w:r>
      <w:r w:rsidR="00E91E81" w:rsidRPr="00972D9D">
        <w:rPr>
          <w:rFonts w:ascii="Verdana" w:hAnsi="Verdana"/>
          <w:sz w:val="20"/>
          <w:szCs w:val="20"/>
          <w:lang w:val="es-CR"/>
        </w:rPr>
        <w:t>n e</w:t>
      </w:r>
      <w:r w:rsidRPr="00972D9D">
        <w:rPr>
          <w:rFonts w:ascii="Verdana" w:hAnsi="Verdana"/>
          <w:sz w:val="20"/>
          <w:szCs w:val="20"/>
          <w:lang w:val="es-CR"/>
        </w:rPr>
        <w:t xml:space="preserve">l caso del señor Preckel, quien </w:t>
      </w:r>
      <w:r w:rsidR="00E91E81" w:rsidRPr="00972D9D">
        <w:rPr>
          <w:rFonts w:ascii="Verdana" w:hAnsi="Verdana"/>
          <w:sz w:val="20"/>
          <w:szCs w:val="20"/>
          <w:lang w:val="es-CR"/>
        </w:rPr>
        <w:t>present</w:t>
      </w:r>
      <w:r w:rsidRPr="00972D9D">
        <w:rPr>
          <w:rFonts w:ascii="Verdana" w:hAnsi="Verdana"/>
          <w:sz w:val="20"/>
          <w:szCs w:val="20"/>
          <w:lang w:val="es-CR"/>
        </w:rPr>
        <w:t xml:space="preserve">ó sus reclamos una vez habían sido negados a la señora Perrone </w:t>
      </w:r>
      <w:r w:rsidR="00E91E81" w:rsidRPr="00972D9D">
        <w:rPr>
          <w:rFonts w:ascii="Verdana" w:hAnsi="Verdana"/>
          <w:sz w:val="20"/>
          <w:szCs w:val="20"/>
          <w:lang w:val="es-CR"/>
        </w:rPr>
        <w:t xml:space="preserve">sus peticiones </w:t>
      </w:r>
      <w:r w:rsidRPr="00972D9D">
        <w:rPr>
          <w:rFonts w:ascii="Verdana" w:hAnsi="Verdana"/>
          <w:sz w:val="20"/>
          <w:szCs w:val="20"/>
          <w:lang w:val="es-CR"/>
        </w:rPr>
        <w:t xml:space="preserve">en la etapa administrativa, </w:t>
      </w:r>
      <w:r w:rsidR="00E91E81" w:rsidRPr="00972D9D">
        <w:rPr>
          <w:rFonts w:ascii="Verdana" w:hAnsi="Verdana"/>
          <w:sz w:val="20"/>
          <w:szCs w:val="20"/>
          <w:lang w:val="es-CR"/>
        </w:rPr>
        <w:t xml:space="preserve">sus reclamaciones </w:t>
      </w:r>
      <w:r w:rsidRPr="00972D9D">
        <w:rPr>
          <w:rFonts w:ascii="Verdana" w:hAnsi="Verdana"/>
          <w:sz w:val="20"/>
          <w:szCs w:val="20"/>
          <w:lang w:val="es-CR"/>
        </w:rPr>
        <w:t>fue</w:t>
      </w:r>
      <w:r w:rsidR="00E91E81" w:rsidRPr="00972D9D">
        <w:rPr>
          <w:rFonts w:ascii="Verdana" w:hAnsi="Verdana"/>
          <w:sz w:val="20"/>
          <w:szCs w:val="20"/>
          <w:lang w:val="es-CR"/>
        </w:rPr>
        <w:t>ron</w:t>
      </w:r>
      <w:r w:rsidRPr="00972D9D">
        <w:rPr>
          <w:rFonts w:ascii="Verdana" w:hAnsi="Verdana"/>
          <w:sz w:val="20"/>
          <w:szCs w:val="20"/>
          <w:lang w:val="es-CR"/>
        </w:rPr>
        <w:t xml:space="preserve"> resuelt</w:t>
      </w:r>
      <w:r w:rsidR="00E91E81" w:rsidRPr="00972D9D">
        <w:rPr>
          <w:rFonts w:ascii="Verdana" w:hAnsi="Verdana"/>
          <w:sz w:val="20"/>
          <w:szCs w:val="20"/>
          <w:lang w:val="es-CR"/>
        </w:rPr>
        <w:t>as</w:t>
      </w:r>
      <w:r w:rsidRPr="00972D9D">
        <w:rPr>
          <w:rFonts w:ascii="Verdana" w:hAnsi="Verdana"/>
          <w:sz w:val="20"/>
          <w:szCs w:val="20"/>
          <w:lang w:val="es-CR"/>
        </w:rPr>
        <w:t xml:space="preserve"> rechazando la solicitud por improcedente en un solo dictamen emitido por el Ministerio de Economía. En la etapa judicial resolvieron tres autoridades: a) el Juez Federal del Poder Judicial de la Nación, quien rechazó el reclamo; b) la Sala III de la Cámara de Apelaciones</w:t>
      </w:r>
      <w:r w:rsidR="00E02C48" w:rsidRPr="00972D9D">
        <w:rPr>
          <w:rFonts w:ascii="Verdana" w:hAnsi="Verdana"/>
          <w:sz w:val="20"/>
          <w:szCs w:val="20"/>
          <w:lang w:val="es-CR"/>
        </w:rPr>
        <w:t xml:space="preserve"> de lo Contencioso Administrativo federal</w:t>
      </w:r>
      <w:r w:rsidRPr="00972D9D">
        <w:rPr>
          <w:rFonts w:ascii="Verdana" w:hAnsi="Verdana"/>
          <w:sz w:val="20"/>
          <w:szCs w:val="20"/>
          <w:lang w:val="es-CR"/>
        </w:rPr>
        <w:t xml:space="preserve">, la cual rechazó el reclamo y posteriormente declaró sin lugar el recurso </w:t>
      </w:r>
      <w:r w:rsidR="0040370B" w:rsidRPr="00972D9D">
        <w:rPr>
          <w:rFonts w:ascii="Verdana" w:hAnsi="Verdana"/>
          <w:sz w:val="20"/>
          <w:szCs w:val="20"/>
          <w:lang w:val="es-CR"/>
        </w:rPr>
        <w:t xml:space="preserve">de queja </w:t>
      </w:r>
      <w:r w:rsidRPr="00972D9D">
        <w:rPr>
          <w:rFonts w:ascii="Verdana" w:hAnsi="Verdana"/>
          <w:sz w:val="20"/>
          <w:szCs w:val="20"/>
          <w:lang w:val="es-CR"/>
        </w:rPr>
        <w:t xml:space="preserve">presentado </w:t>
      </w:r>
      <w:r w:rsidR="0040370B" w:rsidRPr="00972D9D">
        <w:rPr>
          <w:rFonts w:ascii="Verdana" w:hAnsi="Verdana"/>
          <w:sz w:val="20"/>
          <w:szCs w:val="20"/>
          <w:lang w:val="es-CR"/>
        </w:rPr>
        <w:t>(</w:t>
      </w:r>
      <w:r w:rsidR="0040370B" w:rsidRPr="00972D9D">
        <w:rPr>
          <w:rFonts w:ascii="Verdana" w:hAnsi="Verdana"/>
          <w:i/>
          <w:sz w:val="20"/>
          <w:szCs w:val="20"/>
          <w:lang w:val="es-CR"/>
        </w:rPr>
        <w:t>supra</w:t>
      </w:r>
      <w:r w:rsidR="0040370B" w:rsidRPr="00972D9D">
        <w:rPr>
          <w:rFonts w:ascii="Verdana" w:hAnsi="Verdana"/>
          <w:sz w:val="20"/>
          <w:szCs w:val="20"/>
          <w:lang w:val="es-CR"/>
        </w:rPr>
        <w:t xml:space="preserve"> párr. </w:t>
      </w:r>
      <w:r w:rsidR="00233B2F">
        <w:rPr>
          <w:rFonts w:ascii="Verdana" w:hAnsi="Verdana"/>
          <w:sz w:val="20"/>
          <w:szCs w:val="20"/>
          <w:lang w:val="es-CR"/>
        </w:rPr>
        <w:t>90</w:t>
      </w:r>
      <w:r w:rsidR="0040370B" w:rsidRPr="00972D9D">
        <w:rPr>
          <w:rFonts w:ascii="Verdana" w:hAnsi="Verdana"/>
          <w:sz w:val="20"/>
          <w:szCs w:val="20"/>
          <w:lang w:val="es-CR"/>
        </w:rPr>
        <w:t>)</w:t>
      </w:r>
      <w:r w:rsidRPr="00972D9D">
        <w:rPr>
          <w:rFonts w:ascii="Verdana" w:hAnsi="Verdana"/>
          <w:sz w:val="20"/>
          <w:szCs w:val="20"/>
          <w:lang w:val="es-CR"/>
        </w:rPr>
        <w:t xml:space="preserve">, y </w:t>
      </w:r>
      <w:r w:rsidR="0040370B" w:rsidRPr="00972D9D">
        <w:rPr>
          <w:rFonts w:ascii="Verdana" w:hAnsi="Verdana"/>
          <w:sz w:val="20"/>
          <w:szCs w:val="20"/>
          <w:lang w:val="es-CR"/>
        </w:rPr>
        <w:t>c</w:t>
      </w:r>
      <w:r w:rsidRPr="00972D9D">
        <w:rPr>
          <w:rFonts w:ascii="Verdana" w:hAnsi="Verdana"/>
          <w:sz w:val="20"/>
          <w:szCs w:val="20"/>
          <w:lang w:val="es-CR"/>
        </w:rPr>
        <w:t>) la Corte Suprema, la cual rechazó su solicitud (</w:t>
      </w:r>
      <w:r w:rsidR="00904755" w:rsidRPr="00972D9D">
        <w:rPr>
          <w:rFonts w:ascii="Verdana" w:hAnsi="Verdana"/>
          <w:i/>
          <w:sz w:val="20"/>
          <w:szCs w:val="20"/>
          <w:lang w:val="es-CR"/>
        </w:rPr>
        <w:t>supra</w:t>
      </w:r>
      <w:r w:rsidRPr="00972D9D">
        <w:rPr>
          <w:rFonts w:ascii="Verdana" w:hAnsi="Verdana"/>
          <w:sz w:val="20"/>
          <w:szCs w:val="20"/>
          <w:lang w:val="es-CR"/>
        </w:rPr>
        <w:t xml:space="preserve"> párr</w:t>
      </w:r>
      <w:r w:rsidR="0006055E" w:rsidRPr="00972D9D">
        <w:rPr>
          <w:rFonts w:ascii="Verdana" w:hAnsi="Verdana"/>
          <w:sz w:val="20"/>
          <w:szCs w:val="20"/>
          <w:lang w:val="es-CR"/>
        </w:rPr>
        <w:t xml:space="preserve">. </w:t>
      </w:r>
      <w:r w:rsidR="00233B2F">
        <w:rPr>
          <w:rFonts w:ascii="Verdana" w:hAnsi="Verdana"/>
          <w:sz w:val="20"/>
          <w:szCs w:val="20"/>
          <w:lang w:val="es-CR"/>
        </w:rPr>
        <w:t>93</w:t>
      </w:r>
      <w:r w:rsidRPr="00972D9D">
        <w:rPr>
          <w:rFonts w:ascii="Verdana" w:hAnsi="Verdana"/>
          <w:sz w:val="20"/>
          <w:szCs w:val="20"/>
          <w:lang w:val="es-CR"/>
        </w:rPr>
        <w:t>).</w:t>
      </w:r>
    </w:p>
    <w:p w14:paraId="221FC256" w14:textId="4DE6C369" w:rsidR="007769CC" w:rsidRPr="00972D9D" w:rsidRDefault="00851BFC"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lang w:val="es-CR"/>
        </w:rPr>
      </w:pPr>
      <w:r w:rsidRPr="00972D9D">
        <w:rPr>
          <w:rFonts w:ascii="Verdana" w:hAnsi="Verdana"/>
          <w:sz w:val="20"/>
          <w:szCs w:val="20"/>
          <w:lang w:val="es-CR"/>
        </w:rPr>
        <w:t xml:space="preserve">La Corte nota que en dichos procesos se </w:t>
      </w:r>
      <w:r w:rsidR="0040370B" w:rsidRPr="00972D9D">
        <w:rPr>
          <w:rFonts w:ascii="Verdana" w:hAnsi="Verdana"/>
          <w:sz w:val="20"/>
          <w:szCs w:val="20"/>
          <w:lang w:val="es-CR"/>
        </w:rPr>
        <w:t xml:space="preserve">aplicaron y </w:t>
      </w:r>
      <w:r w:rsidRPr="00972D9D">
        <w:rPr>
          <w:rFonts w:ascii="Verdana" w:hAnsi="Verdana"/>
          <w:sz w:val="20"/>
          <w:szCs w:val="20"/>
          <w:lang w:val="es-CR"/>
        </w:rPr>
        <w:t>discutieron diversas disposiciones normativas; entre ellas, la Circular N° 5/77 del año 1977</w:t>
      </w:r>
      <w:r w:rsidRPr="00972D9D">
        <w:rPr>
          <w:rStyle w:val="Refdenotaalpie"/>
          <w:rFonts w:ascii="Verdana" w:hAnsi="Verdana"/>
          <w:sz w:val="20"/>
          <w:szCs w:val="20"/>
          <w:lang w:val="es-CR"/>
        </w:rPr>
        <w:footnoteReference w:id="113"/>
      </w:r>
      <w:r w:rsidRPr="00972D9D">
        <w:rPr>
          <w:rFonts w:ascii="Verdana" w:hAnsi="Verdana"/>
          <w:sz w:val="20"/>
          <w:szCs w:val="20"/>
          <w:lang w:val="es-CR"/>
        </w:rPr>
        <w:t xml:space="preserve">; el Reglamento de Investigaciones </w:t>
      </w:r>
      <w:r w:rsidRPr="00972D9D">
        <w:rPr>
          <w:rFonts w:ascii="Verdana" w:hAnsi="Verdana"/>
          <w:sz w:val="20"/>
          <w:szCs w:val="20"/>
          <w:lang w:val="es-CR"/>
        </w:rPr>
        <w:lastRenderedPageBreak/>
        <w:t>Administrativas (Decreto 1798/80) del año 1980</w:t>
      </w:r>
      <w:r w:rsidRPr="00972D9D">
        <w:rPr>
          <w:rStyle w:val="Refdenotaalpie"/>
          <w:rFonts w:ascii="Verdana" w:hAnsi="Verdana"/>
          <w:sz w:val="20"/>
          <w:szCs w:val="20"/>
          <w:lang w:val="es-CR"/>
        </w:rPr>
        <w:footnoteReference w:id="114"/>
      </w:r>
      <w:r w:rsidRPr="00972D9D">
        <w:rPr>
          <w:rFonts w:ascii="Verdana" w:hAnsi="Verdana"/>
          <w:sz w:val="20"/>
          <w:szCs w:val="20"/>
          <w:lang w:val="es-CR"/>
        </w:rPr>
        <w:t>; el Régimen de Licencias, Justificaciones y Franquicias (Decreto N° 3.413, que deroga los Decretos N° 1.429/73 y 1.531/74) del año 1979</w:t>
      </w:r>
      <w:r w:rsidRPr="00972D9D">
        <w:rPr>
          <w:rStyle w:val="Refdenotaalpie"/>
          <w:rFonts w:ascii="Verdana" w:hAnsi="Verdana"/>
          <w:sz w:val="20"/>
          <w:szCs w:val="20"/>
          <w:lang w:val="es-CR"/>
        </w:rPr>
        <w:footnoteReference w:id="115"/>
      </w:r>
      <w:r w:rsidR="0040370B" w:rsidRPr="00972D9D">
        <w:rPr>
          <w:rFonts w:ascii="Verdana" w:hAnsi="Verdana"/>
          <w:sz w:val="20"/>
          <w:szCs w:val="20"/>
          <w:lang w:val="es-CR"/>
        </w:rPr>
        <w:t xml:space="preserve">, </w:t>
      </w:r>
      <w:r w:rsidRPr="00972D9D">
        <w:rPr>
          <w:rFonts w:ascii="Verdana" w:hAnsi="Verdana"/>
          <w:sz w:val="20"/>
          <w:szCs w:val="20"/>
          <w:lang w:val="es-CR"/>
        </w:rPr>
        <w:t>y la Convención Colectiva del Trabajo N° 46/75E del año 1975</w:t>
      </w:r>
      <w:r w:rsidRPr="00972D9D">
        <w:rPr>
          <w:rStyle w:val="Refdenotaalpie"/>
          <w:rFonts w:ascii="Verdana" w:hAnsi="Verdana"/>
          <w:sz w:val="20"/>
          <w:szCs w:val="20"/>
          <w:lang w:val="es-CR"/>
        </w:rPr>
        <w:footnoteReference w:id="116"/>
      </w:r>
      <w:r w:rsidRPr="00972D9D">
        <w:rPr>
          <w:rFonts w:ascii="Verdana" w:hAnsi="Verdana"/>
          <w:sz w:val="20"/>
          <w:szCs w:val="20"/>
          <w:lang w:val="es-CR"/>
        </w:rPr>
        <w:t>.</w:t>
      </w:r>
      <w:r w:rsidR="007769CC" w:rsidRPr="00972D9D">
        <w:rPr>
          <w:rFonts w:ascii="Verdana" w:hAnsi="Verdana"/>
          <w:sz w:val="20"/>
          <w:szCs w:val="20"/>
          <w:lang w:val="es-CR"/>
        </w:rPr>
        <w:t xml:space="preserve"> </w:t>
      </w:r>
    </w:p>
    <w:p w14:paraId="6280A3DB" w14:textId="471AA373" w:rsidR="00F1732F" w:rsidRPr="00972D9D" w:rsidRDefault="00B054DA"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lang w:val="es-CR"/>
        </w:rPr>
      </w:pPr>
      <w:r w:rsidRPr="00972D9D">
        <w:rPr>
          <w:rFonts w:ascii="Verdana" w:hAnsi="Verdana"/>
          <w:sz w:val="20"/>
          <w:szCs w:val="20"/>
          <w:lang w:val="es-CR"/>
        </w:rPr>
        <w:t xml:space="preserve">Cabe recordar que en ambos casos la controversia fue planteada por la presuntas víctimas contra la DGI por el no pago de los salarios y otros haberes laborales dejados de percibir debido a su detención y exilio (en el caso del señor Preckel), mientras que la DGI argumentó que no </w:t>
      </w:r>
      <w:r w:rsidR="00F1732F" w:rsidRPr="00972D9D">
        <w:rPr>
          <w:rFonts w:ascii="Verdana" w:hAnsi="Verdana"/>
          <w:sz w:val="20"/>
          <w:szCs w:val="20"/>
          <w:lang w:val="es-CR"/>
        </w:rPr>
        <w:t xml:space="preserve"> correspondía pagar </w:t>
      </w:r>
      <w:r w:rsidRPr="00972D9D">
        <w:rPr>
          <w:rFonts w:ascii="Verdana" w:hAnsi="Verdana"/>
          <w:sz w:val="20"/>
          <w:szCs w:val="20"/>
          <w:lang w:val="es-CR"/>
        </w:rPr>
        <w:t xml:space="preserve">tales prestaciones laborales debido a que los demandantes no habían prestado sus servicios y que no </w:t>
      </w:r>
      <w:r w:rsidR="00F1732F" w:rsidRPr="00972D9D">
        <w:rPr>
          <w:rFonts w:ascii="Verdana" w:hAnsi="Verdana"/>
          <w:sz w:val="20"/>
          <w:szCs w:val="20"/>
          <w:lang w:val="es-CR"/>
        </w:rPr>
        <w:t>cabía</w:t>
      </w:r>
      <w:r w:rsidRPr="00972D9D">
        <w:rPr>
          <w:rFonts w:ascii="Verdana" w:hAnsi="Verdana"/>
          <w:sz w:val="20"/>
          <w:szCs w:val="20"/>
          <w:lang w:val="es-CR"/>
        </w:rPr>
        <w:t xml:space="preserve"> hacer una excepción a la regla fijada por la jurisprudencia constante de</w:t>
      </w:r>
      <w:r w:rsidR="00F1732F" w:rsidRPr="00972D9D">
        <w:rPr>
          <w:rFonts w:ascii="Verdana" w:hAnsi="Verdana"/>
          <w:sz w:val="20"/>
          <w:szCs w:val="20"/>
          <w:lang w:val="es-CR"/>
        </w:rPr>
        <w:t xml:space="preserve"> </w:t>
      </w:r>
      <w:r w:rsidRPr="00972D9D">
        <w:rPr>
          <w:rFonts w:ascii="Verdana" w:hAnsi="Verdana"/>
          <w:sz w:val="20"/>
          <w:szCs w:val="20"/>
          <w:lang w:val="es-CR"/>
        </w:rPr>
        <w:t>la Cor</w:t>
      </w:r>
      <w:r w:rsidR="00F1732F" w:rsidRPr="00972D9D">
        <w:rPr>
          <w:rFonts w:ascii="Verdana" w:hAnsi="Verdana"/>
          <w:sz w:val="20"/>
          <w:szCs w:val="20"/>
          <w:lang w:val="es-CR"/>
        </w:rPr>
        <w:t xml:space="preserve">te Suprema de Justicia y por la normativa vigente </w:t>
      </w:r>
      <w:r w:rsidRPr="00972D9D">
        <w:rPr>
          <w:rFonts w:ascii="Verdana" w:hAnsi="Verdana"/>
          <w:sz w:val="20"/>
          <w:szCs w:val="20"/>
          <w:lang w:val="es-CR"/>
        </w:rPr>
        <w:t xml:space="preserve">según la cual </w:t>
      </w:r>
      <w:r w:rsidR="00F1732F" w:rsidRPr="00972D9D">
        <w:rPr>
          <w:rFonts w:ascii="Verdana" w:hAnsi="Verdana"/>
          <w:sz w:val="20"/>
          <w:szCs w:val="20"/>
          <w:lang w:val="es-CR"/>
        </w:rPr>
        <w:t xml:space="preserve">no procedía el pago por servicios no prestados. </w:t>
      </w:r>
      <w:r w:rsidRPr="00972D9D">
        <w:rPr>
          <w:rFonts w:ascii="Verdana" w:hAnsi="Verdana"/>
          <w:sz w:val="20"/>
          <w:szCs w:val="20"/>
          <w:lang w:val="es-CR"/>
        </w:rPr>
        <w:t xml:space="preserve"> </w:t>
      </w:r>
    </w:p>
    <w:p w14:paraId="4B4BE476" w14:textId="342BCE94" w:rsidR="0041366C" w:rsidRPr="00972D9D" w:rsidRDefault="00E91E81"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lang w:val="es-CR"/>
        </w:rPr>
      </w:pPr>
      <w:r w:rsidRPr="00972D9D">
        <w:rPr>
          <w:rFonts w:ascii="Verdana" w:hAnsi="Verdana"/>
          <w:sz w:val="20"/>
          <w:szCs w:val="20"/>
          <w:lang w:val="es-CR"/>
        </w:rPr>
        <w:t>E</w:t>
      </w:r>
      <w:r w:rsidR="00C265C3" w:rsidRPr="00972D9D">
        <w:rPr>
          <w:rFonts w:ascii="Verdana" w:hAnsi="Verdana"/>
          <w:sz w:val="20"/>
          <w:szCs w:val="20"/>
          <w:lang w:val="es-CR"/>
        </w:rPr>
        <w:t>n el caso del señor Preckel, e</w:t>
      </w:r>
      <w:r w:rsidR="0041366C" w:rsidRPr="00972D9D">
        <w:rPr>
          <w:rFonts w:ascii="Verdana" w:hAnsi="Verdana"/>
          <w:sz w:val="20"/>
          <w:szCs w:val="20"/>
          <w:lang w:val="es-CR"/>
        </w:rPr>
        <w:t>l</w:t>
      </w:r>
      <w:r w:rsidRPr="00972D9D">
        <w:rPr>
          <w:rFonts w:ascii="Verdana" w:hAnsi="Verdana"/>
          <w:sz w:val="20"/>
          <w:szCs w:val="20"/>
          <w:lang w:val="es-CR"/>
        </w:rPr>
        <w:t xml:space="preserve"> fallo de primera instancia </w:t>
      </w:r>
      <w:r w:rsidR="0041366C" w:rsidRPr="00972D9D">
        <w:rPr>
          <w:rFonts w:ascii="Verdana" w:hAnsi="Verdana"/>
          <w:sz w:val="20"/>
          <w:szCs w:val="20"/>
          <w:lang w:val="es-CR"/>
        </w:rPr>
        <w:t xml:space="preserve">sostuvo que la DGI no fue quién provocó la situación que </w:t>
      </w:r>
      <w:r w:rsidR="00C265C3" w:rsidRPr="00972D9D">
        <w:rPr>
          <w:rFonts w:ascii="Verdana" w:hAnsi="Verdana"/>
          <w:sz w:val="20"/>
          <w:szCs w:val="20"/>
          <w:lang w:val="es-CR"/>
        </w:rPr>
        <w:t xml:space="preserve">lo </w:t>
      </w:r>
      <w:r w:rsidR="0041366C" w:rsidRPr="00972D9D">
        <w:rPr>
          <w:rFonts w:ascii="Verdana" w:hAnsi="Verdana"/>
          <w:sz w:val="20"/>
          <w:szCs w:val="20"/>
          <w:lang w:val="es-CR"/>
        </w:rPr>
        <w:t>perjudicara y le impidiera cumplir con sus funciones</w:t>
      </w:r>
      <w:r w:rsidR="00C265C3" w:rsidRPr="00972D9D">
        <w:rPr>
          <w:rFonts w:ascii="Verdana" w:hAnsi="Verdana"/>
          <w:sz w:val="20"/>
          <w:szCs w:val="20"/>
          <w:lang w:val="es-CR"/>
        </w:rPr>
        <w:t>,</w:t>
      </w:r>
      <w:r w:rsidR="0041366C" w:rsidRPr="00972D9D">
        <w:rPr>
          <w:rFonts w:ascii="Verdana" w:hAnsi="Verdana"/>
          <w:sz w:val="20"/>
          <w:szCs w:val="20"/>
          <w:lang w:val="es-CR"/>
        </w:rPr>
        <w:t xml:space="preserve"> razón por la </w:t>
      </w:r>
      <w:r w:rsidR="00543E5A">
        <w:rPr>
          <w:rFonts w:ascii="Verdana" w:hAnsi="Verdana"/>
          <w:sz w:val="20"/>
          <w:szCs w:val="20"/>
          <w:lang w:val="es-CR"/>
        </w:rPr>
        <w:t xml:space="preserve">que </w:t>
      </w:r>
      <w:r w:rsidR="0041366C" w:rsidRPr="00972D9D">
        <w:rPr>
          <w:rFonts w:ascii="Verdana" w:hAnsi="Verdana"/>
          <w:sz w:val="20"/>
          <w:szCs w:val="20"/>
          <w:lang w:val="es-CR"/>
        </w:rPr>
        <w:t>dio aplicación a la doctrina de la Corte Suprema según la cual, salvo disposición e</w:t>
      </w:r>
      <w:r w:rsidR="00074E21" w:rsidRPr="00972D9D">
        <w:rPr>
          <w:rFonts w:ascii="Verdana" w:hAnsi="Verdana"/>
          <w:sz w:val="20"/>
          <w:szCs w:val="20"/>
          <w:lang w:val="es-CR"/>
        </w:rPr>
        <w:t>n</w:t>
      </w:r>
      <w:r w:rsidR="0041366C" w:rsidRPr="00972D9D">
        <w:rPr>
          <w:rFonts w:ascii="Verdana" w:hAnsi="Verdana"/>
          <w:sz w:val="20"/>
          <w:szCs w:val="20"/>
          <w:lang w:val="es-CR"/>
        </w:rPr>
        <w:t xml:space="preserve"> contrario no procede el pago por servicios no prestados y en mérito a ello, rechazó la demanda.</w:t>
      </w:r>
      <w:r w:rsidR="00074E21" w:rsidRPr="00972D9D">
        <w:rPr>
          <w:rStyle w:val="Refdenotaalpie"/>
          <w:rFonts w:ascii="Verdana" w:hAnsi="Verdana"/>
          <w:sz w:val="20"/>
          <w:szCs w:val="20"/>
        </w:rPr>
        <w:footnoteReference w:id="117"/>
      </w:r>
    </w:p>
    <w:p w14:paraId="2E6FA8CC" w14:textId="2B4DA0D9" w:rsidR="00E02C48" w:rsidRPr="00972D9D" w:rsidRDefault="0041366C"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lang w:val="es-CR"/>
        </w:rPr>
      </w:pPr>
      <w:r w:rsidRPr="00972D9D">
        <w:rPr>
          <w:rFonts w:ascii="Verdana" w:hAnsi="Verdana"/>
          <w:sz w:val="20"/>
          <w:szCs w:val="20"/>
          <w:lang w:val="es-CR"/>
        </w:rPr>
        <w:t xml:space="preserve">En el recurso de </w:t>
      </w:r>
      <w:r w:rsidR="00E02C48" w:rsidRPr="00972D9D">
        <w:rPr>
          <w:rFonts w:ascii="Verdana" w:hAnsi="Verdana"/>
          <w:sz w:val="20"/>
          <w:szCs w:val="20"/>
          <w:lang w:val="es-CR"/>
        </w:rPr>
        <w:t>apelación</w:t>
      </w:r>
      <w:r w:rsidRPr="00972D9D">
        <w:rPr>
          <w:rFonts w:ascii="Verdana" w:hAnsi="Verdana"/>
          <w:sz w:val="20"/>
          <w:szCs w:val="20"/>
          <w:lang w:val="es-CR"/>
        </w:rPr>
        <w:t xml:space="preserve"> planteado</w:t>
      </w:r>
      <w:r w:rsidR="00E02C48" w:rsidRPr="00972D9D">
        <w:rPr>
          <w:rFonts w:ascii="Verdana" w:hAnsi="Verdana"/>
          <w:sz w:val="20"/>
          <w:szCs w:val="20"/>
          <w:lang w:val="es-CR"/>
        </w:rPr>
        <w:t>,</w:t>
      </w:r>
      <w:r w:rsidRPr="00972D9D">
        <w:rPr>
          <w:rFonts w:ascii="Verdana" w:hAnsi="Verdana"/>
          <w:sz w:val="20"/>
          <w:szCs w:val="20"/>
          <w:lang w:val="es-CR"/>
        </w:rPr>
        <w:t xml:space="preserve"> el señor Pre</w:t>
      </w:r>
      <w:r w:rsidR="00E02C48" w:rsidRPr="00972D9D">
        <w:rPr>
          <w:rFonts w:ascii="Verdana" w:hAnsi="Verdana"/>
          <w:sz w:val="20"/>
          <w:szCs w:val="20"/>
          <w:lang w:val="es-CR"/>
        </w:rPr>
        <w:t>ckel sostuvo que la sentencia d</w:t>
      </w:r>
      <w:r w:rsidRPr="00972D9D">
        <w:rPr>
          <w:rFonts w:ascii="Verdana" w:hAnsi="Verdana"/>
          <w:sz w:val="20"/>
          <w:szCs w:val="20"/>
          <w:lang w:val="es-CR"/>
        </w:rPr>
        <w:t>e</w:t>
      </w:r>
      <w:r w:rsidR="00E02C48" w:rsidRPr="00972D9D">
        <w:rPr>
          <w:rFonts w:ascii="Verdana" w:hAnsi="Verdana"/>
          <w:sz w:val="20"/>
          <w:szCs w:val="20"/>
          <w:lang w:val="es-CR"/>
        </w:rPr>
        <w:t xml:space="preserve"> </w:t>
      </w:r>
      <w:r w:rsidRPr="00972D9D">
        <w:rPr>
          <w:rFonts w:ascii="Verdana" w:hAnsi="Verdana"/>
          <w:sz w:val="20"/>
          <w:szCs w:val="20"/>
          <w:lang w:val="es-CR"/>
        </w:rPr>
        <w:t>primera</w:t>
      </w:r>
      <w:r w:rsidR="00E02C48" w:rsidRPr="00972D9D">
        <w:rPr>
          <w:rFonts w:ascii="Verdana" w:hAnsi="Verdana"/>
          <w:sz w:val="20"/>
          <w:szCs w:val="20"/>
          <w:lang w:val="es-CR"/>
        </w:rPr>
        <w:t xml:space="preserve"> </w:t>
      </w:r>
      <w:r w:rsidRPr="00972D9D">
        <w:rPr>
          <w:rFonts w:ascii="Verdana" w:hAnsi="Verdana"/>
          <w:sz w:val="20"/>
          <w:szCs w:val="20"/>
          <w:lang w:val="es-CR"/>
        </w:rPr>
        <w:t>instancia evidenciaba u</w:t>
      </w:r>
      <w:r w:rsidR="00E02C48" w:rsidRPr="00972D9D">
        <w:rPr>
          <w:rFonts w:ascii="Verdana" w:hAnsi="Verdana"/>
          <w:sz w:val="20"/>
          <w:szCs w:val="20"/>
          <w:lang w:val="es-CR"/>
        </w:rPr>
        <w:t>n</w:t>
      </w:r>
      <w:r w:rsidRPr="00972D9D">
        <w:rPr>
          <w:rFonts w:ascii="Verdana" w:hAnsi="Verdana"/>
          <w:sz w:val="20"/>
          <w:szCs w:val="20"/>
          <w:lang w:val="es-CR"/>
        </w:rPr>
        <w:t xml:space="preserve"> incompleto enfoque de</w:t>
      </w:r>
      <w:r w:rsidR="00E02C48" w:rsidRPr="00972D9D">
        <w:rPr>
          <w:rFonts w:ascii="Verdana" w:hAnsi="Verdana"/>
          <w:sz w:val="20"/>
          <w:szCs w:val="20"/>
          <w:lang w:val="es-CR"/>
        </w:rPr>
        <w:t xml:space="preserve"> </w:t>
      </w:r>
      <w:r w:rsidRPr="00972D9D">
        <w:rPr>
          <w:rFonts w:ascii="Verdana" w:hAnsi="Verdana"/>
          <w:sz w:val="20"/>
          <w:szCs w:val="20"/>
          <w:lang w:val="es-CR"/>
        </w:rPr>
        <w:t>la cuestión a resolver, pues frente al principio general contenido en las</w:t>
      </w:r>
      <w:r w:rsidR="00E02C48" w:rsidRPr="00972D9D">
        <w:rPr>
          <w:rFonts w:ascii="Verdana" w:hAnsi="Verdana"/>
          <w:sz w:val="20"/>
          <w:szCs w:val="20"/>
          <w:lang w:val="es-CR"/>
        </w:rPr>
        <w:t xml:space="preserve"> </w:t>
      </w:r>
      <w:r w:rsidRPr="00972D9D">
        <w:rPr>
          <w:rFonts w:ascii="Verdana" w:hAnsi="Verdana"/>
          <w:sz w:val="20"/>
          <w:szCs w:val="20"/>
          <w:lang w:val="es-CR"/>
        </w:rPr>
        <w:t>normas vinculadas al caso, omitió considerar la existencia de disposic</w:t>
      </w:r>
      <w:r w:rsidR="00E02C48" w:rsidRPr="00972D9D">
        <w:rPr>
          <w:rFonts w:ascii="Verdana" w:hAnsi="Verdana"/>
          <w:sz w:val="20"/>
          <w:szCs w:val="20"/>
          <w:lang w:val="es-CR"/>
        </w:rPr>
        <w:t>i</w:t>
      </w:r>
      <w:r w:rsidRPr="00972D9D">
        <w:rPr>
          <w:rFonts w:ascii="Verdana" w:hAnsi="Verdana"/>
          <w:sz w:val="20"/>
          <w:szCs w:val="20"/>
          <w:lang w:val="es-CR"/>
        </w:rPr>
        <w:t>ones</w:t>
      </w:r>
      <w:r w:rsidR="00E02C48" w:rsidRPr="00972D9D">
        <w:rPr>
          <w:rFonts w:ascii="Verdana" w:hAnsi="Verdana"/>
          <w:sz w:val="20"/>
          <w:szCs w:val="20"/>
          <w:lang w:val="es-CR"/>
        </w:rPr>
        <w:t xml:space="preserve"> </w:t>
      </w:r>
      <w:r w:rsidRPr="00972D9D">
        <w:rPr>
          <w:rFonts w:ascii="Verdana" w:hAnsi="Verdana"/>
          <w:sz w:val="20"/>
          <w:szCs w:val="20"/>
          <w:lang w:val="es-CR"/>
        </w:rPr>
        <w:t>invocadas en la demanda que al configurar la excepción reconocida en la ley autorizaban el p</w:t>
      </w:r>
      <w:r w:rsidR="00E02C48" w:rsidRPr="00972D9D">
        <w:rPr>
          <w:rFonts w:ascii="Verdana" w:hAnsi="Verdana"/>
          <w:sz w:val="20"/>
          <w:szCs w:val="20"/>
          <w:lang w:val="es-CR"/>
        </w:rPr>
        <w:t>a</w:t>
      </w:r>
      <w:r w:rsidRPr="00972D9D">
        <w:rPr>
          <w:rFonts w:ascii="Verdana" w:hAnsi="Verdana"/>
          <w:sz w:val="20"/>
          <w:szCs w:val="20"/>
          <w:lang w:val="es-CR"/>
        </w:rPr>
        <w:t>go de</w:t>
      </w:r>
      <w:r w:rsidR="00E02C48" w:rsidRPr="00972D9D">
        <w:rPr>
          <w:rFonts w:ascii="Verdana" w:hAnsi="Verdana"/>
          <w:sz w:val="20"/>
          <w:szCs w:val="20"/>
          <w:lang w:val="es-CR"/>
        </w:rPr>
        <w:t xml:space="preserve"> </w:t>
      </w:r>
      <w:r w:rsidRPr="00972D9D">
        <w:rPr>
          <w:rFonts w:ascii="Verdana" w:hAnsi="Verdana"/>
          <w:sz w:val="20"/>
          <w:szCs w:val="20"/>
          <w:lang w:val="es-CR"/>
        </w:rPr>
        <w:t>lo</w:t>
      </w:r>
      <w:r w:rsidR="00E02C48" w:rsidRPr="00972D9D">
        <w:rPr>
          <w:rFonts w:ascii="Verdana" w:hAnsi="Verdana"/>
          <w:sz w:val="20"/>
          <w:szCs w:val="20"/>
          <w:lang w:val="es-CR"/>
        </w:rPr>
        <w:t xml:space="preserve"> </w:t>
      </w:r>
      <w:r w:rsidRPr="00972D9D">
        <w:rPr>
          <w:rFonts w:ascii="Verdana" w:hAnsi="Verdana"/>
          <w:sz w:val="20"/>
          <w:szCs w:val="20"/>
          <w:lang w:val="es-CR"/>
        </w:rPr>
        <w:t>reclamado. En ese sentido señaló que to</w:t>
      </w:r>
      <w:r w:rsidR="00E02C48" w:rsidRPr="00972D9D">
        <w:rPr>
          <w:rFonts w:ascii="Verdana" w:hAnsi="Verdana"/>
          <w:sz w:val="20"/>
          <w:szCs w:val="20"/>
          <w:lang w:val="es-CR"/>
        </w:rPr>
        <w:t>d</w:t>
      </w:r>
      <w:r w:rsidRPr="00972D9D">
        <w:rPr>
          <w:rFonts w:ascii="Verdana" w:hAnsi="Verdana"/>
          <w:sz w:val="20"/>
          <w:szCs w:val="20"/>
          <w:lang w:val="es-CR"/>
        </w:rPr>
        <w:t>o</w:t>
      </w:r>
      <w:r w:rsidR="00E02C48" w:rsidRPr="00972D9D">
        <w:rPr>
          <w:rFonts w:ascii="Verdana" w:hAnsi="Verdana"/>
          <w:sz w:val="20"/>
          <w:szCs w:val="20"/>
          <w:lang w:val="es-CR"/>
        </w:rPr>
        <w:t>s</w:t>
      </w:r>
      <w:r w:rsidRPr="00972D9D">
        <w:rPr>
          <w:rFonts w:ascii="Verdana" w:hAnsi="Verdana"/>
          <w:sz w:val="20"/>
          <w:szCs w:val="20"/>
          <w:lang w:val="es-CR"/>
        </w:rPr>
        <w:t xml:space="preserve"> los ordenamientos en cuyo marco se ubicó la DGI en la relación laboral con sus agentes durante el per</w:t>
      </w:r>
      <w:r w:rsidR="00E02C48" w:rsidRPr="00972D9D">
        <w:rPr>
          <w:rFonts w:ascii="Verdana" w:hAnsi="Verdana"/>
          <w:sz w:val="20"/>
          <w:szCs w:val="20"/>
          <w:lang w:val="es-CR"/>
        </w:rPr>
        <w:t>íodo</w:t>
      </w:r>
      <w:r w:rsidR="00074E21" w:rsidRPr="00972D9D">
        <w:rPr>
          <w:rFonts w:ascii="Verdana" w:hAnsi="Verdana"/>
          <w:sz w:val="20"/>
          <w:szCs w:val="20"/>
          <w:lang w:val="es-CR"/>
        </w:rPr>
        <w:t xml:space="preserve"> en que tuvo lugar su detención y posterior exilio</w:t>
      </w:r>
      <w:r w:rsidR="00E02C48" w:rsidRPr="00972D9D">
        <w:rPr>
          <w:rFonts w:ascii="Verdana" w:hAnsi="Verdana"/>
          <w:sz w:val="20"/>
          <w:szCs w:val="20"/>
          <w:lang w:val="es-CR"/>
        </w:rPr>
        <w:t>, contenían regímenes de licencias, justificaciones y franquicias en los que se establecía, de forma coincidente, que los agentes tendrían derecho a la justificación de sus inasistencias, con el correlativo derecho al goce de sus haberes, ante casos especiales de fuerza mayor debidamente comprobados, sin limitación alguna en el tiempo.</w:t>
      </w:r>
    </w:p>
    <w:p w14:paraId="5E8058C1" w14:textId="65C1B54D" w:rsidR="00F1732F" w:rsidRPr="00972D9D" w:rsidRDefault="008175B4"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lang w:val="es-CR"/>
        </w:rPr>
      </w:pPr>
      <w:r w:rsidRPr="00972D9D">
        <w:rPr>
          <w:rFonts w:ascii="Verdana" w:hAnsi="Verdana"/>
          <w:sz w:val="20"/>
          <w:szCs w:val="20"/>
          <w:lang w:val="es-CR"/>
        </w:rPr>
        <w:lastRenderedPageBreak/>
        <w:t>L</w:t>
      </w:r>
      <w:r w:rsidR="00E02C48" w:rsidRPr="00972D9D">
        <w:rPr>
          <w:rFonts w:ascii="Verdana" w:hAnsi="Verdana"/>
          <w:sz w:val="20"/>
          <w:szCs w:val="20"/>
          <w:lang w:val="es-CR"/>
        </w:rPr>
        <w:t xml:space="preserve">a Sala III de la Cámara de Apelaciones de lo Contencioso Administrativo federal </w:t>
      </w:r>
      <w:r w:rsidR="00F1732F" w:rsidRPr="00972D9D">
        <w:rPr>
          <w:rFonts w:ascii="Verdana" w:hAnsi="Verdana"/>
          <w:sz w:val="20"/>
          <w:szCs w:val="20"/>
          <w:lang w:val="es-CR"/>
        </w:rPr>
        <w:t>examinó los argumentos planteados por el señor Preckel, y luego de tener en cuenta que una vez cesado su exilió la DGI archiv</w:t>
      </w:r>
      <w:r w:rsidR="00640DB4" w:rsidRPr="00972D9D">
        <w:rPr>
          <w:rFonts w:ascii="Verdana" w:hAnsi="Verdana"/>
          <w:sz w:val="20"/>
          <w:szCs w:val="20"/>
          <w:lang w:val="es-CR"/>
        </w:rPr>
        <w:t>ó</w:t>
      </w:r>
      <w:r w:rsidR="00F1732F" w:rsidRPr="00972D9D">
        <w:rPr>
          <w:rFonts w:ascii="Verdana" w:hAnsi="Verdana"/>
          <w:sz w:val="20"/>
          <w:szCs w:val="20"/>
          <w:lang w:val="es-CR"/>
        </w:rPr>
        <w:t xml:space="preserve"> el expediente administrativo en su contra y lo reintegró al empleo</w:t>
      </w:r>
      <w:r w:rsidR="00EC2A4F">
        <w:rPr>
          <w:rFonts w:ascii="Verdana" w:hAnsi="Verdana"/>
          <w:sz w:val="20"/>
          <w:szCs w:val="20"/>
          <w:lang w:val="es-CR"/>
        </w:rPr>
        <w:t>,</w:t>
      </w:r>
      <w:r w:rsidR="00F1732F" w:rsidRPr="00972D9D">
        <w:rPr>
          <w:rFonts w:ascii="Verdana" w:hAnsi="Verdana"/>
          <w:sz w:val="20"/>
          <w:szCs w:val="20"/>
          <w:lang w:val="es-CR"/>
        </w:rPr>
        <w:t xml:space="preserve"> </w:t>
      </w:r>
      <w:r w:rsidR="00E02C48" w:rsidRPr="00972D9D">
        <w:rPr>
          <w:rFonts w:ascii="Verdana" w:hAnsi="Verdana"/>
          <w:sz w:val="20"/>
          <w:szCs w:val="20"/>
          <w:lang w:val="es-CR"/>
        </w:rPr>
        <w:t xml:space="preserve">rechazó el recurso </w:t>
      </w:r>
      <w:r w:rsidRPr="00972D9D">
        <w:rPr>
          <w:rFonts w:ascii="Verdana" w:hAnsi="Verdana"/>
          <w:sz w:val="20"/>
          <w:szCs w:val="20"/>
          <w:lang w:val="es-CR"/>
        </w:rPr>
        <w:t>bajo los siguientes argumentos:</w:t>
      </w:r>
    </w:p>
    <w:p w14:paraId="3B7236FB" w14:textId="3857B08E" w:rsidR="008175B4" w:rsidRPr="00972D9D" w:rsidRDefault="008175B4" w:rsidP="00A3482F">
      <w:pPr>
        <w:widowControl w:val="0"/>
        <w:tabs>
          <w:tab w:val="left" w:pos="567"/>
        </w:tabs>
        <w:adjustRightInd w:val="0"/>
        <w:spacing w:before="120" w:after="120" w:line="240" w:lineRule="auto"/>
        <w:ind w:left="720"/>
        <w:jc w:val="both"/>
        <w:textAlignment w:val="baseline"/>
        <w:rPr>
          <w:rFonts w:ascii="Verdana" w:hAnsi="Verdana"/>
          <w:sz w:val="18"/>
          <w:szCs w:val="18"/>
          <w:lang w:val="es-CR"/>
        </w:rPr>
      </w:pPr>
      <w:r w:rsidRPr="00972D9D">
        <w:rPr>
          <w:rFonts w:ascii="Verdana" w:hAnsi="Verdana"/>
          <w:sz w:val="18"/>
          <w:szCs w:val="18"/>
          <w:lang w:val="es-CR"/>
        </w:rPr>
        <w:t>En tales condiciones, no cabe imputar responsabilidad a la DGI con respecto a</w:t>
      </w:r>
      <w:r w:rsidR="00F1732F" w:rsidRPr="00972D9D">
        <w:rPr>
          <w:rFonts w:ascii="Verdana" w:hAnsi="Verdana"/>
          <w:sz w:val="18"/>
          <w:szCs w:val="18"/>
          <w:lang w:val="es-CR"/>
        </w:rPr>
        <w:t xml:space="preserve"> </w:t>
      </w:r>
      <w:r w:rsidRPr="00972D9D">
        <w:rPr>
          <w:rFonts w:ascii="Verdana" w:hAnsi="Verdana"/>
          <w:sz w:val="18"/>
          <w:szCs w:val="18"/>
          <w:lang w:val="es-CR"/>
        </w:rPr>
        <w:t>l</w:t>
      </w:r>
      <w:r w:rsidR="00F1732F" w:rsidRPr="00972D9D">
        <w:rPr>
          <w:rFonts w:ascii="Verdana" w:hAnsi="Verdana"/>
          <w:sz w:val="18"/>
          <w:szCs w:val="18"/>
          <w:lang w:val="es-CR"/>
        </w:rPr>
        <w:t>a relación de</w:t>
      </w:r>
      <w:r w:rsidRPr="00972D9D">
        <w:rPr>
          <w:rFonts w:ascii="Verdana" w:hAnsi="Verdana"/>
          <w:sz w:val="18"/>
          <w:szCs w:val="18"/>
          <w:lang w:val="es-CR"/>
        </w:rPr>
        <w:t xml:space="preserve"> empleo público, por lo que resulta correcta la aplicación de la doctrina de la Corte Suprema que </w:t>
      </w:r>
      <w:r w:rsidR="00F1732F" w:rsidRPr="00972D9D">
        <w:rPr>
          <w:rFonts w:ascii="Verdana" w:hAnsi="Verdana"/>
          <w:sz w:val="18"/>
          <w:szCs w:val="18"/>
          <w:lang w:val="es-CR"/>
        </w:rPr>
        <w:t>e</w:t>
      </w:r>
      <w:r w:rsidRPr="00972D9D">
        <w:rPr>
          <w:rFonts w:ascii="Verdana" w:hAnsi="Verdana"/>
          <w:sz w:val="18"/>
          <w:szCs w:val="18"/>
          <w:lang w:val="es-CR"/>
        </w:rPr>
        <w:t>stablece que salvo norma expresa y específica para el caso no procede el pago por servicios no prestados (CSJ //291:406; 297:427; 300:488; 302:786 y 1544; 303:1824; 307:1215; 1220 y 2084; 308:681, 698; 732 y 1795). Cabe aclarar que las</w:t>
      </w:r>
      <w:r w:rsidR="00F1732F" w:rsidRPr="00972D9D">
        <w:rPr>
          <w:rFonts w:ascii="Verdana" w:hAnsi="Verdana"/>
          <w:sz w:val="18"/>
          <w:szCs w:val="18"/>
          <w:lang w:val="es-CR"/>
        </w:rPr>
        <w:t xml:space="preserve"> </w:t>
      </w:r>
      <w:r w:rsidRPr="00972D9D">
        <w:rPr>
          <w:rFonts w:ascii="Verdana" w:hAnsi="Verdana"/>
          <w:sz w:val="18"/>
          <w:szCs w:val="18"/>
          <w:lang w:val="es-CR"/>
        </w:rPr>
        <w:t>normas que cita el actor para justificar su pretensión se refieren al régimen de licencias, justificaciones y franquicias, supuestos evidentemente distintos al de autos.</w:t>
      </w:r>
    </w:p>
    <w:p w14:paraId="39D72A0E" w14:textId="054F542F" w:rsidR="00B054DA" w:rsidRPr="00972D9D" w:rsidRDefault="00B054DA" w:rsidP="00A3482F">
      <w:pPr>
        <w:widowControl w:val="0"/>
        <w:tabs>
          <w:tab w:val="left" w:pos="567"/>
        </w:tabs>
        <w:adjustRightInd w:val="0"/>
        <w:spacing w:before="120" w:after="120" w:line="240" w:lineRule="auto"/>
        <w:ind w:left="720"/>
        <w:jc w:val="both"/>
        <w:textAlignment w:val="baseline"/>
        <w:rPr>
          <w:rFonts w:ascii="Verdana" w:hAnsi="Verdana"/>
          <w:sz w:val="20"/>
          <w:szCs w:val="20"/>
          <w:lang w:val="es-CR"/>
        </w:rPr>
      </w:pPr>
      <w:r w:rsidRPr="00972D9D">
        <w:rPr>
          <w:rFonts w:ascii="Verdana" w:hAnsi="Verdana"/>
          <w:sz w:val="18"/>
          <w:szCs w:val="18"/>
          <w:lang w:val="es-CR"/>
        </w:rPr>
        <w:t>Asimismo, puestos en la hipótesis de</w:t>
      </w:r>
      <w:r w:rsidR="00F1732F" w:rsidRPr="00972D9D">
        <w:rPr>
          <w:rFonts w:ascii="Verdana" w:hAnsi="Verdana"/>
          <w:sz w:val="18"/>
          <w:szCs w:val="18"/>
          <w:lang w:val="es-CR"/>
        </w:rPr>
        <w:t xml:space="preserve"> </w:t>
      </w:r>
      <w:r w:rsidRPr="00972D9D">
        <w:rPr>
          <w:rFonts w:ascii="Verdana" w:hAnsi="Verdana"/>
          <w:sz w:val="18"/>
          <w:szCs w:val="18"/>
          <w:lang w:val="es-CR"/>
        </w:rPr>
        <w:t>a</w:t>
      </w:r>
      <w:r w:rsidR="00F1732F" w:rsidRPr="00972D9D">
        <w:rPr>
          <w:rFonts w:ascii="Verdana" w:hAnsi="Verdana"/>
          <w:sz w:val="18"/>
          <w:szCs w:val="18"/>
          <w:lang w:val="es-CR"/>
        </w:rPr>
        <w:t>p</w:t>
      </w:r>
      <w:r w:rsidRPr="00972D9D">
        <w:rPr>
          <w:rFonts w:ascii="Verdana" w:hAnsi="Verdana"/>
          <w:sz w:val="18"/>
          <w:szCs w:val="18"/>
          <w:lang w:val="es-CR"/>
        </w:rPr>
        <w:t>licar por analogía el decreto 1798/80 (Reglamento de Investigaciones Administrativa) tampoco corresponde</w:t>
      </w:r>
      <w:r w:rsidR="00F1732F" w:rsidRPr="00972D9D">
        <w:rPr>
          <w:rFonts w:ascii="Verdana" w:hAnsi="Verdana"/>
          <w:sz w:val="18"/>
          <w:szCs w:val="18"/>
          <w:lang w:val="es-CR"/>
        </w:rPr>
        <w:t xml:space="preserve"> </w:t>
      </w:r>
      <w:r w:rsidRPr="00972D9D">
        <w:rPr>
          <w:rFonts w:ascii="Verdana" w:hAnsi="Verdana"/>
          <w:sz w:val="18"/>
          <w:szCs w:val="18"/>
          <w:lang w:val="es-CR"/>
        </w:rPr>
        <w:t>e</w:t>
      </w:r>
      <w:r w:rsidR="00F1732F" w:rsidRPr="00972D9D">
        <w:rPr>
          <w:rFonts w:ascii="Verdana" w:hAnsi="Verdana"/>
          <w:sz w:val="18"/>
          <w:szCs w:val="18"/>
          <w:lang w:val="es-CR"/>
        </w:rPr>
        <w:t>l</w:t>
      </w:r>
      <w:r w:rsidRPr="00972D9D">
        <w:rPr>
          <w:rFonts w:ascii="Verdana" w:hAnsi="Verdana"/>
          <w:sz w:val="18"/>
          <w:szCs w:val="18"/>
          <w:lang w:val="es-CR"/>
        </w:rPr>
        <w:t xml:space="preserve"> pago que pretende. Si bien es cierto que el art. 37 contempla una excepción al principio general del pago de haberes en el lapso de suspensión preventiva, debe tenerse presente que solo</w:t>
      </w:r>
      <w:r w:rsidR="00F1732F" w:rsidRPr="00972D9D">
        <w:rPr>
          <w:rFonts w:ascii="Verdana" w:hAnsi="Verdana"/>
          <w:sz w:val="18"/>
          <w:szCs w:val="18"/>
          <w:lang w:val="es-CR"/>
        </w:rPr>
        <w:t xml:space="preserve"> </w:t>
      </w:r>
      <w:r w:rsidRPr="00972D9D">
        <w:rPr>
          <w:rFonts w:ascii="Verdana" w:hAnsi="Verdana"/>
          <w:sz w:val="18"/>
          <w:szCs w:val="18"/>
          <w:lang w:val="es-CR"/>
        </w:rPr>
        <w:t>se autoriza retribuir por el tiempo en que el agente hubiere permanecido en libertad y no se hubiese autorizado su reintegro. Ello así, no corresponde el pago por el tiempo que el actor estuvo en Alemani</w:t>
      </w:r>
      <w:r w:rsidR="00F1732F" w:rsidRPr="00972D9D">
        <w:rPr>
          <w:rFonts w:ascii="Verdana" w:hAnsi="Verdana"/>
          <w:sz w:val="18"/>
          <w:szCs w:val="18"/>
          <w:lang w:val="es-CR"/>
        </w:rPr>
        <w:t>a</w:t>
      </w:r>
      <w:r w:rsidRPr="00972D9D">
        <w:rPr>
          <w:rFonts w:ascii="Verdana" w:hAnsi="Verdana"/>
          <w:sz w:val="18"/>
          <w:szCs w:val="18"/>
          <w:lang w:val="es-CR"/>
        </w:rPr>
        <w:t xml:space="preserve"> (si se</w:t>
      </w:r>
      <w:r w:rsidR="00F1732F" w:rsidRPr="00972D9D">
        <w:rPr>
          <w:rFonts w:ascii="Verdana" w:hAnsi="Verdana"/>
          <w:sz w:val="18"/>
          <w:szCs w:val="18"/>
          <w:lang w:val="es-CR"/>
        </w:rPr>
        <w:t xml:space="preserve"> </w:t>
      </w:r>
      <w:r w:rsidRPr="00972D9D">
        <w:rPr>
          <w:rFonts w:ascii="Verdana" w:hAnsi="Verdana"/>
          <w:sz w:val="18"/>
          <w:szCs w:val="18"/>
          <w:lang w:val="es-CR"/>
        </w:rPr>
        <w:t>pudiera asimilar este período de libertad) ya que éste no podía volver al país y prestar servicios. Una vez producido el regreso, la DGI procedió a reintegrarle inmediatamente al empleo</w:t>
      </w:r>
      <w:r w:rsidR="00F1732F" w:rsidRPr="00972D9D">
        <w:rPr>
          <w:rStyle w:val="Refdenotaalpie"/>
          <w:rFonts w:ascii="Verdana" w:hAnsi="Verdana"/>
          <w:sz w:val="20"/>
          <w:szCs w:val="20"/>
          <w:lang w:val="es-CR"/>
        </w:rPr>
        <w:footnoteReference w:id="118"/>
      </w:r>
      <w:r w:rsidR="002367BF">
        <w:rPr>
          <w:rFonts w:ascii="Verdana" w:hAnsi="Verdana"/>
          <w:sz w:val="20"/>
          <w:szCs w:val="20"/>
          <w:lang w:val="es-CR"/>
        </w:rPr>
        <w:t>.</w:t>
      </w:r>
    </w:p>
    <w:p w14:paraId="74F3CFF2" w14:textId="44DA2BB6" w:rsidR="00DA30C0" w:rsidRPr="00972D9D" w:rsidRDefault="00F1732F"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lang w:val="es-CR"/>
        </w:rPr>
      </w:pPr>
      <w:r w:rsidRPr="00972D9D">
        <w:rPr>
          <w:rFonts w:ascii="Verdana" w:hAnsi="Verdana"/>
          <w:sz w:val="20"/>
          <w:szCs w:val="20"/>
          <w:lang w:val="es-CR"/>
        </w:rPr>
        <w:t xml:space="preserve">La Corte constata que la Sala </w:t>
      </w:r>
      <w:r w:rsidR="00DA30C0" w:rsidRPr="00972D9D">
        <w:rPr>
          <w:rFonts w:ascii="Verdana" w:hAnsi="Verdana"/>
          <w:sz w:val="20"/>
          <w:szCs w:val="20"/>
          <w:lang w:val="es-CR"/>
        </w:rPr>
        <w:t xml:space="preserve">III </w:t>
      </w:r>
      <w:r w:rsidRPr="00972D9D">
        <w:rPr>
          <w:rFonts w:ascii="Verdana" w:hAnsi="Verdana"/>
          <w:sz w:val="20"/>
          <w:szCs w:val="20"/>
          <w:lang w:val="es-CR"/>
        </w:rPr>
        <w:t xml:space="preserve">dio respuesta a los argumentos planteados por el recurrente </w:t>
      </w:r>
      <w:r w:rsidR="00DA30C0" w:rsidRPr="00972D9D">
        <w:rPr>
          <w:rFonts w:ascii="Verdana" w:hAnsi="Verdana"/>
          <w:sz w:val="20"/>
          <w:szCs w:val="20"/>
          <w:lang w:val="es-CR"/>
        </w:rPr>
        <w:t>pues por un lado expuso cual era la regla general que</w:t>
      </w:r>
      <w:r w:rsidR="00972D9D">
        <w:rPr>
          <w:rFonts w:ascii="Verdana" w:hAnsi="Verdana"/>
          <w:sz w:val="20"/>
          <w:szCs w:val="20"/>
          <w:lang w:val="es-CR"/>
        </w:rPr>
        <w:t xml:space="preserve"> gobernaba el </w:t>
      </w:r>
      <w:r w:rsidR="00EC2A4F">
        <w:rPr>
          <w:rFonts w:ascii="Verdana" w:hAnsi="Verdana"/>
          <w:sz w:val="20"/>
          <w:szCs w:val="20"/>
          <w:lang w:val="es-CR"/>
        </w:rPr>
        <w:t xml:space="preserve">objeto del litigio </w:t>
      </w:r>
      <w:r w:rsidR="00972D9D">
        <w:rPr>
          <w:rFonts w:ascii="Verdana" w:hAnsi="Verdana"/>
          <w:sz w:val="20"/>
          <w:szCs w:val="20"/>
          <w:lang w:val="es-CR"/>
        </w:rPr>
        <w:t>(salvo norma</w:t>
      </w:r>
      <w:r w:rsidR="00DA30C0" w:rsidRPr="00972D9D">
        <w:rPr>
          <w:rFonts w:ascii="Verdana" w:hAnsi="Verdana"/>
          <w:sz w:val="20"/>
          <w:szCs w:val="20"/>
          <w:lang w:val="es-CR"/>
        </w:rPr>
        <w:t xml:space="preserve"> expresa y específica para el caso no procede el pago por servicios no prestados) y luego determinó que no eran aplicables las excepciones previstas en el régimen de licencias, justificaciones y franquicias alegadas por el recurrente por tratarse de un supuesto distinto a lo ocurrido al señor Preckel. Como tampoco era aplicable la otra excepción alegada contemplada en el artículo 37 del Reglamento de Investigaciones Administrativas</w:t>
      </w:r>
      <w:r w:rsidR="00640DB4" w:rsidRPr="00972D9D">
        <w:rPr>
          <w:rFonts w:ascii="Verdana" w:hAnsi="Verdana"/>
          <w:sz w:val="20"/>
          <w:szCs w:val="20"/>
          <w:lang w:val="es-CR"/>
        </w:rPr>
        <w:t>, pues no</w:t>
      </w:r>
      <w:r w:rsidR="00DA30C0" w:rsidRPr="00972D9D">
        <w:rPr>
          <w:rFonts w:ascii="Verdana" w:hAnsi="Verdana"/>
          <w:sz w:val="20"/>
          <w:szCs w:val="20"/>
          <w:lang w:val="es-CR"/>
        </w:rPr>
        <w:t xml:space="preserve"> correspondía a los hechos invocados por el recurrente. </w:t>
      </w:r>
    </w:p>
    <w:p w14:paraId="15225424" w14:textId="364C132C" w:rsidR="00074E21" w:rsidRPr="00972D9D" w:rsidRDefault="00D525A9"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sidRPr="00972D9D">
        <w:rPr>
          <w:rFonts w:ascii="Verdana" w:hAnsi="Verdana"/>
          <w:sz w:val="20"/>
          <w:szCs w:val="20"/>
          <w:lang w:val="es-CR"/>
        </w:rPr>
        <w:t>Contra esta decisión el señor Preckel presentó recursos posteriores, los cuales fue</w:t>
      </w:r>
      <w:r w:rsidR="001B5AFB">
        <w:rPr>
          <w:rFonts w:ascii="Verdana" w:hAnsi="Verdana"/>
          <w:sz w:val="20"/>
          <w:szCs w:val="20"/>
          <w:lang w:val="es-CR"/>
        </w:rPr>
        <w:t>r</w:t>
      </w:r>
      <w:r w:rsidRPr="00972D9D">
        <w:rPr>
          <w:rFonts w:ascii="Verdana" w:hAnsi="Verdana"/>
          <w:sz w:val="20"/>
          <w:szCs w:val="20"/>
          <w:lang w:val="es-CR"/>
        </w:rPr>
        <w:t xml:space="preserve">on desestimados. </w:t>
      </w:r>
      <w:r w:rsidR="00074E21" w:rsidRPr="00972D9D">
        <w:rPr>
          <w:rFonts w:ascii="Verdana" w:hAnsi="Verdana"/>
          <w:sz w:val="20"/>
          <w:szCs w:val="20"/>
        </w:rPr>
        <w:t xml:space="preserve">En efecto, el 4 de marzo de 1993 la Sala Contencioso Administrativo declaró sin lugar el recurso extraordinario de </w:t>
      </w:r>
      <w:r w:rsidR="002F43C1" w:rsidRPr="00972D9D">
        <w:rPr>
          <w:rFonts w:ascii="Verdana" w:hAnsi="Verdana"/>
          <w:sz w:val="20"/>
          <w:szCs w:val="20"/>
        </w:rPr>
        <w:t xml:space="preserve">apelación </w:t>
      </w:r>
      <w:r w:rsidR="00074E21" w:rsidRPr="00972D9D">
        <w:rPr>
          <w:rFonts w:ascii="Verdana" w:hAnsi="Verdana"/>
          <w:sz w:val="20"/>
          <w:szCs w:val="20"/>
        </w:rPr>
        <w:t>con el argumento de que el reclamante se limitó “a discrepar con la valoración de la decisión recurrida, sin que se advierta que ésta resulte prima facie suficiente para descalificar el fallo recurrido como acto jurisdiccional por la gravedad de los desaciertos que se le imputan”</w:t>
      </w:r>
      <w:r w:rsidR="00074E21" w:rsidRPr="00972D9D">
        <w:rPr>
          <w:rStyle w:val="Refdenotaalpie"/>
          <w:rFonts w:ascii="Verdana" w:hAnsi="Verdana"/>
          <w:sz w:val="20"/>
          <w:szCs w:val="20"/>
        </w:rPr>
        <w:footnoteReference w:id="119"/>
      </w:r>
      <w:r w:rsidR="00074E21" w:rsidRPr="00972D9D">
        <w:rPr>
          <w:rFonts w:ascii="Verdana" w:hAnsi="Verdana"/>
          <w:sz w:val="20"/>
          <w:szCs w:val="20"/>
        </w:rPr>
        <w:t xml:space="preserve">. </w:t>
      </w:r>
      <w:r w:rsidR="002F43C1" w:rsidRPr="00972D9D">
        <w:rPr>
          <w:rFonts w:ascii="Verdana" w:hAnsi="Verdana"/>
          <w:sz w:val="20"/>
          <w:szCs w:val="20"/>
        </w:rPr>
        <w:t xml:space="preserve">Mientras que la Corte Suprema de Justicia rechazó por mayoría el recurso de queja por inadmisible </w:t>
      </w:r>
      <w:r w:rsidR="00074E21" w:rsidRPr="00972D9D">
        <w:rPr>
          <w:rFonts w:ascii="Verdana" w:hAnsi="Verdana"/>
          <w:sz w:val="20"/>
          <w:szCs w:val="20"/>
        </w:rPr>
        <w:t>invocando el artículo 280</w:t>
      </w:r>
      <w:r w:rsidR="00074E21" w:rsidRPr="00972D9D">
        <w:rPr>
          <w:rFonts w:ascii="Verdana" w:hAnsi="Verdana"/>
          <w:sz w:val="20"/>
          <w:szCs w:val="20"/>
          <w:vertAlign w:val="superscript"/>
        </w:rPr>
        <w:footnoteReference w:id="120"/>
      </w:r>
      <w:r w:rsidR="00074E21" w:rsidRPr="00972D9D">
        <w:rPr>
          <w:rFonts w:ascii="Verdana" w:hAnsi="Verdana"/>
          <w:sz w:val="20"/>
          <w:szCs w:val="20"/>
        </w:rPr>
        <w:t xml:space="preserve"> del Código Civil y Comercial de la Nación (CCCN)</w:t>
      </w:r>
      <w:r w:rsidR="00074E21" w:rsidRPr="00972D9D">
        <w:rPr>
          <w:rStyle w:val="Refdenotaalpie"/>
          <w:rFonts w:ascii="Verdana" w:hAnsi="Verdana"/>
          <w:sz w:val="20"/>
          <w:szCs w:val="20"/>
        </w:rPr>
        <w:footnoteReference w:id="121"/>
      </w:r>
      <w:r w:rsidR="00074E21" w:rsidRPr="00972D9D">
        <w:rPr>
          <w:rFonts w:ascii="Verdana" w:hAnsi="Verdana"/>
          <w:sz w:val="20"/>
          <w:szCs w:val="20"/>
        </w:rPr>
        <w:t xml:space="preserve">. </w:t>
      </w:r>
    </w:p>
    <w:p w14:paraId="0A54F772" w14:textId="1D325197" w:rsidR="00E02C48" w:rsidRPr="00972D9D" w:rsidRDefault="00E02C48"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lang w:val="es-CR"/>
        </w:rPr>
      </w:pPr>
      <w:r w:rsidRPr="00972D9D">
        <w:rPr>
          <w:rFonts w:ascii="Verdana" w:hAnsi="Verdana"/>
          <w:sz w:val="20"/>
          <w:szCs w:val="20"/>
          <w:lang w:val="es-CR"/>
        </w:rPr>
        <w:t xml:space="preserve">En el caso de la señora Perrone durante los procesos administrativos conocieron de su caso tres autoridades: a) la DATJ de la DGI que emitió tres resoluciones, dos reconociendo la procedencia del pago de haberes salariales y una en la que se rechazó la solicitud; b) la Dirección </w:t>
      </w:r>
      <w:r w:rsidRPr="00972D9D">
        <w:rPr>
          <w:rFonts w:ascii="Verdana" w:hAnsi="Verdana"/>
          <w:sz w:val="20"/>
          <w:szCs w:val="20"/>
          <w:lang w:val="es-CR"/>
        </w:rPr>
        <w:lastRenderedPageBreak/>
        <w:t>General de Asuntos Jurídicos del Ministerio de Economía que dictaminó en una ocasión considerando viable el reclamo, y c) la PTN, que en la opinión que emitió rechazó la viabilidad de la petición administrativa de la presunta víctima. En los procedimientos judiciales, resolvieron tres autoridades: a) el Juez Federal del Poder Judicial de la Nación, quien rechazó el reclamo; b) la Sala IV de la Cámara de Apelaciones, la cual consideró viable la procedencia del reclamo, y c) la Corte Suprema, la cual revocó la decisión anterior y rechazó su solicitud</w:t>
      </w:r>
      <w:r w:rsidR="00543E5A">
        <w:rPr>
          <w:rFonts w:ascii="Verdana" w:hAnsi="Verdana"/>
          <w:sz w:val="20"/>
          <w:szCs w:val="20"/>
          <w:lang w:val="es-CR"/>
        </w:rPr>
        <w:t>.</w:t>
      </w:r>
      <w:r w:rsidRPr="00972D9D">
        <w:rPr>
          <w:rFonts w:ascii="Verdana" w:hAnsi="Verdana"/>
          <w:sz w:val="20"/>
          <w:szCs w:val="20"/>
          <w:lang w:val="es-CR"/>
        </w:rPr>
        <w:t xml:space="preserve"> </w:t>
      </w:r>
    </w:p>
    <w:p w14:paraId="2042D44F" w14:textId="6D882405" w:rsidR="00484863" w:rsidRPr="004D6659" w:rsidRDefault="007769CC"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lang w:val="es-CR"/>
        </w:rPr>
      </w:pPr>
      <w:r w:rsidRPr="004D6659">
        <w:rPr>
          <w:rFonts w:ascii="Verdana" w:hAnsi="Verdana"/>
          <w:sz w:val="20"/>
          <w:szCs w:val="20"/>
          <w:lang w:val="es-CR"/>
        </w:rPr>
        <w:t xml:space="preserve">La Corte constata que </w:t>
      </w:r>
      <w:r w:rsidR="000B214B" w:rsidRPr="004D6659">
        <w:rPr>
          <w:rFonts w:ascii="Verdana" w:hAnsi="Verdana"/>
          <w:sz w:val="20"/>
          <w:szCs w:val="20"/>
          <w:lang w:val="es-CR"/>
        </w:rPr>
        <w:t xml:space="preserve">en el marco del procedimiento administrativo la señora Perrone contó con dos decisiones favorables a su reclamo, </w:t>
      </w:r>
      <w:r w:rsidR="00C646A7" w:rsidRPr="004D6659">
        <w:rPr>
          <w:rFonts w:ascii="Verdana" w:hAnsi="Verdana"/>
          <w:sz w:val="20"/>
          <w:szCs w:val="20"/>
          <w:lang w:val="es-CR"/>
        </w:rPr>
        <w:t xml:space="preserve">la última de ellas </w:t>
      </w:r>
      <w:r w:rsidR="000B214B" w:rsidRPr="004D6659">
        <w:rPr>
          <w:rFonts w:ascii="Verdana" w:hAnsi="Verdana"/>
          <w:sz w:val="20"/>
          <w:szCs w:val="20"/>
        </w:rPr>
        <w:t xml:space="preserve">emitida por la </w:t>
      </w:r>
      <w:r w:rsidRPr="004D6659">
        <w:rPr>
          <w:rFonts w:ascii="Verdana" w:hAnsi="Verdana"/>
          <w:sz w:val="20"/>
          <w:szCs w:val="20"/>
        </w:rPr>
        <w:t>Dirección General de Asuntos Jurídicos del Ministerio de Economía, la cual manifestó que “[…] si bien la Circular N°5/77 de la Secretaría General de la Presidencia de la Nación establec[ía] que no correspond[ía] el pago de salarios por servicios no prestados […] e[ra] evidente que en la especie la recurrente [había estado] imposibilitada [para] asistir a sus tareas en virtud de actos de autoridad”, y que tanto la doctrina como la jurisprudencia de los tribunales argentinos admitían en principio “</w:t>
      </w:r>
      <w:r w:rsidR="004D6659" w:rsidRPr="00F46AC0">
        <w:rPr>
          <w:rFonts w:ascii="Verdana" w:hAnsi="Verdana"/>
          <w:sz w:val="20"/>
          <w:szCs w:val="20"/>
        </w:rPr>
        <w:t xml:space="preserve">[…] </w:t>
      </w:r>
      <w:r w:rsidRPr="004D6659">
        <w:rPr>
          <w:rFonts w:ascii="Verdana" w:hAnsi="Verdana"/>
          <w:sz w:val="20"/>
          <w:szCs w:val="20"/>
        </w:rPr>
        <w:t>que los actos de la autoridad o del soberano […] constitu[ían] fuerza mayor cuando crea[ban] dificultades imposibles de vencer para el cumplimiento de las obligaciones”</w:t>
      </w:r>
      <w:r w:rsidR="004D6659" w:rsidRPr="00F46AC0">
        <w:rPr>
          <w:rStyle w:val="Refdenotaalpie"/>
          <w:rFonts w:ascii="Verdana" w:hAnsi="Verdana"/>
          <w:sz w:val="20"/>
          <w:szCs w:val="20"/>
        </w:rPr>
        <w:t xml:space="preserve"> </w:t>
      </w:r>
      <w:r w:rsidR="004D6659" w:rsidRPr="00F46AC0">
        <w:rPr>
          <w:rStyle w:val="Refdenotaalpie"/>
          <w:rFonts w:ascii="Verdana" w:hAnsi="Verdana"/>
          <w:sz w:val="20"/>
          <w:szCs w:val="20"/>
        </w:rPr>
        <w:footnoteReference w:id="122"/>
      </w:r>
      <w:r w:rsidRPr="004D6659">
        <w:rPr>
          <w:rFonts w:ascii="Verdana" w:hAnsi="Verdana"/>
          <w:sz w:val="20"/>
          <w:szCs w:val="20"/>
        </w:rPr>
        <w:t xml:space="preserve">. </w:t>
      </w:r>
    </w:p>
    <w:p w14:paraId="4BFE2957" w14:textId="3A1AB7D6" w:rsidR="007769CC" w:rsidRPr="00972D9D" w:rsidRDefault="00E4761C"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lang w:val="es-CR"/>
        </w:rPr>
      </w:pPr>
      <w:r w:rsidRPr="00972D9D">
        <w:rPr>
          <w:rFonts w:ascii="Verdana" w:hAnsi="Verdana"/>
          <w:sz w:val="20"/>
          <w:szCs w:val="20"/>
        </w:rPr>
        <w:t xml:space="preserve">Por su parte </w:t>
      </w:r>
      <w:r w:rsidR="00484863" w:rsidRPr="00972D9D">
        <w:rPr>
          <w:rFonts w:ascii="Verdana" w:hAnsi="Verdana"/>
          <w:sz w:val="20"/>
          <w:szCs w:val="20"/>
        </w:rPr>
        <w:t>la Sala IV de la Cámara de Apelaciones</w:t>
      </w:r>
      <w:r w:rsidRPr="00972D9D">
        <w:rPr>
          <w:rFonts w:ascii="Verdana" w:hAnsi="Verdana"/>
          <w:sz w:val="20"/>
          <w:szCs w:val="20"/>
        </w:rPr>
        <w:t xml:space="preserve">, también acogió esta interpretación al </w:t>
      </w:r>
      <w:r w:rsidR="00484863" w:rsidRPr="00972D9D">
        <w:rPr>
          <w:rFonts w:ascii="Verdana" w:hAnsi="Verdana"/>
          <w:sz w:val="20"/>
          <w:szCs w:val="20"/>
        </w:rPr>
        <w:t xml:space="preserve"> </w:t>
      </w:r>
      <w:r w:rsidRPr="00972D9D">
        <w:rPr>
          <w:rFonts w:ascii="Verdana" w:hAnsi="Verdana"/>
          <w:sz w:val="20"/>
          <w:szCs w:val="20"/>
        </w:rPr>
        <w:t>revocar</w:t>
      </w:r>
      <w:r w:rsidR="00484863" w:rsidRPr="00972D9D">
        <w:rPr>
          <w:rFonts w:ascii="Verdana" w:hAnsi="Verdana"/>
          <w:sz w:val="20"/>
          <w:szCs w:val="20"/>
        </w:rPr>
        <w:t xml:space="preserve"> el fallo de primera instancia contrario a la reclamación de la señora Perrone con el argumento de que “no parec[ía] irrazonable considerar que la referida detención de la actora, y su ilegítima prolongación […] sin ser sometida a juicio, y sin probársele responsabilidad disciplinaria alguna, constitu[ían] un caso de fuerza mayor que jusfica[ba] su falta de prestación de servicios y el pago de los haberes no percibidos; […] y aquellas circunstancias […] lleva[rían] a tener por configurada […] la situación de excepción contemplada en la resolución 5/77 y en la doctrina de la Corte Suprema de Justicia invocadas en la sentencia apelada. […] La solución propuesta es congruente con los principios y garantías constitucionales […] teniendo en cuenta que una estricta y objetiva aplicación de las normas conduciría a resultados inequitativos”.</w:t>
      </w:r>
      <w:r w:rsidR="00484863" w:rsidRPr="00972D9D">
        <w:rPr>
          <w:rStyle w:val="Refdenotaalpie"/>
          <w:rFonts w:ascii="Verdana" w:hAnsi="Verdana"/>
          <w:sz w:val="20"/>
          <w:szCs w:val="20"/>
        </w:rPr>
        <w:t xml:space="preserve"> </w:t>
      </w:r>
      <w:r w:rsidR="00484863" w:rsidRPr="00972D9D">
        <w:rPr>
          <w:rStyle w:val="Refdenotaalpie"/>
          <w:rFonts w:ascii="Verdana" w:hAnsi="Verdana"/>
          <w:sz w:val="20"/>
          <w:szCs w:val="20"/>
        </w:rPr>
        <w:footnoteReference w:id="123"/>
      </w:r>
    </w:p>
    <w:p w14:paraId="4A9A74C0" w14:textId="51A1E455" w:rsidR="007769CC" w:rsidRPr="00972D9D" w:rsidRDefault="000B214B"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lang w:val="es-CR"/>
        </w:rPr>
      </w:pPr>
      <w:r w:rsidRPr="00972D9D">
        <w:rPr>
          <w:rFonts w:ascii="Verdana" w:hAnsi="Verdana"/>
          <w:sz w:val="20"/>
          <w:szCs w:val="20"/>
          <w:lang w:val="es-CR"/>
        </w:rPr>
        <w:t xml:space="preserve">No obstante, la sentencia de segunda instancia fue revocada por la </w:t>
      </w:r>
      <w:r w:rsidR="007769CC" w:rsidRPr="00972D9D">
        <w:rPr>
          <w:rFonts w:ascii="Verdana" w:hAnsi="Verdana"/>
          <w:sz w:val="20"/>
          <w:szCs w:val="20"/>
          <w:lang w:val="es-CR"/>
        </w:rPr>
        <w:t xml:space="preserve">Corte Suprema de Justicia </w:t>
      </w:r>
      <w:r w:rsidRPr="00972D9D">
        <w:rPr>
          <w:rFonts w:ascii="Verdana" w:hAnsi="Verdana"/>
          <w:sz w:val="20"/>
          <w:szCs w:val="20"/>
          <w:lang w:val="es-CR"/>
        </w:rPr>
        <w:t xml:space="preserve">mediante sentencia </w:t>
      </w:r>
      <w:r w:rsidR="007769CC" w:rsidRPr="00972D9D">
        <w:rPr>
          <w:rFonts w:ascii="Verdana" w:hAnsi="Verdana"/>
          <w:sz w:val="20"/>
          <w:szCs w:val="20"/>
          <w:lang w:val="es-CR"/>
        </w:rPr>
        <w:t>de mayo de 1996</w:t>
      </w:r>
      <w:r w:rsidRPr="00972D9D">
        <w:rPr>
          <w:rFonts w:ascii="Verdana" w:hAnsi="Verdana"/>
          <w:sz w:val="20"/>
          <w:szCs w:val="20"/>
          <w:lang w:val="es-CR"/>
        </w:rPr>
        <w:t>, con los siguientes argumentos</w:t>
      </w:r>
      <w:r w:rsidR="007769CC" w:rsidRPr="00972D9D">
        <w:rPr>
          <w:rFonts w:ascii="Verdana" w:hAnsi="Verdana"/>
          <w:sz w:val="20"/>
          <w:szCs w:val="20"/>
          <w:lang w:val="es-CR"/>
        </w:rPr>
        <w:t>:</w:t>
      </w:r>
    </w:p>
    <w:p w14:paraId="6C3D5376" w14:textId="77530D7F" w:rsidR="00015629" w:rsidRPr="00972D9D" w:rsidRDefault="007769CC" w:rsidP="00972D9D">
      <w:pPr>
        <w:widowControl w:val="0"/>
        <w:tabs>
          <w:tab w:val="left" w:pos="567"/>
        </w:tabs>
        <w:autoSpaceDE w:val="0"/>
        <w:autoSpaceDN w:val="0"/>
        <w:adjustRightInd w:val="0"/>
        <w:spacing w:before="120" w:after="120" w:line="240" w:lineRule="auto"/>
        <w:ind w:left="720"/>
        <w:jc w:val="both"/>
        <w:textAlignment w:val="baseline"/>
        <w:rPr>
          <w:rFonts w:ascii="Verdana" w:hAnsi="Verdana"/>
          <w:sz w:val="18"/>
          <w:szCs w:val="20"/>
          <w:lang w:val="es-CR"/>
        </w:rPr>
      </w:pPr>
      <w:r w:rsidRPr="00972D9D">
        <w:rPr>
          <w:rFonts w:ascii="Verdana" w:hAnsi="Verdana"/>
          <w:sz w:val="18"/>
          <w:szCs w:val="20"/>
          <w:lang w:val="es-CR"/>
        </w:rPr>
        <w:t xml:space="preserve">[…] </w:t>
      </w:r>
      <w:r w:rsidR="00BE6865" w:rsidRPr="00972D9D">
        <w:rPr>
          <w:rFonts w:ascii="Verdana" w:hAnsi="Verdana"/>
          <w:sz w:val="18"/>
          <w:szCs w:val="20"/>
          <w:lang w:val="es-CR"/>
        </w:rPr>
        <w:t>Que las particularidades del caso no permiten asimilar la situación de suspensión del agente sin percepción de haberes con motivo de</w:t>
      </w:r>
      <w:r w:rsidR="00E64ECE" w:rsidRPr="00972D9D">
        <w:rPr>
          <w:rFonts w:ascii="Verdana" w:hAnsi="Verdana"/>
          <w:sz w:val="18"/>
          <w:szCs w:val="20"/>
          <w:lang w:val="es-CR"/>
        </w:rPr>
        <w:t xml:space="preserve"> </w:t>
      </w:r>
      <w:r w:rsidR="00BE6865" w:rsidRPr="00972D9D">
        <w:rPr>
          <w:rFonts w:ascii="Verdana" w:hAnsi="Verdana"/>
          <w:sz w:val="18"/>
          <w:szCs w:val="20"/>
          <w:lang w:val="es-CR"/>
        </w:rPr>
        <w:t>privación d</w:t>
      </w:r>
      <w:r w:rsidR="00E64ECE" w:rsidRPr="00972D9D">
        <w:rPr>
          <w:rFonts w:ascii="Verdana" w:hAnsi="Verdana"/>
          <w:sz w:val="18"/>
          <w:szCs w:val="20"/>
          <w:lang w:val="es-CR"/>
        </w:rPr>
        <w:t>e</w:t>
      </w:r>
      <w:r w:rsidR="00BE6865" w:rsidRPr="00972D9D">
        <w:rPr>
          <w:rFonts w:ascii="Verdana" w:hAnsi="Verdana"/>
          <w:sz w:val="18"/>
          <w:szCs w:val="20"/>
          <w:lang w:val="es-CR"/>
        </w:rPr>
        <w:t xml:space="preserve"> libertad dispuesta por hechos ajenos a</w:t>
      </w:r>
      <w:r w:rsidR="00E64ECE" w:rsidRPr="00972D9D">
        <w:rPr>
          <w:rFonts w:ascii="Verdana" w:hAnsi="Verdana"/>
          <w:sz w:val="18"/>
          <w:szCs w:val="20"/>
          <w:lang w:val="es-CR"/>
        </w:rPr>
        <w:t xml:space="preserve"> </w:t>
      </w:r>
      <w:r w:rsidR="00BE6865" w:rsidRPr="00972D9D">
        <w:rPr>
          <w:rFonts w:ascii="Verdana" w:hAnsi="Verdana"/>
          <w:sz w:val="18"/>
          <w:szCs w:val="20"/>
          <w:lang w:val="es-CR"/>
        </w:rPr>
        <w:t>la función pública con el régimen de incumplimiento de la relación de empleo público por inasistencias justificables. Tanto el marco jurídico dado por la convención colectiva de</w:t>
      </w:r>
      <w:r w:rsidR="00E64ECE" w:rsidRPr="00972D9D">
        <w:rPr>
          <w:rFonts w:ascii="Verdana" w:hAnsi="Verdana"/>
          <w:sz w:val="18"/>
          <w:szCs w:val="20"/>
          <w:lang w:val="es-CR"/>
        </w:rPr>
        <w:t xml:space="preserve"> </w:t>
      </w:r>
      <w:r w:rsidR="00BE6865" w:rsidRPr="00972D9D">
        <w:rPr>
          <w:rFonts w:ascii="Verdana" w:hAnsi="Verdana"/>
          <w:sz w:val="18"/>
          <w:szCs w:val="20"/>
          <w:lang w:val="es-CR"/>
        </w:rPr>
        <w:t>trabajo 46/75 E, como el que lo reemplazo –decreto ley 6666/57 y ley 22.140- distinguen claramente el procedimiento de investigación para determinar la responsabilidad disciplinaria, del régimen de</w:t>
      </w:r>
      <w:r w:rsidR="00E64ECE" w:rsidRPr="00972D9D">
        <w:rPr>
          <w:rFonts w:ascii="Verdana" w:hAnsi="Verdana"/>
          <w:sz w:val="18"/>
          <w:szCs w:val="20"/>
          <w:lang w:val="es-CR"/>
        </w:rPr>
        <w:t xml:space="preserve"> </w:t>
      </w:r>
      <w:r w:rsidR="00BE6865" w:rsidRPr="00972D9D">
        <w:rPr>
          <w:rFonts w:ascii="Verdana" w:hAnsi="Verdana"/>
          <w:sz w:val="18"/>
          <w:szCs w:val="20"/>
          <w:lang w:val="es-CR"/>
        </w:rPr>
        <w:t>lice</w:t>
      </w:r>
      <w:r w:rsidR="00E64ECE" w:rsidRPr="00972D9D">
        <w:rPr>
          <w:rFonts w:ascii="Verdana" w:hAnsi="Verdana"/>
          <w:sz w:val="18"/>
          <w:szCs w:val="20"/>
          <w:lang w:val="es-CR"/>
        </w:rPr>
        <w:t>n</w:t>
      </w:r>
      <w:r w:rsidR="00BE6865" w:rsidRPr="00972D9D">
        <w:rPr>
          <w:rFonts w:ascii="Verdana" w:hAnsi="Verdana"/>
          <w:sz w:val="18"/>
          <w:szCs w:val="20"/>
          <w:lang w:val="es-CR"/>
        </w:rPr>
        <w:t xml:space="preserve">cias y del propio de las inasistencias, sin perjuicio de que la transgresión de los dos últimos de lugar al funcionamiento del primero. Lo característico del </w:t>
      </w:r>
      <w:r w:rsidR="00BE6865" w:rsidRPr="00972D9D">
        <w:rPr>
          <w:rFonts w:ascii="Verdana" w:hAnsi="Verdana"/>
          <w:sz w:val="18"/>
          <w:szCs w:val="20"/>
          <w:u w:val="single"/>
          <w:lang w:val="es-CR"/>
        </w:rPr>
        <w:t>sub lite</w:t>
      </w:r>
      <w:r w:rsidR="00BE6865" w:rsidRPr="00972D9D">
        <w:rPr>
          <w:rFonts w:ascii="Verdana" w:hAnsi="Verdana"/>
          <w:sz w:val="18"/>
          <w:szCs w:val="20"/>
          <w:lang w:val="es-CR"/>
        </w:rPr>
        <w:t xml:space="preserve"> no son las inasistencias que </w:t>
      </w:r>
      <w:r w:rsidR="00E64ECE" w:rsidRPr="00972D9D">
        <w:rPr>
          <w:rFonts w:ascii="Verdana" w:hAnsi="Verdana"/>
          <w:sz w:val="18"/>
          <w:szCs w:val="20"/>
          <w:lang w:val="es-CR"/>
        </w:rPr>
        <w:t>provocaron</w:t>
      </w:r>
      <w:r w:rsidR="00BE6865" w:rsidRPr="00972D9D">
        <w:rPr>
          <w:rFonts w:ascii="Verdana" w:hAnsi="Verdana"/>
          <w:sz w:val="18"/>
          <w:szCs w:val="20"/>
          <w:lang w:val="es-CR"/>
        </w:rPr>
        <w:t xml:space="preserve"> la </w:t>
      </w:r>
      <w:r w:rsidR="00E64ECE" w:rsidRPr="00972D9D">
        <w:rPr>
          <w:rFonts w:ascii="Verdana" w:hAnsi="Verdana"/>
          <w:sz w:val="18"/>
          <w:szCs w:val="20"/>
          <w:lang w:val="es-CR"/>
        </w:rPr>
        <w:t>apertura</w:t>
      </w:r>
      <w:r w:rsidR="00BE6865" w:rsidRPr="00972D9D">
        <w:rPr>
          <w:rFonts w:ascii="Verdana" w:hAnsi="Verdana"/>
          <w:sz w:val="18"/>
          <w:szCs w:val="20"/>
          <w:lang w:val="es-CR"/>
        </w:rPr>
        <w:t xml:space="preserve"> del sumario </w:t>
      </w:r>
      <w:r w:rsidR="00015629" w:rsidRPr="00972D9D">
        <w:rPr>
          <w:rFonts w:ascii="Verdana" w:hAnsi="Verdana"/>
          <w:sz w:val="18"/>
          <w:szCs w:val="20"/>
          <w:lang w:val="es-CR"/>
        </w:rPr>
        <w:t xml:space="preserve">–situación que obtuvo en sede administrativa, en donde la investigación rechazó toda responsabilidad disciplinaria de Perrone derivada de sus </w:t>
      </w:r>
      <w:r w:rsidR="00E64ECE" w:rsidRPr="00972D9D">
        <w:rPr>
          <w:rFonts w:ascii="Verdana" w:hAnsi="Verdana"/>
          <w:sz w:val="18"/>
          <w:szCs w:val="20"/>
          <w:lang w:val="es-CR"/>
        </w:rPr>
        <w:t>ausencias</w:t>
      </w:r>
      <w:r w:rsidR="00015629" w:rsidRPr="00972D9D">
        <w:rPr>
          <w:rFonts w:ascii="Verdana" w:hAnsi="Verdana"/>
          <w:sz w:val="18"/>
          <w:szCs w:val="20"/>
          <w:lang w:val="es-CR"/>
        </w:rPr>
        <w:t>- sino la suspensión si derecho a</w:t>
      </w:r>
      <w:r w:rsidR="00E64ECE" w:rsidRPr="00972D9D">
        <w:rPr>
          <w:rFonts w:ascii="Verdana" w:hAnsi="Verdana"/>
          <w:sz w:val="18"/>
          <w:szCs w:val="20"/>
          <w:lang w:val="es-CR"/>
        </w:rPr>
        <w:t xml:space="preserve"> </w:t>
      </w:r>
      <w:r w:rsidR="00015629" w:rsidRPr="00972D9D">
        <w:rPr>
          <w:rFonts w:ascii="Verdana" w:hAnsi="Verdana"/>
          <w:sz w:val="18"/>
          <w:szCs w:val="20"/>
          <w:lang w:val="es-CR"/>
        </w:rPr>
        <w:t>percibir haberes que se prolon</w:t>
      </w:r>
      <w:r w:rsidR="00E64ECE" w:rsidRPr="00972D9D">
        <w:rPr>
          <w:rFonts w:ascii="Verdana" w:hAnsi="Verdana"/>
          <w:sz w:val="18"/>
          <w:szCs w:val="20"/>
          <w:lang w:val="es-CR"/>
        </w:rPr>
        <w:t>g</w:t>
      </w:r>
      <w:r w:rsidR="00015629" w:rsidRPr="00972D9D">
        <w:rPr>
          <w:rFonts w:ascii="Verdana" w:hAnsi="Verdana"/>
          <w:sz w:val="18"/>
          <w:szCs w:val="20"/>
          <w:lang w:val="es-CR"/>
        </w:rPr>
        <w:t>ó durante el extenso lapso en que la autora estuvo privada de su libertad.</w:t>
      </w:r>
    </w:p>
    <w:p w14:paraId="4CF372F8" w14:textId="0F4875D3" w:rsidR="007769CC" w:rsidRPr="00972D9D" w:rsidRDefault="00E64ECE" w:rsidP="00972D9D">
      <w:pPr>
        <w:widowControl w:val="0"/>
        <w:tabs>
          <w:tab w:val="left" w:pos="567"/>
        </w:tabs>
        <w:autoSpaceDE w:val="0"/>
        <w:autoSpaceDN w:val="0"/>
        <w:adjustRightInd w:val="0"/>
        <w:spacing w:before="120" w:after="120" w:line="240" w:lineRule="auto"/>
        <w:ind w:left="720"/>
        <w:jc w:val="both"/>
        <w:textAlignment w:val="baseline"/>
        <w:rPr>
          <w:rFonts w:ascii="Verdana" w:hAnsi="Verdana"/>
          <w:sz w:val="18"/>
          <w:szCs w:val="20"/>
          <w:lang w:val="es-CR"/>
        </w:rPr>
      </w:pPr>
      <w:r w:rsidRPr="00972D9D">
        <w:rPr>
          <w:rFonts w:ascii="Verdana" w:hAnsi="Verdana"/>
          <w:sz w:val="18"/>
          <w:szCs w:val="20"/>
          <w:lang w:val="es-CR"/>
        </w:rPr>
        <w:t xml:space="preserve">[…] </w:t>
      </w:r>
      <w:r w:rsidR="00015629" w:rsidRPr="00972D9D">
        <w:rPr>
          <w:rFonts w:ascii="Verdana" w:hAnsi="Verdana"/>
          <w:sz w:val="18"/>
          <w:szCs w:val="20"/>
          <w:lang w:val="es-CR"/>
        </w:rPr>
        <w:t xml:space="preserve">Que no cabe pues formular </w:t>
      </w:r>
      <w:r w:rsidR="007769CC" w:rsidRPr="00972D9D">
        <w:rPr>
          <w:rFonts w:ascii="Verdana" w:hAnsi="Verdana"/>
          <w:sz w:val="18"/>
          <w:szCs w:val="20"/>
          <w:lang w:val="es-CR"/>
        </w:rPr>
        <w:t>analogías a partir del régimen de franquicias y licencias, sino aplicar las normas atinentes al procedimiento disciplinario o, en su caso, integrar las lagunas con sus principios.</w:t>
      </w:r>
      <w:r w:rsidR="00015629" w:rsidRPr="00972D9D">
        <w:rPr>
          <w:rFonts w:ascii="Verdana" w:hAnsi="Verdana"/>
          <w:sz w:val="18"/>
          <w:szCs w:val="20"/>
          <w:lang w:val="es-CR"/>
        </w:rPr>
        <w:t xml:space="preserve"> Al respecto, la instrucción del sumario y la medida de suspensión se dispusieron bajo el régimen</w:t>
      </w:r>
      <w:r w:rsidRPr="00972D9D">
        <w:rPr>
          <w:rFonts w:ascii="Verdana" w:hAnsi="Verdana"/>
          <w:sz w:val="18"/>
          <w:szCs w:val="20"/>
          <w:lang w:val="es-CR"/>
        </w:rPr>
        <w:t xml:space="preserve"> </w:t>
      </w:r>
      <w:r w:rsidR="00015629" w:rsidRPr="00972D9D">
        <w:rPr>
          <w:rFonts w:ascii="Verdana" w:hAnsi="Verdana"/>
          <w:sz w:val="18"/>
          <w:szCs w:val="20"/>
          <w:lang w:val="es-CR"/>
        </w:rPr>
        <w:t>de</w:t>
      </w:r>
      <w:r w:rsidRPr="00972D9D">
        <w:rPr>
          <w:rFonts w:ascii="Verdana" w:hAnsi="Verdana"/>
          <w:sz w:val="18"/>
          <w:szCs w:val="20"/>
          <w:lang w:val="es-CR"/>
        </w:rPr>
        <w:t xml:space="preserve"> </w:t>
      </w:r>
      <w:r w:rsidR="00015629" w:rsidRPr="00972D9D">
        <w:rPr>
          <w:rFonts w:ascii="Verdana" w:hAnsi="Verdana"/>
          <w:sz w:val="18"/>
          <w:szCs w:val="20"/>
          <w:lang w:val="es-CR"/>
        </w:rPr>
        <w:t xml:space="preserve">la convención colectiva 46/75 E cuyo artículo 48, inciso d, párrafo a, no admitía la conservación del derecho a la percepción </w:t>
      </w:r>
      <w:r w:rsidRPr="00972D9D">
        <w:rPr>
          <w:rFonts w:ascii="Verdana" w:hAnsi="Verdana"/>
          <w:sz w:val="18"/>
          <w:szCs w:val="20"/>
          <w:lang w:val="es-CR"/>
        </w:rPr>
        <w:t>d</w:t>
      </w:r>
      <w:r w:rsidR="00015629" w:rsidRPr="00972D9D">
        <w:rPr>
          <w:rFonts w:ascii="Verdana" w:hAnsi="Verdana"/>
          <w:sz w:val="18"/>
          <w:szCs w:val="20"/>
          <w:lang w:val="es-CR"/>
        </w:rPr>
        <w:t>e</w:t>
      </w:r>
      <w:r w:rsidRPr="00972D9D">
        <w:rPr>
          <w:rFonts w:ascii="Verdana" w:hAnsi="Verdana"/>
          <w:sz w:val="18"/>
          <w:szCs w:val="20"/>
          <w:lang w:val="es-CR"/>
        </w:rPr>
        <w:t xml:space="preserve"> l</w:t>
      </w:r>
      <w:r w:rsidR="00015629" w:rsidRPr="00972D9D">
        <w:rPr>
          <w:rFonts w:ascii="Verdana" w:hAnsi="Verdana"/>
          <w:sz w:val="18"/>
          <w:szCs w:val="20"/>
          <w:lang w:val="es-CR"/>
        </w:rPr>
        <w:t>os haberes. Por su parte, el artículo 39 del decreto 6666/57 –en su redacción dada por el decreto 3583/63- que rigió hasta la aprobación de</w:t>
      </w:r>
      <w:r w:rsidRPr="00972D9D">
        <w:rPr>
          <w:rFonts w:ascii="Verdana" w:hAnsi="Verdana"/>
          <w:sz w:val="18"/>
          <w:szCs w:val="20"/>
          <w:lang w:val="es-CR"/>
        </w:rPr>
        <w:t xml:space="preserve"> </w:t>
      </w:r>
      <w:r w:rsidR="00015629" w:rsidRPr="00972D9D">
        <w:rPr>
          <w:rFonts w:ascii="Verdana" w:hAnsi="Verdana"/>
          <w:sz w:val="18"/>
          <w:szCs w:val="20"/>
          <w:lang w:val="es-CR"/>
        </w:rPr>
        <w:t>la</w:t>
      </w:r>
      <w:r w:rsidRPr="00972D9D">
        <w:rPr>
          <w:rFonts w:ascii="Verdana" w:hAnsi="Verdana"/>
          <w:sz w:val="18"/>
          <w:szCs w:val="20"/>
          <w:lang w:val="es-CR"/>
        </w:rPr>
        <w:t xml:space="preserve"> </w:t>
      </w:r>
      <w:r w:rsidR="00015629" w:rsidRPr="00972D9D">
        <w:rPr>
          <w:rFonts w:ascii="Verdana" w:hAnsi="Verdana"/>
          <w:sz w:val="18"/>
          <w:szCs w:val="20"/>
          <w:lang w:val="es-CR"/>
        </w:rPr>
        <w:t>ley 22.140, contemplaba el caso de suspensión preventiva por privación de</w:t>
      </w:r>
      <w:r w:rsidRPr="00972D9D">
        <w:rPr>
          <w:rFonts w:ascii="Verdana" w:hAnsi="Verdana"/>
          <w:sz w:val="18"/>
          <w:szCs w:val="20"/>
          <w:lang w:val="es-CR"/>
        </w:rPr>
        <w:t xml:space="preserve"> </w:t>
      </w:r>
      <w:r w:rsidR="00015629" w:rsidRPr="00972D9D">
        <w:rPr>
          <w:rFonts w:ascii="Verdana" w:hAnsi="Verdana"/>
          <w:sz w:val="18"/>
          <w:szCs w:val="20"/>
          <w:lang w:val="es-CR"/>
        </w:rPr>
        <w:t>libertad y, en lo que interesa a este litigio, reiteraba la regulació</w:t>
      </w:r>
      <w:r w:rsidRPr="00972D9D">
        <w:rPr>
          <w:rFonts w:ascii="Verdana" w:hAnsi="Verdana"/>
          <w:sz w:val="18"/>
          <w:szCs w:val="20"/>
          <w:lang w:val="es-CR"/>
        </w:rPr>
        <w:t>n</w:t>
      </w:r>
      <w:r w:rsidR="00015629" w:rsidRPr="00972D9D">
        <w:rPr>
          <w:rFonts w:ascii="Verdana" w:hAnsi="Verdana"/>
          <w:sz w:val="18"/>
          <w:szCs w:val="20"/>
          <w:lang w:val="es-CR"/>
        </w:rPr>
        <w:t xml:space="preserve"> anterior: “(párrafo IV.a.) </w:t>
      </w:r>
      <w:r w:rsidR="00972D9D">
        <w:rPr>
          <w:rFonts w:ascii="Verdana" w:hAnsi="Verdana"/>
          <w:sz w:val="18"/>
          <w:szCs w:val="20"/>
          <w:lang w:val="es-CR"/>
        </w:rPr>
        <w:t>t</w:t>
      </w:r>
      <w:r w:rsidR="00972D9D" w:rsidRPr="00972D9D">
        <w:rPr>
          <w:rFonts w:ascii="Verdana" w:hAnsi="Verdana"/>
          <w:sz w:val="18"/>
          <w:szCs w:val="20"/>
          <w:lang w:val="es-CR"/>
        </w:rPr>
        <w:t>ratándose</w:t>
      </w:r>
      <w:r w:rsidR="00015629" w:rsidRPr="00972D9D">
        <w:rPr>
          <w:rFonts w:ascii="Verdana" w:hAnsi="Verdana"/>
          <w:sz w:val="18"/>
          <w:szCs w:val="20"/>
          <w:lang w:val="es-CR"/>
        </w:rPr>
        <w:t xml:space="preserve"> de procesos por hechos ajenos al servicio, el agente no tendrá derecho a pago alguno de haberes cualquiera que sea el resultado del pronunciamiento judicial.”. </w:t>
      </w:r>
      <w:r w:rsidRPr="00972D9D">
        <w:rPr>
          <w:rFonts w:ascii="Verdana" w:hAnsi="Verdana"/>
          <w:sz w:val="18"/>
          <w:szCs w:val="20"/>
          <w:lang w:val="es-CR"/>
        </w:rPr>
        <w:t>No s</w:t>
      </w:r>
      <w:r w:rsidR="00015629" w:rsidRPr="00972D9D">
        <w:rPr>
          <w:rFonts w:ascii="Verdana" w:hAnsi="Verdana"/>
          <w:sz w:val="18"/>
          <w:szCs w:val="20"/>
          <w:lang w:val="es-CR"/>
        </w:rPr>
        <w:t>e</w:t>
      </w:r>
      <w:r w:rsidRPr="00972D9D">
        <w:rPr>
          <w:rFonts w:ascii="Verdana" w:hAnsi="Verdana"/>
          <w:sz w:val="18"/>
          <w:szCs w:val="20"/>
          <w:lang w:val="es-CR"/>
        </w:rPr>
        <w:t xml:space="preserve"> </w:t>
      </w:r>
      <w:r w:rsidR="00015629" w:rsidRPr="00972D9D">
        <w:rPr>
          <w:rFonts w:ascii="Verdana" w:hAnsi="Verdana"/>
          <w:sz w:val="18"/>
          <w:szCs w:val="20"/>
          <w:lang w:val="es-CR"/>
        </w:rPr>
        <w:t>trata del mis</w:t>
      </w:r>
      <w:r w:rsidRPr="00972D9D">
        <w:rPr>
          <w:rFonts w:ascii="Verdana" w:hAnsi="Verdana"/>
          <w:sz w:val="18"/>
          <w:szCs w:val="20"/>
          <w:lang w:val="es-CR"/>
        </w:rPr>
        <w:t>m</w:t>
      </w:r>
      <w:r w:rsidR="00015629" w:rsidRPr="00972D9D">
        <w:rPr>
          <w:rFonts w:ascii="Verdana" w:hAnsi="Verdana"/>
          <w:sz w:val="18"/>
          <w:szCs w:val="20"/>
          <w:lang w:val="es-CR"/>
        </w:rPr>
        <w:t>o supuesto fáctico regulado en la norma pues, en el caso de</w:t>
      </w:r>
      <w:r w:rsidRPr="00972D9D">
        <w:rPr>
          <w:rFonts w:ascii="Verdana" w:hAnsi="Verdana"/>
          <w:sz w:val="18"/>
          <w:szCs w:val="20"/>
          <w:lang w:val="es-CR"/>
        </w:rPr>
        <w:t xml:space="preserve"> </w:t>
      </w:r>
      <w:r w:rsidR="00015629" w:rsidRPr="00972D9D">
        <w:rPr>
          <w:rFonts w:ascii="Verdana" w:hAnsi="Verdana"/>
          <w:sz w:val="18"/>
          <w:szCs w:val="20"/>
          <w:lang w:val="es-CR"/>
        </w:rPr>
        <w:t>la actora, no se</w:t>
      </w:r>
      <w:r w:rsidRPr="00972D9D">
        <w:rPr>
          <w:rFonts w:ascii="Verdana" w:hAnsi="Verdana"/>
          <w:sz w:val="18"/>
          <w:szCs w:val="20"/>
          <w:lang w:val="es-CR"/>
        </w:rPr>
        <w:t xml:space="preserve"> </w:t>
      </w:r>
      <w:r w:rsidR="00015629" w:rsidRPr="00972D9D">
        <w:rPr>
          <w:rFonts w:ascii="Verdana" w:hAnsi="Verdana"/>
          <w:sz w:val="18"/>
          <w:szCs w:val="20"/>
          <w:lang w:val="es-CR"/>
        </w:rPr>
        <w:t xml:space="preserve">ignora que no existió proceso judicial alguno. No obstante, habida </w:t>
      </w:r>
      <w:r w:rsidR="00015629" w:rsidRPr="00972D9D">
        <w:rPr>
          <w:rFonts w:ascii="Verdana" w:hAnsi="Verdana"/>
          <w:sz w:val="18"/>
          <w:szCs w:val="20"/>
          <w:lang w:val="es-CR"/>
        </w:rPr>
        <w:lastRenderedPageBreak/>
        <w:t>cuenta que no se discute en autos la responsabilidad del estado por su conducta ilegítima sino la obligación del empleador –una entidad autárquica del estado nacional ajena al acto del poder público que motivó la medida suspensiva-, se trata de la n</w:t>
      </w:r>
      <w:r w:rsidR="00F26B99" w:rsidRPr="00972D9D">
        <w:rPr>
          <w:rFonts w:ascii="Verdana" w:hAnsi="Verdana"/>
          <w:sz w:val="18"/>
          <w:szCs w:val="20"/>
          <w:lang w:val="es-CR"/>
        </w:rPr>
        <w:t>o</w:t>
      </w:r>
      <w:r w:rsidR="00015629" w:rsidRPr="00972D9D">
        <w:rPr>
          <w:rFonts w:ascii="Verdana" w:hAnsi="Verdana"/>
          <w:sz w:val="18"/>
          <w:szCs w:val="20"/>
          <w:lang w:val="es-CR"/>
        </w:rPr>
        <w:t>r</w:t>
      </w:r>
      <w:r w:rsidR="00F26B99" w:rsidRPr="00972D9D">
        <w:rPr>
          <w:rFonts w:ascii="Verdana" w:hAnsi="Verdana"/>
          <w:sz w:val="18"/>
          <w:szCs w:val="20"/>
          <w:lang w:val="es-CR"/>
        </w:rPr>
        <w:t>m</w:t>
      </w:r>
      <w:r w:rsidR="00015629" w:rsidRPr="00972D9D">
        <w:rPr>
          <w:rFonts w:ascii="Verdana" w:hAnsi="Verdana"/>
          <w:sz w:val="18"/>
          <w:szCs w:val="20"/>
          <w:lang w:val="es-CR"/>
        </w:rPr>
        <w:t>a que regula el supuesto de</w:t>
      </w:r>
      <w:r w:rsidR="00F26B99" w:rsidRPr="00972D9D">
        <w:rPr>
          <w:rFonts w:ascii="Verdana" w:hAnsi="Verdana"/>
          <w:sz w:val="18"/>
          <w:szCs w:val="20"/>
          <w:lang w:val="es-CR"/>
        </w:rPr>
        <w:t xml:space="preserve"> </w:t>
      </w:r>
      <w:r w:rsidR="00015629" w:rsidRPr="00972D9D">
        <w:rPr>
          <w:rFonts w:ascii="Verdana" w:hAnsi="Verdana"/>
          <w:sz w:val="18"/>
          <w:szCs w:val="20"/>
          <w:lang w:val="es-CR"/>
        </w:rPr>
        <w:t xml:space="preserve">mayor proximidad analógica. </w:t>
      </w:r>
    </w:p>
    <w:p w14:paraId="3C81B79A" w14:textId="3B707245" w:rsidR="00E64ECE" w:rsidRPr="00972D9D" w:rsidRDefault="007769CC" w:rsidP="00972D9D">
      <w:pPr>
        <w:widowControl w:val="0"/>
        <w:tabs>
          <w:tab w:val="left" w:pos="567"/>
        </w:tabs>
        <w:autoSpaceDE w:val="0"/>
        <w:autoSpaceDN w:val="0"/>
        <w:adjustRightInd w:val="0"/>
        <w:spacing w:before="120" w:after="120" w:line="240" w:lineRule="auto"/>
        <w:ind w:left="720"/>
        <w:jc w:val="both"/>
        <w:textAlignment w:val="baseline"/>
        <w:rPr>
          <w:rFonts w:ascii="Verdana" w:hAnsi="Verdana"/>
          <w:sz w:val="18"/>
          <w:szCs w:val="20"/>
          <w:lang w:val="es-CR"/>
        </w:rPr>
      </w:pPr>
      <w:r w:rsidRPr="00972D9D">
        <w:rPr>
          <w:rFonts w:ascii="Verdana" w:hAnsi="Verdana"/>
          <w:sz w:val="18"/>
          <w:szCs w:val="20"/>
          <w:lang w:val="es-CR"/>
        </w:rPr>
        <w:t xml:space="preserve">[…] </w:t>
      </w:r>
      <w:r w:rsidR="00015629" w:rsidRPr="00972D9D">
        <w:rPr>
          <w:rFonts w:ascii="Verdana" w:hAnsi="Verdana"/>
          <w:sz w:val="18"/>
          <w:szCs w:val="20"/>
          <w:lang w:val="es-CR"/>
        </w:rPr>
        <w:t>Que e</w:t>
      </w:r>
      <w:r w:rsidR="00F26B99" w:rsidRPr="00972D9D">
        <w:rPr>
          <w:rFonts w:ascii="Verdana" w:hAnsi="Verdana"/>
          <w:sz w:val="18"/>
          <w:szCs w:val="20"/>
          <w:lang w:val="es-CR"/>
        </w:rPr>
        <w:t>l</w:t>
      </w:r>
      <w:r w:rsidR="00015629" w:rsidRPr="00972D9D">
        <w:rPr>
          <w:rFonts w:ascii="Verdana" w:hAnsi="Verdana"/>
          <w:sz w:val="18"/>
          <w:szCs w:val="20"/>
          <w:lang w:val="es-CR"/>
        </w:rPr>
        <w:t xml:space="preserve"> reglamento de</w:t>
      </w:r>
      <w:r w:rsidR="00F26B99" w:rsidRPr="00972D9D">
        <w:rPr>
          <w:rFonts w:ascii="Verdana" w:hAnsi="Verdana"/>
          <w:sz w:val="18"/>
          <w:szCs w:val="20"/>
          <w:lang w:val="es-CR"/>
        </w:rPr>
        <w:t xml:space="preserve"> </w:t>
      </w:r>
      <w:r w:rsidR="00015629" w:rsidRPr="00972D9D">
        <w:rPr>
          <w:rFonts w:ascii="Verdana" w:hAnsi="Verdana"/>
          <w:sz w:val="18"/>
          <w:szCs w:val="20"/>
          <w:lang w:val="es-CR"/>
        </w:rPr>
        <w:t>investigaciones administrativas correspondiente al régimen aprobado por ley 22.140 (B.O,. del 8 de septiembre de 1980), (…) contiene la siguiente disposición:  “art. 39</w:t>
      </w:r>
      <w:r w:rsidR="00E64ECE" w:rsidRPr="00972D9D">
        <w:rPr>
          <w:rFonts w:ascii="Verdana" w:hAnsi="Verdana"/>
          <w:sz w:val="18"/>
          <w:szCs w:val="20"/>
          <w:lang w:val="es-CR"/>
        </w:rPr>
        <w:t>, El pago de haberes por el lapso de suspensión se ajustará a los siguientes recaudos: a) Cuando se</w:t>
      </w:r>
      <w:r w:rsidR="00F26B99" w:rsidRPr="00972D9D">
        <w:rPr>
          <w:rFonts w:ascii="Verdana" w:hAnsi="Verdana"/>
          <w:sz w:val="18"/>
          <w:szCs w:val="20"/>
          <w:lang w:val="es-CR"/>
        </w:rPr>
        <w:t xml:space="preserve"> </w:t>
      </w:r>
      <w:r w:rsidR="00E64ECE" w:rsidRPr="00972D9D">
        <w:rPr>
          <w:rFonts w:ascii="Verdana" w:hAnsi="Verdana"/>
          <w:sz w:val="18"/>
          <w:szCs w:val="20"/>
          <w:lang w:val="es-CR"/>
        </w:rPr>
        <w:t>originare en hechos ajenos al servicio, el agente no tendrá derecho al pago alguno de haberes, excepto en el caso del art. 37, cuando fuere absuelto o sobreseído def</w:t>
      </w:r>
      <w:r w:rsidR="00F26B99" w:rsidRPr="00972D9D">
        <w:rPr>
          <w:rFonts w:ascii="Verdana" w:hAnsi="Verdana"/>
          <w:sz w:val="18"/>
          <w:szCs w:val="20"/>
          <w:lang w:val="es-CR"/>
        </w:rPr>
        <w:t>init</w:t>
      </w:r>
      <w:r w:rsidR="00E64ECE" w:rsidRPr="00972D9D">
        <w:rPr>
          <w:rFonts w:ascii="Verdana" w:hAnsi="Verdana"/>
          <w:sz w:val="18"/>
          <w:szCs w:val="20"/>
          <w:lang w:val="es-CR"/>
        </w:rPr>
        <w:t xml:space="preserve">ivamente en sede penal y </w:t>
      </w:r>
      <w:r w:rsidR="00E64ECE" w:rsidRPr="00972D9D">
        <w:rPr>
          <w:rFonts w:ascii="Verdana" w:hAnsi="Verdana"/>
          <w:sz w:val="18"/>
          <w:szCs w:val="20"/>
          <w:u w:val="single"/>
          <w:lang w:val="es-CR"/>
        </w:rPr>
        <w:t xml:space="preserve">sólo </w:t>
      </w:r>
      <w:r w:rsidR="00F26B99" w:rsidRPr="00972D9D">
        <w:rPr>
          <w:rFonts w:ascii="Verdana" w:hAnsi="Verdana"/>
          <w:sz w:val="18"/>
          <w:szCs w:val="20"/>
          <w:u w:val="single"/>
          <w:lang w:val="es-CR"/>
        </w:rPr>
        <w:t>p</w:t>
      </w:r>
      <w:r w:rsidR="00E64ECE" w:rsidRPr="00972D9D">
        <w:rPr>
          <w:rFonts w:ascii="Verdana" w:hAnsi="Verdana"/>
          <w:sz w:val="18"/>
          <w:szCs w:val="20"/>
          <w:u w:val="single"/>
          <w:lang w:val="es-CR"/>
        </w:rPr>
        <w:t>or el término en que hubiere permanecido en libertad y no se hubiere autorizado su reintegro</w:t>
      </w:r>
      <w:r w:rsidR="00E64ECE" w:rsidRPr="00972D9D">
        <w:rPr>
          <w:rFonts w:ascii="Verdana" w:hAnsi="Verdana"/>
          <w:sz w:val="18"/>
          <w:szCs w:val="20"/>
          <w:lang w:val="es-CR"/>
        </w:rPr>
        <w:t>”</w:t>
      </w:r>
      <w:r w:rsidR="00F26B99" w:rsidRPr="00972D9D">
        <w:rPr>
          <w:rFonts w:ascii="Verdana" w:hAnsi="Verdana"/>
          <w:sz w:val="18"/>
          <w:szCs w:val="20"/>
          <w:lang w:val="es-CR"/>
        </w:rPr>
        <w:t xml:space="preserve">  (</w:t>
      </w:r>
      <w:r w:rsidR="00E64ECE" w:rsidRPr="00972D9D">
        <w:rPr>
          <w:rFonts w:ascii="Verdana" w:hAnsi="Verdana"/>
          <w:sz w:val="18"/>
          <w:szCs w:val="20"/>
          <w:lang w:val="es-CR"/>
        </w:rPr>
        <w:t xml:space="preserve">el subrayado no pertenece al texto). Adviértase que en el </w:t>
      </w:r>
      <w:r w:rsidR="00E64ECE" w:rsidRPr="00972D9D">
        <w:rPr>
          <w:rFonts w:ascii="Verdana" w:hAnsi="Verdana"/>
          <w:sz w:val="18"/>
          <w:szCs w:val="20"/>
          <w:u w:val="single"/>
          <w:lang w:val="es-CR"/>
        </w:rPr>
        <w:t>sub lite</w:t>
      </w:r>
      <w:r w:rsidR="00E64ECE" w:rsidRPr="00972D9D">
        <w:rPr>
          <w:rFonts w:ascii="Verdana" w:hAnsi="Verdana"/>
          <w:sz w:val="18"/>
          <w:szCs w:val="20"/>
          <w:lang w:val="es-CR"/>
        </w:rPr>
        <w:t xml:space="preserve"> la Direcci</w:t>
      </w:r>
      <w:r w:rsidR="00F26B99" w:rsidRPr="00972D9D">
        <w:rPr>
          <w:rFonts w:ascii="Verdana" w:hAnsi="Verdana"/>
          <w:sz w:val="18"/>
          <w:szCs w:val="20"/>
          <w:lang w:val="es-CR"/>
        </w:rPr>
        <w:t>ón G</w:t>
      </w:r>
      <w:r w:rsidR="00E64ECE" w:rsidRPr="00972D9D">
        <w:rPr>
          <w:rFonts w:ascii="Verdana" w:hAnsi="Verdana"/>
          <w:sz w:val="18"/>
          <w:szCs w:val="20"/>
          <w:lang w:val="es-CR"/>
        </w:rPr>
        <w:t xml:space="preserve">eneral Impositiva reintegró a Elba Perrone al cuarto día de la </w:t>
      </w:r>
      <w:r w:rsidR="0045596C" w:rsidRPr="00972D9D">
        <w:rPr>
          <w:rFonts w:ascii="Verdana" w:hAnsi="Verdana"/>
          <w:sz w:val="18"/>
          <w:szCs w:val="20"/>
          <w:lang w:val="es-CR"/>
        </w:rPr>
        <w:t>notificación</w:t>
      </w:r>
      <w:r w:rsidR="00E64ECE" w:rsidRPr="00972D9D">
        <w:rPr>
          <w:rFonts w:ascii="Verdana" w:hAnsi="Verdana"/>
          <w:sz w:val="18"/>
          <w:szCs w:val="20"/>
          <w:lang w:val="es-CR"/>
        </w:rPr>
        <w:t xml:space="preserve"> del decreto 878/82, que hizo cesar el arresto y ordenó el régimen de</w:t>
      </w:r>
      <w:r w:rsidR="00F26B99" w:rsidRPr="00972D9D">
        <w:rPr>
          <w:rFonts w:ascii="Verdana" w:hAnsi="Verdana"/>
          <w:sz w:val="18"/>
          <w:szCs w:val="20"/>
          <w:lang w:val="es-CR"/>
        </w:rPr>
        <w:t xml:space="preserve"> </w:t>
      </w:r>
      <w:r w:rsidR="00E64ECE" w:rsidRPr="00972D9D">
        <w:rPr>
          <w:rFonts w:ascii="Verdana" w:hAnsi="Verdana"/>
          <w:sz w:val="18"/>
          <w:szCs w:val="20"/>
          <w:lang w:val="es-CR"/>
        </w:rPr>
        <w:t>libertad vigilada (fs. 145 de actuaciones administrativas)</w:t>
      </w:r>
    </w:p>
    <w:p w14:paraId="328E676A" w14:textId="0389F04A" w:rsidR="007769CC" w:rsidRPr="00972D9D" w:rsidRDefault="00E64ECE" w:rsidP="00972D9D">
      <w:pPr>
        <w:widowControl w:val="0"/>
        <w:tabs>
          <w:tab w:val="left" w:pos="567"/>
        </w:tabs>
        <w:autoSpaceDE w:val="0"/>
        <w:autoSpaceDN w:val="0"/>
        <w:adjustRightInd w:val="0"/>
        <w:spacing w:before="120" w:after="120" w:line="240" w:lineRule="auto"/>
        <w:ind w:left="720"/>
        <w:jc w:val="both"/>
        <w:textAlignment w:val="baseline"/>
        <w:rPr>
          <w:rFonts w:ascii="Verdana" w:hAnsi="Verdana"/>
          <w:sz w:val="18"/>
          <w:szCs w:val="20"/>
          <w:lang w:val="es-CR"/>
        </w:rPr>
      </w:pPr>
      <w:r w:rsidRPr="00972D9D">
        <w:rPr>
          <w:rFonts w:ascii="Verdana" w:hAnsi="Verdana"/>
          <w:sz w:val="18"/>
          <w:szCs w:val="20"/>
          <w:lang w:val="es-CR"/>
        </w:rPr>
        <w:t>[…] Que en tales condic</w:t>
      </w:r>
      <w:r w:rsidR="00F26B99" w:rsidRPr="00972D9D">
        <w:rPr>
          <w:rFonts w:ascii="Verdana" w:hAnsi="Verdana"/>
          <w:sz w:val="18"/>
          <w:szCs w:val="20"/>
          <w:lang w:val="es-CR"/>
        </w:rPr>
        <w:t>i</w:t>
      </w:r>
      <w:r w:rsidRPr="00972D9D">
        <w:rPr>
          <w:rFonts w:ascii="Verdana" w:hAnsi="Verdana"/>
          <w:sz w:val="18"/>
          <w:szCs w:val="20"/>
          <w:lang w:val="es-CR"/>
        </w:rPr>
        <w:t>ones y en el marco de</w:t>
      </w:r>
      <w:r w:rsidR="00F26B99" w:rsidRPr="00972D9D">
        <w:rPr>
          <w:rFonts w:ascii="Verdana" w:hAnsi="Verdana"/>
          <w:sz w:val="18"/>
          <w:szCs w:val="20"/>
          <w:lang w:val="es-CR"/>
        </w:rPr>
        <w:t xml:space="preserve"> </w:t>
      </w:r>
      <w:r w:rsidRPr="00972D9D">
        <w:rPr>
          <w:rFonts w:ascii="Verdana" w:hAnsi="Verdana"/>
          <w:sz w:val="18"/>
          <w:szCs w:val="20"/>
          <w:lang w:val="es-CR"/>
        </w:rPr>
        <w:t>las</w:t>
      </w:r>
      <w:r w:rsidR="00F26B99" w:rsidRPr="00972D9D">
        <w:rPr>
          <w:rFonts w:ascii="Verdana" w:hAnsi="Verdana"/>
          <w:sz w:val="18"/>
          <w:szCs w:val="20"/>
          <w:lang w:val="es-CR"/>
        </w:rPr>
        <w:t xml:space="preserve"> </w:t>
      </w:r>
      <w:r w:rsidRPr="00972D9D">
        <w:rPr>
          <w:rFonts w:ascii="Verdana" w:hAnsi="Verdana"/>
          <w:sz w:val="18"/>
          <w:szCs w:val="20"/>
          <w:lang w:val="es-CR"/>
        </w:rPr>
        <w:t>pretensiones de</w:t>
      </w:r>
      <w:r w:rsidR="00F26B99" w:rsidRPr="00972D9D">
        <w:rPr>
          <w:rFonts w:ascii="Verdana" w:hAnsi="Verdana"/>
          <w:sz w:val="18"/>
          <w:szCs w:val="20"/>
          <w:lang w:val="es-CR"/>
        </w:rPr>
        <w:t xml:space="preserve"> </w:t>
      </w:r>
      <w:r w:rsidRPr="00972D9D">
        <w:rPr>
          <w:rFonts w:ascii="Verdana" w:hAnsi="Verdana"/>
          <w:sz w:val="18"/>
          <w:szCs w:val="20"/>
          <w:lang w:val="es-CR"/>
        </w:rPr>
        <w:t xml:space="preserve">la parte actora –f. 1646 vts., cuarto párrafo- no ha existido disposición que permita hacer excepción al principio general en materia de salarios, cual es, que no procede el pago de sueldos por funciones no prestadas (Fallos: 297:427; 307:1199 y muchos otros). Ello no comporta negar las consecuencias del acto ilegítimo del gobierno de facto desde la </w:t>
      </w:r>
      <w:r w:rsidR="00F26B99" w:rsidRPr="00972D9D">
        <w:rPr>
          <w:rFonts w:ascii="Verdana" w:hAnsi="Verdana"/>
          <w:sz w:val="18"/>
          <w:szCs w:val="20"/>
          <w:lang w:val="es-CR"/>
        </w:rPr>
        <w:t>óptica del Estado N</w:t>
      </w:r>
      <w:r w:rsidRPr="00972D9D">
        <w:rPr>
          <w:rFonts w:ascii="Verdana" w:hAnsi="Verdana"/>
          <w:sz w:val="18"/>
          <w:szCs w:val="20"/>
          <w:lang w:val="es-CR"/>
        </w:rPr>
        <w:t>acional, cuestión que procesal y sustancialmente</w:t>
      </w:r>
      <w:r w:rsidR="00F26B99" w:rsidRPr="00972D9D">
        <w:rPr>
          <w:rFonts w:ascii="Verdana" w:hAnsi="Verdana"/>
          <w:sz w:val="18"/>
          <w:szCs w:val="20"/>
          <w:lang w:val="es-CR"/>
        </w:rPr>
        <w:t>,</w:t>
      </w:r>
      <w:r w:rsidRPr="00972D9D">
        <w:rPr>
          <w:rFonts w:ascii="Verdana" w:hAnsi="Verdana"/>
          <w:sz w:val="18"/>
          <w:szCs w:val="20"/>
          <w:lang w:val="es-CR"/>
        </w:rPr>
        <w:t xml:space="preserve"> </w:t>
      </w:r>
      <w:r w:rsidR="00F26B99" w:rsidRPr="00972D9D">
        <w:rPr>
          <w:rFonts w:ascii="Verdana" w:hAnsi="Verdana"/>
          <w:sz w:val="18"/>
          <w:szCs w:val="20"/>
          <w:lang w:val="es-CR"/>
        </w:rPr>
        <w:t>n</w:t>
      </w:r>
      <w:r w:rsidRPr="00972D9D">
        <w:rPr>
          <w:rFonts w:ascii="Verdana" w:hAnsi="Verdana"/>
          <w:sz w:val="18"/>
          <w:szCs w:val="20"/>
          <w:lang w:val="es-CR"/>
        </w:rPr>
        <w:t>o se discutió en autos</w:t>
      </w:r>
      <w:r w:rsidR="00543E5A">
        <w:rPr>
          <w:rFonts w:ascii="Verdana" w:hAnsi="Verdana"/>
          <w:sz w:val="18"/>
          <w:szCs w:val="20"/>
          <w:lang w:val="es-CR"/>
        </w:rPr>
        <w:t>.</w:t>
      </w:r>
    </w:p>
    <w:p w14:paraId="7F4BF0AA" w14:textId="233E139F" w:rsidR="0045596C" w:rsidRPr="00972D9D" w:rsidRDefault="00B33027"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lang w:val="es-CR"/>
        </w:rPr>
      </w:pPr>
      <w:r w:rsidRPr="00972D9D">
        <w:rPr>
          <w:rFonts w:ascii="Verdana" w:hAnsi="Verdana"/>
          <w:sz w:val="20"/>
          <w:szCs w:val="20"/>
          <w:lang w:val="es-CR"/>
        </w:rPr>
        <w:t xml:space="preserve">De la anterior trascripción queda claro que la Corte Suprema de Justicia de la Nación expuso de forma detallada y extensa las razones que la llevaron a dar lugar </w:t>
      </w:r>
      <w:r w:rsidR="00640DB4" w:rsidRPr="00972D9D">
        <w:rPr>
          <w:rFonts w:ascii="Verdana" w:hAnsi="Verdana"/>
          <w:sz w:val="20"/>
          <w:szCs w:val="20"/>
          <w:lang w:val="es-CR"/>
        </w:rPr>
        <w:t>al recurso presentado por la DGI</w:t>
      </w:r>
      <w:r w:rsidRPr="00972D9D">
        <w:rPr>
          <w:rFonts w:ascii="Verdana" w:hAnsi="Verdana"/>
          <w:sz w:val="20"/>
          <w:szCs w:val="20"/>
          <w:lang w:val="es-CR"/>
        </w:rPr>
        <w:t xml:space="preserve"> y a revocar la sentencia en segunda instancia. Pues luego de un estudio </w:t>
      </w:r>
      <w:r w:rsidR="0045596C" w:rsidRPr="00972D9D">
        <w:rPr>
          <w:rFonts w:ascii="Verdana" w:hAnsi="Verdana"/>
          <w:sz w:val="20"/>
          <w:szCs w:val="20"/>
          <w:lang w:val="es-CR"/>
        </w:rPr>
        <w:t xml:space="preserve">de la legislación </w:t>
      </w:r>
      <w:r w:rsidR="00640DB4" w:rsidRPr="00972D9D">
        <w:rPr>
          <w:rFonts w:ascii="Verdana" w:hAnsi="Verdana"/>
          <w:sz w:val="20"/>
          <w:szCs w:val="20"/>
          <w:lang w:val="es-CR"/>
        </w:rPr>
        <w:t xml:space="preserve">vigente </w:t>
      </w:r>
      <w:r w:rsidR="0045596C" w:rsidRPr="00972D9D">
        <w:rPr>
          <w:rFonts w:ascii="Verdana" w:hAnsi="Verdana"/>
          <w:sz w:val="20"/>
          <w:szCs w:val="20"/>
          <w:lang w:val="es-CR"/>
        </w:rPr>
        <w:t>considera que no es aplicable analógicamente al caso de la señora Perrone el régimen de franquicias y licencias de los agentes públicos sino las disposiciones del régimen disciplinario</w:t>
      </w:r>
      <w:r w:rsidR="0045596C" w:rsidRPr="001B5AFB">
        <w:rPr>
          <w:rFonts w:ascii="Verdana" w:hAnsi="Verdana"/>
          <w:sz w:val="20"/>
          <w:szCs w:val="20"/>
          <w:lang w:val="es-CR"/>
        </w:rPr>
        <w:t>,  “o, en su caso, integrar las lagunas con sus principios”.</w:t>
      </w:r>
      <w:r w:rsidR="0045596C" w:rsidRPr="00972D9D">
        <w:rPr>
          <w:rFonts w:ascii="Verdana" w:hAnsi="Verdana"/>
          <w:sz w:val="20"/>
          <w:szCs w:val="20"/>
          <w:lang w:val="es-CR"/>
        </w:rPr>
        <w:t xml:space="preserve"> Luego advierte que bajo este régimen sólo había lugar al pago de haberes laborales por hechos ajenos al servicio por el término en que el agente hubiere permanecido e</w:t>
      </w:r>
      <w:r w:rsidR="00511DD9" w:rsidRPr="00972D9D">
        <w:rPr>
          <w:rFonts w:ascii="Verdana" w:hAnsi="Verdana"/>
          <w:sz w:val="20"/>
          <w:szCs w:val="20"/>
          <w:lang w:val="es-CR"/>
        </w:rPr>
        <w:t>n</w:t>
      </w:r>
      <w:r w:rsidR="0045596C" w:rsidRPr="00972D9D">
        <w:rPr>
          <w:rFonts w:ascii="Verdana" w:hAnsi="Verdana"/>
          <w:sz w:val="20"/>
          <w:szCs w:val="20"/>
          <w:lang w:val="es-CR"/>
        </w:rPr>
        <w:t xml:space="preserve"> libertad y no se hubiere autorizado su reintegro, supuesto que entiende no </w:t>
      </w:r>
      <w:r w:rsidR="00640DB4" w:rsidRPr="00972D9D">
        <w:rPr>
          <w:rFonts w:ascii="Verdana" w:hAnsi="Verdana"/>
          <w:sz w:val="20"/>
          <w:szCs w:val="20"/>
          <w:lang w:val="es-CR"/>
        </w:rPr>
        <w:t xml:space="preserve">era el de la </w:t>
      </w:r>
      <w:r w:rsidR="0045596C" w:rsidRPr="00972D9D">
        <w:rPr>
          <w:rFonts w:ascii="Verdana" w:hAnsi="Verdana"/>
          <w:sz w:val="20"/>
          <w:szCs w:val="20"/>
          <w:lang w:val="es-CR"/>
        </w:rPr>
        <w:t>señora Perrone</w:t>
      </w:r>
      <w:r w:rsidR="00640DB4" w:rsidRPr="00972D9D">
        <w:rPr>
          <w:rFonts w:ascii="Verdana" w:hAnsi="Verdana"/>
          <w:sz w:val="20"/>
          <w:szCs w:val="20"/>
          <w:lang w:val="es-CR"/>
        </w:rPr>
        <w:t xml:space="preserve">, quien </w:t>
      </w:r>
      <w:r w:rsidR="0045596C" w:rsidRPr="00972D9D">
        <w:rPr>
          <w:rFonts w:ascii="Verdana" w:hAnsi="Verdana"/>
          <w:sz w:val="20"/>
          <w:szCs w:val="20"/>
          <w:lang w:val="es-CR"/>
        </w:rPr>
        <w:t>fue reintegrada casi de forma inmediata a partir de la cesación de su arresto. Ante la ausencia de un supuesto normativo que estableciera una excepción</w:t>
      </w:r>
      <w:r w:rsidR="003523ED" w:rsidRPr="00972D9D">
        <w:rPr>
          <w:rFonts w:ascii="Verdana" w:hAnsi="Verdana"/>
          <w:sz w:val="20"/>
          <w:szCs w:val="20"/>
          <w:lang w:val="es-CR"/>
        </w:rPr>
        <w:t>,</w:t>
      </w:r>
      <w:r w:rsidR="0045596C" w:rsidRPr="00972D9D">
        <w:rPr>
          <w:rFonts w:ascii="Verdana" w:hAnsi="Verdana"/>
          <w:sz w:val="20"/>
          <w:szCs w:val="20"/>
          <w:lang w:val="es-CR"/>
        </w:rPr>
        <w:t xml:space="preserve"> concluye que se aplica el principio general de que no procede el pago de sueldos por funciones </w:t>
      </w:r>
      <w:r w:rsidR="00EC2A4F">
        <w:rPr>
          <w:rFonts w:ascii="Verdana" w:hAnsi="Verdana"/>
          <w:sz w:val="20"/>
          <w:szCs w:val="20"/>
          <w:lang w:val="es-CR"/>
        </w:rPr>
        <w:t xml:space="preserve">no </w:t>
      </w:r>
      <w:r w:rsidR="0045596C" w:rsidRPr="00972D9D">
        <w:rPr>
          <w:rFonts w:ascii="Verdana" w:hAnsi="Verdana"/>
          <w:sz w:val="20"/>
          <w:szCs w:val="20"/>
          <w:lang w:val="es-CR"/>
        </w:rPr>
        <w:t>prestadas</w:t>
      </w:r>
      <w:r w:rsidR="003523ED" w:rsidRPr="00972D9D">
        <w:rPr>
          <w:rFonts w:ascii="Verdana" w:hAnsi="Verdana"/>
          <w:sz w:val="20"/>
          <w:szCs w:val="20"/>
          <w:lang w:val="es-CR"/>
        </w:rPr>
        <w:t>. C</w:t>
      </w:r>
      <w:r w:rsidR="0045596C" w:rsidRPr="00972D9D">
        <w:rPr>
          <w:rFonts w:ascii="Verdana" w:hAnsi="Verdana"/>
          <w:sz w:val="20"/>
          <w:szCs w:val="20"/>
          <w:lang w:val="es-CR"/>
        </w:rPr>
        <w:t xml:space="preserve">ierra su argumentación explicando que en este caso lo que se debatía era la responsabilidad de la DGI como empleador por el no pago de los salarios dejados de percibir y no la responsabilidad del </w:t>
      </w:r>
      <w:r w:rsidR="00543E5A">
        <w:rPr>
          <w:rFonts w:ascii="Verdana" w:hAnsi="Verdana"/>
          <w:sz w:val="20"/>
          <w:szCs w:val="20"/>
          <w:lang w:val="es-CR"/>
        </w:rPr>
        <w:t>E</w:t>
      </w:r>
      <w:r w:rsidR="0045596C" w:rsidRPr="00972D9D">
        <w:rPr>
          <w:rFonts w:ascii="Verdana" w:hAnsi="Verdana"/>
          <w:sz w:val="20"/>
          <w:szCs w:val="20"/>
          <w:lang w:val="es-CR"/>
        </w:rPr>
        <w:t xml:space="preserve">stado por la detención arbitraria de la cual fue víctima la señora Perrone. </w:t>
      </w:r>
    </w:p>
    <w:p w14:paraId="4E7D1DF0" w14:textId="2EBCCB2D" w:rsidR="000B214B" w:rsidRPr="00972D9D" w:rsidRDefault="00C646A7"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lang w:val="es-CR"/>
        </w:rPr>
      </w:pPr>
      <w:r w:rsidRPr="00972D9D">
        <w:rPr>
          <w:rFonts w:ascii="Verdana" w:hAnsi="Verdana"/>
          <w:sz w:val="20"/>
          <w:szCs w:val="20"/>
          <w:lang w:val="es-CR"/>
        </w:rPr>
        <w:t xml:space="preserve">La Corte </w:t>
      </w:r>
      <w:r w:rsidR="00882A8B" w:rsidRPr="00972D9D">
        <w:rPr>
          <w:rFonts w:ascii="Verdana" w:hAnsi="Verdana"/>
          <w:sz w:val="20"/>
          <w:szCs w:val="20"/>
          <w:lang w:val="es-CR"/>
        </w:rPr>
        <w:t>observa</w:t>
      </w:r>
      <w:r w:rsidRPr="00972D9D">
        <w:rPr>
          <w:rFonts w:ascii="Verdana" w:hAnsi="Verdana"/>
          <w:sz w:val="20"/>
          <w:szCs w:val="20"/>
          <w:lang w:val="es-CR"/>
        </w:rPr>
        <w:t xml:space="preserve"> que tanto en el caso del señor Preckel como en el caso de la señora Perrone </w:t>
      </w:r>
      <w:r w:rsidR="000B214B" w:rsidRPr="00972D9D">
        <w:rPr>
          <w:rFonts w:ascii="Verdana" w:hAnsi="Verdana"/>
          <w:sz w:val="20"/>
          <w:szCs w:val="20"/>
          <w:lang w:val="es-CR"/>
        </w:rPr>
        <w:t>las decisiones</w:t>
      </w:r>
      <w:r w:rsidRPr="00972D9D">
        <w:rPr>
          <w:rFonts w:ascii="Verdana" w:hAnsi="Verdana"/>
          <w:sz w:val="20"/>
          <w:szCs w:val="20"/>
          <w:lang w:val="es-CR"/>
        </w:rPr>
        <w:t xml:space="preserve"> judiciales </w:t>
      </w:r>
      <w:r w:rsidR="000B214B" w:rsidRPr="00972D9D">
        <w:rPr>
          <w:rFonts w:ascii="Verdana" w:hAnsi="Verdana"/>
          <w:sz w:val="20"/>
          <w:szCs w:val="20"/>
          <w:lang w:val="es-CR"/>
        </w:rPr>
        <w:t>que quedaron en firme desestimaron la</w:t>
      </w:r>
      <w:r w:rsidRPr="00972D9D">
        <w:rPr>
          <w:rFonts w:ascii="Verdana" w:hAnsi="Verdana"/>
          <w:sz w:val="20"/>
          <w:szCs w:val="20"/>
          <w:lang w:val="es-CR"/>
        </w:rPr>
        <w:t>s</w:t>
      </w:r>
      <w:r w:rsidR="000B214B" w:rsidRPr="00972D9D">
        <w:rPr>
          <w:rFonts w:ascii="Verdana" w:hAnsi="Verdana"/>
          <w:sz w:val="20"/>
          <w:szCs w:val="20"/>
          <w:lang w:val="es-CR"/>
        </w:rPr>
        <w:t xml:space="preserve"> solicitud</w:t>
      </w:r>
      <w:r w:rsidRPr="00972D9D">
        <w:rPr>
          <w:rFonts w:ascii="Verdana" w:hAnsi="Verdana"/>
          <w:sz w:val="20"/>
          <w:szCs w:val="20"/>
          <w:lang w:val="es-CR"/>
        </w:rPr>
        <w:t>es</w:t>
      </w:r>
      <w:r w:rsidR="000B214B" w:rsidRPr="00972D9D">
        <w:rPr>
          <w:rFonts w:ascii="Verdana" w:hAnsi="Verdana"/>
          <w:sz w:val="20"/>
          <w:szCs w:val="20"/>
          <w:lang w:val="es-CR"/>
        </w:rPr>
        <w:t xml:space="preserve"> </w:t>
      </w:r>
      <w:r w:rsidRPr="00972D9D">
        <w:rPr>
          <w:rFonts w:ascii="Verdana" w:hAnsi="Verdana"/>
          <w:sz w:val="20"/>
          <w:szCs w:val="20"/>
          <w:lang w:val="es-CR"/>
        </w:rPr>
        <w:t xml:space="preserve">presentadas por las presuntas víctimas </w:t>
      </w:r>
      <w:r w:rsidR="000B214B" w:rsidRPr="00972D9D">
        <w:rPr>
          <w:rFonts w:ascii="Verdana" w:hAnsi="Verdana"/>
          <w:sz w:val="20"/>
          <w:szCs w:val="20"/>
          <w:lang w:val="es-CR"/>
        </w:rPr>
        <w:t xml:space="preserve">con base en la </w:t>
      </w:r>
      <w:r w:rsidRPr="00972D9D">
        <w:rPr>
          <w:rFonts w:ascii="Verdana" w:hAnsi="Verdana"/>
          <w:sz w:val="20"/>
          <w:szCs w:val="20"/>
          <w:lang w:val="es-CR"/>
        </w:rPr>
        <w:t xml:space="preserve">aplicación de la normativa interna que señalaba que no había lugar a percibir salarios </w:t>
      </w:r>
      <w:r w:rsidR="005A25BC" w:rsidRPr="00972D9D">
        <w:rPr>
          <w:rFonts w:ascii="Verdana" w:hAnsi="Verdana"/>
          <w:sz w:val="20"/>
          <w:szCs w:val="20"/>
          <w:lang w:val="es-CR"/>
        </w:rPr>
        <w:t xml:space="preserve">por servicios no prestados. No obstante, a lo largo de los procesos judiciales el señor Preckel y la señora Perrone argumentaron de forma reiterada que la normativa interna </w:t>
      </w:r>
      <w:r w:rsidR="000B214B" w:rsidRPr="00972D9D">
        <w:rPr>
          <w:rFonts w:ascii="Verdana" w:hAnsi="Verdana"/>
          <w:sz w:val="20"/>
          <w:szCs w:val="20"/>
          <w:lang w:val="es-CR"/>
        </w:rPr>
        <w:t xml:space="preserve">autorizaba el pago de </w:t>
      </w:r>
      <w:r w:rsidR="005A25BC" w:rsidRPr="00972D9D">
        <w:rPr>
          <w:rFonts w:ascii="Verdana" w:hAnsi="Verdana"/>
          <w:sz w:val="20"/>
          <w:szCs w:val="20"/>
          <w:lang w:val="es-CR"/>
        </w:rPr>
        <w:t>salarios y haberes laborales</w:t>
      </w:r>
      <w:r w:rsidR="000B214B" w:rsidRPr="00972D9D">
        <w:rPr>
          <w:rFonts w:ascii="Verdana" w:hAnsi="Verdana"/>
          <w:sz w:val="20"/>
          <w:szCs w:val="20"/>
          <w:lang w:val="es-CR"/>
        </w:rPr>
        <w:t xml:space="preserve"> no percibidos en casos de fuerza mayor</w:t>
      </w:r>
      <w:r w:rsidR="005A25BC" w:rsidRPr="00972D9D">
        <w:rPr>
          <w:rFonts w:ascii="Verdana" w:hAnsi="Verdana"/>
          <w:sz w:val="20"/>
          <w:szCs w:val="20"/>
          <w:lang w:val="es-CR"/>
        </w:rPr>
        <w:t>, y alegaron que su detención arbitraria (y el posterior exilio en el caso del señor Preckel)</w:t>
      </w:r>
      <w:r w:rsidR="000B214B" w:rsidRPr="00972D9D">
        <w:rPr>
          <w:rFonts w:ascii="Verdana" w:hAnsi="Verdana"/>
          <w:sz w:val="20"/>
          <w:szCs w:val="20"/>
          <w:lang w:val="es-CR"/>
        </w:rPr>
        <w:t xml:space="preserve"> sería una causal de fuerza mayor y que por lo tanto estaba justificado el pago de los haberes dejados de percibir pese a que no había</w:t>
      </w:r>
      <w:r w:rsidR="005A25BC" w:rsidRPr="00972D9D">
        <w:rPr>
          <w:rFonts w:ascii="Verdana" w:hAnsi="Verdana"/>
          <w:sz w:val="20"/>
          <w:szCs w:val="20"/>
          <w:lang w:val="es-CR"/>
        </w:rPr>
        <w:t>n</w:t>
      </w:r>
      <w:r w:rsidR="000B214B" w:rsidRPr="00972D9D">
        <w:rPr>
          <w:rFonts w:ascii="Verdana" w:hAnsi="Verdana"/>
          <w:sz w:val="20"/>
          <w:szCs w:val="20"/>
          <w:lang w:val="es-CR"/>
        </w:rPr>
        <w:t xml:space="preserve"> laborado.</w:t>
      </w:r>
    </w:p>
    <w:p w14:paraId="196C874E" w14:textId="3D0EE14E" w:rsidR="00882A8B" w:rsidRPr="00972D9D" w:rsidRDefault="000B214B"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lang w:val="es-CO"/>
        </w:rPr>
      </w:pPr>
      <w:r w:rsidRPr="00972D9D">
        <w:rPr>
          <w:rFonts w:ascii="Verdana" w:hAnsi="Verdana"/>
          <w:sz w:val="20"/>
          <w:szCs w:val="20"/>
          <w:lang w:val="es-CR"/>
        </w:rPr>
        <w:t xml:space="preserve">Sin entrar a determinar cuál era la tesis correcta a la luz del derecho interno, la Corte </w:t>
      </w:r>
      <w:r w:rsidR="00CA6169" w:rsidRPr="00972D9D">
        <w:rPr>
          <w:rFonts w:ascii="Verdana" w:hAnsi="Verdana"/>
          <w:sz w:val="20"/>
          <w:szCs w:val="20"/>
          <w:lang w:val="es-CR"/>
        </w:rPr>
        <w:t xml:space="preserve">advierte </w:t>
      </w:r>
      <w:r w:rsidRPr="00972D9D">
        <w:rPr>
          <w:rFonts w:ascii="Verdana" w:hAnsi="Verdana"/>
          <w:sz w:val="20"/>
          <w:szCs w:val="20"/>
          <w:lang w:val="es-CR"/>
        </w:rPr>
        <w:t xml:space="preserve">que las decisiones judiciales que decidieron de forma definitiva las demandas presentadas por el señor Preckel y la señora Perrone </w:t>
      </w:r>
      <w:r w:rsidR="00882A8B" w:rsidRPr="00972D9D">
        <w:rPr>
          <w:rFonts w:ascii="Verdana" w:hAnsi="Verdana"/>
          <w:sz w:val="20"/>
          <w:szCs w:val="20"/>
          <w:lang w:val="es-CR"/>
        </w:rPr>
        <w:t>motivaron de forma suficiente por qué no eran aplicable las excepciones que alegaban al principio establecido normativa y jurisprudencialmente de que no procede el pago de sue</w:t>
      </w:r>
      <w:r w:rsidR="003523ED" w:rsidRPr="00972D9D">
        <w:rPr>
          <w:rFonts w:ascii="Verdana" w:hAnsi="Verdana"/>
          <w:sz w:val="20"/>
          <w:szCs w:val="20"/>
          <w:lang w:val="es-CR"/>
        </w:rPr>
        <w:t>ldo por funciones no prestadas. A</w:t>
      </w:r>
      <w:r w:rsidR="00882A8B" w:rsidRPr="00972D9D">
        <w:rPr>
          <w:rFonts w:ascii="Verdana" w:hAnsi="Verdana"/>
          <w:sz w:val="20"/>
          <w:szCs w:val="20"/>
          <w:lang w:val="es-CR"/>
        </w:rPr>
        <w:t xml:space="preserve">demás de explicar que en estos casos se debatía la responsabilidad de la DGI como empleador y no la responsabilidad del Estado por los actos ilegítimos del gobierno de facto de los cuales habían sido víctimas los demandantes. </w:t>
      </w:r>
    </w:p>
    <w:p w14:paraId="3EB3582C" w14:textId="3776F38D" w:rsidR="003523ED" w:rsidRPr="00972D9D" w:rsidRDefault="00882A8B"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bCs/>
          <w:iCs/>
          <w:sz w:val="20"/>
          <w:szCs w:val="20"/>
          <w:lang w:val="es-ES_tradnl"/>
        </w:rPr>
      </w:pPr>
      <w:r w:rsidRPr="00972D9D">
        <w:rPr>
          <w:rFonts w:ascii="Verdana" w:hAnsi="Verdana"/>
          <w:sz w:val="20"/>
          <w:szCs w:val="20"/>
          <w:lang w:val="es-CR"/>
        </w:rPr>
        <w:t xml:space="preserve">Por lo tanto </w:t>
      </w:r>
      <w:r w:rsidRPr="00972D9D">
        <w:rPr>
          <w:rFonts w:ascii="Verdana" w:hAnsi="Verdana"/>
          <w:bCs/>
          <w:iCs/>
          <w:sz w:val="20"/>
          <w:szCs w:val="20"/>
          <w:lang w:val="es-ES_tradnl"/>
        </w:rPr>
        <w:t>l</w:t>
      </w:r>
      <w:r w:rsidR="00E4761C" w:rsidRPr="00972D9D">
        <w:rPr>
          <w:rFonts w:ascii="Verdana" w:hAnsi="Verdana"/>
          <w:bCs/>
          <w:iCs/>
          <w:sz w:val="20"/>
          <w:szCs w:val="20"/>
          <w:lang w:val="es-ES_tradnl"/>
        </w:rPr>
        <w:t xml:space="preserve">a Corte considera que tanto la </w:t>
      </w:r>
      <w:r w:rsidR="00B6244B" w:rsidRPr="00972D9D">
        <w:rPr>
          <w:rFonts w:ascii="Verdana" w:hAnsi="Verdana"/>
          <w:bCs/>
          <w:iCs/>
          <w:sz w:val="20"/>
          <w:szCs w:val="20"/>
          <w:lang w:val="es-ES_tradnl"/>
        </w:rPr>
        <w:t>C</w:t>
      </w:r>
      <w:r w:rsidR="00E4761C" w:rsidRPr="00972D9D">
        <w:rPr>
          <w:rFonts w:ascii="Verdana" w:hAnsi="Verdana"/>
          <w:bCs/>
          <w:iCs/>
          <w:sz w:val="20"/>
          <w:szCs w:val="20"/>
          <w:lang w:val="es-ES_tradnl"/>
        </w:rPr>
        <w:t>ámara de Apelaciones como la Corte Suprema de Justicia examinar</w:t>
      </w:r>
      <w:r w:rsidRPr="00972D9D">
        <w:rPr>
          <w:rFonts w:ascii="Verdana" w:hAnsi="Verdana"/>
          <w:bCs/>
          <w:iCs/>
          <w:sz w:val="20"/>
          <w:szCs w:val="20"/>
          <w:lang w:val="es-ES_tradnl"/>
        </w:rPr>
        <w:t>on</w:t>
      </w:r>
      <w:r w:rsidR="00E4761C" w:rsidRPr="00972D9D">
        <w:rPr>
          <w:rFonts w:ascii="Verdana" w:hAnsi="Verdana"/>
          <w:bCs/>
          <w:iCs/>
          <w:sz w:val="20"/>
          <w:szCs w:val="20"/>
          <w:lang w:val="es-ES_tradnl"/>
        </w:rPr>
        <w:t xml:space="preserve"> los hechos, alegatos y argumentos </w:t>
      </w:r>
      <w:r w:rsidR="002D183D" w:rsidRPr="00972D9D">
        <w:rPr>
          <w:rFonts w:ascii="Verdana" w:hAnsi="Verdana"/>
          <w:bCs/>
          <w:iCs/>
          <w:sz w:val="20"/>
          <w:szCs w:val="20"/>
          <w:lang w:val="es-ES_tradnl"/>
        </w:rPr>
        <w:t xml:space="preserve">presentados por las partes </w:t>
      </w:r>
      <w:r w:rsidR="00E4761C" w:rsidRPr="00972D9D">
        <w:rPr>
          <w:rFonts w:ascii="Verdana" w:hAnsi="Verdana"/>
          <w:bCs/>
          <w:iCs/>
          <w:sz w:val="20"/>
          <w:szCs w:val="20"/>
          <w:lang w:val="es-ES_tradnl"/>
        </w:rPr>
        <w:t xml:space="preserve">sometidos a su </w:t>
      </w:r>
      <w:r w:rsidRPr="00972D9D">
        <w:rPr>
          <w:rFonts w:ascii="Verdana" w:hAnsi="Verdana"/>
          <w:bCs/>
          <w:iCs/>
          <w:sz w:val="20"/>
          <w:szCs w:val="20"/>
          <w:lang w:val="es-ES_tradnl"/>
        </w:rPr>
        <w:t xml:space="preserve">conocimiento. En consecuencia las sentencias que quedaron en firme no incurrieron en la </w:t>
      </w:r>
      <w:r w:rsidRPr="00972D9D">
        <w:rPr>
          <w:rFonts w:ascii="Verdana" w:hAnsi="Verdana"/>
          <w:bCs/>
          <w:iCs/>
          <w:sz w:val="20"/>
          <w:szCs w:val="20"/>
          <w:lang w:val="es-ES_tradnl"/>
        </w:rPr>
        <w:lastRenderedPageBreak/>
        <w:t xml:space="preserve">alegada falta de motivación. </w:t>
      </w:r>
    </w:p>
    <w:p w14:paraId="495A0841" w14:textId="30F6F72D" w:rsidR="00512B10" w:rsidRPr="00972D9D" w:rsidRDefault="003523ED"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bCs/>
          <w:iCs/>
          <w:sz w:val="20"/>
          <w:szCs w:val="20"/>
          <w:lang w:val="es-ES_tradnl"/>
        </w:rPr>
      </w:pPr>
      <w:r w:rsidRPr="00972D9D">
        <w:rPr>
          <w:rFonts w:ascii="Verdana" w:hAnsi="Verdana"/>
          <w:bCs/>
          <w:iCs/>
          <w:sz w:val="20"/>
          <w:szCs w:val="20"/>
          <w:lang w:val="es-ES_tradnl"/>
        </w:rPr>
        <w:t xml:space="preserve">En el mismo sentido concluye que las presuntas víctimas tuvieron acceso a un recurso judicial efectivo pues </w:t>
      </w:r>
      <w:r w:rsidRPr="00972D9D">
        <w:rPr>
          <w:rFonts w:ascii="Verdana" w:hAnsi="Verdana" w:cs="Verdana"/>
          <w:bCs/>
          <w:iCs/>
          <w:noProof/>
          <w:sz w:val="20"/>
          <w:szCs w:val="20"/>
          <w:lang w:val="es-ES_tradnl"/>
        </w:rPr>
        <w:t>las autoridades competentes examinaron las razones invocadas por los demandantes y se pronunciar</w:t>
      </w:r>
      <w:proofErr w:type="spellStart"/>
      <w:r w:rsidRPr="00972D9D">
        <w:rPr>
          <w:rFonts w:ascii="Verdana" w:hAnsi="Verdana"/>
          <w:bCs/>
          <w:iCs/>
          <w:sz w:val="20"/>
          <w:szCs w:val="20"/>
          <w:lang w:val="es-ES_tradnl"/>
        </w:rPr>
        <w:t>on</w:t>
      </w:r>
      <w:proofErr w:type="spellEnd"/>
      <w:r w:rsidRPr="00972D9D">
        <w:rPr>
          <w:rFonts w:ascii="Verdana" w:hAnsi="Verdana" w:cs="Verdana"/>
          <w:bCs/>
          <w:iCs/>
          <w:noProof/>
          <w:sz w:val="20"/>
          <w:szCs w:val="20"/>
          <w:lang w:val="es-ES_tradnl"/>
        </w:rPr>
        <w:t xml:space="preserve"> </w:t>
      </w:r>
      <w:r w:rsidR="009416BE">
        <w:rPr>
          <w:rFonts w:ascii="Verdana" w:hAnsi="Verdana" w:cs="Verdana"/>
          <w:bCs/>
          <w:iCs/>
          <w:noProof/>
          <w:sz w:val="20"/>
          <w:szCs w:val="20"/>
          <w:lang w:val="es-ES_tradnl"/>
        </w:rPr>
        <w:t>respecto de</w:t>
      </w:r>
      <w:r w:rsidRPr="00972D9D">
        <w:rPr>
          <w:rFonts w:ascii="Verdana" w:hAnsi="Verdana" w:cs="Verdana"/>
          <w:bCs/>
          <w:iCs/>
          <w:noProof/>
          <w:sz w:val="20"/>
          <w:szCs w:val="20"/>
          <w:lang w:val="es-ES_tradnl"/>
        </w:rPr>
        <w:t xml:space="preserve"> ellas</w:t>
      </w:r>
      <w:r w:rsidRPr="00972D9D">
        <w:rPr>
          <w:rStyle w:val="Refdenotaalpie"/>
          <w:rFonts w:ascii="Verdana" w:hAnsi="Verdana"/>
          <w:bCs/>
          <w:iCs/>
          <w:noProof/>
          <w:sz w:val="20"/>
          <w:szCs w:val="20"/>
          <w:lang w:val="es-ES_tradnl"/>
        </w:rPr>
        <w:footnoteReference w:id="124"/>
      </w:r>
      <w:r w:rsidRPr="00972D9D">
        <w:rPr>
          <w:rFonts w:ascii="Verdana" w:hAnsi="Verdana" w:cs="Verdana"/>
          <w:bCs/>
          <w:iCs/>
          <w:noProof/>
          <w:sz w:val="20"/>
          <w:szCs w:val="20"/>
          <w:lang w:val="es-ES_tradnl"/>
        </w:rPr>
        <w:t xml:space="preserve">. </w:t>
      </w:r>
    </w:p>
    <w:p w14:paraId="7BA5CA97" w14:textId="35129145" w:rsidR="00851BFC" w:rsidRPr="00972D9D" w:rsidRDefault="00E4761C"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bookmarkStart w:id="81" w:name="_Ref532900222"/>
      <w:r w:rsidRPr="00972D9D">
        <w:rPr>
          <w:rFonts w:ascii="Verdana" w:hAnsi="Verdana"/>
          <w:bCs/>
          <w:iCs/>
          <w:sz w:val="20"/>
          <w:szCs w:val="20"/>
          <w:lang w:val="es-ES_tradnl"/>
        </w:rPr>
        <w:t xml:space="preserve">En consecuencia, el Tribunal concluye que el Estado </w:t>
      </w:r>
      <w:r w:rsidR="003523ED" w:rsidRPr="00972D9D">
        <w:rPr>
          <w:rFonts w:ascii="Verdana" w:hAnsi="Verdana"/>
          <w:bCs/>
          <w:iCs/>
          <w:sz w:val="20"/>
          <w:szCs w:val="20"/>
          <w:lang w:val="es-ES_tradnl"/>
        </w:rPr>
        <w:t xml:space="preserve">no </w:t>
      </w:r>
      <w:r w:rsidRPr="00972D9D">
        <w:rPr>
          <w:rFonts w:ascii="Verdana" w:hAnsi="Verdana"/>
          <w:bCs/>
          <w:iCs/>
          <w:sz w:val="20"/>
          <w:szCs w:val="20"/>
          <w:lang w:val="es-ES_tradnl"/>
        </w:rPr>
        <w:t>es responsable por la violación a los artículos 8.1 y 25 de la Convención Americana, en relación con las obligaciones previstas en el artículo 1.1 del mism</w:t>
      </w:r>
      <w:r w:rsidR="00B6244B" w:rsidRPr="00972D9D">
        <w:rPr>
          <w:rFonts w:ascii="Verdana" w:hAnsi="Verdana"/>
          <w:bCs/>
          <w:iCs/>
          <w:sz w:val="20"/>
          <w:szCs w:val="20"/>
          <w:lang w:val="es-ES_tradnl"/>
        </w:rPr>
        <w:t xml:space="preserve">o instrumento, respecto de la señora Elba Clotilde Perrone y el señor Juan José </w:t>
      </w:r>
      <w:proofErr w:type="spellStart"/>
      <w:r w:rsidR="00B6244B" w:rsidRPr="00972D9D">
        <w:rPr>
          <w:rFonts w:ascii="Verdana" w:hAnsi="Verdana"/>
          <w:bCs/>
          <w:iCs/>
          <w:sz w:val="20"/>
          <w:szCs w:val="20"/>
          <w:lang w:val="es-ES_tradnl"/>
        </w:rPr>
        <w:t>Preckel</w:t>
      </w:r>
      <w:proofErr w:type="spellEnd"/>
      <w:r w:rsidR="00B6244B" w:rsidRPr="00972D9D">
        <w:rPr>
          <w:rFonts w:ascii="Verdana" w:hAnsi="Verdana"/>
          <w:bCs/>
          <w:iCs/>
          <w:sz w:val="20"/>
          <w:szCs w:val="20"/>
          <w:lang w:val="es-ES_tradnl"/>
        </w:rPr>
        <w:t xml:space="preserve">. </w:t>
      </w:r>
      <w:bookmarkEnd w:id="81"/>
      <w:r w:rsidR="00851BFC" w:rsidRPr="00972D9D">
        <w:rPr>
          <w:rFonts w:ascii="Verdana" w:hAnsi="Verdana"/>
          <w:sz w:val="20"/>
          <w:szCs w:val="20"/>
        </w:rPr>
        <w:t xml:space="preserve"> </w:t>
      </w:r>
    </w:p>
    <w:p w14:paraId="71E96B8E" w14:textId="7A63B7BC" w:rsidR="00851BFC" w:rsidRPr="00972D9D" w:rsidRDefault="00851BFC" w:rsidP="00972D9D">
      <w:pPr>
        <w:pStyle w:val="Ttulo3"/>
        <w:numPr>
          <w:ilvl w:val="0"/>
          <w:numId w:val="20"/>
        </w:numPr>
        <w:tabs>
          <w:tab w:val="clear" w:pos="1276"/>
          <w:tab w:val="left" w:pos="1418"/>
        </w:tabs>
        <w:spacing w:before="120" w:after="120"/>
        <w:ind w:left="1418" w:hanging="567"/>
        <w:contextualSpacing w:val="0"/>
        <w:rPr>
          <w:b w:val="0"/>
        </w:rPr>
      </w:pPr>
      <w:bookmarkStart w:id="82" w:name="_Toc20755737"/>
      <w:r w:rsidRPr="00972D9D">
        <w:rPr>
          <w:b w:val="0"/>
        </w:rPr>
        <w:t>Sobre la garantía del plazo razonable</w:t>
      </w:r>
      <w:bookmarkEnd w:id="82"/>
    </w:p>
    <w:p w14:paraId="26364784" w14:textId="1FA9B5DB" w:rsidR="00851BFC" w:rsidRPr="00972D9D" w:rsidRDefault="00851BFC"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lang w:val="es-CR"/>
        </w:rPr>
      </w:pPr>
      <w:r w:rsidRPr="00972D9D">
        <w:rPr>
          <w:rFonts w:ascii="Verdana" w:hAnsi="Verdana"/>
          <w:sz w:val="20"/>
          <w:szCs w:val="20"/>
        </w:rPr>
        <w:t>Este Tribunal ha señalado que la razonabilidad del plazo debe apreciarse en relación con la duración total del proceso, desde el primer acto procesal hasta que se dicte sentencia definitiva, incluyendo los recursos de instancia que pudieran eventualmente presentarse</w:t>
      </w:r>
      <w:r w:rsidRPr="00972D9D">
        <w:rPr>
          <w:rStyle w:val="Refdenotaalpie"/>
          <w:rFonts w:ascii="Verdana" w:hAnsi="Verdana"/>
          <w:sz w:val="20"/>
          <w:szCs w:val="20"/>
        </w:rPr>
        <w:footnoteReference w:id="125"/>
      </w:r>
      <w:r w:rsidRPr="00972D9D">
        <w:rPr>
          <w:rFonts w:ascii="Verdana" w:hAnsi="Verdana"/>
          <w:sz w:val="20"/>
          <w:szCs w:val="20"/>
        </w:rPr>
        <w:t>. De acuerdo con el artículo 8.1 de la Convención y como parte del derecho a la justicia, los procesos deben realizarse dentro de un plazo razonable</w:t>
      </w:r>
      <w:r w:rsidRPr="00972D9D">
        <w:rPr>
          <w:rStyle w:val="Refdenotaalpie"/>
          <w:rFonts w:ascii="Verdana" w:hAnsi="Verdana"/>
          <w:sz w:val="20"/>
          <w:szCs w:val="20"/>
          <w:lang w:val="es-CR"/>
        </w:rPr>
        <w:footnoteReference w:id="126"/>
      </w:r>
      <w:r w:rsidRPr="00972D9D">
        <w:rPr>
          <w:rFonts w:ascii="Verdana" w:hAnsi="Verdana"/>
          <w:sz w:val="20"/>
          <w:szCs w:val="20"/>
        </w:rPr>
        <w:t xml:space="preserve">, </w:t>
      </w:r>
      <w:r w:rsidRPr="00972D9D">
        <w:rPr>
          <w:rFonts w:ascii="Verdana" w:hAnsi="Verdana"/>
          <w:sz w:val="20"/>
          <w:szCs w:val="20"/>
          <w:lang w:val="es-CR"/>
        </w:rPr>
        <w:t>por lo que, en atención a la necesidad de garantizar los derechos de las personas perjudicadas, una demora prolongada puede llegar a constituir, por sí misma, una violación de las garantías judiciales</w:t>
      </w:r>
      <w:r w:rsidRPr="00972D9D">
        <w:rPr>
          <w:rStyle w:val="Refdenotaalpie"/>
          <w:rFonts w:ascii="Verdana" w:hAnsi="Verdana"/>
          <w:sz w:val="20"/>
          <w:szCs w:val="20"/>
          <w:lang w:val="es-CR"/>
        </w:rPr>
        <w:footnoteReference w:id="127"/>
      </w:r>
      <w:r w:rsidRPr="00972D9D">
        <w:rPr>
          <w:rFonts w:ascii="Verdana" w:hAnsi="Verdana"/>
          <w:sz w:val="20"/>
          <w:szCs w:val="20"/>
          <w:lang w:val="es-CR"/>
        </w:rPr>
        <w:t xml:space="preserve">. </w:t>
      </w:r>
    </w:p>
    <w:p w14:paraId="58A3BFD9" w14:textId="254A2EDA" w:rsidR="00B6244B" w:rsidRPr="00972D9D" w:rsidRDefault="00851BFC"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lang w:val="es-CR"/>
        </w:rPr>
      </w:pPr>
      <w:r w:rsidRPr="00972D9D">
        <w:rPr>
          <w:rFonts w:ascii="Verdana" w:hAnsi="Verdana"/>
          <w:sz w:val="20"/>
          <w:szCs w:val="20"/>
        </w:rPr>
        <w:t>Esta Corte recuerda que los cuatro elementos para determinar la razonabilidad del plazo: i) la complejidad del asunto; ii) la actividad procesal del interesado; iii) la conducta de las autoridades judiciales, y iv) la afectación generada por la situación jurídica de la persona involucrada en el proceso</w:t>
      </w:r>
      <w:r w:rsidRPr="00972D9D">
        <w:rPr>
          <w:rStyle w:val="Refdenotaalpie"/>
          <w:rFonts w:ascii="Verdana" w:hAnsi="Verdana"/>
          <w:sz w:val="20"/>
          <w:szCs w:val="20"/>
        </w:rPr>
        <w:footnoteReference w:id="128"/>
      </w:r>
      <w:r w:rsidRPr="00972D9D">
        <w:rPr>
          <w:rFonts w:ascii="Verdana" w:hAnsi="Verdana" w:cs="Tahoma"/>
          <w:sz w:val="20"/>
          <w:szCs w:val="20"/>
        </w:rPr>
        <w:t>.</w:t>
      </w:r>
      <w:r w:rsidRPr="00972D9D">
        <w:rPr>
          <w:rFonts w:ascii="Verdana" w:hAnsi="Verdana"/>
          <w:sz w:val="20"/>
          <w:szCs w:val="20"/>
        </w:rPr>
        <w:t xml:space="preserve"> </w:t>
      </w:r>
    </w:p>
    <w:p w14:paraId="04F34087" w14:textId="4FC2AD19" w:rsidR="008C1265" w:rsidRPr="00972D9D" w:rsidRDefault="005E51F2"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lang w:val="es-CR"/>
        </w:rPr>
      </w:pPr>
      <w:r w:rsidRPr="00972D9D">
        <w:rPr>
          <w:rFonts w:ascii="Verdana" w:hAnsi="Verdana" w:cs="Tahoma"/>
          <w:sz w:val="20"/>
          <w:szCs w:val="20"/>
        </w:rPr>
        <w:t>En</w:t>
      </w:r>
      <w:r w:rsidR="009C3AA1" w:rsidRPr="00972D9D">
        <w:rPr>
          <w:rFonts w:ascii="Verdana" w:hAnsi="Verdana" w:cs="Tahoma"/>
          <w:sz w:val="20"/>
          <w:szCs w:val="20"/>
        </w:rPr>
        <w:t xml:space="preserve"> el presente caso </w:t>
      </w:r>
      <w:r w:rsidR="008C1265" w:rsidRPr="00972D9D">
        <w:rPr>
          <w:rFonts w:ascii="Verdana" w:hAnsi="Verdana" w:cs="Tahoma"/>
          <w:sz w:val="20"/>
          <w:szCs w:val="20"/>
        </w:rPr>
        <w:t xml:space="preserve">para estudiar la alegada violación de la garantía del plazo razonable, </w:t>
      </w:r>
      <w:r w:rsidR="004602D7" w:rsidRPr="00972D9D">
        <w:rPr>
          <w:rFonts w:ascii="Verdana" w:hAnsi="Verdana" w:cs="Tahoma"/>
          <w:sz w:val="20"/>
          <w:szCs w:val="20"/>
        </w:rPr>
        <w:t xml:space="preserve">la Corte estima pertinente </w:t>
      </w:r>
      <w:r w:rsidR="009C3AA1" w:rsidRPr="00972D9D">
        <w:rPr>
          <w:rFonts w:ascii="Verdana" w:hAnsi="Verdana" w:cs="Tahoma"/>
          <w:sz w:val="20"/>
          <w:szCs w:val="20"/>
        </w:rPr>
        <w:t>examinar la duración del procedimiento administrativo y del proceso judicial de forma conjunta, pues el trámite de la reclamación administrativa era un presupuesto necesario para acudir a la vía jurisdiccional</w:t>
      </w:r>
      <w:r w:rsidR="00833CC2" w:rsidRPr="00972D9D">
        <w:rPr>
          <w:rFonts w:ascii="Verdana" w:hAnsi="Verdana" w:cs="Tahoma"/>
          <w:sz w:val="20"/>
          <w:szCs w:val="20"/>
        </w:rPr>
        <w:t xml:space="preserve"> como manifestaron</w:t>
      </w:r>
      <w:r w:rsidR="009C3AA1" w:rsidRPr="00972D9D">
        <w:rPr>
          <w:rFonts w:ascii="Verdana" w:hAnsi="Verdana" w:cs="Tahoma"/>
          <w:sz w:val="20"/>
          <w:szCs w:val="20"/>
        </w:rPr>
        <w:t xml:space="preserve"> las víctimas al presentar las demandas correspondientes antes el juez federal. En vista de lo anterior </w:t>
      </w:r>
      <w:r w:rsidR="008C1265" w:rsidRPr="00972D9D">
        <w:rPr>
          <w:rFonts w:ascii="Verdana" w:hAnsi="Verdana" w:cs="Tahoma"/>
          <w:sz w:val="20"/>
          <w:szCs w:val="20"/>
        </w:rPr>
        <w:t>los procedimientos administrativo y judicial dur</w:t>
      </w:r>
      <w:r w:rsidR="00725E0B">
        <w:rPr>
          <w:rFonts w:ascii="Verdana" w:hAnsi="Verdana" w:cs="Tahoma"/>
          <w:sz w:val="20"/>
          <w:szCs w:val="20"/>
        </w:rPr>
        <w:t>aron</w:t>
      </w:r>
      <w:r w:rsidR="008C1265" w:rsidRPr="00972D9D">
        <w:rPr>
          <w:rFonts w:ascii="Verdana" w:hAnsi="Verdana" w:cs="Tahoma"/>
          <w:sz w:val="20"/>
          <w:szCs w:val="20"/>
        </w:rPr>
        <w:t xml:space="preserve"> </w:t>
      </w:r>
      <w:r w:rsidR="00833CC2" w:rsidRPr="00972D9D">
        <w:rPr>
          <w:rFonts w:ascii="Verdana" w:hAnsi="Verdana" w:cs="Tahoma"/>
          <w:sz w:val="20"/>
          <w:szCs w:val="20"/>
        </w:rPr>
        <w:t xml:space="preserve">trece </w:t>
      </w:r>
      <w:r w:rsidR="008C1265" w:rsidRPr="00972D9D">
        <w:rPr>
          <w:rFonts w:ascii="Verdana" w:hAnsi="Verdana" w:cs="Tahoma"/>
          <w:sz w:val="20"/>
          <w:szCs w:val="20"/>
        </w:rPr>
        <w:t>años</w:t>
      </w:r>
      <w:r w:rsidR="004D6659">
        <w:rPr>
          <w:rFonts w:ascii="Verdana" w:hAnsi="Verdana" w:cs="Tahoma"/>
          <w:sz w:val="20"/>
          <w:szCs w:val="20"/>
        </w:rPr>
        <w:t xml:space="preserve"> y catorce días</w:t>
      </w:r>
      <w:r w:rsidR="008C1265" w:rsidRPr="00972D9D">
        <w:rPr>
          <w:rFonts w:ascii="Verdana" w:hAnsi="Verdana" w:cs="Tahoma"/>
          <w:sz w:val="20"/>
          <w:szCs w:val="20"/>
        </w:rPr>
        <w:t xml:space="preserve"> en el caso de la señora </w:t>
      </w:r>
      <w:r w:rsidR="008C1265" w:rsidRPr="00BF6531">
        <w:rPr>
          <w:rFonts w:ascii="Verdana" w:hAnsi="Verdana" w:cs="Tahoma"/>
          <w:sz w:val="20"/>
          <w:szCs w:val="20"/>
        </w:rPr>
        <w:t xml:space="preserve">Perrone </w:t>
      </w:r>
      <w:r w:rsidR="00543E5A" w:rsidRPr="00BF6531">
        <w:rPr>
          <w:rFonts w:ascii="Verdana" w:hAnsi="Verdana" w:cs="Tahoma"/>
          <w:sz w:val="20"/>
          <w:szCs w:val="20"/>
        </w:rPr>
        <w:t xml:space="preserve">(de los cuales más de </w:t>
      </w:r>
      <w:r w:rsidR="009C6CFD" w:rsidRPr="00BF6531">
        <w:rPr>
          <w:rFonts w:ascii="Verdana" w:hAnsi="Verdana" w:cs="Tahoma"/>
          <w:sz w:val="20"/>
          <w:szCs w:val="20"/>
        </w:rPr>
        <w:t>on</w:t>
      </w:r>
      <w:r w:rsidR="00543E5A" w:rsidRPr="00BF6531">
        <w:rPr>
          <w:rFonts w:ascii="Verdana" w:hAnsi="Verdana" w:cs="Tahoma"/>
          <w:sz w:val="20"/>
          <w:szCs w:val="20"/>
        </w:rPr>
        <w:t>ce años transcurrieron a partir de</w:t>
      </w:r>
      <w:r w:rsidR="00C12E00" w:rsidRPr="00BF6531">
        <w:rPr>
          <w:rFonts w:ascii="Verdana" w:hAnsi="Verdana" w:cs="Tahoma"/>
          <w:sz w:val="20"/>
          <w:szCs w:val="20"/>
        </w:rPr>
        <w:t xml:space="preserve"> </w:t>
      </w:r>
      <w:r w:rsidR="00543E5A" w:rsidRPr="00BF6531">
        <w:rPr>
          <w:rFonts w:ascii="Verdana" w:hAnsi="Verdana" w:cs="Tahoma"/>
          <w:sz w:val="20"/>
          <w:szCs w:val="20"/>
        </w:rPr>
        <w:t>l</w:t>
      </w:r>
      <w:r w:rsidR="00C12E00" w:rsidRPr="00BF6531">
        <w:rPr>
          <w:rFonts w:ascii="Verdana" w:hAnsi="Verdana" w:cs="Tahoma"/>
          <w:sz w:val="20"/>
          <w:szCs w:val="20"/>
        </w:rPr>
        <w:t>a ratificación de la Convención</w:t>
      </w:r>
      <w:r w:rsidR="00BF6531" w:rsidRPr="00BF6531">
        <w:rPr>
          <w:rFonts w:ascii="Verdana" w:hAnsi="Verdana" w:cs="Tahoma"/>
          <w:sz w:val="20"/>
          <w:szCs w:val="20"/>
        </w:rPr>
        <w:t xml:space="preserve"> Americana</w:t>
      </w:r>
      <w:r w:rsidR="00C12E00" w:rsidRPr="00BF6531">
        <w:rPr>
          <w:rFonts w:ascii="Verdana" w:hAnsi="Verdana" w:cs="Tahoma"/>
          <w:sz w:val="20"/>
          <w:szCs w:val="20"/>
        </w:rPr>
        <w:t xml:space="preserve"> y el </w:t>
      </w:r>
      <w:r w:rsidR="00543E5A" w:rsidRPr="00BF6531">
        <w:rPr>
          <w:rFonts w:ascii="Verdana" w:hAnsi="Verdana" w:cs="Tahoma"/>
          <w:sz w:val="20"/>
          <w:szCs w:val="20"/>
        </w:rPr>
        <w:t>reconocimiento por parte de Argentina de la competencia contenciosa de la Corte)</w:t>
      </w:r>
      <w:r w:rsidR="00543E5A">
        <w:rPr>
          <w:rFonts w:ascii="Verdana" w:hAnsi="Verdana" w:cs="Tahoma"/>
          <w:sz w:val="20"/>
          <w:szCs w:val="20"/>
        </w:rPr>
        <w:t xml:space="preserve"> </w:t>
      </w:r>
      <w:r w:rsidR="008C1265" w:rsidRPr="00972D9D">
        <w:rPr>
          <w:rFonts w:ascii="Verdana" w:hAnsi="Verdana" w:cs="Tahoma"/>
          <w:sz w:val="20"/>
          <w:szCs w:val="20"/>
        </w:rPr>
        <w:t xml:space="preserve">y </w:t>
      </w:r>
      <w:r w:rsidR="009C3AA1" w:rsidRPr="00972D9D">
        <w:rPr>
          <w:rFonts w:ascii="Verdana" w:hAnsi="Verdana" w:cs="Tahoma"/>
          <w:sz w:val="20"/>
          <w:szCs w:val="20"/>
        </w:rPr>
        <w:t xml:space="preserve"> </w:t>
      </w:r>
      <w:r w:rsidR="004602D7" w:rsidRPr="00972D9D">
        <w:rPr>
          <w:rFonts w:ascii="Verdana" w:hAnsi="Verdana" w:cs="Tahoma"/>
          <w:sz w:val="20"/>
          <w:szCs w:val="20"/>
        </w:rPr>
        <w:t xml:space="preserve">aproximadamente </w:t>
      </w:r>
      <w:r w:rsidR="008C1265" w:rsidRPr="00972D9D">
        <w:rPr>
          <w:rFonts w:ascii="Verdana" w:hAnsi="Verdana" w:cs="Tahoma"/>
          <w:sz w:val="20"/>
          <w:szCs w:val="20"/>
        </w:rPr>
        <w:t xml:space="preserve">diez años y </w:t>
      </w:r>
      <w:r w:rsidR="00833CC2" w:rsidRPr="00972D9D">
        <w:rPr>
          <w:rFonts w:ascii="Verdana" w:hAnsi="Verdana" w:cs="Tahoma"/>
          <w:sz w:val="20"/>
          <w:szCs w:val="20"/>
        </w:rPr>
        <w:t>once</w:t>
      </w:r>
      <w:r w:rsidR="008C1265" w:rsidRPr="00972D9D">
        <w:rPr>
          <w:rFonts w:ascii="Verdana" w:hAnsi="Verdana" w:cs="Tahoma"/>
          <w:sz w:val="20"/>
          <w:szCs w:val="20"/>
        </w:rPr>
        <w:t xml:space="preserve"> meses en el caso del señor Preckel.</w:t>
      </w:r>
    </w:p>
    <w:p w14:paraId="74A4238B" w14:textId="0DB92565" w:rsidR="00B6244B" w:rsidRPr="00972D9D" w:rsidRDefault="008C1265"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lang w:val="es-CR"/>
        </w:rPr>
      </w:pPr>
      <w:r w:rsidRPr="00972D9D">
        <w:rPr>
          <w:rFonts w:ascii="Verdana" w:hAnsi="Verdana" w:cs="Tahoma"/>
          <w:sz w:val="20"/>
          <w:szCs w:val="20"/>
          <w:lang w:val="es-CR"/>
        </w:rPr>
        <w:t xml:space="preserve">En </w:t>
      </w:r>
      <w:r w:rsidR="005E51F2" w:rsidRPr="00972D9D">
        <w:rPr>
          <w:rFonts w:ascii="Verdana" w:hAnsi="Verdana" w:cs="Tahoma"/>
          <w:sz w:val="20"/>
          <w:szCs w:val="20"/>
        </w:rPr>
        <w:t>cuanto a la complejidad del asunto, este Tribunal ha tenido en cuenta diversos criterios como la complejidad de la prueba, la pluralidad de los sujetos procesales o la cantidad de víctimas, el tiempo transcurrido desde la violación, las características del recurso consagradas en la legislación interna y el contexto</w:t>
      </w:r>
      <w:r w:rsidR="005E51F2" w:rsidRPr="00972D9D">
        <w:rPr>
          <w:rStyle w:val="Refdenotaalpie"/>
          <w:rFonts w:ascii="Verdana" w:hAnsi="Verdana" w:cs="Tahoma"/>
          <w:sz w:val="20"/>
          <w:szCs w:val="20"/>
        </w:rPr>
        <w:footnoteReference w:id="129"/>
      </w:r>
      <w:r w:rsidR="005E51F2" w:rsidRPr="00972D9D">
        <w:rPr>
          <w:rFonts w:ascii="Verdana" w:hAnsi="Verdana" w:cs="Tahoma"/>
          <w:sz w:val="20"/>
          <w:szCs w:val="20"/>
        </w:rPr>
        <w:t xml:space="preserve">. En este sentido, </w:t>
      </w:r>
      <w:r w:rsidR="00725E0B">
        <w:rPr>
          <w:rFonts w:ascii="Verdana" w:hAnsi="Verdana" w:cs="Tahoma"/>
          <w:sz w:val="20"/>
          <w:szCs w:val="20"/>
        </w:rPr>
        <w:t xml:space="preserve">en </w:t>
      </w:r>
      <w:r w:rsidR="005E51F2" w:rsidRPr="00972D9D">
        <w:rPr>
          <w:rFonts w:ascii="Verdana" w:hAnsi="Verdana" w:cs="Tahoma"/>
          <w:sz w:val="20"/>
          <w:szCs w:val="20"/>
        </w:rPr>
        <w:t xml:space="preserve">el presente caso no </w:t>
      </w:r>
      <w:r w:rsidR="00725E0B">
        <w:rPr>
          <w:rFonts w:ascii="Verdana" w:hAnsi="Verdana" w:cs="Tahoma"/>
          <w:sz w:val="20"/>
          <w:szCs w:val="20"/>
        </w:rPr>
        <w:t xml:space="preserve">había </w:t>
      </w:r>
      <w:r w:rsidR="005E51F2" w:rsidRPr="00972D9D">
        <w:rPr>
          <w:rFonts w:ascii="Verdana" w:hAnsi="Verdana" w:cs="Tahoma"/>
          <w:sz w:val="20"/>
          <w:szCs w:val="20"/>
        </w:rPr>
        <w:t>pluralidad de víctimas</w:t>
      </w:r>
      <w:r w:rsidR="00884FC8">
        <w:rPr>
          <w:rFonts w:ascii="Verdana" w:hAnsi="Verdana" w:cs="Tahoma"/>
          <w:sz w:val="20"/>
          <w:szCs w:val="20"/>
        </w:rPr>
        <w:t>,</w:t>
      </w:r>
      <w:r w:rsidR="005E51F2" w:rsidRPr="00972D9D">
        <w:rPr>
          <w:rFonts w:ascii="Verdana" w:hAnsi="Verdana" w:cs="Tahoma"/>
          <w:sz w:val="20"/>
          <w:szCs w:val="20"/>
        </w:rPr>
        <w:t xml:space="preserve"> </w:t>
      </w:r>
      <w:r w:rsidR="00884FC8">
        <w:rPr>
          <w:rFonts w:ascii="Verdana" w:hAnsi="Verdana" w:cs="Tahoma"/>
          <w:sz w:val="20"/>
          <w:szCs w:val="20"/>
        </w:rPr>
        <w:t xml:space="preserve">carecía de </w:t>
      </w:r>
      <w:r w:rsidR="001663EE">
        <w:rPr>
          <w:rFonts w:ascii="Verdana" w:hAnsi="Verdana" w:cs="Tahoma"/>
          <w:sz w:val="20"/>
          <w:szCs w:val="20"/>
        </w:rPr>
        <w:t>dificultades probatorias</w:t>
      </w:r>
      <w:r w:rsidR="005E51F2" w:rsidRPr="00972D9D">
        <w:rPr>
          <w:rFonts w:ascii="Verdana" w:hAnsi="Verdana" w:cs="Tahoma"/>
          <w:sz w:val="20"/>
          <w:szCs w:val="20"/>
        </w:rPr>
        <w:t xml:space="preserve">, </w:t>
      </w:r>
      <w:r w:rsidR="00884FC8">
        <w:rPr>
          <w:rFonts w:ascii="Verdana" w:hAnsi="Verdana" w:cs="Tahoma"/>
          <w:sz w:val="20"/>
          <w:szCs w:val="20"/>
        </w:rPr>
        <w:t>y no</w:t>
      </w:r>
      <w:r w:rsidR="005E51F2" w:rsidRPr="00972D9D">
        <w:rPr>
          <w:rFonts w:ascii="Verdana" w:hAnsi="Verdana" w:cs="Tahoma"/>
          <w:sz w:val="20"/>
          <w:szCs w:val="20"/>
        </w:rPr>
        <w:t xml:space="preserve"> </w:t>
      </w:r>
      <w:r w:rsidR="001663EE">
        <w:rPr>
          <w:rFonts w:ascii="Verdana" w:hAnsi="Verdana" w:cs="Tahoma"/>
          <w:sz w:val="20"/>
          <w:szCs w:val="20"/>
        </w:rPr>
        <w:t xml:space="preserve">requería llevar a cabo </w:t>
      </w:r>
      <w:r w:rsidR="005E51F2" w:rsidRPr="00972D9D">
        <w:rPr>
          <w:rFonts w:ascii="Verdana" w:hAnsi="Verdana" w:cs="Tahoma"/>
          <w:sz w:val="20"/>
          <w:szCs w:val="20"/>
        </w:rPr>
        <w:t xml:space="preserve">múltiples actuaciones </w:t>
      </w:r>
      <w:r w:rsidRPr="00972D9D">
        <w:rPr>
          <w:rFonts w:ascii="Verdana" w:hAnsi="Verdana" w:cs="Tahoma"/>
          <w:sz w:val="20"/>
          <w:szCs w:val="20"/>
        </w:rPr>
        <w:t xml:space="preserve">administrativas o </w:t>
      </w:r>
      <w:r w:rsidR="005E51F2" w:rsidRPr="00972D9D">
        <w:rPr>
          <w:rFonts w:ascii="Verdana" w:hAnsi="Verdana" w:cs="Tahoma"/>
          <w:sz w:val="20"/>
          <w:szCs w:val="20"/>
        </w:rPr>
        <w:t>judiciales, lo que pudiera configurar un caso complejo en su propia integración</w:t>
      </w:r>
      <w:r w:rsidRPr="00972D9D">
        <w:rPr>
          <w:rFonts w:ascii="Verdana" w:hAnsi="Verdana" w:cs="Tahoma"/>
          <w:sz w:val="20"/>
          <w:szCs w:val="20"/>
        </w:rPr>
        <w:t>. N</w:t>
      </w:r>
      <w:r w:rsidR="005E51F2" w:rsidRPr="00972D9D">
        <w:rPr>
          <w:rFonts w:ascii="Verdana" w:hAnsi="Verdana" w:cs="Tahoma"/>
          <w:sz w:val="20"/>
          <w:szCs w:val="20"/>
        </w:rPr>
        <w:t xml:space="preserve">o obstante, según fue señalado por las autoridades administrativas, el caso </w:t>
      </w:r>
      <w:r w:rsidR="00884FC8">
        <w:rPr>
          <w:rFonts w:ascii="Verdana" w:hAnsi="Verdana" w:cs="Tahoma"/>
          <w:sz w:val="20"/>
          <w:szCs w:val="20"/>
        </w:rPr>
        <w:t>no contaba con</w:t>
      </w:r>
      <w:r w:rsidR="005E51F2" w:rsidRPr="00972D9D">
        <w:rPr>
          <w:rFonts w:ascii="Verdana" w:hAnsi="Verdana" w:cs="Tahoma"/>
          <w:sz w:val="20"/>
          <w:szCs w:val="20"/>
        </w:rPr>
        <w:t xml:space="preserve"> </w:t>
      </w:r>
      <w:r w:rsidR="00884FC8">
        <w:rPr>
          <w:rFonts w:ascii="Verdana" w:hAnsi="Verdana" w:cs="Tahoma"/>
          <w:sz w:val="20"/>
          <w:szCs w:val="20"/>
        </w:rPr>
        <w:t xml:space="preserve">precedentes </w:t>
      </w:r>
      <w:r w:rsidR="005E51F2" w:rsidRPr="00972D9D">
        <w:rPr>
          <w:rFonts w:ascii="Verdana" w:hAnsi="Verdana" w:cs="Tahoma"/>
          <w:sz w:val="20"/>
          <w:szCs w:val="20"/>
        </w:rPr>
        <w:t xml:space="preserve">por sus implicaciones colectivas, </w:t>
      </w:r>
      <w:r w:rsidR="001663EE">
        <w:rPr>
          <w:rFonts w:ascii="Verdana" w:hAnsi="Verdana" w:cs="Tahoma"/>
          <w:sz w:val="20"/>
          <w:szCs w:val="20"/>
        </w:rPr>
        <w:t xml:space="preserve">lo </w:t>
      </w:r>
      <w:r w:rsidR="005E51F2" w:rsidRPr="00972D9D">
        <w:rPr>
          <w:rFonts w:ascii="Verdana" w:hAnsi="Verdana" w:cs="Tahoma"/>
          <w:sz w:val="20"/>
          <w:szCs w:val="20"/>
        </w:rPr>
        <w:t>que requiri</w:t>
      </w:r>
      <w:r w:rsidR="001663EE">
        <w:rPr>
          <w:rFonts w:ascii="Verdana" w:hAnsi="Verdana" w:cs="Tahoma"/>
          <w:sz w:val="20"/>
          <w:szCs w:val="20"/>
        </w:rPr>
        <w:t>ó</w:t>
      </w:r>
      <w:r w:rsidR="005E51F2" w:rsidRPr="00972D9D">
        <w:rPr>
          <w:rFonts w:ascii="Verdana" w:hAnsi="Verdana" w:cs="Tahoma"/>
          <w:sz w:val="20"/>
          <w:szCs w:val="20"/>
        </w:rPr>
        <w:t xml:space="preserve"> la consulta de entidades</w:t>
      </w:r>
      <w:r w:rsidR="001663EE">
        <w:rPr>
          <w:rFonts w:ascii="Verdana" w:hAnsi="Verdana" w:cs="Tahoma"/>
          <w:sz w:val="20"/>
          <w:szCs w:val="20"/>
        </w:rPr>
        <w:t xml:space="preserve"> </w:t>
      </w:r>
      <w:r w:rsidR="005E51F2" w:rsidRPr="00972D9D">
        <w:rPr>
          <w:rFonts w:ascii="Verdana" w:hAnsi="Verdana" w:cs="Tahoma"/>
          <w:sz w:val="20"/>
          <w:szCs w:val="20"/>
        </w:rPr>
        <w:t xml:space="preserve">internas </w:t>
      </w:r>
      <w:r w:rsidR="005E51F2" w:rsidRPr="00972D9D">
        <w:rPr>
          <w:rFonts w:ascii="Verdana" w:hAnsi="Verdana" w:cs="Tahoma"/>
          <w:sz w:val="20"/>
          <w:szCs w:val="20"/>
        </w:rPr>
        <w:lastRenderedPageBreak/>
        <w:t>(</w:t>
      </w:r>
      <w:r w:rsidR="005E51F2" w:rsidRPr="00972D9D">
        <w:rPr>
          <w:rFonts w:ascii="Verdana" w:hAnsi="Verdana" w:cs="Tahoma"/>
          <w:i/>
          <w:sz w:val="20"/>
          <w:szCs w:val="20"/>
        </w:rPr>
        <w:t>supra</w:t>
      </w:r>
      <w:r w:rsidR="005E51F2" w:rsidRPr="00972D9D">
        <w:rPr>
          <w:rFonts w:ascii="Verdana" w:hAnsi="Verdana" w:cs="Tahoma"/>
          <w:sz w:val="20"/>
          <w:szCs w:val="20"/>
        </w:rPr>
        <w:t xml:space="preserve"> párr. </w:t>
      </w:r>
      <w:r w:rsidR="00233B2F">
        <w:rPr>
          <w:rFonts w:ascii="Verdana" w:hAnsi="Verdana" w:cs="Tahoma"/>
          <w:sz w:val="20"/>
          <w:szCs w:val="20"/>
        </w:rPr>
        <w:t>74</w:t>
      </w:r>
      <w:r w:rsidR="005E51F2" w:rsidRPr="00972D9D">
        <w:rPr>
          <w:rFonts w:ascii="Verdana" w:hAnsi="Verdana" w:cs="Tahoma"/>
          <w:sz w:val="20"/>
          <w:szCs w:val="20"/>
        </w:rPr>
        <w:t>), situación que</w:t>
      </w:r>
      <w:r w:rsidR="007C0EBE" w:rsidRPr="00972D9D">
        <w:rPr>
          <w:rFonts w:ascii="Verdana" w:hAnsi="Verdana" w:cs="Tahoma"/>
          <w:sz w:val="20"/>
          <w:szCs w:val="20"/>
        </w:rPr>
        <w:t xml:space="preserve"> pudo tornar</w:t>
      </w:r>
      <w:r w:rsidRPr="00972D9D">
        <w:rPr>
          <w:rFonts w:ascii="Verdana" w:hAnsi="Verdana" w:cs="Tahoma"/>
          <w:sz w:val="20"/>
          <w:szCs w:val="20"/>
        </w:rPr>
        <w:t xml:space="preserve"> compleja </w:t>
      </w:r>
      <w:r w:rsidR="005E51F2" w:rsidRPr="00972D9D">
        <w:rPr>
          <w:rFonts w:ascii="Verdana" w:hAnsi="Verdana" w:cs="Tahoma"/>
          <w:sz w:val="20"/>
          <w:szCs w:val="20"/>
        </w:rPr>
        <w:t xml:space="preserve">la resolución del asunto en un primer momento ante las autoridades administrativas. Sin perjuicio de lo anterior, ante las autoridades judiciales, el tema versaba principalmente sobre la interpretación de normas internas. </w:t>
      </w:r>
    </w:p>
    <w:p w14:paraId="4A77EC80" w14:textId="61169EC6" w:rsidR="00B6244B" w:rsidRPr="00972D9D" w:rsidRDefault="005E51F2"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lang w:val="es-CR"/>
        </w:rPr>
      </w:pPr>
      <w:r w:rsidRPr="00972D9D">
        <w:rPr>
          <w:rFonts w:ascii="Verdana" w:hAnsi="Verdana" w:cs="Tahoma"/>
          <w:sz w:val="20"/>
          <w:szCs w:val="20"/>
        </w:rPr>
        <w:t xml:space="preserve">En cuanto a la actividad procesal de las partes, la Corte constata que las presuntas víctimas dieron seguimiento e impulso a sus procesos, por lo que no se desprende que su actividad haya constituido alguna forma de obstrucción o dilación indebida. </w:t>
      </w:r>
      <w:r w:rsidR="008C1265" w:rsidRPr="00972D9D">
        <w:rPr>
          <w:rFonts w:ascii="Verdana" w:hAnsi="Verdana" w:cs="Tahoma"/>
          <w:sz w:val="20"/>
          <w:szCs w:val="20"/>
        </w:rPr>
        <w:t>En efecto, en sede administrativa la señora Perrone</w:t>
      </w:r>
      <w:r w:rsidR="004602D7" w:rsidRPr="00972D9D">
        <w:rPr>
          <w:rFonts w:ascii="Verdana" w:hAnsi="Verdana" w:cs="Tahoma"/>
          <w:sz w:val="20"/>
          <w:szCs w:val="20"/>
        </w:rPr>
        <w:t xml:space="preserve"> presentó el primer escrito a la DGI el 27 de abril de 1983,</w:t>
      </w:r>
      <w:r w:rsidR="0077533F">
        <w:rPr>
          <w:rFonts w:ascii="Verdana" w:hAnsi="Verdana" w:cs="Tahoma"/>
          <w:sz w:val="20"/>
          <w:szCs w:val="20"/>
        </w:rPr>
        <w:t xml:space="preserve"> </w:t>
      </w:r>
      <w:r w:rsidR="0077533F" w:rsidRPr="00BF6531">
        <w:rPr>
          <w:rFonts w:ascii="Verdana" w:hAnsi="Verdana" w:cs="Tahoma"/>
          <w:sz w:val="20"/>
          <w:szCs w:val="20"/>
        </w:rPr>
        <w:t>antes de</w:t>
      </w:r>
      <w:r w:rsidR="00C12E00" w:rsidRPr="00BF6531">
        <w:rPr>
          <w:rFonts w:ascii="Verdana" w:hAnsi="Verdana" w:cs="Tahoma"/>
          <w:sz w:val="20"/>
          <w:szCs w:val="20"/>
        </w:rPr>
        <w:t xml:space="preserve"> </w:t>
      </w:r>
      <w:r w:rsidR="0077533F" w:rsidRPr="00BF6531">
        <w:rPr>
          <w:rFonts w:ascii="Verdana" w:hAnsi="Verdana" w:cs="Tahoma"/>
          <w:sz w:val="20"/>
          <w:szCs w:val="20"/>
        </w:rPr>
        <w:t>l</w:t>
      </w:r>
      <w:r w:rsidR="00C12E00" w:rsidRPr="00BF6531">
        <w:rPr>
          <w:rFonts w:ascii="Verdana" w:hAnsi="Verdana" w:cs="Tahoma"/>
          <w:sz w:val="20"/>
          <w:szCs w:val="20"/>
        </w:rPr>
        <w:t xml:space="preserve">a ratificación de la Convención </w:t>
      </w:r>
      <w:r w:rsidR="00BF6531" w:rsidRPr="00BF6531">
        <w:rPr>
          <w:rFonts w:ascii="Verdana" w:hAnsi="Verdana" w:cs="Tahoma"/>
          <w:sz w:val="20"/>
          <w:szCs w:val="20"/>
        </w:rPr>
        <w:t xml:space="preserve">Americana </w:t>
      </w:r>
      <w:r w:rsidR="00C12E00" w:rsidRPr="00BF6531">
        <w:rPr>
          <w:rFonts w:ascii="Verdana" w:hAnsi="Verdana" w:cs="Tahoma"/>
          <w:sz w:val="20"/>
          <w:szCs w:val="20"/>
        </w:rPr>
        <w:t xml:space="preserve">y el </w:t>
      </w:r>
      <w:r w:rsidR="0077533F" w:rsidRPr="00BF6531">
        <w:rPr>
          <w:rFonts w:ascii="Verdana" w:hAnsi="Verdana" w:cs="Tahoma"/>
          <w:sz w:val="20"/>
          <w:szCs w:val="20"/>
        </w:rPr>
        <w:t>reconocimiento por parte de Argentina de la competencia contenciosa de la Corte</w:t>
      </w:r>
      <w:r w:rsidR="0077533F">
        <w:rPr>
          <w:rFonts w:ascii="Verdana" w:hAnsi="Verdana" w:cs="Tahoma"/>
          <w:sz w:val="20"/>
          <w:szCs w:val="20"/>
        </w:rPr>
        <w:t>,</w:t>
      </w:r>
      <w:r w:rsidR="004602D7" w:rsidRPr="00972D9D">
        <w:rPr>
          <w:rFonts w:ascii="Verdana" w:hAnsi="Verdana" w:cs="Tahoma"/>
          <w:sz w:val="20"/>
          <w:szCs w:val="20"/>
        </w:rPr>
        <w:t xml:space="preserve"> luego el </w:t>
      </w:r>
      <w:r w:rsidR="00C97539" w:rsidRPr="00972D9D">
        <w:rPr>
          <w:rFonts w:ascii="Verdana" w:hAnsi="Verdana" w:cs="Tahoma"/>
          <w:sz w:val="20"/>
          <w:szCs w:val="20"/>
        </w:rPr>
        <w:t xml:space="preserve">2 </w:t>
      </w:r>
      <w:r w:rsidR="004602D7" w:rsidRPr="00972D9D">
        <w:rPr>
          <w:rFonts w:ascii="Verdana" w:hAnsi="Verdana" w:cs="Tahoma"/>
          <w:sz w:val="20"/>
          <w:szCs w:val="20"/>
        </w:rPr>
        <w:t xml:space="preserve">de diciembre de 1985 solicitó la pronta resolución de su </w:t>
      </w:r>
      <w:r w:rsidR="00C97539" w:rsidRPr="00972D9D">
        <w:rPr>
          <w:rFonts w:ascii="Verdana" w:hAnsi="Verdana" w:cs="Tahoma"/>
          <w:sz w:val="20"/>
          <w:szCs w:val="20"/>
        </w:rPr>
        <w:t xml:space="preserve">solicitud </w:t>
      </w:r>
      <w:r w:rsidR="004602D7" w:rsidRPr="00972D9D">
        <w:rPr>
          <w:rFonts w:ascii="Verdana" w:hAnsi="Verdana" w:cs="Tahoma"/>
          <w:sz w:val="20"/>
          <w:szCs w:val="20"/>
        </w:rPr>
        <w:t xml:space="preserve">y en marzo de 1987 interpuso el recurso jerárquico correspondiente contra la decisión de la DGI que denegó la reclamación. </w:t>
      </w:r>
      <w:r w:rsidR="007C0EBE" w:rsidRPr="00972D9D">
        <w:rPr>
          <w:rFonts w:ascii="Verdana" w:hAnsi="Verdana" w:cs="Tahoma"/>
          <w:sz w:val="20"/>
          <w:szCs w:val="20"/>
        </w:rPr>
        <w:t>E</w:t>
      </w:r>
      <w:r w:rsidR="004602D7" w:rsidRPr="00972D9D">
        <w:rPr>
          <w:rFonts w:ascii="Verdana" w:hAnsi="Verdana" w:cs="Tahoma"/>
          <w:sz w:val="20"/>
          <w:szCs w:val="20"/>
        </w:rPr>
        <w:t xml:space="preserve">n sede judicial presentó demanda el 24 de junio de 1988, y luego interpuso el recurso de apelación contra la sentencia de segunda instancia emitida por el juez federal el 12 de febrero de 1992. Por su parte el señor Preckel presentó un recurso administrativo ante la DGI el 2 de julio de 1985, luego el 27 de diciembre del mismo año solicitó el pronto despacho de su reclamación </w:t>
      </w:r>
      <w:r w:rsidR="00587A34" w:rsidRPr="00972D9D">
        <w:rPr>
          <w:rFonts w:ascii="Verdana" w:hAnsi="Verdana" w:cs="Tahoma"/>
          <w:sz w:val="20"/>
          <w:szCs w:val="20"/>
        </w:rPr>
        <w:t xml:space="preserve">y posteriormente el 15 de octubre de 1987 presentó una demanda de amparo para efectos de que se resolviera su petición por parte de la DGI. En relación </w:t>
      </w:r>
      <w:r w:rsidR="00C97539" w:rsidRPr="00972D9D">
        <w:rPr>
          <w:rFonts w:ascii="Verdana" w:hAnsi="Verdana" w:cs="Tahoma"/>
          <w:sz w:val="20"/>
          <w:szCs w:val="20"/>
        </w:rPr>
        <w:t>con el</w:t>
      </w:r>
      <w:r w:rsidR="00587A34" w:rsidRPr="00972D9D">
        <w:rPr>
          <w:rFonts w:ascii="Verdana" w:hAnsi="Verdana" w:cs="Tahoma"/>
          <w:sz w:val="20"/>
          <w:szCs w:val="20"/>
        </w:rPr>
        <w:t xml:space="preserve"> proceso judicial el señor Preckel presentó demanda ante el juez federal el 24 de junio de 1988</w:t>
      </w:r>
      <w:r w:rsidR="00C97539" w:rsidRPr="00972D9D">
        <w:rPr>
          <w:rFonts w:ascii="Verdana" w:hAnsi="Verdana" w:cs="Tahoma"/>
          <w:sz w:val="20"/>
          <w:szCs w:val="20"/>
        </w:rPr>
        <w:t>, y luego int</w:t>
      </w:r>
      <w:r w:rsidR="00587A34" w:rsidRPr="00972D9D">
        <w:rPr>
          <w:rFonts w:ascii="Verdana" w:hAnsi="Verdana" w:cs="Tahoma"/>
          <w:sz w:val="20"/>
          <w:szCs w:val="20"/>
        </w:rPr>
        <w:t xml:space="preserve">erpuso recurso de apelación contra el fallo de primera instancia, el cual fue fallado en forma desfavorable, lo que dio lugar a que interpusiera el 24 de diciembre de 1992 un recurso extraordinario de apelación el cual fue declarado sin lugar, lo que su vez </w:t>
      </w:r>
      <w:r w:rsidR="00C97539" w:rsidRPr="00972D9D">
        <w:rPr>
          <w:rFonts w:ascii="Verdana" w:hAnsi="Verdana" w:cs="Tahoma"/>
          <w:sz w:val="20"/>
          <w:szCs w:val="20"/>
        </w:rPr>
        <w:t>motivó</w:t>
      </w:r>
      <w:r w:rsidR="00587A34" w:rsidRPr="00972D9D">
        <w:rPr>
          <w:rFonts w:ascii="Verdana" w:hAnsi="Verdana" w:cs="Tahoma"/>
          <w:sz w:val="20"/>
          <w:szCs w:val="20"/>
        </w:rPr>
        <w:t xml:space="preserve"> que presentara un recurso extraordinario de queja</w:t>
      </w:r>
      <w:r w:rsidR="004602D7" w:rsidRPr="00972D9D">
        <w:rPr>
          <w:rFonts w:ascii="Verdana" w:hAnsi="Verdana" w:cs="Tahoma"/>
          <w:sz w:val="20"/>
          <w:szCs w:val="20"/>
        </w:rPr>
        <w:t xml:space="preserve"> </w:t>
      </w:r>
      <w:r w:rsidR="00C97539" w:rsidRPr="00972D9D">
        <w:rPr>
          <w:rFonts w:ascii="Verdana" w:hAnsi="Verdana" w:cs="Tahoma"/>
          <w:sz w:val="20"/>
          <w:szCs w:val="20"/>
        </w:rPr>
        <w:t>ante la Corte Suprema de Justicia de la Nación.</w:t>
      </w:r>
      <w:r w:rsidRPr="00972D9D">
        <w:rPr>
          <w:rFonts w:ascii="Verdana" w:hAnsi="Verdana" w:cs="Tahoma"/>
          <w:sz w:val="20"/>
          <w:szCs w:val="20"/>
        </w:rPr>
        <w:t xml:space="preserve"> </w:t>
      </w:r>
    </w:p>
    <w:p w14:paraId="13DC5B4D" w14:textId="77777777" w:rsidR="00A5025E" w:rsidRPr="00972D9D" w:rsidRDefault="007C7159"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lang w:val="es-CR"/>
        </w:rPr>
      </w:pPr>
      <w:r w:rsidRPr="00972D9D">
        <w:rPr>
          <w:rFonts w:ascii="Verdana" w:hAnsi="Verdana" w:cs="Tahoma"/>
          <w:sz w:val="20"/>
          <w:szCs w:val="20"/>
        </w:rPr>
        <w:t xml:space="preserve">En cuanto a la conducta de las autoridades judiciales y administrativas, la Corte nota </w:t>
      </w:r>
      <w:r w:rsidR="00A5025E" w:rsidRPr="00972D9D">
        <w:rPr>
          <w:rFonts w:ascii="Verdana" w:hAnsi="Verdana" w:cs="Tahoma"/>
          <w:sz w:val="20"/>
          <w:szCs w:val="20"/>
        </w:rPr>
        <w:t xml:space="preserve">en ambos casos </w:t>
      </w:r>
      <w:r w:rsidRPr="00972D9D">
        <w:rPr>
          <w:rFonts w:ascii="Verdana" w:hAnsi="Verdana" w:cs="Tahoma"/>
          <w:sz w:val="20"/>
          <w:szCs w:val="20"/>
        </w:rPr>
        <w:t>el prolongado período transcurrido desde la presentación inicial de las reclamaciones ante la DGI hasta su decisión definitiva en sede judicial, sin que del expediente surja información para justificarlo</w:t>
      </w:r>
      <w:r w:rsidR="00C97539" w:rsidRPr="00972D9D">
        <w:rPr>
          <w:rFonts w:ascii="Verdana" w:hAnsi="Verdana" w:cs="Tahoma"/>
          <w:sz w:val="20"/>
          <w:szCs w:val="20"/>
        </w:rPr>
        <w:t>, más allá de la ausencia de precedentes en la materia</w:t>
      </w:r>
      <w:r w:rsidR="00A5025E" w:rsidRPr="00972D9D">
        <w:rPr>
          <w:rFonts w:ascii="Verdana" w:hAnsi="Verdana" w:cs="Tahoma"/>
          <w:sz w:val="20"/>
          <w:szCs w:val="20"/>
        </w:rPr>
        <w:t>, como pasará a exponerlo a continuación.</w:t>
      </w:r>
    </w:p>
    <w:p w14:paraId="010D9C2E" w14:textId="27C2ACDF" w:rsidR="0011313E" w:rsidRPr="00972D9D" w:rsidRDefault="007C7159"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lang w:val="es-CR"/>
        </w:rPr>
      </w:pPr>
      <w:r w:rsidRPr="00972D9D">
        <w:rPr>
          <w:rFonts w:ascii="Verdana" w:hAnsi="Verdana" w:cs="Tahoma"/>
          <w:sz w:val="20"/>
          <w:szCs w:val="20"/>
        </w:rPr>
        <w:t xml:space="preserve">En el ámbito administrativo, las distintas actuaciones surtidas con ocasión de la solicitud de Elba Clotilde Perrone </w:t>
      </w:r>
      <w:r w:rsidR="00A5025E" w:rsidRPr="00972D9D">
        <w:rPr>
          <w:rFonts w:ascii="Verdana" w:hAnsi="Verdana" w:cs="Tahoma"/>
          <w:sz w:val="20"/>
          <w:szCs w:val="20"/>
        </w:rPr>
        <w:t xml:space="preserve">tuvieron </w:t>
      </w:r>
      <w:r w:rsidR="00C97539" w:rsidRPr="00972D9D">
        <w:rPr>
          <w:rFonts w:ascii="Verdana" w:hAnsi="Verdana" w:cs="Tahoma"/>
          <w:sz w:val="20"/>
          <w:szCs w:val="20"/>
        </w:rPr>
        <w:t xml:space="preserve">una duración </w:t>
      </w:r>
      <w:r w:rsidR="005E51F2" w:rsidRPr="00972D9D">
        <w:rPr>
          <w:rFonts w:ascii="Verdana" w:hAnsi="Verdana" w:cs="Tahoma"/>
          <w:sz w:val="20"/>
          <w:szCs w:val="20"/>
        </w:rPr>
        <w:t xml:space="preserve">de 3 años y 11 meses, </w:t>
      </w:r>
      <w:r w:rsidR="00A5025E" w:rsidRPr="00972D9D">
        <w:rPr>
          <w:rFonts w:ascii="Verdana" w:hAnsi="Verdana" w:cs="Tahoma"/>
          <w:sz w:val="20"/>
          <w:szCs w:val="20"/>
        </w:rPr>
        <w:t>lapso en el cual las distintas autoridades emitieron</w:t>
      </w:r>
      <w:r w:rsidR="005E51F2" w:rsidRPr="00972D9D">
        <w:rPr>
          <w:rFonts w:ascii="Verdana" w:hAnsi="Verdana" w:cs="Tahoma"/>
          <w:sz w:val="20"/>
          <w:szCs w:val="20"/>
        </w:rPr>
        <w:t xml:space="preserve"> cinco </w:t>
      </w:r>
      <w:r w:rsidR="00A5025E" w:rsidRPr="00972D9D">
        <w:rPr>
          <w:rFonts w:ascii="Verdana" w:hAnsi="Verdana" w:cs="Tahoma"/>
          <w:sz w:val="20"/>
          <w:szCs w:val="20"/>
        </w:rPr>
        <w:t>pronunciamientos</w:t>
      </w:r>
      <w:r w:rsidR="00C97539" w:rsidRPr="00972D9D">
        <w:rPr>
          <w:rFonts w:ascii="Verdana" w:hAnsi="Verdana" w:cs="Tahoma"/>
          <w:sz w:val="20"/>
          <w:szCs w:val="20"/>
        </w:rPr>
        <w:t>: (i) el 26 de mayo de 1984 por parte de la DATJ,</w:t>
      </w:r>
      <w:r w:rsidR="0077533F">
        <w:rPr>
          <w:rFonts w:ascii="Verdana" w:hAnsi="Verdana" w:cs="Tahoma"/>
          <w:sz w:val="20"/>
          <w:szCs w:val="20"/>
        </w:rPr>
        <w:t xml:space="preserve"> </w:t>
      </w:r>
      <w:r w:rsidR="00C97539" w:rsidRPr="00972D9D">
        <w:rPr>
          <w:rFonts w:ascii="Verdana" w:hAnsi="Verdana" w:cs="Tahoma"/>
          <w:sz w:val="20"/>
          <w:szCs w:val="20"/>
        </w:rPr>
        <w:t xml:space="preserve">(ii) </w:t>
      </w:r>
      <w:r w:rsidR="0011313E" w:rsidRPr="00972D9D">
        <w:rPr>
          <w:rFonts w:ascii="Verdana" w:hAnsi="Verdana" w:cs="Tahoma"/>
          <w:sz w:val="20"/>
          <w:szCs w:val="20"/>
        </w:rPr>
        <w:t xml:space="preserve">un segundo pronunciamiento </w:t>
      </w:r>
      <w:r w:rsidR="00C97539" w:rsidRPr="00972D9D">
        <w:rPr>
          <w:rFonts w:ascii="Verdana" w:hAnsi="Verdana" w:cs="Tahoma"/>
          <w:sz w:val="20"/>
          <w:szCs w:val="20"/>
        </w:rPr>
        <w:t>por parte de la DATJ</w:t>
      </w:r>
      <w:r w:rsidR="0011313E" w:rsidRPr="00972D9D">
        <w:rPr>
          <w:rFonts w:ascii="Verdana" w:hAnsi="Verdana" w:cs="Tahoma"/>
          <w:sz w:val="20"/>
          <w:szCs w:val="20"/>
        </w:rPr>
        <w:t xml:space="preserve"> el 28 de mayo de 1985</w:t>
      </w:r>
      <w:r w:rsidR="00C97539" w:rsidRPr="00972D9D">
        <w:rPr>
          <w:rFonts w:ascii="Verdana" w:hAnsi="Verdana" w:cs="Tahoma"/>
          <w:sz w:val="20"/>
          <w:szCs w:val="20"/>
        </w:rPr>
        <w:t>, (iii) el 24 de julio de 1985 por la Dirección General de Asuntos Jurídicos del Ministerio de Economía</w:t>
      </w:r>
      <w:r w:rsidR="005E51F2" w:rsidRPr="00972D9D">
        <w:rPr>
          <w:rFonts w:ascii="Verdana" w:hAnsi="Verdana" w:cs="Tahoma"/>
          <w:sz w:val="20"/>
          <w:szCs w:val="20"/>
        </w:rPr>
        <w:t xml:space="preserve">, </w:t>
      </w:r>
      <w:r w:rsidR="00C97539" w:rsidRPr="00972D9D">
        <w:rPr>
          <w:rFonts w:ascii="Verdana" w:hAnsi="Verdana" w:cs="Tahoma"/>
          <w:sz w:val="20"/>
          <w:szCs w:val="20"/>
        </w:rPr>
        <w:t>(iv) el 19 de septiembre de 1986 por la PTN y</w:t>
      </w:r>
      <w:r w:rsidR="00A5025E" w:rsidRPr="00972D9D">
        <w:rPr>
          <w:rFonts w:ascii="Verdana" w:hAnsi="Verdana" w:cs="Tahoma"/>
          <w:sz w:val="20"/>
          <w:szCs w:val="20"/>
        </w:rPr>
        <w:t>,</w:t>
      </w:r>
      <w:r w:rsidR="00C97539" w:rsidRPr="00972D9D">
        <w:rPr>
          <w:rFonts w:ascii="Verdana" w:hAnsi="Verdana" w:cs="Tahoma"/>
          <w:sz w:val="20"/>
          <w:szCs w:val="20"/>
        </w:rPr>
        <w:t xml:space="preserve"> finalmente</w:t>
      </w:r>
      <w:r w:rsidR="00A5025E" w:rsidRPr="00972D9D">
        <w:rPr>
          <w:rFonts w:ascii="Verdana" w:hAnsi="Verdana" w:cs="Tahoma"/>
          <w:sz w:val="20"/>
          <w:szCs w:val="20"/>
        </w:rPr>
        <w:t>,</w:t>
      </w:r>
      <w:r w:rsidR="00C97539" w:rsidRPr="00972D9D">
        <w:rPr>
          <w:rFonts w:ascii="Verdana" w:hAnsi="Verdana" w:cs="Tahoma"/>
          <w:sz w:val="20"/>
          <w:szCs w:val="20"/>
        </w:rPr>
        <w:t xml:space="preserve"> (v) el 19 de marzo de 1987 el Director General de la DGI emitió la Resolución No. 75/87, mediante la cual </w:t>
      </w:r>
      <w:r w:rsidR="0011313E" w:rsidRPr="00972D9D">
        <w:rPr>
          <w:rFonts w:ascii="Verdana" w:hAnsi="Verdana" w:cs="Tahoma"/>
          <w:sz w:val="20"/>
          <w:szCs w:val="20"/>
        </w:rPr>
        <w:t xml:space="preserve">finalmente se </w:t>
      </w:r>
      <w:r w:rsidR="00C97539" w:rsidRPr="00972D9D">
        <w:rPr>
          <w:rFonts w:ascii="Verdana" w:hAnsi="Verdana" w:cs="Tahoma"/>
          <w:sz w:val="20"/>
          <w:szCs w:val="20"/>
        </w:rPr>
        <w:t>desestim</w:t>
      </w:r>
      <w:r w:rsidR="0011313E" w:rsidRPr="00972D9D">
        <w:rPr>
          <w:rFonts w:ascii="Verdana" w:hAnsi="Verdana" w:cs="Tahoma"/>
          <w:sz w:val="20"/>
          <w:szCs w:val="20"/>
        </w:rPr>
        <w:t>aron</w:t>
      </w:r>
      <w:r w:rsidR="00C97539" w:rsidRPr="00972D9D">
        <w:rPr>
          <w:rFonts w:ascii="Verdana" w:hAnsi="Verdana" w:cs="Tahoma"/>
          <w:sz w:val="20"/>
          <w:szCs w:val="20"/>
        </w:rPr>
        <w:t xml:space="preserve"> </w:t>
      </w:r>
      <w:r w:rsidR="0077533F">
        <w:rPr>
          <w:rFonts w:ascii="Verdana" w:hAnsi="Verdana" w:cs="Tahoma"/>
          <w:sz w:val="20"/>
          <w:szCs w:val="20"/>
        </w:rPr>
        <w:t>sus</w:t>
      </w:r>
      <w:r w:rsidR="00C97539" w:rsidRPr="00972D9D">
        <w:rPr>
          <w:rFonts w:ascii="Verdana" w:hAnsi="Verdana" w:cs="Tahoma"/>
          <w:sz w:val="20"/>
          <w:szCs w:val="20"/>
        </w:rPr>
        <w:t xml:space="preserve"> reclamos. La Corte </w:t>
      </w:r>
      <w:r w:rsidR="009416BE">
        <w:rPr>
          <w:rFonts w:ascii="Verdana" w:hAnsi="Verdana" w:cs="Tahoma"/>
          <w:sz w:val="20"/>
          <w:szCs w:val="20"/>
        </w:rPr>
        <w:t xml:space="preserve">constata </w:t>
      </w:r>
      <w:r w:rsidR="00C97539" w:rsidRPr="00972D9D">
        <w:rPr>
          <w:rFonts w:ascii="Verdana" w:hAnsi="Verdana" w:cs="Tahoma"/>
          <w:sz w:val="20"/>
          <w:szCs w:val="20"/>
        </w:rPr>
        <w:t xml:space="preserve">que </w:t>
      </w:r>
      <w:r w:rsidR="0011313E" w:rsidRPr="00972D9D">
        <w:rPr>
          <w:rFonts w:ascii="Verdana" w:hAnsi="Verdana" w:cs="Tahoma"/>
          <w:sz w:val="20"/>
          <w:szCs w:val="20"/>
        </w:rPr>
        <w:t xml:space="preserve">la primera respuesta la recibió la señora Perrone más de un año después de haber presentado su solicitud inicial, y que a continuación </w:t>
      </w:r>
      <w:r w:rsidR="00C97539" w:rsidRPr="00972D9D">
        <w:rPr>
          <w:rFonts w:ascii="Verdana" w:hAnsi="Verdana" w:cs="Tahoma"/>
          <w:sz w:val="20"/>
          <w:szCs w:val="20"/>
        </w:rPr>
        <w:t xml:space="preserve">las autoridades competentes tardaron más de un año en emitir </w:t>
      </w:r>
      <w:r w:rsidR="0011313E" w:rsidRPr="00972D9D">
        <w:rPr>
          <w:rFonts w:ascii="Verdana" w:hAnsi="Verdana" w:cs="Tahoma"/>
          <w:sz w:val="20"/>
          <w:szCs w:val="20"/>
        </w:rPr>
        <w:t>cada uno de los tres siguientes dictámenes. El único lapso menor de un año transcurrido entre un dictamen y otro fue entre el pronunciamiento de la PTN y el dictamen final del Director General de la DGI</w:t>
      </w:r>
      <w:r w:rsidR="00CE4BBE" w:rsidRPr="00972D9D">
        <w:rPr>
          <w:rFonts w:ascii="Verdana" w:hAnsi="Verdana" w:cs="Tahoma"/>
          <w:sz w:val="20"/>
          <w:szCs w:val="20"/>
        </w:rPr>
        <w:t>. No obstante, aún en este caso hay una tardanza injustifica</w:t>
      </w:r>
      <w:r w:rsidR="00A5025E" w:rsidRPr="00972D9D">
        <w:rPr>
          <w:rFonts w:ascii="Verdana" w:hAnsi="Verdana" w:cs="Tahoma"/>
          <w:sz w:val="20"/>
          <w:szCs w:val="20"/>
        </w:rPr>
        <w:t>da pues el Director General requirió seis meses para</w:t>
      </w:r>
      <w:r w:rsidR="00CE4BBE" w:rsidRPr="00972D9D">
        <w:rPr>
          <w:rFonts w:ascii="Verdana" w:hAnsi="Verdana" w:cs="Tahoma"/>
          <w:sz w:val="20"/>
          <w:szCs w:val="20"/>
        </w:rPr>
        <w:t xml:space="preserve"> </w:t>
      </w:r>
      <w:r w:rsidR="00A5025E" w:rsidRPr="00972D9D">
        <w:rPr>
          <w:rFonts w:ascii="Verdana" w:hAnsi="Verdana" w:cs="Tahoma"/>
          <w:sz w:val="20"/>
          <w:szCs w:val="20"/>
        </w:rPr>
        <w:t>emitir una resolución final en la cual se limitaba a acoger el criterio expuesto por la PTN</w:t>
      </w:r>
      <w:r w:rsidR="0011313E" w:rsidRPr="00972D9D">
        <w:rPr>
          <w:rFonts w:ascii="Verdana" w:hAnsi="Verdana" w:cs="Tahoma"/>
          <w:sz w:val="20"/>
          <w:szCs w:val="20"/>
        </w:rPr>
        <w:t xml:space="preserve">. Además, ante </w:t>
      </w:r>
      <w:r w:rsidR="00C97539" w:rsidRPr="00972D9D">
        <w:rPr>
          <w:rFonts w:ascii="Verdana" w:hAnsi="Verdana" w:cs="Tahoma"/>
          <w:sz w:val="20"/>
          <w:szCs w:val="20"/>
        </w:rPr>
        <w:t xml:space="preserve">la </w:t>
      </w:r>
      <w:r w:rsidR="00884FC8">
        <w:rPr>
          <w:rFonts w:ascii="Verdana" w:hAnsi="Verdana" w:cs="Tahoma"/>
          <w:sz w:val="20"/>
          <w:szCs w:val="20"/>
        </w:rPr>
        <w:t>demora</w:t>
      </w:r>
      <w:r w:rsidR="001240AA" w:rsidRPr="00972D9D">
        <w:rPr>
          <w:rFonts w:ascii="Verdana" w:hAnsi="Verdana" w:cs="Tahoma"/>
          <w:sz w:val="20"/>
          <w:szCs w:val="20"/>
        </w:rPr>
        <w:t xml:space="preserve"> en resolver por parte d</w:t>
      </w:r>
      <w:r w:rsidR="00C97539" w:rsidRPr="00972D9D">
        <w:rPr>
          <w:rFonts w:ascii="Verdana" w:hAnsi="Verdana" w:cs="Tahoma"/>
          <w:sz w:val="20"/>
          <w:szCs w:val="20"/>
        </w:rPr>
        <w:t>e</w:t>
      </w:r>
      <w:r w:rsidR="001240AA" w:rsidRPr="00972D9D">
        <w:rPr>
          <w:rFonts w:ascii="Verdana" w:hAnsi="Verdana" w:cs="Tahoma"/>
          <w:sz w:val="20"/>
          <w:szCs w:val="20"/>
        </w:rPr>
        <w:t xml:space="preserve"> </w:t>
      </w:r>
      <w:r w:rsidR="00C97539" w:rsidRPr="00972D9D">
        <w:rPr>
          <w:rFonts w:ascii="Verdana" w:hAnsi="Verdana" w:cs="Tahoma"/>
          <w:sz w:val="20"/>
          <w:szCs w:val="20"/>
        </w:rPr>
        <w:t xml:space="preserve">las autoridades administrativas </w:t>
      </w:r>
      <w:r w:rsidR="001240AA" w:rsidRPr="00972D9D">
        <w:rPr>
          <w:rFonts w:ascii="Verdana" w:hAnsi="Verdana" w:cs="Tahoma"/>
          <w:sz w:val="20"/>
          <w:szCs w:val="20"/>
        </w:rPr>
        <w:t>el 2 de diciembre de 1985 la señora Perrone solicitó la pronta resolución de su solicitud</w:t>
      </w:r>
      <w:r w:rsidR="0011313E" w:rsidRPr="00972D9D">
        <w:rPr>
          <w:rFonts w:ascii="Verdana" w:hAnsi="Verdana" w:cs="Tahoma"/>
          <w:sz w:val="20"/>
          <w:szCs w:val="20"/>
        </w:rPr>
        <w:t>. Por último</w:t>
      </w:r>
      <w:r w:rsidR="009416BE">
        <w:rPr>
          <w:rFonts w:ascii="Verdana" w:hAnsi="Verdana" w:cs="Tahoma"/>
          <w:sz w:val="20"/>
          <w:szCs w:val="20"/>
        </w:rPr>
        <w:t>,</w:t>
      </w:r>
      <w:r w:rsidR="0011313E" w:rsidRPr="00972D9D">
        <w:rPr>
          <w:rFonts w:ascii="Verdana" w:hAnsi="Verdana" w:cs="Tahoma"/>
          <w:sz w:val="20"/>
          <w:szCs w:val="20"/>
        </w:rPr>
        <w:t xml:space="preserve"> </w:t>
      </w:r>
      <w:r w:rsidR="001240AA" w:rsidRPr="00972D9D">
        <w:rPr>
          <w:rFonts w:ascii="Verdana" w:hAnsi="Verdana" w:cs="Tahoma"/>
          <w:sz w:val="20"/>
          <w:szCs w:val="20"/>
        </w:rPr>
        <w:t>el recurso jerárquico que interpuso contra la resolución definitiva del Director General de la DGI nunca fue resuelto.</w:t>
      </w:r>
    </w:p>
    <w:p w14:paraId="1CB4E871" w14:textId="2BF5C02C" w:rsidR="007C7159" w:rsidRPr="00972D9D" w:rsidRDefault="001240AA"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lang w:val="es-CR"/>
        </w:rPr>
      </w:pPr>
      <w:r w:rsidRPr="00972D9D">
        <w:rPr>
          <w:rFonts w:ascii="Verdana" w:hAnsi="Verdana" w:cs="Tahoma"/>
          <w:sz w:val="20"/>
          <w:szCs w:val="20"/>
        </w:rPr>
        <w:t>En cuanto al señor Preckel cabe recordar se vio obligado a presentar una acción de amparo</w:t>
      </w:r>
      <w:r w:rsidR="00A5025E" w:rsidRPr="00972D9D">
        <w:rPr>
          <w:rFonts w:ascii="Verdana" w:hAnsi="Verdana" w:cs="Tahoma"/>
          <w:sz w:val="20"/>
          <w:szCs w:val="20"/>
        </w:rPr>
        <w:t xml:space="preserve"> por la</w:t>
      </w:r>
      <w:r w:rsidR="00BB10B2" w:rsidRPr="00972D9D">
        <w:rPr>
          <w:rFonts w:ascii="Verdana" w:hAnsi="Verdana" w:cs="Tahoma"/>
          <w:sz w:val="20"/>
          <w:szCs w:val="20"/>
        </w:rPr>
        <w:t xml:space="preserve"> </w:t>
      </w:r>
      <w:r w:rsidR="00A5025E" w:rsidRPr="00972D9D">
        <w:rPr>
          <w:rFonts w:ascii="Verdana" w:hAnsi="Verdana" w:cs="Tahoma"/>
          <w:sz w:val="20"/>
          <w:szCs w:val="20"/>
        </w:rPr>
        <w:t xml:space="preserve">mora </w:t>
      </w:r>
      <w:r w:rsidR="00BB10B2" w:rsidRPr="00972D9D">
        <w:rPr>
          <w:rFonts w:ascii="Verdana" w:hAnsi="Verdana" w:cs="Tahoma"/>
          <w:sz w:val="20"/>
          <w:szCs w:val="20"/>
        </w:rPr>
        <w:t>de la DGI en decidir. El juez de amparo sostuvo que “</w:t>
      </w:r>
      <w:r w:rsidR="00AA5D46">
        <w:rPr>
          <w:rFonts w:ascii="Verdana" w:hAnsi="Verdana" w:cs="Tahoma"/>
          <w:sz w:val="20"/>
          <w:szCs w:val="20"/>
        </w:rPr>
        <w:t>[</w:t>
      </w:r>
      <w:r w:rsidR="00BB10B2" w:rsidRPr="00972D9D">
        <w:rPr>
          <w:rFonts w:ascii="Verdana" w:hAnsi="Verdana" w:cs="Tahoma"/>
          <w:sz w:val="20"/>
          <w:szCs w:val="20"/>
        </w:rPr>
        <w:t>…</w:t>
      </w:r>
      <w:r w:rsidR="00AA5D46">
        <w:rPr>
          <w:rFonts w:ascii="Verdana" w:hAnsi="Verdana" w:cs="Tahoma"/>
          <w:sz w:val="20"/>
          <w:szCs w:val="20"/>
        </w:rPr>
        <w:t>]</w:t>
      </w:r>
      <w:r w:rsidR="00BB10B2" w:rsidRPr="00972D9D">
        <w:rPr>
          <w:rFonts w:ascii="Verdana" w:hAnsi="Verdana" w:cs="Tahoma"/>
          <w:sz w:val="20"/>
          <w:szCs w:val="20"/>
        </w:rPr>
        <w:t xml:space="preserve"> en tales condiciones, la inexistencia de mora invocada por la accionada, basándose en la complejidad del reclamo, y en que los organismos fuera del ámbito de la Dirección que han intervenido, obligaron a extender los trámites correspondientes </w:t>
      </w:r>
      <w:r w:rsidR="00AA5D46">
        <w:rPr>
          <w:rFonts w:ascii="Verdana" w:hAnsi="Verdana" w:cs="Tahoma"/>
          <w:sz w:val="20"/>
          <w:szCs w:val="20"/>
        </w:rPr>
        <w:t>[</w:t>
      </w:r>
      <w:r w:rsidR="00BB10B2" w:rsidRPr="00972D9D">
        <w:rPr>
          <w:rFonts w:ascii="Verdana" w:hAnsi="Verdana" w:cs="Tahoma"/>
          <w:sz w:val="20"/>
          <w:szCs w:val="20"/>
        </w:rPr>
        <w:t>…</w:t>
      </w:r>
      <w:r w:rsidR="00AA5D46">
        <w:rPr>
          <w:rFonts w:ascii="Verdana" w:hAnsi="Verdana" w:cs="Tahoma"/>
          <w:sz w:val="20"/>
          <w:szCs w:val="20"/>
        </w:rPr>
        <w:t>]</w:t>
      </w:r>
      <w:r w:rsidR="00BB10B2" w:rsidRPr="00972D9D">
        <w:rPr>
          <w:rFonts w:ascii="Verdana" w:hAnsi="Verdana" w:cs="Tahoma"/>
          <w:sz w:val="20"/>
          <w:szCs w:val="20"/>
        </w:rPr>
        <w:t xml:space="preserve"> no constituye argumento eficaz para alcanzar a desvirtuar el transcurso del plazo legal, sin que haya recaído resolución, como la propia demandada reconoce”.   Razón por la cual falló en contra de la DGI y le ordenó que en el plazo de diez días respondiera la reclamación. En este</w:t>
      </w:r>
      <w:r w:rsidRPr="00972D9D">
        <w:rPr>
          <w:rFonts w:ascii="Verdana" w:hAnsi="Verdana" w:cs="Tahoma"/>
          <w:sz w:val="20"/>
          <w:szCs w:val="20"/>
        </w:rPr>
        <w:t xml:space="preserve"> caso, la duración del procedimiento administrativo tardó </w:t>
      </w:r>
      <w:r w:rsidR="005E51F2" w:rsidRPr="00972D9D">
        <w:rPr>
          <w:rFonts w:ascii="Verdana" w:hAnsi="Verdana" w:cs="Tahoma"/>
          <w:sz w:val="20"/>
          <w:szCs w:val="20"/>
        </w:rPr>
        <w:t xml:space="preserve">2 años y 5 meses, </w:t>
      </w:r>
      <w:r w:rsidRPr="00972D9D">
        <w:rPr>
          <w:rFonts w:ascii="Verdana" w:hAnsi="Verdana" w:cs="Tahoma"/>
          <w:sz w:val="20"/>
          <w:szCs w:val="20"/>
        </w:rPr>
        <w:t>y en ese lapso las autoridades administrativas sólo expidieron una decisión</w:t>
      </w:r>
      <w:r w:rsidR="005E51F2" w:rsidRPr="00972D9D">
        <w:rPr>
          <w:rFonts w:ascii="Verdana" w:hAnsi="Verdana" w:cs="Tahoma"/>
          <w:sz w:val="20"/>
          <w:szCs w:val="20"/>
        </w:rPr>
        <w:t xml:space="preserve">, </w:t>
      </w:r>
      <w:r w:rsidR="00BB10B2" w:rsidRPr="00972D9D">
        <w:rPr>
          <w:rFonts w:ascii="Verdana" w:hAnsi="Verdana" w:cs="Tahoma"/>
          <w:sz w:val="20"/>
          <w:szCs w:val="20"/>
        </w:rPr>
        <w:t xml:space="preserve">en cumplimiento de </w:t>
      </w:r>
      <w:r w:rsidR="00BB10B2" w:rsidRPr="00972D9D">
        <w:rPr>
          <w:rFonts w:ascii="Verdana" w:hAnsi="Verdana" w:cs="Tahoma"/>
          <w:sz w:val="20"/>
          <w:szCs w:val="20"/>
        </w:rPr>
        <w:lastRenderedPageBreak/>
        <w:t xml:space="preserve">una orden judicial, </w:t>
      </w:r>
      <w:r w:rsidR="005E51F2" w:rsidRPr="00972D9D">
        <w:rPr>
          <w:rFonts w:ascii="Verdana" w:hAnsi="Verdana" w:cs="Tahoma"/>
          <w:sz w:val="20"/>
          <w:szCs w:val="20"/>
        </w:rPr>
        <w:t xml:space="preserve">lo cual denota </w:t>
      </w:r>
      <w:r w:rsidR="00BB10B2" w:rsidRPr="00972D9D">
        <w:rPr>
          <w:rFonts w:ascii="Verdana" w:hAnsi="Verdana" w:cs="Tahoma"/>
          <w:sz w:val="20"/>
          <w:szCs w:val="20"/>
        </w:rPr>
        <w:t>una demora injustificada de la administración</w:t>
      </w:r>
      <w:r w:rsidR="005E51F2" w:rsidRPr="00972D9D">
        <w:rPr>
          <w:rFonts w:ascii="Verdana" w:hAnsi="Verdana" w:cs="Tahoma"/>
          <w:sz w:val="20"/>
          <w:szCs w:val="20"/>
        </w:rPr>
        <w:t xml:space="preserve">. </w:t>
      </w:r>
    </w:p>
    <w:p w14:paraId="7CF3E414" w14:textId="0DDA1162" w:rsidR="00B6244B" w:rsidRPr="00972D9D" w:rsidRDefault="005E51F2"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lang w:val="es-CR"/>
        </w:rPr>
      </w:pPr>
      <w:r w:rsidRPr="00972D9D">
        <w:rPr>
          <w:rFonts w:ascii="Verdana" w:hAnsi="Verdana" w:cs="Tahoma"/>
          <w:sz w:val="20"/>
          <w:szCs w:val="20"/>
        </w:rPr>
        <w:t xml:space="preserve">Respecto de la etapa judicial, ésta </w:t>
      </w:r>
      <w:r w:rsidR="009416BE">
        <w:rPr>
          <w:rFonts w:ascii="Verdana" w:hAnsi="Verdana" w:cs="Tahoma"/>
          <w:sz w:val="20"/>
          <w:szCs w:val="20"/>
        </w:rPr>
        <w:t>tard</w:t>
      </w:r>
      <w:r w:rsidRPr="00972D9D">
        <w:rPr>
          <w:rFonts w:ascii="Verdana" w:hAnsi="Verdana" w:cs="Tahoma"/>
          <w:sz w:val="20"/>
          <w:szCs w:val="20"/>
        </w:rPr>
        <w:t xml:space="preserve">ó 7 años y 11 meses en ambos casos, con 4 decisiones respecto del señor Preckel y con 3 decisiones respecto de la señora Perrone. </w:t>
      </w:r>
      <w:r w:rsidR="001240AA" w:rsidRPr="00972D9D">
        <w:rPr>
          <w:rFonts w:ascii="Verdana" w:hAnsi="Verdana" w:cs="Tahoma"/>
          <w:sz w:val="20"/>
          <w:szCs w:val="20"/>
        </w:rPr>
        <w:t xml:space="preserve">La primera instancia </w:t>
      </w:r>
      <w:r w:rsidR="009416BE">
        <w:rPr>
          <w:rFonts w:ascii="Verdana" w:hAnsi="Verdana" w:cs="Tahoma"/>
          <w:sz w:val="20"/>
          <w:szCs w:val="20"/>
        </w:rPr>
        <w:t xml:space="preserve">transcurrió </w:t>
      </w:r>
      <w:r w:rsidR="001240AA" w:rsidRPr="00972D9D">
        <w:rPr>
          <w:rFonts w:ascii="Verdana" w:hAnsi="Verdana" w:cs="Tahoma"/>
          <w:sz w:val="20"/>
          <w:szCs w:val="20"/>
        </w:rPr>
        <w:t>de</w:t>
      </w:r>
      <w:r w:rsidR="009416BE">
        <w:rPr>
          <w:rFonts w:ascii="Verdana" w:hAnsi="Verdana" w:cs="Tahoma"/>
          <w:sz w:val="20"/>
          <w:szCs w:val="20"/>
        </w:rPr>
        <w:t>sde</w:t>
      </w:r>
      <w:r w:rsidR="001240AA" w:rsidRPr="00972D9D">
        <w:rPr>
          <w:rFonts w:ascii="Verdana" w:hAnsi="Verdana" w:cs="Tahoma"/>
          <w:sz w:val="20"/>
          <w:szCs w:val="20"/>
        </w:rPr>
        <w:t xml:space="preserve"> junio de 1988 a febrero de 1992 en ambos casos, es decir aproximadamente tres años y ocho meses</w:t>
      </w:r>
      <w:r w:rsidR="00833CC2" w:rsidRPr="00972D9D">
        <w:rPr>
          <w:rFonts w:ascii="Verdana" w:hAnsi="Verdana" w:cs="Tahoma"/>
          <w:sz w:val="20"/>
          <w:szCs w:val="20"/>
        </w:rPr>
        <w:t>, pese a que se trataba de un asunto que versaba exclusivamente sobre la interpretación de la normatividad laboral interna</w:t>
      </w:r>
      <w:r w:rsidR="001240AA" w:rsidRPr="00972D9D">
        <w:rPr>
          <w:rFonts w:ascii="Verdana" w:hAnsi="Verdana" w:cs="Tahoma"/>
          <w:sz w:val="20"/>
          <w:szCs w:val="20"/>
        </w:rPr>
        <w:t xml:space="preserve">. </w:t>
      </w:r>
      <w:r w:rsidR="00833CC2" w:rsidRPr="00972D9D">
        <w:rPr>
          <w:rFonts w:ascii="Verdana" w:hAnsi="Verdana" w:cs="Tahoma"/>
          <w:sz w:val="20"/>
          <w:szCs w:val="20"/>
        </w:rPr>
        <w:t>S</w:t>
      </w:r>
      <w:r w:rsidR="001240AA" w:rsidRPr="00972D9D">
        <w:rPr>
          <w:rFonts w:ascii="Verdana" w:hAnsi="Verdana" w:cs="Tahoma"/>
          <w:sz w:val="20"/>
          <w:szCs w:val="20"/>
        </w:rPr>
        <w:t>i bien el trámite de la segunda instancia fue breve en ambos casos (con sentencia de 15 de octubre de 1993 en el caso de la señora Perrone y de 24 de noviembre de 1992 en el caso del señor Preckel) el trámite de los recursos posteriores tardó más de dos años en el caso de la señora Perrone y más de tres año</w:t>
      </w:r>
      <w:r w:rsidR="00972D9D">
        <w:rPr>
          <w:rFonts w:ascii="Verdana" w:hAnsi="Verdana" w:cs="Tahoma"/>
          <w:sz w:val="20"/>
          <w:szCs w:val="20"/>
        </w:rPr>
        <w:t>s en el caso del señor Preckel,</w:t>
      </w:r>
      <w:r w:rsidR="00CE4BBE" w:rsidRPr="00972D9D">
        <w:rPr>
          <w:rFonts w:ascii="Verdana" w:hAnsi="Verdana" w:cs="Tahoma"/>
          <w:sz w:val="20"/>
          <w:szCs w:val="20"/>
        </w:rPr>
        <w:t xml:space="preserve"> a pesar de que no </w:t>
      </w:r>
      <w:r w:rsidR="00833CC2" w:rsidRPr="00972D9D">
        <w:rPr>
          <w:rFonts w:ascii="Verdana" w:hAnsi="Verdana" w:cs="Tahoma"/>
          <w:sz w:val="20"/>
          <w:szCs w:val="20"/>
        </w:rPr>
        <w:t>se presentaran complejidades fácticas o sustanciales particulares que justificaran el plazo en la resolución de los recursos planteados.</w:t>
      </w:r>
      <w:r w:rsidR="001240AA" w:rsidRPr="00972D9D">
        <w:rPr>
          <w:rFonts w:ascii="Verdana" w:hAnsi="Verdana" w:cs="Tahoma"/>
          <w:sz w:val="20"/>
          <w:szCs w:val="20"/>
        </w:rPr>
        <w:t xml:space="preserve"> </w:t>
      </w:r>
      <w:r w:rsidRPr="00972D9D">
        <w:rPr>
          <w:rFonts w:ascii="Verdana" w:hAnsi="Verdana" w:cs="Tahoma"/>
          <w:sz w:val="20"/>
          <w:szCs w:val="20"/>
        </w:rPr>
        <w:t xml:space="preserve">De lo anterior, se desprende que particularmente el proceso judicial se extendió de manera injustificada, frente a </w:t>
      </w:r>
      <w:r w:rsidR="00CE4BBE" w:rsidRPr="00972D9D">
        <w:rPr>
          <w:rFonts w:ascii="Verdana" w:hAnsi="Verdana" w:cs="Tahoma"/>
          <w:sz w:val="20"/>
          <w:szCs w:val="20"/>
        </w:rPr>
        <w:t xml:space="preserve">controversias en la cual sólo había un demandante en cada uno de los procesos, no había complejidad probatoria y solamente se debatían cuestiones de </w:t>
      </w:r>
      <w:r w:rsidRPr="00972D9D">
        <w:rPr>
          <w:rFonts w:ascii="Verdana" w:hAnsi="Verdana" w:cs="Tahoma"/>
          <w:sz w:val="20"/>
          <w:szCs w:val="20"/>
        </w:rPr>
        <w:t>carácter interpretativo</w:t>
      </w:r>
      <w:r w:rsidRPr="00972D9D">
        <w:rPr>
          <w:rStyle w:val="Refdenotaalpie"/>
          <w:rFonts w:ascii="Verdana" w:hAnsi="Verdana" w:cs="Tahoma"/>
          <w:sz w:val="20"/>
          <w:szCs w:val="20"/>
        </w:rPr>
        <w:footnoteReference w:id="130"/>
      </w:r>
      <w:r w:rsidRPr="00972D9D">
        <w:rPr>
          <w:rFonts w:ascii="Verdana" w:hAnsi="Verdana" w:cs="Tahoma"/>
          <w:sz w:val="20"/>
          <w:szCs w:val="20"/>
        </w:rPr>
        <w:t xml:space="preserve">. </w:t>
      </w:r>
    </w:p>
    <w:p w14:paraId="6ACA73BA" w14:textId="3875F54B" w:rsidR="007C7159" w:rsidRPr="00455E45" w:rsidRDefault="005E51F2" w:rsidP="00455E45">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lang w:val="es-CR"/>
        </w:rPr>
      </w:pPr>
      <w:r w:rsidRPr="00972D9D">
        <w:rPr>
          <w:rFonts w:ascii="Verdana" w:hAnsi="Verdana" w:cs="Tahoma"/>
          <w:sz w:val="20"/>
          <w:szCs w:val="20"/>
        </w:rPr>
        <w:t>En relación con la afectación generada por la duración del procedimiento en la situación jurídica de las personas involucradas</w:t>
      </w:r>
      <w:r w:rsidRPr="00972D9D">
        <w:rPr>
          <w:rStyle w:val="Refdenotaalpie"/>
          <w:rFonts w:ascii="Verdana" w:hAnsi="Verdana" w:cs="Tahoma"/>
          <w:sz w:val="20"/>
          <w:szCs w:val="20"/>
        </w:rPr>
        <w:footnoteReference w:id="131"/>
      </w:r>
      <w:r w:rsidRPr="00972D9D">
        <w:rPr>
          <w:rFonts w:ascii="Verdana" w:hAnsi="Verdana" w:cs="Tahoma"/>
          <w:sz w:val="20"/>
          <w:szCs w:val="20"/>
        </w:rPr>
        <w:t>, la Corte</w:t>
      </w:r>
      <w:r w:rsidR="00455E45">
        <w:rPr>
          <w:rFonts w:ascii="Verdana" w:hAnsi="Verdana" w:cs="Tahoma"/>
          <w:sz w:val="20"/>
          <w:szCs w:val="20"/>
        </w:rPr>
        <w:t xml:space="preserve"> </w:t>
      </w:r>
      <w:r w:rsidR="00455E45" w:rsidRPr="0077533F">
        <w:rPr>
          <w:rFonts w:ascii="Verdana" w:hAnsi="Verdana" w:cs="Tahoma"/>
          <w:sz w:val="20"/>
          <w:szCs w:val="20"/>
        </w:rPr>
        <w:t>no cuenta con elementos suficientes para realizar el debido análisis</w:t>
      </w:r>
      <w:r w:rsidRPr="00455E45">
        <w:rPr>
          <w:rFonts w:ascii="Verdana" w:hAnsi="Verdana" w:cs="Tahoma"/>
          <w:sz w:val="20"/>
          <w:szCs w:val="20"/>
        </w:rPr>
        <w:t xml:space="preserve"> </w:t>
      </w:r>
      <w:r w:rsidR="00455E45" w:rsidRPr="0077533F">
        <w:rPr>
          <w:rFonts w:ascii="Verdana" w:hAnsi="Verdana" w:cs="Tahoma"/>
          <w:sz w:val="20"/>
          <w:szCs w:val="20"/>
        </w:rPr>
        <w:t xml:space="preserve">en tanto </w:t>
      </w:r>
      <w:r w:rsidR="00581B8F">
        <w:rPr>
          <w:rFonts w:ascii="Verdana" w:hAnsi="Verdana" w:cs="Tahoma"/>
          <w:sz w:val="20"/>
          <w:szCs w:val="20"/>
        </w:rPr>
        <w:t xml:space="preserve">no fue </w:t>
      </w:r>
      <w:r w:rsidRPr="00455E45">
        <w:rPr>
          <w:rFonts w:ascii="Verdana" w:hAnsi="Verdana" w:cs="Tahoma"/>
          <w:sz w:val="20"/>
          <w:szCs w:val="20"/>
        </w:rPr>
        <w:t>otorga</w:t>
      </w:r>
      <w:r w:rsidR="00581B8F">
        <w:rPr>
          <w:rFonts w:ascii="Verdana" w:hAnsi="Verdana" w:cs="Tahoma"/>
          <w:sz w:val="20"/>
          <w:szCs w:val="20"/>
        </w:rPr>
        <w:t>da</w:t>
      </w:r>
      <w:r w:rsidRPr="00455E45">
        <w:rPr>
          <w:rFonts w:ascii="Verdana" w:hAnsi="Verdana" w:cs="Tahoma"/>
          <w:sz w:val="20"/>
          <w:szCs w:val="20"/>
        </w:rPr>
        <w:t xml:space="preserve"> prueba que acreditara este aspecto. </w:t>
      </w:r>
    </w:p>
    <w:p w14:paraId="26E27BEC" w14:textId="0837F882" w:rsidR="005E51F2" w:rsidRPr="00972D9D" w:rsidRDefault="005E51F2"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lang w:val="es-CR"/>
        </w:rPr>
      </w:pPr>
      <w:r w:rsidRPr="00972D9D">
        <w:rPr>
          <w:rFonts w:ascii="Verdana" w:hAnsi="Verdana"/>
          <w:sz w:val="20"/>
          <w:szCs w:val="20"/>
          <w:lang w:val="es-CR"/>
        </w:rPr>
        <w:t xml:space="preserve">En vista de lo anterior, tomando en cuenta las características particulares del caso, esta Corte considera que </w:t>
      </w:r>
      <w:r w:rsidR="009C6CFD">
        <w:rPr>
          <w:rFonts w:ascii="Verdana" w:hAnsi="Verdana"/>
          <w:sz w:val="20"/>
          <w:szCs w:val="20"/>
          <w:lang w:val="es-CR"/>
        </w:rPr>
        <w:t>la duración</w:t>
      </w:r>
      <w:r w:rsidR="00F46AC0">
        <w:rPr>
          <w:rFonts w:ascii="Verdana" w:hAnsi="Verdana"/>
          <w:sz w:val="20"/>
          <w:szCs w:val="20"/>
          <w:lang w:val="es-CR"/>
        </w:rPr>
        <w:t>,</w:t>
      </w:r>
      <w:r w:rsidR="009C6CFD">
        <w:rPr>
          <w:rFonts w:ascii="Verdana" w:hAnsi="Verdana"/>
          <w:sz w:val="20"/>
          <w:szCs w:val="20"/>
          <w:lang w:val="es-CR"/>
        </w:rPr>
        <w:t xml:space="preserve"> por </w:t>
      </w:r>
      <w:r w:rsidR="008F1226" w:rsidRPr="0077533F">
        <w:rPr>
          <w:rFonts w:ascii="Verdana" w:hAnsi="Verdana"/>
          <w:sz w:val="20"/>
          <w:szCs w:val="20"/>
        </w:rPr>
        <w:t>diez años y once meses</w:t>
      </w:r>
      <w:r w:rsidR="00833CC2" w:rsidRPr="00972D9D">
        <w:rPr>
          <w:rFonts w:ascii="Verdana" w:hAnsi="Verdana"/>
          <w:sz w:val="20"/>
          <w:szCs w:val="20"/>
        </w:rPr>
        <w:t xml:space="preserve"> en el caso del señor Preckel </w:t>
      </w:r>
      <w:r w:rsidRPr="00972D9D">
        <w:rPr>
          <w:rFonts w:ascii="Verdana" w:hAnsi="Verdana"/>
          <w:sz w:val="20"/>
          <w:szCs w:val="20"/>
        </w:rPr>
        <w:t xml:space="preserve">y </w:t>
      </w:r>
      <w:r w:rsidR="00833CC2" w:rsidRPr="00BF6531">
        <w:rPr>
          <w:rFonts w:ascii="Verdana" w:hAnsi="Verdana"/>
          <w:sz w:val="20"/>
          <w:szCs w:val="20"/>
        </w:rPr>
        <w:t xml:space="preserve">más de </w:t>
      </w:r>
      <w:r w:rsidR="0077533F" w:rsidRPr="00BF6531">
        <w:rPr>
          <w:rFonts w:ascii="Verdana" w:hAnsi="Verdana"/>
          <w:sz w:val="20"/>
          <w:szCs w:val="20"/>
        </w:rPr>
        <w:t>once</w:t>
      </w:r>
      <w:r w:rsidR="00833CC2" w:rsidRPr="00BF6531">
        <w:rPr>
          <w:rFonts w:ascii="Verdana" w:hAnsi="Verdana"/>
          <w:sz w:val="20"/>
          <w:szCs w:val="20"/>
        </w:rPr>
        <w:t xml:space="preserve"> años</w:t>
      </w:r>
      <w:r w:rsidR="00C11BB5">
        <w:rPr>
          <w:rFonts w:ascii="Verdana" w:hAnsi="Verdana"/>
          <w:sz w:val="20"/>
          <w:szCs w:val="20"/>
        </w:rPr>
        <w:t>,</w:t>
      </w:r>
      <w:r w:rsidR="0077533F" w:rsidRPr="00BF6531">
        <w:rPr>
          <w:rFonts w:ascii="Verdana" w:hAnsi="Verdana"/>
          <w:sz w:val="20"/>
          <w:szCs w:val="20"/>
        </w:rPr>
        <w:t xml:space="preserve"> a partir de la</w:t>
      </w:r>
      <w:r w:rsidR="00C12E00" w:rsidRPr="00BF6531">
        <w:rPr>
          <w:rFonts w:ascii="Verdana" w:hAnsi="Verdana"/>
          <w:sz w:val="20"/>
          <w:szCs w:val="20"/>
        </w:rPr>
        <w:t xml:space="preserve"> ratificaci</w:t>
      </w:r>
      <w:r w:rsidR="00BF6531" w:rsidRPr="00BF6531">
        <w:rPr>
          <w:rFonts w:ascii="Verdana" w:hAnsi="Verdana"/>
          <w:sz w:val="20"/>
          <w:szCs w:val="20"/>
        </w:rPr>
        <w:t>ón d</w:t>
      </w:r>
      <w:r w:rsidR="00C12E00" w:rsidRPr="00BF6531">
        <w:rPr>
          <w:rFonts w:ascii="Verdana" w:hAnsi="Verdana"/>
          <w:sz w:val="20"/>
          <w:szCs w:val="20"/>
        </w:rPr>
        <w:t>e</w:t>
      </w:r>
      <w:r w:rsidR="00BF6531" w:rsidRPr="00BF6531">
        <w:rPr>
          <w:rFonts w:ascii="Verdana" w:hAnsi="Verdana"/>
          <w:sz w:val="20"/>
          <w:szCs w:val="20"/>
        </w:rPr>
        <w:t xml:space="preserve"> </w:t>
      </w:r>
      <w:r w:rsidR="00C12E00" w:rsidRPr="00BF6531">
        <w:rPr>
          <w:rFonts w:ascii="Verdana" w:hAnsi="Verdana"/>
          <w:sz w:val="20"/>
          <w:szCs w:val="20"/>
        </w:rPr>
        <w:t xml:space="preserve">la Convención </w:t>
      </w:r>
      <w:r w:rsidR="00BF6531" w:rsidRPr="00BF6531">
        <w:rPr>
          <w:rFonts w:ascii="Verdana" w:hAnsi="Verdana"/>
          <w:sz w:val="20"/>
          <w:szCs w:val="20"/>
        </w:rPr>
        <w:t xml:space="preserve">Americana </w:t>
      </w:r>
      <w:r w:rsidR="00C12E00" w:rsidRPr="00BF6531">
        <w:rPr>
          <w:rFonts w:ascii="Verdana" w:hAnsi="Verdana"/>
          <w:sz w:val="20"/>
          <w:szCs w:val="20"/>
        </w:rPr>
        <w:t>y el reconocimien</w:t>
      </w:r>
      <w:r w:rsidR="00BF6531" w:rsidRPr="00BF6531">
        <w:rPr>
          <w:rFonts w:ascii="Verdana" w:hAnsi="Verdana"/>
          <w:sz w:val="20"/>
          <w:szCs w:val="20"/>
        </w:rPr>
        <w:t>to de la</w:t>
      </w:r>
      <w:r w:rsidR="0077533F" w:rsidRPr="00BF6531">
        <w:rPr>
          <w:rFonts w:ascii="Verdana" w:hAnsi="Verdana"/>
          <w:sz w:val="20"/>
          <w:szCs w:val="20"/>
        </w:rPr>
        <w:t xml:space="preserve"> competencia contenciosa de la Corte por parte de Argentina</w:t>
      </w:r>
      <w:r w:rsidR="00C11BB5">
        <w:rPr>
          <w:rFonts w:ascii="Verdana" w:hAnsi="Verdana"/>
          <w:sz w:val="20"/>
          <w:szCs w:val="20"/>
        </w:rPr>
        <w:t>,</w:t>
      </w:r>
      <w:r w:rsidR="009C6CFD" w:rsidRPr="00BF6531">
        <w:rPr>
          <w:rFonts w:ascii="Verdana" w:hAnsi="Verdana"/>
          <w:sz w:val="20"/>
          <w:szCs w:val="20"/>
        </w:rPr>
        <w:t xml:space="preserve"> </w:t>
      </w:r>
      <w:r w:rsidR="00833CC2" w:rsidRPr="00BF6531">
        <w:rPr>
          <w:rFonts w:ascii="Verdana" w:hAnsi="Verdana"/>
          <w:sz w:val="20"/>
          <w:szCs w:val="20"/>
        </w:rPr>
        <w:t>en el caso de la señora Perrone</w:t>
      </w:r>
      <w:r w:rsidR="00F46AC0">
        <w:rPr>
          <w:rFonts w:ascii="Verdana" w:hAnsi="Verdana"/>
          <w:sz w:val="20"/>
          <w:szCs w:val="20"/>
        </w:rPr>
        <w:t>,</w:t>
      </w:r>
      <w:r w:rsidR="00833CC2" w:rsidRPr="00972D9D">
        <w:rPr>
          <w:rFonts w:ascii="Verdana" w:hAnsi="Verdana"/>
          <w:sz w:val="20"/>
          <w:szCs w:val="20"/>
        </w:rPr>
        <w:t xml:space="preserve"> del</w:t>
      </w:r>
      <w:r w:rsidRPr="00972D9D">
        <w:rPr>
          <w:rFonts w:ascii="Verdana" w:hAnsi="Verdana"/>
          <w:sz w:val="20"/>
          <w:szCs w:val="20"/>
        </w:rPr>
        <w:t xml:space="preserve"> </w:t>
      </w:r>
      <w:r w:rsidR="00511DD9" w:rsidRPr="00972D9D">
        <w:rPr>
          <w:rFonts w:ascii="Verdana" w:hAnsi="Verdana"/>
          <w:sz w:val="20"/>
          <w:szCs w:val="20"/>
        </w:rPr>
        <w:t>procedimiento administra</w:t>
      </w:r>
      <w:r w:rsidR="00CA6169" w:rsidRPr="00972D9D">
        <w:rPr>
          <w:rFonts w:ascii="Verdana" w:hAnsi="Verdana"/>
          <w:sz w:val="20"/>
          <w:szCs w:val="20"/>
        </w:rPr>
        <w:t>t</w:t>
      </w:r>
      <w:r w:rsidR="00511DD9" w:rsidRPr="00972D9D">
        <w:rPr>
          <w:rFonts w:ascii="Verdana" w:hAnsi="Verdana"/>
          <w:sz w:val="20"/>
          <w:szCs w:val="20"/>
        </w:rPr>
        <w:t xml:space="preserve">ivo y </w:t>
      </w:r>
      <w:r w:rsidRPr="00972D9D">
        <w:rPr>
          <w:rFonts w:ascii="Verdana" w:hAnsi="Verdana"/>
          <w:sz w:val="20"/>
          <w:szCs w:val="20"/>
        </w:rPr>
        <w:t>proceso</w:t>
      </w:r>
      <w:r w:rsidR="00511DD9" w:rsidRPr="00972D9D">
        <w:rPr>
          <w:rFonts w:ascii="Verdana" w:hAnsi="Verdana"/>
          <w:sz w:val="20"/>
          <w:szCs w:val="20"/>
        </w:rPr>
        <w:t xml:space="preserve"> judicial</w:t>
      </w:r>
      <w:r w:rsidRPr="00972D9D">
        <w:rPr>
          <w:rFonts w:ascii="Verdana" w:hAnsi="Verdana"/>
          <w:sz w:val="20"/>
          <w:szCs w:val="20"/>
        </w:rPr>
        <w:t xml:space="preserve"> en su conjunto, excedió el plazo razonable de manera injustificada, en contravención del artículo 8.1 de la Convención Americana.</w:t>
      </w:r>
    </w:p>
    <w:p w14:paraId="45F057FD" w14:textId="77777777" w:rsidR="007C7159" w:rsidRPr="00972D9D" w:rsidRDefault="007C7159" w:rsidP="00972D9D">
      <w:pPr>
        <w:pStyle w:val="Ttulo3"/>
        <w:numPr>
          <w:ilvl w:val="0"/>
          <w:numId w:val="20"/>
        </w:numPr>
        <w:tabs>
          <w:tab w:val="clear" w:pos="1276"/>
          <w:tab w:val="left" w:pos="851"/>
        </w:tabs>
        <w:spacing w:before="120" w:after="120"/>
        <w:ind w:left="1418" w:hanging="567"/>
        <w:contextualSpacing w:val="0"/>
        <w:rPr>
          <w:b w:val="0"/>
        </w:rPr>
      </w:pPr>
      <w:bookmarkStart w:id="83" w:name="_Toc20755738"/>
      <w:r w:rsidRPr="00972D9D">
        <w:rPr>
          <w:b w:val="0"/>
        </w:rPr>
        <w:t>Conclusión General</w:t>
      </w:r>
      <w:bookmarkEnd w:id="83"/>
    </w:p>
    <w:p w14:paraId="7682AD20" w14:textId="47F8C056" w:rsidR="006F54EA" w:rsidRPr="00972D9D" w:rsidRDefault="007C7159"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lang w:val="es-CR"/>
        </w:rPr>
      </w:pPr>
      <w:r w:rsidRPr="00972D9D">
        <w:rPr>
          <w:rFonts w:ascii="Verdana" w:hAnsi="Verdana"/>
          <w:sz w:val="20"/>
          <w:szCs w:val="20"/>
          <w:lang w:val="es-CR"/>
        </w:rPr>
        <w:t xml:space="preserve">La Corte concluye que las presuntas víctimas contaron con recursos para poder llevar a cabo solicitudes de reparación por los haberes </w:t>
      </w:r>
      <w:r w:rsidR="009416BE">
        <w:rPr>
          <w:rFonts w:ascii="Verdana" w:hAnsi="Verdana"/>
          <w:sz w:val="20"/>
          <w:szCs w:val="20"/>
          <w:lang w:val="es-CR"/>
        </w:rPr>
        <w:t xml:space="preserve">laborales </w:t>
      </w:r>
      <w:r w:rsidRPr="00972D9D">
        <w:rPr>
          <w:rFonts w:ascii="Verdana" w:hAnsi="Verdana"/>
          <w:sz w:val="20"/>
          <w:szCs w:val="20"/>
          <w:lang w:val="es-CR"/>
        </w:rPr>
        <w:t xml:space="preserve">dejados de percibir como consecuencia de la detención arbitraria sufrida por la señora Perrone y la detención arbitraria y el posterior exilio del señor Preckel. Asimismo, </w:t>
      </w:r>
      <w:r w:rsidR="006F54EA" w:rsidRPr="00972D9D">
        <w:rPr>
          <w:rFonts w:ascii="Verdana" w:hAnsi="Verdana"/>
          <w:sz w:val="20"/>
          <w:szCs w:val="20"/>
          <w:lang w:val="es-CR"/>
        </w:rPr>
        <w:t xml:space="preserve">no </w:t>
      </w:r>
      <w:r w:rsidRPr="00972D9D">
        <w:rPr>
          <w:rFonts w:ascii="Verdana" w:hAnsi="Verdana"/>
          <w:sz w:val="20"/>
          <w:szCs w:val="20"/>
          <w:lang w:val="es-CR"/>
        </w:rPr>
        <w:t xml:space="preserve">se acreditó la </w:t>
      </w:r>
      <w:r w:rsidR="006F54EA" w:rsidRPr="00972D9D">
        <w:rPr>
          <w:rFonts w:ascii="Verdana" w:hAnsi="Verdana"/>
          <w:sz w:val="20"/>
          <w:szCs w:val="20"/>
          <w:lang w:val="es-CR"/>
        </w:rPr>
        <w:t>ausencia de debida m</w:t>
      </w:r>
      <w:r w:rsidRPr="00972D9D">
        <w:rPr>
          <w:rFonts w:ascii="Verdana" w:hAnsi="Verdana"/>
          <w:sz w:val="20"/>
          <w:szCs w:val="20"/>
          <w:lang w:val="es-CR"/>
        </w:rPr>
        <w:t>otivación en las decisiones estatales</w:t>
      </w:r>
      <w:r w:rsidR="006F54EA" w:rsidRPr="00972D9D">
        <w:rPr>
          <w:rFonts w:ascii="Verdana" w:hAnsi="Verdana"/>
          <w:sz w:val="20"/>
          <w:szCs w:val="20"/>
          <w:lang w:val="es-CR"/>
        </w:rPr>
        <w:t xml:space="preserve">. </w:t>
      </w:r>
      <w:r w:rsidRPr="00972D9D">
        <w:rPr>
          <w:rFonts w:ascii="Verdana" w:hAnsi="Verdana"/>
          <w:sz w:val="20"/>
          <w:szCs w:val="20"/>
          <w:lang w:val="es-CR"/>
        </w:rPr>
        <w:t xml:space="preserve">En razón de lo anterior, </w:t>
      </w:r>
      <w:r w:rsidR="006F54EA" w:rsidRPr="00972D9D">
        <w:rPr>
          <w:rFonts w:ascii="Verdana" w:hAnsi="Verdana"/>
          <w:sz w:val="20"/>
          <w:szCs w:val="20"/>
          <w:lang w:val="es-CR"/>
        </w:rPr>
        <w:t xml:space="preserve">no </w:t>
      </w:r>
      <w:r w:rsidRPr="00972D9D">
        <w:rPr>
          <w:rFonts w:ascii="Verdana" w:hAnsi="Verdana"/>
          <w:sz w:val="20"/>
          <w:szCs w:val="20"/>
          <w:lang w:val="es-CR"/>
        </w:rPr>
        <w:t>se configuró la responsabilidad internacional del Estado argentino por violaciones de los ar</w:t>
      </w:r>
      <w:r w:rsidR="00821B1E" w:rsidRPr="00972D9D">
        <w:rPr>
          <w:rFonts w:ascii="Verdana" w:hAnsi="Verdana"/>
          <w:sz w:val="20"/>
          <w:szCs w:val="20"/>
          <w:lang w:val="es-CR"/>
        </w:rPr>
        <w:t>t</w:t>
      </w:r>
      <w:r w:rsidRPr="00972D9D">
        <w:rPr>
          <w:rFonts w:ascii="Verdana" w:hAnsi="Verdana"/>
          <w:sz w:val="20"/>
          <w:szCs w:val="20"/>
          <w:lang w:val="es-CR"/>
        </w:rPr>
        <w:t>ículos 8 y 25 de la Convención Americana.</w:t>
      </w:r>
    </w:p>
    <w:p w14:paraId="306C6FB9" w14:textId="5CCA7539" w:rsidR="007C7159" w:rsidRPr="00972D9D" w:rsidRDefault="006F54EA"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lang w:val="es-CR"/>
        </w:rPr>
      </w:pPr>
      <w:r w:rsidRPr="00972D9D">
        <w:rPr>
          <w:rFonts w:ascii="Verdana" w:hAnsi="Verdana"/>
          <w:sz w:val="20"/>
          <w:szCs w:val="20"/>
          <w:lang w:val="es-CR"/>
        </w:rPr>
        <w:t>Por otra parte, la duración de</w:t>
      </w:r>
      <w:r w:rsidR="007432B5">
        <w:rPr>
          <w:rFonts w:ascii="Verdana" w:hAnsi="Verdana"/>
          <w:sz w:val="20"/>
          <w:szCs w:val="20"/>
          <w:lang w:val="es-CR"/>
        </w:rPr>
        <w:t xml:space="preserve"> </w:t>
      </w:r>
      <w:r w:rsidR="007432B5" w:rsidRPr="009C6CFD">
        <w:rPr>
          <w:rFonts w:ascii="Verdana" w:hAnsi="Verdana"/>
          <w:sz w:val="20"/>
          <w:szCs w:val="20"/>
          <w:lang w:val="es-CR"/>
        </w:rPr>
        <w:t>diez años y once meses</w:t>
      </w:r>
      <w:r w:rsidRPr="00972D9D">
        <w:rPr>
          <w:rFonts w:ascii="Verdana" w:hAnsi="Verdana"/>
          <w:sz w:val="20"/>
          <w:szCs w:val="20"/>
          <w:lang w:val="es-CR"/>
        </w:rPr>
        <w:t xml:space="preserve"> </w:t>
      </w:r>
      <w:r w:rsidRPr="00972D9D">
        <w:rPr>
          <w:rFonts w:ascii="Verdana" w:hAnsi="Verdana"/>
          <w:sz w:val="20"/>
          <w:szCs w:val="20"/>
        </w:rPr>
        <w:t xml:space="preserve">en el caso del señor Preckel y de </w:t>
      </w:r>
      <w:r w:rsidR="009C6CFD">
        <w:rPr>
          <w:rFonts w:ascii="Verdana" w:hAnsi="Verdana"/>
          <w:sz w:val="20"/>
          <w:szCs w:val="20"/>
        </w:rPr>
        <w:t>más de once años</w:t>
      </w:r>
      <w:r w:rsidR="00C11BB5">
        <w:rPr>
          <w:rFonts w:ascii="Verdana" w:hAnsi="Verdana"/>
          <w:sz w:val="20"/>
          <w:szCs w:val="20"/>
        </w:rPr>
        <w:t>,</w:t>
      </w:r>
      <w:r w:rsidR="009C6CFD">
        <w:rPr>
          <w:rFonts w:ascii="Verdana" w:hAnsi="Verdana"/>
          <w:sz w:val="20"/>
          <w:szCs w:val="20"/>
        </w:rPr>
        <w:t xml:space="preserve"> a partir del reconocimiento de la competencia contenciosa de la Corte</w:t>
      </w:r>
      <w:r w:rsidR="00C11BB5">
        <w:rPr>
          <w:rFonts w:ascii="Verdana" w:hAnsi="Verdana"/>
          <w:sz w:val="20"/>
          <w:szCs w:val="20"/>
        </w:rPr>
        <w:t>,</w:t>
      </w:r>
      <w:r w:rsidR="009C6CFD">
        <w:rPr>
          <w:rFonts w:ascii="Verdana" w:hAnsi="Verdana"/>
          <w:sz w:val="20"/>
          <w:szCs w:val="20"/>
        </w:rPr>
        <w:t xml:space="preserve"> </w:t>
      </w:r>
      <w:r w:rsidRPr="00972D9D">
        <w:rPr>
          <w:rFonts w:ascii="Verdana" w:hAnsi="Verdana"/>
          <w:sz w:val="20"/>
          <w:szCs w:val="20"/>
        </w:rPr>
        <w:t>en el caso de la señora Perron</w:t>
      </w:r>
      <w:r w:rsidR="009416BE">
        <w:rPr>
          <w:rFonts w:ascii="Verdana" w:hAnsi="Verdana"/>
          <w:sz w:val="20"/>
          <w:szCs w:val="20"/>
        </w:rPr>
        <w:t>e del procedimiento administrat</w:t>
      </w:r>
      <w:r w:rsidRPr="00972D9D">
        <w:rPr>
          <w:rFonts w:ascii="Verdana" w:hAnsi="Verdana"/>
          <w:sz w:val="20"/>
          <w:szCs w:val="20"/>
        </w:rPr>
        <w:t>ivo y del proceso judicial en su conjunto, excedió el plazo razonable de manera injustificada, en contravención del artículo 8.1 de la Convención Americana</w:t>
      </w:r>
    </w:p>
    <w:p w14:paraId="38165A21" w14:textId="5E364EEA" w:rsidR="007C7159" w:rsidRPr="00972D9D" w:rsidRDefault="007C7159"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lang w:val="es-CR"/>
        </w:rPr>
      </w:pPr>
      <w:r w:rsidRPr="00972D9D">
        <w:rPr>
          <w:rFonts w:ascii="Verdana" w:hAnsi="Verdana"/>
          <w:sz w:val="20"/>
          <w:szCs w:val="20"/>
          <w:lang w:val="es-CR"/>
        </w:rPr>
        <w:t xml:space="preserve">Respecto de otros alegatos presentados por el representante, la Corte advierte que no se aportaron elementos suficientes para su consideración dentro del ámbito de la controversia materia de competencia. </w:t>
      </w:r>
    </w:p>
    <w:p w14:paraId="6799F2F8" w14:textId="77777777" w:rsidR="007C7159" w:rsidRPr="002F036A" w:rsidRDefault="007C7159" w:rsidP="00972D9D">
      <w:pPr>
        <w:keepNext/>
        <w:keepLines/>
        <w:tabs>
          <w:tab w:val="left" w:pos="851"/>
        </w:tabs>
        <w:spacing w:after="0" w:line="240" w:lineRule="auto"/>
        <w:jc w:val="center"/>
        <w:outlineLvl w:val="0"/>
        <w:rPr>
          <w:rFonts w:ascii="Verdana" w:eastAsia="Times New Roman" w:hAnsi="Verdana" w:cs="Verdana"/>
          <w:b/>
          <w:bCs/>
          <w:caps/>
          <w:snapToGrid w:val="0"/>
          <w:sz w:val="20"/>
          <w:szCs w:val="20"/>
          <w:lang w:val="es-ES_tradnl"/>
        </w:rPr>
      </w:pPr>
      <w:bookmarkStart w:id="84" w:name="_Toc7020799"/>
      <w:bookmarkStart w:id="85" w:name="_Toc12726735"/>
      <w:bookmarkStart w:id="86" w:name="_Toc16536395"/>
      <w:bookmarkStart w:id="87" w:name="_Toc20755739"/>
      <w:r w:rsidRPr="002F036A">
        <w:rPr>
          <w:rFonts w:ascii="Verdana" w:eastAsia="Times New Roman" w:hAnsi="Verdana" w:cs="Verdana"/>
          <w:b/>
          <w:bCs/>
          <w:caps/>
          <w:snapToGrid w:val="0"/>
          <w:sz w:val="20"/>
          <w:szCs w:val="20"/>
          <w:lang w:val="es-ES_tradnl"/>
        </w:rPr>
        <w:t>viii</w:t>
      </w:r>
      <w:r w:rsidRPr="002F036A">
        <w:rPr>
          <w:rFonts w:ascii="Verdana" w:eastAsia="Times New Roman" w:hAnsi="Verdana" w:cs="Verdana"/>
          <w:b/>
          <w:bCs/>
          <w:caps/>
          <w:snapToGrid w:val="0"/>
          <w:sz w:val="20"/>
          <w:szCs w:val="20"/>
          <w:lang w:val="es-ES_tradnl"/>
        </w:rPr>
        <w:br/>
      </w:r>
      <w:bookmarkEnd w:id="84"/>
      <w:r w:rsidRPr="002F036A">
        <w:rPr>
          <w:rFonts w:ascii="Verdana" w:eastAsia="Times New Roman" w:hAnsi="Verdana" w:cs="Verdana"/>
          <w:b/>
          <w:bCs/>
          <w:caps/>
          <w:snapToGrid w:val="0"/>
          <w:sz w:val="20"/>
          <w:szCs w:val="20"/>
          <w:lang w:val="es-ES_tradnl"/>
        </w:rPr>
        <w:t>reparaciones</w:t>
      </w:r>
      <w:bookmarkEnd w:id="85"/>
      <w:bookmarkEnd w:id="86"/>
      <w:bookmarkEnd w:id="87"/>
    </w:p>
    <w:p w14:paraId="180B059D" w14:textId="77777777" w:rsidR="007C7159" w:rsidRPr="002F036A" w:rsidRDefault="007C7159" w:rsidP="00972D9D">
      <w:pPr>
        <w:spacing w:after="0" w:line="240" w:lineRule="auto"/>
        <w:jc w:val="center"/>
        <w:rPr>
          <w:rFonts w:ascii="Verdana" w:hAnsi="Verdana"/>
          <w:b/>
          <w:sz w:val="20"/>
          <w:szCs w:val="20"/>
        </w:rPr>
      </w:pPr>
      <w:r w:rsidRPr="002F036A">
        <w:rPr>
          <w:rFonts w:ascii="Verdana" w:hAnsi="Verdana"/>
          <w:b/>
          <w:sz w:val="20"/>
          <w:szCs w:val="20"/>
        </w:rPr>
        <w:t>APLICACIÓN DEL ARTÍCULO 63.1 DE LA CONVENCIÓN AMERICANA</w:t>
      </w:r>
    </w:p>
    <w:p w14:paraId="79E312A0" w14:textId="1B5E1275" w:rsidR="007C7159" w:rsidRPr="000B31AD" w:rsidRDefault="007C7159"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sidRPr="009C6CFD">
        <w:rPr>
          <w:rFonts w:ascii="Verdana" w:hAnsi="Verdana"/>
          <w:sz w:val="20"/>
          <w:szCs w:val="20"/>
        </w:rPr>
        <w:lastRenderedPageBreak/>
        <w:t>Sobre la base de lo dispuesto en el artículo 63.1 de la Convención Americana</w:t>
      </w:r>
      <w:r w:rsidRPr="009C6CFD">
        <w:rPr>
          <w:rStyle w:val="Refdenotaalpie"/>
          <w:rFonts w:ascii="Verdana" w:eastAsia="Calibri" w:hAnsi="Verdana"/>
          <w:sz w:val="20"/>
          <w:szCs w:val="20"/>
        </w:rPr>
        <w:footnoteReference w:id="132"/>
      </w:r>
      <w:r w:rsidRPr="009C6CFD">
        <w:rPr>
          <w:rFonts w:ascii="Verdana" w:hAnsi="Verdana"/>
          <w:sz w:val="20"/>
          <w:szCs w:val="20"/>
        </w:rPr>
        <w:t>, la Corte ha indicado que toda</w:t>
      </w:r>
      <w:r w:rsidRPr="000B31AD">
        <w:rPr>
          <w:rFonts w:ascii="Verdana" w:hAnsi="Verdana"/>
          <w:sz w:val="20"/>
          <w:szCs w:val="20"/>
        </w:rPr>
        <w:t xml:space="preserve"> violación de una obligación internacional que haya producido daño comporta el deber de repararlo adecuadamente, y que esa disposición recoge una norma consuetudinaria que constituye uno de los principios fundamentales del Derecho Internacional contemporáneo sobre responsabilidad de un Estado.</w:t>
      </w:r>
    </w:p>
    <w:p w14:paraId="174E85FB" w14:textId="31DA2852" w:rsidR="007C7159" w:rsidRPr="009C6CFD" w:rsidRDefault="007C7159"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sidRPr="009C6CFD">
        <w:rPr>
          <w:rFonts w:ascii="Verdana" w:hAnsi="Verdana"/>
          <w:sz w:val="20"/>
          <w:szCs w:val="20"/>
        </w:rPr>
        <w:t>La reparación del daño ocasionado por la infracción de una obligación internacional requiere, siempre que sea posible, la plena restitución (</w:t>
      </w:r>
      <w:r w:rsidRPr="009C6CFD">
        <w:rPr>
          <w:rFonts w:ascii="Verdana" w:hAnsi="Verdana"/>
          <w:i/>
          <w:sz w:val="20"/>
          <w:szCs w:val="20"/>
        </w:rPr>
        <w:t>restitutio in integrum</w:t>
      </w:r>
      <w:r w:rsidRPr="009C6CFD">
        <w:rPr>
          <w:rFonts w:ascii="Verdana" w:hAnsi="Verdana"/>
          <w:sz w:val="20"/>
          <w:szCs w:val="20"/>
        </w:rPr>
        <w:t>), que consiste en el restablecimiento de la situación anterior</w:t>
      </w:r>
      <w:r w:rsidRPr="009C6CFD">
        <w:rPr>
          <w:rStyle w:val="Refdenotaalpie"/>
          <w:rFonts w:ascii="Verdana" w:eastAsia="Calibri" w:hAnsi="Verdana"/>
          <w:sz w:val="20"/>
          <w:szCs w:val="20"/>
        </w:rPr>
        <w:footnoteReference w:id="133"/>
      </w:r>
      <w:r w:rsidRPr="009C6CFD">
        <w:rPr>
          <w:rFonts w:ascii="Verdana" w:hAnsi="Verdana"/>
          <w:sz w:val="20"/>
          <w:szCs w:val="20"/>
        </w:rPr>
        <w:t>. De no ser esto factible, como ocurre en la mayoría de los casos de violaciones a derechos humanos, este Tribunal determinará medidas para garantizar los derechos conculcados y reparar las consecuencias que las infracciones produjeron</w:t>
      </w:r>
      <w:r w:rsidRPr="009C6CFD">
        <w:rPr>
          <w:rStyle w:val="Refdenotaalpie"/>
          <w:rFonts w:ascii="Verdana" w:eastAsia="Calibri" w:hAnsi="Verdana"/>
          <w:sz w:val="20"/>
          <w:szCs w:val="20"/>
        </w:rPr>
        <w:footnoteReference w:id="134"/>
      </w:r>
      <w:r w:rsidRPr="009C6CFD">
        <w:rPr>
          <w:rFonts w:ascii="Verdana" w:hAnsi="Verdana"/>
          <w:sz w:val="20"/>
          <w:szCs w:val="20"/>
        </w:rPr>
        <w:t>. Por tanto, la Corte ha considerado la necesidad de otorgar diversas medidas de reparación, a fin de resarcir los daños de manera integral, por lo que además de las compensaciones pecuniarias, las medidas de restitución, rehabilitación, satisfacción y garantías de no repetición tienen especial relevancia por los daños ocasionados</w:t>
      </w:r>
      <w:r w:rsidRPr="009C6CFD">
        <w:rPr>
          <w:rStyle w:val="Refdenotaalpie"/>
          <w:rFonts w:ascii="Verdana" w:eastAsia="Calibri" w:hAnsi="Verdana"/>
          <w:sz w:val="20"/>
          <w:szCs w:val="20"/>
        </w:rPr>
        <w:footnoteReference w:id="135"/>
      </w:r>
      <w:r w:rsidRPr="009C6CFD">
        <w:rPr>
          <w:rFonts w:ascii="Verdana" w:hAnsi="Verdana"/>
          <w:sz w:val="20"/>
          <w:szCs w:val="20"/>
        </w:rPr>
        <w:t>.</w:t>
      </w:r>
    </w:p>
    <w:p w14:paraId="3A76996B" w14:textId="77777777" w:rsidR="007C7159" w:rsidRPr="009C6CFD" w:rsidRDefault="007C7159"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b/>
          <w:sz w:val="20"/>
          <w:szCs w:val="20"/>
        </w:rPr>
      </w:pPr>
      <w:r w:rsidRPr="009C6CFD">
        <w:rPr>
          <w:rFonts w:ascii="Verdana" w:hAnsi="Verdana"/>
          <w:sz w:val="20"/>
          <w:szCs w:val="20"/>
        </w:rPr>
        <w:t>Este Tribunal ha establecido que las reparaciones deben tener un nexo causal con los hechos del caso, las violaciones declaradas, los daños acreditados, así como las medidas solicitadas para reparar los daños respectivos. Por lo tanto, la Corte deberá observar dicha concurrencia para pronunciarse debidamente y conforme a derecho</w:t>
      </w:r>
      <w:r w:rsidRPr="009C6CFD">
        <w:rPr>
          <w:rStyle w:val="Refdenotaalpie"/>
          <w:rFonts w:ascii="Verdana" w:eastAsia="Calibri" w:hAnsi="Verdana"/>
          <w:sz w:val="20"/>
          <w:szCs w:val="20"/>
        </w:rPr>
        <w:footnoteReference w:id="136"/>
      </w:r>
      <w:r w:rsidRPr="009C6CFD">
        <w:rPr>
          <w:rFonts w:ascii="Verdana" w:hAnsi="Verdana"/>
          <w:sz w:val="20"/>
          <w:szCs w:val="20"/>
        </w:rPr>
        <w:t>.</w:t>
      </w:r>
    </w:p>
    <w:p w14:paraId="72E8704A" w14:textId="5D2B383D" w:rsidR="007C7159" w:rsidRPr="00581B8F" w:rsidRDefault="007C7159"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sidRPr="009C6CFD">
        <w:rPr>
          <w:rFonts w:ascii="Verdana" w:hAnsi="Verdana"/>
          <w:sz w:val="20"/>
          <w:szCs w:val="20"/>
        </w:rPr>
        <w:t>En consideración de las violaciones declaradas en el capítulo anterior, este Tribunal procederá a analizar las pretensiones presentadas por la Comisión y</w:t>
      </w:r>
      <w:r w:rsidR="00581B8F">
        <w:rPr>
          <w:rFonts w:ascii="Verdana" w:hAnsi="Verdana"/>
          <w:sz w:val="20"/>
          <w:szCs w:val="20"/>
        </w:rPr>
        <w:t xml:space="preserve"> el representante</w:t>
      </w:r>
      <w:r w:rsidRPr="00581B8F">
        <w:rPr>
          <w:rFonts w:ascii="Verdana" w:hAnsi="Verdana"/>
          <w:sz w:val="20"/>
          <w:szCs w:val="20"/>
        </w:rPr>
        <w:t>, así como los argumentos del Estado, a la luz de los criterios fijados en la jurisprudencia de la Corte en relación con la naturaleza y alcance de la obligación de reparar, con el objeto de disponer las medidas dirigidas a reparar los daños ocasionados a las víctimas</w:t>
      </w:r>
      <w:r w:rsidRPr="00581B8F">
        <w:rPr>
          <w:rStyle w:val="Refdenotaalpie"/>
          <w:rFonts w:ascii="Verdana" w:eastAsia="Calibri" w:hAnsi="Verdana"/>
          <w:sz w:val="20"/>
          <w:szCs w:val="20"/>
        </w:rPr>
        <w:footnoteReference w:id="137"/>
      </w:r>
      <w:r w:rsidRPr="00581B8F">
        <w:rPr>
          <w:rFonts w:ascii="Verdana" w:hAnsi="Verdana"/>
          <w:sz w:val="20"/>
          <w:szCs w:val="20"/>
        </w:rPr>
        <w:t>.</w:t>
      </w:r>
    </w:p>
    <w:p w14:paraId="684AF5AB" w14:textId="1AD6DD8C" w:rsidR="007C7159" w:rsidRPr="00972D9D" w:rsidRDefault="007C7159" w:rsidP="00972D9D">
      <w:pPr>
        <w:keepNext/>
        <w:keepLines/>
        <w:numPr>
          <w:ilvl w:val="0"/>
          <w:numId w:val="40"/>
        </w:numPr>
        <w:spacing w:before="120" w:after="120" w:line="240" w:lineRule="auto"/>
        <w:ind w:left="567" w:hanging="283"/>
        <w:jc w:val="both"/>
        <w:outlineLvl w:val="1"/>
        <w:rPr>
          <w:rFonts w:ascii="Verdana" w:hAnsi="Verdana"/>
          <w:i/>
        </w:rPr>
      </w:pPr>
      <w:bookmarkStart w:id="88" w:name="_Toc16536396"/>
      <w:bookmarkStart w:id="89" w:name="_Toc20755740"/>
      <w:r w:rsidRPr="00972D9D">
        <w:rPr>
          <w:rFonts w:ascii="Verdana" w:eastAsia="Times New Roman" w:hAnsi="Verdana" w:cs="Times New Roman"/>
          <w:b/>
          <w:bCs/>
          <w:i/>
          <w:sz w:val="20"/>
          <w:szCs w:val="20"/>
          <w:lang w:val="es-ES_tradnl"/>
        </w:rPr>
        <w:t>Parte Lesionada</w:t>
      </w:r>
      <w:bookmarkEnd w:id="88"/>
      <w:bookmarkEnd w:id="89"/>
    </w:p>
    <w:p w14:paraId="1EBF9DF4" w14:textId="25D3AA15" w:rsidR="007C7159" w:rsidRPr="00972D9D" w:rsidRDefault="007C7159"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sidRPr="00972D9D">
        <w:rPr>
          <w:rFonts w:ascii="Verdana" w:hAnsi="Verdana"/>
          <w:sz w:val="20"/>
          <w:szCs w:val="20"/>
        </w:rPr>
        <w:t xml:space="preserve">Este Tribunal reitera que se considera parte lesionada, en los términos del artículo 63.1 de la Convención, a quien ha sido declarada víctima de la violación de algún derecho reconocido en la misma. Por lo tanto, esta Corte considera como “parte lesionada” a la señora Elba Clotilde Perrone y al señor Juan José Preckel, quienes en su carácter de víctima de las violaciones declaradas en el </w:t>
      </w:r>
      <w:r w:rsidR="009C6CFD">
        <w:rPr>
          <w:rFonts w:ascii="Verdana" w:hAnsi="Verdana"/>
          <w:sz w:val="20"/>
          <w:szCs w:val="20"/>
        </w:rPr>
        <w:t>C</w:t>
      </w:r>
      <w:r w:rsidRPr="00972D9D">
        <w:rPr>
          <w:rFonts w:ascii="Verdana" w:hAnsi="Verdana"/>
          <w:sz w:val="20"/>
          <w:szCs w:val="20"/>
        </w:rPr>
        <w:t>apítulo</w:t>
      </w:r>
      <w:r w:rsidR="009C6CFD">
        <w:rPr>
          <w:rFonts w:ascii="Verdana" w:hAnsi="Verdana"/>
          <w:sz w:val="20"/>
          <w:szCs w:val="20"/>
        </w:rPr>
        <w:t xml:space="preserve"> VII </w:t>
      </w:r>
      <w:r w:rsidRPr="00972D9D">
        <w:rPr>
          <w:rFonts w:ascii="Verdana" w:hAnsi="Verdana"/>
          <w:sz w:val="20"/>
          <w:szCs w:val="20"/>
        </w:rPr>
        <w:t>serán acreedores de lo que la Corte ordene a continuación.</w:t>
      </w:r>
    </w:p>
    <w:p w14:paraId="381B64A5" w14:textId="77777777" w:rsidR="007C7159" w:rsidRPr="00972D9D" w:rsidRDefault="007C7159" w:rsidP="00972D9D">
      <w:pPr>
        <w:widowControl w:val="0"/>
        <w:tabs>
          <w:tab w:val="left" w:pos="567"/>
        </w:tabs>
        <w:adjustRightInd w:val="0"/>
        <w:spacing w:before="120" w:after="120" w:line="240" w:lineRule="auto"/>
        <w:jc w:val="both"/>
        <w:textAlignment w:val="baseline"/>
        <w:rPr>
          <w:rFonts w:ascii="Verdana" w:hAnsi="Verdana"/>
          <w:sz w:val="20"/>
          <w:szCs w:val="20"/>
        </w:rPr>
      </w:pPr>
    </w:p>
    <w:p w14:paraId="6CF32118" w14:textId="025B1B17" w:rsidR="007C7159" w:rsidRPr="00972D9D" w:rsidRDefault="007C7159" w:rsidP="00972D9D">
      <w:pPr>
        <w:keepNext/>
        <w:keepLines/>
        <w:numPr>
          <w:ilvl w:val="0"/>
          <w:numId w:val="40"/>
        </w:numPr>
        <w:spacing w:before="120" w:after="120" w:line="240" w:lineRule="auto"/>
        <w:ind w:left="567" w:hanging="283"/>
        <w:jc w:val="both"/>
        <w:outlineLvl w:val="1"/>
        <w:rPr>
          <w:rFonts w:ascii="Verdana" w:eastAsia="Times New Roman" w:hAnsi="Verdana" w:cs="Times New Roman"/>
          <w:b/>
          <w:bCs/>
          <w:i/>
          <w:sz w:val="20"/>
          <w:szCs w:val="20"/>
          <w:lang w:val="es-ES_tradnl"/>
        </w:rPr>
      </w:pPr>
      <w:bookmarkStart w:id="90" w:name="_Toc20755741"/>
      <w:bookmarkStart w:id="91" w:name="_Toc12726737"/>
      <w:r w:rsidRPr="00972D9D">
        <w:rPr>
          <w:rFonts w:ascii="Verdana" w:eastAsia="Times New Roman" w:hAnsi="Verdana" w:cs="Times New Roman"/>
          <w:b/>
          <w:bCs/>
          <w:i/>
          <w:sz w:val="20"/>
          <w:szCs w:val="20"/>
          <w:lang w:val="es-ES_tradnl"/>
        </w:rPr>
        <w:t>Medidas de restitución y satisfacción</w:t>
      </w:r>
      <w:bookmarkEnd w:id="90"/>
      <w:r w:rsidRPr="00972D9D">
        <w:rPr>
          <w:rFonts w:ascii="Verdana" w:eastAsia="Times New Roman" w:hAnsi="Verdana" w:cs="Times New Roman"/>
          <w:b/>
          <w:bCs/>
          <w:i/>
          <w:sz w:val="20"/>
          <w:szCs w:val="20"/>
          <w:lang w:val="es-ES_tradnl"/>
        </w:rPr>
        <w:t xml:space="preserve"> </w:t>
      </w:r>
      <w:bookmarkEnd w:id="91"/>
    </w:p>
    <w:p w14:paraId="0EAD800F" w14:textId="02C67FB8" w:rsidR="007C7159" w:rsidRPr="00972D9D" w:rsidRDefault="007C7159" w:rsidP="00972D9D">
      <w:pPr>
        <w:pStyle w:val="Ttulo3"/>
        <w:numPr>
          <w:ilvl w:val="0"/>
          <w:numId w:val="41"/>
        </w:numPr>
        <w:tabs>
          <w:tab w:val="clear" w:pos="1276"/>
          <w:tab w:val="left" w:pos="993"/>
        </w:tabs>
        <w:spacing w:before="120" w:after="120"/>
        <w:ind w:left="1276" w:hanging="142"/>
        <w:rPr>
          <w:rFonts w:cs="Arial"/>
          <w:b w:val="0"/>
          <w:lang w:val="es-CR"/>
        </w:rPr>
      </w:pPr>
      <w:bookmarkStart w:id="92" w:name="_Toc12726738"/>
      <w:bookmarkStart w:id="93" w:name="_Toc20755742"/>
      <w:r w:rsidRPr="00972D9D">
        <w:rPr>
          <w:rFonts w:cs="Arial"/>
          <w:b w:val="0"/>
          <w:lang w:val="es-CR"/>
        </w:rPr>
        <w:t>Medidas de restitución</w:t>
      </w:r>
      <w:bookmarkEnd w:id="92"/>
      <w:bookmarkEnd w:id="93"/>
    </w:p>
    <w:p w14:paraId="1133EA7E" w14:textId="07A041A1" w:rsidR="0064041B" w:rsidRPr="00972D9D" w:rsidRDefault="007C7159"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b/>
          <w:sz w:val="20"/>
          <w:szCs w:val="20"/>
        </w:rPr>
      </w:pPr>
      <w:r w:rsidRPr="00972D9D">
        <w:rPr>
          <w:rFonts w:ascii="Verdana" w:hAnsi="Verdana" w:cs="Arial"/>
          <w:sz w:val="20"/>
          <w:szCs w:val="20"/>
          <w:lang w:val="es-CR"/>
        </w:rPr>
        <w:t xml:space="preserve">La </w:t>
      </w:r>
      <w:r w:rsidRPr="00972D9D">
        <w:rPr>
          <w:rFonts w:ascii="Verdana" w:hAnsi="Verdana" w:cs="Arial"/>
          <w:b/>
          <w:i/>
          <w:sz w:val="20"/>
          <w:szCs w:val="20"/>
          <w:lang w:val="es-CR"/>
        </w:rPr>
        <w:t>Comisión</w:t>
      </w:r>
      <w:r w:rsidRPr="00972D9D">
        <w:rPr>
          <w:rFonts w:ascii="Verdana" w:hAnsi="Verdana" w:cs="Arial"/>
          <w:sz w:val="20"/>
          <w:szCs w:val="20"/>
          <w:lang w:val="es-CR"/>
        </w:rPr>
        <w:t xml:space="preserve"> solicitó que se dispongan las medidas necesarias para que, que Elba Clotilde Perrone y Juan José Preckel cuenten con un recurso judicial efectivo mediante el cual se establezca, en cumplimiento de las garantías de motivación y de plazo razonable, la procedencia o no de sus reclamos relativos al pago de los salarios y beneficios sociales dejados de percibir. </w:t>
      </w:r>
      <w:r w:rsidR="00581B8F">
        <w:rPr>
          <w:rFonts w:ascii="Verdana" w:hAnsi="Verdana" w:cs="Arial"/>
          <w:sz w:val="20"/>
          <w:szCs w:val="20"/>
          <w:lang w:val="es-CR"/>
        </w:rPr>
        <w:t xml:space="preserve">El </w:t>
      </w:r>
      <w:r w:rsidRPr="00972D9D">
        <w:rPr>
          <w:rFonts w:ascii="Verdana" w:hAnsi="Verdana" w:cs="Arial"/>
          <w:b/>
          <w:i/>
          <w:sz w:val="20"/>
          <w:szCs w:val="20"/>
          <w:lang w:val="es-CR"/>
        </w:rPr>
        <w:t>representante</w:t>
      </w:r>
      <w:r w:rsidRPr="00972D9D">
        <w:rPr>
          <w:rFonts w:ascii="Verdana" w:hAnsi="Verdana" w:cs="Arial"/>
          <w:sz w:val="20"/>
          <w:szCs w:val="20"/>
          <w:lang w:val="es-CR"/>
        </w:rPr>
        <w:t xml:space="preserve"> solicit</w:t>
      </w:r>
      <w:r w:rsidR="00581B8F">
        <w:rPr>
          <w:rFonts w:ascii="Verdana" w:hAnsi="Verdana" w:cs="Arial"/>
          <w:sz w:val="20"/>
          <w:szCs w:val="20"/>
          <w:lang w:val="es-CR"/>
        </w:rPr>
        <w:t>ó</w:t>
      </w:r>
      <w:r w:rsidRPr="00972D9D">
        <w:rPr>
          <w:rFonts w:ascii="Verdana" w:hAnsi="Verdana" w:cs="Arial"/>
          <w:sz w:val="20"/>
          <w:szCs w:val="20"/>
          <w:lang w:val="es-CR"/>
        </w:rPr>
        <w:t xml:space="preserve"> que se dispongan las medidas necesarias para la reparación integral de las víctimas por las violaciones convencionales sufridas a fin de que el Estado las indemnice mediante el pago de una suma equivalente a los salarios caídos durante el período de su detención </w:t>
      </w:r>
      <w:r w:rsidRPr="00972D9D">
        <w:rPr>
          <w:rFonts w:ascii="Verdana" w:hAnsi="Verdana" w:cs="Arial"/>
          <w:sz w:val="20"/>
          <w:szCs w:val="20"/>
          <w:lang w:val="es-CR"/>
        </w:rPr>
        <w:lastRenderedPageBreak/>
        <w:t xml:space="preserve">ilegal en el caso de la señora Perrone y de la detención ilegal y el exilio forzoso en caso del señor Preckel. </w:t>
      </w:r>
    </w:p>
    <w:p w14:paraId="3C26BD6B" w14:textId="411645DE" w:rsidR="00910E74" w:rsidRPr="00972D9D" w:rsidRDefault="007C7159"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cs="Arial"/>
          <w:sz w:val="20"/>
          <w:szCs w:val="20"/>
          <w:lang w:val="es-CR"/>
        </w:rPr>
      </w:pPr>
      <w:r w:rsidRPr="00972D9D">
        <w:rPr>
          <w:rFonts w:ascii="Verdana" w:hAnsi="Verdana" w:cs="Arial"/>
          <w:sz w:val="20"/>
          <w:szCs w:val="20"/>
          <w:lang w:val="es-CR"/>
        </w:rPr>
        <w:t xml:space="preserve">El </w:t>
      </w:r>
      <w:r w:rsidRPr="00972D9D">
        <w:rPr>
          <w:rFonts w:ascii="Verdana" w:hAnsi="Verdana" w:cs="Arial"/>
          <w:b/>
          <w:i/>
          <w:sz w:val="20"/>
          <w:szCs w:val="20"/>
          <w:lang w:val="es-CR"/>
        </w:rPr>
        <w:t>Estado</w:t>
      </w:r>
      <w:r w:rsidRPr="00972D9D">
        <w:rPr>
          <w:rFonts w:ascii="Verdana" w:hAnsi="Verdana" w:cs="Arial"/>
          <w:sz w:val="20"/>
          <w:szCs w:val="20"/>
          <w:lang w:val="es-CR"/>
        </w:rPr>
        <w:t xml:space="preserve"> sostuvo que la reparación integral pretendida por </w:t>
      </w:r>
      <w:r w:rsidR="008F1226" w:rsidRPr="00972D9D">
        <w:rPr>
          <w:rFonts w:ascii="Verdana" w:hAnsi="Verdana" w:cs="Arial"/>
          <w:sz w:val="20"/>
          <w:szCs w:val="20"/>
          <w:lang w:val="es-CR"/>
        </w:rPr>
        <w:t>las víctimas</w:t>
      </w:r>
      <w:r w:rsidR="00C252B7">
        <w:rPr>
          <w:rFonts w:ascii="Verdana" w:hAnsi="Verdana" w:cs="Arial"/>
          <w:sz w:val="20"/>
          <w:szCs w:val="20"/>
          <w:lang w:val="es-CR"/>
        </w:rPr>
        <w:t>,</w:t>
      </w:r>
      <w:r w:rsidR="008F1226" w:rsidRPr="00972D9D">
        <w:rPr>
          <w:rFonts w:ascii="Verdana" w:hAnsi="Verdana" w:cs="Arial"/>
          <w:sz w:val="20"/>
          <w:szCs w:val="20"/>
          <w:lang w:val="es-CR"/>
        </w:rPr>
        <w:t xml:space="preserve"> consistente</w:t>
      </w:r>
      <w:r w:rsidRPr="00972D9D">
        <w:rPr>
          <w:rFonts w:ascii="Verdana" w:hAnsi="Verdana" w:cs="Arial"/>
          <w:sz w:val="20"/>
          <w:szCs w:val="20"/>
          <w:lang w:val="es-CR"/>
        </w:rPr>
        <w:t xml:space="preserve"> en el pago de los salarios y demás haberes laborales dejados de percibir</w:t>
      </w:r>
      <w:r w:rsidR="00C252B7">
        <w:rPr>
          <w:rFonts w:ascii="Verdana" w:hAnsi="Verdana" w:cs="Arial"/>
          <w:sz w:val="20"/>
          <w:szCs w:val="20"/>
          <w:lang w:val="es-CR"/>
        </w:rPr>
        <w:t>,</w:t>
      </w:r>
      <w:r w:rsidRPr="00972D9D">
        <w:rPr>
          <w:rFonts w:ascii="Verdana" w:hAnsi="Verdana" w:cs="Arial"/>
          <w:sz w:val="20"/>
          <w:szCs w:val="20"/>
          <w:lang w:val="es-CR"/>
        </w:rPr>
        <w:t xml:space="preserve"> no podía ser acogid</w:t>
      </w:r>
      <w:r w:rsidR="009C6CFD">
        <w:rPr>
          <w:rFonts w:ascii="Verdana" w:hAnsi="Verdana" w:cs="Arial"/>
          <w:sz w:val="20"/>
          <w:szCs w:val="20"/>
          <w:lang w:val="es-CR"/>
        </w:rPr>
        <w:t>a</w:t>
      </w:r>
      <w:r w:rsidRPr="00972D9D">
        <w:rPr>
          <w:rFonts w:ascii="Verdana" w:hAnsi="Verdana" w:cs="Arial"/>
          <w:sz w:val="20"/>
          <w:szCs w:val="20"/>
          <w:lang w:val="es-CR"/>
        </w:rPr>
        <w:t xml:space="preserve"> porque no se había demostrado que e</w:t>
      </w:r>
      <w:r w:rsidR="00F42E68" w:rsidRPr="00972D9D">
        <w:rPr>
          <w:rFonts w:ascii="Verdana" w:hAnsi="Verdana" w:cs="Arial"/>
          <w:sz w:val="20"/>
          <w:szCs w:val="20"/>
          <w:lang w:val="es-CR"/>
        </w:rPr>
        <w:t xml:space="preserve">ste </w:t>
      </w:r>
      <w:r w:rsidRPr="00972D9D">
        <w:rPr>
          <w:rFonts w:ascii="Verdana" w:hAnsi="Verdana" w:cs="Arial"/>
          <w:sz w:val="20"/>
          <w:szCs w:val="20"/>
          <w:lang w:val="es-CR"/>
        </w:rPr>
        <w:t xml:space="preserve">reclamo fuera procedente. </w:t>
      </w:r>
      <w:r w:rsidR="00FE7F60" w:rsidRPr="00972D9D">
        <w:rPr>
          <w:rFonts w:ascii="Verdana" w:hAnsi="Verdana" w:cs="Arial"/>
          <w:sz w:val="20"/>
          <w:szCs w:val="20"/>
          <w:lang w:val="es-CR"/>
        </w:rPr>
        <w:t xml:space="preserve">Así mismo sostuvo que la Comisión en su Informe de Fondo aclaró que el asunto sometido a la competencia de la Corte no versa sobre sobre salarios y haberes laborales no percibidos sino que circunscribe a la violación del deber de motivación y de la garantía del plazo razonable por parte de las autoridades administrativas y judiciales que conocieron los reclamos de Elba Clotilde Perrone y </w:t>
      </w:r>
      <w:r w:rsidR="00687FF0">
        <w:rPr>
          <w:rFonts w:ascii="Verdana" w:hAnsi="Verdana" w:cs="Arial"/>
          <w:sz w:val="20"/>
          <w:szCs w:val="20"/>
          <w:lang w:val="es-CR"/>
        </w:rPr>
        <w:t>J</w:t>
      </w:r>
      <w:r w:rsidR="00FE7F60" w:rsidRPr="00972D9D">
        <w:rPr>
          <w:rFonts w:ascii="Verdana" w:hAnsi="Verdana" w:cs="Arial"/>
          <w:sz w:val="20"/>
          <w:szCs w:val="20"/>
          <w:lang w:val="es-CR"/>
        </w:rPr>
        <w:t xml:space="preserve">uan José Preckel. </w:t>
      </w:r>
      <w:r w:rsidR="0064041B" w:rsidRPr="00972D9D">
        <w:rPr>
          <w:rFonts w:ascii="Verdana" w:hAnsi="Verdana"/>
          <w:bCs/>
          <w:sz w:val="20"/>
          <w:szCs w:val="20"/>
        </w:rPr>
        <w:t>En sus alegatos finales señaló que “</w:t>
      </w:r>
      <w:r w:rsidR="00AA5D46">
        <w:rPr>
          <w:rFonts w:ascii="Verdana" w:hAnsi="Verdana"/>
          <w:bCs/>
          <w:sz w:val="20"/>
          <w:szCs w:val="20"/>
        </w:rPr>
        <w:t xml:space="preserve">[…] </w:t>
      </w:r>
      <w:r w:rsidR="0064041B" w:rsidRPr="00972D9D">
        <w:rPr>
          <w:rFonts w:ascii="Verdana" w:hAnsi="Verdana"/>
          <w:bCs/>
          <w:sz w:val="20"/>
          <w:szCs w:val="20"/>
        </w:rPr>
        <w:t xml:space="preserve">ante la improbable hipótesis de que la […] Corte no rechace la demanda contra la República Argentina, cabe aquí reiterar que considera que en tanto no existe responsabilidad del Estado tampoco corresponde fijar reparación alguna. Pero subsidiariamente, y en caso que se determinara la responsabilidad del Estado, las reparaciones que se ordenen deben ser coherentes con la jurisprudencia del tribunal y, en modo alguno, pueden importar la "restitutio in integrum'' pretendida por las presuntas víctimas, pues ello significaría que se ha considerado ilegítima la acción estatal ocurrida durante la década del 70, hecho fuera de la jurisdicción del tribunal y que, en palabras de la propia Comisión en su Informe de Fondo (párrafos 75 y 76) se encuentra fuera de la </w:t>
      </w:r>
      <w:r w:rsidR="00AA5D46">
        <w:rPr>
          <w:rFonts w:ascii="Verdana" w:hAnsi="Verdana"/>
          <w:bCs/>
          <w:sz w:val="20"/>
          <w:szCs w:val="20"/>
        </w:rPr>
        <w:t>Litis […]</w:t>
      </w:r>
      <w:r w:rsidR="0064041B" w:rsidRPr="00972D9D">
        <w:rPr>
          <w:rFonts w:ascii="Verdana" w:hAnsi="Verdana"/>
          <w:bCs/>
          <w:sz w:val="20"/>
          <w:szCs w:val="20"/>
        </w:rPr>
        <w:t>”</w:t>
      </w:r>
      <w:r w:rsidR="00AA5D46">
        <w:rPr>
          <w:rFonts w:ascii="Verdana" w:hAnsi="Verdana"/>
          <w:bCs/>
          <w:sz w:val="20"/>
          <w:szCs w:val="20"/>
        </w:rPr>
        <w:t>.</w:t>
      </w:r>
      <w:r w:rsidR="0064041B" w:rsidRPr="00972D9D">
        <w:rPr>
          <w:rFonts w:ascii="Verdana" w:hAnsi="Verdana"/>
          <w:bCs/>
          <w:sz w:val="20"/>
          <w:szCs w:val="20"/>
        </w:rPr>
        <w:t xml:space="preserve"> </w:t>
      </w:r>
    </w:p>
    <w:p w14:paraId="0FCAD79C" w14:textId="22F3B3FB" w:rsidR="00A87D8E" w:rsidRPr="00972D9D" w:rsidRDefault="00BF3C68"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eastAsia="Arial" w:hAnsi="Verdana" w:cs="Arial"/>
          <w:b/>
          <w:sz w:val="20"/>
          <w:szCs w:val="20"/>
          <w:lang w:val="es-ES"/>
        </w:rPr>
      </w:pPr>
      <w:r w:rsidRPr="00972D9D">
        <w:rPr>
          <w:rFonts w:ascii="Verdana" w:hAnsi="Verdana"/>
          <w:sz w:val="20"/>
        </w:rPr>
        <w:t xml:space="preserve">La Corte considera que la </w:t>
      </w:r>
      <w:r w:rsidRPr="00972D9D">
        <w:rPr>
          <w:rFonts w:ascii="Verdana" w:hAnsi="Verdana"/>
          <w:i/>
          <w:sz w:val="20"/>
        </w:rPr>
        <w:t>restitutio in integrum</w:t>
      </w:r>
      <w:r w:rsidRPr="00972D9D">
        <w:rPr>
          <w:rFonts w:ascii="Verdana" w:hAnsi="Verdana"/>
          <w:sz w:val="20"/>
        </w:rPr>
        <w:t xml:space="preserve"> reclamada por las víctimas</w:t>
      </w:r>
      <w:r w:rsidR="00C11BB5">
        <w:rPr>
          <w:rFonts w:ascii="Verdana" w:hAnsi="Verdana"/>
          <w:sz w:val="20"/>
        </w:rPr>
        <w:t>,</w:t>
      </w:r>
      <w:r w:rsidRPr="00972D9D">
        <w:rPr>
          <w:rFonts w:ascii="Verdana" w:hAnsi="Verdana"/>
          <w:sz w:val="20"/>
        </w:rPr>
        <w:t xml:space="preserve"> consistente en </w:t>
      </w:r>
      <w:r w:rsidRPr="00972D9D">
        <w:rPr>
          <w:rFonts w:ascii="Verdana" w:hAnsi="Verdana"/>
          <w:sz w:val="20"/>
          <w:szCs w:val="20"/>
        </w:rPr>
        <w:t>el pago de una suma equivalente a los salarios caídos y los haberes dejados de percibir  durante el período de su detención ilegal en el caso de la señora Perrone, y de la detención ilegal y el exilio forzoso en caso del señor Preckel</w:t>
      </w:r>
      <w:r w:rsidR="00C11BB5">
        <w:rPr>
          <w:rFonts w:ascii="Verdana" w:hAnsi="Verdana"/>
          <w:sz w:val="20"/>
          <w:szCs w:val="20"/>
        </w:rPr>
        <w:t>,</w:t>
      </w:r>
      <w:r w:rsidRPr="00972D9D">
        <w:rPr>
          <w:rFonts w:ascii="Verdana" w:hAnsi="Verdana"/>
          <w:sz w:val="20"/>
          <w:szCs w:val="20"/>
        </w:rPr>
        <w:t xml:space="preserve"> </w:t>
      </w:r>
      <w:r w:rsidRPr="00972D9D">
        <w:rPr>
          <w:rFonts w:ascii="Verdana" w:hAnsi="Verdana"/>
          <w:sz w:val="20"/>
        </w:rPr>
        <w:t>se  vincula con hechos sobre los que el Tribunal no se pronunció, por estar fuera de su competencia temporal</w:t>
      </w:r>
      <w:r w:rsidR="009416BE">
        <w:rPr>
          <w:rFonts w:ascii="Verdana" w:hAnsi="Verdana"/>
          <w:sz w:val="20"/>
        </w:rPr>
        <w:t>. A</w:t>
      </w:r>
      <w:r w:rsidR="00640DB4" w:rsidRPr="00972D9D">
        <w:rPr>
          <w:rFonts w:ascii="Verdana" w:hAnsi="Verdana"/>
          <w:sz w:val="20"/>
        </w:rPr>
        <w:t>demás no guardan nexo causal con las violaciones declaradas en la presente sentencia</w:t>
      </w:r>
      <w:r w:rsidRPr="00972D9D">
        <w:rPr>
          <w:rFonts w:ascii="Verdana" w:hAnsi="Verdana"/>
          <w:sz w:val="20"/>
        </w:rPr>
        <w:t xml:space="preserve">. Por lo tanto, la Corte considera improcedente ordenar esta medida compensatoria. </w:t>
      </w:r>
    </w:p>
    <w:p w14:paraId="407378E7" w14:textId="3D014F41" w:rsidR="00910E74" w:rsidRPr="00972D9D" w:rsidRDefault="00910E74" w:rsidP="00972D9D">
      <w:pPr>
        <w:pStyle w:val="Ttulo3"/>
        <w:numPr>
          <w:ilvl w:val="0"/>
          <w:numId w:val="41"/>
        </w:numPr>
        <w:tabs>
          <w:tab w:val="clear" w:pos="1276"/>
          <w:tab w:val="left" w:pos="993"/>
        </w:tabs>
        <w:spacing w:before="120" w:after="120"/>
        <w:ind w:left="1276" w:hanging="142"/>
        <w:rPr>
          <w:rFonts w:cs="Arial"/>
          <w:b w:val="0"/>
          <w:lang w:val="es-CR"/>
        </w:rPr>
      </w:pPr>
      <w:bookmarkStart w:id="94" w:name="_Toc20755743"/>
      <w:r w:rsidRPr="00972D9D">
        <w:rPr>
          <w:rFonts w:cs="Arial"/>
          <w:b w:val="0"/>
          <w:lang w:val="es-CR"/>
        </w:rPr>
        <w:t>Medida de satisfacción</w:t>
      </w:r>
      <w:bookmarkEnd w:id="94"/>
    </w:p>
    <w:p w14:paraId="6873213C" w14:textId="5C6F0145" w:rsidR="00910E74" w:rsidRPr="00972D9D" w:rsidRDefault="00581B8F"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cs="Arial"/>
          <w:sz w:val="20"/>
          <w:szCs w:val="20"/>
          <w:lang w:val="es-CR"/>
        </w:rPr>
      </w:pPr>
      <w:r>
        <w:rPr>
          <w:rFonts w:ascii="Verdana" w:hAnsi="Verdana" w:cs="Arial"/>
          <w:sz w:val="20"/>
          <w:szCs w:val="20"/>
          <w:lang w:val="es-CR"/>
        </w:rPr>
        <w:t xml:space="preserve">El </w:t>
      </w:r>
      <w:r w:rsidR="00910E74" w:rsidRPr="00972D9D">
        <w:rPr>
          <w:rFonts w:ascii="Verdana" w:hAnsi="Verdana" w:cs="Arial"/>
          <w:b/>
          <w:i/>
          <w:sz w:val="20"/>
          <w:szCs w:val="20"/>
          <w:lang w:val="es-CR"/>
        </w:rPr>
        <w:t>representante</w:t>
      </w:r>
      <w:r w:rsidR="00910E74" w:rsidRPr="00972D9D">
        <w:rPr>
          <w:rFonts w:ascii="Verdana" w:hAnsi="Verdana" w:cs="Arial"/>
          <w:sz w:val="20"/>
          <w:szCs w:val="20"/>
          <w:lang w:val="es-CR"/>
        </w:rPr>
        <w:t xml:space="preserve"> solicit</w:t>
      </w:r>
      <w:r>
        <w:rPr>
          <w:rFonts w:ascii="Verdana" w:hAnsi="Verdana" w:cs="Arial"/>
          <w:sz w:val="20"/>
          <w:szCs w:val="20"/>
          <w:lang w:val="es-CR"/>
        </w:rPr>
        <w:t>ó</w:t>
      </w:r>
      <w:r w:rsidR="00910E74" w:rsidRPr="00972D9D">
        <w:rPr>
          <w:rFonts w:ascii="Verdana" w:hAnsi="Verdana" w:cs="Arial"/>
          <w:sz w:val="20"/>
          <w:szCs w:val="20"/>
          <w:lang w:val="es-CR"/>
        </w:rPr>
        <w:t xml:space="preserve"> la publicación de la sentencia. El </w:t>
      </w:r>
      <w:r w:rsidR="00910E74" w:rsidRPr="00972D9D">
        <w:rPr>
          <w:rFonts w:ascii="Verdana" w:hAnsi="Verdana" w:cs="Arial"/>
          <w:b/>
          <w:i/>
          <w:sz w:val="20"/>
          <w:szCs w:val="20"/>
          <w:lang w:val="es-CR"/>
        </w:rPr>
        <w:t>Estado</w:t>
      </w:r>
      <w:r w:rsidR="00910E74" w:rsidRPr="00972D9D">
        <w:rPr>
          <w:rFonts w:ascii="Verdana" w:hAnsi="Verdana" w:cs="Arial"/>
          <w:sz w:val="20"/>
          <w:szCs w:val="20"/>
          <w:lang w:val="es-CR"/>
        </w:rPr>
        <w:t xml:space="preserve"> no se refirió a esta medida de reparación.</w:t>
      </w:r>
    </w:p>
    <w:p w14:paraId="52DCAA93" w14:textId="0EA2CF9B" w:rsidR="00910E74" w:rsidRPr="00972D9D" w:rsidRDefault="00910E74"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cs="Arial"/>
          <w:sz w:val="20"/>
          <w:szCs w:val="20"/>
          <w:lang w:val="es-CR"/>
        </w:rPr>
      </w:pPr>
      <w:r w:rsidRPr="00972D9D">
        <w:rPr>
          <w:rFonts w:ascii="Verdana" w:hAnsi="Verdana"/>
          <w:sz w:val="20"/>
          <w:szCs w:val="20"/>
        </w:rPr>
        <w:t xml:space="preserve">La </w:t>
      </w:r>
      <w:r w:rsidRPr="00F46AC0">
        <w:rPr>
          <w:rFonts w:ascii="Verdana" w:hAnsi="Verdana"/>
          <w:b/>
          <w:i/>
          <w:sz w:val="20"/>
          <w:szCs w:val="20"/>
        </w:rPr>
        <w:t>Corte</w:t>
      </w:r>
      <w:r w:rsidRPr="00972D9D">
        <w:rPr>
          <w:rFonts w:ascii="Verdana" w:hAnsi="Verdana"/>
          <w:sz w:val="20"/>
          <w:szCs w:val="20"/>
        </w:rPr>
        <w:t xml:space="preserve"> estima pertinente ordenar, como lo ha hecho en otros casos</w:t>
      </w:r>
      <w:r w:rsidRPr="00972D9D">
        <w:rPr>
          <w:rStyle w:val="Refdenotaalpie"/>
          <w:rFonts w:ascii="Verdana" w:hAnsi="Verdana"/>
          <w:sz w:val="20"/>
          <w:szCs w:val="20"/>
        </w:rPr>
        <w:footnoteReference w:id="138"/>
      </w:r>
      <w:r w:rsidRPr="00972D9D">
        <w:rPr>
          <w:rFonts w:ascii="Verdana" w:hAnsi="Verdana"/>
          <w:sz w:val="20"/>
          <w:szCs w:val="20"/>
        </w:rPr>
        <w:t xml:space="preserve">, que el Estado, en el plazo de seis meses contado a partir de la notificación de la presente Sentencia, realice las siguientes publicaciones: a) el resumen oficial de la Sentencia elaborado por la Corte, por una sola vez, en el Diario Oficial, en un diario de amplia circulación nacional en un tamaño de letra legible y adecuado, y b) la presente Sentencia en su integridad, disponible al menos por un período de un año, </w:t>
      </w:r>
      <w:r w:rsidR="009416BE" w:rsidRPr="009416BE">
        <w:rPr>
          <w:rFonts w:ascii="Verdana" w:hAnsi="Verdana"/>
          <w:sz w:val="20"/>
          <w:szCs w:val="20"/>
          <w:lang w:val="es-CR"/>
        </w:rPr>
        <w:t>en el sitio web del Centro de Información Judicial</w:t>
      </w:r>
      <w:r w:rsidRPr="00972D9D">
        <w:rPr>
          <w:rFonts w:ascii="Verdana" w:hAnsi="Verdana"/>
          <w:sz w:val="20"/>
          <w:szCs w:val="20"/>
        </w:rPr>
        <w:t xml:space="preserve">, de manera accesible al público. </w:t>
      </w:r>
    </w:p>
    <w:p w14:paraId="71BAA0E7" w14:textId="33DC3414" w:rsidR="00910E74" w:rsidRPr="00972D9D" w:rsidRDefault="00910E74"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cs="Arial"/>
          <w:sz w:val="20"/>
          <w:szCs w:val="20"/>
          <w:lang w:val="es-CR"/>
        </w:rPr>
      </w:pPr>
      <w:r w:rsidRPr="00972D9D">
        <w:rPr>
          <w:rFonts w:ascii="Verdana" w:hAnsi="Verdana"/>
          <w:sz w:val="20"/>
          <w:szCs w:val="20"/>
        </w:rPr>
        <w:t>El Estado deberá́ informar de forma inmediata a esta Corte una vez que proceda a realizar cada una de las publicaciones dispuestas, independientemente del plazo de un año para presentar su primer informe dispuesto en la parte resolutiva de esta Sentencia.</w:t>
      </w:r>
    </w:p>
    <w:p w14:paraId="1FBBA625" w14:textId="485C91B3" w:rsidR="00910E74" w:rsidRPr="00972D9D" w:rsidRDefault="00910E74" w:rsidP="00972D9D">
      <w:pPr>
        <w:keepNext/>
        <w:keepLines/>
        <w:numPr>
          <w:ilvl w:val="0"/>
          <w:numId w:val="40"/>
        </w:numPr>
        <w:spacing w:before="120" w:after="120" w:line="240" w:lineRule="auto"/>
        <w:ind w:left="567" w:hanging="283"/>
        <w:jc w:val="both"/>
        <w:outlineLvl w:val="1"/>
        <w:rPr>
          <w:rFonts w:ascii="Verdana" w:hAnsi="Verdana"/>
          <w:i/>
        </w:rPr>
      </w:pPr>
      <w:r w:rsidRPr="00972D9D">
        <w:rPr>
          <w:rFonts w:ascii="Verdana" w:eastAsia="Times New Roman" w:hAnsi="Verdana" w:cs="Times New Roman"/>
          <w:b/>
          <w:bCs/>
          <w:i/>
          <w:sz w:val="20"/>
          <w:szCs w:val="20"/>
          <w:lang w:val="es-ES_tradnl"/>
        </w:rPr>
        <w:tab/>
      </w:r>
      <w:bookmarkStart w:id="95" w:name="_Toc16536400"/>
      <w:bookmarkStart w:id="96" w:name="_Toc20755744"/>
      <w:r w:rsidRPr="00972D9D">
        <w:rPr>
          <w:rFonts w:ascii="Verdana" w:eastAsia="Times New Roman" w:hAnsi="Verdana" w:cs="Times New Roman"/>
          <w:b/>
          <w:bCs/>
          <w:i/>
          <w:sz w:val="20"/>
          <w:szCs w:val="20"/>
          <w:lang w:val="es-ES_tradnl"/>
        </w:rPr>
        <w:t>Indemnizaciones compensatorias</w:t>
      </w:r>
      <w:bookmarkEnd w:id="95"/>
      <w:bookmarkEnd w:id="96"/>
    </w:p>
    <w:p w14:paraId="7CE1A664" w14:textId="77777777" w:rsidR="00910E74" w:rsidRPr="00972D9D" w:rsidRDefault="00910E74"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b/>
          <w:sz w:val="20"/>
          <w:szCs w:val="20"/>
        </w:rPr>
      </w:pPr>
      <w:r w:rsidRPr="00972D9D">
        <w:rPr>
          <w:rFonts w:ascii="Verdana" w:hAnsi="Verdana"/>
          <w:sz w:val="20"/>
          <w:szCs w:val="20"/>
        </w:rPr>
        <w:t xml:space="preserve">La </w:t>
      </w:r>
      <w:r w:rsidRPr="00972D9D">
        <w:rPr>
          <w:rFonts w:ascii="Verdana" w:hAnsi="Verdana"/>
          <w:b/>
          <w:i/>
          <w:sz w:val="20"/>
          <w:szCs w:val="20"/>
        </w:rPr>
        <w:t>Comisión</w:t>
      </w:r>
      <w:r w:rsidRPr="00972D9D">
        <w:rPr>
          <w:rFonts w:ascii="Verdana" w:hAnsi="Verdana"/>
          <w:sz w:val="20"/>
          <w:szCs w:val="20"/>
        </w:rPr>
        <w:t xml:space="preserve"> solicitó que en caso de que las víctimas no desearan acceder al recurso judicial por el paso del tiempo el Estado adopte las medidas necesarias para repararlas integralmente. </w:t>
      </w:r>
    </w:p>
    <w:p w14:paraId="77B93912" w14:textId="0D699054" w:rsidR="00910E74" w:rsidRPr="00972D9D" w:rsidRDefault="00581B8F"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Pr>
          <w:rFonts w:ascii="Verdana" w:hAnsi="Verdana"/>
          <w:sz w:val="20"/>
          <w:szCs w:val="20"/>
        </w:rPr>
        <w:t xml:space="preserve">El </w:t>
      </w:r>
      <w:r w:rsidR="00910E74" w:rsidRPr="00972D9D">
        <w:rPr>
          <w:rFonts w:ascii="Verdana" w:hAnsi="Verdana"/>
          <w:b/>
          <w:i/>
          <w:sz w:val="20"/>
          <w:szCs w:val="20"/>
        </w:rPr>
        <w:t>representante</w:t>
      </w:r>
      <w:r w:rsidR="00910E74" w:rsidRPr="00972D9D">
        <w:rPr>
          <w:rFonts w:ascii="Verdana" w:hAnsi="Verdana"/>
          <w:sz w:val="20"/>
          <w:szCs w:val="20"/>
        </w:rPr>
        <w:t xml:space="preserve"> solicit</w:t>
      </w:r>
      <w:r>
        <w:rPr>
          <w:rFonts w:ascii="Verdana" w:hAnsi="Verdana"/>
          <w:sz w:val="20"/>
          <w:szCs w:val="20"/>
        </w:rPr>
        <w:t>ó</w:t>
      </w:r>
      <w:r w:rsidR="00910E74" w:rsidRPr="00972D9D">
        <w:rPr>
          <w:rFonts w:ascii="Verdana" w:hAnsi="Verdana"/>
          <w:sz w:val="20"/>
          <w:szCs w:val="20"/>
        </w:rPr>
        <w:t xml:space="preserve"> que se dispongan las medidas necesarias para la reparación integral de las víctimas por las violaciones convencionales sufridas a fin de que el Estado las indemnice mediante el pago de una suma equivalente a los salarios caídos durante el período de </w:t>
      </w:r>
      <w:r w:rsidR="00910E74" w:rsidRPr="00972D9D">
        <w:rPr>
          <w:rFonts w:ascii="Verdana" w:hAnsi="Verdana"/>
          <w:sz w:val="20"/>
          <w:szCs w:val="20"/>
        </w:rPr>
        <w:lastRenderedPageBreak/>
        <w:t xml:space="preserve">su detención ilegal en el caso de la señora Perrone y de la detención ilegal y el exilio forzoso en caso del señor Preckel. </w:t>
      </w:r>
    </w:p>
    <w:p w14:paraId="07B81936" w14:textId="31A06A41" w:rsidR="00910E74" w:rsidRPr="00972D9D" w:rsidRDefault="00910E74"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b/>
          <w:sz w:val="20"/>
          <w:szCs w:val="20"/>
        </w:rPr>
      </w:pPr>
      <w:r w:rsidRPr="00972D9D">
        <w:rPr>
          <w:rFonts w:ascii="Verdana" w:hAnsi="Verdana"/>
          <w:sz w:val="20"/>
          <w:szCs w:val="20"/>
        </w:rPr>
        <w:t xml:space="preserve">El </w:t>
      </w:r>
      <w:r w:rsidRPr="00972D9D">
        <w:rPr>
          <w:rFonts w:ascii="Verdana" w:hAnsi="Verdana"/>
          <w:b/>
          <w:i/>
          <w:sz w:val="20"/>
          <w:szCs w:val="20"/>
        </w:rPr>
        <w:t>Estado</w:t>
      </w:r>
      <w:r w:rsidRPr="00972D9D">
        <w:rPr>
          <w:rFonts w:ascii="Verdana" w:hAnsi="Verdana"/>
          <w:sz w:val="20"/>
          <w:szCs w:val="20"/>
        </w:rPr>
        <w:t xml:space="preserve"> s</w:t>
      </w:r>
      <w:r w:rsidRPr="00972D9D">
        <w:rPr>
          <w:rFonts w:ascii="Verdana" w:hAnsi="Verdana"/>
          <w:bCs/>
          <w:sz w:val="20"/>
          <w:szCs w:val="20"/>
        </w:rPr>
        <w:t>e opuso a la pretensión de</w:t>
      </w:r>
      <w:r w:rsidR="00581B8F">
        <w:rPr>
          <w:rFonts w:ascii="Verdana" w:hAnsi="Verdana"/>
          <w:bCs/>
          <w:sz w:val="20"/>
          <w:szCs w:val="20"/>
        </w:rPr>
        <w:t>l</w:t>
      </w:r>
      <w:r w:rsidRPr="00972D9D">
        <w:rPr>
          <w:rFonts w:ascii="Verdana" w:hAnsi="Verdana"/>
          <w:bCs/>
          <w:sz w:val="20"/>
          <w:szCs w:val="20"/>
        </w:rPr>
        <w:t xml:space="preserve"> representante indicando que no puede ser acogida por la Corte ya que no ha sido probado que el reclamo de los haberes no percibidos fuera procedente. Además, resaltó que el conflicto planteado no versa sobre los salarios no percibidos, sino que el objeto es la falta de motivación y el plazo razonable de juzgamiento, por parte de las autoridades administrativas y judiciales.</w:t>
      </w:r>
    </w:p>
    <w:p w14:paraId="3CABD0E2" w14:textId="77777777" w:rsidR="00910E74" w:rsidRPr="00972D9D" w:rsidRDefault="00910E74"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sidRPr="00972D9D">
        <w:rPr>
          <w:rFonts w:ascii="Verdana" w:hAnsi="Verdana"/>
          <w:sz w:val="20"/>
          <w:szCs w:val="20"/>
        </w:rPr>
        <w:t>Respecto al daño material, este Tribunal ha desarrollado en su jurisprudencia que el mismo supone la pérdida o detrimento de los ingresos de las víctimas, los gastos efectuados con motivo de los hechos y las consecuencias de carácter pecuniario que tengan un nexo causal con los hechos del caso</w:t>
      </w:r>
      <w:r w:rsidRPr="00972D9D">
        <w:rPr>
          <w:rStyle w:val="Refdenotaalpie"/>
          <w:rFonts w:ascii="Verdana" w:hAnsi="Verdana"/>
          <w:sz w:val="20"/>
          <w:szCs w:val="20"/>
        </w:rPr>
        <w:footnoteReference w:id="139"/>
      </w:r>
      <w:r w:rsidRPr="00972D9D">
        <w:rPr>
          <w:rFonts w:ascii="Verdana" w:hAnsi="Verdana"/>
          <w:sz w:val="20"/>
          <w:szCs w:val="20"/>
        </w:rPr>
        <w:t>.</w:t>
      </w:r>
    </w:p>
    <w:p w14:paraId="3DA5949B" w14:textId="77777777" w:rsidR="0064041B" w:rsidRPr="00972D9D" w:rsidRDefault="00910E74"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eastAsia="Arial" w:hAnsi="Verdana" w:cs="Arial"/>
          <w:b/>
          <w:sz w:val="20"/>
          <w:szCs w:val="20"/>
          <w:lang w:val="es-ES"/>
        </w:rPr>
      </w:pPr>
      <w:r w:rsidRPr="00972D9D">
        <w:rPr>
          <w:rFonts w:ascii="Verdana" w:hAnsi="Verdana"/>
          <w:sz w:val="20"/>
          <w:szCs w:val="20"/>
        </w:rPr>
        <w:t>Por otra parte, respecto al daño inmaterial, la Corte ha establecido en su jurisprudencia que el daño inmaterial puede comprender tanto los sufrimientos y las aflicciones causados por la violación como el menoscabo de valores muy significativos para las personas y cualquier alteración, de carácter no pecuniario, en las condiciones de existencia de las víctimas. Por otra parte, dado que no es posible asignar al daño inmaterial un equivalente monetario preciso, sólo puede ser objeto de compensación, para los fines de la reparación integral a la víctima, mediante el pago de una cantidad de dinero o la entrega de bienes o servicios apreciables en dinero, que el Tribunal determine en aplicación razonable del arbitrio judicial y en términos de equidad</w:t>
      </w:r>
      <w:r w:rsidRPr="00972D9D">
        <w:rPr>
          <w:rStyle w:val="Refdenotaalpie"/>
          <w:rFonts w:ascii="Verdana" w:hAnsi="Verdana"/>
          <w:sz w:val="20"/>
          <w:szCs w:val="20"/>
        </w:rPr>
        <w:footnoteReference w:id="140"/>
      </w:r>
      <w:r w:rsidRPr="00972D9D">
        <w:rPr>
          <w:rFonts w:ascii="Verdana" w:hAnsi="Verdana"/>
          <w:sz w:val="20"/>
          <w:szCs w:val="20"/>
        </w:rPr>
        <w:t>.</w:t>
      </w:r>
    </w:p>
    <w:p w14:paraId="1BCC6C8D" w14:textId="48E0DE14" w:rsidR="0064041B" w:rsidRPr="00581B8F" w:rsidRDefault="00BF3C68"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eastAsia="Arial" w:hAnsi="Verdana" w:cs="Arial"/>
          <w:b/>
          <w:sz w:val="20"/>
          <w:szCs w:val="20"/>
          <w:lang w:val="es-ES"/>
        </w:rPr>
      </w:pPr>
      <w:r w:rsidRPr="00972D9D">
        <w:rPr>
          <w:rFonts w:ascii="Verdana" w:hAnsi="Verdana"/>
          <w:sz w:val="20"/>
        </w:rPr>
        <w:t xml:space="preserve">En el presente caso </w:t>
      </w:r>
      <w:r w:rsidR="0064041B" w:rsidRPr="00972D9D">
        <w:rPr>
          <w:rFonts w:ascii="Verdana" w:hAnsi="Verdana"/>
          <w:sz w:val="20"/>
        </w:rPr>
        <w:t xml:space="preserve">la Corte ha </w:t>
      </w:r>
      <w:r w:rsidRPr="00972D9D">
        <w:rPr>
          <w:rFonts w:ascii="Verdana" w:hAnsi="Verdana"/>
          <w:sz w:val="20"/>
        </w:rPr>
        <w:t>declarado la violación de la garantía del plazo razonable pues</w:t>
      </w:r>
      <w:r w:rsidRPr="00972D9D">
        <w:rPr>
          <w:rFonts w:ascii="Verdana" w:hAnsi="Verdana"/>
          <w:bCs/>
          <w:sz w:val="20"/>
        </w:rPr>
        <w:t xml:space="preserve"> s</w:t>
      </w:r>
      <w:r w:rsidR="0064041B" w:rsidRPr="00972D9D">
        <w:rPr>
          <w:rFonts w:ascii="Verdana" w:hAnsi="Verdana"/>
          <w:bCs/>
          <w:sz w:val="20"/>
        </w:rPr>
        <w:t>e ha acreditado que Estado incurrió en una demora excesiva para dar trámite a sus reclamaciones.</w:t>
      </w:r>
      <w:r w:rsidR="00F42E68" w:rsidRPr="00972D9D">
        <w:rPr>
          <w:rFonts w:ascii="Verdana" w:hAnsi="Verdana"/>
          <w:bCs/>
          <w:sz w:val="20"/>
        </w:rPr>
        <w:t xml:space="preserve"> </w:t>
      </w:r>
      <w:r w:rsidR="00F42E68" w:rsidRPr="00972D9D">
        <w:rPr>
          <w:rFonts w:ascii="Verdana" w:eastAsiaTheme="minorHAnsi" w:hAnsi="Verdana"/>
          <w:sz w:val="20"/>
          <w:szCs w:val="20"/>
          <w:lang w:val="es-CR"/>
        </w:rPr>
        <w:t>En consecuencia, el Tribunal estima pertinente fijar la cantidad total de US</w:t>
      </w:r>
      <w:r w:rsidR="004D6659">
        <w:rPr>
          <w:rFonts w:ascii="Verdana" w:eastAsiaTheme="minorHAnsi" w:hAnsi="Verdana"/>
          <w:sz w:val="20"/>
          <w:szCs w:val="20"/>
          <w:lang w:val="es-CR"/>
        </w:rPr>
        <w:t>D</w:t>
      </w:r>
      <w:r w:rsidR="00F42E68" w:rsidRPr="00972D9D">
        <w:rPr>
          <w:rFonts w:ascii="Verdana" w:eastAsiaTheme="minorHAnsi" w:hAnsi="Verdana"/>
          <w:sz w:val="20"/>
          <w:szCs w:val="20"/>
          <w:lang w:val="es-CR"/>
        </w:rPr>
        <w:t>$</w:t>
      </w:r>
      <w:r w:rsidRPr="00972D9D">
        <w:rPr>
          <w:rFonts w:ascii="Verdana" w:eastAsiaTheme="minorHAnsi" w:hAnsi="Verdana"/>
          <w:sz w:val="20"/>
          <w:szCs w:val="20"/>
          <w:lang w:val="es-CR"/>
        </w:rPr>
        <w:t>15</w:t>
      </w:r>
      <w:r w:rsidR="00F42E68" w:rsidRPr="00972D9D">
        <w:rPr>
          <w:rFonts w:ascii="Verdana" w:eastAsiaTheme="minorHAnsi" w:hAnsi="Verdana"/>
          <w:sz w:val="20"/>
          <w:szCs w:val="20"/>
          <w:lang w:val="es-CR"/>
        </w:rPr>
        <w:t>.000,00 (</w:t>
      </w:r>
      <w:r w:rsidRPr="00972D9D">
        <w:rPr>
          <w:rFonts w:ascii="Verdana" w:eastAsiaTheme="minorHAnsi" w:hAnsi="Verdana"/>
          <w:sz w:val="20"/>
          <w:szCs w:val="20"/>
          <w:lang w:val="es-CR"/>
        </w:rPr>
        <w:t>quince</w:t>
      </w:r>
      <w:r w:rsidR="00F42E68" w:rsidRPr="00972D9D">
        <w:rPr>
          <w:rFonts w:ascii="Verdana" w:eastAsiaTheme="minorHAnsi" w:hAnsi="Verdana"/>
          <w:sz w:val="20"/>
          <w:szCs w:val="20"/>
          <w:lang w:val="es-CR"/>
        </w:rPr>
        <w:t xml:space="preserve"> mil dólares de los Estados Unidos de América) a favor de cada una de las víctimas, por concepto de compensación. Los montos dispuestos a favor de cada una de esas personas deben ser pagados directamente a ellas, en el plazo establecido al efecto </w:t>
      </w:r>
      <w:r w:rsidR="00F42E68" w:rsidRPr="00581B8F">
        <w:rPr>
          <w:rFonts w:ascii="Verdana" w:eastAsiaTheme="minorHAnsi" w:hAnsi="Verdana"/>
          <w:sz w:val="20"/>
          <w:szCs w:val="20"/>
          <w:lang w:val="es-CR"/>
        </w:rPr>
        <w:t>(</w:t>
      </w:r>
      <w:r w:rsidR="00F42E68" w:rsidRPr="00581B8F">
        <w:rPr>
          <w:rFonts w:ascii="Verdana" w:eastAsiaTheme="minorHAnsi" w:hAnsi="Verdana"/>
          <w:i/>
          <w:sz w:val="20"/>
          <w:szCs w:val="20"/>
          <w:lang w:val="es-CR"/>
        </w:rPr>
        <w:t>infra</w:t>
      </w:r>
      <w:r w:rsidR="00F42E68" w:rsidRPr="00581B8F">
        <w:rPr>
          <w:rFonts w:ascii="Verdana" w:eastAsiaTheme="minorHAnsi" w:hAnsi="Verdana"/>
          <w:sz w:val="20"/>
          <w:szCs w:val="20"/>
          <w:lang w:val="es-CR"/>
        </w:rPr>
        <w:t xml:space="preserve"> párr. </w:t>
      </w:r>
      <w:r w:rsidR="00581B8F" w:rsidRPr="00F46AC0">
        <w:rPr>
          <w:rFonts w:ascii="Verdana" w:eastAsiaTheme="minorHAnsi" w:hAnsi="Verdana"/>
          <w:sz w:val="20"/>
          <w:szCs w:val="20"/>
          <w:lang w:val="es-CR"/>
        </w:rPr>
        <w:t>178</w:t>
      </w:r>
      <w:r w:rsidR="00F42E68" w:rsidRPr="00581B8F">
        <w:rPr>
          <w:rFonts w:ascii="Verdana" w:eastAsiaTheme="minorHAnsi" w:hAnsi="Verdana"/>
          <w:sz w:val="20"/>
          <w:szCs w:val="20"/>
          <w:lang w:val="es-CR"/>
        </w:rPr>
        <w:t>).</w:t>
      </w:r>
    </w:p>
    <w:p w14:paraId="154B3FEA" w14:textId="3814B955" w:rsidR="00910E74" w:rsidRPr="00972D9D" w:rsidRDefault="00910E74" w:rsidP="00972D9D">
      <w:pPr>
        <w:keepNext/>
        <w:keepLines/>
        <w:numPr>
          <w:ilvl w:val="0"/>
          <w:numId w:val="40"/>
        </w:numPr>
        <w:spacing w:before="120" w:after="120" w:line="240" w:lineRule="auto"/>
        <w:ind w:left="567" w:hanging="283"/>
        <w:jc w:val="both"/>
        <w:outlineLvl w:val="1"/>
        <w:rPr>
          <w:rFonts w:ascii="Verdana" w:hAnsi="Verdana"/>
          <w:b/>
          <w:i/>
        </w:rPr>
      </w:pPr>
      <w:r w:rsidRPr="00972D9D">
        <w:rPr>
          <w:rFonts w:ascii="Verdana" w:eastAsia="Times New Roman" w:hAnsi="Verdana" w:cs="Times New Roman"/>
          <w:b/>
          <w:bCs/>
          <w:i/>
          <w:sz w:val="20"/>
          <w:szCs w:val="20"/>
          <w:lang w:val="es-ES_tradnl"/>
        </w:rPr>
        <w:tab/>
      </w:r>
      <w:bookmarkStart w:id="97" w:name="_Toc16536401"/>
      <w:bookmarkStart w:id="98" w:name="_Toc20755745"/>
      <w:r w:rsidRPr="00972D9D">
        <w:rPr>
          <w:rFonts w:ascii="Verdana" w:eastAsia="Times New Roman" w:hAnsi="Verdana" w:cs="Times New Roman"/>
          <w:b/>
          <w:bCs/>
          <w:i/>
          <w:sz w:val="20"/>
          <w:szCs w:val="20"/>
          <w:lang w:val="es-ES_tradnl"/>
        </w:rPr>
        <w:t>Costas y gastos</w:t>
      </w:r>
      <w:bookmarkEnd w:id="97"/>
      <w:bookmarkEnd w:id="98"/>
      <w:r w:rsidRPr="00972D9D">
        <w:rPr>
          <w:rFonts w:ascii="Verdana" w:eastAsia="Times New Roman" w:hAnsi="Verdana" w:cs="Times New Roman"/>
          <w:b/>
          <w:bCs/>
          <w:i/>
          <w:sz w:val="20"/>
          <w:szCs w:val="20"/>
          <w:lang w:val="es-ES_tradnl"/>
        </w:rPr>
        <w:tab/>
      </w:r>
    </w:p>
    <w:p w14:paraId="02DFC2E9" w14:textId="23D4E7C1" w:rsidR="00910E74" w:rsidRPr="00972D9D" w:rsidRDefault="00581B8F"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sidRPr="00F46AC0">
        <w:rPr>
          <w:rFonts w:ascii="Verdana" w:eastAsia="Times New Roman" w:hAnsi="Verdana" w:cs="Times New Roman"/>
          <w:sz w:val="20"/>
          <w:szCs w:val="20"/>
          <w:lang w:val="es-CR"/>
        </w:rPr>
        <w:t>El</w:t>
      </w:r>
      <w:r w:rsidR="00910E74" w:rsidRPr="00581B8F">
        <w:rPr>
          <w:rFonts w:ascii="Verdana" w:eastAsia="Times New Roman" w:hAnsi="Verdana" w:cs="Times New Roman"/>
          <w:sz w:val="20"/>
          <w:szCs w:val="20"/>
          <w:lang w:val="es-CR"/>
        </w:rPr>
        <w:t xml:space="preserve"> </w:t>
      </w:r>
      <w:r w:rsidR="00910E74" w:rsidRPr="00972D9D">
        <w:rPr>
          <w:rFonts w:ascii="Verdana" w:eastAsia="Times New Roman" w:hAnsi="Verdana" w:cs="Times New Roman"/>
          <w:b/>
          <w:i/>
          <w:sz w:val="20"/>
          <w:szCs w:val="20"/>
          <w:lang w:val="es-CR"/>
        </w:rPr>
        <w:t>representante</w:t>
      </w:r>
      <w:r w:rsidR="00910E74" w:rsidRPr="00972D9D">
        <w:rPr>
          <w:rFonts w:ascii="Verdana" w:eastAsia="Times New Roman" w:hAnsi="Verdana" w:cs="Times New Roman"/>
          <w:sz w:val="20"/>
          <w:szCs w:val="20"/>
          <w:lang w:val="es-CR"/>
        </w:rPr>
        <w:t xml:space="preserve"> solicit</w:t>
      </w:r>
      <w:r>
        <w:rPr>
          <w:rFonts w:ascii="Verdana" w:eastAsia="Times New Roman" w:hAnsi="Verdana" w:cs="Times New Roman"/>
          <w:sz w:val="20"/>
          <w:szCs w:val="20"/>
          <w:lang w:val="es-CR"/>
        </w:rPr>
        <w:t>ó</w:t>
      </w:r>
      <w:r w:rsidR="00910E74" w:rsidRPr="00972D9D">
        <w:rPr>
          <w:rFonts w:ascii="Verdana" w:eastAsia="Times New Roman" w:hAnsi="Verdana" w:cs="Times New Roman"/>
          <w:sz w:val="20"/>
          <w:szCs w:val="20"/>
          <w:lang w:val="es-CR"/>
        </w:rPr>
        <w:t xml:space="preserve"> que se les reintegren los gastos erogados </w:t>
      </w:r>
      <w:r w:rsidR="00910E74" w:rsidRPr="00972D9D">
        <w:rPr>
          <w:rFonts w:ascii="Verdana" w:eastAsia="Times New Roman" w:hAnsi="Verdana" w:cs="Times New Roman"/>
          <w:sz w:val="20"/>
          <w:szCs w:val="20"/>
          <w:lang w:val="es-ES"/>
        </w:rPr>
        <w:t>con motivo de la tramitación del presente caso ante la CIDH y hasta la conclusión del procedimiento contencioso. Solicitaron el reintegro de los traslados aéreos desde Argentina hacia los Estados Unidos, gastos de alojamiento y viáticos, con motivo de los viajes y las audiencias celebradas en Washington [sic], “y sin perjuicio de la liquidación que pueda practicarse oportunamente, adicionando los que generen los eventuales traslados aéreos y alojamientos y viáticos que requieran la presencia de los mismos ante [el] Tribunal”</w:t>
      </w:r>
      <w:r w:rsidR="00910E74" w:rsidRPr="00972D9D">
        <w:rPr>
          <w:rFonts w:ascii="Verdana" w:eastAsia="Times New Roman" w:hAnsi="Verdana" w:cs="Times New Roman"/>
          <w:sz w:val="20"/>
          <w:szCs w:val="20"/>
          <w:lang w:val="es-CR"/>
        </w:rPr>
        <w:t xml:space="preserve"> </w:t>
      </w:r>
      <w:r w:rsidR="00910E74" w:rsidRPr="00972D9D">
        <w:rPr>
          <w:rFonts w:ascii="Verdana" w:eastAsia="Times New Roman" w:hAnsi="Verdana" w:cs="Times New Roman"/>
          <w:b/>
          <w:sz w:val="20"/>
          <w:szCs w:val="20"/>
          <w:lang w:val="es-CR"/>
        </w:rPr>
        <w:t xml:space="preserve">(ESAP., ff. 111 a 112). </w:t>
      </w:r>
      <w:r w:rsidR="00910E74" w:rsidRPr="00972D9D">
        <w:rPr>
          <w:rFonts w:ascii="Verdana" w:eastAsia="Times New Roman" w:hAnsi="Verdana" w:cs="Times New Roman"/>
          <w:sz w:val="20"/>
          <w:szCs w:val="20"/>
          <w:lang w:val="es-CR"/>
        </w:rPr>
        <w:t>En sus alegatos finales, agreg</w:t>
      </w:r>
      <w:r>
        <w:rPr>
          <w:rFonts w:ascii="Verdana" w:eastAsia="Times New Roman" w:hAnsi="Verdana" w:cs="Times New Roman"/>
          <w:sz w:val="20"/>
          <w:szCs w:val="20"/>
          <w:lang w:val="es-CR"/>
        </w:rPr>
        <w:t>ó</w:t>
      </w:r>
      <w:r w:rsidR="00910E74" w:rsidRPr="00972D9D">
        <w:rPr>
          <w:rFonts w:ascii="Verdana" w:eastAsia="Times New Roman" w:hAnsi="Verdana" w:cs="Times New Roman"/>
          <w:sz w:val="20"/>
          <w:szCs w:val="20"/>
          <w:lang w:val="es-CR"/>
        </w:rPr>
        <w:t xml:space="preserve"> que la suma a reconocer como gastos para las tres presentaciones (dos ante la CIDH en Washington y una ante esa Corte en San José de Costa Rica) no deberían ser inferiores a los USD$10.000 –dólares norteamericanos diez mil-, inclusivos de los traslados aéreos, gastos de alojamiento, traslados y comidas por al menos tres días en cada caso).</w:t>
      </w:r>
    </w:p>
    <w:p w14:paraId="5D452262" w14:textId="7A4C66B8" w:rsidR="00910E74" w:rsidRPr="00972D9D" w:rsidRDefault="00910E74"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sidRPr="00972D9D">
        <w:rPr>
          <w:rFonts w:ascii="Verdana" w:eastAsia="Times New Roman" w:hAnsi="Verdana" w:cs="Arial"/>
          <w:sz w:val="20"/>
          <w:szCs w:val="20"/>
          <w:lang w:val="es-CR"/>
        </w:rPr>
        <w:t xml:space="preserve"> </w:t>
      </w:r>
      <w:r w:rsidRPr="00972D9D">
        <w:rPr>
          <w:rFonts w:ascii="Verdana" w:eastAsia="Times New Roman" w:hAnsi="Verdana" w:cs="Arial"/>
          <w:b/>
          <w:sz w:val="20"/>
          <w:szCs w:val="20"/>
          <w:lang w:val="es-CR"/>
        </w:rPr>
        <w:t>El</w:t>
      </w:r>
      <w:r w:rsidRPr="00972D9D">
        <w:rPr>
          <w:rFonts w:ascii="Verdana" w:eastAsia="Times New Roman" w:hAnsi="Verdana" w:cs="Arial"/>
          <w:sz w:val="20"/>
          <w:szCs w:val="20"/>
          <w:lang w:val="es-CR"/>
        </w:rPr>
        <w:t xml:space="preserve"> </w:t>
      </w:r>
      <w:r w:rsidRPr="00972D9D">
        <w:rPr>
          <w:rFonts w:ascii="Verdana" w:eastAsia="Times New Roman" w:hAnsi="Verdana" w:cs="Arial"/>
          <w:b/>
          <w:i/>
          <w:sz w:val="20"/>
          <w:szCs w:val="20"/>
          <w:lang w:val="es-CR"/>
        </w:rPr>
        <w:t xml:space="preserve">Estado </w:t>
      </w:r>
      <w:r w:rsidRPr="00972D9D">
        <w:rPr>
          <w:rFonts w:ascii="Verdana" w:eastAsia="Times New Roman" w:hAnsi="Verdana" w:cs="Arial"/>
          <w:sz w:val="20"/>
          <w:szCs w:val="20"/>
          <w:lang w:val="es-CR"/>
        </w:rPr>
        <w:t>rechazó lo solicitado por</w:t>
      </w:r>
      <w:r w:rsidR="0089613C">
        <w:rPr>
          <w:rFonts w:ascii="Verdana" w:eastAsia="Times New Roman" w:hAnsi="Verdana" w:cs="Arial"/>
          <w:sz w:val="20"/>
          <w:szCs w:val="20"/>
          <w:lang w:val="es-CR"/>
        </w:rPr>
        <w:t xml:space="preserve"> el </w:t>
      </w:r>
      <w:r w:rsidRPr="00972D9D">
        <w:rPr>
          <w:rFonts w:ascii="Verdana" w:eastAsia="Times New Roman" w:hAnsi="Verdana" w:cs="Arial"/>
          <w:sz w:val="20"/>
          <w:szCs w:val="20"/>
          <w:lang w:val="es-CR"/>
        </w:rPr>
        <w:t>representante en cuanto a gastos y costas. Alegó que las presuntas víctimas no acompañaron ni un solo comprobante que acreditara el monto “desembolsado” [sic] por tal concepto, por lo que debe declararse inadmisible tal petición. Señaló que tampoco adjunt</w:t>
      </w:r>
      <w:r w:rsidR="0089613C">
        <w:rPr>
          <w:rFonts w:ascii="Verdana" w:eastAsia="Times New Roman" w:hAnsi="Verdana" w:cs="Arial"/>
          <w:sz w:val="20"/>
          <w:szCs w:val="20"/>
          <w:lang w:val="es-CR"/>
        </w:rPr>
        <w:t>ó</w:t>
      </w:r>
      <w:r w:rsidRPr="00972D9D">
        <w:rPr>
          <w:rFonts w:ascii="Verdana" w:eastAsia="Times New Roman" w:hAnsi="Verdana" w:cs="Arial"/>
          <w:sz w:val="20"/>
          <w:szCs w:val="20"/>
          <w:lang w:val="es-CR"/>
        </w:rPr>
        <w:t xml:space="preserve"> la “planilla de liquidación</w:t>
      </w:r>
      <w:r w:rsidR="00972D9D">
        <w:rPr>
          <w:rFonts w:ascii="Verdana" w:eastAsia="Times New Roman" w:hAnsi="Verdana" w:cs="Arial"/>
          <w:sz w:val="20"/>
          <w:szCs w:val="20"/>
          <w:lang w:val="es-CR"/>
        </w:rPr>
        <w:t xml:space="preserve">” por los salarios demandados, </w:t>
      </w:r>
      <w:r w:rsidRPr="00972D9D">
        <w:rPr>
          <w:rFonts w:ascii="Verdana" w:eastAsia="Times New Roman" w:hAnsi="Verdana" w:cs="Arial"/>
          <w:sz w:val="20"/>
          <w:szCs w:val="20"/>
          <w:lang w:val="es-CR"/>
        </w:rPr>
        <w:t>limitándose a solicitar que dicha plantilla sea producida como prueba por el Estado.</w:t>
      </w:r>
      <w:r w:rsidRPr="00972D9D">
        <w:rPr>
          <w:rFonts w:ascii="Verdana" w:eastAsia="Times New Roman" w:hAnsi="Verdana" w:cs="Arial"/>
          <w:b/>
          <w:sz w:val="20"/>
          <w:szCs w:val="20"/>
          <w:lang w:val="es-CR"/>
        </w:rPr>
        <w:t xml:space="preserve"> </w:t>
      </w:r>
    </w:p>
    <w:p w14:paraId="4044FD38" w14:textId="77777777" w:rsidR="00910E74" w:rsidRPr="00972D9D" w:rsidRDefault="00910E74"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sidRPr="00972D9D">
        <w:rPr>
          <w:rFonts w:ascii="Verdana" w:hAnsi="Verdana" w:cs="Times New Roman"/>
          <w:sz w:val="20"/>
          <w:szCs w:val="20"/>
          <w:lang w:val="es-CR"/>
        </w:rPr>
        <w:lastRenderedPageBreak/>
        <w:t>La Corte reitera que, conforme a su jurisprudencia</w:t>
      </w:r>
      <w:r w:rsidRPr="00972D9D">
        <w:rPr>
          <w:rFonts w:ascii="Verdana" w:hAnsi="Verdana"/>
          <w:vertAlign w:val="superscript"/>
          <w:lang w:val="es-CR"/>
        </w:rPr>
        <w:footnoteReference w:id="141"/>
      </w:r>
      <w:r w:rsidRPr="00972D9D">
        <w:rPr>
          <w:rFonts w:ascii="Verdana" w:hAnsi="Verdana" w:cs="Times New Roman"/>
          <w:sz w:val="20"/>
          <w:szCs w:val="20"/>
          <w:lang w:val="es-CR"/>
        </w:rPr>
        <w:t xml:space="preserve">, las costas y gastos hacen parte del concepto de reparación, toda vez que la actividad desplegada por las víctimas con el fin de obtener justicia, tanto a nivel nacional como internacional, implica erogaciones que deben ser compensadas cuando la responsabilidad internacional del Estado es declarada mediante una sentencia condenatoria. En cuanto al reembolso de las costas y gastos, corresponde al Tribunal apreciar prudentemente su alcance, el cual comprende los gastos generados ante las autoridades de la jurisdicción interna, así como los generados en el curso del proceso ante el Sistema Interamericano, teniendo en cuenta las circunstancias del caso concreto y la naturaleza de la jurisdicción internacional de protección de derechos humanos. Esta apreciación debe ser realizada tomando en cuenta los gastos señalados por las partes, siempre que su </w:t>
      </w:r>
      <w:r w:rsidRPr="00972D9D">
        <w:rPr>
          <w:rFonts w:ascii="Verdana" w:hAnsi="Verdana" w:cs="Times New Roman"/>
          <w:i/>
          <w:sz w:val="20"/>
          <w:szCs w:val="20"/>
          <w:lang w:val="es-CR"/>
        </w:rPr>
        <w:t>quantum</w:t>
      </w:r>
      <w:r w:rsidRPr="00972D9D">
        <w:rPr>
          <w:rFonts w:ascii="Verdana" w:hAnsi="Verdana" w:cs="Times New Roman"/>
          <w:sz w:val="20"/>
          <w:szCs w:val="20"/>
          <w:lang w:val="es-CR"/>
        </w:rPr>
        <w:t xml:space="preserve"> sea razonable</w:t>
      </w:r>
      <w:r w:rsidRPr="00972D9D">
        <w:rPr>
          <w:rFonts w:ascii="Verdana" w:hAnsi="Verdana"/>
          <w:vertAlign w:val="superscript"/>
          <w:lang w:val="es-CR"/>
        </w:rPr>
        <w:footnoteReference w:id="142"/>
      </w:r>
      <w:r w:rsidRPr="00972D9D">
        <w:rPr>
          <w:rFonts w:ascii="Verdana" w:hAnsi="Verdana" w:cs="Times New Roman"/>
          <w:sz w:val="20"/>
          <w:szCs w:val="20"/>
          <w:lang w:val="es-CR"/>
        </w:rPr>
        <w:t>.</w:t>
      </w:r>
    </w:p>
    <w:p w14:paraId="31B3223D" w14:textId="5FA19536" w:rsidR="00910E74" w:rsidRPr="00972D9D" w:rsidRDefault="00910E74"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sidRPr="00972D9D">
        <w:rPr>
          <w:rFonts w:ascii="Verdana" w:hAnsi="Verdana" w:cs="Times New Roman"/>
          <w:sz w:val="20"/>
          <w:szCs w:val="20"/>
          <w:lang w:val="es-CR"/>
        </w:rPr>
        <w:t>Este</w:t>
      </w:r>
      <w:r w:rsidRPr="00972D9D">
        <w:rPr>
          <w:rFonts w:ascii="Verdana" w:hAnsi="Verdana" w:cs="Times New Roman"/>
          <w:spacing w:val="-2"/>
          <w:sz w:val="20"/>
          <w:szCs w:val="20"/>
          <w:lang w:val="es-CR"/>
        </w:rPr>
        <w:t xml:space="preserve"> Tribunal </w:t>
      </w:r>
      <w:r w:rsidRPr="00972D9D">
        <w:rPr>
          <w:rFonts w:ascii="Verdana" w:eastAsia="Verdana" w:hAnsi="Verdana" w:cs="Times New Roman"/>
          <w:spacing w:val="1"/>
          <w:sz w:val="20"/>
          <w:szCs w:val="20"/>
          <w:lang w:val="es-CR"/>
        </w:rPr>
        <w:t>h</w:t>
      </w:r>
      <w:r w:rsidRPr="00972D9D">
        <w:rPr>
          <w:rFonts w:ascii="Verdana" w:eastAsia="Verdana" w:hAnsi="Verdana" w:cs="Times New Roman"/>
          <w:sz w:val="20"/>
          <w:szCs w:val="20"/>
          <w:lang w:val="es-CR"/>
        </w:rPr>
        <w:t>a</w:t>
      </w:r>
      <w:r w:rsidRPr="00972D9D">
        <w:rPr>
          <w:rFonts w:ascii="Verdana" w:eastAsia="Verdana" w:hAnsi="Verdana" w:cs="Times New Roman"/>
          <w:spacing w:val="59"/>
          <w:sz w:val="20"/>
          <w:szCs w:val="20"/>
          <w:lang w:val="es-CR"/>
        </w:rPr>
        <w:t xml:space="preserve"> </w:t>
      </w:r>
      <w:r w:rsidRPr="00972D9D">
        <w:rPr>
          <w:rFonts w:ascii="Verdana" w:eastAsia="Verdana" w:hAnsi="Verdana" w:cs="Times New Roman"/>
          <w:sz w:val="20"/>
          <w:szCs w:val="20"/>
          <w:lang w:val="es-CR"/>
        </w:rPr>
        <w:t>s</w:t>
      </w:r>
      <w:r w:rsidRPr="00972D9D">
        <w:rPr>
          <w:rFonts w:ascii="Verdana" w:eastAsia="Verdana" w:hAnsi="Verdana" w:cs="Times New Roman"/>
          <w:spacing w:val="-2"/>
          <w:sz w:val="20"/>
          <w:szCs w:val="20"/>
          <w:lang w:val="es-CR"/>
        </w:rPr>
        <w:t>e</w:t>
      </w:r>
      <w:r w:rsidRPr="00972D9D">
        <w:rPr>
          <w:rFonts w:ascii="Verdana" w:eastAsia="Verdana" w:hAnsi="Verdana" w:cs="Times New Roman"/>
          <w:spacing w:val="1"/>
          <w:sz w:val="20"/>
          <w:szCs w:val="20"/>
          <w:lang w:val="es-CR"/>
        </w:rPr>
        <w:t>ñ</w:t>
      </w:r>
      <w:r w:rsidRPr="00972D9D">
        <w:rPr>
          <w:rFonts w:ascii="Verdana" w:eastAsia="Verdana" w:hAnsi="Verdana" w:cs="Times New Roman"/>
          <w:sz w:val="20"/>
          <w:szCs w:val="20"/>
          <w:lang w:val="es-CR"/>
        </w:rPr>
        <w:t>a</w:t>
      </w:r>
      <w:r w:rsidRPr="00972D9D">
        <w:rPr>
          <w:rFonts w:ascii="Verdana" w:eastAsia="Verdana" w:hAnsi="Verdana" w:cs="Times New Roman"/>
          <w:spacing w:val="3"/>
          <w:sz w:val="20"/>
          <w:szCs w:val="20"/>
          <w:lang w:val="es-CR"/>
        </w:rPr>
        <w:t>l</w:t>
      </w:r>
      <w:r w:rsidRPr="00972D9D">
        <w:rPr>
          <w:rFonts w:ascii="Verdana" w:eastAsia="Verdana" w:hAnsi="Verdana" w:cs="Times New Roman"/>
          <w:sz w:val="20"/>
          <w:szCs w:val="20"/>
          <w:lang w:val="es-CR"/>
        </w:rPr>
        <w:t>a</w:t>
      </w:r>
      <w:r w:rsidRPr="00972D9D">
        <w:rPr>
          <w:rFonts w:ascii="Verdana" w:eastAsia="Verdana" w:hAnsi="Verdana" w:cs="Times New Roman"/>
          <w:spacing w:val="-1"/>
          <w:sz w:val="20"/>
          <w:szCs w:val="20"/>
          <w:lang w:val="es-CR"/>
        </w:rPr>
        <w:t>d</w:t>
      </w:r>
      <w:r w:rsidRPr="00972D9D">
        <w:rPr>
          <w:rFonts w:ascii="Verdana" w:eastAsia="Verdana" w:hAnsi="Verdana" w:cs="Times New Roman"/>
          <w:sz w:val="20"/>
          <w:szCs w:val="20"/>
          <w:lang w:val="es-CR"/>
        </w:rPr>
        <w:t>o</w:t>
      </w:r>
      <w:r w:rsidRPr="00972D9D">
        <w:rPr>
          <w:rFonts w:ascii="Verdana" w:eastAsia="Verdana" w:hAnsi="Verdana" w:cs="Times New Roman"/>
          <w:spacing w:val="51"/>
          <w:sz w:val="20"/>
          <w:szCs w:val="20"/>
          <w:lang w:val="es-CR"/>
        </w:rPr>
        <w:t xml:space="preserve"> </w:t>
      </w:r>
      <w:r w:rsidRPr="00972D9D">
        <w:rPr>
          <w:rFonts w:ascii="Verdana" w:eastAsia="Verdana" w:hAnsi="Verdana" w:cs="Times New Roman"/>
          <w:spacing w:val="1"/>
          <w:sz w:val="20"/>
          <w:szCs w:val="20"/>
          <w:lang w:val="es-CR"/>
        </w:rPr>
        <w:t>qu</w:t>
      </w:r>
      <w:r w:rsidRPr="00972D9D">
        <w:rPr>
          <w:rFonts w:ascii="Verdana" w:eastAsia="Verdana" w:hAnsi="Verdana" w:cs="Times New Roman"/>
          <w:sz w:val="20"/>
          <w:szCs w:val="20"/>
          <w:lang w:val="es-CR"/>
        </w:rPr>
        <w:t>e</w:t>
      </w:r>
      <w:r w:rsidRPr="00972D9D">
        <w:rPr>
          <w:rFonts w:ascii="Verdana" w:eastAsia="Verdana" w:hAnsi="Verdana" w:cs="Times New Roman"/>
          <w:spacing w:val="59"/>
          <w:sz w:val="20"/>
          <w:szCs w:val="20"/>
          <w:lang w:val="es-CR"/>
        </w:rPr>
        <w:t xml:space="preserve"> </w:t>
      </w:r>
      <w:r w:rsidRPr="00972D9D">
        <w:rPr>
          <w:rFonts w:ascii="Verdana" w:eastAsia="Verdana" w:hAnsi="Verdana" w:cs="Times New Roman"/>
          <w:sz w:val="20"/>
          <w:szCs w:val="20"/>
          <w:lang w:val="es-CR"/>
        </w:rPr>
        <w:t>“</w:t>
      </w:r>
      <w:r w:rsidRPr="00972D9D">
        <w:rPr>
          <w:rFonts w:ascii="Verdana" w:eastAsia="Verdana" w:hAnsi="Verdana" w:cs="Times New Roman"/>
          <w:spacing w:val="3"/>
          <w:sz w:val="20"/>
          <w:szCs w:val="20"/>
          <w:lang w:val="es-CR"/>
        </w:rPr>
        <w:t>l</w:t>
      </w:r>
      <w:r w:rsidRPr="00972D9D">
        <w:rPr>
          <w:rFonts w:ascii="Verdana" w:eastAsia="Verdana" w:hAnsi="Verdana" w:cs="Times New Roman"/>
          <w:sz w:val="20"/>
          <w:szCs w:val="20"/>
          <w:lang w:val="es-CR"/>
        </w:rPr>
        <w:t>as</w:t>
      </w:r>
      <w:r w:rsidRPr="00972D9D">
        <w:rPr>
          <w:rFonts w:ascii="Verdana" w:eastAsia="Verdana" w:hAnsi="Verdana" w:cs="Times New Roman"/>
          <w:spacing w:val="58"/>
          <w:sz w:val="20"/>
          <w:szCs w:val="20"/>
          <w:lang w:val="es-CR"/>
        </w:rPr>
        <w:t xml:space="preserve"> </w:t>
      </w:r>
      <w:r w:rsidRPr="00972D9D">
        <w:rPr>
          <w:rFonts w:ascii="Verdana" w:eastAsia="Verdana" w:hAnsi="Verdana" w:cs="Times New Roman"/>
          <w:spacing w:val="1"/>
          <w:sz w:val="20"/>
          <w:szCs w:val="20"/>
          <w:lang w:val="es-CR"/>
        </w:rPr>
        <w:t>p</w:t>
      </w:r>
      <w:r w:rsidRPr="00972D9D">
        <w:rPr>
          <w:rFonts w:ascii="Verdana" w:eastAsia="Verdana" w:hAnsi="Verdana" w:cs="Times New Roman"/>
          <w:spacing w:val="-1"/>
          <w:sz w:val="20"/>
          <w:szCs w:val="20"/>
          <w:lang w:val="es-CR"/>
        </w:rPr>
        <w:t>re</w:t>
      </w:r>
      <w:r w:rsidRPr="00972D9D">
        <w:rPr>
          <w:rFonts w:ascii="Verdana" w:eastAsia="Verdana" w:hAnsi="Verdana" w:cs="Times New Roman"/>
          <w:spacing w:val="3"/>
          <w:sz w:val="20"/>
          <w:szCs w:val="20"/>
          <w:lang w:val="es-CR"/>
        </w:rPr>
        <w:t>t</w:t>
      </w:r>
      <w:r w:rsidRPr="00972D9D">
        <w:rPr>
          <w:rFonts w:ascii="Verdana" w:eastAsia="Verdana" w:hAnsi="Verdana" w:cs="Times New Roman"/>
          <w:spacing w:val="-1"/>
          <w:sz w:val="20"/>
          <w:szCs w:val="20"/>
          <w:lang w:val="es-CR"/>
        </w:rPr>
        <w:t>e</w:t>
      </w:r>
      <w:r w:rsidRPr="00972D9D">
        <w:rPr>
          <w:rFonts w:ascii="Verdana" w:eastAsia="Verdana" w:hAnsi="Verdana" w:cs="Times New Roman"/>
          <w:spacing w:val="1"/>
          <w:sz w:val="20"/>
          <w:szCs w:val="20"/>
          <w:lang w:val="es-CR"/>
        </w:rPr>
        <w:t>n</w:t>
      </w:r>
      <w:r w:rsidRPr="00972D9D">
        <w:rPr>
          <w:rFonts w:ascii="Verdana" w:eastAsia="Verdana" w:hAnsi="Verdana" w:cs="Times New Roman"/>
          <w:sz w:val="20"/>
          <w:szCs w:val="20"/>
          <w:lang w:val="es-CR"/>
        </w:rPr>
        <w:t>s</w:t>
      </w:r>
      <w:r w:rsidRPr="00972D9D">
        <w:rPr>
          <w:rFonts w:ascii="Verdana" w:eastAsia="Verdana" w:hAnsi="Verdana" w:cs="Times New Roman"/>
          <w:spacing w:val="2"/>
          <w:sz w:val="20"/>
          <w:szCs w:val="20"/>
          <w:lang w:val="es-CR"/>
        </w:rPr>
        <w:t>i</w:t>
      </w:r>
      <w:r w:rsidRPr="00972D9D">
        <w:rPr>
          <w:rFonts w:ascii="Verdana" w:eastAsia="Verdana" w:hAnsi="Verdana" w:cs="Times New Roman"/>
          <w:spacing w:val="-1"/>
          <w:sz w:val="20"/>
          <w:szCs w:val="20"/>
          <w:lang w:val="es-CR"/>
        </w:rPr>
        <w:t>o</w:t>
      </w:r>
      <w:r w:rsidRPr="00972D9D">
        <w:rPr>
          <w:rFonts w:ascii="Verdana" w:eastAsia="Verdana" w:hAnsi="Verdana" w:cs="Times New Roman"/>
          <w:spacing w:val="1"/>
          <w:sz w:val="20"/>
          <w:szCs w:val="20"/>
          <w:lang w:val="es-CR"/>
        </w:rPr>
        <w:t>ne</w:t>
      </w:r>
      <w:r w:rsidRPr="00972D9D">
        <w:rPr>
          <w:rFonts w:ascii="Verdana" w:eastAsia="Verdana" w:hAnsi="Verdana" w:cs="Times New Roman"/>
          <w:sz w:val="20"/>
          <w:szCs w:val="20"/>
          <w:lang w:val="es-CR"/>
        </w:rPr>
        <w:t>s</w:t>
      </w:r>
      <w:r w:rsidRPr="00972D9D">
        <w:rPr>
          <w:rFonts w:ascii="Verdana" w:eastAsia="Verdana" w:hAnsi="Verdana" w:cs="Times New Roman"/>
          <w:spacing w:val="48"/>
          <w:sz w:val="20"/>
          <w:szCs w:val="20"/>
          <w:lang w:val="es-CR"/>
        </w:rPr>
        <w:t xml:space="preserve"> </w:t>
      </w:r>
      <w:r w:rsidRPr="00972D9D">
        <w:rPr>
          <w:rFonts w:ascii="Verdana" w:eastAsia="Verdana" w:hAnsi="Verdana" w:cs="Times New Roman"/>
          <w:spacing w:val="1"/>
          <w:sz w:val="20"/>
          <w:szCs w:val="20"/>
          <w:lang w:val="es-CR"/>
        </w:rPr>
        <w:t>d</w:t>
      </w:r>
      <w:r w:rsidRPr="00972D9D">
        <w:rPr>
          <w:rFonts w:ascii="Verdana" w:eastAsia="Verdana" w:hAnsi="Verdana" w:cs="Times New Roman"/>
          <w:sz w:val="20"/>
          <w:szCs w:val="20"/>
          <w:lang w:val="es-CR"/>
        </w:rPr>
        <w:t>e</w:t>
      </w:r>
      <w:r w:rsidRPr="00972D9D">
        <w:rPr>
          <w:rFonts w:ascii="Verdana" w:eastAsia="Verdana" w:hAnsi="Verdana" w:cs="Times New Roman"/>
          <w:spacing w:val="58"/>
          <w:sz w:val="20"/>
          <w:szCs w:val="20"/>
          <w:lang w:val="es-CR"/>
        </w:rPr>
        <w:t xml:space="preserve"> </w:t>
      </w:r>
      <w:r w:rsidRPr="00972D9D">
        <w:rPr>
          <w:rFonts w:ascii="Verdana" w:eastAsia="Verdana" w:hAnsi="Verdana" w:cs="Times New Roman"/>
          <w:spacing w:val="3"/>
          <w:sz w:val="20"/>
          <w:szCs w:val="20"/>
          <w:lang w:val="es-CR"/>
        </w:rPr>
        <w:t>l</w:t>
      </w:r>
      <w:r w:rsidRPr="00972D9D">
        <w:rPr>
          <w:rFonts w:ascii="Verdana" w:eastAsia="Verdana" w:hAnsi="Verdana" w:cs="Times New Roman"/>
          <w:sz w:val="20"/>
          <w:szCs w:val="20"/>
          <w:lang w:val="es-CR"/>
        </w:rPr>
        <w:t>as</w:t>
      </w:r>
      <w:r w:rsidRPr="00972D9D">
        <w:rPr>
          <w:rFonts w:ascii="Verdana" w:eastAsia="Verdana" w:hAnsi="Verdana" w:cs="Times New Roman"/>
          <w:spacing w:val="59"/>
          <w:sz w:val="20"/>
          <w:szCs w:val="20"/>
          <w:lang w:val="es-CR"/>
        </w:rPr>
        <w:t xml:space="preserve"> </w:t>
      </w:r>
      <w:r w:rsidRPr="00972D9D">
        <w:rPr>
          <w:rFonts w:ascii="Verdana" w:eastAsia="Verdana" w:hAnsi="Verdana" w:cs="Times New Roman"/>
          <w:sz w:val="20"/>
          <w:szCs w:val="20"/>
          <w:lang w:val="es-CR"/>
        </w:rPr>
        <w:t>v</w:t>
      </w:r>
      <w:r w:rsidRPr="00972D9D">
        <w:rPr>
          <w:rFonts w:ascii="Verdana" w:eastAsia="Verdana" w:hAnsi="Verdana" w:cs="Times New Roman"/>
          <w:spacing w:val="3"/>
          <w:sz w:val="20"/>
          <w:szCs w:val="20"/>
          <w:lang w:val="es-CR"/>
        </w:rPr>
        <w:t>í</w:t>
      </w:r>
      <w:r w:rsidRPr="00972D9D">
        <w:rPr>
          <w:rFonts w:ascii="Verdana" w:eastAsia="Verdana" w:hAnsi="Verdana" w:cs="Times New Roman"/>
          <w:sz w:val="20"/>
          <w:szCs w:val="20"/>
          <w:lang w:val="es-CR"/>
        </w:rPr>
        <w:t>ct</w:t>
      </w:r>
      <w:r w:rsidRPr="00972D9D">
        <w:rPr>
          <w:rFonts w:ascii="Verdana" w:eastAsia="Verdana" w:hAnsi="Verdana" w:cs="Times New Roman"/>
          <w:spacing w:val="3"/>
          <w:sz w:val="20"/>
          <w:szCs w:val="20"/>
          <w:lang w:val="es-CR"/>
        </w:rPr>
        <w:t>i</w:t>
      </w:r>
      <w:r w:rsidRPr="00972D9D">
        <w:rPr>
          <w:rFonts w:ascii="Verdana" w:eastAsia="Verdana" w:hAnsi="Verdana" w:cs="Times New Roman"/>
          <w:sz w:val="20"/>
          <w:szCs w:val="20"/>
          <w:lang w:val="es-CR"/>
        </w:rPr>
        <w:t>m</w:t>
      </w:r>
      <w:r w:rsidRPr="00972D9D">
        <w:rPr>
          <w:rFonts w:ascii="Verdana" w:eastAsia="Verdana" w:hAnsi="Verdana" w:cs="Times New Roman"/>
          <w:spacing w:val="1"/>
          <w:sz w:val="20"/>
          <w:szCs w:val="20"/>
          <w:lang w:val="es-CR"/>
        </w:rPr>
        <w:t>a</w:t>
      </w:r>
      <w:r w:rsidRPr="00972D9D">
        <w:rPr>
          <w:rFonts w:ascii="Verdana" w:eastAsia="Verdana" w:hAnsi="Verdana" w:cs="Times New Roman"/>
          <w:sz w:val="20"/>
          <w:szCs w:val="20"/>
          <w:lang w:val="es-CR"/>
        </w:rPr>
        <w:t>s</w:t>
      </w:r>
      <w:r w:rsidRPr="00972D9D">
        <w:rPr>
          <w:rFonts w:ascii="Verdana" w:eastAsia="Verdana" w:hAnsi="Verdana" w:cs="Times New Roman"/>
          <w:spacing w:val="52"/>
          <w:sz w:val="20"/>
          <w:szCs w:val="20"/>
          <w:lang w:val="es-CR"/>
        </w:rPr>
        <w:t xml:space="preserve"> </w:t>
      </w:r>
      <w:r w:rsidRPr="00972D9D">
        <w:rPr>
          <w:rFonts w:ascii="Verdana" w:eastAsia="Verdana" w:hAnsi="Verdana" w:cs="Times New Roman"/>
          <w:sz w:val="20"/>
          <w:szCs w:val="20"/>
          <w:lang w:val="es-CR"/>
        </w:rPr>
        <w:t>o</w:t>
      </w:r>
      <w:r w:rsidRPr="00972D9D">
        <w:rPr>
          <w:rFonts w:ascii="Verdana" w:eastAsia="Verdana" w:hAnsi="Verdana" w:cs="Times New Roman"/>
          <w:spacing w:val="59"/>
          <w:sz w:val="20"/>
          <w:szCs w:val="20"/>
          <w:lang w:val="es-CR"/>
        </w:rPr>
        <w:t xml:space="preserve"> </w:t>
      </w:r>
      <w:r w:rsidRPr="00972D9D">
        <w:rPr>
          <w:rFonts w:ascii="Verdana" w:eastAsia="Verdana" w:hAnsi="Verdana" w:cs="Times New Roman"/>
          <w:spacing w:val="2"/>
          <w:sz w:val="20"/>
          <w:szCs w:val="20"/>
          <w:lang w:val="es-CR"/>
        </w:rPr>
        <w:t>s</w:t>
      </w:r>
      <w:r w:rsidRPr="00972D9D">
        <w:rPr>
          <w:rFonts w:ascii="Verdana" w:eastAsia="Verdana" w:hAnsi="Verdana" w:cs="Times New Roman"/>
          <w:spacing w:val="1"/>
          <w:sz w:val="20"/>
          <w:szCs w:val="20"/>
          <w:lang w:val="es-CR"/>
        </w:rPr>
        <w:t>u</w:t>
      </w:r>
      <w:r w:rsidRPr="00972D9D">
        <w:rPr>
          <w:rFonts w:ascii="Verdana" w:eastAsia="Verdana" w:hAnsi="Verdana" w:cs="Times New Roman"/>
          <w:sz w:val="20"/>
          <w:szCs w:val="20"/>
          <w:lang w:val="es-CR"/>
        </w:rPr>
        <w:t>s</w:t>
      </w:r>
      <w:r w:rsidRPr="00972D9D">
        <w:rPr>
          <w:rFonts w:ascii="Verdana" w:eastAsia="Verdana" w:hAnsi="Verdana" w:cs="Times New Roman"/>
          <w:spacing w:val="57"/>
          <w:sz w:val="20"/>
          <w:szCs w:val="20"/>
          <w:lang w:val="es-CR"/>
        </w:rPr>
        <w:t xml:space="preserve"> </w:t>
      </w:r>
      <w:r w:rsidRPr="00972D9D">
        <w:rPr>
          <w:rFonts w:ascii="Verdana" w:eastAsia="Verdana" w:hAnsi="Verdana" w:cs="Times New Roman"/>
          <w:spacing w:val="1"/>
          <w:sz w:val="20"/>
          <w:szCs w:val="20"/>
          <w:lang w:val="es-CR"/>
        </w:rPr>
        <w:t>r</w:t>
      </w:r>
      <w:r w:rsidRPr="00972D9D">
        <w:rPr>
          <w:rFonts w:ascii="Verdana" w:eastAsia="Verdana" w:hAnsi="Verdana" w:cs="Times New Roman"/>
          <w:spacing w:val="-1"/>
          <w:sz w:val="20"/>
          <w:szCs w:val="20"/>
          <w:lang w:val="es-CR"/>
        </w:rPr>
        <w:t>e</w:t>
      </w:r>
      <w:r w:rsidRPr="00972D9D">
        <w:rPr>
          <w:rFonts w:ascii="Verdana" w:eastAsia="Verdana" w:hAnsi="Verdana" w:cs="Times New Roman"/>
          <w:spacing w:val="1"/>
          <w:sz w:val="20"/>
          <w:szCs w:val="20"/>
          <w:lang w:val="es-CR"/>
        </w:rPr>
        <w:t>pr</w:t>
      </w:r>
      <w:r w:rsidRPr="00972D9D">
        <w:rPr>
          <w:rFonts w:ascii="Verdana" w:eastAsia="Verdana" w:hAnsi="Verdana" w:cs="Times New Roman"/>
          <w:spacing w:val="-1"/>
          <w:sz w:val="20"/>
          <w:szCs w:val="20"/>
          <w:lang w:val="es-CR"/>
        </w:rPr>
        <w:t>e</w:t>
      </w:r>
      <w:r w:rsidRPr="00972D9D">
        <w:rPr>
          <w:rFonts w:ascii="Verdana" w:eastAsia="Verdana" w:hAnsi="Verdana" w:cs="Times New Roman"/>
          <w:spacing w:val="2"/>
          <w:sz w:val="20"/>
          <w:szCs w:val="20"/>
          <w:lang w:val="es-CR"/>
        </w:rPr>
        <w:t>s</w:t>
      </w:r>
      <w:r w:rsidRPr="00972D9D">
        <w:rPr>
          <w:rFonts w:ascii="Verdana" w:eastAsia="Verdana" w:hAnsi="Verdana" w:cs="Times New Roman"/>
          <w:spacing w:val="-1"/>
          <w:sz w:val="20"/>
          <w:szCs w:val="20"/>
          <w:lang w:val="es-CR"/>
        </w:rPr>
        <w:t>e</w:t>
      </w:r>
      <w:r w:rsidRPr="00972D9D">
        <w:rPr>
          <w:rFonts w:ascii="Verdana" w:eastAsia="Verdana" w:hAnsi="Verdana" w:cs="Times New Roman"/>
          <w:spacing w:val="1"/>
          <w:sz w:val="20"/>
          <w:szCs w:val="20"/>
          <w:lang w:val="es-CR"/>
        </w:rPr>
        <w:t>nt</w:t>
      </w:r>
      <w:r w:rsidRPr="00972D9D">
        <w:rPr>
          <w:rFonts w:ascii="Verdana" w:eastAsia="Verdana" w:hAnsi="Verdana" w:cs="Times New Roman"/>
          <w:sz w:val="20"/>
          <w:szCs w:val="20"/>
          <w:lang w:val="es-CR"/>
        </w:rPr>
        <w:t>a</w:t>
      </w:r>
      <w:r w:rsidRPr="00972D9D">
        <w:rPr>
          <w:rFonts w:ascii="Verdana" w:eastAsia="Verdana" w:hAnsi="Verdana" w:cs="Times New Roman"/>
          <w:spacing w:val="1"/>
          <w:sz w:val="20"/>
          <w:szCs w:val="20"/>
          <w:lang w:val="es-CR"/>
        </w:rPr>
        <w:t>nt</w:t>
      </w:r>
      <w:r w:rsidRPr="00972D9D">
        <w:rPr>
          <w:rFonts w:ascii="Verdana" w:eastAsia="Verdana" w:hAnsi="Verdana" w:cs="Times New Roman"/>
          <w:spacing w:val="-1"/>
          <w:sz w:val="20"/>
          <w:szCs w:val="20"/>
          <w:lang w:val="es-CR"/>
        </w:rPr>
        <w:t>e</w:t>
      </w:r>
      <w:r w:rsidRPr="00972D9D">
        <w:rPr>
          <w:rFonts w:ascii="Verdana" w:eastAsia="Verdana" w:hAnsi="Verdana" w:cs="Times New Roman"/>
          <w:sz w:val="20"/>
          <w:szCs w:val="20"/>
          <w:lang w:val="es-CR"/>
        </w:rPr>
        <w:t>s</w:t>
      </w:r>
      <w:r w:rsidRPr="00972D9D">
        <w:rPr>
          <w:rFonts w:ascii="Verdana" w:eastAsia="Verdana" w:hAnsi="Verdana" w:cs="Times New Roman"/>
          <w:spacing w:val="48"/>
          <w:sz w:val="20"/>
          <w:szCs w:val="20"/>
          <w:lang w:val="es-CR"/>
        </w:rPr>
        <w:t xml:space="preserve"> </w:t>
      </w:r>
      <w:r w:rsidRPr="00972D9D">
        <w:rPr>
          <w:rFonts w:ascii="Verdana" w:eastAsia="Verdana" w:hAnsi="Verdana" w:cs="Times New Roman"/>
          <w:spacing w:val="-1"/>
          <w:sz w:val="20"/>
          <w:szCs w:val="20"/>
          <w:lang w:val="es-CR"/>
        </w:rPr>
        <w:t>e</w:t>
      </w:r>
      <w:r w:rsidRPr="00972D9D">
        <w:rPr>
          <w:rFonts w:ascii="Verdana" w:eastAsia="Verdana" w:hAnsi="Verdana" w:cs="Times New Roman"/>
          <w:sz w:val="20"/>
          <w:szCs w:val="20"/>
          <w:lang w:val="es-CR"/>
        </w:rPr>
        <w:t>n m</w:t>
      </w:r>
      <w:r w:rsidRPr="00972D9D">
        <w:rPr>
          <w:rFonts w:ascii="Verdana" w:eastAsia="Verdana" w:hAnsi="Verdana" w:cs="Times New Roman"/>
          <w:spacing w:val="1"/>
          <w:sz w:val="20"/>
          <w:szCs w:val="20"/>
          <w:lang w:val="es-CR"/>
        </w:rPr>
        <w:t>at</w:t>
      </w:r>
      <w:r w:rsidRPr="00972D9D">
        <w:rPr>
          <w:rFonts w:ascii="Verdana" w:eastAsia="Verdana" w:hAnsi="Verdana" w:cs="Times New Roman"/>
          <w:spacing w:val="-1"/>
          <w:sz w:val="20"/>
          <w:szCs w:val="20"/>
          <w:lang w:val="es-CR"/>
        </w:rPr>
        <w:t>er</w:t>
      </w:r>
      <w:r w:rsidRPr="00972D9D">
        <w:rPr>
          <w:rFonts w:ascii="Verdana" w:eastAsia="Verdana" w:hAnsi="Verdana" w:cs="Times New Roman"/>
          <w:spacing w:val="3"/>
          <w:sz w:val="20"/>
          <w:szCs w:val="20"/>
          <w:lang w:val="es-CR"/>
        </w:rPr>
        <w:t>i</w:t>
      </w:r>
      <w:r w:rsidRPr="00972D9D">
        <w:rPr>
          <w:rFonts w:ascii="Verdana" w:eastAsia="Verdana" w:hAnsi="Verdana" w:cs="Times New Roman"/>
          <w:sz w:val="20"/>
          <w:szCs w:val="20"/>
          <w:lang w:val="es-CR"/>
        </w:rPr>
        <w:t>a</w:t>
      </w:r>
      <w:r w:rsidRPr="00972D9D">
        <w:rPr>
          <w:rFonts w:ascii="Verdana" w:eastAsia="Verdana" w:hAnsi="Verdana" w:cs="Times New Roman"/>
          <w:spacing w:val="6"/>
          <w:sz w:val="20"/>
          <w:szCs w:val="20"/>
          <w:lang w:val="es-CR"/>
        </w:rPr>
        <w:t xml:space="preserve"> </w:t>
      </w:r>
      <w:r w:rsidRPr="00972D9D">
        <w:rPr>
          <w:rFonts w:ascii="Verdana" w:eastAsia="Verdana" w:hAnsi="Verdana" w:cs="Times New Roman"/>
          <w:spacing w:val="1"/>
          <w:sz w:val="20"/>
          <w:szCs w:val="20"/>
          <w:lang w:val="es-CR"/>
        </w:rPr>
        <w:t>d</w:t>
      </w:r>
      <w:r w:rsidRPr="00972D9D">
        <w:rPr>
          <w:rFonts w:ascii="Verdana" w:eastAsia="Verdana" w:hAnsi="Verdana" w:cs="Times New Roman"/>
          <w:sz w:val="20"/>
          <w:szCs w:val="20"/>
          <w:lang w:val="es-CR"/>
        </w:rPr>
        <w:t>e</w:t>
      </w:r>
      <w:r w:rsidRPr="00972D9D">
        <w:rPr>
          <w:rFonts w:ascii="Verdana" w:eastAsia="Verdana" w:hAnsi="Verdana" w:cs="Times New Roman"/>
          <w:spacing w:val="10"/>
          <w:sz w:val="20"/>
          <w:szCs w:val="20"/>
          <w:lang w:val="es-CR"/>
        </w:rPr>
        <w:t xml:space="preserve"> </w:t>
      </w:r>
      <w:r w:rsidRPr="00972D9D">
        <w:rPr>
          <w:rFonts w:ascii="Verdana" w:eastAsia="Verdana" w:hAnsi="Verdana" w:cs="Times New Roman"/>
          <w:sz w:val="20"/>
          <w:szCs w:val="20"/>
          <w:lang w:val="es-CR"/>
        </w:rPr>
        <w:t>c</w:t>
      </w:r>
      <w:r w:rsidRPr="00972D9D">
        <w:rPr>
          <w:rFonts w:ascii="Verdana" w:eastAsia="Verdana" w:hAnsi="Verdana" w:cs="Times New Roman"/>
          <w:spacing w:val="3"/>
          <w:sz w:val="20"/>
          <w:szCs w:val="20"/>
          <w:lang w:val="es-CR"/>
        </w:rPr>
        <w:t>o</w:t>
      </w:r>
      <w:r w:rsidRPr="00972D9D">
        <w:rPr>
          <w:rFonts w:ascii="Verdana" w:eastAsia="Verdana" w:hAnsi="Verdana" w:cs="Times New Roman"/>
          <w:sz w:val="20"/>
          <w:szCs w:val="20"/>
          <w:lang w:val="es-CR"/>
        </w:rPr>
        <w:t>stas</w:t>
      </w:r>
      <w:r w:rsidRPr="00972D9D">
        <w:rPr>
          <w:rFonts w:ascii="Verdana" w:eastAsia="Verdana" w:hAnsi="Verdana" w:cs="Times New Roman"/>
          <w:spacing w:val="8"/>
          <w:sz w:val="20"/>
          <w:szCs w:val="20"/>
          <w:lang w:val="es-CR"/>
        </w:rPr>
        <w:t xml:space="preserve"> </w:t>
      </w:r>
      <w:r w:rsidRPr="00972D9D">
        <w:rPr>
          <w:rFonts w:ascii="Verdana" w:eastAsia="Verdana" w:hAnsi="Verdana" w:cs="Times New Roman"/>
          <w:sz w:val="20"/>
          <w:szCs w:val="20"/>
          <w:lang w:val="es-CR"/>
        </w:rPr>
        <w:t>y</w:t>
      </w:r>
      <w:r w:rsidRPr="00972D9D">
        <w:rPr>
          <w:rFonts w:ascii="Verdana" w:eastAsia="Verdana" w:hAnsi="Verdana" w:cs="Times New Roman"/>
          <w:spacing w:val="13"/>
          <w:sz w:val="20"/>
          <w:szCs w:val="20"/>
          <w:lang w:val="es-CR"/>
        </w:rPr>
        <w:t xml:space="preserve"> </w:t>
      </w:r>
      <w:r w:rsidRPr="00972D9D">
        <w:rPr>
          <w:rFonts w:ascii="Verdana" w:eastAsia="Verdana" w:hAnsi="Verdana" w:cs="Times New Roman"/>
          <w:spacing w:val="1"/>
          <w:sz w:val="20"/>
          <w:szCs w:val="20"/>
          <w:lang w:val="es-CR"/>
        </w:rPr>
        <w:t>g</w:t>
      </w:r>
      <w:r w:rsidRPr="00972D9D">
        <w:rPr>
          <w:rFonts w:ascii="Verdana" w:eastAsia="Verdana" w:hAnsi="Verdana" w:cs="Times New Roman"/>
          <w:spacing w:val="2"/>
          <w:sz w:val="20"/>
          <w:szCs w:val="20"/>
          <w:lang w:val="es-CR"/>
        </w:rPr>
        <w:t>a</w:t>
      </w:r>
      <w:r w:rsidRPr="00972D9D">
        <w:rPr>
          <w:rFonts w:ascii="Verdana" w:eastAsia="Verdana" w:hAnsi="Verdana" w:cs="Times New Roman"/>
          <w:sz w:val="20"/>
          <w:szCs w:val="20"/>
          <w:lang w:val="es-CR"/>
        </w:rPr>
        <w:t>st</w:t>
      </w:r>
      <w:r w:rsidRPr="00972D9D">
        <w:rPr>
          <w:rFonts w:ascii="Verdana" w:eastAsia="Verdana" w:hAnsi="Verdana" w:cs="Times New Roman"/>
          <w:spacing w:val="-1"/>
          <w:sz w:val="20"/>
          <w:szCs w:val="20"/>
          <w:lang w:val="es-CR"/>
        </w:rPr>
        <w:t>o</w:t>
      </w:r>
      <w:r w:rsidRPr="00972D9D">
        <w:rPr>
          <w:rFonts w:ascii="Verdana" w:eastAsia="Verdana" w:hAnsi="Verdana" w:cs="Times New Roman"/>
          <w:spacing w:val="2"/>
          <w:sz w:val="20"/>
          <w:szCs w:val="20"/>
          <w:lang w:val="es-CR"/>
        </w:rPr>
        <w:t>s</w:t>
      </w:r>
      <w:r w:rsidRPr="00972D9D">
        <w:rPr>
          <w:rFonts w:ascii="Verdana" w:eastAsia="Verdana" w:hAnsi="Verdana" w:cs="Times New Roman"/>
          <w:sz w:val="20"/>
          <w:szCs w:val="20"/>
          <w:lang w:val="es-CR"/>
        </w:rPr>
        <w:t>,</w:t>
      </w:r>
      <w:r w:rsidRPr="00972D9D">
        <w:rPr>
          <w:rFonts w:ascii="Verdana" w:eastAsia="Verdana" w:hAnsi="Verdana" w:cs="Times New Roman"/>
          <w:spacing w:val="7"/>
          <w:sz w:val="20"/>
          <w:szCs w:val="20"/>
          <w:lang w:val="es-CR"/>
        </w:rPr>
        <w:t xml:space="preserve"> </w:t>
      </w:r>
      <w:r w:rsidRPr="00972D9D">
        <w:rPr>
          <w:rFonts w:ascii="Verdana" w:eastAsia="Verdana" w:hAnsi="Verdana" w:cs="Times New Roman"/>
          <w:sz w:val="20"/>
          <w:szCs w:val="20"/>
          <w:lang w:val="es-CR"/>
        </w:rPr>
        <w:t>y</w:t>
      </w:r>
      <w:r w:rsidRPr="00972D9D">
        <w:rPr>
          <w:rFonts w:ascii="Verdana" w:eastAsia="Verdana" w:hAnsi="Verdana" w:cs="Times New Roman"/>
          <w:spacing w:val="13"/>
          <w:sz w:val="20"/>
          <w:szCs w:val="20"/>
          <w:lang w:val="es-CR"/>
        </w:rPr>
        <w:t xml:space="preserve"> </w:t>
      </w:r>
      <w:r w:rsidRPr="00972D9D">
        <w:rPr>
          <w:rFonts w:ascii="Verdana" w:eastAsia="Verdana" w:hAnsi="Verdana" w:cs="Times New Roman"/>
          <w:spacing w:val="3"/>
          <w:sz w:val="20"/>
          <w:szCs w:val="20"/>
          <w:lang w:val="es-CR"/>
        </w:rPr>
        <w:t>l</w:t>
      </w:r>
      <w:r w:rsidRPr="00972D9D">
        <w:rPr>
          <w:rFonts w:ascii="Verdana" w:eastAsia="Verdana" w:hAnsi="Verdana" w:cs="Times New Roman"/>
          <w:sz w:val="20"/>
          <w:szCs w:val="20"/>
          <w:lang w:val="es-CR"/>
        </w:rPr>
        <w:t>as</w:t>
      </w:r>
      <w:r w:rsidRPr="00972D9D">
        <w:rPr>
          <w:rFonts w:ascii="Verdana" w:eastAsia="Verdana" w:hAnsi="Verdana" w:cs="Times New Roman"/>
          <w:spacing w:val="11"/>
          <w:sz w:val="20"/>
          <w:szCs w:val="20"/>
          <w:lang w:val="es-CR"/>
        </w:rPr>
        <w:t xml:space="preserve"> </w:t>
      </w:r>
      <w:r w:rsidRPr="00972D9D">
        <w:rPr>
          <w:rFonts w:ascii="Verdana" w:eastAsia="Verdana" w:hAnsi="Verdana" w:cs="Times New Roman"/>
          <w:spacing w:val="1"/>
          <w:sz w:val="20"/>
          <w:szCs w:val="20"/>
          <w:lang w:val="es-CR"/>
        </w:rPr>
        <w:t>p</w:t>
      </w:r>
      <w:r w:rsidRPr="00972D9D">
        <w:rPr>
          <w:rFonts w:ascii="Verdana" w:eastAsia="Verdana" w:hAnsi="Verdana" w:cs="Times New Roman"/>
          <w:spacing w:val="-1"/>
          <w:sz w:val="20"/>
          <w:szCs w:val="20"/>
          <w:lang w:val="es-CR"/>
        </w:rPr>
        <w:t>r</w:t>
      </w:r>
      <w:r w:rsidRPr="00972D9D">
        <w:rPr>
          <w:rFonts w:ascii="Verdana" w:eastAsia="Verdana" w:hAnsi="Verdana" w:cs="Times New Roman"/>
          <w:spacing w:val="1"/>
          <w:sz w:val="20"/>
          <w:szCs w:val="20"/>
          <w:lang w:val="es-CR"/>
        </w:rPr>
        <w:t>u</w:t>
      </w:r>
      <w:r w:rsidRPr="00972D9D">
        <w:rPr>
          <w:rFonts w:ascii="Verdana" w:eastAsia="Verdana" w:hAnsi="Verdana" w:cs="Times New Roman"/>
          <w:spacing w:val="-1"/>
          <w:sz w:val="20"/>
          <w:szCs w:val="20"/>
          <w:lang w:val="es-CR"/>
        </w:rPr>
        <w:t>e</w:t>
      </w:r>
      <w:r w:rsidRPr="00972D9D">
        <w:rPr>
          <w:rFonts w:ascii="Verdana" w:eastAsia="Verdana" w:hAnsi="Verdana" w:cs="Times New Roman"/>
          <w:spacing w:val="1"/>
          <w:sz w:val="20"/>
          <w:szCs w:val="20"/>
          <w:lang w:val="es-CR"/>
        </w:rPr>
        <w:t>b</w:t>
      </w:r>
      <w:r w:rsidRPr="00972D9D">
        <w:rPr>
          <w:rFonts w:ascii="Verdana" w:eastAsia="Verdana" w:hAnsi="Verdana" w:cs="Times New Roman"/>
          <w:sz w:val="20"/>
          <w:szCs w:val="20"/>
          <w:lang w:val="es-CR"/>
        </w:rPr>
        <w:t>as</w:t>
      </w:r>
      <w:r w:rsidRPr="00972D9D">
        <w:rPr>
          <w:rFonts w:ascii="Verdana" w:eastAsia="Verdana" w:hAnsi="Verdana" w:cs="Times New Roman"/>
          <w:spacing w:val="6"/>
          <w:sz w:val="20"/>
          <w:szCs w:val="20"/>
          <w:lang w:val="es-CR"/>
        </w:rPr>
        <w:t xml:space="preserve"> </w:t>
      </w:r>
      <w:r w:rsidRPr="00972D9D">
        <w:rPr>
          <w:rFonts w:ascii="Verdana" w:eastAsia="Verdana" w:hAnsi="Verdana" w:cs="Times New Roman"/>
          <w:spacing w:val="1"/>
          <w:sz w:val="20"/>
          <w:szCs w:val="20"/>
          <w:lang w:val="es-CR"/>
        </w:rPr>
        <w:t>qu</w:t>
      </w:r>
      <w:r w:rsidRPr="00972D9D">
        <w:rPr>
          <w:rFonts w:ascii="Verdana" w:eastAsia="Verdana" w:hAnsi="Verdana" w:cs="Times New Roman"/>
          <w:sz w:val="20"/>
          <w:szCs w:val="20"/>
          <w:lang w:val="es-CR"/>
        </w:rPr>
        <w:t>e</w:t>
      </w:r>
      <w:r w:rsidRPr="00972D9D">
        <w:rPr>
          <w:rFonts w:ascii="Verdana" w:eastAsia="Verdana" w:hAnsi="Verdana" w:cs="Times New Roman"/>
          <w:spacing w:val="11"/>
          <w:sz w:val="20"/>
          <w:szCs w:val="20"/>
          <w:lang w:val="es-CR"/>
        </w:rPr>
        <w:t xml:space="preserve"> </w:t>
      </w:r>
      <w:r w:rsidRPr="00972D9D">
        <w:rPr>
          <w:rFonts w:ascii="Verdana" w:eastAsia="Verdana" w:hAnsi="Verdana" w:cs="Times New Roman"/>
          <w:spacing w:val="3"/>
          <w:sz w:val="20"/>
          <w:szCs w:val="20"/>
          <w:lang w:val="es-CR"/>
        </w:rPr>
        <w:t>l</w:t>
      </w:r>
      <w:r w:rsidRPr="00972D9D">
        <w:rPr>
          <w:rFonts w:ascii="Verdana" w:eastAsia="Verdana" w:hAnsi="Verdana" w:cs="Times New Roman"/>
          <w:sz w:val="20"/>
          <w:szCs w:val="20"/>
          <w:lang w:val="es-CR"/>
        </w:rPr>
        <w:t>as</w:t>
      </w:r>
      <w:r w:rsidRPr="00972D9D">
        <w:rPr>
          <w:rFonts w:ascii="Verdana" w:eastAsia="Verdana" w:hAnsi="Verdana" w:cs="Times New Roman"/>
          <w:spacing w:val="11"/>
          <w:sz w:val="20"/>
          <w:szCs w:val="20"/>
          <w:lang w:val="es-CR"/>
        </w:rPr>
        <w:t xml:space="preserve"> </w:t>
      </w:r>
      <w:r w:rsidRPr="00972D9D">
        <w:rPr>
          <w:rFonts w:ascii="Verdana" w:eastAsia="Verdana" w:hAnsi="Verdana" w:cs="Times New Roman"/>
          <w:sz w:val="20"/>
          <w:szCs w:val="20"/>
          <w:lang w:val="es-CR"/>
        </w:rPr>
        <w:t>sust</w:t>
      </w:r>
      <w:r w:rsidRPr="00972D9D">
        <w:rPr>
          <w:rFonts w:ascii="Verdana" w:eastAsia="Verdana" w:hAnsi="Verdana" w:cs="Times New Roman"/>
          <w:spacing w:val="-1"/>
          <w:sz w:val="20"/>
          <w:szCs w:val="20"/>
          <w:lang w:val="es-CR"/>
        </w:rPr>
        <w:t>e</w:t>
      </w:r>
      <w:r w:rsidRPr="00972D9D">
        <w:rPr>
          <w:rFonts w:ascii="Verdana" w:eastAsia="Verdana" w:hAnsi="Verdana" w:cs="Times New Roman"/>
          <w:spacing w:val="1"/>
          <w:sz w:val="20"/>
          <w:szCs w:val="20"/>
          <w:lang w:val="es-CR"/>
        </w:rPr>
        <w:t>nt</w:t>
      </w:r>
      <w:r w:rsidRPr="00972D9D">
        <w:rPr>
          <w:rFonts w:ascii="Verdana" w:eastAsia="Verdana" w:hAnsi="Verdana" w:cs="Times New Roman"/>
          <w:sz w:val="20"/>
          <w:szCs w:val="20"/>
          <w:lang w:val="es-CR"/>
        </w:rPr>
        <w:t>a</w:t>
      </w:r>
      <w:r w:rsidRPr="00972D9D">
        <w:rPr>
          <w:rFonts w:ascii="Verdana" w:eastAsia="Verdana" w:hAnsi="Verdana" w:cs="Times New Roman"/>
          <w:spacing w:val="1"/>
          <w:sz w:val="20"/>
          <w:szCs w:val="20"/>
          <w:lang w:val="es-CR"/>
        </w:rPr>
        <w:t>n</w:t>
      </w:r>
      <w:r w:rsidRPr="00972D9D">
        <w:rPr>
          <w:rFonts w:ascii="Verdana" w:eastAsia="Verdana" w:hAnsi="Verdana" w:cs="Times New Roman"/>
          <w:sz w:val="20"/>
          <w:szCs w:val="20"/>
          <w:lang w:val="es-CR"/>
        </w:rPr>
        <w:t>,</w:t>
      </w:r>
      <w:r w:rsidRPr="00972D9D">
        <w:rPr>
          <w:rFonts w:ascii="Verdana" w:eastAsia="Verdana" w:hAnsi="Verdana" w:cs="Times New Roman"/>
          <w:spacing w:val="3"/>
          <w:sz w:val="20"/>
          <w:szCs w:val="20"/>
          <w:lang w:val="es-CR"/>
        </w:rPr>
        <w:t xml:space="preserve"> </w:t>
      </w:r>
      <w:r w:rsidRPr="00972D9D">
        <w:rPr>
          <w:rFonts w:ascii="Verdana" w:eastAsia="Verdana" w:hAnsi="Verdana" w:cs="Times New Roman"/>
          <w:spacing w:val="1"/>
          <w:sz w:val="20"/>
          <w:szCs w:val="20"/>
          <w:lang w:val="es-CR"/>
        </w:rPr>
        <w:t>d</w:t>
      </w:r>
      <w:r w:rsidRPr="00972D9D">
        <w:rPr>
          <w:rFonts w:ascii="Verdana" w:eastAsia="Verdana" w:hAnsi="Verdana" w:cs="Times New Roman"/>
          <w:spacing w:val="-1"/>
          <w:sz w:val="20"/>
          <w:szCs w:val="20"/>
          <w:lang w:val="es-CR"/>
        </w:rPr>
        <w:t>e</w:t>
      </w:r>
      <w:r w:rsidRPr="00972D9D">
        <w:rPr>
          <w:rFonts w:ascii="Verdana" w:eastAsia="Verdana" w:hAnsi="Verdana" w:cs="Times New Roman"/>
          <w:spacing w:val="1"/>
          <w:sz w:val="20"/>
          <w:szCs w:val="20"/>
          <w:lang w:val="es-CR"/>
        </w:rPr>
        <w:t>b</w:t>
      </w:r>
      <w:r w:rsidRPr="00972D9D">
        <w:rPr>
          <w:rFonts w:ascii="Verdana" w:eastAsia="Verdana" w:hAnsi="Verdana" w:cs="Times New Roman"/>
          <w:spacing w:val="-1"/>
          <w:sz w:val="20"/>
          <w:szCs w:val="20"/>
          <w:lang w:val="es-CR"/>
        </w:rPr>
        <w:t>e</w:t>
      </w:r>
      <w:r w:rsidRPr="00972D9D">
        <w:rPr>
          <w:rFonts w:ascii="Verdana" w:eastAsia="Verdana" w:hAnsi="Verdana" w:cs="Times New Roman"/>
          <w:sz w:val="20"/>
          <w:szCs w:val="20"/>
          <w:lang w:val="es-CR"/>
        </w:rPr>
        <w:t>n</w:t>
      </w:r>
      <w:r w:rsidRPr="00972D9D">
        <w:rPr>
          <w:rFonts w:ascii="Verdana" w:eastAsia="Verdana" w:hAnsi="Verdana" w:cs="Times New Roman"/>
          <w:spacing w:val="9"/>
          <w:sz w:val="20"/>
          <w:szCs w:val="20"/>
          <w:lang w:val="es-CR"/>
        </w:rPr>
        <w:t xml:space="preserve"> </w:t>
      </w:r>
      <w:r w:rsidRPr="00972D9D">
        <w:rPr>
          <w:rFonts w:ascii="Verdana" w:eastAsia="Verdana" w:hAnsi="Verdana" w:cs="Times New Roman"/>
          <w:spacing w:val="1"/>
          <w:sz w:val="20"/>
          <w:szCs w:val="20"/>
          <w:lang w:val="es-CR"/>
        </w:rPr>
        <w:t>p</w:t>
      </w:r>
      <w:r w:rsidRPr="00972D9D">
        <w:rPr>
          <w:rFonts w:ascii="Verdana" w:eastAsia="Verdana" w:hAnsi="Verdana" w:cs="Times New Roman"/>
          <w:spacing w:val="-1"/>
          <w:sz w:val="20"/>
          <w:szCs w:val="20"/>
          <w:lang w:val="es-CR"/>
        </w:rPr>
        <w:t>r</w:t>
      </w:r>
      <w:r w:rsidRPr="00972D9D">
        <w:rPr>
          <w:rFonts w:ascii="Verdana" w:eastAsia="Verdana" w:hAnsi="Verdana" w:cs="Times New Roman"/>
          <w:spacing w:val="1"/>
          <w:sz w:val="20"/>
          <w:szCs w:val="20"/>
          <w:lang w:val="es-CR"/>
        </w:rPr>
        <w:t>e</w:t>
      </w:r>
      <w:r w:rsidRPr="00972D9D">
        <w:rPr>
          <w:rFonts w:ascii="Verdana" w:eastAsia="Verdana" w:hAnsi="Verdana" w:cs="Times New Roman"/>
          <w:sz w:val="20"/>
          <w:szCs w:val="20"/>
          <w:lang w:val="es-CR"/>
        </w:rPr>
        <w:t>s</w:t>
      </w:r>
      <w:r w:rsidRPr="00972D9D">
        <w:rPr>
          <w:rFonts w:ascii="Verdana" w:eastAsia="Verdana" w:hAnsi="Verdana" w:cs="Times New Roman"/>
          <w:spacing w:val="-2"/>
          <w:sz w:val="20"/>
          <w:szCs w:val="20"/>
          <w:lang w:val="es-CR"/>
        </w:rPr>
        <w:t>e</w:t>
      </w:r>
      <w:r w:rsidRPr="00972D9D">
        <w:rPr>
          <w:rFonts w:ascii="Verdana" w:eastAsia="Verdana" w:hAnsi="Verdana" w:cs="Times New Roman"/>
          <w:spacing w:val="1"/>
          <w:sz w:val="20"/>
          <w:szCs w:val="20"/>
          <w:lang w:val="es-CR"/>
        </w:rPr>
        <w:t>nt</w:t>
      </w:r>
      <w:r w:rsidRPr="00972D9D">
        <w:rPr>
          <w:rFonts w:ascii="Verdana" w:eastAsia="Verdana" w:hAnsi="Verdana" w:cs="Times New Roman"/>
          <w:sz w:val="20"/>
          <w:szCs w:val="20"/>
          <w:lang w:val="es-CR"/>
        </w:rPr>
        <w:t>a</w:t>
      </w:r>
      <w:r w:rsidRPr="00972D9D">
        <w:rPr>
          <w:rFonts w:ascii="Verdana" w:eastAsia="Verdana" w:hAnsi="Verdana" w:cs="Times New Roman"/>
          <w:spacing w:val="2"/>
          <w:sz w:val="20"/>
          <w:szCs w:val="20"/>
          <w:lang w:val="es-CR"/>
        </w:rPr>
        <w:t>r</w:t>
      </w:r>
      <w:r w:rsidRPr="00972D9D">
        <w:rPr>
          <w:rFonts w:ascii="Verdana" w:eastAsia="Verdana" w:hAnsi="Verdana" w:cs="Times New Roman"/>
          <w:sz w:val="20"/>
          <w:szCs w:val="20"/>
          <w:lang w:val="es-CR"/>
        </w:rPr>
        <w:t>se a</w:t>
      </w:r>
      <w:r w:rsidRPr="00972D9D">
        <w:rPr>
          <w:rFonts w:ascii="Verdana" w:eastAsia="Verdana" w:hAnsi="Verdana" w:cs="Times New Roman"/>
          <w:spacing w:val="13"/>
          <w:sz w:val="20"/>
          <w:szCs w:val="20"/>
          <w:lang w:val="es-CR"/>
        </w:rPr>
        <w:t xml:space="preserve"> </w:t>
      </w:r>
      <w:r w:rsidRPr="00972D9D">
        <w:rPr>
          <w:rFonts w:ascii="Verdana" w:eastAsia="Verdana" w:hAnsi="Verdana" w:cs="Times New Roman"/>
          <w:spacing w:val="3"/>
          <w:sz w:val="20"/>
          <w:szCs w:val="20"/>
          <w:lang w:val="es-CR"/>
        </w:rPr>
        <w:t>l</w:t>
      </w:r>
      <w:r w:rsidRPr="00972D9D">
        <w:rPr>
          <w:rFonts w:ascii="Verdana" w:eastAsia="Verdana" w:hAnsi="Verdana" w:cs="Times New Roman"/>
          <w:sz w:val="20"/>
          <w:szCs w:val="20"/>
          <w:lang w:val="es-CR"/>
        </w:rPr>
        <w:t>a</w:t>
      </w:r>
      <w:r w:rsidRPr="00972D9D">
        <w:rPr>
          <w:rFonts w:ascii="Verdana" w:eastAsia="Verdana" w:hAnsi="Verdana" w:cs="Times New Roman"/>
          <w:spacing w:val="12"/>
          <w:sz w:val="20"/>
          <w:szCs w:val="20"/>
          <w:lang w:val="es-CR"/>
        </w:rPr>
        <w:t xml:space="preserve"> </w:t>
      </w:r>
      <w:r w:rsidRPr="00972D9D">
        <w:rPr>
          <w:rFonts w:ascii="Verdana" w:eastAsia="Verdana" w:hAnsi="Verdana" w:cs="Times New Roman"/>
          <w:sz w:val="20"/>
          <w:szCs w:val="20"/>
          <w:lang w:val="es-CR"/>
        </w:rPr>
        <w:t>C</w:t>
      </w:r>
      <w:r w:rsidRPr="00972D9D">
        <w:rPr>
          <w:rFonts w:ascii="Verdana" w:eastAsia="Verdana" w:hAnsi="Verdana" w:cs="Times New Roman"/>
          <w:spacing w:val="-1"/>
          <w:sz w:val="20"/>
          <w:szCs w:val="20"/>
          <w:lang w:val="es-CR"/>
        </w:rPr>
        <w:t>or</w:t>
      </w:r>
      <w:r w:rsidRPr="00972D9D">
        <w:rPr>
          <w:rFonts w:ascii="Verdana" w:eastAsia="Verdana" w:hAnsi="Verdana" w:cs="Times New Roman"/>
          <w:spacing w:val="3"/>
          <w:sz w:val="20"/>
          <w:szCs w:val="20"/>
          <w:lang w:val="es-CR"/>
        </w:rPr>
        <w:t>t</w:t>
      </w:r>
      <w:r w:rsidRPr="00972D9D">
        <w:rPr>
          <w:rFonts w:ascii="Verdana" w:eastAsia="Verdana" w:hAnsi="Verdana" w:cs="Times New Roman"/>
          <w:sz w:val="20"/>
          <w:szCs w:val="20"/>
          <w:lang w:val="es-CR"/>
        </w:rPr>
        <w:t>e</w:t>
      </w:r>
      <w:r w:rsidRPr="00972D9D">
        <w:rPr>
          <w:rFonts w:ascii="Verdana" w:eastAsia="Verdana" w:hAnsi="Verdana" w:cs="Times New Roman"/>
          <w:spacing w:val="9"/>
          <w:sz w:val="20"/>
          <w:szCs w:val="20"/>
          <w:lang w:val="es-CR"/>
        </w:rPr>
        <w:t xml:space="preserve"> </w:t>
      </w:r>
      <w:r w:rsidRPr="00972D9D">
        <w:rPr>
          <w:rFonts w:ascii="Verdana" w:eastAsia="Verdana" w:hAnsi="Verdana" w:cs="Times New Roman"/>
          <w:spacing w:val="-1"/>
          <w:sz w:val="20"/>
          <w:szCs w:val="20"/>
          <w:lang w:val="es-CR"/>
        </w:rPr>
        <w:t>e</w:t>
      </w:r>
      <w:r w:rsidRPr="00972D9D">
        <w:rPr>
          <w:rFonts w:ascii="Verdana" w:eastAsia="Verdana" w:hAnsi="Verdana" w:cs="Times New Roman"/>
          <w:sz w:val="20"/>
          <w:szCs w:val="20"/>
          <w:lang w:val="es-CR"/>
        </w:rPr>
        <w:t>n</w:t>
      </w:r>
      <w:r w:rsidRPr="00972D9D">
        <w:rPr>
          <w:rFonts w:ascii="Verdana" w:eastAsia="Verdana" w:hAnsi="Verdana" w:cs="Times New Roman"/>
          <w:spacing w:val="12"/>
          <w:sz w:val="20"/>
          <w:szCs w:val="20"/>
          <w:lang w:val="es-CR"/>
        </w:rPr>
        <w:t xml:space="preserve"> </w:t>
      </w:r>
      <w:r w:rsidRPr="00972D9D">
        <w:rPr>
          <w:rFonts w:ascii="Verdana" w:eastAsia="Verdana" w:hAnsi="Verdana" w:cs="Times New Roman"/>
          <w:spacing w:val="-1"/>
          <w:sz w:val="20"/>
          <w:szCs w:val="20"/>
          <w:lang w:val="es-CR"/>
        </w:rPr>
        <w:t>e</w:t>
      </w:r>
      <w:r w:rsidRPr="00972D9D">
        <w:rPr>
          <w:rFonts w:ascii="Verdana" w:eastAsia="Verdana" w:hAnsi="Verdana" w:cs="Times New Roman"/>
          <w:sz w:val="20"/>
          <w:szCs w:val="20"/>
          <w:lang w:val="es-CR"/>
        </w:rPr>
        <w:t xml:space="preserve">l </w:t>
      </w:r>
      <w:r w:rsidRPr="00972D9D">
        <w:rPr>
          <w:rFonts w:ascii="Verdana" w:eastAsia="Verdana" w:hAnsi="Verdana" w:cs="Times New Roman"/>
          <w:spacing w:val="1"/>
          <w:sz w:val="20"/>
          <w:szCs w:val="20"/>
          <w:lang w:val="es-CR"/>
        </w:rPr>
        <w:t>p</w:t>
      </w:r>
      <w:r w:rsidRPr="00972D9D">
        <w:rPr>
          <w:rFonts w:ascii="Verdana" w:eastAsia="Verdana" w:hAnsi="Verdana" w:cs="Times New Roman"/>
          <w:spacing w:val="-1"/>
          <w:sz w:val="20"/>
          <w:szCs w:val="20"/>
          <w:lang w:val="es-CR"/>
        </w:rPr>
        <w:t>r</w:t>
      </w:r>
      <w:r w:rsidRPr="00972D9D">
        <w:rPr>
          <w:rFonts w:ascii="Verdana" w:eastAsia="Verdana" w:hAnsi="Verdana" w:cs="Times New Roman"/>
          <w:spacing w:val="3"/>
          <w:sz w:val="20"/>
          <w:szCs w:val="20"/>
          <w:lang w:val="es-CR"/>
        </w:rPr>
        <w:t>i</w:t>
      </w:r>
      <w:r w:rsidRPr="00972D9D">
        <w:rPr>
          <w:rFonts w:ascii="Verdana" w:eastAsia="Verdana" w:hAnsi="Verdana" w:cs="Times New Roman"/>
          <w:sz w:val="20"/>
          <w:szCs w:val="20"/>
          <w:lang w:val="es-CR"/>
        </w:rPr>
        <w:t>mer</w:t>
      </w:r>
      <w:r w:rsidRPr="00972D9D">
        <w:rPr>
          <w:rFonts w:ascii="Verdana" w:eastAsia="Verdana" w:hAnsi="Verdana" w:cs="Times New Roman"/>
          <w:spacing w:val="-5"/>
          <w:sz w:val="20"/>
          <w:szCs w:val="20"/>
          <w:lang w:val="es-CR"/>
        </w:rPr>
        <w:t xml:space="preserve"> </w:t>
      </w:r>
      <w:r w:rsidRPr="00972D9D">
        <w:rPr>
          <w:rFonts w:ascii="Verdana" w:eastAsia="Verdana" w:hAnsi="Verdana" w:cs="Times New Roman"/>
          <w:sz w:val="20"/>
          <w:szCs w:val="20"/>
          <w:lang w:val="es-CR"/>
        </w:rPr>
        <w:t>mo</w:t>
      </w:r>
      <w:r w:rsidRPr="00972D9D">
        <w:rPr>
          <w:rFonts w:ascii="Verdana" w:eastAsia="Verdana" w:hAnsi="Verdana" w:cs="Times New Roman"/>
          <w:spacing w:val="3"/>
          <w:sz w:val="20"/>
          <w:szCs w:val="20"/>
          <w:lang w:val="es-CR"/>
        </w:rPr>
        <w:t>m</w:t>
      </w:r>
      <w:r w:rsidRPr="00972D9D">
        <w:rPr>
          <w:rFonts w:ascii="Verdana" w:eastAsia="Verdana" w:hAnsi="Verdana" w:cs="Times New Roman"/>
          <w:spacing w:val="-1"/>
          <w:sz w:val="20"/>
          <w:szCs w:val="20"/>
          <w:lang w:val="es-CR"/>
        </w:rPr>
        <w:t>e</w:t>
      </w:r>
      <w:r w:rsidRPr="00972D9D">
        <w:rPr>
          <w:rFonts w:ascii="Verdana" w:eastAsia="Verdana" w:hAnsi="Verdana" w:cs="Times New Roman"/>
          <w:spacing w:val="1"/>
          <w:sz w:val="20"/>
          <w:szCs w:val="20"/>
          <w:lang w:val="es-CR"/>
        </w:rPr>
        <w:t>nt</w:t>
      </w:r>
      <w:r w:rsidRPr="00972D9D">
        <w:rPr>
          <w:rFonts w:ascii="Verdana" w:eastAsia="Verdana" w:hAnsi="Verdana" w:cs="Times New Roman"/>
          <w:sz w:val="20"/>
          <w:szCs w:val="20"/>
          <w:lang w:val="es-CR"/>
        </w:rPr>
        <w:t>o</w:t>
      </w:r>
      <w:r w:rsidRPr="00972D9D">
        <w:rPr>
          <w:rFonts w:ascii="Verdana" w:eastAsia="Verdana" w:hAnsi="Verdana" w:cs="Times New Roman"/>
          <w:spacing w:val="-7"/>
          <w:sz w:val="20"/>
          <w:szCs w:val="20"/>
          <w:lang w:val="es-CR"/>
        </w:rPr>
        <w:t xml:space="preserve"> </w:t>
      </w:r>
      <w:r w:rsidRPr="00972D9D">
        <w:rPr>
          <w:rFonts w:ascii="Verdana" w:eastAsia="Verdana" w:hAnsi="Verdana" w:cs="Times New Roman"/>
          <w:spacing w:val="1"/>
          <w:sz w:val="20"/>
          <w:szCs w:val="20"/>
          <w:lang w:val="es-CR"/>
        </w:rPr>
        <w:t>p</w:t>
      </w:r>
      <w:r w:rsidRPr="00972D9D">
        <w:rPr>
          <w:rFonts w:ascii="Verdana" w:eastAsia="Verdana" w:hAnsi="Verdana" w:cs="Times New Roman"/>
          <w:spacing w:val="-1"/>
          <w:sz w:val="20"/>
          <w:szCs w:val="20"/>
          <w:lang w:val="es-CR"/>
        </w:rPr>
        <w:t>r</w:t>
      </w:r>
      <w:r w:rsidRPr="00972D9D">
        <w:rPr>
          <w:rFonts w:ascii="Verdana" w:eastAsia="Verdana" w:hAnsi="Verdana" w:cs="Times New Roman"/>
          <w:spacing w:val="1"/>
          <w:sz w:val="20"/>
          <w:szCs w:val="20"/>
          <w:lang w:val="es-CR"/>
        </w:rPr>
        <w:t>o</w:t>
      </w:r>
      <w:r w:rsidRPr="00972D9D">
        <w:rPr>
          <w:rFonts w:ascii="Verdana" w:eastAsia="Verdana" w:hAnsi="Verdana" w:cs="Times New Roman"/>
          <w:sz w:val="20"/>
          <w:szCs w:val="20"/>
          <w:lang w:val="es-CR"/>
        </w:rPr>
        <w:t>ce</w:t>
      </w:r>
      <w:r w:rsidRPr="00972D9D">
        <w:rPr>
          <w:rFonts w:ascii="Verdana" w:eastAsia="Verdana" w:hAnsi="Verdana" w:cs="Times New Roman"/>
          <w:spacing w:val="2"/>
          <w:sz w:val="20"/>
          <w:szCs w:val="20"/>
          <w:lang w:val="es-CR"/>
        </w:rPr>
        <w:t>s</w:t>
      </w:r>
      <w:r w:rsidRPr="00972D9D">
        <w:rPr>
          <w:rFonts w:ascii="Verdana" w:eastAsia="Verdana" w:hAnsi="Verdana" w:cs="Times New Roman"/>
          <w:sz w:val="20"/>
          <w:szCs w:val="20"/>
          <w:lang w:val="es-CR"/>
        </w:rPr>
        <w:t>al</w:t>
      </w:r>
      <w:r w:rsidRPr="00972D9D">
        <w:rPr>
          <w:rFonts w:ascii="Verdana" w:eastAsia="Verdana" w:hAnsi="Verdana" w:cs="Times New Roman"/>
          <w:spacing w:val="-4"/>
          <w:sz w:val="20"/>
          <w:szCs w:val="20"/>
          <w:lang w:val="es-CR"/>
        </w:rPr>
        <w:t xml:space="preserve"> </w:t>
      </w:r>
      <w:r w:rsidRPr="00972D9D">
        <w:rPr>
          <w:rFonts w:ascii="Verdana" w:eastAsia="Verdana" w:hAnsi="Verdana" w:cs="Times New Roman"/>
          <w:spacing w:val="1"/>
          <w:sz w:val="20"/>
          <w:szCs w:val="20"/>
          <w:lang w:val="es-CR"/>
        </w:rPr>
        <w:t>qu</w:t>
      </w:r>
      <w:r w:rsidRPr="00972D9D">
        <w:rPr>
          <w:rFonts w:ascii="Verdana" w:eastAsia="Verdana" w:hAnsi="Verdana" w:cs="Times New Roman"/>
          <w:sz w:val="20"/>
          <w:szCs w:val="20"/>
          <w:lang w:val="es-CR"/>
        </w:rPr>
        <w:t>e</w:t>
      </w:r>
      <w:r w:rsidRPr="00972D9D">
        <w:rPr>
          <w:rFonts w:ascii="Verdana" w:eastAsia="Verdana" w:hAnsi="Verdana" w:cs="Times New Roman"/>
          <w:spacing w:val="-1"/>
          <w:sz w:val="20"/>
          <w:szCs w:val="20"/>
          <w:lang w:val="es-CR"/>
        </w:rPr>
        <w:t xml:space="preserve"> </w:t>
      </w:r>
      <w:r w:rsidRPr="00972D9D">
        <w:rPr>
          <w:rFonts w:ascii="Verdana" w:eastAsia="Verdana" w:hAnsi="Verdana" w:cs="Times New Roman"/>
          <w:sz w:val="20"/>
          <w:szCs w:val="20"/>
          <w:lang w:val="es-CR"/>
        </w:rPr>
        <w:t xml:space="preserve">se </w:t>
      </w:r>
      <w:r w:rsidRPr="00972D9D">
        <w:rPr>
          <w:rFonts w:ascii="Verdana" w:eastAsia="Verdana" w:hAnsi="Verdana" w:cs="Times New Roman"/>
          <w:spacing w:val="3"/>
          <w:sz w:val="20"/>
          <w:szCs w:val="20"/>
          <w:lang w:val="es-CR"/>
        </w:rPr>
        <w:t>l</w:t>
      </w:r>
      <w:r w:rsidRPr="00972D9D">
        <w:rPr>
          <w:rFonts w:ascii="Verdana" w:eastAsia="Verdana" w:hAnsi="Verdana" w:cs="Times New Roman"/>
          <w:spacing w:val="-1"/>
          <w:sz w:val="20"/>
          <w:szCs w:val="20"/>
          <w:lang w:val="es-CR"/>
        </w:rPr>
        <w:t>e</w:t>
      </w:r>
      <w:r w:rsidRPr="00972D9D">
        <w:rPr>
          <w:rFonts w:ascii="Verdana" w:eastAsia="Verdana" w:hAnsi="Verdana" w:cs="Times New Roman"/>
          <w:sz w:val="20"/>
          <w:szCs w:val="20"/>
          <w:lang w:val="es-CR"/>
        </w:rPr>
        <w:t>s c</w:t>
      </w:r>
      <w:r w:rsidRPr="00972D9D">
        <w:rPr>
          <w:rFonts w:ascii="Verdana" w:eastAsia="Verdana" w:hAnsi="Verdana" w:cs="Times New Roman"/>
          <w:spacing w:val="-2"/>
          <w:sz w:val="20"/>
          <w:szCs w:val="20"/>
          <w:lang w:val="es-CR"/>
        </w:rPr>
        <w:t>o</w:t>
      </w:r>
      <w:r w:rsidRPr="00972D9D">
        <w:rPr>
          <w:rFonts w:ascii="Verdana" w:eastAsia="Verdana" w:hAnsi="Verdana" w:cs="Times New Roman"/>
          <w:spacing w:val="1"/>
          <w:sz w:val="20"/>
          <w:szCs w:val="20"/>
          <w:lang w:val="es-CR"/>
        </w:rPr>
        <w:t>n</w:t>
      </w:r>
      <w:r w:rsidRPr="00972D9D">
        <w:rPr>
          <w:rFonts w:ascii="Verdana" w:eastAsia="Verdana" w:hAnsi="Verdana" w:cs="Times New Roman"/>
          <w:sz w:val="20"/>
          <w:szCs w:val="20"/>
          <w:lang w:val="es-CR"/>
        </w:rPr>
        <w:t>c</w:t>
      </w:r>
      <w:r w:rsidRPr="00972D9D">
        <w:rPr>
          <w:rFonts w:ascii="Verdana" w:eastAsia="Verdana" w:hAnsi="Verdana" w:cs="Times New Roman"/>
          <w:spacing w:val="-2"/>
          <w:sz w:val="20"/>
          <w:szCs w:val="20"/>
          <w:lang w:val="es-CR"/>
        </w:rPr>
        <w:t>e</w:t>
      </w:r>
      <w:r w:rsidRPr="00972D9D">
        <w:rPr>
          <w:rFonts w:ascii="Verdana" w:eastAsia="Verdana" w:hAnsi="Verdana" w:cs="Times New Roman"/>
          <w:spacing w:val="3"/>
          <w:sz w:val="20"/>
          <w:szCs w:val="20"/>
          <w:lang w:val="es-CR"/>
        </w:rPr>
        <w:t>d</w:t>
      </w:r>
      <w:r w:rsidRPr="00972D9D">
        <w:rPr>
          <w:rFonts w:ascii="Verdana" w:eastAsia="Verdana" w:hAnsi="Verdana" w:cs="Times New Roman"/>
          <w:spacing w:val="-1"/>
          <w:sz w:val="20"/>
          <w:szCs w:val="20"/>
          <w:lang w:val="es-CR"/>
        </w:rPr>
        <w:t>e</w:t>
      </w:r>
      <w:r w:rsidRPr="00972D9D">
        <w:rPr>
          <w:rFonts w:ascii="Verdana" w:eastAsia="Verdana" w:hAnsi="Verdana" w:cs="Times New Roman"/>
          <w:sz w:val="20"/>
          <w:szCs w:val="20"/>
          <w:lang w:val="es-CR"/>
        </w:rPr>
        <w:t>,</w:t>
      </w:r>
      <w:r w:rsidRPr="00972D9D">
        <w:rPr>
          <w:rFonts w:ascii="Verdana" w:eastAsia="Verdana" w:hAnsi="Verdana" w:cs="Times New Roman"/>
          <w:spacing w:val="-3"/>
          <w:sz w:val="20"/>
          <w:szCs w:val="20"/>
          <w:lang w:val="es-CR"/>
        </w:rPr>
        <w:t xml:space="preserve"> </w:t>
      </w:r>
      <w:r w:rsidRPr="00972D9D">
        <w:rPr>
          <w:rFonts w:ascii="Verdana" w:eastAsia="Verdana" w:hAnsi="Verdana" w:cs="Times New Roman"/>
          <w:spacing w:val="1"/>
          <w:sz w:val="20"/>
          <w:szCs w:val="20"/>
          <w:lang w:val="es-CR"/>
        </w:rPr>
        <w:t>e</w:t>
      </w:r>
      <w:r w:rsidRPr="00972D9D">
        <w:rPr>
          <w:rFonts w:ascii="Verdana" w:eastAsia="Verdana" w:hAnsi="Verdana" w:cs="Times New Roman"/>
          <w:sz w:val="20"/>
          <w:szCs w:val="20"/>
          <w:lang w:val="es-CR"/>
        </w:rPr>
        <w:t>sto</w:t>
      </w:r>
      <w:r w:rsidRPr="00972D9D">
        <w:rPr>
          <w:rFonts w:ascii="Verdana" w:eastAsia="Verdana" w:hAnsi="Verdana" w:cs="Times New Roman"/>
          <w:spacing w:val="-1"/>
          <w:sz w:val="20"/>
          <w:szCs w:val="20"/>
          <w:lang w:val="es-CR"/>
        </w:rPr>
        <w:t xml:space="preserve"> </w:t>
      </w:r>
      <w:r w:rsidRPr="00972D9D">
        <w:rPr>
          <w:rFonts w:ascii="Verdana" w:eastAsia="Verdana" w:hAnsi="Verdana" w:cs="Times New Roman"/>
          <w:spacing w:val="1"/>
          <w:sz w:val="20"/>
          <w:szCs w:val="20"/>
          <w:lang w:val="es-CR"/>
        </w:rPr>
        <w:t>e</w:t>
      </w:r>
      <w:r w:rsidRPr="00972D9D">
        <w:rPr>
          <w:rFonts w:ascii="Verdana" w:eastAsia="Verdana" w:hAnsi="Verdana" w:cs="Times New Roman"/>
          <w:sz w:val="20"/>
          <w:szCs w:val="20"/>
          <w:lang w:val="es-CR"/>
        </w:rPr>
        <w:t xml:space="preserve">s, </w:t>
      </w:r>
      <w:r w:rsidRPr="00972D9D">
        <w:rPr>
          <w:rFonts w:ascii="Verdana" w:eastAsia="Verdana" w:hAnsi="Verdana" w:cs="Times New Roman"/>
          <w:spacing w:val="-1"/>
          <w:sz w:val="20"/>
          <w:szCs w:val="20"/>
          <w:lang w:val="es-CR"/>
        </w:rPr>
        <w:t>e</w:t>
      </w:r>
      <w:r w:rsidRPr="00972D9D">
        <w:rPr>
          <w:rFonts w:ascii="Verdana" w:eastAsia="Verdana" w:hAnsi="Verdana" w:cs="Times New Roman"/>
          <w:sz w:val="20"/>
          <w:szCs w:val="20"/>
          <w:lang w:val="es-CR"/>
        </w:rPr>
        <w:t>n</w:t>
      </w:r>
      <w:r w:rsidRPr="00972D9D">
        <w:rPr>
          <w:rFonts w:ascii="Verdana" w:eastAsia="Verdana" w:hAnsi="Verdana" w:cs="Times New Roman"/>
          <w:spacing w:val="3"/>
          <w:sz w:val="20"/>
          <w:szCs w:val="20"/>
          <w:lang w:val="es-CR"/>
        </w:rPr>
        <w:t xml:space="preserve"> </w:t>
      </w:r>
      <w:r w:rsidRPr="00972D9D">
        <w:rPr>
          <w:rFonts w:ascii="Verdana" w:eastAsia="Verdana" w:hAnsi="Verdana" w:cs="Times New Roman"/>
          <w:spacing w:val="-1"/>
          <w:sz w:val="20"/>
          <w:szCs w:val="20"/>
          <w:lang w:val="es-CR"/>
        </w:rPr>
        <w:t>e</w:t>
      </w:r>
      <w:r w:rsidRPr="00972D9D">
        <w:rPr>
          <w:rFonts w:ascii="Verdana" w:eastAsia="Verdana" w:hAnsi="Verdana" w:cs="Times New Roman"/>
          <w:sz w:val="20"/>
          <w:szCs w:val="20"/>
          <w:lang w:val="es-CR"/>
        </w:rPr>
        <w:t>l</w:t>
      </w:r>
      <w:r w:rsidRPr="00972D9D">
        <w:rPr>
          <w:rFonts w:ascii="Verdana" w:eastAsia="Verdana" w:hAnsi="Verdana" w:cs="Times New Roman"/>
          <w:spacing w:val="4"/>
          <w:sz w:val="20"/>
          <w:szCs w:val="20"/>
          <w:lang w:val="es-CR"/>
        </w:rPr>
        <w:t xml:space="preserve"> </w:t>
      </w:r>
      <w:r w:rsidRPr="00972D9D">
        <w:rPr>
          <w:rFonts w:ascii="Verdana" w:eastAsia="Verdana" w:hAnsi="Verdana" w:cs="Times New Roman"/>
          <w:spacing w:val="-1"/>
          <w:sz w:val="20"/>
          <w:szCs w:val="20"/>
          <w:lang w:val="es-CR"/>
        </w:rPr>
        <w:t>e</w:t>
      </w:r>
      <w:r w:rsidRPr="00972D9D">
        <w:rPr>
          <w:rFonts w:ascii="Verdana" w:eastAsia="Verdana" w:hAnsi="Verdana" w:cs="Times New Roman"/>
          <w:sz w:val="20"/>
          <w:szCs w:val="20"/>
          <w:lang w:val="es-CR"/>
        </w:rPr>
        <w:t>s</w:t>
      </w:r>
      <w:r w:rsidRPr="00972D9D">
        <w:rPr>
          <w:rFonts w:ascii="Verdana" w:eastAsia="Verdana" w:hAnsi="Verdana" w:cs="Times New Roman"/>
          <w:spacing w:val="1"/>
          <w:sz w:val="20"/>
          <w:szCs w:val="20"/>
          <w:lang w:val="es-CR"/>
        </w:rPr>
        <w:t>c</w:t>
      </w:r>
      <w:r w:rsidRPr="00972D9D">
        <w:rPr>
          <w:rFonts w:ascii="Verdana" w:eastAsia="Verdana" w:hAnsi="Verdana" w:cs="Times New Roman"/>
          <w:spacing w:val="-1"/>
          <w:sz w:val="20"/>
          <w:szCs w:val="20"/>
          <w:lang w:val="es-CR"/>
        </w:rPr>
        <w:t>r</w:t>
      </w:r>
      <w:r w:rsidRPr="00972D9D">
        <w:rPr>
          <w:rFonts w:ascii="Verdana" w:eastAsia="Verdana" w:hAnsi="Verdana" w:cs="Times New Roman"/>
          <w:spacing w:val="3"/>
          <w:sz w:val="20"/>
          <w:szCs w:val="20"/>
          <w:lang w:val="es-CR"/>
        </w:rPr>
        <w:t>i</w:t>
      </w:r>
      <w:r w:rsidRPr="00972D9D">
        <w:rPr>
          <w:rFonts w:ascii="Verdana" w:eastAsia="Verdana" w:hAnsi="Verdana" w:cs="Times New Roman"/>
          <w:spacing w:val="1"/>
          <w:sz w:val="20"/>
          <w:szCs w:val="20"/>
          <w:lang w:val="es-CR"/>
        </w:rPr>
        <w:t>t</w:t>
      </w:r>
      <w:r w:rsidRPr="00972D9D">
        <w:rPr>
          <w:rFonts w:ascii="Verdana" w:eastAsia="Verdana" w:hAnsi="Verdana" w:cs="Times New Roman"/>
          <w:sz w:val="20"/>
          <w:szCs w:val="20"/>
          <w:lang w:val="es-CR"/>
        </w:rPr>
        <w:t>o</w:t>
      </w:r>
      <w:r w:rsidRPr="00972D9D">
        <w:rPr>
          <w:rFonts w:ascii="Verdana" w:eastAsia="Verdana" w:hAnsi="Verdana" w:cs="Times New Roman"/>
          <w:spacing w:val="-4"/>
          <w:sz w:val="20"/>
          <w:szCs w:val="20"/>
          <w:lang w:val="es-CR"/>
        </w:rPr>
        <w:t xml:space="preserve"> </w:t>
      </w:r>
      <w:r w:rsidRPr="00972D9D">
        <w:rPr>
          <w:rFonts w:ascii="Verdana" w:eastAsia="Verdana" w:hAnsi="Verdana" w:cs="Times New Roman"/>
          <w:spacing w:val="1"/>
          <w:sz w:val="20"/>
          <w:szCs w:val="20"/>
          <w:lang w:val="es-CR"/>
        </w:rPr>
        <w:t>d</w:t>
      </w:r>
      <w:r w:rsidRPr="00972D9D">
        <w:rPr>
          <w:rFonts w:ascii="Verdana" w:eastAsia="Verdana" w:hAnsi="Verdana" w:cs="Times New Roman"/>
          <w:sz w:val="20"/>
          <w:szCs w:val="20"/>
          <w:lang w:val="es-CR"/>
        </w:rPr>
        <w:t>e</w:t>
      </w:r>
      <w:r w:rsidRPr="00972D9D">
        <w:rPr>
          <w:rFonts w:ascii="Verdana" w:eastAsia="Verdana" w:hAnsi="Verdana" w:cs="Times New Roman"/>
          <w:spacing w:val="1"/>
          <w:sz w:val="20"/>
          <w:szCs w:val="20"/>
          <w:lang w:val="es-CR"/>
        </w:rPr>
        <w:t xml:space="preserve"> </w:t>
      </w:r>
      <w:r w:rsidRPr="00972D9D">
        <w:rPr>
          <w:rFonts w:ascii="Verdana" w:eastAsia="Verdana" w:hAnsi="Verdana" w:cs="Times New Roman"/>
          <w:sz w:val="20"/>
          <w:szCs w:val="20"/>
          <w:lang w:val="es-CR"/>
        </w:rPr>
        <w:t>s</w:t>
      </w:r>
      <w:r w:rsidRPr="00972D9D">
        <w:rPr>
          <w:rFonts w:ascii="Verdana" w:eastAsia="Verdana" w:hAnsi="Verdana" w:cs="Times New Roman"/>
          <w:spacing w:val="-2"/>
          <w:sz w:val="20"/>
          <w:szCs w:val="20"/>
          <w:lang w:val="es-CR"/>
        </w:rPr>
        <w:t>o</w:t>
      </w:r>
      <w:r w:rsidRPr="00972D9D">
        <w:rPr>
          <w:rFonts w:ascii="Verdana" w:eastAsia="Verdana" w:hAnsi="Verdana" w:cs="Times New Roman"/>
          <w:spacing w:val="3"/>
          <w:sz w:val="20"/>
          <w:szCs w:val="20"/>
          <w:lang w:val="es-CR"/>
        </w:rPr>
        <w:t>li</w:t>
      </w:r>
      <w:r w:rsidRPr="00972D9D">
        <w:rPr>
          <w:rFonts w:ascii="Verdana" w:eastAsia="Verdana" w:hAnsi="Verdana" w:cs="Times New Roman"/>
          <w:spacing w:val="-3"/>
          <w:sz w:val="20"/>
          <w:szCs w:val="20"/>
          <w:lang w:val="es-CR"/>
        </w:rPr>
        <w:t>c</w:t>
      </w:r>
      <w:r w:rsidRPr="00972D9D">
        <w:rPr>
          <w:rFonts w:ascii="Verdana" w:eastAsia="Verdana" w:hAnsi="Verdana" w:cs="Times New Roman"/>
          <w:spacing w:val="3"/>
          <w:sz w:val="20"/>
          <w:szCs w:val="20"/>
          <w:lang w:val="es-CR"/>
        </w:rPr>
        <w:t>i</w:t>
      </w:r>
      <w:r w:rsidRPr="00972D9D">
        <w:rPr>
          <w:rFonts w:ascii="Verdana" w:eastAsia="Verdana" w:hAnsi="Verdana" w:cs="Times New Roman"/>
          <w:spacing w:val="1"/>
          <w:sz w:val="20"/>
          <w:szCs w:val="20"/>
          <w:lang w:val="es-CR"/>
        </w:rPr>
        <w:t>tud</w:t>
      </w:r>
      <w:r w:rsidRPr="00972D9D">
        <w:rPr>
          <w:rFonts w:ascii="Verdana" w:eastAsia="Verdana" w:hAnsi="Verdana" w:cs="Times New Roman"/>
          <w:spacing w:val="-1"/>
          <w:sz w:val="20"/>
          <w:szCs w:val="20"/>
          <w:lang w:val="es-CR"/>
        </w:rPr>
        <w:t>e</w:t>
      </w:r>
      <w:r w:rsidRPr="00972D9D">
        <w:rPr>
          <w:rFonts w:ascii="Verdana" w:eastAsia="Verdana" w:hAnsi="Verdana" w:cs="Times New Roman"/>
          <w:sz w:val="20"/>
          <w:szCs w:val="20"/>
          <w:lang w:val="es-CR"/>
        </w:rPr>
        <w:t>s</w:t>
      </w:r>
      <w:r w:rsidRPr="00972D9D">
        <w:rPr>
          <w:rFonts w:ascii="Verdana" w:eastAsia="Verdana" w:hAnsi="Verdana" w:cs="Times New Roman"/>
          <w:spacing w:val="-7"/>
          <w:sz w:val="20"/>
          <w:szCs w:val="20"/>
          <w:lang w:val="es-CR"/>
        </w:rPr>
        <w:t xml:space="preserve"> </w:t>
      </w:r>
      <w:r w:rsidRPr="00972D9D">
        <w:rPr>
          <w:rFonts w:ascii="Verdana" w:eastAsia="Verdana" w:hAnsi="Verdana" w:cs="Times New Roman"/>
          <w:sz w:val="20"/>
          <w:szCs w:val="20"/>
          <w:lang w:val="es-CR"/>
        </w:rPr>
        <w:t>y</w:t>
      </w:r>
      <w:r w:rsidRPr="00972D9D">
        <w:rPr>
          <w:rFonts w:ascii="Verdana" w:eastAsia="Verdana" w:hAnsi="Verdana" w:cs="Times New Roman"/>
          <w:spacing w:val="3"/>
          <w:sz w:val="20"/>
          <w:szCs w:val="20"/>
          <w:lang w:val="es-CR"/>
        </w:rPr>
        <w:t xml:space="preserve"> </w:t>
      </w:r>
      <w:r w:rsidRPr="00972D9D">
        <w:rPr>
          <w:rFonts w:ascii="Verdana" w:eastAsia="Verdana" w:hAnsi="Verdana" w:cs="Times New Roman"/>
          <w:sz w:val="20"/>
          <w:szCs w:val="20"/>
          <w:lang w:val="es-CR"/>
        </w:rPr>
        <w:t>a</w:t>
      </w:r>
      <w:r w:rsidRPr="00972D9D">
        <w:rPr>
          <w:rFonts w:ascii="Verdana" w:eastAsia="Verdana" w:hAnsi="Verdana" w:cs="Times New Roman"/>
          <w:spacing w:val="-1"/>
          <w:sz w:val="20"/>
          <w:szCs w:val="20"/>
          <w:lang w:val="es-CR"/>
        </w:rPr>
        <w:t>r</w:t>
      </w:r>
      <w:r w:rsidRPr="00972D9D">
        <w:rPr>
          <w:rFonts w:ascii="Verdana" w:eastAsia="Verdana" w:hAnsi="Verdana" w:cs="Times New Roman"/>
          <w:spacing w:val="1"/>
          <w:sz w:val="20"/>
          <w:szCs w:val="20"/>
          <w:lang w:val="es-CR"/>
        </w:rPr>
        <w:t>gu</w:t>
      </w:r>
      <w:r w:rsidRPr="00972D9D">
        <w:rPr>
          <w:rFonts w:ascii="Verdana" w:eastAsia="Verdana" w:hAnsi="Verdana" w:cs="Times New Roman"/>
          <w:sz w:val="20"/>
          <w:szCs w:val="20"/>
          <w:lang w:val="es-CR"/>
        </w:rPr>
        <w:t>men</w:t>
      </w:r>
      <w:r w:rsidRPr="00972D9D">
        <w:rPr>
          <w:rFonts w:ascii="Verdana" w:eastAsia="Verdana" w:hAnsi="Verdana" w:cs="Times New Roman"/>
          <w:spacing w:val="1"/>
          <w:sz w:val="20"/>
          <w:szCs w:val="20"/>
          <w:lang w:val="es-CR"/>
        </w:rPr>
        <w:t>t</w:t>
      </w:r>
      <w:r w:rsidRPr="00972D9D">
        <w:rPr>
          <w:rFonts w:ascii="Verdana" w:eastAsia="Verdana" w:hAnsi="Verdana" w:cs="Times New Roman"/>
          <w:spacing w:val="-1"/>
          <w:sz w:val="20"/>
          <w:szCs w:val="20"/>
          <w:lang w:val="es-CR"/>
        </w:rPr>
        <w:t>o</w:t>
      </w:r>
      <w:r w:rsidRPr="00972D9D">
        <w:rPr>
          <w:rFonts w:ascii="Verdana" w:eastAsia="Verdana" w:hAnsi="Verdana" w:cs="Times New Roman"/>
          <w:sz w:val="20"/>
          <w:szCs w:val="20"/>
          <w:lang w:val="es-CR"/>
        </w:rPr>
        <w:t>s,</w:t>
      </w:r>
      <w:r w:rsidRPr="00972D9D">
        <w:rPr>
          <w:rFonts w:ascii="Verdana" w:eastAsia="Verdana" w:hAnsi="Verdana" w:cs="Times New Roman"/>
          <w:spacing w:val="-10"/>
          <w:sz w:val="20"/>
          <w:szCs w:val="20"/>
          <w:lang w:val="es-CR"/>
        </w:rPr>
        <w:t xml:space="preserve"> </w:t>
      </w:r>
      <w:r w:rsidRPr="00972D9D">
        <w:rPr>
          <w:rFonts w:ascii="Verdana" w:eastAsia="Verdana" w:hAnsi="Verdana" w:cs="Times New Roman"/>
          <w:sz w:val="20"/>
          <w:szCs w:val="20"/>
          <w:lang w:val="es-CR"/>
        </w:rPr>
        <w:t>s</w:t>
      </w:r>
      <w:r w:rsidRPr="00972D9D">
        <w:rPr>
          <w:rFonts w:ascii="Verdana" w:eastAsia="Verdana" w:hAnsi="Verdana" w:cs="Times New Roman"/>
          <w:spacing w:val="2"/>
          <w:sz w:val="20"/>
          <w:szCs w:val="20"/>
          <w:lang w:val="es-CR"/>
        </w:rPr>
        <w:t>i</w:t>
      </w:r>
      <w:r w:rsidRPr="00972D9D">
        <w:rPr>
          <w:rFonts w:ascii="Verdana" w:eastAsia="Verdana" w:hAnsi="Verdana" w:cs="Times New Roman"/>
          <w:sz w:val="20"/>
          <w:szCs w:val="20"/>
          <w:lang w:val="es-CR"/>
        </w:rPr>
        <w:t xml:space="preserve">n </w:t>
      </w:r>
      <w:r w:rsidRPr="00972D9D">
        <w:rPr>
          <w:rFonts w:ascii="Verdana" w:eastAsia="Verdana" w:hAnsi="Verdana" w:cs="Times New Roman"/>
          <w:spacing w:val="1"/>
          <w:sz w:val="20"/>
          <w:szCs w:val="20"/>
          <w:lang w:val="es-CR"/>
        </w:rPr>
        <w:t>p</w:t>
      </w:r>
      <w:r w:rsidRPr="00972D9D">
        <w:rPr>
          <w:rFonts w:ascii="Verdana" w:eastAsia="Verdana" w:hAnsi="Verdana" w:cs="Times New Roman"/>
          <w:spacing w:val="-1"/>
          <w:sz w:val="20"/>
          <w:szCs w:val="20"/>
          <w:lang w:val="es-CR"/>
        </w:rPr>
        <w:t>er</w:t>
      </w:r>
      <w:r w:rsidRPr="00972D9D">
        <w:rPr>
          <w:rFonts w:ascii="Verdana" w:eastAsia="Verdana" w:hAnsi="Verdana" w:cs="Times New Roman"/>
          <w:spacing w:val="1"/>
          <w:sz w:val="20"/>
          <w:szCs w:val="20"/>
          <w:lang w:val="es-CR"/>
        </w:rPr>
        <w:t>ju</w:t>
      </w:r>
      <w:r w:rsidRPr="00972D9D">
        <w:rPr>
          <w:rFonts w:ascii="Verdana" w:eastAsia="Verdana" w:hAnsi="Verdana" w:cs="Times New Roman"/>
          <w:spacing w:val="3"/>
          <w:sz w:val="20"/>
          <w:szCs w:val="20"/>
          <w:lang w:val="es-CR"/>
        </w:rPr>
        <w:t>i</w:t>
      </w:r>
      <w:r w:rsidRPr="00972D9D">
        <w:rPr>
          <w:rFonts w:ascii="Verdana" w:eastAsia="Verdana" w:hAnsi="Verdana" w:cs="Times New Roman"/>
          <w:sz w:val="20"/>
          <w:szCs w:val="20"/>
          <w:lang w:val="es-CR"/>
        </w:rPr>
        <w:t>c</w:t>
      </w:r>
      <w:r w:rsidRPr="00972D9D">
        <w:rPr>
          <w:rFonts w:ascii="Verdana" w:eastAsia="Verdana" w:hAnsi="Verdana" w:cs="Times New Roman"/>
          <w:spacing w:val="2"/>
          <w:sz w:val="20"/>
          <w:szCs w:val="20"/>
          <w:lang w:val="es-CR"/>
        </w:rPr>
        <w:t>i</w:t>
      </w:r>
      <w:r w:rsidRPr="00972D9D">
        <w:rPr>
          <w:rFonts w:ascii="Verdana" w:eastAsia="Verdana" w:hAnsi="Verdana" w:cs="Times New Roman"/>
          <w:sz w:val="20"/>
          <w:szCs w:val="20"/>
          <w:lang w:val="es-CR"/>
        </w:rPr>
        <w:t>o</w:t>
      </w:r>
      <w:r w:rsidRPr="00972D9D">
        <w:rPr>
          <w:rFonts w:ascii="Verdana" w:eastAsia="Verdana" w:hAnsi="Verdana" w:cs="Times New Roman"/>
          <w:spacing w:val="1"/>
          <w:sz w:val="20"/>
          <w:szCs w:val="20"/>
          <w:lang w:val="es-CR"/>
        </w:rPr>
        <w:t xml:space="preserve"> d</w:t>
      </w:r>
      <w:r w:rsidRPr="00972D9D">
        <w:rPr>
          <w:rFonts w:ascii="Verdana" w:eastAsia="Verdana" w:hAnsi="Verdana" w:cs="Times New Roman"/>
          <w:sz w:val="20"/>
          <w:szCs w:val="20"/>
          <w:lang w:val="es-CR"/>
        </w:rPr>
        <w:t>e</w:t>
      </w:r>
      <w:r w:rsidRPr="00972D9D">
        <w:rPr>
          <w:rFonts w:ascii="Verdana" w:eastAsia="Verdana" w:hAnsi="Verdana" w:cs="Times New Roman"/>
          <w:spacing w:val="7"/>
          <w:sz w:val="20"/>
          <w:szCs w:val="20"/>
          <w:lang w:val="es-CR"/>
        </w:rPr>
        <w:t xml:space="preserve"> </w:t>
      </w:r>
      <w:r w:rsidRPr="00972D9D">
        <w:rPr>
          <w:rFonts w:ascii="Verdana" w:eastAsia="Verdana" w:hAnsi="Verdana" w:cs="Times New Roman"/>
          <w:spacing w:val="1"/>
          <w:sz w:val="20"/>
          <w:szCs w:val="20"/>
          <w:lang w:val="es-CR"/>
        </w:rPr>
        <w:t>qu</w:t>
      </w:r>
      <w:r w:rsidRPr="00972D9D">
        <w:rPr>
          <w:rFonts w:ascii="Verdana" w:eastAsia="Verdana" w:hAnsi="Verdana" w:cs="Times New Roman"/>
          <w:sz w:val="20"/>
          <w:szCs w:val="20"/>
          <w:lang w:val="es-CR"/>
        </w:rPr>
        <w:t>e</w:t>
      </w:r>
      <w:r w:rsidRPr="00972D9D">
        <w:rPr>
          <w:rFonts w:ascii="Verdana" w:eastAsia="Verdana" w:hAnsi="Verdana" w:cs="Times New Roman"/>
          <w:spacing w:val="6"/>
          <w:sz w:val="20"/>
          <w:szCs w:val="20"/>
          <w:lang w:val="es-CR"/>
        </w:rPr>
        <w:t xml:space="preserve"> </w:t>
      </w:r>
      <w:r w:rsidRPr="00972D9D">
        <w:rPr>
          <w:rFonts w:ascii="Verdana" w:eastAsia="Verdana" w:hAnsi="Verdana" w:cs="Times New Roman"/>
          <w:spacing w:val="1"/>
          <w:sz w:val="20"/>
          <w:szCs w:val="20"/>
          <w:lang w:val="es-CR"/>
        </w:rPr>
        <w:t>t</w:t>
      </w:r>
      <w:r w:rsidRPr="00972D9D">
        <w:rPr>
          <w:rFonts w:ascii="Verdana" w:eastAsia="Verdana" w:hAnsi="Verdana" w:cs="Times New Roman"/>
          <w:sz w:val="20"/>
          <w:szCs w:val="20"/>
          <w:lang w:val="es-CR"/>
        </w:rPr>
        <w:t>a</w:t>
      </w:r>
      <w:r w:rsidRPr="00972D9D">
        <w:rPr>
          <w:rFonts w:ascii="Verdana" w:eastAsia="Verdana" w:hAnsi="Verdana" w:cs="Times New Roman"/>
          <w:spacing w:val="3"/>
          <w:sz w:val="20"/>
          <w:szCs w:val="20"/>
          <w:lang w:val="es-CR"/>
        </w:rPr>
        <w:t>l</w:t>
      </w:r>
      <w:r w:rsidRPr="00972D9D">
        <w:rPr>
          <w:rFonts w:ascii="Verdana" w:eastAsia="Verdana" w:hAnsi="Verdana" w:cs="Times New Roman"/>
          <w:spacing w:val="-1"/>
          <w:sz w:val="20"/>
          <w:szCs w:val="20"/>
          <w:lang w:val="es-CR"/>
        </w:rPr>
        <w:t>e</w:t>
      </w:r>
      <w:r w:rsidRPr="00972D9D">
        <w:rPr>
          <w:rFonts w:ascii="Verdana" w:eastAsia="Verdana" w:hAnsi="Verdana" w:cs="Times New Roman"/>
          <w:sz w:val="20"/>
          <w:szCs w:val="20"/>
          <w:lang w:val="es-CR"/>
        </w:rPr>
        <w:t>s</w:t>
      </w:r>
      <w:r w:rsidRPr="00972D9D">
        <w:rPr>
          <w:rFonts w:ascii="Verdana" w:eastAsia="Verdana" w:hAnsi="Verdana" w:cs="Times New Roman"/>
          <w:spacing w:val="5"/>
          <w:sz w:val="20"/>
          <w:szCs w:val="20"/>
          <w:lang w:val="es-CR"/>
        </w:rPr>
        <w:t xml:space="preserve"> </w:t>
      </w:r>
      <w:r w:rsidRPr="00972D9D">
        <w:rPr>
          <w:rFonts w:ascii="Verdana" w:eastAsia="Verdana" w:hAnsi="Verdana" w:cs="Times New Roman"/>
          <w:spacing w:val="3"/>
          <w:sz w:val="20"/>
          <w:szCs w:val="20"/>
          <w:lang w:val="es-CR"/>
        </w:rPr>
        <w:t>p</w:t>
      </w:r>
      <w:r w:rsidRPr="00972D9D">
        <w:rPr>
          <w:rFonts w:ascii="Verdana" w:eastAsia="Verdana" w:hAnsi="Verdana" w:cs="Times New Roman"/>
          <w:spacing w:val="-1"/>
          <w:sz w:val="20"/>
          <w:szCs w:val="20"/>
          <w:lang w:val="es-CR"/>
        </w:rPr>
        <w:t>re</w:t>
      </w:r>
      <w:r w:rsidRPr="00972D9D">
        <w:rPr>
          <w:rFonts w:ascii="Verdana" w:eastAsia="Verdana" w:hAnsi="Verdana" w:cs="Times New Roman"/>
          <w:spacing w:val="3"/>
          <w:sz w:val="20"/>
          <w:szCs w:val="20"/>
          <w:lang w:val="es-CR"/>
        </w:rPr>
        <w:t>t</w:t>
      </w:r>
      <w:r w:rsidRPr="00972D9D">
        <w:rPr>
          <w:rFonts w:ascii="Verdana" w:eastAsia="Verdana" w:hAnsi="Verdana" w:cs="Times New Roman"/>
          <w:spacing w:val="-1"/>
          <w:sz w:val="20"/>
          <w:szCs w:val="20"/>
          <w:lang w:val="es-CR"/>
        </w:rPr>
        <w:t>e</w:t>
      </w:r>
      <w:r w:rsidRPr="00972D9D">
        <w:rPr>
          <w:rFonts w:ascii="Verdana" w:eastAsia="Verdana" w:hAnsi="Verdana" w:cs="Times New Roman"/>
          <w:spacing w:val="1"/>
          <w:sz w:val="20"/>
          <w:szCs w:val="20"/>
          <w:lang w:val="es-CR"/>
        </w:rPr>
        <w:t>n</w:t>
      </w:r>
      <w:r w:rsidRPr="00972D9D">
        <w:rPr>
          <w:rFonts w:ascii="Verdana" w:eastAsia="Verdana" w:hAnsi="Verdana" w:cs="Times New Roman"/>
          <w:sz w:val="20"/>
          <w:szCs w:val="20"/>
          <w:lang w:val="es-CR"/>
        </w:rPr>
        <w:t>s</w:t>
      </w:r>
      <w:r w:rsidRPr="00972D9D">
        <w:rPr>
          <w:rFonts w:ascii="Verdana" w:eastAsia="Verdana" w:hAnsi="Verdana" w:cs="Times New Roman"/>
          <w:spacing w:val="2"/>
          <w:sz w:val="20"/>
          <w:szCs w:val="20"/>
          <w:lang w:val="es-CR"/>
        </w:rPr>
        <w:t>i</w:t>
      </w:r>
      <w:r w:rsidRPr="00972D9D">
        <w:rPr>
          <w:rFonts w:ascii="Verdana" w:eastAsia="Verdana" w:hAnsi="Verdana" w:cs="Times New Roman"/>
          <w:spacing w:val="-1"/>
          <w:sz w:val="20"/>
          <w:szCs w:val="20"/>
          <w:lang w:val="es-CR"/>
        </w:rPr>
        <w:t>o</w:t>
      </w:r>
      <w:r w:rsidRPr="00972D9D">
        <w:rPr>
          <w:rFonts w:ascii="Verdana" w:eastAsia="Verdana" w:hAnsi="Verdana" w:cs="Times New Roman"/>
          <w:spacing w:val="1"/>
          <w:sz w:val="20"/>
          <w:szCs w:val="20"/>
          <w:lang w:val="es-CR"/>
        </w:rPr>
        <w:t>n</w:t>
      </w:r>
      <w:r w:rsidRPr="00972D9D">
        <w:rPr>
          <w:rFonts w:ascii="Verdana" w:eastAsia="Verdana" w:hAnsi="Verdana" w:cs="Times New Roman"/>
          <w:spacing w:val="-1"/>
          <w:sz w:val="20"/>
          <w:szCs w:val="20"/>
          <w:lang w:val="es-CR"/>
        </w:rPr>
        <w:t>e</w:t>
      </w:r>
      <w:r w:rsidRPr="00972D9D">
        <w:rPr>
          <w:rFonts w:ascii="Verdana" w:eastAsia="Verdana" w:hAnsi="Verdana" w:cs="Times New Roman"/>
          <w:sz w:val="20"/>
          <w:szCs w:val="20"/>
          <w:lang w:val="es-CR"/>
        </w:rPr>
        <w:t xml:space="preserve">s </w:t>
      </w:r>
      <w:r w:rsidRPr="00972D9D">
        <w:rPr>
          <w:rFonts w:ascii="Verdana" w:eastAsia="Verdana" w:hAnsi="Verdana" w:cs="Times New Roman"/>
          <w:spacing w:val="2"/>
          <w:sz w:val="20"/>
          <w:szCs w:val="20"/>
          <w:lang w:val="es-CR"/>
        </w:rPr>
        <w:t>s</w:t>
      </w:r>
      <w:r w:rsidRPr="00972D9D">
        <w:rPr>
          <w:rFonts w:ascii="Verdana" w:eastAsia="Verdana" w:hAnsi="Verdana" w:cs="Times New Roman"/>
          <w:sz w:val="20"/>
          <w:szCs w:val="20"/>
          <w:lang w:val="es-CR"/>
        </w:rPr>
        <w:t>e</w:t>
      </w:r>
      <w:r w:rsidRPr="00972D9D">
        <w:rPr>
          <w:rFonts w:ascii="Verdana" w:eastAsia="Verdana" w:hAnsi="Verdana" w:cs="Times New Roman"/>
          <w:spacing w:val="8"/>
          <w:sz w:val="20"/>
          <w:szCs w:val="20"/>
          <w:lang w:val="es-CR"/>
        </w:rPr>
        <w:t xml:space="preserve"> </w:t>
      </w:r>
      <w:r w:rsidRPr="00972D9D">
        <w:rPr>
          <w:rFonts w:ascii="Verdana" w:eastAsia="Verdana" w:hAnsi="Verdana" w:cs="Times New Roman"/>
          <w:sz w:val="20"/>
          <w:szCs w:val="20"/>
          <w:lang w:val="es-CR"/>
        </w:rPr>
        <w:t>act</w:t>
      </w:r>
      <w:r w:rsidRPr="00972D9D">
        <w:rPr>
          <w:rFonts w:ascii="Verdana" w:eastAsia="Verdana" w:hAnsi="Verdana" w:cs="Times New Roman"/>
          <w:spacing w:val="2"/>
          <w:sz w:val="20"/>
          <w:szCs w:val="20"/>
          <w:lang w:val="es-CR"/>
        </w:rPr>
        <w:t>u</w:t>
      </w:r>
      <w:r w:rsidRPr="00972D9D">
        <w:rPr>
          <w:rFonts w:ascii="Verdana" w:eastAsia="Verdana" w:hAnsi="Verdana" w:cs="Times New Roman"/>
          <w:sz w:val="20"/>
          <w:szCs w:val="20"/>
          <w:lang w:val="es-CR"/>
        </w:rPr>
        <w:t>a</w:t>
      </w:r>
      <w:r w:rsidRPr="00972D9D">
        <w:rPr>
          <w:rFonts w:ascii="Verdana" w:eastAsia="Verdana" w:hAnsi="Verdana" w:cs="Times New Roman"/>
          <w:spacing w:val="3"/>
          <w:sz w:val="20"/>
          <w:szCs w:val="20"/>
          <w:lang w:val="es-CR"/>
        </w:rPr>
        <w:t>li</w:t>
      </w:r>
      <w:r w:rsidRPr="00972D9D">
        <w:rPr>
          <w:rFonts w:ascii="Verdana" w:eastAsia="Verdana" w:hAnsi="Verdana" w:cs="Times New Roman"/>
          <w:sz w:val="20"/>
          <w:szCs w:val="20"/>
          <w:lang w:val="es-CR"/>
        </w:rPr>
        <w:t>c</w:t>
      </w:r>
      <w:r w:rsidRPr="00972D9D">
        <w:rPr>
          <w:rFonts w:ascii="Verdana" w:eastAsia="Verdana" w:hAnsi="Verdana" w:cs="Times New Roman"/>
          <w:spacing w:val="-2"/>
          <w:sz w:val="20"/>
          <w:szCs w:val="20"/>
          <w:lang w:val="es-CR"/>
        </w:rPr>
        <w:t>e</w:t>
      </w:r>
      <w:r w:rsidRPr="00972D9D">
        <w:rPr>
          <w:rFonts w:ascii="Verdana" w:eastAsia="Verdana" w:hAnsi="Verdana" w:cs="Times New Roman"/>
          <w:sz w:val="20"/>
          <w:szCs w:val="20"/>
          <w:lang w:val="es-CR"/>
        </w:rPr>
        <w:t>n</w:t>
      </w:r>
      <w:r w:rsidRPr="00972D9D">
        <w:rPr>
          <w:rFonts w:ascii="Verdana" w:eastAsia="Verdana" w:hAnsi="Verdana" w:cs="Times New Roman"/>
          <w:spacing w:val="2"/>
          <w:sz w:val="20"/>
          <w:szCs w:val="20"/>
          <w:lang w:val="es-CR"/>
        </w:rPr>
        <w:t xml:space="preserve"> </w:t>
      </w:r>
      <w:r w:rsidRPr="00972D9D">
        <w:rPr>
          <w:rFonts w:ascii="Verdana" w:eastAsia="Verdana" w:hAnsi="Verdana" w:cs="Times New Roman"/>
          <w:spacing w:val="-1"/>
          <w:sz w:val="20"/>
          <w:szCs w:val="20"/>
          <w:lang w:val="es-CR"/>
        </w:rPr>
        <w:t>e</w:t>
      </w:r>
      <w:r w:rsidRPr="00972D9D">
        <w:rPr>
          <w:rFonts w:ascii="Verdana" w:eastAsia="Verdana" w:hAnsi="Verdana" w:cs="Times New Roman"/>
          <w:sz w:val="20"/>
          <w:szCs w:val="20"/>
          <w:lang w:val="es-CR"/>
        </w:rPr>
        <w:t>n</w:t>
      </w:r>
      <w:r w:rsidRPr="00972D9D">
        <w:rPr>
          <w:rFonts w:ascii="Verdana" w:eastAsia="Verdana" w:hAnsi="Verdana" w:cs="Times New Roman"/>
          <w:spacing w:val="9"/>
          <w:sz w:val="20"/>
          <w:szCs w:val="20"/>
          <w:lang w:val="es-CR"/>
        </w:rPr>
        <w:t xml:space="preserve"> </w:t>
      </w:r>
      <w:r w:rsidRPr="00972D9D">
        <w:rPr>
          <w:rFonts w:ascii="Verdana" w:eastAsia="Verdana" w:hAnsi="Verdana" w:cs="Times New Roman"/>
          <w:spacing w:val="1"/>
          <w:sz w:val="20"/>
          <w:szCs w:val="20"/>
          <w:lang w:val="es-CR"/>
        </w:rPr>
        <w:t>u</w:t>
      </w:r>
      <w:r w:rsidRPr="00972D9D">
        <w:rPr>
          <w:rFonts w:ascii="Verdana" w:eastAsia="Verdana" w:hAnsi="Verdana" w:cs="Times New Roman"/>
          <w:sz w:val="20"/>
          <w:szCs w:val="20"/>
          <w:lang w:val="es-CR"/>
        </w:rPr>
        <w:t>n</w:t>
      </w:r>
      <w:r w:rsidRPr="00972D9D">
        <w:rPr>
          <w:rFonts w:ascii="Verdana" w:eastAsia="Verdana" w:hAnsi="Verdana" w:cs="Times New Roman"/>
          <w:spacing w:val="9"/>
          <w:sz w:val="20"/>
          <w:szCs w:val="20"/>
          <w:lang w:val="es-CR"/>
        </w:rPr>
        <w:t xml:space="preserve"> </w:t>
      </w:r>
      <w:r w:rsidRPr="00972D9D">
        <w:rPr>
          <w:rFonts w:ascii="Verdana" w:eastAsia="Verdana" w:hAnsi="Verdana" w:cs="Times New Roman"/>
          <w:sz w:val="20"/>
          <w:szCs w:val="20"/>
          <w:lang w:val="es-CR"/>
        </w:rPr>
        <w:t>mo</w:t>
      </w:r>
      <w:r w:rsidRPr="00972D9D">
        <w:rPr>
          <w:rFonts w:ascii="Verdana" w:eastAsia="Verdana" w:hAnsi="Verdana" w:cs="Times New Roman"/>
          <w:spacing w:val="3"/>
          <w:sz w:val="20"/>
          <w:szCs w:val="20"/>
          <w:lang w:val="es-CR"/>
        </w:rPr>
        <w:t>m</w:t>
      </w:r>
      <w:r w:rsidRPr="00972D9D">
        <w:rPr>
          <w:rFonts w:ascii="Verdana" w:eastAsia="Verdana" w:hAnsi="Verdana" w:cs="Times New Roman"/>
          <w:spacing w:val="-1"/>
          <w:sz w:val="20"/>
          <w:szCs w:val="20"/>
          <w:lang w:val="es-CR"/>
        </w:rPr>
        <w:t>e</w:t>
      </w:r>
      <w:r w:rsidRPr="00972D9D">
        <w:rPr>
          <w:rFonts w:ascii="Verdana" w:eastAsia="Verdana" w:hAnsi="Verdana" w:cs="Times New Roman"/>
          <w:spacing w:val="1"/>
          <w:sz w:val="20"/>
          <w:szCs w:val="20"/>
          <w:lang w:val="es-CR"/>
        </w:rPr>
        <w:t>nt</w:t>
      </w:r>
      <w:r w:rsidRPr="00972D9D">
        <w:rPr>
          <w:rFonts w:ascii="Verdana" w:eastAsia="Verdana" w:hAnsi="Verdana" w:cs="Times New Roman"/>
          <w:sz w:val="20"/>
          <w:szCs w:val="20"/>
          <w:lang w:val="es-CR"/>
        </w:rPr>
        <w:t>o</w:t>
      </w:r>
      <w:r w:rsidRPr="00972D9D">
        <w:rPr>
          <w:rFonts w:ascii="Verdana" w:eastAsia="Verdana" w:hAnsi="Verdana" w:cs="Times New Roman"/>
          <w:spacing w:val="2"/>
          <w:sz w:val="20"/>
          <w:szCs w:val="20"/>
          <w:lang w:val="es-CR"/>
        </w:rPr>
        <w:t xml:space="preserve"> </w:t>
      </w:r>
      <w:r w:rsidRPr="00972D9D">
        <w:rPr>
          <w:rFonts w:ascii="Verdana" w:eastAsia="Verdana" w:hAnsi="Verdana" w:cs="Times New Roman"/>
          <w:spacing w:val="1"/>
          <w:sz w:val="20"/>
          <w:szCs w:val="20"/>
          <w:lang w:val="es-CR"/>
        </w:rPr>
        <w:t>po</w:t>
      </w:r>
      <w:r w:rsidRPr="00972D9D">
        <w:rPr>
          <w:rFonts w:ascii="Verdana" w:eastAsia="Verdana" w:hAnsi="Verdana" w:cs="Times New Roman"/>
          <w:sz w:val="20"/>
          <w:szCs w:val="20"/>
          <w:lang w:val="es-CR"/>
        </w:rPr>
        <w:t>st</w:t>
      </w:r>
      <w:r w:rsidRPr="00972D9D">
        <w:rPr>
          <w:rFonts w:ascii="Verdana" w:eastAsia="Verdana" w:hAnsi="Verdana" w:cs="Times New Roman"/>
          <w:spacing w:val="-1"/>
          <w:sz w:val="20"/>
          <w:szCs w:val="20"/>
          <w:lang w:val="es-CR"/>
        </w:rPr>
        <w:t>er</w:t>
      </w:r>
      <w:r w:rsidRPr="00972D9D">
        <w:rPr>
          <w:rFonts w:ascii="Verdana" w:eastAsia="Verdana" w:hAnsi="Verdana" w:cs="Times New Roman"/>
          <w:spacing w:val="3"/>
          <w:sz w:val="20"/>
          <w:szCs w:val="20"/>
          <w:lang w:val="es-CR"/>
        </w:rPr>
        <w:t>i</w:t>
      </w:r>
      <w:r w:rsidRPr="00972D9D">
        <w:rPr>
          <w:rFonts w:ascii="Verdana" w:eastAsia="Verdana" w:hAnsi="Verdana" w:cs="Times New Roman"/>
          <w:spacing w:val="-1"/>
          <w:sz w:val="20"/>
          <w:szCs w:val="20"/>
          <w:lang w:val="es-CR"/>
        </w:rPr>
        <w:t>o</w:t>
      </w:r>
      <w:r w:rsidRPr="00972D9D">
        <w:rPr>
          <w:rFonts w:ascii="Verdana" w:eastAsia="Verdana" w:hAnsi="Verdana" w:cs="Times New Roman"/>
          <w:spacing w:val="10"/>
          <w:sz w:val="20"/>
          <w:szCs w:val="20"/>
          <w:lang w:val="es-CR"/>
        </w:rPr>
        <w:t>r</w:t>
      </w:r>
      <w:r w:rsidRPr="00972D9D">
        <w:rPr>
          <w:rFonts w:ascii="Verdana" w:eastAsia="Verdana" w:hAnsi="Verdana" w:cs="Times New Roman"/>
          <w:sz w:val="20"/>
          <w:szCs w:val="20"/>
          <w:lang w:val="es-CR"/>
        </w:rPr>
        <w:t xml:space="preserve">, </w:t>
      </w:r>
      <w:r w:rsidRPr="00972D9D">
        <w:rPr>
          <w:rFonts w:ascii="Verdana" w:eastAsia="Verdana" w:hAnsi="Verdana" w:cs="Times New Roman"/>
          <w:spacing w:val="2"/>
          <w:sz w:val="20"/>
          <w:szCs w:val="20"/>
          <w:lang w:val="es-CR"/>
        </w:rPr>
        <w:t>c</w:t>
      </w:r>
      <w:r w:rsidRPr="00972D9D">
        <w:rPr>
          <w:rFonts w:ascii="Verdana" w:eastAsia="Verdana" w:hAnsi="Verdana" w:cs="Times New Roman"/>
          <w:spacing w:val="-1"/>
          <w:sz w:val="20"/>
          <w:szCs w:val="20"/>
          <w:lang w:val="es-CR"/>
        </w:rPr>
        <w:t>o</w:t>
      </w:r>
      <w:r w:rsidRPr="00972D9D">
        <w:rPr>
          <w:rFonts w:ascii="Verdana" w:eastAsia="Verdana" w:hAnsi="Verdana" w:cs="Times New Roman"/>
          <w:spacing w:val="1"/>
          <w:sz w:val="20"/>
          <w:szCs w:val="20"/>
          <w:lang w:val="es-CR"/>
        </w:rPr>
        <w:t>n</w:t>
      </w:r>
      <w:r w:rsidRPr="00972D9D">
        <w:rPr>
          <w:rFonts w:ascii="Verdana" w:eastAsia="Verdana" w:hAnsi="Verdana" w:cs="Times New Roman"/>
          <w:spacing w:val="2"/>
          <w:sz w:val="20"/>
          <w:szCs w:val="20"/>
          <w:lang w:val="es-CR"/>
        </w:rPr>
        <w:t>f</w:t>
      </w:r>
      <w:r w:rsidRPr="00972D9D">
        <w:rPr>
          <w:rFonts w:ascii="Verdana" w:eastAsia="Verdana" w:hAnsi="Verdana" w:cs="Times New Roman"/>
          <w:spacing w:val="-1"/>
          <w:sz w:val="20"/>
          <w:szCs w:val="20"/>
          <w:lang w:val="es-CR"/>
        </w:rPr>
        <w:t>or</w:t>
      </w:r>
      <w:r w:rsidRPr="00972D9D">
        <w:rPr>
          <w:rFonts w:ascii="Verdana" w:eastAsia="Verdana" w:hAnsi="Verdana" w:cs="Times New Roman"/>
          <w:spacing w:val="3"/>
          <w:sz w:val="20"/>
          <w:szCs w:val="20"/>
          <w:lang w:val="es-CR"/>
        </w:rPr>
        <w:t>m</w:t>
      </w:r>
      <w:r w:rsidRPr="00972D9D">
        <w:rPr>
          <w:rFonts w:ascii="Verdana" w:eastAsia="Verdana" w:hAnsi="Verdana" w:cs="Times New Roman"/>
          <w:sz w:val="20"/>
          <w:szCs w:val="20"/>
          <w:lang w:val="es-CR"/>
        </w:rPr>
        <w:t>e a</w:t>
      </w:r>
      <w:r w:rsidRPr="00972D9D">
        <w:rPr>
          <w:rFonts w:ascii="Verdana" w:eastAsia="Verdana" w:hAnsi="Verdana" w:cs="Times New Roman"/>
          <w:spacing w:val="12"/>
          <w:sz w:val="20"/>
          <w:szCs w:val="20"/>
          <w:lang w:val="es-CR"/>
        </w:rPr>
        <w:t xml:space="preserve"> </w:t>
      </w:r>
      <w:r w:rsidRPr="00972D9D">
        <w:rPr>
          <w:rFonts w:ascii="Verdana" w:eastAsia="Verdana" w:hAnsi="Verdana" w:cs="Times New Roman"/>
          <w:spacing w:val="3"/>
          <w:sz w:val="20"/>
          <w:szCs w:val="20"/>
          <w:lang w:val="es-CR"/>
        </w:rPr>
        <w:t>l</w:t>
      </w:r>
      <w:r w:rsidRPr="00972D9D">
        <w:rPr>
          <w:rFonts w:ascii="Verdana" w:eastAsia="Verdana" w:hAnsi="Verdana" w:cs="Times New Roman"/>
          <w:sz w:val="20"/>
          <w:szCs w:val="20"/>
          <w:lang w:val="es-CR"/>
        </w:rPr>
        <w:t>as</w:t>
      </w:r>
      <w:r w:rsidRPr="00972D9D">
        <w:rPr>
          <w:rFonts w:ascii="Verdana" w:eastAsia="Verdana" w:hAnsi="Verdana" w:cs="Times New Roman"/>
          <w:spacing w:val="8"/>
          <w:sz w:val="20"/>
          <w:szCs w:val="20"/>
          <w:lang w:val="es-CR"/>
        </w:rPr>
        <w:t xml:space="preserve"> </w:t>
      </w:r>
      <w:r w:rsidRPr="00972D9D">
        <w:rPr>
          <w:rFonts w:ascii="Verdana" w:eastAsia="Verdana" w:hAnsi="Verdana" w:cs="Times New Roman"/>
          <w:spacing w:val="1"/>
          <w:sz w:val="20"/>
          <w:szCs w:val="20"/>
          <w:lang w:val="es-CR"/>
        </w:rPr>
        <w:t>nu</w:t>
      </w:r>
      <w:r w:rsidRPr="00972D9D">
        <w:rPr>
          <w:rFonts w:ascii="Verdana" w:eastAsia="Verdana" w:hAnsi="Verdana" w:cs="Times New Roman"/>
          <w:spacing w:val="-1"/>
          <w:sz w:val="20"/>
          <w:szCs w:val="20"/>
          <w:lang w:val="es-CR"/>
        </w:rPr>
        <w:t>e</w:t>
      </w:r>
      <w:r w:rsidRPr="00972D9D">
        <w:rPr>
          <w:rFonts w:ascii="Verdana" w:eastAsia="Verdana" w:hAnsi="Verdana" w:cs="Times New Roman"/>
          <w:sz w:val="20"/>
          <w:szCs w:val="20"/>
          <w:lang w:val="es-CR"/>
        </w:rPr>
        <w:t>v</w:t>
      </w:r>
      <w:r w:rsidRPr="00972D9D">
        <w:rPr>
          <w:rFonts w:ascii="Verdana" w:eastAsia="Verdana" w:hAnsi="Verdana" w:cs="Times New Roman"/>
          <w:spacing w:val="2"/>
          <w:sz w:val="20"/>
          <w:szCs w:val="20"/>
          <w:lang w:val="es-CR"/>
        </w:rPr>
        <w:t>a</w:t>
      </w:r>
      <w:r w:rsidRPr="00972D9D">
        <w:rPr>
          <w:rFonts w:ascii="Verdana" w:eastAsia="Verdana" w:hAnsi="Verdana" w:cs="Times New Roman"/>
          <w:sz w:val="20"/>
          <w:szCs w:val="20"/>
          <w:lang w:val="es-CR"/>
        </w:rPr>
        <w:t>s c</w:t>
      </w:r>
      <w:r w:rsidRPr="00972D9D">
        <w:rPr>
          <w:rFonts w:ascii="Verdana" w:eastAsia="Verdana" w:hAnsi="Verdana" w:cs="Times New Roman"/>
          <w:spacing w:val="-2"/>
          <w:sz w:val="20"/>
          <w:szCs w:val="20"/>
          <w:lang w:val="es-CR"/>
        </w:rPr>
        <w:t>o</w:t>
      </w:r>
      <w:r w:rsidRPr="00972D9D">
        <w:rPr>
          <w:rFonts w:ascii="Verdana" w:eastAsia="Verdana" w:hAnsi="Verdana" w:cs="Times New Roman"/>
          <w:sz w:val="20"/>
          <w:szCs w:val="20"/>
          <w:lang w:val="es-CR"/>
        </w:rPr>
        <w:t>st</w:t>
      </w:r>
      <w:r w:rsidRPr="00972D9D">
        <w:rPr>
          <w:rFonts w:ascii="Verdana" w:eastAsia="Verdana" w:hAnsi="Verdana" w:cs="Times New Roman"/>
          <w:spacing w:val="3"/>
          <w:sz w:val="20"/>
          <w:szCs w:val="20"/>
          <w:lang w:val="es-CR"/>
        </w:rPr>
        <w:t>a</w:t>
      </w:r>
      <w:r w:rsidRPr="00972D9D">
        <w:rPr>
          <w:rFonts w:ascii="Verdana" w:eastAsia="Verdana" w:hAnsi="Verdana" w:cs="Times New Roman"/>
          <w:sz w:val="20"/>
          <w:szCs w:val="20"/>
          <w:lang w:val="es-CR"/>
        </w:rPr>
        <w:t>s</w:t>
      </w:r>
      <w:r w:rsidRPr="00972D9D">
        <w:rPr>
          <w:rFonts w:ascii="Verdana" w:eastAsia="Verdana" w:hAnsi="Verdana" w:cs="Times New Roman"/>
          <w:spacing w:val="8"/>
          <w:sz w:val="20"/>
          <w:szCs w:val="20"/>
          <w:lang w:val="es-CR"/>
        </w:rPr>
        <w:t xml:space="preserve"> </w:t>
      </w:r>
      <w:r w:rsidRPr="00972D9D">
        <w:rPr>
          <w:rFonts w:ascii="Verdana" w:eastAsia="Verdana" w:hAnsi="Verdana" w:cs="Times New Roman"/>
          <w:sz w:val="20"/>
          <w:szCs w:val="20"/>
          <w:lang w:val="es-CR"/>
        </w:rPr>
        <w:t>y</w:t>
      </w:r>
      <w:r w:rsidRPr="00972D9D">
        <w:rPr>
          <w:rFonts w:ascii="Verdana" w:eastAsia="Verdana" w:hAnsi="Verdana" w:cs="Times New Roman"/>
          <w:spacing w:val="13"/>
          <w:sz w:val="20"/>
          <w:szCs w:val="20"/>
          <w:lang w:val="es-CR"/>
        </w:rPr>
        <w:t xml:space="preserve"> </w:t>
      </w:r>
      <w:r w:rsidRPr="00972D9D">
        <w:rPr>
          <w:rFonts w:ascii="Verdana" w:eastAsia="Verdana" w:hAnsi="Verdana" w:cs="Times New Roman"/>
          <w:spacing w:val="1"/>
          <w:sz w:val="20"/>
          <w:szCs w:val="20"/>
          <w:lang w:val="es-CR"/>
        </w:rPr>
        <w:t>g</w:t>
      </w:r>
      <w:r w:rsidRPr="00972D9D">
        <w:rPr>
          <w:rFonts w:ascii="Verdana" w:eastAsia="Verdana" w:hAnsi="Verdana" w:cs="Times New Roman"/>
          <w:sz w:val="20"/>
          <w:szCs w:val="20"/>
          <w:lang w:val="es-CR"/>
        </w:rPr>
        <w:t>astos</w:t>
      </w:r>
      <w:r w:rsidRPr="00972D9D">
        <w:rPr>
          <w:rFonts w:ascii="Verdana" w:eastAsia="Verdana" w:hAnsi="Verdana" w:cs="Times New Roman"/>
          <w:spacing w:val="10"/>
          <w:sz w:val="20"/>
          <w:szCs w:val="20"/>
          <w:lang w:val="es-CR"/>
        </w:rPr>
        <w:t xml:space="preserve"> </w:t>
      </w:r>
      <w:r w:rsidRPr="00972D9D">
        <w:rPr>
          <w:rFonts w:ascii="Verdana" w:eastAsia="Verdana" w:hAnsi="Verdana" w:cs="Times New Roman"/>
          <w:spacing w:val="-1"/>
          <w:sz w:val="20"/>
          <w:szCs w:val="20"/>
          <w:lang w:val="es-CR"/>
        </w:rPr>
        <w:t>e</w:t>
      </w:r>
      <w:r w:rsidRPr="00972D9D">
        <w:rPr>
          <w:rFonts w:ascii="Verdana" w:eastAsia="Verdana" w:hAnsi="Verdana" w:cs="Times New Roman"/>
          <w:sz w:val="20"/>
          <w:szCs w:val="20"/>
          <w:lang w:val="es-CR"/>
        </w:rPr>
        <w:t>n</w:t>
      </w:r>
      <w:r w:rsidRPr="00972D9D">
        <w:rPr>
          <w:rFonts w:ascii="Verdana" w:eastAsia="Verdana" w:hAnsi="Verdana" w:cs="Times New Roman"/>
          <w:spacing w:val="14"/>
          <w:sz w:val="20"/>
          <w:szCs w:val="20"/>
          <w:lang w:val="es-CR"/>
        </w:rPr>
        <w:t xml:space="preserve"> </w:t>
      </w:r>
      <w:r w:rsidRPr="00972D9D">
        <w:rPr>
          <w:rFonts w:ascii="Verdana" w:eastAsia="Verdana" w:hAnsi="Verdana" w:cs="Times New Roman"/>
          <w:spacing w:val="1"/>
          <w:sz w:val="20"/>
          <w:szCs w:val="20"/>
          <w:lang w:val="es-CR"/>
        </w:rPr>
        <w:t>qu</w:t>
      </w:r>
      <w:r w:rsidRPr="00972D9D">
        <w:rPr>
          <w:rFonts w:ascii="Verdana" w:eastAsia="Verdana" w:hAnsi="Verdana" w:cs="Times New Roman"/>
          <w:sz w:val="20"/>
          <w:szCs w:val="20"/>
          <w:lang w:val="es-CR"/>
        </w:rPr>
        <w:t>e</w:t>
      </w:r>
      <w:r w:rsidRPr="00972D9D">
        <w:rPr>
          <w:rFonts w:ascii="Verdana" w:eastAsia="Verdana" w:hAnsi="Verdana" w:cs="Times New Roman"/>
          <w:spacing w:val="11"/>
          <w:sz w:val="20"/>
          <w:szCs w:val="20"/>
          <w:lang w:val="es-CR"/>
        </w:rPr>
        <w:t xml:space="preserve"> </w:t>
      </w:r>
      <w:r w:rsidRPr="00972D9D">
        <w:rPr>
          <w:rFonts w:ascii="Verdana" w:eastAsia="Verdana" w:hAnsi="Verdana" w:cs="Times New Roman"/>
          <w:sz w:val="20"/>
          <w:szCs w:val="20"/>
          <w:lang w:val="es-CR"/>
        </w:rPr>
        <w:t>se</w:t>
      </w:r>
      <w:r w:rsidRPr="00972D9D">
        <w:rPr>
          <w:rFonts w:ascii="Verdana" w:eastAsia="Verdana" w:hAnsi="Verdana" w:cs="Times New Roman"/>
          <w:spacing w:val="11"/>
          <w:sz w:val="20"/>
          <w:szCs w:val="20"/>
          <w:lang w:val="es-CR"/>
        </w:rPr>
        <w:t xml:space="preserve"> </w:t>
      </w:r>
      <w:r w:rsidRPr="00972D9D">
        <w:rPr>
          <w:rFonts w:ascii="Verdana" w:eastAsia="Verdana" w:hAnsi="Verdana" w:cs="Times New Roman"/>
          <w:spacing w:val="1"/>
          <w:sz w:val="20"/>
          <w:szCs w:val="20"/>
          <w:lang w:val="es-CR"/>
        </w:rPr>
        <w:t>h</w:t>
      </w:r>
      <w:r w:rsidRPr="00972D9D">
        <w:rPr>
          <w:rFonts w:ascii="Verdana" w:eastAsia="Verdana" w:hAnsi="Verdana" w:cs="Times New Roman"/>
          <w:sz w:val="20"/>
          <w:szCs w:val="20"/>
          <w:lang w:val="es-CR"/>
        </w:rPr>
        <w:t>aya</w:t>
      </w:r>
      <w:r w:rsidRPr="00972D9D">
        <w:rPr>
          <w:rFonts w:ascii="Verdana" w:eastAsia="Verdana" w:hAnsi="Verdana" w:cs="Times New Roman"/>
          <w:spacing w:val="10"/>
          <w:sz w:val="20"/>
          <w:szCs w:val="20"/>
          <w:lang w:val="es-CR"/>
        </w:rPr>
        <w:t xml:space="preserve"> </w:t>
      </w:r>
      <w:r w:rsidRPr="00972D9D">
        <w:rPr>
          <w:rFonts w:ascii="Verdana" w:eastAsia="Verdana" w:hAnsi="Verdana" w:cs="Times New Roman"/>
          <w:spacing w:val="3"/>
          <w:sz w:val="20"/>
          <w:szCs w:val="20"/>
          <w:lang w:val="es-CR"/>
        </w:rPr>
        <w:t>i</w:t>
      </w:r>
      <w:r w:rsidRPr="00972D9D">
        <w:rPr>
          <w:rFonts w:ascii="Verdana" w:eastAsia="Verdana" w:hAnsi="Verdana" w:cs="Times New Roman"/>
          <w:spacing w:val="1"/>
          <w:sz w:val="20"/>
          <w:szCs w:val="20"/>
          <w:lang w:val="es-CR"/>
        </w:rPr>
        <w:t>n</w:t>
      </w:r>
      <w:r w:rsidRPr="00972D9D">
        <w:rPr>
          <w:rFonts w:ascii="Verdana" w:eastAsia="Verdana" w:hAnsi="Verdana" w:cs="Times New Roman"/>
          <w:sz w:val="20"/>
          <w:szCs w:val="20"/>
          <w:lang w:val="es-CR"/>
        </w:rPr>
        <w:t>cur</w:t>
      </w:r>
      <w:r w:rsidRPr="00972D9D">
        <w:rPr>
          <w:rFonts w:ascii="Verdana" w:eastAsia="Verdana" w:hAnsi="Verdana" w:cs="Times New Roman"/>
          <w:spacing w:val="-2"/>
          <w:sz w:val="20"/>
          <w:szCs w:val="20"/>
          <w:lang w:val="es-CR"/>
        </w:rPr>
        <w:t>r</w:t>
      </w:r>
      <w:r w:rsidRPr="00972D9D">
        <w:rPr>
          <w:rFonts w:ascii="Verdana" w:eastAsia="Verdana" w:hAnsi="Verdana" w:cs="Times New Roman"/>
          <w:spacing w:val="3"/>
          <w:sz w:val="20"/>
          <w:szCs w:val="20"/>
          <w:lang w:val="es-CR"/>
        </w:rPr>
        <w:t>i</w:t>
      </w:r>
      <w:r w:rsidRPr="00972D9D">
        <w:rPr>
          <w:rFonts w:ascii="Verdana" w:eastAsia="Verdana" w:hAnsi="Verdana" w:cs="Times New Roman"/>
          <w:spacing w:val="1"/>
          <w:sz w:val="20"/>
          <w:szCs w:val="20"/>
          <w:lang w:val="es-CR"/>
        </w:rPr>
        <w:t>d</w:t>
      </w:r>
      <w:r w:rsidRPr="00972D9D">
        <w:rPr>
          <w:rFonts w:ascii="Verdana" w:eastAsia="Verdana" w:hAnsi="Verdana" w:cs="Times New Roman"/>
          <w:sz w:val="20"/>
          <w:szCs w:val="20"/>
          <w:lang w:val="es-CR"/>
        </w:rPr>
        <w:t>o</w:t>
      </w:r>
      <w:r w:rsidRPr="00972D9D">
        <w:rPr>
          <w:rFonts w:ascii="Verdana" w:eastAsia="Verdana" w:hAnsi="Verdana" w:cs="Times New Roman"/>
          <w:spacing w:val="5"/>
          <w:sz w:val="20"/>
          <w:szCs w:val="20"/>
          <w:lang w:val="es-CR"/>
        </w:rPr>
        <w:t xml:space="preserve"> </w:t>
      </w:r>
      <w:r w:rsidRPr="00972D9D">
        <w:rPr>
          <w:rFonts w:ascii="Verdana" w:eastAsia="Verdana" w:hAnsi="Verdana" w:cs="Times New Roman"/>
          <w:sz w:val="20"/>
          <w:szCs w:val="20"/>
          <w:lang w:val="es-CR"/>
        </w:rPr>
        <w:t>c</w:t>
      </w:r>
      <w:r w:rsidRPr="00972D9D">
        <w:rPr>
          <w:rFonts w:ascii="Verdana" w:eastAsia="Verdana" w:hAnsi="Verdana" w:cs="Times New Roman"/>
          <w:spacing w:val="-2"/>
          <w:sz w:val="20"/>
          <w:szCs w:val="20"/>
          <w:lang w:val="es-CR"/>
        </w:rPr>
        <w:t>o</w:t>
      </w:r>
      <w:r w:rsidRPr="00972D9D">
        <w:rPr>
          <w:rFonts w:ascii="Verdana" w:eastAsia="Verdana" w:hAnsi="Verdana" w:cs="Times New Roman"/>
          <w:sz w:val="20"/>
          <w:szCs w:val="20"/>
          <w:lang w:val="es-CR"/>
        </w:rPr>
        <w:t>n</w:t>
      </w:r>
      <w:r w:rsidRPr="00972D9D">
        <w:rPr>
          <w:rFonts w:ascii="Verdana" w:eastAsia="Verdana" w:hAnsi="Verdana" w:cs="Times New Roman"/>
          <w:spacing w:val="13"/>
          <w:sz w:val="20"/>
          <w:szCs w:val="20"/>
          <w:lang w:val="es-CR"/>
        </w:rPr>
        <w:t xml:space="preserve"> </w:t>
      </w:r>
      <w:r w:rsidRPr="00972D9D">
        <w:rPr>
          <w:rFonts w:ascii="Verdana" w:eastAsia="Verdana" w:hAnsi="Verdana" w:cs="Times New Roman"/>
          <w:spacing w:val="-1"/>
          <w:sz w:val="20"/>
          <w:szCs w:val="20"/>
          <w:lang w:val="es-CR"/>
        </w:rPr>
        <w:t>o</w:t>
      </w:r>
      <w:r w:rsidRPr="00972D9D">
        <w:rPr>
          <w:rFonts w:ascii="Verdana" w:eastAsia="Verdana" w:hAnsi="Verdana" w:cs="Times New Roman"/>
          <w:sz w:val="20"/>
          <w:szCs w:val="20"/>
          <w:lang w:val="es-CR"/>
        </w:rPr>
        <w:t>ca</w:t>
      </w:r>
      <w:r w:rsidRPr="00972D9D">
        <w:rPr>
          <w:rFonts w:ascii="Verdana" w:eastAsia="Verdana" w:hAnsi="Verdana" w:cs="Times New Roman"/>
          <w:spacing w:val="-1"/>
          <w:sz w:val="20"/>
          <w:szCs w:val="20"/>
          <w:lang w:val="es-CR"/>
        </w:rPr>
        <w:t>s</w:t>
      </w:r>
      <w:r w:rsidRPr="00972D9D">
        <w:rPr>
          <w:rFonts w:ascii="Verdana" w:eastAsia="Verdana" w:hAnsi="Verdana" w:cs="Times New Roman"/>
          <w:spacing w:val="3"/>
          <w:sz w:val="20"/>
          <w:szCs w:val="20"/>
          <w:lang w:val="es-CR"/>
        </w:rPr>
        <w:t>i</w:t>
      </w:r>
      <w:r w:rsidRPr="00972D9D">
        <w:rPr>
          <w:rFonts w:ascii="Verdana" w:eastAsia="Verdana" w:hAnsi="Verdana" w:cs="Times New Roman"/>
          <w:spacing w:val="-1"/>
          <w:sz w:val="20"/>
          <w:szCs w:val="20"/>
          <w:lang w:val="es-CR"/>
        </w:rPr>
        <w:t>ó</w:t>
      </w:r>
      <w:r w:rsidRPr="00972D9D">
        <w:rPr>
          <w:rFonts w:ascii="Verdana" w:eastAsia="Verdana" w:hAnsi="Verdana" w:cs="Times New Roman"/>
          <w:sz w:val="20"/>
          <w:szCs w:val="20"/>
          <w:lang w:val="es-CR"/>
        </w:rPr>
        <w:t>n</w:t>
      </w:r>
      <w:r w:rsidRPr="00972D9D">
        <w:rPr>
          <w:rFonts w:ascii="Verdana" w:eastAsia="Verdana" w:hAnsi="Verdana" w:cs="Times New Roman"/>
          <w:spacing w:val="9"/>
          <w:sz w:val="20"/>
          <w:szCs w:val="20"/>
          <w:lang w:val="es-CR"/>
        </w:rPr>
        <w:t xml:space="preserve"> </w:t>
      </w:r>
      <w:r w:rsidRPr="00972D9D">
        <w:rPr>
          <w:rFonts w:ascii="Verdana" w:eastAsia="Verdana" w:hAnsi="Verdana" w:cs="Times New Roman"/>
          <w:spacing w:val="1"/>
          <w:sz w:val="20"/>
          <w:szCs w:val="20"/>
          <w:lang w:val="es-CR"/>
        </w:rPr>
        <w:t>d</w:t>
      </w:r>
      <w:r w:rsidRPr="00972D9D">
        <w:rPr>
          <w:rFonts w:ascii="Verdana" w:eastAsia="Verdana" w:hAnsi="Verdana" w:cs="Times New Roman"/>
          <w:spacing w:val="-1"/>
          <w:sz w:val="20"/>
          <w:szCs w:val="20"/>
          <w:lang w:val="es-CR"/>
        </w:rPr>
        <w:t>e</w:t>
      </w:r>
      <w:r w:rsidRPr="00972D9D">
        <w:rPr>
          <w:rFonts w:ascii="Verdana" w:eastAsia="Verdana" w:hAnsi="Verdana" w:cs="Times New Roman"/>
          <w:sz w:val="20"/>
          <w:szCs w:val="20"/>
          <w:lang w:val="es-CR"/>
        </w:rPr>
        <w:t>l</w:t>
      </w:r>
      <w:r w:rsidRPr="00972D9D">
        <w:rPr>
          <w:rFonts w:ascii="Verdana" w:eastAsia="Verdana" w:hAnsi="Verdana" w:cs="Times New Roman"/>
          <w:spacing w:val="15"/>
          <w:sz w:val="20"/>
          <w:szCs w:val="20"/>
          <w:lang w:val="es-CR"/>
        </w:rPr>
        <w:t xml:space="preserve"> </w:t>
      </w:r>
      <w:r w:rsidRPr="00972D9D">
        <w:rPr>
          <w:rFonts w:ascii="Verdana" w:eastAsia="Verdana" w:hAnsi="Verdana" w:cs="Times New Roman"/>
          <w:spacing w:val="1"/>
          <w:sz w:val="20"/>
          <w:szCs w:val="20"/>
          <w:lang w:val="es-CR"/>
        </w:rPr>
        <w:t>p</w:t>
      </w:r>
      <w:r w:rsidRPr="00972D9D">
        <w:rPr>
          <w:rFonts w:ascii="Verdana" w:eastAsia="Verdana" w:hAnsi="Verdana" w:cs="Times New Roman"/>
          <w:spacing w:val="-1"/>
          <w:sz w:val="20"/>
          <w:szCs w:val="20"/>
          <w:lang w:val="es-CR"/>
        </w:rPr>
        <w:t>ro</w:t>
      </w:r>
      <w:r w:rsidRPr="00972D9D">
        <w:rPr>
          <w:rFonts w:ascii="Verdana" w:eastAsia="Verdana" w:hAnsi="Verdana" w:cs="Times New Roman"/>
          <w:sz w:val="20"/>
          <w:szCs w:val="20"/>
          <w:lang w:val="es-CR"/>
        </w:rPr>
        <w:t>c</w:t>
      </w:r>
      <w:r w:rsidRPr="00972D9D">
        <w:rPr>
          <w:rFonts w:ascii="Verdana" w:eastAsia="Verdana" w:hAnsi="Verdana" w:cs="Times New Roman"/>
          <w:spacing w:val="-2"/>
          <w:sz w:val="20"/>
          <w:szCs w:val="20"/>
          <w:lang w:val="es-CR"/>
        </w:rPr>
        <w:t>e</w:t>
      </w:r>
      <w:r w:rsidRPr="00972D9D">
        <w:rPr>
          <w:rFonts w:ascii="Verdana" w:eastAsia="Verdana" w:hAnsi="Verdana" w:cs="Times New Roman"/>
          <w:spacing w:val="1"/>
          <w:sz w:val="20"/>
          <w:szCs w:val="20"/>
          <w:lang w:val="es-CR"/>
        </w:rPr>
        <w:t>d</w:t>
      </w:r>
      <w:r w:rsidRPr="00972D9D">
        <w:rPr>
          <w:rFonts w:ascii="Verdana" w:eastAsia="Verdana" w:hAnsi="Verdana" w:cs="Times New Roman"/>
          <w:spacing w:val="3"/>
          <w:sz w:val="20"/>
          <w:szCs w:val="20"/>
          <w:lang w:val="es-CR"/>
        </w:rPr>
        <w:t>i</w:t>
      </w:r>
      <w:r w:rsidRPr="00972D9D">
        <w:rPr>
          <w:rFonts w:ascii="Verdana" w:eastAsia="Verdana" w:hAnsi="Verdana" w:cs="Times New Roman"/>
          <w:sz w:val="20"/>
          <w:szCs w:val="20"/>
          <w:lang w:val="es-CR"/>
        </w:rPr>
        <w:t>m</w:t>
      </w:r>
      <w:r w:rsidRPr="00972D9D">
        <w:rPr>
          <w:rFonts w:ascii="Verdana" w:eastAsia="Verdana" w:hAnsi="Verdana" w:cs="Times New Roman"/>
          <w:spacing w:val="3"/>
          <w:sz w:val="20"/>
          <w:szCs w:val="20"/>
          <w:lang w:val="es-CR"/>
        </w:rPr>
        <w:t>i</w:t>
      </w:r>
      <w:r w:rsidRPr="00972D9D">
        <w:rPr>
          <w:rFonts w:ascii="Verdana" w:eastAsia="Verdana" w:hAnsi="Verdana" w:cs="Times New Roman"/>
          <w:spacing w:val="-1"/>
          <w:sz w:val="20"/>
          <w:szCs w:val="20"/>
          <w:lang w:val="es-CR"/>
        </w:rPr>
        <w:t>e</w:t>
      </w:r>
      <w:r w:rsidRPr="00972D9D">
        <w:rPr>
          <w:rFonts w:ascii="Verdana" w:eastAsia="Verdana" w:hAnsi="Verdana" w:cs="Times New Roman"/>
          <w:spacing w:val="1"/>
          <w:sz w:val="20"/>
          <w:szCs w:val="20"/>
          <w:lang w:val="es-CR"/>
        </w:rPr>
        <w:t>nt</w:t>
      </w:r>
      <w:r w:rsidRPr="00972D9D">
        <w:rPr>
          <w:rFonts w:ascii="Verdana" w:eastAsia="Verdana" w:hAnsi="Verdana" w:cs="Times New Roman"/>
          <w:sz w:val="20"/>
          <w:szCs w:val="20"/>
          <w:lang w:val="es-CR"/>
        </w:rPr>
        <w:t>o a</w:t>
      </w:r>
      <w:r w:rsidRPr="00972D9D">
        <w:rPr>
          <w:rFonts w:ascii="Verdana" w:eastAsia="Verdana" w:hAnsi="Verdana" w:cs="Times New Roman"/>
          <w:spacing w:val="1"/>
          <w:sz w:val="20"/>
          <w:szCs w:val="20"/>
          <w:lang w:val="es-CR"/>
        </w:rPr>
        <w:t>nt</w:t>
      </w:r>
      <w:r w:rsidRPr="00972D9D">
        <w:rPr>
          <w:rFonts w:ascii="Verdana" w:eastAsia="Verdana" w:hAnsi="Verdana" w:cs="Times New Roman"/>
          <w:sz w:val="20"/>
          <w:szCs w:val="20"/>
          <w:lang w:val="es-CR"/>
        </w:rPr>
        <w:t>e</w:t>
      </w:r>
      <w:r w:rsidRPr="00972D9D">
        <w:rPr>
          <w:rFonts w:ascii="Verdana" w:eastAsia="Verdana" w:hAnsi="Verdana" w:cs="Times New Roman"/>
          <w:spacing w:val="10"/>
          <w:sz w:val="20"/>
          <w:szCs w:val="20"/>
          <w:lang w:val="es-CR"/>
        </w:rPr>
        <w:t xml:space="preserve"> </w:t>
      </w:r>
      <w:r w:rsidRPr="00972D9D">
        <w:rPr>
          <w:rFonts w:ascii="Verdana" w:eastAsia="Verdana" w:hAnsi="Verdana" w:cs="Times New Roman"/>
          <w:spacing w:val="-1"/>
          <w:sz w:val="20"/>
          <w:szCs w:val="20"/>
          <w:lang w:val="es-CR"/>
        </w:rPr>
        <w:t>e</w:t>
      </w:r>
      <w:r w:rsidRPr="00972D9D">
        <w:rPr>
          <w:rFonts w:ascii="Verdana" w:eastAsia="Verdana" w:hAnsi="Verdana" w:cs="Times New Roman"/>
          <w:sz w:val="20"/>
          <w:szCs w:val="20"/>
          <w:lang w:val="es-CR"/>
        </w:rPr>
        <w:t>sta</w:t>
      </w:r>
      <w:r w:rsidRPr="00972D9D">
        <w:rPr>
          <w:rFonts w:ascii="Verdana" w:eastAsia="Verdana" w:hAnsi="Verdana" w:cs="Times New Roman"/>
          <w:spacing w:val="11"/>
          <w:sz w:val="20"/>
          <w:szCs w:val="20"/>
          <w:lang w:val="es-CR"/>
        </w:rPr>
        <w:t xml:space="preserve"> </w:t>
      </w:r>
      <w:r w:rsidRPr="00972D9D">
        <w:rPr>
          <w:rFonts w:ascii="Verdana" w:eastAsia="Verdana" w:hAnsi="Verdana" w:cs="Times New Roman"/>
          <w:sz w:val="20"/>
          <w:szCs w:val="20"/>
          <w:lang w:val="es-CR"/>
        </w:rPr>
        <w:t>C</w:t>
      </w:r>
      <w:r w:rsidRPr="00972D9D">
        <w:rPr>
          <w:rFonts w:ascii="Verdana" w:eastAsia="Verdana" w:hAnsi="Verdana" w:cs="Times New Roman"/>
          <w:spacing w:val="-1"/>
          <w:sz w:val="20"/>
          <w:szCs w:val="20"/>
          <w:lang w:val="es-CR"/>
        </w:rPr>
        <w:t>or</w:t>
      </w:r>
      <w:r w:rsidRPr="00972D9D">
        <w:rPr>
          <w:rFonts w:ascii="Verdana" w:eastAsia="Verdana" w:hAnsi="Verdana" w:cs="Times New Roman"/>
          <w:spacing w:val="3"/>
          <w:sz w:val="20"/>
          <w:szCs w:val="20"/>
          <w:lang w:val="es-CR"/>
        </w:rPr>
        <w:t>t</w:t>
      </w:r>
      <w:r w:rsidRPr="00972D9D">
        <w:rPr>
          <w:rFonts w:ascii="Verdana" w:eastAsia="Verdana" w:hAnsi="Verdana" w:cs="Times New Roman"/>
          <w:spacing w:val="-1"/>
          <w:sz w:val="20"/>
          <w:szCs w:val="20"/>
          <w:lang w:val="es-CR"/>
        </w:rPr>
        <w:t>e</w:t>
      </w:r>
      <w:r w:rsidRPr="00972D9D">
        <w:rPr>
          <w:rFonts w:ascii="Verdana" w:eastAsia="Verdana" w:hAnsi="Verdana" w:cs="Times New Roman"/>
          <w:spacing w:val="11"/>
          <w:sz w:val="20"/>
          <w:szCs w:val="20"/>
          <w:lang w:val="es-CR"/>
        </w:rPr>
        <w:t>”</w:t>
      </w:r>
      <w:r w:rsidRPr="00972D9D">
        <w:rPr>
          <w:rFonts w:ascii="Verdana" w:hAnsi="Verdana"/>
          <w:spacing w:val="11"/>
          <w:vertAlign w:val="superscript"/>
          <w:lang w:val="es-CR"/>
        </w:rPr>
        <w:footnoteReference w:id="143"/>
      </w:r>
      <w:r w:rsidRPr="00972D9D">
        <w:rPr>
          <w:rFonts w:ascii="Verdana" w:eastAsia="Verdana" w:hAnsi="Verdana" w:cs="Times New Roman"/>
          <w:sz w:val="20"/>
          <w:szCs w:val="20"/>
          <w:lang w:val="es-CR"/>
        </w:rPr>
        <w:t>. As</w:t>
      </w:r>
      <w:r w:rsidRPr="00972D9D">
        <w:rPr>
          <w:rFonts w:ascii="Verdana" w:eastAsia="Verdana" w:hAnsi="Verdana" w:cs="Times New Roman"/>
          <w:spacing w:val="3"/>
          <w:sz w:val="20"/>
          <w:szCs w:val="20"/>
          <w:lang w:val="es-CR"/>
        </w:rPr>
        <w:t>i</w:t>
      </w:r>
      <w:r w:rsidRPr="00972D9D">
        <w:rPr>
          <w:rFonts w:ascii="Verdana" w:eastAsia="Verdana" w:hAnsi="Verdana" w:cs="Times New Roman"/>
          <w:spacing w:val="-2"/>
          <w:sz w:val="20"/>
          <w:szCs w:val="20"/>
          <w:lang w:val="es-CR"/>
        </w:rPr>
        <w:t>m</w:t>
      </w:r>
      <w:r w:rsidRPr="00972D9D">
        <w:rPr>
          <w:rFonts w:ascii="Verdana" w:eastAsia="Verdana" w:hAnsi="Verdana" w:cs="Times New Roman"/>
          <w:spacing w:val="3"/>
          <w:sz w:val="20"/>
          <w:szCs w:val="20"/>
          <w:lang w:val="es-CR"/>
        </w:rPr>
        <w:t>i</w:t>
      </w:r>
      <w:r w:rsidRPr="00972D9D">
        <w:rPr>
          <w:rFonts w:ascii="Verdana" w:eastAsia="Verdana" w:hAnsi="Verdana" w:cs="Times New Roman"/>
          <w:sz w:val="20"/>
          <w:szCs w:val="20"/>
          <w:lang w:val="es-CR"/>
        </w:rPr>
        <w:t>sm</w:t>
      </w:r>
      <w:r w:rsidRPr="00972D9D">
        <w:rPr>
          <w:rFonts w:ascii="Verdana" w:eastAsia="Verdana" w:hAnsi="Verdana" w:cs="Times New Roman"/>
          <w:spacing w:val="-1"/>
          <w:sz w:val="20"/>
          <w:szCs w:val="20"/>
          <w:lang w:val="es-CR"/>
        </w:rPr>
        <w:t>o</w:t>
      </w:r>
      <w:r w:rsidRPr="00972D9D">
        <w:rPr>
          <w:rFonts w:ascii="Verdana" w:eastAsia="Verdana" w:hAnsi="Verdana" w:cs="Times New Roman"/>
          <w:sz w:val="20"/>
          <w:szCs w:val="20"/>
          <w:lang w:val="es-CR"/>
        </w:rPr>
        <w:t>,</w:t>
      </w:r>
      <w:r w:rsidRPr="00972D9D">
        <w:rPr>
          <w:rFonts w:ascii="Verdana" w:eastAsia="Verdana" w:hAnsi="Verdana" w:cs="Times New Roman"/>
          <w:spacing w:val="1"/>
          <w:sz w:val="20"/>
          <w:szCs w:val="20"/>
          <w:lang w:val="es-CR"/>
        </w:rPr>
        <w:t xml:space="preserve"> </w:t>
      </w:r>
      <w:r w:rsidRPr="00972D9D">
        <w:rPr>
          <w:rFonts w:ascii="Verdana" w:eastAsia="Verdana" w:hAnsi="Verdana" w:cs="Times New Roman"/>
          <w:spacing w:val="3"/>
          <w:sz w:val="20"/>
          <w:szCs w:val="20"/>
          <w:lang w:val="es-CR"/>
        </w:rPr>
        <w:t>l</w:t>
      </w:r>
      <w:r w:rsidRPr="00972D9D">
        <w:rPr>
          <w:rFonts w:ascii="Verdana" w:eastAsia="Verdana" w:hAnsi="Verdana" w:cs="Times New Roman"/>
          <w:sz w:val="20"/>
          <w:szCs w:val="20"/>
          <w:lang w:val="es-CR"/>
        </w:rPr>
        <w:t>a</w:t>
      </w:r>
      <w:r w:rsidRPr="00972D9D">
        <w:rPr>
          <w:rFonts w:ascii="Verdana" w:eastAsia="Verdana" w:hAnsi="Verdana" w:cs="Times New Roman"/>
          <w:spacing w:val="9"/>
          <w:sz w:val="20"/>
          <w:szCs w:val="20"/>
          <w:lang w:val="es-CR"/>
        </w:rPr>
        <w:t xml:space="preserve"> </w:t>
      </w:r>
      <w:r w:rsidRPr="00972D9D">
        <w:rPr>
          <w:rFonts w:ascii="Verdana" w:eastAsia="Verdana" w:hAnsi="Verdana" w:cs="Times New Roman"/>
          <w:sz w:val="20"/>
          <w:szCs w:val="20"/>
          <w:lang w:val="es-CR"/>
        </w:rPr>
        <w:t>C</w:t>
      </w:r>
      <w:r w:rsidRPr="00972D9D">
        <w:rPr>
          <w:rFonts w:ascii="Verdana" w:eastAsia="Verdana" w:hAnsi="Verdana" w:cs="Times New Roman"/>
          <w:spacing w:val="-1"/>
          <w:sz w:val="20"/>
          <w:szCs w:val="20"/>
          <w:lang w:val="es-CR"/>
        </w:rPr>
        <w:t>or</w:t>
      </w:r>
      <w:r w:rsidRPr="00972D9D">
        <w:rPr>
          <w:rFonts w:ascii="Verdana" w:eastAsia="Verdana" w:hAnsi="Verdana" w:cs="Times New Roman"/>
          <w:spacing w:val="3"/>
          <w:sz w:val="20"/>
          <w:szCs w:val="20"/>
          <w:lang w:val="es-CR"/>
        </w:rPr>
        <w:t>t</w:t>
      </w:r>
      <w:r w:rsidRPr="00972D9D">
        <w:rPr>
          <w:rFonts w:ascii="Verdana" w:eastAsia="Verdana" w:hAnsi="Verdana" w:cs="Times New Roman"/>
          <w:sz w:val="20"/>
          <w:szCs w:val="20"/>
          <w:lang w:val="es-CR"/>
        </w:rPr>
        <w:t>e</w:t>
      </w:r>
      <w:r w:rsidRPr="00972D9D">
        <w:rPr>
          <w:rFonts w:ascii="Verdana" w:eastAsia="Verdana" w:hAnsi="Verdana" w:cs="Times New Roman"/>
          <w:spacing w:val="7"/>
          <w:sz w:val="20"/>
          <w:szCs w:val="20"/>
          <w:lang w:val="es-CR"/>
        </w:rPr>
        <w:t xml:space="preserve"> </w:t>
      </w:r>
      <w:r w:rsidRPr="00972D9D">
        <w:rPr>
          <w:rFonts w:ascii="Verdana" w:eastAsia="Verdana" w:hAnsi="Verdana" w:cs="Times New Roman"/>
          <w:spacing w:val="-1"/>
          <w:sz w:val="20"/>
          <w:szCs w:val="20"/>
          <w:lang w:val="es-CR"/>
        </w:rPr>
        <w:t>re</w:t>
      </w:r>
      <w:r w:rsidRPr="00972D9D">
        <w:rPr>
          <w:rFonts w:ascii="Verdana" w:eastAsia="Verdana" w:hAnsi="Verdana" w:cs="Times New Roman"/>
          <w:spacing w:val="3"/>
          <w:sz w:val="20"/>
          <w:szCs w:val="20"/>
          <w:lang w:val="es-CR"/>
        </w:rPr>
        <w:t>i</w:t>
      </w:r>
      <w:r w:rsidRPr="00972D9D">
        <w:rPr>
          <w:rFonts w:ascii="Verdana" w:eastAsia="Verdana" w:hAnsi="Verdana" w:cs="Times New Roman"/>
          <w:spacing w:val="1"/>
          <w:sz w:val="20"/>
          <w:szCs w:val="20"/>
          <w:lang w:val="es-CR"/>
        </w:rPr>
        <w:t>t</w:t>
      </w:r>
      <w:r w:rsidRPr="00972D9D">
        <w:rPr>
          <w:rFonts w:ascii="Verdana" w:eastAsia="Verdana" w:hAnsi="Verdana" w:cs="Times New Roman"/>
          <w:spacing w:val="-1"/>
          <w:sz w:val="20"/>
          <w:szCs w:val="20"/>
          <w:lang w:val="es-CR"/>
        </w:rPr>
        <w:t>er</w:t>
      </w:r>
      <w:r w:rsidRPr="00972D9D">
        <w:rPr>
          <w:rFonts w:ascii="Verdana" w:eastAsia="Verdana" w:hAnsi="Verdana" w:cs="Times New Roman"/>
          <w:sz w:val="20"/>
          <w:szCs w:val="20"/>
          <w:lang w:val="es-CR"/>
        </w:rPr>
        <w:t>a</w:t>
      </w:r>
      <w:r w:rsidRPr="00972D9D">
        <w:rPr>
          <w:rFonts w:ascii="Verdana" w:eastAsia="Verdana" w:hAnsi="Verdana" w:cs="Times New Roman"/>
          <w:spacing w:val="7"/>
          <w:sz w:val="20"/>
          <w:szCs w:val="20"/>
          <w:lang w:val="es-CR"/>
        </w:rPr>
        <w:t xml:space="preserve"> </w:t>
      </w:r>
      <w:r w:rsidRPr="00972D9D">
        <w:rPr>
          <w:rFonts w:ascii="Verdana" w:eastAsia="Verdana" w:hAnsi="Verdana" w:cs="Times New Roman"/>
          <w:spacing w:val="1"/>
          <w:sz w:val="20"/>
          <w:szCs w:val="20"/>
          <w:lang w:val="es-CR"/>
        </w:rPr>
        <w:t>qu</w:t>
      </w:r>
      <w:r w:rsidRPr="00972D9D">
        <w:rPr>
          <w:rFonts w:ascii="Verdana" w:eastAsia="Verdana" w:hAnsi="Verdana" w:cs="Times New Roman"/>
          <w:sz w:val="20"/>
          <w:szCs w:val="20"/>
          <w:lang w:val="es-CR"/>
        </w:rPr>
        <w:t>e</w:t>
      </w:r>
      <w:r w:rsidRPr="00972D9D">
        <w:rPr>
          <w:rFonts w:ascii="Verdana" w:eastAsia="Verdana" w:hAnsi="Verdana" w:cs="Times New Roman"/>
          <w:spacing w:val="6"/>
          <w:sz w:val="20"/>
          <w:szCs w:val="20"/>
          <w:lang w:val="es-CR"/>
        </w:rPr>
        <w:t xml:space="preserve"> </w:t>
      </w:r>
      <w:r w:rsidRPr="00972D9D">
        <w:rPr>
          <w:rFonts w:ascii="Verdana" w:eastAsia="Verdana" w:hAnsi="Verdana" w:cs="Times New Roman"/>
          <w:spacing w:val="1"/>
          <w:sz w:val="20"/>
          <w:szCs w:val="20"/>
          <w:lang w:val="es-CR"/>
        </w:rPr>
        <w:t>n</w:t>
      </w:r>
      <w:r w:rsidRPr="00972D9D">
        <w:rPr>
          <w:rFonts w:ascii="Verdana" w:eastAsia="Verdana" w:hAnsi="Verdana" w:cs="Times New Roman"/>
          <w:sz w:val="20"/>
          <w:szCs w:val="20"/>
          <w:lang w:val="es-CR"/>
        </w:rPr>
        <w:t>o</w:t>
      </w:r>
      <w:r w:rsidRPr="00972D9D">
        <w:rPr>
          <w:rFonts w:ascii="Verdana" w:eastAsia="Verdana" w:hAnsi="Verdana" w:cs="Times New Roman"/>
          <w:spacing w:val="10"/>
          <w:sz w:val="20"/>
          <w:szCs w:val="20"/>
          <w:lang w:val="es-CR"/>
        </w:rPr>
        <w:t xml:space="preserve"> </w:t>
      </w:r>
      <w:r w:rsidRPr="00972D9D">
        <w:rPr>
          <w:rFonts w:ascii="Verdana" w:eastAsia="Verdana" w:hAnsi="Verdana" w:cs="Times New Roman"/>
          <w:spacing w:val="1"/>
          <w:sz w:val="20"/>
          <w:szCs w:val="20"/>
          <w:lang w:val="es-CR"/>
        </w:rPr>
        <w:t>e</w:t>
      </w:r>
      <w:r w:rsidRPr="00972D9D">
        <w:rPr>
          <w:rFonts w:ascii="Verdana" w:eastAsia="Verdana" w:hAnsi="Verdana" w:cs="Times New Roman"/>
          <w:sz w:val="20"/>
          <w:szCs w:val="20"/>
          <w:lang w:val="es-CR"/>
        </w:rPr>
        <w:t>s</w:t>
      </w:r>
      <w:r w:rsidRPr="00972D9D">
        <w:rPr>
          <w:rFonts w:ascii="Verdana" w:eastAsia="Verdana" w:hAnsi="Verdana" w:cs="Times New Roman"/>
          <w:spacing w:val="8"/>
          <w:sz w:val="20"/>
          <w:szCs w:val="20"/>
          <w:lang w:val="es-CR"/>
        </w:rPr>
        <w:t xml:space="preserve"> </w:t>
      </w:r>
      <w:r w:rsidRPr="00972D9D">
        <w:rPr>
          <w:rFonts w:ascii="Verdana" w:eastAsia="Verdana" w:hAnsi="Verdana" w:cs="Times New Roman"/>
          <w:sz w:val="20"/>
          <w:szCs w:val="20"/>
          <w:lang w:val="es-CR"/>
        </w:rPr>
        <w:t>suf</w:t>
      </w:r>
      <w:r w:rsidRPr="00972D9D">
        <w:rPr>
          <w:rFonts w:ascii="Verdana" w:eastAsia="Verdana" w:hAnsi="Verdana" w:cs="Times New Roman"/>
          <w:spacing w:val="3"/>
          <w:sz w:val="20"/>
          <w:szCs w:val="20"/>
          <w:lang w:val="es-CR"/>
        </w:rPr>
        <w:t>i</w:t>
      </w:r>
      <w:r w:rsidRPr="00972D9D">
        <w:rPr>
          <w:rFonts w:ascii="Verdana" w:eastAsia="Verdana" w:hAnsi="Verdana" w:cs="Times New Roman"/>
          <w:sz w:val="20"/>
          <w:szCs w:val="20"/>
          <w:lang w:val="es-CR"/>
        </w:rPr>
        <w:t>c</w:t>
      </w:r>
      <w:r w:rsidRPr="00972D9D">
        <w:rPr>
          <w:rFonts w:ascii="Verdana" w:eastAsia="Verdana" w:hAnsi="Verdana" w:cs="Times New Roman"/>
          <w:spacing w:val="2"/>
          <w:sz w:val="20"/>
          <w:szCs w:val="20"/>
          <w:lang w:val="es-CR"/>
        </w:rPr>
        <w:t>i</w:t>
      </w:r>
      <w:r w:rsidRPr="00972D9D">
        <w:rPr>
          <w:rFonts w:ascii="Verdana" w:eastAsia="Verdana" w:hAnsi="Verdana" w:cs="Times New Roman"/>
          <w:spacing w:val="-1"/>
          <w:sz w:val="20"/>
          <w:szCs w:val="20"/>
          <w:lang w:val="es-CR"/>
        </w:rPr>
        <w:t>e</w:t>
      </w:r>
      <w:r w:rsidRPr="00972D9D">
        <w:rPr>
          <w:rFonts w:ascii="Verdana" w:eastAsia="Verdana" w:hAnsi="Verdana" w:cs="Times New Roman"/>
          <w:spacing w:val="1"/>
          <w:sz w:val="20"/>
          <w:szCs w:val="20"/>
          <w:lang w:val="es-CR"/>
        </w:rPr>
        <w:t>nt</w:t>
      </w:r>
      <w:r w:rsidRPr="00972D9D">
        <w:rPr>
          <w:rFonts w:ascii="Verdana" w:eastAsia="Verdana" w:hAnsi="Verdana" w:cs="Times New Roman"/>
          <w:sz w:val="20"/>
          <w:szCs w:val="20"/>
          <w:lang w:val="es-CR"/>
        </w:rPr>
        <w:t xml:space="preserve">e </w:t>
      </w:r>
      <w:r w:rsidRPr="00972D9D">
        <w:rPr>
          <w:rFonts w:ascii="Verdana" w:eastAsia="Verdana" w:hAnsi="Verdana" w:cs="Times New Roman"/>
          <w:spacing w:val="3"/>
          <w:sz w:val="20"/>
          <w:szCs w:val="20"/>
          <w:lang w:val="es-CR"/>
        </w:rPr>
        <w:t>l</w:t>
      </w:r>
      <w:r w:rsidRPr="00972D9D">
        <w:rPr>
          <w:rFonts w:ascii="Verdana" w:eastAsia="Verdana" w:hAnsi="Verdana" w:cs="Times New Roman"/>
          <w:sz w:val="20"/>
          <w:szCs w:val="20"/>
          <w:lang w:val="es-CR"/>
        </w:rPr>
        <w:t>a</w:t>
      </w:r>
      <w:r w:rsidRPr="00972D9D">
        <w:rPr>
          <w:rFonts w:ascii="Verdana" w:eastAsia="Verdana" w:hAnsi="Verdana" w:cs="Times New Roman"/>
          <w:spacing w:val="9"/>
          <w:sz w:val="20"/>
          <w:szCs w:val="20"/>
          <w:lang w:val="es-CR"/>
        </w:rPr>
        <w:t xml:space="preserve"> </w:t>
      </w:r>
      <w:r w:rsidRPr="00972D9D">
        <w:rPr>
          <w:rFonts w:ascii="Verdana" w:eastAsia="Verdana" w:hAnsi="Verdana" w:cs="Times New Roman"/>
          <w:spacing w:val="-1"/>
          <w:sz w:val="20"/>
          <w:szCs w:val="20"/>
          <w:lang w:val="es-CR"/>
        </w:rPr>
        <w:t>re</w:t>
      </w:r>
      <w:r w:rsidRPr="00972D9D">
        <w:rPr>
          <w:rFonts w:ascii="Verdana" w:eastAsia="Verdana" w:hAnsi="Verdana" w:cs="Times New Roman"/>
          <w:sz w:val="20"/>
          <w:szCs w:val="20"/>
          <w:lang w:val="es-CR"/>
        </w:rPr>
        <w:t>m</w:t>
      </w:r>
      <w:r w:rsidRPr="00972D9D">
        <w:rPr>
          <w:rFonts w:ascii="Verdana" w:eastAsia="Verdana" w:hAnsi="Verdana" w:cs="Times New Roman"/>
          <w:spacing w:val="3"/>
          <w:sz w:val="20"/>
          <w:szCs w:val="20"/>
          <w:lang w:val="es-CR"/>
        </w:rPr>
        <w:t>i</w:t>
      </w:r>
      <w:r w:rsidRPr="00972D9D">
        <w:rPr>
          <w:rFonts w:ascii="Verdana" w:eastAsia="Verdana" w:hAnsi="Verdana" w:cs="Times New Roman"/>
          <w:sz w:val="20"/>
          <w:szCs w:val="20"/>
          <w:lang w:val="es-CR"/>
        </w:rPr>
        <w:t>s</w:t>
      </w:r>
      <w:r w:rsidRPr="00972D9D">
        <w:rPr>
          <w:rFonts w:ascii="Verdana" w:eastAsia="Verdana" w:hAnsi="Verdana" w:cs="Times New Roman"/>
          <w:spacing w:val="2"/>
          <w:sz w:val="20"/>
          <w:szCs w:val="20"/>
          <w:lang w:val="es-CR"/>
        </w:rPr>
        <w:t>i</w:t>
      </w:r>
      <w:r w:rsidRPr="00972D9D">
        <w:rPr>
          <w:rFonts w:ascii="Verdana" w:eastAsia="Verdana" w:hAnsi="Verdana" w:cs="Times New Roman"/>
          <w:spacing w:val="-1"/>
          <w:sz w:val="20"/>
          <w:szCs w:val="20"/>
          <w:lang w:val="es-CR"/>
        </w:rPr>
        <w:t>ó</w:t>
      </w:r>
      <w:r w:rsidRPr="00972D9D">
        <w:rPr>
          <w:rFonts w:ascii="Verdana" w:eastAsia="Verdana" w:hAnsi="Verdana" w:cs="Times New Roman"/>
          <w:sz w:val="20"/>
          <w:szCs w:val="20"/>
          <w:lang w:val="es-CR"/>
        </w:rPr>
        <w:t>n</w:t>
      </w:r>
      <w:r w:rsidRPr="00972D9D">
        <w:rPr>
          <w:rFonts w:ascii="Verdana" w:eastAsia="Verdana" w:hAnsi="Verdana" w:cs="Times New Roman"/>
          <w:spacing w:val="3"/>
          <w:sz w:val="20"/>
          <w:szCs w:val="20"/>
          <w:lang w:val="es-CR"/>
        </w:rPr>
        <w:t xml:space="preserve"> </w:t>
      </w:r>
      <w:r w:rsidRPr="00972D9D">
        <w:rPr>
          <w:rFonts w:ascii="Verdana" w:eastAsia="Verdana" w:hAnsi="Verdana" w:cs="Times New Roman"/>
          <w:spacing w:val="1"/>
          <w:sz w:val="20"/>
          <w:szCs w:val="20"/>
          <w:lang w:val="es-CR"/>
        </w:rPr>
        <w:t>d</w:t>
      </w:r>
      <w:r w:rsidRPr="00972D9D">
        <w:rPr>
          <w:rFonts w:ascii="Verdana" w:eastAsia="Verdana" w:hAnsi="Verdana" w:cs="Times New Roman"/>
          <w:sz w:val="20"/>
          <w:szCs w:val="20"/>
          <w:lang w:val="es-CR"/>
        </w:rPr>
        <w:t>e</w:t>
      </w:r>
      <w:r w:rsidRPr="00972D9D">
        <w:rPr>
          <w:rFonts w:ascii="Verdana" w:eastAsia="Verdana" w:hAnsi="Verdana" w:cs="Times New Roman"/>
          <w:spacing w:val="8"/>
          <w:sz w:val="20"/>
          <w:szCs w:val="20"/>
          <w:lang w:val="es-CR"/>
        </w:rPr>
        <w:t xml:space="preserve"> </w:t>
      </w:r>
      <w:r w:rsidRPr="00972D9D">
        <w:rPr>
          <w:rFonts w:ascii="Verdana" w:eastAsia="Verdana" w:hAnsi="Verdana" w:cs="Times New Roman"/>
          <w:spacing w:val="1"/>
          <w:sz w:val="20"/>
          <w:szCs w:val="20"/>
          <w:lang w:val="es-CR"/>
        </w:rPr>
        <w:t>d</w:t>
      </w:r>
      <w:r w:rsidRPr="00972D9D">
        <w:rPr>
          <w:rFonts w:ascii="Verdana" w:eastAsia="Verdana" w:hAnsi="Verdana" w:cs="Times New Roman"/>
          <w:spacing w:val="-1"/>
          <w:sz w:val="20"/>
          <w:szCs w:val="20"/>
          <w:lang w:val="es-CR"/>
        </w:rPr>
        <w:t>o</w:t>
      </w:r>
      <w:r w:rsidRPr="00972D9D">
        <w:rPr>
          <w:rFonts w:ascii="Verdana" w:eastAsia="Verdana" w:hAnsi="Verdana" w:cs="Times New Roman"/>
          <w:sz w:val="20"/>
          <w:szCs w:val="20"/>
          <w:lang w:val="es-CR"/>
        </w:rPr>
        <w:t>cu</w:t>
      </w:r>
      <w:r w:rsidRPr="00972D9D">
        <w:rPr>
          <w:rFonts w:ascii="Verdana" w:eastAsia="Verdana" w:hAnsi="Verdana" w:cs="Times New Roman"/>
          <w:spacing w:val="3"/>
          <w:sz w:val="20"/>
          <w:szCs w:val="20"/>
          <w:lang w:val="es-CR"/>
        </w:rPr>
        <w:t>m</w:t>
      </w:r>
      <w:r w:rsidRPr="00972D9D">
        <w:rPr>
          <w:rFonts w:ascii="Verdana" w:eastAsia="Verdana" w:hAnsi="Verdana" w:cs="Times New Roman"/>
          <w:spacing w:val="1"/>
          <w:sz w:val="20"/>
          <w:szCs w:val="20"/>
          <w:lang w:val="es-CR"/>
        </w:rPr>
        <w:t>ent</w:t>
      </w:r>
      <w:r w:rsidRPr="00972D9D">
        <w:rPr>
          <w:rFonts w:ascii="Verdana" w:eastAsia="Verdana" w:hAnsi="Verdana" w:cs="Times New Roman"/>
          <w:spacing w:val="-1"/>
          <w:sz w:val="20"/>
          <w:szCs w:val="20"/>
          <w:lang w:val="es-CR"/>
        </w:rPr>
        <w:t>o</w:t>
      </w:r>
      <w:r w:rsidRPr="00972D9D">
        <w:rPr>
          <w:rFonts w:ascii="Verdana" w:eastAsia="Verdana" w:hAnsi="Verdana" w:cs="Times New Roman"/>
          <w:sz w:val="20"/>
          <w:szCs w:val="20"/>
          <w:lang w:val="es-CR"/>
        </w:rPr>
        <w:t>s</w:t>
      </w:r>
      <w:r w:rsidRPr="00972D9D">
        <w:rPr>
          <w:rFonts w:ascii="Verdana" w:eastAsia="Verdana" w:hAnsi="Verdana" w:cs="Times New Roman"/>
          <w:spacing w:val="-2"/>
          <w:sz w:val="20"/>
          <w:szCs w:val="20"/>
          <w:lang w:val="es-CR"/>
        </w:rPr>
        <w:t xml:space="preserve"> </w:t>
      </w:r>
      <w:r w:rsidRPr="00972D9D">
        <w:rPr>
          <w:rFonts w:ascii="Verdana" w:eastAsia="Verdana" w:hAnsi="Verdana" w:cs="Times New Roman"/>
          <w:spacing w:val="1"/>
          <w:sz w:val="20"/>
          <w:szCs w:val="20"/>
          <w:lang w:val="es-CR"/>
        </w:rPr>
        <w:t>pr</w:t>
      </w:r>
      <w:r w:rsidRPr="00972D9D">
        <w:rPr>
          <w:rFonts w:ascii="Verdana" w:eastAsia="Verdana" w:hAnsi="Verdana" w:cs="Times New Roman"/>
          <w:spacing w:val="-1"/>
          <w:sz w:val="20"/>
          <w:szCs w:val="20"/>
          <w:lang w:val="es-CR"/>
        </w:rPr>
        <w:t>o</w:t>
      </w:r>
      <w:r w:rsidRPr="00972D9D">
        <w:rPr>
          <w:rFonts w:ascii="Verdana" w:eastAsia="Verdana" w:hAnsi="Verdana" w:cs="Times New Roman"/>
          <w:spacing w:val="1"/>
          <w:sz w:val="20"/>
          <w:szCs w:val="20"/>
          <w:lang w:val="es-CR"/>
        </w:rPr>
        <w:t>b</w:t>
      </w:r>
      <w:r w:rsidRPr="00972D9D">
        <w:rPr>
          <w:rFonts w:ascii="Verdana" w:eastAsia="Verdana" w:hAnsi="Verdana" w:cs="Times New Roman"/>
          <w:sz w:val="20"/>
          <w:szCs w:val="20"/>
          <w:lang w:val="es-CR"/>
        </w:rPr>
        <w:t>a</w:t>
      </w:r>
      <w:r w:rsidRPr="00972D9D">
        <w:rPr>
          <w:rFonts w:ascii="Verdana" w:eastAsia="Verdana" w:hAnsi="Verdana" w:cs="Times New Roman"/>
          <w:spacing w:val="1"/>
          <w:sz w:val="20"/>
          <w:szCs w:val="20"/>
          <w:lang w:val="es-CR"/>
        </w:rPr>
        <w:t>to</w:t>
      </w:r>
      <w:r w:rsidRPr="00972D9D">
        <w:rPr>
          <w:rFonts w:ascii="Verdana" w:eastAsia="Verdana" w:hAnsi="Verdana" w:cs="Times New Roman"/>
          <w:spacing w:val="-1"/>
          <w:sz w:val="20"/>
          <w:szCs w:val="20"/>
          <w:lang w:val="es-CR"/>
        </w:rPr>
        <w:t>r</w:t>
      </w:r>
      <w:r w:rsidRPr="00972D9D">
        <w:rPr>
          <w:rFonts w:ascii="Verdana" w:eastAsia="Verdana" w:hAnsi="Verdana" w:cs="Times New Roman"/>
          <w:spacing w:val="3"/>
          <w:sz w:val="20"/>
          <w:szCs w:val="20"/>
          <w:lang w:val="es-CR"/>
        </w:rPr>
        <w:t>i</w:t>
      </w:r>
      <w:r w:rsidRPr="00972D9D">
        <w:rPr>
          <w:rFonts w:ascii="Verdana" w:eastAsia="Verdana" w:hAnsi="Verdana" w:cs="Times New Roman"/>
          <w:spacing w:val="-1"/>
          <w:sz w:val="20"/>
          <w:szCs w:val="20"/>
          <w:lang w:val="es-CR"/>
        </w:rPr>
        <w:t>o</w:t>
      </w:r>
      <w:r w:rsidRPr="00972D9D">
        <w:rPr>
          <w:rFonts w:ascii="Verdana" w:eastAsia="Verdana" w:hAnsi="Verdana" w:cs="Times New Roman"/>
          <w:sz w:val="20"/>
          <w:szCs w:val="20"/>
          <w:lang w:val="es-CR"/>
        </w:rPr>
        <w:t>s,</w:t>
      </w:r>
      <w:r w:rsidRPr="00972D9D">
        <w:rPr>
          <w:rFonts w:ascii="Verdana" w:eastAsia="Verdana" w:hAnsi="Verdana" w:cs="Times New Roman"/>
          <w:spacing w:val="1"/>
          <w:sz w:val="20"/>
          <w:szCs w:val="20"/>
          <w:lang w:val="es-CR"/>
        </w:rPr>
        <w:t xml:space="preserve"> </w:t>
      </w:r>
      <w:r w:rsidRPr="00972D9D">
        <w:rPr>
          <w:rFonts w:ascii="Verdana" w:eastAsia="Verdana" w:hAnsi="Verdana" w:cs="Times New Roman"/>
          <w:sz w:val="20"/>
          <w:szCs w:val="20"/>
          <w:lang w:val="es-CR"/>
        </w:rPr>
        <w:t>s</w:t>
      </w:r>
      <w:r w:rsidRPr="00972D9D">
        <w:rPr>
          <w:rFonts w:ascii="Verdana" w:eastAsia="Verdana" w:hAnsi="Verdana" w:cs="Times New Roman"/>
          <w:spacing w:val="2"/>
          <w:sz w:val="20"/>
          <w:szCs w:val="20"/>
          <w:lang w:val="es-CR"/>
        </w:rPr>
        <w:t>i</w:t>
      </w:r>
      <w:r w:rsidRPr="00972D9D">
        <w:rPr>
          <w:rFonts w:ascii="Verdana" w:eastAsia="Verdana" w:hAnsi="Verdana" w:cs="Times New Roman"/>
          <w:spacing w:val="1"/>
          <w:sz w:val="20"/>
          <w:szCs w:val="20"/>
          <w:lang w:val="es-CR"/>
        </w:rPr>
        <w:t>n</w:t>
      </w:r>
      <w:r w:rsidRPr="00972D9D">
        <w:rPr>
          <w:rFonts w:ascii="Verdana" w:eastAsia="Verdana" w:hAnsi="Verdana" w:cs="Times New Roman"/>
          <w:sz w:val="20"/>
          <w:szCs w:val="20"/>
          <w:lang w:val="es-CR"/>
        </w:rPr>
        <w:t>o</w:t>
      </w:r>
      <w:r w:rsidRPr="00972D9D">
        <w:rPr>
          <w:rFonts w:ascii="Verdana" w:eastAsia="Verdana" w:hAnsi="Verdana" w:cs="Times New Roman"/>
          <w:spacing w:val="6"/>
          <w:sz w:val="20"/>
          <w:szCs w:val="20"/>
          <w:lang w:val="es-CR"/>
        </w:rPr>
        <w:t xml:space="preserve"> </w:t>
      </w:r>
      <w:r w:rsidRPr="00972D9D">
        <w:rPr>
          <w:rFonts w:ascii="Verdana" w:eastAsia="Verdana" w:hAnsi="Verdana" w:cs="Times New Roman"/>
          <w:spacing w:val="1"/>
          <w:sz w:val="20"/>
          <w:szCs w:val="20"/>
          <w:lang w:val="es-CR"/>
        </w:rPr>
        <w:t>qu</w:t>
      </w:r>
      <w:r w:rsidRPr="00972D9D">
        <w:rPr>
          <w:rFonts w:ascii="Verdana" w:eastAsia="Verdana" w:hAnsi="Verdana" w:cs="Times New Roman"/>
          <w:sz w:val="20"/>
          <w:szCs w:val="20"/>
          <w:lang w:val="es-CR"/>
        </w:rPr>
        <w:t>e</w:t>
      </w:r>
      <w:r w:rsidRPr="00972D9D">
        <w:rPr>
          <w:rFonts w:ascii="Verdana" w:eastAsia="Verdana" w:hAnsi="Verdana" w:cs="Times New Roman"/>
          <w:spacing w:val="6"/>
          <w:sz w:val="20"/>
          <w:szCs w:val="20"/>
          <w:lang w:val="es-CR"/>
        </w:rPr>
        <w:t xml:space="preserve"> </w:t>
      </w:r>
      <w:r w:rsidRPr="00972D9D">
        <w:rPr>
          <w:rFonts w:ascii="Verdana" w:eastAsia="Verdana" w:hAnsi="Verdana" w:cs="Times New Roman"/>
          <w:spacing w:val="2"/>
          <w:sz w:val="20"/>
          <w:szCs w:val="20"/>
          <w:lang w:val="es-CR"/>
        </w:rPr>
        <w:t>s</w:t>
      </w:r>
      <w:r w:rsidRPr="00972D9D">
        <w:rPr>
          <w:rFonts w:ascii="Verdana" w:eastAsia="Verdana" w:hAnsi="Verdana" w:cs="Times New Roman"/>
          <w:sz w:val="20"/>
          <w:szCs w:val="20"/>
          <w:lang w:val="es-CR"/>
        </w:rPr>
        <w:t xml:space="preserve">e </w:t>
      </w:r>
      <w:r w:rsidRPr="00972D9D">
        <w:rPr>
          <w:rFonts w:ascii="Verdana" w:eastAsia="Verdana" w:hAnsi="Verdana" w:cs="Times New Roman"/>
          <w:spacing w:val="-1"/>
          <w:sz w:val="20"/>
          <w:szCs w:val="20"/>
          <w:lang w:val="es-CR"/>
        </w:rPr>
        <w:t>re</w:t>
      </w:r>
      <w:r w:rsidRPr="00972D9D">
        <w:rPr>
          <w:rFonts w:ascii="Verdana" w:eastAsia="Verdana" w:hAnsi="Verdana" w:cs="Times New Roman"/>
          <w:spacing w:val="1"/>
          <w:sz w:val="20"/>
          <w:szCs w:val="20"/>
          <w:lang w:val="es-CR"/>
        </w:rPr>
        <w:t>qu</w:t>
      </w:r>
      <w:r w:rsidRPr="00972D9D">
        <w:rPr>
          <w:rFonts w:ascii="Verdana" w:eastAsia="Verdana" w:hAnsi="Verdana" w:cs="Times New Roman"/>
          <w:spacing w:val="3"/>
          <w:sz w:val="20"/>
          <w:szCs w:val="20"/>
          <w:lang w:val="es-CR"/>
        </w:rPr>
        <w:t>i</w:t>
      </w:r>
      <w:r w:rsidRPr="00972D9D">
        <w:rPr>
          <w:rFonts w:ascii="Verdana" w:eastAsia="Verdana" w:hAnsi="Verdana" w:cs="Times New Roman"/>
          <w:spacing w:val="-1"/>
          <w:sz w:val="20"/>
          <w:szCs w:val="20"/>
          <w:lang w:val="es-CR"/>
        </w:rPr>
        <w:t>e</w:t>
      </w:r>
      <w:r w:rsidRPr="00972D9D">
        <w:rPr>
          <w:rFonts w:ascii="Verdana" w:eastAsia="Verdana" w:hAnsi="Verdana" w:cs="Times New Roman"/>
          <w:spacing w:val="1"/>
          <w:sz w:val="20"/>
          <w:szCs w:val="20"/>
          <w:lang w:val="es-CR"/>
        </w:rPr>
        <w:t>r</w:t>
      </w:r>
      <w:r w:rsidRPr="00972D9D">
        <w:rPr>
          <w:rFonts w:ascii="Verdana" w:eastAsia="Verdana" w:hAnsi="Verdana" w:cs="Times New Roman"/>
          <w:sz w:val="20"/>
          <w:szCs w:val="20"/>
          <w:lang w:val="es-CR"/>
        </w:rPr>
        <w:t>e</w:t>
      </w:r>
      <w:r w:rsidRPr="00972D9D">
        <w:rPr>
          <w:rFonts w:ascii="Verdana" w:eastAsia="Verdana" w:hAnsi="Verdana" w:cs="Times New Roman"/>
          <w:spacing w:val="33"/>
          <w:sz w:val="20"/>
          <w:szCs w:val="20"/>
          <w:lang w:val="es-CR"/>
        </w:rPr>
        <w:t xml:space="preserve"> </w:t>
      </w:r>
      <w:r w:rsidRPr="00972D9D">
        <w:rPr>
          <w:rFonts w:ascii="Verdana" w:eastAsia="Verdana" w:hAnsi="Verdana" w:cs="Times New Roman"/>
          <w:spacing w:val="1"/>
          <w:sz w:val="20"/>
          <w:szCs w:val="20"/>
          <w:lang w:val="es-CR"/>
        </w:rPr>
        <w:t>qu</w:t>
      </w:r>
      <w:r w:rsidRPr="00972D9D">
        <w:rPr>
          <w:rFonts w:ascii="Verdana" w:eastAsia="Verdana" w:hAnsi="Verdana" w:cs="Times New Roman"/>
          <w:sz w:val="20"/>
          <w:szCs w:val="20"/>
          <w:lang w:val="es-CR"/>
        </w:rPr>
        <w:t>e</w:t>
      </w:r>
      <w:r w:rsidRPr="00972D9D">
        <w:rPr>
          <w:rFonts w:ascii="Verdana" w:eastAsia="Verdana" w:hAnsi="Verdana" w:cs="Times New Roman"/>
          <w:spacing w:val="38"/>
          <w:sz w:val="20"/>
          <w:szCs w:val="20"/>
          <w:lang w:val="es-CR"/>
        </w:rPr>
        <w:t xml:space="preserve"> </w:t>
      </w:r>
      <w:r w:rsidRPr="00972D9D">
        <w:rPr>
          <w:rFonts w:ascii="Verdana" w:eastAsia="Verdana" w:hAnsi="Verdana" w:cs="Times New Roman"/>
          <w:spacing w:val="3"/>
          <w:sz w:val="20"/>
          <w:szCs w:val="20"/>
          <w:lang w:val="es-CR"/>
        </w:rPr>
        <w:t>l</w:t>
      </w:r>
      <w:r w:rsidRPr="00972D9D">
        <w:rPr>
          <w:rFonts w:ascii="Verdana" w:eastAsia="Verdana" w:hAnsi="Verdana" w:cs="Times New Roman"/>
          <w:sz w:val="20"/>
          <w:szCs w:val="20"/>
          <w:lang w:val="es-CR"/>
        </w:rPr>
        <w:t>as</w:t>
      </w:r>
      <w:r w:rsidRPr="00972D9D">
        <w:rPr>
          <w:rFonts w:ascii="Verdana" w:eastAsia="Verdana" w:hAnsi="Verdana" w:cs="Times New Roman"/>
          <w:spacing w:val="40"/>
          <w:sz w:val="20"/>
          <w:szCs w:val="20"/>
          <w:lang w:val="es-CR"/>
        </w:rPr>
        <w:t xml:space="preserve"> </w:t>
      </w:r>
      <w:r w:rsidRPr="00972D9D">
        <w:rPr>
          <w:rFonts w:ascii="Verdana" w:eastAsia="Verdana" w:hAnsi="Verdana" w:cs="Times New Roman"/>
          <w:spacing w:val="1"/>
          <w:sz w:val="20"/>
          <w:szCs w:val="20"/>
          <w:lang w:val="es-CR"/>
        </w:rPr>
        <w:t>p</w:t>
      </w:r>
      <w:r w:rsidRPr="00972D9D">
        <w:rPr>
          <w:rFonts w:ascii="Verdana" w:eastAsia="Verdana" w:hAnsi="Verdana" w:cs="Times New Roman"/>
          <w:sz w:val="20"/>
          <w:szCs w:val="20"/>
          <w:lang w:val="es-CR"/>
        </w:rPr>
        <w:t>a</w:t>
      </w:r>
      <w:r w:rsidRPr="00972D9D">
        <w:rPr>
          <w:rFonts w:ascii="Verdana" w:eastAsia="Verdana" w:hAnsi="Verdana" w:cs="Times New Roman"/>
          <w:spacing w:val="-1"/>
          <w:sz w:val="20"/>
          <w:szCs w:val="20"/>
          <w:lang w:val="es-CR"/>
        </w:rPr>
        <w:t>r</w:t>
      </w:r>
      <w:r w:rsidRPr="00972D9D">
        <w:rPr>
          <w:rFonts w:ascii="Verdana" w:eastAsia="Verdana" w:hAnsi="Verdana" w:cs="Times New Roman"/>
          <w:spacing w:val="1"/>
          <w:sz w:val="20"/>
          <w:szCs w:val="20"/>
          <w:lang w:val="es-CR"/>
        </w:rPr>
        <w:t>te</w:t>
      </w:r>
      <w:r w:rsidRPr="00972D9D">
        <w:rPr>
          <w:rFonts w:ascii="Verdana" w:eastAsia="Verdana" w:hAnsi="Verdana" w:cs="Times New Roman"/>
          <w:sz w:val="20"/>
          <w:szCs w:val="20"/>
          <w:lang w:val="es-CR"/>
        </w:rPr>
        <w:t>s</w:t>
      </w:r>
      <w:r w:rsidRPr="00972D9D">
        <w:rPr>
          <w:rFonts w:ascii="Verdana" w:eastAsia="Verdana" w:hAnsi="Verdana" w:cs="Times New Roman"/>
          <w:spacing w:val="37"/>
          <w:sz w:val="20"/>
          <w:szCs w:val="20"/>
          <w:lang w:val="es-CR"/>
        </w:rPr>
        <w:t xml:space="preserve"> </w:t>
      </w:r>
      <w:r w:rsidRPr="00972D9D">
        <w:rPr>
          <w:rFonts w:ascii="Verdana" w:eastAsia="Verdana" w:hAnsi="Verdana" w:cs="Times New Roman"/>
          <w:spacing w:val="1"/>
          <w:sz w:val="20"/>
          <w:szCs w:val="20"/>
          <w:lang w:val="es-CR"/>
        </w:rPr>
        <w:t>h</w:t>
      </w:r>
      <w:r w:rsidRPr="00972D9D">
        <w:rPr>
          <w:rFonts w:ascii="Verdana" w:eastAsia="Verdana" w:hAnsi="Verdana" w:cs="Times New Roman"/>
          <w:sz w:val="20"/>
          <w:szCs w:val="20"/>
          <w:lang w:val="es-CR"/>
        </w:rPr>
        <w:t>a</w:t>
      </w:r>
      <w:r w:rsidRPr="00972D9D">
        <w:rPr>
          <w:rFonts w:ascii="Verdana" w:eastAsia="Verdana" w:hAnsi="Verdana" w:cs="Times New Roman"/>
          <w:spacing w:val="1"/>
          <w:sz w:val="20"/>
          <w:szCs w:val="20"/>
          <w:lang w:val="es-CR"/>
        </w:rPr>
        <w:t>g</w:t>
      </w:r>
      <w:r w:rsidRPr="00972D9D">
        <w:rPr>
          <w:rFonts w:ascii="Verdana" w:eastAsia="Verdana" w:hAnsi="Verdana" w:cs="Times New Roman"/>
          <w:sz w:val="20"/>
          <w:szCs w:val="20"/>
          <w:lang w:val="es-CR"/>
        </w:rPr>
        <w:t>an</w:t>
      </w:r>
      <w:r w:rsidRPr="00972D9D">
        <w:rPr>
          <w:rFonts w:ascii="Verdana" w:eastAsia="Verdana" w:hAnsi="Verdana" w:cs="Times New Roman"/>
          <w:spacing w:val="37"/>
          <w:sz w:val="20"/>
          <w:szCs w:val="20"/>
          <w:lang w:val="es-CR"/>
        </w:rPr>
        <w:t xml:space="preserve"> </w:t>
      </w:r>
      <w:r w:rsidRPr="00972D9D">
        <w:rPr>
          <w:rFonts w:ascii="Verdana" w:eastAsia="Verdana" w:hAnsi="Verdana" w:cs="Times New Roman"/>
          <w:spacing w:val="1"/>
          <w:sz w:val="20"/>
          <w:szCs w:val="20"/>
          <w:lang w:val="es-CR"/>
        </w:rPr>
        <w:t>un</w:t>
      </w:r>
      <w:r w:rsidRPr="00972D9D">
        <w:rPr>
          <w:rFonts w:ascii="Verdana" w:eastAsia="Verdana" w:hAnsi="Verdana" w:cs="Times New Roman"/>
          <w:sz w:val="20"/>
          <w:szCs w:val="20"/>
          <w:lang w:val="es-CR"/>
        </w:rPr>
        <w:t>a</w:t>
      </w:r>
      <w:r w:rsidRPr="00972D9D">
        <w:rPr>
          <w:rFonts w:ascii="Verdana" w:eastAsia="Verdana" w:hAnsi="Verdana" w:cs="Times New Roman"/>
          <w:spacing w:val="39"/>
          <w:sz w:val="20"/>
          <w:szCs w:val="20"/>
          <w:lang w:val="es-CR"/>
        </w:rPr>
        <w:t xml:space="preserve"> </w:t>
      </w:r>
      <w:r w:rsidRPr="00972D9D">
        <w:rPr>
          <w:rFonts w:ascii="Verdana" w:eastAsia="Verdana" w:hAnsi="Verdana" w:cs="Times New Roman"/>
          <w:sz w:val="20"/>
          <w:szCs w:val="20"/>
          <w:lang w:val="es-CR"/>
        </w:rPr>
        <w:t>a</w:t>
      </w:r>
      <w:r w:rsidRPr="00972D9D">
        <w:rPr>
          <w:rFonts w:ascii="Verdana" w:eastAsia="Verdana" w:hAnsi="Verdana" w:cs="Times New Roman"/>
          <w:spacing w:val="-1"/>
          <w:sz w:val="20"/>
          <w:szCs w:val="20"/>
          <w:lang w:val="es-CR"/>
        </w:rPr>
        <w:t>r</w:t>
      </w:r>
      <w:r w:rsidRPr="00972D9D">
        <w:rPr>
          <w:rFonts w:ascii="Verdana" w:eastAsia="Verdana" w:hAnsi="Verdana" w:cs="Times New Roman"/>
          <w:spacing w:val="1"/>
          <w:sz w:val="20"/>
          <w:szCs w:val="20"/>
          <w:lang w:val="es-CR"/>
        </w:rPr>
        <w:t>gu</w:t>
      </w:r>
      <w:r w:rsidRPr="00972D9D">
        <w:rPr>
          <w:rFonts w:ascii="Verdana" w:eastAsia="Verdana" w:hAnsi="Verdana" w:cs="Times New Roman"/>
          <w:sz w:val="20"/>
          <w:szCs w:val="20"/>
          <w:lang w:val="es-CR"/>
        </w:rPr>
        <w:t>men</w:t>
      </w:r>
      <w:r w:rsidRPr="00972D9D">
        <w:rPr>
          <w:rFonts w:ascii="Verdana" w:eastAsia="Verdana" w:hAnsi="Verdana" w:cs="Times New Roman"/>
          <w:spacing w:val="1"/>
          <w:sz w:val="20"/>
          <w:szCs w:val="20"/>
          <w:lang w:val="es-CR"/>
        </w:rPr>
        <w:t>t</w:t>
      </w:r>
      <w:r w:rsidRPr="00972D9D">
        <w:rPr>
          <w:rFonts w:ascii="Verdana" w:eastAsia="Verdana" w:hAnsi="Verdana" w:cs="Times New Roman"/>
          <w:spacing w:val="6"/>
          <w:sz w:val="20"/>
          <w:szCs w:val="20"/>
          <w:lang w:val="es-CR"/>
        </w:rPr>
        <w:t>a</w:t>
      </w:r>
      <w:r w:rsidRPr="00972D9D">
        <w:rPr>
          <w:rFonts w:ascii="Verdana" w:eastAsia="Verdana" w:hAnsi="Verdana" w:cs="Times New Roman"/>
          <w:sz w:val="20"/>
          <w:szCs w:val="20"/>
          <w:lang w:val="es-CR"/>
        </w:rPr>
        <w:t>c</w:t>
      </w:r>
      <w:r w:rsidRPr="00972D9D">
        <w:rPr>
          <w:rFonts w:ascii="Verdana" w:eastAsia="Verdana" w:hAnsi="Verdana" w:cs="Times New Roman"/>
          <w:spacing w:val="2"/>
          <w:sz w:val="20"/>
          <w:szCs w:val="20"/>
          <w:lang w:val="es-CR"/>
        </w:rPr>
        <w:t>i</w:t>
      </w:r>
      <w:r w:rsidRPr="00972D9D">
        <w:rPr>
          <w:rFonts w:ascii="Verdana" w:eastAsia="Verdana" w:hAnsi="Verdana" w:cs="Times New Roman"/>
          <w:spacing w:val="-1"/>
          <w:sz w:val="20"/>
          <w:szCs w:val="20"/>
          <w:lang w:val="es-CR"/>
        </w:rPr>
        <w:t>ó</w:t>
      </w:r>
      <w:r w:rsidRPr="00972D9D">
        <w:rPr>
          <w:rFonts w:ascii="Verdana" w:eastAsia="Verdana" w:hAnsi="Verdana" w:cs="Times New Roman"/>
          <w:sz w:val="20"/>
          <w:szCs w:val="20"/>
          <w:lang w:val="es-CR"/>
        </w:rPr>
        <w:t>n</w:t>
      </w:r>
      <w:r w:rsidRPr="00972D9D">
        <w:rPr>
          <w:rFonts w:ascii="Verdana" w:eastAsia="Verdana" w:hAnsi="Verdana" w:cs="Times New Roman"/>
          <w:spacing w:val="28"/>
          <w:sz w:val="20"/>
          <w:szCs w:val="20"/>
          <w:lang w:val="es-CR"/>
        </w:rPr>
        <w:t xml:space="preserve"> </w:t>
      </w:r>
      <w:r w:rsidRPr="00972D9D">
        <w:rPr>
          <w:rFonts w:ascii="Verdana" w:eastAsia="Verdana" w:hAnsi="Verdana" w:cs="Times New Roman"/>
          <w:spacing w:val="1"/>
          <w:sz w:val="20"/>
          <w:szCs w:val="20"/>
          <w:lang w:val="es-CR"/>
        </w:rPr>
        <w:t>qu</w:t>
      </w:r>
      <w:r w:rsidRPr="00972D9D">
        <w:rPr>
          <w:rFonts w:ascii="Verdana" w:eastAsia="Verdana" w:hAnsi="Verdana" w:cs="Times New Roman"/>
          <w:sz w:val="20"/>
          <w:szCs w:val="20"/>
          <w:lang w:val="es-CR"/>
        </w:rPr>
        <w:t>e</w:t>
      </w:r>
      <w:r w:rsidRPr="00972D9D">
        <w:rPr>
          <w:rFonts w:ascii="Verdana" w:eastAsia="Verdana" w:hAnsi="Verdana" w:cs="Times New Roman"/>
          <w:spacing w:val="38"/>
          <w:sz w:val="20"/>
          <w:szCs w:val="20"/>
          <w:lang w:val="es-CR"/>
        </w:rPr>
        <w:t xml:space="preserve"> </w:t>
      </w:r>
      <w:r w:rsidRPr="00972D9D">
        <w:rPr>
          <w:rFonts w:ascii="Verdana" w:eastAsia="Verdana" w:hAnsi="Verdana" w:cs="Times New Roman"/>
          <w:spacing w:val="-1"/>
          <w:sz w:val="20"/>
          <w:szCs w:val="20"/>
          <w:lang w:val="es-CR"/>
        </w:rPr>
        <w:t>re</w:t>
      </w:r>
      <w:r w:rsidRPr="00972D9D">
        <w:rPr>
          <w:rFonts w:ascii="Verdana" w:eastAsia="Verdana" w:hAnsi="Verdana" w:cs="Times New Roman"/>
          <w:spacing w:val="3"/>
          <w:sz w:val="20"/>
          <w:szCs w:val="20"/>
          <w:lang w:val="es-CR"/>
        </w:rPr>
        <w:t>l</w:t>
      </w:r>
      <w:r w:rsidRPr="00972D9D">
        <w:rPr>
          <w:rFonts w:ascii="Verdana" w:eastAsia="Verdana" w:hAnsi="Verdana" w:cs="Times New Roman"/>
          <w:sz w:val="20"/>
          <w:szCs w:val="20"/>
          <w:lang w:val="es-CR"/>
        </w:rPr>
        <w:t>ac</w:t>
      </w:r>
      <w:r w:rsidRPr="00972D9D">
        <w:rPr>
          <w:rFonts w:ascii="Verdana" w:eastAsia="Verdana" w:hAnsi="Verdana" w:cs="Times New Roman"/>
          <w:spacing w:val="3"/>
          <w:sz w:val="20"/>
          <w:szCs w:val="20"/>
          <w:lang w:val="es-CR"/>
        </w:rPr>
        <w:t>i</w:t>
      </w:r>
      <w:r w:rsidRPr="00972D9D">
        <w:rPr>
          <w:rFonts w:ascii="Verdana" w:eastAsia="Verdana" w:hAnsi="Verdana" w:cs="Times New Roman"/>
          <w:spacing w:val="-1"/>
          <w:sz w:val="20"/>
          <w:szCs w:val="20"/>
          <w:lang w:val="es-CR"/>
        </w:rPr>
        <w:t>o</w:t>
      </w:r>
      <w:r w:rsidRPr="00972D9D">
        <w:rPr>
          <w:rFonts w:ascii="Verdana" w:eastAsia="Verdana" w:hAnsi="Verdana" w:cs="Times New Roman"/>
          <w:spacing w:val="1"/>
          <w:sz w:val="20"/>
          <w:szCs w:val="20"/>
          <w:lang w:val="es-CR"/>
        </w:rPr>
        <w:t>n</w:t>
      </w:r>
      <w:r w:rsidRPr="00972D9D">
        <w:rPr>
          <w:rFonts w:ascii="Verdana" w:eastAsia="Verdana" w:hAnsi="Verdana" w:cs="Times New Roman"/>
          <w:sz w:val="20"/>
          <w:szCs w:val="20"/>
          <w:lang w:val="es-CR"/>
        </w:rPr>
        <w:t>e</w:t>
      </w:r>
      <w:r w:rsidRPr="00972D9D">
        <w:rPr>
          <w:rFonts w:ascii="Verdana" w:eastAsia="Verdana" w:hAnsi="Verdana" w:cs="Times New Roman"/>
          <w:spacing w:val="32"/>
          <w:sz w:val="20"/>
          <w:szCs w:val="20"/>
          <w:lang w:val="es-CR"/>
        </w:rPr>
        <w:t xml:space="preserve"> </w:t>
      </w:r>
      <w:r w:rsidRPr="00972D9D">
        <w:rPr>
          <w:rFonts w:ascii="Verdana" w:eastAsia="Verdana" w:hAnsi="Verdana" w:cs="Times New Roman"/>
          <w:spacing w:val="3"/>
          <w:sz w:val="20"/>
          <w:szCs w:val="20"/>
          <w:lang w:val="es-CR"/>
        </w:rPr>
        <w:t>l</w:t>
      </w:r>
      <w:r w:rsidRPr="00972D9D">
        <w:rPr>
          <w:rFonts w:ascii="Verdana" w:eastAsia="Verdana" w:hAnsi="Verdana" w:cs="Times New Roman"/>
          <w:sz w:val="20"/>
          <w:szCs w:val="20"/>
          <w:lang w:val="es-CR"/>
        </w:rPr>
        <w:t>a</w:t>
      </w:r>
      <w:r w:rsidRPr="00972D9D">
        <w:rPr>
          <w:rFonts w:ascii="Verdana" w:eastAsia="Verdana" w:hAnsi="Verdana" w:cs="Times New Roman"/>
          <w:spacing w:val="41"/>
          <w:sz w:val="20"/>
          <w:szCs w:val="20"/>
          <w:lang w:val="es-CR"/>
        </w:rPr>
        <w:t xml:space="preserve"> </w:t>
      </w:r>
      <w:r w:rsidRPr="00972D9D">
        <w:rPr>
          <w:rFonts w:ascii="Verdana" w:eastAsia="Verdana" w:hAnsi="Verdana" w:cs="Times New Roman"/>
          <w:spacing w:val="-2"/>
          <w:sz w:val="20"/>
          <w:szCs w:val="20"/>
          <w:lang w:val="es-CR"/>
        </w:rPr>
        <w:t>p</w:t>
      </w:r>
      <w:r w:rsidRPr="00972D9D">
        <w:rPr>
          <w:rFonts w:ascii="Verdana" w:eastAsia="Verdana" w:hAnsi="Verdana" w:cs="Times New Roman"/>
          <w:spacing w:val="-1"/>
          <w:sz w:val="20"/>
          <w:szCs w:val="20"/>
          <w:lang w:val="es-CR"/>
        </w:rPr>
        <w:t>r</w:t>
      </w:r>
      <w:r w:rsidRPr="00972D9D">
        <w:rPr>
          <w:rFonts w:ascii="Verdana" w:eastAsia="Verdana" w:hAnsi="Verdana" w:cs="Times New Roman"/>
          <w:spacing w:val="1"/>
          <w:sz w:val="20"/>
          <w:szCs w:val="20"/>
          <w:lang w:val="es-CR"/>
        </w:rPr>
        <w:t>u</w:t>
      </w:r>
      <w:r w:rsidRPr="00972D9D">
        <w:rPr>
          <w:rFonts w:ascii="Verdana" w:eastAsia="Verdana" w:hAnsi="Verdana" w:cs="Times New Roman"/>
          <w:spacing w:val="-1"/>
          <w:sz w:val="20"/>
          <w:szCs w:val="20"/>
          <w:lang w:val="es-CR"/>
        </w:rPr>
        <w:t>e</w:t>
      </w:r>
      <w:r w:rsidRPr="00972D9D">
        <w:rPr>
          <w:rFonts w:ascii="Verdana" w:eastAsia="Verdana" w:hAnsi="Verdana" w:cs="Times New Roman"/>
          <w:spacing w:val="1"/>
          <w:sz w:val="20"/>
          <w:szCs w:val="20"/>
          <w:lang w:val="es-CR"/>
        </w:rPr>
        <w:t>b</w:t>
      </w:r>
      <w:r w:rsidRPr="00972D9D">
        <w:rPr>
          <w:rFonts w:ascii="Verdana" w:eastAsia="Verdana" w:hAnsi="Verdana" w:cs="Times New Roman"/>
          <w:sz w:val="20"/>
          <w:szCs w:val="20"/>
          <w:lang w:val="es-CR"/>
        </w:rPr>
        <w:t>a</w:t>
      </w:r>
      <w:r w:rsidRPr="00972D9D">
        <w:rPr>
          <w:rFonts w:ascii="Verdana" w:eastAsia="Verdana" w:hAnsi="Verdana" w:cs="Times New Roman"/>
          <w:spacing w:val="35"/>
          <w:sz w:val="20"/>
          <w:szCs w:val="20"/>
          <w:lang w:val="es-CR"/>
        </w:rPr>
        <w:t xml:space="preserve"> </w:t>
      </w:r>
      <w:r w:rsidRPr="00972D9D">
        <w:rPr>
          <w:rFonts w:ascii="Verdana" w:eastAsia="Verdana" w:hAnsi="Verdana" w:cs="Times New Roman"/>
          <w:spacing w:val="2"/>
          <w:sz w:val="20"/>
          <w:szCs w:val="20"/>
          <w:lang w:val="es-CR"/>
        </w:rPr>
        <w:t>c</w:t>
      </w:r>
      <w:r w:rsidRPr="00972D9D">
        <w:rPr>
          <w:rFonts w:ascii="Verdana" w:eastAsia="Verdana" w:hAnsi="Verdana" w:cs="Times New Roman"/>
          <w:spacing w:val="-1"/>
          <w:sz w:val="20"/>
          <w:szCs w:val="20"/>
          <w:lang w:val="es-CR"/>
        </w:rPr>
        <w:t>o</w:t>
      </w:r>
      <w:r w:rsidRPr="00972D9D">
        <w:rPr>
          <w:rFonts w:ascii="Verdana" w:eastAsia="Verdana" w:hAnsi="Verdana" w:cs="Times New Roman"/>
          <w:sz w:val="20"/>
          <w:szCs w:val="20"/>
          <w:lang w:val="es-CR"/>
        </w:rPr>
        <w:t>n</w:t>
      </w:r>
      <w:r w:rsidRPr="00972D9D">
        <w:rPr>
          <w:rFonts w:ascii="Verdana" w:eastAsia="Verdana" w:hAnsi="Verdana" w:cs="Times New Roman"/>
          <w:spacing w:val="40"/>
          <w:sz w:val="20"/>
          <w:szCs w:val="20"/>
          <w:lang w:val="es-CR"/>
        </w:rPr>
        <w:t xml:space="preserve"> </w:t>
      </w:r>
      <w:r w:rsidRPr="00972D9D">
        <w:rPr>
          <w:rFonts w:ascii="Verdana" w:eastAsia="Verdana" w:hAnsi="Verdana" w:cs="Times New Roman"/>
          <w:spacing w:val="-1"/>
          <w:sz w:val="20"/>
          <w:szCs w:val="20"/>
          <w:lang w:val="es-CR"/>
        </w:rPr>
        <w:t>e</w:t>
      </w:r>
      <w:r w:rsidRPr="00972D9D">
        <w:rPr>
          <w:rFonts w:ascii="Verdana" w:eastAsia="Verdana" w:hAnsi="Verdana" w:cs="Times New Roman"/>
          <w:sz w:val="20"/>
          <w:szCs w:val="20"/>
          <w:lang w:val="es-CR"/>
        </w:rPr>
        <w:t>l</w:t>
      </w:r>
      <w:r w:rsidRPr="00972D9D">
        <w:rPr>
          <w:rFonts w:ascii="Verdana" w:eastAsia="Verdana" w:hAnsi="Verdana" w:cs="Times New Roman"/>
          <w:spacing w:val="43"/>
          <w:sz w:val="20"/>
          <w:szCs w:val="20"/>
          <w:lang w:val="es-CR"/>
        </w:rPr>
        <w:t xml:space="preserve"> </w:t>
      </w:r>
      <w:r w:rsidRPr="00972D9D">
        <w:rPr>
          <w:rFonts w:ascii="Verdana" w:eastAsia="Verdana" w:hAnsi="Verdana" w:cs="Times New Roman"/>
          <w:spacing w:val="1"/>
          <w:sz w:val="20"/>
          <w:szCs w:val="20"/>
          <w:lang w:val="es-CR"/>
        </w:rPr>
        <w:t>h</w:t>
      </w:r>
      <w:r w:rsidRPr="00972D9D">
        <w:rPr>
          <w:rFonts w:ascii="Verdana" w:eastAsia="Verdana" w:hAnsi="Verdana" w:cs="Times New Roman"/>
          <w:spacing w:val="-1"/>
          <w:sz w:val="20"/>
          <w:szCs w:val="20"/>
          <w:lang w:val="es-CR"/>
        </w:rPr>
        <w:t>e</w:t>
      </w:r>
      <w:r w:rsidRPr="00972D9D">
        <w:rPr>
          <w:rFonts w:ascii="Verdana" w:eastAsia="Verdana" w:hAnsi="Verdana" w:cs="Times New Roman"/>
          <w:sz w:val="20"/>
          <w:szCs w:val="20"/>
          <w:lang w:val="es-CR"/>
        </w:rPr>
        <w:t>cho</w:t>
      </w:r>
      <w:r w:rsidRPr="00972D9D">
        <w:rPr>
          <w:rFonts w:ascii="Verdana" w:eastAsia="Verdana" w:hAnsi="Verdana" w:cs="Times New Roman"/>
          <w:spacing w:val="35"/>
          <w:sz w:val="20"/>
          <w:szCs w:val="20"/>
          <w:lang w:val="es-CR"/>
        </w:rPr>
        <w:t xml:space="preserve"> </w:t>
      </w:r>
      <w:r w:rsidRPr="00972D9D">
        <w:rPr>
          <w:rFonts w:ascii="Verdana" w:eastAsia="Verdana" w:hAnsi="Verdana" w:cs="Times New Roman"/>
          <w:spacing w:val="1"/>
          <w:sz w:val="20"/>
          <w:szCs w:val="20"/>
          <w:lang w:val="es-CR"/>
        </w:rPr>
        <w:t>q</w:t>
      </w:r>
      <w:r w:rsidRPr="00972D9D">
        <w:rPr>
          <w:rFonts w:ascii="Verdana" w:eastAsia="Verdana" w:hAnsi="Verdana" w:cs="Times New Roman"/>
          <w:spacing w:val="3"/>
          <w:sz w:val="20"/>
          <w:szCs w:val="20"/>
          <w:lang w:val="es-CR"/>
        </w:rPr>
        <w:t>u</w:t>
      </w:r>
      <w:r w:rsidRPr="00972D9D">
        <w:rPr>
          <w:rFonts w:ascii="Verdana" w:eastAsia="Verdana" w:hAnsi="Verdana" w:cs="Times New Roman"/>
          <w:sz w:val="20"/>
          <w:szCs w:val="20"/>
          <w:lang w:val="es-CR"/>
        </w:rPr>
        <w:t>e</w:t>
      </w:r>
      <w:r w:rsidRPr="00972D9D">
        <w:rPr>
          <w:rFonts w:ascii="Verdana" w:eastAsia="Verdana" w:hAnsi="Verdana" w:cs="Times New Roman"/>
          <w:spacing w:val="38"/>
          <w:sz w:val="20"/>
          <w:szCs w:val="20"/>
          <w:lang w:val="es-CR"/>
        </w:rPr>
        <w:t xml:space="preserve"> </w:t>
      </w:r>
      <w:r w:rsidRPr="00972D9D">
        <w:rPr>
          <w:rFonts w:ascii="Verdana" w:eastAsia="Verdana" w:hAnsi="Verdana" w:cs="Times New Roman"/>
          <w:spacing w:val="2"/>
          <w:sz w:val="20"/>
          <w:szCs w:val="20"/>
          <w:lang w:val="es-CR"/>
        </w:rPr>
        <w:t>s</w:t>
      </w:r>
      <w:r w:rsidRPr="00972D9D">
        <w:rPr>
          <w:rFonts w:ascii="Verdana" w:eastAsia="Verdana" w:hAnsi="Verdana" w:cs="Times New Roman"/>
          <w:sz w:val="20"/>
          <w:szCs w:val="20"/>
          <w:lang w:val="es-CR"/>
        </w:rPr>
        <w:t>e c</w:t>
      </w:r>
      <w:r w:rsidRPr="00972D9D">
        <w:rPr>
          <w:rFonts w:ascii="Verdana" w:eastAsia="Verdana" w:hAnsi="Verdana" w:cs="Times New Roman"/>
          <w:spacing w:val="-2"/>
          <w:sz w:val="20"/>
          <w:szCs w:val="20"/>
          <w:lang w:val="es-CR"/>
        </w:rPr>
        <w:t>o</w:t>
      </w:r>
      <w:r w:rsidRPr="00972D9D">
        <w:rPr>
          <w:rFonts w:ascii="Verdana" w:eastAsia="Verdana" w:hAnsi="Verdana" w:cs="Times New Roman"/>
          <w:spacing w:val="1"/>
          <w:sz w:val="20"/>
          <w:szCs w:val="20"/>
          <w:lang w:val="es-CR"/>
        </w:rPr>
        <w:t>n</w:t>
      </w:r>
      <w:r w:rsidRPr="00972D9D">
        <w:rPr>
          <w:rFonts w:ascii="Verdana" w:eastAsia="Verdana" w:hAnsi="Verdana" w:cs="Times New Roman"/>
          <w:sz w:val="20"/>
          <w:szCs w:val="20"/>
          <w:lang w:val="es-CR"/>
        </w:rPr>
        <w:t>s</w:t>
      </w:r>
      <w:r w:rsidRPr="00972D9D">
        <w:rPr>
          <w:rFonts w:ascii="Verdana" w:eastAsia="Verdana" w:hAnsi="Verdana" w:cs="Times New Roman"/>
          <w:spacing w:val="2"/>
          <w:sz w:val="20"/>
          <w:szCs w:val="20"/>
          <w:lang w:val="es-CR"/>
        </w:rPr>
        <w:t>i</w:t>
      </w:r>
      <w:r w:rsidRPr="00972D9D">
        <w:rPr>
          <w:rFonts w:ascii="Verdana" w:eastAsia="Verdana" w:hAnsi="Verdana" w:cs="Times New Roman"/>
          <w:spacing w:val="1"/>
          <w:sz w:val="20"/>
          <w:szCs w:val="20"/>
          <w:lang w:val="es-CR"/>
        </w:rPr>
        <w:t>d</w:t>
      </w:r>
      <w:r w:rsidRPr="00972D9D">
        <w:rPr>
          <w:rFonts w:ascii="Verdana" w:eastAsia="Verdana" w:hAnsi="Verdana" w:cs="Times New Roman"/>
          <w:spacing w:val="-1"/>
          <w:sz w:val="20"/>
          <w:szCs w:val="20"/>
          <w:lang w:val="es-CR"/>
        </w:rPr>
        <w:t>er</w:t>
      </w:r>
      <w:r w:rsidRPr="00972D9D">
        <w:rPr>
          <w:rFonts w:ascii="Verdana" w:eastAsia="Verdana" w:hAnsi="Verdana" w:cs="Times New Roman"/>
          <w:sz w:val="20"/>
          <w:szCs w:val="20"/>
          <w:lang w:val="es-CR"/>
        </w:rPr>
        <w:t>a</w:t>
      </w:r>
      <w:r w:rsidRPr="00972D9D">
        <w:rPr>
          <w:rFonts w:ascii="Verdana" w:eastAsia="Verdana" w:hAnsi="Verdana" w:cs="Times New Roman"/>
          <w:spacing w:val="-6"/>
          <w:sz w:val="20"/>
          <w:szCs w:val="20"/>
          <w:lang w:val="es-CR"/>
        </w:rPr>
        <w:t xml:space="preserve"> </w:t>
      </w:r>
      <w:r w:rsidRPr="00972D9D">
        <w:rPr>
          <w:rFonts w:ascii="Verdana" w:eastAsia="Verdana" w:hAnsi="Verdana" w:cs="Times New Roman"/>
          <w:spacing w:val="-1"/>
          <w:sz w:val="20"/>
          <w:szCs w:val="20"/>
          <w:lang w:val="es-CR"/>
        </w:rPr>
        <w:t>re</w:t>
      </w:r>
      <w:r w:rsidRPr="00972D9D">
        <w:rPr>
          <w:rFonts w:ascii="Verdana" w:eastAsia="Verdana" w:hAnsi="Verdana" w:cs="Times New Roman"/>
          <w:spacing w:val="3"/>
          <w:sz w:val="20"/>
          <w:szCs w:val="20"/>
          <w:lang w:val="es-CR"/>
        </w:rPr>
        <w:t>p</w:t>
      </w:r>
      <w:r w:rsidRPr="00972D9D">
        <w:rPr>
          <w:rFonts w:ascii="Verdana" w:eastAsia="Verdana" w:hAnsi="Verdana" w:cs="Times New Roman"/>
          <w:spacing w:val="-1"/>
          <w:sz w:val="20"/>
          <w:szCs w:val="20"/>
          <w:lang w:val="es-CR"/>
        </w:rPr>
        <w:t>r</w:t>
      </w:r>
      <w:r w:rsidRPr="00972D9D">
        <w:rPr>
          <w:rFonts w:ascii="Verdana" w:eastAsia="Verdana" w:hAnsi="Verdana" w:cs="Times New Roman"/>
          <w:spacing w:val="1"/>
          <w:sz w:val="20"/>
          <w:szCs w:val="20"/>
          <w:lang w:val="es-CR"/>
        </w:rPr>
        <w:t>e</w:t>
      </w:r>
      <w:r w:rsidRPr="00972D9D">
        <w:rPr>
          <w:rFonts w:ascii="Verdana" w:eastAsia="Verdana" w:hAnsi="Verdana" w:cs="Times New Roman"/>
          <w:sz w:val="20"/>
          <w:szCs w:val="20"/>
          <w:lang w:val="es-CR"/>
        </w:rPr>
        <w:t>s</w:t>
      </w:r>
      <w:r w:rsidRPr="00972D9D">
        <w:rPr>
          <w:rFonts w:ascii="Verdana" w:eastAsia="Verdana" w:hAnsi="Verdana" w:cs="Times New Roman"/>
          <w:spacing w:val="-2"/>
          <w:sz w:val="20"/>
          <w:szCs w:val="20"/>
          <w:lang w:val="es-CR"/>
        </w:rPr>
        <w:t>e</w:t>
      </w:r>
      <w:r w:rsidRPr="00972D9D">
        <w:rPr>
          <w:rFonts w:ascii="Verdana" w:eastAsia="Verdana" w:hAnsi="Verdana" w:cs="Times New Roman"/>
          <w:spacing w:val="1"/>
          <w:sz w:val="20"/>
          <w:szCs w:val="20"/>
          <w:lang w:val="es-CR"/>
        </w:rPr>
        <w:t>nt</w:t>
      </w:r>
      <w:r w:rsidRPr="00972D9D">
        <w:rPr>
          <w:rFonts w:ascii="Verdana" w:eastAsia="Verdana" w:hAnsi="Verdana" w:cs="Times New Roman"/>
          <w:sz w:val="20"/>
          <w:szCs w:val="20"/>
          <w:lang w:val="es-CR"/>
        </w:rPr>
        <w:t>a</w:t>
      </w:r>
      <w:r w:rsidRPr="00972D9D">
        <w:rPr>
          <w:rFonts w:ascii="Verdana" w:eastAsia="Verdana" w:hAnsi="Verdana" w:cs="Times New Roman"/>
          <w:spacing w:val="3"/>
          <w:sz w:val="20"/>
          <w:szCs w:val="20"/>
          <w:lang w:val="es-CR"/>
        </w:rPr>
        <w:t>d</w:t>
      </w:r>
      <w:r w:rsidRPr="00972D9D">
        <w:rPr>
          <w:rFonts w:ascii="Verdana" w:eastAsia="Verdana" w:hAnsi="Verdana" w:cs="Times New Roman"/>
          <w:spacing w:val="-1"/>
          <w:sz w:val="20"/>
          <w:szCs w:val="20"/>
          <w:lang w:val="es-CR"/>
        </w:rPr>
        <w:t>o</w:t>
      </w:r>
      <w:r w:rsidRPr="00972D9D">
        <w:rPr>
          <w:rFonts w:ascii="Verdana" w:eastAsia="Verdana" w:hAnsi="Verdana" w:cs="Times New Roman"/>
          <w:sz w:val="20"/>
          <w:szCs w:val="20"/>
          <w:lang w:val="es-CR"/>
        </w:rPr>
        <w:t>,</w:t>
      </w:r>
      <w:r w:rsidRPr="00972D9D">
        <w:rPr>
          <w:rFonts w:ascii="Verdana" w:eastAsia="Verdana" w:hAnsi="Verdana" w:cs="Times New Roman"/>
          <w:spacing w:val="-11"/>
          <w:sz w:val="20"/>
          <w:szCs w:val="20"/>
          <w:lang w:val="es-CR"/>
        </w:rPr>
        <w:t xml:space="preserve"> </w:t>
      </w:r>
      <w:r w:rsidRPr="00972D9D">
        <w:rPr>
          <w:rFonts w:ascii="Verdana" w:eastAsia="Verdana" w:hAnsi="Verdana" w:cs="Times New Roman"/>
          <w:sz w:val="20"/>
          <w:szCs w:val="20"/>
          <w:lang w:val="es-CR"/>
        </w:rPr>
        <w:t xml:space="preserve">y </w:t>
      </w:r>
      <w:r w:rsidRPr="00972D9D">
        <w:rPr>
          <w:rFonts w:ascii="Verdana" w:eastAsia="Verdana" w:hAnsi="Verdana" w:cs="Times New Roman"/>
          <w:spacing w:val="1"/>
          <w:sz w:val="20"/>
          <w:szCs w:val="20"/>
          <w:lang w:val="es-CR"/>
        </w:rPr>
        <w:t>qu</w:t>
      </w:r>
      <w:r w:rsidRPr="00972D9D">
        <w:rPr>
          <w:rFonts w:ascii="Verdana" w:eastAsia="Verdana" w:hAnsi="Verdana" w:cs="Times New Roman"/>
          <w:spacing w:val="-1"/>
          <w:sz w:val="20"/>
          <w:szCs w:val="20"/>
          <w:lang w:val="es-CR"/>
        </w:rPr>
        <w:t>e</w:t>
      </w:r>
      <w:r w:rsidRPr="00972D9D">
        <w:rPr>
          <w:rFonts w:ascii="Verdana" w:eastAsia="Verdana" w:hAnsi="Verdana" w:cs="Times New Roman"/>
          <w:sz w:val="20"/>
          <w:szCs w:val="20"/>
          <w:lang w:val="es-CR"/>
        </w:rPr>
        <w:t>,</w:t>
      </w:r>
      <w:r w:rsidRPr="00972D9D">
        <w:rPr>
          <w:rFonts w:ascii="Verdana" w:eastAsia="Verdana" w:hAnsi="Verdana" w:cs="Times New Roman"/>
          <w:spacing w:val="-3"/>
          <w:sz w:val="20"/>
          <w:szCs w:val="20"/>
          <w:lang w:val="es-CR"/>
        </w:rPr>
        <w:t xml:space="preserve"> </w:t>
      </w:r>
      <w:r w:rsidRPr="00972D9D">
        <w:rPr>
          <w:rFonts w:ascii="Verdana" w:eastAsia="Verdana" w:hAnsi="Verdana" w:cs="Times New Roman"/>
          <w:sz w:val="20"/>
          <w:szCs w:val="20"/>
          <w:lang w:val="es-CR"/>
        </w:rPr>
        <w:t>al</w:t>
      </w:r>
      <w:r w:rsidRPr="00972D9D">
        <w:rPr>
          <w:rFonts w:ascii="Verdana" w:eastAsia="Verdana" w:hAnsi="Verdana" w:cs="Times New Roman"/>
          <w:spacing w:val="2"/>
          <w:sz w:val="20"/>
          <w:szCs w:val="20"/>
          <w:lang w:val="es-CR"/>
        </w:rPr>
        <w:t xml:space="preserve"> </w:t>
      </w:r>
      <w:r w:rsidRPr="00972D9D">
        <w:rPr>
          <w:rFonts w:ascii="Verdana" w:eastAsia="Verdana" w:hAnsi="Verdana" w:cs="Times New Roman"/>
          <w:spacing w:val="1"/>
          <w:sz w:val="20"/>
          <w:szCs w:val="20"/>
          <w:lang w:val="es-CR"/>
        </w:rPr>
        <w:t>t</w:t>
      </w:r>
      <w:r w:rsidRPr="00972D9D">
        <w:rPr>
          <w:rFonts w:ascii="Verdana" w:eastAsia="Verdana" w:hAnsi="Verdana" w:cs="Times New Roman"/>
          <w:spacing w:val="-1"/>
          <w:sz w:val="20"/>
          <w:szCs w:val="20"/>
          <w:lang w:val="es-CR"/>
        </w:rPr>
        <w:t>r</w:t>
      </w:r>
      <w:r w:rsidRPr="00972D9D">
        <w:rPr>
          <w:rFonts w:ascii="Verdana" w:eastAsia="Verdana" w:hAnsi="Verdana" w:cs="Times New Roman"/>
          <w:sz w:val="20"/>
          <w:szCs w:val="20"/>
          <w:lang w:val="es-CR"/>
        </w:rPr>
        <w:t>a</w:t>
      </w:r>
      <w:r w:rsidRPr="00972D9D">
        <w:rPr>
          <w:rFonts w:ascii="Verdana" w:eastAsia="Verdana" w:hAnsi="Verdana" w:cs="Times New Roman"/>
          <w:spacing w:val="1"/>
          <w:sz w:val="20"/>
          <w:szCs w:val="20"/>
          <w:lang w:val="es-CR"/>
        </w:rPr>
        <w:t>t</w:t>
      </w:r>
      <w:r w:rsidRPr="00972D9D">
        <w:rPr>
          <w:rFonts w:ascii="Verdana" w:eastAsia="Verdana" w:hAnsi="Verdana" w:cs="Times New Roman"/>
          <w:sz w:val="20"/>
          <w:szCs w:val="20"/>
          <w:lang w:val="es-CR"/>
        </w:rPr>
        <w:t>a</w:t>
      </w:r>
      <w:r w:rsidRPr="00972D9D">
        <w:rPr>
          <w:rFonts w:ascii="Verdana" w:eastAsia="Verdana" w:hAnsi="Verdana" w:cs="Times New Roman"/>
          <w:spacing w:val="-1"/>
          <w:sz w:val="20"/>
          <w:szCs w:val="20"/>
          <w:lang w:val="es-CR"/>
        </w:rPr>
        <w:t>r</w:t>
      </w:r>
      <w:r w:rsidRPr="00972D9D">
        <w:rPr>
          <w:rFonts w:ascii="Verdana" w:eastAsia="Verdana" w:hAnsi="Verdana" w:cs="Times New Roman"/>
          <w:sz w:val="20"/>
          <w:szCs w:val="20"/>
          <w:lang w:val="es-CR"/>
        </w:rPr>
        <w:t>se</w:t>
      </w:r>
      <w:r w:rsidRPr="00972D9D">
        <w:rPr>
          <w:rFonts w:ascii="Verdana" w:eastAsia="Verdana" w:hAnsi="Verdana" w:cs="Times New Roman"/>
          <w:spacing w:val="-8"/>
          <w:sz w:val="20"/>
          <w:szCs w:val="20"/>
          <w:lang w:val="es-CR"/>
        </w:rPr>
        <w:t xml:space="preserve"> </w:t>
      </w:r>
      <w:r w:rsidRPr="00972D9D">
        <w:rPr>
          <w:rFonts w:ascii="Verdana" w:eastAsia="Verdana" w:hAnsi="Verdana" w:cs="Times New Roman"/>
          <w:spacing w:val="1"/>
          <w:sz w:val="20"/>
          <w:szCs w:val="20"/>
          <w:lang w:val="es-CR"/>
        </w:rPr>
        <w:t>d</w:t>
      </w:r>
      <w:r w:rsidRPr="00972D9D">
        <w:rPr>
          <w:rFonts w:ascii="Verdana" w:eastAsia="Verdana" w:hAnsi="Verdana" w:cs="Times New Roman"/>
          <w:sz w:val="20"/>
          <w:szCs w:val="20"/>
          <w:lang w:val="es-CR"/>
        </w:rPr>
        <w:t>e</w:t>
      </w:r>
      <w:r w:rsidRPr="00972D9D">
        <w:rPr>
          <w:rFonts w:ascii="Verdana" w:eastAsia="Verdana" w:hAnsi="Verdana" w:cs="Times New Roman"/>
          <w:spacing w:val="-2"/>
          <w:sz w:val="20"/>
          <w:szCs w:val="20"/>
          <w:lang w:val="es-CR"/>
        </w:rPr>
        <w:t xml:space="preserve"> </w:t>
      </w:r>
      <w:r w:rsidRPr="00972D9D">
        <w:rPr>
          <w:rFonts w:ascii="Verdana" w:eastAsia="Verdana" w:hAnsi="Verdana" w:cs="Times New Roman"/>
          <w:sz w:val="20"/>
          <w:szCs w:val="20"/>
          <w:lang w:val="es-CR"/>
        </w:rPr>
        <w:t>a</w:t>
      </w:r>
      <w:r w:rsidRPr="00972D9D">
        <w:rPr>
          <w:rFonts w:ascii="Verdana" w:eastAsia="Verdana" w:hAnsi="Verdana" w:cs="Times New Roman"/>
          <w:spacing w:val="3"/>
          <w:sz w:val="20"/>
          <w:szCs w:val="20"/>
          <w:lang w:val="es-CR"/>
        </w:rPr>
        <w:t>l</w:t>
      </w:r>
      <w:r w:rsidRPr="00972D9D">
        <w:rPr>
          <w:rFonts w:ascii="Verdana" w:eastAsia="Verdana" w:hAnsi="Verdana" w:cs="Times New Roman"/>
          <w:spacing w:val="-1"/>
          <w:sz w:val="20"/>
          <w:szCs w:val="20"/>
          <w:lang w:val="es-CR"/>
        </w:rPr>
        <w:t>e</w:t>
      </w:r>
      <w:r w:rsidRPr="00972D9D">
        <w:rPr>
          <w:rFonts w:ascii="Verdana" w:eastAsia="Verdana" w:hAnsi="Verdana" w:cs="Times New Roman"/>
          <w:spacing w:val="1"/>
          <w:sz w:val="20"/>
          <w:szCs w:val="20"/>
          <w:lang w:val="es-CR"/>
        </w:rPr>
        <w:t>g</w:t>
      </w:r>
      <w:r w:rsidRPr="00972D9D">
        <w:rPr>
          <w:rFonts w:ascii="Verdana" w:eastAsia="Verdana" w:hAnsi="Verdana" w:cs="Times New Roman"/>
          <w:sz w:val="20"/>
          <w:szCs w:val="20"/>
          <w:lang w:val="es-CR"/>
        </w:rPr>
        <w:t>a</w:t>
      </w:r>
      <w:r w:rsidRPr="00972D9D">
        <w:rPr>
          <w:rFonts w:ascii="Verdana" w:eastAsia="Verdana" w:hAnsi="Verdana" w:cs="Times New Roman"/>
          <w:spacing w:val="1"/>
          <w:sz w:val="20"/>
          <w:szCs w:val="20"/>
          <w:lang w:val="es-CR"/>
        </w:rPr>
        <w:t>do</w:t>
      </w:r>
      <w:r w:rsidRPr="00972D9D">
        <w:rPr>
          <w:rFonts w:ascii="Verdana" w:eastAsia="Verdana" w:hAnsi="Verdana" w:cs="Times New Roman"/>
          <w:sz w:val="20"/>
          <w:szCs w:val="20"/>
          <w:lang w:val="es-CR"/>
        </w:rPr>
        <w:t>s</w:t>
      </w:r>
      <w:r w:rsidRPr="00972D9D">
        <w:rPr>
          <w:rFonts w:ascii="Verdana" w:eastAsia="Verdana" w:hAnsi="Verdana" w:cs="Times New Roman"/>
          <w:spacing w:val="-8"/>
          <w:sz w:val="20"/>
          <w:szCs w:val="20"/>
          <w:lang w:val="es-CR"/>
        </w:rPr>
        <w:t xml:space="preserve"> </w:t>
      </w:r>
      <w:r w:rsidRPr="00972D9D">
        <w:rPr>
          <w:rFonts w:ascii="Verdana" w:eastAsia="Verdana" w:hAnsi="Verdana" w:cs="Times New Roman"/>
          <w:spacing w:val="1"/>
          <w:sz w:val="20"/>
          <w:szCs w:val="20"/>
          <w:lang w:val="es-CR"/>
        </w:rPr>
        <w:t>d</w:t>
      </w:r>
      <w:r w:rsidRPr="00972D9D">
        <w:rPr>
          <w:rFonts w:ascii="Verdana" w:eastAsia="Verdana" w:hAnsi="Verdana" w:cs="Times New Roman"/>
          <w:spacing w:val="-1"/>
          <w:sz w:val="20"/>
          <w:szCs w:val="20"/>
          <w:lang w:val="es-CR"/>
        </w:rPr>
        <w:t>e</w:t>
      </w:r>
      <w:r w:rsidRPr="00972D9D">
        <w:rPr>
          <w:rFonts w:ascii="Verdana" w:eastAsia="Verdana" w:hAnsi="Verdana" w:cs="Times New Roman"/>
          <w:spacing w:val="2"/>
          <w:sz w:val="20"/>
          <w:szCs w:val="20"/>
          <w:lang w:val="es-CR"/>
        </w:rPr>
        <w:t>s</w:t>
      </w:r>
      <w:r w:rsidRPr="00972D9D">
        <w:rPr>
          <w:rFonts w:ascii="Verdana" w:eastAsia="Verdana" w:hAnsi="Verdana" w:cs="Times New Roman"/>
          <w:spacing w:val="-1"/>
          <w:sz w:val="20"/>
          <w:szCs w:val="20"/>
          <w:lang w:val="es-CR"/>
        </w:rPr>
        <w:t>e</w:t>
      </w:r>
      <w:r w:rsidRPr="00972D9D">
        <w:rPr>
          <w:rFonts w:ascii="Verdana" w:eastAsia="Verdana" w:hAnsi="Verdana" w:cs="Times New Roman"/>
          <w:sz w:val="20"/>
          <w:szCs w:val="20"/>
          <w:lang w:val="es-CR"/>
        </w:rPr>
        <w:t>m</w:t>
      </w:r>
      <w:r w:rsidRPr="00972D9D">
        <w:rPr>
          <w:rFonts w:ascii="Verdana" w:eastAsia="Verdana" w:hAnsi="Verdana" w:cs="Times New Roman"/>
          <w:spacing w:val="3"/>
          <w:sz w:val="20"/>
          <w:szCs w:val="20"/>
          <w:lang w:val="es-CR"/>
        </w:rPr>
        <w:t>b</w:t>
      </w:r>
      <w:r w:rsidRPr="00972D9D">
        <w:rPr>
          <w:rFonts w:ascii="Verdana" w:eastAsia="Verdana" w:hAnsi="Verdana" w:cs="Times New Roman"/>
          <w:spacing w:val="-1"/>
          <w:sz w:val="20"/>
          <w:szCs w:val="20"/>
          <w:lang w:val="es-CR"/>
        </w:rPr>
        <w:t>o</w:t>
      </w:r>
      <w:r w:rsidRPr="00972D9D">
        <w:rPr>
          <w:rFonts w:ascii="Verdana" w:eastAsia="Verdana" w:hAnsi="Verdana" w:cs="Times New Roman"/>
          <w:spacing w:val="3"/>
          <w:sz w:val="20"/>
          <w:szCs w:val="20"/>
          <w:lang w:val="es-CR"/>
        </w:rPr>
        <w:t>l</w:t>
      </w:r>
      <w:r w:rsidRPr="00972D9D">
        <w:rPr>
          <w:rFonts w:ascii="Verdana" w:eastAsia="Verdana" w:hAnsi="Verdana" w:cs="Times New Roman"/>
          <w:sz w:val="20"/>
          <w:szCs w:val="20"/>
          <w:lang w:val="es-CR"/>
        </w:rPr>
        <w:t>s</w:t>
      </w:r>
      <w:r w:rsidRPr="00972D9D">
        <w:rPr>
          <w:rFonts w:ascii="Verdana" w:eastAsia="Verdana" w:hAnsi="Verdana" w:cs="Times New Roman"/>
          <w:spacing w:val="-2"/>
          <w:sz w:val="20"/>
          <w:szCs w:val="20"/>
          <w:lang w:val="es-CR"/>
        </w:rPr>
        <w:t>o</w:t>
      </w:r>
      <w:r w:rsidRPr="00972D9D">
        <w:rPr>
          <w:rFonts w:ascii="Verdana" w:eastAsia="Verdana" w:hAnsi="Verdana" w:cs="Times New Roman"/>
          <w:sz w:val="20"/>
          <w:szCs w:val="20"/>
          <w:lang w:val="es-CR"/>
        </w:rPr>
        <w:t>s</w:t>
      </w:r>
      <w:r w:rsidRPr="00972D9D">
        <w:rPr>
          <w:rFonts w:ascii="Verdana" w:eastAsia="Verdana" w:hAnsi="Verdana" w:cs="Times New Roman"/>
          <w:spacing w:val="-12"/>
          <w:sz w:val="20"/>
          <w:szCs w:val="20"/>
          <w:lang w:val="es-CR"/>
        </w:rPr>
        <w:t xml:space="preserve"> </w:t>
      </w:r>
      <w:r w:rsidRPr="00972D9D">
        <w:rPr>
          <w:rFonts w:ascii="Verdana" w:eastAsia="Verdana" w:hAnsi="Verdana" w:cs="Times New Roman"/>
          <w:spacing w:val="1"/>
          <w:sz w:val="20"/>
          <w:szCs w:val="20"/>
          <w:lang w:val="es-CR"/>
        </w:rPr>
        <w:t>e</w:t>
      </w:r>
      <w:r w:rsidRPr="00972D9D">
        <w:rPr>
          <w:rFonts w:ascii="Verdana" w:eastAsia="Verdana" w:hAnsi="Verdana" w:cs="Times New Roman"/>
          <w:spacing w:val="2"/>
          <w:sz w:val="20"/>
          <w:szCs w:val="20"/>
          <w:lang w:val="es-CR"/>
        </w:rPr>
        <w:t>c</w:t>
      </w:r>
      <w:r w:rsidRPr="00972D9D">
        <w:rPr>
          <w:rFonts w:ascii="Verdana" w:eastAsia="Verdana" w:hAnsi="Verdana" w:cs="Times New Roman"/>
          <w:spacing w:val="-1"/>
          <w:sz w:val="20"/>
          <w:szCs w:val="20"/>
          <w:lang w:val="es-CR"/>
        </w:rPr>
        <w:t>o</w:t>
      </w:r>
      <w:r w:rsidRPr="00972D9D">
        <w:rPr>
          <w:rFonts w:ascii="Verdana" w:eastAsia="Verdana" w:hAnsi="Verdana" w:cs="Times New Roman"/>
          <w:spacing w:val="1"/>
          <w:sz w:val="20"/>
          <w:szCs w:val="20"/>
          <w:lang w:val="es-CR"/>
        </w:rPr>
        <w:t>n</w:t>
      </w:r>
      <w:r w:rsidRPr="00972D9D">
        <w:rPr>
          <w:rFonts w:ascii="Verdana" w:eastAsia="Verdana" w:hAnsi="Verdana" w:cs="Times New Roman"/>
          <w:spacing w:val="-1"/>
          <w:sz w:val="20"/>
          <w:szCs w:val="20"/>
          <w:lang w:val="es-CR"/>
        </w:rPr>
        <w:t>ó</w:t>
      </w:r>
      <w:r w:rsidRPr="00972D9D">
        <w:rPr>
          <w:rFonts w:ascii="Verdana" w:eastAsia="Verdana" w:hAnsi="Verdana" w:cs="Times New Roman"/>
          <w:sz w:val="20"/>
          <w:szCs w:val="20"/>
          <w:lang w:val="es-CR"/>
        </w:rPr>
        <w:t>m</w:t>
      </w:r>
      <w:r w:rsidRPr="00972D9D">
        <w:rPr>
          <w:rFonts w:ascii="Verdana" w:eastAsia="Verdana" w:hAnsi="Verdana" w:cs="Times New Roman"/>
          <w:spacing w:val="3"/>
          <w:sz w:val="20"/>
          <w:szCs w:val="20"/>
          <w:lang w:val="es-CR"/>
        </w:rPr>
        <w:t>i</w:t>
      </w:r>
      <w:r w:rsidRPr="00972D9D">
        <w:rPr>
          <w:rFonts w:ascii="Verdana" w:eastAsia="Verdana" w:hAnsi="Verdana" w:cs="Times New Roman"/>
          <w:sz w:val="20"/>
          <w:szCs w:val="20"/>
          <w:lang w:val="es-CR"/>
        </w:rPr>
        <w:t>c</w:t>
      </w:r>
      <w:r w:rsidRPr="00972D9D">
        <w:rPr>
          <w:rFonts w:ascii="Verdana" w:eastAsia="Verdana" w:hAnsi="Verdana" w:cs="Times New Roman"/>
          <w:spacing w:val="-2"/>
          <w:sz w:val="20"/>
          <w:szCs w:val="20"/>
          <w:lang w:val="es-CR"/>
        </w:rPr>
        <w:t>o</w:t>
      </w:r>
      <w:r w:rsidRPr="00972D9D">
        <w:rPr>
          <w:rFonts w:ascii="Verdana" w:eastAsia="Verdana" w:hAnsi="Verdana" w:cs="Times New Roman"/>
          <w:spacing w:val="2"/>
          <w:sz w:val="20"/>
          <w:szCs w:val="20"/>
          <w:lang w:val="es-CR"/>
        </w:rPr>
        <w:t>s</w:t>
      </w:r>
      <w:r w:rsidRPr="00972D9D">
        <w:rPr>
          <w:rFonts w:ascii="Verdana" w:eastAsia="Verdana" w:hAnsi="Verdana" w:cs="Times New Roman"/>
          <w:sz w:val="20"/>
          <w:szCs w:val="20"/>
          <w:lang w:val="es-CR"/>
        </w:rPr>
        <w:t>,</w:t>
      </w:r>
      <w:r w:rsidRPr="00972D9D">
        <w:rPr>
          <w:rFonts w:ascii="Verdana" w:eastAsia="Verdana" w:hAnsi="Verdana" w:cs="Times New Roman"/>
          <w:spacing w:val="-11"/>
          <w:sz w:val="20"/>
          <w:szCs w:val="20"/>
          <w:lang w:val="es-CR"/>
        </w:rPr>
        <w:t xml:space="preserve"> </w:t>
      </w:r>
      <w:r w:rsidRPr="00972D9D">
        <w:rPr>
          <w:rFonts w:ascii="Verdana" w:eastAsia="Verdana" w:hAnsi="Verdana" w:cs="Times New Roman"/>
          <w:sz w:val="20"/>
          <w:szCs w:val="20"/>
          <w:lang w:val="es-CR"/>
        </w:rPr>
        <w:t xml:space="preserve">se </w:t>
      </w:r>
      <w:r w:rsidRPr="00972D9D">
        <w:rPr>
          <w:rFonts w:ascii="Verdana" w:eastAsia="Verdana" w:hAnsi="Verdana" w:cs="Times New Roman"/>
          <w:spacing w:val="-1"/>
          <w:sz w:val="20"/>
          <w:szCs w:val="20"/>
          <w:lang w:val="es-CR"/>
        </w:rPr>
        <w:t>e</w:t>
      </w:r>
      <w:r w:rsidRPr="00972D9D">
        <w:rPr>
          <w:rFonts w:ascii="Verdana" w:eastAsia="Verdana" w:hAnsi="Verdana" w:cs="Times New Roman"/>
          <w:sz w:val="20"/>
          <w:szCs w:val="20"/>
          <w:lang w:val="es-CR"/>
        </w:rPr>
        <w:t>sta</w:t>
      </w:r>
      <w:r w:rsidRPr="00972D9D">
        <w:rPr>
          <w:rFonts w:ascii="Verdana" w:eastAsia="Verdana" w:hAnsi="Verdana" w:cs="Times New Roman"/>
          <w:spacing w:val="1"/>
          <w:sz w:val="20"/>
          <w:szCs w:val="20"/>
          <w:lang w:val="es-CR"/>
        </w:rPr>
        <w:t>b</w:t>
      </w:r>
      <w:r w:rsidRPr="00972D9D">
        <w:rPr>
          <w:rFonts w:ascii="Verdana" w:eastAsia="Verdana" w:hAnsi="Verdana" w:cs="Times New Roman"/>
          <w:spacing w:val="3"/>
          <w:sz w:val="20"/>
          <w:szCs w:val="20"/>
          <w:lang w:val="es-CR"/>
        </w:rPr>
        <w:t>l</w:t>
      </w:r>
      <w:r w:rsidRPr="00972D9D">
        <w:rPr>
          <w:rFonts w:ascii="Verdana" w:eastAsia="Verdana" w:hAnsi="Verdana" w:cs="Times New Roman"/>
          <w:spacing w:val="-1"/>
          <w:sz w:val="20"/>
          <w:szCs w:val="20"/>
          <w:lang w:val="es-CR"/>
        </w:rPr>
        <w:t>e</w:t>
      </w:r>
      <w:r w:rsidRPr="00972D9D">
        <w:rPr>
          <w:rFonts w:ascii="Verdana" w:eastAsia="Verdana" w:hAnsi="Verdana" w:cs="Times New Roman"/>
          <w:spacing w:val="1"/>
          <w:sz w:val="20"/>
          <w:szCs w:val="20"/>
          <w:lang w:val="es-CR"/>
        </w:rPr>
        <w:t>z</w:t>
      </w:r>
      <w:r w:rsidRPr="00972D9D">
        <w:rPr>
          <w:rFonts w:ascii="Verdana" w:eastAsia="Verdana" w:hAnsi="Verdana" w:cs="Times New Roman"/>
          <w:sz w:val="20"/>
          <w:szCs w:val="20"/>
          <w:lang w:val="es-CR"/>
        </w:rPr>
        <w:t>c</w:t>
      </w:r>
      <w:r w:rsidRPr="00972D9D">
        <w:rPr>
          <w:rFonts w:ascii="Verdana" w:eastAsia="Verdana" w:hAnsi="Verdana" w:cs="Times New Roman"/>
          <w:spacing w:val="2"/>
          <w:sz w:val="20"/>
          <w:szCs w:val="20"/>
          <w:lang w:val="es-CR"/>
        </w:rPr>
        <w:t>a</w:t>
      </w:r>
      <w:r w:rsidRPr="00972D9D">
        <w:rPr>
          <w:rFonts w:ascii="Verdana" w:eastAsia="Verdana" w:hAnsi="Verdana" w:cs="Times New Roman"/>
          <w:sz w:val="20"/>
          <w:szCs w:val="20"/>
          <w:lang w:val="es-CR"/>
        </w:rPr>
        <w:t>n</w:t>
      </w:r>
      <w:r w:rsidRPr="00972D9D">
        <w:rPr>
          <w:rFonts w:ascii="Verdana" w:eastAsia="Verdana" w:hAnsi="Verdana" w:cs="Times New Roman"/>
          <w:spacing w:val="-10"/>
          <w:sz w:val="20"/>
          <w:szCs w:val="20"/>
          <w:lang w:val="es-CR"/>
        </w:rPr>
        <w:t xml:space="preserve"> </w:t>
      </w:r>
      <w:r w:rsidRPr="00972D9D">
        <w:rPr>
          <w:rFonts w:ascii="Verdana" w:eastAsia="Verdana" w:hAnsi="Verdana" w:cs="Times New Roman"/>
          <w:sz w:val="20"/>
          <w:szCs w:val="20"/>
          <w:lang w:val="es-CR"/>
        </w:rPr>
        <w:t>c</w:t>
      </w:r>
      <w:r w:rsidRPr="00972D9D">
        <w:rPr>
          <w:rFonts w:ascii="Verdana" w:eastAsia="Verdana" w:hAnsi="Verdana" w:cs="Times New Roman"/>
          <w:spacing w:val="-2"/>
          <w:sz w:val="20"/>
          <w:szCs w:val="20"/>
          <w:lang w:val="es-CR"/>
        </w:rPr>
        <w:t>o</w:t>
      </w:r>
      <w:r w:rsidRPr="00972D9D">
        <w:rPr>
          <w:rFonts w:ascii="Verdana" w:eastAsia="Verdana" w:hAnsi="Verdana" w:cs="Times New Roman"/>
          <w:sz w:val="20"/>
          <w:szCs w:val="20"/>
          <w:lang w:val="es-CR"/>
        </w:rPr>
        <w:t>n c</w:t>
      </w:r>
      <w:r w:rsidRPr="00972D9D">
        <w:rPr>
          <w:rFonts w:ascii="Verdana" w:eastAsia="Verdana" w:hAnsi="Verdana" w:cs="Times New Roman"/>
          <w:spacing w:val="2"/>
          <w:sz w:val="20"/>
          <w:szCs w:val="20"/>
          <w:lang w:val="es-CR"/>
        </w:rPr>
        <w:t>l</w:t>
      </w:r>
      <w:r w:rsidRPr="00972D9D">
        <w:rPr>
          <w:rFonts w:ascii="Verdana" w:eastAsia="Verdana" w:hAnsi="Verdana" w:cs="Times New Roman"/>
          <w:sz w:val="20"/>
          <w:szCs w:val="20"/>
          <w:lang w:val="es-CR"/>
        </w:rPr>
        <w:t>a</w:t>
      </w:r>
      <w:r w:rsidRPr="00972D9D">
        <w:rPr>
          <w:rFonts w:ascii="Verdana" w:eastAsia="Verdana" w:hAnsi="Verdana" w:cs="Times New Roman"/>
          <w:spacing w:val="-1"/>
          <w:sz w:val="20"/>
          <w:szCs w:val="20"/>
          <w:lang w:val="es-CR"/>
        </w:rPr>
        <w:t>r</w:t>
      </w:r>
      <w:r w:rsidRPr="00972D9D">
        <w:rPr>
          <w:rFonts w:ascii="Verdana" w:eastAsia="Verdana" w:hAnsi="Verdana" w:cs="Times New Roman"/>
          <w:spacing w:val="3"/>
          <w:sz w:val="20"/>
          <w:szCs w:val="20"/>
          <w:lang w:val="es-CR"/>
        </w:rPr>
        <w:t>i</w:t>
      </w:r>
      <w:r w:rsidRPr="00972D9D">
        <w:rPr>
          <w:rFonts w:ascii="Verdana" w:eastAsia="Verdana" w:hAnsi="Verdana" w:cs="Times New Roman"/>
          <w:spacing w:val="1"/>
          <w:sz w:val="20"/>
          <w:szCs w:val="20"/>
          <w:lang w:val="es-CR"/>
        </w:rPr>
        <w:t>d</w:t>
      </w:r>
      <w:r w:rsidRPr="00972D9D">
        <w:rPr>
          <w:rFonts w:ascii="Verdana" w:eastAsia="Verdana" w:hAnsi="Verdana" w:cs="Times New Roman"/>
          <w:sz w:val="20"/>
          <w:szCs w:val="20"/>
          <w:lang w:val="es-CR"/>
        </w:rPr>
        <w:t>ad</w:t>
      </w:r>
      <w:r w:rsidRPr="00972D9D">
        <w:rPr>
          <w:rFonts w:ascii="Verdana" w:eastAsia="Verdana" w:hAnsi="Verdana" w:cs="Times New Roman"/>
          <w:spacing w:val="-10"/>
          <w:sz w:val="20"/>
          <w:szCs w:val="20"/>
          <w:lang w:val="es-CR"/>
        </w:rPr>
        <w:t xml:space="preserve"> </w:t>
      </w:r>
      <w:r w:rsidRPr="00972D9D">
        <w:rPr>
          <w:rFonts w:ascii="Verdana" w:eastAsia="Verdana" w:hAnsi="Verdana" w:cs="Times New Roman"/>
          <w:spacing w:val="3"/>
          <w:sz w:val="20"/>
          <w:szCs w:val="20"/>
          <w:lang w:val="es-CR"/>
        </w:rPr>
        <w:t>l</w:t>
      </w:r>
      <w:r w:rsidRPr="00972D9D">
        <w:rPr>
          <w:rFonts w:ascii="Verdana" w:eastAsia="Verdana" w:hAnsi="Verdana" w:cs="Times New Roman"/>
          <w:spacing w:val="-1"/>
          <w:sz w:val="20"/>
          <w:szCs w:val="20"/>
          <w:lang w:val="es-CR"/>
        </w:rPr>
        <w:t>o</w:t>
      </w:r>
      <w:r w:rsidRPr="00972D9D">
        <w:rPr>
          <w:rFonts w:ascii="Verdana" w:eastAsia="Verdana" w:hAnsi="Verdana" w:cs="Times New Roman"/>
          <w:sz w:val="20"/>
          <w:szCs w:val="20"/>
          <w:lang w:val="es-CR"/>
        </w:rPr>
        <w:t>s</w:t>
      </w:r>
      <w:r w:rsidRPr="00972D9D">
        <w:rPr>
          <w:rFonts w:ascii="Verdana" w:eastAsia="Verdana" w:hAnsi="Verdana" w:cs="Times New Roman"/>
          <w:spacing w:val="-4"/>
          <w:sz w:val="20"/>
          <w:szCs w:val="20"/>
          <w:lang w:val="es-CR"/>
        </w:rPr>
        <w:t xml:space="preserve"> </w:t>
      </w:r>
      <w:r w:rsidRPr="00972D9D">
        <w:rPr>
          <w:rFonts w:ascii="Verdana" w:eastAsia="Verdana" w:hAnsi="Verdana" w:cs="Times New Roman"/>
          <w:spacing w:val="-1"/>
          <w:sz w:val="20"/>
          <w:szCs w:val="20"/>
          <w:lang w:val="es-CR"/>
        </w:rPr>
        <w:t>r</w:t>
      </w:r>
      <w:r w:rsidRPr="00972D9D">
        <w:rPr>
          <w:rFonts w:ascii="Verdana" w:eastAsia="Verdana" w:hAnsi="Verdana" w:cs="Times New Roman"/>
          <w:spacing w:val="1"/>
          <w:sz w:val="20"/>
          <w:szCs w:val="20"/>
          <w:lang w:val="es-CR"/>
        </w:rPr>
        <w:t>ubr</w:t>
      </w:r>
      <w:r w:rsidRPr="00972D9D">
        <w:rPr>
          <w:rFonts w:ascii="Verdana" w:eastAsia="Verdana" w:hAnsi="Verdana" w:cs="Times New Roman"/>
          <w:spacing w:val="-1"/>
          <w:sz w:val="20"/>
          <w:szCs w:val="20"/>
          <w:lang w:val="es-CR"/>
        </w:rPr>
        <w:t>o</w:t>
      </w:r>
      <w:r w:rsidRPr="00972D9D">
        <w:rPr>
          <w:rFonts w:ascii="Verdana" w:eastAsia="Verdana" w:hAnsi="Verdana" w:cs="Times New Roman"/>
          <w:sz w:val="20"/>
          <w:szCs w:val="20"/>
          <w:lang w:val="es-CR"/>
        </w:rPr>
        <w:t>s</w:t>
      </w:r>
      <w:r w:rsidRPr="00972D9D">
        <w:rPr>
          <w:rFonts w:ascii="Verdana" w:eastAsia="Verdana" w:hAnsi="Verdana" w:cs="Times New Roman"/>
          <w:spacing w:val="-5"/>
          <w:sz w:val="20"/>
          <w:szCs w:val="20"/>
          <w:lang w:val="es-CR"/>
        </w:rPr>
        <w:t xml:space="preserve"> </w:t>
      </w:r>
      <w:r w:rsidRPr="00972D9D">
        <w:rPr>
          <w:rFonts w:ascii="Verdana" w:eastAsia="Verdana" w:hAnsi="Verdana" w:cs="Times New Roman"/>
          <w:sz w:val="20"/>
          <w:szCs w:val="20"/>
          <w:lang w:val="es-CR"/>
        </w:rPr>
        <w:t>y</w:t>
      </w:r>
      <w:r w:rsidRPr="00972D9D">
        <w:rPr>
          <w:rFonts w:ascii="Verdana" w:eastAsia="Verdana" w:hAnsi="Verdana" w:cs="Times New Roman"/>
          <w:spacing w:val="-2"/>
          <w:sz w:val="20"/>
          <w:szCs w:val="20"/>
          <w:lang w:val="es-CR"/>
        </w:rPr>
        <w:t xml:space="preserve"> </w:t>
      </w:r>
      <w:r w:rsidRPr="00972D9D">
        <w:rPr>
          <w:rFonts w:ascii="Verdana" w:eastAsia="Verdana" w:hAnsi="Verdana" w:cs="Times New Roman"/>
          <w:spacing w:val="3"/>
          <w:sz w:val="20"/>
          <w:szCs w:val="20"/>
          <w:lang w:val="es-CR"/>
        </w:rPr>
        <w:t>l</w:t>
      </w:r>
      <w:r w:rsidRPr="00972D9D">
        <w:rPr>
          <w:rFonts w:ascii="Verdana" w:eastAsia="Verdana" w:hAnsi="Verdana" w:cs="Times New Roman"/>
          <w:sz w:val="20"/>
          <w:szCs w:val="20"/>
          <w:lang w:val="es-CR"/>
        </w:rPr>
        <w:t>a</w:t>
      </w:r>
      <w:r w:rsidRPr="00972D9D">
        <w:rPr>
          <w:rFonts w:ascii="Verdana" w:eastAsia="Verdana" w:hAnsi="Verdana" w:cs="Times New Roman"/>
          <w:spacing w:val="-2"/>
          <w:sz w:val="20"/>
          <w:szCs w:val="20"/>
          <w:lang w:val="es-CR"/>
        </w:rPr>
        <w:t xml:space="preserve"> </w:t>
      </w:r>
      <w:r w:rsidRPr="00972D9D">
        <w:rPr>
          <w:rFonts w:ascii="Verdana" w:eastAsia="Verdana" w:hAnsi="Verdana" w:cs="Times New Roman"/>
          <w:spacing w:val="1"/>
          <w:sz w:val="20"/>
          <w:szCs w:val="20"/>
          <w:lang w:val="es-CR"/>
        </w:rPr>
        <w:t>ju</w:t>
      </w:r>
      <w:r w:rsidRPr="00972D9D">
        <w:rPr>
          <w:rFonts w:ascii="Verdana" w:eastAsia="Verdana" w:hAnsi="Verdana" w:cs="Times New Roman"/>
          <w:sz w:val="20"/>
          <w:szCs w:val="20"/>
          <w:lang w:val="es-CR"/>
        </w:rPr>
        <w:t>st</w:t>
      </w:r>
      <w:r w:rsidRPr="00972D9D">
        <w:rPr>
          <w:rFonts w:ascii="Verdana" w:eastAsia="Verdana" w:hAnsi="Verdana" w:cs="Times New Roman"/>
          <w:spacing w:val="3"/>
          <w:sz w:val="20"/>
          <w:szCs w:val="20"/>
          <w:lang w:val="es-CR"/>
        </w:rPr>
        <w:t>i</w:t>
      </w:r>
      <w:r w:rsidRPr="00972D9D">
        <w:rPr>
          <w:rFonts w:ascii="Verdana" w:eastAsia="Verdana" w:hAnsi="Verdana" w:cs="Times New Roman"/>
          <w:spacing w:val="-3"/>
          <w:sz w:val="20"/>
          <w:szCs w:val="20"/>
          <w:lang w:val="es-CR"/>
        </w:rPr>
        <w:t>f</w:t>
      </w:r>
      <w:r w:rsidRPr="00972D9D">
        <w:rPr>
          <w:rFonts w:ascii="Verdana" w:eastAsia="Verdana" w:hAnsi="Verdana" w:cs="Times New Roman"/>
          <w:spacing w:val="3"/>
          <w:sz w:val="20"/>
          <w:szCs w:val="20"/>
          <w:lang w:val="es-CR"/>
        </w:rPr>
        <w:t>i</w:t>
      </w:r>
      <w:r w:rsidRPr="00972D9D">
        <w:rPr>
          <w:rFonts w:ascii="Verdana" w:eastAsia="Verdana" w:hAnsi="Verdana" w:cs="Times New Roman"/>
          <w:sz w:val="20"/>
          <w:szCs w:val="20"/>
          <w:lang w:val="es-CR"/>
        </w:rPr>
        <w:t>ca</w:t>
      </w:r>
      <w:r w:rsidRPr="00972D9D">
        <w:rPr>
          <w:rFonts w:ascii="Verdana" w:eastAsia="Verdana" w:hAnsi="Verdana" w:cs="Times New Roman"/>
          <w:spacing w:val="-1"/>
          <w:sz w:val="20"/>
          <w:szCs w:val="20"/>
          <w:lang w:val="es-CR"/>
        </w:rPr>
        <w:t>c</w:t>
      </w:r>
      <w:r w:rsidRPr="00972D9D">
        <w:rPr>
          <w:rFonts w:ascii="Verdana" w:eastAsia="Verdana" w:hAnsi="Verdana" w:cs="Times New Roman"/>
          <w:spacing w:val="3"/>
          <w:sz w:val="20"/>
          <w:szCs w:val="20"/>
          <w:lang w:val="es-CR"/>
        </w:rPr>
        <w:t>i</w:t>
      </w:r>
      <w:r w:rsidRPr="00972D9D">
        <w:rPr>
          <w:rFonts w:ascii="Verdana" w:eastAsia="Verdana" w:hAnsi="Verdana" w:cs="Times New Roman"/>
          <w:spacing w:val="-1"/>
          <w:sz w:val="20"/>
          <w:szCs w:val="20"/>
          <w:lang w:val="es-CR"/>
        </w:rPr>
        <w:t>ó</w:t>
      </w:r>
      <w:r w:rsidRPr="00972D9D">
        <w:rPr>
          <w:rFonts w:ascii="Verdana" w:eastAsia="Verdana" w:hAnsi="Verdana" w:cs="Times New Roman"/>
          <w:sz w:val="20"/>
          <w:szCs w:val="20"/>
          <w:lang w:val="es-CR"/>
        </w:rPr>
        <w:t>n</w:t>
      </w:r>
      <w:r w:rsidRPr="00972D9D">
        <w:rPr>
          <w:rFonts w:ascii="Verdana" w:eastAsia="Verdana" w:hAnsi="Verdana" w:cs="Times New Roman"/>
          <w:spacing w:val="-11"/>
          <w:sz w:val="20"/>
          <w:szCs w:val="20"/>
          <w:lang w:val="es-CR"/>
        </w:rPr>
        <w:t xml:space="preserve"> </w:t>
      </w:r>
      <w:r w:rsidRPr="00972D9D">
        <w:rPr>
          <w:rFonts w:ascii="Verdana" w:eastAsia="Verdana" w:hAnsi="Verdana" w:cs="Times New Roman"/>
          <w:sz w:val="20"/>
          <w:szCs w:val="20"/>
          <w:lang w:val="es-CR"/>
        </w:rPr>
        <w:t>de</w:t>
      </w:r>
      <w:r w:rsidRPr="00972D9D">
        <w:rPr>
          <w:rFonts w:ascii="Verdana" w:eastAsia="Verdana" w:hAnsi="Verdana" w:cs="Times New Roman"/>
          <w:spacing w:val="-3"/>
          <w:sz w:val="20"/>
          <w:szCs w:val="20"/>
          <w:lang w:val="es-CR"/>
        </w:rPr>
        <w:t xml:space="preserve"> </w:t>
      </w:r>
      <w:r w:rsidRPr="00972D9D">
        <w:rPr>
          <w:rFonts w:ascii="Verdana" w:eastAsia="Verdana" w:hAnsi="Verdana" w:cs="Times New Roman"/>
          <w:spacing w:val="2"/>
          <w:sz w:val="20"/>
          <w:szCs w:val="20"/>
          <w:lang w:val="es-CR"/>
        </w:rPr>
        <w:t>l</w:t>
      </w:r>
      <w:r w:rsidRPr="00972D9D">
        <w:rPr>
          <w:rFonts w:ascii="Verdana" w:eastAsia="Verdana" w:hAnsi="Verdana" w:cs="Times New Roman"/>
          <w:spacing w:val="-1"/>
          <w:sz w:val="20"/>
          <w:szCs w:val="20"/>
          <w:lang w:val="es-CR"/>
        </w:rPr>
        <w:t>o</w:t>
      </w:r>
      <w:r w:rsidRPr="00972D9D">
        <w:rPr>
          <w:rFonts w:ascii="Verdana" w:eastAsia="Verdana" w:hAnsi="Verdana" w:cs="Times New Roman"/>
          <w:sz w:val="20"/>
          <w:szCs w:val="20"/>
          <w:lang w:val="es-CR"/>
        </w:rPr>
        <w:t>s</w:t>
      </w:r>
      <w:r w:rsidRPr="00972D9D">
        <w:rPr>
          <w:rFonts w:ascii="Verdana" w:eastAsia="Verdana" w:hAnsi="Verdana" w:cs="Times New Roman"/>
          <w:spacing w:val="-4"/>
          <w:sz w:val="20"/>
          <w:szCs w:val="20"/>
          <w:lang w:val="es-CR"/>
        </w:rPr>
        <w:t xml:space="preserve"> </w:t>
      </w:r>
      <w:r w:rsidRPr="00972D9D">
        <w:rPr>
          <w:rFonts w:ascii="Verdana" w:eastAsia="Verdana" w:hAnsi="Verdana" w:cs="Times New Roman"/>
          <w:sz w:val="20"/>
          <w:szCs w:val="20"/>
          <w:lang w:val="es-CR"/>
        </w:rPr>
        <w:t>m</w:t>
      </w:r>
      <w:r w:rsidRPr="00972D9D">
        <w:rPr>
          <w:rFonts w:ascii="Verdana" w:eastAsia="Verdana" w:hAnsi="Verdana" w:cs="Times New Roman"/>
          <w:spacing w:val="3"/>
          <w:sz w:val="20"/>
          <w:szCs w:val="20"/>
          <w:lang w:val="es-CR"/>
        </w:rPr>
        <w:t>i</w:t>
      </w:r>
      <w:r w:rsidRPr="00972D9D">
        <w:rPr>
          <w:rFonts w:ascii="Verdana" w:eastAsia="Verdana" w:hAnsi="Verdana" w:cs="Times New Roman"/>
          <w:sz w:val="20"/>
          <w:szCs w:val="20"/>
          <w:lang w:val="es-CR"/>
        </w:rPr>
        <w:t>sm</w:t>
      </w:r>
      <w:r w:rsidRPr="00972D9D">
        <w:rPr>
          <w:rFonts w:ascii="Verdana" w:eastAsia="Verdana" w:hAnsi="Verdana" w:cs="Times New Roman"/>
          <w:spacing w:val="-1"/>
          <w:sz w:val="20"/>
          <w:szCs w:val="20"/>
          <w:lang w:val="es-CR"/>
        </w:rPr>
        <w:t>o</w:t>
      </w:r>
      <w:r w:rsidRPr="00972D9D">
        <w:rPr>
          <w:rFonts w:ascii="Verdana" w:eastAsia="Verdana" w:hAnsi="Verdana" w:cs="Times New Roman"/>
          <w:spacing w:val="7"/>
          <w:sz w:val="20"/>
          <w:szCs w:val="20"/>
          <w:lang w:val="es-CR"/>
        </w:rPr>
        <w:t>s</w:t>
      </w:r>
      <w:r w:rsidRPr="00972D9D">
        <w:rPr>
          <w:rFonts w:ascii="Verdana" w:hAnsi="Verdana"/>
          <w:spacing w:val="7"/>
          <w:vertAlign w:val="superscript"/>
          <w:lang w:val="es-CR"/>
        </w:rPr>
        <w:footnoteReference w:id="144"/>
      </w:r>
      <w:r w:rsidR="004D6659">
        <w:rPr>
          <w:rFonts w:ascii="Verdana" w:eastAsia="Verdana" w:hAnsi="Verdana" w:cs="Times New Roman"/>
          <w:spacing w:val="7"/>
          <w:sz w:val="20"/>
          <w:szCs w:val="20"/>
          <w:lang w:val="es-CR"/>
        </w:rPr>
        <w:t>.</w:t>
      </w:r>
    </w:p>
    <w:p w14:paraId="40355048" w14:textId="78212B4A" w:rsidR="00910E74" w:rsidRPr="00972D9D" w:rsidRDefault="00910E74"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sidRPr="00972D9D">
        <w:rPr>
          <w:rFonts w:ascii="Verdana" w:hAnsi="Verdana" w:cs="Times New Roman"/>
          <w:sz w:val="20"/>
          <w:szCs w:val="20"/>
          <w:lang w:val="es-CR"/>
        </w:rPr>
        <w:t xml:space="preserve">En el presente caso, la Corte constata que </w:t>
      </w:r>
      <w:r w:rsidR="00581B8F">
        <w:rPr>
          <w:rFonts w:ascii="Verdana" w:hAnsi="Verdana" w:cs="Times New Roman"/>
          <w:sz w:val="20"/>
          <w:szCs w:val="20"/>
          <w:lang w:val="es-CR"/>
        </w:rPr>
        <w:t>el</w:t>
      </w:r>
      <w:r w:rsidRPr="00972D9D">
        <w:rPr>
          <w:rFonts w:ascii="Verdana" w:hAnsi="Verdana" w:cs="Times New Roman"/>
          <w:sz w:val="20"/>
          <w:szCs w:val="20"/>
          <w:lang w:val="es-CR"/>
        </w:rPr>
        <w:t xml:space="preserve"> representante no remiti</w:t>
      </w:r>
      <w:r w:rsidR="00581B8F">
        <w:rPr>
          <w:rFonts w:ascii="Verdana" w:hAnsi="Verdana" w:cs="Times New Roman"/>
          <w:sz w:val="20"/>
          <w:szCs w:val="20"/>
          <w:lang w:val="es-CR"/>
        </w:rPr>
        <w:t>ó</w:t>
      </w:r>
      <w:r w:rsidRPr="00972D9D">
        <w:rPr>
          <w:rFonts w:ascii="Verdana" w:hAnsi="Verdana" w:cs="Times New Roman"/>
          <w:sz w:val="20"/>
          <w:szCs w:val="20"/>
          <w:lang w:val="es-CR"/>
        </w:rPr>
        <w:t xml:space="preserve"> documentación que soporte su petición, por lo que los montos solicitados no fueron justificados. En razón de lo anterior, la Corte </w:t>
      </w:r>
      <w:r w:rsidRPr="00972D9D">
        <w:rPr>
          <w:rFonts w:ascii="Verdana" w:hAnsi="Verdana" w:cs="Times New Roman"/>
          <w:sz w:val="20"/>
          <w:szCs w:val="20"/>
          <w:lang w:val="es-CR" w:bidi="en-US"/>
        </w:rPr>
        <w:t>fija un monto razonable de USD$</w:t>
      </w:r>
      <w:r w:rsidR="00BF3C68" w:rsidRPr="00972D9D">
        <w:rPr>
          <w:rFonts w:ascii="Verdana" w:hAnsi="Verdana" w:cs="Times New Roman"/>
          <w:sz w:val="20"/>
          <w:szCs w:val="20"/>
          <w:lang w:val="es-CR" w:bidi="en-US"/>
        </w:rPr>
        <w:t>10</w:t>
      </w:r>
      <w:r w:rsidRPr="00972D9D">
        <w:rPr>
          <w:rFonts w:ascii="Verdana" w:hAnsi="Verdana" w:cs="Times New Roman"/>
          <w:sz w:val="20"/>
          <w:szCs w:val="20"/>
          <w:lang w:val="es-CR" w:bidi="en-US"/>
        </w:rPr>
        <w:t>,000 (</w:t>
      </w:r>
      <w:r w:rsidR="00CA6169" w:rsidRPr="00972D9D">
        <w:rPr>
          <w:rFonts w:ascii="Verdana" w:hAnsi="Verdana" w:cs="Times New Roman"/>
          <w:sz w:val="20"/>
          <w:szCs w:val="20"/>
          <w:lang w:val="es-CR" w:bidi="en-US"/>
        </w:rPr>
        <w:t>diez mil</w:t>
      </w:r>
      <w:r w:rsidRPr="00972D9D">
        <w:rPr>
          <w:rFonts w:ascii="Verdana" w:hAnsi="Verdana" w:cs="Times New Roman"/>
          <w:sz w:val="20"/>
          <w:szCs w:val="20"/>
          <w:lang w:val="es-CR" w:bidi="en-US"/>
        </w:rPr>
        <w:t xml:space="preserve"> dólares de los Estados Unidos de América) por concepto de costas y gastos en el litigio del presente caso y considerando el alcance de la violación declarada</w:t>
      </w:r>
      <w:r w:rsidRPr="00972D9D">
        <w:rPr>
          <w:rFonts w:ascii="Verdana" w:hAnsi="Verdana"/>
          <w:sz w:val="20"/>
          <w:szCs w:val="20"/>
        </w:rPr>
        <w:t>.</w:t>
      </w:r>
      <w:r w:rsidR="0089613C">
        <w:rPr>
          <w:rFonts w:ascii="Verdana" w:hAnsi="Verdana"/>
          <w:sz w:val="20"/>
          <w:szCs w:val="20"/>
        </w:rPr>
        <w:t xml:space="preserve"> Esta suma deberá ser entregada directamente al representante.</w:t>
      </w:r>
    </w:p>
    <w:p w14:paraId="5855B6FE" w14:textId="77777777" w:rsidR="00910E74" w:rsidRPr="00972D9D" w:rsidRDefault="00910E74"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sidRPr="00972D9D">
        <w:rPr>
          <w:rFonts w:ascii="Verdana" w:hAnsi="Verdana" w:cs="Times New Roman"/>
          <w:sz w:val="20"/>
          <w:szCs w:val="20"/>
          <w:lang w:val="es-CR"/>
        </w:rPr>
        <w:t xml:space="preserve"> Como lo ha hecho en otros casos</w:t>
      </w:r>
      <w:r w:rsidRPr="00972D9D">
        <w:rPr>
          <w:rFonts w:ascii="Verdana" w:hAnsi="Verdana"/>
          <w:vertAlign w:val="superscript"/>
          <w:lang w:val="es-CR"/>
        </w:rPr>
        <w:footnoteReference w:id="145"/>
      </w:r>
      <w:r w:rsidRPr="00972D9D">
        <w:rPr>
          <w:rFonts w:ascii="Verdana" w:hAnsi="Verdana" w:cs="Times New Roman"/>
          <w:sz w:val="20"/>
          <w:szCs w:val="20"/>
          <w:lang w:val="es-CR"/>
        </w:rPr>
        <w:t>, en la etapa de supervisión de cumplimiento de la presente Sentencia, la Corte podrá disponer el reembolso por parte del Estado a las víctimas o sus representantes de gastos posteriores razonable y debidamente comprobados.</w:t>
      </w:r>
    </w:p>
    <w:p w14:paraId="6B5A0A22" w14:textId="7B451320" w:rsidR="00910E74" w:rsidRPr="00972D9D" w:rsidRDefault="00910E74" w:rsidP="00972D9D">
      <w:pPr>
        <w:keepNext/>
        <w:keepLines/>
        <w:numPr>
          <w:ilvl w:val="0"/>
          <w:numId w:val="40"/>
        </w:numPr>
        <w:spacing w:before="120" w:after="120" w:line="240" w:lineRule="auto"/>
        <w:ind w:left="567" w:hanging="283"/>
        <w:jc w:val="both"/>
        <w:outlineLvl w:val="1"/>
        <w:rPr>
          <w:rFonts w:ascii="Verdana" w:eastAsia="Times New Roman" w:hAnsi="Verdana" w:cs="Times New Roman"/>
          <w:b/>
          <w:bCs/>
          <w:i/>
          <w:sz w:val="20"/>
          <w:szCs w:val="20"/>
          <w:lang w:val="es-ES_tradnl"/>
        </w:rPr>
      </w:pPr>
      <w:r w:rsidRPr="00972D9D">
        <w:rPr>
          <w:rFonts w:ascii="Verdana" w:eastAsia="Times New Roman" w:hAnsi="Verdana" w:cs="Times New Roman"/>
          <w:b/>
          <w:bCs/>
          <w:i/>
          <w:sz w:val="20"/>
          <w:szCs w:val="20"/>
          <w:lang w:val="es-ES_tradnl"/>
        </w:rPr>
        <w:tab/>
      </w:r>
      <w:bookmarkStart w:id="99" w:name="_Toc16536402"/>
      <w:bookmarkStart w:id="100" w:name="_Toc20755746"/>
      <w:r w:rsidRPr="00972D9D">
        <w:rPr>
          <w:rFonts w:ascii="Verdana" w:eastAsia="Times New Roman" w:hAnsi="Verdana" w:cs="Times New Roman"/>
          <w:b/>
          <w:bCs/>
          <w:i/>
          <w:sz w:val="20"/>
          <w:szCs w:val="20"/>
          <w:lang w:val="es-ES_tradnl"/>
        </w:rPr>
        <w:t>Modalidad de cumplimiento de los pagos ordenados</w:t>
      </w:r>
      <w:bookmarkEnd w:id="99"/>
      <w:bookmarkEnd w:id="100"/>
    </w:p>
    <w:p w14:paraId="7843AEB6" w14:textId="77777777" w:rsidR="00910E74" w:rsidRPr="00972D9D" w:rsidRDefault="00910E74"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sidRPr="00972D9D">
        <w:rPr>
          <w:rFonts w:ascii="Verdana" w:hAnsi="Verdana"/>
          <w:sz w:val="20"/>
          <w:szCs w:val="20"/>
        </w:rPr>
        <w:t>El Estado deberá efectuar el pago de las indemnizaciones por concepto de daño material e inmaterial y el reintegro de costas y gastos establecidos en la presente Sentencia directamente a las personas indicadas en la misma, dentro del plazo de un año contado a partir de la notificación de la presente Sentencia.</w:t>
      </w:r>
    </w:p>
    <w:p w14:paraId="57927FC4" w14:textId="77777777" w:rsidR="00910E74" w:rsidRPr="00972D9D" w:rsidRDefault="00910E74"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sidRPr="00972D9D">
        <w:rPr>
          <w:rFonts w:ascii="Verdana" w:hAnsi="Verdana"/>
          <w:sz w:val="20"/>
          <w:szCs w:val="20"/>
        </w:rPr>
        <w:t>En caso de que los beneficiarios hayan fallecido o fallezcan antes de que les sea entregada la cantidad respectiva, esta se entregará directamente a sus derechohabientes, conforme al derecho interno aplicable.</w:t>
      </w:r>
    </w:p>
    <w:p w14:paraId="2A3C6197" w14:textId="77777777" w:rsidR="00910E74" w:rsidRPr="00972D9D" w:rsidRDefault="00910E74"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sidRPr="00972D9D">
        <w:rPr>
          <w:rFonts w:ascii="Verdana" w:hAnsi="Verdana"/>
          <w:sz w:val="20"/>
          <w:szCs w:val="20"/>
        </w:rPr>
        <w:t>El Estado deberá cumplir con las obligaciones monetarias mediante el pago en dólares de los Estados Unidos de América o su equivalente en moneda nacional, utilizando para el cálculo respectivo el tipo de cambio que se encuentre vigente en la bolsa de Nueva York, Estados Unidos de América, el día anterior al pago.</w:t>
      </w:r>
    </w:p>
    <w:p w14:paraId="69789A18" w14:textId="2B86A59A" w:rsidR="00910E74" w:rsidRPr="00972D9D" w:rsidRDefault="00910E74"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sidRPr="00972D9D">
        <w:rPr>
          <w:rFonts w:ascii="Verdana" w:hAnsi="Verdana"/>
          <w:sz w:val="20"/>
          <w:szCs w:val="20"/>
        </w:rPr>
        <w:lastRenderedPageBreak/>
        <w:t xml:space="preserve">Si por causas atribuibles a los beneficiarios de las indemnizaciones o a sus derechohabientes no fuese posible el pago de las cantidades determinadas dentro del plazo indicado, el Estado consignará dichos montos a su favor en una cuenta o certificado de depósito en una institución financiera </w:t>
      </w:r>
      <w:r w:rsidR="008F1226" w:rsidRPr="00581B8F">
        <w:rPr>
          <w:rFonts w:ascii="Verdana" w:hAnsi="Verdana"/>
          <w:sz w:val="20"/>
          <w:szCs w:val="20"/>
        </w:rPr>
        <w:t>argentina</w:t>
      </w:r>
      <w:r w:rsidR="008F1226" w:rsidRPr="00F46AC0">
        <w:rPr>
          <w:rFonts w:ascii="Verdana" w:hAnsi="Verdana"/>
          <w:b/>
          <w:sz w:val="20"/>
          <w:szCs w:val="20"/>
        </w:rPr>
        <w:t xml:space="preserve"> </w:t>
      </w:r>
      <w:r w:rsidRPr="00972D9D">
        <w:rPr>
          <w:rFonts w:ascii="Verdana" w:hAnsi="Verdana"/>
          <w:sz w:val="20"/>
          <w:szCs w:val="20"/>
        </w:rPr>
        <w:t>solvente, en dólares de los Estados Unidos de América, y en las condiciones financieras más favorables que permitan la legislación y la práctica bancaria. Si no se reclama la indemnización correspondiente una vez transcurridos diez años, las cantidades serán devueltas al Estado con los intereses devengados.</w:t>
      </w:r>
    </w:p>
    <w:p w14:paraId="52BC8C6B" w14:textId="77777777" w:rsidR="00910E74" w:rsidRPr="00972D9D" w:rsidRDefault="00910E74"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sidRPr="00972D9D">
        <w:rPr>
          <w:rFonts w:ascii="Verdana" w:hAnsi="Verdana"/>
          <w:sz w:val="20"/>
          <w:szCs w:val="20"/>
        </w:rPr>
        <w:t>Las cantidades asignadas en la presente Sentencia como indemnización por daños materiales, y como reintegro de costas y gastos, deberán ser entregadas a las personas indicadas en forma íntegra, conforme a lo establecido en esta Sentencia, sin reducciones derivadas de eventuales cargas fiscales.</w:t>
      </w:r>
    </w:p>
    <w:p w14:paraId="770505B4" w14:textId="04354743" w:rsidR="00113998" w:rsidRPr="00113998" w:rsidRDefault="00910E74" w:rsidP="00113998">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z w:val="20"/>
          <w:szCs w:val="20"/>
        </w:rPr>
      </w:pPr>
      <w:r w:rsidRPr="00972D9D">
        <w:rPr>
          <w:rFonts w:ascii="Verdana" w:hAnsi="Verdana"/>
          <w:sz w:val="20"/>
          <w:szCs w:val="20"/>
        </w:rPr>
        <w:t>En caso de que el Estado incurriera en mora, deberá pagar un interés sobre la cantidad adeudada correspondiente al interés bancario moratorio en la República de Argentina.</w:t>
      </w:r>
      <w:bookmarkStart w:id="101" w:name="_Toc494124027"/>
    </w:p>
    <w:p w14:paraId="003780C1" w14:textId="77777777" w:rsidR="00910E74" w:rsidRPr="002F036A" w:rsidRDefault="00910E74" w:rsidP="00972D9D">
      <w:pPr>
        <w:keepNext/>
        <w:keepLines/>
        <w:tabs>
          <w:tab w:val="left" w:pos="851"/>
        </w:tabs>
        <w:spacing w:after="0" w:line="240" w:lineRule="auto"/>
        <w:jc w:val="center"/>
        <w:outlineLvl w:val="0"/>
        <w:rPr>
          <w:rFonts w:ascii="Verdana" w:eastAsia="Times New Roman" w:hAnsi="Verdana" w:cs="Verdana"/>
          <w:b/>
          <w:bCs/>
          <w:caps/>
          <w:snapToGrid w:val="0"/>
          <w:sz w:val="20"/>
          <w:szCs w:val="20"/>
          <w:lang w:val="es-ES_tradnl"/>
        </w:rPr>
      </w:pPr>
      <w:bookmarkStart w:id="102" w:name="_Toc20755747"/>
      <w:r w:rsidRPr="002F036A">
        <w:rPr>
          <w:rFonts w:ascii="Verdana" w:eastAsia="Times New Roman" w:hAnsi="Verdana" w:cs="Verdana"/>
          <w:b/>
          <w:bCs/>
          <w:caps/>
          <w:snapToGrid w:val="0"/>
          <w:sz w:val="20"/>
          <w:szCs w:val="20"/>
          <w:lang w:val="es-ES_tradnl"/>
        </w:rPr>
        <w:t>VIII</w:t>
      </w:r>
      <w:r w:rsidRPr="002F036A">
        <w:rPr>
          <w:rFonts w:ascii="Verdana" w:eastAsia="Times New Roman" w:hAnsi="Verdana" w:cs="Verdana"/>
          <w:b/>
          <w:bCs/>
          <w:caps/>
          <w:snapToGrid w:val="0"/>
          <w:sz w:val="20"/>
          <w:szCs w:val="20"/>
          <w:lang w:val="es-ES_tradnl"/>
        </w:rPr>
        <w:br/>
        <w:t>PUNTOS RESOLUTIVOS</w:t>
      </w:r>
      <w:bookmarkEnd w:id="101"/>
      <w:bookmarkEnd w:id="102"/>
    </w:p>
    <w:p w14:paraId="4B575C62" w14:textId="7297F236" w:rsidR="00910E74" w:rsidRPr="00113998" w:rsidRDefault="00910E74" w:rsidP="00972D9D">
      <w:pPr>
        <w:widowControl w:val="0"/>
        <w:numPr>
          <w:ilvl w:val="0"/>
          <w:numId w:val="13"/>
        </w:numPr>
        <w:tabs>
          <w:tab w:val="left" w:pos="567"/>
          <w:tab w:val="num" w:pos="12305"/>
        </w:tabs>
        <w:adjustRightInd w:val="0"/>
        <w:spacing w:before="120" w:after="120" w:line="240" w:lineRule="auto"/>
        <w:ind w:left="0" w:firstLine="0"/>
        <w:jc w:val="both"/>
        <w:textAlignment w:val="baseline"/>
        <w:rPr>
          <w:rFonts w:ascii="Verdana" w:hAnsi="Verdana"/>
          <w:spacing w:val="-2"/>
          <w:sz w:val="20"/>
          <w:szCs w:val="20"/>
          <w:lang w:val="es-CR"/>
        </w:rPr>
      </w:pPr>
      <w:r w:rsidRPr="002F036A">
        <w:rPr>
          <w:rFonts w:ascii="Verdana" w:hAnsi="Verdana" w:cs="Times New Roman"/>
          <w:spacing w:val="-2"/>
          <w:sz w:val="20"/>
          <w:szCs w:val="20"/>
          <w:lang w:val="es-CR"/>
        </w:rPr>
        <w:t>Por</w:t>
      </w:r>
      <w:r w:rsidRPr="002F036A">
        <w:rPr>
          <w:rFonts w:ascii="Verdana" w:hAnsi="Verdana"/>
          <w:spacing w:val="-2"/>
          <w:sz w:val="20"/>
          <w:szCs w:val="20"/>
          <w:lang w:val="es-CR"/>
        </w:rPr>
        <w:t xml:space="preserve"> tanto,</w:t>
      </w:r>
    </w:p>
    <w:p w14:paraId="55483E1A" w14:textId="6A53DFBF" w:rsidR="00910E74" w:rsidRPr="00972D9D" w:rsidRDefault="00910E74" w:rsidP="00972D9D">
      <w:pPr>
        <w:pStyle w:val="Default"/>
        <w:spacing w:before="120" w:after="120"/>
        <w:jc w:val="both"/>
        <w:rPr>
          <w:color w:val="auto"/>
          <w:spacing w:val="-2"/>
          <w:sz w:val="20"/>
          <w:szCs w:val="20"/>
          <w:lang w:val="es-CR"/>
        </w:rPr>
      </w:pPr>
      <w:r w:rsidRPr="002F036A">
        <w:rPr>
          <w:b/>
          <w:bCs/>
          <w:color w:val="auto"/>
          <w:spacing w:val="-2"/>
          <w:sz w:val="20"/>
          <w:szCs w:val="20"/>
          <w:lang w:val="es-CR"/>
        </w:rPr>
        <w:t xml:space="preserve">LA CORTE </w:t>
      </w:r>
    </w:p>
    <w:p w14:paraId="7E666AE0" w14:textId="738DDADA" w:rsidR="00972D9D" w:rsidRPr="002F036A" w:rsidRDefault="00972D9D" w:rsidP="00972D9D">
      <w:pPr>
        <w:tabs>
          <w:tab w:val="num" w:pos="630"/>
          <w:tab w:val="left" w:pos="720"/>
        </w:tabs>
        <w:spacing w:before="120" w:after="120" w:line="240" w:lineRule="auto"/>
        <w:jc w:val="both"/>
        <w:rPr>
          <w:rFonts w:ascii="Verdana" w:hAnsi="Verdana" w:cs="Verdana"/>
          <w:b/>
          <w:spacing w:val="-2"/>
          <w:sz w:val="20"/>
          <w:szCs w:val="20"/>
          <w:lang w:val="es-EC"/>
        </w:rPr>
      </w:pPr>
      <w:r>
        <w:rPr>
          <w:rFonts w:ascii="Verdana" w:hAnsi="Verdana" w:cs="Verdana"/>
          <w:b/>
          <w:spacing w:val="-2"/>
          <w:sz w:val="20"/>
          <w:szCs w:val="20"/>
          <w:lang w:val="es-EC"/>
        </w:rPr>
        <w:t>DECIDE,</w:t>
      </w:r>
    </w:p>
    <w:p w14:paraId="580E7C12" w14:textId="678BD830" w:rsidR="00910E74" w:rsidRPr="002F036A" w:rsidRDefault="00910E74" w:rsidP="00972D9D">
      <w:pPr>
        <w:tabs>
          <w:tab w:val="left" w:pos="720"/>
        </w:tabs>
        <w:spacing w:before="120" w:after="120" w:line="240" w:lineRule="auto"/>
        <w:jc w:val="both"/>
        <w:rPr>
          <w:rFonts w:ascii="Verdana" w:hAnsi="Verdana" w:cs="Verdana"/>
          <w:spacing w:val="-2"/>
          <w:sz w:val="20"/>
          <w:szCs w:val="20"/>
          <w:lang w:val="es-EC"/>
        </w:rPr>
      </w:pPr>
      <w:r w:rsidRPr="002F036A">
        <w:rPr>
          <w:rFonts w:ascii="Verdana" w:hAnsi="Verdana" w:cs="Verdana"/>
          <w:spacing w:val="-2"/>
          <w:sz w:val="20"/>
          <w:szCs w:val="20"/>
          <w:lang w:val="es-EC"/>
        </w:rPr>
        <w:t xml:space="preserve">por </w:t>
      </w:r>
      <w:r w:rsidR="004D6659">
        <w:rPr>
          <w:rFonts w:ascii="Verdana" w:hAnsi="Verdana"/>
          <w:spacing w:val="-2"/>
          <w:sz w:val="20"/>
          <w:szCs w:val="20"/>
          <w:lang w:val="es-AR"/>
        </w:rPr>
        <w:t>unanimidad</w:t>
      </w:r>
      <w:r w:rsidR="00113998">
        <w:rPr>
          <w:rFonts w:ascii="Verdana" w:hAnsi="Verdana" w:cs="Verdana"/>
          <w:spacing w:val="-2"/>
          <w:sz w:val="20"/>
          <w:szCs w:val="20"/>
          <w:lang w:val="es-EC"/>
        </w:rPr>
        <w:t>:</w:t>
      </w:r>
    </w:p>
    <w:p w14:paraId="1BAD6249" w14:textId="22E37750" w:rsidR="00910E74" w:rsidRPr="00972D9D" w:rsidRDefault="00910E74" w:rsidP="00972D9D">
      <w:pPr>
        <w:pStyle w:val="Default"/>
        <w:numPr>
          <w:ilvl w:val="0"/>
          <w:numId w:val="21"/>
        </w:numPr>
        <w:tabs>
          <w:tab w:val="left" w:pos="567"/>
        </w:tabs>
        <w:spacing w:before="120" w:after="120"/>
        <w:ind w:left="0" w:firstLine="0"/>
        <w:jc w:val="both"/>
        <w:rPr>
          <w:b/>
          <w:color w:val="auto"/>
          <w:spacing w:val="-2"/>
          <w:sz w:val="20"/>
          <w:szCs w:val="20"/>
          <w:lang w:val="es-GT"/>
        </w:rPr>
      </w:pPr>
      <w:r w:rsidRPr="002F036A">
        <w:rPr>
          <w:color w:val="auto"/>
          <w:spacing w:val="-2"/>
          <w:sz w:val="20"/>
          <w:szCs w:val="20"/>
          <w:lang w:val="es-GT"/>
        </w:rPr>
        <w:t xml:space="preserve">Admitir la primera excepción preliminar interpuesta por el Estado, en los términos de los párrafos </w:t>
      </w:r>
      <w:r w:rsidR="00581B8F">
        <w:rPr>
          <w:color w:val="auto"/>
          <w:spacing w:val="-2"/>
          <w:sz w:val="20"/>
          <w:szCs w:val="20"/>
          <w:lang w:val="es-GT"/>
        </w:rPr>
        <w:t>18</w:t>
      </w:r>
      <w:r w:rsidRPr="002F036A">
        <w:rPr>
          <w:color w:val="auto"/>
          <w:spacing w:val="-2"/>
          <w:sz w:val="20"/>
          <w:szCs w:val="20"/>
          <w:lang w:val="es-GT"/>
        </w:rPr>
        <w:t xml:space="preserve"> a </w:t>
      </w:r>
      <w:r w:rsidR="00581B8F">
        <w:rPr>
          <w:color w:val="auto"/>
          <w:spacing w:val="-2"/>
          <w:sz w:val="20"/>
          <w:szCs w:val="20"/>
          <w:lang w:val="es-GT"/>
        </w:rPr>
        <w:t>25</w:t>
      </w:r>
      <w:r w:rsidRPr="002F036A">
        <w:rPr>
          <w:color w:val="auto"/>
          <w:spacing w:val="-2"/>
          <w:sz w:val="20"/>
          <w:szCs w:val="20"/>
          <w:lang w:val="es-GT"/>
        </w:rPr>
        <w:t xml:space="preserve"> de esta Sentencia. </w:t>
      </w:r>
    </w:p>
    <w:p w14:paraId="65A054EC" w14:textId="3E80E732" w:rsidR="00910E74" w:rsidRPr="002F036A" w:rsidRDefault="002E27D4" w:rsidP="00972D9D">
      <w:pPr>
        <w:pStyle w:val="Default"/>
        <w:numPr>
          <w:ilvl w:val="0"/>
          <w:numId w:val="21"/>
        </w:numPr>
        <w:tabs>
          <w:tab w:val="left" w:pos="567"/>
        </w:tabs>
        <w:spacing w:before="120" w:after="120"/>
        <w:ind w:left="0" w:firstLine="0"/>
        <w:jc w:val="both"/>
        <w:rPr>
          <w:b/>
          <w:color w:val="auto"/>
          <w:spacing w:val="-2"/>
          <w:sz w:val="20"/>
          <w:szCs w:val="20"/>
          <w:lang w:val="es-GT"/>
        </w:rPr>
      </w:pPr>
      <w:r>
        <w:rPr>
          <w:color w:val="auto"/>
          <w:spacing w:val="-2"/>
          <w:sz w:val="20"/>
          <w:szCs w:val="20"/>
          <w:lang w:val="es-GT"/>
        </w:rPr>
        <w:t>Desestimar</w:t>
      </w:r>
      <w:r w:rsidR="00910E74" w:rsidRPr="002F036A">
        <w:rPr>
          <w:color w:val="auto"/>
          <w:spacing w:val="-2"/>
          <w:sz w:val="20"/>
          <w:szCs w:val="20"/>
          <w:lang w:val="es-GT"/>
        </w:rPr>
        <w:t xml:space="preserve"> la segunda excepción preliminar interpuesta por el Estado, en los términos de los párrafos </w:t>
      </w:r>
      <w:r w:rsidR="00581B8F">
        <w:rPr>
          <w:color w:val="auto"/>
          <w:spacing w:val="-2"/>
          <w:sz w:val="20"/>
          <w:szCs w:val="20"/>
          <w:lang w:val="es-GT"/>
        </w:rPr>
        <w:t>33</w:t>
      </w:r>
      <w:r w:rsidR="00910E74" w:rsidRPr="002F036A">
        <w:rPr>
          <w:color w:val="auto"/>
          <w:spacing w:val="-2"/>
          <w:sz w:val="20"/>
          <w:szCs w:val="20"/>
          <w:lang w:val="es-GT"/>
        </w:rPr>
        <w:t xml:space="preserve"> a </w:t>
      </w:r>
      <w:r w:rsidR="00581B8F">
        <w:rPr>
          <w:color w:val="auto"/>
          <w:spacing w:val="-2"/>
          <w:sz w:val="20"/>
          <w:szCs w:val="20"/>
          <w:lang w:val="es-GT"/>
        </w:rPr>
        <w:t>42</w:t>
      </w:r>
      <w:r w:rsidR="00910E74" w:rsidRPr="002F036A">
        <w:rPr>
          <w:color w:val="auto"/>
          <w:spacing w:val="-2"/>
          <w:sz w:val="20"/>
          <w:szCs w:val="20"/>
          <w:lang w:val="es-GT"/>
        </w:rPr>
        <w:t xml:space="preserve"> de esta Sentencia. </w:t>
      </w:r>
    </w:p>
    <w:p w14:paraId="52E6C9BC" w14:textId="77777777" w:rsidR="00910E74" w:rsidRPr="002F036A" w:rsidRDefault="00910E74" w:rsidP="00972D9D">
      <w:pPr>
        <w:pStyle w:val="Default"/>
        <w:tabs>
          <w:tab w:val="left" w:pos="567"/>
        </w:tabs>
        <w:spacing w:before="120" w:after="120"/>
        <w:jc w:val="both"/>
        <w:rPr>
          <w:color w:val="auto"/>
          <w:spacing w:val="-2"/>
          <w:sz w:val="20"/>
          <w:szCs w:val="20"/>
          <w:lang w:val="es-GT"/>
        </w:rPr>
      </w:pPr>
    </w:p>
    <w:p w14:paraId="012287A2" w14:textId="66659722" w:rsidR="00910E74" w:rsidRPr="002F036A" w:rsidRDefault="00972D9D" w:rsidP="00972D9D">
      <w:pPr>
        <w:tabs>
          <w:tab w:val="num" w:pos="630"/>
          <w:tab w:val="left" w:pos="720"/>
        </w:tabs>
        <w:spacing w:before="120" w:after="120" w:line="240" w:lineRule="auto"/>
        <w:jc w:val="both"/>
        <w:rPr>
          <w:rFonts w:ascii="Verdana" w:hAnsi="Verdana" w:cs="Verdana"/>
          <w:b/>
          <w:spacing w:val="-2"/>
          <w:sz w:val="20"/>
          <w:szCs w:val="20"/>
          <w:lang w:val="es-EC"/>
        </w:rPr>
      </w:pPr>
      <w:r>
        <w:rPr>
          <w:rFonts w:ascii="Verdana" w:hAnsi="Verdana" w:cs="Verdana"/>
          <w:b/>
          <w:spacing w:val="-2"/>
          <w:sz w:val="20"/>
          <w:szCs w:val="20"/>
          <w:lang w:val="es-EC"/>
        </w:rPr>
        <w:t xml:space="preserve">DECLARA, </w:t>
      </w:r>
    </w:p>
    <w:p w14:paraId="0CCA9774" w14:textId="72323B35" w:rsidR="00910E74" w:rsidRPr="00972D9D" w:rsidRDefault="00910E74" w:rsidP="00972D9D">
      <w:pPr>
        <w:tabs>
          <w:tab w:val="left" w:pos="720"/>
        </w:tabs>
        <w:spacing w:before="120" w:after="120" w:line="240" w:lineRule="auto"/>
        <w:jc w:val="both"/>
        <w:rPr>
          <w:rFonts w:ascii="Verdana" w:hAnsi="Verdana" w:cs="Verdana"/>
          <w:spacing w:val="-2"/>
          <w:sz w:val="20"/>
          <w:szCs w:val="20"/>
          <w:lang w:val="es-EC"/>
        </w:rPr>
      </w:pPr>
      <w:r w:rsidRPr="002F036A">
        <w:rPr>
          <w:rFonts w:ascii="Verdana" w:hAnsi="Verdana" w:cs="Verdana"/>
          <w:spacing w:val="-2"/>
          <w:sz w:val="20"/>
          <w:szCs w:val="20"/>
          <w:lang w:val="es-EC"/>
        </w:rPr>
        <w:t xml:space="preserve">por </w:t>
      </w:r>
      <w:r w:rsidR="004D6659">
        <w:rPr>
          <w:rFonts w:ascii="Verdana" w:hAnsi="Verdana"/>
          <w:spacing w:val="-2"/>
          <w:sz w:val="20"/>
          <w:szCs w:val="20"/>
          <w:lang w:val="es-AR"/>
        </w:rPr>
        <w:t>unanimidad</w:t>
      </w:r>
      <w:r w:rsidR="00972D9D">
        <w:rPr>
          <w:rFonts w:ascii="Verdana" w:hAnsi="Verdana" w:cs="Verdana"/>
          <w:spacing w:val="-2"/>
          <w:sz w:val="20"/>
          <w:szCs w:val="20"/>
          <w:lang w:val="es-EC"/>
        </w:rPr>
        <w:t>:</w:t>
      </w:r>
    </w:p>
    <w:p w14:paraId="4A59C2F6" w14:textId="5B9AEB23" w:rsidR="00BF3C68" w:rsidRDefault="00910E74" w:rsidP="00972D9D">
      <w:pPr>
        <w:pStyle w:val="Default"/>
        <w:tabs>
          <w:tab w:val="left" w:pos="567"/>
        </w:tabs>
        <w:spacing w:before="120" w:after="120"/>
        <w:jc w:val="both"/>
        <w:rPr>
          <w:color w:val="auto"/>
          <w:spacing w:val="-2"/>
          <w:sz w:val="20"/>
          <w:szCs w:val="20"/>
          <w:lang w:val="es-EC"/>
        </w:rPr>
      </w:pPr>
      <w:r w:rsidRPr="002F036A">
        <w:rPr>
          <w:color w:val="auto"/>
          <w:spacing w:val="-2"/>
          <w:sz w:val="20"/>
          <w:szCs w:val="20"/>
          <w:lang w:val="es-EC"/>
        </w:rPr>
        <w:t>3</w:t>
      </w:r>
      <w:r w:rsidR="00F42E68" w:rsidRPr="002F036A">
        <w:rPr>
          <w:color w:val="auto"/>
          <w:spacing w:val="-2"/>
          <w:sz w:val="20"/>
          <w:szCs w:val="20"/>
          <w:lang w:val="es-EC"/>
        </w:rPr>
        <w:t>.</w:t>
      </w:r>
      <w:r w:rsidR="00F42E68" w:rsidRPr="002F036A">
        <w:rPr>
          <w:color w:val="auto"/>
          <w:spacing w:val="-2"/>
          <w:sz w:val="20"/>
          <w:szCs w:val="20"/>
          <w:lang w:val="es-EC"/>
        </w:rPr>
        <w:tab/>
      </w:r>
      <w:r w:rsidRPr="002F036A">
        <w:rPr>
          <w:color w:val="auto"/>
          <w:spacing w:val="-2"/>
          <w:sz w:val="20"/>
          <w:szCs w:val="20"/>
          <w:lang w:val="es-GT"/>
        </w:rPr>
        <w:t xml:space="preserve">El Estado </w:t>
      </w:r>
      <w:r w:rsidR="00BF3C68">
        <w:rPr>
          <w:color w:val="auto"/>
          <w:spacing w:val="-2"/>
          <w:sz w:val="20"/>
          <w:szCs w:val="20"/>
          <w:lang w:val="es-GT"/>
        </w:rPr>
        <w:t xml:space="preserve">no </w:t>
      </w:r>
      <w:r w:rsidRPr="002F036A">
        <w:rPr>
          <w:color w:val="auto"/>
          <w:spacing w:val="-2"/>
          <w:sz w:val="20"/>
          <w:szCs w:val="20"/>
          <w:lang w:val="es-GT"/>
        </w:rPr>
        <w:t xml:space="preserve">es internacionalmente responsable por la violación a los derechos reconocidos en los artículos 8 y 25 de la Convención Americana, en los términos de los párrafos </w:t>
      </w:r>
      <w:r w:rsidR="00581B8F">
        <w:rPr>
          <w:color w:val="auto"/>
          <w:spacing w:val="-2"/>
          <w:sz w:val="20"/>
          <w:szCs w:val="20"/>
          <w:lang w:val="es-GT"/>
        </w:rPr>
        <w:t>1</w:t>
      </w:r>
      <w:r w:rsidR="000B31AD">
        <w:rPr>
          <w:color w:val="auto"/>
          <w:spacing w:val="-2"/>
          <w:sz w:val="20"/>
          <w:szCs w:val="20"/>
          <w:lang w:val="es-GT"/>
        </w:rPr>
        <w:t>13</w:t>
      </w:r>
      <w:r w:rsidRPr="002F036A">
        <w:rPr>
          <w:color w:val="auto"/>
          <w:spacing w:val="-2"/>
          <w:sz w:val="20"/>
          <w:szCs w:val="20"/>
          <w:lang w:val="es-GT"/>
        </w:rPr>
        <w:t xml:space="preserve"> a </w:t>
      </w:r>
      <w:r w:rsidR="000B31AD">
        <w:rPr>
          <w:color w:val="auto"/>
          <w:spacing w:val="-2"/>
          <w:sz w:val="20"/>
          <w:szCs w:val="20"/>
          <w:lang w:val="es-GT"/>
        </w:rPr>
        <w:t>140</w:t>
      </w:r>
      <w:r w:rsidRPr="002F036A">
        <w:rPr>
          <w:color w:val="auto"/>
          <w:spacing w:val="-2"/>
          <w:sz w:val="20"/>
          <w:szCs w:val="20"/>
          <w:lang w:val="es-GT"/>
        </w:rPr>
        <w:t xml:space="preserve"> de esta Sentencia</w:t>
      </w:r>
      <w:r w:rsidRPr="002F036A">
        <w:rPr>
          <w:color w:val="auto"/>
          <w:spacing w:val="-2"/>
          <w:sz w:val="20"/>
          <w:szCs w:val="20"/>
          <w:lang w:val="es-EC"/>
        </w:rPr>
        <w:t>.</w:t>
      </w:r>
    </w:p>
    <w:p w14:paraId="006BA4F8" w14:textId="600D9192" w:rsidR="00972D9D" w:rsidRPr="00775666" w:rsidRDefault="00BF3C68" w:rsidP="00972D9D">
      <w:pPr>
        <w:pStyle w:val="Default"/>
        <w:tabs>
          <w:tab w:val="left" w:pos="567"/>
        </w:tabs>
        <w:spacing w:before="120" w:after="120"/>
        <w:jc w:val="both"/>
        <w:rPr>
          <w:color w:val="auto"/>
          <w:spacing w:val="-2"/>
          <w:sz w:val="20"/>
          <w:szCs w:val="20"/>
          <w:lang w:val="es-EC"/>
        </w:rPr>
      </w:pPr>
      <w:r>
        <w:rPr>
          <w:color w:val="auto"/>
          <w:spacing w:val="-2"/>
          <w:sz w:val="20"/>
          <w:szCs w:val="20"/>
          <w:lang w:val="es-EC"/>
        </w:rPr>
        <w:t>4</w:t>
      </w:r>
      <w:r w:rsidR="00640DB4">
        <w:rPr>
          <w:color w:val="auto"/>
          <w:spacing w:val="-2"/>
          <w:sz w:val="20"/>
          <w:szCs w:val="20"/>
          <w:lang w:val="es-EC"/>
        </w:rPr>
        <w:t xml:space="preserve">. </w:t>
      </w:r>
      <w:r w:rsidR="00640DB4">
        <w:rPr>
          <w:color w:val="auto"/>
          <w:spacing w:val="-2"/>
          <w:sz w:val="20"/>
          <w:szCs w:val="20"/>
          <w:lang w:val="es-EC"/>
        </w:rPr>
        <w:tab/>
        <w:t xml:space="preserve">El Estado es responsable de la violación de la garantía del plazo razonable prevista en  el artículo 8.1. de la Convención, en los términos de los párrafos </w:t>
      </w:r>
      <w:r w:rsidR="000B31AD">
        <w:rPr>
          <w:color w:val="auto"/>
          <w:spacing w:val="-2"/>
          <w:sz w:val="20"/>
          <w:szCs w:val="20"/>
          <w:lang w:val="es-EC"/>
        </w:rPr>
        <w:t>141</w:t>
      </w:r>
      <w:r w:rsidR="00640DB4">
        <w:rPr>
          <w:color w:val="auto"/>
          <w:spacing w:val="-2"/>
          <w:sz w:val="20"/>
          <w:szCs w:val="20"/>
          <w:lang w:val="es-EC"/>
        </w:rPr>
        <w:t xml:space="preserve"> a </w:t>
      </w:r>
      <w:r w:rsidR="000B31AD">
        <w:rPr>
          <w:color w:val="auto"/>
          <w:spacing w:val="-2"/>
          <w:sz w:val="20"/>
          <w:szCs w:val="20"/>
          <w:lang w:val="es-EC"/>
        </w:rPr>
        <w:t>15</w:t>
      </w:r>
      <w:r w:rsidR="00C11BB5">
        <w:rPr>
          <w:color w:val="auto"/>
          <w:spacing w:val="-2"/>
          <w:sz w:val="20"/>
          <w:szCs w:val="20"/>
          <w:lang w:val="es-EC"/>
        </w:rPr>
        <w:t>4</w:t>
      </w:r>
      <w:r w:rsidR="00640DB4">
        <w:rPr>
          <w:color w:val="auto"/>
          <w:spacing w:val="-2"/>
          <w:sz w:val="20"/>
          <w:szCs w:val="20"/>
          <w:lang w:val="es-EC"/>
        </w:rPr>
        <w:t xml:space="preserve"> de esta sentencia.</w:t>
      </w:r>
    </w:p>
    <w:p w14:paraId="795EF2B8" w14:textId="79A3F12E" w:rsidR="00910E74" w:rsidRPr="00972D9D" w:rsidRDefault="00972D9D" w:rsidP="00972D9D">
      <w:pPr>
        <w:pStyle w:val="Default"/>
        <w:tabs>
          <w:tab w:val="left" w:pos="567"/>
        </w:tabs>
        <w:spacing w:before="120" w:after="120"/>
        <w:jc w:val="both"/>
        <w:rPr>
          <w:b/>
          <w:color w:val="auto"/>
          <w:spacing w:val="-2"/>
          <w:sz w:val="20"/>
          <w:szCs w:val="20"/>
          <w:lang w:val="es-GT"/>
        </w:rPr>
      </w:pPr>
      <w:r>
        <w:rPr>
          <w:b/>
          <w:color w:val="auto"/>
          <w:spacing w:val="-2"/>
          <w:sz w:val="20"/>
          <w:szCs w:val="20"/>
          <w:lang w:val="es-GT"/>
        </w:rPr>
        <w:t>Y DISPONE,</w:t>
      </w:r>
    </w:p>
    <w:p w14:paraId="1647545A" w14:textId="65DEBB7C" w:rsidR="00F42E68" w:rsidRPr="002F036A" w:rsidRDefault="00910E74" w:rsidP="00972D9D">
      <w:pPr>
        <w:tabs>
          <w:tab w:val="left" w:pos="720"/>
        </w:tabs>
        <w:spacing w:before="120" w:after="120" w:line="240" w:lineRule="auto"/>
        <w:jc w:val="both"/>
        <w:rPr>
          <w:rFonts w:ascii="Verdana" w:hAnsi="Verdana" w:cs="Verdana"/>
          <w:spacing w:val="-2"/>
          <w:sz w:val="20"/>
          <w:szCs w:val="20"/>
          <w:lang w:val="es-EC"/>
        </w:rPr>
      </w:pPr>
      <w:r w:rsidRPr="002F036A">
        <w:rPr>
          <w:rFonts w:ascii="Verdana" w:hAnsi="Verdana" w:cs="Verdana"/>
          <w:spacing w:val="-2"/>
          <w:sz w:val="20"/>
          <w:szCs w:val="20"/>
          <w:lang w:val="es-EC"/>
        </w:rPr>
        <w:t xml:space="preserve">por </w:t>
      </w:r>
      <w:r w:rsidR="004D6659">
        <w:rPr>
          <w:rFonts w:ascii="Verdana" w:hAnsi="Verdana" w:cs="Verdana"/>
          <w:spacing w:val="-2"/>
          <w:sz w:val="20"/>
          <w:szCs w:val="20"/>
          <w:lang w:val="es-EC"/>
        </w:rPr>
        <w:t>unanimidad</w:t>
      </w:r>
      <w:r w:rsidRPr="002F036A">
        <w:rPr>
          <w:rFonts w:ascii="Verdana" w:hAnsi="Verdana" w:cs="Verdana"/>
          <w:spacing w:val="-2"/>
          <w:sz w:val="20"/>
          <w:szCs w:val="20"/>
          <w:lang w:val="es-EC"/>
        </w:rPr>
        <w:t>:</w:t>
      </w:r>
    </w:p>
    <w:p w14:paraId="6E0F2006" w14:textId="6BC6F628" w:rsidR="00640DB4" w:rsidRPr="00972D9D" w:rsidRDefault="00640DB4" w:rsidP="00972D9D">
      <w:pPr>
        <w:tabs>
          <w:tab w:val="left" w:pos="720"/>
        </w:tabs>
        <w:spacing w:before="120" w:after="120" w:line="240" w:lineRule="auto"/>
        <w:jc w:val="both"/>
        <w:rPr>
          <w:rFonts w:ascii="Verdana" w:hAnsi="Verdana" w:cs="Verdana"/>
          <w:spacing w:val="-2"/>
          <w:sz w:val="20"/>
          <w:szCs w:val="20"/>
          <w:lang w:val="es-CR"/>
        </w:rPr>
      </w:pPr>
      <w:r>
        <w:rPr>
          <w:rFonts w:ascii="Verdana" w:eastAsiaTheme="minorHAnsi" w:hAnsi="Verdana"/>
          <w:sz w:val="20"/>
          <w:szCs w:val="20"/>
          <w:lang w:val="es-CR"/>
        </w:rPr>
        <w:t xml:space="preserve">5.     </w:t>
      </w:r>
      <w:r w:rsidR="00F42E68" w:rsidRPr="00775666">
        <w:rPr>
          <w:rFonts w:ascii="Verdana" w:eastAsiaTheme="minorHAnsi" w:hAnsi="Verdana"/>
          <w:sz w:val="20"/>
          <w:szCs w:val="20"/>
          <w:lang w:val="es-CR"/>
        </w:rPr>
        <w:t xml:space="preserve">Esta Sentencia constituye, por sí misma, una forma de reparación. </w:t>
      </w:r>
    </w:p>
    <w:p w14:paraId="27A3C3DC" w14:textId="64070695" w:rsidR="00F42E68" w:rsidRPr="00775666" w:rsidRDefault="00640DB4" w:rsidP="00972D9D">
      <w:pPr>
        <w:spacing w:before="120" w:after="120" w:line="240" w:lineRule="auto"/>
        <w:jc w:val="both"/>
        <w:rPr>
          <w:rFonts w:ascii="Verdana" w:hAnsi="Verdana"/>
          <w:sz w:val="20"/>
          <w:szCs w:val="20"/>
          <w:lang w:val="es-EC"/>
        </w:rPr>
      </w:pPr>
      <w:r>
        <w:rPr>
          <w:rFonts w:ascii="Verdana" w:eastAsiaTheme="minorHAnsi" w:hAnsi="Verdana"/>
          <w:sz w:val="20"/>
          <w:szCs w:val="20"/>
          <w:lang w:val="es-CR"/>
        </w:rPr>
        <w:t xml:space="preserve">6.   </w:t>
      </w:r>
      <w:r w:rsidR="000B31AD" w:rsidRPr="000B31AD">
        <w:rPr>
          <w:rFonts w:ascii="Verdana" w:eastAsiaTheme="minorHAnsi" w:hAnsi="Verdana"/>
          <w:sz w:val="20"/>
          <w:szCs w:val="20"/>
          <w:lang w:val="es-CR"/>
        </w:rPr>
        <w:t xml:space="preserve">El Estado </w:t>
      </w:r>
      <w:r w:rsidR="000B31AD">
        <w:rPr>
          <w:rFonts w:ascii="Verdana" w:eastAsiaTheme="minorHAnsi" w:hAnsi="Verdana"/>
          <w:sz w:val="20"/>
          <w:szCs w:val="20"/>
          <w:lang w:val="es-CR"/>
        </w:rPr>
        <w:t xml:space="preserve">debe </w:t>
      </w:r>
      <w:r w:rsidR="000B31AD" w:rsidRPr="000B31AD">
        <w:rPr>
          <w:rFonts w:ascii="Verdana" w:eastAsiaTheme="minorHAnsi" w:hAnsi="Verdana"/>
          <w:sz w:val="20"/>
          <w:szCs w:val="20"/>
          <w:lang w:val="es-CR"/>
        </w:rPr>
        <w:t xml:space="preserve">pagar las cantidades fijadas en los párrafos </w:t>
      </w:r>
      <w:r w:rsidR="000B31AD">
        <w:rPr>
          <w:rFonts w:ascii="Verdana" w:eastAsiaTheme="minorHAnsi" w:hAnsi="Verdana"/>
          <w:sz w:val="20"/>
          <w:szCs w:val="20"/>
          <w:lang w:val="es-CR"/>
        </w:rPr>
        <w:t>171</w:t>
      </w:r>
      <w:r w:rsidR="000B31AD" w:rsidRPr="000B31AD">
        <w:rPr>
          <w:rFonts w:ascii="Verdana" w:eastAsiaTheme="minorHAnsi" w:hAnsi="Verdana"/>
          <w:sz w:val="20"/>
          <w:szCs w:val="20"/>
          <w:lang w:val="es-CR"/>
        </w:rPr>
        <w:t xml:space="preserve"> y </w:t>
      </w:r>
      <w:r w:rsidR="000B31AD">
        <w:rPr>
          <w:rFonts w:ascii="Verdana" w:eastAsiaTheme="minorHAnsi" w:hAnsi="Verdana"/>
          <w:sz w:val="20"/>
          <w:szCs w:val="20"/>
          <w:lang w:val="es-CR"/>
        </w:rPr>
        <w:t>176</w:t>
      </w:r>
      <w:r w:rsidR="000B31AD" w:rsidRPr="000B31AD">
        <w:rPr>
          <w:rFonts w:ascii="Verdana" w:eastAsiaTheme="minorHAnsi" w:hAnsi="Verdana"/>
          <w:sz w:val="20"/>
          <w:szCs w:val="20"/>
          <w:lang w:val="es-CR"/>
        </w:rPr>
        <w:t xml:space="preserve"> de la presente Sentencia por concepto de indemnización por daño inmaterial y costas</w:t>
      </w:r>
      <w:r w:rsidR="00C11BB5">
        <w:rPr>
          <w:rFonts w:ascii="Verdana" w:eastAsiaTheme="minorHAnsi" w:hAnsi="Verdana"/>
          <w:sz w:val="20"/>
          <w:szCs w:val="20"/>
          <w:lang w:val="es-CR"/>
        </w:rPr>
        <w:t xml:space="preserve"> y gastos</w:t>
      </w:r>
      <w:r w:rsidR="000B31AD" w:rsidRPr="000B31AD">
        <w:rPr>
          <w:rFonts w:ascii="Verdana" w:eastAsiaTheme="minorHAnsi" w:hAnsi="Verdana"/>
          <w:sz w:val="20"/>
          <w:szCs w:val="20"/>
          <w:lang w:val="es-CR"/>
        </w:rPr>
        <w:t>.</w:t>
      </w:r>
      <w:r w:rsidR="00F42E68" w:rsidRPr="00775666">
        <w:rPr>
          <w:rFonts w:ascii="Verdana" w:eastAsiaTheme="minorHAnsi" w:hAnsi="Verdana"/>
          <w:sz w:val="20"/>
          <w:szCs w:val="20"/>
          <w:lang w:val="es-CR"/>
        </w:rPr>
        <w:t xml:space="preserve">  </w:t>
      </w:r>
    </w:p>
    <w:p w14:paraId="33402EFF" w14:textId="27973505" w:rsidR="00972D9D" w:rsidRDefault="00640DB4" w:rsidP="00972D9D">
      <w:pPr>
        <w:pStyle w:val="Prrafodelista"/>
        <w:tabs>
          <w:tab w:val="left" w:pos="720"/>
        </w:tabs>
        <w:spacing w:before="120" w:after="120" w:line="240" w:lineRule="auto"/>
        <w:ind w:left="0"/>
        <w:jc w:val="both"/>
        <w:rPr>
          <w:rFonts w:ascii="Verdana" w:eastAsia="MS Mincho" w:hAnsi="Verdana"/>
          <w:sz w:val="20"/>
          <w:szCs w:val="20"/>
          <w:lang w:val="es-CR"/>
        </w:rPr>
      </w:pPr>
      <w:r>
        <w:rPr>
          <w:rFonts w:ascii="Verdana" w:eastAsia="MS Mincho" w:hAnsi="Verdana"/>
          <w:sz w:val="20"/>
          <w:szCs w:val="20"/>
          <w:lang w:val="es-EC"/>
        </w:rPr>
        <w:t xml:space="preserve">7.    </w:t>
      </w:r>
      <w:r w:rsidR="00F42E68" w:rsidRPr="00640DB4">
        <w:rPr>
          <w:rFonts w:ascii="Verdana" w:eastAsia="MS Mincho" w:hAnsi="Verdana"/>
          <w:sz w:val="20"/>
          <w:szCs w:val="20"/>
          <w:lang w:val="es-CR"/>
        </w:rPr>
        <w:t xml:space="preserve">El Estado </w:t>
      </w:r>
      <w:r w:rsidR="00F42E68" w:rsidRPr="00640DB4">
        <w:rPr>
          <w:rFonts w:ascii="Verdana" w:eastAsiaTheme="minorHAnsi" w:hAnsi="Verdana"/>
          <w:sz w:val="20"/>
          <w:szCs w:val="20"/>
          <w:lang w:val="es-CR"/>
        </w:rPr>
        <w:t>debe</w:t>
      </w:r>
      <w:r w:rsidR="00F42E68" w:rsidRPr="00640DB4">
        <w:rPr>
          <w:rFonts w:ascii="Verdana" w:eastAsia="MS Mincho" w:hAnsi="Verdana"/>
          <w:sz w:val="20"/>
          <w:szCs w:val="20"/>
          <w:lang w:val="es-CR"/>
        </w:rPr>
        <w:t xml:space="preserve"> realizar las publicaciones que se indican en el párrafo </w:t>
      </w:r>
      <w:r w:rsidR="000B31AD">
        <w:rPr>
          <w:rFonts w:ascii="Verdana" w:eastAsia="MS Mincho" w:hAnsi="Verdana"/>
          <w:sz w:val="20"/>
          <w:szCs w:val="20"/>
          <w:lang w:val="es-CR"/>
        </w:rPr>
        <w:t xml:space="preserve">164 </w:t>
      </w:r>
      <w:r w:rsidR="00F42E68" w:rsidRPr="00640DB4">
        <w:rPr>
          <w:rFonts w:ascii="Verdana" w:eastAsia="MS Mincho" w:hAnsi="Verdana"/>
          <w:sz w:val="20"/>
          <w:szCs w:val="20"/>
          <w:lang w:val="es-CR"/>
        </w:rPr>
        <w:t xml:space="preserve">del presente Fallo, </w:t>
      </w:r>
      <w:r w:rsidR="00F42E68" w:rsidRPr="00640DB4">
        <w:rPr>
          <w:rFonts w:ascii="Verdana" w:eastAsiaTheme="minorHAnsi" w:hAnsi="Verdana"/>
          <w:sz w:val="20"/>
          <w:szCs w:val="20"/>
          <w:lang w:val="es-CR"/>
        </w:rPr>
        <w:t>en los términos de ese mismo párrafo.</w:t>
      </w:r>
      <w:r w:rsidR="00F42E68" w:rsidRPr="00640DB4">
        <w:rPr>
          <w:rFonts w:ascii="Verdana" w:eastAsia="MS Mincho" w:hAnsi="Verdana"/>
          <w:sz w:val="20"/>
          <w:szCs w:val="20"/>
          <w:lang w:val="es-CR"/>
        </w:rPr>
        <w:t xml:space="preserve"> </w:t>
      </w:r>
    </w:p>
    <w:p w14:paraId="7A50AFDC" w14:textId="77777777" w:rsidR="00972D9D" w:rsidRPr="00972D9D" w:rsidRDefault="00972D9D" w:rsidP="00972D9D">
      <w:pPr>
        <w:pStyle w:val="Prrafodelista"/>
        <w:tabs>
          <w:tab w:val="left" w:pos="720"/>
        </w:tabs>
        <w:spacing w:before="120" w:after="120" w:line="240" w:lineRule="auto"/>
        <w:ind w:left="0"/>
        <w:jc w:val="both"/>
        <w:rPr>
          <w:rFonts w:ascii="Verdana" w:eastAsia="MS Mincho" w:hAnsi="Verdana"/>
          <w:sz w:val="20"/>
          <w:szCs w:val="20"/>
          <w:lang w:val="es-CR"/>
        </w:rPr>
      </w:pPr>
    </w:p>
    <w:p w14:paraId="59AB4880" w14:textId="7E4C2629" w:rsidR="00640DB4" w:rsidRDefault="00640DB4" w:rsidP="00972D9D">
      <w:pPr>
        <w:pStyle w:val="Prrafodelista"/>
        <w:tabs>
          <w:tab w:val="left" w:pos="720"/>
        </w:tabs>
        <w:spacing w:before="120" w:after="120" w:line="240" w:lineRule="auto"/>
        <w:ind w:left="0"/>
        <w:jc w:val="both"/>
        <w:rPr>
          <w:rFonts w:ascii="Verdana" w:eastAsiaTheme="minorHAnsi" w:hAnsi="Verdana"/>
          <w:sz w:val="20"/>
          <w:szCs w:val="20"/>
          <w:lang w:val="es-CR"/>
        </w:rPr>
      </w:pPr>
      <w:r>
        <w:rPr>
          <w:rFonts w:ascii="Verdana" w:eastAsiaTheme="minorHAnsi" w:hAnsi="Verdana"/>
          <w:sz w:val="20"/>
          <w:szCs w:val="20"/>
          <w:lang w:val="es-CR"/>
        </w:rPr>
        <w:t xml:space="preserve">8.   </w:t>
      </w:r>
      <w:r w:rsidR="00F42E68" w:rsidRPr="00640DB4">
        <w:rPr>
          <w:rFonts w:ascii="Verdana" w:eastAsiaTheme="minorHAnsi" w:hAnsi="Verdana"/>
          <w:sz w:val="20"/>
          <w:szCs w:val="20"/>
          <w:lang w:val="es-CR"/>
        </w:rPr>
        <w:t xml:space="preserve">El Estado debe </w:t>
      </w:r>
      <w:r w:rsidR="00F42E68" w:rsidRPr="00640DB4">
        <w:rPr>
          <w:rFonts w:ascii="Verdana" w:eastAsiaTheme="minorHAnsi" w:hAnsi="Verdana" w:cs="Verdana"/>
          <w:sz w:val="20"/>
          <w:szCs w:val="20"/>
          <w:lang w:val="es-CR"/>
        </w:rPr>
        <w:t>rendir</w:t>
      </w:r>
      <w:r w:rsidR="00F42E68" w:rsidRPr="00640DB4">
        <w:rPr>
          <w:rFonts w:ascii="Verdana" w:eastAsiaTheme="minorHAnsi" w:hAnsi="Verdana"/>
          <w:sz w:val="20"/>
          <w:szCs w:val="20"/>
          <w:lang w:val="es-CR"/>
        </w:rPr>
        <w:t xml:space="preserve"> al Tribunal un informe sobre las medidas adoptadas para cumplir con </w:t>
      </w:r>
      <w:r w:rsidR="00F42E68" w:rsidRPr="00640DB4">
        <w:rPr>
          <w:rFonts w:ascii="Verdana" w:eastAsiaTheme="minorHAnsi" w:hAnsi="Verdana" w:cs="Verdana"/>
          <w:sz w:val="20"/>
          <w:szCs w:val="20"/>
          <w:lang w:val="es-CR"/>
        </w:rPr>
        <w:t>la presente Sentencia</w:t>
      </w:r>
      <w:r w:rsidR="00F42E68" w:rsidRPr="00640DB4">
        <w:rPr>
          <w:rFonts w:ascii="Verdana" w:eastAsiaTheme="minorHAnsi" w:hAnsi="Verdana"/>
          <w:sz w:val="20"/>
          <w:szCs w:val="20"/>
          <w:lang w:val="es-CR"/>
        </w:rPr>
        <w:t>,</w:t>
      </w:r>
      <w:r w:rsidR="00F42E68" w:rsidRPr="00640DB4">
        <w:rPr>
          <w:rFonts w:ascii="Verdana" w:eastAsiaTheme="minorHAnsi" w:hAnsi="Verdana" w:cs="Verdana"/>
          <w:sz w:val="20"/>
          <w:szCs w:val="20"/>
          <w:lang w:val="es-CR"/>
        </w:rPr>
        <w:t xml:space="preserve"> dentro del plazo de un año contado a partir de la notificación de </w:t>
      </w:r>
      <w:r w:rsidR="00F42E68" w:rsidRPr="00640DB4">
        <w:rPr>
          <w:rFonts w:ascii="Verdana" w:eastAsiaTheme="minorHAnsi" w:hAnsi="Verdana"/>
          <w:sz w:val="20"/>
          <w:szCs w:val="20"/>
          <w:lang w:val="es-CR"/>
        </w:rPr>
        <w:t>la misma.</w:t>
      </w:r>
    </w:p>
    <w:p w14:paraId="79BA7EFF" w14:textId="77777777" w:rsidR="00972D9D" w:rsidRPr="00972D9D" w:rsidRDefault="00972D9D" w:rsidP="00972D9D">
      <w:pPr>
        <w:pStyle w:val="Prrafodelista"/>
        <w:tabs>
          <w:tab w:val="left" w:pos="720"/>
        </w:tabs>
        <w:spacing w:before="120" w:after="120" w:line="240" w:lineRule="auto"/>
        <w:ind w:left="0"/>
        <w:jc w:val="both"/>
        <w:rPr>
          <w:rFonts w:ascii="Verdana" w:hAnsi="Verdana" w:cs="Verdana"/>
          <w:spacing w:val="-2"/>
          <w:sz w:val="20"/>
          <w:szCs w:val="20"/>
          <w:lang w:val="es-EC"/>
        </w:rPr>
      </w:pPr>
    </w:p>
    <w:p w14:paraId="3B2F6707" w14:textId="767965F5" w:rsidR="00F42E68" w:rsidRPr="00640DB4" w:rsidRDefault="00640DB4" w:rsidP="00972D9D">
      <w:pPr>
        <w:pStyle w:val="Prrafodelista"/>
        <w:tabs>
          <w:tab w:val="left" w:pos="720"/>
        </w:tabs>
        <w:spacing w:before="120" w:after="120" w:line="240" w:lineRule="auto"/>
        <w:ind w:left="0"/>
        <w:jc w:val="both"/>
        <w:rPr>
          <w:rFonts w:ascii="Verdana" w:hAnsi="Verdana" w:cs="Verdana"/>
          <w:spacing w:val="-2"/>
          <w:sz w:val="20"/>
          <w:szCs w:val="20"/>
          <w:lang w:val="es-EC"/>
        </w:rPr>
      </w:pPr>
      <w:r>
        <w:rPr>
          <w:rFonts w:ascii="Verdana" w:eastAsiaTheme="minorHAnsi" w:hAnsi="Verdana"/>
          <w:sz w:val="20"/>
          <w:szCs w:val="20"/>
          <w:lang w:val="es-CR"/>
        </w:rPr>
        <w:t xml:space="preserve">9.  </w:t>
      </w:r>
      <w:r w:rsidR="00F42E68" w:rsidRPr="00640DB4">
        <w:rPr>
          <w:rFonts w:ascii="Verdana" w:eastAsiaTheme="minorHAnsi" w:hAnsi="Verdana"/>
          <w:sz w:val="20"/>
          <w:szCs w:val="20"/>
          <w:lang w:val="es-CR"/>
        </w:rPr>
        <w:t xml:space="preserve">La Corte supervisará el cumplimiento íntegro de esta Sentencia, en ejercicio de sus atribuciones y en cumplimiento de sus deberes conforme a la Convención Americana sobre Derechos Humanos, </w:t>
      </w:r>
      <w:r w:rsidR="00F42E68" w:rsidRPr="00640DB4">
        <w:rPr>
          <w:rFonts w:ascii="Verdana" w:eastAsiaTheme="minorHAnsi" w:hAnsi="Verdana"/>
          <w:sz w:val="20"/>
          <w:szCs w:val="20"/>
          <w:lang w:val="es-CR"/>
        </w:rPr>
        <w:lastRenderedPageBreak/>
        <w:t>y dará por concluido el presente caso una vez que el Estado haya dado cabal cumplimiento a lo dispuesto en la misma.</w:t>
      </w:r>
    </w:p>
    <w:p w14:paraId="24904C97" w14:textId="77777777" w:rsidR="00F42E68" w:rsidRPr="00F42E68" w:rsidRDefault="00F42E68" w:rsidP="00972D9D">
      <w:pPr>
        <w:spacing w:before="120" w:after="120" w:line="240" w:lineRule="auto"/>
        <w:jc w:val="both"/>
        <w:rPr>
          <w:rFonts w:ascii="Verdana" w:eastAsiaTheme="minorHAnsi" w:hAnsi="Verdana"/>
          <w:sz w:val="20"/>
          <w:szCs w:val="20"/>
          <w:u w:val="single"/>
          <w:lang w:val="es-CR"/>
        </w:rPr>
      </w:pPr>
    </w:p>
    <w:p w14:paraId="4BC68AB8" w14:textId="77777777" w:rsidR="00F42E68" w:rsidRPr="00F42E68" w:rsidRDefault="00F42E68" w:rsidP="00972D9D">
      <w:pPr>
        <w:spacing w:before="120" w:after="120" w:line="240" w:lineRule="auto"/>
        <w:jc w:val="both"/>
        <w:rPr>
          <w:rFonts w:ascii="Verdana" w:eastAsiaTheme="minorHAnsi" w:hAnsi="Verdana"/>
          <w:sz w:val="20"/>
          <w:szCs w:val="20"/>
          <w:lang w:val="es-CR"/>
        </w:rPr>
      </w:pPr>
    </w:p>
    <w:p w14:paraId="72469DBF" w14:textId="015F3617" w:rsidR="00972D9D" w:rsidRDefault="00F42E68" w:rsidP="0076370B">
      <w:pPr>
        <w:spacing w:before="120" w:after="120" w:line="240" w:lineRule="auto"/>
        <w:jc w:val="both"/>
        <w:rPr>
          <w:rFonts w:ascii="Verdana" w:eastAsiaTheme="minorHAnsi" w:hAnsi="Verdana"/>
          <w:sz w:val="20"/>
          <w:szCs w:val="20"/>
          <w:lang w:val="es-CR"/>
        </w:rPr>
      </w:pPr>
      <w:r w:rsidRPr="00F42E68">
        <w:rPr>
          <w:rFonts w:ascii="Verdana" w:eastAsiaTheme="minorHAnsi" w:hAnsi="Verdana"/>
          <w:sz w:val="20"/>
          <w:szCs w:val="20"/>
          <w:lang w:val="es-CR"/>
        </w:rPr>
        <w:t xml:space="preserve">Redactada en español en San José, Costa Rica, el </w:t>
      </w:r>
      <w:r w:rsidR="004D6659">
        <w:rPr>
          <w:rFonts w:ascii="Verdana" w:eastAsiaTheme="minorHAnsi" w:hAnsi="Verdana"/>
          <w:sz w:val="20"/>
          <w:szCs w:val="20"/>
          <w:lang w:val="es-CR"/>
        </w:rPr>
        <w:t>8</w:t>
      </w:r>
      <w:r w:rsidR="004D6659" w:rsidRPr="002F036A">
        <w:rPr>
          <w:rFonts w:ascii="Verdana" w:eastAsiaTheme="minorHAnsi" w:hAnsi="Verdana"/>
          <w:sz w:val="20"/>
          <w:szCs w:val="20"/>
          <w:lang w:val="es-CR"/>
        </w:rPr>
        <w:t xml:space="preserve"> </w:t>
      </w:r>
      <w:r w:rsidRPr="00F42E68">
        <w:rPr>
          <w:rFonts w:ascii="Verdana" w:eastAsiaTheme="minorHAnsi" w:hAnsi="Verdana"/>
          <w:sz w:val="20"/>
          <w:szCs w:val="20"/>
          <w:lang w:val="es-CR"/>
        </w:rPr>
        <w:t>de</w:t>
      </w:r>
      <w:r w:rsidRPr="002F036A">
        <w:rPr>
          <w:rFonts w:ascii="Verdana" w:eastAsiaTheme="minorHAnsi" w:hAnsi="Verdana"/>
          <w:sz w:val="20"/>
          <w:szCs w:val="20"/>
          <w:lang w:val="es-CR"/>
        </w:rPr>
        <w:t xml:space="preserve"> </w:t>
      </w:r>
      <w:r w:rsidR="004D6659">
        <w:rPr>
          <w:rFonts w:ascii="Verdana" w:eastAsiaTheme="minorHAnsi" w:hAnsi="Verdana"/>
          <w:sz w:val="20"/>
          <w:szCs w:val="20"/>
          <w:lang w:val="es-CR"/>
        </w:rPr>
        <w:t>octubre</w:t>
      </w:r>
      <w:r w:rsidR="004D6659" w:rsidRPr="00F42E68">
        <w:rPr>
          <w:rFonts w:ascii="Verdana" w:eastAsiaTheme="minorHAnsi" w:hAnsi="Verdana"/>
          <w:sz w:val="20"/>
          <w:szCs w:val="20"/>
          <w:lang w:val="es-CR"/>
        </w:rPr>
        <w:t xml:space="preserve"> </w:t>
      </w:r>
      <w:r w:rsidRPr="00F42E68">
        <w:rPr>
          <w:rFonts w:ascii="Verdana" w:eastAsiaTheme="minorHAnsi" w:hAnsi="Verdana"/>
          <w:sz w:val="20"/>
          <w:szCs w:val="20"/>
          <w:lang w:val="es-CR"/>
        </w:rPr>
        <w:t>de 201</w:t>
      </w:r>
      <w:r w:rsidR="005E3D75">
        <w:rPr>
          <w:rFonts w:ascii="Verdana" w:eastAsiaTheme="minorHAnsi" w:hAnsi="Verdana"/>
          <w:sz w:val="20"/>
          <w:szCs w:val="20"/>
          <w:lang w:val="es-CR"/>
        </w:rPr>
        <w:t>9</w:t>
      </w:r>
      <w:r w:rsidRPr="00F42E68">
        <w:rPr>
          <w:rFonts w:ascii="Verdana" w:eastAsiaTheme="minorHAnsi" w:hAnsi="Verdana"/>
          <w:sz w:val="20"/>
          <w:szCs w:val="20"/>
          <w:lang w:val="es-CR"/>
        </w:rPr>
        <w:t>.</w:t>
      </w:r>
    </w:p>
    <w:p w14:paraId="4D320543" w14:textId="77777777" w:rsidR="0076370B" w:rsidRDefault="0076370B" w:rsidP="0076370B">
      <w:pPr>
        <w:spacing w:before="120" w:after="120" w:line="240" w:lineRule="auto"/>
        <w:jc w:val="both"/>
        <w:rPr>
          <w:rFonts w:ascii="Verdana" w:eastAsiaTheme="minorHAnsi" w:hAnsi="Verdana"/>
          <w:sz w:val="20"/>
          <w:szCs w:val="20"/>
          <w:lang w:val="es-CR"/>
        </w:rPr>
      </w:pPr>
    </w:p>
    <w:p w14:paraId="749A59B9" w14:textId="77777777" w:rsidR="0076370B" w:rsidRPr="0076370B" w:rsidRDefault="0076370B" w:rsidP="0076370B">
      <w:pPr>
        <w:spacing w:before="120" w:after="120" w:line="240" w:lineRule="auto"/>
        <w:jc w:val="both"/>
        <w:rPr>
          <w:rFonts w:ascii="Verdana" w:eastAsiaTheme="minorHAnsi" w:hAnsi="Verdana"/>
          <w:sz w:val="20"/>
          <w:szCs w:val="20"/>
          <w:lang w:val="es-CR"/>
        </w:rPr>
      </w:pPr>
    </w:p>
    <w:p w14:paraId="50A9BC36" w14:textId="2478355A" w:rsidR="00FD16B3" w:rsidRDefault="00910E74" w:rsidP="00972D9D">
      <w:pPr>
        <w:widowControl w:val="0"/>
        <w:tabs>
          <w:tab w:val="center" w:pos="567"/>
        </w:tabs>
        <w:autoSpaceDE w:val="0"/>
        <w:autoSpaceDN w:val="0"/>
        <w:adjustRightInd w:val="0"/>
        <w:spacing w:before="120" w:after="120" w:line="240" w:lineRule="auto"/>
        <w:ind w:right="-90"/>
        <w:contextualSpacing/>
        <w:jc w:val="both"/>
        <w:rPr>
          <w:rFonts w:ascii="Verdana" w:eastAsia="Calibri" w:hAnsi="Verdana" w:cs="Times New Roman"/>
          <w:i/>
          <w:sz w:val="20"/>
          <w:szCs w:val="20"/>
        </w:rPr>
      </w:pPr>
      <w:r w:rsidRPr="002F036A">
        <w:rPr>
          <w:rFonts w:ascii="Verdana" w:eastAsia="Calibri" w:hAnsi="Verdana" w:cs="Times New Roman"/>
          <w:sz w:val="20"/>
          <w:szCs w:val="20"/>
        </w:rPr>
        <w:t xml:space="preserve">Sentencia de la Corte Interamericana de Derechos Humanos. </w:t>
      </w:r>
      <w:r w:rsidRPr="002F036A">
        <w:rPr>
          <w:rFonts w:ascii="Verdana" w:eastAsia="Calibri" w:hAnsi="Verdana" w:cs="Times New Roman"/>
          <w:i/>
          <w:sz w:val="20"/>
          <w:szCs w:val="20"/>
        </w:rPr>
        <w:t>Caso Perrone y Preckel Vs. Argentina. Excepciones Preliminares</w:t>
      </w:r>
      <w:r w:rsidR="008C5743">
        <w:rPr>
          <w:rFonts w:ascii="Verdana" w:eastAsia="Calibri" w:hAnsi="Verdana" w:cs="Times New Roman"/>
          <w:i/>
          <w:sz w:val="20"/>
          <w:szCs w:val="20"/>
        </w:rPr>
        <w:t xml:space="preserve">, </w:t>
      </w:r>
      <w:r w:rsidRPr="002F036A">
        <w:rPr>
          <w:rFonts w:ascii="Verdana" w:eastAsia="Calibri" w:hAnsi="Verdana" w:cs="Times New Roman"/>
          <w:i/>
          <w:sz w:val="20"/>
          <w:szCs w:val="20"/>
        </w:rPr>
        <w:t>Fondo</w:t>
      </w:r>
      <w:r w:rsidR="005E3D75">
        <w:rPr>
          <w:rFonts w:ascii="Verdana" w:eastAsia="Calibri" w:hAnsi="Verdana" w:cs="Times New Roman"/>
          <w:i/>
          <w:sz w:val="20"/>
          <w:szCs w:val="20"/>
        </w:rPr>
        <w:t xml:space="preserve">, </w:t>
      </w:r>
      <w:r w:rsidR="008C5743">
        <w:rPr>
          <w:rFonts w:ascii="Verdana" w:eastAsia="Calibri" w:hAnsi="Verdana" w:cs="Times New Roman"/>
          <w:i/>
          <w:sz w:val="20"/>
          <w:szCs w:val="20"/>
        </w:rPr>
        <w:t>Reparaciones</w:t>
      </w:r>
      <w:r w:rsidR="005E3D75">
        <w:rPr>
          <w:rFonts w:ascii="Verdana" w:eastAsia="Calibri" w:hAnsi="Verdana" w:cs="Times New Roman"/>
          <w:i/>
          <w:sz w:val="20"/>
          <w:szCs w:val="20"/>
        </w:rPr>
        <w:t xml:space="preserve"> y Costas.</w:t>
      </w:r>
    </w:p>
    <w:p w14:paraId="32A38999" w14:textId="77777777" w:rsidR="00FD16B3" w:rsidRDefault="00FD16B3">
      <w:pPr>
        <w:rPr>
          <w:rFonts w:ascii="Verdana" w:eastAsia="Calibri" w:hAnsi="Verdana" w:cs="Times New Roman"/>
          <w:i/>
          <w:sz w:val="20"/>
          <w:szCs w:val="20"/>
        </w:rPr>
      </w:pPr>
      <w:r>
        <w:rPr>
          <w:rFonts w:ascii="Verdana" w:eastAsia="Calibri" w:hAnsi="Verdana" w:cs="Times New Roman"/>
          <w:i/>
          <w:sz w:val="20"/>
          <w:szCs w:val="20"/>
        </w:rPr>
        <w:br w:type="page"/>
      </w:r>
    </w:p>
    <w:p w14:paraId="7C34BCC6" w14:textId="5E5A0FCB" w:rsidR="00FD16B3" w:rsidRDefault="00FD16B3" w:rsidP="00FD16B3">
      <w:pPr>
        <w:jc w:val="both"/>
        <w:rPr>
          <w:rFonts w:ascii="Verdana" w:hAnsi="Verdana"/>
          <w:sz w:val="20"/>
        </w:rPr>
      </w:pPr>
      <w:r>
        <w:rPr>
          <w:rFonts w:ascii="Verdana" w:hAnsi="Verdana"/>
          <w:sz w:val="20"/>
        </w:rPr>
        <w:lastRenderedPageBreak/>
        <w:t xml:space="preserve">Corte IDH. </w:t>
      </w:r>
      <w:r w:rsidRPr="00433F2D">
        <w:rPr>
          <w:rFonts w:ascii="Verdana" w:hAnsi="Verdana"/>
          <w:i/>
          <w:sz w:val="20"/>
        </w:rPr>
        <w:t>Caso Perrone y Preckel Vs. Argentina</w:t>
      </w:r>
      <w:r>
        <w:rPr>
          <w:rFonts w:ascii="Verdana" w:hAnsi="Verdana"/>
          <w:sz w:val="20"/>
        </w:rPr>
        <w:t>. Excepciones Preliminares, Fondo, Reparaciones y Costas. Sentencia de 8 de octubre de 2019.</w:t>
      </w:r>
    </w:p>
    <w:p w14:paraId="5E925BAD" w14:textId="77777777" w:rsidR="00FD16B3" w:rsidRDefault="00FD16B3" w:rsidP="00FD16B3">
      <w:pPr>
        <w:rPr>
          <w:rFonts w:ascii="Verdana" w:hAnsi="Verdana"/>
          <w:sz w:val="20"/>
        </w:rPr>
      </w:pPr>
    </w:p>
    <w:p w14:paraId="2FD3DF5B" w14:textId="77777777" w:rsidR="00FD16B3" w:rsidRDefault="00FD16B3" w:rsidP="00FD16B3">
      <w:pPr>
        <w:jc w:val="center"/>
        <w:rPr>
          <w:rFonts w:ascii="Verdana" w:hAnsi="Verdana"/>
          <w:sz w:val="20"/>
          <w:lang w:val="es-CR"/>
        </w:rPr>
      </w:pPr>
      <w:r>
        <w:rPr>
          <w:rFonts w:ascii="Verdana" w:hAnsi="Verdana"/>
          <w:sz w:val="20"/>
          <w:lang w:val="es-CR"/>
        </w:rPr>
        <w:t xml:space="preserve">Eduardo Ferrer Mac-Gregor Poisot </w:t>
      </w:r>
    </w:p>
    <w:p w14:paraId="6E2C61EC" w14:textId="77777777" w:rsidR="00FD16B3" w:rsidRDefault="00FD16B3" w:rsidP="00FD16B3">
      <w:pPr>
        <w:jc w:val="center"/>
        <w:rPr>
          <w:rFonts w:ascii="Verdana" w:hAnsi="Verdana"/>
          <w:sz w:val="20"/>
        </w:rPr>
      </w:pPr>
      <w:r>
        <w:rPr>
          <w:rFonts w:ascii="Verdana" w:hAnsi="Verdana"/>
          <w:sz w:val="20"/>
        </w:rPr>
        <w:t xml:space="preserve">Presidente </w:t>
      </w:r>
    </w:p>
    <w:p w14:paraId="7B1A93A7" w14:textId="77777777" w:rsidR="00FD16B3" w:rsidRDefault="00FD16B3" w:rsidP="00FD16B3">
      <w:pPr>
        <w:jc w:val="both"/>
        <w:rPr>
          <w:rFonts w:ascii="Verdana" w:hAnsi="Verdana"/>
          <w:sz w:val="20"/>
        </w:rPr>
      </w:pPr>
    </w:p>
    <w:p w14:paraId="459F5AC3" w14:textId="77777777" w:rsidR="00FD16B3" w:rsidRDefault="00FD16B3" w:rsidP="00FD16B3">
      <w:pPr>
        <w:jc w:val="both"/>
        <w:rPr>
          <w:rFonts w:ascii="Verdana" w:hAnsi="Verdana"/>
          <w:sz w:val="20"/>
        </w:rPr>
      </w:pPr>
    </w:p>
    <w:p w14:paraId="0D69D6AA" w14:textId="77777777" w:rsidR="00FD16B3" w:rsidRDefault="00FD16B3" w:rsidP="00FD16B3">
      <w:pPr>
        <w:rPr>
          <w:rFonts w:ascii="Verdana" w:hAnsi="Verdana"/>
          <w:sz w:val="20"/>
          <w:lang w:val="es-CR"/>
        </w:rPr>
      </w:pPr>
      <w:r>
        <w:rPr>
          <w:rFonts w:ascii="Verdana" w:hAnsi="Verdana"/>
          <w:sz w:val="20"/>
          <w:lang w:val="es-CR"/>
        </w:rPr>
        <w:t>Eduardo Vio Grossi</w:t>
      </w:r>
      <w:r w:rsidRPr="00AB3782">
        <w:rPr>
          <w:rFonts w:ascii="Verdana" w:hAnsi="Verdana"/>
          <w:sz w:val="20"/>
          <w:lang w:val="es-CR"/>
        </w:rPr>
        <w:t xml:space="preserve"> </w:t>
      </w:r>
      <w:r>
        <w:rPr>
          <w:rFonts w:ascii="Verdana" w:hAnsi="Verdana"/>
          <w:sz w:val="20"/>
          <w:lang w:val="es-CR"/>
        </w:rPr>
        <w:tab/>
      </w:r>
      <w:r>
        <w:rPr>
          <w:rFonts w:ascii="Verdana" w:hAnsi="Verdana"/>
          <w:sz w:val="20"/>
          <w:lang w:val="es-CR"/>
        </w:rPr>
        <w:tab/>
      </w:r>
      <w:r>
        <w:rPr>
          <w:rFonts w:ascii="Verdana" w:hAnsi="Verdana"/>
          <w:sz w:val="20"/>
          <w:lang w:val="es-CR"/>
        </w:rPr>
        <w:tab/>
      </w:r>
      <w:r>
        <w:rPr>
          <w:rFonts w:ascii="Verdana" w:hAnsi="Verdana"/>
          <w:sz w:val="20"/>
          <w:lang w:val="es-CR"/>
        </w:rPr>
        <w:tab/>
      </w:r>
      <w:r>
        <w:rPr>
          <w:rFonts w:ascii="Verdana" w:hAnsi="Verdana"/>
          <w:sz w:val="20"/>
          <w:lang w:val="es-CR"/>
        </w:rPr>
        <w:tab/>
      </w:r>
      <w:r>
        <w:rPr>
          <w:rFonts w:ascii="Verdana" w:hAnsi="Verdana"/>
          <w:sz w:val="20"/>
          <w:lang w:val="es-CR"/>
        </w:rPr>
        <w:tab/>
        <w:t xml:space="preserve">        Humberto Antonio Sierra Porto</w:t>
      </w:r>
    </w:p>
    <w:p w14:paraId="1559CB50" w14:textId="77777777" w:rsidR="00FD16B3" w:rsidRDefault="00FD16B3" w:rsidP="00FD16B3">
      <w:pPr>
        <w:rPr>
          <w:rFonts w:ascii="Verdana" w:hAnsi="Verdana"/>
          <w:sz w:val="20"/>
          <w:lang w:val="es-CR"/>
        </w:rPr>
      </w:pPr>
    </w:p>
    <w:p w14:paraId="30D98BA3" w14:textId="77777777" w:rsidR="00FD16B3" w:rsidRDefault="00FD16B3" w:rsidP="00FD16B3">
      <w:pPr>
        <w:rPr>
          <w:rFonts w:ascii="Verdana" w:hAnsi="Verdana"/>
          <w:sz w:val="20"/>
          <w:lang w:val="es-CR"/>
        </w:rPr>
      </w:pPr>
    </w:p>
    <w:p w14:paraId="24CEC24F" w14:textId="77777777" w:rsidR="00FD16B3" w:rsidRDefault="00FD16B3" w:rsidP="00FD16B3">
      <w:pPr>
        <w:rPr>
          <w:rFonts w:ascii="Verdana" w:hAnsi="Verdana"/>
          <w:sz w:val="20"/>
          <w:lang w:val="es-CR"/>
        </w:rPr>
      </w:pPr>
      <w:r>
        <w:rPr>
          <w:rFonts w:ascii="Verdana" w:hAnsi="Verdana"/>
          <w:sz w:val="20"/>
          <w:lang w:val="es-CR"/>
        </w:rPr>
        <w:t>Elizabeth Odio Benito</w:t>
      </w:r>
      <w:r>
        <w:rPr>
          <w:rFonts w:ascii="Verdana" w:hAnsi="Verdana"/>
          <w:sz w:val="20"/>
          <w:lang w:val="es-CR"/>
        </w:rPr>
        <w:tab/>
      </w:r>
      <w:r>
        <w:rPr>
          <w:rFonts w:ascii="Verdana" w:hAnsi="Verdana"/>
          <w:sz w:val="20"/>
          <w:lang w:val="es-CR"/>
        </w:rPr>
        <w:tab/>
      </w:r>
      <w:r>
        <w:rPr>
          <w:rFonts w:ascii="Verdana" w:hAnsi="Verdana"/>
          <w:sz w:val="20"/>
          <w:lang w:val="es-CR"/>
        </w:rPr>
        <w:tab/>
      </w:r>
      <w:r>
        <w:rPr>
          <w:rFonts w:ascii="Verdana" w:hAnsi="Verdana"/>
          <w:sz w:val="20"/>
          <w:lang w:val="es-CR"/>
        </w:rPr>
        <w:tab/>
      </w:r>
      <w:r>
        <w:rPr>
          <w:rFonts w:ascii="Verdana" w:hAnsi="Verdana"/>
          <w:sz w:val="20"/>
          <w:lang w:val="es-CR"/>
        </w:rPr>
        <w:tab/>
      </w:r>
      <w:r>
        <w:rPr>
          <w:rFonts w:ascii="Verdana" w:hAnsi="Verdana"/>
          <w:sz w:val="20"/>
          <w:lang w:val="es-CR"/>
        </w:rPr>
        <w:tab/>
        <w:t xml:space="preserve">                L. Patricio Pazmiño Freire</w:t>
      </w:r>
    </w:p>
    <w:p w14:paraId="2B011F3A" w14:textId="77777777" w:rsidR="00FD16B3" w:rsidRDefault="00FD16B3" w:rsidP="00FD16B3">
      <w:pPr>
        <w:rPr>
          <w:rFonts w:ascii="Verdana" w:hAnsi="Verdana"/>
          <w:sz w:val="20"/>
          <w:lang w:val="es-CR"/>
        </w:rPr>
      </w:pPr>
    </w:p>
    <w:p w14:paraId="2C2991AE" w14:textId="77777777" w:rsidR="00FD16B3" w:rsidRDefault="00FD16B3" w:rsidP="00FD16B3">
      <w:pPr>
        <w:rPr>
          <w:rFonts w:ascii="Verdana" w:hAnsi="Verdana"/>
          <w:sz w:val="20"/>
          <w:lang w:val="es-CR"/>
        </w:rPr>
      </w:pPr>
    </w:p>
    <w:p w14:paraId="51C686A5" w14:textId="77777777" w:rsidR="00FD16B3" w:rsidRPr="005E5D0E" w:rsidRDefault="00FD16B3" w:rsidP="00FD16B3">
      <w:pPr>
        <w:jc w:val="center"/>
        <w:rPr>
          <w:rFonts w:ascii="Verdana" w:hAnsi="Verdana"/>
          <w:sz w:val="20"/>
        </w:rPr>
      </w:pPr>
      <w:r>
        <w:rPr>
          <w:rFonts w:ascii="Verdana" w:hAnsi="Verdana"/>
          <w:sz w:val="20"/>
          <w:lang w:val="es-CR"/>
        </w:rPr>
        <w:t xml:space="preserve">Ricardo </w:t>
      </w:r>
      <w:r w:rsidRPr="00433F2D">
        <w:rPr>
          <w:rFonts w:ascii="Verdana" w:hAnsi="Verdana"/>
          <w:sz w:val="20"/>
          <w:lang w:val="es-CR"/>
        </w:rPr>
        <w:t>C.</w:t>
      </w:r>
      <w:r>
        <w:rPr>
          <w:rFonts w:ascii="Verdana" w:hAnsi="Verdana"/>
          <w:sz w:val="20"/>
          <w:lang w:val="es-CR"/>
        </w:rPr>
        <w:t xml:space="preserve"> Pérez Manrique</w:t>
      </w:r>
    </w:p>
    <w:p w14:paraId="16D969BE" w14:textId="5169AE8C" w:rsidR="00FD16B3" w:rsidRDefault="00FD16B3" w:rsidP="00FD16B3">
      <w:pPr>
        <w:rPr>
          <w:rFonts w:ascii="Verdana" w:hAnsi="Verdana"/>
          <w:sz w:val="20"/>
          <w:lang w:val="es-CR"/>
        </w:rPr>
      </w:pPr>
      <w:r>
        <w:rPr>
          <w:rFonts w:ascii="Verdana" w:hAnsi="Verdana"/>
          <w:sz w:val="20"/>
          <w:lang w:val="es-CR"/>
        </w:rPr>
        <w:tab/>
      </w:r>
      <w:r>
        <w:rPr>
          <w:rFonts w:ascii="Verdana" w:hAnsi="Verdana"/>
          <w:sz w:val="20"/>
          <w:lang w:val="es-CR"/>
        </w:rPr>
        <w:tab/>
      </w:r>
      <w:r>
        <w:rPr>
          <w:rFonts w:ascii="Verdana" w:hAnsi="Verdana"/>
          <w:sz w:val="20"/>
          <w:lang w:val="es-CR"/>
        </w:rPr>
        <w:tab/>
      </w:r>
    </w:p>
    <w:p w14:paraId="2DBA6E46" w14:textId="77777777" w:rsidR="00FD16B3" w:rsidRPr="00274D2F" w:rsidRDefault="00FD16B3" w:rsidP="00FD16B3">
      <w:pPr>
        <w:tabs>
          <w:tab w:val="left" w:pos="8460"/>
          <w:tab w:val="left" w:pos="8640"/>
        </w:tabs>
        <w:jc w:val="both"/>
        <w:rPr>
          <w:rFonts w:ascii="Verdana" w:hAnsi="Verdana"/>
          <w:sz w:val="20"/>
          <w:lang w:val="es-CR"/>
        </w:rPr>
      </w:pPr>
    </w:p>
    <w:p w14:paraId="64253B82" w14:textId="77777777" w:rsidR="00FD16B3" w:rsidRDefault="00FD16B3" w:rsidP="00FD16B3">
      <w:pPr>
        <w:tabs>
          <w:tab w:val="left" w:pos="8460"/>
          <w:tab w:val="left" w:pos="8640"/>
        </w:tabs>
        <w:jc w:val="center"/>
        <w:rPr>
          <w:rFonts w:ascii="Verdana" w:hAnsi="Verdana"/>
          <w:sz w:val="20"/>
        </w:rPr>
      </w:pPr>
      <w:r>
        <w:rPr>
          <w:rFonts w:ascii="Verdana" w:hAnsi="Verdana"/>
          <w:sz w:val="20"/>
        </w:rPr>
        <w:t>Pablo Saavedra Alessandri</w:t>
      </w:r>
    </w:p>
    <w:p w14:paraId="0368E064" w14:textId="77777777" w:rsidR="00FD16B3" w:rsidRDefault="00FD16B3" w:rsidP="00FD16B3">
      <w:pPr>
        <w:tabs>
          <w:tab w:val="left" w:pos="8460"/>
          <w:tab w:val="left" w:pos="8640"/>
        </w:tabs>
        <w:jc w:val="center"/>
        <w:rPr>
          <w:rFonts w:ascii="Verdana" w:hAnsi="Verdana"/>
          <w:sz w:val="20"/>
        </w:rPr>
      </w:pPr>
      <w:r>
        <w:rPr>
          <w:rFonts w:ascii="Verdana" w:hAnsi="Verdana"/>
          <w:sz w:val="20"/>
        </w:rPr>
        <w:t>Secretario</w:t>
      </w:r>
    </w:p>
    <w:p w14:paraId="697520F6" w14:textId="77777777" w:rsidR="00FD16B3" w:rsidRDefault="00FD16B3" w:rsidP="00FD16B3">
      <w:pPr>
        <w:tabs>
          <w:tab w:val="left" w:pos="8460"/>
          <w:tab w:val="left" w:pos="8640"/>
        </w:tabs>
        <w:jc w:val="both"/>
        <w:rPr>
          <w:rFonts w:ascii="Verdana" w:hAnsi="Verdana"/>
          <w:sz w:val="20"/>
        </w:rPr>
      </w:pPr>
    </w:p>
    <w:p w14:paraId="4D7E65E4" w14:textId="77777777" w:rsidR="00FD16B3" w:rsidRDefault="00FD16B3" w:rsidP="00FD16B3">
      <w:pPr>
        <w:jc w:val="both"/>
        <w:rPr>
          <w:rFonts w:ascii="Verdana" w:hAnsi="Verdana"/>
          <w:sz w:val="20"/>
        </w:rPr>
      </w:pPr>
    </w:p>
    <w:p w14:paraId="0517C495" w14:textId="77777777" w:rsidR="00FD16B3" w:rsidRDefault="00FD16B3" w:rsidP="00FD16B3">
      <w:pPr>
        <w:tabs>
          <w:tab w:val="left" w:pos="8460"/>
          <w:tab w:val="left" w:pos="8640"/>
        </w:tabs>
        <w:jc w:val="both"/>
        <w:rPr>
          <w:rFonts w:ascii="Verdana" w:hAnsi="Verdana"/>
          <w:sz w:val="20"/>
        </w:rPr>
      </w:pPr>
      <w:r>
        <w:rPr>
          <w:rFonts w:ascii="Verdana" w:hAnsi="Verdana"/>
          <w:sz w:val="20"/>
        </w:rPr>
        <w:t>Comuníquese y ejecútese,</w:t>
      </w:r>
    </w:p>
    <w:p w14:paraId="45D4B84A" w14:textId="77777777" w:rsidR="00FD16B3" w:rsidRDefault="00FD16B3" w:rsidP="00FD16B3">
      <w:pPr>
        <w:jc w:val="right"/>
        <w:rPr>
          <w:rFonts w:ascii="Verdana" w:hAnsi="Verdana"/>
          <w:sz w:val="20"/>
          <w:lang w:val="es-CR"/>
        </w:rPr>
      </w:pPr>
      <w:r>
        <w:rPr>
          <w:rFonts w:ascii="Verdana" w:hAnsi="Verdana"/>
          <w:sz w:val="20"/>
          <w:lang w:val="es-CR"/>
        </w:rPr>
        <w:t>Eduardo Ferrer Mac-Gregor Poisot</w:t>
      </w:r>
    </w:p>
    <w:p w14:paraId="2FFD7E93" w14:textId="401CBDE8" w:rsidR="00FD16B3" w:rsidRDefault="00FD16B3" w:rsidP="00FD16B3">
      <w:pPr>
        <w:ind w:right="1170"/>
        <w:jc w:val="right"/>
        <w:rPr>
          <w:rFonts w:ascii="Verdana" w:hAnsi="Verdana"/>
          <w:sz w:val="20"/>
        </w:rPr>
      </w:pPr>
      <w:r>
        <w:rPr>
          <w:rFonts w:ascii="Verdana" w:hAnsi="Verdana"/>
          <w:sz w:val="20"/>
        </w:rPr>
        <w:t xml:space="preserve">Presidente </w:t>
      </w:r>
      <w:bookmarkStart w:id="103" w:name="_GoBack"/>
      <w:bookmarkEnd w:id="103"/>
    </w:p>
    <w:p w14:paraId="2AED9556" w14:textId="77777777" w:rsidR="00FD16B3" w:rsidRDefault="00FD16B3" w:rsidP="00FD16B3">
      <w:pPr>
        <w:tabs>
          <w:tab w:val="left" w:pos="8460"/>
          <w:tab w:val="left" w:pos="8640"/>
        </w:tabs>
        <w:jc w:val="both"/>
        <w:rPr>
          <w:rFonts w:ascii="Verdana" w:hAnsi="Verdana"/>
          <w:sz w:val="20"/>
        </w:rPr>
      </w:pPr>
    </w:p>
    <w:p w14:paraId="7786C61A" w14:textId="77777777" w:rsidR="00FD16B3" w:rsidRDefault="00FD16B3" w:rsidP="00FD16B3">
      <w:pPr>
        <w:tabs>
          <w:tab w:val="left" w:pos="8460"/>
          <w:tab w:val="left" w:pos="8640"/>
        </w:tabs>
        <w:jc w:val="both"/>
        <w:rPr>
          <w:rFonts w:ascii="Verdana" w:hAnsi="Verdana"/>
          <w:sz w:val="20"/>
        </w:rPr>
      </w:pPr>
      <w:r>
        <w:rPr>
          <w:rFonts w:ascii="Verdana" w:hAnsi="Verdana"/>
          <w:sz w:val="20"/>
        </w:rPr>
        <w:t>Pablo Saavedra Alessandri</w:t>
      </w:r>
    </w:p>
    <w:p w14:paraId="086AC6B0" w14:textId="77777777" w:rsidR="00FD16B3" w:rsidRDefault="00FD16B3" w:rsidP="00FD16B3">
      <w:pPr>
        <w:tabs>
          <w:tab w:val="left" w:pos="8640"/>
        </w:tabs>
        <w:ind w:left="720"/>
        <w:rPr>
          <w:rFonts w:ascii="Verdana" w:hAnsi="Verdana"/>
          <w:sz w:val="20"/>
        </w:rPr>
      </w:pPr>
      <w:r>
        <w:rPr>
          <w:rFonts w:ascii="Verdana" w:hAnsi="Verdana"/>
          <w:sz w:val="20"/>
        </w:rPr>
        <w:t xml:space="preserve">  Secretario</w:t>
      </w:r>
    </w:p>
    <w:p w14:paraId="03550F81" w14:textId="77777777" w:rsidR="00FD16B3" w:rsidRDefault="00FD16B3" w:rsidP="00FD16B3"/>
    <w:p w14:paraId="0544337F" w14:textId="77777777" w:rsidR="00D46BB8" w:rsidRPr="00972D9D" w:rsidRDefault="00D46BB8" w:rsidP="00972D9D">
      <w:pPr>
        <w:widowControl w:val="0"/>
        <w:tabs>
          <w:tab w:val="center" w:pos="567"/>
        </w:tabs>
        <w:autoSpaceDE w:val="0"/>
        <w:autoSpaceDN w:val="0"/>
        <w:adjustRightInd w:val="0"/>
        <w:spacing w:before="120" w:after="120" w:line="240" w:lineRule="auto"/>
        <w:ind w:right="-90"/>
        <w:contextualSpacing/>
        <w:jc w:val="both"/>
        <w:rPr>
          <w:rFonts w:ascii="Verdana" w:eastAsia="Calibri" w:hAnsi="Verdana" w:cs="Times New Roman"/>
          <w:sz w:val="20"/>
          <w:szCs w:val="20"/>
        </w:rPr>
      </w:pPr>
    </w:p>
    <w:sectPr w:rsidR="00D46BB8" w:rsidRPr="00972D9D" w:rsidSect="005B77C2">
      <w:headerReference w:type="default" r:id="rId11"/>
      <w:footerReference w:type="default" r:id="rId12"/>
      <w:headerReference w:type="first" r:id="rId13"/>
      <w:pgSz w:w="12240" w:h="15840"/>
      <w:pgMar w:top="1247" w:right="1191" w:bottom="1191" w:left="124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0B711" w14:textId="77777777" w:rsidR="00D05549" w:rsidRDefault="00D05549" w:rsidP="001C05D8">
      <w:pPr>
        <w:spacing w:after="0" w:line="240" w:lineRule="auto"/>
      </w:pPr>
      <w:r>
        <w:separator/>
      </w:r>
    </w:p>
  </w:endnote>
  <w:endnote w:type="continuationSeparator" w:id="0">
    <w:p w14:paraId="52138C8A" w14:textId="77777777" w:rsidR="00D05549" w:rsidRDefault="00D05549" w:rsidP="001C05D8">
      <w:pPr>
        <w:spacing w:after="0" w:line="240" w:lineRule="auto"/>
      </w:pPr>
      <w:r>
        <w:continuationSeparator/>
      </w:r>
    </w:p>
  </w:endnote>
  <w:endnote w:type="continuationNotice" w:id="1">
    <w:p w14:paraId="4310E549" w14:textId="77777777" w:rsidR="00D05549" w:rsidRDefault="00D055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 w:name="Palatino-Italic">
    <w:altName w:val="Arial Unicode MS"/>
    <w:panose1 w:val="00000000000000000000"/>
    <w:charset w:val="00"/>
    <w:family w:val="auto"/>
    <w:pitch w:val="variable"/>
    <w:sig w:usb0="A00002FF" w:usb1="7800205A" w:usb2="14600000" w:usb3="00000000" w:csb0="00000193" w:csb1="00000000"/>
  </w:font>
  <w:font w:name="Garamond">
    <w:panose1 w:val="020204040303010108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ヒラギノ角ゴ Pro W3">
    <w:altName w:val="MS Mincho"/>
    <w:panose1 w:val="020B0300000000000000"/>
    <w:charset w:val="80"/>
    <w:family w:val="auto"/>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9566A" w14:textId="77777777" w:rsidR="003619E9" w:rsidRPr="00972D9D" w:rsidRDefault="003619E9">
    <w:pPr>
      <w:pStyle w:val="Piedepgina"/>
      <w:tabs>
        <w:tab w:val="clear" w:pos="4680"/>
        <w:tab w:val="clear" w:pos="9360"/>
      </w:tabs>
      <w:jc w:val="center"/>
      <w:rPr>
        <w:rFonts w:ascii="Verdana" w:hAnsi="Verdana"/>
        <w:caps/>
        <w:sz w:val="20"/>
        <w:szCs w:val="20"/>
      </w:rPr>
    </w:pPr>
    <w:r w:rsidRPr="00972D9D">
      <w:rPr>
        <w:rFonts w:ascii="Verdana" w:hAnsi="Verdana"/>
        <w:caps/>
        <w:sz w:val="20"/>
        <w:szCs w:val="20"/>
      </w:rPr>
      <w:fldChar w:fldCharType="begin"/>
    </w:r>
    <w:r w:rsidRPr="00972D9D">
      <w:rPr>
        <w:rFonts w:ascii="Verdana" w:hAnsi="Verdana"/>
        <w:caps/>
        <w:sz w:val="20"/>
        <w:szCs w:val="20"/>
      </w:rPr>
      <w:instrText>PAGE   \* MERGEFORMAT</w:instrText>
    </w:r>
    <w:r w:rsidRPr="00972D9D">
      <w:rPr>
        <w:rFonts w:ascii="Verdana" w:hAnsi="Verdana"/>
        <w:caps/>
        <w:sz w:val="20"/>
        <w:szCs w:val="20"/>
      </w:rPr>
      <w:fldChar w:fldCharType="separate"/>
    </w:r>
    <w:r w:rsidR="00C95E15" w:rsidRPr="00C95E15">
      <w:rPr>
        <w:rFonts w:ascii="Verdana" w:hAnsi="Verdana"/>
        <w:caps/>
        <w:noProof/>
        <w:sz w:val="20"/>
        <w:szCs w:val="20"/>
        <w:lang w:val="es-ES"/>
      </w:rPr>
      <w:t>41</w:t>
    </w:r>
    <w:r w:rsidRPr="00972D9D">
      <w:rPr>
        <w:rFonts w:ascii="Verdana" w:hAnsi="Verdana"/>
        <w:caps/>
        <w:sz w:val="20"/>
        <w:szCs w:val="20"/>
      </w:rPr>
      <w:fldChar w:fldCharType="end"/>
    </w:r>
  </w:p>
  <w:p w14:paraId="3F92ED5C" w14:textId="77777777" w:rsidR="003619E9" w:rsidRDefault="003619E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A9141" w14:textId="77777777" w:rsidR="00D05549" w:rsidRDefault="00D05549" w:rsidP="001C05D8">
      <w:pPr>
        <w:spacing w:after="0" w:line="240" w:lineRule="auto"/>
      </w:pPr>
      <w:r>
        <w:separator/>
      </w:r>
    </w:p>
  </w:footnote>
  <w:footnote w:type="continuationSeparator" w:id="0">
    <w:p w14:paraId="40A53BAC" w14:textId="77777777" w:rsidR="00D05549" w:rsidRDefault="00D05549" w:rsidP="001C05D8">
      <w:pPr>
        <w:spacing w:after="0" w:line="240" w:lineRule="auto"/>
      </w:pPr>
      <w:r>
        <w:continuationSeparator/>
      </w:r>
    </w:p>
  </w:footnote>
  <w:footnote w:type="continuationNotice" w:id="1">
    <w:p w14:paraId="778A908E" w14:textId="77777777" w:rsidR="00D05549" w:rsidRDefault="00D05549">
      <w:pPr>
        <w:spacing w:after="0" w:line="240" w:lineRule="auto"/>
      </w:pPr>
    </w:p>
  </w:footnote>
  <w:footnote w:id="2">
    <w:p w14:paraId="50BE3D42" w14:textId="77777777" w:rsidR="003619E9" w:rsidRPr="00C95E15" w:rsidRDefault="003619E9" w:rsidP="0076370B">
      <w:pPr>
        <w:pStyle w:val="Textonotapie"/>
        <w:jc w:val="both"/>
        <w:rPr>
          <w:rFonts w:ascii="Verdana" w:hAnsi="Verdana" w:cs="Times"/>
          <w:sz w:val="16"/>
          <w:szCs w:val="16"/>
        </w:rPr>
      </w:pPr>
      <w:r w:rsidRPr="00C95E15">
        <w:rPr>
          <w:rStyle w:val="Refdenotaalpie"/>
          <w:rFonts w:ascii="Verdana" w:hAnsi="Verdana"/>
          <w:sz w:val="16"/>
          <w:szCs w:val="16"/>
          <w:lang w:val="es-CR"/>
        </w:rPr>
        <w:t>*</w:t>
      </w:r>
      <w:r w:rsidRPr="00C95E15">
        <w:rPr>
          <w:rFonts w:ascii="Verdana" w:hAnsi="Verdana"/>
          <w:sz w:val="16"/>
          <w:szCs w:val="16"/>
          <w:lang w:val="es-CR"/>
        </w:rPr>
        <w:t xml:space="preserve"> </w:t>
      </w:r>
      <w:r w:rsidRPr="00C95E15">
        <w:rPr>
          <w:rFonts w:ascii="Verdana" w:hAnsi="Verdana"/>
          <w:sz w:val="16"/>
          <w:szCs w:val="16"/>
          <w:lang w:val="es-CR"/>
        </w:rPr>
        <w:tab/>
      </w:r>
      <w:r w:rsidRPr="00C95E15">
        <w:rPr>
          <w:rFonts w:ascii="Verdana" w:hAnsi="Verdana"/>
          <w:sz w:val="16"/>
          <w:szCs w:val="16"/>
        </w:rPr>
        <w:t>El Juez Eugenio Raúl Zaffaroni, de nacionalidad argentina, no participó en la tramitación del presente caso ni en la deliberación y firma de esta Sentencia, de conformidad con lo dispuesto en los artículos 19.1 y 19.2 del Reglamento de la Corte.</w:t>
      </w:r>
    </w:p>
  </w:footnote>
  <w:footnote w:id="3">
    <w:p w14:paraId="50BE3D43" w14:textId="77777777" w:rsidR="003619E9" w:rsidRPr="00C95E15" w:rsidRDefault="003619E9" w:rsidP="0076370B">
      <w:pPr>
        <w:pStyle w:val="Textonotapie"/>
        <w:jc w:val="both"/>
        <w:rPr>
          <w:rFonts w:ascii="Verdana" w:hAnsi="Verdana"/>
          <w:sz w:val="16"/>
          <w:szCs w:val="16"/>
          <w:lang w:val="es-CR"/>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lang w:val="es-CR"/>
        </w:rPr>
        <w:tab/>
        <w:t xml:space="preserve">El mismo fue notificado a las partes el 13 de mayo de 1999. </w:t>
      </w:r>
    </w:p>
  </w:footnote>
  <w:footnote w:id="4">
    <w:p w14:paraId="51248136" w14:textId="70EA9443"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t xml:space="preserve">Artículo XIV. Toda persona tiene derecho al trabajo en condiciones dignas y a seguir libremente su vocación, en cuanto lo permitan las oportunidades existentes de empleo. </w:t>
      </w:r>
    </w:p>
  </w:footnote>
  <w:footnote w:id="5">
    <w:p w14:paraId="50BE3D48" w14:textId="62A0589D" w:rsidR="003619E9" w:rsidRPr="00C95E15" w:rsidRDefault="003619E9" w:rsidP="00F46AC0">
      <w:pPr>
        <w:pStyle w:val="Textonotapie"/>
        <w:jc w:val="both"/>
        <w:rPr>
          <w:rFonts w:ascii="Verdana" w:eastAsiaTheme="minorHAnsi" w:hAnsi="Verdana" w:cs="Times New Roman"/>
          <w:color w:val="262626"/>
          <w:sz w:val="16"/>
          <w:szCs w:val="16"/>
          <w:lang w:val="es-CR"/>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r>
      <w:r w:rsidRPr="00C95E15">
        <w:rPr>
          <w:rFonts w:ascii="Verdana" w:eastAsia="Verdana" w:hAnsi="Verdana" w:cs="Verdana"/>
          <w:sz w:val="16"/>
          <w:szCs w:val="16"/>
          <w:lang w:val="es-ES" w:eastAsia="es-CR"/>
        </w:rPr>
        <w:t xml:space="preserve">La Comisión concluyó que el Estado era responsable por la violación de los derechos establecidos en </w:t>
      </w:r>
      <w:r w:rsidRPr="00C95E15">
        <w:rPr>
          <w:rFonts w:ascii="Verdana" w:eastAsia="Times New Roman" w:hAnsi="Verdana" w:cs="Times New Roman"/>
          <w:sz w:val="16"/>
          <w:szCs w:val="16"/>
          <w:lang w:val="es-ES" w:eastAsia="es-CR"/>
        </w:rPr>
        <w:t xml:space="preserve">los artículos 8.1 y 25.1 de la Convención Americana, en relación con el artículo 1.1 del mismo </w:t>
      </w:r>
      <w:proofErr w:type="gramStart"/>
      <w:r w:rsidRPr="00C95E15">
        <w:rPr>
          <w:rFonts w:ascii="Verdana" w:eastAsia="Times New Roman" w:hAnsi="Verdana" w:cs="Times New Roman"/>
          <w:sz w:val="16"/>
          <w:szCs w:val="16"/>
          <w:lang w:val="es-ES" w:eastAsia="es-CR"/>
        </w:rPr>
        <w:t>instrumento.</w:t>
      </w:r>
      <w:r w:rsidRPr="00C95E15">
        <w:rPr>
          <w:rFonts w:ascii="Verdana" w:eastAsiaTheme="minorHAnsi" w:hAnsi="Verdana" w:cs="Times New Roman"/>
          <w:color w:val="151515"/>
          <w:sz w:val="16"/>
          <w:szCs w:val="16"/>
          <w:lang w:val="es-CR"/>
        </w:rPr>
        <w:t>.</w:t>
      </w:r>
      <w:proofErr w:type="gramEnd"/>
    </w:p>
  </w:footnote>
  <w:footnote w:id="6">
    <w:p w14:paraId="50BE3D49" w14:textId="3C747486" w:rsidR="003619E9" w:rsidRPr="00C95E15" w:rsidRDefault="003619E9" w:rsidP="0076370B">
      <w:pPr>
        <w:pStyle w:val="Textonotapie"/>
        <w:jc w:val="both"/>
        <w:rPr>
          <w:rFonts w:ascii="Verdana" w:hAnsi="Verdana"/>
          <w:sz w:val="16"/>
          <w:szCs w:val="16"/>
          <w:lang w:val="es-CR"/>
        </w:rPr>
      </w:pPr>
      <w:r w:rsidRPr="00C95E15">
        <w:rPr>
          <w:rStyle w:val="Refdenotaalpie"/>
          <w:rFonts w:ascii="Verdana" w:hAnsi="Verdana"/>
          <w:sz w:val="16"/>
          <w:szCs w:val="16"/>
          <w:lang w:val="es-CR"/>
        </w:rPr>
        <w:footnoteRef/>
      </w:r>
      <w:r w:rsidRPr="00C95E15">
        <w:rPr>
          <w:rFonts w:ascii="Verdana" w:hAnsi="Verdana"/>
          <w:sz w:val="16"/>
          <w:szCs w:val="16"/>
          <w:lang w:val="es-CR"/>
        </w:rPr>
        <w:t xml:space="preserve"> </w:t>
      </w:r>
      <w:r w:rsidRPr="00C95E15">
        <w:rPr>
          <w:rFonts w:ascii="Verdana" w:hAnsi="Verdana"/>
          <w:sz w:val="16"/>
          <w:szCs w:val="16"/>
          <w:lang w:val="es-CR"/>
        </w:rPr>
        <w:tab/>
        <w:t>La Comisión designó como sus delegados ante la Corte, al Secretario Ejecutivo Paulo Abrão y al Comisionado Francisco Eguiguren. Asimismo, designó, como asesores legales, a la señora Elizabeth Abi-Mershed, Secretaria Ejecutiva Adjunta, a la señora Silvia Serrano Guzmán y al señor Christian González Chacón, abogada y abogado de la Secretaría Ejecutiva.</w:t>
      </w:r>
    </w:p>
  </w:footnote>
  <w:footnote w:id="7">
    <w:p w14:paraId="50BE3D4B" w14:textId="5AA70B53" w:rsidR="003619E9" w:rsidRPr="00C95E15" w:rsidRDefault="003619E9" w:rsidP="0076370B">
      <w:pPr>
        <w:pStyle w:val="Textonotapie"/>
        <w:jc w:val="both"/>
        <w:rPr>
          <w:rFonts w:ascii="Verdana" w:hAnsi="Verdana"/>
          <w:sz w:val="16"/>
          <w:szCs w:val="16"/>
          <w:lang w:val="es-CR"/>
        </w:rPr>
      </w:pPr>
      <w:r w:rsidRPr="00C95E15">
        <w:rPr>
          <w:rStyle w:val="Refdenotaalpie"/>
          <w:rFonts w:ascii="Verdana" w:hAnsi="Verdana"/>
          <w:sz w:val="16"/>
          <w:szCs w:val="16"/>
          <w:lang w:val="es-CR"/>
        </w:rPr>
        <w:footnoteRef/>
      </w:r>
      <w:r w:rsidRPr="00C95E15">
        <w:rPr>
          <w:rFonts w:ascii="Verdana" w:hAnsi="Verdana"/>
          <w:sz w:val="16"/>
          <w:szCs w:val="16"/>
          <w:lang w:val="es-CR"/>
        </w:rPr>
        <w:t xml:space="preserve"> </w:t>
      </w:r>
      <w:r w:rsidRPr="00C95E15">
        <w:rPr>
          <w:rFonts w:ascii="Verdana" w:hAnsi="Verdana"/>
          <w:sz w:val="16"/>
          <w:szCs w:val="16"/>
          <w:lang w:val="es-CR"/>
        </w:rPr>
        <w:tab/>
        <w:t xml:space="preserve">Mediante comunicación de 20 de febrero de 2018 el Estado designó como Agentes al señor Alberto Javier Salgado, Directo de Contencioso Internacional en Materia de Derechos Humanos del Ministerio de Relaciones Exteriores y Culto, en carácter de agente titular, y al señor Ramiro Cristóbal Badia, Coordinador de Asuntos Internacionales en Materia de Derechos Humanos de la Secretaría de Derechos Humanos y Pluralismo Cultural de la Nación, en carácter de agente alterno. </w:t>
      </w:r>
    </w:p>
  </w:footnote>
  <w:footnote w:id="8">
    <w:p w14:paraId="50BE3D4C" w14:textId="556A5667" w:rsidR="003619E9" w:rsidRPr="00C95E15" w:rsidRDefault="003619E9" w:rsidP="0076370B">
      <w:pPr>
        <w:pStyle w:val="Textonotapie"/>
        <w:jc w:val="both"/>
        <w:rPr>
          <w:rFonts w:ascii="Verdana" w:hAnsi="Verdana"/>
          <w:sz w:val="16"/>
          <w:szCs w:val="16"/>
          <w:lang w:val="es-CR"/>
        </w:rPr>
      </w:pPr>
      <w:r w:rsidRPr="00C95E15">
        <w:rPr>
          <w:rStyle w:val="Refdenotaalpie"/>
          <w:rFonts w:ascii="Verdana" w:hAnsi="Verdana"/>
          <w:sz w:val="16"/>
          <w:szCs w:val="16"/>
          <w:lang w:val="es-CR"/>
        </w:rPr>
        <w:footnoteRef/>
      </w:r>
      <w:r w:rsidRPr="00C95E15">
        <w:rPr>
          <w:rFonts w:ascii="Verdana" w:hAnsi="Verdana"/>
          <w:sz w:val="16"/>
          <w:szCs w:val="16"/>
          <w:lang w:val="es-CR"/>
        </w:rPr>
        <w:t xml:space="preserve"> </w:t>
      </w:r>
      <w:r w:rsidRPr="00C95E15">
        <w:rPr>
          <w:rFonts w:ascii="Verdana" w:hAnsi="Verdana"/>
          <w:sz w:val="16"/>
          <w:szCs w:val="16"/>
          <w:lang w:val="es-CR"/>
        </w:rPr>
        <w:tab/>
      </w:r>
      <w:r w:rsidRPr="00C95E15">
        <w:rPr>
          <w:rFonts w:ascii="Verdana" w:hAnsi="Verdana"/>
          <w:i/>
          <w:sz w:val="16"/>
          <w:szCs w:val="16"/>
          <w:lang w:val="es-CR"/>
        </w:rPr>
        <w:t>Cfr. Caso Perrone y Preckel Vs. Argentina. Convocatoria a Audiencia.</w:t>
      </w:r>
      <w:r w:rsidRPr="00C95E15">
        <w:rPr>
          <w:rFonts w:ascii="Verdana" w:hAnsi="Verdana"/>
          <w:sz w:val="16"/>
          <w:szCs w:val="16"/>
          <w:lang w:val="es-CR"/>
        </w:rPr>
        <w:t xml:space="preserve"> Resolución del Presidente de la Corte Interamericana de Derechos Humanos de 7 de diciembre de 2018. </w:t>
      </w:r>
      <w:r w:rsidRPr="00C95E15">
        <w:rPr>
          <w:rFonts w:ascii="Verdana" w:hAnsi="Verdana"/>
          <w:sz w:val="16"/>
          <w:szCs w:val="16"/>
          <w:lang w:val="es-CR"/>
        </w:rPr>
        <w:t xml:space="preserve">Disponible en: </w:t>
      </w:r>
      <w:hyperlink r:id="rId1" w:history="1">
        <w:r w:rsidRPr="00C95E15">
          <w:rPr>
            <w:rStyle w:val="Hipervnculo"/>
            <w:rFonts w:ascii="Verdana" w:hAnsi="Verdana"/>
            <w:sz w:val="16"/>
            <w:szCs w:val="16"/>
            <w:u w:val="none"/>
            <w:lang w:val="es-CR"/>
          </w:rPr>
          <w:t>http://www.corteidh.or.cr/docs/asuntos/perroneypreckel_07_12_18.pdf</w:t>
        </w:r>
      </w:hyperlink>
      <w:r w:rsidRPr="00C95E15">
        <w:rPr>
          <w:rFonts w:ascii="Verdana" w:hAnsi="Verdana"/>
          <w:sz w:val="16"/>
          <w:szCs w:val="16"/>
          <w:lang w:val="es-CR"/>
        </w:rPr>
        <w:t xml:space="preserve"> </w:t>
      </w:r>
    </w:p>
  </w:footnote>
  <w:footnote w:id="9">
    <w:p w14:paraId="50BE3D4D" w14:textId="7B36927B"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r>
      <w:r w:rsidRPr="00C95E15">
        <w:rPr>
          <w:rFonts w:ascii="Verdana" w:hAnsi="Verdana"/>
          <w:i/>
          <w:sz w:val="16"/>
          <w:szCs w:val="16"/>
          <w:lang w:val="es-CR"/>
        </w:rPr>
        <w:t>Cfr. Caso Perrone y Preckel Vs. Argentina. Reconsideración de Convocatoria a audiencia.</w:t>
      </w:r>
      <w:r w:rsidRPr="00C95E15">
        <w:rPr>
          <w:rFonts w:ascii="Verdana" w:hAnsi="Verdana"/>
          <w:sz w:val="16"/>
          <w:szCs w:val="16"/>
          <w:lang w:val="es-CR"/>
        </w:rPr>
        <w:t xml:space="preserve"> Resolución de la Corte Interamericana de Derechos Humanos de 29 de enero de 2019. </w:t>
      </w:r>
      <w:r w:rsidRPr="00C95E15">
        <w:rPr>
          <w:rFonts w:ascii="Verdana" w:hAnsi="Verdana"/>
          <w:sz w:val="16"/>
          <w:szCs w:val="16"/>
          <w:lang w:val="es-CR"/>
        </w:rPr>
        <w:t xml:space="preserve">Disponible en: </w:t>
      </w:r>
      <w:r w:rsidR="00496918">
        <w:fldChar w:fldCharType="begin"/>
      </w:r>
      <w:r w:rsidR="00496918">
        <w:instrText xml:space="preserve"> HYPERLINK "http://www.corteidh.or.cr/docs/asuntos/perroneypreckel_30_01_19.pdf" </w:instrText>
      </w:r>
      <w:r w:rsidR="00496918">
        <w:fldChar w:fldCharType="separate"/>
      </w:r>
      <w:r w:rsidRPr="00C95E15">
        <w:rPr>
          <w:rStyle w:val="Hipervnculo"/>
          <w:rFonts w:ascii="Verdana" w:hAnsi="Verdana"/>
          <w:sz w:val="16"/>
          <w:szCs w:val="16"/>
          <w:u w:val="none"/>
        </w:rPr>
        <w:t>http://www.corteidh.or.cr/docs/asuntos/perroneypreckel_30_01_19.pdf</w:t>
      </w:r>
      <w:r w:rsidR="00496918">
        <w:rPr>
          <w:rStyle w:val="Hipervnculo"/>
          <w:rFonts w:ascii="Verdana" w:hAnsi="Verdana"/>
          <w:sz w:val="16"/>
          <w:szCs w:val="16"/>
          <w:u w:val="none"/>
        </w:rPr>
        <w:fldChar w:fldCharType="end"/>
      </w:r>
      <w:r w:rsidRPr="00C95E15">
        <w:rPr>
          <w:rFonts w:ascii="Verdana" w:hAnsi="Verdana"/>
          <w:sz w:val="16"/>
          <w:szCs w:val="16"/>
        </w:rPr>
        <w:t xml:space="preserve"> </w:t>
      </w:r>
    </w:p>
  </w:footnote>
  <w:footnote w:id="10">
    <w:p w14:paraId="50BE3D4E" w14:textId="78D4AA59"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r>
      <w:r w:rsidRPr="00C95E15">
        <w:rPr>
          <w:rFonts w:ascii="Verdana" w:hAnsi="Verdana"/>
          <w:sz w:val="16"/>
          <w:szCs w:val="16"/>
        </w:rPr>
        <w:t>A esta audiencia comparecieron: a) por la Comisión Interamericana:</w:t>
      </w:r>
      <w:r w:rsidRPr="00C95E15">
        <w:rPr>
          <w:rFonts w:ascii="Verdana" w:hAnsi="Verdana"/>
          <w:sz w:val="16"/>
          <w:szCs w:val="16"/>
          <w:lang w:eastAsia="es-ES"/>
        </w:rPr>
        <w:t xml:space="preserve"> el Comisionado Francisco Eguiguren Praeli,</w:t>
      </w:r>
      <w:r w:rsidRPr="00C95E15">
        <w:rPr>
          <w:rFonts w:ascii="Verdana" w:hAnsi="Verdana"/>
          <w:sz w:val="16"/>
          <w:szCs w:val="16"/>
        </w:rPr>
        <w:t xml:space="preserve"> la asesora  Silvia Serrano Guzmán, y el asesor Piero Vásquez Agüero; b) por la representación de las presuntas víctimas: el señor Sergio Darío di Gioia y la señora Zulema Graciela Díaz, y c) por el Estado de Argentina: el señor Javier Salgado, Director de Contencioso Internacional en Materia de Derechos Humanos del Ministerio de Relaciones y Culto, en carácter de agente titular, el señor Ciro de Martini, Asesor del Ministerio de Justicia y Derechos Humanos, y Alfredo Vítolo, Asesor de la Secretaría de Derechos Humanos y Pluralismo Cultural. </w:t>
      </w:r>
    </w:p>
  </w:footnote>
  <w:footnote w:id="11">
    <w:p w14:paraId="50BE3D50" w14:textId="77777777"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r>
      <w:r w:rsidRPr="00C95E15">
        <w:rPr>
          <w:rFonts w:ascii="Verdana" w:hAnsi="Verdana"/>
          <w:sz w:val="16"/>
          <w:szCs w:val="16"/>
        </w:rPr>
        <w:t>Artículo 28: Las disposiciones de un tratado no obligarán a una parte respecto de ningún acto o hecho que haya tenido lugar con anterioridad a la fecha de entrada en vigor del tratado para esa parte ni de ninguna situación que en esa fecha haya dejado de existir, salvo que una intención diferente se desprenda del tratado o conste de otro modo.</w:t>
      </w:r>
    </w:p>
  </w:footnote>
  <w:footnote w:id="12">
    <w:p w14:paraId="50BE3D51" w14:textId="1642A632"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r>
      <w:r w:rsidRPr="00C95E15">
        <w:rPr>
          <w:rFonts w:ascii="Verdana" w:hAnsi="Verdana"/>
          <w:sz w:val="16"/>
          <w:szCs w:val="16"/>
        </w:rPr>
        <w:t xml:space="preserve">El reconocimiento de competencia hecho por Argentina el 5 de septiembre de 1984 señala que “[e]l Gobierno de la República Argentina reconoce la competencia de la Comisión Interamericana de Derechos Humanos y de la Corte Interamericana de Derechos Humanos, por tiempo indefinidos y bajo condición de estricta reciprocidad, sobre los casos relativos a la interpretación o aplicación de la […] Convención, con la reserva parcial teniendo en cuenta las declaraciones interpretativas que se consignan en el instrumento de ratificación”. </w:t>
      </w:r>
      <w:r w:rsidRPr="00C95E15">
        <w:rPr>
          <w:rFonts w:ascii="Verdana" w:hAnsi="Verdana"/>
          <w:i/>
          <w:sz w:val="16"/>
          <w:szCs w:val="16"/>
        </w:rPr>
        <w:t xml:space="preserve">Cfr. </w:t>
      </w:r>
      <w:r w:rsidRPr="00C95E15">
        <w:rPr>
          <w:rFonts w:ascii="Verdana" w:hAnsi="Verdana"/>
          <w:sz w:val="16"/>
          <w:szCs w:val="16"/>
        </w:rPr>
        <w:t xml:space="preserve">Convención Americana sobre Derechos Humanos. Argentina, reconocimiento de competencia. Disponible en </w:t>
      </w:r>
      <w:r w:rsidR="00D05549">
        <w:fldChar w:fldCharType="begin"/>
      </w:r>
      <w:r w:rsidR="00D05549">
        <w:instrText xml:space="preserve"> HYPERLINK "http://www.oas.org/juridico/spanish/firmas/b-32.html" </w:instrText>
      </w:r>
      <w:r w:rsidR="00D05549">
        <w:fldChar w:fldCharType="separate"/>
      </w:r>
      <w:r w:rsidRPr="00C95E15">
        <w:rPr>
          <w:rStyle w:val="Hipervnculo"/>
          <w:rFonts w:ascii="Verdana" w:hAnsi="Verdana"/>
          <w:sz w:val="16"/>
          <w:szCs w:val="16"/>
          <w:u w:val="none"/>
          <w:lang w:val="es-CR"/>
        </w:rPr>
        <w:t>http://www.oas.org/juridico/spanish/firmas/b-32.html</w:t>
      </w:r>
      <w:r w:rsidR="00D05549">
        <w:rPr>
          <w:rStyle w:val="Hipervnculo"/>
          <w:rFonts w:ascii="Verdana" w:hAnsi="Verdana"/>
          <w:sz w:val="16"/>
          <w:szCs w:val="16"/>
          <w:u w:val="none"/>
          <w:lang w:val="es-CR"/>
        </w:rPr>
        <w:fldChar w:fldCharType="end"/>
      </w:r>
      <w:r w:rsidRPr="00C95E15">
        <w:rPr>
          <w:rFonts w:ascii="Verdana" w:hAnsi="Verdana"/>
          <w:sz w:val="16"/>
          <w:szCs w:val="16"/>
        </w:rPr>
        <w:t>.</w:t>
      </w:r>
    </w:p>
  </w:footnote>
  <w:footnote w:id="13">
    <w:p w14:paraId="50BE3D52" w14:textId="6B8192CB" w:rsidR="003619E9" w:rsidRPr="00C95E15" w:rsidRDefault="003619E9" w:rsidP="0076370B">
      <w:pPr>
        <w:pStyle w:val="Footnotes"/>
        <w:spacing w:before="0" w:after="0"/>
        <w:rPr>
          <w:lang w:val="pt-BR"/>
        </w:rPr>
      </w:pPr>
      <w:r w:rsidRPr="00C95E15">
        <w:rPr>
          <w:vertAlign w:val="superscript"/>
          <w:lang w:val="es-CO"/>
        </w:rPr>
        <w:footnoteRef/>
      </w:r>
      <w:r w:rsidRPr="00C95E15">
        <w:rPr>
          <w:vertAlign w:val="superscript"/>
          <w:lang w:val="pt-BR"/>
        </w:rPr>
        <w:t xml:space="preserve"> </w:t>
      </w:r>
      <w:r w:rsidRPr="00C95E15">
        <w:rPr>
          <w:vertAlign w:val="superscript"/>
          <w:lang w:val="pt-BR"/>
        </w:rPr>
        <w:tab/>
        <w:t xml:space="preserve"> </w:t>
      </w:r>
      <w:r w:rsidRPr="00C95E15">
        <w:rPr>
          <w:lang w:val="pt-BR"/>
        </w:rPr>
        <w:t xml:space="preserve">   Cfr. Caso Gomes Lund y otros (Guerrilha do Araguaia) Vs. </w:t>
      </w:r>
      <w:r w:rsidRPr="00C95E15">
        <w:rPr>
          <w:lang w:val="es-CR"/>
        </w:rPr>
        <w:t xml:space="preserve">Brasil. Sentencia de Excepciones Preliminares, Fondo, Reparaciones y Costas. </w:t>
      </w:r>
      <w:r w:rsidRPr="00C95E15">
        <w:rPr>
          <w:i w:val="0"/>
          <w:lang w:val="es-CR"/>
        </w:rPr>
        <w:t>Sentencia de 24 de noviembre de 2010. Serie C No. 219, párr. 16;</w:t>
      </w:r>
      <w:r w:rsidRPr="00C95E15">
        <w:rPr>
          <w:lang w:val="es-CR"/>
        </w:rPr>
        <w:t xml:space="preserve"> Cfr. Caso Argüelles y otros Vs. Argentina. Excepciones Preliminares, Fondo, Reparaciones y Costas. </w:t>
      </w:r>
      <w:r w:rsidRPr="00C95E15">
        <w:rPr>
          <w:i w:val="0"/>
          <w:lang w:val="es-CR"/>
        </w:rPr>
        <w:t xml:space="preserve">Sentencia de 20 de noviembre de 2014. Serie C No. 288, párr. 24, </w:t>
      </w:r>
      <w:r w:rsidRPr="00C95E15">
        <w:rPr>
          <w:lang w:val="es-CR"/>
        </w:rPr>
        <w:t xml:space="preserve">y Cfr. Caso Pueblo Indígena Xucuru y sus miembros Vs. Brasil, Excepciones Preliminares, Fondo, Reparaciones y Costas. </w:t>
      </w:r>
      <w:r w:rsidRPr="00C95E15">
        <w:rPr>
          <w:i w:val="0"/>
          <w:lang w:val="es-CR"/>
        </w:rPr>
        <w:t>Sentencia de 5 de febrero de 2018. Serie C No. 346, párr. 31</w:t>
      </w:r>
      <w:r w:rsidRPr="00C95E15">
        <w:rPr>
          <w:lang w:val="pt-BR"/>
        </w:rPr>
        <w:t xml:space="preserve">. </w:t>
      </w:r>
    </w:p>
  </w:footnote>
  <w:footnote w:id="14">
    <w:p w14:paraId="50BE3D53" w14:textId="21899282"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r>
      <w:r w:rsidRPr="00C95E15">
        <w:rPr>
          <w:rFonts w:ascii="Verdana" w:hAnsi="Verdana"/>
          <w:i/>
          <w:sz w:val="16"/>
          <w:szCs w:val="16"/>
        </w:rPr>
        <w:t>Cfr.</w:t>
      </w:r>
      <w:r w:rsidRPr="00C95E15">
        <w:rPr>
          <w:rFonts w:ascii="Verdana" w:hAnsi="Verdana"/>
          <w:sz w:val="16"/>
          <w:szCs w:val="16"/>
        </w:rPr>
        <w:t xml:space="preserve"> </w:t>
      </w:r>
      <w:r w:rsidRPr="00C95E15">
        <w:rPr>
          <w:rFonts w:ascii="Verdana" w:hAnsi="Verdana"/>
          <w:i/>
          <w:sz w:val="16"/>
          <w:szCs w:val="16"/>
        </w:rPr>
        <w:t>Caso Genie Lacayo Vs. Nicaragua. Excepciones Preliminares</w:t>
      </w:r>
      <w:r w:rsidRPr="00C95E15">
        <w:rPr>
          <w:rFonts w:ascii="Verdana" w:hAnsi="Verdana"/>
          <w:sz w:val="16"/>
          <w:szCs w:val="16"/>
        </w:rPr>
        <w:t>. Sentencia de 27 de enero de 1995. Serie C No. 21, párrs. 21, 25 y 26</w:t>
      </w:r>
      <w:r w:rsidRPr="00C95E15">
        <w:rPr>
          <w:rFonts w:ascii="Verdana" w:hAnsi="Verdana"/>
          <w:i/>
          <w:sz w:val="16"/>
          <w:szCs w:val="16"/>
        </w:rPr>
        <w:t>; Cfr. Caso García Lucero Vs. Chile. Excepciones Preliminares, Fondo, Reparaciones y Costas</w:t>
      </w:r>
      <w:r w:rsidRPr="00C95E15">
        <w:rPr>
          <w:rFonts w:ascii="Verdana" w:hAnsi="Verdana"/>
          <w:sz w:val="16"/>
          <w:szCs w:val="16"/>
        </w:rPr>
        <w:t xml:space="preserve">. Sentencia del 28 de agosto de 2013. Serie C No. 237, párr. 30; </w:t>
      </w:r>
      <w:r w:rsidRPr="00C95E15">
        <w:rPr>
          <w:rFonts w:ascii="Verdana" w:hAnsi="Verdana"/>
          <w:i/>
          <w:sz w:val="16"/>
          <w:szCs w:val="16"/>
        </w:rPr>
        <w:t>Crf. Caso Comunidades Indígenas Kuna de Madungandí y Emberá de Bayano y sus miembros Vs. Panamá. Excepciones Preliminares, Fondo, Reparaciones y Costas</w:t>
      </w:r>
      <w:r w:rsidRPr="00C95E15">
        <w:rPr>
          <w:rFonts w:ascii="Verdana" w:hAnsi="Verdana"/>
          <w:sz w:val="16"/>
          <w:szCs w:val="16"/>
        </w:rPr>
        <w:t xml:space="preserve">. Sentencia de 14 de octubre de 2014. Serie C No. 284, párr. 39, y </w:t>
      </w:r>
      <w:r w:rsidRPr="00C95E15">
        <w:rPr>
          <w:rFonts w:ascii="Verdana" w:hAnsi="Verdana"/>
          <w:i/>
          <w:sz w:val="16"/>
          <w:szCs w:val="16"/>
        </w:rPr>
        <w:t>Cfr.</w:t>
      </w:r>
      <w:r w:rsidRPr="00C95E15">
        <w:rPr>
          <w:rFonts w:ascii="Verdana" w:hAnsi="Verdana"/>
          <w:sz w:val="16"/>
          <w:szCs w:val="16"/>
        </w:rPr>
        <w:t xml:space="preserve"> </w:t>
      </w:r>
      <w:r w:rsidRPr="00C95E15">
        <w:rPr>
          <w:rFonts w:ascii="Verdana" w:hAnsi="Verdana"/>
          <w:i/>
          <w:sz w:val="16"/>
          <w:szCs w:val="16"/>
        </w:rPr>
        <w:t>Caso Herzog Vs. Brásil. Excepciones Preliminares, Fondo, Reparaciones y Costas</w:t>
      </w:r>
      <w:r w:rsidRPr="00C95E15">
        <w:rPr>
          <w:rFonts w:ascii="Verdana" w:hAnsi="Verdana"/>
          <w:sz w:val="16"/>
          <w:szCs w:val="16"/>
        </w:rPr>
        <w:t>. Sentencia del 15 de marzo de 2018. Serie C No. 353, párr. 28.</w:t>
      </w:r>
    </w:p>
  </w:footnote>
  <w:footnote w:id="15">
    <w:p w14:paraId="50BE3D56" w14:textId="1BC57CC1"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r>
      <w:r w:rsidRPr="00C95E15">
        <w:rPr>
          <w:rFonts w:ascii="Verdana" w:hAnsi="Verdana"/>
          <w:i/>
          <w:sz w:val="16"/>
          <w:szCs w:val="16"/>
        </w:rPr>
        <w:t>Cfr. Caso Gomes Lund y otros Vs. Brasil. Excepciones preliminares, Fondo, Reparaciones y Costas.</w:t>
      </w:r>
      <w:r w:rsidRPr="00C95E15">
        <w:rPr>
          <w:rFonts w:ascii="Verdana" w:hAnsi="Verdana"/>
          <w:sz w:val="16"/>
          <w:szCs w:val="16"/>
        </w:rPr>
        <w:t xml:space="preserve"> Sentencia del 24 de noviembre de 2010. Párr. 17, y </w:t>
      </w:r>
      <w:r w:rsidRPr="00C95E15">
        <w:rPr>
          <w:rFonts w:ascii="Verdana" w:hAnsi="Verdana"/>
          <w:i/>
          <w:sz w:val="16"/>
          <w:szCs w:val="16"/>
        </w:rPr>
        <w:t>Cfr.</w:t>
      </w:r>
      <w:r w:rsidRPr="00C95E15">
        <w:rPr>
          <w:rFonts w:ascii="Verdana" w:hAnsi="Verdana"/>
          <w:sz w:val="16"/>
          <w:szCs w:val="16"/>
        </w:rPr>
        <w:t xml:space="preserve"> </w:t>
      </w:r>
      <w:r w:rsidRPr="00C95E15">
        <w:rPr>
          <w:rFonts w:ascii="Verdana" w:hAnsi="Verdana"/>
          <w:bCs/>
          <w:i/>
          <w:sz w:val="16"/>
          <w:szCs w:val="16"/>
          <w:lang w:val="es-ES_tradnl"/>
        </w:rPr>
        <w:t>Caso Ibsen Cárdenas e Ibsen Peña Vs. Bolivia. Fondo, Reparaciones y Costas</w:t>
      </w:r>
      <w:r w:rsidRPr="00C95E15">
        <w:rPr>
          <w:rFonts w:ascii="Verdana" w:hAnsi="Verdana"/>
          <w:bCs/>
          <w:sz w:val="16"/>
          <w:szCs w:val="16"/>
          <w:lang w:val="es-ES_tradnl"/>
        </w:rPr>
        <w:t xml:space="preserve">. Sentencia de 1 de septiembre de 2010. Serie C No. 217, párr. </w:t>
      </w:r>
      <w:r w:rsidRPr="00C95E15">
        <w:rPr>
          <w:rFonts w:ascii="Verdana" w:hAnsi="Verdana"/>
          <w:bCs/>
          <w:sz w:val="16"/>
          <w:szCs w:val="16"/>
          <w:lang w:val="es-CL"/>
        </w:rPr>
        <w:t>21.</w:t>
      </w:r>
    </w:p>
  </w:footnote>
  <w:footnote w:id="16">
    <w:p w14:paraId="4EA29210" w14:textId="157ED0E8"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r>
      <w:r w:rsidRPr="00C95E15">
        <w:rPr>
          <w:rFonts w:ascii="Verdana" w:hAnsi="Verdana"/>
          <w:i/>
          <w:sz w:val="16"/>
          <w:szCs w:val="16"/>
        </w:rPr>
        <w:t xml:space="preserve">Cfr. Caso García Lucero Vs. Chile. Excepciones Preliminares, Fondo, Reparaciones y Costas. </w:t>
      </w:r>
      <w:r w:rsidRPr="00C95E15">
        <w:rPr>
          <w:rFonts w:ascii="Verdana" w:hAnsi="Verdana"/>
          <w:sz w:val="16"/>
          <w:szCs w:val="16"/>
        </w:rPr>
        <w:t>Sentencia del 28 de agosto de 2013. Serie C No. 237, párr. 37.</w:t>
      </w:r>
    </w:p>
  </w:footnote>
  <w:footnote w:id="17">
    <w:p w14:paraId="50BE3D60" w14:textId="37E88700" w:rsidR="003619E9" w:rsidRPr="00C95E15" w:rsidRDefault="003619E9" w:rsidP="0076370B">
      <w:pPr>
        <w:pStyle w:val="Textonotapie"/>
        <w:tabs>
          <w:tab w:val="left" w:pos="450"/>
          <w:tab w:val="left" w:pos="720"/>
        </w:tabs>
        <w:contextualSpacing/>
        <w:jc w:val="both"/>
        <w:rPr>
          <w:rFonts w:ascii="Verdana" w:hAnsi="Verdana"/>
          <w:sz w:val="16"/>
          <w:szCs w:val="16"/>
        </w:rPr>
      </w:pPr>
      <w:r w:rsidRPr="00C95E15">
        <w:rPr>
          <w:rStyle w:val="Refdenotaalpie"/>
          <w:rFonts w:ascii="Verdana" w:eastAsiaTheme="majorEastAsia" w:hAnsi="Verdana"/>
          <w:sz w:val="16"/>
          <w:szCs w:val="16"/>
        </w:rPr>
        <w:footnoteRef/>
      </w:r>
      <w:r w:rsidRPr="00C95E15">
        <w:rPr>
          <w:rFonts w:ascii="Verdana" w:hAnsi="Verdana"/>
          <w:sz w:val="16"/>
          <w:szCs w:val="16"/>
        </w:rPr>
        <w:t xml:space="preserve"> </w:t>
      </w:r>
      <w:r w:rsidRPr="00C95E15">
        <w:rPr>
          <w:rFonts w:ascii="Verdana" w:hAnsi="Verdana"/>
          <w:sz w:val="16"/>
          <w:szCs w:val="16"/>
        </w:rPr>
        <w:tab/>
      </w:r>
      <w:r w:rsidRPr="00C95E15">
        <w:rPr>
          <w:rFonts w:ascii="Verdana" w:hAnsi="Verdana"/>
          <w:sz w:val="16"/>
          <w:szCs w:val="16"/>
        </w:rPr>
        <w:tab/>
      </w:r>
      <w:r w:rsidRPr="00C95E15">
        <w:rPr>
          <w:rFonts w:ascii="Verdana" w:hAnsi="Verdana"/>
          <w:i/>
          <w:sz w:val="16"/>
          <w:szCs w:val="16"/>
        </w:rPr>
        <w:t xml:space="preserve">Cfr. </w:t>
      </w:r>
      <w:r w:rsidRPr="00C95E15">
        <w:rPr>
          <w:rFonts w:ascii="Verdana" w:eastAsia="Verdana" w:hAnsi="Verdana" w:cs="Verdana"/>
          <w:i/>
          <w:sz w:val="16"/>
          <w:szCs w:val="16"/>
        </w:rPr>
        <w:t xml:space="preserve">Caso Velásquez Rodríguez Vs. Honduras. Excepciones Preliminares. </w:t>
      </w:r>
      <w:r w:rsidRPr="00C95E15">
        <w:rPr>
          <w:rFonts w:ascii="Verdana" w:eastAsia="Verdana" w:hAnsi="Verdana" w:cs="Verdana"/>
          <w:sz w:val="16"/>
          <w:szCs w:val="16"/>
        </w:rPr>
        <w:t>Sentencia de 26 de junio de 1987. Serie C No. 1</w:t>
      </w:r>
      <w:r w:rsidRPr="00C95E15">
        <w:rPr>
          <w:rFonts w:ascii="Verdana" w:eastAsia="Verdana" w:hAnsi="Verdana" w:cs="Verdana"/>
          <w:i/>
          <w:sz w:val="16"/>
          <w:szCs w:val="16"/>
        </w:rPr>
        <w:t>,</w:t>
      </w:r>
      <w:r w:rsidRPr="00C95E15">
        <w:rPr>
          <w:rFonts w:ascii="Verdana" w:eastAsia="Verdana" w:hAnsi="Verdana" w:cs="Verdana"/>
          <w:i/>
          <w:spacing w:val="15"/>
          <w:sz w:val="16"/>
          <w:szCs w:val="16"/>
        </w:rPr>
        <w:t xml:space="preserve"> </w:t>
      </w:r>
      <w:r w:rsidRPr="00C95E15">
        <w:rPr>
          <w:rFonts w:ascii="Verdana" w:eastAsia="Verdana" w:hAnsi="Verdana" w:cs="Verdana"/>
          <w:sz w:val="16"/>
          <w:szCs w:val="16"/>
        </w:rPr>
        <w:t>p</w:t>
      </w:r>
      <w:r w:rsidRPr="00C95E15">
        <w:rPr>
          <w:rFonts w:ascii="Verdana" w:eastAsia="Verdana" w:hAnsi="Verdana" w:cs="Verdana"/>
          <w:spacing w:val="-3"/>
          <w:sz w:val="16"/>
          <w:szCs w:val="16"/>
        </w:rPr>
        <w:t>á</w:t>
      </w:r>
      <w:r w:rsidRPr="00C95E15">
        <w:rPr>
          <w:rFonts w:ascii="Verdana" w:eastAsia="Verdana" w:hAnsi="Verdana" w:cs="Verdana"/>
          <w:spacing w:val="1"/>
          <w:sz w:val="16"/>
          <w:szCs w:val="16"/>
        </w:rPr>
        <w:t>rr</w:t>
      </w:r>
      <w:r w:rsidRPr="00C95E15">
        <w:rPr>
          <w:rFonts w:ascii="Verdana" w:eastAsia="Verdana" w:hAnsi="Verdana" w:cs="Verdana"/>
          <w:sz w:val="16"/>
          <w:szCs w:val="16"/>
        </w:rPr>
        <w:t>.</w:t>
      </w:r>
      <w:r w:rsidRPr="00C95E15">
        <w:rPr>
          <w:rFonts w:ascii="Verdana" w:eastAsia="Verdana" w:hAnsi="Verdana" w:cs="Verdana"/>
          <w:spacing w:val="15"/>
          <w:sz w:val="16"/>
          <w:szCs w:val="16"/>
        </w:rPr>
        <w:t xml:space="preserve"> </w:t>
      </w:r>
      <w:r w:rsidRPr="00C95E15">
        <w:rPr>
          <w:rFonts w:ascii="Verdana" w:eastAsia="Verdana" w:hAnsi="Verdana" w:cs="Verdana"/>
          <w:spacing w:val="-1"/>
          <w:sz w:val="16"/>
          <w:szCs w:val="16"/>
        </w:rPr>
        <w:t>8</w:t>
      </w:r>
      <w:r w:rsidRPr="00C95E15">
        <w:rPr>
          <w:rFonts w:ascii="Verdana" w:eastAsia="Verdana" w:hAnsi="Verdana" w:cs="Verdana"/>
          <w:spacing w:val="1"/>
          <w:sz w:val="16"/>
          <w:szCs w:val="16"/>
        </w:rPr>
        <w:t>8</w:t>
      </w:r>
      <w:r w:rsidRPr="00C95E15">
        <w:rPr>
          <w:rFonts w:ascii="Verdana" w:hAnsi="Verdana"/>
          <w:sz w:val="16"/>
          <w:szCs w:val="16"/>
        </w:rPr>
        <w:t xml:space="preserve">, y </w:t>
      </w:r>
      <w:r w:rsidRPr="00C95E15">
        <w:rPr>
          <w:rFonts w:ascii="Verdana" w:hAnsi="Verdana"/>
          <w:i/>
          <w:sz w:val="16"/>
          <w:szCs w:val="16"/>
        </w:rPr>
        <w:t xml:space="preserve">Caso Amrhein y otros Vs. Costa Rica, Excepciones Preliminares, Fondo, reparaciones y Costas. </w:t>
      </w:r>
      <w:r w:rsidRPr="00C95E15">
        <w:rPr>
          <w:rFonts w:ascii="Verdana" w:hAnsi="Verdana"/>
          <w:sz w:val="16"/>
          <w:szCs w:val="16"/>
        </w:rPr>
        <w:t>Sentencia de 25 de abril de 2018. Serie C No. 354, párr. 39.</w:t>
      </w:r>
    </w:p>
  </w:footnote>
  <w:footnote w:id="18">
    <w:p w14:paraId="0154CD78" w14:textId="766ECCE8"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t>Comunicación del Estado de 31 de octubre de 1997 dentro del trámite ante la Comisión (Expediente de Prueba, f. 120).</w:t>
      </w:r>
    </w:p>
  </w:footnote>
  <w:footnote w:id="19">
    <w:p w14:paraId="50BE3D61" w14:textId="5209EEAF"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t xml:space="preserve">Cfr. Caso Velásquez Rodríguez </w:t>
      </w:r>
      <w:r w:rsidRPr="00C95E15">
        <w:rPr>
          <w:rStyle w:val="Textoennegrita"/>
          <w:rFonts w:ascii="Verdana" w:hAnsi="Verdana"/>
          <w:b w:val="0"/>
          <w:i/>
          <w:color w:val="000000"/>
          <w:sz w:val="16"/>
          <w:szCs w:val="16"/>
          <w:shd w:val="clear" w:color="auto" w:fill="FFFFFF"/>
        </w:rPr>
        <w:t>Vs. Honduras. Fondo.</w:t>
      </w:r>
      <w:r w:rsidRPr="00C95E15">
        <w:rPr>
          <w:rStyle w:val="Textoennegrita"/>
          <w:rFonts w:ascii="Verdana" w:hAnsi="Verdana"/>
          <w:b w:val="0"/>
          <w:color w:val="000000"/>
          <w:sz w:val="16"/>
          <w:szCs w:val="16"/>
          <w:shd w:val="clear" w:color="auto" w:fill="FFFFFF"/>
        </w:rPr>
        <w:t xml:space="preserve"> Sentencia de 29 de julio de 1988. Serie C No. 4, párr. 64, y </w:t>
      </w:r>
      <w:r w:rsidRPr="00C95E15">
        <w:rPr>
          <w:rFonts w:ascii="Verdana" w:hAnsi="Verdana"/>
          <w:i/>
          <w:sz w:val="16"/>
          <w:szCs w:val="16"/>
        </w:rPr>
        <w:t>Cfr.</w:t>
      </w:r>
      <w:r w:rsidRPr="00C95E15">
        <w:rPr>
          <w:rFonts w:ascii="Verdana" w:hAnsi="Verdana"/>
          <w:sz w:val="16"/>
          <w:szCs w:val="16"/>
        </w:rPr>
        <w:t xml:space="preserve"> </w:t>
      </w:r>
      <w:r w:rsidRPr="00C95E15">
        <w:rPr>
          <w:rFonts w:ascii="Verdana" w:hAnsi="Verdana"/>
          <w:i/>
          <w:sz w:val="16"/>
          <w:szCs w:val="16"/>
        </w:rPr>
        <w:t>Caso Caballero Delgado y Santana Vs. Colombia. Excepciones Preliminares.</w:t>
      </w:r>
      <w:r w:rsidRPr="00C95E15">
        <w:rPr>
          <w:rFonts w:ascii="Verdana" w:hAnsi="Verdana"/>
          <w:sz w:val="16"/>
          <w:szCs w:val="16"/>
        </w:rPr>
        <w:t xml:space="preserve"> Sentencia de 21 de enero de 1994. Serie C No. 17, párr. 63.</w:t>
      </w:r>
    </w:p>
  </w:footnote>
  <w:footnote w:id="20">
    <w:p w14:paraId="63B71B73" w14:textId="69FD2CDB" w:rsidR="003619E9" w:rsidRPr="00C95E15" w:rsidRDefault="003619E9" w:rsidP="0076370B">
      <w:pPr>
        <w:pStyle w:val="Textonotapie"/>
        <w:jc w:val="both"/>
        <w:rPr>
          <w:rFonts w:ascii="Verdana" w:hAnsi="Verdana"/>
          <w:sz w:val="16"/>
          <w:szCs w:val="16"/>
          <w:lang w:val="es-CR"/>
        </w:rPr>
      </w:pPr>
      <w:r w:rsidRPr="00C95E15">
        <w:rPr>
          <w:rStyle w:val="Refdenotaalpie"/>
          <w:rFonts w:ascii="Verdana" w:hAnsi="Verdana"/>
          <w:sz w:val="16"/>
          <w:szCs w:val="16"/>
        </w:rPr>
        <w:footnoteRef/>
      </w:r>
      <w:r w:rsidRPr="00C95E15">
        <w:rPr>
          <w:rFonts w:ascii="Verdana" w:hAnsi="Verdana"/>
          <w:sz w:val="16"/>
          <w:szCs w:val="16"/>
          <w:lang w:val="es-CR"/>
        </w:rPr>
        <w:tab/>
      </w:r>
      <w:r w:rsidRPr="00C95E15">
        <w:rPr>
          <w:rFonts w:ascii="Verdana" w:hAnsi="Verdana"/>
          <w:i/>
          <w:sz w:val="16"/>
          <w:szCs w:val="16"/>
          <w:lang w:val="es-CR"/>
        </w:rPr>
        <w:t>Cfr. Caso Cepeda Vargas Vs. Colombia</w:t>
      </w:r>
      <w:r w:rsidRPr="00C95E15">
        <w:rPr>
          <w:rFonts w:ascii="Verdana" w:hAnsi="Verdana"/>
          <w:sz w:val="16"/>
          <w:szCs w:val="16"/>
          <w:lang w:val="es-CR"/>
        </w:rPr>
        <w:t xml:space="preserve">. </w:t>
      </w:r>
      <w:r w:rsidRPr="00C95E15">
        <w:rPr>
          <w:rFonts w:ascii="Verdana" w:hAnsi="Verdana"/>
          <w:i/>
          <w:sz w:val="16"/>
          <w:szCs w:val="16"/>
          <w:lang w:val="es-CR"/>
        </w:rPr>
        <w:t>Excepciones Preliminares, Fondo, Reparaciones y Costas</w:t>
      </w:r>
      <w:r w:rsidRPr="00C95E15">
        <w:rPr>
          <w:rFonts w:ascii="Verdana" w:hAnsi="Verdana"/>
          <w:sz w:val="16"/>
          <w:szCs w:val="16"/>
          <w:lang w:val="es-CR"/>
        </w:rPr>
        <w:t xml:space="preserve">. Sentencia de 26 de mayo de 2010. Serie C No. 213, párr. 246, y </w:t>
      </w:r>
      <w:r w:rsidRPr="00C95E15">
        <w:rPr>
          <w:rFonts w:ascii="Verdana" w:hAnsi="Verdana"/>
          <w:i/>
          <w:sz w:val="16"/>
          <w:szCs w:val="16"/>
          <w:lang w:val="es-CR"/>
        </w:rPr>
        <w:t xml:space="preserve">Caso García Ibarra y otros Vs. Ecuador. Excepciones Preliminares, Fondo, Reparaciones y Costas. </w:t>
      </w:r>
      <w:r w:rsidRPr="00C95E15">
        <w:rPr>
          <w:rFonts w:ascii="Verdana" w:hAnsi="Verdana"/>
          <w:sz w:val="16"/>
          <w:szCs w:val="16"/>
          <w:lang w:val="es-CR"/>
        </w:rPr>
        <w:t>Sentencia de 17 de noviembre de 2015. Serie C No. 306, párr. 186</w:t>
      </w:r>
      <w:r w:rsidRPr="00C95E15">
        <w:rPr>
          <w:rFonts w:ascii="Verdana" w:hAnsi="Verdana"/>
          <w:i/>
          <w:sz w:val="16"/>
          <w:szCs w:val="16"/>
          <w:lang w:val="es-CR"/>
        </w:rPr>
        <w:t>.</w:t>
      </w:r>
    </w:p>
  </w:footnote>
  <w:footnote w:id="21">
    <w:p w14:paraId="02A50716" w14:textId="30AEAF1E" w:rsidR="003619E9" w:rsidRPr="00C95E15" w:rsidRDefault="003619E9" w:rsidP="0076370B">
      <w:pPr>
        <w:pStyle w:val="Textonotapie"/>
        <w:jc w:val="both"/>
        <w:rPr>
          <w:rFonts w:ascii="Verdana" w:hAnsi="Verdana"/>
          <w:sz w:val="16"/>
          <w:szCs w:val="16"/>
          <w:lang w:val="es-CR"/>
        </w:rPr>
      </w:pPr>
      <w:r w:rsidRPr="00C95E15">
        <w:rPr>
          <w:rStyle w:val="Refdenotaalpie"/>
          <w:rFonts w:ascii="Verdana" w:hAnsi="Verdana"/>
          <w:sz w:val="16"/>
          <w:szCs w:val="16"/>
        </w:rPr>
        <w:footnoteRef/>
      </w:r>
      <w:r w:rsidRPr="00C95E15">
        <w:rPr>
          <w:rFonts w:ascii="Verdana" w:hAnsi="Verdana"/>
          <w:sz w:val="16"/>
          <w:szCs w:val="16"/>
          <w:lang w:val="es-CR"/>
        </w:rPr>
        <w:tab/>
      </w:r>
      <w:r w:rsidRPr="00C95E15">
        <w:rPr>
          <w:rFonts w:ascii="Verdana" w:hAnsi="Verdana"/>
          <w:i/>
          <w:sz w:val="16"/>
          <w:szCs w:val="16"/>
          <w:lang w:val="es-CR"/>
        </w:rPr>
        <w:t xml:space="preserve">Cfr. Caso de la Masacre de Mapiripán vs. Colombia. Fondo. </w:t>
      </w:r>
      <w:r w:rsidRPr="00C95E15">
        <w:rPr>
          <w:rFonts w:ascii="Verdana" w:hAnsi="Verdana"/>
          <w:sz w:val="16"/>
          <w:szCs w:val="16"/>
          <w:lang w:val="es-CR"/>
        </w:rPr>
        <w:t>Sentencia de 15 de septiembre de 2005. Serie C No. 134</w:t>
      </w:r>
      <w:r w:rsidRPr="00C95E15">
        <w:rPr>
          <w:rFonts w:ascii="Verdana" w:hAnsi="Verdana"/>
          <w:i/>
          <w:sz w:val="16"/>
          <w:szCs w:val="16"/>
          <w:lang w:val="es-CR"/>
        </w:rPr>
        <w:t xml:space="preserve">, y Caso García Ibarra y otros Vs. Ecuador, Excepciones Preliminares, Fondo, Reparaciones y Costas. </w:t>
      </w:r>
      <w:r w:rsidRPr="00C95E15">
        <w:rPr>
          <w:rFonts w:ascii="Verdana" w:hAnsi="Verdana"/>
          <w:sz w:val="16"/>
          <w:szCs w:val="16"/>
          <w:lang w:val="es-CR"/>
        </w:rPr>
        <w:t>Sentencia de 17 de noviembre de 2015. Serie C No. 306,</w:t>
      </w:r>
      <w:r w:rsidRPr="00C95E15">
        <w:rPr>
          <w:rFonts w:ascii="Verdana" w:hAnsi="Verdana"/>
          <w:i/>
          <w:sz w:val="16"/>
          <w:szCs w:val="16"/>
          <w:lang w:val="es-CR"/>
        </w:rPr>
        <w:t xml:space="preserve"> </w:t>
      </w:r>
      <w:r w:rsidRPr="00C95E15">
        <w:rPr>
          <w:rFonts w:ascii="Verdana" w:hAnsi="Verdana"/>
          <w:sz w:val="16"/>
          <w:szCs w:val="16"/>
          <w:lang w:val="es-CR"/>
        </w:rPr>
        <w:t xml:space="preserve">párr.186. Ver también: </w:t>
      </w:r>
      <w:r w:rsidRPr="00C95E15">
        <w:rPr>
          <w:rFonts w:ascii="Verdana" w:hAnsi="Verdana"/>
          <w:i/>
          <w:sz w:val="16"/>
          <w:szCs w:val="16"/>
          <w:lang w:val="es-CR"/>
        </w:rPr>
        <w:t>Caso de la Masacre de Pueblo Bello Vs. Colombia</w:t>
      </w:r>
      <w:r w:rsidRPr="00C95E15">
        <w:rPr>
          <w:rFonts w:ascii="Verdana" w:hAnsi="Verdana"/>
          <w:sz w:val="16"/>
          <w:szCs w:val="16"/>
          <w:lang w:val="es-CR"/>
        </w:rPr>
        <w:t xml:space="preserve">. Sentencia de 31 de enero de 2006. Serie C No. 140, párr. 251, y </w:t>
      </w:r>
      <w:r w:rsidRPr="00C95E15">
        <w:rPr>
          <w:rFonts w:ascii="Verdana" w:hAnsi="Verdana"/>
          <w:i/>
          <w:sz w:val="16"/>
          <w:szCs w:val="16"/>
          <w:lang w:val="es-CR"/>
        </w:rPr>
        <w:t>Caso Rodríguez Vera y otros (Desaparecidos del Palacio de Justicia) Vs. Colombia.</w:t>
      </w:r>
      <w:r w:rsidRPr="00C95E15">
        <w:rPr>
          <w:rFonts w:ascii="Verdana" w:hAnsi="Verdana"/>
          <w:sz w:val="16"/>
          <w:szCs w:val="16"/>
          <w:lang w:val="es-CR"/>
        </w:rPr>
        <w:t xml:space="preserve"> </w:t>
      </w:r>
      <w:r w:rsidRPr="00C95E15">
        <w:rPr>
          <w:rFonts w:ascii="Verdana" w:hAnsi="Verdana"/>
          <w:i/>
          <w:sz w:val="16"/>
          <w:szCs w:val="16"/>
          <w:lang w:val="es-CR"/>
        </w:rPr>
        <w:t>Excepciones Preliminares, Fondo, Reparaciones y Costas</w:t>
      </w:r>
      <w:r w:rsidRPr="00C95E15">
        <w:rPr>
          <w:rFonts w:ascii="Verdana" w:hAnsi="Verdana"/>
          <w:sz w:val="16"/>
          <w:szCs w:val="16"/>
          <w:lang w:val="es-CR"/>
        </w:rPr>
        <w:t>. Sentencia de 14 de noviembre de 2014. Serie C No. 287, párrs. 548 y 549</w:t>
      </w:r>
      <w:r w:rsidRPr="00C95E15">
        <w:rPr>
          <w:rFonts w:ascii="Verdana" w:hAnsi="Verdana"/>
          <w:i/>
          <w:sz w:val="16"/>
          <w:szCs w:val="16"/>
          <w:lang w:val="es-CR"/>
        </w:rPr>
        <w:t>.</w:t>
      </w:r>
    </w:p>
  </w:footnote>
  <w:footnote w:id="22">
    <w:p w14:paraId="100D9795" w14:textId="3880D868" w:rsidR="003619E9" w:rsidRPr="00C95E15" w:rsidRDefault="003619E9" w:rsidP="0076370B">
      <w:pPr>
        <w:pStyle w:val="Textonotapie"/>
        <w:jc w:val="both"/>
        <w:rPr>
          <w:rFonts w:ascii="Verdana" w:hAnsi="Verdana"/>
          <w:sz w:val="16"/>
          <w:szCs w:val="16"/>
          <w:lang w:val="es-CR"/>
        </w:rPr>
      </w:pPr>
      <w:r w:rsidRPr="00C95E15">
        <w:rPr>
          <w:rStyle w:val="Refdenotaalpie"/>
          <w:rFonts w:ascii="Verdana" w:hAnsi="Verdana"/>
          <w:sz w:val="16"/>
          <w:szCs w:val="16"/>
        </w:rPr>
        <w:footnoteRef/>
      </w:r>
      <w:r w:rsidRPr="00C95E15">
        <w:rPr>
          <w:rFonts w:ascii="Verdana" w:hAnsi="Verdana"/>
          <w:sz w:val="16"/>
          <w:szCs w:val="16"/>
          <w:lang w:val="es-CR"/>
        </w:rPr>
        <w:tab/>
      </w:r>
      <w:r w:rsidRPr="00C95E15">
        <w:rPr>
          <w:rFonts w:ascii="Verdana" w:hAnsi="Verdana"/>
          <w:i/>
          <w:sz w:val="16"/>
          <w:szCs w:val="16"/>
          <w:lang w:val="es-CR"/>
        </w:rPr>
        <w:t>Cfr. Caso de la Masacre de Santo Domingo vs. Colombia</w:t>
      </w:r>
      <w:r w:rsidRPr="00C95E15">
        <w:rPr>
          <w:rFonts w:ascii="Verdana" w:hAnsi="Verdana"/>
          <w:sz w:val="16"/>
          <w:szCs w:val="16"/>
          <w:lang w:val="es-CR"/>
        </w:rPr>
        <w:t xml:space="preserve">, </w:t>
      </w:r>
      <w:r w:rsidRPr="00C95E15">
        <w:rPr>
          <w:rStyle w:val="Textoennegrita"/>
          <w:rFonts w:ascii="Verdana" w:hAnsi="Verdana"/>
          <w:b w:val="0"/>
          <w:i/>
          <w:color w:val="000000"/>
          <w:sz w:val="16"/>
          <w:szCs w:val="16"/>
          <w:shd w:val="clear" w:color="auto" w:fill="FFFFFF"/>
        </w:rPr>
        <w:t>Excepciones Preliminares, Fondo y Reparaciones.</w:t>
      </w:r>
      <w:r w:rsidRPr="00C95E15">
        <w:rPr>
          <w:rStyle w:val="Textoennegrita"/>
          <w:rFonts w:ascii="Verdana" w:hAnsi="Verdana"/>
          <w:b w:val="0"/>
          <w:color w:val="000000"/>
          <w:sz w:val="16"/>
          <w:szCs w:val="16"/>
          <w:shd w:val="clear" w:color="auto" w:fill="FFFFFF"/>
        </w:rPr>
        <w:t xml:space="preserve"> Sentencia de 30 de noviembre de 2012. Serie C No. 259</w:t>
      </w:r>
      <w:r w:rsidRPr="00C95E15">
        <w:rPr>
          <w:rFonts w:ascii="Verdana" w:hAnsi="Verdana"/>
          <w:sz w:val="16"/>
          <w:szCs w:val="16"/>
          <w:lang w:val="es-CR"/>
        </w:rPr>
        <w:t xml:space="preserve">, párrs. 37 y 38, y </w:t>
      </w:r>
      <w:r w:rsidRPr="00C95E15">
        <w:rPr>
          <w:rFonts w:ascii="Verdana" w:hAnsi="Verdana"/>
          <w:i/>
          <w:sz w:val="16"/>
          <w:szCs w:val="16"/>
          <w:lang w:val="es-CR"/>
        </w:rPr>
        <w:t>Caso García Ibarra y otros Vs. Ecuador</w:t>
      </w:r>
      <w:r w:rsidRPr="00C95E15">
        <w:rPr>
          <w:rFonts w:ascii="Verdana" w:hAnsi="Verdana"/>
          <w:sz w:val="16"/>
          <w:szCs w:val="16"/>
          <w:lang w:val="es-CR"/>
        </w:rPr>
        <w:t xml:space="preserve">, </w:t>
      </w:r>
      <w:r w:rsidRPr="00C95E15">
        <w:rPr>
          <w:rFonts w:ascii="Verdana" w:hAnsi="Verdana"/>
          <w:i/>
          <w:sz w:val="16"/>
          <w:szCs w:val="16"/>
          <w:lang w:val="es-CR"/>
        </w:rPr>
        <w:t xml:space="preserve">Excepciones Preliminares, Fondo, Reparaciones y Costas. </w:t>
      </w:r>
      <w:r w:rsidRPr="00C95E15">
        <w:rPr>
          <w:rFonts w:ascii="Verdana" w:hAnsi="Verdana"/>
          <w:sz w:val="16"/>
          <w:szCs w:val="16"/>
          <w:lang w:val="es-CR"/>
        </w:rPr>
        <w:t>Sentencia de 17 de noviembre de 2015. Serie C No. 306, párr. 186.</w:t>
      </w:r>
    </w:p>
  </w:footnote>
  <w:footnote w:id="23">
    <w:p w14:paraId="747CF8A2" w14:textId="77777777" w:rsidR="003619E9" w:rsidRPr="00C95E15" w:rsidRDefault="003619E9" w:rsidP="0076370B">
      <w:pPr>
        <w:pStyle w:val="Textonotapie"/>
        <w:jc w:val="both"/>
        <w:rPr>
          <w:rFonts w:ascii="Verdana" w:hAnsi="Verdana"/>
          <w:i/>
          <w:sz w:val="16"/>
          <w:szCs w:val="16"/>
          <w:lang w:val="es-CR"/>
        </w:rPr>
      </w:pPr>
      <w:r w:rsidRPr="00C95E15">
        <w:rPr>
          <w:rStyle w:val="Refdenotaalpie"/>
          <w:rFonts w:ascii="Verdana" w:hAnsi="Verdana"/>
          <w:sz w:val="16"/>
          <w:szCs w:val="16"/>
        </w:rPr>
        <w:footnoteRef/>
      </w:r>
      <w:r w:rsidRPr="00C95E15">
        <w:rPr>
          <w:rFonts w:ascii="Verdana" w:hAnsi="Verdana"/>
          <w:sz w:val="16"/>
          <w:szCs w:val="16"/>
          <w:lang w:val="es-CR"/>
        </w:rPr>
        <w:t xml:space="preserve"> </w:t>
      </w:r>
      <w:r w:rsidRPr="00C95E15">
        <w:rPr>
          <w:rFonts w:ascii="Verdana" w:hAnsi="Verdana"/>
          <w:sz w:val="16"/>
          <w:szCs w:val="16"/>
          <w:lang w:val="es-CR"/>
        </w:rPr>
        <w:tab/>
      </w:r>
      <w:r w:rsidRPr="00C95E15">
        <w:rPr>
          <w:rFonts w:ascii="Verdana" w:hAnsi="Verdana"/>
          <w:i/>
          <w:sz w:val="16"/>
          <w:szCs w:val="16"/>
          <w:lang w:val="es-CR"/>
        </w:rPr>
        <w:t xml:space="preserve">Cfr. Mutatis mutandi </w:t>
      </w:r>
      <w:r w:rsidRPr="00C95E15">
        <w:rPr>
          <w:rFonts w:ascii="Verdana" w:hAnsi="Verdana"/>
          <w:bCs/>
          <w:i/>
          <w:sz w:val="16"/>
          <w:szCs w:val="16"/>
          <w:lang w:val="es-CR"/>
        </w:rPr>
        <w:t xml:space="preserve">Caso Velásquez Rodríguez Vs. Honduras. Fondo. </w:t>
      </w:r>
      <w:r w:rsidRPr="00C95E15">
        <w:rPr>
          <w:rFonts w:ascii="Verdana" w:hAnsi="Verdana"/>
          <w:bCs/>
          <w:sz w:val="16"/>
          <w:szCs w:val="16"/>
          <w:lang w:val="es-CR"/>
        </w:rPr>
        <w:t xml:space="preserve">Sentencia de 29 de julio de 1988. Serie C No. 4, párr. 64, </w:t>
      </w:r>
      <w:r w:rsidRPr="00C95E15">
        <w:rPr>
          <w:rFonts w:ascii="Verdana" w:hAnsi="Verdana"/>
          <w:sz w:val="16"/>
          <w:szCs w:val="16"/>
          <w:lang w:val="es-CR"/>
        </w:rPr>
        <w:t xml:space="preserve">y </w:t>
      </w:r>
      <w:r w:rsidRPr="00C95E15">
        <w:rPr>
          <w:rStyle w:val="Textoennegrita"/>
          <w:rFonts w:ascii="Verdana" w:hAnsi="Verdana"/>
          <w:b w:val="0"/>
          <w:i/>
          <w:color w:val="000000"/>
          <w:sz w:val="16"/>
          <w:szCs w:val="16"/>
          <w:shd w:val="clear" w:color="auto" w:fill="FFFFFF"/>
          <w:lang w:val="es-CR"/>
        </w:rPr>
        <w:t>Caso Chinchilla Sandoval y otros Vs. Guatemala. Excepción Preliminar, Fondo, Reparaciones y Costas.</w:t>
      </w:r>
      <w:r w:rsidRPr="00C95E15">
        <w:rPr>
          <w:rStyle w:val="Textoennegrita"/>
          <w:rFonts w:ascii="Verdana" w:hAnsi="Verdana"/>
          <w:b w:val="0"/>
          <w:color w:val="000000"/>
          <w:sz w:val="16"/>
          <w:szCs w:val="16"/>
          <w:shd w:val="clear" w:color="auto" w:fill="FFFFFF"/>
          <w:lang w:val="es-CR"/>
        </w:rPr>
        <w:t xml:space="preserve"> Sentencia de 29 de febrero de 2016. Serie C No. 312, párr. 25.</w:t>
      </w:r>
    </w:p>
  </w:footnote>
  <w:footnote w:id="24">
    <w:p w14:paraId="6C04FBE6" w14:textId="409400F0"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t>El único caso del que esta Corte tiene conocimiento es el referido por el Estado en su escrito de contestación ante este Tribunal, es decir el</w:t>
      </w:r>
      <w:r w:rsidRPr="00C95E15">
        <w:rPr>
          <w:rFonts w:ascii="Verdana" w:hAnsi="Verdana"/>
          <w:sz w:val="16"/>
          <w:szCs w:val="16"/>
          <w:lang w:val="es-CO"/>
        </w:rPr>
        <w:t xml:space="preserve"> expediente. N° 21000111/2011 caratulado "Presa María José Teresa c/ Estado Nacional Argentino s/ Demanda Ordinaria"</w:t>
      </w:r>
      <w:r w:rsidRPr="00C95E15">
        <w:rPr>
          <w:rFonts w:ascii="Verdana" w:hAnsi="Verdana"/>
          <w:sz w:val="16"/>
          <w:szCs w:val="16"/>
        </w:rPr>
        <w:t xml:space="preserve"> en el que </w:t>
      </w:r>
      <w:r w:rsidR="000A108A" w:rsidRPr="00C95E15">
        <w:rPr>
          <w:rFonts w:ascii="Verdana" w:hAnsi="Verdana"/>
          <w:sz w:val="16"/>
          <w:szCs w:val="16"/>
        </w:rPr>
        <w:t xml:space="preserve">fue </w:t>
      </w:r>
      <w:r w:rsidRPr="00C95E15">
        <w:rPr>
          <w:rFonts w:ascii="Verdana" w:hAnsi="Verdana"/>
          <w:sz w:val="16"/>
          <w:szCs w:val="16"/>
        </w:rPr>
        <w:t xml:space="preserve">inaplicada la prescripción de las acciones de responsabilidad por considerarla contraria a la Convención.  </w:t>
      </w:r>
      <w:r w:rsidRPr="00C95E15">
        <w:rPr>
          <w:rFonts w:ascii="Verdana" w:hAnsi="Verdana"/>
          <w:sz w:val="16"/>
          <w:szCs w:val="16"/>
          <w:lang w:val="es-CO"/>
        </w:rPr>
        <w:t xml:space="preserve">En el </w:t>
      </w:r>
      <w:r w:rsidRPr="00C95E15">
        <w:rPr>
          <w:rFonts w:ascii="Verdana" w:hAnsi="Verdana"/>
          <w:sz w:val="16"/>
          <w:szCs w:val="16"/>
        </w:rPr>
        <w:t xml:space="preserve">Informe </w:t>
      </w:r>
      <w:r w:rsidRPr="00C95E15">
        <w:rPr>
          <w:rFonts w:ascii="Verdana" w:hAnsi="Verdana"/>
          <w:bCs/>
          <w:color w:val="000000"/>
          <w:spacing w:val="-3"/>
          <w:sz w:val="16"/>
          <w:szCs w:val="16"/>
          <w:lang w:val="es-ES_tradnl"/>
        </w:rPr>
        <w:t xml:space="preserve">N° 1/93 de la CIDH sobre acuerdo de solución amistosa en el </w:t>
      </w:r>
      <w:r w:rsidRPr="00C95E15">
        <w:rPr>
          <w:rFonts w:ascii="Verdana" w:hAnsi="Verdana"/>
          <w:bCs/>
          <w:i/>
          <w:color w:val="000000"/>
          <w:spacing w:val="-3"/>
          <w:sz w:val="16"/>
          <w:szCs w:val="16"/>
          <w:lang w:val="es-ES_tradnl"/>
        </w:rPr>
        <w:t xml:space="preserve">Caso </w:t>
      </w:r>
      <w:proofErr w:type="spellStart"/>
      <w:r w:rsidRPr="00C95E15">
        <w:rPr>
          <w:rFonts w:ascii="Verdana" w:hAnsi="Verdana"/>
          <w:bCs/>
          <w:i/>
          <w:color w:val="000000"/>
          <w:spacing w:val="-3"/>
          <w:sz w:val="16"/>
          <w:szCs w:val="16"/>
          <w:lang w:val="es-ES_tradnl"/>
        </w:rPr>
        <w:t>Birt</w:t>
      </w:r>
      <w:proofErr w:type="spellEnd"/>
      <w:r w:rsidRPr="00C95E15">
        <w:rPr>
          <w:rFonts w:ascii="Verdana" w:hAnsi="Verdana"/>
          <w:bCs/>
          <w:i/>
          <w:color w:val="000000"/>
          <w:spacing w:val="-3"/>
          <w:sz w:val="16"/>
          <w:szCs w:val="16"/>
          <w:lang w:val="es-ES_tradnl"/>
        </w:rPr>
        <w:t xml:space="preserve"> y otros Vs. Argentina</w:t>
      </w:r>
      <w:r w:rsidRPr="00C95E15">
        <w:rPr>
          <w:rFonts w:ascii="Verdana" w:hAnsi="Verdana"/>
          <w:bCs/>
          <w:color w:val="000000"/>
          <w:spacing w:val="-3"/>
          <w:sz w:val="16"/>
          <w:szCs w:val="16"/>
          <w:lang w:val="es-ES_tradnl"/>
        </w:rPr>
        <w:t xml:space="preserve"> del 3 de marzo de 1993, se afirma que los peticionarios, quienes habían sido detenidos arbitrariamente durante la dictadura militar “(…) demandaron al Estado argentino por los daños y perjuicios patrimoniales y morales que les fueron causados en ocasión de su detención. Las demandas fueron presentadas dentro de los tres meses posteriores a la caída del Gobierno militar.  En muchos de los casos los respectivos peticionarios obtuvieron sentencias favorables en primera instancia, pero la Cámara Federal de Córdoba y la Corte Suprema de Justicia de la Nación declararon que las acciones habían prescrito”. Disponible en: </w:t>
      </w:r>
      <w:hyperlink r:id="rId2" w:history="1">
        <w:r w:rsidRPr="00C95E15">
          <w:rPr>
            <w:rStyle w:val="Hipervnculo"/>
            <w:rFonts w:ascii="Verdana" w:hAnsi="Verdana"/>
            <w:bCs/>
            <w:spacing w:val="-3"/>
            <w:sz w:val="16"/>
            <w:szCs w:val="16"/>
            <w:u w:val="none"/>
            <w:lang w:val="es-ES_tradnl"/>
          </w:rPr>
          <w:t>http://www.cidh.oas.org/annualrep/92span/Argentina10.288.htm</w:t>
        </w:r>
      </w:hyperlink>
      <w:r w:rsidRPr="00C95E15">
        <w:rPr>
          <w:rStyle w:val="Hipervnculo"/>
          <w:rFonts w:ascii="Verdana" w:hAnsi="Verdana"/>
          <w:bCs/>
          <w:spacing w:val="-3"/>
          <w:sz w:val="16"/>
          <w:szCs w:val="16"/>
          <w:u w:val="none"/>
          <w:lang w:val="es-ES_tradnl"/>
        </w:rPr>
        <w:t>.</w:t>
      </w:r>
      <w:r w:rsidRPr="00C95E15">
        <w:rPr>
          <w:rFonts w:ascii="Verdana" w:hAnsi="Verdana"/>
          <w:b/>
          <w:sz w:val="16"/>
          <w:szCs w:val="16"/>
          <w:lang w:val="es-CO"/>
        </w:rPr>
        <w:t xml:space="preserve"> </w:t>
      </w:r>
    </w:p>
  </w:footnote>
  <w:footnote w:id="25">
    <w:p w14:paraId="4BEFF2B1" w14:textId="7CE669BC"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t xml:space="preserve">Caso </w:t>
      </w:r>
      <w:r w:rsidRPr="00C95E15">
        <w:rPr>
          <w:rFonts w:ascii="Verdana" w:hAnsi="Verdana"/>
          <w:i/>
          <w:sz w:val="16"/>
          <w:szCs w:val="16"/>
        </w:rPr>
        <w:t>Perrone y Preckel Vs. Argentina</w:t>
      </w:r>
      <w:r w:rsidRPr="00C95E15">
        <w:rPr>
          <w:rFonts w:ascii="Verdana" w:hAnsi="Verdana"/>
          <w:sz w:val="16"/>
          <w:szCs w:val="16"/>
        </w:rPr>
        <w:t xml:space="preserve">. Reconsideración de convocatoria a audiencia. Resolución de la Corte Interamericana de Derechos Humanos de 29 de enero de 2019. Considerando 12. </w:t>
      </w:r>
    </w:p>
  </w:footnote>
  <w:footnote w:id="26">
    <w:p w14:paraId="781C2838" w14:textId="573C7AF4"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t xml:space="preserve">La Comisión desistió de su peritaje ofrecido días antes de la audiencia del caso. </w:t>
      </w:r>
    </w:p>
  </w:footnote>
  <w:footnote w:id="27">
    <w:p w14:paraId="50BE3D7E" w14:textId="2FDC8DF8"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r>
      <w:r w:rsidRPr="00C95E15">
        <w:rPr>
          <w:rFonts w:ascii="Verdana" w:hAnsi="Verdana"/>
          <w:i/>
          <w:sz w:val="16"/>
          <w:szCs w:val="16"/>
        </w:rPr>
        <w:t>Cfr.</w:t>
      </w:r>
      <w:r w:rsidRPr="00C95E15">
        <w:rPr>
          <w:rFonts w:ascii="Verdana" w:hAnsi="Verdana"/>
          <w:sz w:val="16"/>
          <w:szCs w:val="16"/>
        </w:rPr>
        <w:t xml:space="preserve"> Certificación del Servicio Penitenciario del Ministerio de Gobierno de la Provincia de Buenos Aires</w:t>
      </w:r>
      <w:r w:rsidRPr="00C95E15">
        <w:rPr>
          <w:rFonts w:ascii="Verdana" w:hAnsi="Verdana" w:cs="Arial"/>
          <w:bCs/>
          <w:sz w:val="16"/>
          <w:szCs w:val="16"/>
        </w:rPr>
        <w:t xml:space="preserve"> </w:t>
      </w:r>
      <w:r w:rsidRPr="00C95E15">
        <w:rPr>
          <w:rFonts w:ascii="Verdana" w:hAnsi="Verdana"/>
          <w:sz w:val="16"/>
          <w:szCs w:val="16"/>
        </w:rPr>
        <w:t xml:space="preserve">(expediente de prueba, f. 1121).  </w:t>
      </w:r>
    </w:p>
  </w:footnote>
  <w:footnote w:id="28">
    <w:p w14:paraId="50BE3D7F" w14:textId="013FEEF6"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r>
      <w:r w:rsidRPr="00C95E15">
        <w:rPr>
          <w:rFonts w:ascii="Verdana" w:hAnsi="Verdana"/>
          <w:i/>
          <w:sz w:val="16"/>
          <w:szCs w:val="16"/>
        </w:rPr>
        <w:t>Cfr.</w:t>
      </w:r>
      <w:r w:rsidRPr="00C95E15">
        <w:rPr>
          <w:rFonts w:ascii="Verdana" w:hAnsi="Verdana"/>
          <w:sz w:val="16"/>
          <w:szCs w:val="16"/>
        </w:rPr>
        <w:t xml:space="preserve"> Certificación del Servicio Penitenciario del Ministerio de Gobierno de la Provincia de Buenos Aires (expediente de prueba, f. 93).</w:t>
      </w:r>
    </w:p>
  </w:footnote>
  <w:footnote w:id="29">
    <w:p w14:paraId="50BE3D80" w14:textId="172E8161"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r>
      <w:r w:rsidRPr="00C95E15">
        <w:rPr>
          <w:rFonts w:ascii="Verdana" w:hAnsi="Verdana"/>
          <w:i/>
          <w:sz w:val="16"/>
          <w:szCs w:val="16"/>
        </w:rPr>
        <w:t>Cfr.</w:t>
      </w:r>
      <w:r w:rsidRPr="00C95E15">
        <w:rPr>
          <w:rFonts w:ascii="Verdana" w:hAnsi="Verdana"/>
          <w:sz w:val="16"/>
          <w:szCs w:val="16"/>
        </w:rPr>
        <w:t xml:space="preserve"> Demanda de Elba Clotilde Perrone ante Juez Federal del 24 de junio de 1988 (expediente de fondo, anexo 4.a del Informe de Fondo, f. 211).</w:t>
      </w:r>
    </w:p>
  </w:footnote>
  <w:footnote w:id="30">
    <w:p w14:paraId="50BE3D81" w14:textId="468E84E6"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r>
      <w:r w:rsidRPr="00C95E15">
        <w:rPr>
          <w:rFonts w:ascii="Verdana" w:hAnsi="Verdana"/>
          <w:i/>
          <w:sz w:val="16"/>
          <w:szCs w:val="16"/>
        </w:rPr>
        <w:t>Cfr.</w:t>
      </w:r>
      <w:r w:rsidRPr="00C95E15">
        <w:rPr>
          <w:rFonts w:ascii="Verdana" w:hAnsi="Verdana"/>
          <w:sz w:val="16"/>
          <w:szCs w:val="16"/>
        </w:rPr>
        <w:t xml:space="preserve"> Demanda de Juan José Preckel ante Juez Federal del 24 de junio de 1988 (expediente de prueba, f. 1460).</w:t>
      </w:r>
    </w:p>
  </w:footnote>
  <w:footnote w:id="31">
    <w:p w14:paraId="50BE3D82" w14:textId="7FCBAAF2"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t>Impositiva Aduana Seguridad Social, disponible en: http://www.afip.gob.ar/sitio/externos/institucional/impositiva/</w:t>
      </w:r>
    </w:p>
  </w:footnote>
  <w:footnote w:id="32">
    <w:p w14:paraId="50BE3D83" w14:textId="5A891355"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t xml:space="preserve">El General Jorge Rafael Videla, entonces Presidente de la República Argentina, dictó el “Decreto Secreto” [Decreto “S”] No. 484, que en su parte dispositiva ordenó, entre otros puntos, lo siguiente: “[…] CONSIDERANDO: Que constituye una primordial responsabilidad de Gobierno consolidar la paz interior, asegurar la tranquilidad y el orden públicos y preservar los permanentes intereses de la República; Que a criterio del Poder Ejecutivo Nacional —único facultado para evaluar los antecedentes respectivos— la actividad de las personas que se incluyen en el presente decreto atenta contra los valores indicados en el considerando anterior y tiene directa y estrecha relación con las causas que motivaron la declaración del estado de sitio. Por ello y en virtud de las facultades que expresamente le acuerda el artículo 23 de la Constitución Nacional, EL PRESIDENTE DE LA NACION ARGENTINA DECRETA: Artículo 1º — Arréstese a disposición del Poder Ejecutivo Nacional a […] Juan José PRECKEL (MI 10.506.404) […] Elba Clotilde PERRONE (LC 5.255.882) […] Art. 2º — Las personas mencionadas […] deberán permanecer en el lugar de detención que al efecto se determine”. </w:t>
      </w:r>
      <w:r w:rsidRPr="00C95E15">
        <w:rPr>
          <w:rFonts w:ascii="Verdana" w:hAnsi="Verdana"/>
          <w:i/>
          <w:sz w:val="16"/>
          <w:szCs w:val="16"/>
        </w:rPr>
        <w:t>Cfr.</w:t>
      </w:r>
      <w:r w:rsidRPr="00C95E15">
        <w:rPr>
          <w:rFonts w:ascii="Verdana" w:hAnsi="Verdana"/>
          <w:sz w:val="16"/>
          <w:szCs w:val="16"/>
        </w:rPr>
        <w:t xml:space="preserve"> </w:t>
      </w:r>
      <w:r w:rsidRPr="00C95E15">
        <w:rPr>
          <w:rFonts w:ascii="Verdana" w:hAnsi="Verdana"/>
          <w:i/>
          <w:sz w:val="16"/>
          <w:szCs w:val="16"/>
        </w:rPr>
        <w:t xml:space="preserve">Decretos Secretos y Reservados, </w:t>
      </w:r>
      <w:r w:rsidRPr="00C95E15">
        <w:rPr>
          <w:rFonts w:ascii="Verdana" w:hAnsi="Verdana"/>
          <w:sz w:val="16"/>
          <w:szCs w:val="16"/>
        </w:rPr>
        <w:t xml:space="preserve">Boletín Oficial de la República Argentina, Año CXXI, Número 32.623, 22 de abril de 2013, pág. 19. Disponible para su descarga (pág. 102) en: </w:t>
      </w:r>
      <w:hyperlink r:id="rId3" w:history="1">
        <w:r w:rsidRPr="00C95E15">
          <w:rPr>
            <w:rStyle w:val="Hipervnculo"/>
            <w:rFonts w:ascii="Verdana" w:hAnsi="Verdana"/>
            <w:sz w:val="16"/>
            <w:szCs w:val="16"/>
            <w:u w:val="none"/>
          </w:rPr>
          <w:t>https://bcn.gob.ar/uploads/DOSSIER-87-DECRETOS-SECRETOS-y-RESERVADOS-PUB2013.pdf</w:t>
        </w:r>
      </w:hyperlink>
    </w:p>
  </w:footnote>
  <w:footnote w:id="33">
    <w:p w14:paraId="50BE3D84" w14:textId="3674187E"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r>
      <w:r w:rsidRPr="00C95E15">
        <w:rPr>
          <w:rFonts w:ascii="Verdana" w:hAnsi="Verdana"/>
          <w:i/>
          <w:sz w:val="16"/>
          <w:szCs w:val="16"/>
        </w:rPr>
        <w:t>Cfr.</w:t>
      </w:r>
      <w:r w:rsidRPr="00C95E15">
        <w:rPr>
          <w:rFonts w:ascii="Verdana" w:hAnsi="Verdana"/>
          <w:sz w:val="16"/>
          <w:szCs w:val="16"/>
        </w:rPr>
        <w:t xml:space="preserve"> Declaración de Elba Clotilde Perrone, sin fecha (expediente de prueba, f. 1116).</w:t>
      </w:r>
    </w:p>
  </w:footnote>
  <w:footnote w:id="34">
    <w:p w14:paraId="50BE3D85" w14:textId="06C58852"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r>
      <w:r w:rsidRPr="00C95E15">
        <w:rPr>
          <w:rFonts w:ascii="Verdana" w:hAnsi="Verdana"/>
          <w:i/>
          <w:sz w:val="16"/>
          <w:szCs w:val="16"/>
        </w:rPr>
        <w:t>Cfr.</w:t>
      </w:r>
      <w:r w:rsidRPr="00C95E15">
        <w:rPr>
          <w:rFonts w:ascii="Verdana" w:hAnsi="Verdana"/>
          <w:sz w:val="16"/>
          <w:szCs w:val="16"/>
        </w:rPr>
        <w:t xml:space="preserve"> Demanda de Elba Clotilde Perrone ante Juez Federal del 24 de junio de 1988 (expediente de prueba, anexo 4.a del Informe de Fondo, f. 209).</w:t>
      </w:r>
    </w:p>
  </w:footnote>
  <w:footnote w:id="35">
    <w:p w14:paraId="50BE3D86" w14:textId="459AC5FF"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r>
      <w:r w:rsidRPr="00C95E15">
        <w:rPr>
          <w:rFonts w:ascii="Verdana" w:hAnsi="Verdana"/>
          <w:i/>
          <w:sz w:val="16"/>
          <w:szCs w:val="16"/>
        </w:rPr>
        <w:t>Cfr.</w:t>
      </w:r>
      <w:r w:rsidRPr="00C95E15">
        <w:rPr>
          <w:rFonts w:ascii="Verdana" w:hAnsi="Verdana"/>
          <w:sz w:val="16"/>
          <w:szCs w:val="16"/>
        </w:rPr>
        <w:t xml:space="preserve"> Acta del Jefe de División Judicial del Instituto de Detención de la Capital Federal del 15 de octubre de 1982, dirigido a Elba Clotilde Perrone Olague (expediente de prueba, f. 1119). En el Informe de Fondo la CIDH especificó que la notificación de dicha acta se llevó a cabo el 16 de octubre de 1982.</w:t>
      </w:r>
    </w:p>
  </w:footnote>
  <w:footnote w:id="36">
    <w:p w14:paraId="50BE3D87" w14:textId="78A238BA"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r>
      <w:r w:rsidRPr="00C95E15">
        <w:rPr>
          <w:rFonts w:ascii="Verdana" w:hAnsi="Verdana"/>
          <w:i/>
          <w:sz w:val="16"/>
          <w:szCs w:val="16"/>
        </w:rPr>
        <w:t>Cfr.</w:t>
      </w:r>
      <w:r w:rsidRPr="00C95E15">
        <w:rPr>
          <w:rFonts w:ascii="Verdana" w:hAnsi="Verdana"/>
          <w:sz w:val="16"/>
          <w:szCs w:val="16"/>
        </w:rPr>
        <w:t xml:space="preserve"> Decreto N°. 1859 del 25 de julio de 1983, expedido por el Poder Ejecutivo Nacional (expediente de prueba, f. 1408).</w:t>
      </w:r>
    </w:p>
  </w:footnote>
  <w:footnote w:id="37">
    <w:p w14:paraId="50BE3D88" w14:textId="4BF90281"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r>
      <w:r w:rsidRPr="00C95E15">
        <w:rPr>
          <w:rFonts w:ascii="Verdana" w:hAnsi="Verdana"/>
          <w:i/>
          <w:sz w:val="16"/>
          <w:szCs w:val="16"/>
        </w:rPr>
        <w:t>Cfr.</w:t>
      </w:r>
      <w:r w:rsidRPr="00C95E15">
        <w:rPr>
          <w:rFonts w:ascii="Verdana" w:hAnsi="Verdana"/>
          <w:sz w:val="16"/>
          <w:szCs w:val="16"/>
        </w:rPr>
        <w:t xml:space="preserve"> Declaración de Elba Clotilde Perrone, sin fecha (expediente de prueba, ff. 1114 y 1115). </w:t>
      </w:r>
    </w:p>
  </w:footnote>
  <w:footnote w:id="38">
    <w:p w14:paraId="50BE3D89" w14:textId="3994B3F4"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r>
      <w:r w:rsidRPr="00C95E15">
        <w:rPr>
          <w:rFonts w:ascii="Verdana" w:hAnsi="Verdana"/>
          <w:i/>
          <w:sz w:val="16"/>
          <w:szCs w:val="16"/>
        </w:rPr>
        <w:t>Cfr.</w:t>
      </w:r>
      <w:r w:rsidRPr="00C95E15">
        <w:rPr>
          <w:rFonts w:ascii="Verdana" w:hAnsi="Verdana"/>
          <w:sz w:val="16"/>
          <w:szCs w:val="16"/>
        </w:rPr>
        <w:t xml:space="preserve"> Certificación del Servicio Penitenciario del Ministerio de Gobierno de la Provincia de Buenos Aires (expediente de prueba, f. 93).</w:t>
      </w:r>
    </w:p>
  </w:footnote>
  <w:footnote w:id="39">
    <w:p w14:paraId="50BE3D8A" w14:textId="5929F639"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r>
      <w:r w:rsidRPr="00C95E15">
        <w:rPr>
          <w:rFonts w:ascii="Verdana" w:hAnsi="Verdana"/>
          <w:i/>
          <w:sz w:val="16"/>
          <w:szCs w:val="16"/>
        </w:rPr>
        <w:t>Cfr.</w:t>
      </w:r>
      <w:r w:rsidRPr="00C95E15">
        <w:rPr>
          <w:rFonts w:ascii="Verdana" w:hAnsi="Verdana"/>
          <w:sz w:val="16"/>
          <w:szCs w:val="16"/>
        </w:rPr>
        <w:t xml:space="preserve"> Declaración de Juan José Preckel (expediente de prueba, anexo 2 del Informe de Fondo, ff. 134 y 135). </w:t>
      </w:r>
    </w:p>
  </w:footnote>
  <w:footnote w:id="40">
    <w:p w14:paraId="50BE3D8D" w14:textId="068CFDCD"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r>
      <w:r w:rsidRPr="00C95E15">
        <w:rPr>
          <w:rFonts w:ascii="Verdana" w:hAnsi="Verdana"/>
          <w:i/>
          <w:sz w:val="16"/>
          <w:szCs w:val="16"/>
        </w:rPr>
        <w:t>Cfr.</w:t>
      </w:r>
      <w:r w:rsidRPr="00C95E15">
        <w:rPr>
          <w:rFonts w:ascii="Verdana" w:hAnsi="Verdana"/>
          <w:sz w:val="16"/>
          <w:szCs w:val="16"/>
        </w:rPr>
        <w:t xml:space="preserve"> Resolución del Jefe de Región Mar del Plata de la DGI del 26 de agosto de 1976 (expediente de fondo, anexo 3.a del Informe de Fondo, f. 142).</w:t>
      </w:r>
    </w:p>
  </w:footnote>
  <w:footnote w:id="41">
    <w:p w14:paraId="50BE3D8E" w14:textId="77777777"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t>Artículo 36°. Cuando el agente se encontrare privado de libertad, será suspendido preventivamente, instruyéndose el sumario pertinente, debiendo reintegrarse al servicio dentro de los dos días de recobrada la libertad.</w:t>
      </w:r>
    </w:p>
  </w:footnote>
  <w:footnote w:id="42">
    <w:p w14:paraId="50BE3D8F" w14:textId="69520B96"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r>
      <w:r w:rsidRPr="00C95E15">
        <w:rPr>
          <w:rFonts w:ascii="Verdana" w:hAnsi="Verdana"/>
          <w:i/>
          <w:sz w:val="16"/>
          <w:szCs w:val="16"/>
        </w:rPr>
        <w:t>Cfr.</w:t>
      </w:r>
      <w:r w:rsidRPr="00C95E15">
        <w:rPr>
          <w:rFonts w:ascii="Verdana" w:hAnsi="Verdana"/>
          <w:sz w:val="16"/>
          <w:szCs w:val="16"/>
        </w:rPr>
        <w:t xml:space="preserve"> Resolución del Jefe de la Región Mar del Plata de la DGI del 10 de agosto de 1976 (expediente de prueba, f. 1225).</w:t>
      </w:r>
    </w:p>
  </w:footnote>
  <w:footnote w:id="43">
    <w:p w14:paraId="50BE3D90" w14:textId="31B68A19"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r>
      <w:r w:rsidRPr="00C95E15">
        <w:rPr>
          <w:rFonts w:ascii="Verdana" w:hAnsi="Verdana"/>
          <w:i/>
          <w:sz w:val="16"/>
          <w:szCs w:val="16"/>
        </w:rPr>
        <w:t>Cfr.</w:t>
      </w:r>
      <w:r w:rsidRPr="00C95E15">
        <w:rPr>
          <w:rFonts w:ascii="Verdana" w:hAnsi="Verdana"/>
          <w:sz w:val="16"/>
          <w:szCs w:val="16"/>
        </w:rPr>
        <w:t xml:space="preserve"> Resolución del Jefe de la Región Mar del Plata de la DGI del 10 de agosto de 1976 (expediente de prueba, f. 1227).</w:t>
      </w:r>
    </w:p>
  </w:footnote>
  <w:footnote w:id="44">
    <w:p w14:paraId="50BE3D91" w14:textId="28608864"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r>
      <w:r w:rsidRPr="00C95E15">
        <w:rPr>
          <w:rFonts w:ascii="Verdana" w:hAnsi="Verdana"/>
          <w:i/>
          <w:sz w:val="16"/>
          <w:szCs w:val="16"/>
        </w:rPr>
        <w:t>Cfr.</w:t>
      </w:r>
      <w:r w:rsidRPr="00C95E15">
        <w:rPr>
          <w:rFonts w:ascii="Verdana" w:hAnsi="Verdana"/>
          <w:sz w:val="16"/>
          <w:szCs w:val="16"/>
        </w:rPr>
        <w:t xml:space="preserve"> Oficio del Jefe de Región de Mar del Plata de la DGI del 26 de agosto de 1976 (expediente de fondo, anexo 3.a del Informe de Fondo, f. 142).</w:t>
      </w:r>
    </w:p>
  </w:footnote>
  <w:footnote w:id="45">
    <w:p w14:paraId="50BE3D92" w14:textId="04F05744"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r>
      <w:r w:rsidRPr="00C95E15">
        <w:rPr>
          <w:rFonts w:ascii="Verdana" w:hAnsi="Verdana"/>
          <w:i/>
          <w:sz w:val="16"/>
          <w:szCs w:val="16"/>
        </w:rPr>
        <w:t>Cfr.</w:t>
      </w:r>
      <w:r w:rsidRPr="00C95E15">
        <w:rPr>
          <w:rFonts w:ascii="Verdana" w:hAnsi="Verdana"/>
          <w:sz w:val="16"/>
          <w:szCs w:val="16"/>
        </w:rPr>
        <w:t xml:space="preserve"> Oficio del Coronel de la Agrupación de Artillería de Defensa Aérea del 21 de octubre de 1976, dirigido al Instructor Sumariante de la DGI (expediente de prueba, f. 1250).</w:t>
      </w:r>
    </w:p>
  </w:footnote>
  <w:footnote w:id="46">
    <w:p w14:paraId="50BE3D93" w14:textId="0FD0348B"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r>
      <w:r w:rsidRPr="00C95E15">
        <w:rPr>
          <w:rFonts w:ascii="Verdana" w:hAnsi="Verdana"/>
          <w:i/>
          <w:sz w:val="16"/>
          <w:szCs w:val="16"/>
        </w:rPr>
        <w:t>Cfr.</w:t>
      </w:r>
      <w:r w:rsidRPr="00C95E15">
        <w:rPr>
          <w:rFonts w:ascii="Verdana" w:hAnsi="Verdana"/>
          <w:sz w:val="16"/>
          <w:szCs w:val="16"/>
        </w:rPr>
        <w:t xml:space="preserve"> Dictamen de la Junta Directiva de la DGI del 10 de abril de 1979 (expediente de fondo, anexo 3.c del Informe de Fondo, f. 147).</w:t>
      </w:r>
    </w:p>
  </w:footnote>
  <w:footnote w:id="47">
    <w:p w14:paraId="50BE3D94" w14:textId="606BDCEA"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r>
      <w:r w:rsidRPr="00C95E15">
        <w:rPr>
          <w:rFonts w:ascii="Verdana" w:hAnsi="Verdana"/>
          <w:i/>
          <w:sz w:val="16"/>
          <w:szCs w:val="16"/>
        </w:rPr>
        <w:t>Cfr.</w:t>
      </w:r>
      <w:r w:rsidRPr="00C95E15">
        <w:rPr>
          <w:rFonts w:ascii="Verdana" w:hAnsi="Verdana"/>
          <w:sz w:val="16"/>
          <w:szCs w:val="16"/>
        </w:rPr>
        <w:t xml:space="preserve"> Demanda de Elba Clotilde Perrone ante juez federal del 24 de junio de 1988 (</w:t>
      </w:r>
      <w:r w:rsidRPr="00C95E15">
        <w:rPr>
          <w:rFonts w:ascii="Verdana" w:hAnsi="Verdana"/>
          <w:i/>
          <w:sz w:val="16"/>
          <w:szCs w:val="16"/>
        </w:rPr>
        <w:t>supra</w:t>
      </w:r>
      <w:r w:rsidRPr="00C95E15">
        <w:rPr>
          <w:rFonts w:ascii="Verdana" w:hAnsi="Verdana"/>
          <w:sz w:val="16"/>
          <w:szCs w:val="16"/>
        </w:rPr>
        <w:t>, f. 2198).</w:t>
      </w:r>
    </w:p>
  </w:footnote>
  <w:footnote w:id="48">
    <w:p w14:paraId="50BE3D95" w14:textId="17A8983E"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r>
      <w:r w:rsidRPr="00C95E15">
        <w:rPr>
          <w:rFonts w:ascii="Verdana" w:hAnsi="Verdana"/>
          <w:i/>
          <w:sz w:val="16"/>
          <w:szCs w:val="16"/>
        </w:rPr>
        <w:t>Cfr.</w:t>
      </w:r>
      <w:r w:rsidRPr="00C95E15">
        <w:rPr>
          <w:rFonts w:ascii="Verdana" w:hAnsi="Verdana"/>
          <w:sz w:val="16"/>
          <w:szCs w:val="16"/>
        </w:rPr>
        <w:t xml:space="preserve"> Escrito de Elba Clotilde Perrone dirigido a la DGI del 27 de abril de 1983 (expediente de prueba, ff. 149 y 150).</w:t>
      </w:r>
    </w:p>
  </w:footnote>
  <w:footnote w:id="49">
    <w:p w14:paraId="50BE3D96" w14:textId="28EDF454"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r>
      <w:r w:rsidRPr="00C95E15">
        <w:rPr>
          <w:rFonts w:ascii="Verdana" w:hAnsi="Verdana"/>
          <w:i/>
          <w:sz w:val="16"/>
          <w:szCs w:val="16"/>
        </w:rPr>
        <w:t>Cfr.</w:t>
      </w:r>
      <w:r w:rsidRPr="00C95E15">
        <w:rPr>
          <w:rFonts w:ascii="Verdana" w:hAnsi="Verdana"/>
          <w:sz w:val="16"/>
          <w:szCs w:val="16"/>
        </w:rPr>
        <w:t xml:space="preserve"> Declaración de Elba Clotilde Perrone ante la DGI del 23 de agosto de 1983 (expediente de fondo, anexo 3.e, f. 153).</w:t>
      </w:r>
    </w:p>
  </w:footnote>
  <w:footnote w:id="50">
    <w:p w14:paraId="50BE3D97" w14:textId="151C024E"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r>
      <w:r w:rsidRPr="00C95E15">
        <w:rPr>
          <w:rFonts w:ascii="Verdana" w:hAnsi="Verdana"/>
          <w:i/>
          <w:sz w:val="16"/>
          <w:szCs w:val="16"/>
        </w:rPr>
        <w:t>Cfr.</w:t>
      </w:r>
      <w:r w:rsidRPr="00C95E15">
        <w:rPr>
          <w:rFonts w:ascii="Verdana" w:hAnsi="Verdana"/>
          <w:sz w:val="16"/>
          <w:szCs w:val="16"/>
        </w:rPr>
        <w:t xml:space="preserve"> Escrito de Juan José Preckel dirigido al Jefe de Región de Mar del Plata de la DGI, recibido por dicha dependencia el 20 de febrero de 1984 (expediente de fondo, anexo 3.f del Informe de Fondo, f. 155 y 156).</w:t>
      </w:r>
    </w:p>
  </w:footnote>
  <w:footnote w:id="51">
    <w:p w14:paraId="50BE3D98" w14:textId="4FD58A5F"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r>
      <w:r w:rsidRPr="00C95E15">
        <w:rPr>
          <w:rFonts w:ascii="Verdana" w:hAnsi="Verdana"/>
          <w:i/>
          <w:sz w:val="16"/>
          <w:szCs w:val="16"/>
        </w:rPr>
        <w:t>Cfr.</w:t>
      </w:r>
      <w:r w:rsidRPr="00C95E15">
        <w:rPr>
          <w:rFonts w:ascii="Verdana" w:hAnsi="Verdana"/>
          <w:sz w:val="16"/>
          <w:szCs w:val="16"/>
        </w:rPr>
        <w:t xml:space="preserve"> Escrito de Juan José Preckel dirigido a la DGI del 20 de febrero de 1984 (expediente de prueba, ff. 155 y 156).</w:t>
      </w:r>
    </w:p>
  </w:footnote>
  <w:footnote w:id="52">
    <w:p w14:paraId="1179998C" w14:textId="77777777"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r>
      <w:r w:rsidRPr="00C95E15">
        <w:rPr>
          <w:rFonts w:ascii="Verdana" w:hAnsi="Verdana"/>
          <w:i/>
          <w:sz w:val="16"/>
          <w:szCs w:val="16"/>
        </w:rPr>
        <w:t>Cfr.</w:t>
      </w:r>
      <w:r w:rsidRPr="00C95E15">
        <w:rPr>
          <w:rFonts w:ascii="Verdana" w:hAnsi="Verdana"/>
          <w:sz w:val="16"/>
          <w:szCs w:val="16"/>
        </w:rPr>
        <w:t xml:space="preserve"> Oficio sin número del Jefe de Departamento de Recursos Humanos de la DGI del 7 de septiembre de 1984 (expediente de prueba, f. 158).</w:t>
      </w:r>
    </w:p>
  </w:footnote>
  <w:footnote w:id="53">
    <w:p w14:paraId="50BE3D9A" w14:textId="414093AC"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r>
      <w:r w:rsidRPr="00C95E15">
        <w:rPr>
          <w:rFonts w:ascii="Verdana" w:hAnsi="Verdana"/>
          <w:i/>
          <w:sz w:val="16"/>
          <w:szCs w:val="16"/>
        </w:rPr>
        <w:t>Cfr.</w:t>
      </w:r>
      <w:r w:rsidRPr="00C95E15">
        <w:rPr>
          <w:rFonts w:ascii="Verdana" w:hAnsi="Verdana"/>
          <w:sz w:val="16"/>
          <w:szCs w:val="16"/>
        </w:rPr>
        <w:t xml:space="preserve"> Oficio 244/84 del Director General de la DGI del 16 de octubre de 1984 (expediente de prueba, anexo 3.h del Informe de Fondo, f. 160).</w:t>
      </w:r>
    </w:p>
  </w:footnote>
  <w:footnote w:id="54">
    <w:p w14:paraId="50BE3D9B" w14:textId="1AE1B7BF"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r>
      <w:r w:rsidRPr="00C95E15">
        <w:rPr>
          <w:rFonts w:ascii="Verdana" w:hAnsi="Verdana"/>
          <w:i/>
          <w:sz w:val="16"/>
          <w:szCs w:val="16"/>
        </w:rPr>
        <w:t>Cfr.</w:t>
      </w:r>
      <w:r w:rsidRPr="00C95E15">
        <w:rPr>
          <w:rFonts w:ascii="Verdana" w:hAnsi="Verdana"/>
          <w:sz w:val="16"/>
          <w:szCs w:val="16"/>
        </w:rPr>
        <w:t xml:space="preserve"> Petición inicial (expediente de prueba, anexo 1.a del Informe de Fondo, f. 12 y 13)</w:t>
      </w:r>
    </w:p>
  </w:footnote>
  <w:footnote w:id="55">
    <w:p w14:paraId="50BE3D9C" w14:textId="63432DDF"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r>
      <w:r w:rsidRPr="00C95E15">
        <w:rPr>
          <w:rFonts w:ascii="Verdana" w:hAnsi="Verdana"/>
          <w:i/>
          <w:sz w:val="16"/>
          <w:szCs w:val="16"/>
        </w:rPr>
        <w:t>Cfr.</w:t>
      </w:r>
      <w:r w:rsidRPr="00C95E15">
        <w:rPr>
          <w:rFonts w:ascii="Verdana" w:hAnsi="Verdana"/>
          <w:sz w:val="16"/>
          <w:szCs w:val="16"/>
        </w:rPr>
        <w:t xml:space="preserve"> Escrito de Elba Clotilde Perrone dirigido a la DGI (</w:t>
      </w:r>
      <w:r w:rsidRPr="00C95E15">
        <w:rPr>
          <w:rFonts w:ascii="Verdana" w:hAnsi="Verdana"/>
          <w:i/>
          <w:sz w:val="16"/>
          <w:szCs w:val="16"/>
        </w:rPr>
        <w:t xml:space="preserve">supra, </w:t>
      </w:r>
      <w:r w:rsidRPr="00C95E15">
        <w:rPr>
          <w:rFonts w:ascii="Verdana" w:hAnsi="Verdana"/>
          <w:sz w:val="16"/>
          <w:szCs w:val="16"/>
        </w:rPr>
        <w:t>ff. 149 y 150).</w:t>
      </w:r>
    </w:p>
  </w:footnote>
  <w:footnote w:id="56">
    <w:p w14:paraId="50BE3D9D" w14:textId="74730135"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r>
      <w:r w:rsidRPr="00C95E15">
        <w:rPr>
          <w:rFonts w:ascii="Verdana" w:hAnsi="Verdana"/>
          <w:i/>
          <w:sz w:val="16"/>
          <w:szCs w:val="16"/>
        </w:rPr>
        <w:t>Cfr.</w:t>
      </w:r>
      <w:r w:rsidRPr="00C95E15">
        <w:rPr>
          <w:rFonts w:ascii="Verdana" w:hAnsi="Verdana"/>
          <w:sz w:val="16"/>
          <w:szCs w:val="16"/>
        </w:rPr>
        <w:t xml:space="preserve"> Resolución sin número emitida por la Dirección de Asuntos Técnicos y Jurídicos de la DGI, de mayo de 1984 (expediente de prueba, ff. 165 a 171).</w:t>
      </w:r>
    </w:p>
  </w:footnote>
  <w:footnote w:id="57">
    <w:p w14:paraId="50BE3D9E" w14:textId="233AE83C"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r>
      <w:r w:rsidRPr="00C95E15">
        <w:rPr>
          <w:rFonts w:ascii="Verdana" w:hAnsi="Verdana"/>
          <w:i/>
          <w:sz w:val="16"/>
          <w:szCs w:val="16"/>
        </w:rPr>
        <w:t>Cfr.</w:t>
      </w:r>
      <w:r w:rsidRPr="00C95E15">
        <w:rPr>
          <w:rFonts w:ascii="Verdana" w:hAnsi="Verdana"/>
          <w:sz w:val="16"/>
          <w:szCs w:val="16"/>
        </w:rPr>
        <w:t xml:space="preserve"> Resolución del Director de Asuntos Técnicos y Jurídicos del 28 de mayo de 1985 (expediente de prueba, ff. 1436 a 1438).</w:t>
      </w:r>
    </w:p>
  </w:footnote>
  <w:footnote w:id="58">
    <w:p w14:paraId="50BE3D9F" w14:textId="6BB7E237"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r>
      <w:r w:rsidRPr="00C95E15">
        <w:rPr>
          <w:rFonts w:ascii="Verdana" w:hAnsi="Verdana"/>
          <w:i/>
          <w:sz w:val="16"/>
          <w:szCs w:val="16"/>
        </w:rPr>
        <w:t>Cfr.</w:t>
      </w:r>
      <w:r w:rsidRPr="00C95E15">
        <w:rPr>
          <w:rFonts w:ascii="Verdana" w:hAnsi="Verdana"/>
          <w:sz w:val="16"/>
          <w:szCs w:val="16"/>
        </w:rPr>
        <w:t xml:space="preserve"> Oficio N°. 74/85 del Director General de Asuntos Jurídicos del Ministerio de Economía del 24 de julio de 1985 (expediente de fondo, anexo 3.k del Informe de Fondo, f.174).</w:t>
      </w:r>
    </w:p>
  </w:footnote>
  <w:footnote w:id="59">
    <w:p w14:paraId="50BE3DA1" w14:textId="0B53DF2C"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r>
      <w:r w:rsidRPr="00C95E15">
        <w:rPr>
          <w:rFonts w:ascii="Verdana" w:hAnsi="Verdana"/>
          <w:i/>
          <w:sz w:val="16"/>
          <w:szCs w:val="16"/>
        </w:rPr>
        <w:t>Cfr.</w:t>
      </w:r>
      <w:r w:rsidRPr="00C95E15">
        <w:rPr>
          <w:rFonts w:ascii="Verdana" w:hAnsi="Verdana"/>
          <w:sz w:val="16"/>
          <w:szCs w:val="16"/>
        </w:rPr>
        <w:t xml:space="preserve"> Resolución de la Procuración del Tesoro de la Nación del 19 de septiembre de 1986 (expediente de fondo, anexo 3.m del Informe de Fondo, ff. 183 y 184).</w:t>
      </w:r>
    </w:p>
  </w:footnote>
  <w:footnote w:id="60">
    <w:p w14:paraId="62B2ACA4" w14:textId="7E64062F"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r>
      <w:r w:rsidRPr="00C95E15">
        <w:rPr>
          <w:rFonts w:ascii="Verdana" w:hAnsi="Verdana"/>
          <w:i/>
          <w:sz w:val="16"/>
          <w:szCs w:val="16"/>
        </w:rPr>
        <w:t>Cfr.</w:t>
      </w:r>
      <w:r w:rsidRPr="00C95E15">
        <w:rPr>
          <w:rFonts w:ascii="Verdana" w:hAnsi="Verdana"/>
          <w:sz w:val="16"/>
          <w:szCs w:val="16"/>
        </w:rPr>
        <w:t xml:space="preserve"> Dictamen de la Dirección General de Asuntos Jurídicos del Ministerio de Economía del 24 de julio de 1985 (expediente de fondo, anexo 3.k del Informe de Fondo, f. 174).</w:t>
      </w:r>
    </w:p>
  </w:footnote>
  <w:footnote w:id="61">
    <w:p w14:paraId="50BE3DA2" w14:textId="79E40B5E"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r>
      <w:r w:rsidRPr="00C95E15">
        <w:rPr>
          <w:rFonts w:ascii="Verdana" w:hAnsi="Verdana"/>
          <w:i/>
          <w:sz w:val="16"/>
          <w:szCs w:val="16"/>
        </w:rPr>
        <w:t>Cfr.</w:t>
      </w:r>
      <w:r w:rsidRPr="00C95E15">
        <w:rPr>
          <w:rFonts w:ascii="Verdana" w:hAnsi="Verdana"/>
          <w:sz w:val="16"/>
          <w:szCs w:val="16"/>
        </w:rPr>
        <w:t xml:space="preserve"> Resolución No. 75/87 emitida por el Director General de la DGI del 19 de marzo de 1987 (expediente de fondo, anexo 3.n del Informe de Fondo, f. 187).</w:t>
      </w:r>
    </w:p>
  </w:footnote>
  <w:footnote w:id="62">
    <w:p w14:paraId="50BE3DA3" w14:textId="3CE2A0B8"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r>
      <w:r w:rsidRPr="00C95E15">
        <w:rPr>
          <w:rFonts w:ascii="Verdana" w:hAnsi="Verdana"/>
          <w:i/>
          <w:sz w:val="16"/>
          <w:szCs w:val="16"/>
        </w:rPr>
        <w:t>Cfr.</w:t>
      </w:r>
      <w:r w:rsidRPr="00C95E15">
        <w:rPr>
          <w:rFonts w:ascii="Verdana" w:hAnsi="Verdana"/>
          <w:sz w:val="16"/>
          <w:szCs w:val="16"/>
        </w:rPr>
        <w:t xml:space="preserve"> Resolución del Juez Federal del Poder Judicial de la Nación del 6 de febrero de 1992 (expediente de prueba, f. 1484).</w:t>
      </w:r>
    </w:p>
  </w:footnote>
  <w:footnote w:id="63">
    <w:p w14:paraId="50BE3DA4" w14:textId="74DA1F2B"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r>
      <w:r w:rsidRPr="00C95E15">
        <w:rPr>
          <w:rFonts w:ascii="Verdana" w:hAnsi="Verdana"/>
          <w:i/>
          <w:sz w:val="16"/>
          <w:szCs w:val="16"/>
        </w:rPr>
        <w:t>Cfr.</w:t>
      </w:r>
      <w:r w:rsidRPr="00C95E15">
        <w:rPr>
          <w:rFonts w:ascii="Verdana" w:hAnsi="Verdana"/>
          <w:sz w:val="16"/>
          <w:szCs w:val="16"/>
        </w:rPr>
        <w:t xml:space="preserve"> Resolución del Ministerio de Economía del 17 de diciembre de 1987 (expediente de prueba, anexo 3.o del Informe de Fondo, ff. 190 y 191). </w:t>
      </w:r>
    </w:p>
  </w:footnote>
  <w:footnote w:id="64">
    <w:p w14:paraId="50BE3DA5" w14:textId="77777777"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t>Artículo 14. Los agentes tienen derecho a la justificación de haberes de las inasistencias en que incurran por las siguientes causas y con las limitaciones que en cada caso se establecen:</w:t>
      </w:r>
    </w:p>
    <w:p w14:paraId="50BE3DA6" w14:textId="77777777" w:rsidR="003619E9" w:rsidRPr="00C95E15" w:rsidRDefault="003619E9" w:rsidP="0076370B">
      <w:pPr>
        <w:pStyle w:val="Textonotapie"/>
        <w:ind w:firstLine="708"/>
        <w:jc w:val="both"/>
        <w:rPr>
          <w:rFonts w:ascii="Verdana" w:hAnsi="Verdana"/>
          <w:sz w:val="16"/>
          <w:szCs w:val="16"/>
        </w:rPr>
      </w:pPr>
      <w:r w:rsidRPr="00C95E15">
        <w:rPr>
          <w:rFonts w:ascii="Verdana" w:hAnsi="Verdana"/>
          <w:sz w:val="16"/>
          <w:szCs w:val="16"/>
        </w:rPr>
        <w:t>c) Razones especiales: inasistencias motivadas por fenómenos meterológicos y casos de fuerza mayor debidamente comprobados […].</w:t>
      </w:r>
    </w:p>
  </w:footnote>
  <w:footnote w:id="65">
    <w:p w14:paraId="50BE3DA7" w14:textId="7702072F" w:rsidR="003619E9" w:rsidRPr="00C95E15" w:rsidRDefault="003619E9" w:rsidP="0076370B">
      <w:pPr>
        <w:pStyle w:val="Textonotapie"/>
        <w:jc w:val="both"/>
        <w:rPr>
          <w:rFonts w:ascii="Verdana" w:hAnsi="Verdana"/>
          <w:sz w:val="16"/>
          <w:szCs w:val="16"/>
          <w:lang w:val="es-CO"/>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t>El artículo 192 de la Convención Colectiva del Trabajo adopta literalmente lo dispuesto en el artículo 14 del Régimen de Licencias, Justificaciones y Franquicias de la Administración Pública Nacional (</w:t>
      </w:r>
      <w:r w:rsidRPr="00C95E15">
        <w:rPr>
          <w:rFonts w:ascii="Verdana" w:hAnsi="Verdana"/>
          <w:i/>
          <w:sz w:val="16"/>
          <w:szCs w:val="16"/>
        </w:rPr>
        <w:t>Cfr.</w:t>
      </w:r>
      <w:r w:rsidRPr="00C95E15">
        <w:rPr>
          <w:rFonts w:ascii="Verdana" w:hAnsi="Verdana"/>
          <w:sz w:val="16"/>
          <w:szCs w:val="16"/>
        </w:rPr>
        <w:t xml:space="preserve"> Recurso de apelación sin fecha interpuesto por Juan José Preckel ante la Cámara de Apelaciones (expediente de fondo, anexo 4.c del Informe de Fondo, ff. 228 a 229))</w:t>
      </w:r>
    </w:p>
  </w:footnote>
  <w:footnote w:id="66">
    <w:p w14:paraId="50BE3DA8" w14:textId="61C93D32"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r>
      <w:r w:rsidRPr="00C95E15">
        <w:rPr>
          <w:rFonts w:ascii="Verdana" w:hAnsi="Verdana"/>
          <w:i/>
          <w:sz w:val="16"/>
          <w:szCs w:val="16"/>
        </w:rPr>
        <w:t>Cfr.</w:t>
      </w:r>
      <w:r w:rsidRPr="00C95E15">
        <w:rPr>
          <w:rFonts w:ascii="Verdana" w:hAnsi="Verdana"/>
          <w:sz w:val="16"/>
          <w:szCs w:val="16"/>
        </w:rPr>
        <w:t xml:space="preserve"> Demanda de Elba Clotilde Perrone ante juez federal del 24 de junio de 1988 (</w:t>
      </w:r>
      <w:r w:rsidRPr="00C95E15">
        <w:rPr>
          <w:rFonts w:ascii="Verdana" w:hAnsi="Verdana"/>
          <w:i/>
          <w:sz w:val="16"/>
          <w:szCs w:val="16"/>
        </w:rPr>
        <w:t>supra</w:t>
      </w:r>
      <w:r w:rsidRPr="00C95E15">
        <w:rPr>
          <w:rFonts w:ascii="Verdana" w:hAnsi="Verdana"/>
          <w:sz w:val="16"/>
          <w:szCs w:val="16"/>
        </w:rPr>
        <w:t>, f. 212).</w:t>
      </w:r>
    </w:p>
  </w:footnote>
  <w:footnote w:id="67">
    <w:p w14:paraId="50BE3DA9" w14:textId="52CA1230"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r>
      <w:r w:rsidRPr="00C95E15">
        <w:rPr>
          <w:rFonts w:ascii="Verdana" w:hAnsi="Verdana"/>
          <w:i/>
          <w:sz w:val="16"/>
          <w:szCs w:val="16"/>
        </w:rPr>
        <w:t>Cfr.</w:t>
      </w:r>
      <w:r w:rsidRPr="00C95E15">
        <w:rPr>
          <w:rFonts w:ascii="Verdana" w:hAnsi="Verdana"/>
          <w:sz w:val="16"/>
          <w:szCs w:val="16"/>
        </w:rPr>
        <w:t xml:space="preserve"> Demanda de Juan José Preckel ante juez federal del 24 de junio de 1988 (expediente de prueba, f. 1443).</w:t>
      </w:r>
    </w:p>
  </w:footnote>
  <w:footnote w:id="68">
    <w:p w14:paraId="50BE3DAA" w14:textId="0C8B7B78"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r>
      <w:r w:rsidRPr="00C95E15">
        <w:rPr>
          <w:rFonts w:ascii="Verdana" w:hAnsi="Verdana"/>
          <w:i/>
          <w:sz w:val="16"/>
          <w:szCs w:val="16"/>
        </w:rPr>
        <w:t>Cfr.</w:t>
      </w:r>
      <w:r w:rsidRPr="00C95E15">
        <w:rPr>
          <w:rFonts w:ascii="Verdana" w:hAnsi="Verdana"/>
          <w:sz w:val="16"/>
          <w:szCs w:val="16"/>
        </w:rPr>
        <w:t xml:space="preserve"> Resolución del Juez Federal del 6 de febrero de 1992 a la demanda de Juan José Preckel (expediente de prueba, ff.1484 a 1488).</w:t>
      </w:r>
    </w:p>
  </w:footnote>
  <w:footnote w:id="69">
    <w:p w14:paraId="50BE3DAB" w14:textId="1E5049E2"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r>
      <w:r w:rsidRPr="00C95E15">
        <w:rPr>
          <w:rFonts w:ascii="Verdana" w:hAnsi="Verdana"/>
          <w:i/>
          <w:sz w:val="16"/>
          <w:szCs w:val="16"/>
        </w:rPr>
        <w:t>Cfr.</w:t>
      </w:r>
      <w:r w:rsidRPr="00C95E15">
        <w:rPr>
          <w:rFonts w:ascii="Verdana" w:hAnsi="Verdana"/>
          <w:sz w:val="16"/>
          <w:szCs w:val="16"/>
        </w:rPr>
        <w:t xml:space="preserve"> Resolución del Juez Federal del 12 de febrero de 1992 a la demanda de Elba Clotilde Perrone (expediente de prueba, anexo 4.b del Informe de Fondo, ff. 217 a 222).</w:t>
      </w:r>
    </w:p>
  </w:footnote>
  <w:footnote w:id="70">
    <w:p w14:paraId="50BE3DAC" w14:textId="6F4574A4"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r>
      <w:r w:rsidRPr="00C95E15">
        <w:rPr>
          <w:rFonts w:ascii="Verdana" w:hAnsi="Verdana"/>
          <w:i/>
          <w:sz w:val="16"/>
          <w:szCs w:val="16"/>
        </w:rPr>
        <w:t>Cfr.</w:t>
      </w:r>
      <w:r w:rsidRPr="00C95E15">
        <w:rPr>
          <w:rFonts w:ascii="Verdana" w:hAnsi="Verdana"/>
          <w:sz w:val="16"/>
          <w:szCs w:val="16"/>
        </w:rPr>
        <w:t xml:space="preserve"> Resoluciones del 6 y 12 de febrero de 1992 emitidas por Juez Federal del Poder Judicial de la Nación (expediente de fondo, anexo 4.b del Informe de Fondo, f. 219 a 222).</w:t>
      </w:r>
    </w:p>
  </w:footnote>
  <w:footnote w:id="71">
    <w:p w14:paraId="1EF92786" w14:textId="77777777"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r>
      <w:r w:rsidRPr="00C95E15">
        <w:rPr>
          <w:rFonts w:ascii="Verdana" w:hAnsi="Verdana"/>
          <w:i/>
          <w:sz w:val="16"/>
          <w:szCs w:val="16"/>
        </w:rPr>
        <w:t>Cfr.</w:t>
      </w:r>
      <w:r w:rsidRPr="00C95E15">
        <w:rPr>
          <w:rFonts w:ascii="Verdana" w:hAnsi="Verdana"/>
          <w:sz w:val="16"/>
          <w:szCs w:val="16"/>
        </w:rPr>
        <w:t xml:space="preserve"> Recurso de apelación sin fecha interpuesto por Juan José Preckel ante la Cámara de Apelaciones (expediente de fondo, anexo 4.c del Informe de Fondo, ff. 228 a 229).</w:t>
      </w:r>
    </w:p>
  </w:footnote>
  <w:footnote w:id="72">
    <w:p w14:paraId="44F2443F" w14:textId="77777777"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r>
      <w:r w:rsidRPr="00C95E15">
        <w:rPr>
          <w:rFonts w:ascii="Verdana" w:hAnsi="Verdana"/>
          <w:i/>
          <w:sz w:val="16"/>
          <w:szCs w:val="16"/>
        </w:rPr>
        <w:t>Cfr.</w:t>
      </w:r>
      <w:r w:rsidRPr="00C95E15">
        <w:rPr>
          <w:rFonts w:ascii="Verdana" w:hAnsi="Verdana"/>
          <w:sz w:val="16"/>
          <w:szCs w:val="16"/>
        </w:rPr>
        <w:t xml:space="preserve"> Resolución de la Sala III de la Cámara Nacional de Apelaciones en lo Contencioso Administrativo Federal del 24 de noviembre de 1992 (expediente de fondo, anexo 4.d del Informe de Fondo, ff. 243 a 246).</w:t>
      </w:r>
    </w:p>
  </w:footnote>
  <w:footnote w:id="73">
    <w:p w14:paraId="50BE3DB0" w14:textId="178F79B0"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r>
      <w:r w:rsidRPr="00C95E15">
        <w:rPr>
          <w:rFonts w:ascii="Verdana" w:hAnsi="Verdana"/>
          <w:i/>
          <w:sz w:val="16"/>
          <w:szCs w:val="16"/>
        </w:rPr>
        <w:t>Cfr.</w:t>
      </w:r>
      <w:r w:rsidRPr="00C95E15">
        <w:rPr>
          <w:rFonts w:ascii="Verdana" w:hAnsi="Verdana"/>
          <w:sz w:val="16"/>
          <w:szCs w:val="16"/>
        </w:rPr>
        <w:t xml:space="preserve"> Recurso extraordinario de apelación de Juan José Preckel ante la Corte Suprema del 24 de diciembre de 1992 (expediente de prueba, ff. 248 a 265).</w:t>
      </w:r>
    </w:p>
  </w:footnote>
  <w:footnote w:id="74">
    <w:p w14:paraId="50BE3DB1" w14:textId="7C574B6C"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r>
      <w:r w:rsidRPr="00C95E15">
        <w:rPr>
          <w:rFonts w:ascii="Verdana" w:hAnsi="Verdana"/>
          <w:i/>
          <w:sz w:val="16"/>
          <w:szCs w:val="16"/>
        </w:rPr>
        <w:t>Cfr.</w:t>
      </w:r>
      <w:r w:rsidRPr="00C95E15">
        <w:rPr>
          <w:rFonts w:ascii="Verdana" w:hAnsi="Verdana"/>
          <w:sz w:val="16"/>
          <w:szCs w:val="16"/>
        </w:rPr>
        <w:t xml:space="preserve"> Sentencia de la Sala Contencioso Administrativo sobre recurso interpuesto por Juan José Preckel del 4 de marzo de 1993 (expediente de prueba, anexo 4.f del Informe de Fondo, f. 268).</w:t>
      </w:r>
    </w:p>
  </w:footnote>
  <w:footnote w:id="75">
    <w:p w14:paraId="50BE3DB2" w14:textId="4EAF320F"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r>
      <w:r w:rsidRPr="00C95E15">
        <w:rPr>
          <w:rFonts w:ascii="Verdana" w:hAnsi="Verdana"/>
          <w:i/>
          <w:sz w:val="16"/>
          <w:szCs w:val="16"/>
        </w:rPr>
        <w:t>Cfr.</w:t>
      </w:r>
      <w:r w:rsidRPr="00C95E15">
        <w:rPr>
          <w:rFonts w:ascii="Verdana" w:hAnsi="Verdana"/>
          <w:sz w:val="16"/>
          <w:szCs w:val="16"/>
        </w:rPr>
        <w:t xml:space="preserve"> Recurso de queja por denegación de recurso extraordinario de apelación interpuesto por Juan José Preckel, sin fecha (expediente de prueba, anexo 4.g del Informe de Fondo, ff. 270 a 291).</w:t>
      </w:r>
    </w:p>
  </w:footnote>
  <w:footnote w:id="76">
    <w:p w14:paraId="0C112DAD" w14:textId="656DF1AB" w:rsidR="003619E9" w:rsidRPr="00C95E15" w:rsidRDefault="003619E9" w:rsidP="0076370B">
      <w:pPr>
        <w:pStyle w:val="Textonotapie"/>
        <w:jc w:val="both"/>
        <w:rPr>
          <w:rFonts w:ascii="Verdana" w:hAnsi="Verdana"/>
          <w:sz w:val="16"/>
          <w:szCs w:val="16"/>
          <w:lang w:val="es-CR"/>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r>
      <w:r w:rsidRPr="00C95E15">
        <w:rPr>
          <w:rFonts w:ascii="Verdana" w:hAnsi="Verdana"/>
          <w:i/>
          <w:sz w:val="16"/>
          <w:szCs w:val="16"/>
        </w:rPr>
        <w:t>Cfr.</w:t>
      </w:r>
      <w:r w:rsidRPr="00C95E15">
        <w:rPr>
          <w:rFonts w:ascii="Verdana" w:hAnsi="Verdana"/>
          <w:sz w:val="16"/>
          <w:szCs w:val="16"/>
        </w:rPr>
        <w:t xml:space="preserve"> CPCCN, </w:t>
      </w:r>
      <w:r w:rsidRPr="00C95E15">
        <w:rPr>
          <w:rFonts w:ascii="Verdana" w:hAnsi="Verdana"/>
          <w:bCs/>
          <w:sz w:val="16"/>
          <w:szCs w:val="16"/>
          <w:lang w:val="es-CR"/>
        </w:rPr>
        <w:t>Articulo 280.-</w:t>
      </w:r>
      <w:r w:rsidRPr="00C95E15">
        <w:rPr>
          <w:rFonts w:ascii="Verdana" w:hAnsi="Verdana"/>
          <w:sz w:val="16"/>
          <w:szCs w:val="16"/>
          <w:lang w:val="es-CR"/>
        </w:rPr>
        <w:t> llamamiento de autos. Rechazo del recurso extraordinario. Memoriales en el recurso ordinario. Cuando la Corte Suprema conociere por recurso extraordinario, la recepción de la causa implicará el llamamiento de autos. La Corte, según su sana discreción, y con la sola invocación de esta norma, podrá rechazar el recurso extraordinario, por falta de agravio federal suficiente o cuando las cuestiones planteadas resultaren insustanciales o carentes de trascendencia. Si se tratare del recurso ordinario del artículo 254, recibido el expediente será puesto en secretaría, notificándose la providencia que así lo ordene personalmente o por cédula. El apelante deberá presentar memorial dentro del término de DIEZ (10) días, del que se dará traslado a la otra parte por el mismo plazo. La falta de presentación del memorial o su insuficiencia traerá aparejada la deserción del recurso. Contestado el traslado o transcurrido el plazo para hacerlo se llamará autos. En ningún caso se admitirá la apertura a prueba ni la alegación de hechos nuevos.</w:t>
      </w:r>
    </w:p>
  </w:footnote>
  <w:footnote w:id="77">
    <w:p w14:paraId="50BE3DB3" w14:textId="1B925664"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r>
      <w:r w:rsidRPr="00C95E15">
        <w:rPr>
          <w:rFonts w:ascii="Verdana" w:hAnsi="Verdana"/>
          <w:i/>
          <w:sz w:val="16"/>
          <w:szCs w:val="16"/>
        </w:rPr>
        <w:t>Cfr.</w:t>
      </w:r>
      <w:r w:rsidRPr="00C95E15">
        <w:rPr>
          <w:rFonts w:ascii="Verdana" w:hAnsi="Verdana"/>
          <w:sz w:val="16"/>
          <w:szCs w:val="16"/>
        </w:rPr>
        <w:t xml:space="preserve"> Resolución de la Corte Suprema del 21 de mayo de 1996 (expediente de prueba, anexo 4.h del Informe de Fondo, f. 293).</w:t>
      </w:r>
    </w:p>
  </w:footnote>
  <w:footnote w:id="78">
    <w:p w14:paraId="50BE3DB4" w14:textId="77777777"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t>Voto disidente de Eduardo Moline O´Connor, Vicepresidente de la Corte Suprema de Justicia de la Nación (expediente de fondo, anexo 4.h del Informe de Fondo, f. 294 a 302).</w:t>
      </w:r>
    </w:p>
  </w:footnote>
  <w:footnote w:id="79">
    <w:p w14:paraId="0A0D1931" w14:textId="07B127A6"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t>Al mismo tiempo, en los considerandos 14 y 15, expresó que “[…] el rechazo de la demanda mediante un pronunciamiento carente de fundamentación adecuada que, a la vez, ha omitido el tratamiento de argumentaciones dotadas de aptitud suficiente para modificar el resultado del pleito y ha hecho mérito de una defensa que no fue objeto de oportuna alegación, importó un cercenamiento del derecho de defensa en juicio que autoriza su descalificación como acto jurisdiccional” […] “[…] en función de lo expuesto, cabe concluir que lo resuelto guarda nexo directo e inmediato con las garantías constitucionales que se invocan como vulneradas (art. 15 de la ley 48)”. Por ende, concluyó que se debía hacer lugar a la queja presentada por Juan José Preckel y declarar procedente el recurso extraordinario interpuesto.</w:t>
      </w:r>
    </w:p>
  </w:footnote>
  <w:footnote w:id="80">
    <w:p w14:paraId="50BE3DB5" w14:textId="694FECBD"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r>
      <w:r w:rsidRPr="00C95E15">
        <w:rPr>
          <w:rFonts w:ascii="Verdana" w:hAnsi="Verdana"/>
          <w:i/>
          <w:sz w:val="16"/>
          <w:szCs w:val="16"/>
        </w:rPr>
        <w:t>Cfr.</w:t>
      </w:r>
      <w:r w:rsidRPr="00C95E15">
        <w:rPr>
          <w:rFonts w:ascii="Verdana" w:hAnsi="Verdana"/>
          <w:sz w:val="16"/>
          <w:szCs w:val="16"/>
        </w:rPr>
        <w:t xml:space="preserve"> Recurso de apelación sin fecha interpuesto por Elba Clotilde Perrone ante la Cámara de Apelaciones (expediente de fondo, anexo 4.i del Informe de Fondo, ff. 305 a 319).</w:t>
      </w:r>
    </w:p>
  </w:footnote>
  <w:footnote w:id="81">
    <w:p w14:paraId="50BE3DB7" w14:textId="5E78FB8E"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r>
      <w:r w:rsidRPr="00C95E15">
        <w:rPr>
          <w:rFonts w:ascii="Verdana" w:hAnsi="Verdana"/>
          <w:i/>
          <w:sz w:val="16"/>
          <w:szCs w:val="16"/>
        </w:rPr>
        <w:t>Cfr.</w:t>
      </w:r>
      <w:r w:rsidRPr="00C95E15">
        <w:rPr>
          <w:rFonts w:ascii="Verdana" w:hAnsi="Verdana"/>
          <w:sz w:val="16"/>
          <w:szCs w:val="16"/>
        </w:rPr>
        <w:t xml:space="preserve"> Resolución de la Cámara de Apelaciones del 21 de septiembre de 1993 (expediente de fondo, anexo 4.j del Informe de Fondo, f. 326).</w:t>
      </w:r>
    </w:p>
  </w:footnote>
  <w:footnote w:id="82">
    <w:p w14:paraId="50BE3DB8" w14:textId="4A4ADC0E"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r>
      <w:r w:rsidRPr="00C95E15">
        <w:rPr>
          <w:rFonts w:ascii="Verdana" w:hAnsi="Verdana"/>
          <w:i/>
          <w:sz w:val="16"/>
          <w:szCs w:val="16"/>
        </w:rPr>
        <w:t>Cfr.</w:t>
      </w:r>
      <w:r w:rsidRPr="00C95E15">
        <w:rPr>
          <w:rFonts w:ascii="Verdana" w:hAnsi="Verdana"/>
          <w:sz w:val="16"/>
          <w:szCs w:val="16"/>
        </w:rPr>
        <w:t xml:space="preserve"> Resolución de la Cámara Nacional de Apelaciones del 21 de septiembre de 1993 sobre la Causa n° 28.414 (expediente de prueba, anexo 4.j del Informe de Fondo, ff. 321 a 331).</w:t>
      </w:r>
    </w:p>
  </w:footnote>
  <w:footnote w:id="83">
    <w:p w14:paraId="50BE3DB9" w14:textId="64865E3A"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r>
      <w:r w:rsidRPr="00C95E15">
        <w:rPr>
          <w:rFonts w:ascii="Verdana" w:hAnsi="Verdana"/>
          <w:i/>
          <w:sz w:val="16"/>
          <w:szCs w:val="16"/>
        </w:rPr>
        <w:t>Cfr.</w:t>
      </w:r>
      <w:r w:rsidRPr="00C95E15">
        <w:rPr>
          <w:rFonts w:ascii="Verdana" w:hAnsi="Verdana"/>
          <w:sz w:val="16"/>
          <w:szCs w:val="16"/>
        </w:rPr>
        <w:t xml:space="preserve"> Recurso extraordinario del 15 de octubre de 1993 promovido por la DGI ante la Corte Suprema (expediente de fondo, anexo 4.k del Informe de Fondo, f. 338).</w:t>
      </w:r>
    </w:p>
  </w:footnote>
  <w:footnote w:id="84">
    <w:p w14:paraId="1C2891B8" w14:textId="7C3A6021" w:rsidR="003619E9" w:rsidRPr="00C95E15" w:rsidRDefault="003619E9" w:rsidP="00F46AC0">
      <w:pPr>
        <w:pStyle w:val="Textonotapie"/>
        <w:jc w:val="both"/>
        <w:rPr>
          <w:rFonts w:ascii="Verdana" w:hAnsi="Verdana"/>
          <w:sz w:val="16"/>
          <w:szCs w:val="16"/>
        </w:rPr>
      </w:pPr>
      <w:r w:rsidRPr="00C95E15">
        <w:rPr>
          <w:rStyle w:val="Refdenotaalpie"/>
        </w:rPr>
        <w:footnoteRef/>
      </w:r>
      <w:r w:rsidRPr="00C95E15">
        <w:t xml:space="preserve"> </w:t>
      </w:r>
      <w:r w:rsidRPr="00C95E15">
        <w:tab/>
      </w:r>
      <w:r w:rsidRPr="00C95E15">
        <w:rPr>
          <w:rFonts w:ascii="Verdana" w:hAnsi="Verdana"/>
          <w:i/>
          <w:sz w:val="16"/>
          <w:szCs w:val="16"/>
        </w:rPr>
        <w:t>Cfr.</w:t>
      </w:r>
      <w:r w:rsidRPr="00C95E15">
        <w:rPr>
          <w:rFonts w:ascii="Verdana" w:hAnsi="Verdana"/>
          <w:sz w:val="16"/>
          <w:szCs w:val="16"/>
        </w:rPr>
        <w:t xml:space="preserve"> Resolución de la Corte Suprema del 21 de mayo de 1996 (expediente de prueba, anexo 4.h del Informe de Fondo, f. 293).</w:t>
      </w:r>
    </w:p>
  </w:footnote>
  <w:footnote w:id="85">
    <w:p w14:paraId="50BE3DBB" w14:textId="678FCA60"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r>
      <w:r w:rsidRPr="00C95E15">
        <w:rPr>
          <w:rFonts w:ascii="Verdana" w:hAnsi="Verdana"/>
          <w:i/>
          <w:sz w:val="16"/>
          <w:szCs w:val="16"/>
        </w:rPr>
        <w:t>Cfr.</w:t>
      </w:r>
      <w:r w:rsidRPr="00C95E15">
        <w:rPr>
          <w:rFonts w:ascii="Verdana" w:hAnsi="Verdana"/>
          <w:sz w:val="16"/>
          <w:szCs w:val="16"/>
        </w:rPr>
        <w:t xml:space="preserve"> Fallo Causa Nº 8/10 "IRIART, Fabio Carlos – GREPPI, Néstor Omar – CONSTANTINO, Roberto Esteban – FIORUCCI, Roberto Oscar – AGUILERA, Omar – CENIZO, Néstor Bonifacio – REINHART, Carlos Alberto – YORIO, Oscar – RETA, Athos – MARENCHINO, Hugo Roberto s/Inf.art.144 bis, inc.1º y último párr., Ley 14616, en fción. Art. 142, inc. 1º -Ley 20642- del CP en...", del 16 de noviembre de 2010, Tribunal Oral Federal de La Pampa, “SEGUNDA CUESTION, I) Breve examen del contexto en que se produjeron los episodios traídos a juzgamiento. Naturaleza de los hechos”, entre muchas otras referencias posibles.</w:t>
      </w:r>
    </w:p>
  </w:footnote>
  <w:footnote w:id="86">
    <w:p w14:paraId="50BE3DBC" w14:textId="77777777"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t xml:space="preserve">La Ley 24.043 convalidó el Decreto 70/91 del 10 de enero de 1991, producto de la solución amistosa ante la CIDH en el </w:t>
      </w:r>
      <w:r w:rsidRPr="00C95E15">
        <w:rPr>
          <w:rFonts w:ascii="Verdana" w:hAnsi="Verdana"/>
          <w:i/>
          <w:sz w:val="16"/>
          <w:szCs w:val="16"/>
        </w:rPr>
        <w:t>Caso Birt y otros Vs. Argentina</w:t>
      </w:r>
      <w:r w:rsidRPr="00C95E15">
        <w:rPr>
          <w:rFonts w:ascii="Verdana" w:hAnsi="Verdana"/>
          <w:sz w:val="16"/>
          <w:szCs w:val="16"/>
        </w:rPr>
        <w:t>, a través del cual se indemnizó a los peticionarios que fueron víctimas detenidas por orden del Poder Ejecutivo durante el gobierno militar.</w:t>
      </w:r>
    </w:p>
  </w:footnote>
  <w:footnote w:id="87">
    <w:p w14:paraId="50BE3DBE" w14:textId="77777777"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t xml:space="preserve">Artículo 1° de la Ley 24.043. </w:t>
      </w:r>
    </w:p>
  </w:footnote>
  <w:footnote w:id="88">
    <w:p w14:paraId="01DDD8E3" w14:textId="77777777" w:rsidR="003619E9" w:rsidRPr="00C95E15" w:rsidRDefault="003619E9" w:rsidP="00574AD8">
      <w:pPr>
        <w:pStyle w:val="Textonotapie"/>
        <w:jc w:val="both"/>
        <w:rPr>
          <w:rFonts w:ascii="Verdana" w:hAnsi="Verdana"/>
          <w:sz w:val="16"/>
          <w:szCs w:val="16"/>
          <w:lang w:val="es-CR"/>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t xml:space="preserve">Ley de indemnización a expresos políticos. </w:t>
      </w:r>
      <w:r w:rsidRPr="00C95E15">
        <w:rPr>
          <w:rFonts w:ascii="Verdana" w:hAnsi="Verdana"/>
          <w:sz w:val="16"/>
          <w:szCs w:val="16"/>
          <w:lang w:val="es-CR"/>
        </w:rPr>
        <w:t xml:space="preserve">Disponible en : </w:t>
      </w:r>
      <w:hyperlink r:id="rId4" w:history="1">
        <w:r w:rsidRPr="00C95E15">
          <w:rPr>
            <w:rStyle w:val="Hipervnculo"/>
            <w:rFonts w:ascii="Verdana" w:hAnsi="Verdana"/>
            <w:sz w:val="16"/>
            <w:szCs w:val="16"/>
            <w:u w:val="none"/>
          </w:rPr>
          <w:t>http://desaparecidos.org/nuncamas/web/document/nacional/ley24043.htm</w:t>
        </w:r>
      </w:hyperlink>
    </w:p>
  </w:footnote>
  <w:footnote w:id="89">
    <w:p w14:paraId="50BE3DBF" w14:textId="77777777"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r>
      <w:r w:rsidRPr="00C95E15">
        <w:rPr>
          <w:rFonts w:ascii="Verdana" w:hAnsi="Verdana"/>
          <w:sz w:val="16"/>
          <w:szCs w:val="16"/>
        </w:rPr>
        <w:t>El 15 de julio de 1994, el tipo de cambio del peso argentino era 0,9990000 dólares estadounidenses, según la página oficial del Banco Central de la República de Argentina http://www.bcra.gov.ar/PublicacionesEstadisticas/Cotizaciones_por_fecha_2.asp</w:t>
      </w:r>
    </w:p>
  </w:footnote>
  <w:footnote w:id="90">
    <w:p w14:paraId="50BE3DC1" w14:textId="36C8BC92"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r>
      <w:r w:rsidRPr="00C95E15">
        <w:rPr>
          <w:rFonts w:ascii="Verdana" w:hAnsi="Verdana"/>
          <w:sz w:val="16"/>
          <w:szCs w:val="16"/>
        </w:rPr>
        <w:t>La Ley 24.043 no especificaba los rubros que componían el monto de la indemnización, únicamente se establecía la fórmula para calcularlo a través del artículo 4°: “el beneficio […] será igual a la treintava parte de la remuneración mensual asignada a la categoría superior del escalafón para el personal civil de la administración pública nacional […] por cada día que duró la medida […] respecto a cada beneficiario. A este efecto se considerará remuneración mensual a la totalidad de los rubros que integran el salario del agente sujetos a aportes jubilatorios, con exclusión de los adicionales particulares (antigüedad, título, etc.), y se tomará la correspondiente al mes en que se otorgue el beneficio.</w:t>
      </w:r>
    </w:p>
    <w:p w14:paraId="50BE3DC2" w14:textId="77777777" w:rsidR="003619E9" w:rsidRPr="00C95E15" w:rsidRDefault="003619E9" w:rsidP="0076370B">
      <w:pPr>
        <w:pStyle w:val="Textonotapie"/>
        <w:jc w:val="both"/>
        <w:rPr>
          <w:rFonts w:ascii="Verdana" w:hAnsi="Verdana"/>
          <w:sz w:val="16"/>
          <w:szCs w:val="16"/>
        </w:rPr>
      </w:pPr>
      <w:r w:rsidRPr="00C95E15">
        <w:rPr>
          <w:rFonts w:ascii="Verdana" w:hAnsi="Verdana"/>
          <w:sz w:val="16"/>
          <w:szCs w:val="16"/>
        </w:rPr>
        <w:t>Para el cómputo del lapso […] se tomará en cuenta el acto del Poder Ejecutivo que decretó la medida o el arresto efectivo no dispuesto por orden de autoridad judicial competente, y el acto que la dejó sin efecto con carácter particular o como consecuencia del cese del estado de sitio. Los arrestos domiciliarios o libertad vigilada no serán considerados como cese de la medida […]”.</w:t>
      </w:r>
    </w:p>
  </w:footnote>
  <w:footnote w:id="91">
    <w:p w14:paraId="50BE3DC3" w14:textId="77777777" w:rsidR="003619E9" w:rsidRPr="00C95E15" w:rsidRDefault="003619E9" w:rsidP="0076370B">
      <w:pPr>
        <w:pStyle w:val="Textonotapie"/>
        <w:jc w:val="both"/>
        <w:rPr>
          <w:rFonts w:ascii="Verdana" w:hAnsi="Verdana"/>
          <w:sz w:val="16"/>
          <w:szCs w:val="16"/>
        </w:rPr>
      </w:pPr>
      <w:r w:rsidRPr="00C95E15">
        <w:rPr>
          <w:rStyle w:val="Refdenotaalpie"/>
        </w:rPr>
        <w:footnoteRef/>
      </w:r>
      <w:r w:rsidRPr="00C95E15">
        <w:rPr>
          <w:rStyle w:val="Refdenotaalpie"/>
        </w:rPr>
        <w:t xml:space="preserve"> </w:t>
      </w:r>
      <w:r w:rsidRPr="00C95E15">
        <w:rPr>
          <w:rFonts w:ascii="Verdana" w:hAnsi="Verdana"/>
          <w:sz w:val="16"/>
          <w:szCs w:val="16"/>
        </w:rPr>
        <w:tab/>
      </w:r>
      <w:r w:rsidRPr="00C95E15">
        <w:rPr>
          <w:rFonts w:ascii="Verdana" w:hAnsi="Verdana"/>
          <w:sz w:val="16"/>
          <w:szCs w:val="16"/>
        </w:rPr>
        <w:t>El 25 de julio de 1995, el tipo de cambio del peso argentino era igual a 1,0000000 dólar estadounidense, según la página oficial del Banco Central de la República de Argentina http://www.bcra.gov.ar/PublicacionesEstadisticas/Cotizaciones_por_fecha_2.asp</w:t>
      </w:r>
    </w:p>
  </w:footnote>
  <w:footnote w:id="92">
    <w:p w14:paraId="50BE3DC4" w14:textId="2F276B32"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r>
      <w:r w:rsidRPr="00C95E15">
        <w:rPr>
          <w:rFonts w:ascii="Verdana" w:hAnsi="Verdana"/>
          <w:i/>
          <w:sz w:val="16"/>
          <w:szCs w:val="16"/>
        </w:rPr>
        <w:t>Cfr.</w:t>
      </w:r>
      <w:r w:rsidRPr="00C95E15">
        <w:rPr>
          <w:rFonts w:ascii="Verdana" w:hAnsi="Verdana"/>
          <w:sz w:val="16"/>
          <w:szCs w:val="16"/>
        </w:rPr>
        <w:t xml:space="preserve"> Comunicación del Estado del 31 de octubre de 1997 (expediente de prueba, f. 118).</w:t>
      </w:r>
    </w:p>
  </w:footnote>
  <w:footnote w:id="93">
    <w:p w14:paraId="50BE3DC5" w14:textId="672BC44E" w:rsidR="003619E9" w:rsidRPr="00C95E15" w:rsidRDefault="003619E9" w:rsidP="0076370B">
      <w:pPr>
        <w:pStyle w:val="Textonotapie"/>
        <w:jc w:val="both"/>
        <w:rPr>
          <w:rFonts w:ascii="Verdana" w:hAnsi="Verdana"/>
          <w:sz w:val="16"/>
          <w:szCs w:val="16"/>
          <w:lang w:val="es-CO"/>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r>
      <w:r w:rsidRPr="00C95E15">
        <w:rPr>
          <w:rFonts w:ascii="Verdana" w:hAnsi="Verdana"/>
          <w:i/>
          <w:sz w:val="16"/>
          <w:szCs w:val="16"/>
        </w:rPr>
        <w:t>Cfr.</w:t>
      </w:r>
      <w:r w:rsidRPr="00C95E15">
        <w:rPr>
          <w:rFonts w:ascii="Verdana" w:hAnsi="Verdana"/>
          <w:sz w:val="16"/>
          <w:szCs w:val="16"/>
        </w:rPr>
        <w:t xml:space="preserve"> Nota Secretaría Derechos Humanos No 32/05 del 24 de enero de 2005 (expediente de prueba, f. 1789 al 1793).</w:t>
      </w:r>
    </w:p>
  </w:footnote>
  <w:footnote w:id="94">
    <w:p w14:paraId="5F4BCA69" w14:textId="29CEB95E" w:rsidR="003619E9" w:rsidRPr="00C95E15" w:rsidRDefault="003619E9" w:rsidP="0076370B">
      <w:pPr>
        <w:pStyle w:val="Textonotapie"/>
        <w:jc w:val="both"/>
        <w:rPr>
          <w:rFonts w:ascii="Verdana" w:hAnsi="Verdana"/>
          <w:sz w:val="16"/>
          <w:szCs w:val="16"/>
          <w:lang w:val="es-CR"/>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r>
      <w:r w:rsidRPr="00C95E15">
        <w:rPr>
          <w:rFonts w:ascii="Verdana" w:hAnsi="Verdana"/>
          <w:i/>
          <w:sz w:val="16"/>
          <w:szCs w:val="16"/>
        </w:rPr>
        <w:t>Cfr.</w:t>
      </w:r>
      <w:r w:rsidRPr="00C95E15">
        <w:rPr>
          <w:rFonts w:ascii="Verdana" w:hAnsi="Verdana"/>
          <w:sz w:val="16"/>
          <w:szCs w:val="16"/>
        </w:rPr>
        <w:t xml:space="preserve"> </w:t>
      </w:r>
      <w:r w:rsidRPr="00C95E15">
        <w:rPr>
          <w:rFonts w:ascii="Verdana" w:hAnsi="Verdana"/>
          <w:i/>
          <w:sz w:val="16"/>
          <w:szCs w:val="16"/>
          <w:lang w:val="es-CR"/>
        </w:rPr>
        <w:t>Caso García Lucero Vs. Chile</w:t>
      </w:r>
      <w:r w:rsidRPr="00C95E15">
        <w:rPr>
          <w:rFonts w:ascii="Verdana" w:hAnsi="Verdana"/>
          <w:sz w:val="16"/>
          <w:szCs w:val="16"/>
          <w:lang w:val="es-CR"/>
        </w:rPr>
        <w:t xml:space="preserve">. Excepción Preliminar, Fondo y Reparaciones. Sentencia de 28 de agosto de 2013. Serie C No. 267. Párr. 190.  </w:t>
      </w:r>
      <w:r w:rsidR="00D05549">
        <w:fldChar w:fldCharType="begin"/>
      </w:r>
      <w:r w:rsidR="00D05549">
        <w:instrText xml:space="preserve"> HYPERL</w:instrText>
      </w:r>
      <w:r w:rsidR="00D05549">
        <w:instrText xml:space="preserve">INK "http://www.corteidh.or.cr/docs/casos/articulos/seriec_267_esp.pdf" </w:instrText>
      </w:r>
      <w:r w:rsidR="00D05549">
        <w:fldChar w:fldCharType="separate"/>
      </w:r>
      <w:r w:rsidRPr="00C95E15">
        <w:rPr>
          <w:rStyle w:val="Hipervnculo"/>
          <w:rFonts w:ascii="Verdana" w:hAnsi="Verdana"/>
          <w:sz w:val="16"/>
          <w:szCs w:val="16"/>
          <w:u w:val="none"/>
          <w:lang w:val="es-CR"/>
        </w:rPr>
        <w:t>http://www.corteidh.or.cr/docs/casos/articulos/seriec_267_esp.pdf</w:t>
      </w:r>
      <w:r w:rsidR="00D05549">
        <w:rPr>
          <w:rStyle w:val="Hipervnculo"/>
          <w:rFonts w:ascii="Verdana" w:hAnsi="Verdana"/>
          <w:sz w:val="16"/>
          <w:szCs w:val="16"/>
          <w:u w:val="none"/>
          <w:lang w:val="es-CR"/>
        </w:rPr>
        <w:fldChar w:fldCharType="end"/>
      </w:r>
      <w:r w:rsidRPr="00C95E15">
        <w:rPr>
          <w:rFonts w:ascii="Verdana" w:hAnsi="Verdana"/>
          <w:sz w:val="16"/>
          <w:szCs w:val="16"/>
          <w:lang w:val="es-CR"/>
        </w:rPr>
        <w:t xml:space="preserve"> </w:t>
      </w:r>
    </w:p>
  </w:footnote>
  <w:footnote w:id="95">
    <w:p w14:paraId="1CF2F67D" w14:textId="185A8014"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r>
      <w:r w:rsidRPr="00C95E15">
        <w:rPr>
          <w:rFonts w:ascii="Verdana" w:hAnsi="Verdana"/>
          <w:i/>
          <w:sz w:val="16"/>
          <w:szCs w:val="16"/>
        </w:rPr>
        <w:t xml:space="preserve">Caso García Lucero, supra, </w:t>
      </w:r>
      <w:r w:rsidRPr="00C95E15">
        <w:rPr>
          <w:rFonts w:ascii="Verdana" w:hAnsi="Verdana"/>
          <w:sz w:val="16"/>
          <w:szCs w:val="16"/>
        </w:rPr>
        <w:t>párr. 190</w:t>
      </w:r>
      <w:r w:rsidRPr="00C95E15">
        <w:rPr>
          <w:rFonts w:ascii="Verdana" w:hAnsi="Verdana"/>
          <w:i/>
          <w:sz w:val="16"/>
          <w:szCs w:val="16"/>
        </w:rPr>
        <w:t>.</w:t>
      </w:r>
      <w:r w:rsidRPr="00C95E15">
        <w:rPr>
          <w:rFonts w:ascii="Verdana" w:hAnsi="Verdana"/>
          <w:sz w:val="16"/>
          <w:szCs w:val="16"/>
        </w:rPr>
        <w:t xml:space="preserve">  “La Corte no puede analizar si las reparaciones referidas son “suficientes, efectivas y completas”, dado que tal examen debería partir de analizar los daños generados por los actos cuya ejecución comenzó a partir de la detención del señor García Lucero el 16 de septiembre de 1973 y, en todo caso, antes del 11 de marzo de 1990. Sin perjuicio de ello, debe advertirse que la existencia de programas administrativos de reparación debe ser compatible con las obligaciones estatales bajo la Convención Americana y otras normas internacionales y, por ello, no puede derivar en un menoscabo al deber estatal de garantizar el “libre y pleno ejercicio” de los derechos a las garantías y protección judiciales, en los términos de los artículos 1.1, 25.1 y 8.1 de la Convención, respectivamente”.</w:t>
      </w:r>
    </w:p>
  </w:footnote>
  <w:footnote w:id="96">
    <w:p w14:paraId="48CF9E47" w14:textId="4E98C4D2"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r>
      <w:r w:rsidRPr="00C95E15">
        <w:rPr>
          <w:rFonts w:ascii="Verdana" w:hAnsi="Verdana"/>
          <w:i/>
          <w:sz w:val="16"/>
          <w:szCs w:val="16"/>
        </w:rPr>
        <w:t xml:space="preserve">Caso García Lucero Vs. Chile., supra, </w:t>
      </w:r>
      <w:r w:rsidRPr="00C95E15">
        <w:rPr>
          <w:rFonts w:ascii="Verdana" w:hAnsi="Verdana"/>
          <w:sz w:val="16"/>
          <w:szCs w:val="16"/>
        </w:rPr>
        <w:t>párr. 190.</w:t>
      </w:r>
    </w:p>
  </w:footnote>
  <w:footnote w:id="97">
    <w:p w14:paraId="43633558" w14:textId="433DB599" w:rsidR="003619E9" w:rsidRPr="00C95E15" w:rsidRDefault="003619E9" w:rsidP="0076370B">
      <w:pPr>
        <w:pStyle w:val="Textonotapie"/>
        <w:jc w:val="both"/>
        <w:rPr>
          <w:rFonts w:ascii="Verdana" w:hAnsi="Verdana"/>
          <w:i/>
          <w:sz w:val="16"/>
          <w:szCs w:val="16"/>
        </w:rPr>
      </w:pPr>
      <w:r w:rsidRPr="00C95E15">
        <w:rPr>
          <w:rStyle w:val="Refdenotaalpie"/>
          <w:rFonts w:ascii="Verdana" w:hAnsi="Verdana"/>
          <w:i/>
          <w:sz w:val="16"/>
          <w:szCs w:val="16"/>
        </w:rPr>
        <w:footnoteRef/>
      </w:r>
      <w:r w:rsidRPr="00C95E15">
        <w:rPr>
          <w:rFonts w:ascii="Verdana" w:hAnsi="Verdana"/>
          <w:i/>
          <w:sz w:val="16"/>
          <w:szCs w:val="16"/>
        </w:rPr>
        <w:t xml:space="preserve"> </w:t>
      </w:r>
      <w:r w:rsidRPr="00C95E15">
        <w:rPr>
          <w:rFonts w:ascii="Verdana" w:hAnsi="Verdana"/>
          <w:i/>
          <w:sz w:val="16"/>
          <w:szCs w:val="16"/>
        </w:rPr>
        <w:tab/>
        <w:t xml:space="preserve">Cfr. Caso Ordenes Guerra Vs. Chile, supra </w:t>
      </w:r>
      <w:r w:rsidRPr="00C95E15">
        <w:rPr>
          <w:rFonts w:ascii="Verdana" w:hAnsi="Verdana"/>
          <w:sz w:val="16"/>
          <w:szCs w:val="16"/>
        </w:rPr>
        <w:t>nota 9, párr. 100</w:t>
      </w:r>
    </w:p>
  </w:footnote>
  <w:footnote w:id="98">
    <w:p w14:paraId="500243FD" w14:textId="62F040FA" w:rsidR="003619E9" w:rsidRPr="00C95E15" w:rsidRDefault="003619E9" w:rsidP="0076370B">
      <w:pPr>
        <w:pStyle w:val="Textonotapie"/>
        <w:jc w:val="both"/>
        <w:rPr>
          <w:rFonts w:ascii="Verdana" w:hAnsi="Verdana" w:cstheme="minorHAnsi"/>
          <w:sz w:val="16"/>
          <w:szCs w:val="16"/>
        </w:rPr>
      </w:pPr>
      <w:r w:rsidRPr="00C95E15">
        <w:rPr>
          <w:rStyle w:val="Refdenotaalpie"/>
          <w:rFonts w:ascii="Verdana" w:hAnsi="Verdana" w:cstheme="minorHAnsi"/>
          <w:i/>
          <w:sz w:val="16"/>
          <w:szCs w:val="16"/>
        </w:rPr>
        <w:footnoteRef/>
      </w:r>
      <w:r w:rsidRPr="00C95E15">
        <w:rPr>
          <w:rFonts w:ascii="Verdana" w:hAnsi="Verdana" w:cstheme="minorHAnsi"/>
          <w:i/>
          <w:sz w:val="16"/>
          <w:szCs w:val="16"/>
        </w:rPr>
        <w:t xml:space="preserve"> </w:t>
      </w:r>
      <w:r w:rsidRPr="00C95E15">
        <w:rPr>
          <w:rFonts w:ascii="Verdana" w:hAnsi="Verdana" w:cstheme="minorHAnsi"/>
          <w:i/>
          <w:sz w:val="16"/>
          <w:szCs w:val="16"/>
        </w:rPr>
        <w:tab/>
        <w:t>Cfr.</w:t>
      </w:r>
      <w:r w:rsidRPr="00C95E15">
        <w:rPr>
          <w:rFonts w:ascii="Verdana" w:hAnsi="Verdana" w:cstheme="minorHAnsi"/>
          <w:sz w:val="16"/>
          <w:szCs w:val="16"/>
        </w:rPr>
        <w:t xml:space="preserve"> </w:t>
      </w:r>
      <w:r w:rsidRPr="00C95E15">
        <w:rPr>
          <w:rFonts w:ascii="Verdana" w:hAnsi="Verdana" w:cstheme="minorHAnsi"/>
          <w:i/>
          <w:iCs/>
          <w:sz w:val="16"/>
          <w:szCs w:val="16"/>
        </w:rPr>
        <w:t>Caso Gomes Lund y otros ("Guerrilha do Araguaia") Vs. Brasil</w:t>
      </w:r>
      <w:r w:rsidRPr="00C95E15">
        <w:rPr>
          <w:rFonts w:ascii="Verdana" w:hAnsi="Verdana" w:cstheme="minorHAnsi"/>
          <w:i/>
          <w:sz w:val="16"/>
          <w:szCs w:val="16"/>
        </w:rPr>
        <w:t>. Excepciones Preliminares, Fondo, Reparaciones y Costas</w:t>
      </w:r>
      <w:r w:rsidRPr="00C95E15">
        <w:rPr>
          <w:rFonts w:ascii="Verdana" w:hAnsi="Verdana" w:cstheme="minorHAnsi"/>
          <w:sz w:val="16"/>
          <w:szCs w:val="16"/>
        </w:rPr>
        <w:t xml:space="preserve">. Sentencia de 24 de noviembre de 2010, y </w:t>
      </w:r>
      <w:r w:rsidRPr="00C95E15">
        <w:rPr>
          <w:rFonts w:ascii="Verdana" w:hAnsi="Verdana" w:cstheme="minorHAnsi"/>
          <w:i/>
          <w:iCs/>
          <w:sz w:val="16"/>
          <w:szCs w:val="16"/>
        </w:rPr>
        <w:t>Caso Manuel Cepeda Vargas Vs. Colombia</w:t>
      </w:r>
      <w:r w:rsidRPr="00C95E15">
        <w:rPr>
          <w:rFonts w:ascii="Verdana" w:hAnsi="Verdana" w:cstheme="minorHAnsi"/>
          <w:sz w:val="16"/>
          <w:szCs w:val="16"/>
        </w:rPr>
        <w:t>.</w:t>
      </w:r>
      <w:r w:rsidRPr="00C95E15">
        <w:rPr>
          <w:rFonts w:ascii="Verdana" w:hAnsi="Verdana" w:cstheme="minorHAnsi"/>
          <w:i/>
          <w:sz w:val="16"/>
          <w:szCs w:val="16"/>
        </w:rPr>
        <w:t xml:space="preserve"> Excepciones Preliminares, Fondo, Reparaciones y Costas. </w:t>
      </w:r>
      <w:r w:rsidRPr="00C95E15">
        <w:rPr>
          <w:rFonts w:ascii="Verdana" w:hAnsi="Verdana" w:cstheme="minorHAnsi"/>
          <w:sz w:val="16"/>
          <w:szCs w:val="16"/>
        </w:rPr>
        <w:t xml:space="preserve">Sentencia de 26 de mayo de 2010. </w:t>
      </w:r>
    </w:p>
  </w:footnote>
  <w:footnote w:id="99">
    <w:p w14:paraId="01F724A5" w14:textId="77777777" w:rsidR="003619E9" w:rsidRPr="00C95E15" w:rsidRDefault="003619E9" w:rsidP="0076370B">
      <w:pPr>
        <w:pStyle w:val="Textonotapie"/>
        <w:jc w:val="both"/>
        <w:rPr>
          <w:rFonts w:ascii="Verdana" w:hAnsi="Verdana" w:cstheme="minorHAnsi"/>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r>
      <w:r w:rsidRPr="00C95E15">
        <w:rPr>
          <w:rFonts w:ascii="Verdana" w:hAnsi="Verdana" w:cstheme="minorHAnsi"/>
          <w:sz w:val="16"/>
          <w:szCs w:val="16"/>
        </w:rPr>
        <w:t xml:space="preserve">Adoptada por la Asamblea General de la Organización de las Naciones Unidas el 29 de noviembre de 1985, mediante resolución 40/34. En su principio 4 señala que “[l]as víctimas serán tratadas con compasión y respeto por su dignidad. Tendrán derecho al acceso a los mecanismos de la justicia y a una pronta reparación del daños que hayan sufrido, según lo dispuesto en la legislación nacional”.  </w:t>
      </w:r>
    </w:p>
  </w:footnote>
  <w:footnote w:id="100">
    <w:p w14:paraId="0145785B" w14:textId="77777777" w:rsidR="003619E9" w:rsidRPr="00C95E15" w:rsidRDefault="003619E9" w:rsidP="0076370B">
      <w:pPr>
        <w:pStyle w:val="Textonotapie"/>
        <w:jc w:val="both"/>
        <w:rPr>
          <w:rFonts w:ascii="Verdana" w:hAnsi="Verdana" w:cstheme="minorHAnsi"/>
          <w:sz w:val="16"/>
          <w:szCs w:val="16"/>
        </w:rPr>
      </w:pPr>
      <w:r w:rsidRPr="00C95E15">
        <w:rPr>
          <w:rStyle w:val="Refdenotaalpie"/>
          <w:rFonts w:ascii="Verdana" w:hAnsi="Verdana" w:cstheme="minorHAnsi"/>
          <w:sz w:val="16"/>
          <w:szCs w:val="16"/>
        </w:rPr>
        <w:footnoteRef/>
      </w:r>
      <w:r w:rsidRPr="00C95E15">
        <w:rPr>
          <w:rFonts w:ascii="Verdana" w:hAnsi="Verdana" w:cstheme="minorHAnsi"/>
          <w:sz w:val="16"/>
          <w:szCs w:val="16"/>
        </w:rPr>
        <w:t xml:space="preserve"> </w:t>
      </w:r>
      <w:r w:rsidRPr="00C95E15">
        <w:rPr>
          <w:rFonts w:ascii="Verdana" w:hAnsi="Verdana" w:cstheme="minorHAnsi"/>
          <w:sz w:val="16"/>
          <w:szCs w:val="16"/>
        </w:rPr>
        <w:tab/>
        <w:t>Adoptados por la Comisión de Derechos Humanos de la Organización de las Naciones Unidas, el 8 de febrero de 2005. El Principio 31 indica: “Toda violación de un derecho humano da lugar a un derecho de la víctima o sus derecho habientes a obtener reparación, el cual implica el deber del Estado de reparar y el derecho de dirigirse contra el autor”.</w:t>
      </w:r>
    </w:p>
  </w:footnote>
  <w:footnote w:id="101">
    <w:p w14:paraId="6126E731" w14:textId="67405A01" w:rsidR="003619E9" w:rsidRPr="00C95E15" w:rsidRDefault="003619E9" w:rsidP="0076370B">
      <w:pPr>
        <w:pStyle w:val="Textonotapie"/>
        <w:jc w:val="both"/>
        <w:rPr>
          <w:rFonts w:ascii="Verdana" w:hAnsi="Verdana" w:cstheme="minorHAnsi"/>
          <w:sz w:val="16"/>
          <w:szCs w:val="16"/>
        </w:rPr>
      </w:pPr>
      <w:r w:rsidRPr="00C95E15">
        <w:rPr>
          <w:rStyle w:val="Refdenotaalpie"/>
          <w:rFonts w:ascii="Verdana" w:hAnsi="Verdana" w:cstheme="minorHAnsi"/>
          <w:sz w:val="16"/>
          <w:szCs w:val="16"/>
        </w:rPr>
        <w:footnoteRef/>
      </w:r>
      <w:r w:rsidRPr="00C95E15">
        <w:rPr>
          <w:rFonts w:ascii="Verdana" w:hAnsi="Verdana" w:cstheme="minorHAnsi"/>
          <w:sz w:val="16"/>
          <w:szCs w:val="16"/>
        </w:rPr>
        <w:t xml:space="preserve"> </w:t>
      </w:r>
      <w:r w:rsidRPr="00C95E15">
        <w:rPr>
          <w:rFonts w:ascii="Verdana" w:hAnsi="Verdana" w:cstheme="minorHAnsi"/>
          <w:sz w:val="16"/>
          <w:szCs w:val="16"/>
        </w:rPr>
        <w:tab/>
        <w:t xml:space="preserve">Adoptados por la Asamblea General de la Organización de las Naciones Unidas el 16 de diciembre de 2005, mediante resolución 60/147. Los Principios 12, 13 y 14 establecen el derecho de acceso a un recurso judicial para las presuntas víctimas. El Principio 18 de este documento señala el derecho de las víctimas a una reparación “plena y efectiva”. </w:t>
      </w:r>
      <w:r w:rsidRPr="00C95E15">
        <w:rPr>
          <w:rFonts w:ascii="Verdana" w:hAnsi="Verdana" w:cstheme="minorHAnsi"/>
          <w:i/>
          <w:sz w:val="16"/>
          <w:szCs w:val="16"/>
        </w:rPr>
        <w:t>Cfr.</w:t>
      </w:r>
      <w:r w:rsidRPr="00C95E15">
        <w:rPr>
          <w:rFonts w:ascii="Verdana" w:hAnsi="Verdana" w:cstheme="minorHAnsi"/>
          <w:sz w:val="16"/>
          <w:szCs w:val="16"/>
        </w:rPr>
        <w:t xml:space="preserve"> </w:t>
      </w:r>
      <w:hyperlink r:id="rId5" w:history="1">
        <w:r w:rsidRPr="00C95E15">
          <w:rPr>
            <w:rStyle w:val="Hipervnculo"/>
            <w:rFonts w:ascii="Verdana" w:hAnsi="Verdana" w:cstheme="minorHAnsi"/>
            <w:sz w:val="16"/>
            <w:szCs w:val="16"/>
            <w:u w:val="none"/>
          </w:rPr>
          <w:t>https://www.ohchr.org/en/professionalinterest/pages/remedyandreparation.aspx</w:t>
        </w:r>
      </w:hyperlink>
      <w:r w:rsidRPr="00C95E15">
        <w:rPr>
          <w:rFonts w:ascii="Verdana" w:hAnsi="Verdana" w:cstheme="minorHAnsi"/>
          <w:sz w:val="16"/>
          <w:szCs w:val="16"/>
        </w:rPr>
        <w:t xml:space="preserve"> </w:t>
      </w:r>
    </w:p>
  </w:footnote>
  <w:footnote w:id="102">
    <w:p w14:paraId="2C80331D" w14:textId="38C930E3"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t xml:space="preserve">TEDH, </w:t>
      </w:r>
      <w:r w:rsidRPr="00C95E15">
        <w:rPr>
          <w:rFonts w:ascii="Verdana" w:hAnsi="Verdana"/>
          <w:i/>
          <w:sz w:val="16"/>
          <w:szCs w:val="16"/>
        </w:rPr>
        <w:t>Caso Broniowski Vs. Polonia</w:t>
      </w:r>
      <w:r w:rsidRPr="00C95E15">
        <w:rPr>
          <w:rFonts w:ascii="Verdana" w:hAnsi="Verdana"/>
          <w:sz w:val="16"/>
          <w:szCs w:val="16"/>
        </w:rPr>
        <w:t>, No.  31443/96. Sentencia del 22 de julio de 2004, párr. 36.</w:t>
      </w:r>
    </w:p>
    <w:p w14:paraId="4D35B0FB" w14:textId="4D1009A4" w:rsidR="003619E9" w:rsidRPr="00C95E15" w:rsidRDefault="003619E9" w:rsidP="0076370B">
      <w:pPr>
        <w:pStyle w:val="Textonotapie"/>
        <w:jc w:val="both"/>
        <w:rPr>
          <w:rFonts w:ascii="Verdana" w:hAnsi="Verdana"/>
          <w:sz w:val="16"/>
          <w:szCs w:val="16"/>
        </w:rPr>
      </w:pPr>
      <w:r w:rsidRPr="00C95E15">
        <w:rPr>
          <w:rFonts w:ascii="Verdana" w:hAnsi="Verdana"/>
          <w:sz w:val="16"/>
          <w:szCs w:val="16"/>
        </w:rPr>
        <w:t xml:space="preserve">En este caso se establece lo que constituye su primer caso piloto  que el Estado puede tomar ambas medidas generales que permiten corregir problemas estructurales que afectan a un número importante de personas y medidas individuales de reparación. Estableció de manera clara en su línea jurisprudencial la necesidad de compatibilizar ambos tipos de medidas. párr. 154. </w:t>
      </w:r>
    </w:p>
  </w:footnote>
  <w:footnote w:id="103">
    <w:p w14:paraId="0EB0A57F" w14:textId="43E74148" w:rsidR="003619E9" w:rsidRPr="00C95E15" w:rsidRDefault="003619E9" w:rsidP="007507AB">
      <w:pPr>
        <w:pStyle w:val="Textonotapie"/>
        <w:jc w:val="both"/>
        <w:rPr>
          <w:rFonts w:ascii="Verdana" w:hAnsi="Verdana" w:cstheme="minorHAnsi"/>
          <w:bCs/>
          <w:color w:val="000000"/>
          <w:spacing w:val="-3"/>
          <w:sz w:val="16"/>
          <w:szCs w:val="16"/>
          <w:lang w:val="es-ES_tradnl"/>
        </w:rPr>
      </w:pPr>
      <w:r w:rsidRPr="00C95E15">
        <w:rPr>
          <w:rStyle w:val="Refdenotaalpie"/>
          <w:rFonts w:ascii="Verdana" w:hAnsi="Verdana"/>
          <w:sz w:val="16"/>
          <w:szCs w:val="16"/>
        </w:rPr>
        <w:footnoteRef/>
      </w:r>
      <w:r w:rsidRPr="00C95E15">
        <w:rPr>
          <w:rFonts w:ascii="Verdana" w:hAnsi="Verdana" w:cstheme="minorHAnsi"/>
          <w:sz w:val="16"/>
          <w:szCs w:val="16"/>
        </w:rPr>
        <w:t xml:space="preserve"> </w:t>
      </w:r>
      <w:r w:rsidRPr="00C95E15">
        <w:rPr>
          <w:rFonts w:ascii="Verdana" w:hAnsi="Verdana" w:cstheme="minorHAnsi"/>
          <w:sz w:val="16"/>
          <w:szCs w:val="16"/>
        </w:rPr>
        <w:tab/>
        <w:t xml:space="preserve">Informe </w:t>
      </w:r>
      <w:r w:rsidRPr="00C95E15">
        <w:rPr>
          <w:rFonts w:ascii="Verdana" w:hAnsi="Verdana" w:cstheme="minorHAnsi"/>
          <w:bCs/>
          <w:color w:val="000000"/>
          <w:spacing w:val="-3"/>
          <w:sz w:val="16"/>
          <w:szCs w:val="16"/>
          <w:lang w:val="es-ES_tradnl"/>
        </w:rPr>
        <w:t xml:space="preserve">N° 1/93 de la CIDH sobre acuerdo de solución amistosa en el Caso </w:t>
      </w:r>
      <w:proofErr w:type="spellStart"/>
      <w:r w:rsidRPr="00C95E15">
        <w:rPr>
          <w:rFonts w:ascii="Verdana" w:hAnsi="Verdana" w:cstheme="minorHAnsi"/>
          <w:bCs/>
          <w:color w:val="000000"/>
          <w:spacing w:val="-3"/>
          <w:sz w:val="16"/>
          <w:szCs w:val="16"/>
          <w:lang w:val="es-ES_tradnl"/>
        </w:rPr>
        <w:t>Birt</w:t>
      </w:r>
      <w:proofErr w:type="spellEnd"/>
      <w:r w:rsidRPr="00C95E15">
        <w:rPr>
          <w:rFonts w:ascii="Verdana" w:hAnsi="Verdana" w:cstheme="minorHAnsi"/>
          <w:bCs/>
          <w:color w:val="000000"/>
          <w:spacing w:val="-3"/>
          <w:sz w:val="16"/>
          <w:szCs w:val="16"/>
          <w:lang w:val="es-ES_tradnl"/>
        </w:rPr>
        <w:t xml:space="preserve"> y otros Vs. Argentina del 3 de marzo de 1993. Disponible en: </w:t>
      </w:r>
      <w:hyperlink r:id="rId6" w:history="1">
        <w:r w:rsidRPr="00C95E15">
          <w:rPr>
            <w:rStyle w:val="Hipervnculo"/>
            <w:rFonts w:ascii="Verdana" w:hAnsi="Verdana" w:cstheme="minorHAnsi"/>
            <w:bCs/>
            <w:spacing w:val="-3"/>
            <w:sz w:val="16"/>
            <w:szCs w:val="16"/>
            <w:u w:val="none"/>
            <w:lang w:val="es-ES_tradnl"/>
          </w:rPr>
          <w:t>http://www.cidh.oas.org/annualrep/92span/Argentina10.288.htm</w:t>
        </w:r>
      </w:hyperlink>
      <w:r w:rsidRPr="00C95E15">
        <w:rPr>
          <w:rFonts w:ascii="Verdana" w:hAnsi="Verdana" w:cstheme="minorHAnsi"/>
          <w:b/>
          <w:bCs/>
          <w:color w:val="000000"/>
          <w:spacing w:val="-3"/>
          <w:sz w:val="16"/>
          <w:szCs w:val="16"/>
          <w:lang w:val="es-ES_tradnl"/>
        </w:rPr>
        <w:t xml:space="preserve">. </w:t>
      </w:r>
      <w:r w:rsidRPr="00C95E15">
        <w:rPr>
          <w:rFonts w:ascii="Verdana" w:hAnsi="Verdana" w:cstheme="minorHAnsi"/>
          <w:bCs/>
          <w:color w:val="000000"/>
          <w:spacing w:val="-3"/>
          <w:sz w:val="16"/>
          <w:szCs w:val="16"/>
          <w:lang w:val="es-ES_tradnl"/>
        </w:rPr>
        <w:t xml:space="preserve">Por ejemplo, en el caso de Argentina, la CIDH reconoció los esfuerzos del Estado en cuanto a medidas de reparaciones llevados a cabo en el marco de la solución amistosa encontrada ante la Comisión en el caso </w:t>
      </w:r>
      <w:proofErr w:type="spellStart"/>
      <w:r w:rsidRPr="00C95E15">
        <w:rPr>
          <w:rFonts w:ascii="Verdana" w:hAnsi="Verdana" w:cstheme="minorHAnsi"/>
          <w:bCs/>
          <w:color w:val="000000"/>
          <w:spacing w:val="-3"/>
          <w:sz w:val="16"/>
          <w:szCs w:val="16"/>
          <w:lang w:val="es-ES_tradnl"/>
        </w:rPr>
        <w:t>Birt</w:t>
      </w:r>
      <w:proofErr w:type="spellEnd"/>
      <w:r w:rsidRPr="00C95E15">
        <w:rPr>
          <w:rFonts w:ascii="Verdana" w:hAnsi="Verdana" w:cstheme="minorHAnsi"/>
          <w:bCs/>
          <w:color w:val="000000"/>
          <w:spacing w:val="-3"/>
          <w:sz w:val="16"/>
          <w:szCs w:val="16"/>
          <w:lang w:val="es-ES_tradnl"/>
        </w:rPr>
        <w:t xml:space="preserve"> Vs. Argentina, que se manifestó con la emisión de la Ley 24.043. En ese caso, la Comisión “</w:t>
      </w:r>
      <w:proofErr w:type="spellStart"/>
      <w:r w:rsidRPr="00C95E15">
        <w:rPr>
          <w:rFonts w:ascii="Verdana" w:hAnsi="Verdana" w:cstheme="minorHAnsi"/>
          <w:bCs/>
          <w:color w:val="000000"/>
          <w:spacing w:val="-3"/>
          <w:sz w:val="16"/>
          <w:szCs w:val="16"/>
          <w:lang w:val="es-ES_tradnl"/>
        </w:rPr>
        <w:t>expres</w:t>
      </w:r>
      <w:proofErr w:type="spellEnd"/>
      <w:r w:rsidRPr="00C95E15">
        <w:rPr>
          <w:rFonts w:ascii="Verdana" w:hAnsi="Verdana" w:cstheme="minorHAnsi"/>
          <w:bCs/>
          <w:color w:val="000000"/>
          <w:spacing w:val="-3"/>
          <w:sz w:val="16"/>
          <w:szCs w:val="16"/>
          <w:lang w:val="es-ES_tradnl"/>
        </w:rPr>
        <w:t>[</w:t>
      </w:r>
      <w:proofErr w:type="spellStart"/>
      <w:r w:rsidRPr="00C95E15">
        <w:rPr>
          <w:rFonts w:ascii="Verdana" w:hAnsi="Verdana" w:cstheme="minorHAnsi"/>
          <w:bCs/>
          <w:color w:val="000000"/>
          <w:spacing w:val="-3"/>
          <w:sz w:val="16"/>
          <w:szCs w:val="16"/>
          <w:lang w:val="es-ES_tradnl"/>
        </w:rPr>
        <w:t>ó</w:t>
      </w:r>
      <w:proofErr w:type="spellEnd"/>
      <w:r w:rsidRPr="00C95E15">
        <w:rPr>
          <w:rFonts w:ascii="Verdana" w:hAnsi="Verdana" w:cstheme="minorHAnsi"/>
          <w:bCs/>
          <w:color w:val="000000"/>
          <w:spacing w:val="-3"/>
          <w:sz w:val="16"/>
          <w:szCs w:val="16"/>
          <w:lang w:val="es-ES_tradnl"/>
        </w:rPr>
        <w:t>] su reconocimiento al Gobierno Argentino por su manifiesto apoyo a la Convención Interamericana y por haber cumplido con el pago de la compensación a los peticionarios, y por la aceptación, por parte de los peticionarios, de los términos del decreto 70/91, complementado por la Ley n°24.043 de 23 de diciembre de 1991, como parte del proceso de solución amistosa acordado entre las partes”.</w:t>
      </w:r>
    </w:p>
  </w:footnote>
  <w:footnote w:id="104">
    <w:p w14:paraId="3C680CBF" w14:textId="351428EE" w:rsidR="003619E9" w:rsidRPr="00C95E15" w:rsidRDefault="003619E9" w:rsidP="00F46AC0">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t xml:space="preserve">Recibieron indemnizaciones de un monto de 144,875.00 pesos argentinos por la Señora Perrone y 172,956.00 pesos argentinos por el Señor Preckel (un peso argentino era en esta época equivalente a un dólar). </w:t>
      </w:r>
      <w:r w:rsidRPr="00C95E15">
        <w:rPr>
          <w:rFonts w:ascii="Verdana" w:hAnsi="Verdana"/>
          <w:i/>
          <w:sz w:val="16"/>
          <w:szCs w:val="16"/>
        </w:rPr>
        <w:t>Cfr.</w:t>
      </w:r>
      <w:r w:rsidRPr="00C95E15">
        <w:rPr>
          <w:rFonts w:ascii="Verdana" w:hAnsi="Verdana"/>
          <w:sz w:val="16"/>
          <w:szCs w:val="16"/>
        </w:rPr>
        <w:t xml:space="preserve"> </w:t>
      </w:r>
      <w:hyperlink r:id="rId7" w:history="1">
        <w:r w:rsidRPr="00C95E15">
          <w:rPr>
            <w:rStyle w:val="Hipervnculo"/>
            <w:rFonts w:ascii="Verdana" w:hAnsi="Verdana"/>
            <w:sz w:val="16"/>
            <w:szCs w:val="16"/>
            <w:u w:val="none"/>
          </w:rPr>
          <w:t>https://elpais.com/diario/1992/01/02/economia/694306801_850215.html</w:t>
        </w:r>
      </w:hyperlink>
      <w:r w:rsidR="00C95E15">
        <w:rPr>
          <w:rStyle w:val="Hipervnculo"/>
          <w:rFonts w:ascii="Verdana" w:hAnsi="Verdana"/>
          <w:sz w:val="16"/>
          <w:szCs w:val="16"/>
          <w:u w:val="none"/>
        </w:rPr>
        <w:t xml:space="preserve"> </w:t>
      </w:r>
      <w:r w:rsidRPr="00C95E15">
        <w:rPr>
          <w:rFonts w:ascii="Verdana" w:hAnsi="Verdana"/>
          <w:i/>
          <w:sz w:val="16"/>
          <w:szCs w:val="16"/>
        </w:rPr>
        <w:t>Cfr.</w:t>
      </w:r>
      <w:r w:rsidRPr="00C95E15">
        <w:rPr>
          <w:rFonts w:ascii="Verdana" w:hAnsi="Verdana"/>
          <w:sz w:val="16"/>
          <w:szCs w:val="16"/>
        </w:rPr>
        <w:t xml:space="preserve"> Artículo 4 de la Ley 24.043: “El beneficio que establece la presente ley será igual a la treintava parte de la remuneración mensual asignada a la categoría superior del escalafón para el personal civil de la administración pública nacional (aprobado por el Decreto N° 1428 del 22 de febrero de 1973, o el que lo reemplace), por cada día que duró la medida mencionada en el artículo 2°, incisos a) y b), respecto a cada beneficiario. A este efecto se considerará remuneración mensual a la totalidad de los rubros que integran el salario del agente sujetos a aportes jubilatorios, con exclusión de los adicionales particulares (antigüedad, título, etc.), y se tomará la correspondiente al mes en que se otorgue el beneficio”.</w:t>
      </w:r>
    </w:p>
  </w:footnote>
  <w:footnote w:id="105">
    <w:p w14:paraId="7EBDCD5B" w14:textId="77777777"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t>Artículo 1 de la Ley 24.043.</w:t>
      </w:r>
    </w:p>
  </w:footnote>
  <w:footnote w:id="106">
    <w:p w14:paraId="3AFBB050" w14:textId="61561FCB"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r>
      <w:r w:rsidRPr="00C95E15">
        <w:rPr>
          <w:rFonts w:ascii="Verdana" w:hAnsi="Verdana"/>
          <w:i/>
          <w:sz w:val="16"/>
          <w:szCs w:val="16"/>
        </w:rPr>
        <w:t>Cfr. Caso Zegarra Marín Vs. Perú. Excepciones preliminares, Fondo, Reparaciones y Costas.</w:t>
      </w:r>
      <w:r w:rsidRPr="00C95E15">
        <w:rPr>
          <w:rFonts w:ascii="Verdana" w:hAnsi="Verdana"/>
          <w:sz w:val="16"/>
          <w:szCs w:val="16"/>
        </w:rPr>
        <w:t xml:space="preserve"> Sentencias de 15 de febrero de 2017. Serie C No. 331, párr. 146. Párr. 146</w:t>
      </w:r>
    </w:p>
  </w:footnote>
  <w:footnote w:id="107">
    <w:p w14:paraId="64A7CD32" w14:textId="0D889B65"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r>
      <w:r w:rsidRPr="00C95E15">
        <w:rPr>
          <w:rFonts w:ascii="Verdana" w:hAnsi="Verdana"/>
          <w:i/>
          <w:sz w:val="16"/>
          <w:szCs w:val="16"/>
        </w:rPr>
        <w:t>Cfr. Caso Maldonado Ordoñez Vs. Guatemala. Excepción Preliminar, Fondo, Reparaciones y Costas</w:t>
      </w:r>
      <w:r w:rsidRPr="00C95E15">
        <w:rPr>
          <w:rFonts w:ascii="Verdana" w:hAnsi="Verdana"/>
          <w:sz w:val="16"/>
          <w:szCs w:val="16"/>
        </w:rPr>
        <w:t xml:space="preserve">. Sentencia de 3 de mayo de 2016. Serie C No. 311, párr. 87. Caso Zegarra Vs. Perú, párr. 146. </w:t>
      </w:r>
    </w:p>
  </w:footnote>
  <w:footnote w:id="108">
    <w:p w14:paraId="6BD321BD" w14:textId="6330EE44"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r>
      <w:r w:rsidRPr="00C95E15">
        <w:rPr>
          <w:rFonts w:ascii="Verdana" w:hAnsi="Verdana"/>
          <w:i/>
          <w:sz w:val="16"/>
          <w:szCs w:val="16"/>
          <w:lang w:val="es-ES"/>
        </w:rPr>
        <w:t xml:space="preserve">Cfr., mutatis </w:t>
      </w:r>
      <w:proofErr w:type="spellStart"/>
      <w:r w:rsidRPr="00C95E15">
        <w:rPr>
          <w:rFonts w:ascii="Verdana" w:hAnsi="Verdana"/>
          <w:i/>
          <w:sz w:val="16"/>
          <w:szCs w:val="16"/>
          <w:lang w:val="es-ES"/>
        </w:rPr>
        <w:t>mutandi</w:t>
      </w:r>
      <w:proofErr w:type="spellEnd"/>
      <w:r w:rsidRPr="00C95E15">
        <w:rPr>
          <w:rFonts w:ascii="Verdana" w:hAnsi="Verdana"/>
          <w:sz w:val="16"/>
          <w:szCs w:val="16"/>
          <w:lang w:val="es-ES"/>
        </w:rPr>
        <w:t>,</w:t>
      </w:r>
      <w:r w:rsidRPr="00C95E15">
        <w:rPr>
          <w:rFonts w:ascii="Verdana" w:hAnsi="Verdana"/>
          <w:i/>
          <w:sz w:val="16"/>
          <w:szCs w:val="16"/>
          <w:lang w:val="es-ES"/>
        </w:rPr>
        <w:t xml:space="preserve"> Caso García Ibarra y otros vs. Ecuador</w:t>
      </w:r>
      <w:r w:rsidRPr="00C95E15">
        <w:rPr>
          <w:rFonts w:ascii="Verdana" w:hAnsi="Verdana"/>
          <w:sz w:val="16"/>
          <w:szCs w:val="16"/>
          <w:lang w:val="es-ES"/>
        </w:rPr>
        <w:t xml:space="preserve">, </w:t>
      </w:r>
      <w:r w:rsidRPr="00C95E15">
        <w:rPr>
          <w:rFonts w:ascii="Verdana" w:hAnsi="Verdana"/>
          <w:i/>
          <w:sz w:val="16"/>
          <w:szCs w:val="16"/>
          <w:lang w:val="es-ES"/>
        </w:rPr>
        <w:t>supra</w:t>
      </w:r>
      <w:r w:rsidRPr="00C95E15">
        <w:rPr>
          <w:rFonts w:ascii="Verdana" w:hAnsi="Verdana"/>
          <w:sz w:val="16"/>
          <w:szCs w:val="16"/>
          <w:lang w:val="es-ES"/>
        </w:rPr>
        <w:t xml:space="preserve">, párr. 133; y </w:t>
      </w:r>
      <w:r w:rsidRPr="00C95E15">
        <w:rPr>
          <w:rFonts w:ascii="Verdana" w:hAnsi="Verdana"/>
          <w:sz w:val="16"/>
          <w:szCs w:val="16"/>
        </w:rPr>
        <w:t>Caso San Miguel Sosa y otras Vs. Venezuela, párr. 189.</w:t>
      </w:r>
    </w:p>
  </w:footnote>
  <w:footnote w:id="109">
    <w:p w14:paraId="3598F88F" w14:textId="77777777"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r>
      <w:r w:rsidRPr="00C95E15">
        <w:rPr>
          <w:rFonts w:ascii="Verdana" w:hAnsi="Verdana"/>
          <w:i/>
          <w:sz w:val="16"/>
          <w:szCs w:val="16"/>
          <w:lang w:val="es-CO"/>
        </w:rPr>
        <w:t xml:space="preserve">Cfr. </w:t>
      </w:r>
      <w:r w:rsidRPr="00C95E15">
        <w:rPr>
          <w:rFonts w:ascii="Verdana" w:eastAsia="Calibri" w:hAnsi="Verdana"/>
          <w:bCs/>
          <w:i/>
          <w:color w:val="000000"/>
          <w:sz w:val="16"/>
          <w:szCs w:val="16"/>
          <w:shd w:val="clear" w:color="auto" w:fill="FFFFFF"/>
          <w:lang w:val="es-CR" w:eastAsia="es-CR"/>
        </w:rPr>
        <w:t xml:space="preserve">Caso Trabajadores Cesados de Petroperú y otros Vs. Perú. Excepciones Preliminares, Fondo, Reparaciones y Costas. </w:t>
      </w:r>
      <w:r w:rsidRPr="00C95E15">
        <w:rPr>
          <w:rFonts w:ascii="Verdana" w:eastAsia="Calibri" w:hAnsi="Verdana"/>
          <w:bCs/>
          <w:color w:val="000000"/>
          <w:sz w:val="16"/>
          <w:szCs w:val="16"/>
          <w:shd w:val="clear" w:color="auto" w:fill="FFFFFF"/>
          <w:lang w:val="es-CR" w:eastAsia="es-CR"/>
        </w:rPr>
        <w:t>Sentencia de 23 de noviembre de 2017. Serie C No. 344, párr. 177</w:t>
      </w:r>
      <w:r w:rsidRPr="00C95E15">
        <w:rPr>
          <w:rFonts w:ascii="Verdana" w:eastAsia="Calibri" w:hAnsi="Verdana"/>
          <w:bCs/>
          <w:i/>
          <w:color w:val="000000"/>
          <w:sz w:val="16"/>
          <w:szCs w:val="16"/>
          <w:shd w:val="clear" w:color="auto" w:fill="FFFFFF"/>
          <w:lang w:val="es-CR" w:eastAsia="es-CR"/>
        </w:rPr>
        <w:t>.</w:t>
      </w:r>
    </w:p>
  </w:footnote>
  <w:footnote w:id="110">
    <w:p w14:paraId="488459B8" w14:textId="21CBD1F0" w:rsidR="003619E9" w:rsidRPr="00C95E15" w:rsidRDefault="003619E9" w:rsidP="0076370B">
      <w:pPr>
        <w:pStyle w:val="Textonotapie"/>
        <w:tabs>
          <w:tab w:val="left" w:pos="567"/>
        </w:tabs>
        <w:jc w:val="both"/>
        <w:rPr>
          <w:rFonts w:ascii="Verdana" w:hAnsi="Verdana"/>
          <w:sz w:val="16"/>
          <w:szCs w:val="16"/>
          <w:lang w:val="es-CR"/>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r>
      <w:r w:rsidRPr="00C95E15">
        <w:rPr>
          <w:rFonts w:ascii="Verdana" w:hAnsi="Verdana"/>
          <w:sz w:val="16"/>
          <w:szCs w:val="16"/>
        </w:rPr>
        <w:tab/>
      </w:r>
      <w:r w:rsidRPr="00C95E15">
        <w:rPr>
          <w:rFonts w:ascii="Verdana" w:hAnsi="Verdana"/>
          <w:i/>
          <w:sz w:val="16"/>
          <w:szCs w:val="16"/>
        </w:rPr>
        <w:t xml:space="preserve">Cfr. </w:t>
      </w:r>
      <w:r w:rsidRPr="00C95E15">
        <w:rPr>
          <w:rFonts w:ascii="Verdana" w:eastAsia="Calibri" w:hAnsi="Verdana"/>
          <w:bCs/>
          <w:i/>
          <w:color w:val="000000"/>
          <w:sz w:val="16"/>
          <w:szCs w:val="16"/>
          <w:shd w:val="clear" w:color="auto" w:fill="FFFFFF"/>
          <w:lang w:val="es-CR" w:eastAsia="es-CR"/>
        </w:rPr>
        <w:t xml:space="preserve">Caso Lagos del Campo Vs. Perú. Excepciones Preliminares, Fondo, Reparaciones y Costas. </w:t>
      </w:r>
      <w:r w:rsidRPr="00C95E15">
        <w:rPr>
          <w:rFonts w:ascii="Verdana" w:eastAsia="Calibri" w:hAnsi="Verdana"/>
          <w:bCs/>
          <w:color w:val="000000"/>
          <w:sz w:val="16"/>
          <w:szCs w:val="16"/>
          <w:shd w:val="clear" w:color="auto" w:fill="FFFFFF"/>
          <w:lang w:val="es-CR" w:eastAsia="es-CR"/>
        </w:rPr>
        <w:t>Sentencia de 31 de agosto de 2017. Serie C No. 340,</w:t>
      </w:r>
      <w:r w:rsidRPr="00C95E15">
        <w:rPr>
          <w:rFonts w:ascii="Verdana" w:hAnsi="Verdana"/>
          <w:sz w:val="16"/>
          <w:szCs w:val="16"/>
          <w:lang w:val="es-CR"/>
        </w:rPr>
        <w:t xml:space="preserve"> párr. 184, y </w:t>
      </w:r>
      <w:r w:rsidRPr="00C95E15">
        <w:rPr>
          <w:rFonts w:ascii="Verdana" w:eastAsia="Calibri" w:hAnsi="Verdana"/>
          <w:bCs/>
          <w:i/>
          <w:color w:val="000000"/>
          <w:sz w:val="16"/>
          <w:szCs w:val="16"/>
          <w:shd w:val="clear" w:color="auto" w:fill="FFFFFF"/>
          <w:lang w:val="es-CR" w:eastAsia="es-CR"/>
        </w:rPr>
        <w:t xml:space="preserve">Caso Trabajadores Cesados de Petroperú y otros Vs. Perú. Excepciones Preliminares, Fondo, Reparaciones y Costas. </w:t>
      </w:r>
      <w:r w:rsidRPr="00C95E15">
        <w:rPr>
          <w:rFonts w:ascii="Verdana" w:eastAsia="Calibri" w:hAnsi="Verdana"/>
          <w:bCs/>
          <w:color w:val="000000"/>
          <w:sz w:val="16"/>
          <w:szCs w:val="16"/>
          <w:shd w:val="clear" w:color="auto" w:fill="FFFFFF"/>
          <w:lang w:val="es-CR" w:eastAsia="es-CR"/>
        </w:rPr>
        <w:t>Sentencia de 23 de noviembre de 2017. Serie C No. 344, párr. 177</w:t>
      </w:r>
      <w:r w:rsidRPr="00C95E15">
        <w:rPr>
          <w:rFonts w:ascii="Verdana" w:eastAsia="Calibri" w:hAnsi="Verdana"/>
          <w:bCs/>
          <w:i/>
          <w:color w:val="000000"/>
          <w:sz w:val="16"/>
          <w:szCs w:val="16"/>
          <w:shd w:val="clear" w:color="auto" w:fill="FFFFFF"/>
          <w:lang w:val="es-CR" w:eastAsia="es-CR"/>
        </w:rPr>
        <w:t>.</w:t>
      </w:r>
    </w:p>
  </w:footnote>
  <w:footnote w:id="111">
    <w:p w14:paraId="1A561288" w14:textId="2341B171"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r>
      <w:r w:rsidRPr="00C95E15">
        <w:rPr>
          <w:rFonts w:ascii="Verdana" w:hAnsi="Verdana"/>
          <w:i/>
          <w:sz w:val="16"/>
          <w:szCs w:val="16"/>
        </w:rPr>
        <w:t>Cfr</w:t>
      </w:r>
      <w:r w:rsidRPr="00C95E15">
        <w:rPr>
          <w:rFonts w:ascii="Verdana" w:hAnsi="Verdana"/>
          <w:sz w:val="16"/>
          <w:szCs w:val="16"/>
        </w:rPr>
        <w:t>. Opinión Consultiva OC-9/87, op. cit., párr. 24; Caso Castañeda Gutman vs. México. Excepciones preliminares, fondo, reparaciones y costas. Sentencia de 6 de agosto de 2008. Serie C No. 184, párr. 100, y Caso Pueblo Indígena Kichwa de Sarayaku vs. Ecuador. Fondo y reparaciones. Sentencia de 27 de junio de 2012. Serie C No. 245, párr. 261.</w:t>
      </w:r>
    </w:p>
  </w:footnote>
  <w:footnote w:id="112">
    <w:p w14:paraId="7311AC37" w14:textId="2A40F9F1" w:rsidR="003619E9" w:rsidRPr="00C95E15" w:rsidRDefault="003619E9" w:rsidP="0076370B">
      <w:pPr>
        <w:pStyle w:val="Textonotapie"/>
        <w:tabs>
          <w:tab w:val="left" w:pos="709"/>
        </w:tabs>
        <w:jc w:val="both"/>
        <w:rPr>
          <w:rFonts w:ascii="Verdana" w:hAnsi="Verdana"/>
          <w:i/>
          <w:sz w:val="16"/>
          <w:szCs w:val="16"/>
          <w:shd w:val="clear" w:color="auto" w:fill="FFFFFF"/>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r>
      <w:r w:rsidRPr="00C95E15">
        <w:rPr>
          <w:rFonts w:ascii="Verdana" w:hAnsi="Verdana"/>
          <w:i/>
          <w:sz w:val="16"/>
          <w:szCs w:val="16"/>
        </w:rPr>
        <w:t>Cfr</w:t>
      </w:r>
      <w:r w:rsidRPr="00C95E15">
        <w:rPr>
          <w:rFonts w:ascii="Verdana" w:hAnsi="Verdana"/>
          <w:sz w:val="16"/>
          <w:szCs w:val="16"/>
        </w:rPr>
        <w:t xml:space="preserve">. </w:t>
      </w:r>
      <w:r w:rsidRPr="00C95E15">
        <w:rPr>
          <w:rStyle w:val="Textoennegrita"/>
          <w:rFonts w:ascii="Verdana" w:hAnsi="Verdana"/>
          <w:b w:val="0"/>
          <w:sz w:val="16"/>
          <w:szCs w:val="16"/>
        </w:rPr>
        <w:t>Caso Velásquez Rodríguez Vs. Honduras. Fondo. Sentencia de 29 de julio de 1988. Serie C No. 4, párr. 67, y Caso Barbani Duarte y otros Vs. Uruguay. Fondo, Reparaciones y costas. Sentencia de 13 de octubre de 2011. Serie C No. 234</w:t>
      </w:r>
      <w:r w:rsidRPr="00C95E15">
        <w:rPr>
          <w:rStyle w:val="Textoennegrita"/>
          <w:rFonts w:ascii="Verdana" w:hAnsi="Verdana"/>
          <w:b w:val="0"/>
          <w:i/>
          <w:sz w:val="16"/>
          <w:szCs w:val="16"/>
        </w:rPr>
        <w:t xml:space="preserve">, </w:t>
      </w:r>
      <w:r w:rsidRPr="00C95E15">
        <w:rPr>
          <w:rStyle w:val="Textoennegrita"/>
          <w:rFonts w:ascii="Verdana" w:hAnsi="Verdana"/>
          <w:b w:val="0"/>
          <w:sz w:val="16"/>
          <w:szCs w:val="16"/>
        </w:rPr>
        <w:t>párr. 201.</w:t>
      </w:r>
    </w:p>
  </w:footnote>
  <w:footnote w:id="113">
    <w:p w14:paraId="1477D2BB" w14:textId="7B4EAD9E" w:rsidR="003619E9" w:rsidRPr="00C95E15" w:rsidRDefault="003619E9" w:rsidP="0076370B">
      <w:pPr>
        <w:pStyle w:val="Textonotapie"/>
        <w:jc w:val="both"/>
        <w:rPr>
          <w:rFonts w:ascii="Verdana" w:hAnsi="Verdana"/>
          <w:i/>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t xml:space="preserve">Que, en  su apartado III, señala lo siguiente: </w:t>
      </w:r>
      <w:r w:rsidRPr="00C95E15">
        <w:rPr>
          <w:rFonts w:ascii="Verdana" w:hAnsi="Verdana"/>
          <w:i/>
          <w:sz w:val="16"/>
          <w:szCs w:val="16"/>
        </w:rPr>
        <w:t>“(…) no se adeudan retribuciones por tareas no cumplidas, por cuanto el sueldo es la contraprestación obligada de los servicios efectivamente prestados (…) pues el salario ha sido definido como la contraprestación del trabajo, debiéndose hacer efectivo durante un período de inactividad, sólo, cuando una disposición legal lo declara subsistente (…).”,</w:t>
      </w:r>
      <w:r w:rsidRPr="00C95E15">
        <w:rPr>
          <w:rFonts w:ascii="Verdana" w:hAnsi="Verdana"/>
          <w:sz w:val="16"/>
          <w:szCs w:val="16"/>
        </w:rPr>
        <w:t xml:space="preserve"> salvo </w:t>
      </w:r>
      <w:r w:rsidRPr="00C95E15">
        <w:rPr>
          <w:rFonts w:ascii="Verdana" w:hAnsi="Verdana"/>
          <w:i/>
          <w:sz w:val="16"/>
          <w:szCs w:val="16"/>
        </w:rPr>
        <w:t xml:space="preserve">“(…) a) que no exista una disposición expresa que contemple el caso (…)” </w:t>
      </w:r>
      <w:r w:rsidRPr="00C95E15">
        <w:rPr>
          <w:rFonts w:ascii="Verdana" w:hAnsi="Verdana"/>
          <w:sz w:val="16"/>
          <w:szCs w:val="16"/>
        </w:rPr>
        <w:t>(apartado IV)</w:t>
      </w:r>
      <w:r w:rsidRPr="00C95E15">
        <w:rPr>
          <w:rFonts w:ascii="Verdana" w:hAnsi="Verdana"/>
          <w:i/>
          <w:sz w:val="16"/>
          <w:szCs w:val="16"/>
        </w:rPr>
        <w:t>.</w:t>
      </w:r>
    </w:p>
  </w:footnote>
  <w:footnote w:id="114">
    <w:p w14:paraId="53DC020F" w14:textId="34AA9F8C"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t xml:space="preserve">En lo pertinente, en su artículo 36 prescribe: </w:t>
      </w:r>
      <w:r w:rsidRPr="00C95E15">
        <w:rPr>
          <w:rFonts w:ascii="Verdana" w:hAnsi="Verdana"/>
          <w:i/>
          <w:sz w:val="16"/>
          <w:szCs w:val="16"/>
        </w:rPr>
        <w:t>“Art. 36.-Cuando el agente se encontrare privado de libertad, será suspendido preventivamente, instruyéndose el sumario pertinente, debiendo reintegrarse al servicio dentro de los dos (2) días de recobrada la libertad</w:t>
      </w:r>
      <w:r w:rsidRPr="00C95E15">
        <w:rPr>
          <w:rFonts w:ascii="Verdana" w:hAnsi="Verdana"/>
          <w:sz w:val="16"/>
          <w:szCs w:val="16"/>
        </w:rPr>
        <w:t>”. El artículo 39 inciso a) señala que: “</w:t>
      </w:r>
      <w:r w:rsidRPr="00C95E15">
        <w:rPr>
          <w:rFonts w:ascii="Verdana" w:hAnsi="Verdana"/>
          <w:i/>
          <w:sz w:val="16"/>
          <w:szCs w:val="16"/>
        </w:rPr>
        <w:t xml:space="preserve">Art. 39.-El pago de haberes por el lapso de la suspensión se ajustará a los siguientes recaudos: </w:t>
      </w:r>
      <w:r w:rsidRPr="005B77C2">
        <w:rPr>
          <w:rFonts w:ascii="Verdana" w:hAnsi="Verdana"/>
          <w:i/>
          <w:sz w:val="16"/>
          <w:szCs w:val="16"/>
        </w:rPr>
        <w:t>a) Cuando se originare en hechos ajenos al servicio, el agente no tendrá derecho a pago alguno de haberes</w:t>
      </w:r>
      <w:r w:rsidRPr="005B77C2">
        <w:rPr>
          <w:rFonts w:ascii="Verdana" w:hAnsi="Verdana"/>
          <w:sz w:val="16"/>
          <w:szCs w:val="16"/>
        </w:rPr>
        <w:t xml:space="preserve"> (…)”.</w:t>
      </w:r>
      <w:r w:rsidRPr="00C95E15">
        <w:rPr>
          <w:rFonts w:ascii="Verdana" w:hAnsi="Verdana"/>
          <w:sz w:val="16"/>
          <w:szCs w:val="16"/>
        </w:rPr>
        <w:t xml:space="preserve"> </w:t>
      </w:r>
      <w:r w:rsidRPr="00C95E15">
        <w:rPr>
          <w:rFonts w:ascii="Verdana" w:hAnsi="Verdana"/>
          <w:i/>
          <w:sz w:val="16"/>
          <w:szCs w:val="16"/>
        </w:rPr>
        <w:t>Cfr. Disponible en:</w:t>
      </w:r>
      <w:r w:rsidRPr="00C95E15">
        <w:rPr>
          <w:rFonts w:ascii="Verdana" w:hAnsi="Verdana"/>
          <w:sz w:val="16"/>
          <w:szCs w:val="16"/>
        </w:rPr>
        <w:t xml:space="preserve"> </w:t>
      </w:r>
      <w:hyperlink r:id="rId8" w:history="1">
        <w:r w:rsidRPr="005B77C2">
          <w:rPr>
            <w:rStyle w:val="Hipervnculo"/>
            <w:rFonts w:ascii="Verdana" w:hAnsi="Verdana"/>
            <w:sz w:val="16"/>
            <w:szCs w:val="16"/>
            <w:u w:val="none"/>
          </w:rPr>
          <w:t>http://servicios.infoleg.gob.ar/infolegInternet/anexos/30000-34999/32614/norma.htm</w:t>
        </w:r>
      </w:hyperlink>
      <w:r w:rsidRPr="00C95E15">
        <w:rPr>
          <w:rFonts w:ascii="Verdana" w:hAnsi="Verdana"/>
          <w:sz w:val="16"/>
          <w:szCs w:val="16"/>
        </w:rPr>
        <w:t xml:space="preserve">. </w:t>
      </w:r>
    </w:p>
  </w:footnote>
  <w:footnote w:id="115">
    <w:p w14:paraId="3A47E725" w14:textId="6A6F4BCC" w:rsidR="003619E9" w:rsidRPr="00C95E15" w:rsidRDefault="003619E9" w:rsidP="0076370B">
      <w:pPr>
        <w:pStyle w:val="Textonotapie"/>
        <w:jc w:val="both"/>
        <w:rPr>
          <w:rFonts w:ascii="Verdana" w:hAnsi="Verdana"/>
          <w:i/>
          <w:sz w:val="16"/>
          <w:szCs w:val="16"/>
          <w:lang w:val="es-CL"/>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r>
      <w:r w:rsidRPr="00C95E15">
        <w:rPr>
          <w:rFonts w:ascii="Verdana" w:hAnsi="Verdana"/>
          <w:sz w:val="16"/>
          <w:szCs w:val="16"/>
          <w:lang w:val="es-CL"/>
        </w:rPr>
        <w:t>En su artículo 14.c, en relación a la justificación de inasistencias señala lo siguiente: “</w:t>
      </w:r>
      <w:r w:rsidRPr="00C95E15">
        <w:rPr>
          <w:rFonts w:ascii="Verdana" w:hAnsi="Verdana"/>
          <w:i/>
          <w:sz w:val="16"/>
          <w:szCs w:val="16"/>
          <w:lang w:val="es-CL"/>
        </w:rPr>
        <w:t xml:space="preserve">Art. 14.- Los agentes tienen derecho a la justificación con goce de haberes de las inasistencias en que incurran por las siguientes causas, y con las limitaciones que en cada caso se establecen: (…) c) Razones especiales. Inasistencias motivadas por fenómenos meteorológicos y casos de fuerza mayor, debidamente comprobados”. </w:t>
      </w:r>
      <w:r w:rsidRPr="00C95E15">
        <w:rPr>
          <w:rFonts w:ascii="Verdana" w:hAnsi="Verdana"/>
          <w:i/>
          <w:sz w:val="16"/>
          <w:szCs w:val="16"/>
        </w:rPr>
        <w:t>Cfr. Disponible en</w:t>
      </w:r>
      <w:r w:rsidRPr="00C95E15">
        <w:rPr>
          <w:rFonts w:ascii="Verdana" w:hAnsi="Verdana"/>
          <w:i/>
          <w:sz w:val="16"/>
          <w:szCs w:val="16"/>
          <w:lang w:val="es-CL"/>
        </w:rPr>
        <w:t xml:space="preserve">: </w:t>
      </w:r>
      <w:hyperlink r:id="rId9" w:history="1">
        <w:r w:rsidRPr="005B77C2">
          <w:rPr>
            <w:rStyle w:val="Hipervnculo"/>
            <w:rFonts w:ascii="Verdana" w:hAnsi="Verdana"/>
            <w:i/>
            <w:sz w:val="16"/>
            <w:szCs w:val="16"/>
            <w:u w:val="none"/>
            <w:lang w:val="es-CL"/>
          </w:rPr>
          <w:t>http://servicios.infoleg.gob.ar/infolegInternet/anexos/15000-19999/19213/norma.htm</w:t>
        </w:r>
      </w:hyperlink>
      <w:r w:rsidRPr="00C95E15">
        <w:rPr>
          <w:rFonts w:ascii="Verdana" w:hAnsi="Verdana"/>
          <w:i/>
          <w:sz w:val="16"/>
          <w:szCs w:val="16"/>
          <w:lang w:val="es-CL"/>
        </w:rPr>
        <w:t>.</w:t>
      </w:r>
    </w:p>
  </w:footnote>
  <w:footnote w:id="116">
    <w:p w14:paraId="737B4D48" w14:textId="77777777" w:rsidR="003619E9" w:rsidRPr="00C95E15" w:rsidRDefault="003619E9" w:rsidP="0076370B">
      <w:pPr>
        <w:pStyle w:val="Textonotapie"/>
        <w:jc w:val="both"/>
        <w:rPr>
          <w:rFonts w:ascii="Verdana" w:hAnsi="Verdana"/>
          <w:sz w:val="16"/>
          <w:szCs w:val="16"/>
          <w:lang w:val="es-CL"/>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lang w:val="es-CL"/>
        </w:rPr>
        <w:tab/>
        <w:t xml:space="preserve">En su artículo 48, inciso d).-, apartado 1, e inciso f.-, apartado a.- establecía lo siguiente: </w:t>
      </w:r>
      <w:r w:rsidRPr="00C95E15">
        <w:rPr>
          <w:rFonts w:ascii="Verdana" w:hAnsi="Verdana"/>
          <w:i/>
          <w:sz w:val="16"/>
          <w:szCs w:val="16"/>
          <w:lang w:val="es-CL"/>
        </w:rPr>
        <w:t xml:space="preserve">“Artículo 48, inciso d).- Cuando el agente se encontrare privado de la libertad o se hubiera dictado en su contra auto firme de prisión preventiva en causa por delito no culposo, por hechos ajenos o no al servicio, será suspendido preventivamente en su cargo administrativo, con sujeción a las siguientes normas: 1) La suspensión durará, en el primer caso, hasta que el agente recobre la libertad, debiendo reintegrarse al servicio sin demora, al término de su detención, presentando a su jefe inmediato un certificado relativo a su detención. […] Inciso f). El pago de haberes por el lapso de la suspensión se ajustará a los siguientes recaudos: a) Tratándose de procesos por hechos ajenos al servicio, el agente no tendrá derecho a pago alguno de haberes, cualquiera sea el resultado del pronunciamiento judicial.” Nota: </w:t>
      </w:r>
      <w:r w:rsidRPr="00C95E15">
        <w:rPr>
          <w:rFonts w:ascii="Verdana" w:hAnsi="Verdana"/>
          <w:sz w:val="16"/>
          <w:szCs w:val="16"/>
          <w:lang w:val="es-CL"/>
        </w:rPr>
        <w:t>Tanto el Decreto-Ley N° 6666/57 (artículo 39, relativo a la suspensión de los agentes) como el Decreto N° 3583/63 (apartado II, inciso a.- y apartado IV, inciso a.-), reglamentario del artículo 39 del Decreto-Ley 6666/57, contienen términos idénticos al artículo citado de la Convención Colectiva del Trabajo N° 46/7E, por lo que se dan por reproducidos.</w:t>
      </w:r>
    </w:p>
    <w:p w14:paraId="5C50B100" w14:textId="77777777" w:rsidR="003619E9" w:rsidRPr="00C95E15" w:rsidRDefault="003619E9" w:rsidP="0076370B">
      <w:pPr>
        <w:pStyle w:val="Textonotapie"/>
        <w:jc w:val="both"/>
        <w:rPr>
          <w:rFonts w:ascii="Verdana" w:hAnsi="Verdana"/>
          <w:i/>
          <w:sz w:val="16"/>
          <w:szCs w:val="16"/>
          <w:lang w:val="es-CL"/>
        </w:rPr>
      </w:pPr>
      <w:r w:rsidRPr="00C95E15">
        <w:rPr>
          <w:rFonts w:ascii="Verdana" w:hAnsi="Verdana"/>
          <w:sz w:val="16"/>
          <w:szCs w:val="16"/>
          <w:lang w:val="es-CL"/>
        </w:rPr>
        <w:t xml:space="preserve">Por otra parte, el artículo 192 de la Convención Colectiva del Trabajo N° 46/75E establecía lo siguiente: </w:t>
      </w:r>
      <w:r w:rsidRPr="00C95E15">
        <w:rPr>
          <w:rFonts w:ascii="Verdana" w:hAnsi="Verdana"/>
          <w:i/>
          <w:sz w:val="16"/>
          <w:szCs w:val="16"/>
          <w:lang w:val="es-CL"/>
        </w:rPr>
        <w:t xml:space="preserve">“Art. 192.- Fuera de los casos de licencia contemplados expresamente en el presente Convenio, </w:t>
      </w:r>
      <w:r w:rsidRPr="005B77C2">
        <w:rPr>
          <w:rFonts w:ascii="Verdana" w:hAnsi="Verdana"/>
          <w:i/>
          <w:sz w:val="16"/>
          <w:szCs w:val="16"/>
          <w:lang w:val="es-CL"/>
        </w:rPr>
        <w:t>podrán justificarse excepcionalmente y con goce de haberes, las inasistencias del personal motivadas por razones atendibles o de fuerza mayor.</w:t>
      </w:r>
      <w:r w:rsidRPr="00C95E15">
        <w:rPr>
          <w:rFonts w:ascii="Verdana" w:hAnsi="Verdana"/>
          <w:i/>
          <w:sz w:val="16"/>
          <w:szCs w:val="16"/>
          <w:lang w:val="es-CL"/>
        </w:rPr>
        <w:t xml:space="preserve"> No excederán de dos (2) por mes ni de diez (10) días por año calendario.</w:t>
      </w:r>
    </w:p>
    <w:p w14:paraId="1EA331C8" w14:textId="77777777" w:rsidR="003619E9" w:rsidRPr="00C95E15" w:rsidRDefault="003619E9" w:rsidP="0076370B">
      <w:pPr>
        <w:pStyle w:val="Textonotapie"/>
        <w:jc w:val="both"/>
        <w:rPr>
          <w:rFonts w:ascii="Verdana" w:hAnsi="Verdana"/>
          <w:i/>
          <w:sz w:val="16"/>
          <w:szCs w:val="16"/>
          <w:lang w:val="es-CL"/>
        </w:rPr>
      </w:pPr>
      <w:r w:rsidRPr="00C95E15">
        <w:rPr>
          <w:rFonts w:ascii="Verdana" w:hAnsi="Verdana"/>
          <w:i/>
          <w:sz w:val="16"/>
          <w:szCs w:val="16"/>
          <w:lang w:val="es-CL"/>
        </w:rPr>
        <w:t xml:space="preserve">Serán consideradas asimismo con goce de sueldo y </w:t>
      </w:r>
      <w:r w:rsidRPr="005B77C2">
        <w:rPr>
          <w:rFonts w:ascii="Verdana" w:hAnsi="Verdana"/>
          <w:i/>
          <w:sz w:val="16"/>
          <w:szCs w:val="16"/>
          <w:lang w:val="es-CL"/>
        </w:rPr>
        <w:t>no serán computadas a los fines de las limitaciones de días mensuales y anuales establecidas por este artículo: a) Las inasistencias motivadas por fenómenos meteorológicos especiales o casos de fuerza mayor debidamente comprobados; (…)”.</w:t>
      </w:r>
    </w:p>
  </w:footnote>
  <w:footnote w:id="117">
    <w:p w14:paraId="6CB54B7D" w14:textId="77777777"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r>
      <w:r w:rsidRPr="00C95E15">
        <w:rPr>
          <w:rFonts w:ascii="Verdana" w:hAnsi="Verdana"/>
          <w:i/>
          <w:sz w:val="16"/>
          <w:szCs w:val="16"/>
        </w:rPr>
        <w:t>Cfr.</w:t>
      </w:r>
      <w:r w:rsidRPr="00C95E15">
        <w:rPr>
          <w:rFonts w:ascii="Verdana" w:hAnsi="Verdana"/>
          <w:sz w:val="16"/>
          <w:szCs w:val="16"/>
        </w:rPr>
        <w:t xml:space="preserve"> Resolución del Juez Federal del 6 de febrero de 1992 a la demanda de Juan José Preckel (expediente de prueba, ff.1484 a 1488).</w:t>
      </w:r>
    </w:p>
  </w:footnote>
  <w:footnote w:id="118">
    <w:p w14:paraId="66100B61" w14:textId="52081F20"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r>
      <w:r w:rsidRPr="00C95E15">
        <w:rPr>
          <w:rFonts w:ascii="Verdana" w:hAnsi="Verdana"/>
          <w:i/>
          <w:sz w:val="16"/>
          <w:szCs w:val="16"/>
        </w:rPr>
        <w:t>Cfr.</w:t>
      </w:r>
      <w:r w:rsidRPr="00C95E15">
        <w:rPr>
          <w:rFonts w:ascii="Verdana" w:hAnsi="Verdana"/>
          <w:sz w:val="16"/>
          <w:szCs w:val="16"/>
        </w:rPr>
        <w:t xml:space="preserve"> Resolución de la Sala III de la Cámara Nacional de Apelaciones en lo Contencioso Administrativo Federal del 24 de noviembre de 1992 (expediente de fondo, anexo 4.d del Informe de Fondo, ff. 243 a 246).</w:t>
      </w:r>
    </w:p>
  </w:footnote>
  <w:footnote w:id="119">
    <w:p w14:paraId="401C78A4" w14:textId="367B1D4F"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r>
      <w:r w:rsidRPr="00C95E15">
        <w:rPr>
          <w:rFonts w:ascii="Verdana" w:hAnsi="Verdana"/>
          <w:i/>
          <w:sz w:val="16"/>
          <w:szCs w:val="16"/>
        </w:rPr>
        <w:t>Cfr.</w:t>
      </w:r>
      <w:r w:rsidRPr="00C95E15">
        <w:rPr>
          <w:rFonts w:ascii="Verdana" w:hAnsi="Verdana"/>
          <w:sz w:val="16"/>
          <w:szCs w:val="16"/>
        </w:rPr>
        <w:t xml:space="preserve"> Sentencia de la Sala III de la Cámara de Apelaciones de lo Contencioso Administrativo federal sobre recurso interpuesto por Juan José Preckel del 4 de marzo de 1993 (expediente de prueba, anexo 4.f del Informe de Fondo, f. 268).</w:t>
      </w:r>
    </w:p>
  </w:footnote>
  <w:footnote w:id="120">
    <w:p w14:paraId="686B5053" w14:textId="77777777" w:rsidR="003619E9" w:rsidRPr="00C95E15" w:rsidRDefault="003619E9" w:rsidP="0076370B">
      <w:pPr>
        <w:pStyle w:val="Textonotapie"/>
        <w:jc w:val="both"/>
        <w:rPr>
          <w:rFonts w:ascii="Verdana" w:hAnsi="Verdana"/>
          <w:sz w:val="16"/>
          <w:szCs w:val="16"/>
          <w:lang w:val="es-CR"/>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r>
      <w:r w:rsidRPr="00C95E15">
        <w:rPr>
          <w:rFonts w:ascii="Verdana" w:hAnsi="Verdana"/>
          <w:i/>
          <w:sz w:val="16"/>
          <w:szCs w:val="16"/>
        </w:rPr>
        <w:t>Cfr.</w:t>
      </w:r>
      <w:r w:rsidRPr="00C95E15">
        <w:rPr>
          <w:rFonts w:ascii="Verdana" w:hAnsi="Verdana"/>
          <w:sz w:val="16"/>
          <w:szCs w:val="16"/>
        </w:rPr>
        <w:t xml:space="preserve"> CPCCN, </w:t>
      </w:r>
      <w:r w:rsidRPr="00C95E15">
        <w:rPr>
          <w:rFonts w:ascii="Verdana" w:hAnsi="Verdana"/>
          <w:bCs/>
          <w:sz w:val="16"/>
          <w:szCs w:val="16"/>
          <w:lang w:val="es-CR"/>
        </w:rPr>
        <w:t>Articulo 280.-</w:t>
      </w:r>
      <w:r w:rsidRPr="00C95E15">
        <w:rPr>
          <w:rFonts w:ascii="Verdana" w:hAnsi="Verdana"/>
          <w:sz w:val="16"/>
          <w:szCs w:val="16"/>
          <w:lang w:val="es-CR"/>
        </w:rPr>
        <w:t> llamamiento de autos. Rechazo del recurso extraordinario. Memoriales en el recurso ordinario. Cuando la Corte Suprema conociere por recurso extraordinario, la recepción de la causa implicará el llamamiento de autos. La Corte, según su sana discreción, y con la sola invocación de esta norma, podrá rechazar el recurso extraordinario, por falta de agravio federal suficiente o cuando las cuestiones planteadas resultaren insustanciales o carentes de trascendencia. Si se tratare del recurso ordinario del artículo 254, recibido el expediente será puesto en secretaría, notificándose la providencia que así lo ordene personalmente o por cédula. El apelante deberá presentar memorial dentro del término de DIEZ (10) días, del que se dará traslado a la otra parte por el mismo plazo. La falta de presentación del memorial o su insuficiencia traerá aparejada la deserción del recurso. Contestado el traslado o transcurrido el plazo para hacerlo se llamará autos. En ningún caso se admitirá la apertura a prueba ni la alegación de hechos nuevos.</w:t>
      </w:r>
    </w:p>
  </w:footnote>
  <w:footnote w:id="121">
    <w:p w14:paraId="77F57EEE" w14:textId="77777777"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r>
      <w:r w:rsidRPr="00C95E15">
        <w:rPr>
          <w:rFonts w:ascii="Verdana" w:hAnsi="Verdana"/>
          <w:i/>
          <w:sz w:val="16"/>
          <w:szCs w:val="16"/>
        </w:rPr>
        <w:t>Cfr.</w:t>
      </w:r>
      <w:r w:rsidRPr="00C95E15">
        <w:rPr>
          <w:rFonts w:ascii="Verdana" w:hAnsi="Verdana"/>
          <w:sz w:val="16"/>
          <w:szCs w:val="16"/>
        </w:rPr>
        <w:t xml:space="preserve"> Resolución de la Corte Suprema del 21 de mayo de 1996 (expediente de prueba, anexo 4.h del Informe de Fondo, f. 293).</w:t>
      </w:r>
    </w:p>
  </w:footnote>
  <w:footnote w:id="122">
    <w:p w14:paraId="00CA576A" w14:textId="77777777" w:rsidR="003619E9" w:rsidRPr="00C95E15" w:rsidRDefault="003619E9" w:rsidP="004D6659">
      <w:pPr>
        <w:pStyle w:val="Textonotapie"/>
        <w:jc w:val="both"/>
        <w:rPr>
          <w:rFonts w:ascii="Verdana" w:hAnsi="Verdana"/>
          <w:sz w:val="16"/>
          <w:szCs w:val="16"/>
        </w:rPr>
      </w:pPr>
      <w:r w:rsidRPr="00C95E15">
        <w:rPr>
          <w:rStyle w:val="Refdenotaalpie"/>
        </w:rPr>
        <w:footnoteRef/>
      </w:r>
      <w:r w:rsidRPr="00C95E15">
        <w:t xml:space="preserve"> </w:t>
      </w:r>
      <w:r w:rsidRPr="00C95E15">
        <w:tab/>
      </w:r>
      <w:r w:rsidRPr="00C95E15">
        <w:rPr>
          <w:rFonts w:ascii="Verdana" w:hAnsi="Verdana"/>
          <w:i/>
          <w:sz w:val="16"/>
          <w:szCs w:val="16"/>
        </w:rPr>
        <w:t>Cfr.</w:t>
      </w:r>
      <w:r w:rsidRPr="00C95E15">
        <w:rPr>
          <w:rFonts w:ascii="Verdana" w:hAnsi="Verdana"/>
          <w:sz w:val="16"/>
          <w:szCs w:val="16"/>
        </w:rPr>
        <w:t xml:space="preserve"> Oficio N°. 74/85 del Director General de Asuntos Jurídicos del Ministerio de Economía del 24 de julio de 1985 (expediente de fondo, anexo 3.k del Informe de Fondo, f.174).</w:t>
      </w:r>
    </w:p>
  </w:footnote>
  <w:footnote w:id="123">
    <w:p w14:paraId="25EB7E50" w14:textId="77777777"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r>
      <w:r w:rsidRPr="00C95E15">
        <w:rPr>
          <w:rFonts w:ascii="Verdana" w:hAnsi="Verdana"/>
          <w:i/>
          <w:sz w:val="16"/>
          <w:szCs w:val="16"/>
        </w:rPr>
        <w:t>Cfr.</w:t>
      </w:r>
      <w:r w:rsidRPr="00C95E15">
        <w:rPr>
          <w:rFonts w:ascii="Verdana" w:hAnsi="Verdana"/>
          <w:sz w:val="16"/>
          <w:szCs w:val="16"/>
        </w:rPr>
        <w:t xml:space="preserve"> Resolución de la Cámara Nacional de Apelaciones del 21 de septiembre de 1993 sobre la Causa n° 28.414 (expediente de prueba, anexo 4.j del Informe de Fondo, ff. 321 a 331).</w:t>
      </w:r>
    </w:p>
  </w:footnote>
  <w:footnote w:id="124">
    <w:p w14:paraId="38239BB9" w14:textId="77777777"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r>
      <w:r w:rsidRPr="00C95E15">
        <w:rPr>
          <w:rFonts w:ascii="Verdana" w:hAnsi="Verdana"/>
          <w:i/>
          <w:sz w:val="16"/>
          <w:szCs w:val="16"/>
          <w:lang w:val="es-CO"/>
        </w:rPr>
        <w:t xml:space="preserve">Cfr. </w:t>
      </w:r>
      <w:r w:rsidRPr="00C95E15">
        <w:rPr>
          <w:rFonts w:ascii="Verdana" w:eastAsia="Calibri" w:hAnsi="Verdana"/>
          <w:bCs/>
          <w:i/>
          <w:color w:val="000000"/>
          <w:sz w:val="16"/>
          <w:szCs w:val="16"/>
          <w:shd w:val="clear" w:color="auto" w:fill="FFFFFF"/>
          <w:lang w:val="es-CR" w:eastAsia="es-CR"/>
        </w:rPr>
        <w:t xml:space="preserve">Caso Trabajadores Cesados de Petroperú y otros Vs. Perú. Excepciones Preliminares, Fondo, Reparaciones y Costas. </w:t>
      </w:r>
      <w:r w:rsidRPr="00C95E15">
        <w:rPr>
          <w:rFonts w:ascii="Verdana" w:eastAsia="Calibri" w:hAnsi="Verdana"/>
          <w:bCs/>
          <w:color w:val="000000"/>
          <w:sz w:val="16"/>
          <w:szCs w:val="16"/>
          <w:shd w:val="clear" w:color="auto" w:fill="FFFFFF"/>
          <w:lang w:val="es-CR" w:eastAsia="es-CR"/>
        </w:rPr>
        <w:t>Sentencia de 23 de noviembre de 2017. Serie C No. 344, párr. 177</w:t>
      </w:r>
      <w:r w:rsidRPr="00C95E15">
        <w:rPr>
          <w:rFonts w:ascii="Verdana" w:eastAsia="Calibri" w:hAnsi="Verdana"/>
          <w:bCs/>
          <w:i/>
          <w:color w:val="000000"/>
          <w:sz w:val="16"/>
          <w:szCs w:val="16"/>
          <w:shd w:val="clear" w:color="auto" w:fill="FFFFFF"/>
          <w:lang w:val="es-CR" w:eastAsia="es-CR"/>
        </w:rPr>
        <w:t>.</w:t>
      </w:r>
    </w:p>
  </w:footnote>
  <w:footnote w:id="125">
    <w:p w14:paraId="5E6FB37A" w14:textId="202934F5"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r>
      <w:r w:rsidRPr="00C95E15">
        <w:rPr>
          <w:rFonts w:ascii="Verdana" w:hAnsi="Verdana"/>
          <w:i/>
          <w:sz w:val="16"/>
          <w:szCs w:val="16"/>
        </w:rPr>
        <w:t>Cfr. Caso Suárez Rosero Vs. Ecuador. Fondo</w:t>
      </w:r>
      <w:r w:rsidRPr="00C95E15">
        <w:rPr>
          <w:rFonts w:ascii="Verdana" w:hAnsi="Verdana"/>
          <w:sz w:val="16"/>
          <w:szCs w:val="16"/>
        </w:rPr>
        <w:t xml:space="preserve">. Sentencia de 12 de noviembre de 1997. Serie C No. 35, párr. 71 y </w:t>
      </w:r>
      <w:r w:rsidRPr="00C95E15">
        <w:rPr>
          <w:rFonts w:ascii="Verdana" w:hAnsi="Verdana"/>
          <w:i/>
          <w:sz w:val="16"/>
          <w:szCs w:val="16"/>
        </w:rPr>
        <w:t>Caso Argüelles y otros Vs. Argentina. Excepciones Preliminares, Fondo, Reparaciones y Costas</w:t>
      </w:r>
      <w:r w:rsidRPr="00C95E15">
        <w:rPr>
          <w:rFonts w:ascii="Verdana" w:hAnsi="Verdana"/>
          <w:sz w:val="16"/>
          <w:szCs w:val="16"/>
        </w:rPr>
        <w:t>. Sentencia de 20 de noviembre de 2014. Serie C No. 288, párr. 188.</w:t>
      </w:r>
    </w:p>
  </w:footnote>
  <w:footnote w:id="126">
    <w:p w14:paraId="7E4538F7" w14:textId="492DBA9F"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r>
      <w:r w:rsidRPr="00C95E15">
        <w:rPr>
          <w:rFonts w:ascii="Verdana" w:hAnsi="Verdana"/>
          <w:i/>
          <w:sz w:val="16"/>
          <w:szCs w:val="16"/>
        </w:rPr>
        <w:t>Cfr. Caso Bulacio Vs. Argentina. Fondo, Reparaciones y Costas</w:t>
      </w:r>
      <w:r w:rsidRPr="00C95E15">
        <w:rPr>
          <w:rFonts w:ascii="Verdana" w:hAnsi="Verdana"/>
          <w:sz w:val="16"/>
          <w:szCs w:val="16"/>
        </w:rPr>
        <w:t xml:space="preserve">. Sentencia de 18 de septiembre de 2003. Serie C No. 100, párr. 114, y </w:t>
      </w:r>
      <w:r w:rsidRPr="00C95E15">
        <w:rPr>
          <w:rFonts w:ascii="Verdana" w:hAnsi="Verdana"/>
          <w:i/>
          <w:sz w:val="16"/>
          <w:szCs w:val="16"/>
        </w:rPr>
        <w:t xml:space="preserve">Caso Alvarado Espinoza Vs. México. </w:t>
      </w:r>
      <w:r w:rsidRPr="00C95E15">
        <w:rPr>
          <w:rFonts w:ascii="Verdana" w:hAnsi="Verdana"/>
          <w:sz w:val="16"/>
          <w:szCs w:val="16"/>
        </w:rPr>
        <w:t>Sentencia de 28 de noviembre de 2018. Serie C No. 370, párr. 250.</w:t>
      </w:r>
    </w:p>
  </w:footnote>
  <w:footnote w:id="127">
    <w:p w14:paraId="40A76047" w14:textId="1C9EFA26"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r>
      <w:r w:rsidRPr="00C95E15">
        <w:rPr>
          <w:rFonts w:ascii="Verdana" w:hAnsi="Verdana"/>
          <w:i/>
          <w:sz w:val="16"/>
          <w:szCs w:val="16"/>
        </w:rPr>
        <w:t>Cfr. Caso Hilaire, Constantine y Benjamin y otros Vs. Trinidad y Tobago</w:t>
      </w:r>
      <w:r w:rsidRPr="00C95E15">
        <w:rPr>
          <w:rFonts w:ascii="Verdana" w:hAnsi="Verdana"/>
          <w:sz w:val="16"/>
          <w:szCs w:val="16"/>
        </w:rPr>
        <w:t xml:space="preserve">. </w:t>
      </w:r>
      <w:r w:rsidRPr="00C95E15">
        <w:rPr>
          <w:rFonts w:ascii="Verdana" w:hAnsi="Verdana"/>
          <w:i/>
          <w:sz w:val="16"/>
          <w:szCs w:val="16"/>
        </w:rPr>
        <w:t>Fondo, Reparaciones y Costas</w:t>
      </w:r>
      <w:r w:rsidRPr="00C95E15">
        <w:rPr>
          <w:rFonts w:ascii="Verdana" w:hAnsi="Verdana"/>
          <w:sz w:val="16"/>
          <w:szCs w:val="16"/>
        </w:rPr>
        <w:t xml:space="preserve">. Sentencia de 21 de junio de 2002. Serie C No. 94, párr. 145; </w:t>
      </w:r>
      <w:r w:rsidRPr="00C95E15">
        <w:rPr>
          <w:rFonts w:ascii="Verdana" w:hAnsi="Verdana"/>
          <w:i/>
          <w:sz w:val="16"/>
          <w:szCs w:val="16"/>
        </w:rPr>
        <w:t>Cfr.</w:t>
      </w:r>
      <w:r w:rsidRPr="00C95E15">
        <w:rPr>
          <w:rFonts w:ascii="Verdana" w:hAnsi="Verdana"/>
          <w:sz w:val="16"/>
          <w:szCs w:val="16"/>
        </w:rPr>
        <w:t xml:space="preserve"> </w:t>
      </w:r>
      <w:r w:rsidRPr="00C95E15">
        <w:rPr>
          <w:rFonts w:ascii="Verdana" w:hAnsi="Verdana"/>
          <w:i/>
          <w:sz w:val="16"/>
          <w:szCs w:val="16"/>
        </w:rPr>
        <w:t>Caso Anzualdo Castro, supra</w:t>
      </w:r>
      <w:r w:rsidRPr="00C95E15">
        <w:rPr>
          <w:rFonts w:ascii="Verdana" w:hAnsi="Verdana"/>
          <w:sz w:val="16"/>
          <w:szCs w:val="16"/>
        </w:rPr>
        <w:t xml:space="preserve">, párr. 124, y </w:t>
      </w:r>
      <w:r w:rsidRPr="00C95E15">
        <w:rPr>
          <w:rFonts w:ascii="Verdana" w:hAnsi="Verdana"/>
          <w:i/>
          <w:sz w:val="16"/>
          <w:szCs w:val="16"/>
        </w:rPr>
        <w:t>Cfr. Caso Gonzalez Medina y familiares Vs. República Dominicana</w:t>
      </w:r>
      <w:r w:rsidRPr="00C95E15">
        <w:rPr>
          <w:rFonts w:ascii="Verdana" w:hAnsi="Verdana"/>
          <w:sz w:val="16"/>
          <w:szCs w:val="16"/>
        </w:rPr>
        <w:t xml:space="preserve">. Excepciones preliminares, Fondo, Reparaciones y Costas. Sentencias de 27 de febrero de 2012 serie C No. 240, párr. 257. </w:t>
      </w:r>
    </w:p>
  </w:footnote>
  <w:footnote w:id="128">
    <w:p w14:paraId="70256A11" w14:textId="256EE63E"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r>
      <w:r w:rsidRPr="00C95E15">
        <w:rPr>
          <w:rFonts w:ascii="Verdana" w:hAnsi="Verdana"/>
          <w:i/>
          <w:sz w:val="16"/>
          <w:szCs w:val="16"/>
        </w:rPr>
        <w:t xml:space="preserve">Cfr. </w:t>
      </w:r>
      <w:r w:rsidRPr="00C95E15">
        <w:rPr>
          <w:rFonts w:ascii="Verdana" w:hAnsi="Verdana" w:cs="Tahoma"/>
          <w:i/>
          <w:sz w:val="16"/>
          <w:szCs w:val="16"/>
        </w:rPr>
        <w:t>Caso Valle Jaramillo y otros Vs. Colombia. Fondo, Reparaciones y Costas</w:t>
      </w:r>
      <w:r w:rsidRPr="00C95E15">
        <w:rPr>
          <w:rFonts w:ascii="Verdana" w:hAnsi="Verdana" w:cs="Tahoma"/>
          <w:sz w:val="16"/>
          <w:szCs w:val="16"/>
        </w:rPr>
        <w:t xml:space="preserve">. Sentencia de 27 de noviembre de 2008. Serie C No. 192, párr. 155, y Cfr. </w:t>
      </w:r>
      <w:r w:rsidRPr="00C95E15">
        <w:rPr>
          <w:rFonts w:ascii="Verdana" w:hAnsi="Verdana" w:cs="Tahoma"/>
          <w:i/>
          <w:sz w:val="16"/>
          <w:szCs w:val="16"/>
        </w:rPr>
        <w:t>Caso Alvarado Espinoza Vs. México, supra</w:t>
      </w:r>
      <w:r w:rsidRPr="00C95E15">
        <w:rPr>
          <w:rFonts w:ascii="Verdana" w:hAnsi="Verdana" w:cs="Tahoma"/>
          <w:sz w:val="16"/>
          <w:szCs w:val="16"/>
        </w:rPr>
        <w:t>, párr. 250.</w:t>
      </w:r>
    </w:p>
  </w:footnote>
  <w:footnote w:id="129">
    <w:p w14:paraId="155ADB28" w14:textId="77777777"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r>
      <w:r w:rsidRPr="00C95E15">
        <w:rPr>
          <w:rFonts w:ascii="Verdana" w:hAnsi="Verdana"/>
          <w:i/>
          <w:sz w:val="16"/>
          <w:szCs w:val="16"/>
        </w:rPr>
        <w:t>Cfr. Caso Furlan y Familiares Vs. Argentina. Excepciones preliminares, Fondo, Reparaciones y Costas</w:t>
      </w:r>
      <w:r w:rsidRPr="00C95E15">
        <w:rPr>
          <w:rFonts w:ascii="Verdana" w:hAnsi="Verdana"/>
          <w:sz w:val="16"/>
          <w:szCs w:val="16"/>
        </w:rPr>
        <w:t>. Sentencia de 31 de agosto de 2012. Serie C No. 246</w:t>
      </w:r>
    </w:p>
  </w:footnote>
  <w:footnote w:id="130">
    <w:p w14:paraId="59965948" w14:textId="77777777"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t xml:space="preserve">Cfr. </w:t>
      </w:r>
      <w:r w:rsidRPr="00C95E15">
        <w:rPr>
          <w:rFonts w:ascii="Verdana" w:hAnsi="Verdana"/>
          <w:i/>
          <w:sz w:val="16"/>
          <w:szCs w:val="16"/>
        </w:rPr>
        <w:t>Mutatis mutandi</w:t>
      </w:r>
      <w:r w:rsidRPr="00C95E15">
        <w:rPr>
          <w:rFonts w:ascii="Verdana" w:hAnsi="Verdana"/>
          <w:sz w:val="16"/>
          <w:szCs w:val="16"/>
        </w:rPr>
        <w:t xml:space="preserve">: </w:t>
      </w:r>
      <w:r w:rsidRPr="00C95E15">
        <w:rPr>
          <w:rFonts w:ascii="Verdana" w:hAnsi="Verdana"/>
          <w:i/>
          <w:sz w:val="16"/>
          <w:szCs w:val="16"/>
        </w:rPr>
        <w:t>Caso de las Comunidades Afrodescendientes Desplazadas de la Cuenca del Río Cacarica (Operación Génesis) Vs. Colombia. Excepciones Preliminares, Fondo, Reparaciones y Costas</w:t>
      </w:r>
      <w:r w:rsidRPr="00C95E15">
        <w:rPr>
          <w:rFonts w:ascii="Verdana" w:hAnsi="Verdana"/>
          <w:sz w:val="16"/>
          <w:szCs w:val="16"/>
        </w:rPr>
        <w:t xml:space="preserve">. Sentencia de 20 de noviembre de 2013. Serie C No. 270, párr. 403; </w:t>
      </w:r>
      <w:r w:rsidRPr="00C95E15">
        <w:rPr>
          <w:rFonts w:ascii="Verdana" w:hAnsi="Verdana"/>
          <w:i/>
          <w:sz w:val="16"/>
          <w:szCs w:val="16"/>
        </w:rPr>
        <w:t>Caso Carvajal Carvajal y otros Vs. Colombia</w:t>
      </w:r>
      <w:r w:rsidRPr="00C95E15">
        <w:rPr>
          <w:rFonts w:ascii="Verdana" w:hAnsi="Verdana"/>
          <w:sz w:val="16"/>
          <w:szCs w:val="16"/>
        </w:rPr>
        <w:t xml:space="preserve">. </w:t>
      </w:r>
      <w:r w:rsidRPr="00C95E15">
        <w:rPr>
          <w:rFonts w:ascii="Verdana" w:hAnsi="Verdana"/>
          <w:i/>
          <w:sz w:val="16"/>
          <w:szCs w:val="16"/>
        </w:rPr>
        <w:t>Fondo, Reparaciones y Costas</w:t>
      </w:r>
      <w:r w:rsidRPr="00C95E15">
        <w:rPr>
          <w:rFonts w:ascii="Verdana" w:hAnsi="Verdana"/>
          <w:sz w:val="16"/>
          <w:szCs w:val="16"/>
        </w:rPr>
        <w:t xml:space="preserve">. Sentencia de 13 de marzo de 2018. Serie C No. 352, párr. 165;  </w:t>
      </w:r>
      <w:r w:rsidRPr="00C95E15">
        <w:rPr>
          <w:rFonts w:ascii="Verdana" w:hAnsi="Verdana"/>
          <w:i/>
          <w:sz w:val="16"/>
          <w:szCs w:val="16"/>
        </w:rPr>
        <w:t>Caso Andrade Salmón Vs. Bolivia.</w:t>
      </w:r>
      <w:r w:rsidRPr="00C95E15">
        <w:rPr>
          <w:rFonts w:ascii="Verdana" w:hAnsi="Verdana"/>
          <w:sz w:val="16"/>
          <w:szCs w:val="16"/>
        </w:rPr>
        <w:t xml:space="preserve"> </w:t>
      </w:r>
      <w:r w:rsidRPr="00C95E15">
        <w:rPr>
          <w:rFonts w:ascii="Verdana" w:hAnsi="Verdana"/>
          <w:i/>
          <w:sz w:val="16"/>
          <w:szCs w:val="16"/>
        </w:rPr>
        <w:t>Fondo, Reparaciones y Costas</w:t>
      </w:r>
      <w:r w:rsidRPr="00C95E15">
        <w:rPr>
          <w:rFonts w:ascii="Verdana" w:hAnsi="Verdana"/>
          <w:sz w:val="16"/>
          <w:szCs w:val="16"/>
        </w:rPr>
        <w:t>. Sentencia de 1 de diciembre de 2016. Serie C No. 330, párrs. 165, 170, 177, 179.</w:t>
      </w:r>
    </w:p>
  </w:footnote>
  <w:footnote w:id="131">
    <w:p w14:paraId="77EC117E" w14:textId="77777777"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r>
      <w:r w:rsidRPr="00C95E15">
        <w:rPr>
          <w:rFonts w:ascii="Verdana" w:hAnsi="Verdana"/>
          <w:i/>
          <w:sz w:val="16"/>
          <w:szCs w:val="16"/>
        </w:rPr>
        <w:t>Cfr. Caso Vereda la Esperanza Vs. Colombia. Excepciones Preliminares, Fondo, Reparaciones y Costas</w:t>
      </w:r>
      <w:r w:rsidRPr="00C95E15">
        <w:rPr>
          <w:rFonts w:ascii="Verdana" w:hAnsi="Verdana"/>
          <w:sz w:val="16"/>
          <w:szCs w:val="16"/>
        </w:rPr>
        <w:t>. Sentencia de 31 de agosto de 2017. Serie C No. 341, párr. 203.</w:t>
      </w:r>
    </w:p>
  </w:footnote>
  <w:footnote w:id="132">
    <w:p w14:paraId="1AD49213" w14:textId="77777777"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ab/>
      </w:r>
      <w:r w:rsidRPr="00C95E15">
        <w:rPr>
          <w:rFonts w:ascii="Verdana" w:hAnsi="Verdana"/>
          <w:i/>
          <w:sz w:val="16"/>
          <w:szCs w:val="16"/>
        </w:rPr>
        <w:t>Cfr. Caso Velásquez Rodríguez Vs. Honduras. Reparaciones y Costas</w:t>
      </w:r>
      <w:r w:rsidRPr="00C95E15">
        <w:rPr>
          <w:rFonts w:ascii="Verdana" w:hAnsi="Verdana"/>
          <w:sz w:val="16"/>
          <w:szCs w:val="16"/>
        </w:rPr>
        <w:t>. Sentencia de 21 de julio de 1989. Serie C No. 7, párr. 26, y nota para edición: agregar último caso.</w:t>
      </w:r>
    </w:p>
  </w:footnote>
  <w:footnote w:id="133">
    <w:p w14:paraId="67F4904F" w14:textId="77777777"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r>
      <w:r w:rsidRPr="00C95E15">
        <w:rPr>
          <w:rFonts w:ascii="Verdana" w:hAnsi="Verdana"/>
          <w:i/>
          <w:sz w:val="16"/>
          <w:szCs w:val="16"/>
        </w:rPr>
        <w:t>Cfr. Caso Velásquez Rodríguez Vs. Honduras. Reparaciones y Costas</w:t>
      </w:r>
      <w:r w:rsidRPr="00C95E15">
        <w:rPr>
          <w:rFonts w:ascii="Verdana" w:hAnsi="Verdana"/>
          <w:sz w:val="16"/>
          <w:szCs w:val="16"/>
        </w:rPr>
        <w:t>. Sentencia de 21 de julio de 1989. Serie C No. 7, párr. 26, y nota para edición: agregar último caso.</w:t>
      </w:r>
    </w:p>
  </w:footnote>
  <w:footnote w:id="134">
    <w:p w14:paraId="2C510363" w14:textId="77777777"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r>
      <w:r w:rsidRPr="00C95E15">
        <w:rPr>
          <w:rFonts w:ascii="Verdana" w:hAnsi="Verdana"/>
          <w:i/>
          <w:sz w:val="16"/>
          <w:szCs w:val="16"/>
        </w:rPr>
        <w:t>Cfr. Caso Velásquez Rodríguez Vs. Honduras. Reparaciones y Costas</w:t>
      </w:r>
      <w:r w:rsidRPr="00C95E15">
        <w:rPr>
          <w:rFonts w:ascii="Verdana" w:hAnsi="Verdana"/>
          <w:sz w:val="16"/>
          <w:szCs w:val="16"/>
        </w:rPr>
        <w:t>. Sentencia de 21 de julio de 1989. Serie C No. 7, párr. 26, y nota para edición: agregar último caso.</w:t>
      </w:r>
    </w:p>
  </w:footnote>
  <w:footnote w:id="135">
    <w:p w14:paraId="3AFBBAE4" w14:textId="77777777"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r>
      <w:r w:rsidRPr="00C95E15">
        <w:rPr>
          <w:rFonts w:ascii="Verdana" w:hAnsi="Verdana"/>
          <w:i/>
          <w:sz w:val="16"/>
          <w:szCs w:val="16"/>
        </w:rPr>
        <w:t>Cfr. Caso de la Masacre de Las Dos Erres Vs. Guatemala, Excepción Preliminar, Fondo, Reparaciones y Costas</w:t>
      </w:r>
      <w:r w:rsidRPr="00C95E15">
        <w:rPr>
          <w:rFonts w:ascii="Verdana" w:hAnsi="Verdana"/>
          <w:sz w:val="16"/>
          <w:szCs w:val="16"/>
        </w:rPr>
        <w:t xml:space="preserve">. Sentencia de 24 de noviembre de 2009. Serie C No. 211, párr. 226, y nota para edición: agregar último caso. </w:t>
      </w:r>
    </w:p>
  </w:footnote>
  <w:footnote w:id="136">
    <w:p w14:paraId="663D9312" w14:textId="77777777"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ab/>
      </w:r>
      <w:r w:rsidRPr="00C95E15">
        <w:rPr>
          <w:rFonts w:ascii="Verdana" w:hAnsi="Verdana"/>
          <w:i/>
          <w:sz w:val="16"/>
          <w:szCs w:val="16"/>
        </w:rPr>
        <w:t>Cfr. Caso Ticona Estrada y otros Vs. Bolivia. Fondo, Reparaciones y Costas</w:t>
      </w:r>
      <w:r w:rsidRPr="00C95E15">
        <w:rPr>
          <w:rFonts w:ascii="Verdana" w:hAnsi="Verdana"/>
          <w:sz w:val="16"/>
          <w:szCs w:val="16"/>
        </w:rPr>
        <w:t>. Sentencia de 27 de noviembre de 2008. Serie C No. 191, párr. 110, y nota para edición: agregar último caso.</w:t>
      </w:r>
    </w:p>
  </w:footnote>
  <w:footnote w:id="137">
    <w:p w14:paraId="633FF600" w14:textId="77777777" w:rsidR="003619E9" w:rsidRPr="00C95E15" w:rsidRDefault="003619E9" w:rsidP="0076370B">
      <w:pPr>
        <w:pStyle w:val="Textonotapie"/>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r>
      <w:r w:rsidRPr="00C95E15">
        <w:rPr>
          <w:rFonts w:ascii="Verdana" w:hAnsi="Verdana"/>
          <w:i/>
          <w:sz w:val="16"/>
          <w:szCs w:val="16"/>
        </w:rPr>
        <w:t>Cfr. Caso Andrade Salmón Vs. Bolivia. Fondo, Reparaciones y Costas</w:t>
      </w:r>
      <w:r w:rsidRPr="00C95E15">
        <w:rPr>
          <w:rFonts w:ascii="Verdana" w:hAnsi="Verdana"/>
          <w:sz w:val="16"/>
          <w:szCs w:val="16"/>
        </w:rPr>
        <w:t>. Sentencia de 1 de diciembre de 2016. Serie C No. 330, párr. 189, y nota para edición: agregar último caso.</w:t>
      </w:r>
    </w:p>
  </w:footnote>
  <w:footnote w:id="138">
    <w:p w14:paraId="1E91BCE9" w14:textId="77777777" w:rsidR="003619E9" w:rsidRPr="00C95E15" w:rsidRDefault="003619E9" w:rsidP="0076370B">
      <w:pPr>
        <w:spacing w:after="0" w:line="240" w:lineRule="auto"/>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lang w:val="es-ES"/>
        </w:rPr>
        <w:tab/>
      </w:r>
      <w:r w:rsidRPr="00C95E15">
        <w:rPr>
          <w:rFonts w:ascii="Verdana" w:hAnsi="Verdana"/>
          <w:i/>
          <w:sz w:val="16"/>
          <w:szCs w:val="16"/>
        </w:rPr>
        <w:t>Cfr., inter alia</w:t>
      </w:r>
      <w:r w:rsidRPr="00C95E15">
        <w:rPr>
          <w:rFonts w:ascii="Verdana" w:hAnsi="Verdana"/>
          <w:sz w:val="16"/>
          <w:szCs w:val="16"/>
        </w:rPr>
        <w:t xml:space="preserve">, </w:t>
      </w:r>
      <w:r w:rsidRPr="00C95E15">
        <w:rPr>
          <w:rFonts w:ascii="Verdana" w:hAnsi="Verdana"/>
          <w:i/>
          <w:sz w:val="16"/>
          <w:szCs w:val="16"/>
        </w:rPr>
        <w:t>Caso Cantoral Benavides Vs. Perú. Reparaciones y Costas</w:t>
      </w:r>
      <w:r w:rsidRPr="00C95E15">
        <w:rPr>
          <w:rFonts w:ascii="Verdana" w:hAnsi="Verdana"/>
          <w:sz w:val="16"/>
          <w:szCs w:val="16"/>
        </w:rPr>
        <w:t xml:space="preserve">. Sentencia de 3 de diciembre de 2001. Serie C No. 88, párr. 79; </w:t>
      </w:r>
      <w:r w:rsidRPr="00C95E15">
        <w:rPr>
          <w:rFonts w:ascii="Verdana" w:hAnsi="Verdana"/>
          <w:i/>
          <w:sz w:val="16"/>
          <w:szCs w:val="16"/>
        </w:rPr>
        <w:t>Caso Mémoli Vs. Argentina. Excepciones Preliminares, Fondo, Reparaciones y Costas.</w:t>
      </w:r>
      <w:r w:rsidRPr="00C95E15">
        <w:rPr>
          <w:rFonts w:ascii="Verdana" w:hAnsi="Verdana"/>
          <w:sz w:val="16"/>
          <w:szCs w:val="16"/>
        </w:rPr>
        <w:t xml:space="preserve"> Sentencia de 22 de agosto de 2013. Serie C No. 265, párr. 207; </w:t>
      </w:r>
      <w:r w:rsidRPr="00C95E15">
        <w:rPr>
          <w:rFonts w:ascii="Verdana" w:hAnsi="Verdana"/>
          <w:i/>
          <w:sz w:val="16"/>
          <w:szCs w:val="16"/>
        </w:rPr>
        <w:t>Caso Andrade Salmón Vs. Bolivia. Fondo, Reparaciones y Costas.</w:t>
      </w:r>
      <w:r w:rsidRPr="00C95E15">
        <w:rPr>
          <w:rFonts w:ascii="Verdana" w:hAnsi="Verdana"/>
          <w:sz w:val="16"/>
          <w:szCs w:val="16"/>
        </w:rPr>
        <w:t xml:space="preserve"> Sentencia de 1 de diciembre de 2016. Serie C No. 330, párr. 197; </w:t>
      </w:r>
      <w:r w:rsidRPr="00C95E15">
        <w:rPr>
          <w:rFonts w:ascii="Verdana" w:hAnsi="Verdana"/>
          <w:i/>
          <w:sz w:val="16"/>
          <w:szCs w:val="16"/>
        </w:rPr>
        <w:t>Caso Favela Nova Brasília Vs. Brasil. Excepciones Preliminares, Fondo, Reparaciones y Costas</w:t>
      </w:r>
      <w:r w:rsidRPr="00C95E15">
        <w:rPr>
          <w:rFonts w:ascii="Verdana" w:hAnsi="Verdana"/>
          <w:sz w:val="16"/>
          <w:szCs w:val="16"/>
        </w:rPr>
        <w:t xml:space="preserve">. Sentencia de 16 de febrero de 2017. Serie C No. 333, párr. 300; </w:t>
      </w:r>
      <w:r w:rsidRPr="00C95E15">
        <w:rPr>
          <w:rFonts w:ascii="Verdana" w:hAnsi="Verdana"/>
          <w:i/>
          <w:sz w:val="16"/>
          <w:szCs w:val="16"/>
        </w:rPr>
        <w:t>Caso López Soto y otros Vs. Venezuela. Fondo, Reparaciones y Costas</w:t>
      </w:r>
      <w:r w:rsidRPr="00C95E15">
        <w:rPr>
          <w:rFonts w:ascii="Verdana" w:hAnsi="Verdana"/>
          <w:sz w:val="16"/>
          <w:szCs w:val="16"/>
        </w:rPr>
        <w:t xml:space="preserve">. Sentencia de 26 de septiembre de 2018. Serie C No. 362, párr. 299 y </w:t>
      </w:r>
      <w:r w:rsidRPr="00C95E15">
        <w:rPr>
          <w:rFonts w:ascii="Verdana" w:hAnsi="Verdana"/>
          <w:i/>
          <w:sz w:val="16"/>
          <w:szCs w:val="16"/>
        </w:rPr>
        <w:t>Caso Martínez Coronado Vs. Guatemala. Fondo, Reparaciones y Costas.</w:t>
      </w:r>
      <w:r w:rsidRPr="00C95E15">
        <w:rPr>
          <w:rFonts w:ascii="Verdana" w:hAnsi="Verdana"/>
          <w:sz w:val="16"/>
          <w:szCs w:val="16"/>
        </w:rPr>
        <w:t xml:space="preserve"> Sentencia de 10 de mayo de 2019. Serie C No. 376, párr. 98.</w:t>
      </w:r>
    </w:p>
  </w:footnote>
  <w:footnote w:id="139">
    <w:p w14:paraId="5808EF97" w14:textId="19EF5062" w:rsidR="003619E9" w:rsidRPr="00C95E15" w:rsidRDefault="003619E9" w:rsidP="0076370B">
      <w:pPr>
        <w:spacing w:after="0" w:line="240" w:lineRule="auto"/>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rPr>
        <w:tab/>
        <w:t xml:space="preserve">Cfr. </w:t>
      </w:r>
      <w:r w:rsidRPr="00C95E15">
        <w:rPr>
          <w:rFonts w:ascii="Verdana" w:hAnsi="Verdana"/>
          <w:i/>
          <w:sz w:val="16"/>
          <w:szCs w:val="16"/>
        </w:rPr>
        <w:t>Caso Bámaca Velásquez Vs. Guatemala. Reparaciones y Costas.</w:t>
      </w:r>
      <w:r w:rsidRPr="00C95E15">
        <w:rPr>
          <w:rFonts w:ascii="Verdana" w:hAnsi="Verdana"/>
          <w:sz w:val="16"/>
          <w:szCs w:val="16"/>
        </w:rPr>
        <w:t xml:space="preserve"> Sentencia de 22 de febrero de 2002. Serie C No. 91, párr. 43, y </w:t>
      </w:r>
      <w:r w:rsidRPr="00C95E15">
        <w:rPr>
          <w:rFonts w:ascii="Verdana" w:hAnsi="Verdana"/>
          <w:i/>
          <w:sz w:val="16"/>
          <w:szCs w:val="16"/>
        </w:rPr>
        <w:t>Caso Martínez Coronado Vs. Guatemala. Fondo, Reparaciones y Costas</w:t>
      </w:r>
      <w:r w:rsidRPr="00C95E15">
        <w:rPr>
          <w:rFonts w:ascii="Verdana" w:hAnsi="Verdana"/>
          <w:sz w:val="16"/>
          <w:szCs w:val="16"/>
        </w:rPr>
        <w:t>. Sentencia de 10 de mayo de 2019. Serie C No. 376, párr. 92.</w:t>
      </w:r>
    </w:p>
  </w:footnote>
  <w:footnote w:id="140">
    <w:p w14:paraId="69DC4F7E" w14:textId="77777777" w:rsidR="003619E9" w:rsidRPr="00C95E15" w:rsidRDefault="003619E9" w:rsidP="0076370B">
      <w:pPr>
        <w:spacing w:after="0" w:line="240" w:lineRule="auto"/>
        <w:jc w:val="both"/>
        <w:rPr>
          <w:rFonts w:ascii="Verdana" w:hAnsi="Verdana"/>
          <w:sz w:val="16"/>
          <w:szCs w:val="16"/>
        </w:rPr>
      </w:pPr>
      <w:r w:rsidRPr="00C95E15">
        <w:rPr>
          <w:rStyle w:val="Refdenotaalpie"/>
          <w:rFonts w:ascii="Verdana" w:hAnsi="Verdana"/>
          <w:sz w:val="16"/>
          <w:szCs w:val="16"/>
        </w:rPr>
        <w:footnoteRef/>
      </w:r>
      <w:r w:rsidRPr="00C95E15">
        <w:rPr>
          <w:rFonts w:ascii="Verdana" w:hAnsi="Verdana"/>
          <w:sz w:val="16"/>
          <w:szCs w:val="16"/>
        </w:rPr>
        <w:t xml:space="preserve"> </w:t>
      </w:r>
      <w:r w:rsidRPr="00C95E15">
        <w:rPr>
          <w:rFonts w:ascii="Verdana" w:hAnsi="Verdana"/>
          <w:sz w:val="16"/>
          <w:szCs w:val="16"/>
          <w:lang w:val="es-ES"/>
        </w:rPr>
        <w:tab/>
      </w:r>
      <w:r w:rsidRPr="00C95E15">
        <w:rPr>
          <w:rFonts w:ascii="Verdana" w:hAnsi="Verdana"/>
          <w:i/>
          <w:sz w:val="16"/>
          <w:szCs w:val="16"/>
        </w:rPr>
        <w:t>Cfr. Caso de los “Niños de la Calle” (Villagrán Morales y otros) Vs. Guatemala. Reparaciones y Costas.</w:t>
      </w:r>
      <w:r w:rsidRPr="00C95E15">
        <w:rPr>
          <w:rFonts w:ascii="Verdana" w:hAnsi="Verdana"/>
          <w:sz w:val="16"/>
          <w:szCs w:val="16"/>
        </w:rPr>
        <w:t xml:space="preserve"> Sentencia de 26 de mayo de 2001. Serie C No. 77, párr. 84, y </w:t>
      </w:r>
      <w:r w:rsidRPr="00C95E15">
        <w:rPr>
          <w:rFonts w:ascii="Verdana" w:hAnsi="Verdana"/>
          <w:i/>
          <w:sz w:val="16"/>
          <w:szCs w:val="16"/>
        </w:rPr>
        <w:t>Caso Martínez Coronado Vs. Guatemala. Fondo, Reparaciones y Costas.</w:t>
      </w:r>
      <w:r w:rsidRPr="00C95E15">
        <w:rPr>
          <w:rFonts w:ascii="Verdana" w:hAnsi="Verdana"/>
          <w:sz w:val="16"/>
          <w:szCs w:val="16"/>
        </w:rPr>
        <w:t xml:space="preserve"> Sentencia de 10 de mayo de 2019. Serie C No. 376, párr.114.</w:t>
      </w:r>
    </w:p>
  </w:footnote>
  <w:footnote w:id="141">
    <w:p w14:paraId="43E2743B" w14:textId="3029BDAB" w:rsidR="003619E9" w:rsidRPr="00C95E15" w:rsidRDefault="003619E9" w:rsidP="0076370B">
      <w:pPr>
        <w:pStyle w:val="Textonotapie"/>
        <w:jc w:val="both"/>
        <w:rPr>
          <w:rFonts w:ascii="Verdana" w:hAnsi="Verdana"/>
          <w:b/>
          <w:sz w:val="16"/>
          <w:szCs w:val="16"/>
          <w:lang w:val="es-ES_tradnl"/>
        </w:rPr>
      </w:pPr>
      <w:r w:rsidRPr="00C95E15">
        <w:rPr>
          <w:rStyle w:val="Refdenotaalpie"/>
          <w:rFonts w:ascii="Verdana" w:hAnsi="Verdana"/>
          <w:sz w:val="16"/>
          <w:szCs w:val="16"/>
        </w:rPr>
        <w:footnoteRef/>
      </w:r>
      <w:r w:rsidRPr="00C95E15">
        <w:rPr>
          <w:rFonts w:ascii="Verdana" w:hAnsi="Verdana"/>
          <w:sz w:val="16"/>
          <w:szCs w:val="16"/>
          <w:lang w:val="es-CR"/>
        </w:rPr>
        <w:t xml:space="preserve"> </w:t>
      </w:r>
      <w:r w:rsidRPr="00C95E15">
        <w:rPr>
          <w:rFonts w:ascii="Verdana" w:hAnsi="Verdana"/>
          <w:sz w:val="16"/>
          <w:szCs w:val="16"/>
          <w:lang w:val="es-CR"/>
        </w:rPr>
        <w:tab/>
      </w:r>
      <w:r w:rsidRPr="00C95E15">
        <w:rPr>
          <w:rFonts w:ascii="Verdana" w:hAnsi="Verdana"/>
          <w:i/>
          <w:sz w:val="16"/>
          <w:szCs w:val="16"/>
          <w:lang w:val="es-CR"/>
        </w:rPr>
        <w:t>Cfr.</w:t>
      </w:r>
      <w:r w:rsidRPr="00C95E15">
        <w:rPr>
          <w:rFonts w:ascii="Verdana" w:hAnsi="Verdana"/>
          <w:bCs/>
          <w:i/>
          <w:sz w:val="16"/>
          <w:szCs w:val="16"/>
        </w:rPr>
        <w:t xml:space="preserve"> </w:t>
      </w:r>
      <w:r w:rsidRPr="00C95E15">
        <w:rPr>
          <w:rFonts w:ascii="Verdana" w:hAnsi="Verdana"/>
          <w:bCs/>
          <w:i/>
          <w:color w:val="000000"/>
          <w:sz w:val="16"/>
          <w:szCs w:val="16"/>
          <w:shd w:val="clear" w:color="auto" w:fill="FFFFFF"/>
        </w:rPr>
        <w:t>Caso Garrido y Baigorria Vs. Argentina. Reparaciones y Costas</w:t>
      </w:r>
      <w:r w:rsidRPr="00C95E15">
        <w:rPr>
          <w:rFonts w:ascii="Verdana" w:hAnsi="Verdana"/>
          <w:bCs/>
          <w:color w:val="000000"/>
          <w:sz w:val="16"/>
          <w:szCs w:val="16"/>
          <w:shd w:val="clear" w:color="auto" w:fill="FFFFFF"/>
        </w:rPr>
        <w:t xml:space="preserve">. Sentencia de 27 de agosto de 1998. Serie C No. 39, párr. 79, </w:t>
      </w:r>
      <w:r w:rsidRPr="00C95E15">
        <w:rPr>
          <w:rFonts w:ascii="Verdana" w:hAnsi="Verdana"/>
          <w:sz w:val="16"/>
          <w:szCs w:val="16"/>
          <w:lang w:val="es-CR"/>
        </w:rPr>
        <w:t xml:space="preserve">y </w:t>
      </w:r>
      <w:r w:rsidRPr="00C95E15">
        <w:rPr>
          <w:rFonts w:ascii="Verdana" w:hAnsi="Verdana"/>
          <w:i/>
          <w:sz w:val="16"/>
          <w:szCs w:val="16"/>
          <w:lang w:val="es-CR"/>
        </w:rPr>
        <w:t>C</w:t>
      </w:r>
      <w:r w:rsidRPr="00C95E15">
        <w:rPr>
          <w:rFonts w:ascii="Verdana" w:hAnsi="Verdana"/>
          <w:bCs/>
          <w:i/>
          <w:sz w:val="16"/>
          <w:szCs w:val="16"/>
        </w:rPr>
        <w:t xml:space="preserve">aso Cuscul Pivaral y otros Vs. Guatemala. Excepción Preliminar, Fondo, Reparaciones y Costas. </w:t>
      </w:r>
      <w:r w:rsidRPr="00C95E15">
        <w:rPr>
          <w:rFonts w:ascii="Verdana" w:hAnsi="Verdana"/>
          <w:bCs/>
          <w:sz w:val="16"/>
          <w:szCs w:val="16"/>
        </w:rPr>
        <w:t>Sentencia de 23 de agosto de 2018. Serie C No. 359, párr. 242.</w:t>
      </w:r>
    </w:p>
  </w:footnote>
  <w:footnote w:id="142">
    <w:p w14:paraId="6191E501" w14:textId="77777777" w:rsidR="003619E9" w:rsidRPr="00C95E15" w:rsidRDefault="003619E9" w:rsidP="0076370B">
      <w:pPr>
        <w:pStyle w:val="Textonotapie"/>
        <w:jc w:val="both"/>
        <w:rPr>
          <w:rFonts w:ascii="Verdana" w:hAnsi="Verdana"/>
          <w:b/>
          <w:sz w:val="16"/>
          <w:szCs w:val="16"/>
          <w:lang w:val="es-CR"/>
        </w:rPr>
      </w:pPr>
      <w:r w:rsidRPr="00C95E15">
        <w:rPr>
          <w:rStyle w:val="Refdenotaalpie"/>
          <w:rFonts w:ascii="Verdana" w:hAnsi="Verdana"/>
          <w:sz w:val="16"/>
          <w:szCs w:val="16"/>
        </w:rPr>
        <w:footnoteRef/>
      </w:r>
      <w:r w:rsidRPr="00C95E15">
        <w:rPr>
          <w:rFonts w:ascii="Verdana" w:hAnsi="Verdana"/>
          <w:sz w:val="16"/>
          <w:szCs w:val="16"/>
          <w:lang w:val="es-CR"/>
        </w:rPr>
        <w:t xml:space="preserve"> </w:t>
      </w:r>
      <w:r w:rsidRPr="00C95E15">
        <w:rPr>
          <w:rFonts w:ascii="Verdana" w:hAnsi="Verdana"/>
          <w:sz w:val="16"/>
          <w:szCs w:val="16"/>
          <w:lang w:val="es-CR"/>
        </w:rPr>
        <w:tab/>
      </w:r>
      <w:r w:rsidRPr="00C95E15">
        <w:rPr>
          <w:rFonts w:ascii="Verdana" w:hAnsi="Verdana"/>
          <w:i/>
          <w:sz w:val="16"/>
          <w:szCs w:val="16"/>
        </w:rPr>
        <w:t xml:space="preserve">Cfr. </w:t>
      </w:r>
      <w:r w:rsidRPr="00C95E15">
        <w:rPr>
          <w:rFonts w:ascii="Verdana" w:hAnsi="Verdana"/>
          <w:bCs/>
          <w:i/>
          <w:sz w:val="16"/>
          <w:szCs w:val="16"/>
        </w:rPr>
        <w:t>Caso Garrido y Baigorria Vs. Argentina, supra</w:t>
      </w:r>
      <w:r w:rsidRPr="00C95E15">
        <w:rPr>
          <w:rStyle w:val="Textoennegrita"/>
          <w:rFonts w:ascii="Verdana" w:hAnsi="Verdana"/>
          <w:color w:val="000000"/>
          <w:sz w:val="16"/>
          <w:szCs w:val="16"/>
          <w:shd w:val="clear" w:color="auto" w:fill="FFFFFF"/>
        </w:rPr>
        <w:t xml:space="preserve">, </w:t>
      </w:r>
      <w:r w:rsidRPr="00C95E15">
        <w:rPr>
          <w:rStyle w:val="Textoennegrita"/>
          <w:rFonts w:ascii="Verdana" w:hAnsi="Verdana"/>
          <w:b w:val="0"/>
          <w:color w:val="000000"/>
          <w:sz w:val="16"/>
          <w:szCs w:val="16"/>
          <w:shd w:val="clear" w:color="auto" w:fill="FFFFFF"/>
        </w:rPr>
        <w:t xml:space="preserve">párr. 82, y </w:t>
      </w:r>
      <w:r w:rsidRPr="00C95E15">
        <w:rPr>
          <w:rStyle w:val="Textoennegrita"/>
          <w:rFonts w:ascii="Verdana" w:hAnsi="Verdana"/>
          <w:b w:val="0"/>
          <w:i/>
          <w:color w:val="000000"/>
          <w:sz w:val="16"/>
          <w:szCs w:val="16"/>
          <w:shd w:val="clear" w:color="auto" w:fill="FFFFFF"/>
        </w:rPr>
        <w:t>Caso López Soto y otros Vs. Venezuela, supra</w:t>
      </w:r>
      <w:r w:rsidRPr="00C95E15">
        <w:rPr>
          <w:rStyle w:val="Textoennegrita"/>
          <w:rFonts w:ascii="Verdana" w:hAnsi="Verdana"/>
          <w:b w:val="0"/>
          <w:color w:val="000000"/>
          <w:sz w:val="16"/>
          <w:szCs w:val="16"/>
          <w:shd w:val="clear" w:color="auto" w:fill="FFFFFF"/>
        </w:rPr>
        <w:t xml:space="preserve">, párr. 381.  </w:t>
      </w:r>
    </w:p>
  </w:footnote>
  <w:footnote w:id="143">
    <w:p w14:paraId="350B54F2" w14:textId="77777777" w:rsidR="003619E9" w:rsidRPr="00C95E15" w:rsidRDefault="003619E9" w:rsidP="0076370B">
      <w:pPr>
        <w:pStyle w:val="Textonotapie"/>
        <w:jc w:val="both"/>
        <w:rPr>
          <w:rFonts w:ascii="Verdana" w:hAnsi="Verdana"/>
          <w:sz w:val="16"/>
          <w:szCs w:val="16"/>
          <w:lang w:val="es-CR"/>
        </w:rPr>
      </w:pPr>
      <w:r w:rsidRPr="00C95E15">
        <w:rPr>
          <w:rStyle w:val="Refdenotaalpie"/>
          <w:rFonts w:ascii="Verdana" w:hAnsi="Verdana"/>
          <w:sz w:val="16"/>
          <w:szCs w:val="16"/>
        </w:rPr>
        <w:footnoteRef/>
      </w:r>
      <w:r w:rsidRPr="00C95E15">
        <w:rPr>
          <w:rFonts w:ascii="Verdana" w:hAnsi="Verdana"/>
          <w:sz w:val="16"/>
          <w:szCs w:val="16"/>
          <w:lang w:val="es-CR"/>
        </w:rPr>
        <w:t xml:space="preserve"> </w:t>
      </w:r>
      <w:r w:rsidRPr="00C95E15">
        <w:rPr>
          <w:rFonts w:ascii="Verdana" w:hAnsi="Verdana"/>
          <w:sz w:val="16"/>
          <w:szCs w:val="16"/>
          <w:lang w:val="es-CR"/>
        </w:rPr>
        <w:tab/>
      </w:r>
      <w:r w:rsidRPr="00C95E15">
        <w:rPr>
          <w:rFonts w:ascii="Verdana" w:hAnsi="Verdana"/>
          <w:i/>
          <w:sz w:val="16"/>
          <w:szCs w:val="16"/>
          <w:lang w:val="es-CR"/>
        </w:rPr>
        <w:t>Cfr.</w:t>
      </w:r>
      <w:r w:rsidRPr="00C95E15">
        <w:rPr>
          <w:rFonts w:ascii="Verdana" w:hAnsi="Verdana"/>
          <w:sz w:val="16"/>
          <w:szCs w:val="16"/>
          <w:lang w:val="es-CR"/>
        </w:rPr>
        <w:t xml:space="preserve"> </w:t>
      </w:r>
      <w:r w:rsidRPr="00C95E15">
        <w:rPr>
          <w:rFonts w:ascii="Verdana" w:hAnsi="Verdana"/>
          <w:i/>
          <w:sz w:val="16"/>
          <w:szCs w:val="16"/>
          <w:lang w:val="es-CR"/>
        </w:rPr>
        <w:t>Caso Garrido y Baigorria Vs. Argentina</w:t>
      </w:r>
      <w:r w:rsidRPr="00C95E15">
        <w:rPr>
          <w:rFonts w:ascii="Verdana" w:hAnsi="Verdana"/>
          <w:sz w:val="16"/>
          <w:szCs w:val="16"/>
          <w:lang w:val="es-CR"/>
        </w:rPr>
        <w:t xml:space="preserve">, </w:t>
      </w:r>
      <w:r w:rsidRPr="00C95E15">
        <w:rPr>
          <w:rFonts w:ascii="Verdana" w:hAnsi="Verdana"/>
          <w:i/>
          <w:sz w:val="16"/>
          <w:szCs w:val="16"/>
          <w:lang w:val="es-CR"/>
        </w:rPr>
        <w:t>supra</w:t>
      </w:r>
      <w:r w:rsidRPr="00C95E15">
        <w:rPr>
          <w:rFonts w:ascii="Verdana" w:hAnsi="Verdana"/>
          <w:sz w:val="16"/>
          <w:szCs w:val="16"/>
          <w:lang w:val="es-CR"/>
        </w:rPr>
        <w:t>,</w:t>
      </w:r>
      <w:r w:rsidRPr="00C95E15">
        <w:rPr>
          <w:rFonts w:ascii="Verdana" w:hAnsi="Verdana"/>
          <w:spacing w:val="36"/>
          <w:sz w:val="16"/>
          <w:szCs w:val="16"/>
          <w:lang w:val="es-CR"/>
        </w:rPr>
        <w:t xml:space="preserve"> </w:t>
      </w:r>
      <w:r w:rsidRPr="00C95E15">
        <w:rPr>
          <w:rFonts w:ascii="Verdana" w:hAnsi="Verdana"/>
          <w:sz w:val="16"/>
          <w:szCs w:val="16"/>
          <w:lang w:val="es-CR"/>
        </w:rPr>
        <w:t>p</w:t>
      </w:r>
      <w:r w:rsidRPr="00C95E15">
        <w:rPr>
          <w:rFonts w:ascii="Verdana" w:hAnsi="Verdana"/>
          <w:spacing w:val="-3"/>
          <w:sz w:val="16"/>
          <w:szCs w:val="16"/>
          <w:lang w:val="es-CR"/>
        </w:rPr>
        <w:t>á</w:t>
      </w:r>
      <w:r w:rsidRPr="00C95E15">
        <w:rPr>
          <w:rFonts w:ascii="Verdana" w:hAnsi="Verdana"/>
          <w:spacing w:val="1"/>
          <w:sz w:val="16"/>
          <w:szCs w:val="16"/>
          <w:lang w:val="es-CR"/>
        </w:rPr>
        <w:t>rr</w:t>
      </w:r>
      <w:r w:rsidRPr="00C95E15">
        <w:rPr>
          <w:rFonts w:ascii="Verdana" w:hAnsi="Verdana"/>
          <w:sz w:val="16"/>
          <w:szCs w:val="16"/>
          <w:lang w:val="es-CR"/>
        </w:rPr>
        <w:t>.</w:t>
      </w:r>
      <w:r w:rsidRPr="00C95E15">
        <w:rPr>
          <w:rFonts w:ascii="Verdana" w:hAnsi="Verdana"/>
          <w:spacing w:val="33"/>
          <w:sz w:val="16"/>
          <w:szCs w:val="16"/>
          <w:lang w:val="es-CR"/>
        </w:rPr>
        <w:t xml:space="preserve"> </w:t>
      </w:r>
      <w:r w:rsidRPr="00C95E15">
        <w:rPr>
          <w:rFonts w:ascii="Verdana" w:hAnsi="Verdana"/>
          <w:spacing w:val="-1"/>
          <w:sz w:val="16"/>
          <w:szCs w:val="16"/>
          <w:lang w:val="es-CR"/>
        </w:rPr>
        <w:t>7</w:t>
      </w:r>
      <w:r w:rsidRPr="00C95E15">
        <w:rPr>
          <w:rFonts w:ascii="Verdana" w:hAnsi="Verdana"/>
          <w:spacing w:val="1"/>
          <w:sz w:val="16"/>
          <w:szCs w:val="16"/>
          <w:lang w:val="es-CR"/>
        </w:rPr>
        <w:t xml:space="preserve">9, y </w:t>
      </w:r>
      <w:r w:rsidRPr="00C95E15">
        <w:rPr>
          <w:rFonts w:ascii="Verdana" w:hAnsi="Verdana"/>
          <w:bCs/>
          <w:i/>
          <w:spacing w:val="1"/>
          <w:sz w:val="16"/>
          <w:szCs w:val="16"/>
        </w:rPr>
        <w:t>Caso Munárriz Escobar y otros Vs. Perú</w:t>
      </w:r>
      <w:r w:rsidRPr="00C95E15">
        <w:rPr>
          <w:rFonts w:ascii="Verdana" w:hAnsi="Verdana"/>
          <w:sz w:val="16"/>
          <w:szCs w:val="16"/>
          <w:lang w:val="es-CR"/>
        </w:rPr>
        <w:t>.</w:t>
      </w:r>
      <w:r w:rsidRPr="00C95E15">
        <w:rPr>
          <w:rFonts w:ascii="Verdana" w:hAnsi="Verdana"/>
          <w:i/>
          <w:sz w:val="16"/>
          <w:szCs w:val="16"/>
          <w:lang w:val="es-CR"/>
        </w:rPr>
        <w:t xml:space="preserve"> supra</w:t>
      </w:r>
      <w:r w:rsidRPr="00C95E15">
        <w:rPr>
          <w:rFonts w:ascii="Verdana" w:hAnsi="Verdana"/>
          <w:sz w:val="16"/>
          <w:szCs w:val="16"/>
          <w:lang w:val="es-CR"/>
        </w:rPr>
        <w:t>, párr. 151.</w:t>
      </w:r>
    </w:p>
  </w:footnote>
  <w:footnote w:id="144">
    <w:p w14:paraId="0EC68BE1" w14:textId="77777777" w:rsidR="003619E9" w:rsidRPr="00C95E15" w:rsidRDefault="003619E9" w:rsidP="0076370B">
      <w:pPr>
        <w:pStyle w:val="Textonotapie"/>
        <w:jc w:val="both"/>
        <w:rPr>
          <w:rFonts w:ascii="Verdana" w:hAnsi="Verdana"/>
          <w:b/>
          <w:sz w:val="16"/>
          <w:szCs w:val="16"/>
          <w:lang w:val="es-CR"/>
        </w:rPr>
      </w:pPr>
      <w:r w:rsidRPr="00C95E15">
        <w:rPr>
          <w:rStyle w:val="Refdenotaalpie"/>
          <w:rFonts w:ascii="Verdana" w:hAnsi="Verdana"/>
          <w:sz w:val="16"/>
          <w:szCs w:val="16"/>
        </w:rPr>
        <w:footnoteRef/>
      </w:r>
      <w:r w:rsidRPr="00C95E15">
        <w:rPr>
          <w:rFonts w:ascii="Verdana" w:hAnsi="Verdana"/>
          <w:sz w:val="16"/>
          <w:szCs w:val="16"/>
          <w:lang w:val="es-CR"/>
        </w:rPr>
        <w:t xml:space="preserve"> </w:t>
      </w:r>
      <w:r w:rsidRPr="00C95E15">
        <w:rPr>
          <w:rFonts w:ascii="Verdana" w:hAnsi="Verdana"/>
          <w:sz w:val="16"/>
          <w:szCs w:val="16"/>
          <w:lang w:val="es-CR"/>
        </w:rPr>
        <w:tab/>
      </w:r>
      <w:r w:rsidRPr="00C95E15">
        <w:rPr>
          <w:rFonts w:ascii="Verdana" w:hAnsi="Verdana"/>
          <w:i/>
          <w:sz w:val="16"/>
          <w:szCs w:val="16"/>
          <w:lang w:val="es-CR"/>
        </w:rPr>
        <w:t>Cfr.</w:t>
      </w:r>
      <w:r w:rsidRPr="00C95E15">
        <w:rPr>
          <w:rFonts w:ascii="Verdana" w:hAnsi="Verdana"/>
          <w:spacing w:val="15"/>
          <w:sz w:val="16"/>
          <w:szCs w:val="16"/>
          <w:lang w:val="es-CR"/>
        </w:rPr>
        <w:t xml:space="preserve"> </w:t>
      </w:r>
      <w:r w:rsidRPr="00C95E15">
        <w:rPr>
          <w:rFonts w:ascii="Verdana" w:hAnsi="Verdana"/>
          <w:bCs/>
          <w:i/>
          <w:sz w:val="16"/>
          <w:szCs w:val="16"/>
        </w:rPr>
        <w:t>Caso Chaparro Álvarez y Lapo Íñiguez Vs. Ecuador. Excepciones Preliminares, Fondo, Reparaciones y Costas</w:t>
      </w:r>
      <w:r w:rsidRPr="00C95E15">
        <w:rPr>
          <w:rFonts w:ascii="Verdana" w:hAnsi="Verdana"/>
          <w:bCs/>
          <w:sz w:val="16"/>
          <w:szCs w:val="16"/>
        </w:rPr>
        <w:t>. Sentencia de 21 de noviembre de 2007. Serie C No. 170</w:t>
      </w:r>
      <w:r w:rsidRPr="00C95E15">
        <w:rPr>
          <w:rFonts w:ascii="Verdana" w:hAnsi="Verdana"/>
          <w:sz w:val="16"/>
          <w:szCs w:val="16"/>
          <w:lang w:val="es-CR"/>
        </w:rPr>
        <w:t xml:space="preserve">, </w:t>
      </w:r>
      <w:r w:rsidRPr="00C95E15">
        <w:rPr>
          <w:rFonts w:ascii="Verdana" w:hAnsi="Verdana"/>
          <w:spacing w:val="-2"/>
          <w:sz w:val="16"/>
          <w:szCs w:val="16"/>
          <w:lang w:val="es-CR"/>
        </w:rPr>
        <w:t>p</w:t>
      </w:r>
      <w:r w:rsidRPr="00C95E15">
        <w:rPr>
          <w:rFonts w:ascii="Verdana" w:hAnsi="Verdana"/>
          <w:spacing w:val="-1"/>
          <w:sz w:val="16"/>
          <w:szCs w:val="16"/>
          <w:lang w:val="es-CR"/>
        </w:rPr>
        <w:t>á</w:t>
      </w:r>
      <w:r w:rsidRPr="00C95E15">
        <w:rPr>
          <w:rFonts w:ascii="Verdana" w:hAnsi="Verdana"/>
          <w:spacing w:val="1"/>
          <w:sz w:val="16"/>
          <w:szCs w:val="16"/>
          <w:lang w:val="es-CR"/>
        </w:rPr>
        <w:t>rr</w:t>
      </w:r>
      <w:r w:rsidRPr="00C95E15">
        <w:rPr>
          <w:rFonts w:ascii="Verdana" w:hAnsi="Verdana"/>
          <w:sz w:val="16"/>
          <w:szCs w:val="16"/>
          <w:lang w:val="es-CR"/>
        </w:rPr>
        <w:t>.</w:t>
      </w:r>
      <w:r w:rsidRPr="00C95E15">
        <w:rPr>
          <w:rFonts w:ascii="Verdana" w:hAnsi="Verdana"/>
          <w:spacing w:val="-2"/>
          <w:sz w:val="16"/>
          <w:szCs w:val="16"/>
          <w:lang w:val="es-CR"/>
        </w:rPr>
        <w:t xml:space="preserve"> </w:t>
      </w:r>
      <w:r w:rsidRPr="00C95E15">
        <w:rPr>
          <w:rFonts w:ascii="Verdana" w:hAnsi="Verdana"/>
          <w:spacing w:val="-1"/>
          <w:sz w:val="16"/>
          <w:szCs w:val="16"/>
          <w:lang w:val="es-CR"/>
        </w:rPr>
        <w:t>2</w:t>
      </w:r>
      <w:r w:rsidRPr="00C95E15">
        <w:rPr>
          <w:rFonts w:ascii="Verdana" w:hAnsi="Verdana"/>
          <w:spacing w:val="1"/>
          <w:sz w:val="16"/>
          <w:szCs w:val="16"/>
          <w:lang w:val="es-CR"/>
        </w:rPr>
        <w:t xml:space="preserve">77, y </w:t>
      </w:r>
      <w:r w:rsidRPr="00C95E15">
        <w:rPr>
          <w:rStyle w:val="Textoennegrita"/>
          <w:rFonts w:ascii="Verdana" w:hAnsi="Verdana"/>
          <w:b w:val="0"/>
          <w:i/>
          <w:color w:val="000000"/>
          <w:sz w:val="16"/>
          <w:szCs w:val="16"/>
          <w:shd w:val="clear" w:color="auto" w:fill="FFFFFF"/>
        </w:rPr>
        <w:t xml:space="preserve">Caso Terrones Silva y otros Vs. Perú, supra, </w:t>
      </w:r>
      <w:r w:rsidRPr="00C95E15">
        <w:rPr>
          <w:rStyle w:val="Textoennegrita"/>
          <w:rFonts w:ascii="Verdana" w:hAnsi="Verdana"/>
          <w:b w:val="0"/>
          <w:color w:val="000000"/>
          <w:sz w:val="16"/>
          <w:szCs w:val="16"/>
          <w:shd w:val="clear" w:color="auto" w:fill="FFFFFF"/>
        </w:rPr>
        <w:t>párr. 282</w:t>
      </w:r>
      <w:r w:rsidRPr="00C95E15">
        <w:rPr>
          <w:rFonts w:ascii="Verdana" w:hAnsi="Verdana"/>
          <w:b/>
          <w:sz w:val="16"/>
          <w:szCs w:val="16"/>
          <w:lang w:val="es-CR"/>
        </w:rPr>
        <w:t>.</w:t>
      </w:r>
    </w:p>
  </w:footnote>
  <w:footnote w:id="145">
    <w:p w14:paraId="71F0E08C" w14:textId="77777777" w:rsidR="003619E9" w:rsidRPr="005B77C2" w:rsidRDefault="003619E9" w:rsidP="0076370B">
      <w:pPr>
        <w:pStyle w:val="Textonotapie"/>
        <w:jc w:val="both"/>
        <w:rPr>
          <w:rStyle w:val="Refdenotaalpie"/>
          <w:b/>
        </w:rPr>
      </w:pPr>
      <w:r w:rsidRPr="00C95E15">
        <w:rPr>
          <w:rStyle w:val="Refdenotaalpie"/>
          <w:rFonts w:ascii="Verdana" w:hAnsi="Verdana"/>
          <w:sz w:val="16"/>
          <w:szCs w:val="16"/>
        </w:rPr>
        <w:footnoteRef/>
      </w:r>
      <w:r w:rsidRPr="00C95E15">
        <w:rPr>
          <w:rFonts w:ascii="Verdana" w:hAnsi="Verdana"/>
          <w:sz w:val="16"/>
          <w:szCs w:val="16"/>
          <w:lang w:val="es-CR"/>
        </w:rPr>
        <w:t xml:space="preserve"> </w:t>
      </w:r>
      <w:r w:rsidRPr="00C95E15">
        <w:rPr>
          <w:rFonts w:ascii="Verdana" w:hAnsi="Verdana"/>
          <w:sz w:val="16"/>
          <w:szCs w:val="16"/>
          <w:lang w:val="es-CR"/>
        </w:rPr>
        <w:tab/>
      </w:r>
      <w:r w:rsidRPr="00C95E15">
        <w:rPr>
          <w:rFonts w:ascii="Verdana" w:hAnsi="Verdana"/>
          <w:i/>
          <w:sz w:val="16"/>
          <w:szCs w:val="16"/>
          <w:lang w:val="es-CR"/>
        </w:rPr>
        <w:t>Cfr.</w:t>
      </w:r>
      <w:r w:rsidRPr="00C95E15">
        <w:rPr>
          <w:rFonts w:ascii="Verdana" w:hAnsi="Verdana"/>
          <w:sz w:val="16"/>
          <w:szCs w:val="16"/>
          <w:lang w:val="es-CR"/>
        </w:rPr>
        <w:t xml:space="preserve"> </w:t>
      </w:r>
      <w:r w:rsidRPr="00C95E15">
        <w:rPr>
          <w:rFonts w:ascii="Verdana" w:hAnsi="Verdana"/>
          <w:bCs/>
          <w:i/>
          <w:sz w:val="16"/>
          <w:szCs w:val="16"/>
        </w:rPr>
        <w:t>Caso Apitz Barbera y otros Vs. Venezuela. Excepción Preliminar, Fondo, Reparaciones y Costas</w:t>
      </w:r>
      <w:r w:rsidRPr="00C95E15">
        <w:rPr>
          <w:rFonts w:ascii="Verdana" w:hAnsi="Verdana"/>
          <w:bCs/>
          <w:sz w:val="16"/>
          <w:szCs w:val="16"/>
        </w:rPr>
        <w:t xml:space="preserve">. Sentencia de 5 de agosto de 2008. Serie C No. 182, párr. 260, y </w:t>
      </w:r>
      <w:r w:rsidRPr="00C95E15">
        <w:rPr>
          <w:rStyle w:val="Textoennegrita"/>
          <w:rFonts w:ascii="Verdana" w:hAnsi="Verdana"/>
          <w:b w:val="0"/>
          <w:i/>
          <w:color w:val="000000"/>
          <w:sz w:val="16"/>
          <w:szCs w:val="16"/>
          <w:shd w:val="clear" w:color="auto" w:fill="FFFFFF"/>
        </w:rPr>
        <w:t xml:space="preserve">Caso López Soto y otros Vs. Venezuela, supra, </w:t>
      </w:r>
      <w:r w:rsidRPr="00C95E15">
        <w:rPr>
          <w:rStyle w:val="Textoennegrita"/>
          <w:rFonts w:ascii="Verdana" w:hAnsi="Verdana"/>
          <w:b w:val="0"/>
          <w:color w:val="000000"/>
          <w:sz w:val="16"/>
          <w:szCs w:val="16"/>
          <w:shd w:val="clear" w:color="auto" w:fill="FFFFFF"/>
        </w:rPr>
        <w:t xml:space="preserve">párr. 385. </w:t>
      </w:r>
      <w:r w:rsidRPr="00C95E15">
        <w:rPr>
          <w:rFonts w:ascii="Verdana" w:hAnsi="Verdana"/>
          <w:b/>
          <w:bCs/>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2A6C7" w14:textId="3308BC48" w:rsidR="003619E9" w:rsidRDefault="003619E9">
    <w:pPr>
      <w:pStyle w:val="Encabezado"/>
    </w:pPr>
  </w:p>
  <w:p w14:paraId="50BE3D3D" w14:textId="59B843EC" w:rsidR="003619E9" w:rsidRPr="003155BE" w:rsidRDefault="003619E9" w:rsidP="00FE4657">
    <w:pPr>
      <w:pStyle w:val="Encabezado"/>
      <w:jc w:val="cente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E3D41" w14:textId="77777777" w:rsidR="003619E9" w:rsidRPr="00F83241" w:rsidRDefault="003619E9" w:rsidP="00F46AC0">
    <w:pPr>
      <w:pStyle w:val="Encabezado"/>
      <w:tabs>
        <w:tab w:val="center" w:pos="8931"/>
        <w:tab w:val="left" w:pos="9498"/>
        <w:tab w:val="left" w:pos="9639"/>
        <w:tab w:val="right" w:pos="10065"/>
      </w:tabs>
      <w:jc w:val="right"/>
      <w:rPr>
        <w:rFonts w:ascii="Verdana" w:hAnsi="Verdana"/>
        <w:i/>
        <w:sz w:val="16"/>
        <w:szCs w:val="16"/>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F6B66"/>
    <w:multiLevelType w:val="hybridMultilevel"/>
    <w:tmpl w:val="4092A666"/>
    <w:lvl w:ilvl="0" w:tplc="36B4F512">
      <w:start w:val="1"/>
      <w:numFmt w:val="decimal"/>
      <w:lvlText w:val="%1."/>
      <w:lvlJc w:val="left"/>
      <w:pPr>
        <w:ind w:left="5130" w:hanging="360"/>
      </w:pPr>
      <w:rPr>
        <w:rFonts w:ascii="Verdana" w:hAnsi="Verdana" w:hint="default"/>
        <w:b w:val="0"/>
        <w:i w:val="0"/>
        <w:strike w:val="0"/>
        <w:dstrike w:val="0"/>
        <w:color w:val="auto"/>
        <w:sz w:val="20"/>
        <w:szCs w:val="20"/>
        <w:u w:val="none"/>
        <w:effect w:val="none"/>
        <w:vertAlign w:val="baseline"/>
        <w:lang w:val="es-CR"/>
      </w:rPr>
    </w:lvl>
    <w:lvl w:ilvl="1" w:tplc="CEA4ED48">
      <w:start w:val="1"/>
      <w:numFmt w:val="upp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 w15:restartNumberingAfterBreak="0">
    <w:nsid w:val="04641C7A"/>
    <w:multiLevelType w:val="hybridMultilevel"/>
    <w:tmpl w:val="F7201A84"/>
    <w:lvl w:ilvl="0" w:tplc="35961D00">
      <w:start w:val="4"/>
      <w:numFmt w:val="decimal"/>
      <w:lvlText w:val="%1."/>
      <w:lvlJc w:val="left"/>
      <w:pPr>
        <w:ind w:left="360" w:hanging="360"/>
      </w:pPr>
      <w:rPr>
        <w:rFonts w:eastAsiaTheme="minorHAnsi" w:cstheme="minorBidi"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EB666A"/>
    <w:multiLevelType w:val="hybridMultilevel"/>
    <w:tmpl w:val="731C9074"/>
    <w:lvl w:ilvl="0" w:tplc="599C509A">
      <w:start w:val="1"/>
      <w:numFmt w:val="decimal"/>
      <w:lvlText w:val="D.%1."/>
      <w:lvlJc w:val="left"/>
      <w:pPr>
        <w:ind w:left="2280" w:hanging="360"/>
      </w:pPr>
      <w:rPr>
        <w:rFonts w:hint="default"/>
      </w:rPr>
    </w:lvl>
    <w:lvl w:ilvl="1" w:tplc="140A0019" w:tentative="1">
      <w:start w:val="1"/>
      <w:numFmt w:val="lowerLetter"/>
      <w:lvlText w:val="%2."/>
      <w:lvlJc w:val="left"/>
      <w:pPr>
        <w:ind w:left="3000" w:hanging="360"/>
      </w:pPr>
    </w:lvl>
    <w:lvl w:ilvl="2" w:tplc="140A001B" w:tentative="1">
      <w:start w:val="1"/>
      <w:numFmt w:val="lowerRoman"/>
      <w:lvlText w:val="%3."/>
      <w:lvlJc w:val="right"/>
      <w:pPr>
        <w:ind w:left="3720" w:hanging="180"/>
      </w:pPr>
    </w:lvl>
    <w:lvl w:ilvl="3" w:tplc="140A000F" w:tentative="1">
      <w:start w:val="1"/>
      <w:numFmt w:val="decimal"/>
      <w:lvlText w:val="%4."/>
      <w:lvlJc w:val="left"/>
      <w:pPr>
        <w:ind w:left="4440" w:hanging="360"/>
      </w:pPr>
    </w:lvl>
    <w:lvl w:ilvl="4" w:tplc="140A0019" w:tentative="1">
      <w:start w:val="1"/>
      <w:numFmt w:val="lowerLetter"/>
      <w:lvlText w:val="%5."/>
      <w:lvlJc w:val="left"/>
      <w:pPr>
        <w:ind w:left="5160" w:hanging="360"/>
      </w:pPr>
    </w:lvl>
    <w:lvl w:ilvl="5" w:tplc="140A001B" w:tentative="1">
      <w:start w:val="1"/>
      <w:numFmt w:val="lowerRoman"/>
      <w:lvlText w:val="%6."/>
      <w:lvlJc w:val="right"/>
      <w:pPr>
        <w:ind w:left="5880" w:hanging="180"/>
      </w:pPr>
    </w:lvl>
    <w:lvl w:ilvl="6" w:tplc="140A000F" w:tentative="1">
      <w:start w:val="1"/>
      <w:numFmt w:val="decimal"/>
      <w:lvlText w:val="%7."/>
      <w:lvlJc w:val="left"/>
      <w:pPr>
        <w:ind w:left="6600" w:hanging="360"/>
      </w:pPr>
    </w:lvl>
    <w:lvl w:ilvl="7" w:tplc="140A0019" w:tentative="1">
      <w:start w:val="1"/>
      <w:numFmt w:val="lowerLetter"/>
      <w:lvlText w:val="%8."/>
      <w:lvlJc w:val="left"/>
      <w:pPr>
        <w:ind w:left="7320" w:hanging="360"/>
      </w:pPr>
    </w:lvl>
    <w:lvl w:ilvl="8" w:tplc="140A001B" w:tentative="1">
      <w:start w:val="1"/>
      <w:numFmt w:val="lowerRoman"/>
      <w:lvlText w:val="%9."/>
      <w:lvlJc w:val="right"/>
      <w:pPr>
        <w:ind w:left="8040" w:hanging="180"/>
      </w:pPr>
    </w:lvl>
  </w:abstractNum>
  <w:abstractNum w:abstractNumId="3" w15:restartNumberingAfterBreak="0">
    <w:nsid w:val="0547170A"/>
    <w:multiLevelType w:val="hybridMultilevel"/>
    <w:tmpl w:val="1430C17E"/>
    <w:lvl w:ilvl="0" w:tplc="F4864E74">
      <w:start w:val="1"/>
      <w:numFmt w:val="decimal"/>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D553735"/>
    <w:multiLevelType w:val="hybridMultilevel"/>
    <w:tmpl w:val="59626CC4"/>
    <w:lvl w:ilvl="0" w:tplc="0F3CB792">
      <w:start w:val="1"/>
      <w:numFmt w:val="decimal"/>
      <w:lvlText w:val="B.2.%1."/>
      <w:lvlJc w:val="left"/>
      <w:pPr>
        <w:ind w:left="1788" w:hanging="360"/>
      </w:pPr>
      <w:rPr>
        <w:rFonts w:hint="default"/>
      </w:rPr>
    </w:lvl>
    <w:lvl w:ilvl="1" w:tplc="140A0019" w:tentative="1">
      <w:start w:val="1"/>
      <w:numFmt w:val="lowerLetter"/>
      <w:lvlText w:val="%2."/>
      <w:lvlJc w:val="left"/>
      <w:pPr>
        <w:ind w:left="2508" w:hanging="360"/>
      </w:pPr>
    </w:lvl>
    <w:lvl w:ilvl="2" w:tplc="140A001B" w:tentative="1">
      <w:start w:val="1"/>
      <w:numFmt w:val="lowerRoman"/>
      <w:lvlText w:val="%3."/>
      <w:lvlJc w:val="right"/>
      <w:pPr>
        <w:ind w:left="3228" w:hanging="180"/>
      </w:pPr>
    </w:lvl>
    <w:lvl w:ilvl="3" w:tplc="140A000F" w:tentative="1">
      <w:start w:val="1"/>
      <w:numFmt w:val="decimal"/>
      <w:lvlText w:val="%4."/>
      <w:lvlJc w:val="left"/>
      <w:pPr>
        <w:ind w:left="3948" w:hanging="360"/>
      </w:pPr>
    </w:lvl>
    <w:lvl w:ilvl="4" w:tplc="140A0019" w:tentative="1">
      <w:start w:val="1"/>
      <w:numFmt w:val="lowerLetter"/>
      <w:lvlText w:val="%5."/>
      <w:lvlJc w:val="left"/>
      <w:pPr>
        <w:ind w:left="4668" w:hanging="360"/>
      </w:pPr>
    </w:lvl>
    <w:lvl w:ilvl="5" w:tplc="140A001B" w:tentative="1">
      <w:start w:val="1"/>
      <w:numFmt w:val="lowerRoman"/>
      <w:lvlText w:val="%6."/>
      <w:lvlJc w:val="right"/>
      <w:pPr>
        <w:ind w:left="5388" w:hanging="180"/>
      </w:pPr>
    </w:lvl>
    <w:lvl w:ilvl="6" w:tplc="140A000F" w:tentative="1">
      <w:start w:val="1"/>
      <w:numFmt w:val="decimal"/>
      <w:lvlText w:val="%7."/>
      <w:lvlJc w:val="left"/>
      <w:pPr>
        <w:ind w:left="6108" w:hanging="360"/>
      </w:pPr>
    </w:lvl>
    <w:lvl w:ilvl="7" w:tplc="140A0019" w:tentative="1">
      <w:start w:val="1"/>
      <w:numFmt w:val="lowerLetter"/>
      <w:lvlText w:val="%8."/>
      <w:lvlJc w:val="left"/>
      <w:pPr>
        <w:ind w:left="6828" w:hanging="360"/>
      </w:pPr>
    </w:lvl>
    <w:lvl w:ilvl="8" w:tplc="140A001B" w:tentative="1">
      <w:start w:val="1"/>
      <w:numFmt w:val="lowerRoman"/>
      <w:lvlText w:val="%9."/>
      <w:lvlJc w:val="right"/>
      <w:pPr>
        <w:ind w:left="7548" w:hanging="180"/>
      </w:pPr>
    </w:lvl>
  </w:abstractNum>
  <w:abstractNum w:abstractNumId="5" w15:restartNumberingAfterBreak="0">
    <w:nsid w:val="0E0741F8"/>
    <w:multiLevelType w:val="hybridMultilevel"/>
    <w:tmpl w:val="050E5CE0"/>
    <w:lvl w:ilvl="0" w:tplc="17A43CE8">
      <w:start w:val="1"/>
      <w:numFmt w:val="decimal"/>
      <w:lvlText w:val="B.%1."/>
      <w:lvlJc w:val="left"/>
      <w:pPr>
        <w:ind w:left="2914" w:hanging="360"/>
      </w:pPr>
      <w:rPr>
        <w:rFonts w:hint="default"/>
      </w:rPr>
    </w:lvl>
    <w:lvl w:ilvl="1" w:tplc="140A0019" w:tentative="1">
      <w:start w:val="1"/>
      <w:numFmt w:val="lowerLetter"/>
      <w:lvlText w:val="%2."/>
      <w:lvlJc w:val="left"/>
      <w:pPr>
        <w:ind w:left="3634" w:hanging="360"/>
      </w:pPr>
    </w:lvl>
    <w:lvl w:ilvl="2" w:tplc="140A001B" w:tentative="1">
      <w:start w:val="1"/>
      <w:numFmt w:val="lowerRoman"/>
      <w:lvlText w:val="%3."/>
      <w:lvlJc w:val="right"/>
      <w:pPr>
        <w:ind w:left="4354" w:hanging="180"/>
      </w:pPr>
    </w:lvl>
    <w:lvl w:ilvl="3" w:tplc="140A000F" w:tentative="1">
      <w:start w:val="1"/>
      <w:numFmt w:val="decimal"/>
      <w:lvlText w:val="%4."/>
      <w:lvlJc w:val="left"/>
      <w:pPr>
        <w:ind w:left="5074" w:hanging="360"/>
      </w:pPr>
    </w:lvl>
    <w:lvl w:ilvl="4" w:tplc="140A0019" w:tentative="1">
      <w:start w:val="1"/>
      <w:numFmt w:val="lowerLetter"/>
      <w:lvlText w:val="%5."/>
      <w:lvlJc w:val="left"/>
      <w:pPr>
        <w:ind w:left="5794" w:hanging="360"/>
      </w:pPr>
    </w:lvl>
    <w:lvl w:ilvl="5" w:tplc="140A001B" w:tentative="1">
      <w:start w:val="1"/>
      <w:numFmt w:val="lowerRoman"/>
      <w:lvlText w:val="%6."/>
      <w:lvlJc w:val="right"/>
      <w:pPr>
        <w:ind w:left="6514" w:hanging="180"/>
      </w:pPr>
    </w:lvl>
    <w:lvl w:ilvl="6" w:tplc="140A000F" w:tentative="1">
      <w:start w:val="1"/>
      <w:numFmt w:val="decimal"/>
      <w:lvlText w:val="%7."/>
      <w:lvlJc w:val="left"/>
      <w:pPr>
        <w:ind w:left="7234" w:hanging="360"/>
      </w:pPr>
    </w:lvl>
    <w:lvl w:ilvl="7" w:tplc="140A0019" w:tentative="1">
      <w:start w:val="1"/>
      <w:numFmt w:val="lowerLetter"/>
      <w:lvlText w:val="%8."/>
      <w:lvlJc w:val="left"/>
      <w:pPr>
        <w:ind w:left="7954" w:hanging="360"/>
      </w:pPr>
    </w:lvl>
    <w:lvl w:ilvl="8" w:tplc="140A001B" w:tentative="1">
      <w:start w:val="1"/>
      <w:numFmt w:val="lowerRoman"/>
      <w:lvlText w:val="%9."/>
      <w:lvlJc w:val="right"/>
      <w:pPr>
        <w:ind w:left="8674" w:hanging="180"/>
      </w:pPr>
    </w:lvl>
  </w:abstractNum>
  <w:abstractNum w:abstractNumId="6" w15:restartNumberingAfterBreak="0">
    <w:nsid w:val="115F2439"/>
    <w:multiLevelType w:val="hybridMultilevel"/>
    <w:tmpl w:val="04688564"/>
    <w:lvl w:ilvl="0" w:tplc="CCE88222">
      <w:start w:val="1"/>
      <w:numFmt w:val="decimal"/>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7957589"/>
    <w:multiLevelType w:val="hybridMultilevel"/>
    <w:tmpl w:val="A9F21490"/>
    <w:lvl w:ilvl="0" w:tplc="1FE63398">
      <w:start w:val="1"/>
      <w:numFmt w:val="decimal"/>
      <w:lvlText w:val="B.%1."/>
      <w:lvlJc w:val="left"/>
      <w:pPr>
        <w:ind w:left="1636" w:hanging="360"/>
      </w:pPr>
      <w:rPr>
        <w:rFonts w:hint="default"/>
        <w:b w:val="0"/>
        <w:i/>
      </w:rPr>
    </w:lvl>
    <w:lvl w:ilvl="1" w:tplc="140A0019">
      <w:start w:val="1"/>
      <w:numFmt w:val="lowerLetter"/>
      <w:lvlText w:val="%2."/>
      <w:lvlJc w:val="left"/>
      <w:pPr>
        <w:ind w:left="1865" w:hanging="360"/>
      </w:pPr>
    </w:lvl>
    <w:lvl w:ilvl="2" w:tplc="140A001B" w:tentative="1">
      <w:start w:val="1"/>
      <w:numFmt w:val="lowerRoman"/>
      <w:lvlText w:val="%3."/>
      <w:lvlJc w:val="right"/>
      <w:pPr>
        <w:ind w:left="2585" w:hanging="180"/>
      </w:pPr>
    </w:lvl>
    <w:lvl w:ilvl="3" w:tplc="140A000F" w:tentative="1">
      <w:start w:val="1"/>
      <w:numFmt w:val="decimal"/>
      <w:lvlText w:val="%4."/>
      <w:lvlJc w:val="left"/>
      <w:pPr>
        <w:ind w:left="3305" w:hanging="360"/>
      </w:pPr>
    </w:lvl>
    <w:lvl w:ilvl="4" w:tplc="140A0019" w:tentative="1">
      <w:start w:val="1"/>
      <w:numFmt w:val="lowerLetter"/>
      <w:lvlText w:val="%5."/>
      <w:lvlJc w:val="left"/>
      <w:pPr>
        <w:ind w:left="4025" w:hanging="360"/>
      </w:pPr>
    </w:lvl>
    <w:lvl w:ilvl="5" w:tplc="140A001B" w:tentative="1">
      <w:start w:val="1"/>
      <w:numFmt w:val="lowerRoman"/>
      <w:lvlText w:val="%6."/>
      <w:lvlJc w:val="right"/>
      <w:pPr>
        <w:ind w:left="4745" w:hanging="180"/>
      </w:pPr>
    </w:lvl>
    <w:lvl w:ilvl="6" w:tplc="140A000F" w:tentative="1">
      <w:start w:val="1"/>
      <w:numFmt w:val="decimal"/>
      <w:lvlText w:val="%7."/>
      <w:lvlJc w:val="left"/>
      <w:pPr>
        <w:ind w:left="5465" w:hanging="360"/>
      </w:pPr>
    </w:lvl>
    <w:lvl w:ilvl="7" w:tplc="140A0019" w:tentative="1">
      <w:start w:val="1"/>
      <w:numFmt w:val="lowerLetter"/>
      <w:lvlText w:val="%8."/>
      <w:lvlJc w:val="left"/>
      <w:pPr>
        <w:ind w:left="6185" w:hanging="360"/>
      </w:pPr>
    </w:lvl>
    <w:lvl w:ilvl="8" w:tplc="140A001B" w:tentative="1">
      <w:start w:val="1"/>
      <w:numFmt w:val="lowerRoman"/>
      <w:lvlText w:val="%9."/>
      <w:lvlJc w:val="right"/>
      <w:pPr>
        <w:ind w:left="6905" w:hanging="180"/>
      </w:pPr>
    </w:lvl>
  </w:abstractNum>
  <w:abstractNum w:abstractNumId="8" w15:restartNumberingAfterBreak="0">
    <w:nsid w:val="19131B64"/>
    <w:multiLevelType w:val="hybridMultilevel"/>
    <w:tmpl w:val="B30C65C0"/>
    <w:lvl w:ilvl="0" w:tplc="D77C30A6">
      <w:start w:val="1"/>
      <w:numFmt w:val="upperLetter"/>
      <w:lvlText w:val="%1."/>
      <w:lvlJc w:val="left"/>
      <w:pPr>
        <w:ind w:left="1185" w:hanging="360"/>
      </w:pPr>
      <w:rPr>
        <w:rFonts w:ascii="Verdana" w:hAnsi="Verdana" w:hint="default"/>
        <w:b/>
        <w:color w:val="auto"/>
        <w:sz w:val="20"/>
        <w:szCs w:val="20"/>
      </w:rPr>
    </w:lvl>
    <w:lvl w:ilvl="1" w:tplc="04090019" w:tentative="1">
      <w:start w:val="1"/>
      <w:numFmt w:val="lowerLetter"/>
      <w:lvlText w:val="%2."/>
      <w:lvlJc w:val="left"/>
      <w:pPr>
        <w:ind w:left="2129" w:hanging="360"/>
      </w:pPr>
    </w:lvl>
    <w:lvl w:ilvl="2" w:tplc="0409001B" w:tentative="1">
      <w:start w:val="1"/>
      <w:numFmt w:val="lowerRoman"/>
      <w:lvlText w:val="%3."/>
      <w:lvlJc w:val="right"/>
      <w:pPr>
        <w:ind w:left="2849" w:hanging="180"/>
      </w:pPr>
    </w:lvl>
    <w:lvl w:ilvl="3" w:tplc="0409000F" w:tentative="1">
      <w:start w:val="1"/>
      <w:numFmt w:val="decimal"/>
      <w:lvlText w:val="%4."/>
      <w:lvlJc w:val="left"/>
      <w:pPr>
        <w:ind w:left="3569" w:hanging="360"/>
      </w:pPr>
    </w:lvl>
    <w:lvl w:ilvl="4" w:tplc="04090019" w:tentative="1">
      <w:start w:val="1"/>
      <w:numFmt w:val="lowerLetter"/>
      <w:lvlText w:val="%5."/>
      <w:lvlJc w:val="left"/>
      <w:pPr>
        <w:ind w:left="4289" w:hanging="360"/>
      </w:pPr>
    </w:lvl>
    <w:lvl w:ilvl="5" w:tplc="0409001B" w:tentative="1">
      <w:start w:val="1"/>
      <w:numFmt w:val="lowerRoman"/>
      <w:lvlText w:val="%6."/>
      <w:lvlJc w:val="right"/>
      <w:pPr>
        <w:ind w:left="5009" w:hanging="180"/>
      </w:pPr>
    </w:lvl>
    <w:lvl w:ilvl="6" w:tplc="0409000F" w:tentative="1">
      <w:start w:val="1"/>
      <w:numFmt w:val="decimal"/>
      <w:lvlText w:val="%7."/>
      <w:lvlJc w:val="left"/>
      <w:pPr>
        <w:ind w:left="5729" w:hanging="360"/>
      </w:pPr>
    </w:lvl>
    <w:lvl w:ilvl="7" w:tplc="04090019" w:tentative="1">
      <w:start w:val="1"/>
      <w:numFmt w:val="lowerLetter"/>
      <w:lvlText w:val="%8."/>
      <w:lvlJc w:val="left"/>
      <w:pPr>
        <w:ind w:left="6449" w:hanging="360"/>
      </w:pPr>
    </w:lvl>
    <w:lvl w:ilvl="8" w:tplc="0409001B" w:tentative="1">
      <w:start w:val="1"/>
      <w:numFmt w:val="lowerRoman"/>
      <w:lvlText w:val="%9."/>
      <w:lvlJc w:val="right"/>
      <w:pPr>
        <w:ind w:left="7169" w:hanging="180"/>
      </w:pPr>
    </w:lvl>
  </w:abstractNum>
  <w:abstractNum w:abstractNumId="9" w15:restartNumberingAfterBreak="0">
    <w:nsid w:val="1A736248"/>
    <w:multiLevelType w:val="hybridMultilevel"/>
    <w:tmpl w:val="2132D212"/>
    <w:lvl w:ilvl="0" w:tplc="919A28B4">
      <w:start w:val="1"/>
      <w:numFmt w:val="upperLetter"/>
      <w:lvlText w:val="%1."/>
      <w:lvlJc w:val="left"/>
      <w:pPr>
        <w:ind w:left="928" w:hanging="360"/>
      </w:pPr>
      <w:rPr>
        <w:rFonts w:hint="default"/>
        <w:b/>
        <w:color w:val="auto"/>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0" w15:restartNumberingAfterBreak="0">
    <w:nsid w:val="1C5A5076"/>
    <w:multiLevelType w:val="hybridMultilevel"/>
    <w:tmpl w:val="2132D212"/>
    <w:lvl w:ilvl="0" w:tplc="919A28B4">
      <w:start w:val="1"/>
      <w:numFmt w:val="upperLetter"/>
      <w:lvlText w:val="%1."/>
      <w:lvlJc w:val="left"/>
      <w:pPr>
        <w:ind w:left="928" w:hanging="360"/>
      </w:pPr>
      <w:rPr>
        <w:rFonts w:hint="default"/>
        <w:b/>
        <w:color w:val="auto"/>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1" w15:restartNumberingAfterBreak="0">
    <w:nsid w:val="1FE30BBC"/>
    <w:multiLevelType w:val="hybridMultilevel"/>
    <w:tmpl w:val="DAB00F72"/>
    <w:lvl w:ilvl="0" w:tplc="0F3CB792">
      <w:start w:val="1"/>
      <w:numFmt w:val="decimal"/>
      <w:pStyle w:val="Ttulo9"/>
      <w:lvlText w:val="B.2.%1."/>
      <w:lvlJc w:val="left"/>
      <w:pPr>
        <w:ind w:left="2496"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48E27BF"/>
    <w:multiLevelType w:val="hybridMultilevel"/>
    <w:tmpl w:val="C1A8BF66"/>
    <w:lvl w:ilvl="0" w:tplc="2AE2873E">
      <w:start w:val="1"/>
      <w:numFmt w:val="decimal"/>
      <w:pStyle w:val="Ttulo8"/>
      <w:lvlText w:val="D.6.%1."/>
      <w:lvlJc w:val="left"/>
      <w:pPr>
        <w:ind w:left="2496"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B9E1694"/>
    <w:multiLevelType w:val="hybridMultilevel"/>
    <w:tmpl w:val="2132D212"/>
    <w:lvl w:ilvl="0" w:tplc="919A28B4">
      <w:start w:val="1"/>
      <w:numFmt w:val="upperLetter"/>
      <w:lvlText w:val="%1."/>
      <w:lvlJc w:val="left"/>
      <w:pPr>
        <w:ind w:left="928" w:hanging="360"/>
      </w:pPr>
      <w:rPr>
        <w:rFonts w:hint="default"/>
        <w:b/>
        <w:color w:val="auto"/>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4" w15:restartNumberingAfterBreak="0">
    <w:nsid w:val="2E0A7AE1"/>
    <w:multiLevelType w:val="multilevel"/>
    <w:tmpl w:val="976A5FA6"/>
    <w:lvl w:ilvl="0">
      <w:start w:val="1"/>
      <w:numFmt w:val="decimal"/>
      <w:lvlText w:val="%1."/>
      <w:lvlJc w:val="left"/>
      <w:pPr>
        <w:ind w:left="1211" w:hanging="360"/>
      </w:pPr>
      <w:rPr>
        <w:rFonts w:ascii="Verdana" w:hAnsi="Verdana" w:hint="default"/>
        <w:b w:val="0"/>
        <w:i w:val="0"/>
        <w:sz w:val="20"/>
        <w:szCs w:val="20"/>
        <w:lang w:val="es-CR"/>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400FBA"/>
    <w:multiLevelType w:val="hybridMultilevel"/>
    <w:tmpl w:val="0268B964"/>
    <w:lvl w:ilvl="0" w:tplc="140A0015">
      <w:start w:val="1"/>
      <w:numFmt w:val="upp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6" w15:restartNumberingAfterBreak="0">
    <w:nsid w:val="36A7656C"/>
    <w:multiLevelType w:val="hybridMultilevel"/>
    <w:tmpl w:val="5CF82A00"/>
    <w:lvl w:ilvl="0" w:tplc="B1F23CD6">
      <w:start w:val="1"/>
      <w:numFmt w:val="decimal"/>
      <w:pStyle w:val="Ttulo3"/>
      <w:lvlText w:val="A.%1."/>
      <w:lvlJc w:val="left"/>
      <w:pPr>
        <w:ind w:left="1353" w:hanging="360"/>
      </w:pPr>
      <w:rPr>
        <w:rFonts w:hint="default"/>
        <w:b w:val="0"/>
        <w:i/>
      </w:rPr>
    </w:lvl>
    <w:lvl w:ilvl="1" w:tplc="B1BE33EE">
      <w:start w:val="1"/>
      <w:numFmt w:val="lowerRoman"/>
      <w:lvlText w:val="%2."/>
      <w:lvlJc w:val="left"/>
      <w:pPr>
        <w:ind w:left="786" w:hanging="360"/>
      </w:pPr>
      <w:rPr>
        <w:rFonts w:ascii="Verdana" w:eastAsia="Batang" w:hAnsi="Verdana" w:cstheme="minorBidi"/>
      </w:rPr>
    </w:lvl>
    <w:lvl w:ilvl="2" w:tplc="0409001B">
      <w:start w:val="1"/>
      <w:numFmt w:val="lowerRoman"/>
      <w:lvlText w:val="%3."/>
      <w:lvlJc w:val="right"/>
      <w:pPr>
        <w:ind w:left="1876" w:hanging="180"/>
      </w:pPr>
    </w:lvl>
    <w:lvl w:ilvl="3" w:tplc="B50ACB34">
      <w:start w:val="1"/>
      <w:numFmt w:val="decimal"/>
      <w:lvlText w:val="%4."/>
      <w:lvlJc w:val="left"/>
      <w:pPr>
        <w:ind w:left="2596" w:hanging="360"/>
      </w:pPr>
      <w:rPr>
        <w:rFonts w:ascii="Verdana" w:hAnsi="Verdana" w:hint="default"/>
        <w:i w:val="0"/>
        <w:sz w:val="20"/>
        <w:szCs w:val="20"/>
      </w:r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7" w15:restartNumberingAfterBreak="0">
    <w:nsid w:val="38C05B06"/>
    <w:multiLevelType w:val="hybridMultilevel"/>
    <w:tmpl w:val="E2D24F04"/>
    <w:lvl w:ilvl="0" w:tplc="F1BE891E">
      <w:start w:val="1"/>
      <w:numFmt w:val="decimal"/>
      <w:lvlText w:val="A.%1"/>
      <w:lvlJc w:val="left"/>
      <w:pPr>
        <w:ind w:left="1080" w:hanging="360"/>
      </w:pPr>
      <w:rPr>
        <w:rFonts w:hint="default"/>
        <w:b w:val="0"/>
        <w:i/>
      </w:rPr>
    </w:lvl>
    <w:lvl w:ilvl="1" w:tplc="D8E67496">
      <w:start w:val="1"/>
      <w:numFmt w:val="decimal"/>
      <w:pStyle w:val="Ttulo5"/>
      <w:lvlText w:val="A.1.%2."/>
      <w:lvlJc w:val="left"/>
      <w:pPr>
        <w:ind w:left="3479"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D3C2673C">
      <w:start w:val="1"/>
      <w:numFmt w:val="upperLetter"/>
      <w:lvlText w:val="%3."/>
      <w:lvlJc w:val="left"/>
      <w:pPr>
        <w:ind w:left="1070" w:hanging="360"/>
      </w:pPr>
      <w:rPr>
        <w:rFont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8" w15:restartNumberingAfterBreak="0">
    <w:nsid w:val="3A8C5AAE"/>
    <w:multiLevelType w:val="hybridMultilevel"/>
    <w:tmpl w:val="C32E5DF8"/>
    <w:lvl w:ilvl="0" w:tplc="722EF180">
      <w:start w:val="1"/>
      <w:numFmt w:val="upperLetter"/>
      <w:pStyle w:val="Ttulo"/>
      <w:lvlText w:val="%1."/>
      <w:lvlJc w:val="left"/>
      <w:pPr>
        <w:ind w:left="720" w:hanging="360"/>
      </w:pPr>
      <w:rPr>
        <w:rFonts w:hint="default"/>
        <w:i/>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3F9B713D"/>
    <w:multiLevelType w:val="hybridMultilevel"/>
    <w:tmpl w:val="9704209E"/>
    <w:lvl w:ilvl="0" w:tplc="7E8E8A74">
      <w:start w:val="1"/>
      <w:numFmt w:val="decimal"/>
      <w:pStyle w:val="NormalNumbered"/>
      <w:lvlText w:val="%1."/>
      <w:lvlJc w:val="left"/>
      <w:pPr>
        <w:ind w:left="720" w:hanging="720"/>
      </w:pPr>
      <w:rPr>
        <w:rFonts w:ascii="Verdana" w:hAnsi="Verdana" w:hint="default"/>
        <w:b w:val="0"/>
        <w:i w:val="0"/>
        <w:strike w:val="0"/>
        <w:color w:val="auto"/>
        <w:sz w:val="20"/>
        <w:szCs w:val="20"/>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CFAC7540">
      <w:start w:val="1"/>
      <w:numFmt w:val="decimal"/>
      <w:lvlText w:val="%4."/>
      <w:lvlJc w:val="left"/>
      <w:pPr>
        <w:ind w:left="2520" w:hanging="360"/>
      </w:pPr>
      <w:rPr>
        <w:b/>
        <w:i/>
      </w:r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484F45A4"/>
    <w:multiLevelType w:val="hybridMultilevel"/>
    <w:tmpl w:val="2892B620"/>
    <w:lvl w:ilvl="0" w:tplc="0E924352">
      <w:start w:val="1"/>
      <w:numFmt w:val="decimal"/>
      <w:pStyle w:val="Ttulo7"/>
      <w:lvlText w:val="D.%1."/>
      <w:lvlJc w:val="left"/>
      <w:pPr>
        <w:ind w:left="1776" w:hanging="360"/>
      </w:pPr>
      <w:rPr>
        <w:rFonts w:hint="default"/>
      </w:rPr>
    </w:lvl>
    <w:lvl w:ilvl="1" w:tplc="140A0003" w:tentative="1">
      <w:start w:val="1"/>
      <w:numFmt w:val="bullet"/>
      <w:lvlText w:val="o"/>
      <w:lvlJc w:val="left"/>
      <w:pPr>
        <w:ind w:left="2496" w:hanging="360"/>
      </w:pPr>
      <w:rPr>
        <w:rFonts w:ascii="Courier New" w:hAnsi="Courier New" w:cs="Courier New" w:hint="default"/>
      </w:rPr>
    </w:lvl>
    <w:lvl w:ilvl="2" w:tplc="140A0005" w:tentative="1">
      <w:start w:val="1"/>
      <w:numFmt w:val="bullet"/>
      <w:lvlText w:val=""/>
      <w:lvlJc w:val="left"/>
      <w:pPr>
        <w:ind w:left="3216" w:hanging="360"/>
      </w:pPr>
      <w:rPr>
        <w:rFonts w:ascii="Wingdings" w:hAnsi="Wingdings" w:hint="default"/>
      </w:rPr>
    </w:lvl>
    <w:lvl w:ilvl="3" w:tplc="140A0001" w:tentative="1">
      <w:start w:val="1"/>
      <w:numFmt w:val="bullet"/>
      <w:lvlText w:val=""/>
      <w:lvlJc w:val="left"/>
      <w:pPr>
        <w:ind w:left="3936" w:hanging="360"/>
      </w:pPr>
      <w:rPr>
        <w:rFonts w:ascii="Symbol" w:hAnsi="Symbol" w:hint="default"/>
      </w:rPr>
    </w:lvl>
    <w:lvl w:ilvl="4" w:tplc="140A0003" w:tentative="1">
      <w:start w:val="1"/>
      <w:numFmt w:val="bullet"/>
      <w:lvlText w:val="o"/>
      <w:lvlJc w:val="left"/>
      <w:pPr>
        <w:ind w:left="4656" w:hanging="360"/>
      </w:pPr>
      <w:rPr>
        <w:rFonts w:ascii="Courier New" w:hAnsi="Courier New" w:cs="Courier New" w:hint="default"/>
      </w:rPr>
    </w:lvl>
    <w:lvl w:ilvl="5" w:tplc="140A0005" w:tentative="1">
      <w:start w:val="1"/>
      <w:numFmt w:val="bullet"/>
      <w:lvlText w:val=""/>
      <w:lvlJc w:val="left"/>
      <w:pPr>
        <w:ind w:left="5376" w:hanging="360"/>
      </w:pPr>
      <w:rPr>
        <w:rFonts w:ascii="Wingdings" w:hAnsi="Wingdings" w:hint="default"/>
      </w:rPr>
    </w:lvl>
    <w:lvl w:ilvl="6" w:tplc="140A0001" w:tentative="1">
      <w:start w:val="1"/>
      <w:numFmt w:val="bullet"/>
      <w:lvlText w:val=""/>
      <w:lvlJc w:val="left"/>
      <w:pPr>
        <w:ind w:left="6096" w:hanging="360"/>
      </w:pPr>
      <w:rPr>
        <w:rFonts w:ascii="Symbol" w:hAnsi="Symbol" w:hint="default"/>
      </w:rPr>
    </w:lvl>
    <w:lvl w:ilvl="7" w:tplc="140A0003" w:tentative="1">
      <w:start w:val="1"/>
      <w:numFmt w:val="bullet"/>
      <w:lvlText w:val="o"/>
      <w:lvlJc w:val="left"/>
      <w:pPr>
        <w:ind w:left="6816" w:hanging="360"/>
      </w:pPr>
      <w:rPr>
        <w:rFonts w:ascii="Courier New" w:hAnsi="Courier New" w:cs="Courier New" w:hint="default"/>
      </w:rPr>
    </w:lvl>
    <w:lvl w:ilvl="8" w:tplc="140A0005" w:tentative="1">
      <w:start w:val="1"/>
      <w:numFmt w:val="bullet"/>
      <w:lvlText w:val=""/>
      <w:lvlJc w:val="left"/>
      <w:pPr>
        <w:ind w:left="7536" w:hanging="360"/>
      </w:pPr>
      <w:rPr>
        <w:rFonts w:ascii="Wingdings" w:hAnsi="Wingdings" w:hint="default"/>
      </w:rPr>
    </w:lvl>
  </w:abstractNum>
  <w:abstractNum w:abstractNumId="21" w15:restartNumberingAfterBreak="0">
    <w:nsid w:val="49C3087D"/>
    <w:multiLevelType w:val="hybridMultilevel"/>
    <w:tmpl w:val="00983C4E"/>
    <w:lvl w:ilvl="0" w:tplc="CF8CC29A">
      <w:start w:val="35"/>
      <w:numFmt w:val="decimal"/>
      <w:lvlText w:val="%1."/>
      <w:lvlJc w:val="left"/>
      <w:pPr>
        <w:ind w:left="360" w:hanging="360"/>
      </w:pPr>
      <w:rPr>
        <w:rFonts w:ascii="Verdana" w:hAnsi="Verdana" w:hint="default"/>
        <w:b w:val="0"/>
        <w:strike w:val="0"/>
        <w:color w:val="auto"/>
        <w:sz w:val="20"/>
        <w:szCs w:val="20"/>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2" w15:restartNumberingAfterBreak="0">
    <w:nsid w:val="49E94114"/>
    <w:multiLevelType w:val="hybridMultilevel"/>
    <w:tmpl w:val="2132D212"/>
    <w:lvl w:ilvl="0" w:tplc="919A28B4">
      <w:start w:val="1"/>
      <w:numFmt w:val="upperLetter"/>
      <w:lvlText w:val="%1."/>
      <w:lvlJc w:val="left"/>
      <w:pPr>
        <w:ind w:left="928" w:hanging="360"/>
      </w:pPr>
      <w:rPr>
        <w:rFonts w:hint="default"/>
        <w:b/>
        <w:color w:val="auto"/>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3" w15:restartNumberingAfterBreak="0">
    <w:nsid w:val="50EE0A37"/>
    <w:multiLevelType w:val="hybridMultilevel"/>
    <w:tmpl w:val="5CBE59FC"/>
    <w:lvl w:ilvl="0" w:tplc="BEFEAD2E">
      <w:start w:val="5"/>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F62362"/>
    <w:multiLevelType w:val="hybridMultilevel"/>
    <w:tmpl w:val="D9C05C88"/>
    <w:lvl w:ilvl="0" w:tplc="9806BA66">
      <w:start w:val="1"/>
      <w:numFmt w:val="decimal"/>
      <w:lvlText w:val="B.%1."/>
      <w:lvlJc w:val="right"/>
      <w:pPr>
        <w:ind w:left="2138" w:hanging="360"/>
      </w:pPr>
      <w:rPr>
        <w:rFonts w:hint="default"/>
      </w:rPr>
    </w:lvl>
    <w:lvl w:ilvl="1" w:tplc="140A0019" w:tentative="1">
      <w:start w:val="1"/>
      <w:numFmt w:val="lowerLetter"/>
      <w:lvlText w:val="%2."/>
      <w:lvlJc w:val="left"/>
      <w:pPr>
        <w:ind w:left="2858" w:hanging="360"/>
      </w:pPr>
    </w:lvl>
    <w:lvl w:ilvl="2" w:tplc="140A001B" w:tentative="1">
      <w:start w:val="1"/>
      <w:numFmt w:val="lowerRoman"/>
      <w:lvlText w:val="%3."/>
      <w:lvlJc w:val="right"/>
      <w:pPr>
        <w:ind w:left="3578" w:hanging="180"/>
      </w:pPr>
    </w:lvl>
    <w:lvl w:ilvl="3" w:tplc="140A000F" w:tentative="1">
      <w:start w:val="1"/>
      <w:numFmt w:val="decimal"/>
      <w:lvlText w:val="%4."/>
      <w:lvlJc w:val="left"/>
      <w:pPr>
        <w:ind w:left="4298" w:hanging="360"/>
      </w:pPr>
    </w:lvl>
    <w:lvl w:ilvl="4" w:tplc="140A0019" w:tentative="1">
      <w:start w:val="1"/>
      <w:numFmt w:val="lowerLetter"/>
      <w:lvlText w:val="%5."/>
      <w:lvlJc w:val="left"/>
      <w:pPr>
        <w:ind w:left="5018" w:hanging="360"/>
      </w:pPr>
    </w:lvl>
    <w:lvl w:ilvl="5" w:tplc="140A001B" w:tentative="1">
      <w:start w:val="1"/>
      <w:numFmt w:val="lowerRoman"/>
      <w:lvlText w:val="%6."/>
      <w:lvlJc w:val="right"/>
      <w:pPr>
        <w:ind w:left="5738" w:hanging="180"/>
      </w:pPr>
    </w:lvl>
    <w:lvl w:ilvl="6" w:tplc="140A000F" w:tentative="1">
      <w:start w:val="1"/>
      <w:numFmt w:val="decimal"/>
      <w:lvlText w:val="%7."/>
      <w:lvlJc w:val="left"/>
      <w:pPr>
        <w:ind w:left="6458" w:hanging="360"/>
      </w:pPr>
    </w:lvl>
    <w:lvl w:ilvl="7" w:tplc="140A0019" w:tentative="1">
      <w:start w:val="1"/>
      <w:numFmt w:val="lowerLetter"/>
      <w:lvlText w:val="%8."/>
      <w:lvlJc w:val="left"/>
      <w:pPr>
        <w:ind w:left="7178" w:hanging="360"/>
      </w:pPr>
    </w:lvl>
    <w:lvl w:ilvl="8" w:tplc="140A001B" w:tentative="1">
      <w:start w:val="1"/>
      <w:numFmt w:val="lowerRoman"/>
      <w:lvlText w:val="%9."/>
      <w:lvlJc w:val="right"/>
      <w:pPr>
        <w:ind w:left="7898" w:hanging="180"/>
      </w:pPr>
    </w:lvl>
  </w:abstractNum>
  <w:abstractNum w:abstractNumId="25" w15:restartNumberingAfterBreak="0">
    <w:nsid w:val="56164B7C"/>
    <w:multiLevelType w:val="hybridMultilevel"/>
    <w:tmpl w:val="8CC26DFC"/>
    <w:lvl w:ilvl="0" w:tplc="CF9AFCBE">
      <w:start w:val="1"/>
      <w:numFmt w:val="lowerLetter"/>
      <w:lvlText w:val="%1)"/>
      <w:lvlJc w:val="left"/>
      <w:pPr>
        <w:ind w:left="818" w:hanging="360"/>
      </w:pPr>
      <w:rPr>
        <w:color w:val="auto"/>
      </w:rPr>
    </w:lvl>
    <w:lvl w:ilvl="1" w:tplc="140A0019">
      <w:start w:val="1"/>
      <w:numFmt w:val="lowerLetter"/>
      <w:lvlText w:val="%2."/>
      <w:lvlJc w:val="left"/>
      <w:pPr>
        <w:ind w:left="1538" w:hanging="360"/>
      </w:pPr>
    </w:lvl>
    <w:lvl w:ilvl="2" w:tplc="140A001B">
      <w:start w:val="1"/>
      <w:numFmt w:val="lowerRoman"/>
      <w:lvlText w:val="%3."/>
      <w:lvlJc w:val="right"/>
      <w:pPr>
        <w:ind w:left="2258" w:hanging="180"/>
      </w:pPr>
    </w:lvl>
    <w:lvl w:ilvl="3" w:tplc="140A000F">
      <w:start w:val="1"/>
      <w:numFmt w:val="decimal"/>
      <w:lvlText w:val="%4."/>
      <w:lvlJc w:val="left"/>
      <w:pPr>
        <w:ind w:left="2978" w:hanging="360"/>
      </w:pPr>
    </w:lvl>
    <w:lvl w:ilvl="4" w:tplc="140A0019">
      <w:start w:val="1"/>
      <w:numFmt w:val="lowerLetter"/>
      <w:lvlText w:val="%5."/>
      <w:lvlJc w:val="left"/>
      <w:pPr>
        <w:ind w:left="3698" w:hanging="360"/>
      </w:pPr>
    </w:lvl>
    <w:lvl w:ilvl="5" w:tplc="140A001B">
      <w:start w:val="1"/>
      <w:numFmt w:val="lowerRoman"/>
      <w:lvlText w:val="%6."/>
      <w:lvlJc w:val="right"/>
      <w:pPr>
        <w:ind w:left="4418" w:hanging="180"/>
      </w:pPr>
    </w:lvl>
    <w:lvl w:ilvl="6" w:tplc="140A000F">
      <w:start w:val="1"/>
      <w:numFmt w:val="decimal"/>
      <w:lvlText w:val="%7."/>
      <w:lvlJc w:val="left"/>
      <w:pPr>
        <w:ind w:left="5138" w:hanging="360"/>
      </w:pPr>
    </w:lvl>
    <w:lvl w:ilvl="7" w:tplc="140A0019">
      <w:start w:val="1"/>
      <w:numFmt w:val="lowerLetter"/>
      <w:lvlText w:val="%8."/>
      <w:lvlJc w:val="left"/>
      <w:pPr>
        <w:ind w:left="5858" w:hanging="360"/>
      </w:pPr>
    </w:lvl>
    <w:lvl w:ilvl="8" w:tplc="140A001B">
      <w:start w:val="1"/>
      <w:numFmt w:val="lowerRoman"/>
      <w:lvlText w:val="%9."/>
      <w:lvlJc w:val="right"/>
      <w:pPr>
        <w:ind w:left="6578" w:hanging="180"/>
      </w:pPr>
    </w:lvl>
  </w:abstractNum>
  <w:abstractNum w:abstractNumId="26" w15:restartNumberingAfterBreak="0">
    <w:nsid w:val="5A8C0434"/>
    <w:multiLevelType w:val="hybridMultilevel"/>
    <w:tmpl w:val="1750BEF8"/>
    <w:lvl w:ilvl="0" w:tplc="CA325ECC">
      <w:start w:val="1"/>
      <w:numFmt w:val="decimal"/>
      <w:lvlText w:val="%1."/>
      <w:lvlJc w:val="left"/>
      <w:pPr>
        <w:ind w:left="720" w:hanging="360"/>
      </w:pPr>
      <w:rPr>
        <w:rFonts w:ascii="Verdana" w:hAnsi="Verdana" w:hint="default"/>
        <w:b w:val="0"/>
        <w:i w:val="0"/>
        <w:strike w:val="0"/>
        <w:sz w:val="20"/>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7" w15:restartNumberingAfterBreak="0">
    <w:nsid w:val="5CE9233A"/>
    <w:multiLevelType w:val="hybridMultilevel"/>
    <w:tmpl w:val="2DBA7D8A"/>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5DEE375D"/>
    <w:multiLevelType w:val="hybridMultilevel"/>
    <w:tmpl w:val="7160052C"/>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64402BA7"/>
    <w:multiLevelType w:val="hybridMultilevel"/>
    <w:tmpl w:val="431E461A"/>
    <w:lvl w:ilvl="0" w:tplc="9F2A7FC2">
      <w:start w:val="1"/>
      <w:numFmt w:val="upperLetter"/>
      <w:pStyle w:val="Ttulo2"/>
      <w:lvlText w:val="%1."/>
      <w:lvlJc w:val="left"/>
      <w:pPr>
        <w:ind w:left="928" w:hanging="360"/>
      </w:pPr>
    </w:lvl>
    <w:lvl w:ilvl="1" w:tplc="04090019">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0" w15:restartNumberingAfterBreak="0">
    <w:nsid w:val="66342309"/>
    <w:multiLevelType w:val="hybridMultilevel"/>
    <w:tmpl w:val="56DE160C"/>
    <w:lvl w:ilvl="0" w:tplc="95CADDD2">
      <w:start w:val="1"/>
      <w:numFmt w:val="decimal"/>
      <w:pStyle w:val="Ttulo6"/>
      <w:lvlText w:val="C.3.%1."/>
      <w:lvlJc w:val="left"/>
      <w:pPr>
        <w:ind w:left="2484" w:hanging="360"/>
      </w:pPr>
      <w:rPr>
        <w:rFonts w:hint="default"/>
        <w:b w:val="0"/>
      </w:rPr>
    </w:lvl>
    <w:lvl w:ilvl="1" w:tplc="140A0003" w:tentative="1">
      <w:start w:val="1"/>
      <w:numFmt w:val="bullet"/>
      <w:lvlText w:val="o"/>
      <w:lvlJc w:val="left"/>
      <w:pPr>
        <w:ind w:left="3204" w:hanging="360"/>
      </w:pPr>
      <w:rPr>
        <w:rFonts w:ascii="Courier New" w:hAnsi="Courier New" w:cs="Courier New" w:hint="default"/>
      </w:rPr>
    </w:lvl>
    <w:lvl w:ilvl="2" w:tplc="140A0005" w:tentative="1">
      <w:start w:val="1"/>
      <w:numFmt w:val="bullet"/>
      <w:lvlText w:val=""/>
      <w:lvlJc w:val="left"/>
      <w:pPr>
        <w:ind w:left="3924" w:hanging="360"/>
      </w:pPr>
      <w:rPr>
        <w:rFonts w:ascii="Wingdings" w:hAnsi="Wingdings" w:hint="default"/>
      </w:rPr>
    </w:lvl>
    <w:lvl w:ilvl="3" w:tplc="140A0001" w:tentative="1">
      <w:start w:val="1"/>
      <w:numFmt w:val="bullet"/>
      <w:lvlText w:val=""/>
      <w:lvlJc w:val="left"/>
      <w:pPr>
        <w:ind w:left="4644" w:hanging="360"/>
      </w:pPr>
      <w:rPr>
        <w:rFonts w:ascii="Symbol" w:hAnsi="Symbol" w:hint="default"/>
      </w:rPr>
    </w:lvl>
    <w:lvl w:ilvl="4" w:tplc="140A0003" w:tentative="1">
      <w:start w:val="1"/>
      <w:numFmt w:val="bullet"/>
      <w:lvlText w:val="o"/>
      <w:lvlJc w:val="left"/>
      <w:pPr>
        <w:ind w:left="5364" w:hanging="360"/>
      </w:pPr>
      <w:rPr>
        <w:rFonts w:ascii="Courier New" w:hAnsi="Courier New" w:cs="Courier New" w:hint="default"/>
      </w:rPr>
    </w:lvl>
    <w:lvl w:ilvl="5" w:tplc="140A0005" w:tentative="1">
      <w:start w:val="1"/>
      <w:numFmt w:val="bullet"/>
      <w:lvlText w:val=""/>
      <w:lvlJc w:val="left"/>
      <w:pPr>
        <w:ind w:left="6084" w:hanging="360"/>
      </w:pPr>
      <w:rPr>
        <w:rFonts w:ascii="Wingdings" w:hAnsi="Wingdings" w:hint="default"/>
      </w:rPr>
    </w:lvl>
    <w:lvl w:ilvl="6" w:tplc="140A0001" w:tentative="1">
      <w:start w:val="1"/>
      <w:numFmt w:val="bullet"/>
      <w:lvlText w:val=""/>
      <w:lvlJc w:val="left"/>
      <w:pPr>
        <w:ind w:left="6804" w:hanging="360"/>
      </w:pPr>
      <w:rPr>
        <w:rFonts w:ascii="Symbol" w:hAnsi="Symbol" w:hint="default"/>
      </w:rPr>
    </w:lvl>
    <w:lvl w:ilvl="7" w:tplc="140A0003" w:tentative="1">
      <w:start w:val="1"/>
      <w:numFmt w:val="bullet"/>
      <w:lvlText w:val="o"/>
      <w:lvlJc w:val="left"/>
      <w:pPr>
        <w:ind w:left="7524" w:hanging="360"/>
      </w:pPr>
      <w:rPr>
        <w:rFonts w:ascii="Courier New" w:hAnsi="Courier New" w:cs="Courier New" w:hint="default"/>
      </w:rPr>
    </w:lvl>
    <w:lvl w:ilvl="8" w:tplc="140A0005" w:tentative="1">
      <w:start w:val="1"/>
      <w:numFmt w:val="bullet"/>
      <w:lvlText w:val=""/>
      <w:lvlJc w:val="left"/>
      <w:pPr>
        <w:ind w:left="8244" w:hanging="360"/>
      </w:pPr>
      <w:rPr>
        <w:rFonts w:ascii="Wingdings" w:hAnsi="Wingdings" w:hint="default"/>
      </w:rPr>
    </w:lvl>
  </w:abstractNum>
  <w:abstractNum w:abstractNumId="31" w15:restartNumberingAfterBreak="0">
    <w:nsid w:val="66995AED"/>
    <w:multiLevelType w:val="hybridMultilevel"/>
    <w:tmpl w:val="1430C17E"/>
    <w:lvl w:ilvl="0" w:tplc="F4864E74">
      <w:start w:val="1"/>
      <w:numFmt w:val="decimal"/>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6C572534"/>
    <w:multiLevelType w:val="hybridMultilevel"/>
    <w:tmpl w:val="3F90F376"/>
    <w:lvl w:ilvl="0" w:tplc="B3EA9D2C">
      <w:start w:val="1"/>
      <w:numFmt w:val="upperLetter"/>
      <w:lvlText w:val="%1."/>
      <w:lvlJc w:val="left"/>
      <w:pPr>
        <w:ind w:left="928" w:hanging="360"/>
      </w:pPr>
      <w:rPr>
        <w:rFonts w:ascii="Verdana" w:hAnsi="Verdana" w:hint="default"/>
        <w:b/>
        <w:color w:val="auto"/>
        <w:sz w:val="20"/>
        <w:szCs w:val="20"/>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3" w15:restartNumberingAfterBreak="0">
    <w:nsid w:val="6C5B3CDC"/>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4D427D9"/>
    <w:multiLevelType w:val="hybridMultilevel"/>
    <w:tmpl w:val="D9C05C88"/>
    <w:lvl w:ilvl="0" w:tplc="9806BA66">
      <w:start w:val="1"/>
      <w:numFmt w:val="decimal"/>
      <w:lvlText w:val="B.%1."/>
      <w:lvlJc w:val="right"/>
      <w:pPr>
        <w:ind w:left="2138" w:hanging="360"/>
      </w:pPr>
      <w:rPr>
        <w:rFonts w:hint="default"/>
      </w:rPr>
    </w:lvl>
    <w:lvl w:ilvl="1" w:tplc="140A0019" w:tentative="1">
      <w:start w:val="1"/>
      <w:numFmt w:val="lowerLetter"/>
      <w:lvlText w:val="%2."/>
      <w:lvlJc w:val="left"/>
      <w:pPr>
        <w:ind w:left="2858" w:hanging="360"/>
      </w:pPr>
    </w:lvl>
    <w:lvl w:ilvl="2" w:tplc="140A001B" w:tentative="1">
      <w:start w:val="1"/>
      <w:numFmt w:val="lowerRoman"/>
      <w:lvlText w:val="%3."/>
      <w:lvlJc w:val="right"/>
      <w:pPr>
        <w:ind w:left="3578" w:hanging="180"/>
      </w:pPr>
    </w:lvl>
    <w:lvl w:ilvl="3" w:tplc="140A000F" w:tentative="1">
      <w:start w:val="1"/>
      <w:numFmt w:val="decimal"/>
      <w:lvlText w:val="%4."/>
      <w:lvlJc w:val="left"/>
      <w:pPr>
        <w:ind w:left="4298" w:hanging="360"/>
      </w:pPr>
    </w:lvl>
    <w:lvl w:ilvl="4" w:tplc="140A0019" w:tentative="1">
      <w:start w:val="1"/>
      <w:numFmt w:val="lowerLetter"/>
      <w:lvlText w:val="%5."/>
      <w:lvlJc w:val="left"/>
      <w:pPr>
        <w:ind w:left="5018" w:hanging="360"/>
      </w:pPr>
    </w:lvl>
    <w:lvl w:ilvl="5" w:tplc="140A001B" w:tentative="1">
      <w:start w:val="1"/>
      <w:numFmt w:val="lowerRoman"/>
      <w:lvlText w:val="%6."/>
      <w:lvlJc w:val="right"/>
      <w:pPr>
        <w:ind w:left="5738" w:hanging="180"/>
      </w:pPr>
    </w:lvl>
    <w:lvl w:ilvl="6" w:tplc="140A000F" w:tentative="1">
      <w:start w:val="1"/>
      <w:numFmt w:val="decimal"/>
      <w:lvlText w:val="%7."/>
      <w:lvlJc w:val="left"/>
      <w:pPr>
        <w:ind w:left="6458" w:hanging="360"/>
      </w:pPr>
    </w:lvl>
    <w:lvl w:ilvl="7" w:tplc="140A0019" w:tentative="1">
      <w:start w:val="1"/>
      <w:numFmt w:val="lowerLetter"/>
      <w:lvlText w:val="%8."/>
      <w:lvlJc w:val="left"/>
      <w:pPr>
        <w:ind w:left="7178" w:hanging="360"/>
      </w:pPr>
    </w:lvl>
    <w:lvl w:ilvl="8" w:tplc="140A001B" w:tentative="1">
      <w:start w:val="1"/>
      <w:numFmt w:val="lowerRoman"/>
      <w:lvlText w:val="%9."/>
      <w:lvlJc w:val="right"/>
      <w:pPr>
        <w:ind w:left="7898" w:hanging="180"/>
      </w:pPr>
    </w:lvl>
  </w:abstractNum>
  <w:abstractNum w:abstractNumId="35" w15:restartNumberingAfterBreak="0">
    <w:nsid w:val="769C045C"/>
    <w:multiLevelType w:val="hybridMultilevel"/>
    <w:tmpl w:val="EE689438"/>
    <w:lvl w:ilvl="0" w:tplc="8E4224E8">
      <w:start w:val="1"/>
      <w:numFmt w:val="decimal"/>
      <w:pStyle w:val="Ttulo4"/>
      <w:lvlText w:val="A.2.%1."/>
      <w:lvlJc w:val="left"/>
      <w:pPr>
        <w:ind w:left="1068" w:hanging="360"/>
      </w:pPr>
      <w:rPr>
        <w:rFonts w:hint="default"/>
        <w:b/>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79354707"/>
    <w:multiLevelType w:val="hybridMultilevel"/>
    <w:tmpl w:val="FE1C3586"/>
    <w:lvl w:ilvl="0" w:tplc="98A461BC">
      <w:start w:val="1"/>
      <w:numFmt w:val="decimal"/>
      <w:lvlText w:val="%1."/>
      <w:lvlJc w:val="left"/>
      <w:pPr>
        <w:ind w:left="1393" w:hanging="825"/>
      </w:pPr>
      <w:rPr>
        <w:rFonts w:ascii="Verdana" w:eastAsia="Verdana" w:hAnsi="Verdana" w:cs="Verdana" w:hint="default"/>
        <w:b w:val="0"/>
        <w:i w:val="0"/>
        <w:strike w:val="0"/>
        <w:color w:val="auto"/>
        <w:sz w:val="20"/>
        <w:szCs w:val="20"/>
        <w:lang w:val="es-MX"/>
      </w:rPr>
    </w:lvl>
    <w:lvl w:ilvl="1" w:tplc="140A001B">
      <w:start w:val="1"/>
      <w:numFmt w:val="lowerRoman"/>
      <w:lvlText w:val="%2."/>
      <w:lvlJc w:val="right"/>
      <w:pPr>
        <w:ind w:left="1440" w:hanging="360"/>
      </w:pPr>
    </w:lvl>
    <w:lvl w:ilvl="2" w:tplc="811CA528">
      <w:start w:val="1"/>
      <w:numFmt w:val="lowerRoman"/>
      <w:lvlText w:val="%3."/>
      <w:lvlJc w:val="right"/>
      <w:pPr>
        <w:ind w:left="1031" w:hanging="180"/>
      </w:pPr>
      <w:rPr>
        <w:rFonts w:ascii="Verdana" w:eastAsia="Batang" w:hAnsi="Verdana" w:cstheme="minorBidi"/>
        <w:i w:val="0"/>
      </w:rPr>
    </w:lvl>
    <w:lvl w:ilvl="3" w:tplc="664CD6A6">
      <w:start w:val="1"/>
      <w:numFmt w:val="decimal"/>
      <w:lvlText w:val="D.7.%4."/>
      <w:lvlJc w:val="left"/>
      <w:pPr>
        <w:ind w:left="2880" w:hanging="360"/>
      </w:pPr>
      <w:rPr>
        <w:rFonts w:hint="default"/>
        <w:lang w:val="es-AR"/>
      </w:r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5B9ABF92">
      <w:start w:val="1"/>
      <w:numFmt w:val="decimal"/>
      <w:lvlText w:val="A.%7."/>
      <w:lvlJc w:val="left"/>
      <w:pPr>
        <w:ind w:left="1778" w:hanging="360"/>
      </w:pPr>
      <w:rPr>
        <w:rFonts w:hint="default"/>
        <w:b w:val="0"/>
        <w:i/>
      </w:r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7" w15:restartNumberingAfterBreak="0">
    <w:nsid w:val="7AFB4A7D"/>
    <w:multiLevelType w:val="hybridMultilevel"/>
    <w:tmpl w:val="98C434B4"/>
    <w:lvl w:ilvl="0" w:tplc="75B2A864">
      <w:start w:val="1"/>
      <w:numFmt w:val="decimal"/>
      <w:lvlText w:val="E.%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num w:numId="1">
    <w:abstractNumId w:val="16"/>
  </w:num>
  <w:num w:numId="2">
    <w:abstractNumId w:val="29"/>
  </w:num>
  <w:num w:numId="3">
    <w:abstractNumId w:val="17"/>
  </w:num>
  <w:num w:numId="4">
    <w:abstractNumId w:val="30"/>
  </w:num>
  <w:num w:numId="5">
    <w:abstractNumId w:val="20"/>
  </w:num>
  <w:num w:numId="6">
    <w:abstractNumId w:val="35"/>
  </w:num>
  <w:num w:numId="7">
    <w:abstractNumId w:val="12"/>
  </w:num>
  <w:num w:numId="8">
    <w:abstractNumId w:val="11"/>
  </w:num>
  <w:num w:numId="9">
    <w:abstractNumId w:val="33"/>
  </w:num>
  <w:num w:numId="10">
    <w:abstractNumId w:val="18"/>
  </w:num>
  <w:num w:numId="11">
    <w:abstractNumId w:val="9"/>
  </w:num>
  <w:num w:numId="12">
    <w:abstractNumId w:val="19"/>
  </w:num>
  <w:num w:numId="13">
    <w:abstractNumId w:val="36"/>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5"/>
  </w:num>
  <w:num w:numId="17">
    <w:abstractNumId w:val="4"/>
  </w:num>
  <w:num w:numId="18">
    <w:abstractNumId w:val="2"/>
  </w:num>
  <w:num w:numId="19">
    <w:abstractNumId w:val="37"/>
  </w:num>
  <w:num w:numId="20">
    <w:abstractNumId w:val="7"/>
  </w:num>
  <w:num w:numId="21">
    <w:abstractNumId w:val="6"/>
  </w:num>
  <w:num w:numId="22">
    <w:abstractNumId w:val="3"/>
  </w:num>
  <w:num w:numId="23">
    <w:abstractNumId w:val="28"/>
  </w:num>
  <w:num w:numId="24">
    <w:abstractNumId w:val="31"/>
  </w:num>
  <w:num w:numId="25">
    <w:abstractNumId w:val="15"/>
  </w:num>
  <w:num w:numId="26">
    <w:abstractNumId w:val="16"/>
  </w:num>
  <w:num w:numId="27">
    <w:abstractNumId w:val="0"/>
  </w:num>
  <w:num w:numId="28">
    <w:abstractNumId w:val="27"/>
  </w:num>
  <w:num w:numId="29">
    <w:abstractNumId w:val="21"/>
  </w:num>
  <w:num w:numId="30">
    <w:abstractNumId w:val="26"/>
  </w:num>
  <w:num w:numId="31">
    <w:abstractNumId w:val="1"/>
  </w:num>
  <w:num w:numId="32">
    <w:abstractNumId w:val="23"/>
  </w:num>
  <w:num w:numId="33">
    <w:abstractNumId w:val="16"/>
  </w:num>
  <w:num w:numId="34">
    <w:abstractNumId w:val="16"/>
  </w:num>
  <w:num w:numId="35">
    <w:abstractNumId w:val="24"/>
  </w:num>
  <w:num w:numId="36">
    <w:abstractNumId w:val="16"/>
  </w:num>
  <w:num w:numId="37">
    <w:abstractNumId w:val="22"/>
  </w:num>
  <w:num w:numId="38">
    <w:abstractNumId w:val="10"/>
  </w:num>
  <w:num w:numId="39">
    <w:abstractNumId w:val="13"/>
  </w:num>
  <w:num w:numId="40">
    <w:abstractNumId w:val="32"/>
  </w:num>
  <w:num w:numId="41">
    <w:abstractNumId w:val="34"/>
  </w:num>
  <w:num w:numId="42">
    <w:abstractNumId w:val="16"/>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5D8"/>
    <w:rsid w:val="00005499"/>
    <w:rsid w:val="000065A8"/>
    <w:rsid w:val="00015629"/>
    <w:rsid w:val="0001711B"/>
    <w:rsid w:val="00030560"/>
    <w:rsid w:val="0003409F"/>
    <w:rsid w:val="00035AC0"/>
    <w:rsid w:val="0006007C"/>
    <w:rsid w:val="0006055E"/>
    <w:rsid w:val="0006508C"/>
    <w:rsid w:val="0006544D"/>
    <w:rsid w:val="00074E21"/>
    <w:rsid w:val="00095FC2"/>
    <w:rsid w:val="00096332"/>
    <w:rsid w:val="000A108A"/>
    <w:rsid w:val="000B0482"/>
    <w:rsid w:val="000B214B"/>
    <w:rsid w:val="000B31AD"/>
    <w:rsid w:val="000B6357"/>
    <w:rsid w:val="000C088D"/>
    <w:rsid w:val="000C585F"/>
    <w:rsid w:val="000D0A3E"/>
    <w:rsid w:val="000D499C"/>
    <w:rsid w:val="000E3998"/>
    <w:rsid w:val="000F6745"/>
    <w:rsid w:val="0011313E"/>
    <w:rsid w:val="00113998"/>
    <w:rsid w:val="001240AA"/>
    <w:rsid w:val="00125EF4"/>
    <w:rsid w:val="00130BEF"/>
    <w:rsid w:val="0013492D"/>
    <w:rsid w:val="00164CF2"/>
    <w:rsid w:val="001663EE"/>
    <w:rsid w:val="001702B0"/>
    <w:rsid w:val="001732BB"/>
    <w:rsid w:val="00173B56"/>
    <w:rsid w:val="001B0B8B"/>
    <w:rsid w:val="001B5AFB"/>
    <w:rsid w:val="001C05D8"/>
    <w:rsid w:val="001F5505"/>
    <w:rsid w:val="002022BC"/>
    <w:rsid w:val="00202F41"/>
    <w:rsid w:val="002319DD"/>
    <w:rsid w:val="00232EAD"/>
    <w:rsid w:val="00233B2F"/>
    <w:rsid w:val="00234DC2"/>
    <w:rsid w:val="002367BF"/>
    <w:rsid w:val="0024211C"/>
    <w:rsid w:val="002477BA"/>
    <w:rsid w:val="002549B7"/>
    <w:rsid w:val="00262700"/>
    <w:rsid w:val="00265133"/>
    <w:rsid w:val="002A2F2C"/>
    <w:rsid w:val="002C47FC"/>
    <w:rsid w:val="002D183D"/>
    <w:rsid w:val="002D34FD"/>
    <w:rsid w:val="002E27D4"/>
    <w:rsid w:val="002F036A"/>
    <w:rsid w:val="002F43C1"/>
    <w:rsid w:val="00302E1A"/>
    <w:rsid w:val="00312FC9"/>
    <w:rsid w:val="00327F03"/>
    <w:rsid w:val="003523ED"/>
    <w:rsid w:val="003619E9"/>
    <w:rsid w:val="0038649C"/>
    <w:rsid w:val="00396986"/>
    <w:rsid w:val="00396CC0"/>
    <w:rsid w:val="003B7162"/>
    <w:rsid w:val="003D58B2"/>
    <w:rsid w:val="003D7879"/>
    <w:rsid w:val="003E24E5"/>
    <w:rsid w:val="003F6ECD"/>
    <w:rsid w:val="003F7612"/>
    <w:rsid w:val="0040370B"/>
    <w:rsid w:val="00406718"/>
    <w:rsid w:val="0041366C"/>
    <w:rsid w:val="00414121"/>
    <w:rsid w:val="00422F8E"/>
    <w:rsid w:val="0042313F"/>
    <w:rsid w:val="00425643"/>
    <w:rsid w:val="00430C9B"/>
    <w:rsid w:val="00431290"/>
    <w:rsid w:val="0045596C"/>
    <w:rsid w:val="00455E45"/>
    <w:rsid w:val="004602D7"/>
    <w:rsid w:val="00484863"/>
    <w:rsid w:val="00487B84"/>
    <w:rsid w:val="00492D33"/>
    <w:rsid w:val="0049586E"/>
    <w:rsid w:val="00495D3F"/>
    <w:rsid w:val="00496918"/>
    <w:rsid w:val="004A3E0F"/>
    <w:rsid w:val="004B170E"/>
    <w:rsid w:val="004C04A8"/>
    <w:rsid w:val="004C29A4"/>
    <w:rsid w:val="004D0EC7"/>
    <w:rsid w:val="004D6659"/>
    <w:rsid w:val="004E00F7"/>
    <w:rsid w:val="004E0B3D"/>
    <w:rsid w:val="004F7C30"/>
    <w:rsid w:val="00511DD9"/>
    <w:rsid w:val="00512B10"/>
    <w:rsid w:val="0052180A"/>
    <w:rsid w:val="00536736"/>
    <w:rsid w:val="00543E5A"/>
    <w:rsid w:val="00574AD8"/>
    <w:rsid w:val="00581B8F"/>
    <w:rsid w:val="00587A34"/>
    <w:rsid w:val="005A25BC"/>
    <w:rsid w:val="005B5586"/>
    <w:rsid w:val="005B77C2"/>
    <w:rsid w:val="005E3D75"/>
    <w:rsid w:val="005E51F2"/>
    <w:rsid w:val="005E6948"/>
    <w:rsid w:val="00604B8A"/>
    <w:rsid w:val="00607E6D"/>
    <w:rsid w:val="00611314"/>
    <w:rsid w:val="00635C42"/>
    <w:rsid w:val="00636809"/>
    <w:rsid w:val="0064041B"/>
    <w:rsid w:val="00640DB4"/>
    <w:rsid w:val="006512B6"/>
    <w:rsid w:val="00655B32"/>
    <w:rsid w:val="0065651C"/>
    <w:rsid w:val="00661093"/>
    <w:rsid w:val="00674C0C"/>
    <w:rsid w:val="00684CCE"/>
    <w:rsid w:val="00687FF0"/>
    <w:rsid w:val="006E1330"/>
    <w:rsid w:val="006E41A8"/>
    <w:rsid w:val="006E4A9C"/>
    <w:rsid w:val="006F14DB"/>
    <w:rsid w:val="006F54EA"/>
    <w:rsid w:val="006F56FD"/>
    <w:rsid w:val="006F5D6E"/>
    <w:rsid w:val="006F6543"/>
    <w:rsid w:val="00707598"/>
    <w:rsid w:val="00712093"/>
    <w:rsid w:val="00713E16"/>
    <w:rsid w:val="00720B11"/>
    <w:rsid w:val="007231A8"/>
    <w:rsid w:val="00725E0B"/>
    <w:rsid w:val="00731DB8"/>
    <w:rsid w:val="0073300F"/>
    <w:rsid w:val="00734C23"/>
    <w:rsid w:val="0073609E"/>
    <w:rsid w:val="00740F2D"/>
    <w:rsid w:val="007432B5"/>
    <w:rsid w:val="0074561B"/>
    <w:rsid w:val="007507AB"/>
    <w:rsid w:val="0075731A"/>
    <w:rsid w:val="0076370B"/>
    <w:rsid w:val="0077533F"/>
    <w:rsid w:val="00775666"/>
    <w:rsid w:val="007769CC"/>
    <w:rsid w:val="0079161D"/>
    <w:rsid w:val="007C0EBE"/>
    <w:rsid w:val="007C7159"/>
    <w:rsid w:val="007F2034"/>
    <w:rsid w:val="008053EE"/>
    <w:rsid w:val="008120E3"/>
    <w:rsid w:val="008175B4"/>
    <w:rsid w:val="00821B1E"/>
    <w:rsid w:val="00822EAA"/>
    <w:rsid w:val="008256E1"/>
    <w:rsid w:val="00827BB1"/>
    <w:rsid w:val="0083239C"/>
    <w:rsid w:val="00833CC2"/>
    <w:rsid w:val="008379B6"/>
    <w:rsid w:val="0084247E"/>
    <w:rsid w:val="0084505D"/>
    <w:rsid w:val="00851BFC"/>
    <w:rsid w:val="00881109"/>
    <w:rsid w:val="0088184E"/>
    <w:rsid w:val="00882A8B"/>
    <w:rsid w:val="00883F51"/>
    <w:rsid w:val="00884FC8"/>
    <w:rsid w:val="00885CF2"/>
    <w:rsid w:val="0089613C"/>
    <w:rsid w:val="008A1D2D"/>
    <w:rsid w:val="008A4331"/>
    <w:rsid w:val="008C1265"/>
    <w:rsid w:val="008C28DA"/>
    <w:rsid w:val="008C5743"/>
    <w:rsid w:val="008E185E"/>
    <w:rsid w:val="008F1226"/>
    <w:rsid w:val="00904755"/>
    <w:rsid w:val="00910CA4"/>
    <w:rsid w:val="00910E74"/>
    <w:rsid w:val="009154DD"/>
    <w:rsid w:val="00922848"/>
    <w:rsid w:val="00932941"/>
    <w:rsid w:val="00932C6A"/>
    <w:rsid w:val="009416BE"/>
    <w:rsid w:val="00946E7F"/>
    <w:rsid w:val="009642A0"/>
    <w:rsid w:val="00972D9D"/>
    <w:rsid w:val="0097754C"/>
    <w:rsid w:val="0098189A"/>
    <w:rsid w:val="00996EEB"/>
    <w:rsid w:val="009A787C"/>
    <w:rsid w:val="009B573F"/>
    <w:rsid w:val="009C150F"/>
    <w:rsid w:val="009C3AA1"/>
    <w:rsid w:val="009C6CFD"/>
    <w:rsid w:val="009D3559"/>
    <w:rsid w:val="009E3A45"/>
    <w:rsid w:val="009F3ECA"/>
    <w:rsid w:val="00A01D26"/>
    <w:rsid w:val="00A06F6E"/>
    <w:rsid w:val="00A21928"/>
    <w:rsid w:val="00A237D8"/>
    <w:rsid w:val="00A3482F"/>
    <w:rsid w:val="00A47218"/>
    <w:rsid w:val="00A47665"/>
    <w:rsid w:val="00A5025E"/>
    <w:rsid w:val="00A659FB"/>
    <w:rsid w:val="00A6683A"/>
    <w:rsid w:val="00A7367D"/>
    <w:rsid w:val="00A87D8E"/>
    <w:rsid w:val="00A90E5F"/>
    <w:rsid w:val="00A97868"/>
    <w:rsid w:val="00AA5D46"/>
    <w:rsid w:val="00AC1C2A"/>
    <w:rsid w:val="00B054DA"/>
    <w:rsid w:val="00B06AD2"/>
    <w:rsid w:val="00B074E5"/>
    <w:rsid w:val="00B1167A"/>
    <w:rsid w:val="00B22D15"/>
    <w:rsid w:val="00B33027"/>
    <w:rsid w:val="00B35FB5"/>
    <w:rsid w:val="00B36AC0"/>
    <w:rsid w:val="00B36C55"/>
    <w:rsid w:val="00B552FF"/>
    <w:rsid w:val="00B6244B"/>
    <w:rsid w:val="00B77947"/>
    <w:rsid w:val="00B93B17"/>
    <w:rsid w:val="00B96B3B"/>
    <w:rsid w:val="00BB0A08"/>
    <w:rsid w:val="00BB0BC9"/>
    <w:rsid w:val="00BB10B2"/>
    <w:rsid w:val="00BB5287"/>
    <w:rsid w:val="00BC2217"/>
    <w:rsid w:val="00BC239B"/>
    <w:rsid w:val="00BC786E"/>
    <w:rsid w:val="00BD1786"/>
    <w:rsid w:val="00BE3A86"/>
    <w:rsid w:val="00BE6865"/>
    <w:rsid w:val="00BF3C68"/>
    <w:rsid w:val="00BF3E2D"/>
    <w:rsid w:val="00BF5EBE"/>
    <w:rsid w:val="00BF6531"/>
    <w:rsid w:val="00C022DE"/>
    <w:rsid w:val="00C11BB5"/>
    <w:rsid w:val="00C12E00"/>
    <w:rsid w:val="00C252B7"/>
    <w:rsid w:val="00C265C3"/>
    <w:rsid w:val="00C27554"/>
    <w:rsid w:val="00C27C71"/>
    <w:rsid w:val="00C357D9"/>
    <w:rsid w:val="00C41E32"/>
    <w:rsid w:val="00C43012"/>
    <w:rsid w:val="00C4394A"/>
    <w:rsid w:val="00C60633"/>
    <w:rsid w:val="00C646A7"/>
    <w:rsid w:val="00C70633"/>
    <w:rsid w:val="00C71DE5"/>
    <w:rsid w:val="00C75AC8"/>
    <w:rsid w:val="00C77A2E"/>
    <w:rsid w:val="00C90B11"/>
    <w:rsid w:val="00C95E15"/>
    <w:rsid w:val="00C97539"/>
    <w:rsid w:val="00CA6169"/>
    <w:rsid w:val="00CA7237"/>
    <w:rsid w:val="00CB153B"/>
    <w:rsid w:val="00CB5F3B"/>
    <w:rsid w:val="00CC31C8"/>
    <w:rsid w:val="00CC60F6"/>
    <w:rsid w:val="00CC6E22"/>
    <w:rsid w:val="00CD2D3D"/>
    <w:rsid w:val="00CE4BBE"/>
    <w:rsid w:val="00CE4CDC"/>
    <w:rsid w:val="00CF0F81"/>
    <w:rsid w:val="00CF374A"/>
    <w:rsid w:val="00D05549"/>
    <w:rsid w:val="00D101F5"/>
    <w:rsid w:val="00D301BF"/>
    <w:rsid w:val="00D313FD"/>
    <w:rsid w:val="00D352D0"/>
    <w:rsid w:val="00D45E21"/>
    <w:rsid w:val="00D46BB8"/>
    <w:rsid w:val="00D46C68"/>
    <w:rsid w:val="00D523D2"/>
    <w:rsid w:val="00D525A9"/>
    <w:rsid w:val="00D52DFE"/>
    <w:rsid w:val="00D73224"/>
    <w:rsid w:val="00D7508F"/>
    <w:rsid w:val="00D75514"/>
    <w:rsid w:val="00D8524B"/>
    <w:rsid w:val="00D93FCF"/>
    <w:rsid w:val="00DA1C22"/>
    <w:rsid w:val="00DA30C0"/>
    <w:rsid w:val="00DA5453"/>
    <w:rsid w:val="00DC29ED"/>
    <w:rsid w:val="00DC4437"/>
    <w:rsid w:val="00DD01DE"/>
    <w:rsid w:val="00DD0BA7"/>
    <w:rsid w:val="00DD6C38"/>
    <w:rsid w:val="00DF5F1E"/>
    <w:rsid w:val="00E02C48"/>
    <w:rsid w:val="00E05FB3"/>
    <w:rsid w:val="00E1296F"/>
    <w:rsid w:val="00E32879"/>
    <w:rsid w:val="00E45D11"/>
    <w:rsid w:val="00E4761C"/>
    <w:rsid w:val="00E51A90"/>
    <w:rsid w:val="00E55198"/>
    <w:rsid w:val="00E62C2B"/>
    <w:rsid w:val="00E64ECE"/>
    <w:rsid w:val="00E91E81"/>
    <w:rsid w:val="00EC2A4F"/>
    <w:rsid w:val="00ED0D19"/>
    <w:rsid w:val="00ED309F"/>
    <w:rsid w:val="00EE1C37"/>
    <w:rsid w:val="00EE4614"/>
    <w:rsid w:val="00EF2453"/>
    <w:rsid w:val="00EF7E33"/>
    <w:rsid w:val="00F11CC4"/>
    <w:rsid w:val="00F1732F"/>
    <w:rsid w:val="00F26B99"/>
    <w:rsid w:val="00F32919"/>
    <w:rsid w:val="00F42E68"/>
    <w:rsid w:val="00F452E5"/>
    <w:rsid w:val="00F46AC0"/>
    <w:rsid w:val="00F551D1"/>
    <w:rsid w:val="00F8530D"/>
    <w:rsid w:val="00FB1AF1"/>
    <w:rsid w:val="00FB23F2"/>
    <w:rsid w:val="00FD16B3"/>
    <w:rsid w:val="00FE4657"/>
    <w:rsid w:val="00FE7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E3C2F"/>
  <w15:docId w15:val="{E9A1F06C-9A16-4E89-B0B4-39DFDBCCC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05D8"/>
    <w:rPr>
      <w:rFonts w:eastAsia="Batang"/>
      <w:lang w:val="es-MX"/>
    </w:rPr>
  </w:style>
  <w:style w:type="paragraph" w:styleId="Ttulo1">
    <w:name w:val="heading 1"/>
    <w:aliases w:val="Título Verdana"/>
    <w:basedOn w:val="Normal"/>
    <w:next w:val="Normal"/>
    <w:link w:val="Ttulo1Car"/>
    <w:uiPriority w:val="9"/>
    <w:qFormat/>
    <w:rsid w:val="001C05D8"/>
    <w:pPr>
      <w:spacing w:after="0" w:line="240" w:lineRule="auto"/>
      <w:ind w:right="6"/>
      <w:jc w:val="center"/>
      <w:outlineLvl w:val="0"/>
    </w:pPr>
    <w:rPr>
      <w:rFonts w:ascii="Verdana" w:hAnsi="Verdana"/>
      <w:b/>
      <w:sz w:val="20"/>
      <w:szCs w:val="20"/>
    </w:rPr>
  </w:style>
  <w:style w:type="paragraph" w:styleId="Ttulo2">
    <w:name w:val="heading 2"/>
    <w:basedOn w:val="Normal"/>
    <w:next w:val="Normal"/>
    <w:link w:val="Ttulo2Car"/>
    <w:unhideWhenUsed/>
    <w:qFormat/>
    <w:rsid w:val="001C05D8"/>
    <w:pPr>
      <w:keepNext/>
      <w:keepLines/>
      <w:widowControl w:val="0"/>
      <w:numPr>
        <w:numId w:val="2"/>
      </w:numPr>
      <w:adjustRightInd w:val="0"/>
      <w:spacing w:after="0" w:line="240" w:lineRule="auto"/>
      <w:jc w:val="both"/>
      <w:textAlignment w:val="baseline"/>
      <w:outlineLvl w:val="1"/>
    </w:pPr>
    <w:rPr>
      <w:rFonts w:ascii="Verdana" w:eastAsia="MS Mincho" w:hAnsi="Verdana" w:cs="Times New Roman"/>
      <w:b/>
      <w:i/>
      <w:sz w:val="20"/>
      <w:szCs w:val="20"/>
      <w:lang w:val="es-CR" w:eastAsia="es-CR"/>
    </w:rPr>
  </w:style>
  <w:style w:type="paragraph" w:styleId="Ttulo3">
    <w:name w:val="heading 3"/>
    <w:basedOn w:val="Prrafodelista"/>
    <w:next w:val="Normal"/>
    <w:link w:val="Ttulo3Car"/>
    <w:uiPriority w:val="9"/>
    <w:unhideWhenUsed/>
    <w:qFormat/>
    <w:rsid w:val="001C05D8"/>
    <w:pPr>
      <w:numPr>
        <w:numId w:val="1"/>
      </w:numPr>
      <w:tabs>
        <w:tab w:val="left" w:pos="1276"/>
      </w:tabs>
      <w:spacing w:after="0" w:line="240" w:lineRule="auto"/>
      <w:jc w:val="both"/>
      <w:outlineLvl w:val="2"/>
    </w:pPr>
    <w:rPr>
      <w:rFonts w:ascii="Verdana" w:hAnsi="Verdana"/>
      <w:b/>
      <w:i/>
      <w:sz w:val="20"/>
      <w:szCs w:val="20"/>
    </w:rPr>
  </w:style>
  <w:style w:type="paragraph" w:styleId="Ttulo4">
    <w:name w:val="heading 4"/>
    <w:basedOn w:val="Prrafodelista"/>
    <w:next w:val="Normal"/>
    <w:link w:val="Ttulo4Car"/>
    <w:uiPriority w:val="9"/>
    <w:unhideWhenUsed/>
    <w:qFormat/>
    <w:rsid w:val="001C05D8"/>
    <w:pPr>
      <w:numPr>
        <w:numId w:val="6"/>
      </w:numPr>
      <w:tabs>
        <w:tab w:val="left" w:pos="1418"/>
      </w:tabs>
      <w:spacing w:after="0" w:line="240" w:lineRule="auto"/>
      <w:jc w:val="both"/>
      <w:outlineLvl w:val="3"/>
    </w:pPr>
    <w:rPr>
      <w:rFonts w:ascii="Verdana" w:hAnsi="Verdana"/>
      <w:i/>
      <w:sz w:val="20"/>
      <w:szCs w:val="20"/>
      <w:u w:val="single"/>
    </w:rPr>
  </w:style>
  <w:style w:type="paragraph" w:styleId="Ttulo5">
    <w:name w:val="heading 5"/>
    <w:basedOn w:val="Prrafodelista"/>
    <w:link w:val="Ttulo5Car"/>
    <w:uiPriority w:val="9"/>
    <w:qFormat/>
    <w:rsid w:val="001C05D8"/>
    <w:pPr>
      <w:numPr>
        <w:ilvl w:val="1"/>
        <w:numId w:val="3"/>
      </w:numPr>
      <w:tabs>
        <w:tab w:val="left" w:pos="1418"/>
      </w:tabs>
      <w:spacing w:after="0" w:line="240" w:lineRule="auto"/>
      <w:jc w:val="both"/>
      <w:outlineLvl w:val="4"/>
    </w:pPr>
    <w:rPr>
      <w:rFonts w:ascii="Verdana" w:hAnsi="Verdana"/>
      <w:i/>
      <w:sz w:val="20"/>
      <w:szCs w:val="20"/>
    </w:rPr>
  </w:style>
  <w:style w:type="paragraph" w:styleId="Ttulo6">
    <w:name w:val="heading 6"/>
    <w:basedOn w:val="Prrafodelista"/>
    <w:next w:val="Normal"/>
    <w:link w:val="Ttulo6Car"/>
    <w:uiPriority w:val="9"/>
    <w:unhideWhenUsed/>
    <w:rsid w:val="001C05D8"/>
    <w:pPr>
      <w:numPr>
        <w:numId w:val="4"/>
      </w:numPr>
      <w:jc w:val="both"/>
      <w:outlineLvl w:val="5"/>
    </w:pPr>
    <w:rPr>
      <w:rFonts w:ascii="Verdana" w:hAnsi="Verdana"/>
      <w:i/>
      <w:sz w:val="20"/>
      <w:szCs w:val="20"/>
      <w:lang w:val="es-CR"/>
    </w:rPr>
  </w:style>
  <w:style w:type="paragraph" w:styleId="Ttulo7">
    <w:name w:val="heading 7"/>
    <w:basedOn w:val="Prrafodelista"/>
    <w:next w:val="Normal"/>
    <w:link w:val="Ttulo7Car"/>
    <w:uiPriority w:val="9"/>
    <w:unhideWhenUsed/>
    <w:rsid w:val="001C05D8"/>
    <w:pPr>
      <w:numPr>
        <w:numId w:val="5"/>
      </w:numPr>
      <w:spacing w:after="0" w:line="240" w:lineRule="auto"/>
      <w:jc w:val="both"/>
      <w:outlineLvl w:val="6"/>
    </w:pPr>
    <w:rPr>
      <w:rFonts w:ascii="Verdana" w:hAnsi="Verdana"/>
      <w:i/>
      <w:sz w:val="20"/>
      <w:szCs w:val="20"/>
      <w:u w:val="single"/>
      <w:lang w:val="es-AR"/>
    </w:rPr>
  </w:style>
  <w:style w:type="paragraph" w:styleId="Ttulo8">
    <w:name w:val="heading 8"/>
    <w:basedOn w:val="Prrafodelista"/>
    <w:next w:val="Normal"/>
    <w:link w:val="Ttulo8Car"/>
    <w:uiPriority w:val="9"/>
    <w:unhideWhenUsed/>
    <w:rsid w:val="001C05D8"/>
    <w:pPr>
      <w:numPr>
        <w:numId w:val="7"/>
      </w:numPr>
      <w:spacing w:after="0" w:line="240" w:lineRule="auto"/>
      <w:jc w:val="both"/>
      <w:outlineLvl w:val="7"/>
    </w:pPr>
    <w:rPr>
      <w:rFonts w:ascii="Verdana" w:hAnsi="Verdana" w:cs="Cambria"/>
      <w:i/>
      <w:sz w:val="20"/>
      <w:szCs w:val="20"/>
    </w:rPr>
  </w:style>
  <w:style w:type="paragraph" w:styleId="Ttulo9">
    <w:name w:val="heading 9"/>
    <w:basedOn w:val="Prrafodelista"/>
    <w:next w:val="Normal"/>
    <w:link w:val="Ttulo9Car"/>
    <w:uiPriority w:val="9"/>
    <w:unhideWhenUsed/>
    <w:rsid w:val="001C05D8"/>
    <w:pPr>
      <w:numPr>
        <w:numId w:val="8"/>
      </w:numPr>
      <w:autoSpaceDE w:val="0"/>
      <w:autoSpaceDN w:val="0"/>
      <w:adjustRightInd w:val="0"/>
      <w:spacing w:after="0" w:line="240" w:lineRule="auto"/>
      <w:jc w:val="both"/>
      <w:outlineLvl w:val="8"/>
    </w:pPr>
    <w:rPr>
      <w:rFonts w:ascii="Verdana" w:eastAsiaTheme="minorHAnsi" w:hAnsi="Verdana"/>
      <w:i/>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Verdana Car"/>
    <w:basedOn w:val="Fuentedeprrafopredeter"/>
    <w:link w:val="Ttulo1"/>
    <w:uiPriority w:val="9"/>
    <w:rsid w:val="001C05D8"/>
    <w:rPr>
      <w:rFonts w:ascii="Verdana" w:eastAsia="Batang" w:hAnsi="Verdana"/>
      <w:b/>
      <w:sz w:val="20"/>
      <w:szCs w:val="20"/>
      <w:lang w:val="es-MX"/>
    </w:rPr>
  </w:style>
  <w:style w:type="character" w:customStyle="1" w:styleId="Ttulo2Car">
    <w:name w:val="Título 2 Car"/>
    <w:basedOn w:val="Fuentedeprrafopredeter"/>
    <w:link w:val="Ttulo2"/>
    <w:rsid w:val="001C05D8"/>
    <w:rPr>
      <w:rFonts w:ascii="Verdana" w:eastAsia="MS Mincho" w:hAnsi="Verdana" w:cs="Times New Roman"/>
      <w:b/>
      <w:i/>
      <w:sz w:val="20"/>
      <w:szCs w:val="20"/>
      <w:lang w:val="es-CR" w:eastAsia="es-CR"/>
    </w:rPr>
  </w:style>
  <w:style w:type="character" w:customStyle="1" w:styleId="Ttulo3Car">
    <w:name w:val="Título 3 Car"/>
    <w:basedOn w:val="Fuentedeprrafopredeter"/>
    <w:link w:val="Ttulo3"/>
    <w:uiPriority w:val="9"/>
    <w:rsid w:val="001C05D8"/>
    <w:rPr>
      <w:rFonts w:ascii="Verdana" w:eastAsia="Batang" w:hAnsi="Verdana"/>
      <w:b/>
      <w:i/>
      <w:sz w:val="20"/>
      <w:szCs w:val="20"/>
      <w:lang w:val="es-MX"/>
    </w:rPr>
  </w:style>
  <w:style w:type="character" w:customStyle="1" w:styleId="Ttulo4Car">
    <w:name w:val="Título 4 Car"/>
    <w:basedOn w:val="Fuentedeprrafopredeter"/>
    <w:link w:val="Ttulo4"/>
    <w:uiPriority w:val="9"/>
    <w:rsid w:val="001C05D8"/>
    <w:rPr>
      <w:rFonts w:ascii="Verdana" w:eastAsia="Batang" w:hAnsi="Verdana"/>
      <w:i/>
      <w:sz w:val="20"/>
      <w:szCs w:val="20"/>
      <w:u w:val="single"/>
      <w:lang w:val="es-MX"/>
    </w:rPr>
  </w:style>
  <w:style w:type="character" w:customStyle="1" w:styleId="Ttulo5Car">
    <w:name w:val="Título 5 Car"/>
    <w:basedOn w:val="Fuentedeprrafopredeter"/>
    <w:link w:val="Ttulo5"/>
    <w:uiPriority w:val="9"/>
    <w:rsid w:val="001C05D8"/>
    <w:rPr>
      <w:rFonts w:ascii="Verdana" w:eastAsia="Batang" w:hAnsi="Verdana"/>
      <w:i/>
      <w:sz w:val="20"/>
      <w:szCs w:val="20"/>
      <w:lang w:val="es-MX"/>
    </w:rPr>
  </w:style>
  <w:style w:type="character" w:customStyle="1" w:styleId="Ttulo6Car">
    <w:name w:val="Título 6 Car"/>
    <w:basedOn w:val="Fuentedeprrafopredeter"/>
    <w:link w:val="Ttulo6"/>
    <w:uiPriority w:val="9"/>
    <w:rsid w:val="001C05D8"/>
    <w:rPr>
      <w:rFonts w:ascii="Verdana" w:eastAsia="Batang" w:hAnsi="Verdana"/>
      <w:i/>
      <w:sz w:val="20"/>
      <w:szCs w:val="20"/>
      <w:lang w:val="es-CR"/>
    </w:rPr>
  </w:style>
  <w:style w:type="character" w:customStyle="1" w:styleId="Ttulo7Car">
    <w:name w:val="Título 7 Car"/>
    <w:basedOn w:val="Fuentedeprrafopredeter"/>
    <w:link w:val="Ttulo7"/>
    <w:uiPriority w:val="9"/>
    <w:rsid w:val="001C05D8"/>
    <w:rPr>
      <w:rFonts w:ascii="Verdana" w:eastAsia="Batang" w:hAnsi="Verdana"/>
      <w:i/>
      <w:sz w:val="20"/>
      <w:szCs w:val="20"/>
      <w:u w:val="single"/>
      <w:lang w:val="es-AR"/>
    </w:rPr>
  </w:style>
  <w:style w:type="character" w:customStyle="1" w:styleId="Ttulo8Car">
    <w:name w:val="Título 8 Car"/>
    <w:basedOn w:val="Fuentedeprrafopredeter"/>
    <w:link w:val="Ttulo8"/>
    <w:uiPriority w:val="9"/>
    <w:rsid w:val="001C05D8"/>
    <w:rPr>
      <w:rFonts w:ascii="Verdana" w:eastAsia="Batang" w:hAnsi="Verdana" w:cs="Cambria"/>
      <w:i/>
      <w:sz w:val="20"/>
      <w:szCs w:val="20"/>
      <w:lang w:val="es-MX"/>
    </w:rPr>
  </w:style>
  <w:style w:type="character" w:customStyle="1" w:styleId="Ttulo9Car">
    <w:name w:val="Título 9 Car"/>
    <w:basedOn w:val="Fuentedeprrafopredeter"/>
    <w:link w:val="Ttulo9"/>
    <w:uiPriority w:val="9"/>
    <w:rsid w:val="001C05D8"/>
    <w:rPr>
      <w:rFonts w:ascii="Verdana" w:hAnsi="Verdana"/>
      <w:i/>
      <w:sz w:val="20"/>
      <w:szCs w:val="20"/>
      <w:lang w:val="es-MX"/>
    </w:rPr>
  </w:style>
  <w:style w:type="paragraph" w:styleId="Prrafodelista">
    <w:name w:val="List Paragraph"/>
    <w:aliases w:val="List Paragraph1,Colorful List - Accent 11,Párrafo de lista1,List Paragraph2,Lista vistosa - Énfasis 11,Footnote,Subtle Emphasis1,Footnote1"/>
    <w:basedOn w:val="Normal"/>
    <w:link w:val="PrrafodelistaCar"/>
    <w:qFormat/>
    <w:rsid w:val="001C05D8"/>
    <w:pPr>
      <w:ind w:left="720"/>
      <w:contextualSpacing/>
    </w:pPr>
  </w:style>
  <w:style w:type="character" w:styleId="Refdecomentario">
    <w:name w:val="annotation reference"/>
    <w:basedOn w:val="Fuentedeprrafopredeter"/>
    <w:unhideWhenUsed/>
    <w:rsid w:val="001C05D8"/>
    <w:rPr>
      <w:sz w:val="16"/>
      <w:szCs w:val="16"/>
    </w:rPr>
  </w:style>
  <w:style w:type="paragraph" w:styleId="Textocomentario">
    <w:name w:val="annotation text"/>
    <w:basedOn w:val="Normal"/>
    <w:link w:val="TextocomentarioCar"/>
    <w:uiPriority w:val="99"/>
    <w:unhideWhenUsed/>
    <w:rsid w:val="001C05D8"/>
    <w:pPr>
      <w:spacing w:line="240" w:lineRule="auto"/>
    </w:pPr>
    <w:rPr>
      <w:sz w:val="20"/>
      <w:szCs w:val="20"/>
    </w:rPr>
  </w:style>
  <w:style w:type="character" w:customStyle="1" w:styleId="TextocomentarioCar">
    <w:name w:val="Texto comentario Car"/>
    <w:basedOn w:val="Fuentedeprrafopredeter"/>
    <w:link w:val="Textocomentario"/>
    <w:uiPriority w:val="99"/>
    <w:rsid w:val="001C05D8"/>
    <w:rPr>
      <w:rFonts w:eastAsia="Batang"/>
      <w:sz w:val="20"/>
      <w:szCs w:val="20"/>
      <w:lang w:val="es-MX"/>
    </w:rPr>
  </w:style>
  <w:style w:type="paragraph" w:styleId="Textodeglobo">
    <w:name w:val="Balloon Text"/>
    <w:basedOn w:val="Normal"/>
    <w:link w:val="TextodegloboCar"/>
    <w:uiPriority w:val="99"/>
    <w:semiHidden/>
    <w:unhideWhenUsed/>
    <w:rsid w:val="001C05D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05D8"/>
    <w:rPr>
      <w:rFonts w:ascii="Tahoma" w:eastAsia="Batang" w:hAnsi="Tahoma" w:cs="Tahoma"/>
      <w:sz w:val="16"/>
      <w:szCs w:val="16"/>
      <w:lang w:val="es-MX"/>
    </w:rPr>
  </w:style>
  <w:style w:type="paragraph" w:styleId="Textonotapie">
    <w:name w:val="footnote text"/>
    <w:aliases w:val="Footnote Text Char Char Char Char Char,Footnote Text Char Char Char Char,Footnote reference,FA Fu,FA Fußnotentext,FA Fu§notentext,FA Fu?notentext,?notentext,Footnote Text Char Char Char,§notentext,FA,Footnote Text Char Char,?notent,ft,C,5"/>
    <w:basedOn w:val="Normal"/>
    <w:link w:val="TextonotapieCar"/>
    <w:uiPriority w:val="99"/>
    <w:unhideWhenUsed/>
    <w:qFormat/>
    <w:rsid w:val="001C05D8"/>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A Fußnotentext Car,FA Fu§notentext Car,FA Fu?notentext Car,?notentext Car,Footnote Text Char Char Char Car,FA Car1"/>
    <w:basedOn w:val="Fuentedeprrafopredeter"/>
    <w:link w:val="Textonotapie"/>
    <w:uiPriority w:val="99"/>
    <w:qFormat/>
    <w:rsid w:val="001C05D8"/>
    <w:rPr>
      <w:rFonts w:eastAsia="Batang"/>
      <w:sz w:val="20"/>
      <w:szCs w:val="20"/>
      <w:lang w:val="es-MX"/>
    </w:rPr>
  </w:style>
  <w:style w:type="character" w:styleId="Refdenotaalpie">
    <w:name w:val="footnote reference"/>
    <w:aliases w:val="Appel note de bas de page,Footnotes refss,Footnote number,referencia nota al pie,BVI fnr,f,4_G,16 Point,Superscript 6 Point,Texto nota al pie,Footnote Reference Char3,Footnote Reference Char1 Char,Ref. de nota al,Ref. de nota al pi"/>
    <w:basedOn w:val="Fuentedeprrafopredeter"/>
    <w:link w:val="4GChar"/>
    <w:uiPriority w:val="99"/>
    <w:unhideWhenUsed/>
    <w:qFormat/>
    <w:rsid w:val="001C05D8"/>
    <w:rPr>
      <w:vertAlign w:val="superscript"/>
    </w:rPr>
  </w:style>
  <w:style w:type="character" w:styleId="Hipervnculo">
    <w:name w:val="Hyperlink"/>
    <w:aliases w:val="Heading 3 caso"/>
    <w:basedOn w:val="Fuentedeprrafopredeter"/>
    <w:uiPriority w:val="99"/>
    <w:unhideWhenUsed/>
    <w:rsid w:val="001C05D8"/>
    <w:rPr>
      <w:color w:val="0000FF"/>
      <w:u w:val="single"/>
    </w:rPr>
  </w:style>
  <w:style w:type="paragraph" w:styleId="Asuntodelcomentario">
    <w:name w:val="annotation subject"/>
    <w:basedOn w:val="Textocomentario"/>
    <w:next w:val="Textocomentario"/>
    <w:link w:val="AsuntodelcomentarioCar"/>
    <w:uiPriority w:val="99"/>
    <w:semiHidden/>
    <w:unhideWhenUsed/>
    <w:rsid w:val="001C05D8"/>
    <w:rPr>
      <w:b/>
      <w:bCs/>
    </w:rPr>
  </w:style>
  <w:style w:type="character" w:customStyle="1" w:styleId="AsuntodelcomentarioCar">
    <w:name w:val="Asunto del comentario Car"/>
    <w:basedOn w:val="TextocomentarioCar"/>
    <w:link w:val="Asuntodelcomentario"/>
    <w:uiPriority w:val="99"/>
    <w:semiHidden/>
    <w:rsid w:val="001C05D8"/>
    <w:rPr>
      <w:rFonts w:eastAsia="Batang"/>
      <w:b/>
      <w:bCs/>
      <w:sz w:val="20"/>
      <w:szCs w:val="20"/>
      <w:lang w:val="es-MX"/>
    </w:rPr>
  </w:style>
  <w:style w:type="paragraph" w:styleId="Encabezado">
    <w:name w:val="header"/>
    <w:basedOn w:val="Normal"/>
    <w:link w:val="EncabezadoCar"/>
    <w:uiPriority w:val="99"/>
    <w:unhideWhenUsed/>
    <w:rsid w:val="001C05D8"/>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1C05D8"/>
    <w:rPr>
      <w:rFonts w:eastAsia="Batang"/>
      <w:lang w:val="es-MX"/>
    </w:rPr>
  </w:style>
  <w:style w:type="paragraph" w:styleId="Piedepgina">
    <w:name w:val="footer"/>
    <w:basedOn w:val="Normal"/>
    <w:link w:val="PiedepginaCar"/>
    <w:uiPriority w:val="99"/>
    <w:unhideWhenUsed/>
    <w:rsid w:val="001C05D8"/>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1C05D8"/>
    <w:rPr>
      <w:rFonts w:eastAsia="Batang"/>
      <w:lang w:val="es-MX"/>
    </w:rPr>
  </w:style>
  <w:style w:type="character" w:styleId="Hipervnculovisitado">
    <w:name w:val="FollowedHyperlink"/>
    <w:basedOn w:val="Fuentedeprrafopredeter"/>
    <w:uiPriority w:val="99"/>
    <w:semiHidden/>
    <w:unhideWhenUsed/>
    <w:rsid w:val="001C05D8"/>
    <w:rPr>
      <w:color w:val="800080" w:themeColor="followedHyperlink"/>
      <w:u w:val="single"/>
    </w:rPr>
  </w:style>
  <w:style w:type="character" w:styleId="Textoennegrita">
    <w:name w:val="Strong"/>
    <w:aliases w:val="Heading 2.1"/>
    <w:basedOn w:val="Fuentedeprrafopredeter"/>
    <w:uiPriority w:val="22"/>
    <w:qFormat/>
    <w:rsid w:val="001C05D8"/>
    <w:rPr>
      <w:b/>
      <w:bCs/>
    </w:rPr>
  </w:style>
  <w:style w:type="paragraph" w:styleId="Textonotaalfinal">
    <w:name w:val="endnote text"/>
    <w:basedOn w:val="Normal"/>
    <w:link w:val="TextonotaalfinalCar"/>
    <w:unhideWhenUsed/>
    <w:rsid w:val="001C05D8"/>
    <w:pPr>
      <w:spacing w:after="0" w:line="240" w:lineRule="auto"/>
    </w:pPr>
    <w:rPr>
      <w:sz w:val="20"/>
      <w:szCs w:val="20"/>
    </w:rPr>
  </w:style>
  <w:style w:type="character" w:customStyle="1" w:styleId="TextonotaalfinalCar">
    <w:name w:val="Texto nota al final Car"/>
    <w:basedOn w:val="Fuentedeprrafopredeter"/>
    <w:link w:val="Textonotaalfinal"/>
    <w:rsid w:val="001C05D8"/>
    <w:rPr>
      <w:rFonts w:eastAsia="Batang"/>
      <w:sz w:val="20"/>
      <w:szCs w:val="20"/>
      <w:lang w:val="es-MX"/>
    </w:rPr>
  </w:style>
  <w:style w:type="character" w:styleId="Refdenotaalfinal">
    <w:name w:val="endnote reference"/>
    <w:basedOn w:val="Fuentedeprrafopredeter"/>
    <w:uiPriority w:val="99"/>
    <w:semiHidden/>
    <w:unhideWhenUsed/>
    <w:rsid w:val="001C05D8"/>
    <w:rPr>
      <w:vertAlign w:val="superscript"/>
    </w:rPr>
  </w:style>
  <w:style w:type="paragraph" w:customStyle="1" w:styleId="Default">
    <w:name w:val="Default"/>
    <w:rsid w:val="001C05D8"/>
    <w:pPr>
      <w:autoSpaceDE w:val="0"/>
      <w:autoSpaceDN w:val="0"/>
      <w:adjustRightInd w:val="0"/>
      <w:spacing w:after="0" w:line="240" w:lineRule="auto"/>
    </w:pPr>
    <w:rPr>
      <w:rFonts w:ascii="Verdana" w:hAnsi="Verdana" w:cs="Verdana"/>
      <w:color w:val="000000"/>
      <w:sz w:val="24"/>
      <w:szCs w:val="24"/>
      <w:lang w:val="es-MX"/>
    </w:rPr>
  </w:style>
  <w:style w:type="paragraph" w:styleId="Revisin">
    <w:name w:val="Revision"/>
    <w:hidden/>
    <w:uiPriority w:val="99"/>
    <w:semiHidden/>
    <w:rsid w:val="001C05D8"/>
    <w:pPr>
      <w:spacing w:after="0" w:line="240" w:lineRule="auto"/>
    </w:pPr>
    <w:rPr>
      <w:rFonts w:eastAsia="Batang"/>
      <w:lang w:val="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C05D8"/>
    <w:pPr>
      <w:spacing w:after="0" w:line="240" w:lineRule="auto"/>
      <w:jc w:val="both"/>
    </w:pPr>
    <w:rPr>
      <w:rFonts w:eastAsiaTheme="minorHAnsi"/>
      <w:vertAlign w:val="superscript"/>
      <w:lang w:val="en-U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rsid w:val="001C05D8"/>
    <w:pPr>
      <w:spacing w:before="200" w:after="160" w:line="240" w:lineRule="exact"/>
      <w:ind w:left="357" w:right="51" w:hanging="357"/>
      <w:jc w:val="both"/>
    </w:pPr>
    <w:rPr>
      <w:rFonts w:eastAsiaTheme="minorHAnsi"/>
      <w:vertAlign w:val="superscript"/>
      <w:lang w:val="es-CR"/>
    </w:rPr>
  </w:style>
  <w:style w:type="character" w:customStyle="1" w:styleId="lblnewsfulltext">
    <w:name w:val="lblnewsfulltext"/>
    <w:basedOn w:val="Fuentedeprrafopredeter"/>
    <w:rsid w:val="001C05D8"/>
  </w:style>
  <w:style w:type="character" w:customStyle="1" w:styleId="PrrafodelistaCar">
    <w:name w:val="Párrafo de lista Car"/>
    <w:aliases w:val="List Paragraph1 Car,Colorful List - Accent 11 Car,Párrafo de lista1 Car,List Paragraph2 Car,Lista vistosa - Énfasis 11 Car,Footnote Car,Subtle Emphasis1 Car,Footnote1 Car"/>
    <w:basedOn w:val="Fuentedeprrafopredeter"/>
    <w:link w:val="Prrafodelista"/>
    <w:uiPriority w:val="34"/>
    <w:locked/>
    <w:rsid w:val="001C05D8"/>
    <w:rPr>
      <w:rFonts w:eastAsia="Batang"/>
      <w:lang w:val="es-MX"/>
    </w:rPr>
  </w:style>
  <w:style w:type="character" w:customStyle="1" w:styleId="lblnewstitle">
    <w:name w:val="lblnewstitle"/>
    <w:basedOn w:val="Fuentedeprrafopredeter"/>
    <w:rsid w:val="001C05D8"/>
  </w:style>
  <w:style w:type="character" w:customStyle="1" w:styleId="apple-converted-space">
    <w:name w:val="apple-converted-space"/>
    <w:basedOn w:val="Fuentedeprrafopredeter"/>
    <w:rsid w:val="001C05D8"/>
  </w:style>
  <w:style w:type="paragraph" w:customStyle="1" w:styleId="Style1">
    <w:name w:val="Style1"/>
    <w:basedOn w:val="Textonotapie"/>
    <w:rsid w:val="001C05D8"/>
    <w:pPr>
      <w:ind w:left="357" w:right="51" w:hanging="357"/>
      <w:jc w:val="both"/>
    </w:pPr>
    <w:rPr>
      <w:rFonts w:ascii="Times New Roman" w:eastAsia="Times" w:hAnsi="Times New Roman" w:cs="Times New Roman"/>
      <w:position w:val="6"/>
      <w:sz w:val="18"/>
      <w:lang w:val="es-ES_tradnl" w:bidi="en-US"/>
    </w:rPr>
  </w:style>
  <w:style w:type="paragraph" w:styleId="HTMLconformatoprevio">
    <w:name w:val="HTML Preformatted"/>
    <w:basedOn w:val="Normal"/>
    <w:link w:val="HTMLconformatoprevioCar"/>
    <w:uiPriority w:val="99"/>
    <w:unhideWhenUsed/>
    <w:rsid w:val="001C05D8"/>
    <w:pPr>
      <w:spacing w:after="0" w:line="240" w:lineRule="auto"/>
    </w:pPr>
    <w:rPr>
      <w:rFonts w:ascii="Consolas" w:eastAsiaTheme="minorHAnsi" w:hAnsi="Consolas" w:cs="Consolas"/>
      <w:sz w:val="20"/>
      <w:szCs w:val="20"/>
      <w:lang w:val="es-CR"/>
    </w:rPr>
  </w:style>
  <w:style w:type="character" w:customStyle="1" w:styleId="HTMLconformatoprevioCar">
    <w:name w:val="HTML con formato previo Car"/>
    <w:basedOn w:val="Fuentedeprrafopredeter"/>
    <w:link w:val="HTMLconformatoprevio"/>
    <w:uiPriority w:val="99"/>
    <w:rsid w:val="001C05D8"/>
    <w:rPr>
      <w:rFonts w:ascii="Consolas" w:hAnsi="Consolas" w:cs="Consolas"/>
      <w:sz w:val="20"/>
      <w:szCs w:val="20"/>
      <w:lang w:val="es-CR"/>
    </w:rPr>
  </w:style>
  <w:style w:type="paragraph" w:customStyle="1" w:styleId="style10">
    <w:name w:val="style1"/>
    <w:basedOn w:val="Normal"/>
    <w:rsid w:val="001C05D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lign-justify">
    <w:name w:val="align-justify"/>
    <w:basedOn w:val="Normal"/>
    <w:rsid w:val="001C05D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aliases w:val="Normal (Web) Char1,Normal (Web) Char Char,Normal (Web) Char1 Char,Normal (Web) Char Char Char"/>
    <w:basedOn w:val="Normal"/>
    <w:uiPriority w:val="99"/>
    <w:unhideWhenUsed/>
    <w:rsid w:val="001C05D8"/>
    <w:rPr>
      <w:rFonts w:ascii="Times New Roman" w:eastAsiaTheme="minorHAnsi" w:hAnsi="Times New Roman" w:cs="Times New Roman"/>
      <w:sz w:val="24"/>
      <w:szCs w:val="24"/>
    </w:rPr>
  </w:style>
  <w:style w:type="paragraph" w:customStyle="1" w:styleId="Footnotes">
    <w:name w:val="**. Footnotes"/>
    <w:basedOn w:val="Textonotapie"/>
    <w:link w:val="FootnotesChar"/>
    <w:autoRedefine/>
    <w:qFormat/>
    <w:rsid w:val="001C05D8"/>
    <w:pPr>
      <w:widowControl w:val="0"/>
      <w:tabs>
        <w:tab w:val="left" w:pos="567"/>
      </w:tabs>
      <w:spacing w:before="120" w:after="40"/>
      <w:jc w:val="both"/>
    </w:pPr>
    <w:rPr>
      <w:rFonts w:ascii="Verdana" w:hAnsi="Verdana" w:cs="Palatino-Italic"/>
      <w:i/>
      <w:iCs/>
      <w:sz w:val="16"/>
      <w:szCs w:val="16"/>
      <w:lang w:val="en-US"/>
    </w:rPr>
  </w:style>
  <w:style w:type="character" w:customStyle="1" w:styleId="FootnotesChar">
    <w:name w:val="**. Footnotes Char"/>
    <w:basedOn w:val="Fuentedeprrafopredeter"/>
    <w:link w:val="Footnotes"/>
    <w:rsid w:val="001C05D8"/>
    <w:rPr>
      <w:rFonts w:ascii="Verdana" w:eastAsia="Batang" w:hAnsi="Verdana" w:cs="Palatino-Italic"/>
      <w:i/>
      <w:iCs/>
      <w:sz w:val="16"/>
      <w:szCs w:val="16"/>
    </w:rPr>
  </w:style>
  <w:style w:type="character" w:customStyle="1" w:styleId="Smbolodenotaalpie">
    <w:name w:val="Símbolo de nota al pie"/>
    <w:rsid w:val="001C05D8"/>
    <w:rPr>
      <w:rFonts w:cs="Times New Roman"/>
      <w:szCs w:val="20"/>
      <w:vertAlign w:val="superscript"/>
    </w:rPr>
  </w:style>
  <w:style w:type="numbering" w:styleId="111111">
    <w:name w:val="Outline List 2"/>
    <w:basedOn w:val="Sinlista"/>
    <w:uiPriority w:val="99"/>
    <w:semiHidden/>
    <w:unhideWhenUsed/>
    <w:rsid w:val="001C05D8"/>
    <w:pPr>
      <w:numPr>
        <w:numId w:val="9"/>
      </w:numPr>
    </w:pPr>
  </w:style>
  <w:style w:type="character" w:customStyle="1" w:styleId="Estilo1Car">
    <w:name w:val="Estilo1 Car"/>
    <w:link w:val="Estilo1"/>
    <w:locked/>
    <w:rsid w:val="001C05D8"/>
    <w:rPr>
      <w:rFonts w:ascii="Verdana" w:hAnsi="Verdana"/>
    </w:rPr>
  </w:style>
  <w:style w:type="paragraph" w:customStyle="1" w:styleId="Estilo1">
    <w:name w:val="Estilo1"/>
    <w:basedOn w:val="Normal"/>
    <w:link w:val="Estilo1Car"/>
    <w:qFormat/>
    <w:rsid w:val="001C05D8"/>
    <w:pPr>
      <w:tabs>
        <w:tab w:val="left" w:pos="567"/>
        <w:tab w:val="left" w:pos="1134"/>
        <w:tab w:val="num" w:pos="6042"/>
      </w:tabs>
      <w:spacing w:after="120" w:line="240" w:lineRule="auto"/>
      <w:jc w:val="both"/>
    </w:pPr>
    <w:rPr>
      <w:rFonts w:ascii="Verdana" w:eastAsiaTheme="minorHAnsi" w:hAnsi="Verdana"/>
      <w:lang w:val="en-US"/>
    </w:rPr>
  </w:style>
  <w:style w:type="character" w:customStyle="1" w:styleId="Caracteresdenotaalpie">
    <w:name w:val="Caracteres de nota al pie"/>
    <w:rsid w:val="001C05D8"/>
    <w:rPr>
      <w:vertAlign w:val="superscript"/>
    </w:rPr>
  </w:style>
  <w:style w:type="paragraph" w:customStyle="1" w:styleId="Prrafodelista2">
    <w:name w:val="Párrafo de lista2"/>
    <w:basedOn w:val="Normal"/>
    <w:uiPriority w:val="99"/>
    <w:rsid w:val="001C05D8"/>
    <w:pPr>
      <w:spacing w:after="0" w:line="240" w:lineRule="auto"/>
      <w:ind w:left="720"/>
    </w:pPr>
    <w:rPr>
      <w:rFonts w:ascii="Verdana" w:eastAsia="MS Mincho" w:hAnsi="Verdana" w:cs="Times New Roman"/>
      <w:sz w:val="20"/>
      <w:szCs w:val="20"/>
      <w:lang w:val="es-ES_tradnl" w:bidi="en-US"/>
    </w:rPr>
  </w:style>
  <w:style w:type="character" w:customStyle="1" w:styleId="Caracteresdenotafinal">
    <w:name w:val="Caracteres de nota final"/>
    <w:rsid w:val="001C05D8"/>
    <w:rPr>
      <w:vertAlign w:val="superscript"/>
    </w:rPr>
  </w:style>
  <w:style w:type="character" w:styleId="Nmerodelnea">
    <w:name w:val="line number"/>
    <w:basedOn w:val="Fuentedeprrafopredeter"/>
    <w:uiPriority w:val="99"/>
    <w:unhideWhenUsed/>
    <w:rsid w:val="001C05D8"/>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ﬂnotentext Car1,Ca Car,C Car"/>
    <w:basedOn w:val="Fuentedeprrafopredeter"/>
    <w:uiPriority w:val="99"/>
    <w:qFormat/>
    <w:locked/>
    <w:rsid w:val="001C05D8"/>
    <w:rPr>
      <w:rFonts w:ascii="Verdana" w:eastAsia="MS Mincho" w:hAnsi="Verdana" w:cs="Times"/>
      <w:sz w:val="16"/>
      <w:szCs w:val="24"/>
      <w:lang w:val="es-ES_tradnl"/>
    </w:rPr>
  </w:style>
  <w:style w:type="paragraph" w:styleId="Sinespaciado">
    <w:name w:val="No Spacing"/>
    <w:uiPriority w:val="1"/>
    <w:qFormat/>
    <w:rsid w:val="001C05D8"/>
    <w:pPr>
      <w:spacing w:after="0" w:line="240" w:lineRule="auto"/>
    </w:pPr>
    <w:rPr>
      <w:lang w:val="es-CR"/>
    </w:rPr>
  </w:style>
  <w:style w:type="paragraph" w:styleId="TtuloTDC">
    <w:name w:val="TOC Heading"/>
    <w:basedOn w:val="Ttulo1"/>
    <w:next w:val="Normal"/>
    <w:uiPriority w:val="39"/>
    <w:unhideWhenUsed/>
    <w:qFormat/>
    <w:rsid w:val="001C05D8"/>
    <w:pPr>
      <w:spacing w:line="276" w:lineRule="auto"/>
      <w:outlineLvl w:val="9"/>
    </w:pPr>
    <w:rPr>
      <w:lang w:val="en-US" w:eastAsia="ja-JP"/>
    </w:rPr>
  </w:style>
  <w:style w:type="paragraph" w:styleId="TDC2">
    <w:name w:val="toc 2"/>
    <w:basedOn w:val="Normal"/>
    <w:next w:val="Normal"/>
    <w:autoRedefine/>
    <w:uiPriority w:val="39"/>
    <w:unhideWhenUsed/>
    <w:qFormat/>
    <w:rsid w:val="00E55198"/>
    <w:pPr>
      <w:tabs>
        <w:tab w:val="left" w:pos="880"/>
        <w:tab w:val="right" w:leader="dot" w:pos="9792"/>
      </w:tabs>
      <w:spacing w:after="0" w:line="240" w:lineRule="auto"/>
      <w:ind w:left="220"/>
      <w:jc w:val="both"/>
    </w:pPr>
    <w:rPr>
      <w:rFonts w:ascii="Verdana" w:eastAsia="Times New Roman" w:hAnsi="Verdana" w:cs="Times New Roman"/>
      <w:bCs/>
      <w:i/>
      <w:smallCaps/>
      <w:noProof/>
      <w:sz w:val="20"/>
      <w:szCs w:val="20"/>
      <w:lang w:val="es-ES_tradnl"/>
    </w:rPr>
  </w:style>
  <w:style w:type="paragraph" w:styleId="TDC1">
    <w:name w:val="toc 1"/>
    <w:basedOn w:val="Normal"/>
    <w:next w:val="Normal"/>
    <w:autoRedefine/>
    <w:uiPriority w:val="39"/>
    <w:unhideWhenUsed/>
    <w:qFormat/>
    <w:rsid w:val="003B7162"/>
    <w:pPr>
      <w:spacing w:before="120" w:after="120"/>
    </w:pPr>
    <w:rPr>
      <w:b/>
      <w:bCs/>
      <w:caps/>
      <w:sz w:val="20"/>
      <w:szCs w:val="20"/>
    </w:rPr>
  </w:style>
  <w:style w:type="paragraph" w:styleId="TDC3">
    <w:name w:val="toc 3"/>
    <w:basedOn w:val="Normal"/>
    <w:next w:val="Normal"/>
    <w:autoRedefine/>
    <w:uiPriority w:val="39"/>
    <w:unhideWhenUsed/>
    <w:qFormat/>
    <w:rsid w:val="001C05D8"/>
    <w:pPr>
      <w:spacing w:after="0"/>
      <w:ind w:left="440"/>
    </w:pPr>
    <w:rPr>
      <w:i/>
      <w:iCs/>
      <w:sz w:val="20"/>
      <w:szCs w:val="20"/>
    </w:rPr>
  </w:style>
  <w:style w:type="paragraph" w:styleId="Ttulo">
    <w:name w:val="Title"/>
    <w:basedOn w:val="Prrafodelista"/>
    <w:next w:val="Normal"/>
    <w:link w:val="TtuloCar"/>
    <w:uiPriority w:val="10"/>
    <w:qFormat/>
    <w:rsid w:val="001C05D8"/>
    <w:pPr>
      <w:keepNext/>
      <w:keepLines/>
      <w:widowControl w:val="0"/>
      <w:numPr>
        <w:numId w:val="10"/>
      </w:numPr>
      <w:adjustRightInd w:val="0"/>
      <w:spacing w:before="120" w:after="120" w:line="240" w:lineRule="auto"/>
      <w:jc w:val="both"/>
      <w:textAlignment w:val="baseline"/>
      <w:outlineLvl w:val="1"/>
    </w:pPr>
    <w:rPr>
      <w:rFonts w:ascii="Verdana" w:hAnsi="Verdana"/>
      <w:b/>
      <w:i/>
      <w:sz w:val="20"/>
      <w:szCs w:val="20"/>
    </w:rPr>
  </w:style>
  <w:style w:type="character" w:customStyle="1" w:styleId="TtuloCar">
    <w:name w:val="Título Car"/>
    <w:basedOn w:val="Fuentedeprrafopredeter"/>
    <w:link w:val="Ttulo"/>
    <w:uiPriority w:val="10"/>
    <w:rsid w:val="001C05D8"/>
    <w:rPr>
      <w:rFonts w:ascii="Verdana" w:eastAsia="Batang" w:hAnsi="Verdana"/>
      <w:b/>
      <w:i/>
      <w:sz w:val="20"/>
      <w:szCs w:val="20"/>
      <w:lang w:val="es-MX"/>
    </w:rPr>
  </w:style>
  <w:style w:type="paragraph" w:styleId="Subttulo">
    <w:name w:val="Subtitle"/>
    <w:basedOn w:val="Ttulo"/>
    <w:next w:val="Normal"/>
    <w:link w:val="SubttuloCar"/>
    <w:uiPriority w:val="11"/>
    <w:qFormat/>
    <w:rsid w:val="001C05D8"/>
    <w:pPr>
      <w:numPr>
        <w:numId w:val="0"/>
      </w:numPr>
    </w:pPr>
  </w:style>
  <w:style w:type="character" w:customStyle="1" w:styleId="SubttuloCar">
    <w:name w:val="Subtítulo Car"/>
    <w:basedOn w:val="Fuentedeprrafopredeter"/>
    <w:link w:val="Subttulo"/>
    <w:uiPriority w:val="11"/>
    <w:rsid w:val="001C05D8"/>
    <w:rPr>
      <w:rFonts w:ascii="Verdana" w:eastAsia="Batang" w:hAnsi="Verdana"/>
      <w:b/>
      <w:i/>
      <w:sz w:val="20"/>
      <w:szCs w:val="20"/>
      <w:lang w:val="es-MX"/>
    </w:rPr>
  </w:style>
  <w:style w:type="character" w:styleId="nfasissutil">
    <w:name w:val="Subtle Emphasis"/>
    <w:uiPriority w:val="19"/>
    <w:qFormat/>
    <w:rsid w:val="001C05D8"/>
  </w:style>
  <w:style w:type="character" w:styleId="nfasis">
    <w:name w:val="Emphasis"/>
    <w:basedOn w:val="nfasissutil"/>
    <w:uiPriority w:val="20"/>
    <w:qFormat/>
    <w:rsid w:val="001C05D8"/>
  </w:style>
  <w:style w:type="paragraph" w:styleId="TDC5">
    <w:name w:val="toc 5"/>
    <w:basedOn w:val="Normal"/>
    <w:next w:val="Normal"/>
    <w:autoRedefine/>
    <w:uiPriority w:val="39"/>
    <w:unhideWhenUsed/>
    <w:rsid w:val="001C05D8"/>
    <w:pPr>
      <w:spacing w:after="0"/>
      <w:ind w:left="880"/>
    </w:pPr>
    <w:rPr>
      <w:sz w:val="18"/>
      <w:szCs w:val="18"/>
    </w:rPr>
  </w:style>
  <w:style w:type="paragraph" w:styleId="TDC6">
    <w:name w:val="toc 6"/>
    <w:basedOn w:val="Normal"/>
    <w:next w:val="Normal"/>
    <w:autoRedefine/>
    <w:uiPriority w:val="39"/>
    <w:unhideWhenUsed/>
    <w:rsid w:val="001C05D8"/>
    <w:pPr>
      <w:spacing w:after="0"/>
      <w:ind w:left="1100"/>
    </w:pPr>
    <w:rPr>
      <w:sz w:val="18"/>
      <w:szCs w:val="18"/>
    </w:rPr>
  </w:style>
  <w:style w:type="paragraph" w:styleId="TDC7">
    <w:name w:val="toc 7"/>
    <w:basedOn w:val="Normal"/>
    <w:next w:val="Normal"/>
    <w:autoRedefine/>
    <w:uiPriority w:val="39"/>
    <w:unhideWhenUsed/>
    <w:rsid w:val="001C05D8"/>
    <w:pPr>
      <w:spacing w:after="0"/>
      <w:ind w:left="1320"/>
    </w:pPr>
    <w:rPr>
      <w:sz w:val="18"/>
      <w:szCs w:val="18"/>
    </w:rPr>
  </w:style>
  <w:style w:type="paragraph" w:styleId="TDC4">
    <w:name w:val="toc 4"/>
    <w:basedOn w:val="Normal"/>
    <w:next w:val="Normal"/>
    <w:autoRedefine/>
    <w:uiPriority w:val="39"/>
    <w:unhideWhenUsed/>
    <w:rsid w:val="001C05D8"/>
    <w:pPr>
      <w:spacing w:after="0"/>
      <w:ind w:left="660"/>
    </w:pPr>
    <w:rPr>
      <w:sz w:val="18"/>
      <w:szCs w:val="18"/>
    </w:rPr>
  </w:style>
  <w:style w:type="paragraph" w:styleId="TDC8">
    <w:name w:val="toc 8"/>
    <w:basedOn w:val="Normal"/>
    <w:next w:val="Normal"/>
    <w:autoRedefine/>
    <w:uiPriority w:val="39"/>
    <w:unhideWhenUsed/>
    <w:rsid w:val="001C05D8"/>
    <w:pPr>
      <w:spacing w:after="0"/>
      <w:ind w:left="1540"/>
    </w:pPr>
    <w:rPr>
      <w:sz w:val="18"/>
      <w:szCs w:val="18"/>
    </w:rPr>
  </w:style>
  <w:style w:type="paragraph" w:styleId="TDC9">
    <w:name w:val="toc 9"/>
    <w:basedOn w:val="Normal"/>
    <w:next w:val="Normal"/>
    <w:autoRedefine/>
    <w:uiPriority w:val="39"/>
    <w:unhideWhenUsed/>
    <w:rsid w:val="001C05D8"/>
    <w:pPr>
      <w:spacing w:after="0"/>
      <w:ind w:left="1760"/>
    </w:pPr>
    <w:rPr>
      <w:sz w:val="18"/>
      <w:szCs w:val="18"/>
    </w:rPr>
  </w:style>
  <w:style w:type="character" w:customStyle="1" w:styleId="PrrafodeSentenciaChar">
    <w:name w:val="*. Párrafo de Sentencia Char"/>
    <w:link w:val="PrrafodeSentencia"/>
    <w:locked/>
    <w:rsid w:val="001C05D8"/>
    <w:rPr>
      <w:rFonts w:ascii="Verdana" w:eastAsia="Batang" w:hAnsi="Verdana"/>
      <w:spacing w:val="-4"/>
      <w:sz w:val="20"/>
      <w:lang w:eastAsia="es-MX"/>
    </w:rPr>
  </w:style>
  <w:style w:type="paragraph" w:customStyle="1" w:styleId="PrrafodeSentencia">
    <w:name w:val="*. Párrafo de Sentencia"/>
    <w:basedOn w:val="Normal"/>
    <w:next w:val="Normal"/>
    <w:link w:val="PrrafodeSentenciaChar"/>
    <w:qFormat/>
    <w:rsid w:val="001C05D8"/>
    <w:pPr>
      <w:tabs>
        <w:tab w:val="left" w:pos="567"/>
      </w:tabs>
      <w:spacing w:after="0" w:line="240" w:lineRule="auto"/>
      <w:jc w:val="both"/>
    </w:pPr>
    <w:rPr>
      <w:rFonts w:ascii="Verdana" w:hAnsi="Verdana"/>
      <w:spacing w:val="-4"/>
      <w:sz w:val="20"/>
      <w:lang w:val="en-US" w:eastAsia="es-MX"/>
    </w:rPr>
  </w:style>
  <w:style w:type="numbering" w:customStyle="1" w:styleId="NoList1">
    <w:name w:val="No List1"/>
    <w:next w:val="Sinlista"/>
    <w:uiPriority w:val="99"/>
    <w:semiHidden/>
    <w:unhideWhenUsed/>
    <w:rsid w:val="001C05D8"/>
  </w:style>
  <w:style w:type="character" w:customStyle="1" w:styleId="CommentTextChar1">
    <w:name w:val="Comment Text Char1"/>
    <w:basedOn w:val="Fuentedeprrafopredeter"/>
    <w:uiPriority w:val="99"/>
    <w:semiHidden/>
    <w:rsid w:val="001C05D8"/>
    <w:rPr>
      <w:rFonts w:ascii="Times New Roman" w:eastAsia="Calibri" w:hAnsi="Times New Roman" w:cs="Times New Roman"/>
      <w:sz w:val="20"/>
      <w:szCs w:val="20"/>
      <w:lang w:val="es-ES_tradnl"/>
    </w:rPr>
  </w:style>
  <w:style w:type="character" w:customStyle="1" w:styleId="BalloonTextChar1">
    <w:name w:val="Balloon Text Char1"/>
    <w:basedOn w:val="Fuentedeprrafopredeter"/>
    <w:uiPriority w:val="99"/>
    <w:semiHidden/>
    <w:rsid w:val="001C05D8"/>
    <w:rPr>
      <w:rFonts w:ascii="Tahoma" w:eastAsia="Calibri" w:hAnsi="Tahoma" w:cs="Tahoma"/>
      <w:sz w:val="16"/>
      <w:szCs w:val="16"/>
      <w:lang w:val="es-ES_tradnl"/>
    </w:rPr>
  </w:style>
  <w:style w:type="character" w:customStyle="1" w:styleId="apple-style-span">
    <w:name w:val="apple-style-span"/>
    <w:basedOn w:val="Fuentedeprrafopredeter"/>
    <w:rsid w:val="001C05D8"/>
    <w:rPr>
      <w:rFonts w:cs="Times New Roman"/>
    </w:rPr>
  </w:style>
  <w:style w:type="character" w:customStyle="1" w:styleId="Ttulo10">
    <w:name w:val="Título1"/>
    <w:basedOn w:val="Fuentedeprrafopredeter"/>
    <w:rsid w:val="001C05D8"/>
  </w:style>
  <w:style w:type="character" w:customStyle="1" w:styleId="hps">
    <w:name w:val="hps"/>
    <w:basedOn w:val="Fuentedeprrafopredeter"/>
    <w:rsid w:val="001C05D8"/>
  </w:style>
  <w:style w:type="paragraph" w:customStyle="1" w:styleId="2Footnotes">
    <w:name w:val="2. Footnotes"/>
    <w:basedOn w:val="Textonotapie"/>
    <w:link w:val="2FootnotesChar"/>
    <w:autoRedefine/>
    <w:qFormat/>
    <w:rsid w:val="001C05D8"/>
    <w:pPr>
      <w:widowControl w:val="0"/>
      <w:spacing w:before="120" w:after="40"/>
      <w:jc w:val="both"/>
    </w:pPr>
    <w:rPr>
      <w:rFonts w:ascii="Verdana" w:eastAsia="Times New Roman" w:hAnsi="Verdana" w:cs="Palatino-Italic"/>
      <w:iCs/>
      <w:noProof/>
      <w:sz w:val="16"/>
      <w:szCs w:val="18"/>
      <w:lang w:val="en-US"/>
    </w:rPr>
  </w:style>
  <w:style w:type="character" w:customStyle="1" w:styleId="2FootnotesChar">
    <w:name w:val="2. Footnotes Char"/>
    <w:link w:val="2Footnotes"/>
    <w:rsid w:val="001C05D8"/>
    <w:rPr>
      <w:rFonts w:ascii="Verdana" w:eastAsia="Times New Roman" w:hAnsi="Verdana" w:cs="Palatino-Italic"/>
      <w:iCs/>
      <w:noProof/>
      <w:sz w:val="16"/>
      <w:szCs w:val="18"/>
    </w:rPr>
  </w:style>
  <w:style w:type="paragraph" w:customStyle="1" w:styleId="xmsonormal">
    <w:name w:val="x_msonormal"/>
    <w:basedOn w:val="Normal"/>
    <w:rsid w:val="001C05D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HChG">
    <w:name w:val="_ H _Ch_G"/>
    <w:basedOn w:val="Normal"/>
    <w:next w:val="Normal"/>
    <w:rsid w:val="001C05D8"/>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lang w:val="es-ES" w:eastAsia="es-ES"/>
    </w:rPr>
  </w:style>
  <w:style w:type="paragraph" w:customStyle="1" w:styleId="H1G">
    <w:name w:val="_ H_1_G"/>
    <w:basedOn w:val="Normal"/>
    <w:next w:val="Normal"/>
    <w:rsid w:val="001C05D8"/>
    <w:pPr>
      <w:keepNext/>
      <w:keepLines/>
      <w:tabs>
        <w:tab w:val="right" w:pos="851"/>
      </w:tabs>
      <w:suppressAutoHyphens/>
      <w:spacing w:before="360" w:after="240" w:line="270" w:lineRule="exact"/>
      <w:ind w:left="1134" w:right="1134" w:hanging="1134"/>
    </w:pPr>
    <w:rPr>
      <w:rFonts w:ascii="Times New Roman" w:eastAsia="Times New Roman" w:hAnsi="Times New Roman" w:cs="Times New Roman"/>
      <w:b/>
      <w:sz w:val="24"/>
      <w:szCs w:val="20"/>
      <w:lang w:val="es-ES" w:eastAsia="es-ES"/>
    </w:rPr>
  </w:style>
  <w:style w:type="paragraph" w:styleId="Textoindependiente">
    <w:name w:val="Body Text"/>
    <w:basedOn w:val="Normal"/>
    <w:link w:val="TextoindependienteCar"/>
    <w:uiPriority w:val="99"/>
    <w:semiHidden/>
    <w:unhideWhenUsed/>
    <w:rsid w:val="001C05D8"/>
    <w:pPr>
      <w:spacing w:after="0" w:line="240" w:lineRule="auto"/>
      <w:jc w:val="both"/>
    </w:pPr>
    <w:rPr>
      <w:rFonts w:ascii="Garamond" w:eastAsia="Times" w:hAnsi="Garamond" w:cs="Times New Roman"/>
      <w:noProof/>
      <w:szCs w:val="20"/>
      <w:lang w:val="es-ES_tradnl"/>
    </w:rPr>
  </w:style>
  <w:style w:type="character" w:customStyle="1" w:styleId="TextoindependienteCar">
    <w:name w:val="Texto independiente Car"/>
    <w:basedOn w:val="Fuentedeprrafopredeter"/>
    <w:link w:val="Textoindependiente"/>
    <w:uiPriority w:val="99"/>
    <w:semiHidden/>
    <w:rsid w:val="001C05D8"/>
    <w:rPr>
      <w:rFonts w:ascii="Garamond" w:eastAsia="Times" w:hAnsi="Garamond" w:cs="Times New Roman"/>
      <w:noProof/>
      <w:szCs w:val="20"/>
      <w:lang w:val="es-ES_tradnl"/>
    </w:rPr>
  </w:style>
  <w:style w:type="character" w:customStyle="1" w:styleId="SangradetextonormalCar">
    <w:name w:val="Sangría de texto normal Car"/>
    <w:basedOn w:val="Fuentedeprrafopredeter"/>
    <w:link w:val="Sangradetextonormal"/>
    <w:uiPriority w:val="99"/>
    <w:semiHidden/>
    <w:rsid w:val="001C05D8"/>
    <w:rPr>
      <w:rFonts w:ascii="Times New Roman" w:eastAsia="Calibri" w:hAnsi="Times New Roman" w:cs="Times New Roman"/>
      <w:sz w:val="24"/>
      <w:szCs w:val="24"/>
      <w:lang w:val="es-ES_tradnl"/>
    </w:rPr>
  </w:style>
  <w:style w:type="paragraph" w:styleId="Sangradetextonormal">
    <w:name w:val="Body Text Indent"/>
    <w:basedOn w:val="Normal"/>
    <w:link w:val="SangradetextonormalCar"/>
    <w:uiPriority w:val="99"/>
    <w:semiHidden/>
    <w:unhideWhenUsed/>
    <w:rsid w:val="001C05D8"/>
    <w:pPr>
      <w:spacing w:after="120" w:line="240" w:lineRule="auto"/>
      <w:ind w:left="283"/>
    </w:pPr>
    <w:rPr>
      <w:rFonts w:ascii="Times New Roman" w:eastAsia="Calibri" w:hAnsi="Times New Roman" w:cs="Times New Roman"/>
      <w:sz w:val="24"/>
      <w:szCs w:val="24"/>
      <w:lang w:val="es-ES_tradnl"/>
    </w:rPr>
  </w:style>
  <w:style w:type="character" w:customStyle="1" w:styleId="BodyTextIndentChar1">
    <w:name w:val="Body Text Indent Char1"/>
    <w:basedOn w:val="Fuentedeprrafopredeter"/>
    <w:uiPriority w:val="99"/>
    <w:semiHidden/>
    <w:rsid w:val="001C05D8"/>
    <w:rPr>
      <w:rFonts w:eastAsia="Batang"/>
      <w:lang w:val="es-MX"/>
    </w:rPr>
  </w:style>
  <w:style w:type="character" w:customStyle="1" w:styleId="Estilo1Char">
    <w:name w:val="Estilo1 Char"/>
    <w:rsid w:val="001C05D8"/>
    <w:rPr>
      <w:rFonts w:ascii="Verdana" w:eastAsia="Calibri" w:hAnsi="Verdana" w:cs="Times New Roman"/>
      <w:sz w:val="20"/>
      <w:szCs w:val="20"/>
      <w:lang w:val="es-ES"/>
    </w:rPr>
  </w:style>
  <w:style w:type="paragraph" w:customStyle="1" w:styleId="Estilo2">
    <w:name w:val="Estilo2"/>
    <w:basedOn w:val="Normal"/>
    <w:qFormat/>
    <w:rsid w:val="001C05D8"/>
    <w:pPr>
      <w:tabs>
        <w:tab w:val="left" w:pos="567"/>
        <w:tab w:val="left" w:pos="1134"/>
        <w:tab w:val="num" w:pos="4767"/>
      </w:tabs>
      <w:spacing w:after="120" w:line="240" w:lineRule="auto"/>
      <w:ind w:left="4767" w:hanging="360"/>
      <w:jc w:val="both"/>
    </w:pPr>
    <w:rPr>
      <w:rFonts w:ascii="Verdana" w:eastAsia="Calibri" w:hAnsi="Verdana" w:cs="Times New Roman"/>
      <w:sz w:val="20"/>
      <w:szCs w:val="20"/>
      <w:lang w:val="es-ES"/>
    </w:rPr>
  </w:style>
  <w:style w:type="paragraph" w:styleId="Sangra3detindependiente">
    <w:name w:val="Body Text Indent 3"/>
    <w:basedOn w:val="Normal"/>
    <w:link w:val="Sangra3detindependienteCar"/>
    <w:rsid w:val="001C05D8"/>
    <w:pPr>
      <w:spacing w:after="0" w:line="240" w:lineRule="auto"/>
      <w:ind w:left="720"/>
      <w:jc w:val="both"/>
    </w:pPr>
    <w:rPr>
      <w:rFonts w:ascii="Verdana" w:eastAsia="Times" w:hAnsi="Verdana" w:cs="Times New Roman"/>
      <w:b/>
      <w:szCs w:val="20"/>
      <w:lang w:val="es-ES_tradnl" w:eastAsia="es-ES"/>
    </w:rPr>
  </w:style>
  <w:style w:type="character" w:customStyle="1" w:styleId="Sangra3detindependienteCar">
    <w:name w:val="Sangría 3 de t. independiente Car"/>
    <w:basedOn w:val="Fuentedeprrafopredeter"/>
    <w:link w:val="Sangra3detindependiente"/>
    <w:rsid w:val="001C05D8"/>
    <w:rPr>
      <w:rFonts w:ascii="Verdana" w:eastAsia="Times" w:hAnsi="Verdana" w:cs="Times New Roman"/>
      <w:b/>
      <w:szCs w:val="20"/>
      <w:lang w:val="es-ES_tradnl" w:eastAsia="es-ES"/>
    </w:rPr>
  </w:style>
  <w:style w:type="paragraph" w:customStyle="1" w:styleId="Estilo7">
    <w:name w:val="Estilo7"/>
    <w:basedOn w:val="Normal"/>
    <w:qFormat/>
    <w:rsid w:val="001C05D8"/>
    <w:pPr>
      <w:tabs>
        <w:tab w:val="left" w:pos="567"/>
        <w:tab w:val="left" w:pos="851"/>
        <w:tab w:val="num" w:pos="2160"/>
      </w:tabs>
      <w:spacing w:before="120" w:after="120" w:line="240" w:lineRule="auto"/>
      <w:ind w:left="2160" w:hanging="180"/>
      <w:jc w:val="both"/>
    </w:pPr>
    <w:rPr>
      <w:rFonts w:ascii="Verdana" w:hAnsi="Verdana" w:cs="Times New Roman"/>
      <w:b/>
      <w:i/>
      <w:sz w:val="20"/>
      <w:szCs w:val="20"/>
      <w:lang w:val="es-ES_tradnl" w:eastAsia="es-MX"/>
    </w:rPr>
  </w:style>
  <w:style w:type="paragraph" w:customStyle="1" w:styleId="Sangradetindependiente">
    <w:name w:val="Sangr’a de t. independiente"/>
    <w:basedOn w:val="Normal"/>
    <w:rsid w:val="001C05D8"/>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s-ES_tradnl" w:eastAsia="es-ES"/>
    </w:rPr>
  </w:style>
  <w:style w:type="character" w:customStyle="1" w:styleId="normalchar1">
    <w:name w:val="normal__char1"/>
    <w:basedOn w:val="Fuentedeprrafopredeter"/>
    <w:rsid w:val="001C05D8"/>
    <w:rPr>
      <w:rFonts w:ascii="Verdana" w:hAnsi="Verdana" w:hint="default"/>
      <w:sz w:val="20"/>
      <w:szCs w:val="20"/>
    </w:rPr>
  </w:style>
  <w:style w:type="character" w:customStyle="1" w:styleId="FootnoteTextCharCar">
    <w:name w:val="Footnote Text Char Car"/>
    <w:aliases w:val="FA Car,Note de bas de page Car Car Car"/>
    <w:basedOn w:val="Fuentedeprrafopredeter"/>
    <w:uiPriority w:val="99"/>
    <w:locked/>
    <w:rsid w:val="001C05D8"/>
  </w:style>
  <w:style w:type="character" w:customStyle="1" w:styleId="sb8d990e2">
    <w:name w:val="sb8d990e2"/>
    <w:uiPriority w:val="99"/>
    <w:rsid w:val="001C05D8"/>
  </w:style>
  <w:style w:type="character" w:customStyle="1" w:styleId="st1">
    <w:name w:val="st1"/>
    <w:basedOn w:val="Fuentedeprrafopredeter"/>
    <w:rsid w:val="001C05D8"/>
  </w:style>
  <w:style w:type="paragraph" w:customStyle="1" w:styleId="NormalNumbered">
    <w:name w:val="Normal Numbered"/>
    <w:basedOn w:val="Normal"/>
    <w:qFormat/>
    <w:rsid w:val="001C05D8"/>
    <w:pPr>
      <w:numPr>
        <w:numId w:val="12"/>
      </w:numPr>
      <w:spacing w:after="0" w:line="240" w:lineRule="auto"/>
      <w:ind w:left="0" w:firstLine="0"/>
      <w:jc w:val="both"/>
    </w:pPr>
    <w:rPr>
      <w:rFonts w:ascii="Verdana" w:eastAsia="Times New Roman" w:hAnsi="Verdana" w:cs="Times New Roman"/>
      <w:sz w:val="20"/>
      <w:szCs w:val="20"/>
      <w:lang w:val="x-none" w:eastAsia="x-none"/>
    </w:rPr>
  </w:style>
  <w:style w:type="numbering" w:customStyle="1" w:styleId="NoList11">
    <w:name w:val="No List11"/>
    <w:next w:val="Sinlista"/>
    <w:uiPriority w:val="99"/>
    <w:semiHidden/>
    <w:unhideWhenUsed/>
    <w:rsid w:val="001C05D8"/>
  </w:style>
  <w:style w:type="paragraph" w:customStyle="1" w:styleId="ju-005fpara-002cleft-002cfirst-0020line-003a-0020-00200-0020cm">
    <w:name w:val="ju-005fpara-002cleft-002cfirst-0020line-003a-0020-00200-0020cm"/>
    <w:basedOn w:val="Normal"/>
    <w:rsid w:val="001C05D8"/>
    <w:pPr>
      <w:spacing w:after="135" w:line="240" w:lineRule="auto"/>
    </w:pPr>
    <w:rPr>
      <w:rFonts w:ascii="Times New Roman" w:eastAsia="Times New Roman" w:hAnsi="Times New Roman" w:cs="Times New Roman"/>
      <w:sz w:val="24"/>
      <w:szCs w:val="24"/>
      <w:lang w:eastAsia="es-MX"/>
    </w:rPr>
  </w:style>
  <w:style w:type="character" w:customStyle="1" w:styleId="ju-005fpara-002cleft-002cfirst-0020line-003a-0020-00200-0020cm--char">
    <w:name w:val="ju-005fpara-002cleft-002cfirst-0020line-003a-0020-00200-0020cm--char"/>
    <w:rsid w:val="001C05D8"/>
  </w:style>
  <w:style w:type="character" w:customStyle="1" w:styleId="PrrafodelistaCar1">
    <w:name w:val="Párrafo de lista Car1"/>
    <w:basedOn w:val="Fuentedeprrafopredeter"/>
    <w:uiPriority w:val="99"/>
    <w:locked/>
    <w:rsid w:val="001C05D8"/>
    <w:rPr>
      <w:rFonts w:ascii="Verdana" w:hAnsi="Verdana" w:cs="Verdana"/>
      <w:lang w:eastAsia="en-US"/>
    </w:rPr>
  </w:style>
  <w:style w:type="character" w:customStyle="1" w:styleId="TextocomentarioCar1">
    <w:name w:val="Texto comentario Car1"/>
    <w:basedOn w:val="Fuentedeprrafopredeter"/>
    <w:uiPriority w:val="99"/>
    <w:semiHidden/>
    <w:rsid w:val="001C05D8"/>
    <w:rPr>
      <w:sz w:val="20"/>
      <w:szCs w:val="20"/>
    </w:rPr>
  </w:style>
  <w:style w:type="paragraph" w:customStyle="1" w:styleId="Body1">
    <w:name w:val="Body 1"/>
    <w:link w:val="Body1Char"/>
    <w:rsid w:val="001C05D8"/>
    <w:pPr>
      <w:outlineLvl w:val="0"/>
    </w:pPr>
    <w:rPr>
      <w:rFonts w:ascii="Helvetica" w:eastAsia="ヒラギノ角ゴ Pro W3" w:hAnsi="Helvetica" w:cs="Times New Roman"/>
      <w:color w:val="000000"/>
      <w:szCs w:val="20"/>
      <w:lang w:eastAsia="es-CR"/>
    </w:rPr>
  </w:style>
  <w:style w:type="character" w:customStyle="1" w:styleId="Body1Char">
    <w:name w:val="Body 1 Char"/>
    <w:link w:val="Body1"/>
    <w:rsid w:val="001C05D8"/>
    <w:rPr>
      <w:rFonts w:ascii="Helvetica" w:eastAsia="ヒラギノ角ゴ Pro W3" w:hAnsi="Helvetica" w:cs="Times New Roman"/>
      <w:color w:val="000000"/>
      <w:szCs w:val="20"/>
      <w:lang w:eastAsia="es-CR"/>
    </w:rPr>
  </w:style>
  <w:style w:type="paragraph" w:customStyle="1" w:styleId="style11">
    <w:name w:val="style11"/>
    <w:basedOn w:val="Normal"/>
    <w:rsid w:val="001C05D8"/>
    <w:pPr>
      <w:spacing w:before="192" w:after="192" w:line="240" w:lineRule="auto"/>
      <w:ind w:left="120" w:right="144"/>
      <w:jc w:val="both"/>
    </w:pPr>
    <w:rPr>
      <w:rFonts w:ascii="Times New Roman" w:eastAsia="Times New Roman" w:hAnsi="Times New Roman" w:cs="Times New Roman"/>
      <w:sz w:val="24"/>
      <w:szCs w:val="24"/>
      <w:lang w:eastAsia="es-MX"/>
    </w:rPr>
  </w:style>
  <w:style w:type="character" w:customStyle="1" w:styleId="Refdenotaalpie1">
    <w:name w:val="Ref. de nota al pie1"/>
    <w:rsid w:val="00234DC2"/>
    <w:rPr>
      <w:sz w:val="20"/>
      <w:vertAlign w:val="superscript"/>
    </w:rPr>
  </w:style>
  <w:style w:type="paragraph" w:customStyle="1" w:styleId="1">
    <w:name w:val="1"/>
    <w:basedOn w:val="Normal"/>
    <w:rsid w:val="00234DC2"/>
    <w:pPr>
      <w:spacing w:after="160" w:line="240" w:lineRule="exact"/>
    </w:pPr>
    <w:rPr>
      <w:rFonts w:ascii="Verdana" w:eastAsia="Times New Roman" w:hAnsi="Verdana" w:cs="Times New Roman"/>
      <w:sz w:val="16"/>
      <w:vertAlign w:val="superscript"/>
      <w:lang w:val="es-CR"/>
    </w:rPr>
  </w:style>
  <w:style w:type="character" w:customStyle="1" w:styleId="FootnoteAnchor">
    <w:name w:val="Footnote Anchor"/>
    <w:rsid w:val="007769CC"/>
    <w:rPr>
      <w:vertAlign w:val="superscript"/>
    </w:rPr>
  </w:style>
  <w:style w:type="character" w:customStyle="1" w:styleId="ListParagraphChar1">
    <w:name w:val="List Paragraph Char1"/>
    <w:locked/>
    <w:rsid w:val="0064041B"/>
    <w:rPr>
      <w:rFonts w:ascii="Verdana" w:eastAsia="Times New Roman" w:hAnsi="Verdana"/>
      <w:sz w:val="16"/>
      <w:lang w:val="es-ES_tradnl" w:eastAsia="x-none"/>
    </w:rPr>
  </w:style>
  <w:style w:type="paragraph" w:customStyle="1" w:styleId="Normal1">
    <w:name w:val="Normal1"/>
    <w:rsid w:val="00AA5D46"/>
    <w:pPr>
      <w:widowControl w:val="0"/>
      <w:spacing w:after="0" w:line="240" w:lineRule="auto"/>
    </w:pPr>
    <w:rPr>
      <w:rFonts w:ascii="Times New Roman" w:eastAsia="Times New Roman" w:hAnsi="Times New Roman" w:cs="Times New Roman"/>
      <w:sz w:val="24"/>
      <w:szCs w:val="24"/>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59877">
      <w:bodyDiv w:val="1"/>
      <w:marLeft w:val="0"/>
      <w:marRight w:val="0"/>
      <w:marTop w:val="0"/>
      <w:marBottom w:val="0"/>
      <w:divBdr>
        <w:top w:val="none" w:sz="0" w:space="0" w:color="auto"/>
        <w:left w:val="none" w:sz="0" w:space="0" w:color="auto"/>
        <w:bottom w:val="none" w:sz="0" w:space="0" w:color="auto"/>
        <w:right w:val="none" w:sz="0" w:space="0" w:color="auto"/>
      </w:divBdr>
    </w:div>
    <w:div w:id="329989529">
      <w:bodyDiv w:val="1"/>
      <w:marLeft w:val="0"/>
      <w:marRight w:val="0"/>
      <w:marTop w:val="0"/>
      <w:marBottom w:val="0"/>
      <w:divBdr>
        <w:top w:val="none" w:sz="0" w:space="0" w:color="auto"/>
        <w:left w:val="none" w:sz="0" w:space="0" w:color="auto"/>
        <w:bottom w:val="none" w:sz="0" w:space="0" w:color="auto"/>
        <w:right w:val="none" w:sz="0" w:space="0" w:color="auto"/>
      </w:divBdr>
    </w:div>
    <w:div w:id="481459649">
      <w:bodyDiv w:val="1"/>
      <w:marLeft w:val="0"/>
      <w:marRight w:val="0"/>
      <w:marTop w:val="0"/>
      <w:marBottom w:val="0"/>
      <w:divBdr>
        <w:top w:val="none" w:sz="0" w:space="0" w:color="auto"/>
        <w:left w:val="none" w:sz="0" w:space="0" w:color="auto"/>
        <w:bottom w:val="none" w:sz="0" w:space="0" w:color="auto"/>
        <w:right w:val="none" w:sz="0" w:space="0" w:color="auto"/>
      </w:divBdr>
    </w:div>
    <w:div w:id="757866255">
      <w:bodyDiv w:val="1"/>
      <w:marLeft w:val="0"/>
      <w:marRight w:val="0"/>
      <w:marTop w:val="0"/>
      <w:marBottom w:val="0"/>
      <w:divBdr>
        <w:top w:val="none" w:sz="0" w:space="0" w:color="auto"/>
        <w:left w:val="none" w:sz="0" w:space="0" w:color="auto"/>
        <w:bottom w:val="none" w:sz="0" w:space="0" w:color="auto"/>
        <w:right w:val="none" w:sz="0" w:space="0" w:color="auto"/>
      </w:divBdr>
    </w:div>
    <w:div w:id="780028280">
      <w:bodyDiv w:val="1"/>
      <w:marLeft w:val="0"/>
      <w:marRight w:val="0"/>
      <w:marTop w:val="0"/>
      <w:marBottom w:val="0"/>
      <w:divBdr>
        <w:top w:val="none" w:sz="0" w:space="0" w:color="auto"/>
        <w:left w:val="none" w:sz="0" w:space="0" w:color="auto"/>
        <w:bottom w:val="none" w:sz="0" w:space="0" w:color="auto"/>
        <w:right w:val="none" w:sz="0" w:space="0" w:color="auto"/>
      </w:divBdr>
    </w:div>
    <w:div w:id="1097561632">
      <w:bodyDiv w:val="1"/>
      <w:marLeft w:val="0"/>
      <w:marRight w:val="0"/>
      <w:marTop w:val="0"/>
      <w:marBottom w:val="0"/>
      <w:divBdr>
        <w:top w:val="none" w:sz="0" w:space="0" w:color="auto"/>
        <w:left w:val="none" w:sz="0" w:space="0" w:color="auto"/>
        <w:bottom w:val="none" w:sz="0" w:space="0" w:color="auto"/>
        <w:right w:val="none" w:sz="0" w:space="0" w:color="auto"/>
      </w:divBdr>
    </w:div>
    <w:div w:id="1152718611">
      <w:bodyDiv w:val="1"/>
      <w:marLeft w:val="0"/>
      <w:marRight w:val="0"/>
      <w:marTop w:val="0"/>
      <w:marBottom w:val="0"/>
      <w:divBdr>
        <w:top w:val="none" w:sz="0" w:space="0" w:color="auto"/>
        <w:left w:val="none" w:sz="0" w:space="0" w:color="auto"/>
        <w:bottom w:val="none" w:sz="0" w:space="0" w:color="auto"/>
        <w:right w:val="none" w:sz="0" w:space="0" w:color="auto"/>
      </w:divBdr>
    </w:div>
    <w:div w:id="142313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rvicios.infoleg.gob.ar/infolegInternet/anexos/30000-34999/32614/norma.htm" TargetMode="External"/><Relationship Id="rId3" Type="http://schemas.openxmlformats.org/officeDocument/2006/relationships/hyperlink" Target="https://bcn.gob.ar/uploads/DOSSIER-87-DECRETOS-SECRETOS-y-RESERVADOS-PUB2013.pdf" TargetMode="External"/><Relationship Id="rId7" Type="http://schemas.openxmlformats.org/officeDocument/2006/relationships/hyperlink" Target="https://elpais.com/diario/1992/01/02/economia/694306801_850215.html" TargetMode="External"/><Relationship Id="rId2" Type="http://schemas.openxmlformats.org/officeDocument/2006/relationships/hyperlink" Target="http://www.cidh.oas.org/annualrep/92span/Argentina10.288.htm" TargetMode="External"/><Relationship Id="rId1" Type="http://schemas.openxmlformats.org/officeDocument/2006/relationships/hyperlink" Target="http://www.corteidh.or.cr/docs/asuntos/perroneypreckel_07_12_18.pdf" TargetMode="External"/><Relationship Id="rId6" Type="http://schemas.openxmlformats.org/officeDocument/2006/relationships/hyperlink" Target="http://www.cidh.oas.org/annualrep/92span/Argentina10.288.htm" TargetMode="External"/><Relationship Id="rId5" Type="http://schemas.openxmlformats.org/officeDocument/2006/relationships/hyperlink" Target="https://www.ohchr.org/en/professionalinterest/pages/remedyandreparation.aspx" TargetMode="External"/><Relationship Id="rId4" Type="http://schemas.openxmlformats.org/officeDocument/2006/relationships/hyperlink" Target="http://desaparecidos.org/nuncamas/web/document/nacional/ley24043.htm" TargetMode="External"/><Relationship Id="rId9" Type="http://schemas.openxmlformats.org/officeDocument/2006/relationships/hyperlink" Target="http://servicios.infoleg.gob.ar/infolegInternet/anexos/15000-19999/19213/norm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15BEBE2BF87F40A76A9C926EBECC0C" ma:contentTypeVersion="0" ma:contentTypeDescription="Create a new document." ma:contentTypeScope="" ma:versionID="ad8069bb81a7b5dc5c766ad6aa2648b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E8408-19C7-40FC-8770-CA62BBD0BB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3F0BB85-7482-48C8-BADC-80C002D9A8B1}">
  <ds:schemaRefs>
    <ds:schemaRef ds:uri="http://schemas.microsoft.com/sharepoint/v3/contenttype/forms"/>
  </ds:schemaRefs>
</ds:datastoreItem>
</file>

<file path=customXml/itemProps3.xml><?xml version="1.0" encoding="utf-8"?>
<ds:datastoreItem xmlns:ds="http://schemas.openxmlformats.org/officeDocument/2006/customXml" ds:itemID="{43E56079-6B69-4AB3-87FF-DFB4CE62FE03}">
  <ds:schemaRefs>
    <ds:schemaRef ds:uri="http://schemas.microsoft.com/office/2006/metadata/properties"/>
  </ds:schemaRefs>
</ds:datastoreItem>
</file>

<file path=customXml/itemProps4.xml><?xml version="1.0" encoding="utf-8"?>
<ds:datastoreItem xmlns:ds="http://schemas.openxmlformats.org/officeDocument/2006/customXml" ds:itemID="{2B4B4D41-CE87-2A4F-836F-41413C5B3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41</Pages>
  <Words>20198</Words>
  <Characters>111095</Characters>
  <Application>Microsoft Office Word</Application>
  <DocSecurity>0</DocSecurity>
  <Lines>925</Lines>
  <Paragraphs>262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131031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calderongamboa@hotmail.com</dc:creator>
  <cp:lastModifiedBy>Microsoft Office User</cp:lastModifiedBy>
  <cp:revision>3</cp:revision>
  <cp:lastPrinted>2019-11-12T23:33:00Z</cp:lastPrinted>
  <dcterms:created xsi:type="dcterms:W3CDTF">2019-11-14T21:52:00Z</dcterms:created>
  <dcterms:modified xsi:type="dcterms:W3CDTF">2019-11-14T23:21:00Z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0x010100D015BEBE2BF87F40A76A9C926EBECC0C</vt:lpwstr>
  </property>
</Properties>
</file>