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98F64" w14:textId="77777777" w:rsidR="00C87060" w:rsidRDefault="00C87060" w:rsidP="00C661F1">
      <w:pPr>
        <w:spacing w:after="0" w:line="240" w:lineRule="auto"/>
        <w:jc w:val="center"/>
        <w:rPr>
          <w:rFonts w:ascii="Verdana" w:hAnsi="Verdana"/>
          <w:b/>
          <w:sz w:val="20"/>
          <w:szCs w:val="20"/>
          <w:lang w:val="es-CR"/>
        </w:rPr>
      </w:pPr>
      <w:r w:rsidRPr="00EC2F24">
        <w:rPr>
          <w:rFonts w:ascii="Verdana" w:hAnsi="Verdana"/>
          <w:b/>
          <w:sz w:val="20"/>
          <w:szCs w:val="20"/>
          <w:lang w:val="es-CR"/>
        </w:rPr>
        <w:t>CORTE INTERAMERICANA DE DERECHOS HUMANOS</w:t>
      </w:r>
    </w:p>
    <w:p w14:paraId="0CAEAE1F" w14:textId="77777777" w:rsidR="00C661F1" w:rsidRPr="00EC2F24" w:rsidRDefault="00C661F1" w:rsidP="00C661F1">
      <w:pPr>
        <w:spacing w:after="0" w:line="240" w:lineRule="auto"/>
        <w:jc w:val="center"/>
        <w:rPr>
          <w:rFonts w:ascii="Verdana" w:hAnsi="Verdana"/>
          <w:b/>
          <w:sz w:val="20"/>
          <w:szCs w:val="20"/>
          <w:lang w:val="es-CR"/>
        </w:rPr>
      </w:pPr>
    </w:p>
    <w:p w14:paraId="245A96FB" w14:textId="4028B5A0" w:rsidR="00C87060" w:rsidRDefault="00497AC2" w:rsidP="00497AC2">
      <w:pPr>
        <w:tabs>
          <w:tab w:val="center" w:pos="4709"/>
        </w:tabs>
        <w:spacing w:after="0" w:line="240" w:lineRule="auto"/>
        <w:rPr>
          <w:rFonts w:ascii="Verdana" w:hAnsi="Verdana"/>
          <w:b/>
          <w:sz w:val="20"/>
          <w:szCs w:val="20"/>
          <w:lang w:val="es-CR"/>
        </w:rPr>
      </w:pPr>
      <w:r>
        <w:rPr>
          <w:rFonts w:ascii="Verdana" w:hAnsi="Verdana"/>
          <w:b/>
          <w:sz w:val="20"/>
          <w:szCs w:val="20"/>
          <w:lang w:val="es-CR"/>
        </w:rPr>
        <w:tab/>
      </w:r>
      <w:r w:rsidR="00C87060" w:rsidRPr="00EC2F24">
        <w:rPr>
          <w:rFonts w:ascii="Verdana" w:hAnsi="Verdana"/>
          <w:b/>
          <w:sz w:val="20"/>
          <w:szCs w:val="20"/>
          <w:lang w:val="es-CR"/>
        </w:rPr>
        <w:t>CASO VALENZUELA ÁVILA VS. GUATEMALA</w:t>
      </w:r>
      <w:r w:rsidR="0041182E" w:rsidRPr="00EC2F24">
        <w:rPr>
          <w:rStyle w:val="Refdenotaalpie"/>
          <w:rFonts w:ascii="Verdana" w:hAnsi="Verdana"/>
          <w:sz w:val="20"/>
          <w:szCs w:val="20"/>
          <w:lang w:val="es-CR"/>
        </w:rPr>
        <w:footnoteReference w:customMarkFollows="1" w:id="1"/>
        <w:sym w:font="Symbol" w:char="F02A"/>
      </w:r>
    </w:p>
    <w:p w14:paraId="425EEC1B" w14:textId="1AD791EE" w:rsidR="00C661F1" w:rsidRPr="00EC2F24" w:rsidRDefault="00C661F1" w:rsidP="00C661F1">
      <w:pPr>
        <w:spacing w:after="0" w:line="240" w:lineRule="auto"/>
        <w:jc w:val="center"/>
        <w:rPr>
          <w:rFonts w:ascii="Verdana" w:hAnsi="Verdana"/>
          <w:b/>
          <w:sz w:val="20"/>
          <w:szCs w:val="20"/>
          <w:lang w:val="es-CR"/>
        </w:rPr>
      </w:pPr>
    </w:p>
    <w:p w14:paraId="4E94A83E" w14:textId="77777777" w:rsidR="00C661F1" w:rsidRPr="00EC2F24" w:rsidRDefault="00254424" w:rsidP="00DF5CC8">
      <w:pPr>
        <w:spacing w:after="0" w:line="240" w:lineRule="auto"/>
        <w:jc w:val="center"/>
        <w:rPr>
          <w:rFonts w:ascii="Verdana" w:hAnsi="Verdana"/>
          <w:b/>
          <w:sz w:val="20"/>
          <w:szCs w:val="20"/>
          <w:lang w:val="es-CR"/>
        </w:rPr>
      </w:pPr>
      <w:r>
        <w:rPr>
          <w:rFonts w:ascii="Verdana" w:hAnsi="Verdana"/>
          <w:b/>
          <w:sz w:val="20"/>
          <w:szCs w:val="20"/>
          <w:lang w:val="es-CR"/>
        </w:rPr>
        <w:t>SENTENCIA DE 11</w:t>
      </w:r>
      <w:r w:rsidR="00C87060" w:rsidRPr="00EC2F24">
        <w:rPr>
          <w:rFonts w:ascii="Verdana" w:hAnsi="Verdana"/>
          <w:b/>
          <w:sz w:val="20"/>
          <w:szCs w:val="20"/>
          <w:lang w:val="es-CR"/>
        </w:rPr>
        <w:t xml:space="preserve"> DE </w:t>
      </w:r>
      <w:r w:rsidR="00CC3ECB">
        <w:rPr>
          <w:rFonts w:ascii="Verdana" w:hAnsi="Verdana"/>
          <w:b/>
          <w:sz w:val="20"/>
          <w:szCs w:val="20"/>
          <w:lang w:val="es-CR"/>
        </w:rPr>
        <w:t xml:space="preserve">OCTUBRE </w:t>
      </w:r>
      <w:r w:rsidR="00C87060" w:rsidRPr="00EC2F24">
        <w:rPr>
          <w:rFonts w:ascii="Verdana" w:hAnsi="Verdana"/>
          <w:b/>
          <w:sz w:val="20"/>
          <w:szCs w:val="20"/>
          <w:lang w:val="es-CR"/>
        </w:rPr>
        <w:t>DE 2019</w:t>
      </w:r>
    </w:p>
    <w:p w14:paraId="38072399" w14:textId="77777777" w:rsidR="00C87060" w:rsidRPr="00EC2F24" w:rsidRDefault="00C87060" w:rsidP="00C661F1">
      <w:pPr>
        <w:spacing w:after="0" w:line="240" w:lineRule="auto"/>
        <w:jc w:val="center"/>
        <w:rPr>
          <w:rFonts w:ascii="Verdana" w:hAnsi="Verdana"/>
          <w:b/>
          <w:i/>
          <w:sz w:val="20"/>
          <w:szCs w:val="20"/>
          <w:lang w:val="es-CR"/>
        </w:rPr>
      </w:pPr>
      <w:r w:rsidRPr="00EC2F24">
        <w:rPr>
          <w:rFonts w:ascii="Verdana" w:hAnsi="Verdana"/>
          <w:b/>
          <w:i/>
          <w:sz w:val="20"/>
          <w:szCs w:val="20"/>
          <w:lang w:val="es-CR"/>
        </w:rPr>
        <w:t>(Fondo, Reparaciones y Costas)</w:t>
      </w:r>
    </w:p>
    <w:p w14:paraId="04ED6C98" w14:textId="77777777" w:rsidR="00C87060" w:rsidRDefault="00C87060" w:rsidP="00EC2F24">
      <w:pPr>
        <w:spacing w:after="0" w:line="240" w:lineRule="auto"/>
        <w:jc w:val="both"/>
        <w:rPr>
          <w:rFonts w:ascii="Verdana" w:hAnsi="Verdana"/>
          <w:b/>
          <w:i/>
          <w:sz w:val="20"/>
          <w:szCs w:val="20"/>
          <w:lang w:val="es-CR"/>
        </w:rPr>
      </w:pPr>
    </w:p>
    <w:p w14:paraId="236BA5B0" w14:textId="77777777" w:rsidR="00DC1FD2" w:rsidRPr="00EC2F24" w:rsidRDefault="00DC1FD2" w:rsidP="00EC2F24">
      <w:pPr>
        <w:spacing w:after="0" w:line="240" w:lineRule="auto"/>
        <w:jc w:val="both"/>
        <w:rPr>
          <w:rFonts w:ascii="Verdana" w:hAnsi="Verdana"/>
          <w:b/>
          <w:i/>
          <w:sz w:val="20"/>
          <w:szCs w:val="20"/>
          <w:lang w:val="es-CR"/>
        </w:rPr>
      </w:pPr>
    </w:p>
    <w:p w14:paraId="73C019B1" w14:textId="77777777" w:rsidR="00C661F1" w:rsidRDefault="00C661F1" w:rsidP="00EC2F24">
      <w:pPr>
        <w:spacing w:after="0" w:line="240" w:lineRule="auto"/>
        <w:jc w:val="both"/>
        <w:rPr>
          <w:rFonts w:ascii="Verdana" w:hAnsi="Verdana"/>
          <w:sz w:val="20"/>
          <w:szCs w:val="20"/>
          <w:lang w:val="es-CR"/>
        </w:rPr>
      </w:pPr>
    </w:p>
    <w:p w14:paraId="2BA68374" w14:textId="77777777" w:rsidR="00C87060" w:rsidRPr="00EC2F24" w:rsidRDefault="00C87060" w:rsidP="000B5EF6">
      <w:pPr>
        <w:spacing w:after="0"/>
        <w:jc w:val="both"/>
        <w:rPr>
          <w:rFonts w:ascii="Verdana" w:hAnsi="Verdana"/>
          <w:sz w:val="20"/>
          <w:szCs w:val="20"/>
          <w:lang w:val="es-CR"/>
        </w:rPr>
      </w:pPr>
      <w:r w:rsidRPr="00EC2F24">
        <w:rPr>
          <w:rFonts w:ascii="Verdana" w:hAnsi="Verdana"/>
          <w:sz w:val="20"/>
          <w:szCs w:val="20"/>
          <w:lang w:val="es-CR"/>
        </w:rPr>
        <w:t xml:space="preserve">En el caso </w:t>
      </w:r>
      <w:r w:rsidRPr="00EC2F24">
        <w:rPr>
          <w:rFonts w:ascii="Verdana" w:hAnsi="Verdana"/>
          <w:i/>
          <w:sz w:val="20"/>
          <w:szCs w:val="20"/>
          <w:lang w:val="es-CR"/>
        </w:rPr>
        <w:t>Valenzuela Ávila</w:t>
      </w:r>
      <w:r w:rsidR="00303C56">
        <w:rPr>
          <w:rFonts w:ascii="Verdana" w:hAnsi="Verdana"/>
          <w:sz w:val="20"/>
          <w:szCs w:val="20"/>
          <w:lang w:val="es-CR"/>
        </w:rPr>
        <w:t xml:space="preserve"> </w:t>
      </w:r>
      <w:r w:rsidR="00303C56" w:rsidRPr="005924A6">
        <w:rPr>
          <w:rFonts w:ascii="Verdana" w:hAnsi="Verdana"/>
          <w:i/>
          <w:sz w:val="20"/>
          <w:szCs w:val="20"/>
          <w:lang w:val="es-CR"/>
        </w:rPr>
        <w:t>Vs. Guatemala</w:t>
      </w:r>
      <w:r w:rsidRPr="00EC2F24">
        <w:rPr>
          <w:rFonts w:ascii="Verdana" w:hAnsi="Verdana"/>
          <w:sz w:val="20"/>
          <w:szCs w:val="20"/>
          <w:lang w:val="es-CR"/>
        </w:rPr>
        <w:t xml:space="preserve"> </w:t>
      </w:r>
    </w:p>
    <w:p w14:paraId="2E0DBF33" w14:textId="77777777" w:rsidR="00C661F1" w:rsidRDefault="00C661F1" w:rsidP="000B5EF6">
      <w:pPr>
        <w:spacing w:after="0"/>
        <w:jc w:val="both"/>
        <w:rPr>
          <w:rFonts w:ascii="Verdana" w:hAnsi="Verdana"/>
          <w:sz w:val="20"/>
          <w:szCs w:val="20"/>
          <w:lang w:val="es-CR"/>
        </w:rPr>
      </w:pPr>
    </w:p>
    <w:p w14:paraId="606CDAFF" w14:textId="77777777" w:rsidR="00C661F1" w:rsidRDefault="00C87060" w:rsidP="000B5EF6">
      <w:pPr>
        <w:spacing w:after="0"/>
        <w:jc w:val="both"/>
        <w:rPr>
          <w:rFonts w:ascii="Verdana" w:hAnsi="Verdana"/>
          <w:sz w:val="20"/>
          <w:szCs w:val="20"/>
          <w:lang w:val="es-CR"/>
        </w:rPr>
      </w:pPr>
      <w:r w:rsidRPr="00EC2F24">
        <w:rPr>
          <w:rFonts w:ascii="Verdana" w:hAnsi="Verdana"/>
          <w:sz w:val="20"/>
          <w:szCs w:val="20"/>
          <w:lang w:val="es-CR"/>
        </w:rPr>
        <w:t xml:space="preserve">la Corte Interamericana de Derechos Humanos (en adelante “la Corte Interamericana”, “la Corte” o “este Tribunal”), integrada por los siguientes Jueces: </w:t>
      </w:r>
    </w:p>
    <w:p w14:paraId="4B1A4FD0" w14:textId="77777777" w:rsidR="00C661F1" w:rsidRDefault="00C661F1" w:rsidP="000B5EF6">
      <w:pPr>
        <w:spacing w:after="0"/>
        <w:jc w:val="both"/>
        <w:rPr>
          <w:rFonts w:ascii="Verdana" w:hAnsi="Verdana"/>
          <w:sz w:val="20"/>
          <w:szCs w:val="20"/>
          <w:lang w:val="es-CR"/>
        </w:rPr>
      </w:pPr>
    </w:p>
    <w:p w14:paraId="4B74BCF9" w14:textId="77777777" w:rsidR="00C661F1" w:rsidRPr="00841C2D" w:rsidRDefault="00C87060" w:rsidP="000B5EF6">
      <w:pPr>
        <w:spacing w:after="0"/>
        <w:jc w:val="both"/>
        <w:rPr>
          <w:rFonts w:ascii="Verdana" w:hAnsi="Verdana"/>
          <w:sz w:val="20"/>
          <w:szCs w:val="20"/>
          <w:lang w:val="pt-BR"/>
        </w:rPr>
      </w:pPr>
      <w:r w:rsidRPr="00841C2D">
        <w:rPr>
          <w:rFonts w:ascii="Verdana" w:hAnsi="Verdana"/>
          <w:sz w:val="20"/>
          <w:szCs w:val="20"/>
          <w:lang w:val="pt-BR"/>
        </w:rPr>
        <w:t xml:space="preserve">Eduardo Ferrer Mac-Gregor Poisot, Presidente; </w:t>
      </w:r>
    </w:p>
    <w:p w14:paraId="58827133" w14:textId="77777777" w:rsidR="00C661F1" w:rsidRPr="00841C2D" w:rsidRDefault="00C87060" w:rsidP="000B5EF6">
      <w:pPr>
        <w:spacing w:after="0"/>
        <w:jc w:val="both"/>
        <w:rPr>
          <w:rFonts w:ascii="Verdana" w:hAnsi="Verdana"/>
          <w:sz w:val="20"/>
          <w:szCs w:val="20"/>
          <w:lang w:val="pt-BR"/>
        </w:rPr>
      </w:pPr>
      <w:r w:rsidRPr="00841C2D">
        <w:rPr>
          <w:rFonts w:ascii="Verdana" w:hAnsi="Verdana"/>
          <w:sz w:val="20"/>
          <w:szCs w:val="20"/>
          <w:lang w:val="pt-BR"/>
        </w:rPr>
        <w:t xml:space="preserve">Eduardo Vio Grossi, </w:t>
      </w:r>
      <w:proofErr w:type="spellStart"/>
      <w:r w:rsidRPr="00841C2D">
        <w:rPr>
          <w:rFonts w:ascii="Verdana" w:hAnsi="Verdana"/>
          <w:sz w:val="20"/>
          <w:szCs w:val="20"/>
          <w:lang w:val="pt-BR"/>
        </w:rPr>
        <w:t>Juez</w:t>
      </w:r>
      <w:proofErr w:type="spellEnd"/>
      <w:r w:rsidRPr="00841C2D">
        <w:rPr>
          <w:rFonts w:ascii="Verdana" w:hAnsi="Verdana"/>
          <w:sz w:val="20"/>
          <w:szCs w:val="20"/>
          <w:lang w:val="pt-BR"/>
        </w:rPr>
        <w:t xml:space="preserve">, </w:t>
      </w:r>
      <w:proofErr w:type="spellStart"/>
      <w:r w:rsidRPr="00841C2D">
        <w:rPr>
          <w:rFonts w:ascii="Verdana" w:hAnsi="Verdana"/>
          <w:sz w:val="20"/>
          <w:szCs w:val="20"/>
          <w:lang w:val="pt-BR"/>
        </w:rPr>
        <w:t>Vicepresidente</w:t>
      </w:r>
      <w:proofErr w:type="spellEnd"/>
      <w:r w:rsidRPr="00841C2D">
        <w:rPr>
          <w:rFonts w:ascii="Verdana" w:hAnsi="Verdana"/>
          <w:sz w:val="20"/>
          <w:szCs w:val="20"/>
          <w:lang w:val="pt-BR"/>
        </w:rPr>
        <w:t xml:space="preserve">; </w:t>
      </w:r>
    </w:p>
    <w:p w14:paraId="1F3D9C14" w14:textId="77777777" w:rsidR="00C661F1" w:rsidRPr="00841C2D" w:rsidRDefault="00C87060" w:rsidP="000B5EF6">
      <w:pPr>
        <w:spacing w:after="0"/>
        <w:jc w:val="both"/>
        <w:rPr>
          <w:rFonts w:ascii="Verdana" w:hAnsi="Verdana"/>
          <w:sz w:val="20"/>
          <w:szCs w:val="20"/>
          <w:lang w:val="pt-BR"/>
        </w:rPr>
      </w:pPr>
      <w:r w:rsidRPr="00841C2D">
        <w:rPr>
          <w:rFonts w:ascii="Verdana" w:hAnsi="Verdana"/>
          <w:sz w:val="20"/>
          <w:szCs w:val="20"/>
          <w:lang w:val="pt-BR"/>
        </w:rPr>
        <w:t xml:space="preserve">Humberto </w:t>
      </w:r>
      <w:proofErr w:type="spellStart"/>
      <w:r w:rsidRPr="00841C2D">
        <w:rPr>
          <w:rFonts w:ascii="Verdana" w:hAnsi="Verdana"/>
          <w:sz w:val="20"/>
          <w:szCs w:val="20"/>
          <w:lang w:val="pt-BR"/>
        </w:rPr>
        <w:t>Antonio</w:t>
      </w:r>
      <w:proofErr w:type="spellEnd"/>
      <w:r w:rsidRPr="00841C2D">
        <w:rPr>
          <w:rFonts w:ascii="Verdana" w:hAnsi="Verdana"/>
          <w:sz w:val="20"/>
          <w:szCs w:val="20"/>
          <w:lang w:val="pt-BR"/>
        </w:rPr>
        <w:t xml:space="preserve"> </w:t>
      </w:r>
      <w:proofErr w:type="spellStart"/>
      <w:r w:rsidRPr="00841C2D">
        <w:rPr>
          <w:rFonts w:ascii="Verdana" w:hAnsi="Verdana"/>
          <w:sz w:val="20"/>
          <w:szCs w:val="20"/>
          <w:lang w:val="pt-BR"/>
        </w:rPr>
        <w:t>Sierra</w:t>
      </w:r>
      <w:proofErr w:type="spellEnd"/>
      <w:r w:rsidRPr="00841C2D">
        <w:rPr>
          <w:rFonts w:ascii="Verdana" w:hAnsi="Verdana"/>
          <w:sz w:val="20"/>
          <w:szCs w:val="20"/>
          <w:lang w:val="pt-BR"/>
        </w:rPr>
        <w:t xml:space="preserve"> Porto, </w:t>
      </w:r>
      <w:proofErr w:type="spellStart"/>
      <w:r w:rsidRPr="00841C2D">
        <w:rPr>
          <w:rFonts w:ascii="Verdana" w:hAnsi="Verdana"/>
          <w:sz w:val="20"/>
          <w:szCs w:val="20"/>
          <w:lang w:val="pt-BR"/>
        </w:rPr>
        <w:t>Juez</w:t>
      </w:r>
      <w:proofErr w:type="spellEnd"/>
      <w:r w:rsidRPr="00841C2D">
        <w:rPr>
          <w:rFonts w:ascii="Verdana" w:hAnsi="Verdana"/>
          <w:sz w:val="20"/>
          <w:szCs w:val="20"/>
          <w:lang w:val="pt-BR"/>
        </w:rPr>
        <w:t xml:space="preserve">; </w:t>
      </w:r>
    </w:p>
    <w:p w14:paraId="199969FC" w14:textId="77777777" w:rsidR="00C661F1" w:rsidRPr="00841C2D" w:rsidRDefault="00C87060" w:rsidP="000B5EF6">
      <w:pPr>
        <w:spacing w:after="0"/>
        <w:jc w:val="both"/>
        <w:rPr>
          <w:rFonts w:ascii="Verdana" w:hAnsi="Verdana"/>
          <w:sz w:val="20"/>
          <w:szCs w:val="20"/>
          <w:lang w:val="pt-BR"/>
        </w:rPr>
      </w:pPr>
      <w:r w:rsidRPr="00841C2D">
        <w:rPr>
          <w:rFonts w:ascii="Verdana" w:hAnsi="Verdana"/>
          <w:sz w:val="20"/>
          <w:szCs w:val="20"/>
          <w:lang w:val="pt-BR"/>
        </w:rPr>
        <w:t xml:space="preserve">Elizabeth </w:t>
      </w:r>
      <w:proofErr w:type="spellStart"/>
      <w:r w:rsidRPr="00841C2D">
        <w:rPr>
          <w:rFonts w:ascii="Verdana" w:hAnsi="Verdana"/>
          <w:sz w:val="20"/>
          <w:szCs w:val="20"/>
          <w:lang w:val="pt-BR"/>
        </w:rPr>
        <w:t>Odio</w:t>
      </w:r>
      <w:proofErr w:type="spellEnd"/>
      <w:r w:rsidRPr="00841C2D">
        <w:rPr>
          <w:rFonts w:ascii="Verdana" w:hAnsi="Verdana"/>
          <w:sz w:val="20"/>
          <w:szCs w:val="20"/>
          <w:lang w:val="pt-BR"/>
        </w:rPr>
        <w:t xml:space="preserve"> Benito, </w:t>
      </w:r>
      <w:proofErr w:type="spellStart"/>
      <w:r w:rsidRPr="00841C2D">
        <w:rPr>
          <w:rFonts w:ascii="Verdana" w:hAnsi="Verdana"/>
          <w:sz w:val="20"/>
          <w:szCs w:val="20"/>
          <w:lang w:val="pt-BR"/>
        </w:rPr>
        <w:t>Jueza</w:t>
      </w:r>
      <w:proofErr w:type="spellEnd"/>
      <w:r w:rsidRPr="00841C2D">
        <w:rPr>
          <w:rFonts w:ascii="Verdana" w:hAnsi="Verdana"/>
          <w:sz w:val="20"/>
          <w:szCs w:val="20"/>
          <w:lang w:val="pt-BR"/>
        </w:rPr>
        <w:t xml:space="preserve">; </w:t>
      </w:r>
    </w:p>
    <w:p w14:paraId="2D839D4C" w14:textId="77777777" w:rsidR="00C661F1" w:rsidRPr="00841C2D" w:rsidRDefault="00C87060" w:rsidP="000B5EF6">
      <w:pPr>
        <w:spacing w:after="0"/>
        <w:jc w:val="both"/>
        <w:rPr>
          <w:rFonts w:ascii="Verdana" w:hAnsi="Verdana"/>
          <w:sz w:val="20"/>
          <w:szCs w:val="20"/>
          <w:lang w:val="pt-BR"/>
        </w:rPr>
      </w:pPr>
      <w:r w:rsidRPr="00841C2D">
        <w:rPr>
          <w:rFonts w:ascii="Verdana" w:hAnsi="Verdana"/>
          <w:sz w:val="20"/>
          <w:szCs w:val="20"/>
          <w:lang w:val="pt-BR"/>
        </w:rPr>
        <w:t xml:space="preserve">Patricio </w:t>
      </w:r>
      <w:proofErr w:type="spellStart"/>
      <w:r w:rsidRPr="00841C2D">
        <w:rPr>
          <w:rFonts w:ascii="Verdana" w:hAnsi="Verdana"/>
          <w:sz w:val="20"/>
          <w:szCs w:val="20"/>
          <w:lang w:val="pt-BR"/>
        </w:rPr>
        <w:t>Pazmiño</w:t>
      </w:r>
      <w:proofErr w:type="spellEnd"/>
      <w:r w:rsidRPr="00841C2D">
        <w:rPr>
          <w:rFonts w:ascii="Verdana" w:hAnsi="Verdana"/>
          <w:sz w:val="20"/>
          <w:szCs w:val="20"/>
          <w:lang w:val="pt-BR"/>
        </w:rPr>
        <w:t xml:space="preserve"> Freire, </w:t>
      </w:r>
      <w:proofErr w:type="spellStart"/>
      <w:r w:rsidRPr="00841C2D">
        <w:rPr>
          <w:rFonts w:ascii="Verdana" w:hAnsi="Verdana"/>
          <w:sz w:val="20"/>
          <w:szCs w:val="20"/>
          <w:lang w:val="pt-BR"/>
        </w:rPr>
        <w:t>Juez</w:t>
      </w:r>
      <w:proofErr w:type="spellEnd"/>
      <w:r w:rsidR="00C661F1" w:rsidRPr="00841C2D">
        <w:rPr>
          <w:rFonts w:ascii="Verdana" w:hAnsi="Verdana"/>
          <w:sz w:val="20"/>
          <w:szCs w:val="20"/>
          <w:lang w:val="pt-BR"/>
        </w:rPr>
        <w:t>, y</w:t>
      </w:r>
    </w:p>
    <w:p w14:paraId="2D3641A8" w14:textId="77777777" w:rsidR="00C87060" w:rsidRPr="00841C2D" w:rsidRDefault="00C87060" w:rsidP="000B5EF6">
      <w:pPr>
        <w:spacing w:after="0"/>
        <w:jc w:val="both"/>
        <w:rPr>
          <w:rFonts w:ascii="Verdana" w:hAnsi="Verdana"/>
          <w:sz w:val="20"/>
          <w:szCs w:val="20"/>
          <w:lang w:val="pt-BR"/>
        </w:rPr>
      </w:pPr>
      <w:r w:rsidRPr="00841C2D">
        <w:rPr>
          <w:rFonts w:ascii="Verdana" w:hAnsi="Verdana"/>
          <w:sz w:val="20"/>
          <w:szCs w:val="20"/>
          <w:lang w:val="pt-BR"/>
        </w:rPr>
        <w:t xml:space="preserve">Ricardo Pérez Manrique, </w:t>
      </w:r>
      <w:proofErr w:type="spellStart"/>
      <w:r w:rsidRPr="00841C2D">
        <w:rPr>
          <w:rFonts w:ascii="Verdana" w:hAnsi="Verdana"/>
          <w:sz w:val="20"/>
          <w:szCs w:val="20"/>
          <w:lang w:val="pt-BR"/>
        </w:rPr>
        <w:t>Juez</w:t>
      </w:r>
      <w:proofErr w:type="spellEnd"/>
      <w:r w:rsidRPr="00841C2D">
        <w:rPr>
          <w:rFonts w:ascii="Verdana" w:hAnsi="Verdana"/>
          <w:sz w:val="20"/>
          <w:szCs w:val="20"/>
          <w:lang w:val="pt-BR"/>
        </w:rPr>
        <w:t>.</w:t>
      </w:r>
    </w:p>
    <w:p w14:paraId="158183BB" w14:textId="77777777" w:rsidR="00C87060" w:rsidRPr="00841C2D" w:rsidRDefault="00C87060" w:rsidP="000B5EF6">
      <w:pPr>
        <w:spacing w:after="0"/>
        <w:jc w:val="both"/>
        <w:rPr>
          <w:rFonts w:ascii="Verdana" w:hAnsi="Verdana"/>
          <w:sz w:val="20"/>
          <w:szCs w:val="20"/>
          <w:lang w:val="pt-BR"/>
        </w:rPr>
      </w:pPr>
    </w:p>
    <w:p w14:paraId="24A74B2B" w14:textId="743C218B" w:rsidR="00C87060" w:rsidRPr="00EC2F24" w:rsidRDefault="00C87060" w:rsidP="000B5EF6">
      <w:pPr>
        <w:spacing w:after="0"/>
        <w:jc w:val="both"/>
        <w:rPr>
          <w:rFonts w:ascii="Verdana" w:hAnsi="Verdana"/>
          <w:sz w:val="20"/>
          <w:szCs w:val="20"/>
          <w:lang w:val="es-CR"/>
        </w:rPr>
      </w:pPr>
      <w:r w:rsidRPr="00EC2F24">
        <w:rPr>
          <w:rFonts w:ascii="Verdana" w:hAnsi="Verdana"/>
          <w:sz w:val="20"/>
          <w:szCs w:val="20"/>
          <w:lang w:val="es-CR"/>
        </w:rPr>
        <w:t xml:space="preserve">Presente además, </w:t>
      </w:r>
    </w:p>
    <w:p w14:paraId="40FB66DF" w14:textId="77777777" w:rsidR="00C87060" w:rsidRDefault="00C87060" w:rsidP="000B5EF6">
      <w:pPr>
        <w:spacing w:after="0"/>
        <w:jc w:val="both"/>
        <w:rPr>
          <w:rFonts w:ascii="Verdana" w:hAnsi="Verdana"/>
          <w:sz w:val="20"/>
          <w:szCs w:val="20"/>
          <w:lang w:val="es-CR"/>
        </w:rPr>
      </w:pPr>
      <w:r w:rsidRPr="00EC2F24">
        <w:rPr>
          <w:rFonts w:ascii="Verdana" w:hAnsi="Verdana"/>
          <w:sz w:val="20"/>
          <w:szCs w:val="20"/>
          <w:lang w:val="es-CR"/>
        </w:rPr>
        <w:t>Pablo Saavedra Alessandri, Secretario.</w:t>
      </w:r>
    </w:p>
    <w:p w14:paraId="07A63FF9" w14:textId="77777777" w:rsidR="000B5EF6" w:rsidRPr="00EC2F24" w:rsidRDefault="000B5EF6" w:rsidP="000B5EF6">
      <w:pPr>
        <w:spacing w:after="0"/>
        <w:jc w:val="both"/>
        <w:rPr>
          <w:rFonts w:ascii="Verdana" w:hAnsi="Verdana"/>
          <w:sz w:val="20"/>
          <w:szCs w:val="20"/>
          <w:lang w:val="es-CR"/>
        </w:rPr>
      </w:pPr>
    </w:p>
    <w:p w14:paraId="0FF0E776" w14:textId="77777777" w:rsidR="00C87060" w:rsidRPr="00EC2F24" w:rsidRDefault="00C87060" w:rsidP="000B5EF6">
      <w:pPr>
        <w:spacing w:after="0"/>
        <w:jc w:val="both"/>
        <w:rPr>
          <w:rFonts w:ascii="Verdana" w:hAnsi="Verdana"/>
          <w:sz w:val="20"/>
          <w:szCs w:val="20"/>
          <w:lang w:val="es-CR"/>
        </w:rPr>
      </w:pPr>
      <w:r w:rsidRPr="00EC2F24">
        <w:rPr>
          <w:rFonts w:ascii="Verdana" w:hAnsi="Verdana"/>
          <w:sz w:val="20"/>
          <w:szCs w:val="20"/>
          <w:lang w:val="es-CR"/>
        </w:rPr>
        <w:t>De conformidad con los artículos 62.3 y 63.1 de la Convención Americana sobre Derechos Humanos (en adelante también “la Convención Americana” o “la Convención”) y con los artículos 31, 32, 65 y 67 del Reglamento de la Corte Interamericana (en adelante también “Reglamento de la Corte” o “el Reglamento”), dicta la presente Sentencia que se estructura en el siguiente orden:</w:t>
      </w:r>
    </w:p>
    <w:p w14:paraId="27EC4F98" w14:textId="77777777" w:rsidR="00C87060" w:rsidRPr="00EC2F24" w:rsidRDefault="00C87060" w:rsidP="00EC2F24">
      <w:pPr>
        <w:spacing w:after="0" w:line="240" w:lineRule="auto"/>
        <w:jc w:val="both"/>
        <w:rPr>
          <w:rFonts w:ascii="Verdana" w:hAnsi="Verdana"/>
          <w:sz w:val="20"/>
          <w:szCs w:val="20"/>
          <w:lang w:val="es-CR"/>
        </w:rPr>
      </w:pPr>
    </w:p>
    <w:p w14:paraId="2FB636C3" w14:textId="77777777" w:rsidR="00C87060" w:rsidRPr="00EC2F24" w:rsidRDefault="00C87060" w:rsidP="00EC2F24">
      <w:pPr>
        <w:spacing w:after="0" w:line="240" w:lineRule="auto"/>
        <w:jc w:val="both"/>
        <w:rPr>
          <w:rFonts w:ascii="Verdana" w:hAnsi="Verdana"/>
          <w:sz w:val="20"/>
          <w:szCs w:val="20"/>
          <w:lang w:val="es-CR"/>
        </w:rPr>
      </w:pPr>
    </w:p>
    <w:p w14:paraId="7C5FA7AF" w14:textId="77777777" w:rsidR="00C87060" w:rsidRPr="00EC2F24" w:rsidRDefault="00C87060" w:rsidP="00EC2F24">
      <w:pPr>
        <w:spacing w:after="0" w:line="240" w:lineRule="auto"/>
        <w:jc w:val="both"/>
        <w:rPr>
          <w:rFonts w:ascii="Verdana" w:hAnsi="Verdana"/>
          <w:sz w:val="20"/>
          <w:szCs w:val="20"/>
          <w:lang w:val="es-CR"/>
        </w:rPr>
      </w:pPr>
    </w:p>
    <w:p w14:paraId="7CB0E466" w14:textId="77777777" w:rsidR="00C87060" w:rsidRPr="00EC2F24" w:rsidRDefault="00C87060" w:rsidP="00EC2F24">
      <w:pPr>
        <w:spacing w:after="0" w:line="240" w:lineRule="auto"/>
        <w:jc w:val="both"/>
        <w:rPr>
          <w:rFonts w:ascii="Verdana" w:hAnsi="Verdana"/>
          <w:sz w:val="20"/>
          <w:szCs w:val="20"/>
          <w:lang w:val="es-CR"/>
        </w:rPr>
      </w:pPr>
    </w:p>
    <w:p w14:paraId="293718C3" w14:textId="77777777" w:rsidR="00C87060" w:rsidRPr="00EC2F24" w:rsidRDefault="00C87060" w:rsidP="00EC2F24">
      <w:pPr>
        <w:spacing w:after="0" w:line="240" w:lineRule="auto"/>
        <w:jc w:val="both"/>
        <w:rPr>
          <w:rFonts w:ascii="Verdana" w:hAnsi="Verdana"/>
          <w:sz w:val="20"/>
          <w:szCs w:val="20"/>
          <w:lang w:val="es-CR"/>
        </w:rPr>
      </w:pPr>
    </w:p>
    <w:p w14:paraId="41BDC67C" w14:textId="77777777" w:rsidR="000B5EF6" w:rsidRDefault="000B5EF6" w:rsidP="00EC2F24">
      <w:pPr>
        <w:spacing w:after="0" w:line="240" w:lineRule="auto"/>
        <w:jc w:val="both"/>
        <w:rPr>
          <w:rFonts w:ascii="Verdana" w:hAnsi="Verdana"/>
          <w:sz w:val="20"/>
          <w:szCs w:val="20"/>
          <w:lang w:val="es-CR"/>
        </w:rPr>
      </w:pPr>
    </w:p>
    <w:p w14:paraId="28744E20" w14:textId="77777777" w:rsidR="000B5EF6" w:rsidRDefault="000B5EF6" w:rsidP="00EC2F24">
      <w:pPr>
        <w:spacing w:after="0" w:line="240" w:lineRule="auto"/>
        <w:jc w:val="both"/>
        <w:rPr>
          <w:rFonts w:ascii="Verdana" w:hAnsi="Verdana"/>
          <w:sz w:val="20"/>
          <w:szCs w:val="20"/>
          <w:lang w:val="es-CR"/>
        </w:rPr>
      </w:pPr>
    </w:p>
    <w:p w14:paraId="10E5FB9E" w14:textId="77777777" w:rsidR="000B5EF6" w:rsidRDefault="000B5EF6" w:rsidP="00EC2F24">
      <w:pPr>
        <w:spacing w:after="0" w:line="240" w:lineRule="auto"/>
        <w:jc w:val="both"/>
        <w:rPr>
          <w:rFonts w:ascii="Verdana" w:hAnsi="Verdana"/>
          <w:sz w:val="20"/>
          <w:szCs w:val="20"/>
          <w:lang w:val="es-CR"/>
        </w:rPr>
      </w:pPr>
    </w:p>
    <w:p w14:paraId="61F295A4" w14:textId="77777777" w:rsidR="000B5EF6" w:rsidRDefault="000B5EF6" w:rsidP="00EC2F24">
      <w:pPr>
        <w:spacing w:after="0" w:line="240" w:lineRule="auto"/>
        <w:jc w:val="both"/>
        <w:rPr>
          <w:rFonts w:ascii="Verdana" w:hAnsi="Verdana"/>
          <w:sz w:val="20"/>
          <w:szCs w:val="20"/>
          <w:lang w:val="es-CR"/>
        </w:rPr>
      </w:pPr>
    </w:p>
    <w:p w14:paraId="3263AC17" w14:textId="77777777" w:rsidR="000B5EF6" w:rsidRDefault="000B5EF6" w:rsidP="00EC2F24">
      <w:pPr>
        <w:spacing w:after="0" w:line="240" w:lineRule="auto"/>
        <w:jc w:val="both"/>
        <w:rPr>
          <w:rFonts w:ascii="Verdana" w:hAnsi="Verdana"/>
          <w:sz w:val="20"/>
          <w:szCs w:val="20"/>
          <w:lang w:val="es-CR"/>
        </w:rPr>
      </w:pPr>
    </w:p>
    <w:p w14:paraId="34CDBD55" w14:textId="77777777" w:rsidR="000B5EF6" w:rsidRDefault="000B5EF6" w:rsidP="00EC2F24">
      <w:pPr>
        <w:spacing w:after="0" w:line="240" w:lineRule="auto"/>
        <w:jc w:val="both"/>
        <w:rPr>
          <w:rFonts w:ascii="Verdana" w:hAnsi="Verdana"/>
          <w:sz w:val="20"/>
          <w:szCs w:val="20"/>
          <w:lang w:val="es-CR"/>
        </w:rPr>
      </w:pPr>
    </w:p>
    <w:p w14:paraId="53E52A96" w14:textId="77777777" w:rsidR="00C87060" w:rsidRDefault="00C87060" w:rsidP="00EC2F24">
      <w:pPr>
        <w:spacing w:after="0" w:line="240" w:lineRule="auto"/>
        <w:jc w:val="both"/>
        <w:rPr>
          <w:rFonts w:ascii="Verdana" w:hAnsi="Verdana"/>
          <w:sz w:val="20"/>
          <w:szCs w:val="20"/>
          <w:lang w:val="es-CR"/>
        </w:rPr>
      </w:pPr>
    </w:p>
    <w:p w14:paraId="199FABFD" w14:textId="77777777" w:rsidR="00DF5CC8" w:rsidRDefault="00DF5CC8" w:rsidP="00EC2F24">
      <w:pPr>
        <w:spacing w:after="0" w:line="240" w:lineRule="auto"/>
        <w:jc w:val="both"/>
        <w:rPr>
          <w:rFonts w:ascii="Verdana" w:hAnsi="Verdana"/>
          <w:sz w:val="20"/>
          <w:szCs w:val="20"/>
          <w:lang w:val="es-CR"/>
        </w:rPr>
      </w:pPr>
    </w:p>
    <w:p w14:paraId="1D95C72E" w14:textId="77777777" w:rsidR="00DF5CC8" w:rsidRDefault="00DF5CC8" w:rsidP="00EC2F24">
      <w:pPr>
        <w:spacing w:after="0" w:line="240" w:lineRule="auto"/>
        <w:jc w:val="both"/>
        <w:rPr>
          <w:rFonts w:ascii="Verdana" w:hAnsi="Verdana"/>
          <w:sz w:val="20"/>
          <w:szCs w:val="20"/>
          <w:lang w:val="es-CR"/>
        </w:rPr>
      </w:pPr>
    </w:p>
    <w:p w14:paraId="1606E104" w14:textId="77777777" w:rsidR="002A55B5" w:rsidRDefault="002A55B5" w:rsidP="00EC2F24">
      <w:pPr>
        <w:spacing w:after="0" w:line="240" w:lineRule="auto"/>
        <w:jc w:val="both"/>
        <w:rPr>
          <w:rFonts w:ascii="Verdana" w:hAnsi="Verdana"/>
          <w:sz w:val="20"/>
          <w:szCs w:val="20"/>
          <w:lang w:val="es-CR"/>
        </w:rPr>
      </w:pPr>
    </w:p>
    <w:p w14:paraId="20F31DDD" w14:textId="77777777" w:rsidR="002A55B5" w:rsidRDefault="002A55B5" w:rsidP="00EC2F24">
      <w:pPr>
        <w:spacing w:after="0" w:line="240" w:lineRule="auto"/>
        <w:jc w:val="both"/>
        <w:rPr>
          <w:rFonts w:ascii="Verdana" w:hAnsi="Verdana"/>
          <w:sz w:val="20"/>
          <w:szCs w:val="20"/>
          <w:lang w:val="es-CR"/>
        </w:rPr>
      </w:pPr>
    </w:p>
    <w:p w14:paraId="29CD5EBC" w14:textId="77777777" w:rsidR="00037F7F" w:rsidRPr="00EC2F24" w:rsidRDefault="00037F7F" w:rsidP="00EC2F24">
      <w:pPr>
        <w:spacing w:after="0" w:line="240" w:lineRule="auto"/>
        <w:jc w:val="both"/>
        <w:rPr>
          <w:rFonts w:ascii="Verdana" w:hAnsi="Verdana"/>
          <w:sz w:val="20"/>
          <w:szCs w:val="20"/>
          <w:lang w:val="es-CR"/>
        </w:rPr>
      </w:pPr>
    </w:p>
    <w:p w14:paraId="46B815A8" w14:textId="77777777" w:rsidR="00C87060" w:rsidRPr="000C452A" w:rsidRDefault="00261746" w:rsidP="00261746">
      <w:pPr>
        <w:tabs>
          <w:tab w:val="center" w:pos="4709"/>
          <w:tab w:val="left" w:pos="8044"/>
        </w:tabs>
        <w:spacing w:after="0" w:line="240" w:lineRule="auto"/>
        <w:rPr>
          <w:rFonts w:ascii="Verdana" w:hAnsi="Verdana"/>
          <w:b/>
          <w:sz w:val="18"/>
          <w:szCs w:val="18"/>
          <w:lang w:val="es-CR"/>
        </w:rPr>
      </w:pPr>
      <w:r>
        <w:rPr>
          <w:rFonts w:ascii="Verdana" w:hAnsi="Verdana"/>
          <w:b/>
          <w:sz w:val="20"/>
          <w:szCs w:val="20"/>
          <w:lang w:val="es-CR"/>
        </w:rPr>
        <w:lastRenderedPageBreak/>
        <w:tab/>
      </w:r>
      <w:r w:rsidR="005406CA" w:rsidRPr="000C452A">
        <w:rPr>
          <w:rFonts w:ascii="Verdana" w:hAnsi="Verdana"/>
          <w:b/>
          <w:sz w:val="18"/>
          <w:szCs w:val="18"/>
          <w:lang w:val="es-CR"/>
        </w:rPr>
        <w:t>Tabla de contenido</w:t>
      </w:r>
      <w:r w:rsidRPr="000C452A">
        <w:rPr>
          <w:rFonts w:ascii="Verdana" w:hAnsi="Verdana"/>
          <w:b/>
          <w:sz w:val="18"/>
          <w:szCs w:val="18"/>
          <w:lang w:val="es-CR"/>
        </w:rPr>
        <w:tab/>
      </w:r>
    </w:p>
    <w:p w14:paraId="1F23B330" w14:textId="77777777" w:rsidR="005406CA" w:rsidRPr="00C735D0" w:rsidRDefault="005406CA" w:rsidP="00C735D0">
      <w:pPr>
        <w:spacing w:after="0" w:line="240" w:lineRule="auto"/>
        <w:jc w:val="center"/>
        <w:rPr>
          <w:rFonts w:ascii="Verdana" w:hAnsi="Verdana"/>
          <w:b/>
          <w:sz w:val="17"/>
          <w:szCs w:val="17"/>
          <w:lang w:val="es-CR"/>
        </w:rPr>
      </w:pPr>
    </w:p>
    <w:p w14:paraId="728E5262" w14:textId="637C0462" w:rsidR="00C735D0" w:rsidRPr="006B1E79" w:rsidRDefault="005406CA" w:rsidP="00C735D0">
      <w:pPr>
        <w:pStyle w:val="TDC1"/>
        <w:tabs>
          <w:tab w:val="right" w:leader="dot" w:pos="9408"/>
        </w:tabs>
        <w:spacing w:before="0" w:after="0"/>
        <w:rPr>
          <w:rFonts w:ascii="Verdana" w:eastAsiaTheme="minorEastAsia" w:hAnsi="Verdana" w:cstheme="minorBidi"/>
          <w:b w:val="0"/>
          <w:bCs w:val="0"/>
          <w:caps w:val="0"/>
          <w:noProof/>
          <w:sz w:val="18"/>
          <w:szCs w:val="18"/>
          <w:lang w:val="en-US"/>
        </w:rPr>
      </w:pPr>
      <w:r w:rsidRPr="006B1E79">
        <w:rPr>
          <w:rFonts w:ascii="Verdana" w:hAnsi="Verdana"/>
          <w:sz w:val="18"/>
          <w:szCs w:val="18"/>
          <w:lang w:val="es-CR"/>
        </w:rPr>
        <w:fldChar w:fldCharType="begin"/>
      </w:r>
      <w:r w:rsidRPr="006B1E79">
        <w:rPr>
          <w:rFonts w:ascii="Verdana" w:hAnsi="Verdana"/>
          <w:sz w:val="18"/>
          <w:szCs w:val="18"/>
          <w:lang w:val="es-CR"/>
        </w:rPr>
        <w:instrText xml:space="preserve"> TOC \o "1-4" \h \z \u </w:instrText>
      </w:r>
      <w:r w:rsidRPr="006B1E79">
        <w:rPr>
          <w:rFonts w:ascii="Verdana" w:hAnsi="Verdana"/>
          <w:sz w:val="18"/>
          <w:szCs w:val="18"/>
          <w:lang w:val="es-CR"/>
        </w:rPr>
        <w:fldChar w:fldCharType="separate"/>
      </w:r>
      <w:hyperlink w:anchor="_Toc25247716" w:history="1">
        <w:r w:rsidR="00C735D0" w:rsidRPr="006B1E79">
          <w:rPr>
            <w:rStyle w:val="Hipervnculo"/>
            <w:rFonts w:ascii="Verdana" w:hAnsi="Verdana"/>
            <w:noProof/>
            <w:sz w:val="18"/>
            <w:szCs w:val="18"/>
          </w:rPr>
          <w:t>I  INTRODUCCIÓN A LA CAUSA Y OBJETO DE LA CONTROVERSIA</w:t>
        </w:r>
        <w:r w:rsidR="00C735D0" w:rsidRPr="006B1E79">
          <w:rPr>
            <w:rFonts w:ascii="Verdana" w:hAnsi="Verdana"/>
            <w:noProof/>
            <w:webHidden/>
            <w:sz w:val="18"/>
            <w:szCs w:val="18"/>
          </w:rPr>
          <w:tab/>
        </w:r>
        <w:r w:rsidR="00C735D0" w:rsidRPr="006B1E79">
          <w:rPr>
            <w:rFonts w:ascii="Verdana" w:hAnsi="Verdana"/>
            <w:noProof/>
            <w:webHidden/>
            <w:sz w:val="18"/>
            <w:szCs w:val="18"/>
          </w:rPr>
          <w:fldChar w:fldCharType="begin"/>
        </w:r>
        <w:r w:rsidR="00C735D0" w:rsidRPr="006B1E79">
          <w:rPr>
            <w:rFonts w:ascii="Verdana" w:hAnsi="Verdana"/>
            <w:noProof/>
            <w:webHidden/>
            <w:sz w:val="18"/>
            <w:szCs w:val="18"/>
          </w:rPr>
          <w:instrText xml:space="preserve"> PAGEREF _Toc25247716 \h </w:instrText>
        </w:r>
        <w:r w:rsidR="00C735D0" w:rsidRPr="006B1E79">
          <w:rPr>
            <w:rFonts w:ascii="Verdana" w:hAnsi="Verdana"/>
            <w:noProof/>
            <w:webHidden/>
            <w:sz w:val="18"/>
            <w:szCs w:val="18"/>
          </w:rPr>
        </w:r>
        <w:r w:rsidR="00C735D0" w:rsidRPr="006B1E79">
          <w:rPr>
            <w:rFonts w:ascii="Verdana" w:hAnsi="Verdana"/>
            <w:noProof/>
            <w:webHidden/>
            <w:sz w:val="18"/>
            <w:szCs w:val="18"/>
          </w:rPr>
          <w:fldChar w:fldCharType="separate"/>
        </w:r>
        <w:r w:rsidR="00990216">
          <w:rPr>
            <w:rFonts w:ascii="Verdana" w:hAnsi="Verdana"/>
            <w:noProof/>
            <w:webHidden/>
            <w:sz w:val="18"/>
            <w:szCs w:val="18"/>
          </w:rPr>
          <w:t>4</w:t>
        </w:r>
        <w:r w:rsidR="00C735D0" w:rsidRPr="006B1E79">
          <w:rPr>
            <w:rFonts w:ascii="Verdana" w:hAnsi="Verdana"/>
            <w:noProof/>
            <w:webHidden/>
            <w:sz w:val="18"/>
            <w:szCs w:val="18"/>
          </w:rPr>
          <w:fldChar w:fldCharType="end"/>
        </w:r>
      </w:hyperlink>
    </w:p>
    <w:p w14:paraId="58FB7023" w14:textId="05B0D825" w:rsidR="00C735D0" w:rsidRPr="006B1E79" w:rsidRDefault="00990216" w:rsidP="00C735D0">
      <w:pPr>
        <w:pStyle w:val="TDC1"/>
        <w:tabs>
          <w:tab w:val="right" w:leader="dot" w:pos="9408"/>
        </w:tabs>
        <w:spacing w:before="0" w:after="0"/>
        <w:rPr>
          <w:rFonts w:ascii="Verdana" w:eastAsiaTheme="minorEastAsia" w:hAnsi="Verdana" w:cstheme="minorBidi"/>
          <w:b w:val="0"/>
          <w:bCs w:val="0"/>
          <w:caps w:val="0"/>
          <w:noProof/>
          <w:sz w:val="18"/>
          <w:szCs w:val="18"/>
          <w:lang w:val="en-US"/>
        </w:rPr>
      </w:pPr>
      <w:hyperlink w:anchor="_Toc25247717" w:history="1">
        <w:r w:rsidR="00C735D0" w:rsidRPr="006B1E79">
          <w:rPr>
            <w:rStyle w:val="Hipervnculo"/>
            <w:rFonts w:ascii="Verdana" w:hAnsi="Verdana"/>
            <w:noProof/>
            <w:sz w:val="18"/>
            <w:szCs w:val="18"/>
          </w:rPr>
          <w:t>II  PROCEDIMIENTO ANTE LA CORTE</w:t>
        </w:r>
        <w:r w:rsidR="00C735D0" w:rsidRPr="006B1E79">
          <w:rPr>
            <w:rFonts w:ascii="Verdana" w:hAnsi="Verdana"/>
            <w:noProof/>
            <w:webHidden/>
            <w:sz w:val="18"/>
            <w:szCs w:val="18"/>
          </w:rPr>
          <w:tab/>
        </w:r>
        <w:r w:rsidR="00C735D0" w:rsidRPr="006B1E79">
          <w:rPr>
            <w:rFonts w:ascii="Verdana" w:hAnsi="Verdana"/>
            <w:noProof/>
            <w:webHidden/>
            <w:sz w:val="18"/>
            <w:szCs w:val="18"/>
          </w:rPr>
          <w:fldChar w:fldCharType="begin"/>
        </w:r>
        <w:r w:rsidR="00C735D0" w:rsidRPr="006B1E79">
          <w:rPr>
            <w:rFonts w:ascii="Verdana" w:hAnsi="Verdana"/>
            <w:noProof/>
            <w:webHidden/>
            <w:sz w:val="18"/>
            <w:szCs w:val="18"/>
          </w:rPr>
          <w:instrText xml:space="preserve"> PAGEREF _Toc25247717 \h </w:instrText>
        </w:r>
        <w:r w:rsidR="00C735D0" w:rsidRPr="006B1E79">
          <w:rPr>
            <w:rFonts w:ascii="Verdana" w:hAnsi="Verdana"/>
            <w:noProof/>
            <w:webHidden/>
            <w:sz w:val="18"/>
            <w:szCs w:val="18"/>
          </w:rPr>
        </w:r>
        <w:r w:rsidR="00C735D0" w:rsidRPr="006B1E79">
          <w:rPr>
            <w:rFonts w:ascii="Verdana" w:hAnsi="Verdana"/>
            <w:noProof/>
            <w:webHidden/>
            <w:sz w:val="18"/>
            <w:szCs w:val="18"/>
          </w:rPr>
          <w:fldChar w:fldCharType="separate"/>
        </w:r>
        <w:r>
          <w:rPr>
            <w:rFonts w:ascii="Verdana" w:hAnsi="Verdana"/>
            <w:noProof/>
            <w:webHidden/>
            <w:sz w:val="18"/>
            <w:szCs w:val="18"/>
          </w:rPr>
          <w:t>5</w:t>
        </w:r>
        <w:r w:rsidR="00C735D0" w:rsidRPr="006B1E79">
          <w:rPr>
            <w:rFonts w:ascii="Verdana" w:hAnsi="Verdana"/>
            <w:noProof/>
            <w:webHidden/>
            <w:sz w:val="18"/>
            <w:szCs w:val="18"/>
          </w:rPr>
          <w:fldChar w:fldCharType="end"/>
        </w:r>
      </w:hyperlink>
    </w:p>
    <w:p w14:paraId="4109D657" w14:textId="53567E10" w:rsidR="00C735D0" w:rsidRPr="006B1E79" w:rsidRDefault="00990216" w:rsidP="00C735D0">
      <w:pPr>
        <w:pStyle w:val="TDC1"/>
        <w:tabs>
          <w:tab w:val="right" w:leader="dot" w:pos="9408"/>
        </w:tabs>
        <w:spacing w:before="0" w:after="0"/>
        <w:rPr>
          <w:rFonts w:ascii="Verdana" w:eastAsiaTheme="minorEastAsia" w:hAnsi="Verdana" w:cstheme="minorBidi"/>
          <w:b w:val="0"/>
          <w:bCs w:val="0"/>
          <w:caps w:val="0"/>
          <w:noProof/>
          <w:sz w:val="18"/>
          <w:szCs w:val="18"/>
          <w:lang w:val="en-US"/>
        </w:rPr>
      </w:pPr>
      <w:hyperlink w:anchor="_Toc25247718" w:history="1">
        <w:r w:rsidR="00C735D0" w:rsidRPr="006B1E79">
          <w:rPr>
            <w:rStyle w:val="Hipervnculo"/>
            <w:rFonts w:ascii="Verdana" w:hAnsi="Verdana"/>
            <w:noProof/>
            <w:sz w:val="18"/>
            <w:szCs w:val="18"/>
          </w:rPr>
          <w:t>III  COMPETENCIA</w:t>
        </w:r>
        <w:r w:rsidR="00C735D0" w:rsidRPr="006B1E79">
          <w:rPr>
            <w:rFonts w:ascii="Verdana" w:hAnsi="Verdana"/>
            <w:noProof/>
            <w:webHidden/>
            <w:sz w:val="18"/>
            <w:szCs w:val="18"/>
          </w:rPr>
          <w:tab/>
        </w:r>
        <w:r w:rsidR="00C735D0" w:rsidRPr="006B1E79">
          <w:rPr>
            <w:rFonts w:ascii="Verdana" w:hAnsi="Verdana"/>
            <w:noProof/>
            <w:webHidden/>
            <w:sz w:val="18"/>
            <w:szCs w:val="18"/>
          </w:rPr>
          <w:fldChar w:fldCharType="begin"/>
        </w:r>
        <w:r w:rsidR="00C735D0" w:rsidRPr="006B1E79">
          <w:rPr>
            <w:rFonts w:ascii="Verdana" w:hAnsi="Verdana"/>
            <w:noProof/>
            <w:webHidden/>
            <w:sz w:val="18"/>
            <w:szCs w:val="18"/>
          </w:rPr>
          <w:instrText xml:space="preserve"> PAGEREF _Toc25247718 \h </w:instrText>
        </w:r>
        <w:r w:rsidR="00C735D0" w:rsidRPr="006B1E79">
          <w:rPr>
            <w:rFonts w:ascii="Verdana" w:hAnsi="Verdana"/>
            <w:noProof/>
            <w:webHidden/>
            <w:sz w:val="18"/>
            <w:szCs w:val="18"/>
          </w:rPr>
        </w:r>
        <w:r w:rsidR="00C735D0" w:rsidRPr="006B1E79">
          <w:rPr>
            <w:rFonts w:ascii="Verdana" w:hAnsi="Verdana"/>
            <w:noProof/>
            <w:webHidden/>
            <w:sz w:val="18"/>
            <w:szCs w:val="18"/>
          </w:rPr>
          <w:fldChar w:fldCharType="separate"/>
        </w:r>
        <w:r>
          <w:rPr>
            <w:rFonts w:ascii="Verdana" w:hAnsi="Verdana"/>
            <w:noProof/>
            <w:webHidden/>
            <w:sz w:val="18"/>
            <w:szCs w:val="18"/>
          </w:rPr>
          <w:t>7</w:t>
        </w:r>
        <w:r w:rsidR="00C735D0" w:rsidRPr="006B1E79">
          <w:rPr>
            <w:rFonts w:ascii="Verdana" w:hAnsi="Verdana"/>
            <w:noProof/>
            <w:webHidden/>
            <w:sz w:val="18"/>
            <w:szCs w:val="18"/>
          </w:rPr>
          <w:fldChar w:fldCharType="end"/>
        </w:r>
      </w:hyperlink>
    </w:p>
    <w:p w14:paraId="3170A977" w14:textId="7F99A218" w:rsidR="00C735D0" w:rsidRPr="006B1E79" w:rsidRDefault="00990216" w:rsidP="00C735D0">
      <w:pPr>
        <w:pStyle w:val="TDC1"/>
        <w:tabs>
          <w:tab w:val="right" w:leader="dot" w:pos="9408"/>
        </w:tabs>
        <w:spacing w:before="0" w:after="0"/>
        <w:rPr>
          <w:rFonts w:ascii="Verdana" w:eastAsiaTheme="minorEastAsia" w:hAnsi="Verdana" w:cstheme="minorBidi"/>
          <w:b w:val="0"/>
          <w:bCs w:val="0"/>
          <w:caps w:val="0"/>
          <w:noProof/>
          <w:sz w:val="18"/>
          <w:szCs w:val="18"/>
          <w:lang w:val="en-US"/>
        </w:rPr>
      </w:pPr>
      <w:hyperlink w:anchor="_Toc25247719" w:history="1">
        <w:r w:rsidR="00C735D0" w:rsidRPr="006B1E79">
          <w:rPr>
            <w:rStyle w:val="Hipervnculo"/>
            <w:rFonts w:ascii="Verdana" w:eastAsia="Verdana" w:hAnsi="Verdana"/>
            <w:noProof/>
            <w:sz w:val="18"/>
            <w:szCs w:val="18"/>
          </w:rPr>
          <w:t>IV RECONOCIMIENTO PARCIAL DE RESPONSABILIDAD</w:t>
        </w:r>
        <w:r w:rsidR="00C735D0" w:rsidRPr="006B1E79">
          <w:rPr>
            <w:rFonts w:ascii="Verdana" w:hAnsi="Verdana"/>
            <w:noProof/>
            <w:webHidden/>
            <w:sz w:val="18"/>
            <w:szCs w:val="18"/>
          </w:rPr>
          <w:tab/>
        </w:r>
        <w:r w:rsidR="00C735D0" w:rsidRPr="006B1E79">
          <w:rPr>
            <w:rFonts w:ascii="Verdana" w:hAnsi="Verdana"/>
            <w:noProof/>
            <w:webHidden/>
            <w:sz w:val="18"/>
            <w:szCs w:val="18"/>
          </w:rPr>
          <w:fldChar w:fldCharType="begin"/>
        </w:r>
        <w:r w:rsidR="00C735D0" w:rsidRPr="006B1E79">
          <w:rPr>
            <w:rFonts w:ascii="Verdana" w:hAnsi="Verdana"/>
            <w:noProof/>
            <w:webHidden/>
            <w:sz w:val="18"/>
            <w:szCs w:val="18"/>
          </w:rPr>
          <w:instrText xml:space="preserve"> PAGEREF _Toc25247719 \h </w:instrText>
        </w:r>
        <w:r w:rsidR="00C735D0" w:rsidRPr="006B1E79">
          <w:rPr>
            <w:rFonts w:ascii="Verdana" w:hAnsi="Verdana"/>
            <w:noProof/>
            <w:webHidden/>
            <w:sz w:val="18"/>
            <w:szCs w:val="18"/>
          </w:rPr>
        </w:r>
        <w:r w:rsidR="00C735D0" w:rsidRPr="006B1E79">
          <w:rPr>
            <w:rFonts w:ascii="Verdana" w:hAnsi="Verdana"/>
            <w:noProof/>
            <w:webHidden/>
            <w:sz w:val="18"/>
            <w:szCs w:val="18"/>
          </w:rPr>
          <w:fldChar w:fldCharType="separate"/>
        </w:r>
        <w:r>
          <w:rPr>
            <w:rFonts w:ascii="Verdana" w:hAnsi="Verdana"/>
            <w:noProof/>
            <w:webHidden/>
            <w:sz w:val="18"/>
            <w:szCs w:val="18"/>
          </w:rPr>
          <w:t>7</w:t>
        </w:r>
        <w:r w:rsidR="00C735D0" w:rsidRPr="006B1E79">
          <w:rPr>
            <w:rFonts w:ascii="Verdana" w:hAnsi="Verdana"/>
            <w:noProof/>
            <w:webHidden/>
            <w:sz w:val="18"/>
            <w:szCs w:val="18"/>
          </w:rPr>
          <w:fldChar w:fldCharType="end"/>
        </w:r>
      </w:hyperlink>
    </w:p>
    <w:p w14:paraId="4A21F63F" w14:textId="60D95B4A" w:rsidR="00C735D0" w:rsidRPr="006B1E79" w:rsidRDefault="00990216" w:rsidP="006B1B0F">
      <w:pPr>
        <w:pStyle w:val="TDC2"/>
        <w:rPr>
          <w:rFonts w:eastAsiaTheme="minorEastAsia" w:cstheme="minorBidi"/>
          <w:lang w:val="en-US"/>
        </w:rPr>
      </w:pPr>
      <w:hyperlink w:anchor="_Toc25247720" w:history="1">
        <w:r w:rsidR="00C735D0" w:rsidRPr="006B1E79">
          <w:rPr>
            <w:rStyle w:val="Hipervnculo"/>
            <w:rFonts w:eastAsia="Verdana"/>
          </w:rPr>
          <w:t>A. Reconocimiento parcial de responsabilidad del Estado sobre la alegada omisión al deber de investigar los actos de tortura</w:t>
        </w:r>
        <w:r w:rsidR="00C735D0" w:rsidRPr="006B1E79">
          <w:rPr>
            <w:webHidden/>
          </w:rPr>
          <w:tab/>
        </w:r>
        <w:r w:rsidR="00C735D0" w:rsidRPr="006B1E79">
          <w:rPr>
            <w:webHidden/>
          </w:rPr>
          <w:fldChar w:fldCharType="begin"/>
        </w:r>
        <w:r w:rsidR="00C735D0" w:rsidRPr="006B1E79">
          <w:rPr>
            <w:webHidden/>
          </w:rPr>
          <w:instrText xml:space="preserve"> PAGEREF _Toc25247720 \h </w:instrText>
        </w:r>
        <w:r w:rsidR="00C735D0" w:rsidRPr="006B1E79">
          <w:rPr>
            <w:webHidden/>
          </w:rPr>
        </w:r>
        <w:r w:rsidR="00C735D0" w:rsidRPr="006B1E79">
          <w:rPr>
            <w:webHidden/>
          </w:rPr>
          <w:fldChar w:fldCharType="separate"/>
        </w:r>
        <w:r>
          <w:rPr>
            <w:webHidden/>
          </w:rPr>
          <w:t>8</w:t>
        </w:r>
        <w:r w:rsidR="00C735D0" w:rsidRPr="006B1E79">
          <w:rPr>
            <w:webHidden/>
          </w:rPr>
          <w:fldChar w:fldCharType="end"/>
        </w:r>
      </w:hyperlink>
    </w:p>
    <w:p w14:paraId="13F0BBB0" w14:textId="6C31E142" w:rsidR="00C735D0" w:rsidRPr="006B1E79" w:rsidRDefault="00990216" w:rsidP="00C735D0">
      <w:pPr>
        <w:pStyle w:val="TDC3"/>
        <w:tabs>
          <w:tab w:val="right" w:leader="dot" w:pos="9408"/>
        </w:tabs>
        <w:rPr>
          <w:rFonts w:ascii="Verdana" w:eastAsiaTheme="minorEastAsia" w:hAnsi="Verdana" w:cstheme="minorBidi"/>
          <w:i w:val="0"/>
          <w:iCs w:val="0"/>
          <w:noProof/>
          <w:sz w:val="18"/>
          <w:szCs w:val="18"/>
          <w:lang w:val="en-US"/>
        </w:rPr>
      </w:pPr>
      <w:hyperlink w:anchor="_Toc25247721" w:history="1">
        <w:r w:rsidR="00C735D0" w:rsidRPr="006B1E79">
          <w:rPr>
            <w:rStyle w:val="Hipervnculo"/>
            <w:rFonts w:ascii="Verdana" w:eastAsia="Calibri" w:hAnsi="Verdana"/>
            <w:noProof/>
            <w:sz w:val="18"/>
            <w:szCs w:val="18"/>
            <w:lang w:val="es-CR" w:eastAsia="es-CR"/>
          </w:rPr>
          <w:t>A.1. Alegatos del Estado y observaciones de la Comisión y los representantes</w:t>
        </w:r>
        <w:r w:rsidR="00C735D0" w:rsidRPr="006B1E79">
          <w:rPr>
            <w:rFonts w:ascii="Verdana" w:hAnsi="Verdana"/>
            <w:noProof/>
            <w:webHidden/>
            <w:sz w:val="18"/>
            <w:szCs w:val="18"/>
          </w:rPr>
          <w:tab/>
        </w:r>
        <w:r w:rsidR="00C735D0" w:rsidRPr="006B1E79">
          <w:rPr>
            <w:rFonts w:ascii="Verdana" w:hAnsi="Verdana"/>
            <w:noProof/>
            <w:webHidden/>
            <w:sz w:val="18"/>
            <w:szCs w:val="18"/>
          </w:rPr>
          <w:fldChar w:fldCharType="begin"/>
        </w:r>
        <w:r w:rsidR="00C735D0" w:rsidRPr="006B1E79">
          <w:rPr>
            <w:rFonts w:ascii="Verdana" w:hAnsi="Verdana"/>
            <w:noProof/>
            <w:webHidden/>
            <w:sz w:val="18"/>
            <w:szCs w:val="18"/>
          </w:rPr>
          <w:instrText xml:space="preserve"> PAGEREF _Toc25247721 \h </w:instrText>
        </w:r>
        <w:r w:rsidR="00C735D0" w:rsidRPr="006B1E79">
          <w:rPr>
            <w:rFonts w:ascii="Verdana" w:hAnsi="Verdana"/>
            <w:noProof/>
            <w:webHidden/>
            <w:sz w:val="18"/>
            <w:szCs w:val="18"/>
          </w:rPr>
        </w:r>
        <w:r w:rsidR="00C735D0" w:rsidRPr="006B1E79">
          <w:rPr>
            <w:rFonts w:ascii="Verdana" w:hAnsi="Verdana"/>
            <w:noProof/>
            <w:webHidden/>
            <w:sz w:val="18"/>
            <w:szCs w:val="18"/>
          </w:rPr>
          <w:fldChar w:fldCharType="separate"/>
        </w:r>
        <w:r>
          <w:rPr>
            <w:rFonts w:ascii="Verdana" w:hAnsi="Verdana"/>
            <w:noProof/>
            <w:webHidden/>
            <w:sz w:val="18"/>
            <w:szCs w:val="18"/>
          </w:rPr>
          <w:t>8</w:t>
        </w:r>
        <w:r w:rsidR="00C735D0" w:rsidRPr="006B1E79">
          <w:rPr>
            <w:rFonts w:ascii="Verdana" w:hAnsi="Verdana"/>
            <w:noProof/>
            <w:webHidden/>
            <w:sz w:val="18"/>
            <w:szCs w:val="18"/>
          </w:rPr>
          <w:fldChar w:fldCharType="end"/>
        </w:r>
      </w:hyperlink>
    </w:p>
    <w:p w14:paraId="155CF887" w14:textId="7D18D850" w:rsidR="00C735D0" w:rsidRPr="006B1E79" w:rsidRDefault="00990216" w:rsidP="00C735D0">
      <w:pPr>
        <w:pStyle w:val="TDC3"/>
        <w:tabs>
          <w:tab w:val="right" w:leader="dot" w:pos="9408"/>
        </w:tabs>
        <w:rPr>
          <w:rFonts w:ascii="Verdana" w:eastAsiaTheme="minorEastAsia" w:hAnsi="Verdana" w:cstheme="minorBidi"/>
          <w:i w:val="0"/>
          <w:iCs w:val="0"/>
          <w:noProof/>
          <w:sz w:val="18"/>
          <w:szCs w:val="18"/>
          <w:lang w:val="en-US"/>
        </w:rPr>
      </w:pPr>
      <w:hyperlink w:anchor="_Toc25247722" w:history="1">
        <w:r w:rsidR="00C735D0" w:rsidRPr="006B1E79">
          <w:rPr>
            <w:rStyle w:val="Hipervnculo"/>
            <w:rFonts w:ascii="Verdana" w:eastAsia="Calibri" w:hAnsi="Verdana"/>
            <w:noProof/>
            <w:sz w:val="18"/>
            <w:szCs w:val="18"/>
            <w:lang w:val="es-CR" w:eastAsia="es-CR"/>
          </w:rPr>
          <w:t>A.2. Consideraciones de la Corte</w:t>
        </w:r>
        <w:r w:rsidR="00C735D0" w:rsidRPr="006B1E79">
          <w:rPr>
            <w:rFonts w:ascii="Verdana" w:hAnsi="Verdana"/>
            <w:noProof/>
            <w:webHidden/>
            <w:sz w:val="18"/>
            <w:szCs w:val="18"/>
          </w:rPr>
          <w:tab/>
        </w:r>
        <w:r w:rsidR="00C735D0" w:rsidRPr="006B1E79">
          <w:rPr>
            <w:rFonts w:ascii="Verdana" w:hAnsi="Verdana"/>
            <w:noProof/>
            <w:webHidden/>
            <w:sz w:val="18"/>
            <w:szCs w:val="18"/>
          </w:rPr>
          <w:fldChar w:fldCharType="begin"/>
        </w:r>
        <w:r w:rsidR="00C735D0" w:rsidRPr="006B1E79">
          <w:rPr>
            <w:rFonts w:ascii="Verdana" w:hAnsi="Verdana"/>
            <w:noProof/>
            <w:webHidden/>
            <w:sz w:val="18"/>
            <w:szCs w:val="18"/>
          </w:rPr>
          <w:instrText xml:space="preserve"> PAGEREF _Toc25247722 \h </w:instrText>
        </w:r>
        <w:r w:rsidR="00C735D0" w:rsidRPr="006B1E79">
          <w:rPr>
            <w:rFonts w:ascii="Verdana" w:hAnsi="Verdana"/>
            <w:noProof/>
            <w:webHidden/>
            <w:sz w:val="18"/>
            <w:szCs w:val="18"/>
          </w:rPr>
        </w:r>
        <w:r w:rsidR="00C735D0" w:rsidRPr="006B1E79">
          <w:rPr>
            <w:rFonts w:ascii="Verdana" w:hAnsi="Verdana"/>
            <w:noProof/>
            <w:webHidden/>
            <w:sz w:val="18"/>
            <w:szCs w:val="18"/>
          </w:rPr>
          <w:fldChar w:fldCharType="separate"/>
        </w:r>
        <w:r>
          <w:rPr>
            <w:rFonts w:ascii="Verdana" w:hAnsi="Verdana"/>
            <w:noProof/>
            <w:webHidden/>
            <w:sz w:val="18"/>
            <w:szCs w:val="18"/>
          </w:rPr>
          <w:t>8</w:t>
        </w:r>
        <w:r w:rsidR="00C735D0" w:rsidRPr="006B1E79">
          <w:rPr>
            <w:rFonts w:ascii="Verdana" w:hAnsi="Verdana"/>
            <w:noProof/>
            <w:webHidden/>
            <w:sz w:val="18"/>
            <w:szCs w:val="18"/>
          </w:rPr>
          <w:fldChar w:fldCharType="end"/>
        </w:r>
      </w:hyperlink>
    </w:p>
    <w:p w14:paraId="2AB6FF41" w14:textId="62928DED" w:rsidR="00C735D0" w:rsidRPr="006B1E79" w:rsidRDefault="00990216" w:rsidP="006B1B0F">
      <w:pPr>
        <w:pStyle w:val="TDC2"/>
        <w:rPr>
          <w:rFonts w:eastAsiaTheme="minorEastAsia" w:cstheme="minorBidi"/>
          <w:lang w:val="en-US"/>
        </w:rPr>
      </w:pPr>
      <w:hyperlink w:anchor="_Toc25247723" w:history="1">
        <w:r w:rsidR="00C735D0" w:rsidRPr="006B1E79">
          <w:rPr>
            <w:rStyle w:val="Hipervnculo"/>
            <w:rFonts w:eastAsia="Verdana"/>
          </w:rPr>
          <w:t>B. Reconocimiento parcial de responsabilidad del Estado sobre la necesidad de reformar el artículo 201 bis del Código Penal que tipifica el delito de tortura</w:t>
        </w:r>
        <w:r w:rsidR="00C735D0" w:rsidRPr="006B1E79">
          <w:rPr>
            <w:webHidden/>
          </w:rPr>
          <w:tab/>
        </w:r>
        <w:r w:rsidR="00C735D0" w:rsidRPr="006B1E79">
          <w:rPr>
            <w:webHidden/>
          </w:rPr>
          <w:fldChar w:fldCharType="begin"/>
        </w:r>
        <w:r w:rsidR="00C735D0" w:rsidRPr="006B1E79">
          <w:rPr>
            <w:webHidden/>
          </w:rPr>
          <w:instrText xml:space="preserve"> PAGEREF _Toc25247723 \h </w:instrText>
        </w:r>
        <w:r w:rsidR="00C735D0" w:rsidRPr="006B1E79">
          <w:rPr>
            <w:webHidden/>
          </w:rPr>
        </w:r>
        <w:r w:rsidR="00C735D0" w:rsidRPr="006B1E79">
          <w:rPr>
            <w:webHidden/>
          </w:rPr>
          <w:fldChar w:fldCharType="separate"/>
        </w:r>
        <w:r>
          <w:rPr>
            <w:webHidden/>
          </w:rPr>
          <w:t>9</w:t>
        </w:r>
        <w:r w:rsidR="00C735D0" w:rsidRPr="006B1E79">
          <w:rPr>
            <w:webHidden/>
          </w:rPr>
          <w:fldChar w:fldCharType="end"/>
        </w:r>
      </w:hyperlink>
    </w:p>
    <w:p w14:paraId="496B1A88" w14:textId="7618CB92" w:rsidR="00C735D0" w:rsidRPr="006B1E79" w:rsidRDefault="00990216" w:rsidP="00C735D0">
      <w:pPr>
        <w:pStyle w:val="TDC3"/>
        <w:tabs>
          <w:tab w:val="right" w:leader="dot" w:pos="9408"/>
        </w:tabs>
        <w:rPr>
          <w:rFonts w:ascii="Verdana" w:eastAsiaTheme="minorEastAsia" w:hAnsi="Verdana" w:cstheme="minorBidi"/>
          <w:i w:val="0"/>
          <w:iCs w:val="0"/>
          <w:noProof/>
          <w:sz w:val="18"/>
          <w:szCs w:val="18"/>
          <w:lang w:val="en-US"/>
        </w:rPr>
      </w:pPr>
      <w:hyperlink w:anchor="_Toc25247724" w:history="1">
        <w:r w:rsidR="00C735D0" w:rsidRPr="006B1E79">
          <w:rPr>
            <w:rStyle w:val="Hipervnculo"/>
            <w:rFonts w:ascii="Verdana" w:eastAsia="Calibri" w:hAnsi="Verdana"/>
            <w:noProof/>
            <w:sz w:val="18"/>
            <w:szCs w:val="18"/>
            <w:lang w:val="es-CR" w:eastAsia="es-CR"/>
          </w:rPr>
          <w:t>B.1. Alegatos del Estado y observaciones de la Comisión y los representantes</w:t>
        </w:r>
        <w:r w:rsidR="00C735D0" w:rsidRPr="006B1E79">
          <w:rPr>
            <w:rFonts w:ascii="Verdana" w:hAnsi="Verdana"/>
            <w:noProof/>
            <w:webHidden/>
            <w:sz w:val="18"/>
            <w:szCs w:val="18"/>
          </w:rPr>
          <w:tab/>
        </w:r>
        <w:r w:rsidR="00C735D0" w:rsidRPr="006B1E79">
          <w:rPr>
            <w:rFonts w:ascii="Verdana" w:hAnsi="Verdana"/>
            <w:noProof/>
            <w:webHidden/>
            <w:sz w:val="18"/>
            <w:szCs w:val="18"/>
          </w:rPr>
          <w:fldChar w:fldCharType="begin"/>
        </w:r>
        <w:r w:rsidR="00C735D0" w:rsidRPr="006B1E79">
          <w:rPr>
            <w:rFonts w:ascii="Verdana" w:hAnsi="Verdana"/>
            <w:noProof/>
            <w:webHidden/>
            <w:sz w:val="18"/>
            <w:szCs w:val="18"/>
          </w:rPr>
          <w:instrText xml:space="preserve"> PAGEREF _Toc25247724 \h </w:instrText>
        </w:r>
        <w:r w:rsidR="00C735D0" w:rsidRPr="006B1E79">
          <w:rPr>
            <w:rFonts w:ascii="Verdana" w:hAnsi="Verdana"/>
            <w:noProof/>
            <w:webHidden/>
            <w:sz w:val="18"/>
            <w:szCs w:val="18"/>
          </w:rPr>
        </w:r>
        <w:r w:rsidR="00C735D0" w:rsidRPr="006B1E79">
          <w:rPr>
            <w:rFonts w:ascii="Verdana" w:hAnsi="Verdana"/>
            <w:noProof/>
            <w:webHidden/>
            <w:sz w:val="18"/>
            <w:szCs w:val="18"/>
          </w:rPr>
          <w:fldChar w:fldCharType="separate"/>
        </w:r>
        <w:r>
          <w:rPr>
            <w:rFonts w:ascii="Verdana" w:hAnsi="Verdana"/>
            <w:noProof/>
            <w:webHidden/>
            <w:sz w:val="18"/>
            <w:szCs w:val="18"/>
          </w:rPr>
          <w:t>9</w:t>
        </w:r>
        <w:r w:rsidR="00C735D0" w:rsidRPr="006B1E79">
          <w:rPr>
            <w:rFonts w:ascii="Verdana" w:hAnsi="Verdana"/>
            <w:noProof/>
            <w:webHidden/>
            <w:sz w:val="18"/>
            <w:szCs w:val="18"/>
          </w:rPr>
          <w:fldChar w:fldCharType="end"/>
        </w:r>
      </w:hyperlink>
    </w:p>
    <w:p w14:paraId="2CE5BCE8" w14:textId="1C98C913" w:rsidR="00C735D0" w:rsidRPr="006B1E79" w:rsidRDefault="00990216" w:rsidP="00C735D0">
      <w:pPr>
        <w:pStyle w:val="TDC3"/>
        <w:tabs>
          <w:tab w:val="right" w:leader="dot" w:pos="9408"/>
        </w:tabs>
        <w:rPr>
          <w:rFonts w:ascii="Verdana" w:eastAsiaTheme="minorEastAsia" w:hAnsi="Verdana" w:cstheme="minorBidi"/>
          <w:i w:val="0"/>
          <w:iCs w:val="0"/>
          <w:noProof/>
          <w:sz w:val="18"/>
          <w:szCs w:val="18"/>
          <w:lang w:val="en-US"/>
        </w:rPr>
      </w:pPr>
      <w:hyperlink w:anchor="_Toc25247725" w:history="1">
        <w:r w:rsidR="00C735D0" w:rsidRPr="006B1E79">
          <w:rPr>
            <w:rStyle w:val="Hipervnculo"/>
            <w:rFonts w:ascii="Verdana" w:eastAsia="Calibri" w:hAnsi="Verdana"/>
            <w:noProof/>
            <w:sz w:val="18"/>
            <w:szCs w:val="18"/>
            <w:lang w:val="es-CR" w:eastAsia="es-CR"/>
          </w:rPr>
          <w:t>B.2. Consideraciones de la Corte</w:t>
        </w:r>
        <w:r w:rsidR="00C735D0" w:rsidRPr="006B1E79">
          <w:rPr>
            <w:rFonts w:ascii="Verdana" w:hAnsi="Verdana"/>
            <w:noProof/>
            <w:webHidden/>
            <w:sz w:val="18"/>
            <w:szCs w:val="18"/>
          </w:rPr>
          <w:tab/>
        </w:r>
        <w:r w:rsidR="00C735D0" w:rsidRPr="006B1E79">
          <w:rPr>
            <w:rFonts w:ascii="Verdana" w:hAnsi="Verdana"/>
            <w:noProof/>
            <w:webHidden/>
            <w:sz w:val="18"/>
            <w:szCs w:val="18"/>
          </w:rPr>
          <w:fldChar w:fldCharType="begin"/>
        </w:r>
        <w:r w:rsidR="00C735D0" w:rsidRPr="006B1E79">
          <w:rPr>
            <w:rFonts w:ascii="Verdana" w:hAnsi="Verdana"/>
            <w:noProof/>
            <w:webHidden/>
            <w:sz w:val="18"/>
            <w:szCs w:val="18"/>
          </w:rPr>
          <w:instrText xml:space="preserve"> PAGEREF _Toc25247725 \h </w:instrText>
        </w:r>
        <w:r w:rsidR="00C735D0" w:rsidRPr="006B1E79">
          <w:rPr>
            <w:rFonts w:ascii="Verdana" w:hAnsi="Verdana"/>
            <w:noProof/>
            <w:webHidden/>
            <w:sz w:val="18"/>
            <w:szCs w:val="18"/>
          </w:rPr>
        </w:r>
        <w:r w:rsidR="00C735D0" w:rsidRPr="006B1E79">
          <w:rPr>
            <w:rFonts w:ascii="Verdana" w:hAnsi="Verdana"/>
            <w:noProof/>
            <w:webHidden/>
            <w:sz w:val="18"/>
            <w:szCs w:val="18"/>
          </w:rPr>
          <w:fldChar w:fldCharType="separate"/>
        </w:r>
        <w:r>
          <w:rPr>
            <w:rFonts w:ascii="Verdana" w:hAnsi="Verdana"/>
            <w:noProof/>
            <w:webHidden/>
            <w:sz w:val="18"/>
            <w:szCs w:val="18"/>
          </w:rPr>
          <w:t>9</w:t>
        </w:r>
        <w:r w:rsidR="00C735D0" w:rsidRPr="006B1E79">
          <w:rPr>
            <w:rFonts w:ascii="Verdana" w:hAnsi="Verdana"/>
            <w:noProof/>
            <w:webHidden/>
            <w:sz w:val="18"/>
            <w:szCs w:val="18"/>
          </w:rPr>
          <w:fldChar w:fldCharType="end"/>
        </w:r>
      </w:hyperlink>
    </w:p>
    <w:p w14:paraId="048CE089" w14:textId="77681673" w:rsidR="00C735D0" w:rsidRPr="006B1E79" w:rsidRDefault="00990216" w:rsidP="006B1B0F">
      <w:pPr>
        <w:pStyle w:val="TDC2"/>
        <w:rPr>
          <w:rFonts w:eastAsiaTheme="minorEastAsia" w:cstheme="minorBidi"/>
          <w:lang w:val="en-US"/>
        </w:rPr>
      </w:pPr>
      <w:hyperlink w:anchor="_Toc25247726" w:history="1">
        <w:r w:rsidR="00C735D0" w:rsidRPr="006B1E79">
          <w:rPr>
            <w:rStyle w:val="Hipervnculo"/>
            <w:rFonts w:eastAsia="Verdana"/>
          </w:rPr>
          <w:t>C. Conclusión.</w:t>
        </w:r>
        <w:r w:rsidR="00C735D0" w:rsidRPr="006B1E79">
          <w:rPr>
            <w:webHidden/>
          </w:rPr>
          <w:tab/>
        </w:r>
        <w:r w:rsidR="00C735D0" w:rsidRPr="006B1E79">
          <w:rPr>
            <w:webHidden/>
          </w:rPr>
          <w:fldChar w:fldCharType="begin"/>
        </w:r>
        <w:r w:rsidR="00C735D0" w:rsidRPr="006B1E79">
          <w:rPr>
            <w:webHidden/>
          </w:rPr>
          <w:instrText xml:space="preserve"> PAGEREF _Toc25247726 \h </w:instrText>
        </w:r>
        <w:r w:rsidR="00C735D0" w:rsidRPr="006B1E79">
          <w:rPr>
            <w:webHidden/>
          </w:rPr>
        </w:r>
        <w:r w:rsidR="00C735D0" w:rsidRPr="006B1E79">
          <w:rPr>
            <w:webHidden/>
          </w:rPr>
          <w:fldChar w:fldCharType="separate"/>
        </w:r>
        <w:r>
          <w:rPr>
            <w:webHidden/>
          </w:rPr>
          <w:t>11</w:t>
        </w:r>
        <w:r w:rsidR="00C735D0" w:rsidRPr="006B1E79">
          <w:rPr>
            <w:webHidden/>
          </w:rPr>
          <w:fldChar w:fldCharType="end"/>
        </w:r>
      </w:hyperlink>
    </w:p>
    <w:p w14:paraId="2B8E897D" w14:textId="71F325DE" w:rsidR="00C735D0" w:rsidRPr="006B1E79" w:rsidRDefault="00990216" w:rsidP="00C735D0">
      <w:pPr>
        <w:pStyle w:val="TDC1"/>
        <w:tabs>
          <w:tab w:val="right" w:leader="dot" w:pos="9408"/>
        </w:tabs>
        <w:spacing w:before="0" w:after="0"/>
        <w:rPr>
          <w:rFonts w:ascii="Verdana" w:eastAsiaTheme="minorEastAsia" w:hAnsi="Verdana" w:cstheme="minorBidi"/>
          <w:b w:val="0"/>
          <w:bCs w:val="0"/>
          <w:caps w:val="0"/>
          <w:noProof/>
          <w:sz w:val="18"/>
          <w:szCs w:val="18"/>
          <w:lang w:val="en-US"/>
        </w:rPr>
      </w:pPr>
      <w:hyperlink w:anchor="_Toc25247727" w:history="1">
        <w:r w:rsidR="00C735D0" w:rsidRPr="006B1E79">
          <w:rPr>
            <w:rStyle w:val="Hipervnculo"/>
            <w:rFonts w:ascii="Verdana" w:eastAsia="Verdana" w:hAnsi="Verdana"/>
            <w:noProof/>
            <w:sz w:val="18"/>
            <w:szCs w:val="18"/>
          </w:rPr>
          <w:t>V CONSIDERACIONES PREVIAS</w:t>
        </w:r>
        <w:r w:rsidR="00C735D0" w:rsidRPr="006B1E79">
          <w:rPr>
            <w:rFonts w:ascii="Verdana" w:hAnsi="Verdana"/>
            <w:noProof/>
            <w:webHidden/>
            <w:sz w:val="18"/>
            <w:szCs w:val="18"/>
          </w:rPr>
          <w:tab/>
        </w:r>
        <w:r w:rsidR="00C735D0" w:rsidRPr="006B1E79">
          <w:rPr>
            <w:rFonts w:ascii="Verdana" w:hAnsi="Verdana"/>
            <w:noProof/>
            <w:webHidden/>
            <w:sz w:val="18"/>
            <w:szCs w:val="18"/>
          </w:rPr>
          <w:fldChar w:fldCharType="begin"/>
        </w:r>
        <w:r w:rsidR="00C735D0" w:rsidRPr="006B1E79">
          <w:rPr>
            <w:rFonts w:ascii="Verdana" w:hAnsi="Verdana"/>
            <w:noProof/>
            <w:webHidden/>
            <w:sz w:val="18"/>
            <w:szCs w:val="18"/>
          </w:rPr>
          <w:instrText xml:space="preserve"> PAGEREF _Toc25247727 \h </w:instrText>
        </w:r>
        <w:r w:rsidR="00C735D0" w:rsidRPr="006B1E79">
          <w:rPr>
            <w:rFonts w:ascii="Verdana" w:hAnsi="Verdana"/>
            <w:noProof/>
            <w:webHidden/>
            <w:sz w:val="18"/>
            <w:szCs w:val="18"/>
          </w:rPr>
        </w:r>
        <w:r w:rsidR="00C735D0" w:rsidRPr="006B1E79">
          <w:rPr>
            <w:rFonts w:ascii="Verdana" w:hAnsi="Verdana"/>
            <w:noProof/>
            <w:webHidden/>
            <w:sz w:val="18"/>
            <w:szCs w:val="18"/>
          </w:rPr>
          <w:fldChar w:fldCharType="separate"/>
        </w:r>
        <w:r>
          <w:rPr>
            <w:rFonts w:ascii="Verdana" w:hAnsi="Verdana"/>
            <w:noProof/>
            <w:webHidden/>
            <w:sz w:val="18"/>
            <w:szCs w:val="18"/>
          </w:rPr>
          <w:t>11</w:t>
        </w:r>
        <w:r w:rsidR="00C735D0" w:rsidRPr="006B1E79">
          <w:rPr>
            <w:rFonts w:ascii="Verdana" w:hAnsi="Verdana"/>
            <w:noProof/>
            <w:webHidden/>
            <w:sz w:val="18"/>
            <w:szCs w:val="18"/>
          </w:rPr>
          <w:fldChar w:fldCharType="end"/>
        </w:r>
      </w:hyperlink>
    </w:p>
    <w:p w14:paraId="163D5036" w14:textId="69F1F01E" w:rsidR="00C735D0" w:rsidRPr="006B1E79" w:rsidRDefault="00990216" w:rsidP="006B1B0F">
      <w:pPr>
        <w:pStyle w:val="TDC2"/>
        <w:rPr>
          <w:rFonts w:eastAsiaTheme="minorEastAsia" w:cstheme="minorBidi"/>
          <w:lang w:val="en-US"/>
        </w:rPr>
      </w:pPr>
      <w:hyperlink w:anchor="_Toc25247728" w:history="1">
        <w:r w:rsidR="00C735D0" w:rsidRPr="006B1E79">
          <w:rPr>
            <w:rStyle w:val="Hipervnculo"/>
            <w:rFonts w:eastAsia="Verdana"/>
          </w:rPr>
          <w:t>A. Sobre la alegación de la inclusión de hechos nuevos por parte de los representantes en su escrito de solicitudes y argumentos</w:t>
        </w:r>
        <w:r w:rsidR="00C735D0" w:rsidRPr="006B1E79">
          <w:rPr>
            <w:webHidden/>
          </w:rPr>
          <w:tab/>
        </w:r>
        <w:r w:rsidR="00C735D0" w:rsidRPr="006B1E79">
          <w:rPr>
            <w:webHidden/>
          </w:rPr>
          <w:fldChar w:fldCharType="begin"/>
        </w:r>
        <w:r w:rsidR="00C735D0" w:rsidRPr="006B1E79">
          <w:rPr>
            <w:webHidden/>
          </w:rPr>
          <w:instrText xml:space="preserve"> PAGEREF _Toc25247728 \h </w:instrText>
        </w:r>
        <w:r w:rsidR="00C735D0" w:rsidRPr="006B1E79">
          <w:rPr>
            <w:webHidden/>
          </w:rPr>
        </w:r>
        <w:r w:rsidR="00C735D0" w:rsidRPr="006B1E79">
          <w:rPr>
            <w:webHidden/>
          </w:rPr>
          <w:fldChar w:fldCharType="separate"/>
        </w:r>
        <w:r>
          <w:rPr>
            <w:webHidden/>
          </w:rPr>
          <w:t>11</w:t>
        </w:r>
        <w:r w:rsidR="00C735D0" w:rsidRPr="006B1E79">
          <w:rPr>
            <w:webHidden/>
          </w:rPr>
          <w:fldChar w:fldCharType="end"/>
        </w:r>
      </w:hyperlink>
    </w:p>
    <w:p w14:paraId="493AEC40" w14:textId="658DF413" w:rsidR="00C735D0" w:rsidRPr="006B1E79" w:rsidRDefault="00990216" w:rsidP="00C735D0">
      <w:pPr>
        <w:pStyle w:val="TDC3"/>
        <w:tabs>
          <w:tab w:val="right" w:leader="dot" w:pos="9408"/>
        </w:tabs>
        <w:rPr>
          <w:rFonts w:ascii="Verdana" w:eastAsiaTheme="minorEastAsia" w:hAnsi="Verdana" w:cstheme="minorBidi"/>
          <w:i w:val="0"/>
          <w:iCs w:val="0"/>
          <w:noProof/>
          <w:sz w:val="18"/>
          <w:szCs w:val="18"/>
          <w:lang w:val="en-US"/>
        </w:rPr>
      </w:pPr>
      <w:hyperlink w:anchor="_Toc25247729" w:history="1">
        <w:r w:rsidR="00C735D0" w:rsidRPr="006B1E79">
          <w:rPr>
            <w:rStyle w:val="Hipervnculo"/>
            <w:rFonts w:ascii="Verdana" w:eastAsia="Calibri" w:hAnsi="Verdana"/>
            <w:noProof/>
            <w:sz w:val="18"/>
            <w:szCs w:val="18"/>
            <w:lang w:val="es-CR" w:eastAsia="es-CR"/>
          </w:rPr>
          <w:t>A.1. Alegatos del Estado y observaciones de la Comisión y los representantes</w:t>
        </w:r>
        <w:r w:rsidR="00C735D0" w:rsidRPr="006B1E79">
          <w:rPr>
            <w:rFonts w:ascii="Verdana" w:hAnsi="Verdana"/>
            <w:noProof/>
            <w:webHidden/>
            <w:sz w:val="18"/>
            <w:szCs w:val="18"/>
          </w:rPr>
          <w:tab/>
        </w:r>
        <w:r w:rsidR="00C735D0" w:rsidRPr="006B1E79">
          <w:rPr>
            <w:rFonts w:ascii="Verdana" w:hAnsi="Verdana"/>
            <w:noProof/>
            <w:webHidden/>
            <w:sz w:val="18"/>
            <w:szCs w:val="18"/>
          </w:rPr>
          <w:fldChar w:fldCharType="begin"/>
        </w:r>
        <w:r w:rsidR="00C735D0" w:rsidRPr="006B1E79">
          <w:rPr>
            <w:rFonts w:ascii="Verdana" w:hAnsi="Verdana"/>
            <w:noProof/>
            <w:webHidden/>
            <w:sz w:val="18"/>
            <w:szCs w:val="18"/>
          </w:rPr>
          <w:instrText xml:space="preserve"> PAGEREF _Toc25247729 \h </w:instrText>
        </w:r>
        <w:r w:rsidR="00C735D0" w:rsidRPr="006B1E79">
          <w:rPr>
            <w:rFonts w:ascii="Verdana" w:hAnsi="Verdana"/>
            <w:noProof/>
            <w:webHidden/>
            <w:sz w:val="18"/>
            <w:szCs w:val="18"/>
          </w:rPr>
        </w:r>
        <w:r w:rsidR="00C735D0" w:rsidRPr="006B1E79">
          <w:rPr>
            <w:rFonts w:ascii="Verdana" w:hAnsi="Verdana"/>
            <w:noProof/>
            <w:webHidden/>
            <w:sz w:val="18"/>
            <w:szCs w:val="18"/>
          </w:rPr>
          <w:fldChar w:fldCharType="separate"/>
        </w:r>
        <w:r>
          <w:rPr>
            <w:rFonts w:ascii="Verdana" w:hAnsi="Verdana"/>
            <w:noProof/>
            <w:webHidden/>
            <w:sz w:val="18"/>
            <w:szCs w:val="18"/>
          </w:rPr>
          <w:t>11</w:t>
        </w:r>
        <w:r w:rsidR="00C735D0" w:rsidRPr="006B1E79">
          <w:rPr>
            <w:rFonts w:ascii="Verdana" w:hAnsi="Verdana"/>
            <w:noProof/>
            <w:webHidden/>
            <w:sz w:val="18"/>
            <w:szCs w:val="18"/>
          </w:rPr>
          <w:fldChar w:fldCharType="end"/>
        </w:r>
      </w:hyperlink>
    </w:p>
    <w:p w14:paraId="74863BC6" w14:textId="5B5FE2F5" w:rsidR="00C735D0" w:rsidRPr="006B1E79" w:rsidRDefault="00990216" w:rsidP="00C735D0">
      <w:pPr>
        <w:pStyle w:val="TDC3"/>
        <w:tabs>
          <w:tab w:val="right" w:leader="dot" w:pos="9408"/>
        </w:tabs>
        <w:rPr>
          <w:rFonts w:ascii="Verdana" w:eastAsiaTheme="minorEastAsia" w:hAnsi="Verdana" w:cstheme="minorBidi"/>
          <w:i w:val="0"/>
          <w:iCs w:val="0"/>
          <w:noProof/>
          <w:sz w:val="18"/>
          <w:szCs w:val="18"/>
          <w:lang w:val="en-US"/>
        </w:rPr>
      </w:pPr>
      <w:hyperlink w:anchor="_Toc25247730" w:history="1">
        <w:r w:rsidR="00C735D0" w:rsidRPr="006B1E79">
          <w:rPr>
            <w:rStyle w:val="Hipervnculo"/>
            <w:rFonts w:ascii="Verdana" w:eastAsia="Calibri" w:hAnsi="Verdana"/>
            <w:noProof/>
            <w:sz w:val="18"/>
            <w:szCs w:val="18"/>
            <w:lang w:val="es-CR" w:eastAsia="es-CR"/>
          </w:rPr>
          <w:t>A.2. Consideraciones de la Corte</w:t>
        </w:r>
        <w:r w:rsidR="00C735D0" w:rsidRPr="006B1E79">
          <w:rPr>
            <w:rFonts w:ascii="Verdana" w:hAnsi="Verdana"/>
            <w:noProof/>
            <w:webHidden/>
            <w:sz w:val="18"/>
            <w:szCs w:val="18"/>
          </w:rPr>
          <w:tab/>
        </w:r>
        <w:r w:rsidR="00C735D0" w:rsidRPr="006B1E79">
          <w:rPr>
            <w:rFonts w:ascii="Verdana" w:hAnsi="Verdana"/>
            <w:noProof/>
            <w:webHidden/>
            <w:sz w:val="18"/>
            <w:szCs w:val="18"/>
          </w:rPr>
          <w:fldChar w:fldCharType="begin"/>
        </w:r>
        <w:r w:rsidR="00C735D0" w:rsidRPr="006B1E79">
          <w:rPr>
            <w:rFonts w:ascii="Verdana" w:hAnsi="Verdana"/>
            <w:noProof/>
            <w:webHidden/>
            <w:sz w:val="18"/>
            <w:szCs w:val="18"/>
          </w:rPr>
          <w:instrText xml:space="preserve"> PAGEREF _Toc25247730 \h </w:instrText>
        </w:r>
        <w:r w:rsidR="00C735D0" w:rsidRPr="006B1E79">
          <w:rPr>
            <w:rFonts w:ascii="Verdana" w:hAnsi="Verdana"/>
            <w:noProof/>
            <w:webHidden/>
            <w:sz w:val="18"/>
            <w:szCs w:val="18"/>
          </w:rPr>
        </w:r>
        <w:r w:rsidR="00C735D0" w:rsidRPr="006B1E79">
          <w:rPr>
            <w:rFonts w:ascii="Verdana" w:hAnsi="Verdana"/>
            <w:noProof/>
            <w:webHidden/>
            <w:sz w:val="18"/>
            <w:szCs w:val="18"/>
          </w:rPr>
          <w:fldChar w:fldCharType="separate"/>
        </w:r>
        <w:r>
          <w:rPr>
            <w:rFonts w:ascii="Verdana" w:hAnsi="Verdana"/>
            <w:noProof/>
            <w:webHidden/>
            <w:sz w:val="18"/>
            <w:szCs w:val="18"/>
          </w:rPr>
          <w:t>12</w:t>
        </w:r>
        <w:r w:rsidR="00C735D0" w:rsidRPr="006B1E79">
          <w:rPr>
            <w:rFonts w:ascii="Verdana" w:hAnsi="Verdana"/>
            <w:noProof/>
            <w:webHidden/>
            <w:sz w:val="18"/>
            <w:szCs w:val="18"/>
          </w:rPr>
          <w:fldChar w:fldCharType="end"/>
        </w:r>
      </w:hyperlink>
    </w:p>
    <w:p w14:paraId="5CB003AE" w14:textId="0085518E" w:rsidR="00C735D0" w:rsidRPr="006B1E79" w:rsidRDefault="00990216" w:rsidP="006B1B0F">
      <w:pPr>
        <w:pStyle w:val="TDC2"/>
        <w:rPr>
          <w:rFonts w:eastAsiaTheme="minorEastAsia" w:cstheme="minorBidi"/>
          <w:lang w:val="en-US"/>
        </w:rPr>
      </w:pPr>
      <w:hyperlink w:anchor="_Toc25247731" w:history="1">
        <w:r w:rsidR="00C735D0" w:rsidRPr="006B1E79">
          <w:rPr>
            <w:rStyle w:val="Hipervnculo"/>
            <w:rFonts w:eastAsia="Verdana"/>
          </w:rPr>
          <w:t>B. Sobre la determinación de las presuntas víctimas y eventuales beneficiarios de las medidas de reparación,  y la falta de documentación del vínculo que habilita a la sucesión hereditaria de su madre, esposa y conviviente</w:t>
        </w:r>
        <w:r w:rsidR="00C735D0" w:rsidRPr="006B1E79">
          <w:rPr>
            <w:webHidden/>
          </w:rPr>
          <w:tab/>
        </w:r>
        <w:r w:rsidR="00C735D0" w:rsidRPr="006B1E79">
          <w:rPr>
            <w:webHidden/>
          </w:rPr>
          <w:fldChar w:fldCharType="begin"/>
        </w:r>
        <w:r w:rsidR="00C735D0" w:rsidRPr="006B1E79">
          <w:rPr>
            <w:webHidden/>
          </w:rPr>
          <w:instrText xml:space="preserve"> PAGEREF _Toc25247731 \h </w:instrText>
        </w:r>
        <w:r w:rsidR="00C735D0" w:rsidRPr="006B1E79">
          <w:rPr>
            <w:webHidden/>
          </w:rPr>
        </w:r>
        <w:r w:rsidR="00C735D0" w:rsidRPr="006B1E79">
          <w:rPr>
            <w:webHidden/>
          </w:rPr>
          <w:fldChar w:fldCharType="separate"/>
        </w:r>
        <w:r>
          <w:rPr>
            <w:webHidden/>
          </w:rPr>
          <w:t>13</w:t>
        </w:r>
        <w:r w:rsidR="00C735D0" w:rsidRPr="006B1E79">
          <w:rPr>
            <w:webHidden/>
          </w:rPr>
          <w:fldChar w:fldCharType="end"/>
        </w:r>
      </w:hyperlink>
    </w:p>
    <w:p w14:paraId="678A01A6" w14:textId="45AA44EB" w:rsidR="00C735D0" w:rsidRPr="006B1E79" w:rsidRDefault="00990216" w:rsidP="00C735D0">
      <w:pPr>
        <w:pStyle w:val="TDC3"/>
        <w:tabs>
          <w:tab w:val="right" w:leader="dot" w:pos="9408"/>
        </w:tabs>
        <w:rPr>
          <w:rFonts w:ascii="Verdana" w:eastAsiaTheme="minorEastAsia" w:hAnsi="Verdana" w:cstheme="minorBidi"/>
          <w:i w:val="0"/>
          <w:iCs w:val="0"/>
          <w:noProof/>
          <w:sz w:val="18"/>
          <w:szCs w:val="18"/>
          <w:lang w:val="en-US"/>
        </w:rPr>
      </w:pPr>
      <w:hyperlink w:anchor="_Toc25247732" w:history="1">
        <w:r w:rsidR="00C735D0" w:rsidRPr="006B1E79">
          <w:rPr>
            <w:rStyle w:val="Hipervnculo"/>
            <w:rFonts w:ascii="Verdana" w:eastAsia="Calibri" w:hAnsi="Verdana"/>
            <w:noProof/>
            <w:sz w:val="18"/>
            <w:szCs w:val="18"/>
            <w:lang w:val="es-CR" w:eastAsia="es-CR"/>
          </w:rPr>
          <w:t>B.1. Alegatos del Estado y observaciones de la Comisión y los representantes</w:t>
        </w:r>
        <w:r w:rsidR="00C735D0" w:rsidRPr="006B1E79">
          <w:rPr>
            <w:rFonts w:ascii="Verdana" w:hAnsi="Verdana"/>
            <w:noProof/>
            <w:webHidden/>
            <w:sz w:val="18"/>
            <w:szCs w:val="18"/>
          </w:rPr>
          <w:tab/>
        </w:r>
        <w:r w:rsidR="00C735D0" w:rsidRPr="006B1E79">
          <w:rPr>
            <w:rFonts w:ascii="Verdana" w:hAnsi="Verdana"/>
            <w:noProof/>
            <w:webHidden/>
            <w:sz w:val="18"/>
            <w:szCs w:val="18"/>
          </w:rPr>
          <w:fldChar w:fldCharType="begin"/>
        </w:r>
        <w:r w:rsidR="00C735D0" w:rsidRPr="006B1E79">
          <w:rPr>
            <w:rFonts w:ascii="Verdana" w:hAnsi="Verdana"/>
            <w:noProof/>
            <w:webHidden/>
            <w:sz w:val="18"/>
            <w:szCs w:val="18"/>
          </w:rPr>
          <w:instrText xml:space="preserve"> PAGEREF _Toc25247732 \h </w:instrText>
        </w:r>
        <w:r w:rsidR="00C735D0" w:rsidRPr="006B1E79">
          <w:rPr>
            <w:rFonts w:ascii="Verdana" w:hAnsi="Verdana"/>
            <w:noProof/>
            <w:webHidden/>
            <w:sz w:val="18"/>
            <w:szCs w:val="18"/>
          </w:rPr>
        </w:r>
        <w:r w:rsidR="00C735D0" w:rsidRPr="006B1E79">
          <w:rPr>
            <w:rFonts w:ascii="Verdana" w:hAnsi="Verdana"/>
            <w:noProof/>
            <w:webHidden/>
            <w:sz w:val="18"/>
            <w:szCs w:val="18"/>
          </w:rPr>
          <w:fldChar w:fldCharType="separate"/>
        </w:r>
        <w:r>
          <w:rPr>
            <w:rFonts w:ascii="Verdana" w:hAnsi="Verdana"/>
            <w:noProof/>
            <w:webHidden/>
            <w:sz w:val="18"/>
            <w:szCs w:val="18"/>
          </w:rPr>
          <w:t>13</w:t>
        </w:r>
        <w:r w:rsidR="00C735D0" w:rsidRPr="006B1E79">
          <w:rPr>
            <w:rFonts w:ascii="Verdana" w:hAnsi="Verdana"/>
            <w:noProof/>
            <w:webHidden/>
            <w:sz w:val="18"/>
            <w:szCs w:val="18"/>
          </w:rPr>
          <w:fldChar w:fldCharType="end"/>
        </w:r>
      </w:hyperlink>
    </w:p>
    <w:p w14:paraId="346E3C89" w14:textId="3FCDD795" w:rsidR="00C735D0" w:rsidRPr="006B1E79" w:rsidRDefault="00990216" w:rsidP="00C735D0">
      <w:pPr>
        <w:pStyle w:val="TDC3"/>
        <w:tabs>
          <w:tab w:val="right" w:leader="dot" w:pos="9408"/>
        </w:tabs>
        <w:rPr>
          <w:rFonts w:ascii="Verdana" w:eastAsiaTheme="minorEastAsia" w:hAnsi="Verdana" w:cstheme="minorBidi"/>
          <w:i w:val="0"/>
          <w:iCs w:val="0"/>
          <w:noProof/>
          <w:sz w:val="18"/>
          <w:szCs w:val="18"/>
          <w:lang w:val="en-US"/>
        </w:rPr>
      </w:pPr>
      <w:hyperlink w:anchor="_Toc25247733" w:history="1">
        <w:r w:rsidR="00C735D0" w:rsidRPr="006B1E79">
          <w:rPr>
            <w:rStyle w:val="Hipervnculo"/>
            <w:rFonts w:ascii="Verdana" w:eastAsia="Calibri" w:hAnsi="Verdana"/>
            <w:noProof/>
            <w:sz w:val="18"/>
            <w:szCs w:val="18"/>
            <w:lang w:val="es-CR" w:eastAsia="es-CR"/>
          </w:rPr>
          <w:t>B.2. Consideraciones de la Corte</w:t>
        </w:r>
        <w:r w:rsidR="00C735D0" w:rsidRPr="006B1E79">
          <w:rPr>
            <w:rFonts w:ascii="Verdana" w:hAnsi="Verdana"/>
            <w:noProof/>
            <w:webHidden/>
            <w:sz w:val="18"/>
            <w:szCs w:val="18"/>
          </w:rPr>
          <w:tab/>
        </w:r>
        <w:r w:rsidR="00C735D0" w:rsidRPr="006B1E79">
          <w:rPr>
            <w:rFonts w:ascii="Verdana" w:hAnsi="Verdana"/>
            <w:noProof/>
            <w:webHidden/>
            <w:sz w:val="18"/>
            <w:szCs w:val="18"/>
          </w:rPr>
          <w:fldChar w:fldCharType="begin"/>
        </w:r>
        <w:r w:rsidR="00C735D0" w:rsidRPr="006B1E79">
          <w:rPr>
            <w:rFonts w:ascii="Verdana" w:hAnsi="Verdana"/>
            <w:noProof/>
            <w:webHidden/>
            <w:sz w:val="18"/>
            <w:szCs w:val="18"/>
          </w:rPr>
          <w:instrText xml:space="preserve"> PAGEREF _Toc25247733 \h </w:instrText>
        </w:r>
        <w:r w:rsidR="00C735D0" w:rsidRPr="006B1E79">
          <w:rPr>
            <w:rFonts w:ascii="Verdana" w:hAnsi="Verdana"/>
            <w:noProof/>
            <w:webHidden/>
            <w:sz w:val="18"/>
            <w:szCs w:val="18"/>
          </w:rPr>
        </w:r>
        <w:r w:rsidR="00C735D0" w:rsidRPr="006B1E79">
          <w:rPr>
            <w:rFonts w:ascii="Verdana" w:hAnsi="Verdana"/>
            <w:noProof/>
            <w:webHidden/>
            <w:sz w:val="18"/>
            <w:szCs w:val="18"/>
          </w:rPr>
          <w:fldChar w:fldCharType="separate"/>
        </w:r>
        <w:r>
          <w:rPr>
            <w:rFonts w:ascii="Verdana" w:hAnsi="Verdana"/>
            <w:noProof/>
            <w:webHidden/>
            <w:sz w:val="18"/>
            <w:szCs w:val="18"/>
          </w:rPr>
          <w:t>15</w:t>
        </w:r>
        <w:r w:rsidR="00C735D0" w:rsidRPr="006B1E79">
          <w:rPr>
            <w:rFonts w:ascii="Verdana" w:hAnsi="Verdana"/>
            <w:noProof/>
            <w:webHidden/>
            <w:sz w:val="18"/>
            <w:szCs w:val="18"/>
          </w:rPr>
          <w:fldChar w:fldCharType="end"/>
        </w:r>
      </w:hyperlink>
    </w:p>
    <w:p w14:paraId="04151795" w14:textId="29845DD1" w:rsidR="00C735D0" w:rsidRPr="006B1E79" w:rsidRDefault="00990216" w:rsidP="00C735D0">
      <w:pPr>
        <w:pStyle w:val="TDC1"/>
        <w:tabs>
          <w:tab w:val="right" w:leader="dot" w:pos="9408"/>
        </w:tabs>
        <w:spacing w:before="0" w:after="0"/>
        <w:rPr>
          <w:rFonts w:ascii="Verdana" w:eastAsiaTheme="minorEastAsia" w:hAnsi="Verdana" w:cstheme="minorBidi"/>
          <w:b w:val="0"/>
          <w:bCs w:val="0"/>
          <w:caps w:val="0"/>
          <w:noProof/>
          <w:sz w:val="18"/>
          <w:szCs w:val="18"/>
          <w:lang w:val="en-US"/>
        </w:rPr>
      </w:pPr>
      <w:hyperlink w:anchor="_Toc25247734" w:history="1">
        <w:r w:rsidR="00C735D0" w:rsidRPr="006B1E79">
          <w:rPr>
            <w:rStyle w:val="Hipervnculo"/>
            <w:rFonts w:ascii="Verdana" w:eastAsia="Verdana" w:hAnsi="Verdana"/>
            <w:noProof/>
            <w:sz w:val="18"/>
            <w:szCs w:val="18"/>
          </w:rPr>
          <w:t>VI  PRUEBA</w:t>
        </w:r>
        <w:r w:rsidR="00C735D0" w:rsidRPr="006B1E79">
          <w:rPr>
            <w:rFonts w:ascii="Verdana" w:hAnsi="Verdana"/>
            <w:noProof/>
            <w:webHidden/>
            <w:sz w:val="18"/>
            <w:szCs w:val="18"/>
          </w:rPr>
          <w:tab/>
        </w:r>
        <w:r w:rsidR="00C735D0" w:rsidRPr="006B1E79">
          <w:rPr>
            <w:rFonts w:ascii="Verdana" w:hAnsi="Verdana"/>
            <w:noProof/>
            <w:webHidden/>
            <w:sz w:val="18"/>
            <w:szCs w:val="18"/>
          </w:rPr>
          <w:fldChar w:fldCharType="begin"/>
        </w:r>
        <w:r w:rsidR="00C735D0" w:rsidRPr="006B1E79">
          <w:rPr>
            <w:rFonts w:ascii="Verdana" w:hAnsi="Verdana"/>
            <w:noProof/>
            <w:webHidden/>
            <w:sz w:val="18"/>
            <w:szCs w:val="18"/>
          </w:rPr>
          <w:instrText xml:space="preserve"> PAGEREF _Toc25247734 \h </w:instrText>
        </w:r>
        <w:r w:rsidR="00C735D0" w:rsidRPr="006B1E79">
          <w:rPr>
            <w:rFonts w:ascii="Verdana" w:hAnsi="Verdana"/>
            <w:noProof/>
            <w:webHidden/>
            <w:sz w:val="18"/>
            <w:szCs w:val="18"/>
          </w:rPr>
        </w:r>
        <w:r w:rsidR="00C735D0" w:rsidRPr="006B1E79">
          <w:rPr>
            <w:rFonts w:ascii="Verdana" w:hAnsi="Verdana"/>
            <w:noProof/>
            <w:webHidden/>
            <w:sz w:val="18"/>
            <w:szCs w:val="18"/>
          </w:rPr>
          <w:fldChar w:fldCharType="separate"/>
        </w:r>
        <w:r>
          <w:rPr>
            <w:rFonts w:ascii="Verdana" w:hAnsi="Verdana"/>
            <w:noProof/>
            <w:webHidden/>
            <w:sz w:val="18"/>
            <w:szCs w:val="18"/>
          </w:rPr>
          <w:t>16</w:t>
        </w:r>
        <w:r w:rsidR="00C735D0" w:rsidRPr="006B1E79">
          <w:rPr>
            <w:rFonts w:ascii="Verdana" w:hAnsi="Verdana"/>
            <w:noProof/>
            <w:webHidden/>
            <w:sz w:val="18"/>
            <w:szCs w:val="18"/>
          </w:rPr>
          <w:fldChar w:fldCharType="end"/>
        </w:r>
      </w:hyperlink>
    </w:p>
    <w:p w14:paraId="3836715E" w14:textId="3D72D1C6" w:rsidR="00C735D0" w:rsidRPr="006B1E79" w:rsidRDefault="00990216" w:rsidP="006B1B0F">
      <w:pPr>
        <w:pStyle w:val="TDC2"/>
        <w:rPr>
          <w:rFonts w:eastAsiaTheme="minorEastAsia" w:cstheme="minorBidi"/>
          <w:lang w:val="en-US"/>
        </w:rPr>
      </w:pPr>
      <w:hyperlink w:anchor="_Toc25247735" w:history="1">
        <w:r w:rsidR="00C735D0" w:rsidRPr="006B1E79">
          <w:rPr>
            <w:rStyle w:val="Hipervnculo"/>
          </w:rPr>
          <w:t>A.</w:t>
        </w:r>
        <w:r w:rsidR="00B84C6E">
          <w:rPr>
            <w:rStyle w:val="Hipervnculo"/>
          </w:rPr>
          <w:t xml:space="preserve"> </w:t>
        </w:r>
        <w:r w:rsidR="00B84C6E" w:rsidRPr="006B1E79">
          <w:rPr>
            <w:rStyle w:val="Hipervnculo"/>
          </w:rPr>
          <w:t xml:space="preserve"> </w:t>
        </w:r>
        <w:r w:rsidR="00C735D0" w:rsidRPr="006B1E79">
          <w:rPr>
            <w:rStyle w:val="Hipervnculo"/>
          </w:rPr>
          <w:t>Admisión de prueba documental</w:t>
        </w:r>
        <w:r w:rsidR="00C735D0" w:rsidRPr="006B1E79">
          <w:rPr>
            <w:webHidden/>
          </w:rPr>
          <w:tab/>
        </w:r>
        <w:r w:rsidR="00C735D0" w:rsidRPr="006B1E79">
          <w:rPr>
            <w:webHidden/>
          </w:rPr>
          <w:fldChar w:fldCharType="begin"/>
        </w:r>
        <w:r w:rsidR="00C735D0" w:rsidRPr="006B1E79">
          <w:rPr>
            <w:webHidden/>
          </w:rPr>
          <w:instrText xml:space="preserve"> PAGEREF _Toc25247735 \h </w:instrText>
        </w:r>
        <w:r w:rsidR="00C735D0" w:rsidRPr="006B1E79">
          <w:rPr>
            <w:webHidden/>
          </w:rPr>
        </w:r>
        <w:r w:rsidR="00C735D0" w:rsidRPr="006B1E79">
          <w:rPr>
            <w:webHidden/>
          </w:rPr>
          <w:fldChar w:fldCharType="separate"/>
        </w:r>
        <w:r>
          <w:rPr>
            <w:webHidden/>
          </w:rPr>
          <w:t>16</w:t>
        </w:r>
        <w:r w:rsidR="00C735D0" w:rsidRPr="006B1E79">
          <w:rPr>
            <w:webHidden/>
          </w:rPr>
          <w:fldChar w:fldCharType="end"/>
        </w:r>
      </w:hyperlink>
    </w:p>
    <w:p w14:paraId="1BA7EC81" w14:textId="3869A84C" w:rsidR="00C735D0" w:rsidRPr="006B1E79" w:rsidRDefault="00990216" w:rsidP="006B1B0F">
      <w:pPr>
        <w:pStyle w:val="TDC2"/>
        <w:rPr>
          <w:rFonts w:eastAsiaTheme="minorEastAsia" w:cstheme="minorBidi"/>
          <w:lang w:val="en-US"/>
        </w:rPr>
      </w:pPr>
      <w:hyperlink w:anchor="_Toc25247736" w:history="1">
        <w:r w:rsidR="00C735D0" w:rsidRPr="006B1E79">
          <w:rPr>
            <w:rStyle w:val="Hipervnculo"/>
          </w:rPr>
          <w:t>B. Admisibilidad de las declaraciones y prueba pericial</w:t>
        </w:r>
        <w:r w:rsidR="00C735D0" w:rsidRPr="006B1E79">
          <w:rPr>
            <w:webHidden/>
          </w:rPr>
          <w:tab/>
        </w:r>
        <w:r w:rsidR="00C735D0" w:rsidRPr="006B1E79">
          <w:rPr>
            <w:webHidden/>
          </w:rPr>
          <w:fldChar w:fldCharType="begin"/>
        </w:r>
        <w:r w:rsidR="00C735D0" w:rsidRPr="006B1E79">
          <w:rPr>
            <w:webHidden/>
          </w:rPr>
          <w:instrText xml:space="preserve"> PAGEREF _Toc25247736 \h </w:instrText>
        </w:r>
        <w:r w:rsidR="00C735D0" w:rsidRPr="006B1E79">
          <w:rPr>
            <w:webHidden/>
          </w:rPr>
        </w:r>
        <w:r w:rsidR="00C735D0" w:rsidRPr="006B1E79">
          <w:rPr>
            <w:webHidden/>
          </w:rPr>
          <w:fldChar w:fldCharType="separate"/>
        </w:r>
        <w:r>
          <w:rPr>
            <w:webHidden/>
          </w:rPr>
          <w:t>17</w:t>
        </w:r>
        <w:r w:rsidR="00C735D0" w:rsidRPr="006B1E79">
          <w:rPr>
            <w:webHidden/>
          </w:rPr>
          <w:fldChar w:fldCharType="end"/>
        </w:r>
      </w:hyperlink>
    </w:p>
    <w:p w14:paraId="1428E409" w14:textId="2CAFC437" w:rsidR="00C735D0" w:rsidRPr="006B1E79" w:rsidRDefault="00990216" w:rsidP="00C735D0">
      <w:pPr>
        <w:pStyle w:val="TDC1"/>
        <w:tabs>
          <w:tab w:val="right" w:leader="dot" w:pos="9408"/>
        </w:tabs>
        <w:spacing w:before="0" w:after="0"/>
        <w:rPr>
          <w:rFonts w:ascii="Verdana" w:eastAsiaTheme="minorEastAsia" w:hAnsi="Verdana" w:cstheme="minorBidi"/>
          <w:b w:val="0"/>
          <w:bCs w:val="0"/>
          <w:caps w:val="0"/>
          <w:noProof/>
          <w:sz w:val="18"/>
          <w:szCs w:val="18"/>
          <w:lang w:val="en-US"/>
        </w:rPr>
      </w:pPr>
      <w:hyperlink w:anchor="_Toc25247737" w:history="1">
        <w:r w:rsidR="00C735D0" w:rsidRPr="006B1E79">
          <w:rPr>
            <w:rStyle w:val="Hipervnculo"/>
            <w:rFonts w:ascii="Verdana" w:hAnsi="Verdana"/>
            <w:noProof/>
            <w:sz w:val="18"/>
            <w:szCs w:val="18"/>
          </w:rPr>
          <w:t>VII HECHOS</w:t>
        </w:r>
        <w:r w:rsidR="00C735D0" w:rsidRPr="006B1E79">
          <w:rPr>
            <w:rFonts w:ascii="Verdana" w:hAnsi="Verdana"/>
            <w:noProof/>
            <w:webHidden/>
            <w:sz w:val="18"/>
            <w:szCs w:val="18"/>
          </w:rPr>
          <w:tab/>
        </w:r>
        <w:r w:rsidR="00C735D0" w:rsidRPr="006B1E79">
          <w:rPr>
            <w:rFonts w:ascii="Verdana" w:hAnsi="Verdana"/>
            <w:noProof/>
            <w:webHidden/>
            <w:sz w:val="18"/>
            <w:szCs w:val="18"/>
          </w:rPr>
          <w:fldChar w:fldCharType="begin"/>
        </w:r>
        <w:r w:rsidR="00C735D0" w:rsidRPr="006B1E79">
          <w:rPr>
            <w:rFonts w:ascii="Verdana" w:hAnsi="Verdana"/>
            <w:noProof/>
            <w:webHidden/>
            <w:sz w:val="18"/>
            <w:szCs w:val="18"/>
          </w:rPr>
          <w:instrText xml:space="preserve"> PAGEREF _Toc25247737 \h </w:instrText>
        </w:r>
        <w:r w:rsidR="00C735D0" w:rsidRPr="006B1E79">
          <w:rPr>
            <w:rFonts w:ascii="Verdana" w:hAnsi="Verdana"/>
            <w:noProof/>
            <w:webHidden/>
            <w:sz w:val="18"/>
            <w:szCs w:val="18"/>
          </w:rPr>
        </w:r>
        <w:r w:rsidR="00C735D0" w:rsidRPr="006B1E79">
          <w:rPr>
            <w:rFonts w:ascii="Verdana" w:hAnsi="Verdana"/>
            <w:noProof/>
            <w:webHidden/>
            <w:sz w:val="18"/>
            <w:szCs w:val="18"/>
          </w:rPr>
          <w:fldChar w:fldCharType="separate"/>
        </w:r>
        <w:r>
          <w:rPr>
            <w:rFonts w:ascii="Verdana" w:hAnsi="Verdana"/>
            <w:noProof/>
            <w:webHidden/>
            <w:sz w:val="18"/>
            <w:szCs w:val="18"/>
          </w:rPr>
          <w:t>18</w:t>
        </w:r>
        <w:r w:rsidR="00C735D0" w:rsidRPr="006B1E79">
          <w:rPr>
            <w:rFonts w:ascii="Verdana" w:hAnsi="Verdana"/>
            <w:noProof/>
            <w:webHidden/>
            <w:sz w:val="18"/>
            <w:szCs w:val="18"/>
          </w:rPr>
          <w:fldChar w:fldCharType="end"/>
        </w:r>
      </w:hyperlink>
    </w:p>
    <w:p w14:paraId="7FC0F892" w14:textId="253FF3A4" w:rsidR="00C735D0" w:rsidRPr="006B1E79" w:rsidRDefault="00990216" w:rsidP="006B1B0F">
      <w:pPr>
        <w:pStyle w:val="TDC2"/>
        <w:rPr>
          <w:rFonts w:eastAsiaTheme="minorEastAsia" w:cstheme="minorBidi"/>
          <w:lang w:val="en-US"/>
        </w:rPr>
      </w:pPr>
      <w:hyperlink w:anchor="_Toc25247738" w:history="1">
        <w:r w:rsidR="00C735D0" w:rsidRPr="006B1E79">
          <w:rPr>
            <w:rStyle w:val="Hipervnculo"/>
          </w:rPr>
          <w:t>A. Normativa en Guatemala</w:t>
        </w:r>
        <w:r w:rsidR="00C735D0" w:rsidRPr="006B1E79">
          <w:rPr>
            <w:webHidden/>
          </w:rPr>
          <w:tab/>
        </w:r>
        <w:r w:rsidR="00C735D0" w:rsidRPr="006B1E79">
          <w:rPr>
            <w:webHidden/>
          </w:rPr>
          <w:fldChar w:fldCharType="begin"/>
        </w:r>
        <w:r w:rsidR="00C735D0" w:rsidRPr="006B1E79">
          <w:rPr>
            <w:webHidden/>
          </w:rPr>
          <w:instrText xml:space="preserve"> PAGEREF _Toc25247738 \h </w:instrText>
        </w:r>
        <w:r w:rsidR="00C735D0" w:rsidRPr="006B1E79">
          <w:rPr>
            <w:webHidden/>
          </w:rPr>
        </w:r>
        <w:r w:rsidR="00C735D0" w:rsidRPr="006B1E79">
          <w:rPr>
            <w:webHidden/>
          </w:rPr>
          <w:fldChar w:fldCharType="separate"/>
        </w:r>
        <w:r>
          <w:rPr>
            <w:webHidden/>
          </w:rPr>
          <w:t>18</w:t>
        </w:r>
        <w:r w:rsidR="00C735D0" w:rsidRPr="006B1E79">
          <w:rPr>
            <w:webHidden/>
          </w:rPr>
          <w:fldChar w:fldCharType="end"/>
        </w:r>
      </w:hyperlink>
    </w:p>
    <w:p w14:paraId="290CE7EF" w14:textId="454463CA" w:rsidR="00C735D0" w:rsidRPr="006B1E79" w:rsidRDefault="00990216" w:rsidP="00C735D0">
      <w:pPr>
        <w:pStyle w:val="TDC3"/>
        <w:tabs>
          <w:tab w:val="right" w:leader="dot" w:pos="9408"/>
        </w:tabs>
        <w:rPr>
          <w:rFonts w:ascii="Verdana" w:eastAsiaTheme="minorEastAsia" w:hAnsi="Verdana" w:cstheme="minorBidi"/>
          <w:i w:val="0"/>
          <w:iCs w:val="0"/>
          <w:noProof/>
          <w:sz w:val="18"/>
          <w:szCs w:val="18"/>
          <w:lang w:val="en-US"/>
        </w:rPr>
      </w:pPr>
      <w:hyperlink w:anchor="_Toc25247739" w:history="1">
        <w:r w:rsidR="00C735D0" w:rsidRPr="006B1E79">
          <w:rPr>
            <w:rStyle w:val="Hipervnculo"/>
            <w:rFonts w:ascii="Verdana" w:eastAsia="Verdana" w:hAnsi="Verdana"/>
            <w:noProof/>
            <w:sz w:val="18"/>
            <w:szCs w:val="18"/>
          </w:rPr>
          <w:t>A.1. Normativa vigente en Guatemala al momento de los hechos relativas a la pena de muerte</w:t>
        </w:r>
        <w:r w:rsidR="00C735D0" w:rsidRPr="006B1E79">
          <w:rPr>
            <w:rFonts w:ascii="Verdana" w:hAnsi="Verdana"/>
            <w:noProof/>
            <w:webHidden/>
            <w:sz w:val="18"/>
            <w:szCs w:val="18"/>
          </w:rPr>
          <w:tab/>
        </w:r>
        <w:r w:rsidR="00C735D0" w:rsidRPr="006B1E79">
          <w:rPr>
            <w:rFonts w:ascii="Verdana" w:hAnsi="Verdana"/>
            <w:noProof/>
            <w:webHidden/>
            <w:sz w:val="18"/>
            <w:szCs w:val="18"/>
          </w:rPr>
          <w:fldChar w:fldCharType="begin"/>
        </w:r>
        <w:r w:rsidR="00C735D0" w:rsidRPr="006B1E79">
          <w:rPr>
            <w:rFonts w:ascii="Verdana" w:hAnsi="Verdana"/>
            <w:noProof/>
            <w:webHidden/>
            <w:sz w:val="18"/>
            <w:szCs w:val="18"/>
          </w:rPr>
          <w:instrText xml:space="preserve"> PAGEREF _Toc25247739 \h </w:instrText>
        </w:r>
        <w:r w:rsidR="00C735D0" w:rsidRPr="006B1E79">
          <w:rPr>
            <w:rFonts w:ascii="Verdana" w:hAnsi="Verdana"/>
            <w:noProof/>
            <w:webHidden/>
            <w:sz w:val="18"/>
            <w:szCs w:val="18"/>
          </w:rPr>
        </w:r>
        <w:r w:rsidR="00C735D0" w:rsidRPr="006B1E79">
          <w:rPr>
            <w:rFonts w:ascii="Verdana" w:hAnsi="Verdana"/>
            <w:noProof/>
            <w:webHidden/>
            <w:sz w:val="18"/>
            <w:szCs w:val="18"/>
          </w:rPr>
          <w:fldChar w:fldCharType="separate"/>
        </w:r>
        <w:r>
          <w:rPr>
            <w:rFonts w:ascii="Verdana" w:hAnsi="Verdana"/>
            <w:noProof/>
            <w:webHidden/>
            <w:sz w:val="18"/>
            <w:szCs w:val="18"/>
          </w:rPr>
          <w:t>18</w:t>
        </w:r>
        <w:r w:rsidR="00C735D0" w:rsidRPr="006B1E79">
          <w:rPr>
            <w:rFonts w:ascii="Verdana" w:hAnsi="Verdana"/>
            <w:noProof/>
            <w:webHidden/>
            <w:sz w:val="18"/>
            <w:szCs w:val="18"/>
          </w:rPr>
          <w:fldChar w:fldCharType="end"/>
        </w:r>
      </w:hyperlink>
    </w:p>
    <w:p w14:paraId="6F2A8F11" w14:textId="1CB51F4C" w:rsidR="00C735D0" w:rsidRPr="006B1E79" w:rsidRDefault="00990216" w:rsidP="00C735D0">
      <w:pPr>
        <w:pStyle w:val="TDC3"/>
        <w:tabs>
          <w:tab w:val="right" w:leader="dot" w:pos="9408"/>
        </w:tabs>
        <w:rPr>
          <w:rFonts w:ascii="Verdana" w:eastAsiaTheme="minorEastAsia" w:hAnsi="Verdana" w:cstheme="minorBidi"/>
          <w:i w:val="0"/>
          <w:iCs w:val="0"/>
          <w:noProof/>
          <w:sz w:val="18"/>
          <w:szCs w:val="18"/>
          <w:lang w:val="en-US"/>
        </w:rPr>
      </w:pPr>
      <w:hyperlink w:anchor="_Toc25247740" w:history="1">
        <w:r w:rsidR="00C735D0" w:rsidRPr="006B1E79">
          <w:rPr>
            <w:rStyle w:val="Hipervnculo"/>
            <w:rFonts w:ascii="Verdana" w:eastAsia="Verdana" w:hAnsi="Verdana" w:cs="Verdana"/>
            <w:noProof/>
            <w:sz w:val="18"/>
            <w:szCs w:val="18"/>
            <w:lang w:val="es-CR"/>
          </w:rPr>
          <w:t>A.2. Normativa vigente en Guatemala relativa a la tortura al momento de los hechos</w:t>
        </w:r>
        <w:r w:rsidR="00C735D0" w:rsidRPr="006B1E79">
          <w:rPr>
            <w:rFonts w:ascii="Verdana" w:hAnsi="Verdana"/>
            <w:noProof/>
            <w:webHidden/>
            <w:sz w:val="18"/>
            <w:szCs w:val="18"/>
          </w:rPr>
          <w:tab/>
        </w:r>
        <w:r w:rsidR="00C735D0" w:rsidRPr="006B1E79">
          <w:rPr>
            <w:rFonts w:ascii="Verdana" w:hAnsi="Verdana"/>
            <w:noProof/>
            <w:webHidden/>
            <w:sz w:val="18"/>
            <w:szCs w:val="18"/>
          </w:rPr>
          <w:fldChar w:fldCharType="begin"/>
        </w:r>
        <w:r w:rsidR="00C735D0" w:rsidRPr="006B1E79">
          <w:rPr>
            <w:rFonts w:ascii="Verdana" w:hAnsi="Verdana"/>
            <w:noProof/>
            <w:webHidden/>
            <w:sz w:val="18"/>
            <w:szCs w:val="18"/>
          </w:rPr>
          <w:instrText xml:space="preserve"> PAGEREF _Toc25247740 \h </w:instrText>
        </w:r>
        <w:r w:rsidR="00C735D0" w:rsidRPr="006B1E79">
          <w:rPr>
            <w:rFonts w:ascii="Verdana" w:hAnsi="Verdana"/>
            <w:noProof/>
            <w:webHidden/>
            <w:sz w:val="18"/>
            <w:szCs w:val="18"/>
          </w:rPr>
        </w:r>
        <w:r w:rsidR="00C735D0" w:rsidRPr="006B1E79">
          <w:rPr>
            <w:rFonts w:ascii="Verdana" w:hAnsi="Verdana"/>
            <w:noProof/>
            <w:webHidden/>
            <w:sz w:val="18"/>
            <w:szCs w:val="18"/>
          </w:rPr>
          <w:fldChar w:fldCharType="separate"/>
        </w:r>
        <w:r>
          <w:rPr>
            <w:rFonts w:ascii="Verdana" w:hAnsi="Verdana"/>
            <w:noProof/>
            <w:webHidden/>
            <w:sz w:val="18"/>
            <w:szCs w:val="18"/>
          </w:rPr>
          <w:t>19</w:t>
        </w:r>
        <w:r w:rsidR="00C735D0" w:rsidRPr="006B1E79">
          <w:rPr>
            <w:rFonts w:ascii="Verdana" w:hAnsi="Verdana"/>
            <w:noProof/>
            <w:webHidden/>
            <w:sz w:val="18"/>
            <w:szCs w:val="18"/>
          </w:rPr>
          <w:fldChar w:fldCharType="end"/>
        </w:r>
      </w:hyperlink>
    </w:p>
    <w:p w14:paraId="4EBF77CF" w14:textId="69BA4B02" w:rsidR="00C735D0" w:rsidRPr="006B1E79" w:rsidRDefault="00990216" w:rsidP="006B1B0F">
      <w:pPr>
        <w:pStyle w:val="TDC2"/>
        <w:rPr>
          <w:rFonts w:eastAsiaTheme="minorEastAsia" w:cstheme="minorBidi"/>
          <w:lang w:val="en-US"/>
        </w:rPr>
      </w:pPr>
      <w:hyperlink w:anchor="_Toc25247741" w:history="1">
        <w:r w:rsidR="00C735D0" w:rsidRPr="006B1E79">
          <w:rPr>
            <w:rStyle w:val="Hipervnculo"/>
          </w:rPr>
          <w:t>B. Situación de Tirso Román Valenzuela Ávila y el proceso penal que culminó con la condena de muerte</w:t>
        </w:r>
        <w:r w:rsidR="00C735D0" w:rsidRPr="006B1E79">
          <w:rPr>
            <w:webHidden/>
          </w:rPr>
          <w:tab/>
        </w:r>
        <w:r w:rsidR="00C735D0" w:rsidRPr="006B1E79">
          <w:rPr>
            <w:webHidden/>
          </w:rPr>
          <w:fldChar w:fldCharType="begin"/>
        </w:r>
        <w:r w:rsidR="00C735D0" w:rsidRPr="006B1E79">
          <w:rPr>
            <w:webHidden/>
          </w:rPr>
          <w:instrText xml:space="preserve"> PAGEREF _Toc25247741 \h </w:instrText>
        </w:r>
        <w:r w:rsidR="00C735D0" w:rsidRPr="006B1E79">
          <w:rPr>
            <w:webHidden/>
          </w:rPr>
        </w:r>
        <w:r w:rsidR="00C735D0" w:rsidRPr="006B1E79">
          <w:rPr>
            <w:webHidden/>
          </w:rPr>
          <w:fldChar w:fldCharType="separate"/>
        </w:r>
        <w:r>
          <w:rPr>
            <w:webHidden/>
          </w:rPr>
          <w:t>20</w:t>
        </w:r>
        <w:r w:rsidR="00C735D0" w:rsidRPr="006B1E79">
          <w:rPr>
            <w:webHidden/>
          </w:rPr>
          <w:fldChar w:fldCharType="end"/>
        </w:r>
      </w:hyperlink>
    </w:p>
    <w:p w14:paraId="22642B20" w14:textId="64E93512" w:rsidR="00C735D0" w:rsidRPr="006B1E79" w:rsidRDefault="00990216" w:rsidP="00C735D0">
      <w:pPr>
        <w:pStyle w:val="TDC3"/>
        <w:tabs>
          <w:tab w:val="right" w:leader="dot" w:pos="9408"/>
        </w:tabs>
        <w:rPr>
          <w:rFonts w:ascii="Verdana" w:eastAsiaTheme="minorEastAsia" w:hAnsi="Verdana" w:cstheme="minorBidi"/>
          <w:i w:val="0"/>
          <w:iCs w:val="0"/>
          <w:noProof/>
          <w:sz w:val="18"/>
          <w:szCs w:val="18"/>
          <w:lang w:val="en-US"/>
        </w:rPr>
      </w:pPr>
      <w:hyperlink w:anchor="_Toc25247742" w:history="1">
        <w:r w:rsidR="00C735D0" w:rsidRPr="006B1E79">
          <w:rPr>
            <w:rStyle w:val="Hipervnculo"/>
            <w:rFonts w:ascii="Verdana" w:hAnsi="Verdana"/>
            <w:noProof/>
            <w:sz w:val="18"/>
            <w:szCs w:val="18"/>
            <w:lang w:val="es-AR"/>
          </w:rPr>
          <w:t>B.1.  Detención y Allanamiento</w:t>
        </w:r>
        <w:r w:rsidR="00C735D0" w:rsidRPr="006B1E79">
          <w:rPr>
            <w:rFonts w:ascii="Verdana" w:hAnsi="Verdana"/>
            <w:noProof/>
            <w:webHidden/>
            <w:sz w:val="18"/>
            <w:szCs w:val="18"/>
          </w:rPr>
          <w:tab/>
        </w:r>
        <w:r w:rsidR="00C735D0" w:rsidRPr="006B1E79">
          <w:rPr>
            <w:rFonts w:ascii="Verdana" w:hAnsi="Verdana"/>
            <w:noProof/>
            <w:webHidden/>
            <w:sz w:val="18"/>
            <w:szCs w:val="18"/>
          </w:rPr>
          <w:fldChar w:fldCharType="begin"/>
        </w:r>
        <w:r w:rsidR="00C735D0" w:rsidRPr="006B1E79">
          <w:rPr>
            <w:rFonts w:ascii="Verdana" w:hAnsi="Verdana"/>
            <w:noProof/>
            <w:webHidden/>
            <w:sz w:val="18"/>
            <w:szCs w:val="18"/>
          </w:rPr>
          <w:instrText xml:space="preserve"> PAGEREF _Toc25247742 \h </w:instrText>
        </w:r>
        <w:r w:rsidR="00C735D0" w:rsidRPr="006B1E79">
          <w:rPr>
            <w:rFonts w:ascii="Verdana" w:hAnsi="Verdana"/>
            <w:noProof/>
            <w:webHidden/>
            <w:sz w:val="18"/>
            <w:szCs w:val="18"/>
          </w:rPr>
        </w:r>
        <w:r w:rsidR="00C735D0" w:rsidRPr="006B1E79">
          <w:rPr>
            <w:rFonts w:ascii="Verdana" w:hAnsi="Verdana"/>
            <w:noProof/>
            <w:webHidden/>
            <w:sz w:val="18"/>
            <w:szCs w:val="18"/>
          </w:rPr>
          <w:fldChar w:fldCharType="separate"/>
        </w:r>
        <w:r>
          <w:rPr>
            <w:rFonts w:ascii="Verdana" w:hAnsi="Verdana"/>
            <w:noProof/>
            <w:webHidden/>
            <w:sz w:val="18"/>
            <w:szCs w:val="18"/>
          </w:rPr>
          <w:t>20</w:t>
        </w:r>
        <w:r w:rsidR="00C735D0" w:rsidRPr="006B1E79">
          <w:rPr>
            <w:rFonts w:ascii="Verdana" w:hAnsi="Verdana"/>
            <w:noProof/>
            <w:webHidden/>
            <w:sz w:val="18"/>
            <w:szCs w:val="18"/>
          </w:rPr>
          <w:fldChar w:fldCharType="end"/>
        </w:r>
      </w:hyperlink>
    </w:p>
    <w:p w14:paraId="77D725D1" w14:textId="316B8C69" w:rsidR="00C735D0" w:rsidRPr="006B1E79" w:rsidRDefault="00990216" w:rsidP="00C735D0">
      <w:pPr>
        <w:pStyle w:val="TDC3"/>
        <w:tabs>
          <w:tab w:val="right" w:leader="dot" w:pos="9408"/>
        </w:tabs>
        <w:rPr>
          <w:rFonts w:ascii="Verdana" w:eastAsiaTheme="minorEastAsia" w:hAnsi="Verdana" w:cstheme="minorBidi"/>
          <w:i w:val="0"/>
          <w:iCs w:val="0"/>
          <w:noProof/>
          <w:sz w:val="18"/>
          <w:szCs w:val="18"/>
          <w:lang w:val="en-US"/>
        </w:rPr>
      </w:pPr>
      <w:hyperlink w:anchor="_Toc25247743" w:history="1">
        <w:r w:rsidR="00C735D0" w:rsidRPr="006B1E79">
          <w:rPr>
            <w:rStyle w:val="Hipervnculo"/>
            <w:rFonts w:ascii="Verdana" w:hAnsi="Verdana"/>
            <w:noProof/>
            <w:sz w:val="18"/>
            <w:szCs w:val="18"/>
            <w:lang w:val="es-AR"/>
          </w:rPr>
          <w:t>B.2.</w:t>
        </w:r>
        <w:r w:rsidR="00C735D0" w:rsidRPr="006B1E79">
          <w:rPr>
            <w:rStyle w:val="Hipervnculo"/>
            <w:rFonts w:ascii="Verdana" w:hAnsi="Verdana"/>
            <w:noProof/>
            <w:sz w:val="18"/>
            <w:szCs w:val="18"/>
            <w:lang w:val="es-CR"/>
          </w:rPr>
          <w:t xml:space="preserve"> P</w:t>
        </w:r>
        <w:r w:rsidR="00C735D0" w:rsidRPr="006B1E79">
          <w:rPr>
            <w:rStyle w:val="Hipervnculo"/>
            <w:rFonts w:ascii="Verdana" w:hAnsi="Verdana"/>
            <w:noProof/>
            <w:sz w:val="18"/>
            <w:szCs w:val="18"/>
            <w:lang w:val="es-PE"/>
          </w:rPr>
          <w:t>roceso penal llevado en contra del señor Valenzuela</w:t>
        </w:r>
        <w:r w:rsidR="00C735D0" w:rsidRPr="006B1E79">
          <w:rPr>
            <w:rFonts w:ascii="Verdana" w:hAnsi="Verdana"/>
            <w:noProof/>
            <w:webHidden/>
            <w:sz w:val="18"/>
            <w:szCs w:val="18"/>
          </w:rPr>
          <w:tab/>
        </w:r>
        <w:r w:rsidR="00C735D0" w:rsidRPr="006B1E79">
          <w:rPr>
            <w:rFonts w:ascii="Verdana" w:hAnsi="Verdana"/>
            <w:noProof/>
            <w:webHidden/>
            <w:sz w:val="18"/>
            <w:szCs w:val="18"/>
          </w:rPr>
          <w:fldChar w:fldCharType="begin"/>
        </w:r>
        <w:r w:rsidR="00C735D0" w:rsidRPr="006B1E79">
          <w:rPr>
            <w:rFonts w:ascii="Verdana" w:hAnsi="Verdana"/>
            <w:noProof/>
            <w:webHidden/>
            <w:sz w:val="18"/>
            <w:szCs w:val="18"/>
          </w:rPr>
          <w:instrText xml:space="preserve"> PAGEREF _Toc25247743 \h </w:instrText>
        </w:r>
        <w:r w:rsidR="00C735D0" w:rsidRPr="006B1E79">
          <w:rPr>
            <w:rFonts w:ascii="Verdana" w:hAnsi="Verdana"/>
            <w:noProof/>
            <w:webHidden/>
            <w:sz w:val="18"/>
            <w:szCs w:val="18"/>
          </w:rPr>
        </w:r>
        <w:r w:rsidR="00C735D0" w:rsidRPr="006B1E79">
          <w:rPr>
            <w:rFonts w:ascii="Verdana" w:hAnsi="Verdana"/>
            <w:noProof/>
            <w:webHidden/>
            <w:sz w:val="18"/>
            <w:szCs w:val="18"/>
          </w:rPr>
          <w:fldChar w:fldCharType="separate"/>
        </w:r>
        <w:r>
          <w:rPr>
            <w:rFonts w:ascii="Verdana" w:hAnsi="Verdana"/>
            <w:noProof/>
            <w:webHidden/>
            <w:sz w:val="18"/>
            <w:szCs w:val="18"/>
          </w:rPr>
          <w:t>21</w:t>
        </w:r>
        <w:r w:rsidR="00C735D0" w:rsidRPr="006B1E79">
          <w:rPr>
            <w:rFonts w:ascii="Verdana" w:hAnsi="Verdana"/>
            <w:noProof/>
            <w:webHidden/>
            <w:sz w:val="18"/>
            <w:szCs w:val="18"/>
          </w:rPr>
          <w:fldChar w:fldCharType="end"/>
        </w:r>
      </w:hyperlink>
    </w:p>
    <w:p w14:paraId="13D2AFCD" w14:textId="591B3241" w:rsidR="00C735D0" w:rsidRPr="006B1E79" w:rsidRDefault="00990216" w:rsidP="00C735D0">
      <w:pPr>
        <w:pStyle w:val="TDC4"/>
        <w:tabs>
          <w:tab w:val="right" w:leader="dot" w:pos="9408"/>
        </w:tabs>
        <w:rPr>
          <w:rFonts w:ascii="Verdana" w:eastAsiaTheme="minorEastAsia" w:hAnsi="Verdana" w:cstheme="minorBidi"/>
          <w:noProof/>
          <w:lang w:val="en-US"/>
        </w:rPr>
      </w:pPr>
      <w:hyperlink w:anchor="_Toc25247744" w:history="1">
        <w:r w:rsidR="00C735D0" w:rsidRPr="006B1E79">
          <w:rPr>
            <w:rStyle w:val="Hipervnculo"/>
            <w:rFonts w:ascii="Verdana" w:hAnsi="Verdana"/>
            <w:noProof/>
            <w:lang w:val="es-PE"/>
          </w:rPr>
          <w:t xml:space="preserve">B.2.1 </w:t>
        </w:r>
        <w:r w:rsidR="00C735D0" w:rsidRPr="006B1E79">
          <w:rPr>
            <w:rStyle w:val="Hipervnculo"/>
            <w:rFonts w:ascii="Verdana" w:hAnsi="Verdana"/>
            <w:noProof/>
          </w:rPr>
          <w:t>Hechos que dan lugar a la sentencia condenatoria de pena de muerte</w:t>
        </w:r>
        <w:r w:rsidR="00C735D0" w:rsidRPr="006B1E79">
          <w:rPr>
            <w:rFonts w:ascii="Verdana" w:hAnsi="Verdana"/>
            <w:noProof/>
            <w:webHidden/>
          </w:rPr>
          <w:tab/>
        </w:r>
        <w:r w:rsidR="00C735D0" w:rsidRPr="006B1E79">
          <w:rPr>
            <w:rFonts w:ascii="Verdana" w:hAnsi="Verdana"/>
            <w:noProof/>
            <w:webHidden/>
          </w:rPr>
          <w:fldChar w:fldCharType="begin"/>
        </w:r>
        <w:r w:rsidR="00C735D0" w:rsidRPr="006B1E79">
          <w:rPr>
            <w:rFonts w:ascii="Verdana" w:hAnsi="Verdana"/>
            <w:noProof/>
            <w:webHidden/>
          </w:rPr>
          <w:instrText xml:space="preserve"> PAGEREF _Toc25247744 \h </w:instrText>
        </w:r>
        <w:r w:rsidR="00C735D0" w:rsidRPr="006B1E79">
          <w:rPr>
            <w:rFonts w:ascii="Verdana" w:hAnsi="Verdana"/>
            <w:noProof/>
            <w:webHidden/>
          </w:rPr>
        </w:r>
        <w:r w:rsidR="00C735D0" w:rsidRPr="006B1E79">
          <w:rPr>
            <w:rFonts w:ascii="Verdana" w:hAnsi="Verdana"/>
            <w:noProof/>
            <w:webHidden/>
          </w:rPr>
          <w:fldChar w:fldCharType="separate"/>
        </w:r>
        <w:r>
          <w:rPr>
            <w:rFonts w:ascii="Verdana" w:hAnsi="Verdana"/>
            <w:noProof/>
            <w:webHidden/>
          </w:rPr>
          <w:t>21</w:t>
        </w:r>
        <w:r w:rsidR="00C735D0" w:rsidRPr="006B1E79">
          <w:rPr>
            <w:rFonts w:ascii="Verdana" w:hAnsi="Verdana"/>
            <w:noProof/>
            <w:webHidden/>
          </w:rPr>
          <w:fldChar w:fldCharType="end"/>
        </w:r>
      </w:hyperlink>
    </w:p>
    <w:p w14:paraId="14AEFC1B" w14:textId="26C77C61" w:rsidR="00C735D0" w:rsidRPr="006B1E79" w:rsidRDefault="00990216" w:rsidP="006B1B0F">
      <w:pPr>
        <w:pStyle w:val="TDC2"/>
        <w:rPr>
          <w:rFonts w:eastAsiaTheme="minorEastAsia" w:cstheme="minorBidi"/>
          <w:lang w:val="en-US"/>
        </w:rPr>
      </w:pPr>
      <w:hyperlink w:anchor="_Toc25247745" w:history="1">
        <w:r w:rsidR="00C735D0" w:rsidRPr="006B1E79">
          <w:rPr>
            <w:rStyle w:val="Hipervnculo"/>
            <w:lang w:val="es-AR"/>
          </w:rPr>
          <w:t>C.</w:t>
        </w:r>
        <w:r w:rsidR="00C735D0" w:rsidRPr="006B1E79">
          <w:rPr>
            <w:rFonts w:eastAsiaTheme="minorEastAsia" w:cstheme="minorBidi"/>
            <w:lang w:val="en-US"/>
          </w:rPr>
          <w:t xml:space="preserve"> </w:t>
        </w:r>
        <w:r w:rsidR="00C735D0" w:rsidRPr="006B1E79">
          <w:rPr>
            <w:rStyle w:val="Hipervnculo"/>
            <w:lang w:val="es-AR"/>
          </w:rPr>
          <w:t>Alegadas torturas y malos tratos, fugas del señor Valenzuela y diligencias judiciales realizadas</w:t>
        </w:r>
        <w:r w:rsidR="00C735D0" w:rsidRPr="006B1E79">
          <w:rPr>
            <w:webHidden/>
          </w:rPr>
          <w:tab/>
        </w:r>
        <w:r w:rsidR="00C735D0" w:rsidRPr="006B1E79">
          <w:rPr>
            <w:webHidden/>
          </w:rPr>
          <w:fldChar w:fldCharType="begin"/>
        </w:r>
        <w:r w:rsidR="00C735D0" w:rsidRPr="006B1E79">
          <w:rPr>
            <w:webHidden/>
          </w:rPr>
          <w:instrText xml:space="preserve"> PAGEREF _Toc25247745 \h </w:instrText>
        </w:r>
        <w:r w:rsidR="00C735D0" w:rsidRPr="006B1E79">
          <w:rPr>
            <w:webHidden/>
          </w:rPr>
        </w:r>
        <w:r w:rsidR="00C735D0" w:rsidRPr="006B1E79">
          <w:rPr>
            <w:webHidden/>
          </w:rPr>
          <w:fldChar w:fldCharType="separate"/>
        </w:r>
        <w:r>
          <w:rPr>
            <w:webHidden/>
          </w:rPr>
          <w:t>22</w:t>
        </w:r>
        <w:r w:rsidR="00C735D0" w:rsidRPr="006B1E79">
          <w:rPr>
            <w:webHidden/>
          </w:rPr>
          <w:fldChar w:fldCharType="end"/>
        </w:r>
      </w:hyperlink>
    </w:p>
    <w:p w14:paraId="180A46DE" w14:textId="41F822E7" w:rsidR="00C735D0" w:rsidRPr="006B1E79" w:rsidRDefault="00990216" w:rsidP="00C735D0">
      <w:pPr>
        <w:pStyle w:val="TDC3"/>
        <w:tabs>
          <w:tab w:val="right" w:leader="dot" w:pos="9408"/>
        </w:tabs>
        <w:rPr>
          <w:rFonts w:ascii="Verdana" w:eastAsiaTheme="minorEastAsia" w:hAnsi="Verdana" w:cstheme="minorBidi"/>
          <w:i w:val="0"/>
          <w:iCs w:val="0"/>
          <w:noProof/>
          <w:sz w:val="18"/>
          <w:szCs w:val="18"/>
          <w:lang w:val="en-US"/>
        </w:rPr>
      </w:pPr>
      <w:hyperlink w:anchor="_Toc25247746" w:history="1">
        <w:r w:rsidR="00C735D0" w:rsidRPr="006B1E79">
          <w:rPr>
            <w:rStyle w:val="Hipervnculo"/>
            <w:rFonts w:ascii="Verdana" w:hAnsi="Verdana"/>
            <w:noProof/>
            <w:sz w:val="18"/>
            <w:szCs w:val="18"/>
            <w:lang w:val="es-AR"/>
          </w:rPr>
          <w:t xml:space="preserve">C.1. Detención del </w:t>
        </w:r>
        <w:r w:rsidR="00C735D0" w:rsidRPr="006B1E79">
          <w:rPr>
            <w:rStyle w:val="Hipervnculo"/>
            <w:rFonts w:ascii="Verdana" w:eastAsia="Verdana" w:hAnsi="Verdana" w:cs="Verdana"/>
            <w:noProof/>
            <w:sz w:val="18"/>
            <w:szCs w:val="18"/>
            <w:lang w:val="es-CR"/>
          </w:rPr>
          <w:t>27 de mayo de 1998</w:t>
        </w:r>
        <w:r w:rsidR="00C735D0" w:rsidRPr="006B1E79">
          <w:rPr>
            <w:rFonts w:ascii="Verdana" w:hAnsi="Verdana"/>
            <w:noProof/>
            <w:webHidden/>
            <w:sz w:val="18"/>
            <w:szCs w:val="18"/>
          </w:rPr>
          <w:tab/>
        </w:r>
        <w:r w:rsidR="00C735D0" w:rsidRPr="006B1E79">
          <w:rPr>
            <w:rFonts w:ascii="Verdana" w:hAnsi="Verdana"/>
            <w:noProof/>
            <w:webHidden/>
            <w:sz w:val="18"/>
            <w:szCs w:val="18"/>
          </w:rPr>
          <w:fldChar w:fldCharType="begin"/>
        </w:r>
        <w:r w:rsidR="00C735D0" w:rsidRPr="006B1E79">
          <w:rPr>
            <w:rFonts w:ascii="Verdana" w:hAnsi="Verdana"/>
            <w:noProof/>
            <w:webHidden/>
            <w:sz w:val="18"/>
            <w:szCs w:val="18"/>
          </w:rPr>
          <w:instrText xml:space="preserve"> PAGEREF _Toc25247746 \h </w:instrText>
        </w:r>
        <w:r w:rsidR="00C735D0" w:rsidRPr="006B1E79">
          <w:rPr>
            <w:rFonts w:ascii="Verdana" w:hAnsi="Verdana"/>
            <w:noProof/>
            <w:webHidden/>
            <w:sz w:val="18"/>
            <w:szCs w:val="18"/>
          </w:rPr>
        </w:r>
        <w:r w:rsidR="00C735D0" w:rsidRPr="006B1E79">
          <w:rPr>
            <w:rFonts w:ascii="Verdana" w:hAnsi="Verdana"/>
            <w:noProof/>
            <w:webHidden/>
            <w:sz w:val="18"/>
            <w:szCs w:val="18"/>
          </w:rPr>
          <w:fldChar w:fldCharType="separate"/>
        </w:r>
        <w:r>
          <w:rPr>
            <w:rFonts w:ascii="Verdana" w:hAnsi="Verdana"/>
            <w:noProof/>
            <w:webHidden/>
            <w:sz w:val="18"/>
            <w:szCs w:val="18"/>
          </w:rPr>
          <w:t>22</w:t>
        </w:r>
        <w:r w:rsidR="00C735D0" w:rsidRPr="006B1E79">
          <w:rPr>
            <w:rFonts w:ascii="Verdana" w:hAnsi="Verdana"/>
            <w:noProof/>
            <w:webHidden/>
            <w:sz w:val="18"/>
            <w:szCs w:val="18"/>
          </w:rPr>
          <w:fldChar w:fldCharType="end"/>
        </w:r>
      </w:hyperlink>
    </w:p>
    <w:p w14:paraId="5D4D68D2" w14:textId="62BC889C" w:rsidR="00C735D0" w:rsidRPr="006B1E79" w:rsidRDefault="00990216" w:rsidP="00C735D0">
      <w:pPr>
        <w:pStyle w:val="TDC3"/>
        <w:tabs>
          <w:tab w:val="right" w:leader="dot" w:pos="9408"/>
        </w:tabs>
        <w:rPr>
          <w:rFonts w:ascii="Verdana" w:eastAsiaTheme="minorEastAsia" w:hAnsi="Verdana" w:cstheme="minorBidi"/>
          <w:i w:val="0"/>
          <w:iCs w:val="0"/>
          <w:noProof/>
          <w:sz w:val="18"/>
          <w:szCs w:val="18"/>
          <w:lang w:val="en-US"/>
        </w:rPr>
      </w:pPr>
      <w:hyperlink w:anchor="_Toc25247747" w:history="1">
        <w:r w:rsidR="00C735D0" w:rsidRPr="006B1E79">
          <w:rPr>
            <w:rStyle w:val="Hipervnculo"/>
            <w:rFonts w:ascii="Verdana" w:hAnsi="Verdana"/>
            <w:noProof/>
            <w:sz w:val="18"/>
            <w:szCs w:val="18"/>
            <w:lang w:val="es-AR"/>
          </w:rPr>
          <w:t>C.2.  Su primera fuga y recaptura</w:t>
        </w:r>
        <w:r w:rsidR="00C735D0" w:rsidRPr="006B1E79">
          <w:rPr>
            <w:rFonts w:ascii="Verdana" w:hAnsi="Verdana"/>
            <w:noProof/>
            <w:webHidden/>
            <w:sz w:val="18"/>
            <w:szCs w:val="18"/>
          </w:rPr>
          <w:tab/>
        </w:r>
        <w:r w:rsidR="00C735D0" w:rsidRPr="006B1E79">
          <w:rPr>
            <w:rFonts w:ascii="Verdana" w:hAnsi="Verdana"/>
            <w:noProof/>
            <w:webHidden/>
            <w:sz w:val="18"/>
            <w:szCs w:val="18"/>
          </w:rPr>
          <w:fldChar w:fldCharType="begin"/>
        </w:r>
        <w:r w:rsidR="00C735D0" w:rsidRPr="006B1E79">
          <w:rPr>
            <w:rFonts w:ascii="Verdana" w:hAnsi="Verdana"/>
            <w:noProof/>
            <w:webHidden/>
            <w:sz w:val="18"/>
            <w:szCs w:val="18"/>
          </w:rPr>
          <w:instrText xml:space="preserve"> PAGEREF _Toc25247747 \h </w:instrText>
        </w:r>
        <w:r w:rsidR="00C735D0" w:rsidRPr="006B1E79">
          <w:rPr>
            <w:rFonts w:ascii="Verdana" w:hAnsi="Verdana"/>
            <w:noProof/>
            <w:webHidden/>
            <w:sz w:val="18"/>
            <w:szCs w:val="18"/>
          </w:rPr>
        </w:r>
        <w:r w:rsidR="00C735D0" w:rsidRPr="006B1E79">
          <w:rPr>
            <w:rFonts w:ascii="Verdana" w:hAnsi="Verdana"/>
            <w:noProof/>
            <w:webHidden/>
            <w:sz w:val="18"/>
            <w:szCs w:val="18"/>
          </w:rPr>
          <w:fldChar w:fldCharType="separate"/>
        </w:r>
        <w:r>
          <w:rPr>
            <w:rFonts w:ascii="Verdana" w:hAnsi="Verdana"/>
            <w:noProof/>
            <w:webHidden/>
            <w:sz w:val="18"/>
            <w:szCs w:val="18"/>
          </w:rPr>
          <w:t>23</w:t>
        </w:r>
        <w:r w:rsidR="00C735D0" w:rsidRPr="006B1E79">
          <w:rPr>
            <w:rFonts w:ascii="Verdana" w:hAnsi="Verdana"/>
            <w:noProof/>
            <w:webHidden/>
            <w:sz w:val="18"/>
            <w:szCs w:val="18"/>
          </w:rPr>
          <w:fldChar w:fldCharType="end"/>
        </w:r>
      </w:hyperlink>
    </w:p>
    <w:p w14:paraId="7DBB26A3" w14:textId="0B7E91C6" w:rsidR="00C735D0" w:rsidRPr="006B1E79" w:rsidRDefault="00990216" w:rsidP="00C735D0">
      <w:pPr>
        <w:pStyle w:val="TDC3"/>
        <w:tabs>
          <w:tab w:val="right" w:leader="dot" w:pos="9408"/>
        </w:tabs>
        <w:rPr>
          <w:rFonts w:ascii="Verdana" w:eastAsiaTheme="minorEastAsia" w:hAnsi="Verdana" w:cstheme="minorBidi"/>
          <w:i w:val="0"/>
          <w:iCs w:val="0"/>
          <w:noProof/>
          <w:sz w:val="18"/>
          <w:szCs w:val="18"/>
          <w:lang w:val="en-US"/>
        </w:rPr>
      </w:pPr>
      <w:hyperlink w:anchor="_Toc25247748" w:history="1">
        <w:r w:rsidR="00C735D0" w:rsidRPr="006B1E79">
          <w:rPr>
            <w:rStyle w:val="Hipervnculo"/>
            <w:rFonts w:ascii="Verdana" w:hAnsi="Verdana"/>
            <w:noProof/>
            <w:sz w:val="18"/>
            <w:szCs w:val="18"/>
            <w:lang w:val="es-AR"/>
          </w:rPr>
          <w:t>C.3. Segunda fuga y recaptura</w:t>
        </w:r>
        <w:r w:rsidR="00C735D0" w:rsidRPr="006B1E79">
          <w:rPr>
            <w:rFonts w:ascii="Verdana" w:hAnsi="Verdana"/>
            <w:noProof/>
            <w:webHidden/>
            <w:sz w:val="18"/>
            <w:szCs w:val="18"/>
          </w:rPr>
          <w:tab/>
        </w:r>
        <w:r w:rsidR="00C735D0" w:rsidRPr="006B1E79">
          <w:rPr>
            <w:rFonts w:ascii="Verdana" w:hAnsi="Verdana"/>
            <w:noProof/>
            <w:webHidden/>
            <w:sz w:val="18"/>
            <w:szCs w:val="18"/>
          </w:rPr>
          <w:fldChar w:fldCharType="begin"/>
        </w:r>
        <w:r w:rsidR="00C735D0" w:rsidRPr="006B1E79">
          <w:rPr>
            <w:rFonts w:ascii="Verdana" w:hAnsi="Verdana"/>
            <w:noProof/>
            <w:webHidden/>
            <w:sz w:val="18"/>
            <w:szCs w:val="18"/>
          </w:rPr>
          <w:instrText xml:space="preserve"> PAGEREF _Toc25247748 \h </w:instrText>
        </w:r>
        <w:r w:rsidR="00C735D0" w:rsidRPr="006B1E79">
          <w:rPr>
            <w:rFonts w:ascii="Verdana" w:hAnsi="Verdana"/>
            <w:noProof/>
            <w:webHidden/>
            <w:sz w:val="18"/>
            <w:szCs w:val="18"/>
          </w:rPr>
        </w:r>
        <w:r w:rsidR="00C735D0" w:rsidRPr="006B1E79">
          <w:rPr>
            <w:rFonts w:ascii="Verdana" w:hAnsi="Verdana"/>
            <w:noProof/>
            <w:webHidden/>
            <w:sz w:val="18"/>
            <w:szCs w:val="18"/>
          </w:rPr>
          <w:fldChar w:fldCharType="separate"/>
        </w:r>
        <w:r>
          <w:rPr>
            <w:rFonts w:ascii="Verdana" w:hAnsi="Verdana"/>
            <w:noProof/>
            <w:webHidden/>
            <w:sz w:val="18"/>
            <w:szCs w:val="18"/>
          </w:rPr>
          <w:t>23</w:t>
        </w:r>
        <w:r w:rsidR="00C735D0" w:rsidRPr="006B1E79">
          <w:rPr>
            <w:rFonts w:ascii="Verdana" w:hAnsi="Verdana"/>
            <w:noProof/>
            <w:webHidden/>
            <w:sz w:val="18"/>
            <w:szCs w:val="18"/>
          </w:rPr>
          <w:fldChar w:fldCharType="end"/>
        </w:r>
      </w:hyperlink>
    </w:p>
    <w:p w14:paraId="0FC64011" w14:textId="6D5A9D2C" w:rsidR="00C735D0" w:rsidRPr="006B1E79" w:rsidRDefault="00990216" w:rsidP="00C735D0">
      <w:pPr>
        <w:pStyle w:val="TDC3"/>
        <w:tabs>
          <w:tab w:val="right" w:leader="dot" w:pos="9408"/>
        </w:tabs>
        <w:rPr>
          <w:rFonts w:ascii="Verdana" w:eastAsiaTheme="minorEastAsia" w:hAnsi="Verdana" w:cstheme="minorBidi"/>
          <w:i w:val="0"/>
          <w:iCs w:val="0"/>
          <w:noProof/>
          <w:sz w:val="18"/>
          <w:szCs w:val="18"/>
          <w:lang w:val="en-US"/>
        </w:rPr>
      </w:pPr>
      <w:hyperlink w:anchor="_Toc25247749" w:history="1">
        <w:r w:rsidR="00C735D0" w:rsidRPr="006B1E79">
          <w:rPr>
            <w:rStyle w:val="Hipervnculo"/>
            <w:rFonts w:ascii="Verdana" w:hAnsi="Verdana"/>
            <w:noProof/>
            <w:sz w:val="18"/>
            <w:szCs w:val="18"/>
            <w:lang w:val="es-CR"/>
          </w:rPr>
          <w:t>C.4. Diligencias llevadas a cabo por el señor Valenzuela y su defensa en relación con los alegados actos de violencia</w:t>
        </w:r>
        <w:r w:rsidR="00C735D0" w:rsidRPr="006B1E79">
          <w:rPr>
            <w:rFonts w:ascii="Verdana" w:hAnsi="Verdana"/>
            <w:noProof/>
            <w:webHidden/>
            <w:sz w:val="18"/>
            <w:szCs w:val="18"/>
          </w:rPr>
          <w:tab/>
        </w:r>
        <w:r w:rsidR="00C735D0" w:rsidRPr="006B1E79">
          <w:rPr>
            <w:rFonts w:ascii="Verdana" w:hAnsi="Verdana"/>
            <w:noProof/>
            <w:webHidden/>
            <w:sz w:val="18"/>
            <w:szCs w:val="18"/>
          </w:rPr>
          <w:fldChar w:fldCharType="begin"/>
        </w:r>
        <w:r w:rsidR="00C735D0" w:rsidRPr="006B1E79">
          <w:rPr>
            <w:rFonts w:ascii="Verdana" w:hAnsi="Verdana"/>
            <w:noProof/>
            <w:webHidden/>
            <w:sz w:val="18"/>
            <w:szCs w:val="18"/>
          </w:rPr>
          <w:instrText xml:space="preserve"> PAGEREF _Toc25247749 \h </w:instrText>
        </w:r>
        <w:r w:rsidR="00C735D0" w:rsidRPr="006B1E79">
          <w:rPr>
            <w:rFonts w:ascii="Verdana" w:hAnsi="Verdana"/>
            <w:noProof/>
            <w:webHidden/>
            <w:sz w:val="18"/>
            <w:szCs w:val="18"/>
          </w:rPr>
        </w:r>
        <w:r w:rsidR="00C735D0" w:rsidRPr="006B1E79">
          <w:rPr>
            <w:rFonts w:ascii="Verdana" w:hAnsi="Verdana"/>
            <w:noProof/>
            <w:webHidden/>
            <w:sz w:val="18"/>
            <w:szCs w:val="18"/>
          </w:rPr>
          <w:fldChar w:fldCharType="separate"/>
        </w:r>
        <w:r>
          <w:rPr>
            <w:rFonts w:ascii="Verdana" w:hAnsi="Verdana"/>
            <w:noProof/>
            <w:webHidden/>
            <w:sz w:val="18"/>
            <w:szCs w:val="18"/>
          </w:rPr>
          <w:t>24</w:t>
        </w:r>
        <w:r w:rsidR="00C735D0" w:rsidRPr="006B1E79">
          <w:rPr>
            <w:rFonts w:ascii="Verdana" w:hAnsi="Verdana"/>
            <w:noProof/>
            <w:webHidden/>
            <w:sz w:val="18"/>
            <w:szCs w:val="18"/>
          </w:rPr>
          <w:fldChar w:fldCharType="end"/>
        </w:r>
      </w:hyperlink>
    </w:p>
    <w:p w14:paraId="4394819A" w14:textId="3A2A75BA" w:rsidR="00C735D0" w:rsidRPr="006B1E79" w:rsidRDefault="00990216" w:rsidP="00C735D0">
      <w:pPr>
        <w:pStyle w:val="TDC3"/>
        <w:tabs>
          <w:tab w:val="right" w:leader="dot" w:pos="9408"/>
        </w:tabs>
        <w:rPr>
          <w:rFonts w:ascii="Verdana" w:eastAsiaTheme="minorEastAsia" w:hAnsi="Verdana" w:cstheme="minorBidi"/>
          <w:i w:val="0"/>
          <w:iCs w:val="0"/>
          <w:noProof/>
          <w:sz w:val="18"/>
          <w:szCs w:val="18"/>
          <w:lang w:val="en-US"/>
        </w:rPr>
      </w:pPr>
      <w:hyperlink w:anchor="_Toc25247750" w:history="1">
        <w:r w:rsidR="00C735D0" w:rsidRPr="006B1E79">
          <w:rPr>
            <w:rStyle w:val="Hipervnculo"/>
            <w:rFonts w:ascii="Verdana" w:hAnsi="Verdana"/>
            <w:noProof/>
            <w:sz w:val="18"/>
            <w:szCs w:val="18"/>
            <w:lang w:val="es-AR"/>
          </w:rPr>
          <w:t xml:space="preserve">C.5. Tercera fuga, muerte del señor Valenzuela y la </w:t>
        </w:r>
        <w:r w:rsidR="00C735D0" w:rsidRPr="006B1E79">
          <w:rPr>
            <w:rStyle w:val="Hipervnculo"/>
            <w:rFonts w:ascii="Verdana" w:hAnsi="Verdana" w:cs="Calibri"/>
            <w:noProof/>
            <w:sz w:val="18"/>
            <w:szCs w:val="18"/>
            <w:lang w:val="es-ES_tradnl"/>
          </w:rPr>
          <w:t>“Operación Gavilán”</w:t>
        </w:r>
        <w:r w:rsidR="00C735D0" w:rsidRPr="006B1E79">
          <w:rPr>
            <w:rFonts w:ascii="Verdana" w:hAnsi="Verdana"/>
            <w:noProof/>
            <w:webHidden/>
            <w:sz w:val="18"/>
            <w:szCs w:val="18"/>
          </w:rPr>
          <w:tab/>
        </w:r>
        <w:r w:rsidR="00C735D0" w:rsidRPr="006B1E79">
          <w:rPr>
            <w:rFonts w:ascii="Verdana" w:hAnsi="Verdana"/>
            <w:noProof/>
            <w:webHidden/>
            <w:sz w:val="18"/>
            <w:szCs w:val="18"/>
          </w:rPr>
          <w:fldChar w:fldCharType="begin"/>
        </w:r>
        <w:r w:rsidR="00C735D0" w:rsidRPr="006B1E79">
          <w:rPr>
            <w:rFonts w:ascii="Verdana" w:hAnsi="Verdana"/>
            <w:noProof/>
            <w:webHidden/>
            <w:sz w:val="18"/>
            <w:szCs w:val="18"/>
          </w:rPr>
          <w:instrText xml:space="preserve"> PAGEREF _Toc25247750 \h </w:instrText>
        </w:r>
        <w:r w:rsidR="00C735D0" w:rsidRPr="006B1E79">
          <w:rPr>
            <w:rFonts w:ascii="Verdana" w:hAnsi="Verdana"/>
            <w:noProof/>
            <w:webHidden/>
            <w:sz w:val="18"/>
            <w:szCs w:val="18"/>
          </w:rPr>
        </w:r>
        <w:r w:rsidR="00C735D0" w:rsidRPr="006B1E79">
          <w:rPr>
            <w:rFonts w:ascii="Verdana" w:hAnsi="Verdana"/>
            <w:noProof/>
            <w:webHidden/>
            <w:sz w:val="18"/>
            <w:szCs w:val="18"/>
          </w:rPr>
          <w:fldChar w:fldCharType="separate"/>
        </w:r>
        <w:r>
          <w:rPr>
            <w:rFonts w:ascii="Verdana" w:hAnsi="Verdana"/>
            <w:noProof/>
            <w:webHidden/>
            <w:sz w:val="18"/>
            <w:szCs w:val="18"/>
          </w:rPr>
          <w:t>24</w:t>
        </w:r>
        <w:r w:rsidR="00C735D0" w:rsidRPr="006B1E79">
          <w:rPr>
            <w:rFonts w:ascii="Verdana" w:hAnsi="Verdana"/>
            <w:noProof/>
            <w:webHidden/>
            <w:sz w:val="18"/>
            <w:szCs w:val="18"/>
          </w:rPr>
          <w:fldChar w:fldCharType="end"/>
        </w:r>
      </w:hyperlink>
    </w:p>
    <w:p w14:paraId="333CB7FA" w14:textId="5106977B" w:rsidR="00C735D0" w:rsidRPr="006B1E79" w:rsidRDefault="00990216" w:rsidP="006B1B0F">
      <w:pPr>
        <w:pStyle w:val="TDC2"/>
        <w:rPr>
          <w:rFonts w:eastAsiaTheme="minorEastAsia" w:cstheme="minorBidi"/>
          <w:lang w:val="en-US"/>
        </w:rPr>
      </w:pPr>
      <w:hyperlink w:anchor="_Toc25247751" w:history="1">
        <w:r w:rsidR="00C735D0" w:rsidRPr="006B1E79">
          <w:rPr>
            <w:rStyle w:val="Hipervnculo"/>
          </w:rPr>
          <w:t>D. Investigación sobre la muerte del señor Valenzuela Ávila</w:t>
        </w:r>
        <w:r w:rsidR="00C735D0" w:rsidRPr="006B1E79">
          <w:rPr>
            <w:webHidden/>
          </w:rPr>
          <w:tab/>
        </w:r>
        <w:r w:rsidR="00C735D0" w:rsidRPr="006B1E79">
          <w:rPr>
            <w:webHidden/>
          </w:rPr>
          <w:fldChar w:fldCharType="begin"/>
        </w:r>
        <w:r w:rsidR="00C735D0" w:rsidRPr="006B1E79">
          <w:rPr>
            <w:webHidden/>
          </w:rPr>
          <w:instrText xml:space="preserve"> PAGEREF _Toc25247751 \h </w:instrText>
        </w:r>
        <w:r w:rsidR="00C735D0" w:rsidRPr="006B1E79">
          <w:rPr>
            <w:webHidden/>
          </w:rPr>
        </w:r>
        <w:r w:rsidR="00C735D0" w:rsidRPr="006B1E79">
          <w:rPr>
            <w:webHidden/>
          </w:rPr>
          <w:fldChar w:fldCharType="separate"/>
        </w:r>
        <w:r>
          <w:rPr>
            <w:webHidden/>
          </w:rPr>
          <w:t>27</w:t>
        </w:r>
        <w:r w:rsidR="00C735D0" w:rsidRPr="006B1E79">
          <w:rPr>
            <w:webHidden/>
          </w:rPr>
          <w:fldChar w:fldCharType="end"/>
        </w:r>
      </w:hyperlink>
    </w:p>
    <w:p w14:paraId="3B6AD327" w14:textId="428D128B" w:rsidR="00C735D0" w:rsidRPr="006B1E79" w:rsidRDefault="00990216" w:rsidP="00C735D0">
      <w:pPr>
        <w:pStyle w:val="TDC1"/>
        <w:tabs>
          <w:tab w:val="right" w:leader="dot" w:pos="9408"/>
        </w:tabs>
        <w:spacing w:before="0" w:after="0"/>
        <w:rPr>
          <w:rFonts w:ascii="Verdana" w:eastAsiaTheme="minorEastAsia" w:hAnsi="Verdana" w:cstheme="minorBidi"/>
          <w:b w:val="0"/>
          <w:bCs w:val="0"/>
          <w:caps w:val="0"/>
          <w:noProof/>
          <w:sz w:val="18"/>
          <w:szCs w:val="18"/>
          <w:lang w:val="en-US"/>
        </w:rPr>
      </w:pPr>
      <w:hyperlink w:anchor="_Toc25247752" w:history="1">
        <w:r w:rsidR="00C735D0" w:rsidRPr="006B1E79">
          <w:rPr>
            <w:rStyle w:val="Hipervnculo"/>
            <w:rFonts w:ascii="Verdana" w:hAnsi="Verdana"/>
            <w:noProof/>
            <w:sz w:val="18"/>
            <w:szCs w:val="18"/>
          </w:rPr>
          <w:t>VIII  FONDO</w:t>
        </w:r>
        <w:r w:rsidR="00C735D0" w:rsidRPr="006B1E79">
          <w:rPr>
            <w:rFonts w:ascii="Verdana" w:hAnsi="Verdana"/>
            <w:noProof/>
            <w:webHidden/>
            <w:sz w:val="18"/>
            <w:szCs w:val="18"/>
          </w:rPr>
          <w:tab/>
        </w:r>
        <w:r w:rsidR="00C735D0" w:rsidRPr="006B1E79">
          <w:rPr>
            <w:rFonts w:ascii="Verdana" w:hAnsi="Verdana"/>
            <w:noProof/>
            <w:webHidden/>
            <w:sz w:val="18"/>
            <w:szCs w:val="18"/>
          </w:rPr>
          <w:fldChar w:fldCharType="begin"/>
        </w:r>
        <w:r w:rsidR="00C735D0" w:rsidRPr="006B1E79">
          <w:rPr>
            <w:rFonts w:ascii="Verdana" w:hAnsi="Verdana"/>
            <w:noProof/>
            <w:webHidden/>
            <w:sz w:val="18"/>
            <w:szCs w:val="18"/>
          </w:rPr>
          <w:instrText xml:space="preserve"> PAGEREF _Toc25247752 \h </w:instrText>
        </w:r>
        <w:r w:rsidR="00C735D0" w:rsidRPr="006B1E79">
          <w:rPr>
            <w:rFonts w:ascii="Verdana" w:hAnsi="Verdana"/>
            <w:noProof/>
            <w:webHidden/>
            <w:sz w:val="18"/>
            <w:szCs w:val="18"/>
          </w:rPr>
        </w:r>
        <w:r w:rsidR="00C735D0" w:rsidRPr="006B1E79">
          <w:rPr>
            <w:rFonts w:ascii="Verdana" w:hAnsi="Verdana"/>
            <w:noProof/>
            <w:webHidden/>
            <w:sz w:val="18"/>
            <w:szCs w:val="18"/>
          </w:rPr>
          <w:fldChar w:fldCharType="separate"/>
        </w:r>
        <w:r>
          <w:rPr>
            <w:rFonts w:ascii="Verdana" w:hAnsi="Verdana"/>
            <w:noProof/>
            <w:webHidden/>
            <w:sz w:val="18"/>
            <w:szCs w:val="18"/>
          </w:rPr>
          <w:t>29</w:t>
        </w:r>
        <w:r w:rsidR="00C735D0" w:rsidRPr="006B1E79">
          <w:rPr>
            <w:rFonts w:ascii="Verdana" w:hAnsi="Verdana"/>
            <w:noProof/>
            <w:webHidden/>
            <w:sz w:val="18"/>
            <w:szCs w:val="18"/>
          </w:rPr>
          <w:fldChar w:fldCharType="end"/>
        </w:r>
      </w:hyperlink>
    </w:p>
    <w:p w14:paraId="0C335723" w14:textId="4DB25055" w:rsidR="00C735D0" w:rsidRPr="006B1E79" w:rsidRDefault="00990216" w:rsidP="00C735D0">
      <w:pPr>
        <w:pStyle w:val="TDC1"/>
        <w:tabs>
          <w:tab w:val="right" w:leader="dot" w:pos="9408"/>
        </w:tabs>
        <w:spacing w:before="0" w:after="0"/>
        <w:rPr>
          <w:rFonts w:ascii="Verdana" w:eastAsiaTheme="minorEastAsia" w:hAnsi="Verdana" w:cstheme="minorBidi"/>
          <w:b w:val="0"/>
          <w:bCs w:val="0"/>
          <w:caps w:val="0"/>
          <w:noProof/>
          <w:sz w:val="18"/>
          <w:szCs w:val="18"/>
          <w:lang w:val="en-US"/>
        </w:rPr>
      </w:pPr>
      <w:hyperlink w:anchor="_Toc25247753" w:history="1">
        <w:r w:rsidR="00C735D0" w:rsidRPr="006B1E79">
          <w:rPr>
            <w:rStyle w:val="Hipervnculo"/>
            <w:rFonts w:ascii="Verdana" w:hAnsi="Verdana"/>
            <w:noProof/>
            <w:sz w:val="18"/>
            <w:szCs w:val="18"/>
          </w:rPr>
          <w:t>VIII-1 DERECHO A LAS GARANTÍAS JUDICIALES Y PROTECCIÓN JUDICIAL</w:t>
        </w:r>
        <w:r w:rsidR="00C735D0" w:rsidRPr="006B1E79">
          <w:rPr>
            <w:rFonts w:ascii="Verdana" w:hAnsi="Verdana"/>
            <w:noProof/>
            <w:webHidden/>
            <w:sz w:val="18"/>
            <w:szCs w:val="18"/>
          </w:rPr>
          <w:tab/>
        </w:r>
        <w:r w:rsidR="00C735D0" w:rsidRPr="006B1E79">
          <w:rPr>
            <w:rFonts w:ascii="Verdana" w:hAnsi="Verdana"/>
            <w:noProof/>
            <w:webHidden/>
            <w:sz w:val="18"/>
            <w:szCs w:val="18"/>
          </w:rPr>
          <w:fldChar w:fldCharType="begin"/>
        </w:r>
        <w:r w:rsidR="00C735D0" w:rsidRPr="006B1E79">
          <w:rPr>
            <w:rFonts w:ascii="Verdana" w:hAnsi="Verdana"/>
            <w:noProof/>
            <w:webHidden/>
            <w:sz w:val="18"/>
            <w:szCs w:val="18"/>
          </w:rPr>
          <w:instrText xml:space="preserve"> PAGEREF _Toc25247753 \h </w:instrText>
        </w:r>
        <w:r w:rsidR="00C735D0" w:rsidRPr="006B1E79">
          <w:rPr>
            <w:rFonts w:ascii="Verdana" w:hAnsi="Verdana"/>
            <w:noProof/>
            <w:webHidden/>
            <w:sz w:val="18"/>
            <w:szCs w:val="18"/>
          </w:rPr>
        </w:r>
        <w:r w:rsidR="00C735D0" w:rsidRPr="006B1E79">
          <w:rPr>
            <w:rFonts w:ascii="Verdana" w:hAnsi="Verdana"/>
            <w:noProof/>
            <w:webHidden/>
            <w:sz w:val="18"/>
            <w:szCs w:val="18"/>
          </w:rPr>
          <w:fldChar w:fldCharType="separate"/>
        </w:r>
        <w:r>
          <w:rPr>
            <w:rFonts w:ascii="Verdana" w:hAnsi="Verdana"/>
            <w:noProof/>
            <w:webHidden/>
            <w:sz w:val="18"/>
            <w:szCs w:val="18"/>
          </w:rPr>
          <w:t>29</w:t>
        </w:r>
        <w:r w:rsidR="00C735D0" w:rsidRPr="006B1E79">
          <w:rPr>
            <w:rFonts w:ascii="Verdana" w:hAnsi="Verdana"/>
            <w:noProof/>
            <w:webHidden/>
            <w:sz w:val="18"/>
            <w:szCs w:val="18"/>
          </w:rPr>
          <w:fldChar w:fldCharType="end"/>
        </w:r>
      </w:hyperlink>
    </w:p>
    <w:p w14:paraId="28A296A2" w14:textId="1735C218" w:rsidR="00C735D0" w:rsidRPr="006B1E79" w:rsidRDefault="00990216" w:rsidP="006B1B0F">
      <w:pPr>
        <w:pStyle w:val="TDC2"/>
        <w:rPr>
          <w:rFonts w:eastAsiaTheme="minorEastAsia" w:cstheme="minorBidi"/>
          <w:lang w:val="en-US"/>
        </w:rPr>
      </w:pPr>
      <w:hyperlink w:anchor="_Toc25247754" w:history="1">
        <w:r w:rsidR="00C735D0" w:rsidRPr="006B1E79">
          <w:rPr>
            <w:rStyle w:val="Hipervnculo"/>
          </w:rPr>
          <w:t>A. Alegatos de la Comisión y las partes</w:t>
        </w:r>
        <w:r w:rsidR="00C735D0" w:rsidRPr="006B1E79">
          <w:rPr>
            <w:webHidden/>
          </w:rPr>
          <w:tab/>
        </w:r>
        <w:r w:rsidR="00C735D0" w:rsidRPr="006B1E79">
          <w:rPr>
            <w:webHidden/>
          </w:rPr>
          <w:fldChar w:fldCharType="begin"/>
        </w:r>
        <w:r w:rsidR="00C735D0" w:rsidRPr="006B1E79">
          <w:rPr>
            <w:webHidden/>
          </w:rPr>
          <w:instrText xml:space="preserve"> PAGEREF _Toc25247754 \h </w:instrText>
        </w:r>
        <w:r w:rsidR="00C735D0" w:rsidRPr="006B1E79">
          <w:rPr>
            <w:webHidden/>
          </w:rPr>
        </w:r>
        <w:r w:rsidR="00C735D0" w:rsidRPr="006B1E79">
          <w:rPr>
            <w:webHidden/>
          </w:rPr>
          <w:fldChar w:fldCharType="separate"/>
        </w:r>
        <w:r>
          <w:rPr>
            <w:webHidden/>
          </w:rPr>
          <w:t>29</w:t>
        </w:r>
        <w:r w:rsidR="00C735D0" w:rsidRPr="006B1E79">
          <w:rPr>
            <w:webHidden/>
          </w:rPr>
          <w:fldChar w:fldCharType="end"/>
        </w:r>
      </w:hyperlink>
    </w:p>
    <w:p w14:paraId="0079922F" w14:textId="04B406F3" w:rsidR="00C735D0" w:rsidRPr="006B1E79" w:rsidRDefault="00990216" w:rsidP="006B1B0F">
      <w:pPr>
        <w:pStyle w:val="TDC2"/>
        <w:rPr>
          <w:rFonts w:eastAsiaTheme="minorEastAsia" w:cstheme="minorBidi"/>
          <w:lang w:val="en-US"/>
        </w:rPr>
      </w:pPr>
      <w:hyperlink w:anchor="_Toc25247755" w:history="1">
        <w:r w:rsidR="00C735D0" w:rsidRPr="006B1E79">
          <w:rPr>
            <w:rStyle w:val="Hipervnculo"/>
          </w:rPr>
          <w:t>B. Consideraciones de la Corte</w:t>
        </w:r>
        <w:r w:rsidR="00C735D0" w:rsidRPr="006B1E79">
          <w:rPr>
            <w:webHidden/>
          </w:rPr>
          <w:tab/>
        </w:r>
        <w:r w:rsidR="00C735D0" w:rsidRPr="006B1E79">
          <w:rPr>
            <w:webHidden/>
          </w:rPr>
          <w:fldChar w:fldCharType="begin"/>
        </w:r>
        <w:r w:rsidR="00C735D0" w:rsidRPr="006B1E79">
          <w:rPr>
            <w:webHidden/>
          </w:rPr>
          <w:instrText xml:space="preserve"> PAGEREF _Toc25247755 \h </w:instrText>
        </w:r>
        <w:r w:rsidR="00C735D0" w:rsidRPr="006B1E79">
          <w:rPr>
            <w:webHidden/>
          </w:rPr>
        </w:r>
        <w:r w:rsidR="00C735D0" w:rsidRPr="006B1E79">
          <w:rPr>
            <w:webHidden/>
          </w:rPr>
          <w:fldChar w:fldCharType="separate"/>
        </w:r>
        <w:r>
          <w:rPr>
            <w:webHidden/>
          </w:rPr>
          <w:t>30</w:t>
        </w:r>
        <w:r w:rsidR="00C735D0" w:rsidRPr="006B1E79">
          <w:rPr>
            <w:webHidden/>
          </w:rPr>
          <w:fldChar w:fldCharType="end"/>
        </w:r>
      </w:hyperlink>
    </w:p>
    <w:p w14:paraId="52E9B392" w14:textId="59F09E77" w:rsidR="00C735D0" w:rsidRPr="006B1E79" w:rsidRDefault="00990216" w:rsidP="00C735D0">
      <w:pPr>
        <w:pStyle w:val="TDC3"/>
        <w:tabs>
          <w:tab w:val="right" w:leader="dot" w:pos="9408"/>
        </w:tabs>
        <w:rPr>
          <w:rFonts w:ascii="Verdana" w:eastAsiaTheme="minorEastAsia" w:hAnsi="Verdana" w:cstheme="minorBidi"/>
          <w:i w:val="0"/>
          <w:iCs w:val="0"/>
          <w:noProof/>
          <w:sz w:val="18"/>
          <w:szCs w:val="18"/>
          <w:lang w:val="en-US"/>
        </w:rPr>
      </w:pPr>
      <w:hyperlink w:anchor="_Toc25247756" w:history="1">
        <w:r w:rsidR="00C735D0" w:rsidRPr="006B1E79">
          <w:rPr>
            <w:rStyle w:val="Hipervnculo"/>
            <w:rFonts w:ascii="Verdana" w:hAnsi="Verdana"/>
            <w:noProof/>
            <w:sz w:val="18"/>
            <w:szCs w:val="18"/>
          </w:rPr>
          <w:t>B.1. Proceso penal que resultó en la sentencia de pena de muerte contra el señor Valenzuela Ávila</w:t>
        </w:r>
        <w:r w:rsidR="00C735D0" w:rsidRPr="006B1E79">
          <w:rPr>
            <w:rFonts w:ascii="Verdana" w:hAnsi="Verdana"/>
            <w:noProof/>
            <w:webHidden/>
            <w:sz w:val="18"/>
            <w:szCs w:val="18"/>
          </w:rPr>
          <w:tab/>
        </w:r>
        <w:r w:rsidR="00C735D0" w:rsidRPr="006B1E79">
          <w:rPr>
            <w:rFonts w:ascii="Verdana" w:hAnsi="Verdana"/>
            <w:noProof/>
            <w:webHidden/>
            <w:sz w:val="18"/>
            <w:szCs w:val="18"/>
          </w:rPr>
          <w:fldChar w:fldCharType="begin"/>
        </w:r>
        <w:r w:rsidR="00C735D0" w:rsidRPr="006B1E79">
          <w:rPr>
            <w:rFonts w:ascii="Verdana" w:hAnsi="Verdana"/>
            <w:noProof/>
            <w:webHidden/>
            <w:sz w:val="18"/>
            <w:szCs w:val="18"/>
          </w:rPr>
          <w:instrText xml:space="preserve"> PAGEREF _Toc25247756 \h </w:instrText>
        </w:r>
        <w:r w:rsidR="00C735D0" w:rsidRPr="006B1E79">
          <w:rPr>
            <w:rFonts w:ascii="Verdana" w:hAnsi="Verdana"/>
            <w:noProof/>
            <w:webHidden/>
            <w:sz w:val="18"/>
            <w:szCs w:val="18"/>
          </w:rPr>
        </w:r>
        <w:r w:rsidR="00C735D0" w:rsidRPr="006B1E79">
          <w:rPr>
            <w:rFonts w:ascii="Verdana" w:hAnsi="Verdana"/>
            <w:noProof/>
            <w:webHidden/>
            <w:sz w:val="18"/>
            <w:szCs w:val="18"/>
          </w:rPr>
          <w:fldChar w:fldCharType="separate"/>
        </w:r>
        <w:r>
          <w:rPr>
            <w:rFonts w:ascii="Verdana" w:hAnsi="Verdana"/>
            <w:noProof/>
            <w:webHidden/>
            <w:sz w:val="18"/>
            <w:szCs w:val="18"/>
          </w:rPr>
          <w:t>30</w:t>
        </w:r>
        <w:r w:rsidR="00C735D0" w:rsidRPr="006B1E79">
          <w:rPr>
            <w:rFonts w:ascii="Verdana" w:hAnsi="Verdana"/>
            <w:noProof/>
            <w:webHidden/>
            <w:sz w:val="18"/>
            <w:szCs w:val="18"/>
          </w:rPr>
          <w:fldChar w:fldCharType="end"/>
        </w:r>
      </w:hyperlink>
    </w:p>
    <w:p w14:paraId="6A9ABF1B" w14:textId="29F76BBC" w:rsidR="00C735D0" w:rsidRPr="006B1E79" w:rsidRDefault="00990216" w:rsidP="00C735D0">
      <w:pPr>
        <w:pStyle w:val="TDC4"/>
        <w:tabs>
          <w:tab w:val="right" w:leader="dot" w:pos="9408"/>
        </w:tabs>
        <w:rPr>
          <w:rFonts w:ascii="Verdana" w:eastAsiaTheme="minorEastAsia" w:hAnsi="Verdana" w:cstheme="minorBidi"/>
          <w:noProof/>
          <w:lang w:val="en-US"/>
        </w:rPr>
      </w:pPr>
      <w:hyperlink w:anchor="_Toc25247757" w:history="1">
        <w:r w:rsidR="00C735D0" w:rsidRPr="006B1E79">
          <w:rPr>
            <w:rStyle w:val="Hipervnculo"/>
            <w:rFonts w:ascii="Verdana" w:hAnsi="Verdana"/>
            <w:noProof/>
          </w:rPr>
          <w:t>B.1.1. Garantías judiciales mínimas</w:t>
        </w:r>
        <w:r w:rsidR="00C735D0" w:rsidRPr="006B1E79">
          <w:rPr>
            <w:rFonts w:ascii="Verdana" w:hAnsi="Verdana"/>
            <w:noProof/>
            <w:webHidden/>
          </w:rPr>
          <w:tab/>
        </w:r>
        <w:r w:rsidR="00C735D0" w:rsidRPr="006B1E79">
          <w:rPr>
            <w:rFonts w:ascii="Verdana" w:hAnsi="Verdana"/>
            <w:noProof/>
            <w:webHidden/>
          </w:rPr>
          <w:fldChar w:fldCharType="begin"/>
        </w:r>
        <w:r w:rsidR="00C735D0" w:rsidRPr="006B1E79">
          <w:rPr>
            <w:rFonts w:ascii="Verdana" w:hAnsi="Verdana"/>
            <w:noProof/>
            <w:webHidden/>
          </w:rPr>
          <w:instrText xml:space="preserve"> PAGEREF _Toc25247757 \h </w:instrText>
        </w:r>
        <w:r w:rsidR="00C735D0" w:rsidRPr="006B1E79">
          <w:rPr>
            <w:rFonts w:ascii="Verdana" w:hAnsi="Verdana"/>
            <w:noProof/>
            <w:webHidden/>
          </w:rPr>
        </w:r>
        <w:r w:rsidR="00C735D0" w:rsidRPr="006B1E79">
          <w:rPr>
            <w:rFonts w:ascii="Verdana" w:hAnsi="Verdana"/>
            <w:noProof/>
            <w:webHidden/>
          </w:rPr>
          <w:fldChar w:fldCharType="separate"/>
        </w:r>
        <w:r>
          <w:rPr>
            <w:rFonts w:ascii="Verdana" w:hAnsi="Verdana"/>
            <w:noProof/>
            <w:webHidden/>
          </w:rPr>
          <w:t>30</w:t>
        </w:r>
        <w:r w:rsidR="00C735D0" w:rsidRPr="006B1E79">
          <w:rPr>
            <w:rFonts w:ascii="Verdana" w:hAnsi="Verdana"/>
            <w:noProof/>
            <w:webHidden/>
          </w:rPr>
          <w:fldChar w:fldCharType="end"/>
        </w:r>
      </w:hyperlink>
    </w:p>
    <w:p w14:paraId="4DA256A9" w14:textId="01224CC6" w:rsidR="00C735D0" w:rsidRPr="006B1E79" w:rsidRDefault="00990216" w:rsidP="00C735D0">
      <w:pPr>
        <w:pStyle w:val="TDC4"/>
        <w:tabs>
          <w:tab w:val="right" w:leader="dot" w:pos="9408"/>
        </w:tabs>
        <w:rPr>
          <w:rFonts w:ascii="Verdana" w:eastAsiaTheme="minorEastAsia" w:hAnsi="Verdana" w:cstheme="minorBidi"/>
          <w:noProof/>
          <w:lang w:val="en-US"/>
        </w:rPr>
      </w:pPr>
      <w:hyperlink w:anchor="_Toc25247758" w:history="1">
        <w:r w:rsidR="00C735D0" w:rsidRPr="006B1E79">
          <w:rPr>
            <w:rStyle w:val="Hipervnculo"/>
            <w:rFonts w:ascii="Verdana" w:hAnsi="Verdana"/>
            <w:noProof/>
            <w:lang w:val="es-CR"/>
          </w:rPr>
          <w:t>B.1.2. Alcance de los artículos 8.2) y 8.2.g)</w:t>
        </w:r>
        <w:r w:rsidR="00C735D0" w:rsidRPr="006B1E79">
          <w:rPr>
            <w:rFonts w:ascii="Verdana" w:hAnsi="Verdana"/>
            <w:noProof/>
            <w:webHidden/>
          </w:rPr>
          <w:tab/>
        </w:r>
        <w:r w:rsidR="00C735D0" w:rsidRPr="006B1E79">
          <w:rPr>
            <w:rFonts w:ascii="Verdana" w:hAnsi="Verdana"/>
            <w:noProof/>
            <w:webHidden/>
          </w:rPr>
          <w:fldChar w:fldCharType="begin"/>
        </w:r>
        <w:r w:rsidR="00C735D0" w:rsidRPr="006B1E79">
          <w:rPr>
            <w:rFonts w:ascii="Verdana" w:hAnsi="Verdana"/>
            <w:noProof/>
            <w:webHidden/>
          </w:rPr>
          <w:instrText xml:space="preserve"> PAGEREF _Toc25247758 \h </w:instrText>
        </w:r>
        <w:r w:rsidR="00C735D0" w:rsidRPr="006B1E79">
          <w:rPr>
            <w:rFonts w:ascii="Verdana" w:hAnsi="Verdana"/>
            <w:noProof/>
            <w:webHidden/>
          </w:rPr>
        </w:r>
        <w:r w:rsidR="00C735D0" w:rsidRPr="006B1E79">
          <w:rPr>
            <w:rFonts w:ascii="Verdana" w:hAnsi="Verdana"/>
            <w:noProof/>
            <w:webHidden/>
          </w:rPr>
          <w:fldChar w:fldCharType="separate"/>
        </w:r>
        <w:r>
          <w:rPr>
            <w:rFonts w:ascii="Verdana" w:hAnsi="Verdana"/>
            <w:noProof/>
            <w:webHidden/>
          </w:rPr>
          <w:t>31</w:t>
        </w:r>
        <w:r w:rsidR="00C735D0" w:rsidRPr="006B1E79">
          <w:rPr>
            <w:rFonts w:ascii="Verdana" w:hAnsi="Verdana"/>
            <w:noProof/>
            <w:webHidden/>
          </w:rPr>
          <w:fldChar w:fldCharType="end"/>
        </w:r>
      </w:hyperlink>
    </w:p>
    <w:p w14:paraId="67E361CA" w14:textId="2A6E7B71" w:rsidR="00C735D0" w:rsidRPr="006B1E79" w:rsidRDefault="00990216" w:rsidP="00C735D0">
      <w:pPr>
        <w:pStyle w:val="TDC4"/>
        <w:tabs>
          <w:tab w:val="right" w:leader="dot" w:pos="9408"/>
        </w:tabs>
        <w:rPr>
          <w:rFonts w:ascii="Verdana" w:eastAsiaTheme="minorEastAsia" w:hAnsi="Verdana" w:cstheme="minorBidi"/>
          <w:noProof/>
          <w:lang w:val="en-US"/>
        </w:rPr>
      </w:pPr>
      <w:hyperlink w:anchor="_Toc25247759" w:history="1">
        <w:r w:rsidR="00C735D0" w:rsidRPr="006B1E79">
          <w:rPr>
            <w:rStyle w:val="Hipervnculo"/>
            <w:rFonts w:ascii="Verdana" w:hAnsi="Verdana"/>
            <w:noProof/>
            <w:lang w:val="es-CR"/>
          </w:rPr>
          <w:t>B.1.3. Análisis del caso concreto</w:t>
        </w:r>
        <w:r w:rsidR="00C735D0" w:rsidRPr="006B1E79">
          <w:rPr>
            <w:rFonts w:ascii="Verdana" w:hAnsi="Verdana"/>
            <w:noProof/>
            <w:webHidden/>
          </w:rPr>
          <w:tab/>
        </w:r>
        <w:r w:rsidR="00C735D0" w:rsidRPr="006B1E79">
          <w:rPr>
            <w:rFonts w:ascii="Verdana" w:hAnsi="Verdana"/>
            <w:noProof/>
            <w:webHidden/>
          </w:rPr>
          <w:fldChar w:fldCharType="begin"/>
        </w:r>
        <w:r w:rsidR="00C735D0" w:rsidRPr="006B1E79">
          <w:rPr>
            <w:rFonts w:ascii="Verdana" w:hAnsi="Verdana"/>
            <w:noProof/>
            <w:webHidden/>
          </w:rPr>
          <w:instrText xml:space="preserve"> PAGEREF _Toc25247759 \h </w:instrText>
        </w:r>
        <w:r w:rsidR="00C735D0" w:rsidRPr="006B1E79">
          <w:rPr>
            <w:rFonts w:ascii="Verdana" w:hAnsi="Verdana"/>
            <w:noProof/>
            <w:webHidden/>
          </w:rPr>
        </w:r>
        <w:r w:rsidR="00C735D0" w:rsidRPr="006B1E79">
          <w:rPr>
            <w:rFonts w:ascii="Verdana" w:hAnsi="Verdana"/>
            <w:noProof/>
            <w:webHidden/>
          </w:rPr>
          <w:fldChar w:fldCharType="separate"/>
        </w:r>
        <w:r>
          <w:rPr>
            <w:rFonts w:ascii="Verdana" w:hAnsi="Verdana"/>
            <w:noProof/>
            <w:webHidden/>
          </w:rPr>
          <w:t>32</w:t>
        </w:r>
        <w:r w:rsidR="00C735D0" w:rsidRPr="006B1E79">
          <w:rPr>
            <w:rFonts w:ascii="Verdana" w:hAnsi="Verdana"/>
            <w:noProof/>
            <w:webHidden/>
          </w:rPr>
          <w:fldChar w:fldCharType="end"/>
        </w:r>
      </w:hyperlink>
    </w:p>
    <w:p w14:paraId="192B7EC4" w14:textId="074E06CB" w:rsidR="00C735D0" w:rsidRPr="006B1E79" w:rsidRDefault="00990216" w:rsidP="00C735D0">
      <w:pPr>
        <w:pStyle w:val="TDC3"/>
        <w:tabs>
          <w:tab w:val="right" w:leader="dot" w:pos="9408"/>
        </w:tabs>
        <w:rPr>
          <w:rFonts w:ascii="Verdana" w:eastAsiaTheme="minorEastAsia" w:hAnsi="Verdana" w:cstheme="minorBidi"/>
          <w:i w:val="0"/>
          <w:iCs w:val="0"/>
          <w:noProof/>
          <w:sz w:val="18"/>
          <w:szCs w:val="18"/>
          <w:lang w:val="en-US"/>
        </w:rPr>
      </w:pPr>
      <w:hyperlink w:anchor="_Toc25247760" w:history="1">
        <w:r w:rsidR="00C735D0" w:rsidRPr="006B1E79">
          <w:rPr>
            <w:rStyle w:val="Hipervnculo"/>
            <w:rFonts w:ascii="Verdana" w:hAnsi="Verdana"/>
            <w:noProof/>
            <w:sz w:val="18"/>
            <w:szCs w:val="18"/>
          </w:rPr>
          <w:t>B.2. Derecho a recurrir la sentencia condenatoria contra el señor Valenzuela</w:t>
        </w:r>
        <w:r w:rsidR="00C735D0" w:rsidRPr="006B1E79">
          <w:rPr>
            <w:rFonts w:ascii="Verdana" w:hAnsi="Verdana"/>
            <w:noProof/>
            <w:webHidden/>
            <w:sz w:val="18"/>
            <w:szCs w:val="18"/>
          </w:rPr>
          <w:tab/>
        </w:r>
        <w:r w:rsidR="00C735D0" w:rsidRPr="006B1E79">
          <w:rPr>
            <w:rFonts w:ascii="Verdana" w:hAnsi="Verdana"/>
            <w:noProof/>
            <w:webHidden/>
            <w:sz w:val="18"/>
            <w:szCs w:val="18"/>
          </w:rPr>
          <w:fldChar w:fldCharType="begin"/>
        </w:r>
        <w:r w:rsidR="00C735D0" w:rsidRPr="006B1E79">
          <w:rPr>
            <w:rFonts w:ascii="Verdana" w:hAnsi="Verdana"/>
            <w:noProof/>
            <w:webHidden/>
            <w:sz w:val="18"/>
            <w:szCs w:val="18"/>
          </w:rPr>
          <w:instrText xml:space="preserve"> PAGEREF _Toc25247760 \h </w:instrText>
        </w:r>
        <w:r w:rsidR="00C735D0" w:rsidRPr="006B1E79">
          <w:rPr>
            <w:rFonts w:ascii="Verdana" w:hAnsi="Verdana"/>
            <w:noProof/>
            <w:webHidden/>
            <w:sz w:val="18"/>
            <w:szCs w:val="18"/>
          </w:rPr>
        </w:r>
        <w:r w:rsidR="00C735D0" w:rsidRPr="006B1E79">
          <w:rPr>
            <w:rFonts w:ascii="Verdana" w:hAnsi="Verdana"/>
            <w:noProof/>
            <w:webHidden/>
            <w:sz w:val="18"/>
            <w:szCs w:val="18"/>
          </w:rPr>
          <w:fldChar w:fldCharType="separate"/>
        </w:r>
        <w:r>
          <w:rPr>
            <w:rFonts w:ascii="Verdana" w:hAnsi="Verdana"/>
            <w:noProof/>
            <w:webHidden/>
            <w:sz w:val="18"/>
            <w:szCs w:val="18"/>
          </w:rPr>
          <w:t>33</w:t>
        </w:r>
        <w:r w:rsidR="00C735D0" w:rsidRPr="006B1E79">
          <w:rPr>
            <w:rFonts w:ascii="Verdana" w:hAnsi="Verdana"/>
            <w:noProof/>
            <w:webHidden/>
            <w:sz w:val="18"/>
            <w:szCs w:val="18"/>
          </w:rPr>
          <w:fldChar w:fldCharType="end"/>
        </w:r>
      </w:hyperlink>
    </w:p>
    <w:p w14:paraId="34AAECC3" w14:textId="3074DC1B" w:rsidR="00C735D0" w:rsidRPr="006B1E79" w:rsidRDefault="00990216" w:rsidP="00C735D0">
      <w:pPr>
        <w:pStyle w:val="TDC3"/>
        <w:tabs>
          <w:tab w:val="right" w:leader="dot" w:pos="9408"/>
        </w:tabs>
        <w:rPr>
          <w:rFonts w:ascii="Verdana" w:eastAsiaTheme="minorEastAsia" w:hAnsi="Verdana" w:cstheme="minorBidi"/>
          <w:i w:val="0"/>
          <w:iCs w:val="0"/>
          <w:noProof/>
          <w:sz w:val="18"/>
          <w:szCs w:val="18"/>
          <w:lang w:val="en-US"/>
        </w:rPr>
      </w:pPr>
      <w:hyperlink w:anchor="_Toc25247761" w:history="1">
        <w:r w:rsidR="00C735D0" w:rsidRPr="006B1E79">
          <w:rPr>
            <w:rStyle w:val="Hipervnculo"/>
            <w:rFonts w:ascii="Verdana" w:hAnsi="Verdana"/>
            <w:noProof/>
            <w:sz w:val="18"/>
            <w:szCs w:val="18"/>
            <w:lang w:val="es-CR"/>
          </w:rPr>
          <w:t>B.3. Conclusión</w:t>
        </w:r>
        <w:r w:rsidR="00C735D0" w:rsidRPr="006B1E79">
          <w:rPr>
            <w:rFonts w:ascii="Verdana" w:hAnsi="Verdana"/>
            <w:noProof/>
            <w:webHidden/>
            <w:sz w:val="18"/>
            <w:szCs w:val="18"/>
          </w:rPr>
          <w:tab/>
        </w:r>
        <w:r w:rsidR="00C735D0" w:rsidRPr="006B1E79">
          <w:rPr>
            <w:rFonts w:ascii="Verdana" w:hAnsi="Verdana"/>
            <w:noProof/>
            <w:webHidden/>
            <w:sz w:val="18"/>
            <w:szCs w:val="18"/>
          </w:rPr>
          <w:fldChar w:fldCharType="begin"/>
        </w:r>
        <w:r w:rsidR="00C735D0" w:rsidRPr="006B1E79">
          <w:rPr>
            <w:rFonts w:ascii="Verdana" w:hAnsi="Verdana"/>
            <w:noProof/>
            <w:webHidden/>
            <w:sz w:val="18"/>
            <w:szCs w:val="18"/>
          </w:rPr>
          <w:instrText xml:space="preserve"> PAGEREF _Toc25247761 \h </w:instrText>
        </w:r>
        <w:r w:rsidR="00C735D0" w:rsidRPr="006B1E79">
          <w:rPr>
            <w:rFonts w:ascii="Verdana" w:hAnsi="Verdana"/>
            <w:noProof/>
            <w:webHidden/>
            <w:sz w:val="18"/>
            <w:szCs w:val="18"/>
          </w:rPr>
        </w:r>
        <w:r w:rsidR="00C735D0" w:rsidRPr="006B1E79">
          <w:rPr>
            <w:rFonts w:ascii="Verdana" w:hAnsi="Verdana"/>
            <w:noProof/>
            <w:webHidden/>
            <w:sz w:val="18"/>
            <w:szCs w:val="18"/>
          </w:rPr>
          <w:fldChar w:fldCharType="separate"/>
        </w:r>
        <w:r>
          <w:rPr>
            <w:rFonts w:ascii="Verdana" w:hAnsi="Verdana"/>
            <w:noProof/>
            <w:webHidden/>
            <w:sz w:val="18"/>
            <w:szCs w:val="18"/>
          </w:rPr>
          <w:t>34</w:t>
        </w:r>
        <w:r w:rsidR="00C735D0" w:rsidRPr="006B1E79">
          <w:rPr>
            <w:rFonts w:ascii="Verdana" w:hAnsi="Verdana"/>
            <w:noProof/>
            <w:webHidden/>
            <w:sz w:val="18"/>
            <w:szCs w:val="18"/>
          </w:rPr>
          <w:fldChar w:fldCharType="end"/>
        </w:r>
      </w:hyperlink>
    </w:p>
    <w:p w14:paraId="1C49BA3A" w14:textId="6600FB2B" w:rsidR="00C735D0" w:rsidRPr="006B1E79" w:rsidRDefault="00990216" w:rsidP="00C735D0">
      <w:pPr>
        <w:pStyle w:val="TDC3"/>
        <w:tabs>
          <w:tab w:val="right" w:leader="dot" w:pos="9408"/>
        </w:tabs>
        <w:rPr>
          <w:rFonts w:ascii="Verdana" w:eastAsiaTheme="minorEastAsia" w:hAnsi="Verdana" w:cstheme="minorBidi"/>
          <w:i w:val="0"/>
          <w:iCs w:val="0"/>
          <w:noProof/>
          <w:sz w:val="18"/>
          <w:szCs w:val="18"/>
          <w:lang w:val="en-US"/>
        </w:rPr>
      </w:pPr>
      <w:hyperlink w:anchor="_Toc25247762" w:history="1">
        <w:r w:rsidR="00C735D0" w:rsidRPr="006B1E79">
          <w:rPr>
            <w:rStyle w:val="Hipervnculo"/>
            <w:rFonts w:ascii="Verdana" w:hAnsi="Verdana"/>
            <w:noProof/>
            <w:sz w:val="18"/>
            <w:szCs w:val="18"/>
          </w:rPr>
          <w:t>B.4. Proceso Penal respecto a la muerte del señor Valenzuela</w:t>
        </w:r>
        <w:r w:rsidR="00C735D0" w:rsidRPr="006B1E79">
          <w:rPr>
            <w:rFonts w:ascii="Verdana" w:hAnsi="Verdana"/>
            <w:noProof/>
            <w:webHidden/>
            <w:sz w:val="18"/>
            <w:szCs w:val="18"/>
          </w:rPr>
          <w:tab/>
        </w:r>
        <w:r w:rsidR="00C735D0" w:rsidRPr="006B1E79">
          <w:rPr>
            <w:rFonts w:ascii="Verdana" w:hAnsi="Verdana"/>
            <w:noProof/>
            <w:webHidden/>
            <w:sz w:val="18"/>
            <w:szCs w:val="18"/>
          </w:rPr>
          <w:fldChar w:fldCharType="begin"/>
        </w:r>
        <w:r w:rsidR="00C735D0" w:rsidRPr="006B1E79">
          <w:rPr>
            <w:rFonts w:ascii="Verdana" w:hAnsi="Verdana"/>
            <w:noProof/>
            <w:webHidden/>
            <w:sz w:val="18"/>
            <w:szCs w:val="18"/>
          </w:rPr>
          <w:instrText xml:space="preserve"> PAGEREF _Toc25247762 \h </w:instrText>
        </w:r>
        <w:r w:rsidR="00C735D0" w:rsidRPr="006B1E79">
          <w:rPr>
            <w:rFonts w:ascii="Verdana" w:hAnsi="Verdana"/>
            <w:noProof/>
            <w:webHidden/>
            <w:sz w:val="18"/>
            <w:szCs w:val="18"/>
          </w:rPr>
        </w:r>
        <w:r w:rsidR="00C735D0" w:rsidRPr="006B1E79">
          <w:rPr>
            <w:rFonts w:ascii="Verdana" w:hAnsi="Verdana"/>
            <w:noProof/>
            <w:webHidden/>
            <w:sz w:val="18"/>
            <w:szCs w:val="18"/>
          </w:rPr>
          <w:fldChar w:fldCharType="separate"/>
        </w:r>
        <w:r>
          <w:rPr>
            <w:rFonts w:ascii="Verdana" w:hAnsi="Verdana"/>
            <w:noProof/>
            <w:webHidden/>
            <w:sz w:val="18"/>
            <w:szCs w:val="18"/>
          </w:rPr>
          <w:t>35</w:t>
        </w:r>
        <w:r w:rsidR="00C735D0" w:rsidRPr="006B1E79">
          <w:rPr>
            <w:rFonts w:ascii="Verdana" w:hAnsi="Verdana"/>
            <w:noProof/>
            <w:webHidden/>
            <w:sz w:val="18"/>
            <w:szCs w:val="18"/>
          </w:rPr>
          <w:fldChar w:fldCharType="end"/>
        </w:r>
      </w:hyperlink>
    </w:p>
    <w:p w14:paraId="5379FE30" w14:textId="65ACB7A3" w:rsidR="00C735D0" w:rsidRPr="006B1E79" w:rsidRDefault="00990216" w:rsidP="00C735D0">
      <w:pPr>
        <w:pStyle w:val="TDC4"/>
        <w:tabs>
          <w:tab w:val="right" w:leader="dot" w:pos="9408"/>
        </w:tabs>
        <w:rPr>
          <w:rFonts w:ascii="Verdana" w:eastAsiaTheme="minorEastAsia" w:hAnsi="Verdana" w:cstheme="minorBidi"/>
          <w:noProof/>
          <w:lang w:val="en-US"/>
        </w:rPr>
      </w:pPr>
      <w:hyperlink w:anchor="_Toc25247763" w:history="1">
        <w:r w:rsidR="00C735D0" w:rsidRPr="006B1E79">
          <w:rPr>
            <w:rStyle w:val="Hipervnculo"/>
            <w:rFonts w:ascii="Verdana" w:hAnsi="Verdana"/>
            <w:noProof/>
          </w:rPr>
          <w:t>B.4.1. Debida diligencia en la investigación</w:t>
        </w:r>
        <w:r w:rsidR="00C735D0" w:rsidRPr="006B1E79">
          <w:rPr>
            <w:rFonts w:ascii="Verdana" w:hAnsi="Verdana"/>
            <w:noProof/>
            <w:webHidden/>
          </w:rPr>
          <w:tab/>
        </w:r>
        <w:r w:rsidR="00C735D0" w:rsidRPr="006B1E79">
          <w:rPr>
            <w:rFonts w:ascii="Verdana" w:hAnsi="Verdana"/>
            <w:noProof/>
            <w:webHidden/>
          </w:rPr>
          <w:fldChar w:fldCharType="begin"/>
        </w:r>
        <w:r w:rsidR="00C735D0" w:rsidRPr="006B1E79">
          <w:rPr>
            <w:rFonts w:ascii="Verdana" w:hAnsi="Verdana"/>
            <w:noProof/>
            <w:webHidden/>
          </w:rPr>
          <w:instrText xml:space="preserve"> PAGEREF _Toc25247763 \h </w:instrText>
        </w:r>
        <w:r w:rsidR="00C735D0" w:rsidRPr="006B1E79">
          <w:rPr>
            <w:rFonts w:ascii="Verdana" w:hAnsi="Verdana"/>
            <w:noProof/>
            <w:webHidden/>
          </w:rPr>
        </w:r>
        <w:r w:rsidR="00C735D0" w:rsidRPr="006B1E79">
          <w:rPr>
            <w:rFonts w:ascii="Verdana" w:hAnsi="Verdana"/>
            <w:noProof/>
            <w:webHidden/>
          </w:rPr>
          <w:fldChar w:fldCharType="separate"/>
        </w:r>
        <w:r>
          <w:rPr>
            <w:rFonts w:ascii="Verdana" w:hAnsi="Verdana"/>
            <w:noProof/>
            <w:webHidden/>
          </w:rPr>
          <w:t>35</w:t>
        </w:r>
        <w:r w:rsidR="00C735D0" w:rsidRPr="006B1E79">
          <w:rPr>
            <w:rFonts w:ascii="Verdana" w:hAnsi="Verdana"/>
            <w:noProof/>
            <w:webHidden/>
          </w:rPr>
          <w:fldChar w:fldCharType="end"/>
        </w:r>
      </w:hyperlink>
    </w:p>
    <w:p w14:paraId="0A195D58" w14:textId="648EFA14" w:rsidR="00C735D0" w:rsidRPr="006B1E79" w:rsidRDefault="00990216" w:rsidP="006B1B0F">
      <w:pPr>
        <w:pStyle w:val="TDC2"/>
        <w:rPr>
          <w:rFonts w:eastAsiaTheme="minorEastAsia" w:cstheme="minorBidi"/>
          <w:lang w:val="en-US"/>
        </w:rPr>
      </w:pPr>
      <w:hyperlink w:anchor="_Toc25247764" w:history="1">
        <w:r w:rsidR="00C735D0" w:rsidRPr="006B1E79">
          <w:rPr>
            <w:rStyle w:val="Hipervnculo"/>
          </w:rPr>
          <w:t>C. Conclusión</w:t>
        </w:r>
        <w:r w:rsidR="00C735D0" w:rsidRPr="006B1E79">
          <w:rPr>
            <w:webHidden/>
          </w:rPr>
          <w:tab/>
        </w:r>
        <w:r w:rsidR="00C735D0" w:rsidRPr="006B1E79">
          <w:rPr>
            <w:webHidden/>
          </w:rPr>
          <w:fldChar w:fldCharType="begin"/>
        </w:r>
        <w:r w:rsidR="00C735D0" w:rsidRPr="006B1E79">
          <w:rPr>
            <w:webHidden/>
          </w:rPr>
          <w:instrText xml:space="preserve"> PAGEREF _Toc25247764 \h </w:instrText>
        </w:r>
        <w:r w:rsidR="00C735D0" w:rsidRPr="006B1E79">
          <w:rPr>
            <w:webHidden/>
          </w:rPr>
        </w:r>
        <w:r w:rsidR="00C735D0" w:rsidRPr="006B1E79">
          <w:rPr>
            <w:webHidden/>
          </w:rPr>
          <w:fldChar w:fldCharType="separate"/>
        </w:r>
        <w:r>
          <w:rPr>
            <w:webHidden/>
          </w:rPr>
          <w:t>38</w:t>
        </w:r>
        <w:r w:rsidR="00C735D0" w:rsidRPr="006B1E79">
          <w:rPr>
            <w:webHidden/>
          </w:rPr>
          <w:fldChar w:fldCharType="end"/>
        </w:r>
      </w:hyperlink>
    </w:p>
    <w:p w14:paraId="0A1EADA6" w14:textId="55F658C9" w:rsidR="00C735D0" w:rsidRPr="006B1E79" w:rsidRDefault="00990216" w:rsidP="00C735D0">
      <w:pPr>
        <w:pStyle w:val="TDC1"/>
        <w:tabs>
          <w:tab w:val="right" w:leader="dot" w:pos="9408"/>
        </w:tabs>
        <w:spacing w:before="0" w:after="0"/>
        <w:rPr>
          <w:rFonts w:ascii="Verdana" w:eastAsiaTheme="minorEastAsia" w:hAnsi="Verdana" w:cstheme="minorBidi"/>
          <w:b w:val="0"/>
          <w:bCs w:val="0"/>
          <w:caps w:val="0"/>
          <w:noProof/>
          <w:sz w:val="18"/>
          <w:szCs w:val="18"/>
          <w:lang w:val="en-US"/>
        </w:rPr>
      </w:pPr>
      <w:hyperlink w:anchor="_Toc25247765" w:history="1">
        <w:r w:rsidR="00C735D0" w:rsidRPr="006B1E79">
          <w:rPr>
            <w:rStyle w:val="Hipervnculo"/>
            <w:rFonts w:ascii="Verdana" w:hAnsi="Verdana"/>
            <w:noProof/>
            <w:sz w:val="18"/>
            <w:szCs w:val="18"/>
            <w:lang w:val="es-CR"/>
          </w:rPr>
          <w:t xml:space="preserve">VIII-2  </w:t>
        </w:r>
        <w:r w:rsidR="00C735D0" w:rsidRPr="006B1E79">
          <w:rPr>
            <w:rStyle w:val="Hipervnculo"/>
            <w:rFonts w:ascii="Verdana" w:hAnsi="Verdana"/>
            <w:noProof/>
            <w:sz w:val="18"/>
            <w:szCs w:val="18"/>
          </w:rPr>
          <w:t>DERECHO A LA VIDA Y PRINCIPIO DE LEGALIDAD Y DE RETROACTIVIDAD, CON MOTIVO DE LA APLICACIÓN DE LA PENA DE MUERTE AL SEÑOR VALENZUELA ÁVILA</w:t>
        </w:r>
        <w:r w:rsidR="00C735D0" w:rsidRPr="006B1E79">
          <w:rPr>
            <w:rFonts w:ascii="Verdana" w:hAnsi="Verdana"/>
            <w:noProof/>
            <w:webHidden/>
            <w:sz w:val="18"/>
            <w:szCs w:val="18"/>
          </w:rPr>
          <w:tab/>
        </w:r>
        <w:r w:rsidR="00C735D0" w:rsidRPr="006B1E79">
          <w:rPr>
            <w:rFonts w:ascii="Verdana" w:hAnsi="Verdana"/>
            <w:noProof/>
            <w:webHidden/>
            <w:sz w:val="18"/>
            <w:szCs w:val="18"/>
          </w:rPr>
          <w:fldChar w:fldCharType="begin"/>
        </w:r>
        <w:r w:rsidR="00C735D0" w:rsidRPr="006B1E79">
          <w:rPr>
            <w:rFonts w:ascii="Verdana" w:hAnsi="Verdana"/>
            <w:noProof/>
            <w:webHidden/>
            <w:sz w:val="18"/>
            <w:szCs w:val="18"/>
          </w:rPr>
          <w:instrText xml:space="preserve"> PAGEREF _Toc25247765 \h </w:instrText>
        </w:r>
        <w:r w:rsidR="00C735D0" w:rsidRPr="006B1E79">
          <w:rPr>
            <w:rFonts w:ascii="Verdana" w:hAnsi="Verdana"/>
            <w:noProof/>
            <w:webHidden/>
            <w:sz w:val="18"/>
            <w:szCs w:val="18"/>
          </w:rPr>
        </w:r>
        <w:r w:rsidR="00C735D0" w:rsidRPr="006B1E79">
          <w:rPr>
            <w:rFonts w:ascii="Verdana" w:hAnsi="Verdana"/>
            <w:noProof/>
            <w:webHidden/>
            <w:sz w:val="18"/>
            <w:szCs w:val="18"/>
          </w:rPr>
          <w:fldChar w:fldCharType="separate"/>
        </w:r>
        <w:r>
          <w:rPr>
            <w:rFonts w:ascii="Verdana" w:hAnsi="Verdana"/>
            <w:noProof/>
            <w:webHidden/>
            <w:sz w:val="18"/>
            <w:szCs w:val="18"/>
          </w:rPr>
          <w:t>39</w:t>
        </w:r>
        <w:r w:rsidR="00C735D0" w:rsidRPr="006B1E79">
          <w:rPr>
            <w:rFonts w:ascii="Verdana" w:hAnsi="Verdana"/>
            <w:noProof/>
            <w:webHidden/>
            <w:sz w:val="18"/>
            <w:szCs w:val="18"/>
          </w:rPr>
          <w:fldChar w:fldCharType="end"/>
        </w:r>
      </w:hyperlink>
    </w:p>
    <w:p w14:paraId="55F86104" w14:textId="61F12317" w:rsidR="00C735D0" w:rsidRPr="006B1E79" w:rsidRDefault="00990216" w:rsidP="006B1B0F">
      <w:pPr>
        <w:pStyle w:val="TDC2"/>
        <w:rPr>
          <w:rFonts w:eastAsiaTheme="minorEastAsia" w:cstheme="minorBidi"/>
          <w:lang w:val="en-US"/>
        </w:rPr>
      </w:pPr>
      <w:hyperlink w:anchor="_Toc25247766" w:history="1">
        <w:r w:rsidR="00C735D0" w:rsidRPr="006B1E79">
          <w:rPr>
            <w:rStyle w:val="Hipervnculo"/>
          </w:rPr>
          <w:t>A. Alegatos de la Comisión y las partes</w:t>
        </w:r>
        <w:r w:rsidR="00C735D0" w:rsidRPr="006B1E79">
          <w:rPr>
            <w:webHidden/>
          </w:rPr>
          <w:tab/>
        </w:r>
        <w:r w:rsidR="00C735D0" w:rsidRPr="006B1E79">
          <w:rPr>
            <w:webHidden/>
          </w:rPr>
          <w:fldChar w:fldCharType="begin"/>
        </w:r>
        <w:r w:rsidR="00C735D0" w:rsidRPr="006B1E79">
          <w:rPr>
            <w:webHidden/>
          </w:rPr>
          <w:instrText xml:space="preserve"> PAGEREF _Toc25247766 \h </w:instrText>
        </w:r>
        <w:r w:rsidR="00C735D0" w:rsidRPr="006B1E79">
          <w:rPr>
            <w:webHidden/>
          </w:rPr>
        </w:r>
        <w:r w:rsidR="00C735D0" w:rsidRPr="006B1E79">
          <w:rPr>
            <w:webHidden/>
          </w:rPr>
          <w:fldChar w:fldCharType="separate"/>
        </w:r>
        <w:r>
          <w:rPr>
            <w:webHidden/>
          </w:rPr>
          <w:t>39</w:t>
        </w:r>
        <w:r w:rsidR="00C735D0" w:rsidRPr="006B1E79">
          <w:rPr>
            <w:webHidden/>
          </w:rPr>
          <w:fldChar w:fldCharType="end"/>
        </w:r>
      </w:hyperlink>
    </w:p>
    <w:p w14:paraId="34AEBAA2" w14:textId="6728532D" w:rsidR="00C735D0" w:rsidRPr="00375549" w:rsidRDefault="00990216" w:rsidP="006B1B0F">
      <w:pPr>
        <w:pStyle w:val="TDC2"/>
        <w:rPr>
          <w:rFonts w:eastAsiaTheme="minorEastAsia" w:cstheme="minorBidi"/>
          <w:lang w:val="en-US"/>
        </w:rPr>
      </w:pPr>
      <w:hyperlink w:anchor="_Toc25247767" w:history="1">
        <w:r w:rsidR="00C735D0" w:rsidRPr="00375549">
          <w:rPr>
            <w:rStyle w:val="Hipervnculo"/>
          </w:rPr>
          <w:t>B.</w:t>
        </w:r>
        <w:r w:rsidR="00375549">
          <w:rPr>
            <w:rFonts w:eastAsiaTheme="minorEastAsia" w:cstheme="minorBidi"/>
            <w:lang w:val="en-US"/>
          </w:rPr>
          <w:t xml:space="preserve"> </w:t>
        </w:r>
        <w:r w:rsidR="00C735D0" w:rsidRPr="00375549">
          <w:rPr>
            <w:rStyle w:val="Hipervnculo"/>
          </w:rPr>
          <w:t>Consideraciones de la Corte</w:t>
        </w:r>
        <w:r w:rsidR="00C735D0" w:rsidRPr="00375549">
          <w:rPr>
            <w:webHidden/>
          </w:rPr>
          <w:tab/>
        </w:r>
        <w:r w:rsidR="00C735D0" w:rsidRPr="00375549">
          <w:rPr>
            <w:webHidden/>
          </w:rPr>
          <w:fldChar w:fldCharType="begin"/>
        </w:r>
        <w:r w:rsidR="00C735D0" w:rsidRPr="00375549">
          <w:rPr>
            <w:webHidden/>
          </w:rPr>
          <w:instrText xml:space="preserve"> PAGEREF _Toc25247767 \h </w:instrText>
        </w:r>
        <w:r w:rsidR="00C735D0" w:rsidRPr="00375549">
          <w:rPr>
            <w:webHidden/>
          </w:rPr>
        </w:r>
        <w:r w:rsidR="00C735D0" w:rsidRPr="00375549">
          <w:rPr>
            <w:webHidden/>
          </w:rPr>
          <w:fldChar w:fldCharType="separate"/>
        </w:r>
        <w:r>
          <w:rPr>
            <w:webHidden/>
          </w:rPr>
          <w:t>40</w:t>
        </w:r>
        <w:r w:rsidR="00C735D0" w:rsidRPr="00375549">
          <w:rPr>
            <w:webHidden/>
          </w:rPr>
          <w:fldChar w:fldCharType="end"/>
        </w:r>
      </w:hyperlink>
    </w:p>
    <w:p w14:paraId="2E3AAD13" w14:textId="0E83BA24" w:rsidR="00C735D0" w:rsidRPr="006B1E79" w:rsidRDefault="00990216" w:rsidP="006B1B0F">
      <w:pPr>
        <w:pStyle w:val="TDC2"/>
        <w:rPr>
          <w:rFonts w:eastAsiaTheme="minorEastAsia" w:cstheme="minorBidi"/>
          <w:lang w:val="en-US"/>
        </w:rPr>
      </w:pPr>
      <w:hyperlink w:anchor="_Toc25247768" w:history="1">
        <w:r w:rsidR="00C735D0" w:rsidRPr="006B1E79">
          <w:rPr>
            <w:rStyle w:val="Hipervnculo"/>
          </w:rPr>
          <w:t>C.</w:t>
        </w:r>
        <w:r w:rsidR="00375549">
          <w:rPr>
            <w:rStyle w:val="Hipervnculo"/>
          </w:rPr>
          <w:t xml:space="preserve"> </w:t>
        </w:r>
        <w:r w:rsidR="00C735D0" w:rsidRPr="006B1E79">
          <w:rPr>
            <w:rStyle w:val="Hipervnculo"/>
          </w:rPr>
          <w:t>Conclusión</w:t>
        </w:r>
        <w:r w:rsidR="00C735D0" w:rsidRPr="006B1E79">
          <w:rPr>
            <w:webHidden/>
          </w:rPr>
          <w:tab/>
        </w:r>
        <w:r w:rsidR="00C735D0" w:rsidRPr="006B1E79">
          <w:rPr>
            <w:webHidden/>
          </w:rPr>
          <w:fldChar w:fldCharType="begin"/>
        </w:r>
        <w:r w:rsidR="00C735D0" w:rsidRPr="006B1E79">
          <w:rPr>
            <w:webHidden/>
          </w:rPr>
          <w:instrText xml:space="preserve"> PAGEREF _Toc25247768 \h </w:instrText>
        </w:r>
        <w:r w:rsidR="00C735D0" w:rsidRPr="006B1E79">
          <w:rPr>
            <w:webHidden/>
          </w:rPr>
        </w:r>
        <w:r w:rsidR="00C735D0" w:rsidRPr="006B1E79">
          <w:rPr>
            <w:webHidden/>
          </w:rPr>
          <w:fldChar w:fldCharType="separate"/>
        </w:r>
        <w:r>
          <w:rPr>
            <w:webHidden/>
          </w:rPr>
          <w:t>41</w:t>
        </w:r>
        <w:r w:rsidR="00C735D0" w:rsidRPr="006B1E79">
          <w:rPr>
            <w:webHidden/>
          </w:rPr>
          <w:fldChar w:fldCharType="end"/>
        </w:r>
      </w:hyperlink>
    </w:p>
    <w:p w14:paraId="1C0E6BAD" w14:textId="0EAFFC7B" w:rsidR="00C735D0" w:rsidRPr="006B1E79" w:rsidRDefault="00990216" w:rsidP="00C735D0">
      <w:pPr>
        <w:pStyle w:val="TDC1"/>
        <w:tabs>
          <w:tab w:val="right" w:leader="dot" w:pos="9408"/>
        </w:tabs>
        <w:spacing w:before="0" w:after="0"/>
        <w:rPr>
          <w:rFonts w:ascii="Verdana" w:eastAsiaTheme="minorEastAsia" w:hAnsi="Verdana" w:cstheme="minorBidi"/>
          <w:b w:val="0"/>
          <w:bCs w:val="0"/>
          <w:caps w:val="0"/>
          <w:noProof/>
          <w:sz w:val="18"/>
          <w:szCs w:val="18"/>
          <w:lang w:val="en-US"/>
        </w:rPr>
      </w:pPr>
      <w:hyperlink w:anchor="_Toc25247769" w:history="1">
        <w:r w:rsidR="00C735D0" w:rsidRPr="006B1E79">
          <w:rPr>
            <w:rStyle w:val="Hipervnculo"/>
            <w:rFonts w:ascii="Verdana" w:hAnsi="Verdana"/>
            <w:noProof/>
            <w:sz w:val="18"/>
            <w:szCs w:val="18"/>
            <w:lang w:val="es-CR"/>
          </w:rPr>
          <w:t xml:space="preserve">VIII-3 </w:t>
        </w:r>
        <w:r w:rsidR="00C735D0" w:rsidRPr="006B1E79">
          <w:rPr>
            <w:rStyle w:val="Hipervnculo"/>
            <w:rFonts w:ascii="Verdana" w:hAnsi="Verdana"/>
            <w:noProof/>
            <w:sz w:val="18"/>
            <w:szCs w:val="18"/>
          </w:rPr>
          <w:t>DERECHO A LA VIDA, CON MOTIVO DE LA MUERTE</w:t>
        </w:r>
        <w:r w:rsidR="00C735D0" w:rsidRPr="006B1E79">
          <w:rPr>
            <w:rFonts w:ascii="Verdana" w:hAnsi="Verdana"/>
            <w:noProof/>
            <w:webHidden/>
            <w:sz w:val="18"/>
            <w:szCs w:val="18"/>
          </w:rPr>
          <w:tab/>
        </w:r>
        <w:r w:rsidR="00C735D0" w:rsidRPr="006B1E79">
          <w:rPr>
            <w:rFonts w:ascii="Verdana" w:hAnsi="Verdana"/>
            <w:noProof/>
            <w:webHidden/>
            <w:sz w:val="18"/>
            <w:szCs w:val="18"/>
          </w:rPr>
          <w:fldChar w:fldCharType="begin"/>
        </w:r>
        <w:r w:rsidR="00C735D0" w:rsidRPr="006B1E79">
          <w:rPr>
            <w:rFonts w:ascii="Verdana" w:hAnsi="Verdana"/>
            <w:noProof/>
            <w:webHidden/>
            <w:sz w:val="18"/>
            <w:szCs w:val="18"/>
          </w:rPr>
          <w:instrText xml:space="preserve"> PAGEREF _Toc25247769 \h </w:instrText>
        </w:r>
        <w:r w:rsidR="00C735D0" w:rsidRPr="006B1E79">
          <w:rPr>
            <w:rFonts w:ascii="Verdana" w:hAnsi="Verdana"/>
            <w:noProof/>
            <w:webHidden/>
            <w:sz w:val="18"/>
            <w:szCs w:val="18"/>
          </w:rPr>
        </w:r>
        <w:r w:rsidR="00C735D0" w:rsidRPr="006B1E79">
          <w:rPr>
            <w:rFonts w:ascii="Verdana" w:hAnsi="Verdana"/>
            <w:noProof/>
            <w:webHidden/>
            <w:sz w:val="18"/>
            <w:szCs w:val="18"/>
          </w:rPr>
          <w:fldChar w:fldCharType="separate"/>
        </w:r>
        <w:r>
          <w:rPr>
            <w:rFonts w:ascii="Verdana" w:hAnsi="Verdana"/>
            <w:noProof/>
            <w:webHidden/>
            <w:sz w:val="18"/>
            <w:szCs w:val="18"/>
          </w:rPr>
          <w:t>41</w:t>
        </w:r>
        <w:r w:rsidR="00C735D0" w:rsidRPr="006B1E79">
          <w:rPr>
            <w:rFonts w:ascii="Verdana" w:hAnsi="Verdana"/>
            <w:noProof/>
            <w:webHidden/>
            <w:sz w:val="18"/>
            <w:szCs w:val="18"/>
          </w:rPr>
          <w:fldChar w:fldCharType="end"/>
        </w:r>
      </w:hyperlink>
    </w:p>
    <w:p w14:paraId="7045810B" w14:textId="101410A3" w:rsidR="00C735D0" w:rsidRPr="006B1E79" w:rsidRDefault="00990216" w:rsidP="00C735D0">
      <w:pPr>
        <w:pStyle w:val="TDC1"/>
        <w:tabs>
          <w:tab w:val="right" w:leader="dot" w:pos="9408"/>
        </w:tabs>
        <w:spacing w:before="0" w:after="0"/>
        <w:rPr>
          <w:rFonts w:ascii="Verdana" w:eastAsiaTheme="minorEastAsia" w:hAnsi="Verdana" w:cstheme="minorBidi"/>
          <w:b w:val="0"/>
          <w:bCs w:val="0"/>
          <w:caps w:val="0"/>
          <w:noProof/>
          <w:sz w:val="18"/>
          <w:szCs w:val="18"/>
          <w:lang w:val="en-US"/>
        </w:rPr>
      </w:pPr>
      <w:hyperlink w:anchor="_Toc25247770" w:history="1">
        <w:r w:rsidR="00C735D0" w:rsidRPr="006B1E79">
          <w:rPr>
            <w:rStyle w:val="Hipervnculo"/>
            <w:rFonts w:ascii="Verdana" w:hAnsi="Verdana"/>
            <w:noProof/>
            <w:sz w:val="18"/>
            <w:szCs w:val="18"/>
          </w:rPr>
          <w:t>SEÑOR VALENZUELA ÁVILA</w:t>
        </w:r>
        <w:r w:rsidR="00C735D0" w:rsidRPr="006B1E79">
          <w:rPr>
            <w:rFonts w:ascii="Verdana" w:hAnsi="Verdana"/>
            <w:noProof/>
            <w:webHidden/>
            <w:sz w:val="18"/>
            <w:szCs w:val="18"/>
          </w:rPr>
          <w:tab/>
        </w:r>
        <w:r w:rsidR="00C735D0" w:rsidRPr="006B1E79">
          <w:rPr>
            <w:rFonts w:ascii="Verdana" w:hAnsi="Verdana"/>
            <w:noProof/>
            <w:webHidden/>
            <w:sz w:val="18"/>
            <w:szCs w:val="18"/>
          </w:rPr>
          <w:fldChar w:fldCharType="begin"/>
        </w:r>
        <w:r w:rsidR="00C735D0" w:rsidRPr="006B1E79">
          <w:rPr>
            <w:rFonts w:ascii="Verdana" w:hAnsi="Verdana"/>
            <w:noProof/>
            <w:webHidden/>
            <w:sz w:val="18"/>
            <w:szCs w:val="18"/>
          </w:rPr>
          <w:instrText xml:space="preserve"> PAGEREF _Toc25247770 \h </w:instrText>
        </w:r>
        <w:r w:rsidR="00C735D0" w:rsidRPr="006B1E79">
          <w:rPr>
            <w:rFonts w:ascii="Verdana" w:hAnsi="Verdana"/>
            <w:noProof/>
            <w:webHidden/>
            <w:sz w:val="18"/>
            <w:szCs w:val="18"/>
          </w:rPr>
        </w:r>
        <w:r w:rsidR="00C735D0" w:rsidRPr="006B1E79">
          <w:rPr>
            <w:rFonts w:ascii="Verdana" w:hAnsi="Verdana"/>
            <w:noProof/>
            <w:webHidden/>
            <w:sz w:val="18"/>
            <w:szCs w:val="18"/>
          </w:rPr>
          <w:fldChar w:fldCharType="separate"/>
        </w:r>
        <w:r>
          <w:rPr>
            <w:rFonts w:ascii="Verdana" w:hAnsi="Verdana"/>
            <w:noProof/>
            <w:webHidden/>
            <w:sz w:val="18"/>
            <w:szCs w:val="18"/>
          </w:rPr>
          <w:t>41</w:t>
        </w:r>
        <w:r w:rsidR="00C735D0" w:rsidRPr="006B1E79">
          <w:rPr>
            <w:rFonts w:ascii="Verdana" w:hAnsi="Verdana"/>
            <w:noProof/>
            <w:webHidden/>
            <w:sz w:val="18"/>
            <w:szCs w:val="18"/>
          </w:rPr>
          <w:fldChar w:fldCharType="end"/>
        </w:r>
      </w:hyperlink>
    </w:p>
    <w:p w14:paraId="357481DA" w14:textId="58B85633" w:rsidR="00C735D0" w:rsidRPr="006B1E79" w:rsidRDefault="003B1052" w:rsidP="006B1B0F">
      <w:pPr>
        <w:pStyle w:val="TDC2"/>
        <w:rPr>
          <w:rFonts w:eastAsiaTheme="minorEastAsia" w:cstheme="minorBidi"/>
          <w:lang w:val="en-US"/>
        </w:rPr>
      </w:pPr>
      <w:r w:rsidRPr="00E00B3B">
        <w:rPr>
          <w:rStyle w:val="Hipervnculo"/>
          <w:rFonts w:cstheme="minorHAnsi"/>
          <w:smallCaps w:val="0"/>
          <w:color w:val="auto"/>
          <w:u w:val="none"/>
        </w:rPr>
        <w:t>A.</w:t>
      </w:r>
      <w:r w:rsidRPr="00E00B3B">
        <w:rPr>
          <w:rStyle w:val="Hipervnculo"/>
          <w:color w:val="auto"/>
          <w:u w:val="none"/>
        </w:rPr>
        <w:t xml:space="preserve"> </w:t>
      </w:r>
      <w:hyperlink w:anchor="_Toc25247771" w:history="1">
        <w:r w:rsidR="00C735D0" w:rsidRPr="006B1E79">
          <w:rPr>
            <w:rStyle w:val="Hipervnculo"/>
          </w:rPr>
          <w:t>Alegatos de la Comisión y las partes</w:t>
        </w:r>
        <w:r w:rsidR="00C735D0" w:rsidRPr="006B1E79">
          <w:rPr>
            <w:webHidden/>
          </w:rPr>
          <w:tab/>
        </w:r>
        <w:r w:rsidR="00C735D0" w:rsidRPr="006B1E79">
          <w:rPr>
            <w:webHidden/>
          </w:rPr>
          <w:fldChar w:fldCharType="begin"/>
        </w:r>
        <w:r w:rsidR="00C735D0" w:rsidRPr="006B1E79">
          <w:rPr>
            <w:webHidden/>
          </w:rPr>
          <w:instrText xml:space="preserve"> PAGEREF _Toc25247771 \h </w:instrText>
        </w:r>
        <w:r w:rsidR="00C735D0" w:rsidRPr="006B1E79">
          <w:rPr>
            <w:webHidden/>
          </w:rPr>
        </w:r>
        <w:r w:rsidR="00C735D0" w:rsidRPr="006B1E79">
          <w:rPr>
            <w:webHidden/>
          </w:rPr>
          <w:fldChar w:fldCharType="separate"/>
        </w:r>
        <w:r w:rsidR="00990216">
          <w:rPr>
            <w:webHidden/>
          </w:rPr>
          <w:t>41</w:t>
        </w:r>
        <w:r w:rsidR="00C735D0" w:rsidRPr="006B1E79">
          <w:rPr>
            <w:webHidden/>
          </w:rPr>
          <w:fldChar w:fldCharType="end"/>
        </w:r>
      </w:hyperlink>
    </w:p>
    <w:p w14:paraId="51A64F9A" w14:textId="655AC0C0" w:rsidR="00C735D0" w:rsidRPr="006B1E79" w:rsidRDefault="00990216" w:rsidP="006B1B0F">
      <w:pPr>
        <w:pStyle w:val="TDC2"/>
        <w:rPr>
          <w:rFonts w:eastAsiaTheme="minorEastAsia" w:cstheme="minorBidi"/>
          <w:lang w:val="en-US"/>
        </w:rPr>
      </w:pPr>
      <w:hyperlink w:anchor="_Toc25247772" w:history="1">
        <w:r w:rsidR="00C735D0" w:rsidRPr="006B1E79">
          <w:rPr>
            <w:rStyle w:val="Hipervnculo"/>
          </w:rPr>
          <w:t>B.</w:t>
        </w:r>
        <w:r w:rsidR="003B1052">
          <w:rPr>
            <w:rFonts w:eastAsiaTheme="minorEastAsia" w:cstheme="minorBidi"/>
            <w:lang w:val="en-US"/>
          </w:rPr>
          <w:t xml:space="preserve"> </w:t>
        </w:r>
        <w:r w:rsidR="00C735D0" w:rsidRPr="006B1E79">
          <w:rPr>
            <w:rStyle w:val="Hipervnculo"/>
          </w:rPr>
          <w:t>Consideraciones de la Corte</w:t>
        </w:r>
        <w:r w:rsidR="00C735D0" w:rsidRPr="006B1E79">
          <w:rPr>
            <w:webHidden/>
          </w:rPr>
          <w:tab/>
        </w:r>
        <w:r w:rsidR="00C735D0" w:rsidRPr="006B1E79">
          <w:rPr>
            <w:webHidden/>
          </w:rPr>
          <w:fldChar w:fldCharType="begin"/>
        </w:r>
        <w:r w:rsidR="00C735D0" w:rsidRPr="006B1E79">
          <w:rPr>
            <w:webHidden/>
          </w:rPr>
          <w:instrText xml:space="preserve"> PAGEREF _Toc25247772 \h </w:instrText>
        </w:r>
        <w:r w:rsidR="00C735D0" w:rsidRPr="006B1E79">
          <w:rPr>
            <w:webHidden/>
          </w:rPr>
        </w:r>
        <w:r w:rsidR="00C735D0" w:rsidRPr="006B1E79">
          <w:rPr>
            <w:webHidden/>
          </w:rPr>
          <w:fldChar w:fldCharType="separate"/>
        </w:r>
        <w:r>
          <w:rPr>
            <w:webHidden/>
          </w:rPr>
          <w:t>42</w:t>
        </w:r>
        <w:r w:rsidR="00C735D0" w:rsidRPr="006B1E79">
          <w:rPr>
            <w:webHidden/>
          </w:rPr>
          <w:fldChar w:fldCharType="end"/>
        </w:r>
      </w:hyperlink>
    </w:p>
    <w:p w14:paraId="7448A4C1" w14:textId="7F100528" w:rsidR="00C735D0" w:rsidRPr="003B1052" w:rsidRDefault="00990216" w:rsidP="006B1B0F">
      <w:pPr>
        <w:pStyle w:val="TDC2"/>
        <w:rPr>
          <w:rFonts w:eastAsiaTheme="minorEastAsia" w:cstheme="minorBidi"/>
          <w:lang w:val="en-US"/>
        </w:rPr>
      </w:pPr>
      <w:hyperlink w:anchor="_Toc25247773" w:history="1">
        <w:r w:rsidR="00C735D0" w:rsidRPr="003B1052">
          <w:rPr>
            <w:rStyle w:val="Hipervnculo"/>
          </w:rPr>
          <w:t>C. Conclusión</w:t>
        </w:r>
        <w:r w:rsidR="00C735D0" w:rsidRPr="003B1052">
          <w:rPr>
            <w:webHidden/>
          </w:rPr>
          <w:tab/>
        </w:r>
        <w:r w:rsidR="00C735D0" w:rsidRPr="003B1052">
          <w:rPr>
            <w:webHidden/>
          </w:rPr>
          <w:fldChar w:fldCharType="begin"/>
        </w:r>
        <w:r w:rsidR="00C735D0" w:rsidRPr="003B1052">
          <w:rPr>
            <w:webHidden/>
          </w:rPr>
          <w:instrText xml:space="preserve"> PAGEREF _Toc25247773 \h </w:instrText>
        </w:r>
        <w:r w:rsidR="00C735D0" w:rsidRPr="003B1052">
          <w:rPr>
            <w:webHidden/>
          </w:rPr>
        </w:r>
        <w:r w:rsidR="00C735D0" w:rsidRPr="003B1052">
          <w:rPr>
            <w:webHidden/>
          </w:rPr>
          <w:fldChar w:fldCharType="separate"/>
        </w:r>
        <w:r>
          <w:rPr>
            <w:webHidden/>
          </w:rPr>
          <w:t>45</w:t>
        </w:r>
        <w:r w:rsidR="00C735D0" w:rsidRPr="003B1052">
          <w:rPr>
            <w:webHidden/>
          </w:rPr>
          <w:fldChar w:fldCharType="end"/>
        </w:r>
      </w:hyperlink>
    </w:p>
    <w:p w14:paraId="21E569D7" w14:textId="13F43D76" w:rsidR="00C735D0" w:rsidRPr="006B1E79" w:rsidRDefault="00990216" w:rsidP="00C735D0">
      <w:pPr>
        <w:pStyle w:val="TDC1"/>
        <w:tabs>
          <w:tab w:val="right" w:leader="dot" w:pos="9408"/>
        </w:tabs>
        <w:spacing w:before="0" w:after="0"/>
        <w:rPr>
          <w:rFonts w:ascii="Verdana" w:eastAsiaTheme="minorEastAsia" w:hAnsi="Verdana" w:cstheme="minorBidi"/>
          <w:b w:val="0"/>
          <w:bCs w:val="0"/>
          <w:caps w:val="0"/>
          <w:noProof/>
          <w:sz w:val="18"/>
          <w:szCs w:val="18"/>
          <w:lang w:val="en-US"/>
        </w:rPr>
      </w:pPr>
      <w:hyperlink w:anchor="_Toc25247774" w:history="1">
        <w:r w:rsidR="00C735D0" w:rsidRPr="006B1E79">
          <w:rPr>
            <w:rStyle w:val="Hipervnculo"/>
            <w:rFonts w:ascii="Verdana" w:hAnsi="Verdana"/>
            <w:noProof/>
            <w:sz w:val="18"/>
            <w:szCs w:val="18"/>
            <w:lang w:val="es-CR"/>
          </w:rPr>
          <w:t>VIII-4  DERECHOS A LA INTEGRIDAD PERSONAL,</w:t>
        </w:r>
        <w:r w:rsidR="00C735D0" w:rsidRPr="006B1E79">
          <w:rPr>
            <w:rFonts w:ascii="Verdana" w:hAnsi="Verdana"/>
            <w:noProof/>
            <w:webHidden/>
            <w:sz w:val="18"/>
            <w:szCs w:val="18"/>
          </w:rPr>
          <w:tab/>
        </w:r>
        <w:r w:rsidR="00C735D0" w:rsidRPr="006B1E79">
          <w:rPr>
            <w:rFonts w:ascii="Verdana" w:hAnsi="Verdana"/>
            <w:noProof/>
            <w:webHidden/>
            <w:sz w:val="18"/>
            <w:szCs w:val="18"/>
          </w:rPr>
          <w:fldChar w:fldCharType="begin"/>
        </w:r>
        <w:r w:rsidR="00C735D0" w:rsidRPr="006B1E79">
          <w:rPr>
            <w:rFonts w:ascii="Verdana" w:hAnsi="Verdana"/>
            <w:noProof/>
            <w:webHidden/>
            <w:sz w:val="18"/>
            <w:szCs w:val="18"/>
          </w:rPr>
          <w:instrText xml:space="preserve"> PAGEREF _Toc25247774 \h </w:instrText>
        </w:r>
        <w:r w:rsidR="00C735D0" w:rsidRPr="006B1E79">
          <w:rPr>
            <w:rFonts w:ascii="Verdana" w:hAnsi="Verdana"/>
            <w:noProof/>
            <w:webHidden/>
            <w:sz w:val="18"/>
            <w:szCs w:val="18"/>
          </w:rPr>
        </w:r>
        <w:r w:rsidR="00C735D0" w:rsidRPr="006B1E79">
          <w:rPr>
            <w:rFonts w:ascii="Verdana" w:hAnsi="Verdana"/>
            <w:noProof/>
            <w:webHidden/>
            <w:sz w:val="18"/>
            <w:szCs w:val="18"/>
          </w:rPr>
          <w:fldChar w:fldCharType="separate"/>
        </w:r>
        <w:r>
          <w:rPr>
            <w:rFonts w:ascii="Verdana" w:hAnsi="Verdana"/>
            <w:noProof/>
            <w:webHidden/>
            <w:sz w:val="18"/>
            <w:szCs w:val="18"/>
          </w:rPr>
          <w:t>45</w:t>
        </w:r>
        <w:r w:rsidR="00C735D0" w:rsidRPr="006B1E79">
          <w:rPr>
            <w:rFonts w:ascii="Verdana" w:hAnsi="Verdana"/>
            <w:noProof/>
            <w:webHidden/>
            <w:sz w:val="18"/>
            <w:szCs w:val="18"/>
          </w:rPr>
          <w:fldChar w:fldCharType="end"/>
        </w:r>
      </w:hyperlink>
    </w:p>
    <w:p w14:paraId="791A1BF8" w14:textId="794280B2" w:rsidR="00C735D0" w:rsidRPr="006B1E79" w:rsidRDefault="00990216" w:rsidP="00C735D0">
      <w:pPr>
        <w:pStyle w:val="TDC1"/>
        <w:tabs>
          <w:tab w:val="right" w:leader="dot" w:pos="9408"/>
        </w:tabs>
        <w:spacing w:before="0" w:after="0"/>
        <w:rPr>
          <w:rFonts w:ascii="Verdana" w:eastAsiaTheme="minorEastAsia" w:hAnsi="Verdana" w:cstheme="minorBidi"/>
          <w:b w:val="0"/>
          <w:bCs w:val="0"/>
          <w:caps w:val="0"/>
          <w:noProof/>
          <w:sz w:val="18"/>
          <w:szCs w:val="18"/>
          <w:lang w:val="en-US"/>
        </w:rPr>
      </w:pPr>
      <w:hyperlink w:anchor="_Toc25247775" w:history="1">
        <w:r w:rsidR="00C735D0" w:rsidRPr="006B1E79">
          <w:rPr>
            <w:rStyle w:val="Hipervnculo"/>
            <w:rFonts w:ascii="Verdana" w:hAnsi="Verdana"/>
            <w:noProof/>
            <w:sz w:val="18"/>
            <w:szCs w:val="18"/>
            <w:lang w:val="es-CR"/>
          </w:rPr>
          <w:t>A LA DIGNIDAD Y A LA VIDA PRIVADA</w:t>
        </w:r>
        <w:r w:rsidR="00C735D0" w:rsidRPr="006B1E79">
          <w:rPr>
            <w:rFonts w:ascii="Verdana" w:hAnsi="Verdana"/>
            <w:noProof/>
            <w:webHidden/>
            <w:sz w:val="18"/>
            <w:szCs w:val="18"/>
          </w:rPr>
          <w:tab/>
        </w:r>
        <w:r w:rsidR="00C735D0" w:rsidRPr="006B1E79">
          <w:rPr>
            <w:rFonts w:ascii="Verdana" w:hAnsi="Verdana"/>
            <w:noProof/>
            <w:webHidden/>
            <w:sz w:val="18"/>
            <w:szCs w:val="18"/>
          </w:rPr>
          <w:fldChar w:fldCharType="begin"/>
        </w:r>
        <w:r w:rsidR="00C735D0" w:rsidRPr="006B1E79">
          <w:rPr>
            <w:rFonts w:ascii="Verdana" w:hAnsi="Verdana"/>
            <w:noProof/>
            <w:webHidden/>
            <w:sz w:val="18"/>
            <w:szCs w:val="18"/>
          </w:rPr>
          <w:instrText xml:space="preserve"> PAGEREF _Toc25247775 \h </w:instrText>
        </w:r>
        <w:r w:rsidR="00C735D0" w:rsidRPr="006B1E79">
          <w:rPr>
            <w:rFonts w:ascii="Verdana" w:hAnsi="Verdana"/>
            <w:noProof/>
            <w:webHidden/>
            <w:sz w:val="18"/>
            <w:szCs w:val="18"/>
          </w:rPr>
        </w:r>
        <w:r w:rsidR="00C735D0" w:rsidRPr="006B1E79">
          <w:rPr>
            <w:rFonts w:ascii="Verdana" w:hAnsi="Verdana"/>
            <w:noProof/>
            <w:webHidden/>
            <w:sz w:val="18"/>
            <w:szCs w:val="18"/>
          </w:rPr>
          <w:fldChar w:fldCharType="separate"/>
        </w:r>
        <w:r>
          <w:rPr>
            <w:rFonts w:ascii="Verdana" w:hAnsi="Verdana"/>
            <w:noProof/>
            <w:webHidden/>
            <w:sz w:val="18"/>
            <w:szCs w:val="18"/>
          </w:rPr>
          <w:t>45</w:t>
        </w:r>
        <w:r w:rsidR="00C735D0" w:rsidRPr="006B1E79">
          <w:rPr>
            <w:rFonts w:ascii="Verdana" w:hAnsi="Verdana"/>
            <w:noProof/>
            <w:webHidden/>
            <w:sz w:val="18"/>
            <w:szCs w:val="18"/>
          </w:rPr>
          <w:fldChar w:fldCharType="end"/>
        </w:r>
      </w:hyperlink>
    </w:p>
    <w:p w14:paraId="79AFE224" w14:textId="26B41667" w:rsidR="00C735D0" w:rsidRPr="006B1E79" w:rsidRDefault="00990216" w:rsidP="006B1B0F">
      <w:pPr>
        <w:pStyle w:val="TDC2"/>
        <w:rPr>
          <w:rFonts w:eastAsiaTheme="minorEastAsia" w:cstheme="minorBidi"/>
          <w:lang w:val="en-US"/>
        </w:rPr>
      </w:pPr>
      <w:hyperlink w:anchor="_Toc25247776" w:history="1">
        <w:r w:rsidR="00C735D0" w:rsidRPr="006B1E79">
          <w:rPr>
            <w:rStyle w:val="Hipervnculo"/>
          </w:rPr>
          <w:t>A. Alegatos de las partes y de la Comisión</w:t>
        </w:r>
        <w:r w:rsidR="00C735D0" w:rsidRPr="006B1E79">
          <w:rPr>
            <w:webHidden/>
          </w:rPr>
          <w:tab/>
        </w:r>
        <w:r w:rsidR="00C735D0" w:rsidRPr="006B1E79">
          <w:rPr>
            <w:webHidden/>
          </w:rPr>
          <w:fldChar w:fldCharType="begin"/>
        </w:r>
        <w:r w:rsidR="00C735D0" w:rsidRPr="006B1E79">
          <w:rPr>
            <w:webHidden/>
          </w:rPr>
          <w:instrText xml:space="preserve"> PAGEREF _Toc25247776 \h </w:instrText>
        </w:r>
        <w:r w:rsidR="00C735D0" w:rsidRPr="006B1E79">
          <w:rPr>
            <w:webHidden/>
          </w:rPr>
        </w:r>
        <w:r w:rsidR="00C735D0" w:rsidRPr="006B1E79">
          <w:rPr>
            <w:webHidden/>
          </w:rPr>
          <w:fldChar w:fldCharType="separate"/>
        </w:r>
        <w:r>
          <w:rPr>
            <w:webHidden/>
          </w:rPr>
          <w:t>45</w:t>
        </w:r>
        <w:r w:rsidR="00C735D0" w:rsidRPr="006B1E79">
          <w:rPr>
            <w:webHidden/>
          </w:rPr>
          <w:fldChar w:fldCharType="end"/>
        </w:r>
      </w:hyperlink>
    </w:p>
    <w:p w14:paraId="6B837264" w14:textId="689A235D" w:rsidR="00C735D0" w:rsidRPr="006B1E79" w:rsidRDefault="00990216" w:rsidP="006B1B0F">
      <w:pPr>
        <w:pStyle w:val="TDC2"/>
        <w:rPr>
          <w:rFonts w:eastAsiaTheme="minorEastAsia" w:cstheme="minorBidi"/>
          <w:lang w:val="en-US"/>
        </w:rPr>
      </w:pPr>
      <w:hyperlink w:anchor="_Toc25247777" w:history="1">
        <w:r w:rsidR="00C735D0" w:rsidRPr="006B1E79">
          <w:rPr>
            <w:rStyle w:val="Hipervnculo"/>
          </w:rPr>
          <w:t>B. Consideraciones de la Corte</w:t>
        </w:r>
        <w:r w:rsidR="00C735D0" w:rsidRPr="006B1E79">
          <w:rPr>
            <w:webHidden/>
          </w:rPr>
          <w:tab/>
        </w:r>
        <w:r w:rsidR="00C735D0" w:rsidRPr="006B1E79">
          <w:rPr>
            <w:webHidden/>
          </w:rPr>
          <w:fldChar w:fldCharType="begin"/>
        </w:r>
        <w:r w:rsidR="00C735D0" w:rsidRPr="006B1E79">
          <w:rPr>
            <w:webHidden/>
          </w:rPr>
          <w:instrText xml:space="preserve"> PAGEREF _Toc25247777 \h </w:instrText>
        </w:r>
        <w:r w:rsidR="00C735D0" w:rsidRPr="006B1E79">
          <w:rPr>
            <w:webHidden/>
          </w:rPr>
        </w:r>
        <w:r w:rsidR="00C735D0" w:rsidRPr="006B1E79">
          <w:rPr>
            <w:webHidden/>
          </w:rPr>
          <w:fldChar w:fldCharType="separate"/>
        </w:r>
        <w:r>
          <w:rPr>
            <w:webHidden/>
          </w:rPr>
          <w:t>46</w:t>
        </w:r>
        <w:r w:rsidR="00C735D0" w:rsidRPr="006B1E79">
          <w:rPr>
            <w:webHidden/>
          </w:rPr>
          <w:fldChar w:fldCharType="end"/>
        </w:r>
      </w:hyperlink>
    </w:p>
    <w:p w14:paraId="2CC85526" w14:textId="78F99BA1" w:rsidR="00C735D0" w:rsidRPr="006B1E79" w:rsidRDefault="00990216" w:rsidP="00C735D0">
      <w:pPr>
        <w:pStyle w:val="TDC3"/>
        <w:tabs>
          <w:tab w:val="right" w:leader="dot" w:pos="9408"/>
        </w:tabs>
        <w:rPr>
          <w:rFonts w:ascii="Verdana" w:eastAsiaTheme="minorEastAsia" w:hAnsi="Verdana" w:cstheme="minorBidi"/>
          <w:i w:val="0"/>
          <w:iCs w:val="0"/>
          <w:noProof/>
          <w:sz w:val="18"/>
          <w:szCs w:val="18"/>
          <w:lang w:val="en-US"/>
        </w:rPr>
      </w:pPr>
      <w:hyperlink w:anchor="_Toc25247778" w:history="1">
        <w:r w:rsidR="00C735D0" w:rsidRPr="006B1E79">
          <w:rPr>
            <w:rStyle w:val="Hipervnculo"/>
            <w:rFonts w:ascii="Verdana" w:hAnsi="Verdana"/>
            <w:noProof/>
            <w:sz w:val="18"/>
            <w:szCs w:val="18"/>
            <w:lang w:val="es-CR"/>
          </w:rPr>
          <w:t>B.1. Detención y reclusión del señor Valenzuela</w:t>
        </w:r>
        <w:r w:rsidR="00C735D0" w:rsidRPr="006B1E79">
          <w:rPr>
            <w:rFonts w:ascii="Verdana" w:hAnsi="Verdana"/>
            <w:noProof/>
            <w:webHidden/>
            <w:sz w:val="18"/>
            <w:szCs w:val="18"/>
          </w:rPr>
          <w:tab/>
        </w:r>
        <w:r w:rsidR="00C735D0" w:rsidRPr="006B1E79">
          <w:rPr>
            <w:rFonts w:ascii="Verdana" w:hAnsi="Verdana"/>
            <w:noProof/>
            <w:webHidden/>
            <w:sz w:val="18"/>
            <w:szCs w:val="18"/>
          </w:rPr>
          <w:fldChar w:fldCharType="begin"/>
        </w:r>
        <w:r w:rsidR="00C735D0" w:rsidRPr="006B1E79">
          <w:rPr>
            <w:rFonts w:ascii="Verdana" w:hAnsi="Verdana"/>
            <w:noProof/>
            <w:webHidden/>
            <w:sz w:val="18"/>
            <w:szCs w:val="18"/>
          </w:rPr>
          <w:instrText xml:space="preserve"> PAGEREF _Toc25247778 \h </w:instrText>
        </w:r>
        <w:r w:rsidR="00C735D0" w:rsidRPr="006B1E79">
          <w:rPr>
            <w:rFonts w:ascii="Verdana" w:hAnsi="Verdana"/>
            <w:noProof/>
            <w:webHidden/>
            <w:sz w:val="18"/>
            <w:szCs w:val="18"/>
          </w:rPr>
        </w:r>
        <w:r w:rsidR="00C735D0" w:rsidRPr="006B1E79">
          <w:rPr>
            <w:rFonts w:ascii="Verdana" w:hAnsi="Verdana"/>
            <w:noProof/>
            <w:webHidden/>
            <w:sz w:val="18"/>
            <w:szCs w:val="18"/>
          </w:rPr>
          <w:fldChar w:fldCharType="separate"/>
        </w:r>
        <w:r>
          <w:rPr>
            <w:rFonts w:ascii="Verdana" w:hAnsi="Verdana"/>
            <w:noProof/>
            <w:webHidden/>
            <w:sz w:val="18"/>
            <w:szCs w:val="18"/>
          </w:rPr>
          <w:t>48</w:t>
        </w:r>
        <w:r w:rsidR="00C735D0" w:rsidRPr="006B1E79">
          <w:rPr>
            <w:rFonts w:ascii="Verdana" w:hAnsi="Verdana"/>
            <w:noProof/>
            <w:webHidden/>
            <w:sz w:val="18"/>
            <w:szCs w:val="18"/>
          </w:rPr>
          <w:fldChar w:fldCharType="end"/>
        </w:r>
      </w:hyperlink>
    </w:p>
    <w:p w14:paraId="1C775F29" w14:textId="6049C804" w:rsidR="00C735D0" w:rsidRPr="006B1B0F" w:rsidRDefault="00990216" w:rsidP="006B1B0F">
      <w:pPr>
        <w:pStyle w:val="TDC2"/>
        <w:rPr>
          <w:rFonts w:eastAsiaTheme="minorEastAsia" w:cstheme="minorBidi"/>
          <w:lang w:val="en-US"/>
        </w:rPr>
      </w:pPr>
      <w:hyperlink w:anchor="_Toc25247779" w:history="1">
        <w:r w:rsidR="00C735D0" w:rsidRPr="006B1B0F">
          <w:rPr>
            <w:rStyle w:val="Hipervnculo"/>
          </w:rPr>
          <w:t>C. Conclusión</w:t>
        </w:r>
        <w:r w:rsidR="00C735D0" w:rsidRPr="006B1B0F">
          <w:rPr>
            <w:webHidden/>
          </w:rPr>
          <w:tab/>
        </w:r>
        <w:r w:rsidR="00C735D0" w:rsidRPr="006B1B0F">
          <w:rPr>
            <w:webHidden/>
          </w:rPr>
          <w:fldChar w:fldCharType="begin"/>
        </w:r>
        <w:r w:rsidR="00C735D0" w:rsidRPr="006B1B0F">
          <w:rPr>
            <w:webHidden/>
          </w:rPr>
          <w:instrText xml:space="preserve"> PAGEREF _Toc25247779 \h </w:instrText>
        </w:r>
        <w:r w:rsidR="00C735D0" w:rsidRPr="006B1B0F">
          <w:rPr>
            <w:webHidden/>
          </w:rPr>
        </w:r>
        <w:r w:rsidR="00C735D0" w:rsidRPr="006B1B0F">
          <w:rPr>
            <w:webHidden/>
          </w:rPr>
          <w:fldChar w:fldCharType="separate"/>
        </w:r>
        <w:r>
          <w:rPr>
            <w:webHidden/>
          </w:rPr>
          <w:t>53</w:t>
        </w:r>
        <w:r w:rsidR="00C735D0" w:rsidRPr="006B1B0F">
          <w:rPr>
            <w:webHidden/>
          </w:rPr>
          <w:fldChar w:fldCharType="end"/>
        </w:r>
      </w:hyperlink>
    </w:p>
    <w:p w14:paraId="2A8A5EE5" w14:textId="39F8EE87" w:rsidR="00C735D0" w:rsidRPr="006B1E79" w:rsidRDefault="00990216" w:rsidP="00C735D0">
      <w:pPr>
        <w:pStyle w:val="TDC1"/>
        <w:tabs>
          <w:tab w:val="right" w:leader="dot" w:pos="9408"/>
        </w:tabs>
        <w:spacing w:before="0" w:after="0"/>
        <w:rPr>
          <w:rFonts w:ascii="Verdana" w:eastAsiaTheme="minorEastAsia" w:hAnsi="Verdana" w:cstheme="minorBidi"/>
          <w:b w:val="0"/>
          <w:bCs w:val="0"/>
          <w:caps w:val="0"/>
          <w:noProof/>
          <w:sz w:val="18"/>
          <w:szCs w:val="18"/>
          <w:lang w:val="en-US"/>
        </w:rPr>
      </w:pPr>
      <w:hyperlink w:anchor="_Toc25247780" w:history="1">
        <w:r w:rsidR="00C735D0" w:rsidRPr="006B1E79">
          <w:rPr>
            <w:rStyle w:val="Hipervnculo"/>
            <w:rFonts w:ascii="Verdana" w:hAnsi="Verdana"/>
            <w:noProof/>
            <w:sz w:val="18"/>
            <w:szCs w:val="18"/>
          </w:rPr>
          <w:t>VIII-5  DERECHO A LA LIBERTAD PERSONAL</w:t>
        </w:r>
        <w:r w:rsidR="00C735D0" w:rsidRPr="006B1E79">
          <w:rPr>
            <w:rFonts w:ascii="Verdana" w:hAnsi="Verdana"/>
            <w:noProof/>
            <w:webHidden/>
            <w:sz w:val="18"/>
            <w:szCs w:val="18"/>
          </w:rPr>
          <w:tab/>
        </w:r>
        <w:r w:rsidR="00C735D0" w:rsidRPr="006B1E79">
          <w:rPr>
            <w:rFonts w:ascii="Verdana" w:hAnsi="Verdana"/>
            <w:noProof/>
            <w:webHidden/>
            <w:sz w:val="18"/>
            <w:szCs w:val="18"/>
          </w:rPr>
          <w:fldChar w:fldCharType="begin"/>
        </w:r>
        <w:r w:rsidR="00C735D0" w:rsidRPr="006B1E79">
          <w:rPr>
            <w:rFonts w:ascii="Verdana" w:hAnsi="Verdana"/>
            <w:noProof/>
            <w:webHidden/>
            <w:sz w:val="18"/>
            <w:szCs w:val="18"/>
          </w:rPr>
          <w:instrText xml:space="preserve"> PAGEREF _Toc25247780 \h </w:instrText>
        </w:r>
        <w:r w:rsidR="00C735D0" w:rsidRPr="006B1E79">
          <w:rPr>
            <w:rFonts w:ascii="Verdana" w:hAnsi="Verdana"/>
            <w:noProof/>
            <w:webHidden/>
            <w:sz w:val="18"/>
            <w:szCs w:val="18"/>
          </w:rPr>
        </w:r>
        <w:r w:rsidR="00C735D0" w:rsidRPr="006B1E79">
          <w:rPr>
            <w:rFonts w:ascii="Verdana" w:hAnsi="Verdana"/>
            <w:noProof/>
            <w:webHidden/>
            <w:sz w:val="18"/>
            <w:szCs w:val="18"/>
          </w:rPr>
          <w:fldChar w:fldCharType="separate"/>
        </w:r>
        <w:r>
          <w:rPr>
            <w:rFonts w:ascii="Verdana" w:hAnsi="Verdana"/>
            <w:noProof/>
            <w:webHidden/>
            <w:sz w:val="18"/>
            <w:szCs w:val="18"/>
          </w:rPr>
          <w:t>53</w:t>
        </w:r>
        <w:r w:rsidR="00C735D0" w:rsidRPr="006B1E79">
          <w:rPr>
            <w:rFonts w:ascii="Verdana" w:hAnsi="Verdana"/>
            <w:noProof/>
            <w:webHidden/>
            <w:sz w:val="18"/>
            <w:szCs w:val="18"/>
          </w:rPr>
          <w:fldChar w:fldCharType="end"/>
        </w:r>
      </w:hyperlink>
    </w:p>
    <w:p w14:paraId="1967371C" w14:textId="3E81A432" w:rsidR="00C735D0" w:rsidRPr="006B1E79" w:rsidRDefault="00990216" w:rsidP="006B1B0F">
      <w:pPr>
        <w:pStyle w:val="TDC2"/>
        <w:rPr>
          <w:rFonts w:eastAsiaTheme="minorEastAsia" w:cstheme="minorBidi"/>
          <w:lang w:val="en-US"/>
        </w:rPr>
      </w:pPr>
      <w:hyperlink w:anchor="_Toc25247781" w:history="1">
        <w:r w:rsidR="00C735D0" w:rsidRPr="006B1E79">
          <w:rPr>
            <w:rStyle w:val="Hipervnculo"/>
          </w:rPr>
          <w:t>A. Alegatos de la Comisión y las partes</w:t>
        </w:r>
        <w:r w:rsidR="00C735D0" w:rsidRPr="006B1E79">
          <w:rPr>
            <w:webHidden/>
          </w:rPr>
          <w:tab/>
        </w:r>
        <w:r w:rsidR="00C735D0" w:rsidRPr="006B1E79">
          <w:rPr>
            <w:webHidden/>
          </w:rPr>
          <w:fldChar w:fldCharType="begin"/>
        </w:r>
        <w:r w:rsidR="00C735D0" w:rsidRPr="006B1E79">
          <w:rPr>
            <w:webHidden/>
          </w:rPr>
          <w:instrText xml:space="preserve"> PAGEREF _Toc25247781 \h </w:instrText>
        </w:r>
        <w:r w:rsidR="00C735D0" w:rsidRPr="006B1E79">
          <w:rPr>
            <w:webHidden/>
          </w:rPr>
        </w:r>
        <w:r w:rsidR="00C735D0" w:rsidRPr="006B1E79">
          <w:rPr>
            <w:webHidden/>
          </w:rPr>
          <w:fldChar w:fldCharType="separate"/>
        </w:r>
        <w:r>
          <w:rPr>
            <w:webHidden/>
          </w:rPr>
          <w:t>53</w:t>
        </w:r>
        <w:r w:rsidR="00C735D0" w:rsidRPr="006B1E79">
          <w:rPr>
            <w:webHidden/>
          </w:rPr>
          <w:fldChar w:fldCharType="end"/>
        </w:r>
      </w:hyperlink>
    </w:p>
    <w:p w14:paraId="27B9DE54" w14:textId="1AB2674F" w:rsidR="00C735D0" w:rsidRPr="006B1E79" w:rsidRDefault="00990216" w:rsidP="006B1B0F">
      <w:pPr>
        <w:pStyle w:val="TDC2"/>
        <w:rPr>
          <w:rFonts w:eastAsiaTheme="minorEastAsia" w:cstheme="minorBidi"/>
          <w:lang w:val="en-US"/>
        </w:rPr>
      </w:pPr>
      <w:hyperlink w:anchor="_Toc25247782" w:history="1">
        <w:r w:rsidR="00C735D0" w:rsidRPr="006B1E79">
          <w:rPr>
            <w:rStyle w:val="Hipervnculo"/>
          </w:rPr>
          <w:t>B. Consideraciones de la Corte</w:t>
        </w:r>
        <w:r w:rsidR="00C735D0" w:rsidRPr="006B1E79">
          <w:rPr>
            <w:webHidden/>
          </w:rPr>
          <w:tab/>
        </w:r>
        <w:r w:rsidR="00C735D0" w:rsidRPr="006B1E79">
          <w:rPr>
            <w:webHidden/>
          </w:rPr>
          <w:fldChar w:fldCharType="begin"/>
        </w:r>
        <w:r w:rsidR="00C735D0" w:rsidRPr="006B1E79">
          <w:rPr>
            <w:webHidden/>
          </w:rPr>
          <w:instrText xml:space="preserve"> PAGEREF _Toc25247782 \h </w:instrText>
        </w:r>
        <w:r w:rsidR="00C735D0" w:rsidRPr="006B1E79">
          <w:rPr>
            <w:webHidden/>
          </w:rPr>
        </w:r>
        <w:r w:rsidR="00C735D0" w:rsidRPr="006B1E79">
          <w:rPr>
            <w:webHidden/>
          </w:rPr>
          <w:fldChar w:fldCharType="separate"/>
        </w:r>
        <w:r>
          <w:rPr>
            <w:webHidden/>
          </w:rPr>
          <w:t>53</w:t>
        </w:r>
        <w:r w:rsidR="00C735D0" w:rsidRPr="006B1E79">
          <w:rPr>
            <w:webHidden/>
          </w:rPr>
          <w:fldChar w:fldCharType="end"/>
        </w:r>
      </w:hyperlink>
    </w:p>
    <w:p w14:paraId="2092F5FD" w14:textId="1C8EF169" w:rsidR="00C735D0" w:rsidRPr="006B1E79" w:rsidRDefault="00990216" w:rsidP="006B1B0F">
      <w:pPr>
        <w:pStyle w:val="TDC2"/>
        <w:rPr>
          <w:rFonts w:eastAsiaTheme="minorEastAsia" w:cstheme="minorBidi"/>
          <w:lang w:val="en-US"/>
        </w:rPr>
      </w:pPr>
      <w:hyperlink w:anchor="_Toc25247783" w:history="1">
        <w:r w:rsidR="00C735D0" w:rsidRPr="006B1E79">
          <w:rPr>
            <w:rStyle w:val="Hipervnculo"/>
          </w:rPr>
          <w:t>C. Conclusión</w:t>
        </w:r>
        <w:r w:rsidR="00C735D0" w:rsidRPr="006B1E79">
          <w:rPr>
            <w:webHidden/>
          </w:rPr>
          <w:tab/>
        </w:r>
        <w:r w:rsidR="00C735D0" w:rsidRPr="006B1E79">
          <w:rPr>
            <w:webHidden/>
          </w:rPr>
          <w:fldChar w:fldCharType="begin"/>
        </w:r>
        <w:r w:rsidR="00C735D0" w:rsidRPr="006B1E79">
          <w:rPr>
            <w:webHidden/>
          </w:rPr>
          <w:instrText xml:space="preserve"> PAGEREF _Toc25247783 \h </w:instrText>
        </w:r>
        <w:r w:rsidR="00C735D0" w:rsidRPr="006B1E79">
          <w:rPr>
            <w:webHidden/>
          </w:rPr>
        </w:r>
        <w:r w:rsidR="00C735D0" w:rsidRPr="006B1E79">
          <w:rPr>
            <w:webHidden/>
          </w:rPr>
          <w:fldChar w:fldCharType="separate"/>
        </w:r>
        <w:r>
          <w:rPr>
            <w:webHidden/>
          </w:rPr>
          <w:t>56</w:t>
        </w:r>
        <w:r w:rsidR="00C735D0" w:rsidRPr="006B1E79">
          <w:rPr>
            <w:webHidden/>
          </w:rPr>
          <w:fldChar w:fldCharType="end"/>
        </w:r>
      </w:hyperlink>
    </w:p>
    <w:p w14:paraId="40F3AA99" w14:textId="71E43CDE" w:rsidR="00C735D0" w:rsidRPr="006B1E79" w:rsidRDefault="00990216" w:rsidP="00C735D0">
      <w:pPr>
        <w:pStyle w:val="TDC1"/>
        <w:tabs>
          <w:tab w:val="right" w:leader="dot" w:pos="9408"/>
        </w:tabs>
        <w:spacing w:before="0" w:after="0"/>
        <w:rPr>
          <w:rFonts w:ascii="Verdana" w:eastAsiaTheme="minorEastAsia" w:hAnsi="Verdana" w:cstheme="minorBidi"/>
          <w:b w:val="0"/>
          <w:bCs w:val="0"/>
          <w:caps w:val="0"/>
          <w:noProof/>
          <w:sz w:val="18"/>
          <w:szCs w:val="18"/>
          <w:lang w:val="en-US"/>
        </w:rPr>
      </w:pPr>
      <w:hyperlink w:anchor="_Toc25247784" w:history="1">
        <w:r w:rsidR="00C735D0" w:rsidRPr="006B1E79">
          <w:rPr>
            <w:rStyle w:val="Hipervnculo"/>
            <w:rFonts w:ascii="Verdana" w:hAnsi="Verdana"/>
            <w:noProof/>
            <w:sz w:val="18"/>
            <w:szCs w:val="18"/>
            <w:lang w:val="es-CR"/>
          </w:rPr>
          <w:t>IX  REPARACIONES</w:t>
        </w:r>
        <w:r w:rsidR="00C735D0" w:rsidRPr="006B1E79">
          <w:rPr>
            <w:rFonts w:ascii="Verdana" w:hAnsi="Verdana"/>
            <w:noProof/>
            <w:webHidden/>
            <w:sz w:val="18"/>
            <w:szCs w:val="18"/>
          </w:rPr>
          <w:tab/>
        </w:r>
        <w:r w:rsidR="00C735D0" w:rsidRPr="006B1E79">
          <w:rPr>
            <w:rFonts w:ascii="Verdana" w:hAnsi="Verdana"/>
            <w:noProof/>
            <w:webHidden/>
            <w:sz w:val="18"/>
            <w:szCs w:val="18"/>
          </w:rPr>
          <w:fldChar w:fldCharType="begin"/>
        </w:r>
        <w:r w:rsidR="00C735D0" w:rsidRPr="006B1E79">
          <w:rPr>
            <w:rFonts w:ascii="Verdana" w:hAnsi="Verdana"/>
            <w:noProof/>
            <w:webHidden/>
            <w:sz w:val="18"/>
            <w:szCs w:val="18"/>
          </w:rPr>
          <w:instrText xml:space="preserve"> PAGEREF _Toc25247784 \h </w:instrText>
        </w:r>
        <w:r w:rsidR="00C735D0" w:rsidRPr="006B1E79">
          <w:rPr>
            <w:rFonts w:ascii="Verdana" w:hAnsi="Verdana"/>
            <w:noProof/>
            <w:webHidden/>
            <w:sz w:val="18"/>
            <w:szCs w:val="18"/>
          </w:rPr>
        </w:r>
        <w:r w:rsidR="00C735D0" w:rsidRPr="006B1E79">
          <w:rPr>
            <w:rFonts w:ascii="Verdana" w:hAnsi="Verdana"/>
            <w:noProof/>
            <w:webHidden/>
            <w:sz w:val="18"/>
            <w:szCs w:val="18"/>
          </w:rPr>
          <w:fldChar w:fldCharType="separate"/>
        </w:r>
        <w:r>
          <w:rPr>
            <w:rFonts w:ascii="Verdana" w:hAnsi="Verdana"/>
            <w:noProof/>
            <w:webHidden/>
            <w:sz w:val="18"/>
            <w:szCs w:val="18"/>
          </w:rPr>
          <w:t>56</w:t>
        </w:r>
        <w:r w:rsidR="00C735D0" w:rsidRPr="006B1E79">
          <w:rPr>
            <w:rFonts w:ascii="Verdana" w:hAnsi="Verdana"/>
            <w:noProof/>
            <w:webHidden/>
            <w:sz w:val="18"/>
            <w:szCs w:val="18"/>
          </w:rPr>
          <w:fldChar w:fldCharType="end"/>
        </w:r>
      </w:hyperlink>
    </w:p>
    <w:p w14:paraId="5EE4988E" w14:textId="090C32F3" w:rsidR="00C735D0" w:rsidRPr="006B1E79" w:rsidRDefault="00990216" w:rsidP="006B1B0F">
      <w:pPr>
        <w:pStyle w:val="TDC2"/>
        <w:rPr>
          <w:rFonts w:eastAsiaTheme="minorEastAsia" w:cstheme="minorBidi"/>
          <w:lang w:val="en-US"/>
        </w:rPr>
      </w:pPr>
      <w:hyperlink w:anchor="_Toc25247785" w:history="1">
        <w:r w:rsidR="00C735D0" w:rsidRPr="006B1E79">
          <w:rPr>
            <w:rStyle w:val="Hipervnculo"/>
          </w:rPr>
          <w:t>A. Parte Lesionada</w:t>
        </w:r>
        <w:r w:rsidR="00C735D0" w:rsidRPr="006B1E79">
          <w:rPr>
            <w:webHidden/>
          </w:rPr>
          <w:tab/>
        </w:r>
        <w:r w:rsidR="00C735D0" w:rsidRPr="006B1E79">
          <w:rPr>
            <w:webHidden/>
          </w:rPr>
          <w:fldChar w:fldCharType="begin"/>
        </w:r>
        <w:r w:rsidR="00C735D0" w:rsidRPr="006B1E79">
          <w:rPr>
            <w:webHidden/>
          </w:rPr>
          <w:instrText xml:space="preserve"> PAGEREF _Toc25247785 \h </w:instrText>
        </w:r>
        <w:r w:rsidR="00C735D0" w:rsidRPr="006B1E79">
          <w:rPr>
            <w:webHidden/>
          </w:rPr>
        </w:r>
        <w:r w:rsidR="00C735D0" w:rsidRPr="006B1E79">
          <w:rPr>
            <w:webHidden/>
          </w:rPr>
          <w:fldChar w:fldCharType="separate"/>
        </w:r>
        <w:r>
          <w:rPr>
            <w:webHidden/>
          </w:rPr>
          <w:t>57</w:t>
        </w:r>
        <w:r w:rsidR="00C735D0" w:rsidRPr="006B1E79">
          <w:rPr>
            <w:webHidden/>
          </w:rPr>
          <w:fldChar w:fldCharType="end"/>
        </w:r>
      </w:hyperlink>
    </w:p>
    <w:p w14:paraId="02BD6BC9" w14:textId="30032654" w:rsidR="00C735D0" w:rsidRPr="006B1E79" w:rsidRDefault="00990216" w:rsidP="006B1B0F">
      <w:pPr>
        <w:pStyle w:val="TDC2"/>
        <w:rPr>
          <w:rFonts w:eastAsiaTheme="minorEastAsia" w:cstheme="minorBidi"/>
          <w:lang w:val="en-US"/>
        </w:rPr>
      </w:pPr>
      <w:hyperlink w:anchor="_Toc25247786" w:history="1">
        <w:r w:rsidR="00C735D0" w:rsidRPr="006B1E79">
          <w:rPr>
            <w:rStyle w:val="Hipervnculo"/>
          </w:rPr>
          <w:t>B. Obligación de investigar</w:t>
        </w:r>
        <w:r w:rsidR="00C735D0" w:rsidRPr="006B1E79">
          <w:rPr>
            <w:webHidden/>
          </w:rPr>
          <w:tab/>
        </w:r>
        <w:r w:rsidR="00C735D0" w:rsidRPr="006B1E79">
          <w:rPr>
            <w:webHidden/>
          </w:rPr>
          <w:fldChar w:fldCharType="begin"/>
        </w:r>
        <w:r w:rsidR="00C735D0" w:rsidRPr="006B1E79">
          <w:rPr>
            <w:webHidden/>
          </w:rPr>
          <w:instrText xml:space="preserve"> PAGEREF _Toc25247786 \h </w:instrText>
        </w:r>
        <w:r w:rsidR="00C735D0" w:rsidRPr="006B1E79">
          <w:rPr>
            <w:webHidden/>
          </w:rPr>
        </w:r>
        <w:r w:rsidR="00C735D0" w:rsidRPr="006B1E79">
          <w:rPr>
            <w:webHidden/>
          </w:rPr>
          <w:fldChar w:fldCharType="separate"/>
        </w:r>
        <w:r>
          <w:rPr>
            <w:webHidden/>
          </w:rPr>
          <w:t>57</w:t>
        </w:r>
        <w:r w:rsidR="00C735D0" w:rsidRPr="006B1E79">
          <w:rPr>
            <w:webHidden/>
          </w:rPr>
          <w:fldChar w:fldCharType="end"/>
        </w:r>
      </w:hyperlink>
    </w:p>
    <w:p w14:paraId="37DCBC96" w14:textId="19315E3A" w:rsidR="00C735D0" w:rsidRPr="006B1E79" w:rsidRDefault="00990216" w:rsidP="00C735D0">
      <w:pPr>
        <w:pStyle w:val="TDC3"/>
        <w:tabs>
          <w:tab w:val="right" w:leader="dot" w:pos="9408"/>
        </w:tabs>
        <w:rPr>
          <w:rFonts w:ascii="Verdana" w:eastAsiaTheme="minorEastAsia" w:hAnsi="Verdana" w:cstheme="minorBidi"/>
          <w:i w:val="0"/>
          <w:iCs w:val="0"/>
          <w:noProof/>
          <w:sz w:val="18"/>
          <w:szCs w:val="18"/>
          <w:lang w:val="en-US"/>
        </w:rPr>
      </w:pPr>
      <w:hyperlink w:anchor="_Toc25247787" w:history="1">
        <w:r w:rsidR="00C735D0" w:rsidRPr="006B1E79">
          <w:rPr>
            <w:rStyle w:val="Hipervnculo"/>
            <w:rFonts w:ascii="Verdana" w:hAnsi="Verdana"/>
            <w:noProof/>
            <w:sz w:val="18"/>
            <w:szCs w:val="18"/>
            <w:lang w:val="es-CR"/>
          </w:rPr>
          <w:t>B.1. Investigar, identificar y, en su caso, sancionar a los responsables de la muerte de Tirso Román Valenzuela Ávila.</w:t>
        </w:r>
        <w:r w:rsidR="00C735D0" w:rsidRPr="006B1E79">
          <w:rPr>
            <w:rFonts w:ascii="Verdana" w:hAnsi="Verdana"/>
            <w:noProof/>
            <w:webHidden/>
            <w:sz w:val="18"/>
            <w:szCs w:val="18"/>
          </w:rPr>
          <w:tab/>
        </w:r>
        <w:r w:rsidR="00C735D0" w:rsidRPr="006B1E79">
          <w:rPr>
            <w:rFonts w:ascii="Verdana" w:hAnsi="Verdana"/>
            <w:noProof/>
            <w:webHidden/>
            <w:sz w:val="18"/>
            <w:szCs w:val="18"/>
          </w:rPr>
          <w:fldChar w:fldCharType="begin"/>
        </w:r>
        <w:r w:rsidR="00C735D0" w:rsidRPr="006B1E79">
          <w:rPr>
            <w:rFonts w:ascii="Verdana" w:hAnsi="Verdana"/>
            <w:noProof/>
            <w:webHidden/>
            <w:sz w:val="18"/>
            <w:szCs w:val="18"/>
          </w:rPr>
          <w:instrText xml:space="preserve"> PAGEREF _Toc25247787 \h </w:instrText>
        </w:r>
        <w:r w:rsidR="00C735D0" w:rsidRPr="006B1E79">
          <w:rPr>
            <w:rFonts w:ascii="Verdana" w:hAnsi="Verdana"/>
            <w:noProof/>
            <w:webHidden/>
            <w:sz w:val="18"/>
            <w:szCs w:val="18"/>
          </w:rPr>
        </w:r>
        <w:r w:rsidR="00C735D0" w:rsidRPr="006B1E79">
          <w:rPr>
            <w:rFonts w:ascii="Verdana" w:hAnsi="Verdana"/>
            <w:noProof/>
            <w:webHidden/>
            <w:sz w:val="18"/>
            <w:szCs w:val="18"/>
          </w:rPr>
          <w:fldChar w:fldCharType="separate"/>
        </w:r>
        <w:r>
          <w:rPr>
            <w:rFonts w:ascii="Verdana" w:hAnsi="Verdana"/>
            <w:noProof/>
            <w:webHidden/>
            <w:sz w:val="18"/>
            <w:szCs w:val="18"/>
          </w:rPr>
          <w:t>57</w:t>
        </w:r>
        <w:r w:rsidR="00C735D0" w:rsidRPr="006B1E79">
          <w:rPr>
            <w:rFonts w:ascii="Verdana" w:hAnsi="Verdana"/>
            <w:noProof/>
            <w:webHidden/>
            <w:sz w:val="18"/>
            <w:szCs w:val="18"/>
          </w:rPr>
          <w:fldChar w:fldCharType="end"/>
        </w:r>
      </w:hyperlink>
    </w:p>
    <w:p w14:paraId="2A3B93AC" w14:textId="7A4415E6" w:rsidR="00C735D0" w:rsidRPr="006B1E79" w:rsidRDefault="00990216" w:rsidP="00C735D0">
      <w:pPr>
        <w:pStyle w:val="TDC3"/>
        <w:tabs>
          <w:tab w:val="right" w:leader="dot" w:pos="9408"/>
        </w:tabs>
        <w:rPr>
          <w:rFonts w:ascii="Verdana" w:eastAsiaTheme="minorEastAsia" w:hAnsi="Verdana" w:cstheme="minorBidi"/>
          <w:i w:val="0"/>
          <w:iCs w:val="0"/>
          <w:noProof/>
          <w:sz w:val="18"/>
          <w:szCs w:val="18"/>
          <w:lang w:val="en-US"/>
        </w:rPr>
      </w:pPr>
      <w:hyperlink w:anchor="_Toc25247788" w:history="1">
        <w:r w:rsidR="00C735D0" w:rsidRPr="006B1E79">
          <w:rPr>
            <w:rStyle w:val="Hipervnculo"/>
            <w:rFonts w:ascii="Verdana" w:hAnsi="Verdana"/>
            <w:noProof/>
            <w:sz w:val="18"/>
            <w:szCs w:val="18"/>
            <w:lang w:val="es-CR"/>
          </w:rPr>
          <w:t>B.2. Investigar, identificar y, en su caso, sancionar a los responsables de la tortura que sufrió Tirso Román Valenzuela Ávila.</w:t>
        </w:r>
        <w:r w:rsidR="00C735D0" w:rsidRPr="006B1E79">
          <w:rPr>
            <w:rFonts w:ascii="Verdana" w:hAnsi="Verdana"/>
            <w:noProof/>
            <w:webHidden/>
            <w:sz w:val="18"/>
            <w:szCs w:val="18"/>
          </w:rPr>
          <w:tab/>
        </w:r>
        <w:r w:rsidR="00C735D0" w:rsidRPr="006B1E79">
          <w:rPr>
            <w:rFonts w:ascii="Verdana" w:hAnsi="Verdana"/>
            <w:noProof/>
            <w:webHidden/>
            <w:sz w:val="18"/>
            <w:szCs w:val="18"/>
          </w:rPr>
          <w:fldChar w:fldCharType="begin"/>
        </w:r>
        <w:r w:rsidR="00C735D0" w:rsidRPr="006B1E79">
          <w:rPr>
            <w:rFonts w:ascii="Verdana" w:hAnsi="Verdana"/>
            <w:noProof/>
            <w:webHidden/>
            <w:sz w:val="18"/>
            <w:szCs w:val="18"/>
          </w:rPr>
          <w:instrText xml:space="preserve"> PAGEREF _Toc25247788 \h </w:instrText>
        </w:r>
        <w:r w:rsidR="00C735D0" w:rsidRPr="006B1E79">
          <w:rPr>
            <w:rFonts w:ascii="Verdana" w:hAnsi="Verdana"/>
            <w:noProof/>
            <w:webHidden/>
            <w:sz w:val="18"/>
            <w:szCs w:val="18"/>
          </w:rPr>
        </w:r>
        <w:r w:rsidR="00C735D0" w:rsidRPr="006B1E79">
          <w:rPr>
            <w:rFonts w:ascii="Verdana" w:hAnsi="Verdana"/>
            <w:noProof/>
            <w:webHidden/>
            <w:sz w:val="18"/>
            <w:szCs w:val="18"/>
          </w:rPr>
          <w:fldChar w:fldCharType="separate"/>
        </w:r>
        <w:r>
          <w:rPr>
            <w:rFonts w:ascii="Verdana" w:hAnsi="Verdana"/>
            <w:noProof/>
            <w:webHidden/>
            <w:sz w:val="18"/>
            <w:szCs w:val="18"/>
          </w:rPr>
          <w:t>58</w:t>
        </w:r>
        <w:r w:rsidR="00C735D0" w:rsidRPr="006B1E79">
          <w:rPr>
            <w:rFonts w:ascii="Verdana" w:hAnsi="Verdana"/>
            <w:noProof/>
            <w:webHidden/>
            <w:sz w:val="18"/>
            <w:szCs w:val="18"/>
          </w:rPr>
          <w:fldChar w:fldCharType="end"/>
        </w:r>
      </w:hyperlink>
    </w:p>
    <w:p w14:paraId="4A9CFB69" w14:textId="75AB74C6" w:rsidR="00C735D0" w:rsidRPr="006B1E79" w:rsidRDefault="00990216" w:rsidP="006B1B0F">
      <w:pPr>
        <w:pStyle w:val="TDC2"/>
        <w:rPr>
          <w:rFonts w:eastAsiaTheme="minorEastAsia" w:cstheme="minorBidi"/>
          <w:lang w:val="en-US"/>
        </w:rPr>
      </w:pPr>
      <w:hyperlink w:anchor="_Toc25247789" w:history="1">
        <w:r w:rsidR="00C735D0" w:rsidRPr="006B1E79">
          <w:rPr>
            <w:rStyle w:val="Hipervnculo"/>
          </w:rPr>
          <w:t>C. Medidas de satisfacción</w:t>
        </w:r>
        <w:r w:rsidR="00C735D0" w:rsidRPr="006B1E79">
          <w:rPr>
            <w:webHidden/>
          </w:rPr>
          <w:tab/>
        </w:r>
        <w:r w:rsidR="00C735D0" w:rsidRPr="006B1E79">
          <w:rPr>
            <w:webHidden/>
          </w:rPr>
          <w:fldChar w:fldCharType="begin"/>
        </w:r>
        <w:r w:rsidR="00C735D0" w:rsidRPr="006B1E79">
          <w:rPr>
            <w:webHidden/>
          </w:rPr>
          <w:instrText xml:space="preserve"> PAGEREF _Toc25247789 \h </w:instrText>
        </w:r>
        <w:r w:rsidR="00C735D0" w:rsidRPr="006B1E79">
          <w:rPr>
            <w:webHidden/>
          </w:rPr>
        </w:r>
        <w:r w:rsidR="00C735D0" w:rsidRPr="006B1E79">
          <w:rPr>
            <w:webHidden/>
          </w:rPr>
          <w:fldChar w:fldCharType="separate"/>
        </w:r>
        <w:r>
          <w:rPr>
            <w:webHidden/>
          </w:rPr>
          <w:t>59</w:t>
        </w:r>
        <w:r w:rsidR="00C735D0" w:rsidRPr="006B1E79">
          <w:rPr>
            <w:webHidden/>
          </w:rPr>
          <w:fldChar w:fldCharType="end"/>
        </w:r>
      </w:hyperlink>
    </w:p>
    <w:p w14:paraId="0365C164" w14:textId="52962319" w:rsidR="00C735D0" w:rsidRPr="006B1E79" w:rsidRDefault="00990216" w:rsidP="00C735D0">
      <w:pPr>
        <w:pStyle w:val="TDC3"/>
        <w:tabs>
          <w:tab w:val="right" w:leader="dot" w:pos="9408"/>
        </w:tabs>
        <w:rPr>
          <w:rFonts w:ascii="Verdana" w:eastAsiaTheme="minorEastAsia" w:hAnsi="Verdana" w:cstheme="minorBidi"/>
          <w:i w:val="0"/>
          <w:iCs w:val="0"/>
          <w:noProof/>
          <w:sz w:val="18"/>
          <w:szCs w:val="18"/>
          <w:lang w:val="en-US"/>
        </w:rPr>
      </w:pPr>
      <w:hyperlink w:anchor="_Toc25247790" w:history="1">
        <w:r w:rsidR="00C735D0" w:rsidRPr="006B1E79">
          <w:rPr>
            <w:rStyle w:val="Hipervnculo"/>
            <w:rFonts w:ascii="Verdana" w:hAnsi="Verdana"/>
            <w:noProof/>
            <w:sz w:val="18"/>
            <w:szCs w:val="18"/>
            <w:lang w:val="es-CR"/>
          </w:rPr>
          <w:t>a) Publicación de la sentencia</w:t>
        </w:r>
        <w:r w:rsidR="00C735D0" w:rsidRPr="006B1E79">
          <w:rPr>
            <w:rFonts w:ascii="Verdana" w:hAnsi="Verdana"/>
            <w:noProof/>
            <w:webHidden/>
            <w:sz w:val="18"/>
            <w:szCs w:val="18"/>
          </w:rPr>
          <w:tab/>
        </w:r>
        <w:r w:rsidR="00C735D0" w:rsidRPr="006B1E79">
          <w:rPr>
            <w:rFonts w:ascii="Verdana" w:hAnsi="Verdana"/>
            <w:noProof/>
            <w:webHidden/>
            <w:sz w:val="18"/>
            <w:szCs w:val="18"/>
          </w:rPr>
          <w:fldChar w:fldCharType="begin"/>
        </w:r>
        <w:r w:rsidR="00C735D0" w:rsidRPr="006B1E79">
          <w:rPr>
            <w:rFonts w:ascii="Verdana" w:hAnsi="Verdana"/>
            <w:noProof/>
            <w:webHidden/>
            <w:sz w:val="18"/>
            <w:szCs w:val="18"/>
          </w:rPr>
          <w:instrText xml:space="preserve"> PAGEREF _Toc25247790 \h </w:instrText>
        </w:r>
        <w:r w:rsidR="00C735D0" w:rsidRPr="006B1E79">
          <w:rPr>
            <w:rFonts w:ascii="Verdana" w:hAnsi="Verdana"/>
            <w:noProof/>
            <w:webHidden/>
            <w:sz w:val="18"/>
            <w:szCs w:val="18"/>
          </w:rPr>
        </w:r>
        <w:r w:rsidR="00C735D0" w:rsidRPr="006B1E79">
          <w:rPr>
            <w:rFonts w:ascii="Verdana" w:hAnsi="Verdana"/>
            <w:noProof/>
            <w:webHidden/>
            <w:sz w:val="18"/>
            <w:szCs w:val="18"/>
          </w:rPr>
          <w:fldChar w:fldCharType="separate"/>
        </w:r>
        <w:r>
          <w:rPr>
            <w:rFonts w:ascii="Verdana" w:hAnsi="Verdana"/>
            <w:noProof/>
            <w:webHidden/>
            <w:sz w:val="18"/>
            <w:szCs w:val="18"/>
          </w:rPr>
          <w:t>59</w:t>
        </w:r>
        <w:r w:rsidR="00C735D0" w:rsidRPr="006B1E79">
          <w:rPr>
            <w:rFonts w:ascii="Verdana" w:hAnsi="Verdana"/>
            <w:noProof/>
            <w:webHidden/>
            <w:sz w:val="18"/>
            <w:szCs w:val="18"/>
          </w:rPr>
          <w:fldChar w:fldCharType="end"/>
        </w:r>
      </w:hyperlink>
    </w:p>
    <w:p w14:paraId="71B8CF6C" w14:textId="3224120E" w:rsidR="00C735D0" w:rsidRPr="006B1E79" w:rsidRDefault="00990216" w:rsidP="00C735D0">
      <w:pPr>
        <w:pStyle w:val="TDC3"/>
        <w:tabs>
          <w:tab w:val="right" w:leader="dot" w:pos="9408"/>
        </w:tabs>
        <w:rPr>
          <w:rFonts w:ascii="Verdana" w:eastAsiaTheme="minorEastAsia" w:hAnsi="Verdana" w:cstheme="minorBidi"/>
          <w:i w:val="0"/>
          <w:iCs w:val="0"/>
          <w:noProof/>
          <w:sz w:val="18"/>
          <w:szCs w:val="18"/>
          <w:lang w:val="en-US"/>
        </w:rPr>
      </w:pPr>
      <w:hyperlink w:anchor="_Toc25247791" w:history="1">
        <w:r w:rsidR="00C735D0" w:rsidRPr="006B1E79">
          <w:rPr>
            <w:rStyle w:val="Hipervnculo"/>
            <w:rFonts w:ascii="Verdana" w:hAnsi="Verdana"/>
            <w:noProof/>
            <w:sz w:val="18"/>
            <w:szCs w:val="18"/>
            <w:lang w:val="es-CR"/>
          </w:rPr>
          <w:t>b) Traslado de los restos de Tirso Román Valenzuela Ávila al cementerio de la aldea Caballo Blanco, departamento de Retalhuleu.</w:t>
        </w:r>
        <w:r w:rsidR="00C735D0" w:rsidRPr="006B1E79">
          <w:rPr>
            <w:rFonts w:ascii="Verdana" w:hAnsi="Verdana"/>
            <w:noProof/>
            <w:webHidden/>
            <w:sz w:val="18"/>
            <w:szCs w:val="18"/>
          </w:rPr>
          <w:tab/>
        </w:r>
        <w:r w:rsidR="00C735D0" w:rsidRPr="006B1E79">
          <w:rPr>
            <w:rFonts w:ascii="Verdana" w:hAnsi="Verdana"/>
            <w:noProof/>
            <w:webHidden/>
            <w:sz w:val="18"/>
            <w:szCs w:val="18"/>
          </w:rPr>
          <w:fldChar w:fldCharType="begin"/>
        </w:r>
        <w:r w:rsidR="00C735D0" w:rsidRPr="006B1E79">
          <w:rPr>
            <w:rFonts w:ascii="Verdana" w:hAnsi="Verdana"/>
            <w:noProof/>
            <w:webHidden/>
            <w:sz w:val="18"/>
            <w:szCs w:val="18"/>
          </w:rPr>
          <w:instrText xml:space="preserve"> PAGEREF _Toc25247791 \h </w:instrText>
        </w:r>
        <w:r w:rsidR="00C735D0" w:rsidRPr="006B1E79">
          <w:rPr>
            <w:rFonts w:ascii="Verdana" w:hAnsi="Verdana"/>
            <w:noProof/>
            <w:webHidden/>
            <w:sz w:val="18"/>
            <w:szCs w:val="18"/>
          </w:rPr>
        </w:r>
        <w:r w:rsidR="00C735D0" w:rsidRPr="006B1E79">
          <w:rPr>
            <w:rFonts w:ascii="Verdana" w:hAnsi="Verdana"/>
            <w:noProof/>
            <w:webHidden/>
            <w:sz w:val="18"/>
            <w:szCs w:val="18"/>
          </w:rPr>
          <w:fldChar w:fldCharType="separate"/>
        </w:r>
        <w:r>
          <w:rPr>
            <w:rFonts w:ascii="Verdana" w:hAnsi="Verdana"/>
            <w:noProof/>
            <w:webHidden/>
            <w:sz w:val="18"/>
            <w:szCs w:val="18"/>
          </w:rPr>
          <w:t>59</w:t>
        </w:r>
        <w:r w:rsidR="00C735D0" w:rsidRPr="006B1E79">
          <w:rPr>
            <w:rFonts w:ascii="Verdana" w:hAnsi="Verdana"/>
            <w:noProof/>
            <w:webHidden/>
            <w:sz w:val="18"/>
            <w:szCs w:val="18"/>
          </w:rPr>
          <w:fldChar w:fldCharType="end"/>
        </w:r>
      </w:hyperlink>
    </w:p>
    <w:p w14:paraId="59FA67FB" w14:textId="151242AD" w:rsidR="00C735D0" w:rsidRPr="006B1E79" w:rsidRDefault="00990216" w:rsidP="006B1B0F">
      <w:pPr>
        <w:pStyle w:val="TDC2"/>
        <w:rPr>
          <w:rFonts w:eastAsiaTheme="minorEastAsia" w:cstheme="minorBidi"/>
          <w:lang w:val="en-US"/>
        </w:rPr>
      </w:pPr>
      <w:hyperlink w:anchor="_Toc25247792" w:history="1">
        <w:r w:rsidR="00C735D0" w:rsidRPr="006B1E79">
          <w:rPr>
            <w:rStyle w:val="Hipervnculo"/>
          </w:rPr>
          <w:t>D.</w:t>
        </w:r>
        <w:r w:rsidR="003046F7">
          <w:rPr>
            <w:rStyle w:val="Hipervnculo"/>
          </w:rPr>
          <w:t xml:space="preserve"> </w:t>
        </w:r>
        <w:r w:rsidR="00C735D0" w:rsidRPr="006B1E79">
          <w:rPr>
            <w:rStyle w:val="Hipervnculo"/>
          </w:rPr>
          <w:t>Medidas de no repetición</w:t>
        </w:r>
        <w:r w:rsidR="00C735D0" w:rsidRPr="006B1E79">
          <w:rPr>
            <w:webHidden/>
          </w:rPr>
          <w:tab/>
        </w:r>
        <w:r w:rsidR="00C735D0" w:rsidRPr="006B1E79">
          <w:rPr>
            <w:webHidden/>
          </w:rPr>
          <w:fldChar w:fldCharType="begin"/>
        </w:r>
        <w:r w:rsidR="00C735D0" w:rsidRPr="006B1E79">
          <w:rPr>
            <w:webHidden/>
          </w:rPr>
          <w:instrText xml:space="preserve"> PAGEREF _Toc25247792 \h </w:instrText>
        </w:r>
        <w:r w:rsidR="00C735D0" w:rsidRPr="006B1E79">
          <w:rPr>
            <w:webHidden/>
          </w:rPr>
        </w:r>
        <w:r w:rsidR="00C735D0" w:rsidRPr="006B1E79">
          <w:rPr>
            <w:webHidden/>
          </w:rPr>
          <w:fldChar w:fldCharType="separate"/>
        </w:r>
        <w:r>
          <w:rPr>
            <w:webHidden/>
          </w:rPr>
          <w:t>60</w:t>
        </w:r>
        <w:r w:rsidR="00C735D0" w:rsidRPr="006B1E79">
          <w:rPr>
            <w:webHidden/>
          </w:rPr>
          <w:fldChar w:fldCharType="end"/>
        </w:r>
      </w:hyperlink>
    </w:p>
    <w:p w14:paraId="7673EADC" w14:textId="7C32A2CE" w:rsidR="00C735D0" w:rsidRPr="006B1E79" w:rsidRDefault="00990216" w:rsidP="00C735D0">
      <w:pPr>
        <w:pStyle w:val="TDC3"/>
        <w:tabs>
          <w:tab w:val="left" w:pos="1100"/>
          <w:tab w:val="right" w:leader="dot" w:pos="9408"/>
        </w:tabs>
        <w:rPr>
          <w:rFonts w:ascii="Verdana" w:eastAsiaTheme="minorEastAsia" w:hAnsi="Verdana" w:cstheme="minorBidi"/>
          <w:i w:val="0"/>
          <w:iCs w:val="0"/>
          <w:noProof/>
          <w:sz w:val="18"/>
          <w:szCs w:val="18"/>
          <w:lang w:val="en-US"/>
        </w:rPr>
      </w:pPr>
      <w:hyperlink w:anchor="_Toc25247793" w:history="1">
        <w:r w:rsidR="00C735D0" w:rsidRPr="006B1E79">
          <w:rPr>
            <w:rStyle w:val="Hipervnculo"/>
            <w:rFonts w:ascii="Verdana" w:hAnsi="Verdana"/>
            <w:noProof/>
            <w:sz w:val="18"/>
            <w:szCs w:val="18"/>
            <w:lang w:val="es-CR"/>
          </w:rPr>
          <w:t>a) Adoptar legislación para tipificar adecuadamente el delito de tortura</w:t>
        </w:r>
        <w:r w:rsidR="00C735D0" w:rsidRPr="006B1E79">
          <w:rPr>
            <w:rFonts w:ascii="Verdana" w:hAnsi="Verdana"/>
            <w:noProof/>
            <w:webHidden/>
            <w:sz w:val="18"/>
            <w:szCs w:val="18"/>
          </w:rPr>
          <w:tab/>
        </w:r>
        <w:r w:rsidR="00C735D0" w:rsidRPr="006B1E79">
          <w:rPr>
            <w:rFonts w:ascii="Verdana" w:hAnsi="Verdana"/>
            <w:noProof/>
            <w:webHidden/>
            <w:sz w:val="18"/>
            <w:szCs w:val="18"/>
          </w:rPr>
          <w:fldChar w:fldCharType="begin"/>
        </w:r>
        <w:r w:rsidR="00C735D0" w:rsidRPr="006B1E79">
          <w:rPr>
            <w:rFonts w:ascii="Verdana" w:hAnsi="Verdana"/>
            <w:noProof/>
            <w:webHidden/>
            <w:sz w:val="18"/>
            <w:szCs w:val="18"/>
          </w:rPr>
          <w:instrText xml:space="preserve"> PAGEREF _Toc25247793 \h </w:instrText>
        </w:r>
        <w:r w:rsidR="00C735D0" w:rsidRPr="006B1E79">
          <w:rPr>
            <w:rFonts w:ascii="Verdana" w:hAnsi="Verdana"/>
            <w:noProof/>
            <w:webHidden/>
            <w:sz w:val="18"/>
            <w:szCs w:val="18"/>
          </w:rPr>
        </w:r>
        <w:r w:rsidR="00C735D0" w:rsidRPr="006B1E79">
          <w:rPr>
            <w:rFonts w:ascii="Verdana" w:hAnsi="Verdana"/>
            <w:noProof/>
            <w:webHidden/>
            <w:sz w:val="18"/>
            <w:szCs w:val="18"/>
          </w:rPr>
          <w:fldChar w:fldCharType="separate"/>
        </w:r>
        <w:r>
          <w:rPr>
            <w:rFonts w:ascii="Verdana" w:hAnsi="Verdana"/>
            <w:noProof/>
            <w:webHidden/>
            <w:sz w:val="18"/>
            <w:szCs w:val="18"/>
          </w:rPr>
          <w:t>60</w:t>
        </w:r>
        <w:r w:rsidR="00C735D0" w:rsidRPr="006B1E79">
          <w:rPr>
            <w:rFonts w:ascii="Verdana" w:hAnsi="Verdana"/>
            <w:noProof/>
            <w:webHidden/>
            <w:sz w:val="18"/>
            <w:szCs w:val="18"/>
          </w:rPr>
          <w:fldChar w:fldCharType="end"/>
        </w:r>
      </w:hyperlink>
    </w:p>
    <w:p w14:paraId="58060297" w14:textId="420BB404" w:rsidR="00C735D0" w:rsidRPr="006B1E79" w:rsidRDefault="00990216" w:rsidP="00C735D0">
      <w:pPr>
        <w:pStyle w:val="TDC3"/>
        <w:tabs>
          <w:tab w:val="left" w:pos="880"/>
          <w:tab w:val="right" w:leader="dot" w:pos="9408"/>
        </w:tabs>
        <w:rPr>
          <w:rFonts w:ascii="Verdana" w:eastAsiaTheme="minorEastAsia" w:hAnsi="Verdana" w:cstheme="minorBidi"/>
          <w:i w:val="0"/>
          <w:iCs w:val="0"/>
          <w:noProof/>
          <w:sz w:val="18"/>
          <w:szCs w:val="18"/>
          <w:lang w:val="en-US"/>
        </w:rPr>
      </w:pPr>
      <w:hyperlink w:anchor="_Toc25247794" w:history="1">
        <w:r w:rsidR="00C735D0" w:rsidRPr="006B1E79">
          <w:rPr>
            <w:rStyle w:val="Hipervnculo"/>
            <w:rFonts w:ascii="Verdana" w:hAnsi="Verdana"/>
            <w:noProof/>
            <w:sz w:val="18"/>
            <w:szCs w:val="18"/>
            <w:lang w:val="es-CR"/>
          </w:rPr>
          <w:t>b)</w:t>
        </w:r>
        <w:r w:rsidR="006B1B0F">
          <w:rPr>
            <w:rFonts w:ascii="Verdana" w:eastAsiaTheme="minorEastAsia" w:hAnsi="Verdana" w:cstheme="minorBidi"/>
            <w:i w:val="0"/>
            <w:iCs w:val="0"/>
            <w:noProof/>
            <w:sz w:val="18"/>
            <w:szCs w:val="18"/>
            <w:lang w:val="en-US"/>
          </w:rPr>
          <w:t xml:space="preserve"> </w:t>
        </w:r>
        <w:r w:rsidR="00C735D0" w:rsidRPr="006B1E79">
          <w:rPr>
            <w:rStyle w:val="Hipervnculo"/>
            <w:rFonts w:ascii="Verdana" w:hAnsi="Verdana"/>
            <w:noProof/>
            <w:sz w:val="18"/>
            <w:szCs w:val="18"/>
            <w:lang w:val="es-CR"/>
          </w:rPr>
          <w:t>Prohibir la adopción de legislación regresiva en materia de pena de muerte</w:t>
        </w:r>
        <w:r w:rsidR="00C735D0" w:rsidRPr="006B1E79">
          <w:rPr>
            <w:rFonts w:ascii="Verdana" w:hAnsi="Verdana"/>
            <w:noProof/>
            <w:webHidden/>
            <w:sz w:val="18"/>
            <w:szCs w:val="18"/>
          </w:rPr>
          <w:tab/>
        </w:r>
        <w:r w:rsidR="00C735D0" w:rsidRPr="006B1E79">
          <w:rPr>
            <w:rFonts w:ascii="Verdana" w:hAnsi="Verdana"/>
            <w:noProof/>
            <w:webHidden/>
            <w:sz w:val="18"/>
            <w:szCs w:val="18"/>
          </w:rPr>
          <w:fldChar w:fldCharType="begin"/>
        </w:r>
        <w:r w:rsidR="00C735D0" w:rsidRPr="006B1E79">
          <w:rPr>
            <w:rFonts w:ascii="Verdana" w:hAnsi="Verdana"/>
            <w:noProof/>
            <w:webHidden/>
            <w:sz w:val="18"/>
            <w:szCs w:val="18"/>
          </w:rPr>
          <w:instrText xml:space="preserve"> PAGEREF _Toc25247794 \h </w:instrText>
        </w:r>
        <w:r w:rsidR="00C735D0" w:rsidRPr="006B1E79">
          <w:rPr>
            <w:rFonts w:ascii="Verdana" w:hAnsi="Verdana"/>
            <w:noProof/>
            <w:webHidden/>
            <w:sz w:val="18"/>
            <w:szCs w:val="18"/>
          </w:rPr>
        </w:r>
        <w:r w:rsidR="00C735D0" w:rsidRPr="006B1E79">
          <w:rPr>
            <w:rFonts w:ascii="Verdana" w:hAnsi="Verdana"/>
            <w:noProof/>
            <w:webHidden/>
            <w:sz w:val="18"/>
            <w:szCs w:val="18"/>
          </w:rPr>
          <w:fldChar w:fldCharType="separate"/>
        </w:r>
        <w:r>
          <w:rPr>
            <w:rFonts w:ascii="Verdana" w:hAnsi="Verdana"/>
            <w:noProof/>
            <w:webHidden/>
            <w:sz w:val="18"/>
            <w:szCs w:val="18"/>
          </w:rPr>
          <w:t>60</w:t>
        </w:r>
        <w:r w:rsidR="00C735D0" w:rsidRPr="006B1E79">
          <w:rPr>
            <w:rFonts w:ascii="Verdana" w:hAnsi="Verdana"/>
            <w:noProof/>
            <w:webHidden/>
            <w:sz w:val="18"/>
            <w:szCs w:val="18"/>
          </w:rPr>
          <w:fldChar w:fldCharType="end"/>
        </w:r>
      </w:hyperlink>
    </w:p>
    <w:p w14:paraId="799E40AE" w14:textId="38A58F7B" w:rsidR="00C735D0" w:rsidRPr="006B1E79" w:rsidRDefault="00990216" w:rsidP="00C735D0">
      <w:pPr>
        <w:pStyle w:val="TDC3"/>
        <w:tabs>
          <w:tab w:val="left" w:pos="1100"/>
          <w:tab w:val="right" w:leader="dot" w:pos="9408"/>
        </w:tabs>
        <w:rPr>
          <w:rFonts w:ascii="Verdana" w:eastAsiaTheme="minorEastAsia" w:hAnsi="Verdana" w:cstheme="minorBidi"/>
          <w:i w:val="0"/>
          <w:iCs w:val="0"/>
          <w:noProof/>
          <w:sz w:val="18"/>
          <w:szCs w:val="18"/>
          <w:lang w:val="en-US"/>
        </w:rPr>
      </w:pPr>
      <w:hyperlink w:anchor="_Toc25247795" w:history="1">
        <w:r w:rsidR="00C735D0" w:rsidRPr="006B1E79">
          <w:rPr>
            <w:rStyle w:val="Hipervnculo"/>
            <w:rFonts w:ascii="Verdana" w:hAnsi="Verdana"/>
            <w:noProof/>
            <w:sz w:val="18"/>
            <w:szCs w:val="18"/>
            <w:lang w:val="es-CR"/>
          </w:rPr>
          <w:t>c) Incluir cursos de capacitación en materia de prohibición de la tortura para la policía y funcionarios del sistema penal</w:t>
        </w:r>
        <w:r w:rsidR="00C735D0" w:rsidRPr="006B1E79">
          <w:rPr>
            <w:rFonts w:ascii="Verdana" w:hAnsi="Verdana"/>
            <w:noProof/>
            <w:webHidden/>
            <w:sz w:val="18"/>
            <w:szCs w:val="18"/>
          </w:rPr>
          <w:tab/>
        </w:r>
        <w:r w:rsidR="00C735D0" w:rsidRPr="006B1E79">
          <w:rPr>
            <w:rFonts w:ascii="Verdana" w:hAnsi="Verdana"/>
            <w:noProof/>
            <w:webHidden/>
            <w:sz w:val="18"/>
            <w:szCs w:val="18"/>
          </w:rPr>
          <w:fldChar w:fldCharType="begin"/>
        </w:r>
        <w:r w:rsidR="00C735D0" w:rsidRPr="006B1E79">
          <w:rPr>
            <w:rFonts w:ascii="Verdana" w:hAnsi="Verdana"/>
            <w:noProof/>
            <w:webHidden/>
            <w:sz w:val="18"/>
            <w:szCs w:val="18"/>
          </w:rPr>
          <w:instrText xml:space="preserve"> PAGEREF _Toc25247795 \h </w:instrText>
        </w:r>
        <w:r w:rsidR="00C735D0" w:rsidRPr="006B1E79">
          <w:rPr>
            <w:rFonts w:ascii="Verdana" w:hAnsi="Verdana"/>
            <w:noProof/>
            <w:webHidden/>
            <w:sz w:val="18"/>
            <w:szCs w:val="18"/>
          </w:rPr>
        </w:r>
        <w:r w:rsidR="00C735D0" w:rsidRPr="006B1E79">
          <w:rPr>
            <w:rFonts w:ascii="Verdana" w:hAnsi="Verdana"/>
            <w:noProof/>
            <w:webHidden/>
            <w:sz w:val="18"/>
            <w:szCs w:val="18"/>
          </w:rPr>
          <w:fldChar w:fldCharType="separate"/>
        </w:r>
        <w:r>
          <w:rPr>
            <w:rFonts w:ascii="Verdana" w:hAnsi="Verdana"/>
            <w:noProof/>
            <w:webHidden/>
            <w:sz w:val="18"/>
            <w:szCs w:val="18"/>
          </w:rPr>
          <w:t>60</w:t>
        </w:r>
        <w:r w:rsidR="00C735D0" w:rsidRPr="006B1E79">
          <w:rPr>
            <w:rFonts w:ascii="Verdana" w:hAnsi="Verdana"/>
            <w:noProof/>
            <w:webHidden/>
            <w:sz w:val="18"/>
            <w:szCs w:val="18"/>
          </w:rPr>
          <w:fldChar w:fldCharType="end"/>
        </w:r>
      </w:hyperlink>
    </w:p>
    <w:p w14:paraId="47244DA5" w14:textId="7D7C8F58" w:rsidR="00C735D0" w:rsidRPr="006B1E79" w:rsidRDefault="00990216" w:rsidP="006B1B0F">
      <w:pPr>
        <w:pStyle w:val="TDC2"/>
        <w:rPr>
          <w:rFonts w:eastAsiaTheme="minorEastAsia" w:cstheme="minorBidi"/>
          <w:lang w:val="en-US"/>
        </w:rPr>
      </w:pPr>
      <w:hyperlink w:anchor="_Toc25247796" w:history="1">
        <w:r w:rsidR="00C735D0" w:rsidRPr="006B1E79">
          <w:rPr>
            <w:rStyle w:val="Hipervnculo"/>
          </w:rPr>
          <w:t>E.</w:t>
        </w:r>
        <w:r w:rsidR="003046F7">
          <w:rPr>
            <w:rStyle w:val="Hipervnculo"/>
          </w:rPr>
          <w:t xml:space="preserve"> </w:t>
        </w:r>
        <w:r w:rsidR="00C735D0" w:rsidRPr="006B1E79">
          <w:rPr>
            <w:rStyle w:val="Hipervnculo"/>
          </w:rPr>
          <w:t>Otras medidas</w:t>
        </w:r>
        <w:r w:rsidR="00C735D0" w:rsidRPr="006B1E79">
          <w:rPr>
            <w:webHidden/>
          </w:rPr>
          <w:tab/>
        </w:r>
        <w:r w:rsidR="00C735D0" w:rsidRPr="006B1E79">
          <w:rPr>
            <w:webHidden/>
          </w:rPr>
          <w:fldChar w:fldCharType="begin"/>
        </w:r>
        <w:r w:rsidR="00C735D0" w:rsidRPr="006B1E79">
          <w:rPr>
            <w:webHidden/>
          </w:rPr>
          <w:instrText xml:space="preserve"> PAGEREF _Toc25247796 \h </w:instrText>
        </w:r>
        <w:r w:rsidR="00C735D0" w:rsidRPr="006B1E79">
          <w:rPr>
            <w:webHidden/>
          </w:rPr>
        </w:r>
        <w:r w:rsidR="00C735D0" w:rsidRPr="006B1E79">
          <w:rPr>
            <w:webHidden/>
          </w:rPr>
          <w:fldChar w:fldCharType="separate"/>
        </w:r>
        <w:r>
          <w:rPr>
            <w:webHidden/>
          </w:rPr>
          <w:t>61</w:t>
        </w:r>
        <w:r w:rsidR="00C735D0" w:rsidRPr="006B1E79">
          <w:rPr>
            <w:webHidden/>
          </w:rPr>
          <w:fldChar w:fldCharType="end"/>
        </w:r>
      </w:hyperlink>
    </w:p>
    <w:p w14:paraId="56C38549" w14:textId="01AC1C77" w:rsidR="00C735D0" w:rsidRPr="006B1E79" w:rsidRDefault="00990216" w:rsidP="006B1B0F">
      <w:pPr>
        <w:pStyle w:val="TDC2"/>
        <w:rPr>
          <w:rFonts w:eastAsiaTheme="minorEastAsia" w:cstheme="minorBidi"/>
          <w:lang w:val="en-US"/>
        </w:rPr>
      </w:pPr>
      <w:hyperlink w:anchor="_Toc25247797" w:history="1">
        <w:r w:rsidR="00C735D0" w:rsidRPr="006B1E79">
          <w:rPr>
            <w:rStyle w:val="Hipervnculo"/>
          </w:rPr>
          <w:t>F.</w:t>
        </w:r>
        <w:r w:rsidR="003046F7">
          <w:rPr>
            <w:rStyle w:val="Hipervnculo"/>
          </w:rPr>
          <w:t xml:space="preserve"> </w:t>
        </w:r>
        <w:r w:rsidR="00C735D0" w:rsidRPr="006B1E79">
          <w:rPr>
            <w:rStyle w:val="Hipervnculo"/>
          </w:rPr>
          <w:t>Indemnización compensatoria</w:t>
        </w:r>
        <w:r w:rsidR="00C735D0" w:rsidRPr="006B1E79">
          <w:rPr>
            <w:webHidden/>
          </w:rPr>
          <w:tab/>
        </w:r>
        <w:r w:rsidR="00C735D0" w:rsidRPr="006B1E79">
          <w:rPr>
            <w:webHidden/>
          </w:rPr>
          <w:fldChar w:fldCharType="begin"/>
        </w:r>
        <w:r w:rsidR="00C735D0" w:rsidRPr="006B1E79">
          <w:rPr>
            <w:webHidden/>
          </w:rPr>
          <w:instrText xml:space="preserve"> PAGEREF _Toc25247797 \h </w:instrText>
        </w:r>
        <w:r w:rsidR="00C735D0" w:rsidRPr="006B1E79">
          <w:rPr>
            <w:webHidden/>
          </w:rPr>
        </w:r>
        <w:r w:rsidR="00C735D0" w:rsidRPr="006B1E79">
          <w:rPr>
            <w:webHidden/>
          </w:rPr>
          <w:fldChar w:fldCharType="separate"/>
        </w:r>
        <w:r>
          <w:rPr>
            <w:webHidden/>
          </w:rPr>
          <w:t>61</w:t>
        </w:r>
        <w:r w:rsidR="00C735D0" w:rsidRPr="006B1E79">
          <w:rPr>
            <w:webHidden/>
          </w:rPr>
          <w:fldChar w:fldCharType="end"/>
        </w:r>
      </w:hyperlink>
    </w:p>
    <w:p w14:paraId="25DD3343" w14:textId="42B8EFDE" w:rsidR="00C735D0" w:rsidRPr="006B1E79" w:rsidRDefault="00990216" w:rsidP="00C735D0">
      <w:pPr>
        <w:pStyle w:val="TDC3"/>
        <w:tabs>
          <w:tab w:val="right" w:leader="dot" w:pos="9408"/>
        </w:tabs>
        <w:rPr>
          <w:rFonts w:ascii="Verdana" w:eastAsiaTheme="minorEastAsia" w:hAnsi="Verdana" w:cstheme="minorBidi"/>
          <w:i w:val="0"/>
          <w:iCs w:val="0"/>
          <w:noProof/>
          <w:sz w:val="18"/>
          <w:szCs w:val="18"/>
          <w:lang w:val="en-US"/>
        </w:rPr>
      </w:pPr>
      <w:hyperlink w:anchor="_Toc25247798" w:history="1">
        <w:r w:rsidR="00C735D0" w:rsidRPr="006B1E79">
          <w:rPr>
            <w:rStyle w:val="Hipervnculo"/>
            <w:rFonts w:ascii="Verdana" w:hAnsi="Verdana"/>
            <w:noProof/>
            <w:sz w:val="18"/>
            <w:szCs w:val="18"/>
            <w:lang w:val="es-CR"/>
          </w:rPr>
          <w:t>F.1. Daño Material</w:t>
        </w:r>
        <w:r w:rsidR="00C735D0" w:rsidRPr="006B1E79">
          <w:rPr>
            <w:rFonts w:ascii="Verdana" w:hAnsi="Verdana"/>
            <w:noProof/>
            <w:webHidden/>
            <w:sz w:val="18"/>
            <w:szCs w:val="18"/>
          </w:rPr>
          <w:tab/>
        </w:r>
        <w:r w:rsidR="00C735D0" w:rsidRPr="006B1E79">
          <w:rPr>
            <w:rFonts w:ascii="Verdana" w:hAnsi="Verdana"/>
            <w:noProof/>
            <w:webHidden/>
            <w:sz w:val="18"/>
            <w:szCs w:val="18"/>
          </w:rPr>
          <w:fldChar w:fldCharType="begin"/>
        </w:r>
        <w:r w:rsidR="00C735D0" w:rsidRPr="006B1E79">
          <w:rPr>
            <w:rFonts w:ascii="Verdana" w:hAnsi="Verdana"/>
            <w:noProof/>
            <w:webHidden/>
            <w:sz w:val="18"/>
            <w:szCs w:val="18"/>
          </w:rPr>
          <w:instrText xml:space="preserve"> PAGEREF _Toc25247798 \h </w:instrText>
        </w:r>
        <w:r w:rsidR="00C735D0" w:rsidRPr="006B1E79">
          <w:rPr>
            <w:rFonts w:ascii="Verdana" w:hAnsi="Verdana"/>
            <w:noProof/>
            <w:webHidden/>
            <w:sz w:val="18"/>
            <w:szCs w:val="18"/>
          </w:rPr>
        </w:r>
        <w:r w:rsidR="00C735D0" w:rsidRPr="006B1E79">
          <w:rPr>
            <w:rFonts w:ascii="Verdana" w:hAnsi="Verdana"/>
            <w:noProof/>
            <w:webHidden/>
            <w:sz w:val="18"/>
            <w:szCs w:val="18"/>
          </w:rPr>
          <w:fldChar w:fldCharType="separate"/>
        </w:r>
        <w:r>
          <w:rPr>
            <w:rFonts w:ascii="Verdana" w:hAnsi="Verdana"/>
            <w:noProof/>
            <w:webHidden/>
            <w:sz w:val="18"/>
            <w:szCs w:val="18"/>
          </w:rPr>
          <w:t>61</w:t>
        </w:r>
        <w:r w:rsidR="00C735D0" w:rsidRPr="006B1E79">
          <w:rPr>
            <w:rFonts w:ascii="Verdana" w:hAnsi="Verdana"/>
            <w:noProof/>
            <w:webHidden/>
            <w:sz w:val="18"/>
            <w:szCs w:val="18"/>
          </w:rPr>
          <w:fldChar w:fldCharType="end"/>
        </w:r>
      </w:hyperlink>
    </w:p>
    <w:p w14:paraId="320460D7" w14:textId="0FCD1C28" w:rsidR="00C735D0" w:rsidRPr="006B1E79" w:rsidRDefault="00990216" w:rsidP="00C735D0">
      <w:pPr>
        <w:pStyle w:val="TDC4"/>
        <w:tabs>
          <w:tab w:val="right" w:leader="dot" w:pos="9408"/>
        </w:tabs>
        <w:rPr>
          <w:rFonts w:ascii="Verdana" w:eastAsiaTheme="minorEastAsia" w:hAnsi="Verdana" w:cstheme="minorBidi"/>
          <w:noProof/>
          <w:lang w:val="en-US"/>
        </w:rPr>
      </w:pPr>
      <w:hyperlink w:anchor="_Toc25247799" w:history="1">
        <w:r w:rsidR="00C735D0" w:rsidRPr="006B1E79">
          <w:rPr>
            <w:rStyle w:val="Hipervnculo"/>
            <w:rFonts w:ascii="Verdana" w:hAnsi="Verdana"/>
            <w:noProof/>
            <w:lang w:val="es-CR"/>
          </w:rPr>
          <w:t>F.1.1. Daño Emergente</w:t>
        </w:r>
        <w:r w:rsidR="00C735D0" w:rsidRPr="006B1E79">
          <w:rPr>
            <w:rFonts w:ascii="Verdana" w:hAnsi="Verdana"/>
            <w:noProof/>
            <w:webHidden/>
          </w:rPr>
          <w:tab/>
        </w:r>
        <w:r w:rsidR="00C735D0" w:rsidRPr="006B1E79">
          <w:rPr>
            <w:rFonts w:ascii="Verdana" w:hAnsi="Verdana"/>
            <w:noProof/>
            <w:webHidden/>
          </w:rPr>
          <w:fldChar w:fldCharType="begin"/>
        </w:r>
        <w:r w:rsidR="00C735D0" w:rsidRPr="006B1E79">
          <w:rPr>
            <w:rFonts w:ascii="Verdana" w:hAnsi="Verdana"/>
            <w:noProof/>
            <w:webHidden/>
          </w:rPr>
          <w:instrText xml:space="preserve"> PAGEREF _Toc25247799 \h </w:instrText>
        </w:r>
        <w:r w:rsidR="00C735D0" w:rsidRPr="006B1E79">
          <w:rPr>
            <w:rFonts w:ascii="Verdana" w:hAnsi="Verdana"/>
            <w:noProof/>
            <w:webHidden/>
          </w:rPr>
        </w:r>
        <w:r w:rsidR="00C735D0" w:rsidRPr="006B1E79">
          <w:rPr>
            <w:rFonts w:ascii="Verdana" w:hAnsi="Verdana"/>
            <w:noProof/>
            <w:webHidden/>
          </w:rPr>
          <w:fldChar w:fldCharType="separate"/>
        </w:r>
        <w:r>
          <w:rPr>
            <w:rFonts w:ascii="Verdana" w:hAnsi="Verdana"/>
            <w:noProof/>
            <w:webHidden/>
          </w:rPr>
          <w:t>61</w:t>
        </w:r>
        <w:r w:rsidR="00C735D0" w:rsidRPr="006B1E79">
          <w:rPr>
            <w:rFonts w:ascii="Verdana" w:hAnsi="Verdana"/>
            <w:noProof/>
            <w:webHidden/>
          </w:rPr>
          <w:fldChar w:fldCharType="end"/>
        </w:r>
      </w:hyperlink>
    </w:p>
    <w:p w14:paraId="6D03E73A" w14:textId="6F4B97CB" w:rsidR="00C735D0" w:rsidRPr="006B1E79" w:rsidRDefault="00990216" w:rsidP="00C735D0">
      <w:pPr>
        <w:pStyle w:val="TDC4"/>
        <w:tabs>
          <w:tab w:val="right" w:leader="dot" w:pos="9408"/>
        </w:tabs>
        <w:rPr>
          <w:rFonts w:ascii="Verdana" w:eastAsiaTheme="minorEastAsia" w:hAnsi="Verdana" w:cstheme="minorBidi"/>
          <w:noProof/>
          <w:lang w:val="en-US"/>
        </w:rPr>
      </w:pPr>
      <w:hyperlink w:anchor="_Toc25247800" w:history="1">
        <w:r w:rsidR="00C735D0" w:rsidRPr="006B1E79">
          <w:rPr>
            <w:rStyle w:val="Hipervnculo"/>
            <w:rFonts w:ascii="Verdana" w:hAnsi="Verdana"/>
            <w:noProof/>
            <w:lang w:val="es-CR"/>
          </w:rPr>
          <w:t>F.1.2. Pérdidas de Ingresos</w:t>
        </w:r>
        <w:r w:rsidR="00C735D0" w:rsidRPr="006B1E79">
          <w:rPr>
            <w:rFonts w:ascii="Verdana" w:hAnsi="Verdana"/>
            <w:noProof/>
            <w:webHidden/>
          </w:rPr>
          <w:tab/>
        </w:r>
        <w:r w:rsidR="00C735D0" w:rsidRPr="006B1E79">
          <w:rPr>
            <w:rFonts w:ascii="Verdana" w:hAnsi="Verdana"/>
            <w:noProof/>
            <w:webHidden/>
          </w:rPr>
          <w:fldChar w:fldCharType="begin"/>
        </w:r>
        <w:r w:rsidR="00C735D0" w:rsidRPr="006B1E79">
          <w:rPr>
            <w:rFonts w:ascii="Verdana" w:hAnsi="Verdana"/>
            <w:noProof/>
            <w:webHidden/>
          </w:rPr>
          <w:instrText xml:space="preserve"> PAGEREF _Toc25247800 \h </w:instrText>
        </w:r>
        <w:r w:rsidR="00C735D0" w:rsidRPr="006B1E79">
          <w:rPr>
            <w:rFonts w:ascii="Verdana" w:hAnsi="Verdana"/>
            <w:noProof/>
            <w:webHidden/>
          </w:rPr>
        </w:r>
        <w:r w:rsidR="00C735D0" w:rsidRPr="006B1E79">
          <w:rPr>
            <w:rFonts w:ascii="Verdana" w:hAnsi="Verdana"/>
            <w:noProof/>
            <w:webHidden/>
          </w:rPr>
          <w:fldChar w:fldCharType="separate"/>
        </w:r>
        <w:r>
          <w:rPr>
            <w:rFonts w:ascii="Verdana" w:hAnsi="Verdana"/>
            <w:noProof/>
            <w:webHidden/>
          </w:rPr>
          <w:t>61</w:t>
        </w:r>
        <w:r w:rsidR="00C735D0" w:rsidRPr="006B1E79">
          <w:rPr>
            <w:rFonts w:ascii="Verdana" w:hAnsi="Verdana"/>
            <w:noProof/>
            <w:webHidden/>
          </w:rPr>
          <w:fldChar w:fldCharType="end"/>
        </w:r>
      </w:hyperlink>
    </w:p>
    <w:p w14:paraId="49CA9514" w14:textId="4643234D" w:rsidR="00C735D0" w:rsidRPr="006B1E79" w:rsidRDefault="00990216" w:rsidP="00C735D0">
      <w:pPr>
        <w:pStyle w:val="TDC3"/>
        <w:tabs>
          <w:tab w:val="right" w:leader="dot" w:pos="9408"/>
        </w:tabs>
        <w:rPr>
          <w:rFonts w:ascii="Verdana" w:eastAsiaTheme="minorEastAsia" w:hAnsi="Verdana" w:cstheme="minorBidi"/>
          <w:i w:val="0"/>
          <w:iCs w:val="0"/>
          <w:noProof/>
          <w:sz w:val="18"/>
          <w:szCs w:val="18"/>
          <w:lang w:val="en-US"/>
        </w:rPr>
      </w:pPr>
      <w:hyperlink w:anchor="_Toc25247801" w:history="1">
        <w:r w:rsidR="00C735D0" w:rsidRPr="006B1E79">
          <w:rPr>
            <w:rStyle w:val="Hipervnculo"/>
            <w:rFonts w:ascii="Verdana" w:hAnsi="Verdana"/>
            <w:noProof/>
            <w:sz w:val="18"/>
            <w:szCs w:val="18"/>
            <w:lang w:val="es-CR"/>
          </w:rPr>
          <w:t>F.2. Daño Inmaterial</w:t>
        </w:r>
        <w:r w:rsidR="00C735D0" w:rsidRPr="006B1E79">
          <w:rPr>
            <w:rFonts w:ascii="Verdana" w:hAnsi="Verdana"/>
            <w:noProof/>
            <w:webHidden/>
            <w:sz w:val="18"/>
            <w:szCs w:val="18"/>
          </w:rPr>
          <w:tab/>
        </w:r>
        <w:r w:rsidR="00C735D0" w:rsidRPr="006B1E79">
          <w:rPr>
            <w:rFonts w:ascii="Verdana" w:hAnsi="Verdana"/>
            <w:noProof/>
            <w:webHidden/>
            <w:sz w:val="18"/>
            <w:szCs w:val="18"/>
          </w:rPr>
          <w:fldChar w:fldCharType="begin"/>
        </w:r>
        <w:r w:rsidR="00C735D0" w:rsidRPr="006B1E79">
          <w:rPr>
            <w:rFonts w:ascii="Verdana" w:hAnsi="Verdana"/>
            <w:noProof/>
            <w:webHidden/>
            <w:sz w:val="18"/>
            <w:szCs w:val="18"/>
          </w:rPr>
          <w:instrText xml:space="preserve"> PAGEREF _Toc25247801 \h </w:instrText>
        </w:r>
        <w:r w:rsidR="00C735D0" w:rsidRPr="006B1E79">
          <w:rPr>
            <w:rFonts w:ascii="Verdana" w:hAnsi="Verdana"/>
            <w:noProof/>
            <w:webHidden/>
            <w:sz w:val="18"/>
            <w:szCs w:val="18"/>
          </w:rPr>
        </w:r>
        <w:r w:rsidR="00C735D0" w:rsidRPr="006B1E79">
          <w:rPr>
            <w:rFonts w:ascii="Verdana" w:hAnsi="Verdana"/>
            <w:noProof/>
            <w:webHidden/>
            <w:sz w:val="18"/>
            <w:szCs w:val="18"/>
          </w:rPr>
          <w:fldChar w:fldCharType="separate"/>
        </w:r>
        <w:r>
          <w:rPr>
            <w:rFonts w:ascii="Verdana" w:hAnsi="Verdana"/>
            <w:noProof/>
            <w:webHidden/>
            <w:sz w:val="18"/>
            <w:szCs w:val="18"/>
          </w:rPr>
          <w:t>62</w:t>
        </w:r>
        <w:r w:rsidR="00C735D0" w:rsidRPr="006B1E79">
          <w:rPr>
            <w:rFonts w:ascii="Verdana" w:hAnsi="Verdana"/>
            <w:noProof/>
            <w:webHidden/>
            <w:sz w:val="18"/>
            <w:szCs w:val="18"/>
          </w:rPr>
          <w:fldChar w:fldCharType="end"/>
        </w:r>
      </w:hyperlink>
    </w:p>
    <w:p w14:paraId="7BC60797" w14:textId="67E32AC7" w:rsidR="00C735D0" w:rsidRPr="006B1E79" w:rsidRDefault="00990216" w:rsidP="006B1B0F">
      <w:pPr>
        <w:pStyle w:val="TDC2"/>
        <w:rPr>
          <w:rFonts w:eastAsiaTheme="minorEastAsia" w:cstheme="minorBidi"/>
          <w:lang w:val="en-US"/>
        </w:rPr>
      </w:pPr>
      <w:hyperlink w:anchor="_Toc25247802" w:history="1">
        <w:r w:rsidR="00C735D0" w:rsidRPr="006B1E79">
          <w:rPr>
            <w:rStyle w:val="Hipervnculo"/>
          </w:rPr>
          <w:t>G. Costas y Gastos</w:t>
        </w:r>
        <w:r w:rsidR="00C735D0" w:rsidRPr="006B1E79">
          <w:rPr>
            <w:webHidden/>
          </w:rPr>
          <w:tab/>
        </w:r>
        <w:r w:rsidR="00C735D0" w:rsidRPr="006B1E79">
          <w:rPr>
            <w:webHidden/>
          </w:rPr>
          <w:fldChar w:fldCharType="begin"/>
        </w:r>
        <w:r w:rsidR="00C735D0" w:rsidRPr="006B1E79">
          <w:rPr>
            <w:webHidden/>
          </w:rPr>
          <w:instrText xml:space="preserve"> PAGEREF _Toc25247802 \h </w:instrText>
        </w:r>
        <w:r w:rsidR="00C735D0" w:rsidRPr="006B1E79">
          <w:rPr>
            <w:webHidden/>
          </w:rPr>
        </w:r>
        <w:r w:rsidR="00C735D0" w:rsidRPr="006B1E79">
          <w:rPr>
            <w:webHidden/>
          </w:rPr>
          <w:fldChar w:fldCharType="separate"/>
        </w:r>
        <w:r>
          <w:rPr>
            <w:webHidden/>
          </w:rPr>
          <w:t>62</w:t>
        </w:r>
        <w:r w:rsidR="00C735D0" w:rsidRPr="006B1E79">
          <w:rPr>
            <w:webHidden/>
          </w:rPr>
          <w:fldChar w:fldCharType="end"/>
        </w:r>
      </w:hyperlink>
    </w:p>
    <w:p w14:paraId="771E1833" w14:textId="71778678" w:rsidR="00C735D0" w:rsidRPr="006B1E79" w:rsidRDefault="00990216" w:rsidP="006B1B0F">
      <w:pPr>
        <w:pStyle w:val="TDC2"/>
        <w:rPr>
          <w:rFonts w:eastAsiaTheme="minorEastAsia" w:cstheme="minorBidi"/>
          <w:lang w:val="en-US"/>
        </w:rPr>
      </w:pPr>
      <w:hyperlink w:anchor="_Toc25247803" w:history="1">
        <w:r w:rsidR="00C735D0" w:rsidRPr="006B1E79">
          <w:rPr>
            <w:rStyle w:val="Hipervnculo"/>
          </w:rPr>
          <w:t>H. Acceso al fondo legal de asistencia a víctimas.</w:t>
        </w:r>
        <w:r w:rsidR="00C735D0" w:rsidRPr="006B1E79">
          <w:rPr>
            <w:webHidden/>
          </w:rPr>
          <w:tab/>
        </w:r>
        <w:r w:rsidR="00C735D0" w:rsidRPr="006B1E79">
          <w:rPr>
            <w:webHidden/>
          </w:rPr>
          <w:fldChar w:fldCharType="begin"/>
        </w:r>
        <w:r w:rsidR="00C735D0" w:rsidRPr="006B1E79">
          <w:rPr>
            <w:webHidden/>
          </w:rPr>
          <w:instrText xml:space="preserve"> PAGEREF _Toc25247803 \h </w:instrText>
        </w:r>
        <w:r w:rsidR="00C735D0" w:rsidRPr="006B1E79">
          <w:rPr>
            <w:webHidden/>
          </w:rPr>
        </w:r>
        <w:r w:rsidR="00C735D0" w:rsidRPr="006B1E79">
          <w:rPr>
            <w:webHidden/>
          </w:rPr>
          <w:fldChar w:fldCharType="separate"/>
        </w:r>
        <w:r>
          <w:rPr>
            <w:webHidden/>
          </w:rPr>
          <w:t>64</w:t>
        </w:r>
        <w:r w:rsidR="00C735D0" w:rsidRPr="006B1E79">
          <w:rPr>
            <w:webHidden/>
          </w:rPr>
          <w:fldChar w:fldCharType="end"/>
        </w:r>
      </w:hyperlink>
    </w:p>
    <w:p w14:paraId="58934F8B" w14:textId="5E85DCA5" w:rsidR="00C735D0" w:rsidRPr="006B1E79" w:rsidRDefault="00990216" w:rsidP="006B1B0F">
      <w:pPr>
        <w:pStyle w:val="TDC2"/>
        <w:rPr>
          <w:rFonts w:eastAsiaTheme="minorEastAsia" w:cstheme="minorBidi"/>
          <w:lang w:val="en-US"/>
        </w:rPr>
      </w:pPr>
      <w:hyperlink w:anchor="_Toc25247804" w:history="1">
        <w:r w:rsidR="00C735D0" w:rsidRPr="006B1E79">
          <w:rPr>
            <w:rStyle w:val="Hipervnculo"/>
          </w:rPr>
          <w:t>I. Modalidades de cumplimiento de los pagos ordenados</w:t>
        </w:r>
        <w:r w:rsidR="00C735D0" w:rsidRPr="006B1E79">
          <w:rPr>
            <w:webHidden/>
          </w:rPr>
          <w:tab/>
        </w:r>
        <w:r w:rsidR="00C735D0" w:rsidRPr="006B1E79">
          <w:rPr>
            <w:webHidden/>
          </w:rPr>
          <w:fldChar w:fldCharType="begin"/>
        </w:r>
        <w:r w:rsidR="00C735D0" w:rsidRPr="006B1E79">
          <w:rPr>
            <w:webHidden/>
          </w:rPr>
          <w:instrText xml:space="preserve"> PAGEREF _Toc25247804 \h </w:instrText>
        </w:r>
        <w:r w:rsidR="00C735D0" w:rsidRPr="006B1E79">
          <w:rPr>
            <w:webHidden/>
          </w:rPr>
        </w:r>
        <w:r w:rsidR="00C735D0" w:rsidRPr="006B1E79">
          <w:rPr>
            <w:webHidden/>
          </w:rPr>
          <w:fldChar w:fldCharType="separate"/>
        </w:r>
        <w:r>
          <w:rPr>
            <w:webHidden/>
          </w:rPr>
          <w:t>64</w:t>
        </w:r>
        <w:r w:rsidR="00C735D0" w:rsidRPr="006B1E79">
          <w:rPr>
            <w:webHidden/>
          </w:rPr>
          <w:fldChar w:fldCharType="end"/>
        </w:r>
      </w:hyperlink>
    </w:p>
    <w:p w14:paraId="265F5A72" w14:textId="3B0083A1" w:rsidR="00C735D0" w:rsidRPr="006B1E79" w:rsidRDefault="00990216" w:rsidP="00C735D0">
      <w:pPr>
        <w:pStyle w:val="TDC1"/>
        <w:tabs>
          <w:tab w:val="right" w:leader="dot" w:pos="9408"/>
        </w:tabs>
        <w:spacing w:before="0" w:after="0"/>
        <w:rPr>
          <w:rFonts w:ascii="Verdana" w:eastAsiaTheme="minorEastAsia" w:hAnsi="Verdana" w:cstheme="minorBidi"/>
          <w:b w:val="0"/>
          <w:bCs w:val="0"/>
          <w:caps w:val="0"/>
          <w:noProof/>
          <w:sz w:val="18"/>
          <w:szCs w:val="18"/>
          <w:lang w:val="en-US"/>
        </w:rPr>
      </w:pPr>
      <w:hyperlink w:anchor="_Toc25247805" w:history="1">
        <w:r w:rsidR="00C735D0" w:rsidRPr="006B1E79">
          <w:rPr>
            <w:rStyle w:val="Hipervnculo"/>
            <w:rFonts w:ascii="Verdana" w:hAnsi="Verdana"/>
            <w:noProof/>
            <w:sz w:val="18"/>
            <w:szCs w:val="18"/>
          </w:rPr>
          <w:t>X  PUNTOS RESOLUTIVOS</w:t>
        </w:r>
        <w:r w:rsidR="00C735D0" w:rsidRPr="006B1E79">
          <w:rPr>
            <w:rFonts w:ascii="Verdana" w:hAnsi="Verdana"/>
            <w:noProof/>
            <w:webHidden/>
            <w:sz w:val="18"/>
            <w:szCs w:val="18"/>
          </w:rPr>
          <w:tab/>
        </w:r>
        <w:r w:rsidR="00C735D0" w:rsidRPr="006B1E79">
          <w:rPr>
            <w:rFonts w:ascii="Verdana" w:hAnsi="Verdana"/>
            <w:noProof/>
            <w:webHidden/>
            <w:sz w:val="18"/>
            <w:szCs w:val="18"/>
          </w:rPr>
          <w:fldChar w:fldCharType="begin"/>
        </w:r>
        <w:r w:rsidR="00C735D0" w:rsidRPr="006B1E79">
          <w:rPr>
            <w:rFonts w:ascii="Verdana" w:hAnsi="Verdana"/>
            <w:noProof/>
            <w:webHidden/>
            <w:sz w:val="18"/>
            <w:szCs w:val="18"/>
          </w:rPr>
          <w:instrText xml:space="preserve"> PAGEREF _Toc25247805 \h </w:instrText>
        </w:r>
        <w:r w:rsidR="00C735D0" w:rsidRPr="006B1E79">
          <w:rPr>
            <w:rFonts w:ascii="Verdana" w:hAnsi="Verdana"/>
            <w:noProof/>
            <w:webHidden/>
            <w:sz w:val="18"/>
            <w:szCs w:val="18"/>
          </w:rPr>
        </w:r>
        <w:r w:rsidR="00C735D0" w:rsidRPr="006B1E79">
          <w:rPr>
            <w:rFonts w:ascii="Verdana" w:hAnsi="Verdana"/>
            <w:noProof/>
            <w:webHidden/>
            <w:sz w:val="18"/>
            <w:szCs w:val="18"/>
          </w:rPr>
          <w:fldChar w:fldCharType="separate"/>
        </w:r>
        <w:r>
          <w:rPr>
            <w:rFonts w:ascii="Verdana" w:hAnsi="Verdana"/>
            <w:noProof/>
            <w:webHidden/>
            <w:sz w:val="18"/>
            <w:szCs w:val="18"/>
          </w:rPr>
          <w:t>65</w:t>
        </w:r>
        <w:r w:rsidR="00C735D0" w:rsidRPr="006B1E79">
          <w:rPr>
            <w:rFonts w:ascii="Verdana" w:hAnsi="Verdana"/>
            <w:noProof/>
            <w:webHidden/>
            <w:sz w:val="18"/>
            <w:szCs w:val="18"/>
          </w:rPr>
          <w:fldChar w:fldCharType="end"/>
        </w:r>
      </w:hyperlink>
    </w:p>
    <w:p w14:paraId="4DF65A30" w14:textId="31527060" w:rsidR="00BC2D41" w:rsidRPr="006B1E79" w:rsidRDefault="005406CA" w:rsidP="00C735D0">
      <w:pPr>
        <w:spacing w:after="0" w:line="240" w:lineRule="auto"/>
        <w:jc w:val="both"/>
        <w:rPr>
          <w:rFonts w:ascii="Verdana" w:hAnsi="Verdana"/>
          <w:sz w:val="18"/>
          <w:szCs w:val="18"/>
          <w:lang w:val="es-CR"/>
        </w:rPr>
      </w:pPr>
      <w:r w:rsidRPr="006B1E79">
        <w:rPr>
          <w:rFonts w:ascii="Verdana" w:hAnsi="Verdana"/>
          <w:sz w:val="18"/>
          <w:szCs w:val="18"/>
          <w:lang w:val="es-CR"/>
        </w:rPr>
        <w:fldChar w:fldCharType="end"/>
      </w:r>
    </w:p>
    <w:p w14:paraId="067CEDB3" w14:textId="77777777" w:rsidR="00C735D0" w:rsidRPr="00C735D0" w:rsidRDefault="00C735D0" w:rsidP="00C735D0">
      <w:bookmarkStart w:id="0" w:name="_Toc25247716"/>
    </w:p>
    <w:p w14:paraId="7C6652E7" w14:textId="7C87706F" w:rsidR="00C735D0" w:rsidRPr="00C735D0" w:rsidRDefault="00C735D0" w:rsidP="00C735D0">
      <w:pPr>
        <w:rPr>
          <w:rFonts w:ascii="Verdana" w:eastAsiaTheme="majorEastAsia" w:hAnsi="Verdana" w:cstheme="majorBidi"/>
          <w:b/>
          <w:color w:val="000000" w:themeColor="text1"/>
          <w:sz w:val="20"/>
          <w:szCs w:val="32"/>
        </w:rPr>
      </w:pPr>
      <w:r>
        <w:br w:type="page"/>
      </w:r>
    </w:p>
    <w:p w14:paraId="7EEED2A1" w14:textId="0B28DABA" w:rsidR="00BC145C" w:rsidRPr="00E13311" w:rsidRDefault="000E6FC3" w:rsidP="00747CC2">
      <w:pPr>
        <w:pStyle w:val="Ttulo1"/>
      </w:pPr>
      <w:r w:rsidRPr="00BC145C">
        <w:lastRenderedPageBreak/>
        <w:t>I</w:t>
      </w:r>
      <w:r w:rsidR="00BC145C" w:rsidRPr="00BC145C">
        <w:t xml:space="preserve"> </w:t>
      </w:r>
      <w:r w:rsidR="00872F17">
        <w:br/>
      </w:r>
      <w:r w:rsidR="000B5EF6" w:rsidRPr="00BC145C">
        <w:t>I</w:t>
      </w:r>
      <w:r w:rsidRPr="00BC145C">
        <w:t>NTRODUCCIÓN A LA CAUSA Y OBJETO DE LA CONTROVERSIA</w:t>
      </w:r>
      <w:bookmarkEnd w:id="0"/>
    </w:p>
    <w:p w14:paraId="2B13599C" w14:textId="77777777" w:rsidR="00BC145C" w:rsidRPr="00EC2F24" w:rsidRDefault="00BC145C" w:rsidP="00747CC2">
      <w:pPr>
        <w:rPr>
          <w:rFonts w:ascii="Verdana" w:hAnsi="Verdana"/>
          <w:b/>
          <w:sz w:val="20"/>
          <w:szCs w:val="20"/>
          <w:lang w:val="es-CR"/>
        </w:rPr>
      </w:pPr>
    </w:p>
    <w:p w14:paraId="20617789" w14:textId="7F7394A5" w:rsidR="00EC2F24" w:rsidRPr="002A1142" w:rsidRDefault="000E6FC3" w:rsidP="00747CC2">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2A1142">
        <w:rPr>
          <w:rFonts w:ascii="Verdana" w:eastAsia="Verdana" w:hAnsi="Verdana" w:cs="Verdana"/>
          <w:i/>
          <w:color w:val="000000"/>
          <w:sz w:val="20"/>
          <w:szCs w:val="20"/>
          <w:lang w:val="es-CR"/>
        </w:rPr>
        <w:t>El caso sometido a la Corte</w:t>
      </w:r>
      <w:r w:rsidRPr="002A1142">
        <w:rPr>
          <w:rFonts w:ascii="Verdana" w:eastAsia="Verdana" w:hAnsi="Verdana" w:cs="Verdana"/>
          <w:color w:val="000000"/>
          <w:sz w:val="20"/>
          <w:szCs w:val="20"/>
          <w:lang w:val="es-CR"/>
        </w:rPr>
        <w:t>. –</w:t>
      </w:r>
      <w:r w:rsidRPr="002A1142">
        <w:rPr>
          <w:rFonts w:ascii="Verdana" w:hAnsi="Verdana"/>
          <w:sz w:val="20"/>
          <w:szCs w:val="20"/>
          <w:lang w:val="es-CR"/>
        </w:rPr>
        <w:t xml:space="preserve"> El 19 de abril de 2018 la Comisión Interamericana de Derechos Humanos (en adelante también “la Comisión</w:t>
      </w:r>
      <w:r w:rsidR="001E2897" w:rsidRPr="002A1142">
        <w:rPr>
          <w:rFonts w:ascii="Verdana" w:hAnsi="Verdana"/>
          <w:sz w:val="20"/>
          <w:szCs w:val="20"/>
          <w:lang w:val="es-CR"/>
        </w:rPr>
        <w:t xml:space="preserve"> Interamericana</w:t>
      </w:r>
      <w:r w:rsidRPr="002A1142">
        <w:rPr>
          <w:rFonts w:ascii="Verdana" w:hAnsi="Verdana"/>
          <w:sz w:val="20"/>
          <w:szCs w:val="20"/>
          <w:lang w:val="es-CR"/>
        </w:rPr>
        <w:t>” o “</w:t>
      </w:r>
      <w:r w:rsidR="00BD2F36">
        <w:rPr>
          <w:rFonts w:ascii="Verdana" w:hAnsi="Verdana"/>
          <w:sz w:val="20"/>
          <w:szCs w:val="20"/>
          <w:lang w:val="es-CR"/>
        </w:rPr>
        <w:t xml:space="preserve">la </w:t>
      </w:r>
      <w:r w:rsidR="003B6269" w:rsidRPr="002A1142">
        <w:rPr>
          <w:rFonts w:ascii="Verdana" w:hAnsi="Verdana"/>
          <w:sz w:val="20"/>
          <w:szCs w:val="20"/>
          <w:lang w:val="es-CR"/>
        </w:rPr>
        <w:t>Comisión</w:t>
      </w:r>
      <w:r w:rsidRPr="002A1142">
        <w:rPr>
          <w:rFonts w:ascii="Verdana" w:hAnsi="Verdana"/>
          <w:sz w:val="20"/>
          <w:szCs w:val="20"/>
          <w:lang w:val="es-CR"/>
        </w:rPr>
        <w:t xml:space="preserve">”), de conformidad con lo dispuesto en los artículos 51 y 61 de la Convención Americana y el artículo 35 del Reglamento, sometió a la jurisdicción de la Corte Interamericana el caso que denominó </w:t>
      </w:r>
      <w:r w:rsidRPr="002A1142">
        <w:rPr>
          <w:rFonts w:ascii="Verdana" w:hAnsi="Verdana"/>
          <w:i/>
          <w:sz w:val="20"/>
          <w:szCs w:val="20"/>
          <w:lang w:val="es-CR"/>
        </w:rPr>
        <w:t>Valenzuela Ávila Vs. Guatemala</w:t>
      </w:r>
      <w:r w:rsidRPr="002A1142">
        <w:rPr>
          <w:rFonts w:ascii="Verdana" w:hAnsi="Verdana"/>
          <w:sz w:val="20"/>
          <w:szCs w:val="20"/>
          <w:lang w:val="es-CR"/>
        </w:rPr>
        <w:t xml:space="preserve"> (en adelante también “el Estado” o “Guatemala”). La Comisión indicó que el caso se relaciona con una serie de violaciones al debido proceso en el marco del proceso penal contra Tirso Román Valenzuela Ávila (en adelante también “señor Valenzuela Ávila” o “señor Valenzuela”</w:t>
      </w:r>
      <w:r w:rsidR="006C4808" w:rsidRPr="002A1142">
        <w:rPr>
          <w:rFonts w:ascii="Verdana" w:hAnsi="Verdana"/>
          <w:sz w:val="20"/>
          <w:szCs w:val="20"/>
          <w:lang w:val="es-CR"/>
        </w:rPr>
        <w:t xml:space="preserve"> o “presunta víctima”</w:t>
      </w:r>
      <w:r w:rsidRPr="002A1142">
        <w:rPr>
          <w:rFonts w:ascii="Verdana" w:hAnsi="Verdana"/>
          <w:sz w:val="20"/>
          <w:szCs w:val="20"/>
          <w:lang w:val="es-CR"/>
        </w:rPr>
        <w:t>) por el delito de asesinato, que culminó en su condena a la pena de muerte</w:t>
      </w:r>
      <w:r w:rsidR="00662AA6" w:rsidRPr="002A1142">
        <w:rPr>
          <w:rFonts w:ascii="Verdana" w:hAnsi="Verdana"/>
          <w:sz w:val="20"/>
          <w:szCs w:val="20"/>
          <w:lang w:val="es-CR"/>
        </w:rPr>
        <w:t xml:space="preserve"> con base en la figura de la peligrosidad</w:t>
      </w:r>
      <w:r w:rsidRPr="002A1142">
        <w:rPr>
          <w:rFonts w:ascii="Verdana" w:hAnsi="Verdana"/>
          <w:sz w:val="20"/>
          <w:szCs w:val="20"/>
          <w:lang w:val="es-CR"/>
        </w:rPr>
        <w:t xml:space="preserve">, así como </w:t>
      </w:r>
      <w:r w:rsidR="00BD2F36">
        <w:rPr>
          <w:rFonts w:ascii="Verdana" w:hAnsi="Verdana"/>
          <w:sz w:val="20"/>
          <w:szCs w:val="20"/>
          <w:lang w:val="es-CR"/>
        </w:rPr>
        <w:t xml:space="preserve">con una serie de </w:t>
      </w:r>
      <w:r w:rsidRPr="002A1142">
        <w:rPr>
          <w:rFonts w:ascii="Verdana" w:hAnsi="Verdana"/>
          <w:sz w:val="20"/>
          <w:szCs w:val="20"/>
          <w:lang w:val="es-CR"/>
        </w:rPr>
        <w:t>torturas perpetradas en el momento de la detención, tras ser recapturado luego de su primera fuga en la cárcel en junio de 1998, y nuevamente tras ser recapturado luego de su segunda fuga de la cárcel en junio de 2001</w:t>
      </w:r>
      <w:r w:rsidR="00E9047E">
        <w:rPr>
          <w:rFonts w:ascii="Verdana" w:hAnsi="Verdana"/>
          <w:sz w:val="20"/>
          <w:szCs w:val="20"/>
          <w:lang w:val="es-CR"/>
        </w:rPr>
        <w:t>, además de la supuesta ejecución extrajudicial del señor Valenzuela</w:t>
      </w:r>
      <w:r w:rsidRPr="002A1142">
        <w:rPr>
          <w:rFonts w:ascii="Verdana" w:hAnsi="Verdana"/>
          <w:sz w:val="20"/>
          <w:szCs w:val="20"/>
          <w:lang w:val="es-CR"/>
        </w:rPr>
        <w:t>.</w:t>
      </w:r>
    </w:p>
    <w:p w14:paraId="56338FA5" w14:textId="77777777" w:rsidR="00EC2F24" w:rsidRPr="00EC2F24" w:rsidRDefault="00EC2F24" w:rsidP="00EC2F24">
      <w:pPr>
        <w:pStyle w:val="Prrafodelista"/>
        <w:autoSpaceDE w:val="0"/>
        <w:autoSpaceDN w:val="0"/>
        <w:adjustRightInd w:val="0"/>
        <w:spacing w:after="0" w:line="240" w:lineRule="auto"/>
        <w:ind w:left="0"/>
        <w:jc w:val="both"/>
        <w:rPr>
          <w:rFonts w:ascii="Verdana" w:hAnsi="Verdana"/>
          <w:sz w:val="20"/>
          <w:szCs w:val="20"/>
          <w:lang w:val="es-CR"/>
        </w:rPr>
      </w:pPr>
    </w:p>
    <w:p w14:paraId="131A94B8" w14:textId="77777777" w:rsidR="000E6FC3" w:rsidRPr="00EC2F24" w:rsidRDefault="000E6FC3" w:rsidP="005406CA">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EC2F24">
        <w:rPr>
          <w:rFonts w:ascii="Verdana" w:hAnsi="Verdana"/>
          <w:i/>
          <w:sz w:val="20"/>
          <w:szCs w:val="20"/>
          <w:lang w:val="es-CR"/>
        </w:rPr>
        <w:t xml:space="preserve">Trámite ante la </w:t>
      </w:r>
      <w:proofErr w:type="gramStart"/>
      <w:r w:rsidRPr="00EC2F24">
        <w:rPr>
          <w:rFonts w:ascii="Verdana" w:hAnsi="Verdana"/>
          <w:i/>
          <w:sz w:val="20"/>
          <w:szCs w:val="20"/>
          <w:lang w:val="es-CR"/>
        </w:rPr>
        <w:t>Comisión.-</w:t>
      </w:r>
      <w:proofErr w:type="gramEnd"/>
      <w:r w:rsidRPr="00EC2F24">
        <w:rPr>
          <w:rFonts w:ascii="Verdana" w:hAnsi="Verdana"/>
          <w:i/>
          <w:sz w:val="20"/>
          <w:szCs w:val="20"/>
          <w:lang w:val="es-CR"/>
        </w:rPr>
        <w:t xml:space="preserve"> </w:t>
      </w:r>
      <w:r w:rsidRPr="00EC2F24">
        <w:rPr>
          <w:rFonts w:ascii="Verdana" w:hAnsi="Verdana"/>
          <w:sz w:val="20"/>
          <w:szCs w:val="20"/>
          <w:lang w:val="es-CR"/>
        </w:rPr>
        <w:t>El trámite ante la Comisión fue el siguiente:</w:t>
      </w:r>
    </w:p>
    <w:p w14:paraId="7DC82045" w14:textId="77777777" w:rsidR="000E6FC3" w:rsidRPr="00EC2F24" w:rsidRDefault="000E6FC3" w:rsidP="002F0A75">
      <w:pPr>
        <w:pStyle w:val="Prrafodelista"/>
        <w:autoSpaceDE w:val="0"/>
        <w:autoSpaceDN w:val="0"/>
        <w:adjustRightInd w:val="0"/>
        <w:spacing w:after="0" w:line="240" w:lineRule="auto"/>
        <w:jc w:val="both"/>
        <w:rPr>
          <w:rFonts w:ascii="Verdana" w:hAnsi="Verdana"/>
          <w:sz w:val="20"/>
          <w:szCs w:val="20"/>
          <w:lang w:val="es-CR"/>
        </w:rPr>
      </w:pPr>
    </w:p>
    <w:p w14:paraId="018AF793" w14:textId="77777777" w:rsidR="000E6FC3" w:rsidRPr="002A1142" w:rsidRDefault="000E6FC3" w:rsidP="005406CA">
      <w:pPr>
        <w:pStyle w:val="Normal1"/>
        <w:numPr>
          <w:ilvl w:val="6"/>
          <w:numId w:val="1"/>
        </w:numPr>
        <w:ind w:left="720" w:firstLine="0"/>
        <w:contextualSpacing/>
        <w:jc w:val="both"/>
        <w:rPr>
          <w:rFonts w:ascii="Verdana" w:eastAsia="Verdana" w:hAnsi="Verdana" w:cs="Verdana"/>
          <w:color w:val="000000"/>
          <w:sz w:val="20"/>
          <w:szCs w:val="20"/>
        </w:rPr>
      </w:pPr>
      <w:r w:rsidRPr="00EC2F24">
        <w:rPr>
          <w:rFonts w:ascii="Verdana" w:eastAsia="Verdana" w:hAnsi="Verdana" w:cs="Verdana"/>
          <w:i/>
          <w:color w:val="000000"/>
          <w:sz w:val="20"/>
          <w:szCs w:val="20"/>
        </w:rPr>
        <w:t>Petición</w:t>
      </w:r>
      <w:r w:rsidRPr="00EC2F24">
        <w:rPr>
          <w:rFonts w:ascii="Verdana" w:eastAsia="Verdana" w:hAnsi="Verdana" w:cs="Verdana"/>
          <w:color w:val="000000"/>
          <w:sz w:val="20"/>
          <w:szCs w:val="20"/>
        </w:rPr>
        <w:t>. – El 5 de octubre de 2001 la Comisión recibió la petición presentada por el Instituto de Estudios Comparados en Ciencias Penales (en adelante también “IECCPG” o “peticionarios”) y la registró bajo el número 723/01</w:t>
      </w:r>
      <w:r w:rsidRPr="00EC2F24">
        <w:rPr>
          <w:rStyle w:val="Refdenotaalpie"/>
          <w:rFonts w:ascii="Verdana" w:eastAsia="Verdana" w:hAnsi="Verdana" w:cs="Verdana"/>
          <w:color w:val="000000"/>
          <w:sz w:val="20"/>
          <w:szCs w:val="20"/>
        </w:rPr>
        <w:footnoteReference w:id="2"/>
      </w:r>
      <w:r w:rsidRPr="00EC2F24">
        <w:rPr>
          <w:rFonts w:ascii="Verdana" w:eastAsia="Verdana" w:hAnsi="Verdana" w:cs="Verdana"/>
          <w:color w:val="000000"/>
          <w:sz w:val="20"/>
          <w:szCs w:val="20"/>
        </w:rPr>
        <w:t xml:space="preserve">, en representación del señor </w:t>
      </w:r>
      <w:r w:rsidRPr="00EC2F24">
        <w:rPr>
          <w:rFonts w:ascii="Verdana" w:hAnsi="Verdana"/>
          <w:sz w:val="20"/>
          <w:szCs w:val="20"/>
        </w:rPr>
        <w:t xml:space="preserve">Tirso Román Valenzuela Ávila. </w:t>
      </w:r>
    </w:p>
    <w:p w14:paraId="4B48634C" w14:textId="77777777" w:rsidR="001F0EE6" w:rsidRPr="00EC2F24" w:rsidRDefault="001F0EE6" w:rsidP="002A1142">
      <w:pPr>
        <w:pStyle w:val="Normal1"/>
        <w:ind w:left="720"/>
        <w:contextualSpacing/>
        <w:jc w:val="both"/>
        <w:rPr>
          <w:rFonts w:ascii="Verdana" w:eastAsia="Verdana" w:hAnsi="Verdana" w:cs="Verdana"/>
          <w:color w:val="000000"/>
          <w:sz w:val="20"/>
          <w:szCs w:val="20"/>
        </w:rPr>
      </w:pPr>
    </w:p>
    <w:p w14:paraId="33162A7C" w14:textId="5FF9CF0F" w:rsidR="000E6FC3" w:rsidRDefault="000E6FC3" w:rsidP="005406CA">
      <w:pPr>
        <w:pStyle w:val="Normal1"/>
        <w:numPr>
          <w:ilvl w:val="6"/>
          <w:numId w:val="1"/>
        </w:numPr>
        <w:ind w:left="720" w:firstLine="0"/>
        <w:contextualSpacing/>
        <w:jc w:val="both"/>
        <w:rPr>
          <w:rFonts w:ascii="Verdana" w:eastAsia="Verdana" w:hAnsi="Verdana" w:cs="Verdana"/>
          <w:color w:val="000000"/>
          <w:sz w:val="20"/>
          <w:szCs w:val="20"/>
        </w:rPr>
      </w:pPr>
      <w:r w:rsidRPr="00EC2F24">
        <w:rPr>
          <w:rFonts w:ascii="Verdana" w:eastAsia="Verdana" w:hAnsi="Verdana" w:cs="Verdana"/>
          <w:i/>
          <w:color w:val="000000"/>
          <w:sz w:val="20"/>
          <w:szCs w:val="20"/>
        </w:rPr>
        <w:t xml:space="preserve">Informe de Admisibilidad. - </w:t>
      </w:r>
      <w:r w:rsidRPr="00EC2F24">
        <w:rPr>
          <w:rFonts w:ascii="Verdana" w:eastAsia="Verdana" w:hAnsi="Verdana" w:cs="Verdana"/>
          <w:color w:val="000000"/>
          <w:sz w:val="20"/>
          <w:szCs w:val="20"/>
        </w:rPr>
        <w:t>El 26 de febrero de 2004 la Comisión emitió su Informe de Admisibilidad No. 24/04</w:t>
      </w:r>
      <w:r w:rsidRPr="00EC2F24">
        <w:rPr>
          <w:rStyle w:val="Refdenotaalpie"/>
          <w:rFonts w:ascii="Verdana" w:eastAsia="Verdana" w:hAnsi="Verdana" w:cs="Verdana"/>
          <w:color w:val="000000"/>
          <w:sz w:val="20"/>
          <w:szCs w:val="20"/>
        </w:rPr>
        <w:footnoteReference w:id="3"/>
      </w:r>
      <w:r w:rsidRPr="00EC2F24">
        <w:rPr>
          <w:rFonts w:ascii="Verdana" w:eastAsia="Verdana" w:hAnsi="Verdana" w:cs="Verdana"/>
          <w:color w:val="000000"/>
          <w:sz w:val="20"/>
          <w:szCs w:val="20"/>
        </w:rPr>
        <w:t>. Posteriormente, los peticionarios alegaron co</w:t>
      </w:r>
      <w:r w:rsidR="00134003">
        <w:rPr>
          <w:rFonts w:ascii="Verdana" w:eastAsia="Verdana" w:hAnsi="Verdana" w:cs="Verdana"/>
          <w:color w:val="000000"/>
          <w:sz w:val="20"/>
          <w:szCs w:val="20"/>
        </w:rPr>
        <w:t>mo</w:t>
      </w:r>
      <w:r w:rsidRPr="00EC2F24">
        <w:rPr>
          <w:rFonts w:ascii="Verdana" w:eastAsia="Verdana" w:hAnsi="Verdana" w:cs="Verdana"/>
          <w:color w:val="000000"/>
          <w:sz w:val="20"/>
          <w:szCs w:val="20"/>
        </w:rPr>
        <w:t xml:space="preserve"> hecho superviniente la violación del derecho a la vida de la presunta víctima derivado de su supuesta ejecución extrajudicial, ocurrida el 8 de diciembre de 2006</w:t>
      </w:r>
      <w:r w:rsidRPr="00EC2F24">
        <w:rPr>
          <w:rStyle w:val="Refdenotaalpie"/>
          <w:rFonts w:ascii="Verdana" w:eastAsia="Verdana" w:hAnsi="Verdana" w:cs="Verdana"/>
          <w:color w:val="000000"/>
          <w:sz w:val="20"/>
          <w:szCs w:val="20"/>
        </w:rPr>
        <w:footnoteReference w:id="4"/>
      </w:r>
      <w:r w:rsidRPr="00EC2F24">
        <w:rPr>
          <w:rFonts w:ascii="Verdana" w:eastAsia="Verdana" w:hAnsi="Verdana" w:cs="Verdana"/>
          <w:color w:val="000000"/>
          <w:sz w:val="20"/>
          <w:szCs w:val="20"/>
        </w:rPr>
        <w:t>. Dado lo anterior</w:t>
      </w:r>
      <w:r w:rsidR="00A82AB2">
        <w:rPr>
          <w:rFonts w:ascii="Verdana" w:eastAsia="Verdana" w:hAnsi="Verdana" w:cs="Verdana"/>
          <w:color w:val="000000"/>
          <w:sz w:val="20"/>
          <w:szCs w:val="20"/>
        </w:rPr>
        <w:t>,</w:t>
      </w:r>
      <w:r w:rsidRPr="00EC2F24">
        <w:rPr>
          <w:rFonts w:ascii="Verdana" w:eastAsia="Verdana" w:hAnsi="Verdana" w:cs="Verdana"/>
          <w:color w:val="000000"/>
          <w:sz w:val="20"/>
          <w:szCs w:val="20"/>
        </w:rPr>
        <w:t xml:space="preserve"> el 8 d</w:t>
      </w:r>
      <w:r w:rsidR="00BF2146">
        <w:rPr>
          <w:rFonts w:ascii="Verdana" w:eastAsia="Verdana" w:hAnsi="Verdana" w:cs="Verdana"/>
          <w:color w:val="000000"/>
          <w:sz w:val="20"/>
          <w:szCs w:val="20"/>
        </w:rPr>
        <w:t>e diciembre de 2016 la Comisión</w:t>
      </w:r>
      <w:r w:rsidRPr="00EC2F24">
        <w:rPr>
          <w:rFonts w:ascii="Verdana" w:eastAsia="Verdana" w:hAnsi="Verdana" w:cs="Verdana"/>
          <w:color w:val="000000"/>
          <w:sz w:val="20"/>
          <w:szCs w:val="20"/>
        </w:rPr>
        <w:t xml:space="preserve"> </w:t>
      </w:r>
      <w:r w:rsidR="001066EF">
        <w:rPr>
          <w:rFonts w:ascii="Verdana" w:eastAsia="Verdana" w:hAnsi="Verdana" w:cs="Verdana"/>
          <w:color w:val="000000"/>
          <w:sz w:val="20"/>
          <w:szCs w:val="20"/>
        </w:rPr>
        <w:t>concedió un</w:t>
      </w:r>
      <w:r w:rsidRPr="00EC2F24">
        <w:rPr>
          <w:rFonts w:ascii="Verdana" w:eastAsia="Verdana" w:hAnsi="Verdana" w:cs="Verdana"/>
          <w:color w:val="000000"/>
          <w:sz w:val="20"/>
          <w:szCs w:val="20"/>
        </w:rPr>
        <w:t xml:space="preserve"> plazo adicional</w:t>
      </w:r>
      <w:r w:rsidR="00786DAE">
        <w:rPr>
          <w:rFonts w:ascii="Verdana" w:eastAsia="Verdana" w:hAnsi="Verdana" w:cs="Verdana"/>
          <w:color w:val="000000"/>
          <w:sz w:val="20"/>
          <w:szCs w:val="20"/>
        </w:rPr>
        <w:t xml:space="preserve"> de </w:t>
      </w:r>
      <w:r w:rsidR="00F54F76">
        <w:rPr>
          <w:rFonts w:ascii="Verdana" w:eastAsia="Verdana" w:hAnsi="Verdana" w:cs="Verdana"/>
          <w:color w:val="000000"/>
          <w:sz w:val="20"/>
          <w:szCs w:val="20"/>
        </w:rPr>
        <w:t>cuatro</w:t>
      </w:r>
      <w:r w:rsidR="00786DAE">
        <w:rPr>
          <w:rFonts w:ascii="Verdana" w:eastAsia="Verdana" w:hAnsi="Verdana" w:cs="Verdana"/>
          <w:color w:val="000000"/>
          <w:sz w:val="20"/>
          <w:szCs w:val="20"/>
        </w:rPr>
        <w:t xml:space="preserve"> meses</w:t>
      </w:r>
      <w:r w:rsidRPr="00EC2F24">
        <w:rPr>
          <w:rFonts w:ascii="Verdana" w:eastAsia="Verdana" w:hAnsi="Verdana" w:cs="Verdana"/>
          <w:color w:val="000000"/>
          <w:sz w:val="20"/>
          <w:szCs w:val="20"/>
        </w:rPr>
        <w:t xml:space="preserve"> al Estado para que presentara sus observaciones sobre la admisibilidad y fondo del reclamo. El 10 de abril de 2017 el Estado presentó sus observaciones adicionales. </w:t>
      </w:r>
    </w:p>
    <w:p w14:paraId="7468AE1C" w14:textId="77777777" w:rsidR="001F0EE6" w:rsidRPr="00EC2F24" w:rsidRDefault="001F0EE6" w:rsidP="002A1142">
      <w:pPr>
        <w:pStyle w:val="Normal1"/>
        <w:contextualSpacing/>
        <w:jc w:val="both"/>
        <w:rPr>
          <w:rFonts w:ascii="Verdana" w:eastAsia="Verdana" w:hAnsi="Verdana" w:cs="Verdana"/>
          <w:color w:val="000000"/>
          <w:sz w:val="20"/>
          <w:szCs w:val="20"/>
        </w:rPr>
      </w:pPr>
    </w:p>
    <w:p w14:paraId="6EEC6AEB" w14:textId="77777777" w:rsidR="000E6FC3" w:rsidRPr="002A1142" w:rsidRDefault="000E6FC3" w:rsidP="005406CA">
      <w:pPr>
        <w:pStyle w:val="Normal1"/>
        <w:numPr>
          <w:ilvl w:val="6"/>
          <w:numId w:val="1"/>
        </w:numPr>
        <w:ind w:left="720" w:firstLine="0"/>
        <w:contextualSpacing/>
        <w:jc w:val="both"/>
        <w:rPr>
          <w:rFonts w:ascii="Verdana" w:eastAsia="Verdana" w:hAnsi="Verdana" w:cs="Verdana"/>
          <w:color w:val="000000"/>
          <w:sz w:val="20"/>
          <w:szCs w:val="20"/>
        </w:rPr>
      </w:pPr>
      <w:r w:rsidRPr="00EC2F24">
        <w:rPr>
          <w:rFonts w:ascii="Verdana" w:eastAsia="Verdana" w:hAnsi="Verdana" w:cs="Verdana"/>
          <w:i/>
          <w:color w:val="000000"/>
          <w:sz w:val="20"/>
          <w:szCs w:val="20"/>
        </w:rPr>
        <w:t>Informe de Admisibilidad y Fondo.</w:t>
      </w:r>
      <w:r w:rsidRPr="00EC2F24">
        <w:rPr>
          <w:rFonts w:ascii="Verdana" w:eastAsia="Verdana" w:hAnsi="Verdana" w:cs="Verdana"/>
          <w:color w:val="000000"/>
          <w:sz w:val="20"/>
          <w:szCs w:val="20"/>
        </w:rPr>
        <w:t xml:space="preserve"> - El 25 de octubre de 2017 la Comisión emitió el Informe de Fondo No. 132/17 (en adelante “Informe de Admisibilidad y Fondo” o “el Informe”), </w:t>
      </w:r>
      <w:r w:rsidRPr="00EC2F24">
        <w:rPr>
          <w:rFonts w:ascii="Verdana" w:hAnsi="Verdana"/>
          <w:sz w:val="20"/>
          <w:szCs w:val="20"/>
        </w:rPr>
        <w:t>de conformidad con el artículo 50 de la Convención Americana, en el cual llegó a una serie de conclusiones</w:t>
      </w:r>
      <w:r w:rsidRPr="00EC2F24">
        <w:rPr>
          <w:rStyle w:val="Refdenotaalpie"/>
          <w:rFonts w:ascii="Verdana" w:hAnsi="Verdana"/>
          <w:sz w:val="20"/>
          <w:szCs w:val="20"/>
        </w:rPr>
        <w:footnoteReference w:id="5"/>
      </w:r>
      <w:r w:rsidRPr="00EC2F24">
        <w:rPr>
          <w:rFonts w:ascii="Verdana" w:hAnsi="Verdana"/>
          <w:sz w:val="20"/>
          <w:szCs w:val="20"/>
        </w:rPr>
        <w:t xml:space="preserve"> y formuló varias recomendaciones al Estado.</w:t>
      </w:r>
    </w:p>
    <w:p w14:paraId="7ECEB839" w14:textId="77777777" w:rsidR="001F0EE6" w:rsidRPr="00EC2F24" w:rsidRDefault="001F0EE6" w:rsidP="002A1142">
      <w:pPr>
        <w:pStyle w:val="Normal1"/>
        <w:contextualSpacing/>
        <w:jc w:val="both"/>
        <w:rPr>
          <w:rFonts w:ascii="Verdana" w:eastAsia="Verdana" w:hAnsi="Verdana" w:cs="Verdana"/>
          <w:color w:val="000000"/>
          <w:sz w:val="20"/>
          <w:szCs w:val="20"/>
        </w:rPr>
      </w:pPr>
    </w:p>
    <w:p w14:paraId="5B7E507A" w14:textId="77777777" w:rsidR="000E6FC3" w:rsidRPr="00EC2F24" w:rsidRDefault="000E6FC3" w:rsidP="005406CA">
      <w:pPr>
        <w:pStyle w:val="Normal1"/>
        <w:numPr>
          <w:ilvl w:val="6"/>
          <w:numId w:val="1"/>
        </w:numPr>
        <w:ind w:left="720" w:firstLine="0"/>
        <w:jc w:val="both"/>
        <w:rPr>
          <w:rFonts w:ascii="Verdana" w:eastAsia="Verdana" w:hAnsi="Verdana" w:cs="Verdana"/>
          <w:color w:val="000000"/>
          <w:sz w:val="20"/>
          <w:szCs w:val="20"/>
        </w:rPr>
      </w:pPr>
      <w:r w:rsidRPr="00EC2F24">
        <w:rPr>
          <w:rFonts w:ascii="Verdana" w:eastAsia="Verdana" w:hAnsi="Verdana" w:cs="Verdana"/>
          <w:i/>
          <w:color w:val="000000"/>
          <w:sz w:val="20"/>
          <w:szCs w:val="20"/>
        </w:rPr>
        <w:t>Notificación al Estado. -</w:t>
      </w:r>
      <w:r w:rsidRPr="00EC2F24">
        <w:rPr>
          <w:rFonts w:ascii="Verdana" w:eastAsia="Verdana" w:hAnsi="Verdana" w:cs="Verdana"/>
          <w:color w:val="000000"/>
          <w:sz w:val="20"/>
          <w:szCs w:val="20"/>
        </w:rPr>
        <w:t xml:space="preserve"> La Comisión notificó al Estado el Informe mediante comunicación de 19 de abril de 2018, otorgándole un plazo de dos meses para informar sobre el cumplimiento de las recomendaciones. El Estado presentó un escrito en el cual rechazó las conclusiones y recomendaciones del Informe de Fondo No. 132/17.  </w:t>
      </w:r>
    </w:p>
    <w:p w14:paraId="17E23635" w14:textId="77777777" w:rsidR="000E6FC3" w:rsidRPr="00EC2F24" w:rsidRDefault="000E6FC3" w:rsidP="00EC2F24">
      <w:pPr>
        <w:pStyle w:val="Normal1"/>
        <w:ind w:left="720"/>
        <w:contextualSpacing/>
        <w:jc w:val="both"/>
        <w:rPr>
          <w:rFonts w:ascii="Verdana" w:eastAsia="Verdana" w:hAnsi="Verdana" w:cs="Verdana"/>
          <w:color w:val="000000"/>
          <w:sz w:val="20"/>
          <w:szCs w:val="20"/>
        </w:rPr>
      </w:pPr>
      <w:r w:rsidRPr="00EC2F24">
        <w:rPr>
          <w:rFonts w:ascii="Verdana" w:hAnsi="Verdana"/>
          <w:sz w:val="20"/>
          <w:szCs w:val="20"/>
        </w:rPr>
        <w:t xml:space="preserve"> </w:t>
      </w:r>
    </w:p>
    <w:p w14:paraId="5C465995" w14:textId="77777777" w:rsidR="00EC2F24" w:rsidRPr="00EC2F24" w:rsidRDefault="000E6FC3" w:rsidP="005406CA">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EC2F24">
        <w:rPr>
          <w:rFonts w:ascii="Verdana" w:eastAsia="Verdana" w:hAnsi="Verdana" w:cs="Verdana"/>
          <w:i/>
          <w:color w:val="000000"/>
          <w:sz w:val="20"/>
          <w:szCs w:val="20"/>
          <w:lang w:val="es-CR"/>
        </w:rPr>
        <w:t xml:space="preserve">Sometimiento del caso ante la Corte. – </w:t>
      </w:r>
      <w:r w:rsidRPr="00EC2F24">
        <w:rPr>
          <w:rFonts w:ascii="Verdana" w:eastAsia="Verdana" w:hAnsi="Verdana" w:cs="Verdana"/>
          <w:color w:val="000000"/>
          <w:sz w:val="20"/>
          <w:szCs w:val="20"/>
          <w:lang w:val="es-CR"/>
        </w:rPr>
        <w:t xml:space="preserve">El </w:t>
      </w:r>
      <w:r w:rsidRPr="00EC2F24">
        <w:rPr>
          <w:rFonts w:ascii="Verdana" w:hAnsi="Verdana"/>
          <w:sz w:val="20"/>
          <w:szCs w:val="20"/>
          <w:lang w:val="es-CR"/>
        </w:rPr>
        <w:t>19 de abril de 2018 l</w:t>
      </w:r>
      <w:r w:rsidRPr="00EC2F24">
        <w:rPr>
          <w:rFonts w:ascii="Verdana" w:eastAsia="Verdana" w:hAnsi="Verdana" w:cs="Verdana"/>
          <w:color w:val="000000"/>
          <w:sz w:val="20"/>
          <w:szCs w:val="20"/>
          <w:lang w:val="es-CR"/>
        </w:rPr>
        <w:t>a Comisión sometió a la Corte la totalidad de los hechos y alegadas violaciones de derechos humanos descritos en el Informe de Admisibilidad y Fondo</w:t>
      </w:r>
      <w:r w:rsidRPr="00EC2F24">
        <w:rPr>
          <w:rStyle w:val="Refdenotaalpie"/>
          <w:rFonts w:ascii="Verdana" w:eastAsia="Verdana" w:hAnsi="Verdana" w:cs="Verdana"/>
          <w:color w:val="000000"/>
          <w:sz w:val="20"/>
          <w:szCs w:val="20"/>
          <w:lang w:val="es-CR"/>
        </w:rPr>
        <w:footnoteReference w:id="6"/>
      </w:r>
      <w:r w:rsidRPr="00EC2F24">
        <w:rPr>
          <w:rFonts w:ascii="Verdana" w:eastAsia="Verdana" w:hAnsi="Verdana" w:cs="Verdana"/>
          <w:color w:val="000000"/>
          <w:sz w:val="20"/>
          <w:szCs w:val="20"/>
          <w:lang w:val="es-CR"/>
        </w:rPr>
        <w:t xml:space="preserve">. </w:t>
      </w:r>
    </w:p>
    <w:p w14:paraId="11E78A2A" w14:textId="77777777" w:rsidR="00EC2F24" w:rsidRPr="00EC2F24" w:rsidRDefault="00EC2F24" w:rsidP="00EC2F24">
      <w:pPr>
        <w:pStyle w:val="Prrafodelista"/>
        <w:autoSpaceDE w:val="0"/>
        <w:autoSpaceDN w:val="0"/>
        <w:adjustRightInd w:val="0"/>
        <w:spacing w:after="0" w:line="240" w:lineRule="auto"/>
        <w:ind w:left="0"/>
        <w:jc w:val="both"/>
        <w:rPr>
          <w:rFonts w:ascii="Verdana" w:hAnsi="Verdana"/>
          <w:sz w:val="20"/>
          <w:szCs w:val="20"/>
          <w:lang w:val="es-CR"/>
        </w:rPr>
      </w:pPr>
    </w:p>
    <w:p w14:paraId="7AAC2959" w14:textId="0A461176" w:rsidR="000E6FC3" w:rsidRPr="00335861" w:rsidRDefault="000E6FC3" w:rsidP="005406CA">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EC2F24">
        <w:rPr>
          <w:rFonts w:ascii="Verdana" w:eastAsia="Verdana" w:hAnsi="Verdana" w:cs="Verdana"/>
          <w:i/>
          <w:color w:val="000000"/>
          <w:sz w:val="20"/>
          <w:szCs w:val="20"/>
          <w:lang w:val="es-CR"/>
        </w:rPr>
        <w:t xml:space="preserve">Solicitud de la Comisión Interamericana. – </w:t>
      </w:r>
      <w:r w:rsidRPr="00EC2F24">
        <w:rPr>
          <w:rFonts w:ascii="Verdana" w:eastAsia="Verdana" w:hAnsi="Verdana" w:cs="Verdana"/>
          <w:color w:val="000000"/>
          <w:sz w:val="20"/>
          <w:szCs w:val="20"/>
          <w:lang w:val="es-CR"/>
        </w:rPr>
        <w:t>Con base en lo anterior, la Comisión solicitó a la Corte que concluya y declare la responsabilidad internacional de Guatemala por la alegada violación de los derechos anteriormente indicados en las conclusiones del Informe de Admisibilidad y Fondo. Adicionalmente, la Comisión solicitó a la Corte que ordene al Estado det</w:t>
      </w:r>
      <w:r w:rsidR="00E9047E">
        <w:rPr>
          <w:rFonts w:ascii="Verdana" w:eastAsia="Verdana" w:hAnsi="Verdana" w:cs="Verdana"/>
          <w:color w:val="000000"/>
          <w:sz w:val="20"/>
          <w:szCs w:val="20"/>
          <w:lang w:val="es-CR"/>
        </w:rPr>
        <w:t xml:space="preserve">erminadas medidas de reparación </w:t>
      </w:r>
      <w:r w:rsidRPr="00EC2F24">
        <w:rPr>
          <w:rFonts w:ascii="Verdana" w:eastAsia="Verdana" w:hAnsi="Verdana" w:cs="Verdana"/>
          <w:color w:val="000000"/>
          <w:sz w:val="20"/>
          <w:szCs w:val="20"/>
          <w:lang w:val="es-CR"/>
        </w:rPr>
        <w:t>que se detallarán y analizarán en el capítulo correspondiente.</w:t>
      </w:r>
    </w:p>
    <w:p w14:paraId="39BB2F19" w14:textId="77777777" w:rsidR="00335861" w:rsidRPr="00EC2F24" w:rsidRDefault="00335861" w:rsidP="00EC2F24">
      <w:pPr>
        <w:pStyle w:val="Prrafodelista"/>
        <w:autoSpaceDE w:val="0"/>
        <w:autoSpaceDN w:val="0"/>
        <w:adjustRightInd w:val="0"/>
        <w:spacing w:after="0" w:line="240" w:lineRule="auto"/>
        <w:ind w:left="0"/>
        <w:jc w:val="both"/>
        <w:rPr>
          <w:rFonts w:ascii="Verdana" w:hAnsi="Verdana"/>
          <w:sz w:val="20"/>
          <w:szCs w:val="20"/>
          <w:lang w:val="es-CR"/>
        </w:rPr>
      </w:pPr>
    </w:p>
    <w:p w14:paraId="5D0A9DFC" w14:textId="77777777" w:rsidR="000B5EF6" w:rsidRPr="005E2A26" w:rsidRDefault="000E6FC3" w:rsidP="00872F17">
      <w:pPr>
        <w:pStyle w:val="Ttulo1"/>
        <w:spacing w:before="0"/>
      </w:pPr>
      <w:bookmarkStart w:id="1" w:name="_Toc25247717"/>
      <w:r w:rsidRPr="00BC145C">
        <w:t>II</w:t>
      </w:r>
      <w:r w:rsidR="00872F17">
        <w:br/>
      </w:r>
      <w:r w:rsidR="00BC145C" w:rsidRPr="00BC145C">
        <w:t xml:space="preserve"> </w:t>
      </w:r>
      <w:r w:rsidRPr="00BC145C">
        <w:t>PROCEDIMIENTO ANTE LA CORTE</w:t>
      </w:r>
      <w:bookmarkEnd w:id="1"/>
    </w:p>
    <w:p w14:paraId="7B5BA675" w14:textId="77777777" w:rsidR="000B5EF6" w:rsidRPr="00EC2F24" w:rsidRDefault="000B5EF6" w:rsidP="005E2A26">
      <w:pPr>
        <w:spacing w:after="0" w:line="240" w:lineRule="auto"/>
        <w:jc w:val="both"/>
        <w:rPr>
          <w:rFonts w:ascii="Verdana" w:hAnsi="Verdana"/>
          <w:b/>
          <w:sz w:val="20"/>
          <w:szCs w:val="20"/>
          <w:lang w:val="es-CR"/>
        </w:rPr>
      </w:pPr>
    </w:p>
    <w:p w14:paraId="060DD583" w14:textId="77777777" w:rsidR="00335861" w:rsidRPr="00335861" w:rsidRDefault="000E6FC3" w:rsidP="005406CA">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EC2F24">
        <w:rPr>
          <w:rFonts w:ascii="Verdana" w:hAnsi="Verdana"/>
          <w:i/>
          <w:sz w:val="20"/>
          <w:szCs w:val="20"/>
          <w:lang w:val="es-CR"/>
        </w:rPr>
        <w:t>Notificación del caso al Estado y a los representantes</w:t>
      </w:r>
      <w:r w:rsidRPr="00EC2F24">
        <w:rPr>
          <w:rFonts w:ascii="Verdana" w:eastAsia="Verdana" w:hAnsi="Verdana" w:cs="Verdana"/>
          <w:i/>
          <w:color w:val="000000"/>
          <w:sz w:val="20"/>
          <w:szCs w:val="20"/>
          <w:lang w:val="es-CR"/>
        </w:rPr>
        <w:t xml:space="preserve">. – </w:t>
      </w:r>
      <w:r w:rsidRPr="00EC2F24">
        <w:rPr>
          <w:rFonts w:ascii="Verdana" w:eastAsia="Verdana" w:hAnsi="Verdana" w:cs="Verdana"/>
          <w:color w:val="000000"/>
          <w:sz w:val="20"/>
          <w:szCs w:val="20"/>
          <w:lang w:val="es-CR"/>
        </w:rPr>
        <w:t>El sometimiento del caso fue notificado a los representantes de las presuntas víctimas el 26 de junio de 2018 y al Estado el 7 de junio de 2018.</w:t>
      </w:r>
    </w:p>
    <w:p w14:paraId="5BC4B192" w14:textId="77777777" w:rsidR="000E6FC3" w:rsidRPr="00EC2F24" w:rsidRDefault="000E6FC3" w:rsidP="00EC2F24">
      <w:pPr>
        <w:pStyle w:val="Prrafodelista"/>
        <w:autoSpaceDE w:val="0"/>
        <w:autoSpaceDN w:val="0"/>
        <w:adjustRightInd w:val="0"/>
        <w:spacing w:after="0" w:line="240" w:lineRule="auto"/>
        <w:ind w:left="0"/>
        <w:jc w:val="both"/>
        <w:rPr>
          <w:rFonts w:ascii="Verdana" w:hAnsi="Verdana"/>
          <w:sz w:val="20"/>
          <w:szCs w:val="20"/>
          <w:highlight w:val="yellow"/>
          <w:lang w:val="es-CR"/>
        </w:rPr>
      </w:pPr>
    </w:p>
    <w:p w14:paraId="23DD039C" w14:textId="77777777" w:rsidR="000E6FC3" w:rsidRPr="00BD2F36" w:rsidRDefault="000E6FC3" w:rsidP="00DF5CC8">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EC2F24">
        <w:rPr>
          <w:rFonts w:ascii="Verdana" w:eastAsia="Verdana" w:hAnsi="Verdana" w:cs="Verdana"/>
          <w:i/>
          <w:color w:val="000000"/>
          <w:sz w:val="20"/>
          <w:szCs w:val="20"/>
          <w:lang w:val="es-CR"/>
        </w:rPr>
        <w:t xml:space="preserve">Escrito de solicitudes, argumentos y pruebas. – </w:t>
      </w:r>
      <w:r w:rsidRPr="00EC2F24">
        <w:rPr>
          <w:rFonts w:ascii="Verdana" w:eastAsia="Verdana" w:hAnsi="Verdana" w:cs="Verdana"/>
          <w:color w:val="000000"/>
          <w:sz w:val="20"/>
          <w:szCs w:val="20"/>
          <w:lang w:val="es-CR"/>
        </w:rPr>
        <w:t>El 27 de agosto de 2018 el Instituto de Estudios Comparados en Ciencias Penales y el Instituto de la Defensa Pública Penal (en adelante también “IDPP”) presentaron su escrito de solicitudes, argumentos y pruebas (en adelante también “escrito de solicitudes” o “ESAP”), conforme a los artículos 25 y 40 del Reglamento. Los representantes coincidieron sustancialmente con los alegatos de la Comisión y solicitaron adicionalmente a la Corte que declarara la responsabilidad internacional del Estado por la violación de los derechos co</w:t>
      </w:r>
      <w:r w:rsidR="00CD1855" w:rsidRPr="00EC2F24">
        <w:rPr>
          <w:rFonts w:ascii="Verdana" w:eastAsia="Verdana" w:hAnsi="Verdana" w:cs="Verdana"/>
          <w:color w:val="000000"/>
          <w:sz w:val="20"/>
          <w:szCs w:val="20"/>
          <w:lang w:val="es-CR"/>
        </w:rPr>
        <w:t xml:space="preserve">nsagrados en los artículos 7.1 a </w:t>
      </w:r>
      <w:r w:rsidR="009D2931">
        <w:rPr>
          <w:rFonts w:ascii="Verdana" w:eastAsia="Verdana" w:hAnsi="Verdana" w:cs="Verdana"/>
          <w:color w:val="000000"/>
          <w:sz w:val="20"/>
          <w:szCs w:val="20"/>
          <w:lang w:val="es-CR"/>
        </w:rPr>
        <w:t>7.6</w:t>
      </w:r>
      <w:r w:rsidR="00CD1855" w:rsidRPr="00EC2F24">
        <w:rPr>
          <w:rFonts w:ascii="Verdana" w:eastAsia="Verdana" w:hAnsi="Verdana" w:cs="Verdana"/>
          <w:color w:val="000000"/>
          <w:sz w:val="20"/>
          <w:szCs w:val="20"/>
          <w:lang w:val="es-CR"/>
        </w:rPr>
        <w:t xml:space="preserve">, </w:t>
      </w:r>
      <w:r w:rsidRPr="00EC2F24">
        <w:rPr>
          <w:rFonts w:ascii="Verdana" w:eastAsia="Verdana" w:hAnsi="Verdana" w:cs="Verdana"/>
          <w:color w:val="000000"/>
          <w:sz w:val="20"/>
          <w:szCs w:val="20"/>
          <w:lang w:val="es-CR"/>
        </w:rPr>
        <w:t>8.2.c), 8.2.d), 8.2.e), 17,</w:t>
      </w:r>
      <w:r w:rsidR="00BD2F36">
        <w:rPr>
          <w:rFonts w:ascii="Verdana" w:hAnsi="Verdana"/>
          <w:sz w:val="20"/>
          <w:szCs w:val="20"/>
          <w:lang w:val="es-CR"/>
        </w:rPr>
        <w:t xml:space="preserve"> </w:t>
      </w:r>
      <w:r w:rsidRPr="00BD2F36">
        <w:rPr>
          <w:rFonts w:ascii="Verdana" w:eastAsia="Verdana" w:hAnsi="Verdana" w:cs="Verdana"/>
          <w:color w:val="000000"/>
          <w:sz w:val="20"/>
          <w:szCs w:val="20"/>
          <w:lang w:val="es-CR"/>
        </w:rPr>
        <w:t>19,</w:t>
      </w:r>
      <w:r w:rsidR="00BD2F36">
        <w:rPr>
          <w:rFonts w:ascii="Verdana" w:eastAsia="Verdana" w:hAnsi="Verdana" w:cs="Verdana"/>
          <w:color w:val="000000"/>
          <w:sz w:val="20"/>
          <w:szCs w:val="20"/>
          <w:lang w:val="es-CR"/>
        </w:rPr>
        <w:t xml:space="preserve"> y</w:t>
      </w:r>
      <w:r w:rsidRPr="00BD2F36">
        <w:rPr>
          <w:rFonts w:ascii="Verdana" w:eastAsia="Verdana" w:hAnsi="Verdana" w:cs="Verdana"/>
          <w:color w:val="000000"/>
          <w:sz w:val="20"/>
          <w:szCs w:val="20"/>
          <w:lang w:val="es-CR"/>
        </w:rPr>
        <w:t xml:space="preserve"> 25.2 de la Convención Americana y el artículo 7 de la Convención Interamericana para la Prevención y Sanción de la Tortura (en adelante </w:t>
      </w:r>
      <w:r w:rsidR="006C4808" w:rsidRPr="00BD2F36">
        <w:rPr>
          <w:rFonts w:ascii="Verdana" w:eastAsia="Verdana" w:hAnsi="Verdana" w:cs="Verdana"/>
          <w:color w:val="000000"/>
          <w:sz w:val="20"/>
          <w:szCs w:val="20"/>
          <w:lang w:val="es-CR"/>
        </w:rPr>
        <w:t xml:space="preserve">también </w:t>
      </w:r>
      <w:r w:rsidRPr="00BD2F36">
        <w:rPr>
          <w:rFonts w:ascii="Verdana" w:eastAsia="Verdana" w:hAnsi="Verdana" w:cs="Verdana"/>
          <w:color w:val="000000"/>
          <w:sz w:val="20"/>
          <w:szCs w:val="20"/>
          <w:lang w:val="es-CR"/>
        </w:rPr>
        <w:t xml:space="preserve">“CIPST”). Finalmente los representantes solicitaron diversas medidas de reparación y el reintegro de costas y gastos. Además, solicitaron acogerse al Fondo de Asistencia Legal de Víctimas. </w:t>
      </w:r>
    </w:p>
    <w:p w14:paraId="70E03BC7" w14:textId="77777777" w:rsidR="000E6FC3" w:rsidRPr="00EC2F24" w:rsidRDefault="000E6FC3" w:rsidP="00EC2F24">
      <w:pPr>
        <w:pStyle w:val="Prrafodelista"/>
        <w:autoSpaceDE w:val="0"/>
        <w:autoSpaceDN w:val="0"/>
        <w:adjustRightInd w:val="0"/>
        <w:spacing w:after="0" w:line="240" w:lineRule="auto"/>
        <w:ind w:left="0"/>
        <w:jc w:val="both"/>
        <w:rPr>
          <w:rFonts w:ascii="Verdana" w:hAnsi="Verdana"/>
          <w:sz w:val="20"/>
          <w:szCs w:val="20"/>
          <w:highlight w:val="yellow"/>
          <w:lang w:val="es-CR"/>
        </w:rPr>
      </w:pPr>
    </w:p>
    <w:p w14:paraId="656245C4" w14:textId="1D9DF6F8" w:rsidR="000E6FC3" w:rsidRPr="00BD2F36" w:rsidRDefault="000E6FC3" w:rsidP="005A2F43">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EC2F24">
        <w:rPr>
          <w:rFonts w:ascii="Verdana" w:eastAsia="Verdana" w:hAnsi="Verdana" w:cs="Verdana"/>
          <w:i/>
          <w:color w:val="000000"/>
          <w:sz w:val="20"/>
          <w:szCs w:val="20"/>
          <w:lang w:val="es-CR"/>
        </w:rPr>
        <w:t xml:space="preserve">Escrito de contestación. – </w:t>
      </w:r>
      <w:r w:rsidRPr="00EC2F24">
        <w:rPr>
          <w:rFonts w:ascii="Verdana" w:eastAsia="Verdana" w:hAnsi="Verdana" w:cs="Verdana"/>
          <w:color w:val="000000"/>
          <w:sz w:val="20"/>
          <w:szCs w:val="20"/>
          <w:lang w:val="es-CR"/>
        </w:rPr>
        <w:t>El 17 de diciembre de 2018 el Estado presentó ante la Corte su escrito de contestación al sometimiento del caso por parte de la Comisión y de observaciones al escrito de solicitudes y argumentos</w:t>
      </w:r>
      <w:r w:rsidR="004F6269" w:rsidRPr="00EC2F24">
        <w:rPr>
          <w:rStyle w:val="Refdenotaalpie"/>
          <w:rFonts w:ascii="Verdana" w:eastAsia="Verdana" w:hAnsi="Verdana" w:cs="Verdana"/>
          <w:color w:val="000000"/>
          <w:sz w:val="20"/>
          <w:szCs w:val="20"/>
        </w:rPr>
        <w:footnoteReference w:id="7"/>
      </w:r>
      <w:r w:rsidR="004F6269">
        <w:rPr>
          <w:rFonts w:ascii="Verdana" w:eastAsia="Verdana" w:hAnsi="Verdana" w:cs="Verdana"/>
          <w:color w:val="000000"/>
          <w:sz w:val="20"/>
          <w:szCs w:val="20"/>
        </w:rPr>
        <w:t xml:space="preserve"> </w:t>
      </w:r>
      <w:r w:rsidRPr="00BD2F36">
        <w:rPr>
          <w:rFonts w:ascii="Verdana" w:eastAsia="Verdana" w:hAnsi="Verdana" w:cs="Verdana"/>
          <w:color w:val="000000"/>
          <w:sz w:val="20"/>
          <w:szCs w:val="20"/>
          <w:lang w:val="es-CR"/>
        </w:rPr>
        <w:t>(en adelante “escrito de contestación”)</w:t>
      </w:r>
      <w:r w:rsidR="00EB3133" w:rsidRPr="00BD2F36">
        <w:rPr>
          <w:rFonts w:ascii="Verdana" w:eastAsia="Verdana" w:hAnsi="Verdana" w:cs="Verdana"/>
          <w:color w:val="000000"/>
          <w:sz w:val="20"/>
          <w:szCs w:val="20"/>
        </w:rPr>
        <w:t xml:space="preserve"> y realizó </w:t>
      </w:r>
      <w:r w:rsidRPr="00BD2F36">
        <w:rPr>
          <w:rFonts w:ascii="Verdana" w:eastAsia="Verdana" w:hAnsi="Verdana" w:cs="Verdana"/>
          <w:color w:val="000000"/>
          <w:sz w:val="20"/>
          <w:szCs w:val="20"/>
          <w:lang w:val="es-CR"/>
        </w:rPr>
        <w:t xml:space="preserve">un reconocimiento parcial de su responsabilidad internacional “por la falta de investigación de los presuntos actos de tortura sufridos por el señor Tirso Román Valenzuela </w:t>
      </w:r>
      <w:r w:rsidRPr="00BD2F36">
        <w:rPr>
          <w:rFonts w:ascii="Verdana" w:eastAsia="Verdana" w:hAnsi="Verdana" w:cs="Verdana"/>
          <w:color w:val="000000"/>
          <w:sz w:val="20"/>
          <w:szCs w:val="20"/>
          <w:lang w:val="es-CR"/>
        </w:rPr>
        <w:lastRenderedPageBreak/>
        <w:t xml:space="preserve">Ávila en el marco de sus capturas y privación de libertad”. </w:t>
      </w:r>
      <w:r w:rsidR="000673D3">
        <w:rPr>
          <w:rFonts w:ascii="Verdana" w:eastAsia="Verdana" w:hAnsi="Verdana" w:cs="Verdana"/>
          <w:color w:val="000000"/>
          <w:sz w:val="20"/>
          <w:szCs w:val="20"/>
          <w:lang w:val="es-CR"/>
        </w:rPr>
        <w:t>Además, el Estado se opuso a las demás violaciones alegadas y presentó tres excepciones preliminares.</w:t>
      </w:r>
    </w:p>
    <w:p w14:paraId="061B4F71" w14:textId="77777777" w:rsidR="000E6FC3" w:rsidRPr="00EC2F24" w:rsidRDefault="000E6FC3" w:rsidP="00EC2F24">
      <w:pPr>
        <w:pStyle w:val="Prrafodelista"/>
        <w:autoSpaceDE w:val="0"/>
        <w:autoSpaceDN w:val="0"/>
        <w:adjustRightInd w:val="0"/>
        <w:spacing w:after="0" w:line="240" w:lineRule="auto"/>
        <w:ind w:left="0"/>
        <w:jc w:val="both"/>
        <w:rPr>
          <w:rFonts w:ascii="Verdana" w:hAnsi="Verdana"/>
          <w:sz w:val="20"/>
          <w:szCs w:val="20"/>
          <w:highlight w:val="yellow"/>
          <w:lang w:val="es-CR"/>
        </w:rPr>
      </w:pPr>
    </w:p>
    <w:p w14:paraId="60C3505B" w14:textId="41DFB5D3" w:rsidR="000E6FC3" w:rsidRPr="00EC2F24" w:rsidRDefault="000E6FC3" w:rsidP="005406CA">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EC2F24">
        <w:rPr>
          <w:rFonts w:ascii="Verdana" w:hAnsi="Verdana"/>
          <w:i/>
          <w:sz w:val="20"/>
          <w:szCs w:val="20"/>
          <w:lang w:val="es-CR"/>
        </w:rPr>
        <w:t>Fondo de Asistencia Legal de Víctimas. -</w:t>
      </w:r>
      <w:r w:rsidRPr="00EC2F24">
        <w:rPr>
          <w:rFonts w:ascii="Verdana" w:hAnsi="Verdana"/>
          <w:sz w:val="20"/>
          <w:szCs w:val="20"/>
          <w:lang w:val="es-CR"/>
        </w:rPr>
        <w:t xml:space="preserve"> El 11 de enero de </w:t>
      </w:r>
      <w:r w:rsidRPr="00BF2146">
        <w:rPr>
          <w:rFonts w:ascii="Verdana" w:hAnsi="Verdana"/>
          <w:sz w:val="20"/>
          <w:szCs w:val="20"/>
          <w:lang w:val="es-CR"/>
        </w:rPr>
        <w:t>2019</w:t>
      </w:r>
      <w:r w:rsidR="000673D3" w:rsidRPr="00BF2146">
        <w:rPr>
          <w:rFonts w:ascii="Verdana" w:hAnsi="Verdana"/>
          <w:sz w:val="20"/>
          <w:szCs w:val="20"/>
          <w:lang w:val="es-CR"/>
        </w:rPr>
        <w:t xml:space="preserve"> la Secretaría de la Corte, siguiendo instrucciones del Presidente,</w:t>
      </w:r>
      <w:r w:rsidRPr="00BF2146">
        <w:rPr>
          <w:rFonts w:ascii="Verdana" w:hAnsi="Verdana"/>
          <w:sz w:val="20"/>
          <w:szCs w:val="20"/>
          <w:lang w:val="es-CR"/>
        </w:rPr>
        <w:t xml:space="preserve"> informó</w:t>
      </w:r>
      <w:r w:rsidRPr="00EC2F24">
        <w:rPr>
          <w:rFonts w:ascii="Verdana" w:hAnsi="Verdana"/>
          <w:sz w:val="20"/>
          <w:szCs w:val="20"/>
          <w:lang w:val="es-CR"/>
        </w:rPr>
        <w:t xml:space="preserve"> que se aplicará el Fondo de Asistencia Legal de Víctimas de la Corte para solventar los gastos de tres declarantes,</w:t>
      </w:r>
      <w:r w:rsidR="00E339A6">
        <w:rPr>
          <w:rFonts w:ascii="Verdana" w:hAnsi="Verdana"/>
          <w:sz w:val="20"/>
          <w:szCs w:val="20"/>
          <w:lang w:val="es-CR"/>
        </w:rPr>
        <w:t xml:space="preserve"> ya sea en audiencia o por afidá</w:t>
      </w:r>
      <w:r w:rsidRPr="00EC2F24">
        <w:rPr>
          <w:rFonts w:ascii="Verdana" w:hAnsi="Verdana"/>
          <w:sz w:val="20"/>
          <w:szCs w:val="20"/>
          <w:lang w:val="es-CR"/>
        </w:rPr>
        <w:t xml:space="preserve">vit. </w:t>
      </w:r>
    </w:p>
    <w:p w14:paraId="3FEE96A3" w14:textId="77777777" w:rsidR="000E6FC3" w:rsidRPr="00EC2F24" w:rsidRDefault="000E6FC3" w:rsidP="00EC2F24">
      <w:pPr>
        <w:pStyle w:val="Prrafodelista"/>
        <w:spacing w:after="0" w:line="240" w:lineRule="auto"/>
        <w:jc w:val="both"/>
        <w:rPr>
          <w:rFonts w:ascii="Verdana" w:hAnsi="Verdana"/>
          <w:sz w:val="20"/>
          <w:szCs w:val="20"/>
          <w:lang w:val="es-CR"/>
        </w:rPr>
      </w:pPr>
    </w:p>
    <w:p w14:paraId="3F15D46A" w14:textId="77777777" w:rsidR="000E6FC3" w:rsidRPr="00EC2F24" w:rsidRDefault="000E6FC3" w:rsidP="005406CA">
      <w:pPr>
        <w:pStyle w:val="Prrafodelista"/>
        <w:numPr>
          <w:ilvl w:val="3"/>
          <w:numId w:val="1"/>
        </w:numPr>
        <w:autoSpaceDE w:val="0"/>
        <w:autoSpaceDN w:val="0"/>
        <w:adjustRightInd w:val="0"/>
        <w:spacing w:after="0" w:line="240" w:lineRule="auto"/>
        <w:ind w:left="0" w:firstLine="0"/>
        <w:jc w:val="both"/>
        <w:rPr>
          <w:rFonts w:ascii="Verdana" w:hAnsi="Verdana"/>
          <w:i/>
          <w:sz w:val="20"/>
          <w:szCs w:val="20"/>
          <w:lang w:val="es-CR"/>
        </w:rPr>
      </w:pPr>
      <w:r w:rsidRPr="00EC2F24">
        <w:rPr>
          <w:rFonts w:ascii="Verdana" w:hAnsi="Verdana"/>
          <w:i/>
          <w:sz w:val="20"/>
          <w:szCs w:val="20"/>
          <w:lang w:val="es-CR"/>
        </w:rPr>
        <w:t xml:space="preserve">Observaciones a las excepciones preliminares. – </w:t>
      </w:r>
      <w:r w:rsidRPr="00EC2F24">
        <w:rPr>
          <w:rFonts w:ascii="Verdana" w:hAnsi="Verdana"/>
          <w:sz w:val="20"/>
          <w:szCs w:val="20"/>
          <w:lang w:val="es-CR"/>
        </w:rPr>
        <w:t xml:space="preserve">El 18 de enero de 2019 la Comisión y los representantes remitieron sus observaciones a las excepciones </w:t>
      </w:r>
      <w:proofErr w:type="gramStart"/>
      <w:r w:rsidRPr="00EC2F24">
        <w:rPr>
          <w:rFonts w:ascii="Verdana" w:hAnsi="Verdana"/>
          <w:sz w:val="20"/>
          <w:szCs w:val="20"/>
          <w:lang w:val="es-CR"/>
        </w:rPr>
        <w:t xml:space="preserve">preliminares  </w:t>
      </w:r>
      <w:r w:rsidR="001066EF">
        <w:rPr>
          <w:rFonts w:ascii="Verdana" w:hAnsi="Verdana"/>
          <w:sz w:val="20"/>
          <w:szCs w:val="20"/>
          <w:lang w:val="es-CR"/>
        </w:rPr>
        <w:t>indicando</w:t>
      </w:r>
      <w:proofErr w:type="gramEnd"/>
      <w:r w:rsidR="001066EF">
        <w:rPr>
          <w:rFonts w:ascii="Verdana" w:hAnsi="Verdana"/>
          <w:sz w:val="20"/>
          <w:szCs w:val="20"/>
          <w:lang w:val="es-CR"/>
        </w:rPr>
        <w:t xml:space="preserve"> que</w:t>
      </w:r>
      <w:r w:rsidRPr="00EC2F24">
        <w:rPr>
          <w:rFonts w:ascii="Verdana" w:hAnsi="Verdana"/>
          <w:sz w:val="20"/>
          <w:szCs w:val="20"/>
          <w:lang w:val="es-CR"/>
        </w:rPr>
        <w:t xml:space="preserve"> se desechen </w:t>
      </w:r>
      <w:r w:rsidR="00A0439D" w:rsidRPr="00EC2F24">
        <w:rPr>
          <w:rFonts w:ascii="Verdana" w:hAnsi="Verdana"/>
          <w:sz w:val="20"/>
          <w:szCs w:val="20"/>
          <w:lang w:val="es-CR"/>
        </w:rPr>
        <w:t>las excepciones presentadas</w:t>
      </w:r>
      <w:r w:rsidR="00A0439D">
        <w:rPr>
          <w:rFonts w:ascii="Verdana" w:hAnsi="Verdana"/>
          <w:sz w:val="20"/>
          <w:szCs w:val="20"/>
          <w:lang w:val="es-CR"/>
        </w:rPr>
        <w:t xml:space="preserve">. Asimismo se </w:t>
      </w:r>
      <w:r w:rsidR="00F54F76">
        <w:rPr>
          <w:rFonts w:ascii="Verdana" w:hAnsi="Verdana"/>
          <w:sz w:val="20"/>
          <w:szCs w:val="20"/>
          <w:lang w:val="es-CR"/>
        </w:rPr>
        <w:t>refirieron a</w:t>
      </w:r>
      <w:r w:rsidRPr="00EC2F24">
        <w:rPr>
          <w:rFonts w:ascii="Verdana" w:hAnsi="Verdana"/>
          <w:sz w:val="20"/>
          <w:szCs w:val="20"/>
          <w:lang w:val="es-CR"/>
        </w:rPr>
        <w:t>l reconocimiento</w:t>
      </w:r>
      <w:r w:rsidR="00F54F76">
        <w:rPr>
          <w:rFonts w:ascii="Verdana" w:hAnsi="Verdana"/>
          <w:sz w:val="20"/>
          <w:szCs w:val="20"/>
          <w:lang w:val="es-CR"/>
        </w:rPr>
        <w:t xml:space="preserve"> parcial de responsabilidad</w:t>
      </w:r>
      <w:r w:rsidRPr="00EC2F24">
        <w:rPr>
          <w:rFonts w:ascii="Verdana" w:hAnsi="Verdana"/>
          <w:sz w:val="20"/>
          <w:szCs w:val="20"/>
          <w:lang w:val="es-CR"/>
        </w:rPr>
        <w:t xml:space="preserve"> internacional del Estado. </w:t>
      </w:r>
    </w:p>
    <w:p w14:paraId="4382C13F" w14:textId="77777777" w:rsidR="000E6FC3" w:rsidRPr="00EC2F24" w:rsidRDefault="000E6FC3" w:rsidP="00EC2F24">
      <w:pPr>
        <w:pStyle w:val="Prrafodelista"/>
        <w:autoSpaceDE w:val="0"/>
        <w:autoSpaceDN w:val="0"/>
        <w:adjustRightInd w:val="0"/>
        <w:spacing w:after="0" w:line="240" w:lineRule="auto"/>
        <w:ind w:left="0"/>
        <w:jc w:val="both"/>
        <w:rPr>
          <w:rFonts w:ascii="Verdana" w:hAnsi="Verdana"/>
          <w:sz w:val="20"/>
          <w:szCs w:val="20"/>
          <w:highlight w:val="yellow"/>
          <w:lang w:val="es-CR"/>
        </w:rPr>
      </w:pPr>
    </w:p>
    <w:p w14:paraId="0A3C6675" w14:textId="0CEB08A3" w:rsidR="000E6FC3" w:rsidRPr="00EC2F24" w:rsidRDefault="000E6FC3" w:rsidP="005406CA">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EC2F24">
        <w:rPr>
          <w:rFonts w:ascii="Verdana" w:hAnsi="Verdana"/>
          <w:i/>
          <w:sz w:val="20"/>
          <w:szCs w:val="20"/>
          <w:lang w:val="es-CR"/>
        </w:rPr>
        <w:t>Audiencia Pública</w:t>
      </w:r>
      <w:r w:rsidRPr="00EC2F24">
        <w:rPr>
          <w:rFonts w:ascii="Verdana" w:hAnsi="Verdana"/>
          <w:sz w:val="20"/>
          <w:szCs w:val="20"/>
          <w:lang w:val="es-CR"/>
        </w:rPr>
        <w:t>. – El 15 de febrero de 2019 el Presidente emitió una Resolución</w:t>
      </w:r>
      <w:r w:rsidRPr="00EC2F24">
        <w:rPr>
          <w:rStyle w:val="Refdenotaalpie"/>
          <w:rFonts w:ascii="Verdana" w:hAnsi="Verdana"/>
          <w:sz w:val="20"/>
          <w:szCs w:val="20"/>
          <w:lang w:val="es-CR"/>
        </w:rPr>
        <w:footnoteReference w:id="8"/>
      </w:r>
      <w:r w:rsidRPr="00EC2F24">
        <w:rPr>
          <w:rFonts w:ascii="Verdana" w:hAnsi="Verdana"/>
          <w:sz w:val="20"/>
          <w:szCs w:val="20"/>
          <w:lang w:val="es-CR"/>
        </w:rPr>
        <w:t xml:space="preserve"> mediante la cual convocó al Estado, a los representantes y a la Comisión Interamericana a la celebración de una audiencia pública, respecto de las excepciones preliminares y eventuales fondo, reparaciones y costas, para escuchar los alegat</w:t>
      </w:r>
      <w:r w:rsidR="0012766B">
        <w:rPr>
          <w:rFonts w:ascii="Verdana" w:hAnsi="Verdana"/>
          <w:sz w:val="20"/>
          <w:szCs w:val="20"/>
          <w:lang w:val="es-CR"/>
        </w:rPr>
        <w:t>os finales orales de las partes</w:t>
      </w:r>
      <w:r w:rsidRPr="00EC2F24">
        <w:rPr>
          <w:rFonts w:ascii="Verdana" w:hAnsi="Verdana"/>
          <w:sz w:val="20"/>
          <w:szCs w:val="20"/>
          <w:lang w:val="es-CR"/>
        </w:rPr>
        <w:t xml:space="preserve"> y las observaciones finales orales de la Comisión respecto de esos temas. Asimismo, mediante dicha Resolución se ordenó recibir declaraciones</w:t>
      </w:r>
      <w:r w:rsidR="003B4CE2">
        <w:rPr>
          <w:rFonts w:ascii="Verdana" w:hAnsi="Verdana"/>
          <w:sz w:val="20"/>
          <w:szCs w:val="20"/>
          <w:lang w:val="es-CR"/>
        </w:rPr>
        <w:t xml:space="preserve"> mediante fedatario público (af</w:t>
      </w:r>
      <w:r w:rsidRPr="00EC2F24">
        <w:rPr>
          <w:rFonts w:ascii="Verdana" w:hAnsi="Verdana"/>
          <w:sz w:val="20"/>
          <w:szCs w:val="20"/>
          <w:lang w:val="es-CR"/>
        </w:rPr>
        <w:t>idávit) de cinco declaran</w:t>
      </w:r>
      <w:r w:rsidR="002A55B5">
        <w:rPr>
          <w:rFonts w:ascii="Verdana" w:hAnsi="Verdana"/>
          <w:sz w:val="20"/>
          <w:szCs w:val="20"/>
          <w:lang w:val="es-CR"/>
        </w:rPr>
        <w:t xml:space="preserve">tes, un testigo y tres peritos, </w:t>
      </w:r>
      <w:r w:rsidRPr="00EC2F24">
        <w:rPr>
          <w:rFonts w:ascii="Verdana" w:hAnsi="Verdana"/>
          <w:sz w:val="20"/>
          <w:szCs w:val="20"/>
          <w:lang w:val="es-CR"/>
        </w:rPr>
        <w:t xml:space="preserve">todos propuestos por los representantes. Adicionalmente, mediante dicha resolución, se convocó a declarar en audiencia pública a dos declarantes y una perita, todos propuestos por los representantes. La audiencia pública fue celebrada el 7 de marzo </w:t>
      </w:r>
      <w:r w:rsidR="0012766B">
        <w:rPr>
          <w:rFonts w:ascii="Verdana" w:hAnsi="Verdana"/>
          <w:sz w:val="20"/>
          <w:szCs w:val="20"/>
          <w:lang w:val="es-CR"/>
        </w:rPr>
        <w:t xml:space="preserve">de 2019 </w:t>
      </w:r>
      <w:r w:rsidRPr="00EC2F24">
        <w:rPr>
          <w:rFonts w:ascii="Verdana" w:hAnsi="Verdana"/>
          <w:sz w:val="20"/>
          <w:szCs w:val="20"/>
          <w:lang w:val="es-CR"/>
        </w:rPr>
        <w:t>durante el 130° Período Ordinario de Sesiones de la Corte, llevado a cabo en la sede del Tribunal</w:t>
      </w:r>
      <w:r w:rsidRPr="00EC2F24">
        <w:rPr>
          <w:rStyle w:val="Refdenotaalpie"/>
          <w:rFonts w:ascii="Verdana" w:hAnsi="Verdana"/>
          <w:sz w:val="20"/>
          <w:szCs w:val="20"/>
          <w:lang w:val="es-CR"/>
        </w:rPr>
        <w:footnoteReference w:id="9"/>
      </w:r>
      <w:r w:rsidRPr="00EC2F24">
        <w:rPr>
          <w:rFonts w:ascii="Verdana" w:hAnsi="Verdana"/>
          <w:sz w:val="20"/>
          <w:szCs w:val="20"/>
          <w:lang w:val="es-CR"/>
        </w:rPr>
        <w:t>.</w:t>
      </w:r>
      <w:r w:rsidRPr="00EC2F24">
        <w:rPr>
          <w:rFonts w:ascii="Verdana" w:hAnsi="Verdana"/>
          <w:b/>
          <w:sz w:val="20"/>
          <w:szCs w:val="20"/>
          <w:lang w:val="es-CR"/>
        </w:rPr>
        <w:t xml:space="preserve"> </w:t>
      </w:r>
    </w:p>
    <w:p w14:paraId="4A333E71" w14:textId="77777777" w:rsidR="000E6FC3" w:rsidRPr="00EC2F24" w:rsidRDefault="000E6FC3" w:rsidP="00EC2F24">
      <w:pPr>
        <w:pStyle w:val="Prrafodelista"/>
        <w:autoSpaceDE w:val="0"/>
        <w:autoSpaceDN w:val="0"/>
        <w:adjustRightInd w:val="0"/>
        <w:spacing w:after="0" w:line="240" w:lineRule="auto"/>
        <w:ind w:left="0"/>
        <w:jc w:val="both"/>
        <w:rPr>
          <w:rFonts w:ascii="Verdana" w:hAnsi="Verdana"/>
          <w:sz w:val="20"/>
          <w:szCs w:val="20"/>
          <w:highlight w:val="yellow"/>
          <w:lang w:val="es-CR"/>
        </w:rPr>
      </w:pPr>
    </w:p>
    <w:p w14:paraId="2AEF47C6" w14:textId="77777777" w:rsidR="000E6FC3" w:rsidRPr="00EC2F24" w:rsidRDefault="000E6FC3" w:rsidP="005406CA">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EC2F24">
        <w:rPr>
          <w:rFonts w:ascii="Verdana" w:hAnsi="Verdana"/>
          <w:i/>
          <w:sz w:val="20"/>
          <w:szCs w:val="20"/>
          <w:lang w:val="es-CR"/>
        </w:rPr>
        <w:t>Alegatos y observaciones finales escritas.</w:t>
      </w:r>
      <w:r w:rsidRPr="00EC2F24">
        <w:rPr>
          <w:rFonts w:ascii="Verdana" w:hAnsi="Verdana"/>
          <w:sz w:val="20"/>
          <w:szCs w:val="20"/>
          <w:lang w:val="es-CR"/>
        </w:rPr>
        <w:t xml:space="preserve"> – El 5 de abril de 2019 el Estado y el 8 de abril de 2019 los representantes remitieron sus respectivos alegatos finales escritos junto con varios anexos, y el 8 de abril de 2019 la Comisión presentó sus observaciones finales escritas. </w:t>
      </w:r>
    </w:p>
    <w:p w14:paraId="38A13EC9" w14:textId="77777777" w:rsidR="000E6FC3" w:rsidRPr="00EC2F24" w:rsidRDefault="000E6FC3" w:rsidP="00EC2F24">
      <w:pPr>
        <w:pStyle w:val="Prrafodelista"/>
        <w:spacing w:after="0" w:line="240" w:lineRule="auto"/>
        <w:jc w:val="both"/>
        <w:rPr>
          <w:rFonts w:ascii="Verdana" w:hAnsi="Verdana"/>
          <w:sz w:val="20"/>
          <w:szCs w:val="20"/>
          <w:lang w:val="es-CR"/>
        </w:rPr>
      </w:pPr>
    </w:p>
    <w:p w14:paraId="1CF28647" w14:textId="77777777" w:rsidR="000E6FC3" w:rsidRPr="00EC2F24" w:rsidRDefault="000E6FC3" w:rsidP="005406CA">
      <w:pPr>
        <w:pStyle w:val="Prrafodelista"/>
        <w:numPr>
          <w:ilvl w:val="3"/>
          <w:numId w:val="1"/>
        </w:numPr>
        <w:autoSpaceDE w:val="0"/>
        <w:autoSpaceDN w:val="0"/>
        <w:adjustRightInd w:val="0"/>
        <w:spacing w:after="0" w:line="240" w:lineRule="auto"/>
        <w:ind w:left="0" w:firstLine="0"/>
        <w:jc w:val="both"/>
        <w:rPr>
          <w:rFonts w:ascii="Verdana" w:hAnsi="Verdana"/>
          <w:i/>
          <w:sz w:val="20"/>
          <w:szCs w:val="20"/>
          <w:lang w:val="es-CR"/>
        </w:rPr>
      </w:pPr>
      <w:r w:rsidRPr="00EC2F24">
        <w:rPr>
          <w:rFonts w:ascii="Verdana" w:hAnsi="Verdana"/>
          <w:i/>
          <w:sz w:val="20"/>
          <w:szCs w:val="20"/>
          <w:lang w:val="es-CR"/>
        </w:rPr>
        <w:t xml:space="preserve">Observaciones a los anexos presentados por los representantes junto con los alegatos finales. – </w:t>
      </w:r>
      <w:r w:rsidRPr="00EC2F24">
        <w:rPr>
          <w:rFonts w:ascii="Verdana" w:hAnsi="Verdana"/>
          <w:sz w:val="20"/>
          <w:szCs w:val="20"/>
          <w:lang w:val="es-CR"/>
        </w:rPr>
        <w:t>El 26 de abril de 2019 el Estado remitió sus observaciones a los anexos de los alegatos finales de los representantes. La Comisión no presentó observaciones.</w:t>
      </w:r>
    </w:p>
    <w:p w14:paraId="1F1622CB" w14:textId="77777777" w:rsidR="000B5EF6" w:rsidRDefault="000B5EF6" w:rsidP="000B5EF6">
      <w:pPr>
        <w:pStyle w:val="Prrafodelista"/>
        <w:autoSpaceDE w:val="0"/>
        <w:autoSpaceDN w:val="0"/>
        <w:adjustRightInd w:val="0"/>
        <w:spacing w:after="0" w:line="240" w:lineRule="auto"/>
        <w:ind w:left="0"/>
        <w:jc w:val="both"/>
        <w:rPr>
          <w:rFonts w:ascii="Verdana" w:hAnsi="Verdana"/>
          <w:i/>
          <w:sz w:val="20"/>
          <w:szCs w:val="20"/>
          <w:lang w:val="es-CR"/>
        </w:rPr>
      </w:pPr>
    </w:p>
    <w:p w14:paraId="2F4186C9" w14:textId="39602ED8" w:rsidR="000B5EF6" w:rsidRPr="000B5EF6" w:rsidRDefault="000E6FC3" w:rsidP="005406CA">
      <w:pPr>
        <w:pStyle w:val="Prrafodelista"/>
        <w:numPr>
          <w:ilvl w:val="3"/>
          <w:numId w:val="1"/>
        </w:numPr>
        <w:autoSpaceDE w:val="0"/>
        <w:autoSpaceDN w:val="0"/>
        <w:adjustRightInd w:val="0"/>
        <w:spacing w:after="0" w:line="240" w:lineRule="auto"/>
        <w:ind w:left="0" w:firstLine="0"/>
        <w:jc w:val="both"/>
        <w:rPr>
          <w:rFonts w:ascii="Verdana" w:hAnsi="Verdana"/>
          <w:i/>
          <w:sz w:val="20"/>
          <w:szCs w:val="20"/>
          <w:lang w:val="es-CR"/>
        </w:rPr>
      </w:pPr>
      <w:r w:rsidRPr="000B5EF6">
        <w:rPr>
          <w:rFonts w:ascii="Verdana" w:hAnsi="Verdana"/>
          <w:i/>
          <w:sz w:val="20"/>
          <w:szCs w:val="20"/>
          <w:lang w:val="es-CR"/>
        </w:rPr>
        <w:t xml:space="preserve">Erogaciones en aplicación del Fondo de Asistencia. </w:t>
      </w:r>
      <w:r w:rsidRPr="000B5EF6">
        <w:rPr>
          <w:rFonts w:ascii="Verdana" w:hAnsi="Verdana"/>
          <w:sz w:val="20"/>
          <w:szCs w:val="20"/>
          <w:lang w:val="es-CR"/>
        </w:rPr>
        <w:t xml:space="preserve">– </w:t>
      </w:r>
      <w:r w:rsidRPr="000B5EF6">
        <w:rPr>
          <w:rFonts w:ascii="Verdana" w:hAnsi="Verdana"/>
          <w:i/>
          <w:sz w:val="20"/>
          <w:szCs w:val="20"/>
          <w:lang w:val="es-CR"/>
        </w:rPr>
        <w:t xml:space="preserve"> </w:t>
      </w:r>
      <w:r w:rsidRPr="000B5EF6">
        <w:rPr>
          <w:rFonts w:ascii="Verdana" w:hAnsi="Verdana"/>
          <w:sz w:val="20"/>
          <w:szCs w:val="20"/>
          <w:lang w:val="es-CR"/>
        </w:rPr>
        <w:t xml:space="preserve">El </w:t>
      </w:r>
      <w:r w:rsidR="00DE6846">
        <w:rPr>
          <w:rFonts w:ascii="Verdana" w:hAnsi="Verdana"/>
          <w:sz w:val="20"/>
          <w:szCs w:val="20"/>
          <w:lang w:val="es-CR"/>
        </w:rPr>
        <w:t>11</w:t>
      </w:r>
      <w:r w:rsidR="00494B89" w:rsidRPr="000B5EF6">
        <w:rPr>
          <w:rFonts w:ascii="Verdana" w:hAnsi="Verdana"/>
          <w:sz w:val="20"/>
          <w:szCs w:val="20"/>
          <w:lang w:val="es-CR"/>
        </w:rPr>
        <w:t xml:space="preserve"> </w:t>
      </w:r>
      <w:r w:rsidRPr="000B5EF6">
        <w:rPr>
          <w:rFonts w:ascii="Verdana" w:hAnsi="Verdana"/>
          <w:sz w:val="20"/>
          <w:szCs w:val="20"/>
          <w:lang w:val="es-CR"/>
        </w:rPr>
        <w:t xml:space="preserve">de julio de 2019 la Secretaría de la Corte Interamericana, siguiendo instrucciones del Presidente de la Corte, remitió información al Estado sobre las erogaciones efectuadas en aplicación del Fondo en el presente caso, y según lo dispuesto en el artículo 5 del Reglamento de la Corte Interamericana de Derechos Humanos sobre el Funcionamiento del Fondo de Asistencia, le otorgó un plazo para </w:t>
      </w:r>
      <w:r w:rsidRPr="000B5EF6">
        <w:rPr>
          <w:rFonts w:ascii="Verdana" w:hAnsi="Verdana"/>
          <w:sz w:val="20"/>
          <w:szCs w:val="20"/>
          <w:lang w:val="es-CR"/>
        </w:rPr>
        <w:lastRenderedPageBreak/>
        <w:t>presentar las observaciones que estimara pertinentes. El Estado presentó sus observaciones el 23 de julio de 2019.</w:t>
      </w:r>
    </w:p>
    <w:p w14:paraId="7FDC99F8" w14:textId="77777777" w:rsidR="000B5EF6" w:rsidRDefault="000B5EF6" w:rsidP="000B5EF6">
      <w:pPr>
        <w:pStyle w:val="Prrafodelista"/>
        <w:autoSpaceDE w:val="0"/>
        <w:autoSpaceDN w:val="0"/>
        <w:adjustRightInd w:val="0"/>
        <w:spacing w:after="0" w:line="240" w:lineRule="auto"/>
        <w:ind w:left="0"/>
        <w:jc w:val="both"/>
        <w:rPr>
          <w:rFonts w:ascii="Verdana" w:hAnsi="Verdana"/>
          <w:i/>
          <w:sz w:val="20"/>
          <w:szCs w:val="20"/>
          <w:lang w:val="es-CR"/>
        </w:rPr>
      </w:pPr>
    </w:p>
    <w:p w14:paraId="4D0BADD6" w14:textId="77777777" w:rsidR="000E6FC3" w:rsidRPr="005E2A26" w:rsidRDefault="000E6FC3" w:rsidP="005406CA">
      <w:pPr>
        <w:pStyle w:val="Prrafodelista"/>
        <w:numPr>
          <w:ilvl w:val="3"/>
          <w:numId w:val="1"/>
        </w:numPr>
        <w:autoSpaceDE w:val="0"/>
        <w:autoSpaceDN w:val="0"/>
        <w:adjustRightInd w:val="0"/>
        <w:spacing w:after="0" w:line="240" w:lineRule="auto"/>
        <w:ind w:left="0" w:firstLine="0"/>
        <w:jc w:val="both"/>
        <w:rPr>
          <w:rFonts w:ascii="Verdana" w:hAnsi="Verdana"/>
          <w:i/>
          <w:sz w:val="20"/>
          <w:szCs w:val="20"/>
          <w:lang w:val="es-CR"/>
        </w:rPr>
      </w:pPr>
      <w:r w:rsidRPr="000B5EF6">
        <w:rPr>
          <w:rFonts w:ascii="Verdana" w:eastAsia="Verdana" w:hAnsi="Verdana" w:cs="Verdana"/>
          <w:i/>
          <w:color w:val="000000"/>
          <w:sz w:val="20"/>
          <w:szCs w:val="20"/>
          <w:lang w:val="es-CR"/>
        </w:rPr>
        <w:t xml:space="preserve">Deliberación del presente caso. – </w:t>
      </w:r>
      <w:r w:rsidRPr="000B5EF6">
        <w:rPr>
          <w:rFonts w:ascii="Verdana" w:eastAsia="Verdana" w:hAnsi="Verdana" w:cs="Verdana"/>
          <w:color w:val="000000"/>
          <w:sz w:val="20"/>
          <w:szCs w:val="20"/>
          <w:lang w:val="es-CR"/>
        </w:rPr>
        <w:t>La Corte inició la deliberació</w:t>
      </w:r>
      <w:r w:rsidR="005E21B2">
        <w:rPr>
          <w:rFonts w:ascii="Verdana" w:eastAsia="Verdana" w:hAnsi="Verdana" w:cs="Verdana"/>
          <w:color w:val="000000"/>
          <w:sz w:val="20"/>
          <w:szCs w:val="20"/>
          <w:lang w:val="es-CR"/>
        </w:rPr>
        <w:t>n de la presente Sentencia el 10 de octubre</w:t>
      </w:r>
      <w:r w:rsidRPr="000B5EF6">
        <w:rPr>
          <w:rFonts w:ascii="Verdana" w:eastAsia="Verdana" w:hAnsi="Verdana" w:cs="Verdana"/>
          <w:color w:val="000000"/>
          <w:sz w:val="20"/>
          <w:szCs w:val="20"/>
          <w:lang w:val="es-CR"/>
        </w:rPr>
        <w:t xml:space="preserve"> de 2019.</w:t>
      </w:r>
    </w:p>
    <w:p w14:paraId="5418D690" w14:textId="77777777" w:rsidR="000B5EF6" w:rsidRPr="00EC2F24" w:rsidRDefault="000B5EF6" w:rsidP="00EC2F24">
      <w:pPr>
        <w:autoSpaceDE w:val="0"/>
        <w:autoSpaceDN w:val="0"/>
        <w:adjustRightInd w:val="0"/>
        <w:spacing w:after="0" w:line="240" w:lineRule="auto"/>
        <w:jc w:val="both"/>
        <w:rPr>
          <w:rFonts w:ascii="Verdana" w:hAnsi="Verdana"/>
          <w:sz w:val="20"/>
          <w:szCs w:val="20"/>
          <w:lang w:val="es-CR"/>
        </w:rPr>
      </w:pPr>
    </w:p>
    <w:p w14:paraId="57EC3AC3" w14:textId="77777777" w:rsidR="000B5EF6" w:rsidRPr="00EC2F24" w:rsidRDefault="000E6FC3" w:rsidP="00872F17">
      <w:pPr>
        <w:pStyle w:val="Ttulo1"/>
        <w:spacing w:before="0"/>
      </w:pPr>
      <w:bookmarkStart w:id="2" w:name="_Toc25247718"/>
      <w:r w:rsidRPr="00EC2F24">
        <w:t>III</w:t>
      </w:r>
      <w:r w:rsidR="00872F17">
        <w:br/>
      </w:r>
      <w:r w:rsidR="00BC145C">
        <w:t xml:space="preserve"> </w:t>
      </w:r>
      <w:r w:rsidRPr="00EC2F24">
        <w:t>COMPETENCIA</w:t>
      </w:r>
      <w:bookmarkEnd w:id="2"/>
    </w:p>
    <w:p w14:paraId="1C972CA0" w14:textId="77777777" w:rsidR="000E6FC3" w:rsidRPr="00EC2F24" w:rsidRDefault="000E6FC3" w:rsidP="00EC2F24">
      <w:pPr>
        <w:autoSpaceDE w:val="0"/>
        <w:autoSpaceDN w:val="0"/>
        <w:adjustRightInd w:val="0"/>
        <w:spacing w:after="0" w:line="240" w:lineRule="auto"/>
        <w:jc w:val="both"/>
        <w:rPr>
          <w:rFonts w:ascii="Verdana" w:hAnsi="Verdana"/>
          <w:sz w:val="20"/>
          <w:szCs w:val="20"/>
          <w:lang w:val="es-CR"/>
        </w:rPr>
      </w:pPr>
    </w:p>
    <w:p w14:paraId="6E97AB2C" w14:textId="77777777" w:rsidR="000B5EF6" w:rsidRDefault="000E6FC3" w:rsidP="005406CA">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EC2F24">
        <w:rPr>
          <w:rFonts w:ascii="Verdana" w:hAnsi="Verdana"/>
          <w:sz w:val="20"/>
          <w:szCs w:val="20"/>
          <w:lang w:val="es-CR"/>
        </w:rPr>
        <w:t>La Corte Interamericana es competente para conocer del presente caso, en los términos del artículo 62.3</w:t>
      </w:r>
      <w:r w:rsidR="00477BB3">
        <w:rPr>
          <w:rFonts w:ascii="Verdana" w:hAnsi="Verdana"/>
          <w:sz w:val="20"/>
          <w:szCs w:val="20"/>
          <w:lang w:val="es-CR"/>
        </w:rPr>
        <w:t xml:space="preserve"> </w:t>
      </w:r>
      <w:r w:rsidRPr="00EC2F24">
        <w:rPr>
          <w:rFonts w:ascii="Verdana" w:hAnsi="Verdana"/>
          <w:sz w:val="20"/>
          <w:szCs w:val="20"/>
          <w:lang w:val="es-CR"/>
        </w:rPr>
        <w:t>de la Convención Americana, debido a que Guatemala es Estado Parte de la Convención Americana desde el 25 de mayo de 1978 y reconoció la competencia contenciosa de la Corte el 9 de marzo de 1987.</w:t>
      </w:r>
    </w:p>
    <w:p w14:paraId="4B8EA7E7" w14:textId="77777777" w:rsidR="005E2A26" w:rsidRPr="005E2A26" w:rsidRDefault="005E2A26" w:rsidP="005E2A26">
      <w:pPr>
        <w:pStyle w:val="Prrafodelista"/>
        <w:autoSpaceDE w:val="0"/>
        <w:autoSpaceDN w:val="0"/>
        <w:adjustRightInd w:val="0"/>
        <w:spacing w:after="0" w:line="240" w:lineRule="auto"/>
        <w:ind w:left="0"/>
        <w:jc w:val="both"/>
        <w:rPr>
          <w:rFonts w:ascii="Verdana" w:hAnsi="Verdana"/>
          <w:sz w:val="20"/>
          <w:szCs w:val="20"/>
          <w:lang w:val="es-CR"/>
        </w:rPr>
      </w:pPr>
    </w:p>
    <w:p w14:paraId="3ACC1891" w14:textId="77777777" w:rsidR="000E6FC3" w:rsidRPr="00EC2F24" w:rsidRDefault="000E6FC3" w:rsidP="00872F17">
      <w:pPr>
        <w:pStyle w:val="Ttulo1"/>
        <w:spacing w:before="0"/>
        <w:rPr>
          <w:rFonts w:eastAsia="Verdana"/>
        </w:rPr>
      </w:pPr>
      <w:bookmarkStart w:id="3" w:name="_Toc25247719"/>
      <w:r w:rsidRPr="00EC2F24">
        <w:rPr>
          <w:rFonts w:eastAsia="Verdana"/>
        </w:rPr>
        <w:t>IV</w:t>
      </w:r>
      <w:r w:rsidR="00872F17">
        <w:rPr>
          <w:rFonts w:eastAsia="Verdana"/>
        </w:rPr>
        <w:br/>
      </w:r>
      <w:r w:rsidRPr="00EC2F24">
        <w:rPr>
          <w:rFonts w:eastAsia="Verdana"/>
        </w:rPr>
        <w:t>RECONOCIMIENTO PARCIAL DE RESPONSABILIDAD</w:t>
      </w:r>
      <w:bookmarkEnd w:id="3"/>
    </w:p>
    <w:p w14:paraId="42D74FBD" w14:textId="77777777" w:rsidR="000E6FC3" w:rsidRPr="00EC2F24" w:rsidRDefault="000E6FC3" w:rsidP="00EC2F24">
      <w:pPr>
        <w:pStyle w:val="Prrafodelista"/>
        <w:autoSpaceDE w:val="0"/>
        <w:autoSpaceDN w:val="0"/>
        <w:adjustRightInd w:val="0"/>
        <w:spacing w:after="0" w:line="240" w:lineRule="auto"/>
        <w:ind w:left="0"/>
        <w:jc w:val="both"/>
        <w:rPr>
          <w:rFonts w:ascii="Verdana" w:hAnsi="Verdana"/>
          <w:sz w:val="20"/>
          <w:szCs w:val="20"/>
          <w:lang w:val="es-CR"/>
        </w:rPr>
      </w:pPr>
    </w:p>
    <w:p w14:paraId="591AD010" w14:textId="1F4C212C" w:rsidR="000E6FC3" w:rsidRPr="00EC2F24" w:rsidRDefault="000E6FC3" w:rsidP="005406CA">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EC2F24">
        <w:rPr>
          <w:rFonts w:ascii="Verdana" w:hAnsi="Verdana"/>
          <w:sz w:val="20"/>
          <w:szCs w:val="20"/>
          <w:lang w:val="es-CR"/>
        </w:rPr>
        <w:t xml:space="preserve">La Corte examinará, según el planteamiento del reconocimiento parcial de responsabilidad internacional del Estado, lo siguiente: </w:t>
      </w:r>
      <w:r w:rsidR="00786DAE">
        <w:rPr>
          <w:rFonts w:ascii="Verdana" w:hAnsi="Verdana"/>
          <w:sz w:val="20"/>
          <w:szCs w:val="20"/>
          <w:lang w:val="es-CR"/>
        </w:rPr>
        <w:t>A</w:t>
      </w:r>
      <w:r w:rsidRPr="00EC2F24">
        <w:rPr>
          <w:rFonts w:ascii="Verdana" w:hAnsi="Verdana"/>
          <w:sz w:val="20"/>
          <w:szCs w:val="20"/>
          <w:lang w:val="es-CR"/>
        </w:rPr>
        <w:t xml:space="preserve">) la alegada omisión al deber de investigar los actos de tortura, y </w:t>
      </w:r>
      <w:r w:rsidR="00786DAE">
        <w:rPr>
          <w:rFonts w:ascii="Verdana" w:hAnsi="Verdana"/>
          <w:sz w:val="20"/>
          <w:szCs w:val="20"/>
          <w:lang w:val="es-CR"/>
        </w:rPr>
        <w:t>B</w:t>
      </w:r>
      <w:r w:rsidRPr="00EC2F24">
        <w:rPr>
          <w:rFonts w:ascii="Verdana" w:hAnsi="Verdana"/>
          <w:sz w:val="20"/>
          <w:szCs w:val="20"/>
          <w:lang w:val="es-CR"/>
        </w:rPr>
        <w:t xml:space="preserve">) la necesidad de reformar el artículo 201 bis del </w:t>
      </w:r>
      <w:r w:rsidR="009D06F6" w:rsidRPr="008E0075">
        <w:rPr>
          <w:rFonts w:ascii="Verdana" w:hAnsi="Verdana"/>
          <w:sz w:val="20"/>
          <w:szCs w:val="20"/>
          <w:lang w:val="es-CR"/>
        </w:rPr>
        <w:t xml:space="preserve">Código Penal </w:t>
      </w:r>
      <w:r w:rsidR="009D06F6">
        <w:rPr>
          <w:rFonts w:ascii="Verdana" w:hAnsi="Verdana"/>
          <w:sz w:val="20"/>
          <w:szCs w:val="20"/>
          <w:lang w:val="es-CR"/>
        </w:rPr>
        <w:t xml:space="preserve">de la República de Guatemala (en adelante </w:t>
      </w:r>
      <w:r w:rsidR="00DF3C63">
        <w:rPr>
          <w:rFonts w:ascii="Verdana" w:hAnsi="Verdana"/>
          <w:sz w:val="20"/>
          <w:szCs w:val="20"/>
          <w:lang w:val="es-CR"/>
        </w:rPr>
        <w:t>“</w:t>
      </w:r>
      <w:r w:rsidR="009D06F6">
        <w:rPr>
          <w:rFonts w:ascii="Verdana" w:hAnsi="Verdana"/>
          <w:sz w:val="20"/>
          <w:szCs w:val="20"/>
          <w:lang w:val="es-CR"/>
        </w:rPr>
        <w:t>Código Penal</w:t>
      </w:r>
      <w:r w:rsidR="00DF3C63">
        <w:rPr>
          <w:rFonts w:ascii="Verdana" w:hAnsi="Verdana"/>
          <w:sz w:val="20"/>
          <w:szCs w:val="20"/>
          <w:lang w:val="es-CR"/>
        </w:rPr>
        <w:t>”</w:t>
      </w:r>
      <w:r w:rsidR="009D06F6">
        <w:rPr>
          <w:rFonts w:ascii="Verdana" w:hAnsi="Verdana"/>
          <w:sz w:val="20"/>
          <w:szCs w:val="20"/>
          <w:lang w:val="es-CR"/>
        </w:rPr>
        <w:t>)</w:t>
      </w:r>
      <w:r w:rsidR="003F0784">
        <w:rPr>
          <w:rFonts w:ascii="Verdana" w:hAnsi="Verdana"/>
          <w:sz w:val="20"/>
          <w:szCs w:val="20"/>
          <w:lang w:val="es-CR"/>
        </w:rPr>
        <w:t xml:space="preserve"> </w:t>
      </w:r>
      <w:r w:rsidRPr="00EC2F24">
        <w:rPr>
          <w:rFonts w:ascii="Verdana" w:hAnsi="Verdana"/>
          <w:sz w:val="20"/>
          <w:szCs w:val="20"/>
          <w:lang w:val="es-CR"/>
        </w:rPr>
        <w:t>que tipifica el delito de tortura.</w:t>
      </w:r>
    </w:p>
    <w:p w14:paraId="74ACDDCF" w14:textId="77777777" w:rsidR="000E6FC3" w:rsidRPr="00EC2F24" w:rsidRDefault="000E6FC3" w:rsidP="00EC2F24">
      <w:pPr>
        <w:pStyle w:val="Prrafodelista"/>
        <w:autoSpaceDE w:val="0"/>
        <w:autoSpaceDN w:val="0"/>
        <w:adjustRightInd w:val="0"/>
        <w:spacing w:after="0" w:line="240" w:lineRule="auto"/>
        <w:ind w:left="0"/>
        <w:jc w:val="both"/>
        <w:rPr>
          <w:rFonts w:ascii="Verdana" w:hAnsi="Verdana"/>
          <w:sz w:val="20"/>
          <w:szCs w:val="20"/>
          <w:lang w:val="es-CR"/>
        </w:rPr>
      </w:pPr>
    </w:p>
    <w:p w14:paraId="26C652E6" w14:textId="33929B92" w:rsidR="0044240B" w:rsidRPr="0044240B" w:rsidRDefault="000E6FC3" w:rsidP="005406CA">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EC2F24">
        <w:rPr>
          <w:rFonts w:ascii="Verdana" w:hAnsi="Verdana"/>
          <w:sz w:val="20"/>
          <w:szCs w:val="20"/>
          <w:lang w:val="es-CO"/>
        </w:rPr>
        <w:t xml:space="preserve">Previamente, la Corte recuerda que </w:t>
      </w:r>
      <w:r w:rsidR="00A0439D" w:rsidRPr="00EC2F24">
        <w:rPr>
          <w:rFonts w:ascii="Verdana" w:hAnsi="Verdana"/>
          <w:spacing w:val="-2"/>
          <w:sz w:val="20"/>
          <w:szCs w:val="20"/>
          <w:lang w:val="es-AR"/>
        </w:rPr>
        <w:t>de</w:t>
      </w:r>
      <w:r w:rsidRPr="00EC2F24">
        <w:rPr>
          <w:rFonts w:ascii="Verdana" w:hAnsi="Verdana"/>
          <w:spacing w:val="-2"/>
          <w:sz w:val="20"/>
          <w:szCs w:val="20"/>
          <w:lang w:val="es-AR"/>
        </w:rPr>
        <w:t xml:space="preserve"> conformidad con los artículos 62 y 64 del Reglamento, y en ejercicio de sus poderes de tutela judicial internacional de derechos humanos cuestión de orden público internacional, incumbe a este Tribunal velar porque los actos de reconocimiento de responsabilidad resulten aceptables para los fines que busca cumplir el sistema interamericano. Esta tarea no se limita a constatar, registrar o tomar not</w:t>
      </w:r>
      <w:r w:rsidR="0012766B">
        <w:rPr>
          <w:rFonts w:ascii="Verdana" w:hAnsi="Verdana"/>
          <w:spacing w:val="-2"/>
          <w:sz w:val="20"/>
          <w:szCs w:val="20"/>
          <w:lang w:val="es-AR"/>
        </w:rPr>
        <w:t xml:space="preserve">a del reconocimiento efectuado </w:t>
      </w:r>
      <w:r w:rsidRPr="00EC2F24">
        <w:rPr>
          <w:rFonts w:ascii="Verdana" w:hAnsi="Verdana"/>
          <w:spacing w:val="-2"/>
          <w:sz w:val="20"/>
          <w:szCs w:val="20"/>
          <w:lang w:val="es-AR"/>
        </w:rPr>
        <w:t>o sus condiciones formales, sino que los debe confrontar con la naturaleza y gravedad de las violaciones alegadas, las exigencias e interés de la justicia, las circunstancias particulares del caso concreto, y la actitud y posición de las partes</w:t>
      </w:r>
      <w:r w:rsidRPr="00EC2F24">
        <w:rPr>
          <w:rFonts w:ascii="Verdana" w:hAnsi="Verdana" w:cs="Times New Roman"/>
          <w:sz w:val="20"/>
          <w:szCs w:val="20"/>
          <w:vertAlign w:val="superscript"/>
          <w:lang w:val="es-AR"/>
        </w:rPr>
        <w:footnoteReference w:id="10"/>
      </w:r>
      <w:r w:rsidRPr="00EC2F24">
        <w:rPr>
          <w:rFonts w:ascii="Verdana" w:hAnsi="Verdana"/>
          <w:spacing w:val="-2"/>
          <w:sz w:val="20"/>
          <w:szCs w:val="20"/>
          <w:lang w:val="es-AR"/>
        </w:rPr>
        <w:t>, de manera tal que pueda precisar, en cuanto sea posible y en el ejercicio de su competencia, la verdad judicial de lo acontecido</w:t>
      </w:r>
      <w:r w:rsidRPr="00EC2F24">
        <w:rPr>
          <w:rFonts w:ascii="Verdana" w:hAnsi="Verdana" w:cs="Times New Roman"/>
          <w:sz w:val="20"/>
          <w:szCs w:val="20"/>
          <w:vertAlign w:val="superscript"/>
          <w:lang w:val="es-AR"/>
        </w:rPr>
        <w:footnoteReference w:id="11"/>
      </w:r>
      <w:r w:rsidRPr="00EC2F24">
        <w:rPr>
          <w:rFonts w:ascii="Verdana" w:hAnsi="Verdana"/>
          <w:spacing w:val="-2"/>
          <w:sz w:val="20"/>
          <w:szCs w:val="20"/>
          <w:lang w:val="es-AR"/>
        </w:rPr>
        <w:t>. La</w:t>
      </w:r>
      <w:r w:rsidRPr="00EC2F24">
        <w:rPr>
          <w:rFonts w:ascii="Verdana" w:hAnsi="Verdana"/>
          <w:spacing w:val="-2"/>
          <w:sz w:val="20"/>
          <w:szCs w:val="20"/>
          <w:lang w:val="es-CR"/>
        </w:rPr>
        <w:t xml:space="preserve"> </w:t>
      </w:r>
      <w:r w:rsidRPr="00EC2F24">
        <w:rPr>
          <w:rFonts w:ascii="Verdana" w:hAnsi="Verdana"/>
          <w:spacing w:val="-2"/>
          <w:sz w:val="20"/>
          <w:szCs w:val="20"/>
          <w:lang w:val="es-AR"/>
        </w:rPr>
        <w:t>Corte advierte que el reconocimiento de hechos y violaciones puntuales y específicas puede tener efectos y consecuencias en el análisis que haga este Tribunal sobre los demás hechos y violaciones alegados, en la medida en que todos forman parte de un mismo conjunto de circunstancias</w:t>
      </w:r>
      <w:r w:rsidRPr="00EC2F24">
        <w:rPr>
          <w:rStyle w:val="Refdenotaalpie"/>
          <w:rFonts w:ascii="Verdana" w:hAnsi="Verdana"/>
          <w:spacing w:val="-2"/>
          <w:sz w:val="20"/>
          <w:szCs w:val="20"/>
          <w:lang w:val="es-AR"/>
        </w:rPr>
        <w:footnoteReference w:id="12"/>
      </w:r>
      <w:r w:rsidRPr="00EC2F24">
        <w:rPr>
          <w:rFonts w:ascii="Verdana" w:hAnsi="Verdana"/>
          <w:spacing w:val="-2"/>
          <w:sz w:val="20"/>
          <w:szCs w:val="20"/>
          <w:lang w:val="es-AR"/>
        </w:rPr>
        <w:t>.</w:t>
      </w:r>
      <w:r w:rsidRPr="00EC2F24">
        <w:rPr>
          <w:rFonts w:ascii="Verdana" w:hAnsi="Verdana"/>
          <w:sz w:val="20"/>
          <w:szCs w:val="20"/>
          <w:lang w:val="es-CO"/>
        </w:rPr>
        <w:t xml:space="preserve"> </w:t>
      </w:r>
    </w:p>
    <w:p w14:paraId="21670F68" w14:textId="77777777" w:rsidR="0044240B" w:rsidRDefault="0044240B" w:rsidP="0044240B">
      <w:pPr>
        <w:pStyle w:val="Prrafodelista"/>
        <w:autoSpaceDE w:val="0"/>
        <w:autoSpaceDN w:val="0"/>
        <w:adjustRightInd w:val="0"/>
        <w:spacing w:after="0" w:line="240" w:lineRule="auto"/>
        <w:ind w:left="0"/>
        <w:jc w:val="both"/>
        <w:rPr>
          <w:rFonts w:ascii="Verdana" w:hAnsi="Verdana"/>
          <w:sz w:val="20"/>
          <w:szCs w:val="20"/>
          <w:lang w:val="es-CR"/>
        </w:rPr>
      </w:pPr>
    </w:p>
    <w:p w14:paraId="09C6D80F" w14:textId="77777777" w:rsidR="000E6FC3" w:rsidRPr="005E2A26" w:rsidRDefault="000E6FC3" w:rsidP="005406CA">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44240B">
        <w:rPr>
          <w:rFonts w:ascii="Verdana" w:hAnsi="Verdana"/>
          <w:sz w:val="20"/>
          <w:szCs w:val="20"/>
          <w:lang w:val="es-CO"/>
        </w:rPr>
        <w:t>Este Tribunal estima que el reconocimiento parcial de responsabilidad internacional constituye una contribución positiva al desarrollo de este proceso y a la vigencia de los principios que inspiran la Convención</w:t>
      </w:r>
      <w:r w:rsidRPr="00EC2F24">
        <w:rPr>
          <w:rFonts w:ascii="Verdana" w:hAnsi="Verdana" w:cs="Times New Roman"/>
          <w:spacing w:val="-2"/>
          <w:sz w:val="20"/>
          <w:szCs w:val="20"/>
          <w:vertAlign w:val="superscript"/>
          <w:lang w:val="es-EC"/>
        </w:rPr>
        <w:footnoteReference w:id="13"/>
      </w:r>
      <w:r w:rsidRPr="0044240B">
        <w:rPr>
          <w:rFonts w:ascii="Verdana" w:hAnsi="Verdana"/>
          <w:sz w:val="20"/>
          <w:szCs w:val="20"/>
          <w:lang w:val="es-CO"/>
        </w:rPr>
        <w:t>, así como a las necesidades de reparación de las víctimas</w:t>
      </w:r>
      <w:r w:rsidRPr="00EC2F24">
        <w:rPr>
          <w:rFonts w:ascii="Verdana" w:hAnsi="Verdana" w:cs="Times New Roman"/>
          <w:spacing w:val="-2"/>
          <w:sz w:val="20"/>
          <w:szCs w:val="20"/>
          <w:vertAlign w:val="superscript"/>
        </w:rPr>
        <w:footnoteReference w:id="14"/>
      </w:r>
      <w:r w:rsidRPr="0044240B">
        <w:rPr>
          <w:rFonts w:ascii="Verdana" w:hAnsi="Verdana"/>
          <w:sz w:val="20"/>
          <w:szCs w:val="20"/>
          <w:lang w:val="es-CO"/>
        </w:rPr>
        <w:t>.</w:t>
      </w:r>
    </w:p>
    <w:p w14:paraId="2C5B71AC" w14:textId="569E6C74" w:rsidR="000E6FC3" w:rsidRPr="005E2A26" w:rsidRDefault="000E6FC3" w:rsidP="00BC145C">
      <w:pPr>
        <w:pStyle w:val="Ttulo2"/>
        <w:rPr>
          <w:rFonts w:eastAsia="Verdana"/>
        </w:rPr>
      </w:pPr>
      <w:bookmarkStart w:id="4" w:name="_Toc25247720"/>
      <w:r w:rsidRPr="00EC2F24">
        <w:rPr>
          <w:rFonts w:eastAsia="Verdana"/>
        </w:rPr>
        <w:lastRenderedPageBreak/>
        <w:t>A. Reconocimiento parcial de responsabilidad del Estado sobre la alegada omisión al deber de investigar los actos de tortura</w:t>
      </w:r>
      <w:bookmarkEnd w:id="4"/>
    </w:p>
    <w:p w14:paraId="4B248C21" w14:textId="77777777" w:rsidR="000E6FC3" w:rsidRPr="00EC2F24" w:rsidRDefault="000E6FC3" w:rsidP="00BC145C">
      <w:pPr>
        <w:pStyle w:val="Ttulo3"/>
        <w:rPr>
          <w:lang w:val="es-CR"/>
        </w:rPr>
      </w:pPr>
      <w:bookmarkStart w:id="5" w:name="_Toc25247721"/>
      <w:r w:rsidRPr="00EC2F24">
        <w:rPr>
          <w:rFonts w:eastAsia="Calibri"/>
          <w:lang w:val="es-CR" w:eastAsia="es-CR"/>
        </w:rPr>
        <w:t>A.1</w:t>
      </w:r>
      <w:r w:rsidR="000B5EF6">
        <w:rPr>
          <w:rFonts w:eastAsia="Calibri"/>
          <w:lang w:val="es-CR" w:eastAsia="es-CR"/>
        </w:rPr>
        <w:t>.</w:t>
      </w:r>
      <w:r w:rsidRPr="00EC2F24">
        <w:rPr>
          <w:rFonts w:eastAsia="Calibri"/>
          <w:lang w:val="es-CR" w:eastAsia="es-CR"/>
        </w:rPr>
        <w:t xml:space="preserve"> Alegatos del Estado y observaciones de la Comisión y los representantes</w:t>
      </w:r>
      <w:bookmarkEnd w:id="5"/>
    </w:p>
    <w:p w14:paraId="5420B41D" w14:textId="77777777" w:rsidR="000E6FC3" w:rsidRPr="00EC2F24" w:rsidRDefault="000E6FC3" w:rsidP="00EC2F24">
      <w:pPr>
        <w:pStyle w:val="Prrafodelista"/>
        <w:autoSpaceDE w:val="0"/>
        <w:autoSpaceDN w:val="0"/>
        <w:adjustRightInd w:val="0"/>
        <w:spacing w:after="0" w:line="240" w:lineRule="auto"/>
        <w:ind w:left="0"/>
        <w:jc w:val="both"/>
        <w:rPr>
          <w:rFonts w:ascii="Verdana" w:hAnsi="Verdana"/>
          <w:sz w:val="20"/>
          <w:szCs w:val="20"/>
          <w:lang w:val="es-CR"/>
        </w:rPr>
      </w:pPr>
    </w:p>
    <w:p w14:paraId="05AAAC7B" w14:textId="035C8E9B" w:rsidR="0044240B" w:rsidRDefault="000E6FC3" w:rsidP="005406CA">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EC2F24">
        <w:rPr>
          <w:rFonts w:ascii="Verdana" w:hAnsi="Verdana"/>
          <w:sz w:val="20"/>
          <w:szCs w:val="20"/>
          <w:lang w:val="es-CR"/>
        </w:rPr>
        <w:t xml:space="preserve">En relación con la falta de investigación de las torturas alegadas por el señor Valenzuela, el </w:t>
      </w:r>
      <w:r w:rsidRPr="00EC2F24">
        <w:rPr>
          <w:rFonts w:ascii="Verdana" w:hAnsi="Verdana"/>
          <w:b/>
          <w:i/>
          <w:sz w:val="20"/>
          <w:szCs w:val="20"/>
          <w:lang w:val="es-CR"/>
        </w:rPr>
        <w:t>Estado</w:t>
      </w:r>
      <w:r w:rsidRPr="00EC2F24">
        <w:rPr>
          <w:rFonts w:ascii="Verdana" w:hAnsi="Verdana"/>
          <w:sz w:val="20"/>
          <w:szCs w:val="20"/>
          <w:lang w:val="es-CR"/>
        </w:rPr>
        <w:t xml:space="preserve"> </w:t>
      </w:r>
      <w:r w:rsidR="00E9047E">
        <w:rPr>
          <w:rFonts w:ascii="Verdana" w:hAnsi="Verdana"/>
          <w:sz w:val="20"/>
          <w:szCs w:val="20"/>
          <w:lang w:val="es-CR"/>
        </w:rPr>
        <w:t>reconoció de forma parcial su</w:t>
      </w:r>
      <w:r w:rsidRPr="00EC2F24">
        <w:rPr>
          <w:rFonts w:ascii="Verdana" w:hAnsi="Verdana"/>
          <w:sz w:val="20"/>
          <w:szCs w:val="20"/>
          <w:lang w:val="es-CR"/>
        </w:rPr>
        <w:t xml:space="preserve"> responsabilidad </w:t>
      </w:r>
      <w:r w:rsidRPr="00EC2F24">
        <w:rPr>
          <w:rFonts w:ascii="Verdana" w:eastAsia="Times New Roman" w:hAnsi="Verdana" w:cs="Times New Roman"/>
          <w:sz w:val="20"/>
          <w:szCs w:val="20"/>
          <w:lang w:eastAsia="es-CR"/>
        </w:rPr>
        <w:t xml:space="preserve">únicamente en cuanto a la falta de investigar </w:t>
      </w:r>
      <w:r w:rsidR="0012766B">
        <w:rPr>
          <w:rFonts w:ascii="Verdana" w:eastAsia="Times New Roman" w:hAnsi="Verdana" w:cs="Times New Roman"/>
          <w:sz w:val="20"/>
          <w:szCs w:val="20"/>
          <w:lang w:eastAsia="es-CR"/>
        </w:rPr>
        <w:t>los actos de tortura que fueron denunciadas</w:t>
      </w:r>
      <w:r w:rsidRPr="00EC2F24">
        <w:rPr>
          <w:rFonts w:ascii="Verdana" w:eastAsia="Times New Roman" w:hAnsi="Verdana" w:cs="Times New Roman"/>
          <w:sz w:val="20"/>
          <w:szCs w:val="20"/>
          <w:lang w:eastAsia="es-CR"/>
        </w:rPr>
        <w:t xml:space="preserve"> en varias ocasiones por el señor Valenzuela Ávila en violación de los artículos 8.1 y 25.1 de la Convenc</w:t>
      </w:r>
      <w:r w:rsidR="00D269CD">
        <w:rPr>
          <w:rFonts w:ascii="Verdana" w:eastAsia="Times New Roman" w:hAnsi="Verdana" w:cs="Times New Roman"/>
          <w:sz w:val="20"/>
          <w:szCs w:val="20"/>
          <w:lang w:eastAsia="es-CR"/>
        </w:rPr>
        <w:t>ión y el artículo 8 de la CIPST</w:t>
      </w:r>
      <w:r w:rsidRPr="00EC2F24">
        <w:rPr>
          <w:rFonts w:ascii="Verdana" w:eastAsia="Times New Roman" w:hAnsi="Verdana" w:cs="Times New Roman"/>
          <w:sz w:val="20"/>
          <w:szCs w:val="20"/>
          <w:lang w:eastAsia="es-CR"/>
        </w:rPr>
        <w:t xml:space="preserve">. Adicionalmente, </w:t>
      </w:r>
      <w:r w:rsidR="0046311F">
        <w:rPr>
          <w:rFonts w:ascii="Verdana" w:eastAsia="Times New Roman" w:hAnsi="Verdana" w:cs="Times New Roman"/>
          <w:sz w:val="20"/>
          <w:szCs w:val="20"/>
          <w:lang w:eastAsia="es-CR"/>
        </w:rPr>
        <w:t xml:space="preserve">manifestó que </w:t>
      </w:r>
      <w:r w:rsidRPr="00EC2F24">
        <w:rPr>
          <w:rFonts w:ascii="Verdana" w:eastAsia="Times New Roman" w:hAnsi="Verdana" w:cs="Times New Roman"/>
          <w:sz w:val="20"/>
          <w:szCs w:val="20"/>
          <w:lang w:eastAsia="es-CR"/>
        </w:rPr>
        <w:t xml:space="preserve">“a través de este acto, el Estado […] desea solicitar una disculpa pública al señor Tirso Román Valenzuela Ávila, a través de quienes lo representan en [el] proceso, por las implicaciones que esta omisión pudo conllevar a la víctima y a la sociedad guatemalteca en general”. </w:t>
      </w:r>
    </w:p>
    <w:p w14:paraId="7FA7AC64" w14:textId="77777777" w:rsidR="0044240B" w:rsidRDefault="0044240B" w:rsidP="0044240B">
      <w:pPr>
        <w:pStyle w:val="Prrafodelista"/>
        <w:autoSpaceDE w:val="0"/>
        <w:autoSpaceDN w:val="0"/>
        <w:adjustRightInd w:val="0"/>
        <w:spacing w:after="0" w:line="240" w:lineRule="auto"/>
        <w:ind w:left="0"/>
        <w:jc w:val="both"/>
        <w:rPr>
          <w:rFonts w:ascii="Verdana" w:hAnsi="Verdana"/>
          <w:sz w:val="20"/>
          <w:szCs w:val="20"/>
          <w:lang w:val="es-CR"/>
        </w:rPr>
      </w:pPr>
    </w:p>
    <w:p w14:paraId="5E8D83FE" w14:textId="10D7776D" w:rsidR="000E6FC3" w:rsidRPr="0044240B" w:rsidRDefault="000E6FC3" w:rsidP="005406CA">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44240B">
        <w:rPr>
          <w:rFonts w:ascii="Verdana" w:hAnsi="Verdana"/>
          <w:sz w:val="20"/>
          <w:szCs w:val="20"/>
          <w:lang w:val="es-CR"/>
        </w:rPr>
        <w:t xml:space="preserve">Los </w:t>
      </w:r>
      <w:r w:rsidRPr="0044240B">
        <w:rPr>
          <w:rFonts w:ascii="Verdana" w:hAnsi="Verdana"/>
          <w:b/>
          <w:i/>
          <w:sz w:val="20"/>
          <w:szCs w:val="20"/>
          <w:lang w:val="es-CR"/>
        </w:rPr>
        <w:t>representantes</w:t>
      </w:r>
      <w:r w:rsidRPr="0044240B">
        <w:rPr>
          <w:rFonts w:ascii="Verdana" w:hAnsi="Verdana"/>
          <w:sz w:val="20"/>
          <w:szCs w:val="20"/>
          <w:lang w:val="es-CR"/>
        </w:rPr>
        <w:t xml:space="preserve"> señalaron que el Estado ha expresado que ha violado su deber de garantía, </w:t>
      </w:r>
      <w:r w:rsidR="00185E84">
        <w:rPr>
          <w:rFonts w:ascii="Verdana" w:hAnsi="Verdana"/>
          <w:sz w:val="20"/>
          <w:szCs w:val="20"/>
          <w:lang w:val="es-CR"/>
        </w:rPr>
        <w:t>toda vez,</w:t>
      </w:r>
      <w:r w:rsidRPr="0044240B">
        <w:rPr>
          <w:rFonts w:ascii="Verdana" w:hAnsi="Verdana"/>
          <w:sz w:val="20"/>
          <w:szCs w:val="20"/>
          <w:lang w:val="es-CR"/>
        </w:rPr>
        <w:t xml:space="preserve"> que al aceptar que ha v</w:t>
      </w:r>
      <w:r w:rsidR="00A0439D">
        <w:rPr>
          <w:rFonts w:ascii="Verdana" w:hAnsi="Verdana"/>
          <w:sz w:val="20"/>
          <w:szCs w:val="20"/>
          <w:lang w:val="es-CR"/>
        </w:rPr>
        <w:t>ulnerado</w:t>
      </w:r>
      <w:r w:rsidRPr="0044240B">
        <w:rPr>
          <w:rFonts w:ascii="Verdana" w:hAnsi="Verdana"/>
          <w:sz w:val="20"/>
          <w:szCs w:val="20"/>
          <w:lang w:val="es-CR"/>
        </w:rPr>
        <w:t xml:space="preserve"> el artículo 6 de la CIPST ha incumplido su deber de tomar medidas efectivas para prevenir y sancionar adecuadamente los actos de tortura. </w:t>
      </w:r>
      <w:r w:rsidR="00185E84">
        <w:rPr>
          <w:rFonts w:ascii="Verdana" w:hAnsi="Verdana"/>
          <w:sz w:val="20"/>
          <w:szCs w:val="20"/>
          <w:lang w:val="es-CR"/>
        </w:rPr>
        <w:t>Asimismo, indicaron</w:t>
      </w:r>
      <w:r w:rsidR="00185E84" w:rsidRPr="0044240B">
        <w:rPr>
          <w:rFonts w:ascii="Verdana" w:hAnsi="Verdana"/>
          <w:sz w:val="20"/>
          <w:szCs w:val="20"/>
          <w:lang w:val="es-CR"/>
        </w:rPr>
        <w:t xml:space="preserve"> </w:t>
      </w:r>
      <w:r w:rsidRPr="0044240B">
        <w:rPr>
          <w:rFonts w:ascii="Verdana" w:hAnsi="Verdana"/>
          <w:sz w:val="20"/>
          <w:szCs w:val="20"/>
          <w:lang w:val="es-CR"/>
        </w:rPr>
        <w:t>que el reconocimiento de responsabilidad se extiende a la omisión de obtener una evaluación y asistencia médica a favor de la presunta víctima por las lesiones ocasionadas por las torturas. También incluiría la negación por parte de la Corte de Apelaciones de adoptar las medidas necesarias para que se proveyera asistencia médica.</w:t>
      </w:r>
      <w:r w:rsidRPr="0044240B">
        <w:rPr>
          <w:rFonts w:ascii="Verdana" w:hAnsi="Verdana"/>
          <w:b/>
          <w:sz w:val="20"/>
          <w:szCs w:val="20"/>
          <w:lang w:val="es-CR"/>
        </w:rPr>
        <w:t xml:space="preserve"> </w:t>
      </w:r>
      <w:r w:rsidRPr="0044240B">
        <w:rPr>
          <w:rFonts w:ascii="Verdana" w:hAnsi="Verdana"/>
          <w:sz w:val="20"/>
          <w:szCs w:val="20"/>
          <w:lang w:val="es-CR"/>
        </w:rPr>
        <w:t>Los representant</w:t>
      </w:r>
      <w:r w:rsidR="005B65FA">
        <w:rPr>
          <w:rFonts w:ascii="Verdana" w:hAnsi="Verdana"/>
          <w:sz w:val="20"/>
          <w:szCs w:val="20"/>
          <w:lang w:val="es-CR"/>
        </w:rPr>
        <w:t>es solicitaron que todo esto fuera</w:t>
      </w:r>
      <w:r w:rsidRPr="0044240B">
        <w:rPr>
          <w:rFonts w:ascii="Verdana" w:hAnsi="Verdana"/>
          <w:sz w:val="20"/>
          <w:szCs w:val="20"/>
          <w:lang w:val="es-CR"/>
        </w:rPr>
        <w:t xml:space="preserve"> dilucidado en </w:t>
      </w:r>
      <w:r w:rsidR="00E9047E">
        <w:rPr>
          <w:rFonts w:ascii="Verdana" w:hAnsi="Verdana"/>
          <w:sz w:val="20"/>
          <w:szCs w:val="20"/>
          <w:lang w:val="es-CR"/>
        </w:rPr>
        <w:t xml:space="preserve">la </w:t>
      </w:r>
      <w:r w:rsidRPr="0044240B">
        <w:rPr>
          <w:rFonts w:ascii="Verdana" w:hAnsi="Verdana"/>
          <w:sz w:val="20"/>
          <w:szCs w:val="20"/>
          <w:lang w:val="es-CR"/>
        </w:rPr>
        <w:t>sentencia.</w:t>
      </w:r>
      <w:r w:rsidRPr="0044240B">
        <w:rPr>
          <w:rFonts w:ascii="Verdana" w:hAnsi="Verdana"/>
          <w:b/>
          <w:sz w:val="20"/>
          <w:szCs w:val="20"/>
          <w:lang w:val="es-CR"/>
        </w:rPr>
        <w:t xml:space="preserve"> </w:t>
      </w:r>
      <w:r w:rsidRPr="0044240B">
        <w:rPr>
          <w:rFonts w:ascii="Verdana" w:hAnsi="Verdana"/>
          <w:sz w:val="20"/>
          <w:szCs w:val="20"/>
          <w:lang w:val="es-CR"/>
        </w:rPr>
        <w:t>Por último, señalaron que como consecuencia natural de la aceptación de responsabilidad internacional el Estado ha reconocido implícitamente otros hechos y violaciones que derivan directamente del patrón de impunidad generalizado que existía en el país por su incumplimiento al deber de garantía.</w:t>
      </w:r>
      <w:r w:rsidRPr="0044240B">
        <w:rPr>
          <w:rFonts w:ascii="Verdana" w:hAnsi="Verdana"/>
          <w:b/>
          <w:sz w:val="20"/>
          <w:szCs w:val="20"/>
          <w:lang w:val="es-CR"/>
        </w:rPr>
        <w:t xml:space="preserve"> </w:t>
      </w:r>
    </w:p>
    <w:p w14:paraId="760D974A" w14:textId="77777777" w:rsidR="000E6FC3" w:rsidRPr="00EC2F24" w:rsidRDefault="000E6FC3" w:rsidP="00EC2F24">
      <w:pPr>
        <w:pStyle w:val="Prrafodelista"/>
        <w:autoSpaceDE w:val="0"/>
        <w:autoSpaceDN w:val="0"/>
        <w:adjustRightInd w:val="0"/>
        <w:spacing w:after="0" w:line="240" w:lineRule="auto"/>
        <w:ind w:left="0"/>
        <w:jc w:val="both"/>
        <w:rPr>
          <w:rFonts w:ascii="Verdana" w:hAnsi="Verdana"/>
          <w:sz w:val="20"/>
          <w:szCs w:val="20"/>
          <w:lang w:val="es-CR"/>
        </w:rPr>
      </w:pPr>
    </w:p>
    <w:p w14:paraId="0271E0EE" w14:textId="77777777" w:rsidR="000E6FC3" w:rsidRPr="007D2326" w:rsidRDefault="000E6FC3" w:rsidP="005406CA">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EC2F24">
        <w:rPr>
          <w:rFonts w:ascii="Verdana" w:hAnsi="Verdana"/>
          <w:sz w:val="20"/>
          <w:szCs w:val="20"/>
          <w:lang w:val="es-CR"/>
        </w:rPr>
        <w:t xml:space="preserve">La </w:t>
      </w:r>
      <w:r w:rsidRPr="00EC2F24">
        <w:rPr>
          <w:rFonts w:ascii="Verdana" w:hAnsi="Verdana"/>
          <w:b/>
          <w:i/>
          <w:sz w:val="20"/>
          <w:szCs w:val="20"/>
          <w:lang w:val="es-CR"/>
        </w:rPr>
        <w:t>Comisión</w:t>
      </w:r>
      <w:r w:rsidRPr="00EC2F24">
        <w:rPr>
          <w:rFonts w:ascii="Verdana" w:hAnsi="Verdana"/>
          <w:i/>
          <w:sz w:val="20"/>
          <w:szCs w:val="20"/>
          <w:lang w:val="es-CR"/>
        </w:rPr>
        <w:t xml:space="preserve"> </w:t>
      </w:r>
      <w:r w:rsidRPr="00EC2F24">
        <w:rPr>
          <w:rFonts w:ascii="Verdana" w:hAnsi="Verdana"/>
          <w:sz w:val="20"/>
          <w:szCs w:val="20"/>
          <w:lang w:val="es-CR"/>
        </w:rPr>
        <w:t>valoró positivamente el reconocimiento de responsabilidad internacional del Estado y subrayó que ha cesado la controversia únicamente en lo concerniente a la omisión del Estado de iniciar de oficio investigaciones de manera diligente, efectiva y en un plazo razonable frente a las denuncias de tortura de la presunta víctima</w:t>
      </w:r>
      <w:r w:rsidR="000C759B">
        <w:rPr>
          <w:rFonts w:ascii="Verdana" w:hAnsi="Verdana"/>
          <w:sz w:val="20"/>
          <w:szCs w:val="20"/>
          <w:lang w:val="es-CR"/>
        </w:rPr>
        <w:t>.</w:t>
      </w:r>
    </w:p>
    <w:p w14:paraId="65CEC56D" w14:textId="77777777" w:rsidR="007D2326" w:rsidRPr="005E2A26" w:rsidRDefault="007D2326" w:rsidP="007D2326">
      <w:pPr>
        <w:pStyle w:val="Prrafodelista"/>
        <w:autoSpaceDE w:val="0"/>
        <w:autoSpaceDN w:val="0"/>
        <w:adjustRightInd w:val="0"/>
        <w:spacing w:after="0" w:line="240" w:lineRule="auto"/>
        <w:ind w:left="0"/>
        <w:jc w:val="both"/>
        <w:rPr>
          <w:rFonts w:ascii="Verdana" w:hAnsi="Verdana"/>
          <w:sz w:val="20"/>
          <w:szCs w:val="20"/>
          <w:lang w:val="es-CR"/>
        </w:rPr>
      </w:pPr>
    </w:p>
    <w:p w14:paraId="4878E4EE" w14:textId="05E2D5AD" w:rsidR="000E6FC3" w:rsidRPr="00EC2F24" w:rsidRDefault="000E6FC3" w:rsidP="00CB2F05">
      <w:pPr>
        <w:pStyle w:val="Ttulo3"/>
        <w:spacing w:before="0"/>
        <w:ind w:left="706"/>
        <w:rPr>
          <w:rFonts w:eastAsia="Calibri"/>
          <w:lang w:val="es-CR" w:eastAsia="es-CR"/>
        </w:rPr>
      </w:pPr>
      <w:bookmarkStart w:id="6" w:name="_Toc25247722"/>
      <w:r w:rsidRPr="00EC2F24">
        <w:rPr>
          <w:rFonts w:eastAsia="Calibri"/>
          <w:lang w:val="es-CR" w:eastAsia="es-CR"/>
        </w:rPr>
        <w:t>A.2</w:t>
      </w:r>
      <w:r w:rsidR="00F51963">
        <w:rPr>
          <w:rFonts w:eastAsia="Calibri"/>
          <w:lang w:val="es-CR" w:eastAsia="es-CR"/>
        </w:rPr>
        <w:t>.</w:t>
      </w:r>
      <w:r w:rsidRPr="00EC2F24">
        <w:rPr>
          <w:rFonts w:eastAsia="Calibri"/>
          <w:lang w:val="es-CR" w:eastAsia="es-CR"/>
        </w:rPr>
        <w:t xml:space="preserve"> Consideraciones de la Corte</w:t>
      </w:r>
      <w:bookmarkEnd w:id="6"/>
      <w:r w:rsidRPr="00EC2F24">
        <w:rPr>
          <w:rFonts w:eastAsia="Calibri"/>
          <w:lang w:val="es-CR" w:eastAsia="es-CR"/>
        </w:rPr>
        <w:t xml:space="preserve"> </w:t>
      </w:r>
    </w:p>
    <w:p w14:paraId="60F35261" w14:textId="77777777" w:rsidR="000E6FC3" w:rsidRPr="00EC2F24" w:rsidRDefault="000E6FC3" w:rsidP="002A1142">
      <w:pPr>
        <w:spacing w:after="0"/>
        <w:rPr>
          <w:lang w:val="es-CR"/>
        </w:rPr>
      </w:pPr>
    </w:p>
    <w:p w14:paraId="71AC3DDC" w14:textId="5E8794E4" w:rsidR="00312196" w:rsidRDefault="000E6FC3" w:rsidP="005406CA">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EC2F24">
        <w:rPr>
          <w:rFonts w:ascii="Verdana" w:hAnsi="Verdana"/>
          <w:sz w:val="20"/>
          <w:szCs w:val="20"/>
          <w:lang w:val="es-CR"/>
        </w:rPr>
        <w:t xml:space="preserve">Teniendo en cuenta que el Estado </w:t>
      </w:r>
      <w:r w:rsidR="005B65FA">
        <w:rPr>
          <w:rFonts w:ascii="Verdana" w:hAnsi="Verdana"/>
          <w:sz w:val="20"/>
          <w:szCs w:val="20"/>
          <w:lang w:val="es-CR"/>
        </w:rPr>
        <w:t>reconoció parcialmente</w:t>
      </w:r>
      <w:r w:rsidRPr="00EC2F24">
        <w:rPr>
          <w:rFonts w:ascii="Verdana" w:hAnsi="Verdana"/>
          <w:sz w:val="20"/>
          <w:szCs w:val="20"/>
          <w:lang w:val="es-CR"/>
        </w:rPr>
        <w:t xml:space="preserve"> su responsabilidad internacional</w:t>
      </w:r>
      <w:r w:rsidR="00745CFD" w:rsidRPr="00EC2F24">
        <w:rPr>
          <w:rFonts w:ascii="Verdana" w:hAnsi="Verdana"/>
          <w:sz w:val="20"/>
          <w:szCs w:val="20"/>
          <w:lang w:val="es-CR"/>
        </w:rPr>
        <w:t xml:space="preserve">, la Corte </w:t>
      </w:r>
      <w:r w:rsidRPr="00EC2F24">
        <w:rPr>
          <w:rFonts w:ascii="Verdana" w:hAnsi="Verdana"/>
          <w:sz w:val="20"/>
          <w:szCs w:val="20"/>
          <w:lang w:val="es-CR"/>
        </w:rPr>
        <w:t xml:space="preserve">considera que la controversia ha cesado respecto a la omisión del Estado de su deber de investigar los alegados actos de tortura </w:t>
      </w:r>
      <w:r w:rsidR="00745CFD" w:rsidRPr="00EC2F24">
        <w:rPr>
          <w:rFonts w:ascii="Verdana" w:hAnsi="Verdana"/>
          <w:sz w:val="20"/>
          <w:szCs w:val="20"/>
          <w:lang w:val="es-CR"/>
        </w:rPr>
        <w:t xml:space="preserve">y tratos crueles, </w:t>
      </w:r>
      <w:r w:rsidR="00BD2F36">
        <w:rPr>
          <w:rFonts w:ascii="Verdana" w:hAnsi="Verdana"/>
          <w:sz w:val="20"/>
          <w:szCs w:val="20"/>
          <w:lang w:val="es-CR"/>
        </w:rPr>
        <w:t xml:space="preserve">inhumanos </w:t>
      </w:r>
      <w:r w:rsidR="00FB0250">
        <w:rPr>
          <w:rFonts w:ascii="Verdana" w:hAnsi="Verdana"/>
          <w:sz w:val="20"/>
          <w:szCs w:val="20"/>
          <w:lang w:val="es-CR"/>
        </w:rPr>
        <w:t>y</w:t>
      </w:r>
      <w:r w:rsidR="00BD2F36">
        <w:rPr>
          <w:rFonts w:ascii="Verdana" w:hAnsi="Verdana"/>
          <w:sz w:val="20"/>
          <w:szCs w:val="20"/>
          <w:lang w:val="es-CR"/>
        </w:rPr>
        <w:t xml:space="preserve"> </w:t>
      </w:r>
      <w:r w:rsidR="00745CFD" w:rsidRPr="00EC2F24">
        <w:rPr>
          <w:rFonts w:ascii="Verdana" w:hAnsi="Verdana"/>
          <w:sz w:val="20"/>
          <w:szCs w:val="20"/>
          <w:lang w:val="es-CR"/>
        </w:rPr>
        <w:t>degradantes</w:t>
      </w:r>
      <w:r w:rsidRPr="00EC2F24">
        <w:rPr>
          <w:rFonts w:ascii="Verdana" w:hAnsi="Verdana"/>
          <w:sz w:val="20"/>
          <w:szCs w:val="20"/>
          <w:lang w:val="es-CR"/>
        </w:rPr>
        <w:t>. En consecuencia, este Tribunal entiende que el Estado ha aceptado su responsabilidad internacional por la falta de investigar de oficio los alegados actos de tortura y tratos crueles, inhumanos</w:t>
      </w:r>
      <w:r w:rsidR="00BD2F36" w:rsidRPr="00BD2F36">
        <w:rPr>
          <w:rFonts w:ascii="Verdana" w:hAnsi="Verdana"/>
          <w:sz w:val="20"/>
          <w:szCs w:val="20"/>
          <w:lang w:val="es-CR"/>
        </w:rPr>
        <w:t xml:space="preserve"> </w:t>
      </w:r>
      <w:r w:rsidR="00BD2F36">
        <w:rPr>
          <w:rFonts w:ascii="Verdana" w:hAnsi="Verdana"/>
          <w:sz w:val="20"/>
          <w:szCs w:val="20"/>
          <w:lang w:val="es-CR"/>
        </w:rPr>
        <w:t>y degradantes</w:t>
      </w:r>
      <w:r w:rsidRPr="00EC2F24">
        <w:rPr>
          <w:rFonts w:ascii="Verdana" w:hAnsi="Verdana"/>
          <w:sz w:val="20"/>
          <w:szCs w:val="20"/>
          <w:lang w:val="es-CR"/>
        </w:rPr>
        <w:t>, en</w:t>
      </w:r>
      <w:r w:rsidR="00BD2F36">
        <w:rPr>
          <w:rFonts w:ascii="Verdana" w:hAnsi="Verdana"/>
          <w:sz w:val="20"/>
          <w:szCs w:val="20"/>
          <w:lang w:val="es-CR"/>
        </w:rPr>
        <w:t xml:space="preserve"> </w:t>
      </w:r>
      <w:r w:rsidRPr="00EC2F24">
        <w:rPr>
          <w:rFonts w:ascii="Verdana" w:hAnsi="Verdana"/>
          <w:sz w:val="20"/>
          <w:szCs w:val="20"/>
          <w:lang w:val="es-CR"/>
        </w:rPr>
        <w:t>violación de los artículos 8.1 y 25.1 de la Convención Americana, en relación con el artículo 1.1 de la Convención</w:t>
      </w:r>
      <w:r w:rsidRPr="00BD2F36">
        <w:rPr>
          <w:rFonts w:ascii="Verdana" w:hAnsi="Verdana"/>
          <w:sz w:val="20"/>
          <w:szCs w:val="20"/>
          <w:lang w:val="es-CR"/>
        </w:rPr>
        <w:t xml:space="preserve">, </w:t>
      </w:r>
      <w:r w:rsidRPr="00DF5CC8">
        <w:rPr>
          <w:rFonts w:ascii="Verdana" w:hAnsi="Verdana"/>
          <w:sz w:val="20"/>
          <w:szCs w:val="20"/>
          <w:lang w:val="es-CR"/>
        </w:rPr>
        <w:t>así como los artículos</w:t>
      </w:r>
      <w:r w:rsidRPr="00BD2F36">
        <w:rPr>
          <w:rFonts w:ascii="Verdana" w:hAnsi="Verdana"/>
          <w:sz w:val="20"/>
          <w:szCs w:val="20"/>
          <w:lang w:val="es-CR"/>
        </w:rPr>
        <w:t xml:space="preserve"> </w:t>
      </w:r>
      <w:r w:rsidRPr="00DF5CC8">
        <w:rPr>
          <w:rFonts w:ascii="Verdana" w:hAnsi="Verdana"/>
          <w:sz w:val="20"/>
          <w:szCs w:val="20"/>
          <w:lang w:val="es-CR"/>
        </w:rPr>
        <w:t>1, 6 y</w:t>
      </w:r>
      <w:r w:rsidRPr="00BD2F36">
        <w:rPr>
          <w:rFonts w:ascii="Verdana" w:hAnsi="Verdana"/>
          <w:sz w:val="20"/>
          <w:szCs w:val="20"/>
          <w:lang w:val="es-CR"/>
        </w:rPr>
        <w:t xml:space="preserve"> 8 de la CIPST</w:t>
      </w:r>
      <w:r w:rsidR="00745CFD" w:rsidRPr="00BD2F36">
        <w:rPr>
          <w:rFonts w:ascii="Verdana" w:hAnsi="Verdana"/>
          <w:sz w:val="20"/>
          <w:szCs w:val="20"/>
          <w:lang w:val="es-CR"/>
        </w:rPr>
        <w:t>, en perjuicio del</w:t>
      </w:r>
      <w:r w:rsidR="00745CFD" w:rsidRPr="00EC2F24">
        <w:rPr>
          <w:rFonts w:ascii="Verdana" w:hAnsi="Verdana"/>
          <w:sz w:val="20"/>
          <w:szCs w:val="20"/>
          <w:lang w:val="es-CR"/>
        </w:rPr>
        <w:t xml:space="preserve"> señor Valenzuela Ávila</w:t>
      </w:r>
      <w:r w:rsidRPr="00EC2F24">
        <w:rPr>
          <w:rFonts w:ascii="Verdana" w:hAnsi="Verdana"/>
          <w:sz w:val="20"/>
          <w:szCs w:val="20"/>
          <w:lang w:val="es-CR"/>
        </w:rPr>
        <w:t>.</w:t>
      </w:r>
    </w:p>
    <w:p w14:paraId="77CE0CF7" w14:textId="77777777" w:rsidR="00312196" w:rsidRDefault="00312196" w:rsidP="00312196">
      <w:pPr>
        <w:pStyle w:val="Prrafodelista"/>
        <w:autoSpaceDE w:val="0"/>
        <w:autoSpaceDN w:val="0"/>
        <w:adjustRightInd w:val="0"/>
        <w:spacing w:after="0" w:line="240" w:lineRule="auto"/>
        <w:ind w:left="0"/>
        <w:jc w:val="both"/>
        <w:rPr>
          <w:rFonts w:ascii="Verdana" w:hAnsi="Verdana"/>
          <w:sz w:val="20"/>
          <w:szCs w:val="20"/>
          <w:lang w:val="es-CR"/>
        </w:rPr>
      </w:pPr>
    </w:p>
    <w:p w14:paraId="36D45D3C" w14:textId="77777777" w:rsidR="000E6FC3" w:rsidRPr="00A03445" w:rsidRDefault="000E6FC3" w:rsidP="005406CA">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312196">
        <w:rPr>
          <w:rFonts w:ascii="Verdana" w:hAnsi="Verdana"/>
          <w:sz w:val="20"/>
          <w:szCs w:val="20"/>
          <w:lang w:val="es-CO"/>
        </w:rPr>
        <w:t xml:space="preserve">En </w:t>
      </w:r>
      <w:r w:rsidR="00745CFD" w:rsidRPr="00312196">
        <w:rPr>
          <w:rFonts w:ascii="Verdana" w:hAnsi="Verdana"/>
          <w:sz w:val="20"/>
          <w:szCs w:val="20"/>
          <w:lang w:val="es-CO"/>
        </w:rPr>
        <w:t xml:space="preserve">consideración del </w:t>
      </w:r>
      <w:r w:rsidRPr="00312196">
        <w:rPr>
          <w:rFonts w:ascii="Verdana" w:hAnsi="Verdana"/>
          <w:sz w:val="20"/>
          <w:szCs w:val="20"/>
          <w:lang w:val="es-CO"/>
        </w:rPr>
        <w:t>reconocimiento parcial de responsabilidad internacional</w:t>
      </w:r>
      <w:r w:rsidR="00745CFD" w:rsidRPr="00312196">
        <w:rPr>
          <w:rFonts w:ascii="Verdana" w:hAnsi="Verdana"/>
          <w:sz w:val="20"/>
          <w:szCs w:val="20"/>
          <w:lang w:val="es-CO"/>
        </w:rPr>
        <w:t xml:space="preserve"> del Estado</w:t>
      </w:r>
      <w:r w:rsidRPr="00312196">
        <w:rPr>
          <w:rFonts w:ascii="Verdana" w:hAnsi="Verdana"/>
          <w:sz w:val="20"/>
          <w:szCs w:val="20"/>
          <w:lang w:val="es-CO"/>
        </w:rPr>
        <w:t xml:space="preserve">, y las observaciones la Comisión y de los representantes, </w:t>
      </w:r>
      <w:r w:rsidRPr="00312196">
        <w:rPr>
          <w:rFonts w:ascii="Verdana" w:hAnsi="Verdana"/>
          <w:snapToGrid w:val="0"/>
          <w:spacing w:val="-2"/>
          <w:sz w:val="20"/>
          <w:szCs w:val="20"/>
          <w:lang w:val="es-CR" w:eastAsia="es-ES"/>
        </w:rPr>
        <w:t xml:space="preserve">la Corte </w:t>
      </w:r>
      <w:r w:rsidR="00745CFD" w:rsidRPr="00312196">
        <w:rPr>
          <w:rFonts w:ascii="Verdana" w:hAnsi="Verdana"/>
          <w:snapToGrid w:val="0"/>
          <w:spacing w:val="-2"/>
          <w:sz w:val="20"/>
          <w:szCs w:val="20"/>
          <w:lang w:val="es-CR" w:eastAsia="es-ES"/>
        </w:rPr>
        <w:t xml:space="preserve">considera </w:t>
      </w:r>
      <w:r w:rsidRPr="00312196">
        <w:rPr>
          <w:rFonts w:ascii="Verdana" w:hAnsi="Verdana"/>
          <w:snapToGrid w:val="0"/>
          <w:spacing w:val="-2"/>
          <w:sz w:val="20"/>
          <w:szCs w:val="20"/>
          <w:lang w:val="es-CR" w:eastAsia="es-ES"/>
        </w:rPr>
        <w:t xml:space="preserve">que se mantiene la controversia en los demás aspectos de hecho y </w:t>
      </w:r>
      <w:proofErr w:type="gramStart"/>
      <w:r w:rsidRPr="00312196">
        <w:rPr>
          <w:rFonts w:ascii="Verdana" w:hAnsi="Verdana"/>
          <w:snapToGrid w:val="0"/>
          <w:spacing w:val="-2"/>
          <w:sz w:val="20"/>
          <w:szCs w:val="20"/>
          <w:lang w:val="es-CR" w:eastAsia="es-ES"/>
        </w:rPr>
        <w:t>derecho alegados</w:t>
      </w:r>
      <w:proofErr w:type="gramEnd"/>
      <w:r w:rsidRPr="00312196">
        <w:rPr>
          <w:rFonts w:ascii="Verdana" w:hAnsi="Verdana"/>
          <w:snapToGrid w:val="0"/>
          <w:spacing w:val="-2"/>
          <w:sz w:val="20"/>
          <w:szCs w:val="20"/>
          <w:lang w:val="es-CR" w:eastAsia="es-ES"/>
        </w:rPr>
        <w:t xml:space="preserve"> en el presente caso, en relación con los artículos 1.1, 2, 4, 5, 7, 8, 9, 11, 17, 19 y 25 de la Convención Americana, y en l</w:t>
      </w:r>
      <w:r w:rsidR="0084020D" w:rsidRPr="00312196">
        <w:rPr>
          <w:rFonts w:ascii="Verdana" w:hAnsi="Verdana"/>
          <w:snapToGrid w:val="0"/>
          <w:spacing w:val="-2"/>
          <w:sz w:val="20"/>
          <w:szCs w:val="20"/>
          <w:lang w:val="es-CR" w:eastAsia="es-ES"/>
        </w:rPr>
        <w:t xml:space="preserve">o pertinente, la </w:t>
      </w:r>
      <w:r w:rsidR="0084020D" w:rsidRPr="004D466D">
        <w:rPr>
          <w:rFonts w:ascii="Verdana" w:hAnsi="Verdana"/>
          <w:snapToGrid w:val="0"/>
          <w:spacing w:val="-2"/>
          <w:sz w:val="20"/>
          <w:szCs w:val="20"/>
          <w:lang w:val="es-CR" w:eastAsia="es-ES"/>
        </w:rPr>
        <w:t>violación de</w:t>
      </w:r>
      <w:r w:rsidR="004D466D">
        <w:rPr>
          <w:rFonts w:ascii="Verdana" w:hAnsi="Verdana"/>
          <w:snapToGrid w:val="0"/>
          <w:spacing w:val="-2"/>
          <w:sz w:val="20"/>
          <w:szCs w:val="20"/>
          <w:lang w:val="es-CR" w:eastAsia="es-ES"/>
        </w:rPr>
        <w:t xml:space="preserve"> los</w:t>
      </w:r>
      <w:r w:rsidR="0084020D" w:rsidRPr="004D466D">
        <w:rPr>
          <w:rFonts w:ascii="Verdana" w:hAnsi="Verdana"/>
          <w:snapToGrid w:val="0"/>
          <w:spacing w:val="-2"/>
          <w:sz w:val="20"/>
          <w:szCs w:val="20"/>
          <w:lang w:val="es-CR" w:eastAsia="es-ES"/>
        </w:rPr>
        <w:t xml:space="preserve"> </w:t>
      </w:r>
      <w:r w:rsidR="0084020D" w:rsidRPr="000673D3">
        <w:rPr>
          <w:rFonts w:ascii="Verdana" w:hAnsi="Verdana"/>
          <w:snapToGrid w:val="0"/>
          <w:spacing w:val="-2"/>
          <w:sz w:val="20"/>
          <w:szCs w:val="20"/>
          <w:lang w:val="es-CR" w:eastAsia="es-ES"/>
        </w:rPr>
        <w:t>artículo</w:t>
      </w:r>
      <w:r w:rsidR="004D466D" w:rsidRPr="000673D3">
        <w:rPr>
          <w:rFonts w:ascii="Verdana" w:hAnsi="Verdana"/>
          <w:snapToGrid w:val="0"/>
          <w:spacing w:val="-2"/>
          <w:sz w:val="20"/>
          <w:szCs w:val="20"/>
          <w:lang w:val="es-CR" w:eastAsia="es-ES"/>
        </w:rPr>
        <w:t>s</w:t>
      </w:r>
      <w:r w:rsidR="0084020D" w:rsidRPr="000673D3">
        <w:rPr>
          <w:rFonts w:ascii="Verdana" w:hAnsi="Verdana"/>
          <w:snapToGrid w:val="0"/>
          <w:spacing w:val="-2"/>
          <w:sz w:val="20"/>
          <w:szCs w:val="20"/>
          <w:lang w:val="es-CR" w:eastAsia="es-ES"/>
        </w:rPr>
        <w:t xml:space="preserve"> </w:t>
      </w:r>
      <w:r w:rsidR="009D2931" w:rsidRPr="005179D0">
        <w:rPr>
          <w:rFonts w:ascii="Verdana" w:hAnsi="Verdana"/>
          <w:snapToGrid w:val="0"/>
          <w:spacing w:val="-2"/>
          <w:sz w:val="20"/>
          <w:szCs w:val="20"/>
          <w:lang w:val="es-CR" w:eastAsia="es-ES"/>
        </w:rPr>
        <w:t xml:space="preserve">7 y </w:t>
      </w:r>
      <w:r w:rsidRPr="005179D0">
        <w:rPr>
          <w:rFonts w:ascii="Verdana" w:hAnsi="Verdana"/>
          <w:snapToGrid w:val="0"/>
          <w:spacing w:val="-2"/>
          <w:sz w:val="20"/>
          <w:szCs w:val="20"/>
          <w:lang w:val="es-CR" w:eastAsia="es-ES"/>
        </w:rPr>
        <w:t>10 de la CIPST</w:t>
      </w:r>
      <w:r w:rsidRPr="000673D3">
        <w:rPr>
          <w:rFonts w:ascii="Verdana" w:hAnsi="Verdana"/>
          <w:snapToGrid w:val="0"/>
          <w:spacing w:val="-2"/>
          <w:sz w:val="20"/>
          <w:szCs w:val="20"/>
          <w:lang w:val="es-CR" w:eastAsia="es-ES"/>
        </w:rPr>
        <w:t>.</w:t>
      </w:r>
    </w:p>
    <w:p w14:paraId="54EA63AC" w14:textId="77777777" w:rsidR="00A03445" w:rsidRPr="00A03445" w:rsidRDefault="00A03445" w:rsidP="00A03445">
      <w:pPr>
        <w:pStyle w:val="Prrafodelista"/>
        <w:rPr>
          <w:rFonts w:ascii="Verdana" w:hAnsi="Verdana"/>
          <w:sz w:val="20"/>
          <w:szCs w:val="20"/>
          <w:lang w:val="es-CR"/>
        </w:rPr>
      </w:pPr>
    </w:p>
    <w:p w14:paraId="7DF902B9" w14:textId="77777777" w:rsidR="00A03445" w:rsidRPr="005E2A26" w:rsidRDefault="00A03445" w:rsidP="00A03445">
      <w:pPr>
        <w:pStyle w:val="Prrafodelista"/>
        <w:autoSpaceDE w:val="0"/>
        <w:autoSpaceDN w:val="0"/>
        <w:adjustRightInd w:val="0"/>
        <w:spacing w:after="0" w:line="240" w:lineRule="auto"/>
        <w:ind w:left="0"/>
        <w:jc w:val="both"/>
        <w:rPr>
          <w:rFonts w:ascii="Verdana" w:hAnsi="Verdana"/>
          <w:sz w:val="20"/>
          <w:szCs w:val="20"/>
          <w:lang w:val="es-CR"/>
        </w:rPr>
      </w:pPr>
    </w:p>
    <w:p w14:paraId="0C09AA3B" w14:textId="16B377D5" w:rsidR="00185D5C" w:rsidRPr="005E2A26" w:rsidRDefault="000E6FC3" w:rsidP="005E2A26">
      <w:pPr>
        <w:pStyle w:val="Ttulo2"/>
        <w:rPr>
          <w:rFonts w:eastAsia="Verdana"/>
          <w:lang w:val="es-CR"/>
        </w:rPr>
      </w:pPr>
      <w:bookmarkStart w:id="7" w:name="_Toc25247723"/>
      <w:r w:rsidRPr="00EC2F24">
        <w:rPr>
          <w:rFonts w:eastAsia="Verdana"/>
          <w:lang w:val="es-CR"/>
        </w:rPr>
        <w:lastRenderedPageBreak/>
        <w:t xml:space="preserve">B. Reconocimiento parcial de </w:t>
      </w:r>
      <w:r w:rsidR="00BD2F36">
        <w:rPr>
          <w:rFonts w:eastAsia="Verdana"/>
          <w:lang w:val="es-CR"/>
        </w:rPr>
        <w:t>r</w:t>
      </w:r>
      <w:r w:rsidRPr="00EC2F24">
        <w:rPr>
          <w:rFonts w:eastAsia="Verdana"/>
          <w:lang w:val="es-CR"/>
        </w:rPr>
        <w:t>esponsabilidad del Estado sobre la necesidad de reformar el artículo 201 bis del Código Penal que tipifica el delito de tortura</w:t>
      </w:r>
      <w:bookmarkEnd w:id="7"/>
    </w:p>
    <w:p w14:paraId="69D44E55" w14:textId="1DDB7ED1" w:rsidR="000E6FC3" w:rsidRPr="00EC2F24" w:rsidRDefault="002A64DD" w:rsidP="00805F0E">
      <w:pPr>
        <w:pStyle w:val="Ttulo3"/>
        <w:rPr>
          <w:lang w:val="es-CR"/>
        </w:rPr>
      </w:pPr>
      <w:bookmarkStart w:id="8" w:name="_Toc25247724"/>
      <w:r w:rsidRPr="00EC2F24">
        <w:rPr>
          <w:rFonts w:eastAsia="Calibri"/>
          <w:lang w:val="es-CR" w:eastAsia="es-CR"/>
        </w:rPr>
        <w:t>B</w:t>
      </w:r>
      <w:r w:rsidR="000E6FC3" w:rsidRPr="00EC2F24">
        <w:rPr>
          <w:rFonts w:eastAsia="Calibri"/>
          <w:lang w:val="es-CR" w:eastAsia="es-CR"/>
        </w:rPr>
        <w:t>.1</w:t>
      </w:r>
      <w:r w:rsidR="00F51963">
        <w:rPr>
          <w:rFonts w:eastAsia="Calibri"/>
          <w:lang w:val="es-CR" w:eastAsia="es-CR"/>
        </w:rPr>
        <w:t>.</w:t>
      </w:r>
      <w:r w:rsidR="000E6FC3" w:rsidRPr="00EC2F24">
        <w:rPr>
          <w:rFonts w:eastAsia="Calibri"/>
          <w:lang w:val="es-CR" w:eastAsia="es-CR"/>
        </w:rPr>
        <w:t xml:space="preserve"> Alegatos del Estado y observaciones de la Comisión y los representantes</w:t>
      </w:r>
      <w:bookmarkEnd w:id="8"/>
    </w:p>
    <w:p w14:paraId="10CDF5DD" w14:textId="77777777" w:rsidR="000E6FC3" w:rsidRPr="00EC2F24" w:rsidRDefault="000E6FC3" w:rsidP="00EC2F24">
      <w:pPr>
        <w:pStyle w:val="Prrafodelista"/>
        <w:autoSpaceDE w:val="0"/>
        <w:autoSpaceDN w:val="0"/>
        <w:adjustRightInd w:val="0"/>
        <w:spacing w:after="0" w:line="240" w:lineRule="auto"/>
        <w:ind w:left="0"/>
        <w:jc w:val="both"/>
        <w:rPr>
          <w:rFonts w:ascii="Verdana" w:hAnsi="Verdana"/>
          <w:sz w:val="20"/>
          <w:szCs w:val="20"/>
          <w:lang w:val="es-CR"/>
        </w:rPr>
      </w:pPr>
    </w:p>
    <w:p w14:paraId="485DD0BD" w14:textId="0955615E" w:rsidR="002A570E" w:rsidRPr="002A570E" w:rsidRDefault="000E6FC3" w:rsidP="005406CA">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EC2F24">
        <w:rPr>
          <w:rFonts w:ascii="Verdana" w:eastAsia="Times New Roman" w:hAnsi="Verdana" w:cs="Times New Roman"/>
          <w:sz w:val="20"/>
          <w:szCs w:val="20"/>
          <w:lang w:val="es-CR" w:eastAsia="es-CR"/>
        </w:rPr>
        <w:t>E</w:t>
      </w:r>
      <w:r w:rsidRPr="00EC2F24">
        <w:rPr>
          <w:rFonts w:ascii="Verdana" w:eastAsia="Times New Roman" w:hAnsi="Verdana" w:cs="Times New Roman"/>
          <w:sz w:val="20"/>
          <w:szCs w:val="20"/>
          <w:lang w:eastAsia="es-CR"/>
        </w:rPr>
        <w:t xml:space="preserve">l </w:t>
      </w:r>
      <w:r w:rsidRPr="00EC2F24">
        <w:rPr>
          <w:rFonts w:ascii="Verdana" w:eastAsia="Times New Roman" w:hAnsi="Verdana" w:cs="Times New Roman"/>
          <w:b/>
          <w:i/>
          <w:sz w:val="20"/>
          <w:szCs w:val="20"/>
          <w:lang w:eastAsia="es-CR"/>
        </w:rPr>
        <w:t>Estado</w:t>
      </w:r>
      <w:r w:rsidRPr="00EC2F24">
        <w:rPr>
          <w:rFonts w:ascii="Verdana" w:eastAsia="Times New Roman" w:hAnsi="Verdana" w:cs="Times New Roman"/>
          <w:sz w:val="20"/>
          <w:szCs w:val="20"/>
          <w:lang w:eastAsia="es-CR"/>
        </w:rPr>
        <w:t xml:space="preserve"> reconoció la necesidad de reformar el artículo 201 bis del Código Penal que sanciona el delito de tortura, debido a que este no se adecúa a los artículos 1 y 6 de la CIPST. Señaló que este reconocimiento </w:t>
      </w:r>
      <w:r w:rsidR="00EB3133">
        <w:rPr>
          <w:rFonts w:ascii="Verdana" w:eastAsia="Times New Roman" w:hAnsi="Verdana" w:cs="Times New Roman"/>
          <w:sz w:val="20"/>
          <w:szCs w:val="20"/>
          <w:lang w:eastAsia="es-CR"/>
        </w:rPr>
        <w:t>“</w:t>
      </w:r>
      <w:r w:rsidRPr="00EC2F24">
        <w:rPr>
          <w:rFonts w:ascii="Verdana" w:eastAsia="Times New Roman" w:hAnsi="Verdana" w:cs="Times New Roman"/>
          <w:sz w:val="20"/>
          <w:szCs w:val="20"/>
          <w:lang w:eastAsia="es-CR"/>
        </w:rPr>
        <w:t>se positivó en la sentencia de inconstitucionalidad general parcial por omisión pronunciada por la Corte de Constitucionalidad</w:t>
      </w:r>
      <w:r w:rsidR="00EB3133">
        <w:rPr>
          <w:rFonts w:ascii="Verdana" w:eastAsia="Times New Roman" w:hAnsi="Verdana" w:cs="Times New Roman"/>
          <w:sz w:val="20"/>
          <w:szCs w:val="20"/>
          <w:lang w:eastAsia="es-CR"/>
        </w:rPr>
        <w:t>”</w:t>
      </w:r>
      <w:r w:rsidRPr="00EC2F24">
        <w:rPr>
          <w:rFonts w:ascii="Verdana" w:eastAsia="Times New Roman" w:hAnsi="Verdana" w:cs="Times New Roman"/>
          <w:sz w:val="20"/>
          <w:szCs w:val="20"/>
          <w:lang w:eastAsia="es-CR"/>
        </w:rPr>
        <w:t xml:space="preserve"> el 17 de julio de 2012 dentro del expediente No. 1822-2011, en el cual dicho tribunal declaró la inconstitucionalidad del artículo 201 bis y que este debería ser modificado por la acción legislativa.</w:t>
      </w:r>
      <w:r w:rsidRPr="00EC2F24">
        <w:rPr>
          <w:rFonts w:ascii="Verdana" w:hAnsi="Verdana"/>
          <w:b/>
          <w:sz w:val="20"/>
          <w:szCs w:val="20"/>
          <w:lang w:val="es-CR"/>
        </w:rPr>
        <w:t xml:space="preserve"> </w:t>
      </w:r>
      <w:r w:rsidRPr="00EC2F24">
        <w:rPr>
          <w:rFonts w:ascii="Verdana" w:hAnsi="Verdana"/>
          <w:sz w:val="20"/>
          <w:szCs w:val="20"/>
          <w:lang w:val="es-CR"/>
        </w:rPr>
        <w:t>Agregó que en la legislación aprobada con posterioridad a la norma del Código Penal ha recogido los criterios que definen el delito de tortura de acuerdo a los</w:t>
      </w:r>
      <w:r w:rsidR="00D279B1">
        <w:rPr>
          <w:rFonts w:ascii="Verdana" w:hAnsi="Verdana"/>
          <w:sz w:val="20"/>
          <w:szCs w:val="20"/>
          <w:lang w:val="es-CR"/>
        </w:rPr>
        <w:t xml:space="preserve"> tratados internacionales de la</w:t>
      </w:r>
      <w:r w:rsidRPr="00EC2F24">
        <w:rPr>
          <w:rFonts w:ascii="Verdana" w:hAnsi="Verdana"/>
          <w:sz w:val="20"/>
          <w:szCs w:val="20"/>
          <w:lang w:val="es-CR"/>
        </w:rPr>
        <w:t xml:space="preserve"> materia, tal como el Decreto No. </w:t>
      </w:r>
      <w:r w:rsidR="007A661C">
        <w:rPr>
          <w:rFonts w:ascii="Verdana" w:hAnsi="Verdana"/>
          <w:sz w:val="20"/>
          <w:szCs w:val="20"/>
          <w:lang w:val="es-CR"/>
        </w:rPr>
        <w:t>4</w:t>
      </w:r>
      <w:r w:rsidRPr="00EC2F24">
        <w:rPr>
          <w:rFonts w:ascii="Verdana" w:hAnsi="Verdana"/>
          <w:sz w:val="20"/>
          <w:szCs w:val="20"/>
          <w:lang w:val="es-CR"/>
        </w:rPr>
        <w:t>0-2010 del Congreso de la República “Ley del Mecanismo Nacional de Prevención de la Tortura y otros Tratos o Penas Crueles, Inhumanos o Degradantes</w:t>
      </w:r>
      <w:r w:rsidR="00401125" w:rsidRPr="00EC2F24">
        <w:rPr>
          <w:rFonts w:ascii="Verdana" w:hAnsi="Verdana"/>
          <w:sz w:val="20"/>
          <w:szCs w:val="20"/>
          <w:lang w:val="es-CR"/>
        </w:rPr>
        <w:t>”</w:t>
      </w:r>
      <w:r w:rsidRPr="00EC2F24">
        <w:rPr>
          <w:rFonts w:ascii="Verdana" w:hAnsi="Verdana"/>
          <w:sz w:val="20"/>
          <w:szCs w:val="20"/>
          <w:lang w:val="es-CR"/>
        </w:rPr>
        <w:t>.</w:t>
      </w:r>
      <w:r w:rsidRPr="00EC2F24">
        <w:rPr>
          <w:rFonts w:ascii="Verdana" w:hAnsi="Verdana"/>
          <w:b/>
          <w:sz w:val="20"/>
          <w:szCs w:val="20"/>
          <w:lang w:val="es-CR"/>
        </w:rPr>
        <w:t xml:space="preserve"> </w:t>
      </w:r>
    </w:p>
    <w:p w14:paraId="521DB801" w14:textId="77777777" w:rsidR="002A570E" w:rsidRDefault="002A570E" w:rsidP="002A570E">
      <w:pPr>
        <w:pStyle w:val="Prrafodelista"/>
        <w:autoSpaceDE w:val="0"/>
        <w:autoSpaceDN w:val="0"/>
        <w:adjustRightInd w:val="0"/>
        <w:spacing w:after="0" w:line="240" w:lineRule="auto"/>
        <w:ind w:left="0"/>
        <w:jc w:val="both"/>
        <w:rPr>
          <w:rFonts w:ascii="Verdana" w:hAnsi="Verdana"/>
          <w:sz w:val="20"/>
          <w:szCs w:val="20"/>
          <w:lang w:val="es-CR"/>
        </w:rPr>
      </w:pPr>
    </w:p>
    <w:p w14:paraId="5928D3EE" w14:textId="01E92A59" w:rsidR="002A570E" w:rsidRPr="002A570E" w:rsidRDefault="000E6FC3" w:rsidP="005406CA">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2A570E">
        <w:rPr>
          <w:rFonts w:ascii="Verdana" w:hAnsi="Verdana"/>
          <w:sz w:val="20"/>
          <w:szCs w:val="20"/>
          <w:lang w:val="es-CR"/>
        </w:rPr>
        <w:t xml:space="preserve">Los </w:t>
      </w:r>
      <w:r w:rsidRPr="002A570E">
        <w:rPr>
          <w:rFonts w:ascii="Verdana" w:hAnsi="Verdana"/>
          <w:b/>
          <w:i/>
          <w:sz w:val="20"/>
          <w:szCs w:val="20"/>
          <w:lang w:val="es-CR"/>
        </w:rPr>
        <w:t xml:space="preserve">representantes </w:t>
      </w:r>
      <w:r w:rsidRPr="002A570E">
        <w:rPr>
          <w:rFonts w:ascii="Verdana" w:hAnsi="Verdana"/>
          <w:sz w:val="20"/>
          <w:szCs w:val="20"/>
          <w:lang w:val="es-CR"/>
        </w:rPr>
        <w:t xml:space="preserve">señalaron que con este reconocimiento del Estado </w:t>
      </w:r>
      <w:r w:rsidR="005B65FA">
        <w:rPr>
          <w:rFonts w:ascii="Verdana" w:hAnsi="Verdana"/>
          <w:sz w:val="20"/>
          <w:szCs w:val="20"/>
          <w:lang w:val="es-CR"/>
        </w:rPr>
        <w:t xml:space="preserve">se demuestra </w:t>
      </w:r>
      <w:r w:rsidRPr="002A570E">
        <w:rPr>
          <w:rFonts w:ascii="Verdana" w:hAnsi="Verdana"/>
          <w:sz w:val="20"/>
          <w:szCs w:val="20"/>
          <w:lang w:val="es-CR"/>
        </w:rPr>
        <w:t xml:space="preserve">plenamente que ha incumplido el artículo 6 de la CIPST. Además, indicaron que el Estado no ha cumplido con la obligación de asegurar que los actos de tortura sean considerados delitos conforme a su derecho penal. </w:t>
      </w:r>
    </w:p>
    <w:p w14:paraId="0E573BF0" w14:textId="77777777" w:rsidR="002A570E" w:rsidRDefault="002A570E" w:rsidP="002A570E">
      <w:pPr>
        <w:pStyle w:val="Prrafodelista"/>
        <w:autoSpaceDE w:val="0"/>
        <w:autoSpaceDN w:val="0"/>
        <w:adjustRightInd w:val="0"/>
        <w:spacing w:after="0" w:line="240" w:lineRule="auto"/>
        <w:ind w:left="0"/>
        <w:jc w:val="both"/>
        <w:rPr>
          <w:rFonts w:ascii="Verdana" w:hAnsi="Verdana"/>
          <w:sz w:val="20"/>
          <w:szCs w:val="20"/>
          <w:lang w:val="es-CR"/>
        </w:rPr>
      </w:pPr>
    </w:p>
    <w:p w14:paraId="43A31DEF" w14:textId="77777777" w:rsidR="000E6FC3" w:rsidRPr="005E2A26" w:rsidRDefault="000E6FC3" w:rsidP="005406CA">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2A570E">
        <w:rPr>
          <w:rFonts w:ascii="Verdana" w:hAnsi="Verdana"/>
          <w:sz w:val="20"/>
          <w:szCs w:val="20"/>
          <w:lang w:val="es-CR"/>
        </w:rPr>
        <w:t xml:space="preserve">La </w:t>
      </w:r>
      <w:r w:rsidRPr="002A570E">
        <w:rPr>
          <w:rFonts w:ascii="Verdana" w:hAnsi="Verdana"/>
          <w:b/>
          <w:i/>
          <w:sz w:val="20"/>
          <w:szCs w:val="20"/>
          <w:lang w:val="es-CR"/>
        </w:rPr>
        <w:t>Comisión</w:t>
      </w:r>
      <w:r w:rsidRPr="002A570E">
        <w:rPr>
          <w:rFonts w:ascii="Verdana" w:hAnsi="Verdana"/>
          <w:sz w:val="20"/>
          <w:szCs w:val="20"/>
          <w:lang w:val="es-CR"/>
        </w:rPr>
        <w:t xml:space="preserve"> valoró positivamente el reconocimiento de responsabilidad internacional del Estado. </w:t>
      </w:r>
    </w:p>
    <w:p w14:paraId="63C0390E" w14:textId="089CE3FB" w:rsidR="000E6FC3" w:rsidRPr="00EC2F24" w:rsidRDefault="002A64DD" w:rsidP="00805F0E">
      <w:pPr>
        <w:pStyle w:val="Ttulo3"/>
        <w:rPr>
          <w:rFonts w:eastAsia="Calibri"/>
          <w:lang w:val="es-CR" w:eastAsia="es-CR"/>
        </w:rPr>
      </w:pPr>
      <w:bookmarkStart w:id="9" w:name="_Toc25247725"/>
      <w:r w:rsidRPr="00EC2F24">
        <w:rPr>
          <w:rFonts w:eastAsia="Calibri"/>
          <w:lang w:val="es-CR" w:eastAsia="es-CR"/>
        </w:rPr>
        <w:t>B</w:t>
      </w:r>
      <w:r w:rsidR="000E6FC3" w:rsidRPr="00EC2F24">
        <w:rPr>
          <w:rFonts w:eastAsia="Calibri"/>
          <w:lang w:val="es-CR" w:eastAsia="es-CR"/>
        </w:rPr>
        <w:t>.2</w:t>
      </w:r>
      <w:r w:rsidR="00F51963">
        <w:rPr>
          <w:rFonts w:eastAsia="Calibri"/>
          <w:lang w:val="es-CR" w:eastAsia="es-CR"/>
        </w:rPr>
        <w:t>.</w:t>
      </w:r>
      <w:r w:rsidR="000E6FC3" w:rsidRPr="00EC2F24">
        <w:rPr>
          <w:rFonts w:eastAsia="Calibri"/>
          <w:lang w:val="es-CR" w:eastAsia="es-CR"/>
        </w:rPr>
        <w:t xml:space="preserve"> Consideraciones de la Corte</w:t>
      </w:r>
      <w:bookmarkEnd w:id="9"/>
      <w:r w:rsidR="000E6FC3" w:rsidRPr="00EC2F24">
        <w:rPr>
          <w:rFonts w:eastAsia="Calibri"/>
          <w:lang w:val="es-CR" w:eastAsia="es-CR"/>
        </w:rPr>
        <w:t xml:space="preserve"> </w:t>
      </w:r>
    </w:p>
    <w:p w14:paraId="6059C91E" w14:textId="77777777" w:rsidR="000E6FC3" w:rsidRPr="00EC2F24" w:rsidRDefault="000E6FC3" w:rsidP="00EC2F24">
      <w:pPr>
        <w:pStyle w:val="Prrafodelista"/>
        <w:autoSpaceDE w:val="0"/>
        <w:autoSpaceDN w:val="0"/>
        <w:adjustRightInd w:val="0"/>
        <w:spacing w:after="0" w:line="240" w:lineRule="auto"/>
        <w:ind w:left="0"/>
        <w:jc w:val="both"/>
        <w:rPr>
          <w:rFonts w:ascii="Verdana" w:hAnsi="Verdana"/>
          <w:sz w:val="20"/>
          <w:szCs w:val="20"/>
          <w:lang w:val="es-CR"/>
        </w:rPr>
      </w:pPr>
    </w:p>
    <w:p w14:paraId="6F85677A" w14:textId="49BAC501" w:rsidR="002A570E" w:rsidRPr="009D2931" w:rsidRDefault="000E6FC3" w:rsidP="005406CA">
      <w:pPr>
        <w:pStyle w:val="Prrafodelista"/>
        <w:numPr>
          <w:ilvl w:val="3"/>
          <w:numId w:val="1"/>
        </w:numPr>
        <w:autoSpaceDE w:val="0"/>
        <w:autoSpaceDN w:val="0"/>
        <w:adjustRightInd w:val="0"/>
        <w:spacing w:after="0" w:line="240" w:lineRule="auto"/>
        <w:ind w:left="0" w:firstLine="0"/>
        <w:jc w:val="both"/>
        <w:rPr>
          <w:rFonts w:ascii="Verdana" w:eastAsia="Times New Roman" w:hAnsi="Verdana" w:cs="Times New Roman"/>
          <w:sz w:val="20"/>
          <w:szCs w:val="20"/>
          <w:lang w:eastAsia="es-CR"/>
        </w:rPr>
      </w:pPr>
      <w:r w:rsidRPr="009D2931">
        <w:rPr>
          <w:rFonts w:ascii="Verdana" w:eastAsia="Times New Roman" w:hAnsi="Verdana" w:cs="Times New Roman"/>
          <w:sz w:val="20"/>
          <w:szCs w:val="20"/>
          <w:lang w:eastAsia="es-CR"/>
        </w:rPr>
        <w:t>Esta Corte nota que</w:t>
      </w:r>
      <w:r w:rsidR="00D40D05" w:rsidRPr="009D2931">
        <w:rPr>
          <w:rFonts w:ascii="Verdana" w:eastAsia="Times New Roman" w:hAnsi="Verdana" w:cs="Times New Roman"/>
          <w:sz w:val="20"/>
          <w:szCs w:val="20"/>
          <w:lang w:eastAsia="es-CR"/>
        </w:rPr>
        <w:t xml:space="preserve"> respecto al reconocimiento internacional del Estado sobre</w:t>
      </w:r>
      <w:r w:rsidRPr="009D2931">
        <w:rPr>
          <w:rFonts w:ascii="Verdana" w:eastAsia="Times New Roman" w:hAnsi="Verdana" w:cs="Times New Roman"/>
          <w:sz w:val="20"/>
          <w:szCs w:val="20"/>
          <w:lang w:eastAsia="es-CR"/>
        </w:rPr>
        <w:t xml:space="preserve"> </w:t>
      </w:r>
      <w:r w:rsidR="00D40D05" w:rsidRPr="00EC2F24">
        <w:rPr>
          <w:rFonts w:ascii="Verdana" w:eastAsia="Times New Roman" w:hAnsi="Verdana" w:cs="Times New Roman"/>
          <w:sz w:val="20"/>
          <w:szCs w:val="20"/>
          <w:lang w:eastAsia="es-CR"/>
        </w:rPr>
        <w:t>la necesidad de reformar el artículo 201 bis del Código Penal</w:t>
      </w:r>
      <w:r w:rsidR="00D40D05">
        <w:rPr>
          <w:rFonts w:ascii="Verdana" w:eastAsia="Times New Roman" w:hAnsi="Verdana" w:cs="Times New Roman"/>
          <w:sz w:val="20"/>
          <w:szCs w:val="20"/>
          <w:lang w:eastAsia="es-CR"/>
        </w:rPr>
        <w:t xml:space="preserve">, ha sido abordado por Guatemala </w:t>
      </w:r>
      <w:r w:rsidRPr="009D2931">
        <w:rPr>
          <w:rFonts w:ascii="Verdana" w:eastAsia="Times New Roman" w:hAnsi="Verdana" w:cs="Times New Roman"/>
          <w:sz w:val="20"/>
          <w:szCs w:val="20"/>
          <w:lang w:eastAsia="es-CR"/>
        </w:rPr>
        <w:t>por primera vez en el proceso ante este Tribunal en el escrito de contestación</w:t>
      </w:r>
      <w:r w:rsidR="00D40D05" w:rsidRPr="009D2931">
        <w:rPr>
          <w:rFonts w:ascii="Verdana" w:eastAsia="Times New Roman" w:hAnsi="Verdana" w:cs="Times New Roman"/>
          <w:sz w:val="20"/>
          <w:szCs w:val="20"/>
          <w:lang w:eastAsia="es-CR"/>
        </w:rPr>
        <w:t xml:space="preserve">. Los representantes en su escrito de solicitudes y argumentos solicitaron que la Corte ordene al Estado enmendar con carácter prioritario, disposiciones del Código Penal, en </w:t>
      </w:r>
      <w:r w:rsidR="005B65FA">
        <w:rPr>
          <w:rFonts w:ascii="Verdana" w:eastAsia="Times New Roman" w:hAnsi="Verdana" w:cs="Times New Roman"/>
          <w:sz w:val="20"/>
          <w:szCs w:val="20"/>
          <w:lang w:eastAsia="es-CR"/>
        </w:rPr>
        <w:t xml:space="preserve">particular el artículo 201 bis </w:t>
      </w:r>
      <w:r w:rsidR="00D40D05" w:rsidRPr="009D2931">
        <w:rPr>
          <w:rFonts w:ascii="Verdana" w:eastAsia="Times New Roman" w:hAnsi="Verdana" w:cs="Times New Roman"/>
          <w:sz w:val="20"/>
          <w:szCs w:val="20"/>
          <w:lang w:eastAsia="es-CR"/>
        </w:rPr>
        <w:t>del Código Penal.</w:t>
      </w:r>
      <w:r w:rsidR="009D2931" w:rsidRPr="009D2931">
        <w:rPr>
          <w:rFonts w:ascii="Verdana" w:eastAsia="Times New Roman" w:hAnsi="Verdana" w:cs="Times New Roman"/>
          <w:sz w:val="20"/>
          <w:szCs w:val="20"/>
          <w:lang w:eastAsia="es-CR"/>
        </w:rPr>
        <w:t xml:space="preserve"> La Comisión no se refirió a este punto en el Informe de Fondo.</w:t>
      </w:r>
    </w:p>
    <w:p w14:paraId="6BDF9C84" w14:textId="77777777" w:rsidR="008D422F" w:rsidRDefault="008D422F" w:rsidP="002A1142">
      <w:pPr>
        <w:pStyle w:val="Prrafodelista"/>
        <w:autoSpaceDE w:val="0"/>
        <w:autoSpaceDN w:val="0"/>
        <w:adjustRightInd w:val="0"/>
        <w:spacing w:after="0" w:line="240" w:lineRule="auto"/>
        <w:ind w:left="0"/>
        <w:jc w:val="both"/>
        <w:rPr>
          <w:rFonts w:ascii="Verdana" w:hAnsi="Verdana"/>
          <w:sz w:val="20"/>
          <w:szCs w:val="20"/>
          <w:lang w:val="es-CR"/>
        </w:rPr>
      </w:pPr>
    </w:p>
    <w:p w14:paraId="7C84750D" w14:textId="77777777" w:rsidR="008D422F" w:rsidRPr="009D2931" w:rsidRDefault="008D422F" w:rsidP="005406CA">
      <w:pPr>
        <w:pStyle w:val="Prrafodelista"/>
        <w:numPr>
          <w:ilvl w:val="3"/>
          <w:numId w:val="1"/>
        </w:numPr>
        <w:autoSpaceDE w:val="0"/>
        <w:autoSpaceDN w:val="0"/>
        <w:adjustRightInd w:val="0"/>
        <w:spacing w:after="0" w:line="240" w:lineRule="auto"/>
        <w:ind w:left="0" w:firstLine="0"/>
        <w:jc w:val="both"/>
        <w:rPr>
          <w:rFonts w:ascii="Verdana" w:eastAsia="Times New Roman" w:hAnsi="Verdana" w:cs="Times New Roman"/>
          <w:sz w:val="20"/>
          <w:szCs w:val="20"/>
          <w:lang w:eastAsia="es-CR"/>
        </w:rPr>
      </w:pPr>
      <w:r w:rsidRPr="009D2931">
        <w:rPr>
          <w:rFonts w:ascii="Verdana" w:eastAsia="Times New Roman" w:hAnsi="Verdana" w:cs="Times New Roman"/>
          <w:sz w:val="20"/>
          <w:szCs w:val="20"/>
          <w:lang w:eastAsia="es-CR"/>
        </w:rPr>
        <w:t>En cuanto a la adecuación del artículo 201 bis del Código Penal a los estándares internacionales en relación con la tipificación de la tortura, la Corte nota</w:t>
      </w:r>
      <w:r w:rsidR="00AD09DB">
        <w:rPr>
          <w:rFonts w:ascii="Verdana" w:eastAsia="Times New Roman" w:hAnsi="Verdana" w:cs="Times New Roman"/>
          <w:sz w:val="20"/>
          <w:szCs w:val="20"/>
          <w:lang w:eastAsia="es-CR"/>
        </w:rPr>
        <w:t xml:space="preserve">, </w:t>
      </w:r>
      <w:r w:rsidRPr="009D2931">
        <w:rPr>
          <w:rFonts w:ascii="Verdana" w:eastAsia="Times New Roman" w:hAnsi="Verdana" w:cs="Times New Roman"/>
          <w:sz w:val="20"/>
          <w:szCs w:val="20"/>
          <w:lang w:eastAsia="es-CR"/>
        </w:rPr>
        <w:t>que</w:t>
      </w:r>
      <w:r w:rsidR="00192A66">
        <w:rPr>
          <w:rFonts w:ascii="Verdana" w:eastAsia="Times New Roman" w:hAnsi="Verdana" w:cs="Times New Roman"/>
          <w:sz w:val="20"/>
          <w:szCs w:val="20"/>
          <w:lang w:eastAsia="es-CR"/>
        </w:rPr>
        <w:t xml:space="preserve"> </w:t>
      </w:r>
      <w:r w:rsidR="00192A66" w:rsidRPr="005B65FA">
        <w:rPr>
          <w:rFonts w:ascii="Verdana" w:eastAsia="Times New Roman" w:hAnsi="Verdana" w:cs="Times New Roman"/>
          <w:sz w:val="20"/>
          <w:szCs w:val="20"/>
          <w:lang w:eastAsia="es-CR"/>
        </w:rPr>
        <w:t>según los representantes,</w:t>
      </w:r>
      <w:r w:rsidRPr="009D2931">
        <w:rPr>
          <w:rFonts w:ascii="Verdana" w:eastAsia="Times New Roman" w:hAnsi="Verdana" w:cs="Times New Roman"/>
          <w:sz w:val="20"/>
          <w:szCs w:val="20"/>
          <w:lang w:eastAsia="es-CR"/>
        </w:rPr>
        <w:t xml:space="preserve"> el referido artículo indica actualmente lo siguiente:</w:t>
      </w:r>
    </w:p>
    <w:p w14:paraId="008B72BB" w14:textId="77777777" w:rsidR="008D422F" w:rsidRPr="002A1142" w:rsidRDefault="008D422F" w:rsidP="002A1142">
      <w:pPr>
        <w:pStyle w:val="Prrafodelista"/>
        <w:autoSpaceDE w:val="0"/>
        <w:autoSpaceDN w:val="0"/>
        <w:adjustRightInd w:val="0"/>
        <w:spacing w:after="0" w:line="240" w:lineRule="auto"/>
        <w:ind w:left="0"/>
        <w:jc w:val="both"/>
        <w:rPr>
          <w:rFonts w:ascii="Verdana" w:hAnsi="Verdana"/>
          <w:sz w:val="20"/>
          <w:szCs w:val="20"/>
        </w:rPr>
      </w:pPr>
    </w:p>
    <w:p w14:paraId="00BD1EEB" w14:textId="3050956A" w:rsidR="008D422F" w:rsidRPr="002A1142" w:rsidRDefault="008D422F" w:rsidP="002A1142">
      <w:pPr>
        <w:pStyle w:val="Prrafodelista"/>
        <w:ind w:left="1080" w:right="778"/>
        <w:jc w:val="both"/>
        <w:rPr>
          <w:rFonts w:ascii="Verdana" w:hAnsi="Verdana"/>
          <w:sz w:val="16"/>
          <w:szCs w:val="16"/>
        </w:rPr>
      </w:pPr>
      <w:r w:rsidRPr="005010EB">
        <w:rPr>
          <w:rFonts w:ascii="Verdana" w:hAnsi="Verdana"/>
          <w:sz w:val="16"/>
          <w:szCs w:val="16"/>
        </w:rPr>
        <w:t>Comete el delito de tortura, quien por orden o con la autorización, el apoyo o aquiescencia de autoridades del Estado, inflija intencionalmente a una persona dolores o sufrimientos graves, ya sean físicos o mentales con el fin de obtener de ella o de un tercero información o confesión, por un acto que haya cometido o se sospeche que hubiere cometido, o persiga intimidar a una persona o, por ese medio, a otras personas. […] El o los responsables del delito de tortura serán sancionados con prisión de veinticinco a treinta años.</w:t>
      </w:r>
    </w:p>
    <w:p w14:paraId="7257CC93" w14:textId="77777777" w:rsidR="008D422F" w:rsidRPr="002A1142" w:rsidRDefault="008D422F" w:rsidP="002A1142">
      <w:pPr>
        <w:pStyle w:val="Prrafodelista"/>
        <w:ind w:left="1080"/>
        <w:rPr>
          <w:rFonts w:ascii="Verdana" w:hAnsi="Verdana"/>
          <w:sz w:val="20"/>
          <w:szCs w:val="20"/>
        </w:rPr>
      </w:pPr>
    </w:p>
    <w:p w14:paraId="2D501960" w14:textId="77777777" w:rsidR="008D422F" w:rsidRPr="009D2931" w:rsidRDefault="008D422F" w:rsidP="00A13752">
      <w:pPr>
        <w:pStyle w:val="Prrafodelista"/>
        <w:numPr>
          <w:ilvl w:val="3"/>
          <w:numId w:val="1"/>
        </w:numPr>
        <w:ind w:left="0" w:firstLine="0"/>
        <w:jc w:val="both"/>
        <w:rPr>
          <w:rFonts w:ascii="Verdana" w:hAnsi="Verdana"/>
          <w:sz w:val="20"/>
          <w:szCs w:val="20"/>
          <w:lang w:val="es-CR"/>
        </w:rPr>
      </w:pPr>
      <w:r w:rsidRPr="009D2931">
        <w:rPr>
          <w:rFonts w:ascii="Verdana" w:hAnsi="Verdana"/>
          <w:sz w:val="20"/>
          <w:szCs w:val="20"/>
          <w:lang w:val="es-CR"/>
        </w:rPr>
        <w:t xml:space="preserve">La Corte advierte que, efectivamente, la presente norma no cumple con los requisitos mínimos establecidos en el artículo 2 Convención Interamericana para Prevenir y Sancionar la </w:t>
      </w:r>
      <w:r w:rsidR="00192A66">
        <w:rPr>
          <w:rFonts w:ascii="Verdana" w:hAnsi="Verdana"/>
          <w:sz w:val="20"/>
          <w:szCs w:val="20"/>
          <w:lang w:val="es-CR"/>
        </w:rPr>
        <w:t>T</w:t>
      </w:r>
      <w:r w:rsidRPr="009D2931">
        <w:rPr>
          <w:rFonts w:ascii="Verdana" w:hAnsi="Verdana"/>
          <w:sz w:val="20"/>
          <w:szCs w:val="20"/>
          <w:lang w:val="es-CR"/>
        </w:rPr>
        <w:t xml:space="preserve">ortura, el cual establece que se entenderá como tortura: </w:t>
      </w:r>
    </w:p>
    <w:p w14:paraId="74EA4DAA" w14:textId="77777777" w:rsidR="008D422F" w:rsidRPr="002A1142" w:rsidRDefault="008D422F" w:rsidP="002A1142">
      <w:pPr>
        <w:pStyle w:val="Prrafodelista"/>
        <w:ind w:left="1080"/>
        <w:rPr>
          <w:rFonts w:ascii="Verdana" w:hAnsi="Verdana"/>
          <w:sz w:val="20"/>
          <w:szCs w:val="20"/>
        </w:rPr>
      </w:pPr>
    </w:p>
    <w:p w14:paraId="5BB27222" w14:textId="77777777" w:rsidR="008D422F" w:rsidRPr="002A1142" w:rsidRDefault="008D422F" w:rsidP="002A1142">
      <w:pPr>
        <w:pStyle w:val="Prrafodelista"/>
        <w:tabs>
          <w:tab w:val="left" w:pos="8640"/>
        </w:tabs>
        <w:ind w:left="1080" w:right="778"/>
        <w:jc w:val="both"/>
        <w:rPr>
          <w:rFonts w:ascii="Verdana" w:hAnsi="Verdana"/>
          <w:sz w:val="16"/>
          <w:szCs w:val="16"/>
        </w:rPr>
      </w:pPr>
      <w:r w:rsidRPr="002A1142">
        <w:rPr>
          <w:rFonts w:ascii="Verdana" w:hAnsi="Verdana"/>
          <w:sz w:val="16"/>
          <w:szCs w:val="16"/>
        </w:rPr>
        <w:t>[T]</w:t>
      </w:r>
      <w:proofErr w:type="spellStart"/>
      <w:r w:rsidRPr="002A1142">
        <w:rPr>
          <w:rFonts w:ascii="Verdana" w:hAnsi="Verdana"/>
          <w:sz w:val="16"/>
          <w:szCs w:val="16"/>
        </w:rPr>
        <w:t>odo</w:t>
      </w:r>
      <w:proofErr w:type="spellEnd"/>
      <w:r w:rsidRPr="002A1142">
        <w:rPr>
          <w:rFonts w:ascii="Verdana" w:hAnsi="Verdana"/>
          <w:sz w:val="16"/>
          <w:szCs w:val="16"/>
        </w:rPr>
        <w:t xml:space="preserve"> acto realizado intencionalmente por el cual se inflijan a una persona penas o sufrimientos físicos o mentales, con fines de investigación criminal, como medio intimidatorio, como castigo personal, como medida preventiva, como pena o con cualquier otro fin. Se entenderá también como tortura la aplicación sobre una persona de métodos tendientes a </w:t>
      </w:r>
      <w:r w:rsidRPr="002A1142">
        <w:rPr>
          <w:rFonts w:ascii="Verdana" w:hAnsi="Verdana"/>
          <w:sz w:val="16"/>
          <w:szCs w:val="16"/>
        </w:rPr>
        <w:lastRenderedPageBreak/>
        <w:t>anular la personalidad de la víctima o a disminuir su capacidad física o mental, aunque no causen dolor físico o angustia psíquica.</w:t>
      </w:r>
    </w:p>
    <w:p w14:paraId="67D17A76" w14:textId="77777777" w:rsidR="008D422F" w:rsidRPr="002A1142" w:rsidRDefault="008D422F" w:rsidP="002A1142">
      <w:pPr>
        <w:pStyle w:val="Prrafodelista"/>
        <w:ind w:left="0" w:right="58"/>
        <w:jc w:val="both"/>
        <w:rPr>
          <w:rFonts w:ascii="Verdana" w:hAnsi="Verdana"/>
          <w:sz w:val="20"/>
          <w:szCs w:val="20"/>
        </w:rPr>
      </w:pPr>
    </w:p>
    <w:p w14:paraId="6A53E139" w14:textId="77777777" w:rsidR="008D422F" w:rsidRPr="002A1142" w:rsidRDefault="008D422F" w:rsidP="005406CA">
      <w:pPr>
        <w:pStyle w:val="Prrafodelista"/>
        <w:numPr>
          <w:ilvl w:val="3"/>
          <w:numId w:val="1"/>
        </w:numPr>
        <w:spacing w:after="0"/>
        <w:ind w:left="0" w:right="58" w:firstLine="0"/>
        <w:jc w:val="both"/>
        <w:rPr>
          <w:rFonts w:ascii="Verdana" w:hAnsi="Verdana"/>
          <w:sz w:val="20"/>
          <w:szCs w:val="20"/>
        </w:rPr>
      </w:pPr>
      <w:r w:rsidRPr="002A1142">
        <w:rPr>
          <w:rFonts w:ascii="Verdana" w:hAnsi="Verdana"/>
          <w:sz w:val="20"/>
          <w:szCs w:val="20"/>
        </w:rPr>
        <w:t xml:space="preserve">Esta falta de adecuación legislativa también ha sido destacada por la Corte de Constitucionalidad de </w:t>
      </w:r>
      <w:r w:rsidRPr="005924A6">
        <w:rPr>
          <w:rFonts w:ascii="Verdana" w:hAnsi="Verdana"/>
          <w:sz w:val="20"/>
          <w:szCs w:val="20"/>
        </w:rPr>
        <w:t>Guatemala en su sentencia de 17 de julio de 2012, en</w:t>
      </w:r>
      <w:r w:rsidRPr="002A1142">
        <w:rPr>
          <w:rFonts w:ascii="Verdana" w:hAnsi="Verdana"/>
          <w:sz w:val="20"/>
          <w:szCs w:val="20"/>
        </w:rPr>
        <w:t xml:space="preserve"> la que expresamente señaló lo siguiente:</w:t>
      </w:r>
    </w:p>
    <w:p w14:paraId="2EF4382D" w14:textId="77777777" w:rsidR="008D422F" w:rsidRPr="002A1142" w:rsidRDefault="008D422F" w:rsidP="002A1142">
      <w:pPr>
        <w:pStyle w:val="Prrafodelista"/>
        <w:ind w:left="1080"/>
        <w:rPr>
          <w:rFonts w:ascii="Verdana" w:hAnsi="Verdana"/>
          <w:sz w:val="20"/>
          <w:szCs w:val="20"/>
        </w:rPr>
      </w:pPr>
    </w:p>
    <w:p w14:paraId="6A1BE279" w14:textId="77777777" w:rsidR="008D422F" w:rsidRPr="0060326C" w:rsidRDefault="008D422F" w:rsidP="002A1142">
      <w:pPr>
        <w:pStyle w:val="Prrafodelista"/>
        <w:ind w:left="1080" w:right="720"/>
        <w:jc w:val="both"/>
        <w:rPr>
          <w:rFonts w:ascii="Verdana" w:hAnsi="Verdana"/>
          <w:sz w:val="16"/>
          <w:szCs w:val="16"/>
        </w:rPr>
      </w:pPr>
      <w:r w:rsidRPr="002A1142">
        <w:rPr>
          <w:rFonts w:ascii="Verdana" w:hAnsi="Verdana"/>
          <w:sz w:val="16"/>
          <w:szCs w:val="16"/>
        </w:rPr>
        <w:t xml:space="preserve">[…] en la tipificación del delito de tortura, contenida en el artículo 201 Bis del Código Penal, no se incluyen todos los elementos descritos en los tratados internacionales que regulan esa conducta antijurídica, pues se omite: el castigo, la discriminación y cualquier otro fin como parte del tipo penal, así como la aplicación de métodos tendientes a anular la personalidad de la víctima o a disminuir su capacidad física o mental, aunque no causen dolor físico o angustia psíquica, por lo que excluir de la protección del bien jurídico tutelado esos elementos objetivos, provocaría que en el precepto, cuya inconstitucionalidad se denuncia, se haya incurrido en omisión de tipificar actos altamente lesivos a la integridad moral y física de los individuos, necesarios para complementar el tipo delictivo previsto en el artículo 201 del Código Penal, contraviniéndose así el artículo 1 de la Convención Interamericana para </w:t>
      </w:r>
      <w:r w:rsidR="009E65AF">
        <w:rPr>
          <w:rFonts w:ascii="Verdana" w:hAnsi="Verdana"/>
          <w:sz w:val="16"/>
          <w:szCs w:val="16"/>
        </w:rPr>
        <w:t>[P]</w:t>
      </w:r>
      <w:r w:rsidRPr="002A1142">
        <w:rPr>
          <w:rFonts w:ascii="Verdana" w:hAnsi="Verdana"/>
          <w:sz w:val="16"/>
          <w:szCs w:val="16"/>
        </w:rPr>
        <w:t xml:space="preserve">revenir y </w:t>
      </w:r>
      <w:r w:rsidR="009E65AF">
        <w:rPr>
          <w:rFonts w:ascii="Verdana" w:hAnsi="Verdana"/>
          <w:sz w:val="16"/>
          <w:szCs w:val="16"/>
        </w:rPr>
        <w:t>[S]</w:t>
      </w:r>
      <w:proofErr w:type="spellStart"/>
      <w:r w:rsidRPr="002A1142">
        <w:rPr>
          <w:rFonts w:ascii="Verdana" w:hAnsi="Verdana"/>
          <w:sz w:val="16"/>
          <w:szCs w:val="16"/>
        </w:rPr>
        <w:t>ancionar</w:t>
      </w:r>
      <w:proofErr w:type="spellEnd"/>
      <w:r w:rsidRPr="002A1142">
        <w:rPr>
          <w:rFonts w:ascii="Verdana" w:hAnsi="Verdana"/>
          <w:sz w:val="16"/>
          <w:szCs w:val="16"/>
        </w:rPr>
        <w:t xml:space="preserve"> la To</w:t>
      </w:r>
      <w:r w:rsidRPr="000854E8">
        <w:rPr>
          <w:rFonts w:ascii="Verdana" w:hAnsi="Verdana"/>
          <w:sz w:val="16"/>
          <w:szCs w:val="16"/>
        </w:rPr>
        <w:t xml:space="preserve">rtura […] </w:t>
      </w:r>
      <w:r w:rsidRPr="0060326C">
        <w:rPr>
          <w:rFonts w:ascii="Verdana" w:hAnsi="Verdana"/>
          <w:sz w:val="16"/>
          <w:szCs w:val="16"/>
        </w:rPr>
        <w:t>Este Tribunal estima que para cumplir con la tipificación necesaria y en aplicación a los estándares internacionales en materia de derechos humanos, debe establecerse concretamente la descripción de las conductas que constituyen “tortura”, por lo que es necesario introducir por vía de reforma a la norma penal contenida en el artículo 201 Bis del Código Penal las frases de: “el castigo”, “cualquier tipo de discriminación”, “o con cualquier otro fin”, como finalidades del delito de tortura, y expresamente se regule que también constituye este delito “la aplicación sobre una persona de métodos tendientes a anular la personalidad de la víctima o a disminuir su capacidad física o mental, aunque no causen dolor físico o angustia psíquica</w:t>
      </w:r>
      <w:r w:rsidRPr="0060326C">
        <w:rPr>
          <w:rFonts w:ascii="Verdana" w:hAnsi="Verdana"/>
          <w:sz w:val="16"/>
          <w:szCs w:val="16"/>
          <w:vertAlign w:val="superscript"/>
        </w:rPr>
        <w:footnoteReference w:id="15"/>
      </w:r>
      <w:r w:rsidRPr="0060326C">
        <w:rPr>
          <w:rFonts w:ascii="Verdana" w:hAnsi="Verdana"/>
          <w:sz w:val="16"/>
          <w:szCs w:val="16"/>
        </w:rPr>
        <w:t>.</w:t>
      </w:r>
    </w:p>
    <w:p w14:paraId="4ACC2AC7" w14:textId="77777777" w:rsidR="008D422F" w:rsidRPr="0060326C" w:rsidRDefault="008D422F" w:rsidP="002A1142">
      <w:pPr>
        <w:pStyle w:val="Prrafodelista"/>
        <w:ind w:left="1080"/>
        <w:rPr>
          <w:rFonts w:ascii="Verdana" w:hAnsi="Verdana"/>
          <w:sz w:val="20"/>
          <w:szCs w:val="20"/>
        </w:rPr>
      </w:pPr>
    </w:p>
    <w:p w14:paraId="1591E093" w14:textId="019F59F7" w:rsidR="008D422F" w:rsidRPr="0060326C" w:rsidRDefault="008D422F" w:rsidP="005406CA">
      <w:pPr>
        <w:pStyle w:val="Prrafodelista"/>
        <w:numPr>
          <w:ilvl w:val="3"/>
          <w:numId w:val="1"/>
        </w:numPr>
        <w:ind w:left="0" w:firstLine="0"/>
        <w:jc w:val="both"/>
        <w:rPr>
          <w:rFonts w:ascii="Verdana" w:hAnsi="Verdana"/>
          <w:sz w:val="20"/>
          <w:szCs w:val="20"/>
        </w:rPr>
      </w:pPr>
      <w:r w:rsidRPr="0060326C">
        <w:rPr>
          <w:rFonts w:ascii="Verdana" w:hAnsi="Verdana"/>
          <w:sz w:val="20"/>
          <w:szCs w:val="20"/>
        </w:rPr>
        <w:t>La Corte de Constitucionalidad concluyó, por tanto, que el artículo 201 bis del Código Penal debía ser reformado a través de “acción legislativa con las adiciones que resulten de las disposiciones contenidas en la Convención de Naciones Unidas contra la Tortura y otros Tratos o Penas Crueles o Degradantes y en la Convención Interamericana para Prevenir y Sancionar la Tortura”</w:t>
      </w:r>
      <w:r w:rsidRPr="0060326C">
        <w:rPr>
          <w:rFonts w:ascii="Verdana" w:hAnsi="Verdana"/>
          <w:sz w:val="20"/>
          <w:szCs w:val="20"/>
          <w:vertAlign w:val="superscript"/>
        </w:rPr>
        <w:footnoteReference w:id="16"/>
      </w:r>
      <w:r w:rsidRPr="0060326C">
        <w:rPr>
          <w:rFonts w:ascii="Verdana" w:hAnsi="Verdana"/>
          <w:sz w:val="20"/>
          <w:szCs w:val="20"/>
        </w:rPr>
        <w:t xml:space="preserve">. </w:t>
      </w:r>
    </w:p>
    <w:p w14:paraId="1861176F" w14:textId="77777777" w:rsidR="008D422F" w:rsidRPr="002A1142" w:rsidRDefault="008D422F" w:rsidP="002A1142">
      <w:pPr>
        <w:pStyle w:val="Prrafodelista"/>
        <w:ind w:left="1080"/>
        <w:rPr>
          <w:rFonts w:ascii="Verdana" w:hAnsi="Verdana"/>
          <w:sz w:val="20"/>
          <w:szCs w:val="20"/>
        </w:rPr>
      </w:pPr>
    </w:p>
    <w:p w14:paraId="5FCCC15C" w14:textId="57EB2ABB" w:rsidR="005010EB" w:rsidRPr="00985E1A" w:rsidRDefault="008D422F" w:rsidP="00985E1A">
      <w:pPr>
        <w:pStyle w:val="Prrafodelista"/>
        <w:numPr>
          <w:ilvl w:val="3"/>
          <w:numId w:val="1"/>
        </w:numPr>
        <w:ind w:left="0" w:firstLine="0"/>
        <w:jc w:val="both"/>
        <w:rPr>
          <w:rFonts w:ascii="Verdana" w:hAnsi="Verdana"/>
          <w:strike/>
          <w:sz w:val="20"/>
          <w:szCs w:val="20"/>
        </w:rPr>
      </w:pPr>
      <w:r w:rsidRPr="002A1142">
        <w:rPr>
          <w:rFonts w:ascii="Verdana" w:hAnsi="Verdana"/>
          <w:sz w:val="20"/>
          <w:szCs w:val="20"/>
        </w:rPr>
        <w:t xml:space="preserve">Por </w:t>
      </w:r>
      <w:r w:rsidR="00E9047E">
        <w:rPr>
          <w:rFonts w:ascii="Verdana" w:hAnsi="Verdana"/>
          <w:sz w:val="20"/>
          <w:szCs w:val="20"/>
        </w:rPr>
        <w:t>otra parte, el Estado alegó que</w:t>
      </w:r>
      <w:r w:rsidRPr="002A1142">
        <w:rPr>
          <w:rFonts w:ascii="Verdana" w:hAnsi="Verdana"/>
          <w:sz w:val="20"/>
          <w:szCs w:val="20"/>
        </w:rPr>
        <w:t xml:space="preserve"> aunque el artículo 201 bis del Código Penal aún no se ha sido armonizado,</w:t>
      </w:r>
      <w:r w:rsidR="00985E1A">
        <w:rPr>
          <w:rFonts w:ascii="Verdana" w:hAnsi="Verdana"/>
          <w:sz w:val="20"/>
          <w:szCs w:val="20"/>
        </w:rPr>
        <w:t xml:space="preserve"> la</w:t>
      </w:r>
      <w:r w:rsidRPr="002A1142">
        <w:rPr>
          <w:rFonts w:ascii="Verdana" w:hAnsi="Verdana"/>
          <w:sz w:val="20"/>
          <w:szCs w:val="20"/>
        </w:rPr>
        <w:t xml:space="preserve"> “Ley del Mecanismo Nacional de Prevención de la Tortura y otros Tratos o Penas Crueles, Inhumanos o Deg</w:t>
      </w:r>
      <w:r w:rsidR="00D40D05" w:rsidRPr="002A1142">
        <w:rPr>
          <w:rFonts w:ascii="Verdana" w:hAnsi="Verdana"/>
          <w:sz w:val="20"/>
          <w:szCs w:val="20"/>
        </w:rPr>
        <w:t xml:space="preserve">radantes”, Decreto No. </w:t>
      </w:r>
      <w:r w:rsidR="007A661C">
        <w:rPr>
          <w:rFonts w:ascii="Verdana" w:hAnsi="Verdana"/>
          <w:sz w:val="20"/>
          <w:szCs w:val="20"/>
        </w:rPr>
        <w:t>4</w:t>
      </w:r>
      <w:r w:rsidR="00D40D05" w:rsidRPr="002A1142">
        <w:rPr>
          <w:rFonts w:ascii="Verdana" w:hAnsi="Verdana"/>
          <w:sz w:val="20"/>
          <w:szCs w:val="20"/>
        </w:rPr>
        <w:t xml:space="preserve">0-2010 </w:t>
      </w:r>
      <w:r w:rsidRPr="002A1142">
        <w:rPr>
          <w:rFonts w:ascii="Verdana" w:hAnsi="Verdana"/>
          <w:sz w:val="20"/>
          <w:szCs w:val="20"/>
        </w:rPr>
        <w:t xml:space="preserve">de </w:t>
      </w:r>
      <w:r w:rsidR="00460606">
        <w:rPr>
          <w:rFonts w:ascii="Verdana" w:hAnsi="Verdana"/>
          <w:sz w:val="20"/>
          <w:szCs w:val="20"/>
        </w:rPr>
        <w:t>6</w:t>
      </w:r>
      <w:r w:rsidRPr="002A1142">
        <w:rPr>
          <w:rFonts w:ascii="Verdana" w:hAnsi="Verdana"/>
          <w:sz w:val="20"/>
          <w:szCs w:val="20"/>
        </w:rPr>
        <w:t xml:space="preserve"> de </w:t>
      </w:r>
      <w:r w:rsidR="00460606">
        <w:rPr>
          <w:rFonts w:ascii="Verdana" w:hAnsi="Verdana"/>
          <w:sz w:val="20"/>
          <w:szCs w:val="20"/>
        </w:rPr>
        <w:t>octubre</w:t>
      </w:r>
      <w:r w:rsidRPr="002A1142">
        <w:rPr>
          <w:rFonts w:ascii="Verdana" w:hAnsi="Verdana"/>
          <w:sz w:val="20"/>
          <w:szCs w:val="20"/>
        </w:rPr>
        <w:t xml:space="preserve"> de 2010, ha recogido los criterios que definen el delito de tortura de acuerdo a los tratados internacionales en el artículo 4</w:t>
      </w:r>
      <w:r w:rsidR="005010EB">
        <w:rPr>
          <w:rFonts w:ascii="Verdana" w:hAnsi="Verdana"/>
          <w:sz w:val="20"/>
          <w:szCs w:val="20"/>
        </w:rPr>
        <w:t>,</w:t>
      </w:r>
      <w:r w:rsidR="005010EB" w:rsidRPr="005010EB">
        <w:rPr>
          <w:rFonts w:ascii="Verdana" w:hAnsi="Verdana"/>
          <w:sz w:val="20"/>
          <w:szCs w:val="20"/>
        </w:rPr>
        <w:t xml:space="preserve"> </w:t>
      </w:r>
      <w:r w:rsidR="005010EB" w:rsidRPr="00024E88">
        <w:rPr>
          <w:rFonts w:ascii="Verdana" w:hAnsi="Verdana"/>
          <w:sz w:val="20"/>
          <w:szCs w:val="20"/>
        </w:rPr>
        <w:t>como:</w:t>
      </w:r>
    </w:p>
    <w:p w14:paraId="4D22BD90" w14:textId="77777777" w:rsidR="00906F60" w:rsidRPr="00985E1A" w:rsidRDefault="005010EB" w:rsidP="005924A6">
      <w:pPr>
        <w:ind w:left="708" w:right="778"/>
        <w:jc w:val="both"/>
        <w:rPr>
          <w:rFonts w:ascii="Verdana" w:hAnsi="Verdana"/>
          <w:i/>
          <w:color w:val="00B050"/>
          <w:sz w:val="16"/>
          <w:szCs w:val="16"/>
        </w:rPr>
      </w:pPr>
      <w:r w:rsidRPr="005924A6">
        <w:rPr>
          <w:rFonts w:ascii="Verdana" w:hAnsi="Verdana"/>
          <w:sz w:val="16"/>
          <w:szCs w:val="16"/>
        </w:rPr>
        <w:t>todo acto por el cual se inflija intencionadamente a una persona, dolores o sufrimientos graves, ya sean físicos o mentales, con el fin de obtener de ella o de un tercero, información o una confesión, castigarla por un acto que haya cometido, o se sospeche que ha cometido, o intimidar o coaccionar a esa persona o a otras, o por cualquier razón basada en cualquier tipo de discriminación, cuando dichos dolores o sufrimientos sean infligidos por un funcionario público u otra persona en el ejercicio de funciones públicas, a instigación suya, o con su consentimiento o aquiescencia</w:t>
      </w:r>
      <w:r w:rsidRPr="005924A6">
        <w:rPr>
          <w:rStyle w:val="Refdenotaalpie"/>
          <w:rFonts w:ascii="Verdana" w:hAnsi="Verdana"/>
          <w:sz w:val="16"/>
          <w:szCs w:val="16"/>
        </w:rPr>
        <w:footnoteReference w:id="17"/>
      </w:r>
      <w:r w:rsidRPr="005924A6">
        <w:rPr>
          <w:rFonts w:ascii="Verdana" w:hAnsi="Verdana"/>
          <w:sz w:val="16"/>
          <w:szCs w:val="16"/>
        </w:rPr>
        <w:t>.</w:t>
      </w:r>
    </w:p>
    <w:p w14:paraId="4D25146A" w14:textId="169D99B8" w:rsidR="00FA583B" w:rsidRPr="005179D0" w:rsidRDefault="008D422F" w:rsidP="00FA583B">
      <w:pPr>
        <w:pStyle w:val="Prrafodelista"/>
        <w:numPr>
          <w:ilvl w:val="3"/>
          <w:numId w:val="1"/>
        </w:numPr>
        <w:ind w:left="0" w:firstLine="0"/>
        <w:jc w:val="both"/>
        <w:rPr>
          <w:rFonts w:ascii="Verdana" w:hAnsi="Verdana"/>
          <w:sz w:val="20"/>
          <w:szCs w:val="20"/>
        </w:rPr>
      </w:pPr>
      <w:r w:rsidRPr="00BC2D41">
        <w:rPr>
          <w:rFonts w:ascii="Verdana" w:hAnsi="Verdana"/>
          <w:sz w:val="20"/>
          <w:szCs w:val="20"/>
          <w:lang w:val="es-CR"/>
        </w:rPr>
        <w:lastRenderedPageBreak/>
        <w:t>Con base en</w:t>
      </w:r>
      <w:r w:rsidR="00F72F91">
        <w:rPr>
          <w:rFonts w:ascii="Verdana" w:hAnsi="Verdana"/>
          <w:sz w:val="20"/>
          <w:szCs w:val="20"/>
          <w:lang w:val="es-CR"/>
        </w:rPr>
        <w:t xml:space="preserve"> el</w:t>
      </w:r>
      <w:r w:rsidRPr="00BC2D41">
        <w:rPr>
          <w:rFonts w:ascii="Verdana" w:hAnsi="Verdana"/>
          <w:sz w:val="20"/>
          <w:szCs w:val="20"/>
          <w:lang w:val="es-CR"/>
        </w:rPr>
        <w:t xml:space="preserve"> reconocimiento efectuado por el Estado y el acervo probatorio obrante en el presente caso</w:t>
      </w:r>
      <w:r w:rsidR="00D40D05" w:rsidRPr="00BC2D41">
        <w:rPr>
          <w:rFonts w:ascii="Verdana" w:hAnsi="Verdana"/>
          <w:sz w:val="20"/>
          <w:szCs w:val="20"/>
          <w:lang w:val="es-CR"/>
        </w:rPr>
        <w:t>,</w:t>
      </w:r>
      <w:r w:rsidRPr="00BC2D41">
        <w:rPr>
          <w:rFonts w:ascii="Verdana" w:hAnsi="Verdana"/>
          <w:sz w:val="20"/>
          <w:szCs w:val="20"/>
          <w:lang w:val="es-CR"/>
        </w:rPr>
        <w:t xml:space="preserve"> la Corte advierte que, a</w:t>
      </w:r>
      <w:r w:rsidR="00E9047E">
        <w:rPr>
          <w:rFonts w:ascii="Verdana" w:hAnsi="Verdana"/>
          <w:sz w:val="20"/>
          <w:szCs w:val="20"/>
          <w:lang w:val="es-CR"/>
        </w:rPr>
        <w:t xml:space="preserve"> la</w:t>
      </w:r>
      <w:r w:rsidRPr="00BC2D41">
        <w:rPr>
          <w:rFonts w:ascii="Verdana" w:hAnsi="Verdana"/>
          <w:sz w:val="20"/>
          <w:szCs w:val="20"/>
          <w:lang w:val="es-CR"/>
        </w:rPr>
        <w:t xml:space="preserve"> </w:t>
      </w:r>
      <w:r w:rsidR="00E9047E">
        <w:rPr>
          <w:rFonts w:ascii="Verdana" w:hAnsi="Verdana"/>
          <w:sz w:val="20"/>
          <w:szCs w:val="20"/>
          <w:lang w:val="es-CR"/>
        </w:rPr>
        <w:t xml:space="preserve">fecha de la presente sentencia, </w:t>
      </w:r>
      <w:r w:rsidRPr="00BC2D41">
        <w:rPr>
          <w:rFonts w:ascii="Verdana" w:hAnsi="Verdana"/>
          <w:sz w:val="20"/>
          <w:szCs w:val="20"/>
          <w:lang w:val="es-CR"/>
        </w:rPr>
        <w:t>dicha modificación y adecuación legislativa no ha tenido lugar.</w:t>
      </w:r>
      <w:r w:rsidR="00D40D05" w:rsidRPr="00BC2D41">
        <w:rPr>
          <w:rFonts w:ascii="Verdana" w:hAnsi="Verdana"/>
          <w:sz w:val="20"/>
          <w:szCs w:val="20"/>
          <w:lang w:val="es-CR"/>
        </w:rPr>
        <w:t xml:space="preserve"> En consecuencia,</w:t>
      </w:r>
      <w:r w:rsidRPr="00BC2D41">
        <w:rPr>
          <w:rFonts w:ascii="Verdana" w:hAnsi="Verdana"/>
          <w:sz w:val="20"/>
          <w:szCs w:val="20"/>
          <w:lang w:val="es-CR"/>
        </w:rPr>
        <w:t xml:space="preserve"> la Corte considera que </w:t>
      </w:r>
      <w:r w:rsidR="00E9047E" w:rsidRPr="00BC2D41">
        <w:rPr>
          <w:rFonts w:ascii="Verdana" w:hAnsi="Verdana"/>
          <w:sz w:val="20"/>
          <w:szCs w:val="20"/>
          <w:lang w:val="es-CR"/>
        </w:rPr>
        <w:t xml:space="preserve">si bien </w:t>
      </w:r>
      <w:r w:rsidRPr="00BC2D41">
        <w:rPr>
          <w:rFonts w:ascii="Verdana" w:hAnsi="Verdana"/>
          <w:sz w:val="20"/>
          <w:szCs w:val="20"/>
          <w:lang w:val="es-CR"/>
        </w:rPr>
        <w:t xml:space="preserve">la controversia </w:t>
      </w:r>
      <w:r w:rsidR="00E9047E" w:rsidRPr="00BC2D41">
        <w:rPr>
          <w:rFonts w:ascii="Verdana" w:hAnsi="Verdana"/>
          <w:sz w:val="20"/>
          <w:szCs w:val="20"/>
          <w:lang w:val="es-CR"/>
        </w:rPr>
        <w:t xml:space="preserve">ha cesado </w:t>
      </w:r>
      <w:r w:rsidRPr="00BC2D41">
        <w:rPr>
          <w:rFonts w:ascii="Verdana" w:hAnsi="Verdana"/>
          <w:sz w:val="20"/>
          <w:szCs w:val="20"/>
          <w:lang w:val="es-CR"/>
        </w:rPr>
        <w:t xml:space="preserve">sobre este aspecto, </w:t>
      </w:r>
      <w:r w:rsidR="00E9047E" w:rsidRPr="00BC2D41">
        <w:rPr>
          <w:rFonts w:ascii="Verdana" w:hAnsi="Verdana"/>
          <w:sz w:val="20"/>
          <w:szCs w:val="20"/>
          <w:lang w:val="es-CR"/>
        </w:rPr>
        <w:t xml:space="preserve">se referirá sobre este punto </w:t>
      </w:r>
      <w:r w:rsidRPr="00BC2D41">
        <w:rPr>
          <w:rFonts w:ascii="Verdana" w:hAnsi="Verdana"/>
          <w:sz w:val="20"/>
          <w:szCs w:val="20"/>
          <w:lang w:val="es-CR"/>
        </w:rPr>
        <w:t>en el apartado correspondiente del capítulo de reparaciones.</w:t>
      </w:r>
    </w:p>
    <w:p w14:paraId="228D0D9C" w14:textId="73D32511" w:rsidR="00BC2D41" w:rsidRDefault="00BC2D41" w:rsidP="00BC2D41">
      <w:pPr>
        <w:pStyle w:val="Ttulo2"/>
        <w:rPr>
          <w:rFonts w:eastAsia="Verdana"/>
          <w:lang w:val="es-CR"/>
        </w:rPr>
      </w:pPr>
      <w:bookmarkStart w:id="10" w:name="_Toc25247726"/>
      <w:r w:rsidRPr="00EC2F24">
        <w:rPr>
          <w:rFonts w:eastAsia="Verdana"/>
          <w:lang w:val="es-CR"/>
        </w:rPr>
        <w:t>C. Conclusión</w:t>
      </w:r>
      <w:bookmarkEnd w:id="10"/>
    </w:p>
    <w:p w14:paraId="184FF11E" w14:textId="77777777" w:rsidR="00BC2D41" w:rsidRPr="00BC2D41" w:rsidRDefault="00BC2D41" w:rsidP="003F1DC7">
      <w:pPr>
        <w:pStyle w:val="Prrafodelista"/>
        <w:spacing w:after="0"/>
        <w:ind w:left="0"/>
        <w:jc w:val="both"/>
        <w:rPr>
          <w:rFonts w:ascii="Verdana" w:hAnsi="Verdana"/>
          <w:sz w:val="20"/>
          <w:szCs w:val="20"/>
        </w:rPr>
      </w:pPr>
    </w:p>
    <w:p w14:paraId="4DE1BE66" w14:textId="32381016" w:rsidR="002A55B5" w:rsidRPr="00F34F96" w:rsidRDefault="003F0784" w:rsidP="005010EB">
      <w:pPr>
        <w:pStyle w:val="Prrafodelista"/>
        <w:numPr>
          <w:ilvl w:val="3"/>
          <w:numId w:val="1"/>
        </w:numPr>
        <w:ind w:left="0" w:firstLine="0"/>
        <w:jc w:val="both"/>
        <w:rPr>
          <w:rFonts w:ascii="Verdana" w:hAnsi="Verdana"/>
          <w:sz w:val="20"/>
          <w:szCs w:val="20"/>
        </w:rPr>
      </w:pPr>
      <w:r>
        <w:rPr>
          <w:rFonts w:ascii="Verdana" w:hAnsi="Verdana"/>
          <w:sz w:val="20"/>
          <w:szCs w:val="20"/>
          <w:lang w:val="es-CR"/>
        </w:rPr>
        <w:t>Una vez determinado el alcance del reconocimiento de responsabilidad internacional del Estado, e</w:t>
      </w:r>
      <w:r w:rsidR="000E6FC3" w:rsidRPr="00BC2D41">
        <w:rPr>
          <w:rFonts w:ascii="Verdana" w:hAnsi="Verdana"/>
          <w:sz w:val="20"/>
          <w:szCs w:val="20"/>
          <w:lang w:val="es-CR"/>
        </w:rPr>
        <w:t>n consideración a la gravedad de los hechos y de las violaciones alegadas, así como teniendo en cuenta las atribuciones que incumben a este Tribunal como órgano internacional de protección de los derechos humanos, la Corte procederá a la determinación de los hechos ocurridos</w:t>
      </w:r>
      <w:r>
        <w:rPr>
          <w:rFonts w:ascii="Verdana" w:hAnsi="Verdana"/>
          <w:sz w:val="20"/>
          <w:szCs w:val="20"/>
          <w:lang w:val="es-CR"/>
        </w:rPr>
        <w:t>.</w:t>
      </w:r>
      <w:r w:rsidR="005179D0">
        <w:rPr>
          <w:rFonts w:ascii="Verdana" w:hAnsi="Verdana"/>
          <w:sz w:val="20"/>
          <w:szCs w:val="20"/>
          <w:lang w:val="es-CR"/>
        </w:rPr>
        <w:t xml:space="preserve"> </w:t>
      </w:r>
      <w:r w:rsidR="000E6FC3" w:rsidRPr="00BC2D41">
        <w:rPr>
          <w:rFonts w:ascii="Verdana" w:hAnsi="Verdana"/>
          <w:sz w:val="20"/>
          <w:szCs w:val="20"/>
          <w:lang w:val="es-CR"/>
        </w:rPr>
        <w:t>De igual modo, la Corte abrirá capítulos correspondientes para analizar y precisar en lo que corresponda el alcance de las violaciones alegadas por la Comisión o los representantes, así como las consecuencias a que haya lugar en cuanto a reparaciones.</w:t>
      </w:r>
    </w:p>
    <w:p w14:paraId="6852393A" w14:textId="77777777" w:rsidR="00BC2D41" w:rsidRPr="00EC2F24" w:rsidRDefault="00BC2D41" w:rsidP="00BC2D41">
      <w:pPr>
        <w:pStyle w:val="Ttulo1"/>
        <w:spacing w:before="0"/>
        <w:rPr>
          <w:rFonts w:eastAsia="Verdana"/>
        </w:rPr>
      </w:pPr>
      <w:bookmarkStart w:id="11" w:name="_Toc25247727"/>
      <w:r w:rsidRPr="00EC2F24">
        <w:rPr>
          <w:rFonts w:eastAsia="Verdana"/>
        </w:rPr>
        <w:t>V</w:t>
      </w:r>
      <w:r>
        <w:rPr>
          <w:rFonts w:eastAsia="Verdana"/>
        </w:rPr>
        <w:br/>
        <w:t>CONSIDERACIONES</w:t>
      </w:r>
      <w:r w:rsidRPr="00EC2F24">
        <w:rPr>
          <w:rFonts w:eastAsia="Verdana"/>
        </w:rPr>
        <w:t xml:space="preserve"> PRE</w:t>
      </w:r>
      <w:r>
        <w:rPr>
          <w:rFonts w:eastAsia="Verdana"/>
        </w:rPr>
        <w:t>VIAS</w:t>
      </w:r>
      <w:bookmarkEnd w:id="11"/>
    </w:p>
    <w:p w14:paraId="356A4EAC" w14:textId="77777777" w:rsidR="00BC2D41" w:rsidRPr="00BC2D41" w:rsidRDefault="00BC2D41" w:rsidP="00BC2D41">
      <w:pPr>
        <w:pStyle w:val="Prrafodelista"/>
        <w:ind w:left="0"/>
        <w:jc w:val="both"/>
        <w:rPr>
          <w:rFonts w:ascii="Verdana" w:hAnsi="Verdana"/>
          <w:sz w:val="20"/>
          <w:szCs w:val="20"/>
        </w:rPr>
      </w:pPr>
    </w:p>
    <w:p w14:paraId="4A58E5D7" w14:textId="3691E827" w:rsidR="00167102" w:rsidRPr="00BC2D41" w:rsidRDefault="000E6FC3" w:rsidP="005179D0">
      <w:pPr>
        <w:pStyle w:val="Prrafodelista"/>
        <w:numPr>
          <w:ilvl w:val="3"/>
          <w:numId w:val="1"/>
        </w:numPr>
        <w:spacing w:after="0"/>
        <w:ind w:left="0" w:firstLine="0"/>
        <w:jc w:val="both"/>
        <w:rPr>
          <w:rFonts w:ascii="Verdana" w:hAnsi="Verdana"/>
          <w:sz w:val="20"/>
          <w:szCs w:val="20"/>
        </w:rPr>
      </w:pPr>
      <w:r w:rsidRPr="00BC2D41">
        <w:rPr>
          <w:rFonts w:ascii="Verdana" w:eastAsia="Calibri" w:hAnsi="Verdana" w:cs="Times New Roman"/>
          <w:sz w:val="20"/>
          <w:szCs w:val="20"/>
          <w:lang w:val="es-CR" w:eastAsia="es-CR"/>
        </w:rPr>
        <w:t xml:space="preserve">El </w:t>
      </w:r>
      <w:r w:rsidRPr="00BC2D41">
        <w:rPr>
          <w:rFonts w:ascii="Verdana" w:eastAsia="Calibri" w:hAnsi="Verdana" w:cs="Times New Roman"/>
          <w:b/>
          <w:i/>
          <w:sz w:val="20"/>
          <w:szCs w:val="20"/>
          <w:lang w:val="es-CR" w:eastAsia="es-CR"/>
        </w:rPr>
        <w:t>Estado</w:t>
      </w:r>
      <w:r w:rsidRPr="00BC2D41">
        <w:rPr>
          <w:rFonts w:ascii="Verdana" w:eastAsia="Calibri" w:hAnsi="Verdana" w:cs="Times New Roman"/>
          <w:sz w:val="20"/>
          <w:szCs w:val="20"/>
          <w:lang w:val="es-CR" w:eastAsia="es-CR"/>
        </w:rPr>
        <w:t xml:space="preserve"> planteó en su escrito de contestación </w:t>
      </w:r>
      <w:r w:rsidR="00385807" w:rsidRPr="00BC2D41">
        <w:rPr>
          <w:rFonts w:ascii="Verdana" w:eastAsia="Calibri" w:hAnsi="Verdana" w:cs="Times New Roman"/>
          <w:sz w:val="20"/>
          <w:szCs w:val="20"/>
          <w:lang w:val="es-CR" w:eastAsia="es-CR"/>
        </w:rPr>
        <w:t xml:space="preserve">tres puntos que denominó </w:t>
      </w:r>
      <w:r w:rsidRPr="00BC2D41">
        <w:rPr>
          <w:rFonts w:ascii="Verdana" w:eastAsia="Calibri" w:hAnsi="Verdana" w:cs="Times New Roman"/>
          <w:sz w:val="20"/>
          <w:szCs w:val="20"/>
          <w:lang w:val="es-CR" w:eastAsia="es-CR"/>
        </w:rPr>
        <w:t>excepc</w:t>
      </w:r>
      <w:r w:rsidR="002457CC" w:rsidRPr="00BC2D41">
        <w:rPr>
          <w:rFonts w:ascii="Verdana" w:eastAsia="Calibri" w:hAnsi="Verdana" w:cs="Times New Roman"/>
          <w:sz w:val="20"/>
          <w:szCs w:val="20"/>
          <w:lang w:val="es-CR" w:eastAsia="es-CR"/>
        </w:rPr>
        <w:t>iones preliminares</w:t>
      </w:r>
      <w:r w:rsidR="00F87B40" w:rsidRPr="00BC2D41">
        <w:rPr>
          <w:rFonts w:ascii="Verdana" w:eastAsia="Calibri" w:hAnsi="Verdana" w:cs="Times New Roman"/>
          <w:sz w:val="20"/>
          <w:szCs w:val="20"/>
          <w:lang w:val="es-CR" w:eastAsia="es-CR"/>
        </w:rPr>
        <w:t xml:space="preserve">. </w:t>
      </w:r>
    </w:p>
    <w:p w14:paraId="4F763C46" w14:textId="77777777" w:rsidR="00385807" w:rsidRPr="00385807" w:rsidRDefault="00385807" w:rsidP="005179D0">
      <w:pPr>
        <w:pStyle w:val="Prrafodelista"/>
        <w:spacing w:after="0"/>
        <w:rPr>
          <w:rFonts w:ascii="Verdana" w:hAnsi="Verdana"/>
          <w:sz w:val="20"/>
          <w:szCs w:val="20"/>
          <w:lang w:val="es-CR"/>
        </w:rPr>
      </w:pPr>
    </w:p>
    <w:p w14:paraId="05F33B1A" w14:textId="3B9D37C5" w:rsidR="00385807" w:rsidRPr="002457CC" w:rsidRDefault="00385807" w:rsidP="005179D0">
      <w:pPr>
        <w:pStyle w:val="Prrafodelista"/>
        <w:numPr>
          <w:ilvl w:val="3"/>
          <w:numId w:val="1"/>
        </w:numPr>
        <w:autoSpaceDE w:val="0"/>
        <w:autoSpaceDN w:val="0"/>
        <w:adjustRightInd w:val="0"/>
        <w:spacing w:after="0" w:line="240" w:lineRule="auto"/>
        <w:ind w:left="0" w:firstLine="0"/>
        <w:jc w:val="both"/>
        <w:rPr>
          <w:rFonts w:ascii="Verdana" w:eastAsia="Calibri" w:hAnsi="Verdana" w:cs="Times New Roman"/>
          <w:sz w:val="20"/>
          <w:szCs w:val="20"/>
          <w:lang w:val="es-CR" w:eastAsia="es-CR"/>
        </w:rPr>
      </w:pPr>
      <w:r w:rsidRPr="003E7960">
        <w:rPr>
          <w:rFonts w:ascii="Verdana" w:eastAsia="Calibri" w:hAnsi="Verdana" w:cs="Times New Roman"/>
          <w:sz w:val="20"/>
          <w:szCs w:val="20"/>
          <w:lang w:val="es-CR" w:eastAsia="es-CR"/>
        </w:rPr>
        <w:t xml:space="preserve">Este Tribunal advierte que los cuestionamientos del Estado están dirigidos a la determinación del marco fáctico y de las presuntas víctimas. Por esa razón, la Corte considera que los alegatos estatales no </w:t>
      </w:r>
      <w:r w:rsidR="003F0784">
        <w:rPr>
          <w:rFonts w:ascii="Verdana" w:eastAsia="Calibri" w:hAnsi="Verdana" w:cs="Times New Roman"/>
          <w:sz w:val="20"/>
          <w:szCs w:val="20"/>
          <w:lang w:val="es-CR" w:eastAsia="es-CR"/>
        </w:rPr>
        <w:t xml:space="preserve">corresponden a </w:t>
      </w:r>
      <w:r w:rsidRPr="003E7960">
        <w:rPr>
          <w:rFonts w:ascii="Verdana" w:eastAsia="Calibri" w:hAnsi="Verdana" w:cs="Times New Roman"/>
          <w:sz w:val="20"/>
          <w:szCs w:val="20"/>
          <w:lang w:val="es-CR" w:eastAsia="es-CR"/>
        </w:rPr>
        <w:t>una excepción preliminar,</w:t>
      </w:r>
      <w:r w:rsidR="007168A7">
        <w:rPr>
          <w:rFonts w:ascii="Verdana" w:eastAsia="Calibri" w:hAnsi="Verdana" w:cs="Times New Roman"/>
          <w:sz w:val="20"/>
          <w:szCs w:val="20"/>
          <w:lang w:val="es-CR" w:eastAsia="es-CR"/>
        </w:rPr>
        <w:t xml:space="preserve"> pues no objetan la admisibilidad del caso ni la competencia de la Corte para conocer del mismo, </w:t>
      </w:r>
      <w:r w:rsidRPr="003E7960">
        <w:rPr>
          <w:rFonts w:ascii="Verdana" w:eastAsia="Calibri" w:hAnsi="Verdana" w:cs="Times New Roman"/>
          <w:sz w:val="20"/>
          <w:szCs w:val="20"/>
          <w:lang w:val="es-CR" w:eastAsia="es-CR"/>
        </w:rPr>
        <w:t xml:space="preserve">sin perjuicio de </w:t>
      </w:r>
      <w:r w:rsidR="005B65FA">
        <w:rPr>
          <w:rFonts w:ascii="Verdana" w:eastAsia="Calibri" w:hAnsi="Verdana" w:cs="Times New Roman"/>
          <w:sz w:val="20"/>
          <w:szCs w:val="20"/>
          <w:lang w:val="es-CR" w:eastAsia="es-CR"/>
        </w:rPr>
        <w:t xml:space="preserve">lo cual </w:t>
      </w:r>
      <w:r w:rsidRPr="003E7960">
        <w:rPr>
          <w:rFonts w:ascii="Verdana" w:eastAsia="Calibri" w:hAnsi="Verdana" w:cs="Times New Roman"/>
          <w:sz w:val="20"/>
          <w:szCs w:val="20"/>
          <w:lang w:val="es-CR" w:eastAsia="es-CR"/>
        </w:rPr>
        <w:t>el planteamiento estatal se</w:t>
      </w:r>
      <w:r w:rsidR="005B65FA">
        <w:rPr>
          <w:rFonts w:ascii="Verdana" w:eastAsia="Calibri" w:hAnsi="Verdana" w:cs="Times New Roman"/>
          <w:sz w:val="20"/>
          <w:szCs w:val="20"/>
          <w:lang w:val="es-CR" w:eastAsia="es-CR"/>
        </w:rPr>
        <w:t xml:space="preserve"> resuelve en el presente capítulo, para lo cual se tratará</w:t>
      </w:r>
      <w:r w:rsidR="003B4CE2">
        <w:rPr>
          <w:rFonts w:ascii="Verdana" w:eastAsia="Calibri" w:hAnsi="Verdana" w:cs="Times New Roman"/>
          <w:sz w:val="20"/>
          <w:szCs w:val="20"/>
          <w:lang w:val="es-CR" w:eastAsia="es-CR"/>
        </w:rPr>
        <w:t>n</w:t>
      </w:r>
      <w:r w:rsidR="005B65FA">
        <w:rPr>
          <w:rFonts w:ascii="Verdana" w:eastAsia="Calibri" w:hAnsi="Verdana" w:cs="Times New Roman"/>
          <w:sz w:val="20"/>
          <w:szCs w:val="20"/>
          <w:lang w:val="es-CR" w:eastAsia="es-CR"/>
        </w:rPr>
        <w:t xml:space="preserve"> </w:t>
      </w:r>
      <w:r w:rsidRPr="003E7960">
        <w:rPr>
          <w:rFonts w:ascii="Verdana" w:eastAsia="Calibri" w:hAnsi="Verdana" w:cs="Times New Roman"/>
          <w:sz w:val="20"/>
          <w:szCs w:val="20"/>
          <w:lang w:val="es-CR" w:eastAsia="es-CR"/>
        </w:rPr>
        <w:t xml:space="preserve">dichas alegaciones como </w:t>
      </w:r>
      <w:r>
        <w:rPr>
          <w:rFonts w:ascii="Verdana" w:eastAsia="Calibri" w:hAnsi="Verdana" w:cs="Times New Roman"/>
          <w:sz w:val="20"/>
          <w:szCs w:val="20"/>
          <w:lang w:val="es-CR" w:eastAsia="es-CR"/>
        </w:rPr>
        <w:t>cuestiones previas</w:t>
      </w:r>
      <w:r w:rsidR="003B4CE2">
        <w:rPr>
          <w:rFonts w:ascii="Verdana" w:eastAsia="Calibri" w:hAnsi="Verdana" w:cs="Times New Roman"/>
          <w:sz w:val="20"/>
          <w:szCs w:val="20"/>
          <w:lang w:val="es-CR" w:eastAsia="es-CR"/>
        </w:rPr>
        <w:t xml:space="preserve">, y </w:t>
      </w:r>
      <w:r w:rsidR="00F87B40">
        <w:rPr>
          <w:rFonts w:ascii="Verdana" w:eastAsia="Calibri" w:hAnsi="Verdana" w:cs="Times New Roman"/>
          <w:sz w:val="20"/>
          <w:szCs w:val="20"/>
          <w:lang w:val="es-CR" w:eastAsia="es-CR"/>
        </w:rPr>
        <w:t>analizará los cue</w:t>
      </w:r>
      <w:r w:rsidR="009D2931">
        <w:rPr>
          <w:rFonts w:ascii="Verdana" w:eastAsia="Calibri" w:hAnsi="Verdana" w:cs="Times New Roman"/>
          <w:sz w:val="20"/>
          <w:szCs w:val="20"/>
          <w:lang w:val="es-CR" w:eastAsia="es-CR"/>
        </w:rPr>
        <w:t>stionamientos en dos apartados.</w:t>
      </w:r>
    </w:p>
    <w:p w14:paraId="5F2EF69C" w14:textId="77777777" w:rsidR="004C7E4F" w:rsidRDefault="004C7E4F" w:rsidP="002F1362">
      <w:pPr>
        <w:pStyle w:val="Prrafodelista"/>
        <w:autoSpaceDE w:val="0"/>
        <w:autoSpaceDN w:val="0"/>
        <w:adjustRightInd w:val="0"/>
        <w:spacing w:after="0" w:line="240" w:lineRule="auto"/>
        <w:ind w:left="0"/>
        <w:jc w:val="both"/>
        <w:rPr>
          <w:rFonts w:ascii="Verdana" w:eastAsia="Calibri" w:hAnsi="Verdana" w:cs="Times New Roman"/>
          <w:sz w:val="20"/>
          <w:szCs w:val="20"/>
          <w:lang w:val="es-CR" w:eastAsia="es-CR"/>
        </w:rPr>
      </w:pPr>
    </w:p>
    <w:p w14:paraId="27B7B848" w14:textId="62875000" w:rsidR="004C7E4F" w:rsidRPr="005E2A26" w:rsidRDefault="004C7E4F" w:rsidP="002F1362">
      <w:pPr>
        <w:pStyle w:val="Ttulo2"/>
        <w:spacing w:before="0"/>
        <w:rPr>
          <w:rFonts w:eastAsia="Verdana"/>
        </w:rPr>
      </w:pPr>
      <w:bookmarkStart w:id="12" w:name="_Toc25247728"/>
      <w:r w:rsidRPr="00EC2F24">
        <w:rPr>
          <w:rFonts w:eastAsia="Verdana"/>
        </w:rPr>
        <w:t>A. Sobre la alegación de la inclusión de hechos nuevos por parte de los representant</w:t>
      </w:r>
      <w:r w:rsidR="00F51963">
        <w:rPr>
          <w:rFonts w:eastAsia="Verdana"/>
        </w:rPr>
        <w:t>es en su escrito de solicitudes y</w:t>
      </w:r>
      <w:r w:rsidRPr="00EC2F24">
        <w:rPr>
          <w:rFonts w:eastAsia="Verdana"/>
        </w:rPr>
        <w:t xml:space="preserve"> argumentos</w:t>
      </w:r>
      <w:bookmarkEnd w:id="12"/>
    </w:p>
    <w:p w14:paraId="4E25746D" w14:textId="370A3C2B" w:rsidR="004C7E4F" w:rsidRPr="00EC2F24" w:rsidRDefault="004C7E4F" w:rsidP="00805F0E">
      <w:pPr>
        <w:pStyle w:val="Ttulo3"/>
        <w:rPr>
          <w:rFonts w:eastAsia="Calibri"/>
          <w:lang w:val="es-CR" w:eastAsia="es-CR"/>
        </w:rPr>
      </w:pPr>
      <w:bookmarkStart w:id="13" w:name="_Toc25247729"/>
      <w:r w:rsidRPr="00EC2F24">
        <w:rPr>
          <w:rFonts w:eastAsia="Calibri"/>
          <w:lang w:val="es-CR" w:eastAsia="es-CR"/>
        </w:rPr>
        <w:t>A.1</w:t>
      </w:r>
      <w:r w:rsidR="00F51963">
        <w:rPr>
          <w:rFonts w:eastAsia="Calibri"/>
          <w:lang w:val="es-CR" w:eastAsia="es-CR"/>
        </w:rPr>
        <w:t>.</w:t>
      </w:r>
      <w:r w:rsidRPr="00EC2F24">
        <w:rPr>
          <w:rFonts w:eastAsia="Calibri"/>
          <w:lang w:val="es-CR" w:eastAsia="es-CR"/>
        </w:rPr>
        <w:t xml:space="preserve"> Alegatos del Estado y observaciones de la Comisión y los representantes</w:t>
      </w:r>
      <w:bookmarkEnd w:id="13"/>
    </w:p>
    <w:p w14:paraId="0DF06460" w14:textId="77777777" w:rsidR="004C7E4F" w:rsidRDefault="004C7E4F" w:rsidP="004C7E4F">
      <w:pPr>
        <w:pStyle w:val="Prrafodelista"/>
        <w:autoSpaceDE w:val="0"/>
        <w:autoSpaceDN w:val="0"/>
        <w:adjustRightInd w:val="0"/>
        <w:spacing w:after="0" w:line="240" w:lineRule="auto"/>
        <w:ind w:left="0"/>
        <w:jc w:val="both"/>
        <w:rPr>
          <w:rFonts w:ascii="Verdana" w:hAnsi="Verdana"/>
          <w:sz w:val="20"/>
          <w:szCs w:val="20"/>
          <w:lang w:val="es-CR"/>
        </w:rPr>
      </w:pPr>
    </w:p>
    <w:p w14:paraId="5A476421" w14:textId="13E5B2F9" w:rsidR="00154DEE" w:rsidRDefault="000E6FC3" w:rsidP="005406CA">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4C7E4F">
        <w:rPr>
          <w:rFonts w:ascii="Verdana" w:eastAsia="Times New Roman" w:hAnsi="Verdana" w:cs="Times New Roman"/>
          <w:sz w:val="20"/>
          <w:szCs w:val="20"/>
          <w:lang w:eastAsia="es-CR"/>
        </w:rPr>
        <w:t xml:space="preserve">El </w:t>
      </w:r>
      <w:r w:rsidRPr="004C7E4F">
        <w:rPr>
          <w:rFonts w:ascii="Verdana" w:eastAsia="Times New Roman" w:hAnsi="Verdana" w:cs="Times New Roman"/>
          <w:b/>
          <w:i/>
          <w:sz w:val="20"/>
          <w:szCs w:val="20"/>
          <w:lang w:eastAsia="es-CR"/>
        </w:rPr>
        <w:t>Estado</w:t>
      </w:r>
      <w:r w:rsidRPr="004C7E4F">
        <w:rPr>
          <w:rFonts w:ascii="Verdana" w:eastAsia="Times New Roman" w:hAnsi="Verdana" w:cs="Times New Roman"/>
          <w:sz w:val="20"/>
          <w:szCs w:val="20"/>
          <w:lang w:eastAsia="es-CR"/>
        </w:rPr>
        <w:t xml:space="preserve"> argumentó que los representantes presentaron un relato ampliado de los hechos que sucedieron con anterioridad y posterioridad a la</w:t>
      </w:r>
      <w:r w:rsidR="005B65FA">
        <w:rPr>
          <w:rFonts w:ascii="Verdana" w:eastAsia="Times New Roman" w:hAnsi="Verdana" w:cs="Times New Roman"/>
          <w:sz w:val="20"/>
          <w:szCs w:val="20"/>
          <w:lang w:eastAsia="es-CR"/>
        </w:rPr>
        <w:t>s</w:t>
      </w:r>
      <w:r w:rsidRPr="004C7E4F">
        <w:rPr>
          <w:rFonts w:ascii="Verdana" w:eastAsia="Times New Roman" w:hAnsi="Verdana" w:cs="Times New Roman"/>
          <w:sz w:val="20"/>
          <w:szCs w:val="20"/>
          <w:lang w:eastAsia="es-CR"/>
        </w:rPr>
        <w:t xml:space="preserve"> múltiples capturas de</w:t>
      </w:r>
      <w:r w:rsidR="005B65FA">
        <w:rPr>
          <w:rFonts w:ascii="Verdana" w:eastAsia="Times New Roman" w:hAnsi="Verdana" w:cs="Times New Roman"/>
          <w:sz w:val="20"/>
          <w:szCs w:val="20"/>
          <w:lang w:eastAsia="es-CR"/>
        </w:rPr>
        <w:t>l</w:t>
      </w:r>
      <w:r w:rsidRPr="004C7E4F">
        <w:rPr>
          <w:rFonts w:ascii="Verdana" w:eastAsia="Times New Roman" w:hAnsi="Verdana" w:cs="Times New Roman"/>
          <w:sz w:val="20"/>
          <w:szCs w:val="20"/>
          <w:lang w:eastAsia="es-CR"/>
        </w:rPr>
        <w:t xml:space="preserve"> señor Valenzuela y dentro las distintas situaciones narradas </w:t>
      </w:r>
      <w:r w:rsidR="000673D3">
        <w:rPr>
          <w:rFonts w:ascii="Verdana" w:eastAsia="Times New Roman" w:hAnsi="Verdana" w:cs="Times New Roman"/>
          <w:sz w:val="20"/>
          <w:szCs w:val="20"/>
          <w:lang w:eastAsia="es-CR"/>
        </w:rPr>
        <w:t xml:space="preserve">en </w:t>
      </w:r>
      <w:r w:rsidRPr="004C7E4F">
        <w:rPr>
          <w:rFonts w:ascii="Verdana" w:eastAsia="Times New Roman" w:hAnsi="Verdana" w:cs="Times New Roman"/>
          <w:sz w:val="20"/>
          <w:szCs w:val="20"/>
          <w:lang w:eastAsia="es-CR"/>
        </w:rPr>
        <w:t xml:space="preserve">el escrito de solicitudes y argumentos, varias están ausentes en el Informe de Fondo y no pueden ser consideradas como hechos supervinientes. Agregó que la información sobre los hechos nuevos bajo el pretexto de tratarse de </w:t>
      </w:r>
      <w:proofErr w:type="gramStart"/>
      <w:r w:rsidRPr="004C7E4F">
        <w:rPr>
          <w:rFonts w:ascii="Verdana" w:eastAsia="Times New Roman" w:hAnsi="Verdana" w:cs="Times New Roman"/>
          <w:sz w:val="20"/>
          <w:szCs w:val="20"/>
          <w:lang w:eastAsia="es-CR"/>
        </w:rPr>
        <w:t>contexto,</w:t>
      </w:r>
      <w:proofErr w:type="gramEnd"/>
      <w:r w:rsidRPr="004C7E4F">
        <w:rPr>
          <w:rFonts w:ascii="Verdana" w:eastAsia="Times New Roman" w:hAnsi="Verdana" w:cs="Times New Roman"/>
          <w:sz w:val="20"/>
          <w:szCs w:val="20"/>
          <w:lang w:eastAsia="es-CR"/>
        </w:rPr>
        <w:t xml:space="preserve"> debió </w:t>
      </w:r>
      <w:r w:rsidR="005B65FA">
        <w:rPr>
          <w:rFonts w:ascii="Verdana" w:eastAsia="Times New Roman" w:hAnsi="Verdana" w:cs="Times New Roman"/>
          <w:sz w:val="20"/>
          <w:szCs w:val="20"/>
          <w:lang w:eastAsia="es-CR"/>
        </w:rPr>
        <w:t xml:space="preserve">presentarse </w:t>
      </w:r>
      <w:r w:rsidRPr="004C7E4F">
        <w:rPr>
          <w:rFonts w:ascii="Verdana" w:eastAsia="Times New Roman" w:hAnsi="Verdana" w:cs="Times New Roman"/>
          <w:sz w:val="20"/>
          <w:szCs w:val="20"/>
          <w:lang w:eastAsia="es-CR"/>
        </w:rPr>
        <w:t>oportunamente ante la Comisión para garantizar el derecho de defensa y al contradictorio y se opone a su inclusión.</w:t>
      </w:r>
      <w:r w:rsidRPr="004C7E4F">
        <w:rPr>
          <w:rFonts w:ascii="Verdana" w:hAnsi="Verdana"/>
          <w:sz w:val="20"/>
          <w:szCs w:val="20"/>
          <w:lang w:val="es-CR"/>
        </w:rPr>
        <w:t xml:space="preserve"> Asimismo, solicitó que las discusiones se centren en los hechos que se denuncian cometidos contra el señor Valenzuela Ávila a partir de su captura y su enjuiciamiento por el delito de asesinato y que los hechos nuevos sean excluidos. </w:t>
      </w:r>
    </w:p>
    <w:p w14:paraId="7FD93B19" w14:textId="77777777" w:rsidR="00154DEE" w:rsidRDefault="00154DEE" w:rsidP="00154DEE">
      <w:pPr>
        <w:pStyle w:val="Prrafodelista"/>
        <w:autoSpaceDE w:val="0"/>
        <w:autoSpaceDN w:val="0"/>
        <w:adjustRightInd w:val="0"/>
        <w:spacing w:after="0" w:line="240" w:lineRule="auto"/>
        <w:ind w:left="0"/>
        <w:jc w:val="both"/>
        <w:rPr>
          <w:rFonts w:ascii="Verdana" w:hAnsi="Verdana"/>
          <w:sz w:val="20"/>
          <w:szCs w:val="20"/>
          <w:lang w:val="es-CR"/>
        </w:rPr>
      </w:pPr>
    </w:p>
    <w:p w14:paraId="4BBD2A9D" w14:textId="77777777" w:rsidR="00154DEE" w:rsidRPr="00906F60" w:rsidRDefault="000E6FC3" w:rsidP="005406CA">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154DEE">
        <w:rPr>
          <w:rFonts w:ascii="Verdana" w:hAnsi="Verdana"/>
          <w:sz w:val="20"/>
          <w:szCs w:val="20"/>
          <w:lang w:val="es-CR"/>
        </w:rPr>
        <w:t xml:space="preserve">Los </w:t>
      </w:r>
      <w:r w:rsidRPr="00154DEE">
        <w:rPr>
          <w:rFonts w:ascii="Verdana" w:hAnsi="Verdana"/>
          <w:b/>
          <w:i/>
          <w:sz w:val="20"/>
          <w:szCs w:val="20"/>
          <w:lang w:val="es-CR"/>
        </w:rPr>
        <w:t xml:space="preserve">representantes </w:t>
      </w:r>
      <w:r w:rsidRPr="00154DEE">
        <w:rPr>
          <w:rFonts w:ascii="Verdana" w:hAnsi="Verdana"/>
          <w:sz w:val="20"/>
          <w:szCs w:val="20"/>
          <w:lang w:val="es-CR"/>
        </w:rPr>
        <w:t xml:space="preserve">consideraron que los argumentos del Estado no tienen carácter de excepción preliminar, sino de controversia de fondo. Agregaron que la información del contexto se encuentra expresamente consignada por la Comisión en el Informe de Fondo, y que su postulación se realizó dentro de parámetros que debe utilizar la Corte para poder determinar con precisión la magnitud y gravedad de los hechos. </w:t>
      </w:r>
    </w:p>
    <w:p w14:paraId="33189EAE" w14:textId="77777777" w:rsidR="00906F60" w:rsidRPr="007E6857" w:rsidRDefault="00906F60" w:rsidP="00906F60">
      <w:pPr>
        <w:pStyle w:val="Prrafodelista"/>
        <w:autoSpaceDE w:val="0"/>
        <w:autoSpaceDN w:val="0"/>
        <w:adjustRightInd w:val="0"/>
        <w:spacing w:after="0" w:line="240" w:lineRule="auto"/>
        <w:ind w:left="0"/>
        <w:jc w:val="both"/>
        <w:rPr>
          <w:rFonts w:ascii="Verdana" w:hAnsi="Verdana"/>
          <w:sz w:val="20"/>
          <w:szCs w:val="20"/>
          <w:lang w:val="es-CR"/>
        </w:rPr>
      </w:pPr>
    </w:p>
    <w:p w14:paraId="528C444A" w14:textId="45958F9C" w:rsidR="00683E93" w:rsidRPr="00E13311" w:rsidRDefault="000E6FC3" w:rsidP="005406CA">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154DEE">
        <w:rPr>
          <w:rFonts w:ascii="Verdana" w:hAnsi="Verdana"/>
          <w:sz w:val="20"/>
          <w:szCs w:val="20"/>
          <w:lang w:val="es-CR"/>
        </w:rPr>
        <w:t xml:space="preserve">La </w:t>
      </w:r>
      <w:r w:rsidRPr="00154DEE">
        <w:rPr>
          <w:rFonts w:ascii="Verdana" w:hAnsi="Verdana"/>
          <w:b/>
          <w:i/>
          <w:sz w:val="20"/>
          <w:szCs w:val="20"/>
          <w:lang w:val="es-CR"/>
        </w:rPr>
        <w:t>Comisión</w:t>
      </w:r>
      <w:r w:rsidRPr="00154DEE">
        <w:rPr>
          <w:rFonts w:ascii="Verdana" w:hAnsi="Verdana"/>
          <w:sz w:val="20"/>
          <w:szCs w:val="20"/>
          <w:lang w:val="es-CR"/>
        </w:rPr>
        <w:t xml:space="preserve"> </w:t>
      </w:r>
      <w:r w:rsidR="005758E2">
        <w:rPr>
          <w:rFonts w:ascii="Verdana" w:eastAsia="Times New Roman" w:hAnsi="Verdana" w:cs="Times New Roman"/>
          <w:sz w:val="20"/>
          <w:szCs w:val="20"/>
          <w:lang w:val="es-CR" w:eastAsia="es-CR"/>
        </w:rPr>
        <w:t>consideró</w:t>
      </w:r>
      <w:r w:rsidRPr="00154DEE">
        <w:rPr>
          <w:rFonts w:ascii="Verdana" w:eastAsia="Times New Roman" w:hAnsi="Verdana" w:cs="Times New Roman"/>
          <w:sz w:val="20"/>
          <w:szCs w:val="20"/>
          <w:lang w:val="es-CR" w:eastAsia="es-CR"/>
        </w:rPr>
        <w:t xml:space="preserve"> que la información proporcionada por los representantes no se encuentra fuera del marco fáctico del Informe de Fondo, pues permiten explicar y aclarar aspectos contextuales que se encuentran allí identificados.</w:t>
      </w:r>
      <w:r w:rsidRPr="00154DEE">
        <w:rPr>
          <w:rFonts w:ascii="Verdana" w:eastAsia="Times New Roman" w:hAnsi="Verdana" w:cs="Times New Roman"/>
          <w:b/>
          <w:sz w:val="20"/>
          <w:szCs w:val="20"/>
          <w:lang w:val="es-CR" w:eastAsia="es-CR"/>
        </w:rPr>
        <w:t xml:space="preserve"> </w:t>
      </w:r>
      <w:r w:rsidRPr="00154DEE">
        <w:rPr>
          <w:rFonts w:ascii="Verdana" w:eastAsia="Times New Roman" w:hAnsi="Verdana" w:cs="Times New Roman"/>
          <w:sz w:val="20"/>
          <w:szCs w:val="20"/>
          <w:lang w:val="es-CR" w:eastAsia="es-CR"/>
        </w:rPr>
        <w:t>El Estado se refirió a elementos contextuales que a su criterio están fuera del marco del Informe de Fondo que abarcan dos aspectos: el contexto de aplicación de la pena de muerte y el contexto que generó la muerte del señor Valenzuela Ávila en el marco de</w:t>
      </w:r>
      <w:r w:rsidR="00424B1A">
        <w:rPr>
          <w:rFonts w:ascii="Verdana" w:eastAsia="Times New Roman" w:hAnsi="Verdana" w:cs="Times New Roman"/>
          <w:sz w:val="20"/>
          <w:szCs w:val="20"/>
          <w:lang w:val="es-CR" w:eastAsia="es-CR"/>
        </w:rPr>
        <w:t xml:space="preserve"> la</w:t>
      </w:r>
      <w:r w:rsidRPr="00154DEE">
        <w:rPr>
          <w:rFonts w:ascii="Verdana" w:eastAsia="Times New Roman" w:hAnsi="Verdana" w:cs="Times New Roman"/>
          <w:sz w:val="20"/>
          <w:szCs w:val="20"/>
          <w:lang w:val="es-CR" w:eastAsia="es-CR"/>
        </w:rPr>
        <w:t xml:space="preserve"> </w:t>
      </w:r>
      <w:r w:rsidR="00424B1A">
        <w:rPr>
          <w:rFonts w:ascii="Verdana" w:eastAsia="Times New Roman" w:hAnsi="Verdana" w:cs="Times New Roman"/>
          <w:sz w:val="20"/>
          <w:szCs w:val="20"/>
          <w:lang w:val="es-CR" w:eastAsia="es-CR"/>
        </w:rPr>
        <w:t>“Operación</w:t>
      </w:r>
      <w:r w:rsidRPr="00154DEE">
        <w:rPr>
          <w:rFonts w:ascii="Verdana" w:eastAsia="Times New Roman" w:hAnsi="Verdana" w:cs="Times New Roman"/>
          <w:sz w:val="20"/>
          <w:szCs w:val="20"/>
          <w:lang w:val="es-CR" w:eastAsia="es-CR"/>
        </w:rPr>
        <w:t xml:space="preserve"> Gavilán</w:t>
      </w:r>
      <w:r w:rsidR="00424B1A">
        <w:rPr>
          <w:rFonts w:ascii="Verdana" w:eastAsia="Times New Roman" w:hAnsi="Verdana" w:cs="Times New Roman"/>
          <w:sz w:val="20"/>
          <w:szCs w:val="20"/>
          <w:lang w:val="es-CR" w:eastAsia="es-CR"/>
        </w:rPr>
        <w:t>”</w:t>
      </w:r>
      <w:r w:rsidRPr="00154DEE">
        <w:rPr>
          <w:rFonts w:ascii="Verdana" w:eastAsia="Times New Roman" w:hAnsi="Verdana" w:cs="Times New Roman"/>
          <w:sz w:val="20"/>
          <w:szCs w:val="20"/>
          <w:lang w:val="es-CR" w:eastAsia="es-CR"/>
        </w:rPr>
        <w:t xml:space="preserve">. Al respecto, la Comisión señaló que ambos aspectos fueron referidos en el Informe de Fondo, el primero a partir del párrafo 62 y el segundo a partir del párrafo 79. Finalmente, solicitó que se deseche dicha excepción preliminar interpuesta por el Estado. </w:t>
      </w:r>
    </w:p>
    <w:p w14:paraId="6A24A4DF" w14:textId="7E08EA1C" w:rsidR="00154DEE" w:rsidRPr="00154DEE" w:rsidRDefault="000E6FC3" w:rsidP="00805F0E">
      <w:pPr>
        <w:pStyle w:val="Ttulo3"/>
        <w:rPr>
          <w:lang w:val="es-CR"/>
        </w:rPr>
      </w:pPr>
      <w:bookmarkStart w:id="14" w:name="_Toc25247730"/>
      <w:r w:rsidRPr="00154DEE">
        <w:rPr>
          <w:rFonts w:eastAsia="Calibri"/>
          <w:lang w:val="es-CR" w:eastAsia="es-CR"/>
        </w:rPr>
        <w:t>A.2</w:t>
      </w:r>
      <w:r w:rsidR="00F51963">
        <w:rPr>
          <w:rFonts w:eastAsia="Calibri"/>
          <w:lang w:val="es-CR" w:eastAsia="es-CR"/>
        </w:rPr>
        <w:t>.</w:t>
      </w:r>
      <w:r w:rsidRPr="00154DEE">
        <w:rPr>
          <w:rFonts w:eastAsia="Calibri"/>
          <w:lang w:val="es-CR" w:eastAsia="es-CR"/>
        </w:rPr>
        <w:t xml:space="preserve"> Consideraciones de la Corte</w:t>
      </w:r>
      <w:bookmarkEnd w:id="14"/>
    </w:p>
    <w:p w14:paraId="1AD5DE9F" w14:textId="77777777" w:rsidR="00154DEE" w:rsidRDefault="00154DEE" w:rsidP="00154DEE">
      <w:pPr>
        <w:pStyle w:val="Prrafodelista"/>
        <w:autoSpaceDE w:val="0"/>
        <w:autoSpaceDN w:val="0"/>
        <w:adjustRightInd w:val="0"/>
        <w:spacing w:after="0" w:line="240" w:lineRule="auto"/>
        <w:ind w:left="0"/>
        <w:jc w:val="both"/>
        <w:rPr>
          <w:rFonts w:ascii="Verdana" w:hAnsi="Verdana"/>
          <w:sz w:val="20"/>
          <w:szCs w:val="20"/>
          <w:lang w:val="es-CR"/>
        </w:rPr>
      </w:pPr>
    </w:p>
    <w:p w14:paraId="19CA4AE9" w14:textId="77777777" w:rsidR="00154DEE" w:rsidRPr="00154DEE" w:rsidRDefault="000E6FC3" w:rsidP="005406CA">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154DEE">
        <w:rPr>
          <w:rFonts w:ascii="Verdana" w:hAnsi="Verdana"/>
          <w:sz w:val="20"/>
          <w:szCs w:val="20"/>
          <w:lang w:val="es-CR"/>
        </w:rPr>
        <w:t xml:space="preserve">La Corte recuerda que el marco fáctico del proceso se encuentra constituido por los hechos contenidos en el Informe de Fondo sometidos a consideración. Por lo tanto, no es admisible que las partes aleguen hechos distintos de los contenidos en el Informe de Fondo, sin perjuicio de exponer aquellos que permitan explicar, aclarar o desestimar los que hayan sido mencionados en el mismo y hayan sido sometidos a consideración de la Corte. La excepción a este principio son los hechos calificados como </w:t>
      </w:r>
      <w:proofErr w:type="gramStart"/>
      <w:r w:rsidRPr="00154DEE">
        <w:rPr>
          <w:rFonts w:ascii="Verdana" w:hAnsi="Verdana"/>
          <w:sz w:val="20"/>
          <w:szCs w:val="20"/>
          <w:lang w:val="es-CR"/>
        </w:rPr>
        <w:t>supervinientes  y</w:t>
      </w:r>
      <w:proofErr w:type="gramEnd"/>
      <w:r w:rsidRPr="00154DEE">
        <w:rPr>
          <w:rFonts w:ascii="Verdana" w:hAnsi="Verdana"/>
          <w:sz w:val="20"/>
          <w:szCs w:val="20"/>
          <w:lang w:val="es-CR"/>
        </w:rPr>
        <w:t xml:space="preserve"> aquellos hechos respecto de los cuales se tenga conocimiento o acceso con posterioridad, siempre que se encuentren ligados a los hechos del proceso.</w:t>
      </w:r>
      <w:r w:rsidR="00154DEE">
        <w:rPr>
          <w:rFonts w:ascii="Verdana" w:hAnsi="Verdana"/>
          <w:sz w:val="20"/>
          <w:szCs w:val="20"/>
          <w:lang w:val="es-CR"/>
        </w:rPr>
        <w:t xml:space="preserve"> </w:t>
      </w:r>
      <w:r w:rsidRPr="00154DEE">
        <w:rPr>
          <w:rFonts w:ascii="Verdana" w:hAnsi="Verdana"/>
          <w:sz w:val="20"/>
          <w:szCs w:val="20"/>
          <w:lang w:val="es-CR"/>
        </w:rPr>
        <w:t>Todo lo anterior sin perjuicio de que las presuntas víctimas y sus representantes pueden alegar la violación de derechos distintos a los señalados por la Comisión en el Informe de Fondo, siempre y cuando se atengan a los hechos contenidos en dicho documento. En definitiva, corresponde a la Corte decidir en cada caso acerca de la procedencia de alegatos relativos al marco fáctico en resguardo del equilibrio procesal de las partes</w:t>
      </w:r>
      <w:r w:rsidRPr="00EC2F24">
        <w:rPr>
          <w:rStyle w:val="Refdenotaalpie"/>
          <w:rFonts w:ascii="Verdana" w:hAnsi="Verdana"/>
          <w:sz w:val="20"/>
          <w:szCs w:val="20"/>
          <w:lang w:val="es-CR"/>
        </w:rPr>
        <w:footnoteReference w:id="18"/>
      </w:r>
      <w:r w:rsidRPr="00154DEE">
        <w:rPr>
          <w:rFonts w:ascii="Verdana" w:hAnsi="Verdana"/>
          <w:sz w:val="20"/>
          <w:szCs w:val="20"/>
          <w:lang w:val="es-CR"/>
        </w:rPr>
        <w:t xml:space="preserve">. </w:t>
      </w:r>
    </w:p>
    <w:p w14:paraId="00A89BA0" w14:textId="77777777" w:rsidR="00154DEE" w:rsidRDefault="00154DEE" w:rsidP="00154DEE">
      <w:pPr>
        <w:pStyle w:val="Prrafodelista"/>
        <w:autoSpaceDE w:val="0"/>
        <w:autoSpaceDN w:val="0"/>
        <w:adjustRightInd w:val="0"/>
        <w:spacing w:after="0" w:line="240" w:lineRule="auto"/>
        <w:ind w:left="0"/>
        <w:jc w:val="both"/>
        <w:rPr>
          <w:rFonts w:ascii="Verdana" w:hAnsi="Verdana"/>
          <w:sz w:val="20"/>
          <w:szCs w:val="20"/>
          <w:lang w:val="es-CR"/>
        </w:rPr>
      </w:pPr>
    </w:p>
    <w:p w14:paraId="5F66E778" w14:textId="77777777" w:rsidR="00625DA1" w:rsidRPr="009D1A7D" w:rsidRDefault="00625DA1" w:rsidP="00625DA1">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ES_tradnl"/>
        </w:rPr>
      </w:pPr>
      <w:r w:rsidRPr="009D1A7D">
        <w:rPr>
          <w:rFonts w:ascii="Verdana" w:hAnsi="Verdana"/>
          <w:sz w:val="20"/>
          <w:szCs w:val="20"/>
          <w:lang w:val="es-CR"/>
        </w:rPr>
        <w:t>Al respecto, el Estado alegó que los representantes en e</w:t>
      </w:r>
      <w:r w:rsidR="008F1FA1" w:rsidRPr="009D1A7D">
        <w:rPr>
          <w:rFonts w:ascii="Verdana" w:hAnsi="Verdana"/>
          <w:sz w:val="20"/>
          <w:szCs w:val="20"/>
          <w:lang w:val="es-CR"/>
        </w:rPr>
        <w:t>l escrito de solicitudes y argumentos</w:t>
      </w:r>
      <w:r w:rsidRPr="009D1A7D">
        <w:rPr>
          <w:rFonts w:ascii="Verdana" w:hAnsi="Verdana"/>
          <w:sz w:val="20"/>
          <w:szCs w:val="20"/>
          <w:lang w:val="es-CR"/>
        </w:rPr>
        <w:t xml:space="preserve"> presentaron “un relato ampliado de los hechos”, </w:t>
      </w:r>
      <w:r w:rsidRPr="009D1A7D">
        <w:rPr>
          <w:rFonts w:ascii="Verdana" w:hAnsi="Verdana"/>
          <w:sz w:val="20"/>
          <w:szCs w:val="20"/>
          <w:lang w:val="es-ES_tradnl"/>
        </w:rPr>
        <w:t xml:space="preserve">es decir, hechos nuevos que supuestamente no fueron contemplados en el marco fáctico del Informe de Fondo, lo cual considera que vulnera su derecho de defensa. </w:t>
      </w:r>
    </w:p>
    <w:p w14:paraId="09CAD618" w14:textId="77777777" w:rsidR="00625DA1" w:rsidRPr="009D1A7D" w:rsidRDefault="00625DA1" w:rsidP="00625DA1">
      <w:pPr>
        <w:pStyle w:val="Prrafodelista"/>
        <w:autoSpaceDE w:val="0"/>
        <w:autoSpaceDN w:val="0"/>
        <w:adjustRightInd w:val="0"/>
        <w:spacing w:after="0" w:line="240" w:lineRule="auto"/>
        <w:ind w:left="0"/>
        <w:jc w:val="both"/>
        <w:rPr>
          <w:rFonts w:ascii="Verdana" w:hAnsi="Verdana"/>
          <w:sz w:val="20"/>
          <w:szCs w:val="20"/>
          <w:lang w:val="es-ES_tradnl"/>
        </w:rPr>
      </w:pPr>
    </w:p>
    <w:p w14:paraId="4583FA16" w14:textId="64A5ADFD" w:rsidR="00625DA1" w:rsidRPr="009D1A7D" w:rsidRDefault="00625DA1" w:rsidP="00625DA1">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ES_tradnl"/>
        </w:rPr>
      </w:pPr>
      <w:r w:rsidRPr="009D1A7D">
        <w:rPr>
          <w:rFonts w:ascii="Verdana" w:hAnsi="Verdana"/>
          <w:sz w:val="20"/>
          <w:szCs w:val="20"/>
          <w:lang w:val="es-ES_tradnl"/>
        </w:rPr>
        <w:t xml:space="preserve">Por lo tanto, el Estado solicitó que se descartaran los hechos que los representantes señalaron en relación con: a) “la afirmación sobre </w:t>
      </w:r>
      <w:r w:rsidR="00BD2F36" w:rsidRPr="009D1A7D">
        <w:rPr>
          <w:rFonts w:ascii="Verdana" w:hAnsi="Verdana"/>
          <w:sz w:val="20"/>
          <w:szCs w:val="20"/>
          <w:lang w:val="es-ES_tradnl"/>
        </w:rPr>
        <w:t xml:space="preserve">el </w:t>
      </w:r>
      <w:r w:rsidRPr="009D1A7D">
        <w:rPr>
          <w:rFonts w:ascii="Verdana" w:hAnsi="Verdana"/>
          <w:sz w:val="20"/>
          <w:szCs w:val="20"/>
          <w:lang w:val="es-ES_tradnl"/>
        </w:rPr>
        <w:t>incremento de casos de secuestro; b) la creación del Comando Antisecuestros de la Policía Nacional Civil [que utilizaban…] métodos de investigación ilegal a personas condenadas a pena de muerte por el delito de secuestro</w:t>
      </w:r>
      <w:r w:rsidR="00763CB1" w:rsidRPr="009D1A7D">
        <w:rPr>
          <w:rFonts w:ascii="Verdana" w:hAnsi="Verdana"/>
          <w:sz w:val="20"/>
          <w:szCs w:val="20"/>
          <w:lang w:val="es-ES_tradnl"/>
        </w:rPr>
        <w:t xml:space="preserve"> </w:t>
      </w:r>
      <w:r w:rsidR="00763CB1" w:rsidRPr="009D1A7D">
        <w:rPr>
          <w:rFonts w:ascii="Verdana" w:hAnsi="Verdana"/>
          <w:bCs/>
          <w:sz w:val="20"/>
          <w:szCs w:val="20"/>
          <w:lang w:val="es-ES_tradnl"/>
        </w:rPr>
        <w:t>para obtener información de otros casos</w:t>
      </w:r>
      <w:r w:rsidRPr="009D1A7D">
        <w:rPr>
          <w:rFonts w:ascii="Verdana" w:hAnsi="Verdana"/>
          <w:sz w:val="20"/>
          <w:szCs w:val="20"/>
          <w:lang w:val="es-ES_tradnl"/>
        </w:rPr>
        <w:t xml:space="preserve">; c) </w:t>
      </w:r>
      <w:r w:rsidRPr="009D1A7D">
        <w:rPr>
          <w:rFonts w:ascii="Verdana" w:eastAsia="Times New Roman" w:hAnsi="Verdana"/>
          <w:bCs/>
          <w:sz w:val="20"/>
          <w:szCs w:val="20"/>
          <w:lang w:val="es-ES_tradnl" w:eastAsia="es-CR"/>
        </w:rPr>
        <w:t xml:space="preserve">la organización del </w:t>
      </w:r>
      <w:r w:rsidRPr="009D1A7D">
        <w:rPr>
          <w:rFonts w:ascii="Verdana" w:eastAsia="Times New Roman" w:hAnsi="Verdana"/>
          <w:sz w:val="20"/>
          <w:szCs w:val="20"/>
          <w:lang w:val="es-ES_tradnl" w:eastAsia="es-CR"/>
        </w:rPr>
        <w:t>Plan Cazador</w:t>
      </w:r>
      <w:r w:rsidRPr="009D1A7D">
        <w:rPr>
          <w:rFonts w:ascii="Verdana" w:eastAsia="Times New Roman" w:hAnsi="Verdana"/>
          <w:bCs/>
          <w:sz w:val="20"/>
          <w:szCs w:val="20"/>
          <w:lang w:val="es-ES_tradnl" w:eastAsia="es-CR"/>
        </w:rPr>
        <w:t xml:space="preserve"> para capturar y ejecutar extrajudicialmente a los fugados de la Cárcel “El Infiernito” en el 2001; d) </w:t>
      </w:r>
      <w:r w:rsidRPr="009D1A7D">
        <w:rPr>
          <w:rFonts w:ascii="Verdana" w:hAnsi="Verdana" w:cs="Calibri"/>
          <w:sz w:val="20"/>
          <w:szCs w:val="20"/>
          <w:lang w:val="es-ES_tradnl"/>
        </w:rPr>
        <w:t>la corrupción y penetración del crimen organizado en los aparatos del Estado;</w:t>
      </w:r>
      <w:r w:rsidRPr="009D1A7D">
        <w:rPr>
          <w:rFonts w:ascii="Verdana" w:hAnsi="Verdana"/>
          <w:sz w:val="20"/>
          <w:szCs w:val="20"/>
          <w:lang w:val="es-ES_tradnl"/>
        </w:rPr>
        <w:t xml:space="preserve"> </w:t>
      </w:r>
      <w:r w:rsidRPr="009D1A7D">
        <w:rPr>
          <w:rFonts w:ascii="Verdana" w:hAnsi="Verdana" w:cs="Calibri"/>
          <w:sz w:val="20"/>
          <w:szCs w:val="20"/>
          <w:lang w:val="es-ES_tradnl"/>
        </w:rPr>
        <w:t xml:space="preserve">e) la crisis política que generó el asesinato de </w:t>
      </w:r>
      <w:r w:rsidRPr="009D1A7D">
        <w:rPr>
          <w:rFonts w:ascii="Verdana" w:hAnsi="Verdana" w:cs="Calibri"/>
          <w:bCs/>
          <w:sz w:val="20"/>
          <w:szCs w:val="20"/>
          <w:lang w:val="es-ES_tradnl"/>
        </w:rPr>
        <w:t xml:space="preserve">tres diputados salvadoreños y </w:t>
      </w:r>
      <w:r w:rsidRPr="009D1A7D">
        <w:rPr>
          <w:rFonts w:ascii="Verdana" w:hAnsi="Verdana" w:cs="Calibri"/>
          <w:sz w:val="20"/>
          <w:szCs w:val="20"/>
          <w:lang w:val="es-ES_tradnl"/>
        </w:rPr>
        <w:t xml:space="preserve">la ejecución en una celda de los cuatro policías señalados como autores de la ejecución; </w:t>
      </w:r>
      <w:r w:rsidR="004E04D7" w:rsidRPr="009D1A7D">
        <w:rPr>
          <w:rFonts w:ascii="Verdana" w:hAnsi="Verdana" w:cs="Calibri"/>
          <w:sz w:val="20"/>
          <w:szCs w:val="20"/>
          <w:lang w:val="es-ES_tradnl"/>
        </w:rPr>
        <w:t>f</w:t>
      </w:r>
      <w:r w:rsidRPr="009D1A7D">
        <w:rPr>
          <w:rFonts w:ascii="Verdana" w:hAnsi="Verdana" w:cs="Calibri"/>
          <w:sz w:val="20"/>
          <w:szCs w:val="20"/>
          <w:lang w:val="es-ES_tradnl"/>
        </w:rPr>
        <w:t xml:space="preserve">) al contenido de la billetera del cadáver del señor Valenzuela Ávila; </w:t>
      </w:r>
      <w:r w:rsidR="004E04D7" w:rsidRPr="009D1A7D">
        <w:rPr>
          <w:rFonts w:ascii="Verdana" w:hAnsi="Verdana" w:cs="Calibri"/>
          <w:sz w:val="20"/>
          <w:szCs w:val="20"/>
          <w:lang w:val="es-ES_tradnl"/>
        </w:rPr>
        <w:t>g</w:t>
      </w:r>
      <w:r w:rsidRPr="009D1A7D">
        <w:rPr>
          <w:rFonts w:ascii="Verdana" w:hAnsi="Verdana" w:cs="Calibri"/>
          <w:sz w:val="20"/>
          <w:szCs w:val="20"/>
          <w:lang w:val="es-ES_tradnl"/>
        </w:rPr>
        <w:t xml:space="preserve">) los hechos que dan lugar a la afirmación que Guatemala violó </w:t>
      </w:r>
      <w:r w:rsidRPr="009D1A7D">
        <w:rPr>
          <w:rFonts w:ascii="Verdana" w:hAnsi="Verdana" w:cs="Calibri"/>
          <w:bCs/>
          <w:sz w:val="20"/>
          <w:szCs w:val="20"/>
          <w:lang w:val="es-ES_tradnl"/>
        </w:rPr>
        <w:t>el derecho a la familia</w:t>
      </w:r>
      <w:r w:rsidRPr="009D1A7D">
        <w:rPr>
          <w:rFonts w:ascii="Verdana" w:hAnsi="Verdana" w:cs="Calibri"/>
          <w:sz w:val="20"/>
          <w:szCs w:val="20"/>
          <w:lang w:val="es-ES_tradnl"/>
        </w:rPr>
        <w:t xml:space="preserve"> de la presunta víctima por el </w:t>
      </w:r>
      <w:r w:rsidRPr="009D1A7D">
        <w:rPr>
          <w:rFonts w:ascii="Verdana" w:hAnsi="Verdana" w:cs="Calibri"/>
          <w:bCs/>
          <w:sz w:val="20"/>
          <w:szCs w:val="20"/>
          <w:lang w:val="es-ES_tradnl"/>
        </w:rPr>
        <w:t>acoso</w:t>
      </w:r>
      <w:r w:rsidRPr="009D1A7D">
        <w:rPr>
          <w:rFonts w:ascii="Verdana" w:hAnsi="Verdana" w:cs="Calibri"/>
          <w:sz w:val="20"/>
          <w:szCs w:val="20"/>
          <w:lang w:val="es-ES_tradnl"/>
        </w:rPr>
        <w:t xml:space="preserve"> que sufrieron los hijos y la esposa del señor Valenzuela Ávila; </w:t>
      </w:r>
      <w:r w:rsidR="004E04D7" w:rsidRPr="009D1A7D">
        <w:rPr>
          <w:rFonts w:ascii="Verdana" w:hAnsi="Verdana" w:cs="Calibri"/>
          <w:sz w:val="20"/>
          <w:szCs w:val="20"/>
          <w:lang w:val="es-ES_tradnl"/>
        </w:rPr>
        <w:t>h</w:t>
      </w:r>
      <w:r w:rsidRPr="009D1A7D">
        <w:rPr>
          <w:rFonts w:ascii="Verdana" w:hAnsi="Verdana" w:cs="Calibri"/>
          <w:sz w:val="20"/>
          <w:szCs w:val="20"/>
          <w:lang w:val="es-ES_tradnl"/>
        </w:rPr>
        <w:t xml:space="preserve">) lo relativo a la revocación de oficio que realizó la Sala Séptima de la Corte de Apelaciones del Ramo Penal con sede en Quetzaltenango, respecto a la absolución en primera instancia del señor </w:t>
      </w:r>
      <w:r w:rsidR="00F93F94" w:rsidRPr="009D1A7D">
        <w:rPr>
          <w:rFonts w:ascii="Verdana" w:hAnsi="Verdana" w:cs="Calibri"/>
          <w:sz w:val="20"/>
          <w:szCs w:val="20"/>
          <w:lang w:val="es-ES_tradnl"/>
        </w:rPr>
        <w:t>JLM</w:t>
      </w:r>
      <w:r w:rsidR="005E422B">
        <w:rPr>
          <w:rFonts w:ascii="Verdana" w:hAnsi="Verdana" w:cs="Calibri"/>
          <w:sz w:val="20"/>
          <w:szCs w:val="20"/>
          <w:lang w:val="es-ES_tradnl"/>
        </w:rPr>
        <w:t>,</w:t>
      </w:r>
      <w:r w:rsidR="004E04D7" w:rsidRPr="009D1A7D">
        <w:rPr>
          <w:rFonts w:ascii="Verdana" w:hAnsi="Verdana" w:cs="Calibri"/>
          <w:sz w:val="20"/>
          <w:szCs w:val="20"/>
          <w:lang w:val="es-ES_tradnl"/>
        </w:rPr>
        <w:t xml:space="preserve"> e</w:t>
      </w:r>
      <w:r w:rsidRPr="009D1A7D">
        <w:rPr>
          <w:rFonts w:ascii="Verdana" w:hAnsi="Verdana" w:cs="Calibri"/>
          <w:sz w:val="20"/>
          <w:szCs w:val="20"/>
          <w:lang w:val="es-ES_tradnl"/>
        </w:rPr>
        <w:t xml:space="preserve"> </w:t>
      </w:r>
      <w:r w:rsidR="004E04D7" w:rsidRPr="009D1A7D">
        <w:rPr>
          <w:rFonts w:ascii="Verdana" w:hAnsi="Verdana" w:cs="Calibri"/>
          <w:sz w:val="20"/>
          <w:szCs w:val="20"/>
          <w:lang w:val="es-ES_tradnl"/>
        </w:rPr>
        <w:t>i</w:t>
      </w:r>
      <w:r w:rsidRPr="009D1A7D">
        <w:rPr>
          <w:rFonts w:ascii="Verdana" w:hAnsi="Verdana" w:cs="Calibri"/>
          <w:sz w:val="20"/>
          <w:szCs w:val="20"/>
          <w:lang w:val="es-ES_tradnl"/>
        </w:rPr>
        <w:t xml:space="preserve">) todas las afirmaciones y relatos que realizan los representantes respecto a la muerte de los señores EMF y </w:t>
      </w:r>
      <w:r w:rsidR="00254DC9" w:rsidRPr="009D1A7D">
        <w:rPr>
          <w:rFonts w:ascii="Verdana" w:hAnsi="Verdana" w:cs="Calibri"/>
          <w:sz w:val="20"/>
          <w:szCs w:val="20"/>
          <w:lang w:val="es-ES_tradnl"/>
        </w:rPr>
        <w:t>WBC</w:t>
      </w:r>
      <w:r w:rsidRPr="009D1A7D">
        <w:rPr>
          <w:rFonts w:ascii="Verdana" w:hAnsi="Verdana" w:cs="Calibri"/>
          <w:sz w:val="20"/>
          <w:szCs w:val="20"/>
          <w:lang w:val="es-ES_tradnl"/>
        </w:rPr>
        <w:t>, prófugos de “El Infiernito” y el contenido de la recaptura, en el marco de</w:t>
      </w:r>
      <w:r w:rsidR="00424B1A" w:rsidRPr="009D1A7D">
        <w:rPr>
          <w:rFonts w:ascii="Verdana" w:hAnsi="Verdana" w:cs="Calibri"/>
          <w:sz w:val="20"/>
          <w:szCs w:val="20"/>
          <w:lang w:val="es-ES_tradnl"/>
        </w:rPr>
        <w:t xml:space="preserve"> la</w:t>
      </w:r>
      <w:r w:rsidRPr="009D1A7D">
        <w:rPr>
          <w:rFonts w:ascii="Verdana" w:hAnsi="Verdana" w:cs="Calibri"/>
          <w:sz w:val="20"/>
          <w:szCs w:val="20"/>
          <w:lang w:val="es-ES_tradnl"/>
        </w:rPr>
        <w:t xml:space="preserve"> </w:t>
      </w:r>
      <w:r w:rsidR="00424B1A" w:rsidRPr="009D1A7D">
        <w:rPr>
          <w:rFonts w:ascii="Verdana" w:hAnsi="Verdana" w:cs="Calibri"/>
          <w:sz w:val="20"/>
          <w:szCs w:val="20"/>
          <w:lang w:val="es-ES_tradnl"/>
        </w:rPr>
        <w:t>“Operación</w:t>
      </w:r>
      <w:r w:rsidRPr="009D1A7D">
        <w:rPr>
          <w:rFonts w:ascii="Verdana" w:hAnsi="Verdana" w:cs="Calibri"/>
          <w:sz w:val="20"/>
          <w:szCs w:val="20"/>
          <w:lang w:val="es-ES_tradnl"/>
        </w:rPr>
        <w:t xml:space="preserve"> Gavilán</w:t>
      </w:r>
      <w:r w:rsidR="00424B1A" w:rsidRPr="009D1A7D">
        <w:rPr>
          <w:rFonts w:ascii="Verdana" w:hAnsi="Verdana" w:cs="Calibri"/>
          <w:sz w:val="20"/>
          <w:szCs w:val="20"/>
          <w:lang w:val="es-ES_tradnl"/>
        </w:rPr>
        <w:t>”</w:t>
      </w:r>
      <w:r w:rsidRPr="009D1A7D">
        <w:rPr>
          <w:rFonts w:ascii="Verdana" w:hAnsi="Verdana" w:cs="Calibri"/>
          <w:sz w:val="20"/>
          <w:szCs w:val="20"/>
          <w:lang w:val="es-ES_tradnl"/>
        </w:rPr>
        <w:t xml:space="preserve">, de: </w:t>
      </w:r>
      <w:r w:rsidR="0095392D" w:rsidRPr="009D1A7D">
        <w:rPr>
          <w:rFonts w:ascii="Verdana" w:hAnsi="Verdana" w:cs="Calibri"/>
          <w:sz w:val="20"/>
          <w:szCs w:val="20"/>
          <w:lang w:val="es-ES_tradnl"/>
        </w:rPr>
        <w:t xml:space="preserve">1. </w:t>
      </w:r>
      <w:r w:rsidR="00F93F94" w:rsidRPr="009D1A7D">
        <w:rPr>
          <w:rFonts w:ascii="Verdana" w:hAnsi="Verdana" w:cs="Calibri"/>
          <w:sz w:val="20"/>
          <w:szCs w:val="20"/>
          <w:lang w:val="es-ES_tradnl"/>
        </w:rPr>
        <w:t xml:space="preserve">MTL </w:t>
      </w:r>
      <w:r w:rsidRPr="009D1A7D">
        <w:rPr>
          <w:rFonts w:ascii="Verdana" w:hAnsi="Verdana" w:cs="Calibri"/>
          <w:sz w:val="20"/>
          <w:szCs w:val="20"/>
          <w:lang w:val="es-ES_tradnl"/>
        </w:rPr>
        <w:t>2.</w:t>
      </w:r>
      <w:r w:rsidR="00F93F94" w:rsidRPr="009D1A7D">
        <w:rPr>
          <w:rFonts w:ascii="Verdana" w:hAnsi="Verdana" w:cs="Calibri"/>
          <w:sz w:val="20"/>
          <w:szCs w:val="20"/>
          <w:lang w:val="es-ES_tradnl"/>
        </w:rPr>
        <w:t xml:space="preserve"> LAS</w:t>
      </w:r>
      <w:r w:rsidRPr="009D1A7D">
        <w:rPr>
          <w:rFonts w:ascii="Verdana" w:hAnsi="Verdana" w:cs="Calibri"/>
          <w:sz w:val="20"/>
          <w:szCs w:val="20"/>
          <w:lang w:val="es-ES_tradnl"/>
        </w:rPr>
        <w:t xml:space="preserve">, 3. </w:t>
      </w:r>
      <w:r w:rsidR="00F93F94" w:rsidRPr="009D1A7D">
        <w:rPr>
          <w:rFonts w:ascii="Verdana" w:hAnsi="Verdana" w:cs="Calibri"/>
          <w:sz w:val="20"/>
          <w:szCs w:val="20"/>
          <w:lang w:val="es-ES_tradnl"/>
        </w:rPr>
        <w:t xml:space="preserve">JGP </w:t>
      </w:r>
      <w:r w:rsidRPr="009D1A7D">
        <w:rPr>
          <w:rFonts w:ascii="Verdana" w:hAnsi="Verdana" w:cs="Calibri"/>
          <w:sz w:val="20"/>
          <w:szCs w:val="20"/>
          <w:lang w:val="es-ES_tradnl"/>
        </w:rPr>
        <w:t xml:space="preserve">y 4. </w:t>
      </w:r>
      <w:r w:rsidR="00F93F94" w:rsidRPr="009D1A7D">
        <w:rPr>
          <w:rFonts w:ascii="Verdana" w:hAnsi="Verdana" w:cs="Calibri"/>
          <w:sz w:val="20"/>
          <w:szCs w:val="20"/>
          <w:lang w:val="es-ES_tradnl"/>
        </w:rPr>
        <w:t>ILC</w:t>
      </w:r>
      <w:r w:rsidR="0095392D" w:rsidRPr="009D1A7D">
        <w:rPr>
          <w:rFonts w:ascii="Verdana" w:hAnsi="Verdana" w:cs="Calibri"/>
          <w:sz w:val="20"/>
          <w:szCs w:val="20"/>
          <w:lang w:val="es-ES_tradnl"/>
        </w:rPr>
        <w:t>.</w:t>
      </w:r>
      <w:r w:rsidR="00F93F94" w:rsidRPr="009D1A7D">
        <w:rPr>
          <w:rFonts w:ascii="Verdana" w:hAnsi="Verdana" w:cs="Calibri"/>
          <w:sz w:val="20"/>
          <w:szCs w:val="20"/>
          <w:lang w:val="es-ES_tradnl"/>
        </w:rPr>
        <w:t xml:space="preserve"> </w:t>
      </w:r>
    </w:p>
    <w:p w14:paraId="731DEDA3" w14:textId="77777777" w:rsidR="00625DA1" w:rsidRPr="009D1A7D" w:rsidRDefault="00625DA1" w:rsidP="00B32A69">
      <w:pPr>
        <w:pStyle w:val="Prrafodelista"/>
        <w:autoSpaceDE w:val="0"/>
        <w:autoSpaceDN w:val="0"/>
        <w:adjustRightInd w:val="0"/>
        <w:spacing w:after="0" w:line="240" w:lineRule="auto"/>
        <w:ind w:left="0"/>
        <w:jc w:val="both"/>
        <w:rPr>
          <w:rFonts w:ascii="Verdana" w:hAnsi="Verdana"/>
          <w:sz w:val="20"/>
          <w:szCs w:val="20"/>
          <w:lang w:val="es-CR"/>
        </w:rPr>
      </w:pPr>
    </w:p>
    <w:p w14:paraId="5E3289A3" w14:textId="77777777" w:rsidR="00625DA1" w:rsidRPr="009D1A7D" w:rsidRDefault="00625DA1" w:rsidP="00625DA1">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9D1A7D">
        <w:rPr>
          <w:rFonts w:ascii="Verdana" w:hAnsi="Verdana"/>
          <w:sz w:val="20"/>
          <w:szCs w:val="20"/>
          <w:lang w:val="es-ES_tradnl"/>
        </w:rPr>
        <w:lastRenderedPageBreak/>
        <w:t xml:space="preserve">Efectivamente, la Corte nota que estos hechos alegados por los representantes no guardan relación con los hechos mencionados en </w:t>
      </w:r>
      <w:r w:rsidR="00F93F94" w:rsidRPr="009D1A7D">
        <w:rPr>
          <w:rFonts w:ascii="Verdana" w:hAnsi="Verdana"/>
          <w:sz w:val="20"/>
          <w:szCs w:val="20"/>
          <w:lang w:val="es-ES_tradnl"/>
        </w:rPr>
        <w:t xml:space="preserve">el </w:t>
      </w:r>
      <w:r w:rsidRPr="009D1A7D">
        <w:rPr>
          <w:rFonts w:ascii="Verdana" w:hAnsi="Verdana"/>
          <w:sz w:val="20"/>
          <w:szCs w:val="20"/>
          <w:lang w:val="es-ES_tradnl"/>
        </w:rPr>
        <w:t>Informe de Fondo y la muerte del señor Valenzuela Ávila por lo que no serán tomados en cuenta en el análisis probatorio del presente caso.</w:t>
      </w:r>
    </w:p>
    <w:p w14:paraId="53D72322" w14:textId="77777777" w:rsidR="00625DA1" w:rsidRPr="009D1A7D" w:rsidRDefault="00625DA1" w:rsidP="00625DA1">
      <w:pPr>
        <w:pStyle w:val="Prrafodelista"/>
        <w:autoSpaceDE w:val="0"/>
        <w:autoSpaceDN w:val="0"/>
        <w:adjustRightInd w:val="0"/>
        <w:spacing w:after="0" w:line="240" w:lineRule="auto"/>
        <w:ind w:left="0"/>
        <w:jc w:val="both"/>
        <w:rPr>
          <w:rFonts w:ascii="Verdana" w:hAnsi="Verdana"/>
          <w:sz w:val="20"/>
          <w:szCs w:val="20"/>
          <w:lang w:val="es-CR"/>
        </w:rPr>
      </w:pPr>
    </w:p>
    <w:p w14:paraId="0A25E667" w14:textId="3F8934E5" w:rsidR="00763CB1" w:rsidRPr="009D1A7D" w:rsidRDefault="00625DA1" w:rsidP="007168A7">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9D1A7D">
        <w:rPr>
          <w:rFonts w:ascii="Verdana" w:hAnsi="Verdana"/>
          <w:sz w:val="20"/>
          <w:szCs w:val="20"/>
          <w:lang w:val="es-ES_tradnl"/>
        </w:rPr>
        <w:t>Por otra parte, el Estado también solicitó que se descartaran los hechos alegados por los representantes en el</w:t>
      </w:r>
      <w:r w:rsidR="008F1FA1" w:rsidRPr="009D1A7D">
        <w:rPr>
          <w:rFonts w:ascii="Verdana" w:hAnsi="Verdana"/>
          <w:sz w:val="20"/>
          <w:szCs w:val="20"/>
          <w:lang w:val="es-ES_tradnl"/>
        </w:rPr>
        <w:t xml:space="preserve"> escrito de solicitudes y argumentos </w:t>
      </w:r>
      <w:r w:rsidRPr="009D1A7D">
        <w:rPr>
          <w:rFonts w:ascii="Verdana" w:hAnsi="Verdana"/>
          <w:sz w:val="20"/>
          <w:szCs w:val="20"/>
          <w:lang w:val="es-ES_tradnl"/>
        </w:rPr>
        <w:t xml:space="preserve">relacionados con la política criminal represiva que incluye la reforma legal para incluir la pena de muerte por casos de secuestro; una organización que operó a través de un supuesto </w:t>
      </w:r>
      <w:r w:rsidRPr="009D1A7D">
        <w:rPr>
          <w:rFonts w:ascii="Verdana" w:hAnsi="Verdana" w:cs="Calibri"/>
          <w:sz w:val="20"/>
          <w:szCs w:val="20"/>
          <w:lang w:val="es-ES_tradnl"/>
        </w:rPr>
        <w:t>“patrón sistemático de ejecuciones extrajudiciales”;</w:t>
      </w:r>
      <w:r w:rsidRPr="009D1A7D">
        <w:rPr>
          <w:rFonts w:ascii="Verdana" w:eastAsia="Times New Roman" w:hAnsi="Verdana"/>
          <w:sz w:val="20"/>
          <w:szCs w:val="20"/>
          <w:lang w:val="es-ES_tradnl" w:eastAsia="es-CR"/>
        </w:rPr>
        <w:t xml:space="preserve"> </w:t>
      </w:r>
      <w:r w:rsidRPr="009D1A7D">
        <w:rPr>
          <w:rFonts w:ascii="Verdana" w:hAnsi="Verdana"/>
          <w:sz w:val="20"/>
          <w:szCs w:val="20"/>
          <w:lang w:val="es-ES_tradnl"/>
        </w:rPr>
        <w:t>la existencia de grupos dedicados a la limpieza social en la Policía Nacional Civil</w:t>
      </w:r>
      <w:r w:rsidR="00B35F0F">
        <w:rPr>
          <w:rFonts w:ascii="Verdana" w:hAnsi="Verdana"/>
          <w:sz w:val="20"/>
          <w:szCs w:val="20"/>
          <w:lang w:val="es-ES_tradnl"/>
        </w:rPr>
        <w:t xml:space="preserve"> </w:t>
      </w:r>
      <w:r w:rsidR="00B35F0F">
        <w:rPr>
          <w:rFonts w:ascii="Verdana" w:hAnsi="Verdana" w:cs="Times New Roman"/>
          <w:color w:val="2F2F2F"/>
          <w:sz w:val="20"/>
          <w:szCs w:val="20"/>
          <w:lang w:val="es-CR"/>
        </w:rPr>
        <w:t>(en adelante también “PNC”)</w:t>
      </w:r>
      <w:r w:rsidRPr="009D1A7D">
        <w:rPr>
          <w:rFonts w:ascii="Verdana" w:hAnsi="Verdana"/>
          <w:sz w:val="20"/>
          <w:szCs w:val="20"/>
          <w:lang w:val="es-ES_tradnl"/>
        </w:rPr>
        <w:t>; y</w:t>
      </w:r>
      <w:r w:rsidRPr="009D1A7D">
        <w:rPr>
          <w:rFonts w:ascii="Verdana" w:eastAsia="Times New Roman" w:hAnsi="Verdana"/>
          <w:sz w:val="20"/>
          <w:szCs w:val="20"/>
          <w:lang w:val="es-ES_tradnl" w:eastAsia="es-CR"/>
        </w:rPr>
        <w:t xml:space="preserve"> l</w:t>
      </w:r>
      <w:r w:rsidRPr="009D1A7D">
        <w:rPr>
          <w:rFonts w:ascii="Verdana" w:hAnsi="Verdana" w:cs="Calibri"/>
          <w:sz w:val="20"/>
          <w:szCs w:val="20"/>
          <w:lang w:val="es-ES_tradnl"/>
        </w:rPr>
        <w:t xml:space="preserve">as conclusiones sobre </w:t>
      </w:r>
      <w:r w:rsidR="00424B1A" w:rsidRPr="009D1A7D">
        <w:rPr>
          <w:rFonts w:ascii="Verdana" w:hAnsi="Verdana" w:cs="Calibri"/>
          <w:sz w:val="20"/>
          <w:szCs w:val="20"/>
          <w:lang w:val="es-ES_tradnl"/>
        </w:rPr>
        <w:t>la</w:t>
      </w:r>
      <w:r w:rsidRPr="009D1A7D">
        <w:rPr>
          <w:rFonts w:ascii="Verdana" w:hAnsi="Verdana" w:cs="Calibri"/>
          <w:sz w:val="20"/>
          <w:szCs w:val="20"/>
          <w:lang w:val="es-ES_tradnl"/>
        </w:rPr>
        <w:t xml:space="preserve"> </w:t>
      </w:r>
      <w:r w:rsidR="00424B1A" w:rsidRPr="009D1A7D">
        <w:rPr>
          <w:rFonts w:ascii="Verdana" w:hAnsi="Verdana" w:cs="Calibri"/>
          <w:sz w:val="20"/>
          <w:szCs w:val="20"/>
          <w:lang w:val="es-ES_tradnl"/>
        </w:rPr>
        <w:t xml:space="preserve">“Operación Gavilán”, </w:t>
      </w:r>
      <w:r w:rsidRPr="009D1A7D">
        <w:rPr>
          <w:rFonts w:ascii="Verdana" w:hAnsi="Verdana" w:cs="Calibri"/>
          <w:sz w:val="20"/>
          <w:szCs w:val="20"/>
          <w:lang w:val="es-ES_tradnl"/>
        </w:rPr>
        <w:t>en relación con la ejecución extrajudicial de otros prófugos de “El Infiernito”.</w:t>
      </w:r>
      <w:r w:rsidR="007168A7" w:rsidRPr="009D1A7D">
        <w:rPr>
          <w:rFonts w:ascii="Verdana" w:hAnsi="Verdana" w:cs="Calibri"/>
          <w:sz w:val="20"/>
          <w:szCs w:val="20"/>
          <w:lang w:val="es-ES_tradnl"/>
        </w:rPr>
        <w:t xml:space="preserve"> No obstante, </w:t>
      </w:r>
      <w:r w:rsidRPr="009D1A7D">
        <w:rPr>
          <w:rFonts w:ascii="Verdana" w:hAnsi="Verdana"/>
          <w:bCs/>
          <w:sz w:val="20"/>
          <w:szCs w:val="20"/>
          <w:lang w:val="es-ES_tradnl" w:eastAsia="es-CR"/>
        </w:rPr>
        <w:t xml:space="preserve">la Corte advierte que estos hechos alegados por los representantes sí </w:t>
      </w:r>
      <w:r w:rsidR="007168A7" w:rsidRPr="009D1A7D">
        <w:rPr>
          <w:rFonts w:ascii="Verdana" w:hAnsi="Verdana"/>
          <w:bCs/>
          <w:sz w:val="20"/>
          <w:szCs w:val="20"/>
          <w:lang w:val="es-ES_tradnl" w:eastAsia="es-CR"/>
        </w:rPr>
        <w:t xml:space="preserve">hacen parte </w:t>
      </w:r>
      <w:r w:rsidRPr="009D1A7D">
        <w:rPr>
          <w:rFonts w:ascii="Verdana" w:hAnsi="Verdana"/>
          <w:bCs/>
          <w:sz w:val="20"/>
          <w:szCs w:val="20"/>
          <w:lang w:val="es-ES_tradnl" w:eastAsia="es-CR"/>
        </w:rPr>
        <w:t xml:space="preserve">del marco fáctico del Informe de Fondo de la Comisión. </w:t>
      </w:r>
    </w:p>
    <w:p w14:paraId="6B04C5A6" w14:textId="77777777" w:rsidR="00763CB1" w:rsidRPr="00763CB1" w:rsidRDefault="00763CB1" w:rsidP="00763CB1">
      <w:pPr>
        <w:pStyle w:val="Prrafodelista"/>
        <w:autoSpaceDE w:val="0"/>
        <w:autoSpaceDN w:val="0"/>
        <w:adjustRightInd w:val="0"/>
        <w:spacing w:after="0" w:line="240" w:lineRule="auto"/>
        <w:ind w:left="0"/>
        <w:jc w:val="both"/>
        <w:rPr>
          <w:rFonts w:ascii="Verdana" w:hAnsi="Verdana"/>
          <w:sz w:val="20"/>
          <w:szCs w:val="20"/>
          <w:lang w:val="es-CR"/>
        </w:rPr>
      </w:pPr>
    </w:p>
    <w:p w14:paraId="311F4F0B" w14:textId="6D84CDC9" w:rsidR="00B21744" w:rsidRPr="009D1A7D" w:rsidRDefault="007168A7" w:rsidP="00B21744">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9D1A7D">
        <w:rPr>
          <w:rFonts w:ascii="Verdana" w:hAnsi="Verdana"/>
          <w:sz w:val="20"/>
          <w:szCs w:val="20"/>
          <w:lang w:val="es-CR"/>
        </w:rPr>
        <w:t>En efecto, en</w:t>
      </w:r>
      <w:r w:rsidR="000E6FC3" w:rsidRPr="009D1A7D">
        <w:rPr>
          <w:rFonts w:ascii="Verdana" w:hAnsi="Verdana"/>
          <w:sz w:val="20"/>
          <w:szCs w:val="20"/>
          <w:lang w:val="es-CR"/>
        </w:rPr>
        <w:t xml:space="preserve"> el I</w:t>
      </w:r>
      <w:r w:rsidR="007D2326" w:rsidRPr="009D1A7D">
        <w:rPr>
          <w:rFonts w:ascii="Verdana" w:hAnsi="Verdana"/>
          <w:sz w:val="20"/>
          <w:szCs w:val="20"/>
          <w:lang w:val="es-CR"/>
        </w:rPr>
        <w:t>nforme de Fondo</w:t>
      </w:r>
      <w:r w:rsidR="00625DA1" w:rsidRPr="009D1A7D">
        <w:rPr>
          <w:rFonts w:ascii="Verdana" w:hAnsi="Verdana"/>
          <w:sz w:val="20"/>
          <w:szCs w:val="20"/>
          <w:lang w:val="es-CR"/>
        </w:rPr>
        <w:t>,</w:t>
      </w:r>
      <w:r w:rsidR="007D2326" w:rsidRPr="009D1A7D">
        <w:rPr>
          <w:rFonts w:ascii="Verdana" w:hAnsi="Verdana"/>
          <w:sz w:val="20"/>
          <w:szCs w:val="20"/>
          <w:lang w:val="es-CR"/>
        </w:rPr>
        <w:t xml:space="preserve"> la Comisión</w:t>
      </w:r>
      <w:r w:rsidR="008F3ED2" w:rsidRPr="009D1A7D">
        <w:rPr>
          <w:rFonts w:ascii="Verdana" w:hAnsi="Verdana"/>
          <w:sz w:val="20"/>
          <w:szCs w:val="20"/>
          <w:lang w:val="es-CR"/>
        </w:rPr>
        <w:t xml:space="preserve"> introduce un </w:t>
      </w:r>
      <w:r w:rsidR="00625DA1" w:rsidRPr="009D1A7D">
        <w:rPr>
          <w:rFonts w:ascii="Verdana" w:hAnsi="Verdana"/>
          <w:sz w:val="20"/>
          <w:szCs w:val="20"/>
          <w:lang w:val="es-CR"/>
        </w:rPr>
        <w:t xml:space="preserve">capítulo </w:t>
      </w:r>
      <w:r w:rsidR="007D2326" w:rsidRPr="009D1A7D">
        <w:rPr>
          <w:rFonts w:ascii="Verdana" w:hAnsi="Verdana"/>
          <w:sz w:val="20"/>
          <w:szCs w:val="20"/>
          <w:lang w:val="es-CR"/>
        </w:rPr>
        <w:t xml:space="preserve">sobre la muerte de la presunta víctima </w:t>
      </w:r>
      <w:r w:rsidR="00625DA1" w:rsidRPr="009D1A7D">
        <w:rPr>
          <w:rFonts w:ascii="Verdana" w:hAnsi="Verdana"/>
          <w:sz w:val="20"/>
          <w:szCs w:val="20"/>
          <w:lang w:val="es-CR"/>
        </w:rPr>
        <w:t xml:space="preserve">y el </w:t>
      </w:r>
      <w:r w:rsidR="007D2326" w:rsidRPr="009D1A7D">
        <w:rPr>
          <w:rFonts w:ascii="Verdana" w:hAnsi="Verdana"/>
          <w:sz w:val="20"/>
          <w:szCs w:val="20"/>
          <w:lang w:val="es-CR"/>
        </w:rPr>
        <w:t>marco de</w:t>
      </w:r>
      <w:r w:rsidR="00424B1A" w:rsidRPr="009D1A7D">
        <w:rPr>
          <w:rFonts w:ascii="Verdana" w:hAnsi="Verdana"/>
          <w:sz w:val="20"/>
          <w:szCs w:val="20"/>
          <w:lang w:val="es-CR"/>
        </w:rPr>
        <w:t xml:space="preserve"> la</w:t>
      </w:r>
      <w:r w:rsidR="007D2326" w:rsidRPr="009D1A7D">
        <w:rPr>
          <w:rFonts w:ascii="Verdana" w:hAnsi="Verdana"/>
          <w:sz w:val="20"/>
          <w:szCs w:val="20"/>
          <w:lang w:val="es-CR"/>
        </w:rPr>
        <w:t xml:space="preserve"> </w:t>
      </w:r>
      <w:r w:rsidR="00424B1A" w:rsidRPr="009D1A7D">
        <w:rPr>
          <w:rFonts w:ascii="Verdana" w:hAnsi="Verdana" w:cs="Calibri"/>
          <w:sz w:val="20"/>
          <w:szCs w:val="20"/>
          <w:lang w:val="es-ES_tradnl"/>
        </w:rPr>
        <w:t xml:space="preserve">“Operación Gavilán”, </w:t>
      </w:r>
      <w:r w:rsidR="007D2326" w:rsidRPr="009D1A7D">
        <w:rPr>
          <w:rFonts w:ascii="Verdana" w:hAnsi="Verdana"/>
          <w:sz w:val="20"/>
          <w:szCs w:val="20"/>
          <w:lang w:val="es-CR"/>
        </w:rPr>
        <w:t>en el que refiere: a) la creación de</w:t>
      </w:r>
      <w:r w:rsidR="00424B1A" w:rsidRPr="009D1A7D">
        <w:rPr>
          <w:rFonts w:ascii="Verdana" w:hAnsi="Verdana"/>
          <w:sz w:val="20"/>
          <w:szCs w:val="20"/>
          <w:lang w:val="es-CR"/>
        </w:rPr>
        <w:t xml:space="preserve"> la </w:t>
      </w:r>
      <w:r w:rsidR="00424B1A" w:rsidRPr="009D1A7D">
        <w:rPr>
          <w:rFonts w:ascii="Verdana" w:hAnsi="Verdana" w:cs="Calibri"/>
          <w:sz w:val="20"/>
          <w:szCs w:val="20"/>
          <w:lang w:val="es-ES_tradnl"/>
        </w:rPr>
        <w:t xml:space="preserve">“Operación Gavilán”, </w:t>
      </w:r>
      <w:r w:rsidR="007D2326" w:rsidRPr="009D1A7D">
        <w:rPr>
          <w:rFonts w:ascii="Verdana" w:hAnsi="Verdana"/>
          <w:sz w:val="20"/>
          <w:szCs w:val="20"/>
          <w:lang w:val="es-CR"/>
        </w:rPr>
        <w:t xml:space="preserve">para la búsqueda y recaptura de las 19 personas fugadas de la cárcel de máxima seguridad “El Infiernito”; b) que </w:t>
      </w:r>
      <w:r w:rsidR="00153C74" w:rsidRPr="009D1A7D">
        <w:rPr>
          <w:rFonts w:ascii="Verdana" w:hAnsi="Verdana"/>
          <w:sz w:val="20"/>
          <w:szCs w:val="20"/>
          <w:lang w:val="es-CR"/>
        </w:rPr>
        <w:t xml:space="preserve"> </w:t>
      </w:r>
      <w:r w:rsidR="007D2326" w:rsidRPr="009D1A7D">
        <w:rPr>
          <w:rFonts w:ascii="Verdana" w:hAnsi="Verdana"/>
          <w:sz w:val="20"/>
          <w:szCs w:val="20"/>
          <w:lang w:val="es-CR"/>
        </w:rPr>
        <w:t xml:space="preserve">dentro de dicho operativo nueve de los prófugos fueron recapturados y siete de ellos “por circunstancias que se dieron en los operativos fallecieron”; c) que el Estado realizó otras investigaciones </w:t>
      </w:r>
      <w:r w:rsidR="00C20AC7" w:rsidRPr="009D1A7D">
        <w:rPr>
          <w:rFonts w:ascii="Verdana" w:hAnsi="Verdana"/>
          <w:sz w:val="20"/>
          <w:szCs w:val="20"/>
          <w:lang w:val="es-CR"/>
        </w:rPr>
        <w:t>y emitió sentencias</w:t>
      </w:r>
      <w:r w:rsidR="006A603E" w:rsidRPr="009D1A7D">
        <w:rPr>
          <w:rFonts w:ascii="Verdana" w:hAnsi="Verdana"/>
          <w:sz w:val="20"/>
          <w:szCs w:val="20"/>
          <w:lang w:val="es-CR"/>
        </w:rPr>
        <w:t>,</w:t>
      </w:r>
      <w:r w:rsidR="00C20AC7" w:rsidRPr="009D1A7D">
        <w:rPr>
          <w:rFonts w:ascii="Verdana" w:hAnsi="Verdana"/>
          <w:sz w:val="20"/>
          <w:szCs w:val="20"/>
          <w:lang w:val="es-CR"/>
        </w:rPr>
        <w:t xml:space="preserve"> en las cuales condenó a funcionarios estatales por la ejecución extrajudicial de un</w:t>
      </w:r>
      <w:r w:rsidR="00BD2F36" w:rsidRPr="009D1A7D">
        <w:rPr>
          <w:rFonts w:ascii="Verdana" w:hAnsi="Verdana"/>
          <w:sz w:val="20"/>
          <w:szCs w:val="20"/>
          <w:lang w:val="es-CR"/>
        </w:rPr>
        <w:t>a</w:t>
      </w:r>
      <w:r w:rsidR="00C20AC7" w:rsidRPr="009D1A7D">
        <w:rPr>
          <w:rFonts w:ascii="Verdana" w:hAnsi="Verdana"/>
          <w:sz w:val="20"/>
          <w:szCs w:val="20"/>
          <w:lang w:val="es-CR"/>
        </w:rPr>
        <w:t xml:space="preserve"> persona fugada de dicha cárcel, así como de otras personas fugadas de las cárceles de Pavón e Infiernito ocurridas entre 2005 y 2006; d) que la</w:t>
      </w:r>
      <w:r w:rsidR="00102B0E">
        <w:rPr>
          <w:rFonts w:ascii="Verdana" w:hAnsi="Verdana"/>
          <w:sz w:val="20"/>
          <w:szCs w:val="20"/>
          <w:lang w:val="es-CR"/>
        </w:rPr>
        <w:t xml:space="preserve"> Comisión Internacional contra la Impunidad en Guatemala (en adelante también “</w:t>
      </w:r>
      <w:r w:rsidR="00C20AC7" w:rsidRPr="009D1A7D">
        <w:rPr>
          <w:rFonts w:ascii="Verdana" w:hAnsi="Verdana"/>
          <w:sz w:val="20"/>
          <w:szCs w:val="20"/>
          <w:lang w:val="es-CR"/>
        </w:rPr>
        <w:t>CICIG</w:t>
      </w:r>
      <w:r w:rsidR="00102B0E">
        <w:rPr>
          <w:rFonts w:ascii="Verdana" w:hAnsi="Verdana"/>
          <w:sz w:val="20"/>
          <w:szCs w:val="20"/>
          <w:lang w:val="es-CR"/>
        </w:rPr>
        <w:t>”)</w:t>
      </w:r>
      <w:r w:rsidR="00C20AC7" w:rsidRPr="009D1A7D">
        <w:rPr>
          <w:rFonts w:ascii="Verdana" w:hAnsi="Verdana"/>
          <w:sz w:val="20"/>
          <w:szCs w:val="20"/>
          <w:lang w:val="es-CR"/>
        </w:rPr>
        <w:t xml:space="preserve"> se pronunció sobre la injerencia de las autoridades en la acciones realizadas para la ejecución extrajudicial de los prófugos y la existencia de una estructura paralela para ejecutar a los que ellos consideraban “lacras y enemigos de la sociedad”</w:t>
      </w:r>
      <w:r w:rsidR="00F8370A" w:rsidRPr="009D1A7D">
        <w:rPr>
          <w:rFonts w:ascii="Verdana" w:hAnsi="Verdana"/>
          <w:sz w:val="20"/>
          <w:szCs w:val="20"/>
          <w:lang w:val="es-CR"/>
        </w:rPr>
        <w:t xml:space="preserve">, y </w:t>
      </w:r>
      <w:proofErr w:type="spellStart"/>
      <w:r w:rsidR="00F8370A" w:rsidRPr="009D1A7D">
        <w:rPr>
          <w:rFonts w:ascii="Verdana" w:hAnsi="Verdana"/>
          <w:sz w:val="20"/>
          <w:szCs w:val="20"/>
          <w:lang w:val="es-CR"/>
        </w:rPr>
        <w:t>e</w:t>
      </w:r>
      <w:proofErr w:type="spellEnd"/>
      <w:r w:rsidR="00F8370A" w:rsidRPr="009D1A7D">
        <w:rPr>
          <w:rFonts w:ascii="Verdana" w:hAnsi="Verdana"/>
          <w:sz w:val="20"/>
          <w:szCs w:val="20"/>
          <w:lang w:val="es-CR"/>
        </w:rPr>
        <w:t xml:space="preserve">) </w:t>
      </w:r>
      <w:r w:rsidR="00F8370A" w:rsidRPr="009D1A7D">
        <w:rPr>
          <w:rFonts w:ascii="Verdana" w:hAnsi="Verdana" w:cs="Times New Roman"/>
          <w:color w:val="2F2F2F"/>
          <w:sz w:val="20"/>
          <w:szCs w:val="20"/>
          <w:lang w:val="es-CR"/>
        </w:rPr>
        <w:t xml:space="preserve">el </w:t>
      </w:r>
      <w:r w:rsidR="00F8370A" w:rsidRPr="009D1A7D">
        <w:rPr>
          <w:rFonts w:ascii="Verdana" w:hAnsi="Verdana" w:cs="Times New Roman"/>
          <w:color w:val="1B1B1B"/>
          <w:sz w:val="20"/>
          <w:szCs w:val="20"/>
          <w:lang w:val="es-CR"/>
        </w:rPr>
        <w:t xml:space="preserve">Relator Especial </w:t>
      </w:r>
      <w:r w:rsidR="00F8370A" w:rsidRPr="009D1A7D">
        <w:rPr>
          <w:rFonts w:ascii="Verdana" w:hAnsi="Verdana" w:cs="Times New Roman"/>
          <w:color w:val="2F2F2F"/>
          <w:sz w:val="20"/>
          <w:szCs w:val="20"/>
          <w:lang w:val="es-CR"/>
        </w:rPr>
        <w:t xml:space="preserve">sobre </w:t>
      </w:r>
      <w:r w:rsidR="00F8370A" w:rsidRPr="009D1A7D">
        <w:rPr>
          <w:rFonts w:ascii="Verdana" w:hAnsi="Verdana" w:cs="Times New Roman"/>
          <w:color w:val="1B1B1B"/>
          <w:sz w:val="20"/>
          <w:szCs w:val="20"/>
          <w:lang w:val="es-CR"/>
        </w:rPr>
        <w:t xml:space="preserve">las </w:t>
      </w:r>
      <w:r w:rsidR="00F8370A" w:rsidRPr="009D1A7D">
        <w:rPr>
          <w:rFonts w:ascii="Verdana" w:hAnsi="Verdana" w:cs="Times New Roman"/>
          <w:color w:val="2F2F2F"/>
          <w:sz w:val="20"/>
          <w:szCs w:val="20"/>
          <w:lang w:val="es-CR"/>
        </w:rPr>
        <w:t>Ejecuciones Extrajudicia</w:t>
      </w:r>
      <w:r w:rsidR="00F8370A" w:rsidRPr="009D1A7D">
        <w:rPr>
          <w:rFonts w:ascii="Verdana" w:hAnsi="Verdana" w:cs="Times New Roman"/>
          <w:color w:val="090909"/>
          <w:sz w:val="20"/>
          <w:szCs w:val="20"/>
          <w:lang w:val="es-CR"/>
        </w:rPr>
        <w:t>l</w:t>
      </w:r>
      <w:r w:rsidR="00F8370A" w:rsidRPr="009D1A7D">
        <w:rPr>
          <w:rFonts w:ascii="Verdana" w:hAnsi="Verdana" w:cs="Times New Roman"/>
          <w:color w:val="2F2F2F"/>
          <w:sz w:val="20"/>
          <w:szCs w:val="20"/>
          <w:lang w:val="es-CR"/>
        </w:rPr>
        <w:t xml:space="preserve">es, Sumarias o Arbitrarias (en adelante “Relator Especial”) en su informe sobre su </w:t>
      </w:r>
      <w:r w:rsidR="00F8370A" w:rsidRPr="009D1A7D">
        <w:rPr>
          <w:rFonts w:ascii="Verdana" w:hAnsi="Verdana" w:cs="Times New Roman"/>
          <w:color w:val="1B1B1B"/>
          <w:sz w:val="20"/>
          <w:szCs w:val="20"/>
          <w:lang w:val="es-CR"/>
        </w:rPr>
        <w:t xml:space="preserve">visita </w:t>
      </w:r>
      <w:r w:rsidR="00F8370A" w:rsidRPr="009D1A7D">
        <w:rPr>
          <w:rFonts w:ascii="Verdana" w:hAnsi="Verdana" w:cs="Times New Roman"/>
          <w:color w:val="2F2F2F"/>
          <w:sz w:val="20"/>
          <w:szCs w:val="20"/>
          <w:lang w:val="es-CR"/>
        </w:rPr>
        <w:t>a Guatemala</w:t>
      </w:r>
      <w:r w:rsidR="00F8370A" w:rsidRPr="009D1A7D">
        <w:rPr>
          <w:rFonts w:ascii="Verdana" w:hAnsi="Verdana" w:cs="Times New Roman"/>
          <w:color w:val="454545"/>
          <w:sz w:val="20"/>
          <w:szCs w:val="20"/>
          <w:lang w:val="es-CR"/>
        </w:rPr>
        <w:t xml:space="preserve">, </w:t>
      </w:r>
      <w:r w:rsidR="00F8370A" w:rsidRPr="009D1A7D">
        <w:rPr>
          <w:rFonts w:ascii="Verdana" w:hAnsi="Verdana" w:cs="Times New Roman"/>
          <w:color w:val="1B1B1B"/>
          <w:sz w:val="20"/>
          <w:szCs w:val="20"/>
          <w:lang w:val="es-CR"/>
        </w:rPr>
        <w:t xml:space="preserve">denunció la </w:t>
      </w:r>
      <w:r w:rsidR="00F8370A" w:rsidRPr="009D1A7D">
        <w:rPr>
          <w:rFonts w:ascii="Verdana" w:hAnsi="Verdana" w:cs="Times New Roman"/>
          <w:color w:val="2F2F2F"/>
          <w:sz w:val="20"/>
          <w:szCs w:val="20"/>
          <w:lang w:val="es-CR"/>
        </w:rPr>
        <w:t xml:space="preserve">existencia </w:t>
      </w:r>
      <w:r w:rsidR="00F8370A" w:rsidRPr="009D1A7D">
        <w:rPr>
          <w:rFonts w:ascii="Verdana" w:hAnsi="Verdana" w:cs="Times New Roman"/>
          <w:color w:val="1B1B1B"/>
          <w:sz w:val="20"/>
          <w:szCs w:val="20"/>
          <w:lang w:val="es-CR"/>
        </w:rPr>
        <w:t xml:space="preserve">de </w:t>
      </w:r>
      <w:r w:rsidR="00F8370A" w:rsidRPr="009D1A7D">
        <w:rPr>
          <w:rFonts w:ascii="Verdana" w:hAnsi="Verdana" w:cs="Times New Roman"/>
          <w:color w:val="2F2F2F"/>
          <w:sz w:val="20"/>
          <w:szCs w:val="20"/>
          <w:lang w:val="es-CR"/>
        </w:rPr>
        <w:t xml:space="preserve">grupos </w:t>
      </w:r>
      <w:r w:rsidR="00F8370A" w:rsidRPr="009D1A7D">
        <w:rPr>
          <w:rFonts w:ascii="Verdana" w:hAnsi="Verdana" w:cs="Times New Roman"/>
          <w:color w:val="1B1B1B"/>
          <w:sz w:val="20"/>
          <w:szCs w:val="20"/>
          <w:lang w:val="es-CR"/>
        </w:rPr>
        <w:t xml:space="preserve">dedicados </w:t>
      </w:r>
      <w:r w:rsidR="00F8370A" w:rsidRPr="009D1A7D">
        <w:rPr>
          <w:rFonts w:ascii="Verdana" w:hAnsi="Verdana" w:cs="Times New Roman"/>
          <w:color w:val="2F2F2F"/>
          <w:sz w:val="20"/>
          <w:szCs w:val="20"/>
          <w:lang w:val="es-CR"/>
        </w:rPr>
        <w:t xml:space="preserve">a </w:t>
      </w:r>
      <w:r w:rsidR="00F8370A" w:rsidRPr="009D1A7D">
        <w:rPr>
          <w:rFonts w:ascii="Verdana" w:hAnsi="Verdana" w:cs="Times New Roman"/>
          <w:color w:val="1B1B1B"/>
          <w:sz w:val="20"/>
          <w:szCs w:val="20"/>
          <w:lang w:val="es-CR"/>
        </w:rPr>
        <w:t>la limpiez</w:t>
      </w:r>
      <w:r w:rsidR="00F8370A" w:rsidRPr="009D1A7D">
        <w:rPr>
          <w:rFonts w:ascii="Verdana" w:hAnsi="Verdana" w:cs="Times New Roman"/>
          <w:color w:val="454545"/>
          <w:sz w:val="20"/>
          <w:szCs w:val="20"/>
          <w:lang w:val="es-CR"/>
        </w:rPr>
        <w:t xml:space="preserve">a </w:t>
      </w:r>
      <w:r w:rsidR="00F8370A" w:rsidRPr="009D1A7D">
        <w:rPr>
          <w:rFonts w:ascii="Verdana" w:hAnsi="Verdana" w:cs="Times New Roman"/>
          <w:color w:val="2F2F2F"/>
          <w:sz w:val="20"/>
          <w:szCs w:val="20"/>
          <w:lang w:val="es-CR"/>
        </w:rPr>
        <w:t xml:space="preserve">social en </w:t>
      </w:r>
      <w:r w:rsidR="00F8370A" w:rsidRPr="009D1A7D">
        <w:rPr>
          <w:rFonts w:ascii="Verdana" w:hAnsi="Verdana" w:cs="Times New Roman"/>
          <w:color w:val="090909"/>
          <w:sz w:val="20"/>
          <w:szCs w:val="20"/>
          <w:lang w:val="es-CR"/>
        </w:rPr>
        <w:t>l</w:t>
      </w:r>
      <w:r w:rsidR="00F8370A" w:rsidRPr="009D1A7D">
        <w:rPr>
          <w:rFonts w:ascii="Verdana" w:hAnsi="Verdana" w:cs="Times New Roman"/>
          <w:color w:val="2F2F2F"/>
          <w:sz w:val="20"/>
          <w:szCs w:val="20"/>
          <w:lang w:val="es-CR"/>
        </w:rPr>
        <w:t xml:space="preserve">a </w:t>
      </w:r>
      <w:r w:rsidR="00F8370A" w:rsidRPr="009D1A7D">
        <w:rPr>
          <w:rFonts w:ascii="Verdana" w:hAnsi="Verdana" w:cs="Times New Roman"/>
          <w:color w:val="1B1B1B"/>
          <w:sz w:val="20"/>
          <w:szCs w:val="20"/>
          <w:lang w:val="es-CR"/>
        </w:rPr>
        <w:t xml:space="preserve">Policía </w:t>
      </w:r>
      <w:r w:rsidR="00F8370A" w:rsidRPr="009D1A7D">
        <w:rPr>
          <w:rFonts w:ascii="Verdana" w:hAnsi="Verdana" w:cs="Times New Roman"/>
          <w:color w:val="2F2F2F"/>
          <w:sz w:val="20"/>
          <w:szCs w:val="20"/>
          <w:lang w:val="es-CR"/>
        </w:rPr>
        <w:t>Nacional Civil</w:t>
      </w:r>
      <w:r w:rsidR="00C20AC7" w:rsidRPr="009D1A7D">
        <w:rPr>
          <w:rFonts w:ascii="Verdana" w:hAnsi="Verdana"/>
          <w:sz w:val="20"/>
          <w:szCs w:val="20"/>
          <w:lang w:val="es-CR"/>
        </w:rPr>
        <w:t xml:space="preserve">.  </w:t>
      </w:r>
      <w:r w:rsidR="00CC03F7" w:rsidRPr="009D1A7D">
        <w:rPr>
          <w:rFonts w:ascii="Verdana" w:hAnsi="Verdana"/>
          <w:sz w:val="20"/>
          <w:szCs w:val="20"/>
          <w:lang w:val="es-ES_tradnl"/>
        </w:rPr>
        <w:t>Por otra parte, en relación con la reforma legal para incluir la pena de muerte por casos de secuestro que alegaron los representantes, la Comisión señaló que,</w:t>
      </w:r>
      <w:r w:rsidR="00CC03F7" w:rsidRPr="009D1A7D">
        <w:rPr>
          <w:rFonts w:ascii="Verdana" w:hAnsi="Verdana"/>
          <w:sz w:val="20"/>
          <w:szCs w:val="20"/>
          <w:lang w:val="es-CR"/>
        </w:rPr>
        <w:t xml:space="preserve"> pese a que </w:t>
      </w:r>
      <w:r w:rsidR="00CC03F7" w:rsidRPr="009D1A7D">
        <w:rPr>
          <w:rFonts w:ascii="Verdana" w:hAnsi="Verdana"/>
          <w:sz w:val="20"/>
          <w:szCs w:val="20"/>
        </w:rPr>
        <w:t>el Estado no ha impuesto ni aplicado la pena de muerte y la Cámara Penal de la Corte Suprema de Justicia la ha venido conmutando en los últimos años, la pena de muerte continúa prevista para el delito de secuestro.</w:t>
      </w:r>
    </w:p>
    <w:p w14:paraId="19281577" w14:textId="77777777" w:rsidR="00B21744" w:rsidRPr="009D1A7D" w:rsidRDefault="00B21744" w:rsidP="00B21744">
      <w:pPr>
        <w:pStyle w:val="Prrafodelista"/>
        <w:autoSpaceDE w:val="0"/>
        <w:autoSpaceDN w:val="0"/>
        <w:adjustRightInd w:val="0"/>
        <w:spacing w:after="0" w:line="240" w:lineRule="auto"/>
        <w:ind w:left="0"/>
        <w:jc w:val="both"/>
        <w:rPr>
          <w:lang w:val="es-CR"/>
        </w:rPr>
      </w:pPr>
    </w:p>
    <w:p w14:paraId="31CC401C" w14:textId="025EC81E" w:rsidR="00CC03F7" w:rsidRPr="009D1A7D" w:rsidRDefault="00CC03F7" w:rsidP="00B21744">
      <w:pPr>
        <w:pStyle w:val="Prrafodelista"/>
        <w:numPr>
          <w:ilvl w:val="3"/>
          <w:numId w:val="1"/>
        </w:numPr>
        <w:autoSpaceDE w:val="0"/>
        <w:autoSpaceDN w:val="0"/>
        <w:adjustRightInd w:val="0"/>
        <w:spacing w:after="0" w:line="240" w:lineRule="auto"/>
        <w:ind w:left="0" w:firstLine="0"/>
        <w:jc w:val="both"/>
        <w:rPr>
          <w:lang w:val="es-CR"/>
        </w:rPr>
      </w:pPr>
      <w:r w:rsidRPr="009D1A7D">
        <w:rPr>
          <w:rFonts w:ascii="Verdana" w:hAnsi="Verdana"/>
          <w:sz w:val="20"/>
          <w:szCs w:val="20"/>
          <w:lang w:val="es-ES_tradnl"/>
        </w:rPr>
        <w:t xml:space="preserve">En consecuencia, la Corte considerará aquellos hechos </w:t>
      </w:r>
      <w:r w:rsidR="00763CB1" w:rsidRPr="009D1A7D">
        <w:rPr>
          <w:rFonts w:ascii="Verdana" w:hAnsi="Verdana"/>
          <w:sz w:val="20"/>
          <w:szCs w:val="20"/>
          <w:lang w:val="es-ES_tradnl"/>
        </w:rPr>
        <w:t xml:space="preserve">complementarios </w:t>
      </w:r>
      <w:r w:rsidRPr="009D1A7D">
        <w:rPr>
          <w:rFonts w:ascii="Verdana" w:hAnsi="Verdana"/>
          <w:sz w:val="20"/>
          <w:szCs w:val="20"/>
          <w:lang w:val="es-ES_tradnl"/>
        </w:rPr>
        <w:t xml:space="preserve">alegados por los representantes que </w:t>
      </w:r>
      <w:r w:rsidR="000854E8" w:rsidRPr="009D1A7D">
        <w:rPr>
          <w:rFonts w:ascii="Verdana" w:hAnsi="Verdana"/>
          <w:sz w:val="20"/>
          <w:szCs w:val="20"/>
          <w:lang w:val="es-ES_tradnl"/>
        </w:rPr>
        <w:t>fueron tomados</w:t>
      </w:r>
      <w:r w:rsidRPr="009D1A7D">
        <w:rPr>
          <w:rFonts w:ascii="Verdana" w:hAnsi="Verdana"/>
          <w:sz w:val="20"/>
          <w:szCs w:val="20"/>
          <w:lang w:val="es-ES_tradnl"/>
        </w:rPr>
        <w:t xml:space="preserve"> en cuenta por la Comisión relacionados con el contexto de la muerte del señor Tirso Román Valenzuela Ávila y </w:t>
      </w:r>
      <w:r w:rsidR="00424B1A" w:rsidRPr="009D1A7D">
        <w:rPr>
          <w:rFonts w:ascii="Verdana" w:hAnsi="Verdana"/>
          <w:sz w:val="20"/>
          <w:szCs w:val="20"/>
          <w:lang w:val="es-ES_tradnl"/>
        </w:rPr>
        <w:t xml:space="preserve">la </w:t>
      </w:r>
      <w:r w:rsidR="00424B1A" w:rsidRPr="009D1A7D">
        <w:rPr>
          <w:rFonts w:ascii="Verdana" w:hAnsi="Verdana" w:cs="Calibri"/>
          <w:sz w:val="20"/>
          <w:szCs w:val="20"/>
          <w:lang w:val="es-ES_tradnl"/>
        </w:rPr>
        <w:t>“Operación Gavilán”</w:t>
      </w:r>
      <w:r w:rsidR="007168A7" w:rsidRPr="009D1A7D">
        <w:rPr>
          <w:rFonts w:ascii="Verdana" w:hAnsi="Verdana" w:cs="Calibri"/>
          <w:sz w:val="20"/>
          <w:szCs w:val="20"/>
          <w:lang w:val="es-ES_tradnl"/>
        </w:rPr>
        <w:t xml:space="preserve"> (</w:t>
      </w:r>
      <w:r w:rsidR="000673D3" w:rsidRPr="009D1A7D">
        <w:rPr>
          <w:rFonts w:ascii="Verdana" w:hAnsi="Verdana" w:cs="Calibri"/>
          <w:i/>
          <w:sz w:val="20"/>
          <w:szCs w:val="20"/>
          <w:lang w:val="es-ES_tradnl"/>
        </w:rPr>
        <w:t>infra</w:t>
      </w:r>
      <w:r w:rsidR="000673D3" w:rsidRPr="009D1A7D">
        <w:rPr>
          <w:rFonts w:ascii="Verdana" w:hAnsi="Verdana" w:cs="Calibri"/>
          <w:sz w:val="20"/>
          <w:szCs w:val="20"/>
          <w:lang w:val="es-ES_tradnl"/>
        </w:rPr>
        <w:t xml:space="preserve"> párrs. </w:t>
      </w:r>
      <w:r w:rsidR="00130D62">
        <w:rPr>
          <w:rFonts w:ascii="Verdana" w:hAnsi="Verdana" w:cs="Calibri"/>
          <w:sz w:val="20"/>
          <w:szCs w:val="20"/>
          <w:lang w:val="es-ES_tradnl"/>
        </w:rPr>
        <w:t xml:space="preserve"> 89 a 95</w:t>
      </w:r>
      <w:r w:rsidR="007168A7" w:rsidRPr="009D1A7D">
        <w:rPr>
          <w:rFonts w:ascii="Verdana" w:hAnsi="Verdana" w:cs="Calibri"/>
          <w:sz w:val="20"/>
          <w:szCs w:val="20"/>
          <w:lang w:val="es-ES_tradnl"/>
        </w:rPr>
        <w:t>)</w:t>
      </w:r>
      <w:r w:rsidR="00424B1A" w:rsidRPr="009D1A7D">
        <w:rPr>
          <w:rFonts w:ascii="Verdana" w:hAnsi="Verdana" w:cs="Calibri"/>
          <w:sz w:val="20"/>
          <w:szCs w:val="20"/>
          <w:lang w:val="es-ES_tradnl"/>
        </w:rPr>
        <w:t xml:space="preserve"> </w:t>
      </w:r>
      <w:r w:rsidRPr="009D1A7D">
        <w:rPr>
          <w:rFonts w:ascii="Verdana" w:hAnsi="Verdana"/>
          <w:sz w:val="20"/>
          <w:szCs w:val="20"/>
          <w:lang w:val="es-ES_tradnl"/>
        </w:rPr>
        <w:t>y, descartará aquellos hechos que no guardan relación con el marco fáctico contemplado en el Informe de Fondo de la Comisión</w:t>
      </w:r>
      <w:r w:rsidR="007168A7" w:rsidRPr="009D1A7D">
        <w:rPr>
          <w:rFonts w:ascii="Verdana" w:hAnsi="Verdana"/>
          <w:sz w:val="20"/>
          <w:szCs w:val="20"/>
          <w:lang w:val="es-ES_tradnl"/>
        </w:rPr>
        <w:t xml:space="preserve"> (</w:t>
      </w:r>
      <w:r w:rsidR="007168A7" w:rsidRPr="009D1A7D">
        <w:rPr>
          <w:rFonts w:ascii="Verdana" w:hAnsi="Verdana"/>
          <w:i/>
          <w:sz w:val="20"/>
          <w:szCs w:val="20"/>
          <w:lang w:val="es-ES_tradnl"/>
        </w:rPr>
        <w:t>supra</w:t>
      </w:r>
      <w:r w:rsidR="007168A7" w:rsidRPr="009D1A7D">
        <w:rPr>
          <w:rFonts w:ascii="Verdana" w:hAnsi="Verdana"/>
          <w:sz w:val="20"/>
          <w:szCs w:val="20"/>
          <w:lang w:val="es-ES_tradnl"/>
        </w:rPr>
        <w:t xml:space="preserve"> </w:t>
      </w:r>
      <w:r w:rsidR="00130D62">
        <w:rPr>
          <w:rFonts w:ascii="Verdana" w:hAnsi="Verdana"/>
          <w:sz w:val="20"/>
          <w:szCs w:val="20"/>
          <w:lang w:val="es-ES_tradnl"/>
        </w:rPr>
        <w:t>párr. 43</w:t>
      </w:r>
      <w:r w:rsidR="007168A7" w:rsidRPr="009D1A7D">
        <w:rPr>
          <w:rFonts w:ascii="Verdana" w:hAnsi="Verdana"/>
          <w:sz w:val="20"/>
          <w:szCs w:val="20"/>
          <w:lang w:val="es-ES_tradnl"/>
        </w:rPr>
        <w:t>)</w:t>
      </w:r>
      <w:r w:rsidRPr="009D1A7D">
        <w:rPr>
          <w:rFonts w:ascii="Verdana" w:hAnsi="Verdana"/>
          <w:sz w:val="20"/>
          <w:szCs w:val="20"/>
          <w:lang w:val="es-ES_tradnl"/>
        </w:rPr>
        <w:t>.</w:t>
      </w:r>
    </w:p>
    <w:p w14:paraId="03C44FC3" w14:textId="1EB30B2D" w:rsidR="006313F5" w:rsidRPr="004D4077" w:rsidRDefault="000E6FC3" w:rsidP="005E2A26">
      <w:pPr>
        <w:pStyle w:val="Ttulo2"/>
        <w:rPr>
          <w:rFonts w:eastAsia="Verdana"/>
        </w:rPr>
      </w:pPr>
      <w:bookmarkStart w:id="15" w:name="_Toc25247731"/>
      <w:r w:rsidRPr="004D4077">
        <w:rPr>
          <w:rFonts w:eastAsia="Verdana"/>
        </w:rPr>
        <w:t xml:space="preserve">B. Sobre la determinación de las presuntas víctimas y eventuales beneficiarios de las medidas de </w:t>
      </w:r>
      <w:proofErr w:type="gramStart"/>
      <w:r w:rsidRPr="004D4077">
        <w:rPr>
          <w:rFonts w:eastAsia="Verdana"/>
        </w:rPr>
        <w:t>reparación</w:t>
      </w:r>
      <w:r w:rsidR="003161BE" w:rsidRPr="004D4077">
        <w:rPr>
          <w:rFonts w:eastAsia="Verdana"/>
        </w:rPr>
        <w:t>,  y</w:t>
      </w:r>
      <w:proofErr w:type="gramEnd"/>
      <w:r w:rsidR="003161BE" w:rsidRPr="004D4077">
        <w:rPr>
          <w:rFonts w:eastAsia="Verdana"/>
        </w:rPr>
        <w:t xml:space="preserve"> la falta de documentación del vínculo que habilita a la sucesión hereditaria de </w:t>
      </w:r>
      <w:r w:rsidR="00B21744" w:rsidRPr="004D4077">
        <w:rPr>
          <w:rFonts w:eastAsia="Verdana"/>
        </w:rPr>
        <w:t>su madre, esposa y conviviente</w:t>
      </w:r>
      <w:bookmarkEnd w:id="15"/>
      <w:r w:rsidRPr="004D4077">
        <w:rPr>
          <w:rFonts w:eastAsia="Verdana"/>
        </w:rPr>
        <w:t xml:space="preserve"> </w:t>
      </w:r>
    </w:p>
    <w:p w14:paraId="1D349A4C" w14:textId="55C070BF" w:rsidR="006313F5" w:rsidRDefault="000E6FC3" w:rsidP="00805F0E">
      <w:pPr>
        <w:pStyle w:val="Ttulo3"/>
        <w:rPr>
          <w:rFonts w:eastAsia="Calibri"/>
          <w:lang w:val="es-CR" w:eastAsia="es-CR"/>
        </w:rPr>
      </w:pPr>
      <w:bookmarkStart w:id="16" w:name="_Toc25247732"/>
      <w:r w:rsidRPr="006313F5">
        <w:rPr>
          <w:rFonts w:eastAsia="Calibri"/>
          <w:lang w:val="es-CR" w:eastAsia="es-CR"/>
        </w:rPr>
        <w:t>B.1</w:t>
      </w:r>
      <w:r w:rsidR="00F51963">
        <w:rPr>
          <w:rFonts w:eastAsia="Calibri"/>
          <w:lang w:val="es-CR" w:eastAsia="es-CR"/>
        </w:rPr>
        <w:t>.</w:t>
      </w:r>
      <w:r w:rsidRPr="006313F5">
        <w:rPr>
          <w:rFonts w:eastAsia="Calibri"/>
          <w:lang w:val="es-CR" w:eastAsia="es-CR"/>
        </w:rPr>
        <w:t xml:space="preserve"> Alegatos del Estado y observaciones de la Comisión y los representantes</w:t>
      </w:r>
      <w:bookmarkEnd w:id="16"/>
    </w:p>
    <w:p w14:paraId="061020C4" w14:textId="77777777" w:rsidR="006313F5" w:rsidRDefault="006313F5" w:rsidP="006313F5">
      <w:pPr>
        <w:pStyle w:val="Prrafodelista"/>
        <w:autoSpaceDE w:val="0"/>
        <w:autoSpaceDN w:val="0"/>
        <w:adjustRightInd w:val="0"/>
        <w:spacing w:after="0" w:line="240" w:lineRule="auto"/>
        <w:ind w:left="0"/>
        <w:jc w:val="both"/>
        <w:rPr>
          <w:rFonts w:ascii="Verdana" w:hAnsi="Verdana"/>
          <w:sz w:val="20"/>
          <w:szCs w:val="20"/>
          <w:lang w:val="es-CR"/>
        </w:rPr>
      </w:pPr>
    </w:p>
    <w:p w14:paraId="33C5B9CC" w14:textId="1267CAD8" w:rsidR="006313F5" w:rsidRPr="009D2931" w:rsidRDefault="000E6FC3" w:rsidP="005406CA">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6313F5">
        <w:rPr>
          <w:rFonts w:ascii="Verdana" w:eastAsia="Times New Roman" w:hAnsi="Verdana" w:cs="Times New Roman"/>
          <w:sz w:val="20"/>
          <w:szCs w:val="20"/>
          <w:lang w:eastAsia="es-CR"/>
        </w:rPr>
        <w:t xml:space="preserve">El </w:t>
      </w:r>
      <w:r w:rsidRPr="006313F5">
        <w:rPr>
          <w:rFonts w:ascii="Verdana" w:eastAsia="Times New Roman" w:hAnsi="Verdana" w:cs="Times New Roman"/>
          <w:b/>
          <w:i/>
          <w:sz w:val="20"/>
          <w:szCs w:val="20"/>
          <w:lang w:eastAsia="es-CR"/>
        </w:rPr>
        <w:t>Estado</w:t>
      </w:r>
      <w:r w:rsidRPr="006313F5">
        <w:rPr>
          <w:rFonts w:ascii="Verdana" w:eastAsia="Times New Roman" w:hAnsi="Verdana" w:cs="Times New Roman"/>
          <w:sz w:val="20"/>
          <w:szCs w:val="20"/>
          <w:lang w:eastAsia="es-CR"/>
        </w:rPr>
        <w:t xml:space="preserve"> alegó que existe una violación al principio de certeza jurídica por la indeterminación del listado de presuntas víctimas. </w:t>
      </w:r>
      <w:r w:rsidRPr="006313F5">
        <w:rPr>
          <w:rFonts w:ascii="Verdana" w:hAnsi="Verdana"/>
          <w:sz w:val="20"/>
          <w:szCs w:val="20"/>
          <w:lang w:val="es-CR"/>
        </w:rPr>
        <w:t xml:space="preserve">Solicitó que la Corte establezca con precisión que la única víctima es el señor Tirso Román Valenzuela Ávila. </w:t>
      </w:r>
      <w:r w:rsidR="003161BE" w:rsidRPr="002A1142">
        <w:rPr>
          <w:rFonts w:ascii="Verdana" w:hAnsi="Verdana"/>
          <w:sz w:val="20"/>
          <w:szCs w:val="20"/>
          <w:lang w:val="es-CR"/>
        </w:rPr>
        <w:t>Por otra parte,</w:t>
      </w:r>
      <w:r w:rsidR="003161BE">
        <w:rPr>
          <w:rFonts w:ascii="Verdana" w:hAnsi="Verdana"/>
          <w:b/>
          <w:sz w:val="20"/>
          <w:szCs w:val="20"/>
          <w:lang w:val="es-CR"/>
        </w:rPr>
        <w:t xml:space="preserve"> </w:t>
      </w:r>
      <w:r w:rsidR="003161BE">
        <w:rPr>
          <w:rFonts w:ascii="Verdana" w:eastAsia="Times New Roman" w:hAnsi="Verdana" w:cs="Times New Roman"/>
          <w:sz w:val="20"/>
          <w:szCs w:val="20"/>
          <w:lang w:eastAsia="es-CR"/>
        </w:rPr>
        <w:t>e</w:t>
      </w:r>
      <w:r w:rsidR="003161BE" w:rsidRPr="00576801">
        <w:rPr>
          <w:rFonts w:ascii="Verdana" w:eastAsia="Times New Roman" w:hAnsi="Verdana" w:cs="Times New Roman"/>
          <w:sz w:val="20"/>
          <w:szCs w:val="20"/>
          <w:lang w:eastAsia="es-CR"/>
        </w:rPr>
        <w:t>l</w:t>
      </w:r>
      <w:r w:rsidR="003161BE" w:rsidRPr="003161BE">
        <w:rPr>
          <w:rFonts w:ascii="Verdana" w:eastAsia="Times New Roman" w:hAnsi="Verdana" w:cs="Times New Roman"/>
          <w:sz w:val="20"/>
          <w:szCs w:val="20"/>
          <w:lang w:eastAsia="es-CR"/>
        </w:rPr>
        <w:t xml:space="preserve"> </w:t>
      </w:r>
      <w:r w:rsidR="003161BE" w:rsidRPr="002A1142">
        <w:rPr>
          <w:rFonts w:ascii="Verdana" w:eastAsia="Times New Roman" w:hAnsi="Verdana" w:cs="Times New Roman"/>
          <w:sz w:val="20"/>
          <w:szCs w:val="20"/>
          <w:lang w:eastAsia="es-CR"/>
        </w:rPr>
        <w:t>Estado</w:t>
      </w:r>
      <w:r w:rsidR="009D2931">
        <w:rPr>
          <w:rFonts w:ascii="Verdana" w:eastAsia="Times New Roman" w:hAnsi="Verdana" w:cs="Times New Roman"/>
          <w:sz w:val="20"/>
          <w:szCs w:val="20"/>
          <w:lang w:eastAsia="es-CR"/>
        </w:rPr>
        <w:t xml:space="preserve"> alegó que </w:t>
      </w:r>
      <w:r w:rsidR="003161BE" w:rsidRPr="00576801">
        <w:rPr>
          <w:rFonts w:ascii="Verdana" w:eastAsia="Times New Roman" w:hAnsi="Verdana" w:cs="Times New Roman"/>
          <w:sz w:val="20"/>
          <w:szCs w:val="20"/>
          <w:lang w:eastAsia="es-CR"/>
        </w:rPr>
        <w:t xml:space="preserve">de acuerdo con el artículo 1078 </w:t>
      </w:r>
      <w:r w:rsidR="003161BE" w:rsidRPr="00BF2146">
        <w:rPr>
          <w:rFonts w:ascii="Verdana" w:eastAsia="Times New Roman" w:hAnsi="Verdana" w:cs="Times New Roman"/>
          <w:sz w:val="20"/>
          <w:szCs w:val="20"/>
          <w:lang w:eastAsia="es-CR"/>
        </w:rPr>
        <w:t xml:space="preserve">del </w:t>
      </w:r>
      <w:r w:rsidR="00BF2146" w:rsidRPr="00BF2146">
        <w:rPr>
          <w:rFonts w:ascii="Verdana" w:eastAsia="Times New Roman" w:hAnsi="Verdana" w:cs="Times New Roman"/>
          <w:sz w:val="20"/>
          <w:szCs w:val="20"/>
          <w:lang w:eastAsia="es-CR"/>
        </w:rPr>
        <w:t>Código Ci</w:t>
      </w:r>
      <w:r w:rsidR="00BF2146">
        <w:rPr>
          <w:rFonts w:ascii="Verdana" w:eastAsia="Times New Roman" w:hAnsi="Verdana" w:cs="Times New Roman"/>
          <w:sz w:val="20"/>
          <w:szCs w:val="20"/>
          <w:lang w:eastAsia="es-CR"/>
        </w:rPr>
        <w:t>vil</w:t>
      </w:r>
      <w:r w:rsidR="00FB0250">
        <w:rPr>
          <w:rFonts w:ascii="Verdana" w:eastAsia="Times New Roman" w:hAnsi="Verdana" w:cs="Times New Roman"/>
          <w:sz w:val="20"/>
          <w:szCs w:val="20"/>
          <w:lang w:eastAsia="es-CR"/>
        </w:rPr>
        <w:t xml:space="preserve"> del Estado de Guatemala</w:t>
      </w:r>
      <w:r w:rsidR="00BF2146">
        <w:rPr>
          <w:rFonts w:ascii="Verdana" w:eastAsia="Times New Roman" w:hAnsi="Verdana" w:cs="Times New Roman"/>
          <w:sz w:val="20"/>
          <w:szCs w:val="20"/>
          <w:lang w:eastAsia="es-CR"/>
        </w:rPr>
        <w:t xml:space="preserve">, </w:t>
      </w:r>
      <w:r w:rsidR="003161BE" w:rsidRPr="00BF2146">
        <w:rPr>
          <w:rFonts w:ascii="Verdana" w:eastAsia="Times New Roman" w:hAnsi="Verdana" w:cs="Times New Roman"/>
          <w:sz w:val="20"/>
          <w:szCs w:val="20"/>
          <w:lang w:eastAsia="es-CR"/>
        </w:rPr>
        <w:t>en</w:t>
      </w:r>
      <w:r w:rsidR="003161BE" w:rsidRPr="00576801">
        <w:rPr>
          <w:rFonts w:ascii="Verdana" w:eastAsia="Times New Roman" w:hAnsi="Verdana" w:cs="Times New Roman"/>
          <w:sz w:val="20"/>
          <w:szCs w:val="20"/>
          <w:lang w:eastAsia="es-CR"/>
        </w:rPr>
        <w:t xml:space="preserve"> las sucesiones intestadas se llama en primer lugar a los hijos y al cónyuge sobreviviente </w:t>
      </w:r>
      <w:r w:rsidR="003161BE" w:rsidRPr="00576801">
        <w:rPr>
          <w:rFonts w:ascii="Verdana" w:eastAsia="Times New Roman" w:hAnsi="Verdana" w:cs="Times New Roman"/>
          <w:sz w:val="20"/>
          <w:szCs w:val="20"/>
          <w:lang w:eastAsia="es-CR"/>
        </w:rPr>
        <w:lastRenderedPageBreak/>
        <w:t xml:space="preserve">que tengan derecho a </w:t>
      </w:r>
      <w:r w:rsidR="00DC6AF7">
        <w:rPr>
          <w:rFonts w:ascii="Verdana" w:eastAsia="Times New Roman" w:hAnsi="Verdana" w:cs="Times New Roman"/>
          <w:sz w:val="20"/>
          <w:szCs w:val="20"/>
          <w:lang w:eastAsia="es-CR"/>
        </w:rPr>
        <w:t>“</w:t>
      </w:r>
      <w:r w:rsidR="003161BE" w:rsidRPr="00576801">
        <w:rPr>
          <w:rFonts w:ascii="Verdana" w:eastAsia="Times New Roman" w:hAnsi="Verdana" w:cs="Times New Roman"/>
          <w:sz w:val="20"/>
          <w:szCs w:val="20"/>
          <w:lang w:eastAsia="es-CR"/>
        </w:rPr>
        <w:t>gananciales</w:t>
      </w:r>
      <w:r w:rsidR="00DC6AF7">
        <w:rPr>
          <w:rFonts w:ascii="Verdana" w:eastAsia="Times New Roman" w:hAnsi="Verdana" w:cs="Times New Roman"/>
          <w:sz w:val="20"/>
          <w:szCs w:val="20"/>
          <w:lang w:eastAsia="es-CR"/>
        </w:rPr>
        <w:t>”</w:t>
      </w:r>
      <w:r w:rsidR="003161BE" w:rsidRPr="00576801">
        <w:rPr>
          <w:rFonts w:ascii="Verdana" w:eastAsia="Times New Roman" w:hAnsi="Verdana" w:cs="Times New Roman"/>
          <w:sz w:val="20"/>
          <w:szCs w:val="20"/>
          <w:lang w:eastAsia="es-CR"/>
        </w:rPr>
        <w:t xml:space="preserve">, quienes heredarán por partes iguales. </w:t>
      </w:r>
      <w:r w:rsidR="003161BE">
        <w:rPr>
          <w:rFonts w:ascii="Verdana" w:hAnsi="Verdana"/>
          <w:sz w:val="20"/>
          <w:szCs w:val="20"/>
          <w:lang w:val="es-CR"/>
        </w:rPr>
        <w:t>S</w:t>
      </w:r>
      <w:r w:rsidR="003161BE" w:rsidRPr="00576801">
        <w:rPr>
          <w:rFonts w:ascii="Verdana" w:hAnsi="Verdana"/>
          <w:sz w:val="20"/>
          <w:szCs w:val="20"/>
          <w:lang w:val="es-CR"/>
        </w:rPr>
        <w:t xml:space="preserve">ostuvo que los únicos legitimados a suceder a la presunta víctima serían sus hijos </w:t>
      </w:r>
      <w:r w:rsidR="003161BE" w:rsidRPr="00BA09B6">
        <w:rPr>
          <w:rFonts w:ascii="Verdana" w:hAnsi="Verdana"/>
          <w:sz w:val="20"/>
          <w:szCs w:val="20"/>
          <w:lang w:val="es-CR"/>
        </w:rPr>
        <w:t xml:space="preserve">Jorge, Luis y Tirso Valenzuela Ruíz, dado que no se presentó ningún documento que acreditara la condición de </w:t>
      </w:r>
      <w:r w:rsidR="0091736F" w:rsidRPr="00BA09B6">
        <w:rPr>
          <w:rFonts w:ascii="Verdana" w:hAnsi="Verdana"/>
          <w:sz w:val="20"/>
          <w:szCs w:val="20"/>
          <w:lang w:val="es-CR"/>
        </w:rPr>
        <w:t xml:space="preserve">su </w:t>
      </w:r>
      <w:r w:rsidR="003161BE" w:rsidRPr="00BA09B6">
        <w:rPr>
          <w:rFonts w:ascii="Verdana" w:hAnsi="Verdana"/>
          <w:sz w:val="20"/>
          <w:szCs w:val="20"/>
          <w:lang w:val="es-CR"/>
        </w:rPr>
        <w:t>cónyuge, ni la de</w:t>
      </w:r>
      <w:r w:rsidR="0091736F" w:rsidRPr="00BA09B6">
        <w:rPr>
          <w:rFonts w:ascii="Verdana" w:hAnsi="Verdana"/>
          <w:sz w:val="20"/>
          <w:szCs w:val="20"/>
          <w:lang w:val="es-CR"/>
        </w:rPr>
        <w:t xml:space="preserve"> su</w:t>
      </w:r>
      <w:r w:rsidR="003161BE" w:rsidRPr="00BA09B6">
        <w:rPr>
          <w:rFonts w:ascii="Verdana" w:hAnsi="Verdana"/>
          <w:sz w:val="20"/>
          <w:szCs w:val="20"/>
          <w:lang w:val="es-CR"/>
        </w:rPr>
        <w:t xml:space="preserve"> conviviente. Tampoco se acreditó que Florinda López de López sea </w:t>
      </w:r>
      <w:r w:rsidR="0091736F" w:rsidRPr="00BA09B6">
        <w:rPr>
          <w:rFonts w:ascii="Verdana" w:hAnsi="Verdana"/>
          <w:sz w:val="20"/>
          <w:szCs w:val="20"/>
          <w:lang w:val="es-CR"/>
        </w:rPr>
        <w:t xml:space="preserve">a </w:t>
      </w:r>
      <w:r w:rsidR="003161BE" w:rsidRPr="00BA09B6">
        <w:rPr>
          <w:rFonts w:ascii="Verdana" w:hAnsi="Verdana"/>
          <w:sz w:val="20"/>
          <w:szCs w:val="20"/>
          <w:lang w:val="es-CR"/>
        </w:rPr>
        <w:t>la madre del señor Valenzuela.</w:t>
      </w:r>
      <w:r w:rsidR="003161BE" w:rsidRPr="00576801">
        <w:rPr>
          <w:rFonts w:ascii="Verdana" w:hAnsi="Verdana"/>
          <w:sz w:val="20"/>
          <w:szCs w:val="20"/>
          <w:lang w:val="es-CR"/>
        </w:rPr>
        <w:t xml:space="preserve"> </w:t>
      </w:r>
    </w:p>
    <w:p w14:paraId="4375A299" w14:textId="77777777" w:rsidR="009D2931" w:rsidRPr="00703BB4" w:rsidRDefault="009D2931" w:rsidP="009D2931">
      <w:pPr>
        <w:pStyle w:val="Prrafodelista"/>
        <w:autoSpaceDE w:val="0"/>
        <w:autoSpaceDN w:val="0"/>
        <w:adjustRightInd w:val="0"/>
        <w:spacing w:after="0" w:line="240" w:lineRule="auto"/>
        <w:ind w:left="0"/>
        <w:jc w:val="both"/>
        <w:rPr>
          <w:rFonts w:ascii="Verdana" w:hAnsi="Verdana"/>
          <w:sz w:val="20"/>
          <w:szCs w:val="20"/>
          <w:lang w:val="es-CR"/>
        </w:rPr>
      </w:pPr>
    </w:p>
    <w:p w14:paraId="12EB991B" w14:textId="2A3EF521" w:rsidR="006313F5" w:rsidRPr="003161BE" w:rsidRDefault="000E6FC3" w:rsidP="005406CA">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6313F5">
        <w:rPr>
          <w:rFonts w:ascii="Verdana" w:hAnsi="Verdana"/>
          <w:sz w:val="20"/>
          <w:szCs w:val="20"/>
          <w:lang w:val="es-CR"/>
        </w:rPr>
        <w:t xml:space="preserve">La </w:t>
      </w:r>
      <w:r w:rsidRPr="006313F5">
        <w:rPr>
          <w:rFonts w:ascii="Verdana" w:hAnsi="Verdana"/>
          <w:b/>
          <w:i/>
          <w:sz w:val="20"/>
          <w:szCs w:val="20"/>
          <w:lang w:val="es-CR"/>
        </w:rPr>
        <w:t>Comisión</w:t>
      </w:r>
      <w:r w:rsidRPr="006313F5">
        <w:rPr>
          <w:rFonts w:ascii="Verdana" w:hAnsi="Verdana"/>
          <w:sz w:val="20"/>
          <w:szCs w:val="20"/>
          <w:lang w:val="es-CR"/>
        </w:rPr>
        <w:t xml:space="preserve"> por su parte señaló como presunta víctima al señor Valenzuela Ávila y mencionó a sus familiares en el Informe de Fondo sin identificarlos individualmente. En su escrito de observaciones a las excepciones preliminares interpuestas por el Estado, la Comisión resaltó que “no conoció los nombres de los familiares de la [presunta] víctima” y que “</w:t>
      </w:r>
      <w:proofErr w:type="spellStart"/>
      <w:r w:rsidRPr="006313F5">
        <w:rPr>
          <w:rFonts w:ascii="Verdana" w:hAnsi="Verdana"/>
          <w:sz w:val="20"/>
          <w:szCs w:val="20"/>
          <w:lang w:val="es-CR"/>
        </w:rPr>
        <w:t>concurri</w:t>
      </w:r>
      <w:proofErr w:type="spellEnd"/>
      <w:r w:rsidRPr="006313F5">
        <w:rPr>
          <w:rFonts w:ascii="Verdana" w:hAnsi="Verdana"/>
          <w:sz w:val="20"/>
          <w:szCs w:val="20"/>
          <w:lang w:val="es-CR"/>
        </w:rPr>
        <w:t>[</w:t>
      </w:r>
      <w:proofErr w:type="spellStart"/>
      <w:r w:rsidRPr="006313F5">
        <w:rPr>
          <w:rFonts w:ascii="Verdana" w:hAnsi="Verdana"/>
          <w:sz w:val="20"/>
          <w:szCs w:val="20"/>
          <w:lang w:val="es-CR"/>
        </w:rPr>
        <w:t>eron</w:t>
      </w:r>
      <w:proofErr w:type="spellEnd"/>
      <w:r w:rsidRPr="006313F5">
        <w:rPr>
          <w:rFonts w:ascii="Verdana" w:hAnsi="Verdana"/>
          <w:sz w:val="20"/>
          <w:szCs w:val="20"/>
          <w:lang w:val="es-CR"/>
        </w:rPr>
        <w:t>] circunstancias complejas que dificultaron incluir los nombres de los familiares de Tirso Román Valenzuela Ávila”, en razón de lo cual argumentó</w:t>
      </w:r>
      <w:r w:rsidRPr="006313F5">
        <w:rPr>
          <w:rFonts w:ascii="Verdana" w:eastAsia="Times New Roman" w:hAnsi="Verdana" w:cs="Times New Roman"/>
          <w:b/>
          <w:sz w:val="20"/>
          <w:szCs w:val="20"/>
          <w:lang w:val="es-CR" w:eastAsia="es-CR"/>
        </w:rPr>
        <w:t xml:space="preserve"> </w:t>
      </w:r>
      <w:r w:rsidRPr="006313F5">
        <w:rPr>
          <w:rFonts w:ascii="Verdana" w:hAnsi="Verdana"/>
          <w:sz w:val="20"/>
          <w:szCs w:val="20"/>
          <w:lang w:val="es-CR"/>
        </w:rPr>
        <w:t xml:space="preserve">que se podría aplicar la excepción contenida en el artículo 35.2 del Reglamento, sin perjuicio “de las reparaciones que les correspondan a los familiares de Valenzuela Ávila en calidad de herederos legítimos”. </w:t>
      </w:r>
      <w:r w:rsidR="003161BE" w:rsidRPr="00935FA3">
        <w:rPr>
          <w:rFonts w:ascii="Verdana" w:hAnsi="Verdana"/>
          <w:sz w:val="20"/>
          <w:szCs w:val="20"/>
          <w:lang w:val="es-CR"/>
        </w:rPr>
        <w:t xml:space="preserve">La </w:t>
      </w:r>
      <w:r w:rsidR="003161BE" w:rsidRPr="009D2931">
        <w:rPr>
          <w:rFonts w:ascii="Verdana" w:hAnsi="Verdana"/>
          <w:i/>
          <w:sz w:val="20"/>
          <w:szCs w:val="20"/>
          <w:lang w:val="es-CR"/>
        </w:rPr>
        <w:t>Comisión</w:t>
      </w:r>
      <w:r w:rsidR="003161BE" w:rsidRPr="00935FA3">
        <w:rPr>
          <w:rFonts w:ascii="Verdana" w:hAnsi="Verdana"/>
          <w:b/>
          <w:i/>
          <w:sz w:val="20"/>
          <w:szCs w:val="20"/>
          <w:lang w:val="es-CR"/>
        </w:rPr>
        <w:t xml:space="preserve"> </w:t>
      </w:r>
      <w:r w:rsidR="003161BE" w:rsidRPr="00935FA3">
        <w:rPr>
          <w:rFonts w:ascii="Verdana" w:hAnsi="Verdana"/>
          <w:sz w:val="20"/>
          <w:szCs w:val="20"/>
          <w:lang w:val="es-CR"/>
        </w:rPr>
        <w:t xml:space="preserve">no se refirió </w:t>
      </w:r>
      <w:r w:rsidR="003B4CE2">
        <w:rPr>
          <w:rFonts w:ascii="Verdana" w:hAnsi="Verdana"/>
          <w:sz w:val="20"/>
          <w:szCs w:val="20"/>
          <w:lang w:val="es-CR"/>
        </w:rPr>
        <w:t>a las</w:t>
      </w:r>
      <w:r w:rsidR="007618D7">
        <w:rPr>
          <w:rFonts w:ascii="Verdana" w:hAnsi="Verdana"/>
          <w:sz w:val="20"/>
          <w:szCs w:val="20"/>
          <w:lang w:val="es-CR"/>
        </w:rPr>
        <w:t xml:space="preserve"> alegaciones del Estado sobre los leg</w:t>
      </w:r>
      <w:r w:rsidR="009D2931">
        <w:rPr>
          <w:rFonts w:ascii="Verdana" w:hAnsi="Verdana"/>
          <w:sz w:val="20"/>
          <w:szCs w:val="20"/>
          <w:lang w:val="es-CR"/>
        </w:rPr>
        <w:t>ítimos herederos</w:t>
      </w:r>
      <w:r w:rsidR="007618D7">
        <w:rPr>
          <w:rFonts w:ascii="Verdana" w:hAnsi="Verdana"/>
          <w:sz w:val="20"/>
          <w:szCs w:val="20"/>
          <w:lang w:val="es-CR"/>
        </w:rPr>
        <w:t xml:space="preserve"> en las </w:t>
      </w:r>
      <w:r w:rsidR="003161BE">
        <w:rPr>
          <w:rFonts w:ascii="Verdana" w:hAnsi="Verdana"/>
          <w:sz w:val="20"/>
          <w:szCs w:val="20"/>
          <w:lang w:val="es-CR"/>
        </w:rPr>
        <w:t xml:space="preserve">sucesiones intestadas </w:t>
      </w:r>
      <w:r w:rsidR="00DC6AF7">
        <w:rPr>
          <w:rFonts w:ascii="Verdana" w:hAnsi="Verdana"/>
          <w:sz w:val="20"/>
          <w:szCs w:val="20"/>
          <w:lang w:val="es-CR"/>
        </w:rPr>
        <w:t>y so</w:t>
      </w:r>
      <w:r w:rsidR="003161BE" w:rsidRPr="00935FA3">
        <w:rPr>
          <w:rFonts w:ascii="Verdana" w:hAnsi="Verdana"/>
          <w:sz w:val="20"/>
          <w:szCs w:val="20"/>
          <w:lang w:val="es-CR"/>
        </w:rPr>
        <w:t xml:space="preserve">lo </w:t>
      </w:r>
      <w:r w:rsidR="009D2931">
        <w:rPr>
          <w:rFonts w:ascii="Verdana" w:hAnsi="Verdana"/>
          <w:sz w:val="20"/>
          <w:szCs w:val="20"/>
          <w:lang w:val="es-CR"/>
        </w:rPr>
        <w:t xml:space="preserve">señaló </w:t>
      </w:r>
      <w:r w:rsidR="003161BE" w:rsidRPr="00935FA3">
        <w:rPr>
          <w:rFonts w:ascii="Verdana" w:hAnsi="Verdana"/>
          <w:sz w:val="20"/>
          <w:szCs w:val="20"/>
          <w:lang w:val="es-CR"/>
        </w:rPr>
        <w:t>que esta no puede ser considerada una excepción preliminar</w:t>
      </w:r>
      <w:r w:rsidR="009D2931">
        <w:rPr>
          <w:rFonts w:ascii="Verdana" w:hAnsi="Verdana"/>
          <w:sz w:val="20"/>
          <w:szCs w:val="20"/>
          <w:lang w:val="es-CR"/>
        </w:rPr>
        <w:t>.</w:t>
      </w:r>
    </w:p>
    <w:p w14:paraId="735D6C42" w14:textId="77777777" w:rsidR="006313F5" w:rsidRDefault="006313F5" w:rsidP="006313F5">
      <w:pPr>
        <w:pStyle w:val="Prrafodelista"/>
        <w:autoSpaceDE w:val="0"/>
        <w:autoSpaceDN w:val="0"/>
        <w:adjustRightInd w:val="0"/>
        <w:spacing w:after="0" w:line="240" w:lineRule="auto"/>
        <w:ind w:left="0"/>
        <w:jc w:val="both"/>
        <w:rPr>
          <w:rFonts w:ascii="Verdana" w:hAnsi="Verdana"/>
          <w:sz w:val="20"/>
          <w:szCs w:val="20"/>
          <w:lang w:val="es-CR"/>
        </w:rPr>
      </w:pPr>
    </w:p>
    <w:p w14:paraId="620F1CCE" w14:textId="1140A0A0" w:rsidR="007618D7" w:rsidRPr="002A1142" w:rsidRDefault="000E6FC3" w:rsidP="005406CA">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6313F5">
        <w:rPr>
          <w:rFonts w:ascii="Verdana" w:hAnsi="Verdana"/>
          <w:sz w:val="20"/>
          <w:szCs w:val="20"/>
          <w:lang w:val="es-CR"/>
        </w:rPr>
        <w:t xml:space="preserve">Los </w:t>
      </w:r>
      <w:r w:rsidRPr="006313F5">
        <w:rPr>
          <w:rFonts w:ascii="Verdana" w:hAnsi="Verdana"/>
          <w:b/>
          <w:i/>
          <w:sz w:val="20"/>
          <w:szCs w:val="20"/>
          <w:lang w:val="es-CR"/>
        </w:rPr>
        <w:t>representantes</w:t>
      </w:r>
      <w:r w:rsidRPr="006313F5">
        <w:rPr>
          <w:rFonts w:ascii="Verdana" w:hAnsi="Verdana"/>
          <w:b/>
          <w:sz w:val="20"/>
          <w:szCs w:val="20"/>
          <w:lang w:val="es-CR"/>
        </w:rPr>
        <w:t xml:space="preserve"> </w:t>
      </w:r>
      <w:r w:rsidRPr="006313F5">
        <w:rPr>
          <w:rFonts w:ascii="Verdana" w:hAnsi="Verdana"/>
          <w:sz w:val="20"/>
          <w:szCs w:val="20"/>
          <w:lang w:val="es-CR"/>
        </w:rPr>
        <w:t>señalaron que la Comisión en su Informe de Fondo sostuvo que las presuntas víctimas en el presente caso son Tirso Román Valenzuela Ávila y sus familiares. Agregaron que los familiar</w:t>
      </w:r>
      <w:r w:rsidR="003B4CE2">
        <w:rPr>
          <w:rFonts w:ascii="Verdana" w:hAnsi="Verdana"/>
          <w:sz w:val="20"/>
          <w:szCs w:val="20"/>
          <w:lang w:val="es-CR"/>
        </w:rPr>
        <w:t>es del señor Valenzuela que debían</w:t>
      </w:r>
      <w:r w:rsidRPr="006313F5">
        <w:rPr>
          <w:rFonts w:ascii="Verdana" w:hAnsi="Verdana"/>
          <w:sz w:val="20"/>
          <w:szCs w:val="20"/>
          <w:lang w:val="es-CR"/>
        </w:rPr>
        <w:t xml:space="preserve"> ser considerados como presuntas víctimas</w:t>
      </w:r>
      <w:r w:rsidR="00065EC9">
        <w:rPr>
          <w:rFonts w:ascii="Verdana" w:hAnsi="Verdana"/>
          <w:sz w:val="20"/>
          <w:szCs w:val="20"/>
          <w:lang w:val="es-CR"/>
        </w:rPr>
        <w:t xml:space="preserve"> </w:t>
      </w:r>
      <w:r w:rsidRPr="00BA09B6">
        <w:rPr>
          <w:rFonts w:ascii="Verdana" w:hAnsi="Verdana"/>
          <w:sz w:val="20"/>
          <w:szCs w:val="20"/>
          <w:lang w:val="es-CR"/>
        </w:rPr>
        <w:t>son los siguientes: Florinda López de López (madre)</w:t>
      </w:r>
      <w:r w:rsidRPr="00BA09B6">
        <w:rPr>
          <w:rStyle w:val="Refdenotaalpie"/>
          <w:rFonts w:ascii="Verdana" w:hAnsi="Verdana"/>
          <w:sz w:val="20"/>
          <w:szCs w:val="20"/>
          <w:lang w:val="es-CR"/>
        </w:rPr>
        <w:footnoteReference w:id="19"/>
      </w:r>
      <w:r w:rsidRPr="00BA09B6">
        <w:rPr>
          <w:rFonts w:ascii="Verdana" w:hAnsi="Verdana"/>
          <w:sz w:val="20"/>
          <w:szCs w:val="20"/>
          <w:lang w:val="es-CR"/>
        </w:rPr>
        <w:t xml:space="preserve">, </w:t>
      </w:r>
      <w:proofErr w:type="spellStart"/>
      <w:r w:rsidRPr="00BA09B6">
        <w:rPr>
          <w:rFonts w:ascii="Verdana" w:hAnsi="Verdana"/>
          <w:sz w:val="20"/>
          <w:szCs w:val="20"/>
          <w:lang w:val="es-CR"/>
        </w:rPr>
        <w:t>Ludim</w:t>
      </w:r>
      <w:proofErr w:type="spellEnd"/>
      <w:r w:rsidRPr="00BA09B6">
        <w:rPr>
          <w:rFonts w:ascii="Verdana" w:hAnsi="Verdana"/>
          <w:sz w:val="20"/>
          <w:szCs w:val="20"/>
          <w:lang w:val="es-CR"/>
        </w:rPr>
        <w:t xml:space="preserve"> Azucena Ruiz López (esposa), Luis Fernando Valenzuela Ruiz (hijo), Jorge Luis Valenzuela Ruiz (hijo) y Tirs</w:t>
      </w:r>
      <w:r w:rsidR="009D2931" w:rsidRPr="00BA09B6">
        <w:rPr>
          <w:rFonts w:ascii="Verdana" w:hAnsi="Verdana"/>
          <w:sz w:val="20"/>
          <w:szCs w:val="20"/>
          <w:lang w:val="es-CR"/>
        </w:rPr>
        <w:t>o Román Valenzuela Ruiz (h</w:t>
      </w:r>
      <w:r w:rsidR="009D2931" w:rsidRPr="0060326C">
        <w:rPr>
          <w:rFonts w:ascii="Verdana" w:hAnsi="Verdana"/>
          <w:sz w:val="20"/>
          <w:szCs w:val="20"/>
          <w:lang w:val="es-CR"/>
        </w:rPr>
        <w:t>ijo)</w:t>
      </w:r>
      <w:r w:rsidR="00F34F96" w:rsidRPr="0060326C">
        <w:rPr>
          <w:rFonts w:ascii="Verdana" w:hAnsi="Verdana"/>
          <w:sz w:val="20"/>
          <w:szCs w:val="20"/>
          <w:lang w:val="es-CR"/>
        </w:rPr>
        <w:t xml:space="preserve">, </w:t>
      </w:r>
      <w:r w:rsidR="00F34F96" w:rsidRPr="009D1A7D">
        <w:rPr>
          <w:rFonts w:ascii="Verdana" w:hAnsi="Verdana"/>
          <w:sz w:val="20"/>
          <w:szCs w:val="20"/>
          <w:lang w:val="es-CR"/>
        </w:rPr>
        <w:t xml:space="preserve">y a </w:t>
      </w:r>
      <w:r w:rsidR="00E130E0" w:rsidRPr="009D1A7D">
        <w:rPr>
          <w:rFonts w:ascii="Verdana" w:hAnsi="Verdana"/>
          <w:sz w:val="20"/>
          <w:szCs w:val="20"/>
          <w:lang w:val="es-CR"/>
        </w:rPr>
        <w:t>Rosa María Mendoza</w:t>
      </w:r>
      <w:r w:rsidR="00123F37" w:rsidRPr="009D1A7D">
        <w:rPr>
          <w:rFonts w:ascii="Verdana" w:hAnsi="Verdana"/>
          <w:sz w:val="20"/>
          <w:szCs w:val="20"/>
          <w:lang w:val="es-CR"/>
        </w:rPr>
        <w:t xml:space="preserve"> López</w:t>
      </w:r>
      <w:r w:rsidR="00E130E0" w:rsidRPr="009D1A7D">
        <w:rPr>
          <w:rFonts w:ascii="Verdana" w:hAnsi="Verdana"/>
          <w:sz w:val="20"/>
          <w:szCs w:val="20"/>
          <w:lang w:val="es-CR"/>
        </w:rPr>
        <w:t>,</w:t>
      </w:r>
      <w:r w:rsidR="00E077A2" w:rsidRPr="009D1A7D">
        <w:rPr>
          <w:rFonts w:ascii="Verdana" w:hAnsi="Verdana"/>
          <w:sz w:val="20"/>
          <w:szCs w:val="20"/>
          <w:lang w:val="es-CR"/>
        </w:rPr>
        <w:t xml:space="preserve"> </w:t>
      </w:r>
      <w:r w:rsidR="00F34F96" w:rsidRPr="009D1A7D">
        <w:rPr>
          <w:rFonts w:ascii="Verdana" w:hAnsi="Verdana"/>
          <w:sz w:val="20"/>
          <w:szCs w:val="20"/>
          <w:lang w:val="es-CR"/>
        </w:rPr>
        <w:t>conviviente del señor Valenzuela</w:t>
      </w:r>
      <w:r w:rsidR="00E130E0" w:rsidRPr="009D1A7D">
        <w:rPr>
          <w:rFonts w:ascii="Verdana" w:hAnsi="Verdana"/>
          <w:sz w:val="20"/>
          <w:szCs w:val="20"/>
          <w:lang w:val="es-CR"/>
        </w:rPr>
        <w:t xml:space="preserve"> como beneficiaria</w:t>
      </w:r>
      <w:r w:rsidR="000854E8" w:rsidRPr="009D1A7D">
        <w:rPr>
          <w:rFonts w:ascii="Verdana" w:hAnsi="Verdana"/>
          <w:sz w:val="20"/>
          <w:szCs w:val="20"/>
          <w:lang w:val="es-CR"/>
        </w:rPr>
        <w:t>.</w:t>
      </w:r>
      <w:r w:rsidR="00070453" w:rsidRPr="009D1A7D">
        <w:rPr>
          <w:rFonts w:ascii="Verdana" w:hAnsi="Verdana"/>
          <w:sz w:val="20"/>
          <w:szCs w:val="20"/>
          <w:lang w:val="es-CR"/>
        </w:rPr>
        <w:t xml:space="preserve"> </w:t>
      </w:r>
      <w:r w:rsidR="009D2931" w:rsidRPr="009D1A7D">
        <w:rPr>
          <w:rFonts w:ascii="Verdana" w:hAnsi="Verdana"/>
          <w:sz w:val="20"/>
          <w:szCs w:val="20"/>
          <w:lang w:val="es-CR"/>
        </w:rPr>
        <w:t xml:space="preserve">Agregaron que </w:t>
      </w:r>
      <w:r w:rsidRPr="009D1A7D">
        <w:rPr>
          <w:rFonts w:ascii="Verdana" w:hAnsi="Verdana"/>
          <w:sz w:val="20"/>
          <w:szCs w:val="20"/>
          <w:lang w:val="es-CR"/>
        </w:rPr>
        <w:t>la Corte en su jurisprudencia ha evaluado aplicar el artículo 35.2 del Regl</w:t>
      </w:r>
      <w:r w:rsidRPr="006313F5">
        <w:rPr>
          <w:rFonts w:ascii="Verdana" w:hAnsi="Verdana"/>
          <w:sz w:val="20"/>
          <w:szCs w:val="20"/>
          <w:lang w:val="es-CR"/>
        </w:rPr>
        <w:t>amento</w:t>
      </w:r>
      <w:r w:rsidR="0094355D">
        <w:rPr>
          <w:rFonts w:ascii="Verdana" w:hAnsi="Verdana"/>
          <w:sz w:val="20"/>
          <w:szCs w:val="20"/>
          <w:lang w:val="es-CR"/>
        </w:rPr>
        <w:t xml:space="preserve"> con</w:t>
      </w:r>
      <w:r w:rsidRPr="006313F5">
        <w:rPr>
          <w:rFonts w:ascii="Verdana" w:hAnsi="Verdana"/>
          <w:sz w:val="20"/>
          <w:szCs w:val="20"/>
          <w:lang w:val="es-CR"/>
        </w:rPr>
        <w:t xml:space="preserve"> base </w:t>
      </w:r>
      <w:r w:rsidR="0094355D">
        <w:rPr>
          <w:rFonts w:ascii="Verdana" w:hAnsi="Verdana"/>
          <w:sz w:val="20"/>
          <w:szCs w:val="20"/>
          <w:lang w:val="es-CR"/>
        </w:rPr>
        <w:t>en</w:t>
      </w:r>
      <w:r w:rsidRPr="006313F5">
        <w:rPr>
          <w:rFonts w:ascii="Verdana" w:hAnsi="Verdana"/>
          <w:sz w:val="20"/>
          <w:szCs w:val="20"/>
          <w:lang w:val="es-CR"/>
        </w:rPr>
        <w:t xml:space="preserve"> las características particulares de cada caso, siendo flexible en la identificación de presuntas víctimas aun cuando hayan sido alegadas en la demanda de la Comisión como “los sobrevivientes” de una masacre y “sus familiares” o cuando en escritos posteriores los representantes hayan presentado información adicional para su identificación. En sus alegatos </w:t>
      </w:r>
      <w:r w:rsidRPr="00BA09B6">
        <w:rPr>
          <w:rFonts w:ascii="Verdana" w:hAnsi="Verdana"/>
          <w:sz w:val="20"/>
          <w:szCs w:val="20"/>
          <w:lang w:val="es-CR"/>
        </w:rPr>
        <w:t>finales mencionaron</w:t>
      </w:r>
      <w:r w:rsidR="0010005F">
        <w:rPr>
          <w:rFonts w:ascii="Verdana" w:hAnsi="Verdana"/>
          <w:sz w:val="20"/>
          <w:szCs w:val="20"/>
          <w:lang w:val="es-CR"/>
        </w:rPr>
        <w:t xml:space="preserve"> </w:t>
      </w:r>
      <w:r w:rsidR="003B4CE2">
        <w:rPr>
          <w:rFonts w:ascii="Verdana" w:hAnsi="Verdana"/>
          <w:sz w:val="20"/>
          <w:szCs w:val="20"/>
          <w:lang w:val="es-CR"/>
        </w:rPr>
        <w:t>que se debían</w:t>
      </w:r>
      <w:r w:rsidRPr="00BA09B6">
        <w:rPr>
          <w:rFonts w:ascii="Verdana" w:hAnsi="Verdana"/>
          <w:sz w:val="20"/>
          <w:szCs w:val="20"/>
          <w:lang w:val="es-CR"/>
        </w:rPr>
        <w:t xml:space="preserve"> reconocer como víctimas directas y benefic</w:t>
      </w:r>
      <w:r w:rsidR="009D1A7D">
        <w:rPr>
          <w:rFonts w:ascii="Verdana" w:hAnsi="Verdana"/>
          <w:sz w:val="20"/>
          <w:szCs w:val="20"/>
          <w:lang w:val="es-CR"/>
        </w:rPr>
        <w:t>iarios a las personas nombradas</w:t>
      </w:r>
      <w:r w:rsidRPr="00BA09B6">
        <w:rPr>
          <w:rFonts w:ascii="Verdana" w:hAnsi="Verdana"/>
          <w:sz w:val="20"/>
          <w:szCs w:val="20"/>
          <w:lang w:val="es-CR"/>
        </w:rPr>
        <w:t xml:space="preserve"> y</w:t>
      </w:r>
      <w:r w:rsidR="00F34F96">
        <w:rPr>
          <w:rFonts w:ascii="Verdana" w:hAnsi="Verdana"/>
          <w:sz w:val="20"/>
          <w:szCs w:val="20"/>
          <w:lang w:val="es-CR"/>
        </w:rPr>
        <w:t>,</w:t>
      </w:r>
      <w:r w:rsidRPr="006313F5">
        <w:rPr>
          <w:rFonts w:ascii="Verdana" w:hAnsi="Verdana"/>
          <w:sz w:val="20"/>
          <w:szCs w:val="20"/>
          <w:lang w:val="es-CR"/>
        </w:rPr>
        <w:t xml:space="preserve"> </w:t>
      </w:r>
      <w:r w:rsidR="00F34F96" w:rsidRPr="009D1A7D">
        <w:rPr>
          <w:rFonts w:ascii="Verdana" w:hAnsi="Verdana"/>
          <w:sz w:val="20"/>
          <w:szCs w:val="20"/>
          <w:lang w:val="es-CR"/>
        </w:rPr>
        <w:t xml:space="preserve">por primera vez, </w:t>
      </w:r>
      <w:r w:rsidR="009D348B" w:rsidRPr="009D1A7D">
        <w:rPr>
          <w:rFonts w:ascii="Verdana" w:hAnsi="Verdana"/>
          <w:sz w:val="20"/>
          <w:szCs w:val="20"/>
          <w:lang w:val="es-CR"/>
        </w:rPr>
        <w:t xml:space="preserve">a </w:t>
      </w:r>
      <w:r w:rsidRPr="009D1A7D">
        <w:rPr>
          <w:rFonts w:ascii="Verdana" w:hAnsi="Verdana"/>
          <w:sz w:val="20"/>
          <w:szCs w:val="20"/>
          <w:lang w:val="es-CR"/>
        </w:rPr>
        <w:t xml:space="preserve">los hijos procreados por </w:t>
      </w:r>
      <w:r w:rsidR="00E130E0" w:rsidRPr="009D1A7D">
        <w:rPr>
          <w:rFonts w:ascii="Verdana" w:hAnsi="Verdana"/>
          <w:sz w:val="20"/>
          <w:szCs w:val="20"/>
          <w:lang w:val="es-CR"/>
        </w:rPr>
        <w:t>el señor Valenzuela y la señora Mendoza</w:t>
      </w:r>
      <w:r w:rsidRPr="009D1A7D">
        <w:rPr>
          <w:rFonts w:ascii="Verdana" w:hAnsi="Verdana"/>
          <w:sz w:val="20"/>
          <w:szCs w:val="20"/>
          <w:lang w:val="es-CR"/>
        </w:rPr>
        <w:t>, cuyos nombres se mantienen en reserva por razones de seguridad</w:t>
      </w:r>
      <w:r w:rsidRPr="003D64E6">
        <w:rPr>
          <w:rFonts w:ascii="Verdana" w:hAnsi="Verdana"/>
          <w:sz w:val="20"/>
          <w:szCs w:val="20"/>
          <w:lang w:val="es-CR"/>
        </w:rPr>
        <w:t xml:space="preserve">. </w:t>
      </w:r>
      <w:r w:rsidR="00065EC9" w:rsidRPr="003D64E6">
        <w:rPr>
          <w:rFonts w:ascii="Verdana" w:hAnsi="Verdana"/>
          <w:sz w:val="20"/>
          <w:szCs w:val="20"/>
          <w:lang w:val="es-CR"/>
        </w:rPr>
        <w:t>Además, los representa</w:t>
      </w:r>
      <w:r w:rsidR="003B4CE2">
        <w:rPr>
          <w:rFonts w:ascii="Verdana" w:hAnsi="Verdana"/>
          <w:sz w:val="20"/>
          <w:szCs w:val="20"/>
          <w:lang w:val="es-CR"/>
        </w:rPr>
        <w:t>ntes solicitaron que se mantuvieran</w:t>
      </w:r>
      <w:r w:rsidR="00065EC9" w:rsidRPr="003D64E6">
        <w:rPr>
          <w:rFonts w:ascii="Verdana" w:hAnsi="Verdana"/>
          <w:sz w:val="20"/>
          <w:szCs w:val="20"/>
          <w:lang w:val="es-CR"/>
        </w:rPr>
        <w:t xml:space="preserve"> en confidencialidad los datos de contacto proporcionados por los familiares del señor Valenzuela, así como que la señora Mendoza López, en su afidávit rendido ante la Corte, manifestó que en virtud de su relación con el señor Valenzuela procrearon un hijo y una hija, </w:t>
      </w:r>
      <w:r w:rsidR="00D1571B" w:rsidRPr="003D64E6">
        <w:rPr>
          <w:rFonts w:ascii="Verdana" w:hAnsi="Verdana"/>
          <w:sz w:val="20"/>
          <w:szCs w:val="20"/>
          <w:lang w:val="es-CR"/>
        </w:rPr>
        <w:t xml:space="preserve">y </w:t>
      </w:r>
      <w:r w:rsidR="00065EC9" w:rsidRPr="003D64E6">
        <w:rPr>
          <w:rFonts w:ascii="Verdana" w:hAnsi="Verdana"/>
          <w:sz w:val="20"/>
          <w:szCs w:val="20"/>
          <w:lang w:val="es-CR"/>
        </w:rPr>
        <w:t>solicitó que se mantuvieran bajo reserva</w:t>
      </w:r>
      <w:r w:rsidR="00D1571B" w:rsidRPr="003D64E6">
        <w:rPr>
          <w:rFonts w:ascii="Verdana" w:hAnsi="Verdana"/>
          <w:sz w:val="20"/>
          <w:szCs w:val="20"/>
          <w:lang w:val="es-CR"/>
        </w:rPr>
        <w:t xml:space="preserve"> sus nombres</w:t>
      </w:r>
      <w:r w:rsidR="00065EC9" w:rsidRPr="003D64E6">
        <w:rPr>
          <w:rStyle w:val="Refdenotaalpie"/>
          <w:rFonts w:ascii="Verdana" w:hAnsi="Verdana"/>
          <w:sz w:val="20"/>
          <w:szCs w:val="20"/>
          <w:lang w:val="es-CR"/>
        </w:rPr>
        <w:footnoteReference w:id="20"/>
      </w:r>
      <w:r w:rsidR="00065EC9" w:rsidRPr="003D64E6">
        <w:rPr>
          <w:rFonts w:ascii="Verdana" w:hAnsi="Verdana"/>
          <w:sz w:val="20"/>
          <w:szCs w:val="20"/>
          <w:lang w:val="es-CR"/>
        </w:rPr>
        <w:t>.</w:t>
      </w:r>
    </w:p>
    <w:p w14:paraId="78D0FC59" w14:textId="77777777" w:rsidR="007618D7" w:rsidRPr="002A1142" w:rsidRDefault="007618D7" w:rsidP="002A1142">
      <w:pPr>
        <w:pStyle w:val="Prrafodelista"/>
        <w:autoSpaceDE w:val="0"/>
        <w:autoSpaceDN w:val="0"/>
        <w:adjustRightInd w:val="0"/>
        <w:spacing w:after="0" w:line="240" w:lineRule="auto"/>
        <w:ind w:left="0"/>
        <w:jc w:val="both"/>
        <w:rPr>
          <w:rFonts w:ascii="Verdana" w:hAnsi="Verdana"/>
          <w:sz w:val="20"/>
          <w:szCs w:val="20"/>
          <w:lang w:val="es-CR"/>
        </w:rPr>
      </w:pPr>
      <w:r>
        <w:rPr>
          <w:rFonts w:ascii="Verdana" w:hAnsi="Verdana"/>
          <w:b/>
          <w:sz w:val="20"/>
          <w:szCs w:val="20"/>
          <w:lang w:val="es-CR"/>
        </w:rPr>
        <w:t xml:space="preserve"> </w:t>
      </w:r>
    </w:p>
    <w:p w14:paraId="046DE9A8" w14:textId="799900D4" w:rsidR="006011F4" w:rsidRPr="002D7487" w:rsidRDefault="007618D7" w:rsidP="005406CA">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2A1142">
        <w:rPr>
          <w:rFonts w:ascii="Verdana" w:hAnsi="Verdana"/>
          <w:sz w:val="20"/>
          <w:szCs w:val="20"/>
          <w:lang w:val="es-CR"/>
        </w:rPr>
        <w:t xml:space="preserve">Por otra parte, </w:t>
      </w:r>
      <w:r w:rsidRPr="007618D7">
        <w:rPr>
          <w:rFonts w:ascii="Verdana" w:hAnsi="Verdana"/>
          <w:sz w:val="20"/>
          <w:szCs w:val="20"/>
          <w:lang w:val="es-CR"/>
        </w:rPr>
        <w:t xml:space="preserve">los </w:t>
      </w:r>
      <w:r w:rsidRPr="002A1142">
        <w:rPr>
          <w:rFonts w:ascii="Verdana" w:hAnsi="Verdana"/>
          <w:sz w:val="20"/>
          <w:szCs w:val="20"/>
          <w:lang w:val="es-CR"/>
        </w:rPr>
        <w:t>representantes</w:t>
      </w:r>
      <w:r w:rsidRPr="00935FA3">
        <w:rPr>
          <w:rFonts w:ascii="Verdana" w:hAnsi="Verdana"/>
          <w:b/>
          <w:sz w:val="20"/>
          <w:szCs w:val="20"/>
          <w:lang w:val="es-CR"/>
        </w:rPr>
        <w:t xml:space="preserve"> </w:t>
      </w:r>
      <w:r w:rsidRPr="00935FA3">
        <w:rPr>
          <w:rFonts w:ascii="Verdana" w:hAnsi="Verdana"/>
          <w:sz w:val="20"/>
          <w:szCs w:val="20"/>
          <w:lang w:val="es-CR"/>
        </w:rPr>
        <w:t>consideraron que el Estado no puede invocar disposiciones de derecho interno para inobservar las obligaciones de derecho</w:t>
      </w:r>
      <w:r w:rsidR="00B242E8">
        <w:rPr>
          <w:rFonts w:ascii="Verdana" w:hAnsi="Verdana"/>
          <w:sz w:val="20"/>
          <w:szCs w:val="20"/>
          <w:lang w:val="es-CR"/>
        </w:rPr>
        <w:t xml:space="preserve"> internacional. S</w:t>
      </w:r>
      <w:r w:rsidR="00DC6AF7">
        <w:rPr>
          <w:rFonts w:ascii="Verdana" w:hAnsi="Verdana"/>
          <w:sz w:val="20"/>
          <w:szCs w:val="20"/>
          <w:lang w:val="es-CR"/>
        </w:rPr>
        <w:t>eñalaron que sí</w:t>
      </w:r>
      <w:r w:rsidRPr="00935FA3">
        <w:rPr>
          <w:rFonts w:ascii="Verdana" w:hAnsi="Verdana"/>
          <w:sz w:val="20"/>
          <w:szCs w:val="20"/>
          <w:lang w:val="es-CR"/>
        </w:rPr>
        <w:t xml:space="preserve"> se presentó documentación que acredita el parentesco consanguíneo entre Tirso Román Valenzuela Ávila</w:t>
      </w:r>
      <w:r w:rsidR="009E05D3">
        <w:rPr>
          <w:rFonts w:ascii="Verdana" w:hAnsi="Verdana"/>
          <w:sz w:val="20"/>
          <w:szCs w:val="20"/>
          <w:lang w:val="es-CR"/>
        </w:rPr>
        <w:t xml:space="preserve">, su madre, </w:t>
      </w:r>
      <w:r w:rsidRPr="00935FA3">
        <w:rPr>
          <w:rFonts w:ascii="Verdana" w:hAnsi="Verdana"/>
          <w:sz w:val="20"/>
          <w:szCs w:val="20"/>
          <w:lang w:val="es-CR"/>
        </w:rPr>
        <w:t>así como el vínculo matrimonial con</w:t>
      </w:r>
      <w:r w:rsidR="009E05D3">
        <w:rPr>
          <w:rFonts w:ascii="Verdana" w:hAnsi="Verdana"/>
          <w:sz w:val="20"/>
          <w:szCs w:val="20"/>
          <w:lang w:val="es-CR"/>
        </w:rPr>
        <w:t xml:space="preserve"> su esposa</w:t>
      </w:r>
      <w:r w:rsidRPr="00935FA3">
        <w:rPr>
          <w:rFonts w:ascii="Verdana" w:hAnsi="Verdana"/>
          <w:sz w:val="20"/>
          <w:szCs w:val="20"/>
          <w:lang w:val="es-CR"/>
        </w:rPr>
        <w:t xml:space="preserve">. </w:t>
      </w:r>
      <w:r w:rsidR="00E077A2">
        <w:rPr>
          <w:rFonts w:ascii="Verdana" w:hAnsi="Verdana"/>
          <w:sz w:val="20"/>
          <w:szCs w:val="20"/>
          <w:lang w:val="es-CR"/>
        </w:rPr>
        <w:t xml:space="preserve"> </w:t>
      </w:r>
      <w:r w:rsidRPr="00935FA3">
        <w:rPr>
          <w:rFonts w:ascii="Verdana" w:hAnsi="Verdana"/>
          <w:sz w:val="20"/>
          <w:szCs w:val="20"/>
          <w:lang w:val="es-CR"/>
        </w:rPr>
        <w:t>Además, se adjuntó documentación que acredita la relación de hecho que mantuvo la presunta víctima con</w:t>
      </w:r>
      <w:r w:rsidR="009E05D3">
        <w:rPr>
          <w:rFonts w:ascii="Verdana" w:hAnsi="Verdana"/>
          <w:sz w:val="20"/>
          <w:szCs w:val="20"/>
          <w:lang w:val="es-CR"/>
        </w:rPr>
        <w:t xml:space="preserve"> su conviviente.</w:t>
      </w:r>
      <w:r w:rsidRPr="00935FA3">
        <w:rPr>
          <w:rFonts w:ascii="Verdana" w:hAnsi="Verdana"/>
          <w:sz w:val="20"/>
          <w:szCs w:val="20"/>
          <w:lang w:val="es-CR"/>
        </w:rPr>
        <w:t xml:space="preserve"> </w:t>
      </w:r>
      <w:r w:rsidR="00B242E8">
        <w:rPr>
          <w:rFonts w:ascii="Verdana" w:hAnsi="Verdana"/>
          <w:sz w:val="20"/>
          <w:szCs w:val="20"/>
          <w:lang w:val="es-CR"/>
        </w:rPr>
        <w:t>Además</w:t>
      </w:r>
      <w:r w:rsidRPr="00935FA3">
        <w:rPr>
          <w:rFonts w:ascii="Verdana" w:hAnsi="Verdana"/>
          <w:sz w:val="20"/>
          <w:szCs w:val="20"/>
          <w:lang w:val="es-CR"/>
        </w:rPr>
        <w:t xml:space="preserve">, argumentaron que el Estado no puede alegar </w:t>
      </w:r>
      <w:r w:rsidRPr="00935FA3">
        <w:rPr>
          <w:rFonts w:ascii="Verdana" w:hAnsi="Verdana"/>
          <w:sz w:val="20"/>
          <w:szCs w:val="20"/>
          <w:lang w:val="es-CR"/>
        </w:rPr>
        <w:lastRenderedPageBreak/>
        <w:t xml:space="preserve">desconocimiento de las presuntas víctimas, puesto que “los hechos relativos a la negativa de entregar el cadáver del señor Valenzuela a su esposa y madre les fue notificada desde marzo de 2007”. </w:t>
      </w:r>
    </w:p>
    <w:p w14:paraId="07A9874F" w14:textId="77777777" w:rsidR="00DC39D1" w:rsidRPr="007618D7" w:rsidRDefault="00DC39D1" w:rsidP="00AC0265">
      <w:pPr>
        <w:pStyle w:val="Prrafodelista"/>
        <w:autoSpaceDE w:val="0"/>
        <w:autoSpaceDN w:val="0"/>
        <w:adjustRightInd w:val="0"/>
        <w:spacing w:after="0" w:line="240" w:lineRule="auto"/>
        <w:ind w:left="0"/>
        <w:jc w:val="both"/>
        <w:rPr>
          <w:rFonts w:ascii="Verdana" w:hAnsi="Verdana"/>
          <w:sz w:val="20"/>
          <w:szCs w:val="20"/>
          <w:lang w:val="es-CR"/>
        </w:rPr>
      </w:pPr>
    </w:p>
    <w:p w14:paraId="0DB89ACC" w14:textId="52B24074" w:rsidR="006011F4" w:rsidRPr="006011F4" w:rsidRDefault="000E6FC3" w:rsidP="00AC0265">
      <w:pPr>
        <w:pStyle w:val="Ttulo3"/>
        <w:spacing w:before="0"/>
        <w:rPr>
          <w:lang w:val="es-CR"/>
        </w:rPr>
      </w:pPr>
      <w:bookmarkStart w:id="17" w:name="_Toc25247733"/>
      <w:r w:rsidRPr="006011F4">
        <w:rPr>
          <w:rFonts w:eastAsia="Calibri"/>
          <w:lang w:val="es-CR" w:eastAsia="es-CR"/>
        </w:rPr>
        <w:t>B.2</w:t>
      </w:r>
      <w:r w:rsidR="00F51963">
        <w:rPr>
          <w:rFonts w:eastAsia="Calibri"/>
          <w:lang w:val="es-CR" w:eastAsia="es-CR"/>
        </w:rPr>
        <w:t>.</w:t>
      </w:r>
      <w:r w:rsidRPr="006011F4">
        <w:rPr>
          <w:rFonts w:eastAsia="Calibri"/>
          <w:lang w:val="es-CR" w:eastAsia="es-CR"/>
        </w:rPr>
        <w:t xml:space="preserve"> Consideraciones de la Corte</w:t>
      </w:r>
      <w:bookmarkEnd w:id="17"/>
    </w:p>
    <w:p w14:paraId="7E174751" w14:textId="77777777" w:rsidR="006011F4" w:rsidRDefault="006011F4" w:rsidP="006011F4">
      <w:pPr>
        <w:pStyle w:val="Prrafodelista"/>
        <w:autoSpaceDE w:val="0"/>
        <w:autoSpaceDN w:val="0"/>
        <w:adjustRightInd w:val="0"/>
        <w:spacing w:after="0" w:line="240" w:lineRule="auto"/>
        <w:ind w:left="0"/>
        <w:jc w:val="both"/>
        <w:rPr>
          <w:rFonts w:ascii="Verdana" w:hAnsi="Verdana"/>
          <w:sz w:val="20"/>
          <w:szCs w:val="20"/>
          <w:lang w:val="es-CR"/>
        </w:rPr>
      </w:pPr>
    </w:p>
    <w:p w14:paraId="5E17EC01" w14:textId="77777777" w:rsidR="00576801" w:rsidRPr="00576801" w:rsidRDefault="000E6FC3" w:rsidP="005406CA">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576801">
        <w:rPr>
          <w:rFonts w:ascii="Verdana" w:eastAsia="Verdana" w:hAnsi="Verdana" w:cs="Verdana"/>
          <w:sz w:val="20"/>
          <w:szCs w:val="20"/>
          <w:lang w:val="es-CR"/>
        </w:rPr>
        <w:t>Con relación a la identificación de las presuntas víctimas, la Corte recuerda que el artículo 35.1 del Reglamento de la Corte dispone que el caso le será sometido mediante la presentación del Informe de Fondo, que deberá contener la identificación de las presuntas víctimas. Corresponde pues a la Comisión identificar con precisión y en la debida oportunidad procesal a las presuntas víctimas en un caso ante la Corte</w:t>
      </w:r>
      <w:r w:rsidRPr="00EC2F24">
        <w:rPr>
          <w:rStyle w:val="Refdenotaalpie"/>
          <w:rFonts w:ascii="Verdana" w:eastAsia="Verdana" w:hAnsi="Verdana" w:cs="Verdana"/>
          <w:sz w:val="20"/>
          <w:szCs w:val="20"/>
        </w:rPr>
        <w:footnoteReference w:id="21"/>
      </w:r>
      <w:r w:rsidRPr="00576801">
        <w:rPr>
          <w:rFonts w:ascii="Verdana" w:eastAsia="Verdana" w:hAnsi="Verdana" w:cs="Verdana"/>
          <w:sz w:val="20"/>
          <w:szCs w:val="20"/>
          <w:lang w:val="es-CR"/>
        </w:rPr>
        <w:t>, salvo en las circunstancias excepcionales contempladas en el artículo 35.2 del Reglamento de la Corte, de conformidad con el cual, cuando se justifique que no fue posible identificarlas, por tratarse de casos de violaciones masivas o colectivas, el Tribunal decidirá en su oportunidad si las considera víctimas de acuerdo con la naturaleza de la violación</w:t>
      </w:r>
      <w:r w:rsidRPr="00EC2F24">
        <w:rPr>
          <w:rStyle w:val="Refdenotaalpie"/>
          <w:rFonts w:ascii="Verdana" w:eastAsia="Verdana" w:hAnsi="Verdana" w:cs="Verdana"/>
          <w:sz w:val="20"/>
          <w:szCs w:val="20"/>
        </w:rPr>
        <w:footnoteReference w:id="22"/>
      </w:r>
      <w:r w:rsidRPr="00576801">
        <w:rPr>
          <w:rFonts w:ascii="Verdana" w:eastAsia="Verdana" w:hAnsi="Verdana" w:cs="Verdana"/>
          <w:sz w:val="20"/>
          <w:szCs w:val="20"/>
          <w:lang w:val="es-CR"/>
        </w:rPr>
        <w:t>.</w:t>
      </w:r>
    </w:p>
    <w:p w14:paraId="56C5CCAF" w14:textId="77777777" w:rsidR="00576801" w:rsidRDefault="00576801" w:rsidP="00576801">
      <w:pPr>
        <w:pStyle w:val="Prrafodelista"/>
        <w:autoSpaceDE w:val="0"/>
        <w:autoSpaceDN w:val="0"/>
        <w:adjustRightInd w:val="0"/>
        <w:spacing w:after="0" w:line="240" w:lineRule="auto"/>
        <w:ind w:left="0"/>
        <w:jc w:val="both"/>
        <w:rPr>
          <w:rFonts w:ascii="Verdana" w:hAnsi="Verdana"/>
          <w:sz w:val="20"/>
          <w:szCs w:val="20"/>
          <w:lang w:val="es-CR"/>
        </w:rPr>
      </w:pPr>
    </w:p>
    <w:p w14:paraId="7D4A4C1B" w14:textId="43AF3A31" w:rsidR="003161BE" w:rsidRPr="003D64E6" w:rsidRDefault="000E6FC3" w:rsidP="005406CA">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3161BE">
        <w:rPr>
          <w:rFonts w:ascii="Verdana" w:hAnsi="Verdana"/>
          <w:sz w:val="20"/>
          <w:szCs w:val="20"/>
          <w:lang w:val="es-CR"/>
        </w:rPr>
        <w:t xml:space="preserve">La Comisión en su escrito de sometimiento señaló que las presuntas víctimas del presente caso son Tirso Román Valenzuela Ávila y sus familiares sin identificar a cada uno de </w:t>
      </w:r>
      <w:r w:rsidRPr="00C21C42">
        <w:rPr>
          <w:rFonts w:ascii="Verdana" w:hAnsi="Verdana"/>
          <w:sz w:val="20"/>
          <w:szCs w:val="20"/>
          <w:lang w:val="es-CR"/>
        </w:rPr>
        <w:t>ellos</w:t>
      </w:r>
      <w:r w:rsidR="00C21C42" w:rsidRPr="00C21C42">
        <w:rPr>
          <w:rFonts w:ascii="Verdana" w:hAnsi="Verdana"/>
          <w:sz w:val="20"/>
          <w:szCs w:val="20"/>
          <w:lang w:val="es-CR"/>
        </w:rPr>
        <w:t xml:space="preserve">. </w:t>
      </w:r>
      <w:r w:rsidRPr="00C21C42">
        <w:rPr>
          <w:rFonts w:ascii="Verdana" w:hAnsi="Verdana"/>
          <w:sz w:val="20"/>
          <w:szCs w:val="20"/>
          <w:lang w:val="es-CR"/>
        </w:rPr>
        <w:t>Por esta razón,</w:t>
      </w:r>
      <w:r w:rsidR="0044602F">
        <w:rPr>
          <w:rFonts w:ascii="Verdana" w:hAnsi="Verdana"/>
          <w:sz w:val="20"/>
          <w:szCs w:val="20"/>
          <w:lang w:val="es-CR"/>
        </w:rPr>
        <w:t xml:space="preserve"> en virtud de lo dispuesto en el artículo</w:t>
      </w:r>
      <w:r w:rsidRPr="003161BE">
        <w:rPr>
          <w:rFonts w:ascii="Verdana" w:hAnsi="Verdana"/>
          <w:sz w:val="20"/>
          <w:szCs w:val="20"/>
          <w:lang w:val="es-CR"/>
        </w:rPr>
        <w:t xml:space="preserve"> 35.1 </w:t>
      </w:r>
      <w:r w:rsidR="0044602F">
        <w:rPr>
          <w:rFonts w:ascii="Verdana" w:hAnsi="Verdana"/>
          <w:sz w:val="20"/>
          <w:szCs w:val="20"/>
          <w:lang w:val="es-CR"/>
        </w:rPr>
        <w:t>del Reglamento de la Corte y de los</w:t>
      </w:r>
      <w:r w:rsidRPr="003161BE">
        <w:rPr>
          <w:rFonts w:ascii="Verdana" w:hAnsi="Verdana"/>
          <w:sz w:val="20"/>
          <w:szCs w:val="20"/>
          <w:lang w:val="es-CR"/>
        </w:rPr>
        <w:t xml:space="preserve"> precedent</w:t>
      </w:r>
      <w:r w:rsidR="0044602F">
        <w:rPr>
          <w:rFonts w:ascii="Verdana" w:hAnsi="Verdana"/>
          <w:sz w:val="20"/>
          <w:szCs w:val="20"/>
          <w:lang w:val="es-CR"/>
        </w:rPr>
        <w:t>es sobre los cuales este Tribunal se ha pronunciado,</w:t>
      </w:r>
      <w:r w:rsidR="002C24D2">
        <w:rPr>
          <w:rFonts w:ascii="Verdana" w:hAnsi="Verdana"/>
          <w:sz w:val="20"/>
          <w:szCs w:val="20"/>
          <w:lang w:val="es-CR"/>
        </w:rPr>
        <w:t xml:space="preserve"> la Corte</w:t>
      </w:r>
      <w:r w:rsidRPr="003161BE">
        <w:rPr>
          <w:rFonts w:ascii="Verdana" w:hAnsi="Verdana"/>
          <w:sz w:val="20"/>
          <w:szCs w:val="20"/>
          <w:lang w:val="es-CR"/>
        </w:rPr>
        <w:t xml:space="preserve"> concluye que el señor Tirso Román </w:t>
      </w:r>
      <w:r w:rsidR="002A64DD" w:rsidRPr="003161BE">
        <w:rPr>
          <w:rFonts w:ascii="Verdana" w:hAnsi="Verdana"/>
          <w:sz w:val="20"/>
          <w:szCs w:val="20"/>
          <w:lang w:val="es-CR"/>
        </w:rPr>
        <w:t>Valenzuela Ávila</w:t>
      </w:r>
      <w:r w:rsidRPr="003161BE">
        <w:rPr>
          <w:rFonts w:ascii="Verdana" w:hAnsi="Verdana"/>
          <w:sz w:val="20"/>
          <w:szCs w:val="20"/>
          <w:lang w:val="es-CR"/>
        </w:rPr>
        <w:t xml:space="preserve"> es la única presunta víctima en el presente caso y no corresponde admitir a los familiares del señor Valenzuela como</w:t>
      </w:r>
      <w:r w:rsidR="003161BE">
        <w:rPr>
          <w:rFonts w:ascii="Verdana" w:hAnsi="Verdana"/>
          <w:sz w:val="20"/>
          <w:szCs w:val="20"/>
          <w:lang w:val="es-CR"/>
        </w:rPr>
        <w:t xml:space="preserve"> presuntas</w:t>
      </w:r>
      <w:r w:rsidRPr="003161BE">
        <w:rPr>
          <w:rFonts w:ascii="Verdana" w:hAnsi="Verdana"/>
          <w:sz w:val="20"/>
          <w:szCs w:val="20"/>
          <w:lang w:val="es-CR"/>
        </w:rPr>
        <w:t xml:space="preserve"> víctimas. </w:t>
      </w:r>
      <w:r w:rsidR="00065EC9" w:rsidRPr="003D64E6">
        <w:rPr>
          <w:rFonts w:ascii="Verdana" w:hAnsi="Verdana"/>
          <w:sz w:val="20"/>
          <w:szCs w:val="20"/>
          <w:lang w:val="es-CR"/>
        </w:rPr>
        <w:t>Por otra parte, en razón de la</w:t>
      </w:r>
      <w:r w:rsidR="00D1571B" w:rsidRPr="003D64E6">
        <w:rPr>
          <w:rFonts w:ascii="Verdana" w:hAnsi="Verdana"/>
          <w:sz w:val="20"/>
          <w:szCs w:val="20"/>
          <w:lang w:val="es-CR"/>
        </w:rPr>
        <w:t>s</w:t>
      </w:r>
      <w:r w:rsidR="00065EC9" w:rsidRPr="003D64E6">
        <w:rPr>
          <w:rFonts w:ascii="Verdana" w:hAnsi="Verdana"/>
          <w:sz w:val="20"/>
          <w:szCs w:val="20"/>
          <w:lang w:val="es-CR"/>
        </w:rPr>
        <w:t xml:space="preserve"> solicitud</w:t>
      </w:r>
      <w:r w:rsidR="00D1571B" w:rsidRPr="003D64E6">
        <w:rPr>
          <w:rFonts w:ascii="Verdana" w:hAnsi="Verdana"/>
          <w:sz w:val="20"/>
          <w:szCs w:val="20"/>
          <w:lang w:val="es-CR"/>
        </w:rPr>
        <w:t>es</w:t>
      </w:r>
      <w:r w:rsidR="00065EC9" w:rsidRPr="003D64E6">
        <w:rPr>
          <w:rFonts w:ascii="Verdana" w:hAnsi="Verdana"/>
          <w:sz w:val="20"/>
          <w:szCs w:val="20"/>
          <w:lang w:val="es-CR"/>
        </w:rPr>
        <w:t xml:space="preserve"> realizada</w:t>
      </w:r>
      <w:r w:rsidR="00D1571B" w:rsidRPr="003D64E6">
        <w:rPr>
          <w:rFonts w:ascii="Verdana" w:hAnsi="Verdana"/>
          <w:sz w:val="20"/>
          <w:szCs w:val="20"/>
          <w:lang w:val="es-CR"/>
        </w:rPr>
        <w:t>s por los representantes y</w:t>
      </w:r>
      <w:r w:rsidR="00065EC9" w:rsidRPr="003D64E6">
        <w:rPr>
          <w:rFonts w:ascii="Verdana" w:hAnsi="Verdana"/>
          <w:sz w:val="20"/>
          <w:szCs w:val="20"/>
          <w:lang w:val="es-CR"/>
        </w:rPr>
        <w:t xml:space="preserve"> por la señora </w:t>
      </w:r>
      <w:r w:rsidR="002C24D2">
        <w:rPr>
          <w:rFonts w:ascii="Verdana" w:hAnsi="Verdana"/>
          <w:sz w:val="20"/>
          <w:szCs w:val="20"/>
          <w:lang w:val="es-CR"/>
        </w:rPr>
        <w:t>Mendoza López, este Tribunal</w:t>
      </w:r>
      <w:r w:rsidR="00D1571B" w:rsidRPr="003D64E6">
        <w:rPr>
          <w:rFonts w:ascii="Verdana" w:hAnsi="Verdana"/>
          <w:sz w:val="20"/>
          <w:szCs w:val="20"/>
          <w:lang w:val="es-CR"/>
        </w:rPr>
        <w:t xml:space="preserve"> requiere a las partes</w:t>
      </w:r>
      <w:r w:rsidR="00595B25" w:rsidRPr="003D64E6">
        <w:rPr>
          <w:rFonts w:ascii="Verdana" w:hAnsi="Verdana"/>
          <w:sz w:val="20"/>
          <w:szCs w:val="20"/>
          <w:lang w:val="es-CR"/>
        </w:rPr>
        <w:t xml:space="preserve"> y a la Comisión</w:t>
      </w:r>
      <w:r w:rsidR="00D1571B" w:rsidRPr="003D64E6">
        <w:rPr>
          <w:rFonts w:ascii="Verdana" w:hAnsi="Verdana"/>
          <w:sz w:val="20"/>
          <w:szCs w:val="20"/>
          <w:lang w:val="es-CR"/>
        </w:rPr>
        <w:t xml:space="preserve"> mantener bajo reserva los datos de contacto de los familiares del señor Valenzuela Ávila, así como el nombre de sus dos hijos procreados con la señora Mendoza López.</w:t>
      </w:r>
    </w:p>
    <w:p w14:paraId="2656B5A6" w14:textId="77777777" w:rsidR="00576801" w:rsidRPr="003161BE" w:rsidRDefault="00576801">
      <w:pPr>
        <w:pStyle w:val="Prrafodelista"/>
        <w:autoSpaceDE w:val="0"/>
        <w:autoSpaceDN w:val="0"/>
        <w:adjustRightInd w:val="0"/>
        <w:spacing w:after="0" w:line="240" w:lineRule="auto"/>
        <w:ind w:left="0"/>
        <w:jc w:val="both"/>
        <w:rPr>
          <w:rFonts w:ascii="Verdana" w:hAnsi="Verdana"/>
          <w:sz w:val="20"/>
          <w:szCs w:val="20"/>
          <w:lang w:val="es-CR"/>
        </w:rPr>
      </w:pPr>
    </w:p>
    <w:p w14:paraId="6783754C" w14:textId="37298846" w:rsidR="00576801" w:rsidRDefault="002171A9" w:rsidP="005406CA">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576801">
        <w:rPr>
          <w:rFonts w:ascii="Verdana" w:hAnsi="Verdana"/>
          <w:sz w:val="20"/>
          <w:szCs w:val="20"/>
          <w:lang w:val="es-CR"/>
        </w:rPr>
        <w:t>Por otro lado, en consideración de lo resuelto, esta Corte no examinará las argumentaciones presentadas por los representantes relativas a las alegadas violaciones de los derechos a la familia y del niño</w:t>
      </w:r>
      <w:r w:rsidR="001767BC">
        <w:rPr>
          <w:rFonts w:ascii="Verdana" w:hAnsi="Verdana"/>
          <w:sz w:val="20"/>
          <w:szCs w:val="20"/>
          <w:lang w:val="es-CR"/>
        </w:rPr>
        <w:t>,</w:t>
      </w:r>
      <w:r w:rsidRPr="00576801">
        <w:rPr>
          <w:rFonts w:ascii="Verdana" w:hAnsi="Verdana"/>
          <w:sz w:val="20"/>
          <w:szCs w:val="20"/>
          <w:lang w:val="es-CR"/>
        </w:rPr>
        <w:t xml:space="preserve"> consagrados en los artículos 17 </w:t>
      </w:r>
      <w:r w:rsidR="009B0CD2" w:rsidRPr="00576801">
        <w:rPr>
          <w:rFonts w:ascii="Verdana" w:hAnsi="Verdana"/>
          <w:sz w:val="20"/>
          <w:szCs w:val="20"/>
          <w:lang w:val="es-CR"/>
        </w:rPr>
        <w:t xml:space="preserve">y 19 de la Convención Americana, en perjuicio de </w:t>
      </w:r>
      <w:r w:rsidR="001767BC">
        <w:rPr>
          <w:rFonts w:ascii="Verdana" w:hAnsi="Verdana"/>
          <w:sz w:val="20"/>
          <w:szCs w:val="20"/>
          <w:lang w:val="es-CR"/>
        </w:rPr>
        <w:t>los</w:t>
      </w:r>
      <w:r w:rsidR="009B0CD2" w:rsidRPr="00576801">
        <w:rPr>
          <w:rFonts w:ascii="Verdana" w:hAnsi="Verdana"/>
          <w:sz w:val="20"/>
          <w:szCs w:val="20"/>
          <w:lang w:val="es-CR"/>
        </w:rPr>
        <w:t xml:space="preserve"> familiares</w:t>
      </w:r>
      <w:r w:rsidR="001767BC">
        <w:rPr>
          <w:rFonts w:ascii="Verdana" w:hAnsi="Verdana"/>
          <w:sz w:val="20"/>
          <w:szCs w:val="20"/>
          <w:lang w:val="es-CR"/>
        </w:rPr>
        <w:t xml:space="preserve"> del señor Valenzuela Ávila. </w:t>
      </w:r>
    </w:p>
    <w:p w14:paraId="3937D634" w14:textId="77777777" w:rsidR="00150979" w:rsidRPr="00385807" w:rsidRDefault="00150979" w:rsidP="002A1142">
      <w:pPr>
        <w:pStyle w:val="Prrafodelista"/>
        <w:autoSpaceDE w:val="0"/>
        <w:autoSpaceDN w:val="0"/>
        <w:adjustRightInd w:val="0"/>
        <w:spacing w:after="0" w:line="240" w:lineRule="auto"/>
        <w:ind w:left="0"/>
        <w:jc w:val="both"/>
        <w:rPr>
          <w:rFonts w:ascii="Verdana" w:hAnsi="Verdana"/>
          <w:sz w:val="20"/>
          <w:szCs w:val="20"/>
          <w:lang w:val="es-CR"/>
        </w:rPr>
      </w:pPr>
    </w:p>
    <w:p w14:paraId="2E214A74" w14:textId="7DC1C092" w:rsidR="000474FD" w:rsidRDefault="00150979" w:rsidP="005406CA">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Pr>
          <w:rFonts w:ascii="Verdana" w:hAnsi="Verdana"/>
          <w:sz w:val="20"/>
          <w:szCs w:val="20"/>
          <w:lang w:val="es-CR"/>
        </w:rPr>
        <w:t xml:space="preserve">En cuanto a </w:t>
      </w:r>
      <w:r w:rsidR="000E6FC3" w:rsidRPr="002D7D96">
        <w:rPr>
          <w:rFonts w:ascii="Verdana" w:eastAsia="Calibri" w:hAnsi="Verdana" w:cs="Times New Roman"/>
          <w:sz w:val="20"/>
          <w:szCs w:val="20"/>
          <w:lang w:val="es-CR" w:eastAsia="es-CR"/>
        </w:rPr>
        <w:t xml:space="preserve">los cuestionamientos del Estado dirigidos a </w:t>
      </w:r>
      <w:r>
        <w:rPr>
          <w:rFonts w:ascii="Verdana" w:eastAsia="Calibri" w:hAnsi="Verdana" w:cs="Times New Roman"/>
          <w:sz w:val="20"/>
          <w:szCs w:val="20"/>
          <w:lang w:val="es-CR" w:eastAsia="es-CR"/>
        </w:rPr>
        <w:t>señalar que</w:t>
      </w:r>
      <w:r w:rsidR="00CA1317">
        <w:rPr>
          <w:rFonts w:ascii="Verdana" w:eastAsia="Calibri" w:hAnsi="Verdana" w:cs="Times New Roman"/>
          <w:sz w:val="20"/>
          <w:szCs w:val="20"/>
          <w:lang w:val="es-CR" w:eastAsia="es-CR"/>
        </w:rPr>
        <w:t>,</w:t>
      </w:r>
      <w:r>
        <w:rPr>
          <w:rFonts w:ascii="Verdana" w:eastAsia="Calibri" w:hAnsi="Verdana" w:cs="Times New Roman"/>
          <w:sz w:val="20"/>
          <w:szCs w:val="20"/>
          <w:lang w:val="es-CR" w:eastAsia="es-CR"/>
        </w:rPr>
        <w:t xml:space="preserve"> </w:t>
      </w:r>
      <w:proofErr w:type="gramStart"/>
      <w:r>
        <w:rPr>
          <w:rFonts w:ascii="Verdana" w:eastAsia="Calibri" w:hAnsi="Verdana" w:cs="Times New Roman"/>
          <w:sz w:val="20"/>
          <w:szCs w:val="20"/>
          <w:lang w:val="es-CR" w:eastAsia="es-CR"/>
        </w:rPr>
        <w:t>en caso que</w:t>
      </w:r>
      <w:proofErr w:type="gramEnd"/>
      <w:r>
        <w:rPr>
          <w:rFonts w:ascii="Verdana" w:eastAsia="Calibri" w:hAnsi="Verdana" w:cs="Times New Roman"/>
          <w:sz w:val="20"/>
          <w:szCs w:val="20"/>
          <w:lang w:val="es-CR" w:eastAsia="es-CR"/>
        </w:rPr>
        <w:t xml:space="preserve"> se ordenara pagar una indemnización de acuerdo a las normas guatemaltecas</w:t>
      </w:r>
      <w:r w:rsidR="00CA1317">
        <w:rPr>
          <w:rFonts w:ascii="Verdana" w:eastAsia="Calibri" w:hAnsi="Verdana" w:cs="Times New Roman"/>
          <w:sz w:val="20"/>
          <w:szCs w:val="20"/>
          <w:lang w:val="es-CR" w:eastAsia="es-CR"/>
        </w:rPr>
        <w:t>,</w:t>
      </w:r>
      <w:r>
        <w:rPr>
          <w:rFonts w:ascii="Verdana" w:eastAsia="Calibri" w:hAnsi="Verdana" w:cs="Times New Roman"/>
          <w:sz w:val="20"/>
          <w:szCs w:val="20"/>
          <w:lang w:val="es-CR" w:eastAsia="es-CR"/>
        </w:rPr>
        <w:t xml:space="preserve"> </w:t>
      </w:r>
      <w:r w:rsidR="00CA1317" w:rsidRPr="002D7D96">
        <w:rPr>
          <w:rFonts w:ascii="Verdana" w:hAnsi="Verdana"/>
          <w:sz w:val="20"/>
          <w:szCs w:val="20"/>
          <w:lang w:val="es-CR"/>
        </w:rPr>
        <w:t>los únicos beneficiar</w:t>
      </w:r>
      <w:r w:rsidR="007829F4">
        <w:rPr>
          <w:rFonts w:ascii="Verdana" w:hAnsi="Verdana"/>
          <w:sz w:val="20"/>
          <w:szCs w:val="20"/>
          <w:lang w:val="es-CR"/>
        </w:rPr>
        <w:t>i</w:t>
      </w:r>
      <w:r w:rsidR="00CA1317" w:rsidRPr="002D7D96">
        <w:rPr>
          <w:rFonts w:ascii="Verdana" w:hAnsi="Verdana"/>
          <w:sz w:val="20"/>
          <w:szCs w:val="20"/>
          <w:lang w:val="es-CR"/>
        </w:rPr>
        <w:t xml:space="preserve">os </w:t>
      </w:r>
      <w:r w:rsidR="00CA1317">
        <w:rPr>
          <w:rFonts w:ascii="Verdana" w:hAnsi="Verdana"/>
          <w:sz w:val="20"/>
          <w:szCs w:val="20"/>
          <w:lang w:val="es-CR"/>
        </w:rPr>
        <w:t xml:space="preserve">serían </w:t>
      </w:r>
      <w:r w:rsidR="00CA1317" w:rsidRPr="002D7D96">
        <w:rPr>
          <w:rFonts w:ascii="Verdana" w:hAnsi="Verdana"/>
          <w:sz w:val="20"/>
          <w:szCs w:val="20"/>
          <w:lang w:val="es-CR"/>
        </w:rPr>
        <w:t>los herederos legales del señor Valenzuela,</w:t>
      </w:r>
      <w:r w:rsidR="00CA1317">
        <w:rPr>
          <w:rFonts w:ascii="Verdana" w:hAnsi="Verdana"/>
          <w:sz w:val="20"/>
          <w:szCs w:val="20"/>
          <w:lang w:val="es-CR"/>
        </w:rPr>
        <w:t xml:space="preserve"> </w:t>
      </w:r>
      <w:r w:rsidR="00247E2D">
        <w:rPr>
          <w:rFonts w:ascii="Verdana" w:hAnsi="Verdana"/>
          <w:sz w:val="20"/>
          <w:szCs w:val="20"/>
          <w:lang w:val="es-CR"/>
        </w:rPr>
        <w:t>l</w:t>
      </w:r>
      <w:r w:rsidR="002D7487">
        <w:rPr>
          <w:rFonts w:ascii="Verdana" w:hAnsi="Verdana"/>
          <w:sz w:val="20"/>
          <w:szCs w:val="20"/>
          <w:lang w:val="es-CR"/>
        </w:rPr>
        <w:t xml:space="preserve">a Corte </w:t>
      </w:r>
      <w:r w:rsidR="000E6FC3" w:rsidRPr="00E877C6">
        <w:rPr>
          <w:rFonts w:ascii="Verdana" w:hAnsi="Verdana"/>
          <w:sz w:val="20"/>
          <w:szCs w:val="20"/>
          <w:lang w:val="es-CR"/>
        </w:rPr>
        <w:t>considera que lo aducido se refiere</w:t>
      </w:r>
      <w:r w:rsidR="00247E2D">
        <w:rPr>
          <w:rFonts w:ascii="Verdana" w:hAnsi="Verdana"/>
          <w:sz w:val="20"/>
          <w:szCs w:val="20"/>
          <w:lang w:val="es-CR"/>
        </w:rPr>
        <w:t>n</w:t>
      </w:r>
      <w:r w:rsidR="000E6FC3" w:rsidRPr="00E877C6">
        <w:rPr>
          <w:rFonts w:ascii="Verdana" w:hAnsi="Verdana"/>
          <w:sz w:val="20"/>
          <w:szCs w:val="20"/>
          <w:lang w:val="es-CR"/>
        </w:rPr>
        <w:t xml:space="preserve"> a aspectos probatorios que no se relacionan con la admisibilidad del caso ni con la competencia de la Corte para conocer el mismo. En el caso de fijarse una reparación como resultado de un nexo causal con los hechos del caso, las violaciones declaradas</w:t>
      </w:r>
      <w:r w:rsidR="00B65884">
        <w:rPr>
          <w:rFonts w:ascii="Verdana" w:hAnsi="Verdana"/>
          <w:sz w:val="20"/>
          <w:szCs w:val="20"/>
          <w:lang w:val="es-CR"/>
        </w:rPr>
        <w:t xml:space="preserve"> y</w:t>
      </w:r>
      <w:r w:rsidR="000E6FC3" w:rsidRPr="00E877C6">
        <w:rPr>
          <w:rFonts w:ascii="Verdana" w:hAnsi="Verdana"/>
          <w:sz w:val="20"/>
          <w:szCs w:val="20"/>
          <w:lang w:val="es-CR"/>
        </w:rPr>
        <w:t xml:space="preserve"> </w:t>
      </w:r>
      <w:r w:rsidR="000E6FC3" w:rsidRPr="00E877C6">
        <w:rPr>
          <w:rFonts w:ascii="Verdana" w:hAnsi="Verdana"/>
          <w:sz w:val="20"/>
          <w:szCs w:val="20"/>
          <w:lang w:val="es-ES" w:bidi="en-US"/>
        </w:rPr>
        <w:t xml:space="preserve">los daños acreditados, </w:t>
      </w:r>
      <w:r w:rsidR="000E6FC3" w:rsidRPr="00E877C6">
        <w:rPr>
          <w:rFonts w:ascii="Verdana" w:hAnsi="Verdana"/>
          <w:sz w:val="20"/>
          <w:szCs w:val="20"/>
          <w:lang w:val="es-CR"/>
        </w:rPr>
        <w:t xml:space="preserve">en el capítulo correspondiente se fijarán los términos mediante los cuales se hará la designación y distribución </w:t>
      </w:r>
      <w:r w:rsidR="00163E83">
        <w:rPr>
          <w:rFonts w:ascii="Verdana" w:hAnsi="Verdana"/>
          <w:sz w:val="20"/>
          <w:szCs w:val="20"/>
          <w:lang w:val="es-CR"/>
        </w:rPr>
        <w:t>que corresponda</w:t>
      </w:r>
      <w:r w:rsidR="000E6FC3" w:rsidRPr="00E877C6">
        <w:rPr>
          <w:rFonts w:ascii="Verdana" w:hAnsi="Verdana"/>
          <w:sz w:val="20"/>
          <w:szCs w:val="20"/>
          <w:lang w:val="es-CR"/>
        </w:rPr>
        <w:t xml:space="preserve">. </w:t>
      </w:r>
    </w:p>
    <w:p w14:paraId="4E321B82" w14:textId="77777777" w:rsidR="005E2A26" w:rsidRDefault="005E2A26" w:rsidP="005E2A26">
      <w:pPr>
        <w:pStyle w:val="Prrafodelista"/>
        <w:autoSpaceDE w:val="0"/>
        <w:autoSpaceDN w:val="0"/>
        <w:adjustRightInd w:val="0"/>
        <w:spacing w:after="0" w:line="240" w:lineRule="auto"/>
        <w:ind w:left="0"/>
        <w:jc w:val="both"/>
        <w:rPr>
          <w:rFonts w:ascii="Verdana" w:hAnsi="Verdana"/>
          <w:sz w:val="20"/>
          <w:szCs w:val="20"/>
          <w:lang w:val="es-CR"/>
        </w:rPr>
      </w:pPr>
    </w:p>
    <w:p w14:paraId="12DB5163" w14:textId="77777777" w:rsidR="008E68BF" w:rsidRDefault="008E68BF" w:rsidP="005E2A26">
      <w:pPr>
        <w:pStyle w:val="Prrafodelista"/>
        <w:autoSpaceDE w:val="0"/>
        <w:autoSpaceDN w:val="0"/>
        <w:adjustRightInd w:val="0"/>
        <w:spacing w:after="0" w:line="240" w:lineRule="auto"/>
        <w:ind w:left="0"/>
        <w:jc w:val="both"/>
        <w:rPr>
          <w:rFonts w:ascii="Verdana" w:hAnsi="Verdana"/>
          <w:sz w:val="20"/>
          <w:szCs w:val="20"/>
          <w:lang w:val="es-CR"/>
        </w:rPr>
      </w:pPr>
    </w:p>
    <w:p w14:paraId="02CE07AE" w14:textId="77777777" w:rsidR="008E68BF" w:rsidRDefault="008E68BF" w:rsidP="005E2A26">
      <w:pPr>
        <w:pStyle w:val="Prrafodelista"/>
        <w:autoSpaceDE w:val="0"/>
        <w:autoSpaceDN w:val="0"/>
        <w:adjustRightInd w:val="0"/>
        <w:spacing w:after="0" w:line="240" w:lineRule="auto"/>
        <w:ind w:left="0"/>
        <w:jc w:val="both"/>
        <w:rPr>
          <w:rFonts w:ascii="Verdana" w:hAnsi="Verdana"/>
          <w:sz w:val="20"/>
          <w:szCs w:val="20"/>
          <w:lang w:val="es-CR"/>
        </w:rPr>
      </w:pPr>
    </w:p>
    <w:p w14:paraId="2E6E7973" w14:textId="77777777" w:rsidR="008E68BF" w:rsidRDefault="008E68BF" w:rsidP="005E2A26">
      <w:pPr>
        <w:pStyle w:val="Prrafodelista"/>
        <w:autoSpaceDE w:val="0"/>
        <w:autoSpaceDN w:val="0"/>
        <w:adjustRightInd w:val="0"/>
        <w:spacing w:after="0" w:line="240" w:lineRule="auto"/>
        <w:ind w:left="0"/>
        <w:jc w:val="both"/>
        <w:rPr>
          <w:rFonts w:ascii="Verdana" w:hAnsi="Verdana"/>
          <w:sz w:val="20"/>
          <w:szCs w:val="20"/>
          <w:lang w:val="es-CR"/>
        </w:rPr>
      </w:pPr>
    </w:p>
    <w:p w14:paraId="6809BB0E" w14:textId="77777777" w:rsidR="008E68BF" w:rsidRPr="005E2A26" w:rsidRDefault="008E68BF" w:rsidP="005E2A26">
      <w:pPr>
        <w:pStyle w:val="Prrafodelista"/>
        <w:autoSpaceDE w:val="0"/>
        <w:autoSpaceDN w:val="0"/>
        <w:adjustRightInd w:val="0"/>
        <w:spacing w:after="0" w:line="240" w:lineRule="auto"/>
        <w:ind w:left="0"/>
        <w:jc w:val="both"/>
        <w:rPr>
          <w:rFonts w:ascii="Verdana" w:hAnsi="Verdana"/>
          <w:sz w:val="20"/>
          <w:szCs w:val="20"/>
          <w:lang w:val="es-CR"/>
        </w:rPr>
      </w:pPr>
    </w:p>
    <w:p w14:paraId="73561C1F" w14:textId="77777777" w:rsidR="00E877C6" w:rsidRPr="005E2A26" w:rsidRDefault="005E2A26" w:rsidP="00872F17">
      <w:pPr>
        <w:pStyle w:val="Ttulo1"/>
        <w:spacing w:before="0"/>
        <w:rPr>
          <w:rFonts w:eastAsia="Verdana"/>
        </w:rPr>
      </w:pPr>
      <w:bookmarkStart w:id="18" w:name="_Toc25247734"/>
      <w:r>
        <w:rPr>
          <w:rFonts w:eastAsia="Verdana"/>
        </w:rPr>
        <w:lastRenderedPageBreak/>
        <w:t>VI</w:t>
      </w:r>
      <w:r w:rsidR="000474FD">
        <w:rPr>
          <w:rFonts w:eastAsia="Verdana"/>
        </w:rPr>
        <w:t xml:space="preserve"> </w:t>
      </w:r>
      <w:r w:rsidR="00872F17">
        <w:rPr>
          <w:rFonts w:eastAsia="Verdana"/>
        </w:rPr>
        <w:br/>
      </w:r>
      <w:r w:rsidR="00E877C6" w:rsidRPr="00EC2F24">
        <w:rPr>
          <w:rFonts w:eastAsia="Verdana"/>
        </w:rPr>
        <w:t>PRUEBA</w:t>
      </w:r>
      <w:bookmarkEnd w:id="18"/>
    </w:p>
    <w:p w14:paraId="4981BF8E" w14:textId="77777777" w:rsidR="00E877C6" w:rsidRPr="000474FD" w:rsidRDefault="00E877C6" w:rsidP="005406CA">
      <w:pPr>
        <w:pStyle w:val="Ttulo2"/>
        <w:numPr>
          <w:ilvl w:val="0"/>
          <w:numId w:val="2"/>
        </w:numPr>
      </w:pPr>
      <w:bookmarkStart w:id="19" w:name="_Toc10019865"/>
      <w:bookmarkStart w:id="20" w:name="_Toc25247735"/>
      <w:r w:rsidRPr="000474FD">
        <w:t>Admisión de prueba documental</w:t>
      </w:r>
      <w:bookmarkEnd w:id="19"/>
      <w:bookmarkEnd w:id="20"/>
      <w:r w:rsidR="008A6FC1">
        <w:t xml:space="preserve"> </w:t>
      </w:r>
    </w:p>
    <w:p w14:paraId="119E92D0" w14:textId="77777777" w:rsidR="00E877C6" w:rsidRDefault="00E877C6" w:rsidP="00E877C6">
      <w:pPr>
        <w:pStyle w:val="Prrafodelista"/>
        <w:autoSpaceDE w:val="0"/>
        <w:autoSpaceDN w:val="0"/>
        <w:adjustRightInd w:val="0"/>
        <w:spacing w:after="0" w:line="240" w:lineRule="auto"/>
        <w:ind w:left="0"/>
        <w:jc w:val="both"/>
        <w:rPr>
          <w:rFonts w:ascii="Verdana" w:hAnsi="Verdana"/>
          <w:sz w:val="20"/>
          <w:szCs w:val="20"/>
          <w:lang w:val="es-CR"/>
        </w:rPr>
      </w:pPr>
    </w:p>
    <w:p w14:paraId="0B730271" w14:textId="7D8D2769" w:rsidR="00B25AD4" w:rsidRDefault="000E6FC3" w:rsidP="00E13991">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E877C6">
        <w:rPr>
          <w:rFonts w:ascii="Verdana" w:hAnsi="Verdana"/>
          <w:sz w:val="20"/>
          <w:szCs w:val="20"/>
          <w:lang w:val="es-CR"/>
        </w:rPr>
        <w:t>En el presente caso, como en otros, la Corte admite el valor probatorio de aquellos documentos presentados por las partes y por la Comisión en la debida oportunidad procesal</w:t>
      </w:r>
      <w:r w:rsidR="00711E39">
        <w:rPr>
          <w:rFonts w:ascii="Verdana" w:hAnsi="Verdana"/>
          <w:sz w:val="20"/>
          <w:szCs w:val="20"/>
          <w:lang w:val="es-CR"/>
        </w:rPr>
        <w:t>, así como aquellos documentos presentados como prueba para mejor resolver</w:t>
      </w:r>
      <w:r w:rsidR="00711E39">
        <w:rPr>
          <w:rStyle w:val="Refdenotaalpie"/>
          <w:rFonts w:ascii="Verdana" w:hAnsi="Verdana"/>
          <w:sz w:val="20"/>
          <w:szCs w:val="20"/>
          <w:lang w:val="es-CR"/>
        </w:rPr>
        <w:footnoteReference w:id="23"/>
      </w:r>
      <w:r w:rsidRPr="00E877C6">
        <w:rPr>
          <w:rFonts w:ascii="Verdana" w:hAnsi="Verdana"/>
          <w:sz w:val="20"/>
          <w:szCs w:val="20"/>
          <w:lang w:val="es-CR"/>
        </w:rPr>
        <w:t xml:space="preserve"> y que no fueron controvertidos ni objetados, ni cuya autenticidad fue puesta en duda (</w:t>
      </w:r>
      <w:r w:rsidRPr="00E877C6">
        <w:rPr>
          <w:rFonts w:ascii="Verdana" w:hAnsi="Verdana"/>
          <w:i/>
          <w:sz w:val="20"/>
          <w:szCs w:val="20"/>
          <w:lang w:val="es-CR"/>
        </w:rPr>
        <w:t xml:space="preserve">supra </w:t>
      </w:r>
      <w:r w:rsidRPr="00E877C6">
        <w:rPr>
          <w:rFonts w:ascii="Verdana" w:hAnsi="Verdana"/>
          <w:sz w:val="20"/>
          <w:szCs w:val="20"/>
          <w:lang w:val="es-CR"/>
        </w:rPr>
        <w:t>párrs.</w:t>
      </w:r>
      <w:r w:rsidR="00497AC2">
        <w:rPr>
          <w:rFonts w:ascii="Verdana" w:hAnsi="Verdana"/>
          <w:sz w:val="20"/>
          <w:szCs w:val="20"/>
          <w:lang w:val="es-CR"/>
        </w:rPr>
        <w:t xml:space="preserve"> 1,</w:t>
      </w:r>
      <w:r w:rsidRPr="00E877C6">
        <w:rPr>
          <w:rFonts w:ascii="Verdana" w:hAnsi="Verdana"/>
          <w:sz w:val="20"/>
          <w:szCs w:val="20"/>
          <w:lang w:val="es-CR"/>
        </w:rPr>
        <w:t xml:space="preserve"> </w:t>
      </w:r>
      <w:r w:rsidR="00497AC2">
        <w:rPr>
          <w:rFonts w:ascii="Verdana" w:hAnsi="Verdana"/>
          <w:sz w:val="20"/>
          <w:szCs w:val="20"/>
          <w:lang w:val="es-CR"/>
        </w:rPr>
        <w:t xml:space="preserve">6 y </w:t>
      </w:r>
      <w:r w:rsidR="006A7509">
        <w:rPr>
          <w:rFonts w:ascii="Verdana" w:hAnsi="Verdana"/>
          <w:sz w:val="20"/>
          <w:szCs w:val="20"/>
          <w:lang w:val="es-CR"/>
        </w:rPr>
        <w:t>7</w:t>
      </w:r>
      <w:r w:rsidR="006A7509" w:rsidRPr="00E877C6">
        <w:rPr>
          <w:rFonts w:ascii="Verdana" w:hAnsi="Verdana"/>
          <w:sz w:val="20"/>
          <w:szCs w:val="20"/>
          <w:lang w:val="es-CR"/>
        </w:rPr>
        <w:t xml:space="preserve">) </w:t>
      </w:r>
      <w:r w:rsidRPr="00E877C6">
        <w:rPr>
          <w:rFonts w:ascii="Verdana" w:hAnsi="Verdana"/>
          <w:sz w:val="20"/>
          <w:szCs w:val="20"/>
          <w:lang w:val="es-CR"/>
        </w:rPr>
        <w:t>en la medida en que sean pertinentes y útiles para la determinación de los hechos y sus eventuales consecuencias jurídicas</w:t>
      </w:r>
      <w:r w:rsidRPr="00EC2F24">
        <w:rPr>
          <w:rStyle w:val="Refdenotaalpie"/>
          <w:rFonts w:ascii="Verdana" w:eastAsia="Verdana" w:hAnsi="Verdana" w:cs="Verdana"/>
          <w:color w:val="000000"/>
          <w:sz w:val="20"/>
          <w:szCs w:val="20"/>
        </w:rPr>
        <w:footnoteReference w:id="24"/>
      </w:r>
      <w:r w:rsidRPr="00E877C6">
        <w:rPr>
          <w:rFonts w:ascii="Verdana" w:hAnsi="Verdana"/>
          <w:sz w:val="20"/>
          <w:szCs w:val="20"/>
          <w:lang w:val="es-CR"/>
        </w:rPr>
        <w:t xml:space="preserve">. </w:t>
      </w:r>
      <w:r w:rsidRPr="00E13991">
        <w:rPr>
          <w:rFonts w:ascii="Verdana" w:hAnsi="Verdana"/>
          <w:sz w:val="20"/>
          <w:szCs w:val="20"/>
          <w:lang w:val="es-CR"/>
        </w:rPr>
        <w:t>Sin perjuicio de ello, a continuación se realiza</w:t>
      </w:r>
      <w:r w:rsidR="00FE1B7E" w:rsidRPr="00E13991">
        <w:rPr>
          <w:rFonts w:ascii="Verdana" w:hAnsi="Verdana"/>
          <w:sz w:val="20"/>
          <w:szCs w:val="20"/>
          <w:lang w:val="es-CR"/>
        </w:rPr>
        <w:t>rá</w:t>
      </w:r>
      <w:r w:rsidRPr="00E13991">
        <w:rPr>
          <w:rFonts w:ascii="Verdana" w:hAnsi="Verdana"/>
          <w:sz w:val="20"/>
          <w:szCs w:val="20"/>
          <w:lang w:val="es-CR"/>
        </w:rPr>
        <w:t>n consider</w:t>
      </w:r>
      <w:r w:rsidR="00FE1B7E" w:rsidRPr="00E13991">
        <w:rPr>
          <w:rFonts w:ascii="Verdana" w:hAnsi="Verdana"/>
          <w:sz w:val="20"/>
          <w:szCs w:val="20"/>
          <w:lang w:val="es-CR"/>
        </w:rPr>
        <w:t>aciones puntuales y se resolverán</w:t>
      </w:r>
      <w:r w:rsidRPr="00E13991">
        <w:rPr>
          <w:rFonts w:ascii="Verdana" w:hAnsi="Verdana"/>
          <w:sz w:val="20"/>
          <w:szCs w:val="20"/>
          <w:lang w:val="es-CR"/>
        </w:rPr>
        <w:t xml:space="preserve"> las controversias planteadas sobre la admisibilidad de determinados documentos</w:t>
      </w:r>
      <w:r w:rsidRPr="003D64E6">
        <w:rPr>
          <w:rFonts w:ascii="Verdana" w:hAnsi="Verdana"/>
          <w:sz w:val="20"/>
          <w:szCs w:val="20"/>
          <w:lang w:val="es-CR"/>
        </w:rPr>
        <w:t>.</w:t>
      </w:r>
      <w:r w:rsidR="00D1571B" w:rsidRPr="003D64E6">
        <w:rPr>
          <w:rFonts w:ascii="Verdana" w:hAnsi="Verdana"/>
          <w:sz w:val="20"/>
          <w:szCs w:val="20"/>
          <w:lang w:val="es-CR"/>
        </w:rPr>
        <w:t xml:space="preserve"> </w:t>
      </w:r>
      <w:r w:rsidR="003D64E6">
        <w:rPr>
          <w:rFonts w:ascii="Verdana" w:hAnsi="Verdana"/>
          <w:sz w:val="20"/>
          <w:szCs w:val="20"/>
        </w:rPr>
        <w:t xml:space="preserve"> </w:t>
      </w:r>
      <w:r w:rsidR="00E13991" w:rsidRPr="003D64E6">
        <w:rPr>
          <w:rFonts w:ascii="Verdana" w:hAnsi="Verdana"/>
          <w:sz w:val="20"/>
          <w:szCs w:val="20"/>
        </w:rPr>
        <w:t xml:space="preserve">Respecto al peritaje de los señores </w:t>
      </w:r>
      <w:proofErr w:type="spellStart"/>
      <w:r w:rsidR="00E13991" w:rsidRPr="003D64E6">
        <w:rPr>
          <w:rFonts w:ascii="Verdana" w:hAnsi="Verdana"/>
          <w:sz w:val="20"/>
          <w:szCs w:val="20"/>
          <w:lang w:val="es-PE"/>
        </w:rPr>
        <w:t>Parvais</w:t>
      </w:r>
      <w:proofErr w:type="spellEnd"/>
      <w:r w:rsidR="00E13991" w:rsidRPr="003D64E6">
        <w:rPr>
          <w:rFonts w:ascii="Verdana" w:hAnsi="Verdana"/>
          <w:sz w:val="20"/>
          <w:szCs w:val="20"/>
          <w:lang w:val="es-PE"/>
        </w:rPr>
        <w:t xml:space="preserve"> Jabbar y Edward Fitzgerald</w:t>
      </w:r>
      <w:r w:rsidR="00595B25" w:rsidRPr="003D64E6">
        <w:rPr>
          <w:rFonts w:ascii="Verdana" w:hAnsi="Verdana"/>
          <w:sz w:val="20"/>
          <w:szCs w:val="20"/>
          <w:lang w:val="es-PE"/>
        </w:rPr>
        <w:t xml:space="preserve">, </w:t>
      </w:r>
      <w:r w:rsidR="00E13991" w:rsidRPr="003D64E6">
        <w:rPr>
          <w:rFonts w:ascii="Verdana" w:hAnsi="Verdana"/>
          <w:sz w:val="20"/>
          <w:szCs w:val="20"/>
          <w:lang w:val="es-PE"/>
        </w:rPr>
        <w:t xml:space="preserve">el Estado presentó observaciones </w:t>
      </w:r>
      <w:r w:rsidR="00595B25" w:rsidRPr="003D64E6">
        <w:rPr>
          <w:rFonts w:ascii="Verdana" w:hAnsi="Verdana"/>
          <w:sz w:val="20"/>
          <w:szCs w:val="20"/>
          <w:lang w:val="es-PE"/>
        </w:rPr>
        <w:t>relacionadas con</w:t>
      </w:r>
      <w:r w:rsidR="00E13991" w:rsidRPr="003D64E6">
        <w:rPr>
          <w:rFonts w:ascii="Verdana" w:hAnsi="Verdana"/>
          <w:sz w:val="20"/>
          <w:szCs w:val="20"/>
          <w:lang w:val="es-PE"/>
        </w:rPr>
        <w:t xml:space="preserve"> su valor probatorio. Cabe recordar que dicho peritaje fue </w:t>
      </w:r>
      <w:r w:rsidR="00E13991" w:rsidRPr="003D64E6">
        <w:rPr>
          <w:rFonts w:ascii="Verdana" w:hAnsi="Verdana"/>
          <w:sz w:val="20"/>
          <w:szCs w:val="20"/>
        </w:rPr>
        <w:t xml:space="preserve">rendido en los </w:t>
      </w:r>
      <w:r w:rsidR="00E13991" w:rsidRPr="003D64E6">
        <w:rPr>
          <w:rFonts w:ascii="Verdana" w:hAnsi="Verdana"/>
          <w:sz w:val="20"/>
          <w:szCs w:val="20"/>
          <w:lang w:val="es-PE"/>
        </w:rPr>
        <w:t xml:space="preserve">“casos </w:t>
      </w:r>
      <w:r w:rsidR="00E13991" w:rsidRPr="003D64E6">
        <w:rPr>
          <w:rFonts w:ascii="Verdana" w:hAnsi="Verdana"/>
          <w:i/>
          <w:iCs/>
          <w:sz w:val="20"/>
          <w:szCs w:val="20"/>
          <w:lang w:val="es-PE"/>
        </w:rPr>
        <w:t xml:space="preserve">Girón y </w:t>
      </w:r>
      <w:r w:rsidR="001D01CB">
        <w:rPr>
          <w:rFonts w:ascii="Verdana" w:hAnsi="Verdana"/>
          <w:i/>
          <w:iCs/>
          <w:sz w:val="20"/>
          <w:szCs w:val="20"/>
          <w:lang w:val="es-PE"/>
        </w:rPr>
        <w:t>Castillo, Martínez Coronado, Rui</w:t>
      </w:r>
      <w:r w:rsidR="00E13991" w:rsidRPr="003D64E6">
        <w:rPr>
          <w:rFonts w:ascii="Verdana" w:hAnsi="Verdana"/>
          <w:i/>
          <w:iCs/>
          <w:sz w:val="20"/>
          <w:szCs w:val="20"/>
          <w:lang w:val="es-PE"/>
        </w:rPr>
        <w:t xml:space="preserve">z Fuentes y Rodríguez Revolorio y otros” </w:t>
      </w:r>
      <w:r w:rsidR="00E13991" w:rsidRPr="003D64E6">
        <w:rPr>
          <w:rFonts w:ascii="Verdana" w:hAnsi="Verdana"/>
          <w:iCs/>
          <w:sz w:val="20"/>
          <w:szCs w:val="20"/>
          <w:lang w:val="es-PE"/>
        </w:rPr>
        <w:t xml:space="preserve">todos contra Guatemala, y luego trasladado al presente caso. </w:t>
      </w:r>
      <w:r w:rsidR="00EC3578" w:rsidRPr="003D64E6">
        <w:rPr>
          <w:rFonts w:ascii="Verdana" w:hAnsi="Verdana"/>
          <w:iCs/>
          <w:sz w:val="20"/>
          <w:szCs w:val="20"/>
          <w:lang w:val="es-PE"/>
        </w:rPr>
        <w:t xml:space="preserve">Este Tribunal considera que </w:t>
      </w:r>
      <w:r w:rsidR="00EC3578" w:rsidRPr="003D64E6">
        <w:rPr>
          <w:rFonts w:ascii="Verdana" w:hAnsi="Verdana"/>
          <w:sz w:val="20"/>
          <w:szCs w:val="20"/>
          <w:lang w:val="es-CR" w:eastAsia="es-ES"/>
        </w:rPr>
        <w:t>el Estado no impugna su admisibilidad, sino que cuestiona su valor probatorio, por lo que lo admite como prueba documental.</w:t>
      </w:r>
      <w:r w:rsidR="00EC3578" w:rsidRPr="00C67232">
        <w:rPr>
          <w:rFonts w:ascii="Verdana" w:hAnsi="Verdana"/>
          <w:sz w:val="20"/>
          <w:szCs w:val="20"/>
          <w:lang w:val="es-CR" w:eastAsia="es-ES"/>
        </w:rPr>
        <w:t xml:space="preserve"> </w:t>
      </w:r>
    </w:p>
    <w:p w14:paraId="30FCC4B5" w14:textId="77777777" w:rsidR="000057BF" w:rsidRDefault="000057BF" w:rsidP="000057BF">
      <w:pPr>
        <w:pStyle w:val="Prrafodelista"/>
        <w:autoSpaceDE w:val="0"/>
        <w:autoSpaceDN w:val="0"/>
        <w:adjustRightInd w:val="0"/>
        <w:spacing w:after="0" w:line="240" w:lineRule="auto"/>
        <w:ind w:left="0"/>
        <w:jc w:val="both"/>
        <w:rPr>
          <w:rFonts w:ascii="Verdana" w:hAnsi="Verdana"/>
          <w:sz w:val="20"/>
          <w:szCs w:val="20"/>
          <w:lang w:val="es-CR"/>
        </w:rPr>
      </w:pPr>
    </w:p>
    <w:p w14:paraId="1BE45515" w14:textId="7F6454FC" w:rsidR="00FB0250" w:rsidRDefault="005E3FB8" w:rsidP="000057BF">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0057BF">
        <w:rPr>
          <w:rFonts w:ascii="Verdana" w:hAnsi="Verdana"/>
          <w:i/>
          <w:sz w:val="20"/>
          <w:szCs w:val="20"/>
          <w:lang w:val="es-CR"/>
        </w:rPr>
        <w:t xml:space="preserve">Prueba superviniente. – </w:t>
      </w:r>
      <w:r w:rsidRPr="000057BF">
        <w:rPr>
          <w:rFonts w:ascii="Verdana" w:hAnsi="Verdana"/>
          <w:sz w:val="20"/>
          <w:szCs w:val="20"/>
          <w:lang w:val="es-CR"/>
        </w:rPr>
        <w:t>El 17 de enero de 2019 los representantes aportaron prueba superviniente relacionada con investigaciones relativas a las ejecuciones extrajudiciales en el marco de</w:t>
      </w:r>
      <w:r w:rsidR="00424B1A" w:rsidRPr="000057BF">
        <w:rPr>
          <w:rFonts w:ascii="Verdana" w:hAnsi="Verdana"/>
          <w:sz w:val="20"/>
          <w:szCs w:val="20"/>
          <w:lang w:val="es-CR"/>
        </w:rPr>
        <w:t xml:space="preserve"> la </w:t>
      </w:r>
      <w:r w:rsidR="00424B1A" w:rsidRPr="000057BF">
        <w:rPr>
          <w:rFonts w:ascii="Verdana" w:hAnsi="Verdana" w:cs="Calibri"/>
          <w:sz w:val="20"/>
          <w:szCs w:val="20"/>
          <w:lang w:val="es-ES_tradnl"/>
        </w:rPr>
        <w:t>“Operación Gavilán”</w:t>
      </w:r>
      <w:r w:rsidRPr="000057BF">
        <w:rPr>
          <w:rFonts w:ascii="Verdana" w:hAnsi="Verdana"/>
          <w:sz w:val="20"/>
          <w:szCs w:val="20"/>
          <w:lang w:val="es-CR"/>
        </w:rPr>
        <w:t>. El 5 de marzo de 2019 los representantes aportaron material probatorio como ampliación de la referida prueba superviniente</w:t>
      </w:r>
      <w:r w:rsidRPr="00210816">
        <w:rPr>
          <w:rStyle w:val="Refdenotaalpie"/>
          <w:rFonts w:ascii="Verdana" w:hAnsi="Verdana"/>
          <w:sz w:val="20"/>
          <w:szCs w:val="20"/>
          <w:lang w:val="es-CR"/>
        </w:rPr>
        <w:footnoteReference w:id="25"/>
      </w:r>
      <w:r w:rsidRPr="000057BF">
        <w:rPr>
          <w:rFonts w:ascii="Verdana" w:hAnsi="Verdana"/>
          <w:sz w:val="20"/>
          <w:szCs w:val="20"/>
          <w:lang w:val="es-CR"/>
        </w:rPr>
        <w:t xml:space="preserve">. </w:t>
      </w:r>
      <w:r w:rsidR="000E6FC3" w:rsidRPr="000057BF">
        <w:rPr>
          <w:rFonts w:ascii="Verdana" w:hAnsi="Verdana"/>
          <w:sz w:val="20"/>
          <w:szCs w:val="20"/>
          <w:lang w:val="es-CR"/>
        </w:rPr>
        <w:t xml:space="preserve">En cuanto a la prueba superviniente presentada por los representantes el 17 de enero de 2019 </w:t>
      </w:r>
      <w:r w:rsidR="00130D62">
        <w:rPr>
          <w:rFonts w:ascii="Verdana" w:hAnsi="Verdana"/>
          <w:sz w:val="20"/>
          <w:szCs w:val="20"/>
          <w:lang w:val="es-CR"/>
        </w:rPr>
        <w:t xml:space="preserve">supuestamente </w:t>
      </w:r>
      <w:r w:rsidR="000E6FC3" w:rsidRPr="000057BF">
        <w:rPr>
          <w:rFonts w:ascii="Verdana" w:hAnsi="Verdana"/>
          <w:sz w:val="20"/>
          <w:szCs w:val="20"/>
          <w:lang w:val="es-CR"/>
        </w:rPr>
        <w:t>relacionada con hechos nuevos</w:t>
      </w:r>
      <w:r w:rsidR="000E6FC3" w:rsidRPr="00210816">
        <w:rPr>
          <w:rStyle w:val="Refdenotaalpie"/>
          <w:rFonts w:ascii="Verdana" w:hAnsi="Verdana"/>
          <w:sz w:val="20"/>
          <w:szCs w:val="20"/>
          <w:lang w:val="es-CR"/>
        </w:rPr>
        <w:footnoteReference w:id="26"/>
      </w:r>
      <w:r w:rsidR="000673D3" w:rsidRPr="000057BF">
        <w:rPr>
          <w:rFonts w:ascii="Verdana" w:hAnsi="Verdana"/>
          <w:sz w:val="20"/>
          <w:szCs w:val="20"/>
          <w:lang w:val="es-CR"/>
        </w:rPr>
        <w:t xml:space="preserve">, </w:t>
      </w:r>
      <w:r w:rsidR="000E6FC3" w:rsidRPr="000057BF">
        <w:rPr>
          <w:rFonts w:ascii="Verdana" w:hAnsi="Verdana"/>
          <w:sz w:val="20"/>
          <w:szCs w:val="20"/>
          <w:lang w:val="es-CR"/>
        </w:rPr>
        <w:t>así como el material probatorio presentado el</w:t>
      </w:r>
      <w:r w:rsidR="000E6FC3" w:rsidRPr="000057BF">
        <w:rPr>
          <w:rFonts w:ascii="Verdana" w:hAnsi="Verdana"/>
          <w:b/>
          <w:sz w:val="20"/>
          <w:szCs w:val="20"/>
          <w:lang w:val="es-CR"/>
        </w:rPr>
        <w:t xml:space="preserve"> </w:t>
      </w:r>
      <w:r w:rsidR="000E6FC3" w:rsidRPr="000057BF">
        <w:rPr>
          <w:rFonts w:ascii="Verdana" w:hAnsi="Verdana"/>
          <w:sz w:val="20"/>
          <w:szCs w:val="20"/>
          <w:lang w:val="es-CR"/>
        </w:rPr>
        <w:t>5 de marzo de 2019</w:t>
      </w:r>
      <w:r w:rsidR="00517DEC" w:rsidRPr="0010005F">
        <w:rPr>
          <w:rStyle w:val="Refdenotaalpie"/>
          <w:rFonts w:ascii="Verdana" w:hAnsi="Verdana"/>
          <w:sz w:val="20"/>
          <w:szCs w:val="20"/>
          <w:lang w:val="es-CR"/>
        </w:rPr>
        <w:footnoteReference w:id="27"/>
      </w:r>
      <w:r w:rsidR="000E6FC3" w:rsidRPr="000057BF">
        <w:rPr>
          <w:rFonts w:ascii="Verdana" w:hAnsi="Verdana"/>
          <w:sz w:val="20"/>
          <w:szCs w:val="20"/>
          <w:lang w:val="es-CR"/>
        </w:rPr>
        <w:t xml:space="preserve"> como ampliación de la prueba superviniente presentada el 17 de enero de 2019</w:t>
      </w:r>
      <w:r w:rsidR="00303C56" w:rsidRPr="000057BF">
        <w:rPr>
          <w:rFonts w:ascii="Verdana" w:hAnsi="Verdana"/>
          <w:sz w:val="20"/>
          <w:szCs w:val="20"/>
          <w:lang w:val="es-CR"/>
        </w:rPr>
        <w:t>, e</w:t>
      </w:r>
      <w:r w:rsidR="000E6FC3" w:rsidRPr="000057BF">
        <w:rPr>
          <w:rFonts w:ascii="Verdana" w:hAnsi="Verdana"/>
          <w:sz w:val="20"/>
          <w:szCs w:val="20"/>
          <w:lang w:val="es-CR"/>
        </w:rPr>
        <w:t>l Estado remitió sus obse</w:t>
      </w:r>
      <w:r w:rsidRPr="000057BF">
        <w:rPr>
          <w:rFonts w:ascii="Verdana" w:hAnsi="Verdana"/>
          <w:sz w:val="20"/>
          <w:szCs w:val="20"/>
          <w:lang w:val="es-CR"/>
        </w:rPr>
        <w:t xml:space="preserve">rvaciones en las que consideró </w:t>
      </w:r>
      <w:r w:rsidR="000E6FC3" w:rsidRPr="000057BF">
        <w:rPr>
          <w:rFonts w:ascii="Verdana" w:hAnsi="Verdana"/>
          <w:sz w:val="20"/>
          <w:szCs w:val="20"/>
          <w:lang w:val="es-CR"/>
        </w:rPr>
        <w:t xml:space="preserve">que la prueba superviniente carece de vinculación con el caso que se está discutiendo, y que además, la misma debió </w:t>
      </w:r>
      <w:r w:rsidR="00EB3591">
        <w:rPr>
          <w:rFonts w:ascii="Verdana" w:hAnsi="Verdana"/>
          <w:sz w:val="20"/>
          <w:szCs w:val="20"/>
          <w:lang w:val="es-CR"/>
        </w:rPr>
        <w:t xml:space="preserve">ofrecerse </w:t>
      </w:r>
      <w:r w:rsidR="000E6FC3" w:rsidRPr="000057BF">
        <w:rPr>
          <w:rFonts w:ascii="Verdana" w:hAnsi="Verdana"/>
          <w:sz w:val="20"/>
          <w:szCs w:val="20"/>
          <w:lang w:val="es-CR"/>
        </w:rPr>
        <w:t xml:space="preserve">oportunamente a la Comisión para que pudiera existir el proceso contradictorio para su </w:t>
      </w:r>
      <w:r w:rsidR="000E6FC3" w:rsidRPr="000057BF">
        <w:rPr>
          <w:rFonts w:ascii="Verdana" w:hAnsi="Verdana"/>
          <w:sz w:val="20"/>
          <w:szCs w:val="20"/>
          <w:lang w:val="es-CR"/>
        </w:rPr>
        <w:lastRenderedPageBreak/>
        <w:t>valoración, por lo que debe ser rechazada en atención a lo dispuesto en los artículos 40.2.b y 57.2 del Reglamento de la Corte.</w:t>
      </w:r>
      <w:r w:rsidR="000673D3" w:rsidRPr="000057BF">
        <w:rPr>
          <w:rFonts w:ascii="Verdana" w:hAnsi="Verdana"/>
          <w:sz w:val="20"/>
          <w:szCs w:val="20"/>
          <w:lang w:val="es-CR"/>
        </w:rPr>
        <w:t xml:space="preserve"> </w:t>
      </w:r>
      <w:r w:rsidR="00FB0250" w:rsidRPr="000057BF">
        <w:rPr>
          <w:rFonts w:ascii="Verdana" w:hAnsi="Verdana"/>
          <w:sz w:val="20"/>
          <w:szCs w:val="20"/>
          <w:lang w:val="es-CR"/>
        </w:rPr>
        <w:t>La Comisión por su parte manifestó que</w:t>
      </w:r>
      <w:r w:rsidR="006F1E3C">
        <w:rPr>
          <w:rFonts w:ascii="Verdana" w:hAnsi="Verdana"/>
          <w:sz w:val="20"/>
          <w:szCs w:val="20"/>
          <w:lang w:val="es-CR"/>
        </w:rPr>
        <w:t xml:space="preserve"> resulta relevante que la Corte pueda contar con información reciente en la oportunidad de establecer la responsabilidad internacional del Estado en una eventual sentencia</w:t>
      </w:r>
      <w:r w:rsidR="00FB0250" w:rsidRPr="000057BF">
        <w:rPr>
          <w:rFonts w:ascii="Verdana" w:hAnsi="Verdana"/>
          <w:sz w:val="20"/>
          <w:szCs w:val="20"/>
          <w:lang w:val="es-CR"/>
        </w:rPr>
        <w:t>.</w:t>
      </w:r>
    </w:p>
    <w:p w14:paraId="66301C48" w14:textId="77777777" w:rsidR="000057BF" w:rsidRDefault="000057BF" w:rsidP="000057BF">
      <w:pPr>
        <w:pStyle w:val="Prrafodelista"/>
        <w:autoSpaceDE w:val="0"/>
        <w:autoSpaceDN w:val="0"/>
        <w:adjustRightInd w:val="0"/>
        <w:spacing w:after="0" w:line="240" w:lineRule="auto"/>
        <w:ind w:left="0"/>
        <w:jc w:val="both"/>
        <w:rPr>
          <w:rFonts w:ascii="Verdana" w:hAnsi="Verdana"/>
          <w:sz w:val="20"/>
          <w:szCs w:val="20"/>
          <w:lang w:val="es-CR"/>
        </w:rPr>
      </w:pPr>
    </w:p>
    <w:p w14:paraId="1224C7F4" w14:textId="73D027A2" w:rsidR="00B25AD4" w:rsidRPr="000057BF" w:rsidRDefault="00AC6EA1" w:rsidP="000057BF">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0057BF">
        <w:rPr>
          <w:rFonts w:ascii="Verdana" w:hAnsi="Verdana" w:cs="Calibri"/>
          <w:sz w:val="20"/>
          <w:szCs w:val="20"/>
          <w:lang w:val="es-CR"/>
        </w:rPr>
        <w:t>Respecto a lo</w:t>
      </w:r>
      <w:r w:rsidR="00163E83" w:rsidRPr="000057BF">
        <w:rPr>
          <w:rFonts w:ascii="Verdana" w:hAnsi="Verdana" w:cs="Calibri"/>
          <w:sz w:val="20"/>
          <w:szCs w:val="20"/>
          <w:lang w:val="es-CR"/>
        </w:rPr>
        <w:t>s</w:t>
      </w:r>
      <w:r w:rsidRPr="000057BF">
        <w:rPr>
          <w:rFonts w:ascii="Verdana" w:hAnsi="Verdana" w:cs="Calibri"/>
          <w:sz w:val="20"/>
          <w:szCs w:val="20"/>
          <w:lang w:val="es-CR"/>
        </w:rPr>
        <w:t xml:space="preserve"> documentos presenta</w:t>
      </w:r>
      <w:r w:rsidR="00517DEC" w:rsidRPr="000057BF">
        <w:rPr>
          <w:rFonts w:ascii="Verdana" w:hAnsi="Verdana" w:cs="Calibri"/>
          <w:sz w:val="20"/>
          <w:szCs w:val="20"/>
          <w:lang w:val="es-CR"/>
        </w:rPr>
        <w:t>dos por los representantes como</w:t>
      </w:r>
      <w:r w:rsidR="000E6FC3" w:rsidRPr="000057BF">
        <w:rPr>
          <w:rFonts w:ascii="Verdana" w:hAnsi="Verdana" w:cs="Calibri"/>
          <w:sz w:val="20"/>
          <w:szCs w:val="20"/>
          <w:lang w:val="es-CR"/>
        </w:rPr>
        <w:t xml:space="preserve"> prueba de hechos supervinientes,</w:t>
      </w:r>
      <w:r w:rsidR="009F1DA9" w:rsidRPr="000057BF">
        <w:rPr>
          <w:rFonts w:ascii="Verdana" w:hAnsi="Verdana" w:cs="Calibri"/>
          <w:sz w:val="20"/>
          <w:szCs w:val="20"/>
          <w:lang w:val="es-CR"/>
        </w:rPr>
        <w:t xml:space="preserve"> la Corte </w:t>
      </w:r>
      <w:r w:rsidR="00FE1B7E" w:rsidRPr="000057BF">
        <w:rPr>
          <w:rFonts w:ascii="Verdana" w:hAnsi="Verdana"/>
          <w:sz w:val="20"/>
          <w:szCs w:val="20"/>
          <w:lang w:val="es-CR"/>
        </w:rPr>
        <w:t>admite so</w:t>
      </w:r>
      <w:r w:rsidR="0009585C" w:rsidRPr="000057BF">
        <w:rPr>
          <w:rFonts w:ascii="Verdana" w:hAnsi="Verdana"/>
          <w:sz w:val="20"/>
          <w:szCs w:val="20"/>
          <w:lang w:val="es-CR"/>
        </w:rPr>
        <w:t xml:space="preserve">lo aquella </w:t>
      </w:r>
      <w:r w:rsidR="0009585C" w:rsidRPr="003D64E6">
        <w:rPr>
          <w:rFonts w:ascii="Verdana" w:hAnsi="Verdana"/>
          <w:sz w:val="20"/>
          <w:szCs w:val="20"/>
          <w:lang w:val="es-CR"/>
        </w:rPr>
        <w:t>documentación que tenga vinculación directa y exclusiva con la investigación del caso Valenzuela Ávila, y no admite</w:t>
      </w:r>
      <w:r w:rsidR="00027EC1" w:rsidRPr="003D64E6">
        <w:rPr>
          <w:rFonts w:ascii="Verdana" w:hAnsi="Verdana"/>
          <w:sz w:val="20"/>
          <w:szCs w:val="20"/>
          <w:lang w:val="es-CR"/>
        </w:rPr>
        <w:t xml:space="preserve"> la prueba superviniente presentada el 17 de marzo de 2019 relacionada con distintos vínculos disponibles en internet,</w:t>
      </w:r>
      <w:r w:rsidR="00027EC1" w:rsidRPr="000057BF">
        <w:rPr>
          <w:rFonts w:ascii="Verdana" w:hAnsi="Verdana"/>
          <w:sz w:val="20"/>
          <w:szCs w:val="20"/>
          <w:lang w:val="es-CR"/>
        </w:rPr>
        <w:t xml:space="preserve"> ni</w:t>
      </w:r>
      <w:r w:rsidR="0009585C" w:rsidRPr="000057BF">
        <w:rPr>
          <w:rFonts w:ascii="Verdana" w:hAnsi="Verdana"/>
          <w:sz w:val="20"/>
          <w:szCs w:val="20"/>
          <w:lang w:val="es-CR"/>
        </w:rPr>
        <w:t xml:space="preserve"> los anexos del </w:t>
      </w:r>
      <w:r w:rsidR="001016CE" w:rsidRPr="000057BF">
        <w:rPr>
          <w:rFonts w:ascii="Verdana" w:hAnsi="Verdana"/>
          <w:sz w:val="20"/>
          <w:szCs w:val="20"/>
          <w:lang w:val="es-CR"/>
        </w:rPr>
        <w:t>6</w:t>
      </w:r>
      <w:r w:rsidR="0009585C" w:rsidRPr="000057BF">
        <w:rPr>
          <w:rFonts w:ascii="Verdana" w:hAnsi="Verdana"/>
          <w:sz w:val="20"/>
          <w:szCs w:val="20"/>
          <w:lang w:val="es-CR"/>
        </w:rPr>
        <w:t xml:space="preserve"> al 14, ya que se refieren a cuestiones que no tienen vinculación directa con el </w:t>
      </w:r>
      <w:r w:rsidR="0054242C" w:rsidRPr="000057BF">
        <w:rPr>
          <w:rFonts w:ascii="Verdana" w:hAnsi="Verdana"/>
          <w:sz w:val="20"/>
          <w:szCs w:val="20"/>
          <w:lang w:val="es-CR"/>
        </w:rPr>
        <w:t xml:space="preserve">presente </w:t>
      </w:r>
      <w:r w:rsidR="0009585C" w:rsidRPr="000057BF">
        <w:rPr>
          <w:rFonts w:ascii="Verdana" w:hAnsi="Verdana"/>
          <w:sz w:val="20"/>
          <w:szCs w:val="20"/>
          <w:lang w:val="es-CR"/>
        </w:rPr>
        <w:t xml:space="preserve">caso. </w:t>
      </w:r>
    </w:p>
    <w:p w14:paraId="2817A48C" w14:textId="77777777" w:rsidR="00B25AD4" w:rsidRPr="00E434D3" w:rsidRDefault="00B25AD4" w:rsidP="00B25AD4">
      <w:pPr>
        <w:pStyle w:val="Prrafodelista"/>
        <w:autoSpaceDE w:val="0"/>
        <w:autoSpaceDN w:val="0"/>
        <w:adjustRightInd w:val="0"/>
        <w:spacing w:after="0" w:line="240" w:lineRule="auto"/>
        <w:ind w:left="0"/>
        <w:jc w:val="both"/>
        <w:rPr>
          <w:rFonts w:ascii="Verdana" w:hAnsi="Verdana"/>
          <w:sz w:val="20"/>
          <w:szCs w:val="20"/>
          <w:highlight w:val="yellow"/>
          <w:lang w:val="es-CR"/>
        </w:rPr>
      </w:pPr>
    </w:p>
    <w:p w14:paraId="2E105E96" w14:textId="08E34991" w:rsidR="00A71268" w:rsidRPr="009227DA" w:rsidRDefault="00FE1B7E" w:rsidP="005406CA">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Pr>
          <w:rFonts w:ascii="Verdana" w:hAnsi="Verdana"/>
          <w:sz w:val="20"/>
          <w:szCs w:val="20"/>
          <w:lang w:val="es-CR"/>
        </w:rPr>
        <w:t xml:space="preserve">En cuanto a </w:t>
      </w:r>
      <w:r w:rsidR="000E6FC3" w:rsidRPr="009227DA">
        <w:rPr>
          <w:rFonts w:ascii="Verdana" w:hAnsi="Verdana"/>
          <w:sz w:val="20"/>
          <w:szCs w:val="20"/>
          <w:lang w:val="es-CR"/>
        </w:rPr>
        <w:t>los anexos presentados junto con los alegatos finales de los representantes</w:t>
      </w:r>
      <w:r w:rsidR="000E6FC3" w:rsidRPr="009227DA">
        <w:rPr>
          <w:rStyle w:val="Refdenotaalpie"/>
          <w:rFonts w:ascii="Verdana" w:hAnsi="Verdana"/>
          <w:sz w:val="20"/>
          <w:szCs w:val="20"/>
          <w:lang w:val="es-CR"/>
        </w:rPr>
        <w:footnoteReference w:id="28"/>
      </w:r>
      <w:r w:rsidR="000E6FC3" w:rsidRPr="009227DA">
        <w:rPr>
          <w:rFonts w:ascii="Verdana" w:hAnsi="Verdana"/>
          <w:sz w:val="20"/>
          <w:szCs w:val="20"/>
          <w:lang w:val="es-CR"/>
        </w:rPr>
        <w:t xml:space="preserve">, </w:t>
      </w:r>
      <w:r w:rsidR="00EB3591" w:rsidRPr="00A53A89">
        <w:rPr>
          <w:rFonts w:ascii="Verdana" w:hAnsi="Verdana"/>
          <w:sz w:val="20"/>
          <w:szCs w:val="20"/>
          <w:lang w:val="es-CR"/>
        </w:rPr>
        <w:t xml:space="preserve">el Estado </w:t>
      </w:r>
      <w:r w:rsidR="000E6FC3" w:rsidRPr="00A53A89">
        <w:rPr>
          <w:rFonts w:ascii="Verdana" w:hAnsi="Verdana"/>
          <w:sz w:val="20"/>
          <w:szCs w:val="20"/>
          <w:lang w:val="es-CR"/>
        </w:rPr>
        <w:t>en sus observaciones señaló</w:t>
      </w:r>
      <w:r w:rsidR="00E15202" w:rsidRPr="00A53A89">
        <w:rPr>
          <w:rFonts w:ascii="Verdana" w:hAnsi="Verdana"/>
          <w:sz w:val="20"/>
          <w:szCs w:val="20"/>
          <w:lang w:val="es-CR"/>
        </w:rPr>
        <w:t xml:space="preserve"> que</w:t>
      </w:r>
      <w:r w:rsidR="000E6FC3" w:rsidRPr="00A53A89">
        <w:rPr>
          <w:rFonts w:ascii="Verdana" w:hAnsi="Verdana"/>
          <w:sz w:val="20"/>
          <w:szCs w:val="20"/>
          <w:lang w:val="es-CR"/>
        </w:rPr>
        <w:t xml:space="preserve"> respecto</w:t>
      </w:r>
      <w:r w:rsidR="00A53A89">
        <w:rPr>
          <w:rFonts w:ascii="Verdana" w:hAnsi="Verdana"/>
          <w:sz w:val="20"/>
          <w:szCs w:val="20"/>
          <w:lang w:val="es-CR"/>
        </w:rPr>
        <w:t xml:space="preserve"> al anexo 1,</w:t>
      </w:r>
      <w:r w:rsidR="000E6FC3" w:rsidRPr="00A53A89">
        <w:rPr>
          <w:rFonts w:ascii="Verdana" w:hAnsi="Verdana"/>
          <w:sz w:val="20"/>
          <w:szCs w:val="20"/>
          <w:lang w:val="es-CR"/>
        </w:rPr>
        <w:t xml:space="preserve"> </w:t>
      </w:r>
      <w:r w:rsidR="00A53A89">
        <w:rPr>
          <w:rFonts w:ascii="Verdana" w:hAnsi="Verdana"/>
          <w:sz w:val="20"/>
          <w:szCs w:val="20"/>
          <w:lang w:val="es-CR"/>
        </w:rPr>
        <w:t xml:space="preserve">referente </w:t>
      </w:r>
      <w:r w:rsidR="000E6FC3" w:rsidRPr="00A53A89">
        <w:rPr>
          <w:rFonts w:ascii="Verdana" w:hAnsi="Verdana"/>
          <w:sz w:val="20"/>
          <w:szCs w:val="20"/>
          <w:lang w:val="es-CR"/>
        </w:rPr>
        <w:t xml:space="preserve">a los archivos identificados como  MP – Apertura Juicio – </w:t>
      </w:r>
      <w:proofErr w:type="spellStart"/>
      <w:r w:rsidR="000E6FC3" w:rsidRPr="00A53A89">
        <w:rPr>
          <w:rFonts w:ascii="Verdana" w:hAnsi="Verdana"/>
          <w:sz w:val="20"/>
          <w:szCs w:val="20"/>
          <w:lang w:val="es-CR"/>
        </w:rPr>
        <w:t>Suhairam</w:t>
      </w:r>
      <w:proofErr w:type="spellEnd"/>
      <w:r w:rsidR="000E6FC3" w:rsidRPr="00A53A89">
        <w:rPr>
          <w:rFonts w:ascii="Verdana" w:hAnsi="Verdana"/>
          <w:sz w:val="20"/>
          <w:szCs w:val="20"/>
          <w:lang w:val="es-CR"/>
        </w:rPr>
        <w:t xml:space="preserve"> </w:t>
      </w:r>
      <w:proofErr w:type="spellStart"/>
      <w:r w:rsidR="000E6FC3" w:rsidRPr="00A53A89">
        <w:rPr>
          <w:rFonts w:ascii="Verdana" w:hAnsi="Verdana"/>
          <w:sz w:val="20"/>
          <w:szCs w:val="20"/>
          <w:lang w:val="es-CR"/>
        </w:rPr>
        <w:t>Stu</w:t>
      </w:r>
      <w:proofErr w:type="spellEnd"/>
      <w:r w:rsidR="000E6FC3" w:rsidRPr="00A53A89">
        <w:rPr>
          <w:rFonts w:ascii="Verdana" w:hAnsi="Verdana"/>
          <w:sz w:val="20"/>
          <w:szCs w:val="20"/>
          <w:lang w:val="es-CR"/>
        </w:rPr>
        <w:t xml:space="preserve"> 1, 2, y 3,</w:t>
      </w:r>
      <w:r w:rsidR="000E6FC3" w:rsidRPr="009227DA">
        <w:rPr>
          <w:rFonts w:ascii="Verdana" w:hAnsi="Verdana"/>
          <w:sz w:val="20"/>
          <w:szCs w:val="20"/>
          <w:lang w:val="es-CR"/>
        </w:rPr>
        <w:t xml:space="preserve"> considera que </w:t>
      </w:r>
      <w:r w:rsidR="000E6FC3" w:rsidRPr="00210816">
        <w:rPr>
          <w:rFonts w:ascii="Verdana" w:hAnsi="Verdana"/>
          <w:sz w:val="20"/>
          <w:szCs w:val="20"/>
          <w:lang w:val="es-CR"/>
        </w:rPr>
        <w:t xml:space="preserve">tampoco están relacionados con los hechos del caso, ya que si bien se trata de una acusación por ejecuciones extrajudiciales y torturas en contra de varias personas </w:t>
      </w:r>
      <w:r w:rsidR="00D2235A" w:rsidRPr="00210816">
        <w:rPr>
          <w:rFonts w:ascii="Verdana" w:hAnsi="Verdana"/>
          <w:sz w:val="20"/>
          <w:szCs w:val="20"/>
          <w:lang w:val="es-CR"/>
        </w:rPr>
        <w:t xml:space="preserve">dentro </w:t>
      </w:r>
      <w:r w:rsidR="000E6FC3" w:rsidRPr="00210816">
        <w:rPr>
          <w:rFonts w:ascii="Verdana" w:hAnsi="Verdana"/>
          <w:sz w:val="20"/>
          <w:szCs w:val="20"/>
          <w:lang w:val="es-CR"/>
        </w:rPr>
        <w:t>del marco de</w:t>
      </w:r>
      <w:r w:rsidR="00424B1A">
        <w:rPr>
          <w:rFonts w:ascii="Verdana" w:hAnsi="Verdana"/>
          <w:sz w:val="20"/>
          <w:szCs w:val="20"/>
          <w:lang w:val="es-CR"/>
        </w:rPr>
        <w:t xml:space="preserve"> la</w:t>
      </w:r>
      <w:r w:rsidR="00210816">
        <w:rPr>
          <w:rFonts w:ascii="Verdana" w:hAnsi="Verdana"/>
          <w:sz w:val="20"/>
          <w:szCs w:val="20"/>
          <w:lang w:val="es-CR"/>
        </w:rPr>
        <w:t xml:space="preserve"> </w:t>
      </w:r>
      <w:r w:rsidR="00424B1A" w:rsidRPr="00210816">
        <w:rPr>
          <w:rFonts w:ascii="Verdana" w:hAnsi="Verdana" w:cs="Calibri"/>
          <w:sz w:val="20"/>
          <w:szCs w:val="20"/>
          <w:lang w:val="es-ES_tradnl"/>
        </w:rPr>
        <w:t>“Operación Gavilán”,</w:t>
      </w:r>
      <w:r w:rsidR="000E6FC3" w:rsidRPr="00210816">
        <w:rPr>
          <w:rFonts w:ascii="Verdana" w:hAnsi="Verdana"/>
          <w:sz w:val="20"/>
          <w:szCs w:val="20"/>
          <w:lang w:val="es-CR"/>
        </w:rPr>
        <w:t xml:space="preserve"> ninguno de los hechos denunciados por el Ministerio Público se relacionan con el señor Valenzuela. </w:t>
      </w:r>
      <w:r w:rsidR="008329A5">
        <w:rPr>
          <w:rFonts w:ascii="Verdana" w:hAnsi="Verdana"/>
          <w:sz w:val="20"/>
          <w:szCs w:val="20"/>
          <w:lang w:val="es-CR"/>
        </w:rPr>
        <w:t>R</w:t>
      </w:r>
      <w:r w:rsidR="008329A5" w:rsidRPr="009227DA">
        <w:rPr>
          <w:rFonts w:ascii="Verdana" w:hAnsi="Verdana"/>
          <w:sz w:val="20"/>
          <w:szCs w:val="20"/>
          <w:lang w:val="es-CR"/>
        </w:rPr>
        <w:t>especto al archivo identificado como anexo 2, es un informe conjunto presentado por la Fundación Myrna Mack, la Comisión Internacional contra la Impunidad en Guatemala y el medio periodístico Nómada titulado “Redes ilícitas y crisis política: realidad del Congreso guatemalteco”,</w:t>
      </w:r>
      <w:r>
        <w:rPr>
          <w:rFonts w:ascii="Verdana" w:hAnsi="Verdana"/>
          <w:sz w:val="20"/>
          <w:szCs w:val="20"/>
          <w:lang w:val="es-CR"/>
        </w:rPr>
        <w:t xml:space="preserve"> el Estado</w:t>
      </w:r>
      <w:r w:rsidR="008329A5" w:rsidRPr="009227DA">
        <w:rPr>
          <w:rFonts w:ascii="Verdana" w:hAnsi="Verdana"/>
          <w:sz w:val="20"/>
          <w:szCs w:val="20"/>
          <w:lang w:val="es-CR"/>
        </w:rPr>
        <w:t xml:space="preserve"> considera no tiene relación con los hechos presentados por la Comisión y que los representantes intentan introd</w:t>
      </w:r>
      <w:r>
        <w:rPr>
          <w:rFonts w:ascii="Verdana" w:hAnsi="Verdana"/>
          <w:sz w:val="20"/>
          <w:szCs w:val="20"/>
          <w:lang w:val="es-CR"/>
        </w:rPr>
        <w:t>ucir nuevos hechos, y s</w:t>
      </w:r>
      <w:r w:rsidR="008329A5" w:rsidRPr="009227DA">
        <w:rPr>
          <w:rFonts w:ascii="Verdana" w:hAnsi="Verdana"/>
          <w:sz w:val="20"/>
          <w:szCs w:val="20"/>
          <w:lang w:val="es-CR"/>
        </w:rPr>
        <w:t xml:space="preserve">olicitó que </w:t>
      </w:r>
      <w:r w:rsidR="00EB3591">
        <w:rPr>
          <w:rFonts w:ascii="Verdana" w:hAnsi="Verdana"/>
          <w:sz w:val="20"/>
          <w:szCs w:val="20"/>
          <w:lang w:val="es-CR"/>
        </w:rPr>
        <w:t>debía descartarse</w:t>
      </w:r>
      <w:r w:rsidR="008329A5">
        <w:rPr>
          <w:rFonts w:ascii="Verdana" w:hAnsi="Verdana"/>
          <w:sz w:val="20"/>
          <w:szCs w:val="20"/>
          <w:lang w:val="es-CR"/>
        </w:rPr>
        <w:t xml:space="preserve">. Por último, indicó que </w:t>
      </w:r>
      <w:r w:rsidR="008329A5" w:rsidRPr="009227DA">
        <w:rPr>
          <w:rFonts w:ascii="Verdana" w:hAnsi="Verdana"/>
          <w:sz w:val="20"/>
          <w:szCs w:val="20"/>
          <w:lang w:val="es-CR"/>
        </w:rPr>
        <w:t>los representantes no adj</w:t>
      </w:r>
      <w:r>
        <w:rPr>
          <w:rFonts w:ascii="Verdana" w:hAnsi="Verdana"/>
          <w:sz w:val="20"/>
          <w:szCs w:val="20"/>
          <w:lang w:val="es-CR"/>
        </w:rPr>
        <w:t>untaron documentos que acreditaran</w:t>
      </w:r>
      <w:r w:rsidR="008329A5" w:rsidRPr="009227DA">
        <w:rPr>
          <w:rFonts w:ascii="Verdana" w:hAnsi="Verdana"/>
          <w:sz w:val="20"/>
          <w:szCs w:val="20"/>
          <w:lang w:val="es-CR"/>
        </w:rPr>
        <w:t xml:space="preserve"> los gastos sobrevenidos y el momento para hacerlo precluyó</w:t>
      </w:r>
      <w:r w:rsidR="008329A5">
        <w:rPr>
          <w:rFonts w:ascii="Verdana" w:hAnsi="Verdana"/>
          <w:sz w:val="20"/>
          <w:szCs w:val="20"/>
          <w:lang w:val="es-CR"/>
        </w:rPr>
        <w:t>.</w:t>
      </w:r>
      <w:r w:rsidR="008329A5" w:rsidRPr="009227DA">
        <w:rPr>
          <w:rFonts w:ascii="Verdana" w:hAnsi="Verdana"/>
          <w:sz w:val="20"/>
          <w:szCs w:val="20"/>
          <w:lang w:val="es-CR"/>
        </w:rPr>
        <w:t xml:space="preserve"> </w:t>
      </w:r>
      <w:r w:rsidR="000E6FC3" w:rsidRPr="00210816">
        <w:rPr>
          <w:rFonts w:ascii="Verdana" w:hAnsi="Verdana"/>
          <w:sz w:val="20"/>
          <w:szCs w:val="20"/>
          <w:lang w:val="es-CR"/>
        </w:rPr>
        <w:t>Por lo que solicitó su inadmisibilidad.</w:t>
      </w:r>
      <w:bookmarkStart w:id="21" w:name="_Toc10019866"/>
      <w:r w:rsidR="00A71268" w:rsidRPr="00210816">
        <w:rPr>
          <w:rFonts w:ascii="Verdana" w:hAnsi="Verdana"/>
          <w:sz w:val="20"/>
          <w:szCs w:val="20"/>
          <w:lang w:val="es-CR"/>
        </w:rPr>
        <w:t xml:space="preserve"> </w:t>
      </w:r>
    </w:p>
    <w:p w14:paraId="45095E28" w14:textId="77777777" w:rsidR="00A71268" w:rsidRPr="00E434D3" w:rsidRDefault="00A71268" w:rsidP="00A71268">
      <w:pPr>
        <w:pStyle w:val="Prrafodelista"/>
        <w:autoSpaceDE w:val="0"/>
        <w:autoSpaceDN w:val="0"/>
        <w:adjustRightInd w:val="0"/>
        <w:spacing w:after="0" w:line="240" w:lineRule="auto"/>
        <w:ind w:left="0"/>
        <w:jc w:val="both"/>
        <w:rPr>
          <w:rFonts w:ascii="Verdana" w:hAnsi="Verdana"/>
          <w:sz w:val="20"/>
          <w:szCs w:val="20"/>
          <w:highlight w:val="yellow"/>
          <w:lang w:val="es-CR"/>
        </w:rPr>
      </w:pPr>
    </w:p>
    <w:p w14:paraId="136E112E" w14:textId="12ABCF8E" w:rsidR="009553EB" w:rsidRPr="00210816" w:rsidRDefault="00A71268" w:rsidP="005406CA">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210816">
        <w:rPr>
          <w:rFonts w:ascii="Verdana" w:hAnsi="Verdana"/>
          <w:sz w:val="20"/>
          <w:szCs w:val="20"/>
          <w:lang w:val="es-CR"/>
        </w:rPr>
        <w:t xml:space="preserve">Este Tribunal nota </w:t>
      </w:r>
      <w:r w:rsidR="00425317" w:rsidRPr="00210816">
        <w:rPr>
          <w:rFonts w:ascii="Verdana" w:hAnsi="Verdana"/>
          <w:sz w:val="20"/>
          <w:szCs w:val="20"/>
          <w:lang w:val="es-CR"/>
        </w:rPr>
        <w:t xml:space="preserve">que </w:t>
      </w:r>
      <w:r w:rsidRPr="00210816">
        <w:rPr>
          <w:rFonts w:ascii="Verdana" w:hAnsi="Verdana"/>
          <w:sz w:val="20"/>
          <w:szCs w:val="20"/>
          <w:lang w:val="es-CR"/>
        </w:rPr>
        <w:t>el</w:t>
      </w:r>
      <w:r w:rsidR="00C21C42" w:rsidRPr="00210816">
        <w:rPr>
          <w:rFonts w:ascii="Verdana" w:hAnsi="Verdana"/>
          <w:sz w:val="20"/>
          <w:szCs w:val="20"/>
          <w:lang w:val="es-CR"/>
        </w:rPr>
        <w:t xml:space="preserve"> anexo </w:t>
      </w:r>
      <w:r w:rsidR="00A53A89">
        <w:rPr>
          <w:rFonts w:ascii="Verdana" w:hAnsi="Verdana"/>
          <w:sz w:val="20"/>
          <w:szCs w:val="20"/>
          <w:lang w:val="es-CR"/>
        </w:rPr>
        <w:t>1</w:t>
      </w:r>
      <w:r w:rsidR="00DC23FF" w:rsidRPr="00210816">
        <w:rPr>
          <w:rFonts w:ascii="Verdana" w:hAnsi="Verdana"/>
          <w:sz w:val="20"/>
          <w:szCs w:val="20"/>
          <w:lang w:val="es-CR"/>
        </w:rPr>
        <w:t>,</w:t>
      </w:r>
      <w:r w:rsidR="00C21C42" w:rsidRPr="00210816">
        <w:rPr>
          <w:rFonts w:ascii="Verdana" w:hAnsi="Verdana"/>
          <w:sz w:val="20"/>
          <w:szCs w:val="20"/>
          <w:lang w:val="es-CR"/>
        </w:rPr>
        <w:t xml:space="preserve"> </w:t>
      </w:r>
      <w:r w:rsidR="002F3C51" w:rsidRPr="00210816">
        <w:rPr>
          <w:rFonts w:ascii="Verdana" w:hAnsi="Verdana"/>
          <w:sz w:val="20"/>
          <w:szCs w:val="20"/>
          <w:lang w:val="es-CR"/>
        </w:rPr>
        <w:t xml:space="preserve">referente a </w:t>
      </w:r>
      <w:r w:rsidR="00DC23FF" w:rsidRPr="009D1A7D">
        <w:rPr>
          <w:rFonts w:ascii="Verdana" w:hAnsi="Verdana"/>
          <w:sz w:val="20"/>
          <w:szCs w:val="20"/>
          <w:lang w:val="es-CR"/>
        </w:rPr>
        <w:t>un escrito de acusación de 26 de febrero</w:t>
      </w:r>
      <w:r w:rsidR="00224232">
        <w:rPr>
          <w:rFonts w:ascii="Verdana" w:hAnsi="Verdana"/>
          <w:sz w:val="20"/>
          <w:szCs w:val="20"/>
          <w:lang w:val="es-CR"/>
        </w:rPr>
        <w:t xml:space="preserve"> de 2019</w:t>
      </w:r>
      <w:r w:rsidR="00DC23FF" w:rsidRPr="009D1A7D">
        <w:rPr>
          <w:rFonts w:ascii="Verdana" w:hAnsi="Verdana"/>
          <w:sz w:val="20"/>
          <w:szCs w:val="20"/>
          <w:lang w:val="es-CR"/>
        </w:rPr>
        <w:t xml:space="preserve"> presentado por el fiscal CVN</w:t>
      </w:r>
      <w:r w:rsidR="00224232">
        <w:rPr>
          <w:rFonts w:ascii="Verdana" w:hAnsi="Verdana"/>
          <w:sz w:val="20"/>
          <w:szCs w:val="20"/>
          <w:lang w:val="es-CR"/>
        </w:rPr>
        <w:t xml:space="preserve"> </w:t>
      </w:r>
      <w:r w:rsidR="00A53A89" w:rsidRPr="00A53A89">
        <w:rPr>
          <w:rFonts w:ascii="Verdana" w:hAnsi="Verdana"/>
          <w:sz w:val="20"/>
          <w:szCs w:val="20"/>
          <w:lang w:val="es-CR"/>
        </w:rPr>
        <w:t>de la Fiscalía Especial contra la impunidad del Ministerio Público ante el Juez del Juzgado Primero de Primera Instancia Penal, Narcoactividad y Delitos contra el Ambiente</w:t>
      </w:r>
      <w:r w:rsidR="00A53A89">
        <w:rPr>
          <w:rFonts w:ascii="Verdana" w:hAnsi="Verdana"/>
          <w:sz w:val="20"/>
          <w:szCs w:val="20"/>
          <w:lang w:val="es-CR"/>
        </w:rPr>
        <w:t>, relacionada</w:t>
      </w:r>
      <w:r w:rsidR="00224232">
        <w:rPr>
          <w:rFonts w:ascii="Verdana" w:hAnsi="Verdana"/>
          <w:sz w:val="20"/>
          <w:szCs w:val="20"/>
          <w:lang w:val="es-CR"/>
        </w:rPr>
        <w:t xml:space="preserve"> con</w:t>
      </w:r>
      <w:r w:rsidR="00A53A89">
        <w:rPr>
          <w:rFonts w:ascii="Verdana" w:hAnsi="Verdana"/>
          <w:sz w:val="20"/>
          <w:szCs w:val="20"/>
          <w:lang w:val="es-CR"/>
        </w:rPr>
        <w:t xml:space="preserve"> el “Plan Gavilán”</w:t>
      </w:r>
      <w:r w:rsidR="002F3C51" w:rsidRPr="009D1A7D">
        <w:rPr>
          <w:rFonts w:ascii="Verdana" w:hAnsi="Verdana"/>
          <w:sz w:val="20"/>
          <w:szCs w:val="20"/>
          <w:lang w:val="es-CR"/>
        </w:rPr>
        <w:t>,</w:t>
      </w:r>
      <w:r w:rsidR="00DC23FF" w:rsidRPr="009D1A7D">
        <w:rPr>
          <w:rFonts w:ascii="Verdana" w:hAnsi="Verdana"/>
          <w:sz w:val="20"/>
          <w:szCs w:val="20"/>
          <w:lang w:val="es-CR"/>
        </w:rPr>
        <w:t xml:space="preserve"> </w:t>
      </w:r>
      <w:r w:rsidR="00EB3591">
        <w:rPr>
          <w:rFonts w:ascii="Verdana" w:hAnsi="Verdana"/>
          <w:sz w:val="20"/>
          <w:szCs w:val="20"/>
          <w:lang w:val="es-CR"/>
        </w:rPr>
        <w:t>se vincula</w:t>
      </w:r>
      <w:r w:rsidR="001016CE" w:rsidRPr="009D1A7D">
        <w:rPr>
          <w:rFonts w:ascii="Verdana" w:hAnsi="Verdana"/>
          <w:sz w:val="20"/>
          <w:szCs w:val="20"/>
          <w:lang w:val="es-CR"/>
        </w:rPr>
        <w:t xml:space="preserve"> con</w:t>
      </w:r>
      <w:r w:rsidR="00DC23FF" w:rsidRPr="009D1A7D">
        <w:rPr>
          <w:rFonts w:ascii="Verdana" w:hAnsi="Verdana"/>
          <w:sz w:val="20"/>
          <w:szCs w:val="20"/>
          <w:lang w:val="es-CR"/>
        </w:rPr>
        <w:t xml:space="preserve"> el presente caso</w:t>
      </w:r>
      <w:r w:rsidR="001016CE" w:rsidRPr="009D1A7D">
        <w:rPr>
          <w:rFonts w:ascii="Verdana" w:hAnsi="Verdana"/>
          <w:sz w:val="20"/>
          <w:szCs w:val="20"/>
          <w:lang w:val="es-CR"/>
        </w:rPr>
        <w:t xml:space="preserve">, por </w:t>
      </w:r>
      <w:r w:rsidR="00DC23FF" w:rsidRPr="009D1A7D">
        <w:rPr>
          <w:rFonts w:ascii="Verdana" w:hAnsi="Verdana"/>
          <w:sz w:val="20"/>
          <w:szCs w:val="20"/>
          <w:lang w:val="es-CR"/>
        </w:rPr>
        <w:t>tal motivo</w:t>
      </w:r>
      <w:r w:rsidR="00A53A89">
        <w:rPr>
          <w:rFonts w:ascii="Verdana" w:hAnsi="Verdana"/>
          <w:sz w:val="20"/>
          <w:szCs w:val="20"/>
          <w:lang w:val="es-CR"/>
        </w:rPr>
        <w:t xml:space="preserve"> lo admite</w:t>
      </w:r>
      <w:r w:rsidR="00DC23FF" w:rsidRPr="009D1A7D">
        <w:rPr>
          <w:rFonts w:ascii="Verdana" w:hAnsi="Verdana"/>
          <w:sz w:val="20"/>
          <w:szCs w:val="20"/>
          <w:lang w:val="es-CR"/>
        </w:rPr>
        <w:t xml:space="preserve">. En cuanto al anexo </w:t>
      </w:r>
      <w:r w:rsidR="00A53A89">
        <w:rPr>
          <w:rFonts w:ascii="Verdana" w:hAnsi="Verdana"/>
          <w:sz w:val="20"/>
          <w:szCs w:val="20"/>
          <w:lang w:val="es-CR"/>
        </w:rPr>
        <w:t>2</w:t>
      </w:r>
      <w:r w:rsidR="00DC23FF" w:rsidRPr="009D1A7D">
        <w:rPr>
          <w:rFonts w:ascii="Verdana" w:hAnsi="Verdana"/>
          <w:sz w:val="20"/>
          <w:szCs w:val="20"/>
          <w:lang w:val="es-CR"/>
        </w:rPr>
        <w:t>,</w:t>
      </w:r>
      <w:r w:rsidR="00C21C42" w:rsidRPr="009D1A7D">
        <w:rPr>
          <w:rFonts w:ascii="Verdana" w:hAnsi="Verdana"/>
          <w:sz w:val="20"/>
          <w:szCs w:val="20"/>
          <w:lang w:val="es-CR"/>
        </w:rPr>
        <w:t xml:space="preserve"> correspondiente al informe “Redes ilícitas y crisis política: realidad del Congreso guatemalteco”</w:t>
      </w:r>
      <w:r w:rsidR="002F3C51" w:rsidRPr="009D1A7D">
        <w:rPr>
          <w:rFonts w:ascii="Verdana" w:hAnsi="Verdana"/>
          <w:sz w:val="20"/>
          <w:szCs w:val="20"/>
          <w:lang w:val="es-CR"/>
        </w:rPr>
        <w:t>,</w:t>
      </w:r>
      <w:r w:rsidR="00EB3591">
        <w:rPr>
          <w:rFonts w:ascii="Verdana" w:hAnsi="Verdana"/>
          <w:sz w:val="20"/>
          <w:szCs w:val="20"/>
          <w:lang w:val="es-CR"/>
        </w:rPr>
        <w:t xml:space="preserve"> se </w:t>
      </w:r>
      <w:r w:rsidR="00C21C42" w:rsidRPr="009D1A7D">
        <w:rPr>
          <w:rFonts w:ascii="Verdana" w:hAnsi="Verdana"/>
          <w:sz w:val="20"/>
          <w:szCs w:val="20"/>
          <w:lang w:val="es-CR"/>
        </w:rPr>
        <w:t>refiere en general a la situación política de Guatemala</w:t>
      </w:r>
      <w:r w:rsidR="00DC23FF" w:rsidRPr="009D1A7D">
        <w:rPr>
          <w:rFonts w:ascii="Verdana" w:hAnsi="Verdana"/>
          <w:sz w:val="20"/>
          <w:szCs w:val="20"/>
          <w:lang w:val="es-CR"/>
        </w:rPr>
        <w:t>,</w:t>
      </w:r>
      <w:r w:rsidR="00FE1B7E">
        <w:rPr>
          <w:rFonts w:ascii="Verdana" w:hAnsi="Verdana"/>
          <w:sz w:val="20"/>
          <w:szCs w:val="20"/>
          <w:lang w:val="es-CR"/>
        </w:rPr>
        <w:t xml:space="preserve"> el cual</w:t>
      </w:r>
      <w:r w:rsidR="003B6269" w:rsidRPr="009D1A7D">
        <w:rPr>
          <w:rFonts w:ascii="Verdana" w:hAnsi="Verdana"/>
          <w:sz w:val="20"/>
          <w:szCs w:val="20"/>
          <w:lang w:val="es-CR"/>
        </w:rPr>
        <w:t xml:space="preserve"> no tiene</w:t>
      </w:r>
      <w:r w:rsidR="00425317" w:rsidRPr="009D1A7D">
        <w:rPr>
          <w:rFonts w:ascii="Verdana" w:hAnsi="Verdana"/>
          <w:sz w:val="20"/>
          <w:szCs w:val="20"/>
          <w:lang w:val="es-CR"/>
        </w:rPr>
        <w:t xml:space="preserve"> vinculaci</w:t>
      </w:r>
      <w:r w:rsidR="00FE1B7E">
        <w:rPr>
          <w:rFonts w:ascii="Verdana" w:hAnsi="Verdana"/>
          <w:sz w:val="20"/>
          <w:szCs w:val="20"/>
          <w:lang w:val="es-CR"/>
        </w:rPr>
        <w:t>ón directa con el presente caso, por lo que no</w:t>
      </w:r>
      <w:r w:rsidR="00A53A89">
        <w:rPr>
          <w:rFonts w:ascii="Verdana" w:hAnsi="Verdana"/>
          <w:sz w:val="20"/>
          <w:szCs w:val="20"/>
          <w:lang w:val="es-CR"/>
        </w:rPr>
        <w:t xml:space="preserve"> lo</w:t>
      </w:r>
      <w:r w:rsidR="00425317" w:rsidRPr="009D1A7D">
        <w:rPr>
          <w:rFonts w:ascii="Verdana" w:hAnsi="Verdana"/>
          <w:sz w:val="20"/>
          <w:szCs w:val="20"/>
          <w:lang w:val="es-CR"/>
        </w:rPr>
        <w:t xml:space="preserve"> admite.</w:t>
      </w:r>
      <w:r w:rsidR="00C21C42" w:rsidRPr="009D1A7D">
        <w:rPr>
          <w:rFonts w:ascii="Verdana" w:hAnsi="Verdana"/>
          <w:sz w:val="20"/>
          <w:szCs w:val="20"/>
          <w:lang w:val="es-CR"/>
        </w:rPr>
        <w:t xml:space="preserve"> Por </w:t>
      </w:r>
      <w:r w:rsidR="002F3C51" w:rsidRPr="009D1A7D">
        <w:rPr>
          <w:rFonts w:ascii="Verdana" w:hAnsi="Verdana"/>
          <w:sz w:val="20"/>
          <w:szCs w:val="20"/>
          <w:lang w:val="es-CR"/>
        </w:rPr>
        <w:t xml:space="preserve">último, el anexo </w:t>
      </w:r>
      <w:r w:rsidR="00A53A89">
        <w:rPr>
          <w:rFonts w:ascii="Verdana" w:hAnsi="Verdana"/>
          <w:sz w:val="20"/>
          <w:szCs w:val="20"/>
          <w:lang w:val="es-CR"/>
        </w:rPr>
        <w:t>3</w:t>
      </w:r>
      <w:r w:rsidR="00DC23FF" w:rsidRPr="009D1A7D">
        <w:rPr>
          <w:rFonts w:ascii="Verdana" w:hAnsi="Verdana"/>
          <w:sz w:val="20"/>
          <w:szCs w:val="20"/>
          <w:lang w:val="es-CR"/>
        </w:rPr>
        <w:t>,</w:t>
      </w:r>
      <w:r w:rsidR="002F3C51" w:rsidRPr="009D1A7D">
        <w:rPr>
          <w:rFonts w:ascii="Verdana" w:hAnsi="Verdana"/>
          <w:sz w:val="20"/>
          <w:szCs w:val="20"/>
          <w:lang w:val="es-CR"/>
        </w:rPr>
        <w:t xml:space="preserve"> referente</w:t>
      </w:r>
      <w:r w:rsidR="002F3C51" w:rsidRPr="00210816">
        <w:rPr>
          <w:rFonts w:ascii="Verdana" w:hAnsi="Verdana"/>
          <w:sz w:val="20"/>
          <w:szCs w:val="20"/>
          <w:lang w:val="es-CR"/>
        </w:rPr>
        <w:t xml:space="preserve"> a la carpeta</w:t>
      </w:r>
      <w:r w:rsidR="00C21C42" w:rsidRPr="00210816">
        <w:rPr>
          <w:rFonts w:ascii="Verdana" w:hAnsi="Verdana"/>
          <w:sz w:val="20"/>
          <w:szCs w:val="20"/>
          <w:lang w:val="es-CR"/>
        </w:rPr>
        <w:t xml:space="preserve"> </w:t>
      </w:r>
      <w:r w:rsidR="00DC23FF" w:rsidRPr="00210816">
        <w:rPr>
          <w:rFonts w:ascii="Verdana" w:hAnsi="Verdana"/>
          <w:sz w:val="20"/>
          <w:szCs w:val="20"/>
          <w:lang w:val="es-CR"/>
        </w:rPr>
        <w:t xml:space="preserve">de </w:t>
      </w:r>
      <w:r w:rsidR="002F3C51" w:rsidRPr="00210816">
        <w:rPr>
          <w:rFonts w:ascii="Verdana" w:hAnsi="Verdana"/>
          <w:sz w:val="20"/>
          <w:szCs w:val="20"/>
          <w:lang w:val="es-CR"/>
        </w:rPr>
        <w:t>gastos sobrevinientes no fue presentado.</w:t>
      </w:r>
    </w:p>
    <w:p w14:paraId="0095D3BA" w14:textId="77777777" w:rsidR="00B25AD4" w:rsidRPr="000474FD" w:rsidRDefault="000474FD" w:rsidP="000474FD">
      <w:pPr>
        <w:pStyle w:val="Ttulo2"/>
      </w:pPr>
      <w:bookmarkStart w:id="22" w:name="_Toc25247736"/>
      <w:bookmarkEnd w:id="21"/>
      <w:r>
        <w:t xml:space="preserve">B. </w:t>
      </w:r>
      <w:r w:rsidR="00B25AD4" w:rsidRPr="000474FD">
        <w:t>Admisibilidad de las declaraciones y prueba pericial</w:t>
      </w:r>
      <w:bookmarkEnd w:id="22"/>
    </w:p>
    <w:p w14:paraId="0EE83B06" w14:textId="77777777" w:rsidR="00B25AD4" w:rsidRPr="00B25AD4" w:rsidRDefault="00B25AD4" w:rsidP="00B25AD4">
      <w:pPr>
        <w:autoSpaceDE w:val="0"/>
        <w:autoSpaceDN w:val="0"/>
        <w:adjustRightInd w:val="0"/>
        <w:spacing w:after="0" w:line="240" w:lineRule="auto"/>
        <w:jc w:val="both"/>
        <w:rPr>
          <w:rFonts w:ascii="Verdana" w:hAnsi="Verdana"/>
          <w:sz w:val="20"/>
          <w:szCs w:val="20"/>
          <w:lang w:val="es-CR"/>
        </w:rPr>
      </w:pPr>
    </w:p>
    <w:p w14:paraId="7E2D0E59" w14:textId="01D9ACAA" w:rsidR="00B25AD4" w:rsidRPr="003D64E6" w:rsidRDefault="000E6FC3" w:rsidP="005406CA">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3D64E6">
        <w:rPr>
          <w:rFonts w:ascii="Verdana" w:hAnsi="Verdana"/>
          <w:sz w:val="20"/>
          <w:szCs w:val="20"/>
          <w:lang w:val="es-CR"/>
        </w:rPr>
        <w:t>La Cor</w:t>
      </w:r>
      <w:r w:rsidR="006E0C5E" w:rsidRPr="003D64E6">
        <w:rPr>
          <w:rFonts w:ascii="Verdana" w:hAnsi="Verdana"/>
          <w:sz w:val="20"/>
          <w:szCs w:val="20"/>
          <w:lang w:val="es-CR"/>
        </w:rPr>
        <w:t xml:space="preserve">te estima pertinente admitir </w:t>
      </w:r>
      <w:r w:rsidR="00595B25" w:rsidRPr="003D64E6">
        <w:rPr>
          <w:rFonts w:ascii="Verdana" w:hAnsi="Verdana"/>
          <w:sz w:val="20"/>
          <w:szCs w:val="20"/>
          <w:lang w:val="es-CR"/>
        </w:rPr>
        <w:t>una</w:t>
      </w:r>
      <w:r w:rsidR="006E0C5E" w:rsidRPr="003D64E6">
        <w:rPr>
          <w:rFonts w:ascii="Verdana" w:hAnsi="Verdana"/>
          <w:sz w:val="20"/>
          <w:szCs w:val="20"/>
          <w:lang w:val="es-CR"/>
        </w:rPr>
        <w:t xml:space="preserve"> declaración</w:t>
      </w:r>
      <w:r w:rsidRPr="003D64E6">
        <w:rPr>
          <w:rFonts w:ascii="Verdana" w:hAnsi="Verdana"/>
          <w:sz w:val="20"/>
          <w:szCs w:val="20"/>
          <w:lang w:val="es-CR"/>
        </w:rPr>
        <w:t xml:space="preserve"> </w:t>
      </w:r>
      <w:r w:rsidR="006E0C5E" w:rsidRPr="003D64E6">
        <w:rPr>
          <w:rFonts w:ascii="Verdana" w:hAnsi="Verdana"/>
          <w:sz w:val="20"/>
          <w:szCs w:val="20"/>
          <w:lang w:val="es-CR"/>
        </w:rPr>
        <w:t xml:space="preserve">rendida </w:t>
      </w:r>
      <w:r w:rsidRPr="003D64E6">
        <w:rPr>
          <w:rFonts w:ascii="Verdana" w:hAnsi="Verdana"/>
          <w:sz w:val="20"/>
          <w:szCs w:val="20"/>
          <w:lang w:val="es-CR"/>
        </w:rPr>
        <w:t>ante fedatario público</w:t>
      </w:r>
      <w:r w:rsidRPr="003D64E6">
        <w:rPr>
          <w:rStyle w:val="Refdenotaalpie"/>
          <w:rFonts w:ascii="Verdana" w:hAnsi="Verdana"/>
          <w:sz w:val="20"/>
          <w:szCs w:val="20"/>
        </w:rPr>
        <w:footnoteReference w:id="29"/>
      </w:r>
      <w:r w:rsidR="00A42249" w:rsidRPr="003D64E6">
        <w:rPr>
          <w:rFonts w:ascii="Verdana" w:hAnsi="Verdana"/>
          <w:sz w:val="20"/>
          <w:szCs w:val="20"/>
          <w:lang w:val="es-CR"/>
        </w:rPr>
        <w:t>, en cuanto se ajust</w:t>
      </w:r>
      <w:r w:rsidR="006E0C5E" w:rsidRPr="003D64E6">
        <w:rPr>
          <w:rFonts w:ascii="Verdana" w:hAnsi="Verdana"/>
          <w:sz w:val="20"/>
          <w:szCs w:val="20"/>
          <w:lang w:val="es-CR"/>
        </w:rPr>
        <w:t>e</w:t>
      </w:r>
      <w:r w:rsidRPr="003D64E6">
        <w:rPr>
          <w:rFonts w:ascii="Verdana" w:hAnsi="Verdana"/>
          <w:sz w:val="20"/>
          <w:szCs w:val="20"/>
          <w:lang w:val="es-CR"/>
        </w:rPr>
        <w:t xml:space="preserve"> al objeto definido por el Presidente en la </w:t>
      </w:r>
      <w:r w:rsidR="006E0C5E" w:rsidRPr="003D64E6">
        <w:rPr>
          <w:rFonts w:ascii="Verdana" w:hAnsi="Verdana"/>
          <w:sz w:val="20"/>
          <w:szCs w:val="20"/>
          <w:lang w:val="es-CR"/>
        </w:rPr>
        <w:t>Resolución que ordenó recibirla</w:t>
      </w:r>
      <w:r w:rsidRPr="003D64E6">
        <w:rPr>
          <w:rFonts w:ascii="Verdana" w:hAnsi="Verdana"/>
          <w:sz w:val="20"/>
          <w:szCs w:val="20"/>
          <w:lang w:val="es-CR"/>
        </w:rPr>
        <w:t>.</w:t>
      </w:r>
      <w:r w:rsidR="00A42249" w:rsidRPr="003D64E6">
        <w:rPr>
          <w:rFonts w:ascii="Verdana" w:hAnsi="Verdana"/>
          <w:sz w:val="20"/>
          <w:szCs w:val="20"/>
          <w:lang w:val="es-CR"/>
        </w:rPr>
        <w:t xml:space="preserve"> Sin perjuicio de ello, a continuación se realizarán consideraciones puntuales y se resolverán las controversias planteadas sobre la admisibilidad de otras declaraciones o dictámenes.</w:t>
      </w:r>
    </w:p>
    <w:p w14:paraId="218C6861" w14:textId="77777777" w:rsidR="00552E87" w:rsidRDefault="00552E87" w:rsidP="00552E87">
      <w:pPr>
        <w:pStyle w:val="Prrafodelista"/>
        <w:autoSpaceDE w:val="0"/>
        <w:autoSpaceDN w:val="0"/>
        <w:adjustRightInd w:val="0"/>
        <w:spacing w:after="0" w:line="240" w:lineRule="auto"/>
        <w:ind w:left="0"/>
        <w:jc w:val="both"/>
        <w:rPr>
          <w:rFonts w:ascii="Verdana" w:hAnsi="Verdana"/>
          <w:sz w:val="20"/>
          <w:szCs w:val="20"/>
          <w:lang w:val="es-CR"/>
        </w:rPr>
      </w:pPr>
    </w:p>
    <w:p w14:paraId="228D0CA9" w14:textId="4A574404" w:rsidR="00552E87" w:rsidRPr="009227DA" w:rsidRDefault="000E6FC3" w:rsidP="00552E87">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9227DA">
        <w:rPr>
          <w:rFonts w:ascii="Verdana" w:hAnsi="Verdana"/>
          <w:sz w:val="20"/>
          <w:szCs w:val="20"/>
          <w:lang w:val="es-CR"/>
        </w:rPr>
        <w:t xml:space="preserve">El Estado presentó distintas observaciones respecto </w:t>
      </w:r>
      <w:r w:rsidR="005E21B2" w:rsidRPr="009227DA">
        <w:rPr>
          <w:rFonts w:ascii="Verdana" w:hAnsi="Verdana"/>
          <w:sz w:val="20"/>
          <w:szCs w:val="20"/>
          <w:lang w:val="es-CR"/>
        </w:rPr>
        <w:t>al valor probatorio de</w:t>
      </w:r>
      <w:r w:rsidRPr="009227DA">
        <w:rPr>
          <w:rFonts w:ascii="Verdana" w:hAnsi="Verdana"/>
          <w:sz w:val="20"/>
          <w:szCs w:val="20"/>
          <w:lang w:val="es-CR"/>
        </w:rPr>
        <w:t xml:space="preserve"> los siguientes dictámenes periciales rendidos po</w:t>
      </w:r>
      <w:r w:rsidR="005E21B2" w:rsidRPr="009227DA">
        <w:rPr>
          <w:rFonts w:ascii="Verdana" w:hAnsi="Verdana"/>
          <w:sz w:val="20"/>
          <w:szCs w:val="20"/>
          <w:lang w:val="es-CR"/>
        </w:rPr>
        <w:t xml:space="preserve">r: a) </w:t>
      </w:r>
      <w:r w:rsidR="00B25AD4" w:rsidRPr="009227DA">
        <w:rPr>
          <w:rFonts w:ascii="Verdana" w:hAnsi="Verdana"/>
          <w:sz w:val="20"/>
          <w:szCs w:val="20"/>
          <w:lang w:val="es-CR"/>
        </w:rPr>
        <w:t>Olga Patricia Roldán Monterroso</w:t>
      </w:r>
      <w:r w:rsidR="00D7468B">
        <w:rPr>
          <w:rFonts w:ascii="Verdana" w:hAnsi="Verdana"/>
          <w:sz w:val="20"/>
          <w:szCs w:val="20"/>
          <w:lang w:val="es-CR"/>
        </w:rPr>
        <w:t>;</w:t>
      </w:r>
      <w:r w:rsidR="005E21B2" w:rsidRPr="009227DA">
        <w:rPr>
          <w:rFonts w:ascii="Verdana" w:hAnsi="Verdana"/>
          <w:sz w:val="20"/>
          <w:szCs w:val="20"/>
          <w:lang w:val="es-CR"/>
        </w:rPr>
        <w:t xml:space="preserve"> </w:t>
      </w:r>
      <w:r w:rsidR="00484329">
        <w:rPr>
          <w:rFonts w:ascii="Verdana" w:hAnsi="Verdana"/>
          <w:sz w:val="20"/>
          <w:szCs w:val="20"/>
          <w:lang w:val="es-CR"/>
        </w:rPr>
        <w:t>b</w:t>
      </w:r>
      <w:r w:rsidR="00B25AD4" w:rsidRPr="009227DA">
        <w:rPr>
          <w:rFonts w:ascii="Verdana" w:hAnsi="Verdana"/>
          <w:sz w:val="20"/>
          <w:szCs w:val="20"/>
          <w:lang w:val="es-CR"/>
        </w:rPr>
        <w:t xml:space="preserve">) Leonel González Postigo, </w:t>
      </w:r>
      <w:r w:rsidR="005E21B2" w:rsidRPr="009227DA">
        <w:rPr>
          <w:rFonts w:ascii="Verdana" w:hAnsi="Verdana"/>
          <w:sz w:val="20"/>
          <w:szCs w:val="20"/>
          <w:lang w:val="es-CR"/>
        </w:rPr>
        <w:t xml:space="preserve">y </w:t>
      </w:r>
      <w:r w:rsidR="00484329">
        <w:rPr>
          <w:rFonts w:ascii="Verdana" w:hAnsi="Verdana"/>
          <w:sz w:val="20"/>
          <w:szCs w:val="20"/>
          <w:lang w:val="es-CR"/>
        </w:rPr>
        <w:t>c</w:t>
      </w:r>
      <w:r w:rsidR="00B25AD4" w:rsidRPr="009227DA">
        <w:rPr>
          <w:rFonts w:ascii="Verdana" w:hAnsi="Verdana"/>
          <w:sz w:val="20"/>
          <w:szCs w:val="20"/>
          <w:lang w:val="es-CR"/>
        </w:rPr>
        <w:t>) Dennis Martínez</w:t>
      </w:r>
      <w:r w:rsidR="004E52A6" w:rsidRPr="009227DA">
        <w:rPr>
          <w:rFonts w:ascii="Verdana" w:hAnsi="Verdana"/>
          <w:sz w:val="20"/>
          <w:szCs w:val="20"/>
          <w:lang w:val="es-CR"/>
        </w:rPr>
        <w:t>.</w:t>
      </w:r>
      <w:r w:rsidR="00340F20" w:rsidRPr="009227DA">
        <w:rPr>
          <w:rFonts w:ascii="Verdana" w:hAnsi="Verdana"/>
          <w:sz w:val="20"/>
          <w:szCs w:val="20"/>
          <w:lang w:val="es-CR"/>
        </w:rPr>
        <w:t xml:space="preserve"> </w:t>
      </w:r>
    </w:p>
    <w:p w14:paraId="182B6472" w14:textId="77777777" w:rsidR="00B25AD4" w:rsidRPr="004372A3" w:rsidRDefault="00B25AD4" w:rsidP="00B25AD4">
      <w:pPr>
        <w:pStyle w:val="Prrafodelista"/>
        <w:widowControl w:val="0"/>
        <w:adjustRightInd w:val="0"/>
        <w:spacing w:after="0" w:line="240" w:lineRule="auto"/>
        <w:jc w:val="both"/>
        <w:textAlignment w:val="baseline"/>
        <w:rPr>
          <w:rFonts w:ascii="Verdana" w:hAnsi="Verdana"/>
          <w:sz w:val="20"/>
          <w:szCs w:val="20"/>
          <w:lang w:val="es-CR"/>
        </w:rPr>
      </w:pPr>
    </w:p>
    <w:p w14:paraId="53B933F8" w14:textId="5CA2979E" w:rsidR="00C67232" w:rsidRDefault="00C92E20" w:rsidP="005406CA">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C67232">
        <w:rPr>
          <w:rFonts w:ascii="Verdana" w:hAnsi="Verdana"/>
          <w:sz w:val="20"/>
          <w:szCs w:val="20"/>
          <w:lang w:val="es-CR"/>
        </w:rPr>
        <w:t xml:space="preserve">Este </w:t>
      </w:r>
      <w:r w:rsidR="000E6FC3" w:rsidRPr="00C67232">
        <w:rPr>
          <w:rFonts w:ascii="Verdana" w:hAnsi="Verdana"/>
          <w:b/>
          <w:i/>
          <w:sz w:val="20"/>
          <w:szCs w:val="20"/>
          <w:lang w:val="es-CR" w:eastAsia="es-ES"/>
        </w:rPr>
        <w:t>Tribunal</w:t>
      </w:r>
      <w:r w:rsidR="000E6FC3" w:rsidRPr="00C67232">
        <w:rPr>
          <w:rFonts w:ascii="Verdana" w:hAnsi="Verdana"/>
          <w:sz w:val="20"/>
          <w:szCs w:val="20"/>
          <w:lang w:val="es-CR" w:eastAsia="es-ES"/>
        </w:rPr>
        <w:t xml:space="preserve"> entiende que el Estado no impugna su admisibilidad, sino que cuestiona su valor probatorio. En consecuencia, admite los peritajes de</w:t>
      </w:r>
      <w:r w:rsidR="000E6FC3" w:rsidRPr="00C67232">
        <w:rPr>
          <w:rFonts w:ascii="Verdana" w:hAnsi="Verdana"/>
          <w:sz w:val="20"/>
          <w:szCs w:val="20"/>
          <w:lang w:val="es-CR"/>
        </w:rPr>
        <w:t xml:space="preserve"> Olga Patricia Rold</w:t>
      </w:r>
      <w:r w:rsidR="00D7468B">
        <w:rPr>
          <w:rFonts w:ascii="Verdana" w:hAnsi="Verdana"/>
          <w:sz w:val="20"/>
          <w:szCs w:val="20"/>
          <w:lang w:val="es-CR"/>
        </w:rPr>
        <w:t>á</w:t>
      </w:r>
      <w:r w:rsidR="00484329">
        <w:rPr>
          <w:rFonts w:ascii="Verdana" w:hAnsi="Verdana"/>
          <w:sz w:val="20"/>
          <w:szCs w:val="20"/>
          <w:lang w:val="es-CR"/>
        </w:rPr>
        <w:t>n Monterroso</w:t>
      </w:r>
      <w:r w:rsidR="000E6FC3" w:rsidRPr="00C67232">
        <w:rPr>
          <w:rFonts w:ascii="Verdana" w:hAnsi="Verdana" w:cs="Arial"/>
          <w:color w:val="1E1E1E"/>
          <w:sz w:val="20"/>
          <w:szCs w:val="20"/>
          <w:lang w:val="es-CR"/>
        </w:rPr>
        <w:t xml:space="preserve"> </w:t>
      </w:r>
      <w:r w:rsidR="000E6FC3" w:rsidRPr="00C67232">
        <w:rPr>
          <w:rFonts w:ascii="Verdana" w:hAnsi="Verdana"/>
          <w:sz w:val="20"/>
          <w:szCs w:val="20"/>
          <w:lang w:val="es-CR" w:eastAsia="es-ES"/>
        </w:rPr>
        <w:t xml:space="preserve">y </w:t>
      </w:r>
      <w:r w:rsidR="000E6FC3" w:rsidRPr="00C67232">
        <w:rPr>
          <w:rFonts w:ascii="Verdana" w:hAnsi="Verdana"/>
          <w:sz w:val="20"/>
          <w:szCs w:val="20"/>
          <w:lang w:val="es-CR"/>
        </w:rPr>
        <w:t>Leonel González Postigo,</w:t>
      </w:r>
      <w:r w:rsidR="000E6FC3" w:rsidRPr="00C67232">
        <w:rPr>
          <w:rFonts w:ascii="Verdana" w:hAnsi="Verdana"/>
          <w:sz w:val="20"/>
          <w:szCs w:val="20"/>
          <w:lang w:val="es-CR" w:eastAsia="es-ES"/>
        </w:rPr>
        <w:t xml:space="preserve"> los cuales serán considerados en lo pertinente en cuanto se ajusten al objeto ordenado y teniendo en cuenta las observaciones del Estado. En </w:t>
      </w:r>
      <w:r w:rsidR="00BC4A0C" w:rsidRPr="00C67232">
        <w:rPr>
          <w:rFonts w:ascii="Verdana" w:hAnsi="Verdana"/>
          <w:sz w:val="20"/>
          <w:szCs w:val="20"/>
          <w:lang w:val="es-CR" w:eastAsia="es-ES"/>
        </w:rPr>
        <w:t xml:space="preserve">cuanto </w:t>
      </w:r>
      <w:r w:rsidR="000E6FC3" w:rsidRPr="00C67232">
        <w:rPr>
          <w:rFonts w:ascii="Verdana" w:hAnsi="Verdana"/>
          <w:sz w:val="20"/>
          <w:szCs w:val="20"/>
          <w:lang w:val="es-CR" w:eastAsia="es-ES"/>
        </w:rPr>
        <w:t xml:space="preserve">al peritaje de </w:t>
      </w:r>
      <w:r w:rsidR="00CB562F" w:rsidRPr="00C67232">
        <w:rPr>
          <w:rFonts w:ascii="Verdana" w:hAnsi="Verdana"/>
          <w:sz w:val="20"/>
          <w:szCs w:val="20"/>
          <w:lang w:val="es-CR"/>
        </w:rPr>
        <w:t>Dennis Martínez</w:t>
      </w:r>
      <w:r w:rsidR="00CB562F" w:rsidRPr="00C67232">
        <w:rPr>
          <w:rFonts w:ascii="Verdana" w:hAnsi="Verdana"/>
          <w:i/>
          <w:sz w:val="20"/>
          <w:szCs w:val="20"/>
          <w:lang w:val="es-CR"/>
        </w:rPr>
        <w:t xml:space="preserve">, </w:t>
      </w:r>
      <w:r w:rsidR="00B64006" w:rsidRPr="00C67232">
        <w:rPr>
          <w:rFonts w:ascii="Verdana" w:hAnsi="Verdana" w:cs="Verdana"/>
          <w:sz w:val="20"/>
          <w:szCs w:val="20"/>
        </w:rPr>
        <w:t xml:space="preserve">el </w:t>
      </w:r>
      <w:r w:rsidR="00B64006" w:rsidRPr="00C67232">
        <w:rPr>
          <w:rFonts w:ascii="Verdana" w:hAnsi="Verdana" w:cs="Century Gothic"/>
          <w:sz w:val="20"/>
          <w:szCs w:val="20"/>
          <w:lang w:val="es-PE"/>
        </w:rPr>
        <w:t xml:space="preserve">Estado desvirtuó </w:t>
      </w:r>
      <w:r w:rsidR="004D5DBA" w:rsidRPr="00C67232">
        <w:rPr>
          <w:rFonts w:ascii="Verdana" w:hAnsi="Verdana" w:cs="Century Gothic"/>
          <w:sz w:val="20"/>
          <w:szCs w:val="20"/>
          <w:lang w:val="es-PE"/>
        </w:rPr>
        <w:t xml:space="preserve">el peritaje </w:t>
      </w:r>
      <w:r w:rsidR="00B64006" w:rsidRPr="00C67232">
        <w:rPr>
          <w:rFonts w:ascii="Verdana" w:hAnsi="Verdana" w:cs="Century Gothic"/>
          <w:sz w:val="20"/>
          <w:szCs w:val="20"/>
          <w:lang w:val="es-PE"/>
        </w:rPr>
        <w:t xml:space="preserve">alegando que “el documento está revestido de falsedad” </w:t>
      </w:r>
      <w:r w:rsidR="00FE1B7E">
        <w:rPr>
          <w:rFonts w:ascii="Verdana" w:hAnsi="Verdana" w:cs="Century Gothic"/>
          <w:sz w:val="20"/>
          <w:szCs w:val="20"/>
          <w:lang w:val="es-PE"/>
        </w:rPr>
        <w:t>de acuerdo con</w:t>
      </w:r>
      <w:r w:rsidR="00857E9D" w:rsidRPr="00C67232">
        <w:rPr>
          <w:rFonts w:ascii="Verdana" w:hAnsi="Verdana" w:cs="Century Gothic"/>
          <w:sz w:val="20"/>
          <w:szCs w:val="20"/>
          <w:lang w:val="es-PE"/>
        </w:rPr>
        <w:t xml:space="preserve"> la legislación guatemalteca </w:t>
      </w:r>
      <w:r w:rsidR="00B64006" w:rsidRPr="00C67232">
        <w:rPr>
          <w:rFonts w:ascii="Verdana" w:hAnsi="Verdana" w:cs="Century Gothic"/>
          <w:sz w:val="20"/>
          <w:szCs w:val="20"/>
          <w:lang w:val="es-PE"/>
        </w:rPr>
        <w:t xml:space="preserve">por </w:t>
      </w:r>
      <w:r w:rsidR="004D5DBA" w:rsidRPr="00C67232">
        <w:rPr>
          <w:rFonts w:ascii="Verdana" w:hAnsi="Verdana" w:cs="Century Gothic"/>
          <w:sz w:val="20"/>
          <w:szCs w:val="20"/>
          <w:lang w:val="es-PE"/>
        </w:rPr>
        <w:t xml:space="preserve">ser presentado por un error de forma. Al respecto, </w:t>
      </w:r>
      <w:r w:rsidR="00C67232" w:rsidRPr="00C67232">
        <w:rPr>
          <w:rFonts w:ascii="Verdana" w:hAnsi="Verdana" w:cs="Century Gothic"/>
          <w:sz w:val="20"/>
          <w:szCs w:val="20"/>
          <w:lang w:val="es-PE"/>
        </w:rPr>
        <w:t>e</w:t>
      </w:r>
      <w:r w:rsidR="00ED1803" w:rsidRPr="00C67232">
        <w:rPr>
          <w:rFonts w:ascii="Verdana" w:hAnsi="Verdana" w:cs="Century Gothic"/>
          <w:sz w:val="20"/>
          <w:szCs w:val="20"/>
          <w:lang w:val="es-PE"/>
        </w:rPr>
        <w:t>l</w:t>
      </w:r>
      <w:r w:rsidR="008E4835" w:rsidRPr="00C67232">
        <w:rPr>
          <w:rFonts w:ascii="Verdana" w:hAnsi="Verdana" w:cs="Century Gothic"/>
          <w:sz w:val="20"/>
          <w:szCs w:val="20"/>
          <w:lang w:val="es-PE"/>
        </w:rPr>
        <w:t xml:space="preserve"> señor Martínez</w:t>
      </w:r>
      <w:r w:rsidR="008A398C" w:rsidRPr="00C67232">
        <w:rPr>
          <w:rFonts w:ascii="Verdana" w:hAnsi="Verdana" w:cs="Century Gothic"/>
          <w:sz w:val="20"/>
          <w:szCs w:val="20"/>
          <w:lang w:val="es-PE"/>
        </w:rPr>
        <w:t xml:space="preserve"> rindió su dictamen pericial ante notario pú</w:t>
      </w:r>
      <w:r w:rsidR="00ED1803" w:rsidRPr="00C67232">
        <w:rPr>
          <w:rFonts w:ascii="Verdana" w:hAnsi="Verdana" w:cs="Century Gothic"/>
          <w:sz w:val="20"/>
          <w:szCs w:val="20"/>
          <w:lang w:val="es-PE"/>
        </w:rPr>
        <w:t>blico, el cual por</w:t>
      </w:r>
      <w:r w:rsidR="00787A70" w:rsidRPr="00C67232">
        <w:rPr>
          <w:rFonts w:ascii="Verdana" w:hAnsi="Verdana" w:cs="Century Gothic"/>
          <w:sz w:val="20"/>
          <w:szCs w:val="20"/>
          <w:lang w:val="es-PE"/>
        </w:rPr>
        <w:t xml:space="preserve"> su</w:t>
      </w:r>
      <w:r w:rsidR="00ED1803" w:rsidRPr="00C67232">
        <w:rPr>
          <w:rFonts w:ascii="Verdana" w:hAnsi="Verdana" w:cs="Century Gothic"/>
          <w:sz w:val="20"/>
          <w:szCs w:val="20"/>
          <w:lang w:val="es-PE"/>
        </w:rPr>
        <w:t>s</w:t>
      </w:r>
      <w:r w:rsidR="00787A70" w:rsidRPr="00C67232">
        <w:rPr>
          <w:rFonts w:ascii="Verdana" w:hAnsi="Verdana" w:cs="Century Gothic"/>
          <w:sz w:val="20"/>
          <w:szCs w:val="20"/>
          <w:lang w:val="es-PE"/>
        </w:rPr>
        <w:t xml:space="preserve"> características es distinto a </w:t>
      </w:r>
      <w:r w:rsidR="00064569" w:rsidRPr="00C67232">
        <w:rPr>
          <w:rFonts w:ascii="Verdana" w:hAnsi="Verdana" w:cs="Century Gothic"/>
          <w:sz w:val="20"/>
          <w:szCs w:val="20"/>
          <w:lang w:val="es-PE"/>
        </w:rPr>
        <w:t xml:space="preserve">la de </w:t>
      </w:r>
      <w:r w:rsidR="00787A70" w:rsidRPr="00C67232">
        <w:rPr>
          <w:rFonts w:ascii="Verdana" w:hAnsi="Verdana" w:cs="Century Gothic"/>
          <w:sz w:val="20"/>
          <w:szCs w:val="20"/>
          <w:lang w:val="es-PE"/>
        </w:rPr>
        <w:t xml:space="preserve">una declaración testimonial, </w:t>
      </w:r>
      <w:r w:rsidR="00ED1803" w:rsidRPr="00C67232">
        <w:rPr>
          <w:rFonts w:ascii="Verdana" w:hAnsi="Verdana" w:cs="Century Gothic"/>
          <w:sz w:val="20"/>
          <w:szCs w:val="20"/>
          <w:lang w:val="es-PE"/>
        </w:rPr>
        <w:t xml:space="preserve">y </w:t>
      </w:r>
      <w:r w:rsidR="00C67232" w:rsidRPr="00C67232">
        <w:rPr>
          <w:rFonts w:ascii="Verdana" w:hAnsi="Verdana"/>
          <w:sz w:val="20"/>
          <w:szCs w:val="20"/>
        </w:rPr>
        <w:t>en tal sentido, la valoración de su contenido no se encuentra sujeta a las formalidades requeridas para las pruebas testimoniales.</w:t>
      </w:r>
      <w:r w:rsidR="00C67232" w:rsidRPr="00C67232">
        <w:rPr>
          <w:rFonts w:ascii="Verdana" w:hAnsi="Verdana" w:cs="Century Gothic"/>
          <w:sz w:val="20"/>
          <w:szCs w:val="20"/>
          <w:lang w:val="es-PE"/>
        </w:rPr>
        <w:t xml:space="preserve"> </w:t>
      </w:r>
      <w:r w:rsidR="00C67232" w:rsidRPr="00C67232">
        <w:rPr>
          <w:rFonts w:ascii="Verdana" w:hAnsi="Verdana"/>
          <w:sz w:val="20"/>
          <w:szCs w:val="20"/>
        </w:rPr>
        <w:t xml:space="preserve">No obstante, su </w:t>
      </w:r>
      <w:r w:rsidR="00EB3591">
        <w:rPr>
          <w:rFonts w:ascii="Verdana" w:hAnsi="Verdana"/>
          <w:sz w:val="20"/>
          <w:szCs w:val="20"/>
        </w:rPr>
        <w:t xml:space="preserve">valor probatorio dependerá de que se </w:t>
      </w:r>
      <w:r w:rsidR="00C67232" w:rsidRPr="00C67232">
        <w:rPr>
          <w:rFonts w:ascii="Verdana" w:hAnsi="Verdana"/>
          <w:sz w:val="20"/>
          <w:szCs w:val="20"/>
        </w:rPr>
        <w:t>ajuste al objeto ordenado</w:t>
      </w:r>
      <w:r w:rsidR="00C67232">
        <w:rPr>
          <w:rFonts w:ascii="Verdana" w:hAnsi="Verdana"/>
          <w:sz w:val="20"/>
          <w:szCs w:val="20"/>
        </w:rPr>
        <w:t xml:space="preserve"> y </w:t>
      </w:r>
      <w:r w:rsidR="00C67232" w:rsidRPr="00C67232">
        <w:rPr>
          <w:rFonts w:ascii="Verdana" w:hAnsi="Verdana"/>
          <w:sz w:val="20"/>
          <w:szCs w:val="20"/>
        </w:rPr>
        <w:t xml:space="preserve">el conjunto del acervo probatorio. </w:t>
      </w:r>
      <w:r w:rsidR="008A398C" w:rsidRPr="00C67232">
        <w:rPr>
          <w:rFonts w:ascii="Verdana" w:hAnsi="Verdana" w:cs="Century Gothic"/>
          <w:sz w:val="20"/>
          <w:szCs w:val="20"/>
          <w:lang w:val="es-PE"/>
        </w:rPr>
        <w:t xml:space="preserve">En razón de lo anterior, </w:t>
      </w:r>
      <w:r w:rsidR="00ED1803" w:rsidRPr="00C67232">
        <w:rPr>
          <w:rFonts w:ascii="Verdana" w:hAnsi="Verdana" w:cs="Century Gothic"/>
          <w:sz w:val="20"/>
          <w:szCs w:val="20"/>
          <w:lang w:val="es-PE"/>
        </w:rPr>
        <w:t>este Tribunal</w:t>
      </w:r>
      <w:r w:rsidR="00787A70" w:rsidRPr="00C67232">
        <w:rPr>
          <w:rFonts w:ascii="Verdana" w:hAnsi="Verdana"/>
          <w:sz w:val="20"/>
          <w:szCs w:val="20"/>
          <w:lang w:val="es-CR"/>
        </w:rPr>
        <w:t xml:space="preserve"> admite </w:t>
      </w:r>
      <w:r w:rsidR="00ED1803" w:rsidRPr="00C67232">
        <w:rPr>
          <w:rFonts w:ascii="Verdana" w:hAnsi="Verdana"/>
          <w:sz w:val="20"/>
          <w:szCs w:val="20"/>
          <w:lang w:val="es-CR"/>
        </w:rPr>
        <w:t>el dictamen pericial</w:t>
      </w:r>
      <w:r w:rsidR="00C67232">
        <w:rPr>
          <w:rFonts w:ascii="Verdana" w:hAnsi="Verdana"/>
          <w:sz w:val="20"/>
          <w:szCs w:val="20"/>
          <w:lang w:val="es-CR"/>
        </w:rPr>
        <w:t xml:space="preserve"> del señor Martínez</w:t>
      </w:r>
      <w:r w:rsidR="00C67232">
        <w:t>.</w:t>
      </w:r>
    </w:p>
    <w:p w14:paraId="030B80AC" w14:textId="77777777" w:rsidR="00B25AD4" w:rsidRPr="00C67232" w:rsidRDefault="00ED1803" w:rsidP="00C67232">
      <w:pPr>
        <w:pStyle w:val="Prrafodelista"/>
        <w:autoSpaceDE w:val="0"/>
        <w:autoSpaceDN w:val="0"/>
        <w:adjustRightInd w:val="0"/>
        <w:spacing w:after="0" w:line="240" w:lineRule="auto"/>
        <w:ind w:left="0"/>
        <w:jc w:val="both"/>
        <w:rPr>
          <w:rFonts w:ascii="Verdana" w:hAnsi="Verdana"/>
          <w:sz w:val="20"/>
          <w:szCs w:val="20"/>
          <w:lang w:val="es-CR"/>
        </w:rPr>
      </w:pPr>
      <w:r w:rsidRPr="00C67232">
        <w:rPr>
          <w:rFonts w:ascii="Verdana" w:hAnsi="Verdana"/>
          <w:sz w:val="20"/>
          <w:szCs w:val="20"/>
          <w:lang w:val="es-CR"/>
        </w:rPr>
        <w:t xml:space="preserve"> </w:t>
      </w:r>
    </w:p>
    <w:p w14:paraId="6B53F636" w14:textId="77777777" w:rsidR="00B25AD4" w:rsidRDefault="000E6FC3" w:rsidP="005406CA">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B25AD4">
        <w:rPr>
          <w:rFonts w:ascii="Verdana" w:hAnsi="Verdana"/>
          <w:sz w:val="20"/>
          <w:szCs w:val="20"/>
          <w:lang w:val="es-CR"/>
        </w:rPr>
        <w:t xml:space="preserve">El Estado presentó distintas observaciones respecto a </w:t>
      </w:r>
      <w:r w:rsidR="00564133">
        <w:rPr>
          <w:rFonts w:ascii="Verdana" w:hAnsi="Verdana"/>
          <w:sz w:val="20"/>
          <w:szCs w:val="20"/>
          <w:lang w:val="es-CR"/>
        </w:rPr>
        <w:t xml:space="preserve">las </w:t>
      </w:r>
      <w:r w:rsidRPr="00B25AD4">
        <w:rPr>
          <w:rFonts w:ascii="Verdana" w:hAnsi="Verdana"/>
          <w:sz w:val="20"/>
          <w:szCs w:val="20"/>
          <w:lang w:val="es-CR"/>
        </w:rPr>
        <w:t>declaraci</w:t>
      </w:r>
      <w:r w:rsidR="00564133">
        <w:rPr>
          <w:rFonts w:ascii="Verdana" w:hAnsi="Verdana"/>
          <w:sz w:val="20"/>
          <w:szCs w:val="20"/>
          <w:lang w:val="es-CR"/>
        </w:rPr>
        <w:t>o</w:t>
      </w:r>
      <w:r w:rsidR="00564133" w:rsidRPr="009227DA">
        <w:rPr>
          <w:rFonts w:ascii="Verdana" w:hAnsi="Verdana"/>
          <w:sz w:val="20"/>
          <w:szCs w:val="20"/>
          <w:lang w:val="es-CR"/>
        </w:rPr>
        <w:t xml:space="preserve">nes </w:t>
      </w:r>
      <w:r w:rsidRPr="009227DA">
        <w:rPr>
          <w:rFonts w:ascii="Verdana" w:eastAsia="Verdana" w:hAnsi="Verdana" w:cs="Verdana"/>
          <w:sz w:val="20"/>
          <w:szCs w:val="20"/>
          <w:lang w:val="es-CR"/>
        </w:rPr>
        <w:t xml:space="preserve">de Florinda López de </w:t>
      </w:r>
      <w:r w:rsidR="00C67232" w:rsidRPr="009227DA">
        <w:rPr>
          <w:rFonts w:ascii="Verdana" w:eastAsia="Verdana" w:hAnsi="Verdana" w:cs="Verdana"/>
          <w:sz w:val="20"/>
          <w:szCs w:val="20"/>
          <w:lang w:val="es-CR"/>
        </w:rPr>
        <w:t>López</w:t>
      </w:r>
      <w:r w:rsidR="004F6269" w:rsidRPr="009227DA">
        <w:rPr>
          <w:rFonts w:ascii="Verdana" w:eastAsia="Verdana" w:hAnsi="Verdana" w:cs="Verdana"/>
          <w:sz w:val="20"/>
          <w:szCs w:val="20"/>
          <w:lang w:val="es-CR"/>
        </w:rPr>
        <w:t>,</w:t>
      </w:r>
      <w:r w:rsidR="00D2235A" w:rsidRPr="009227DA">
        <w:rPr>
          <w:rFonts w:ascii="Verdana" w:eastAsia="Verdana" w:hAnsi="Verdana" w:cs="Verdana"/>
          <w:sz w:val="20"/>
          <w:szCs w:val="20"/>
          <w:lang w:val="es-CR"/>
        </w:rPr>
        <w:t xml:space="preserve"> </w:t>
      </w:r>
      <w:r w:rsidR="00C67232" w:rsidRPr="009227DA">
        <w:rPr>
          <w:rFonts w:ascii="Verdana" w:eastAsia="Verdana" w:hAnsi="Verdana" w:cs="Verdana"/>
          <w:sz w:val="20"/>
          <w:szCs w:val="20"/>
          <w:lang w:val="es-CR"/>
        </w:rPr>
        <w:t>Rosa María Mendoza López</w:t>
      </w:r>
      <w:r w:rsidR="00D2235A" w:rsidRPr="009227DA">
        <w:rPr>
          <w:rFonts w:ascii="Verdana" w:eastAsia="Verdana" w:hAnsi="Verdana" w:cs="Verdana"/>
          <w:sz w:val="20"/>
          <w:szCs w:val="20"/>
          <w:lang w:val="es-CR"/>
        </w:rPr>
        <w:t xml:space="preserve"> </w:t>
      </w:r>
      <w:r w:rsidR="00564133" w:rsidRPr="009227DA">
        <w:rPr>
          <w:rFonts w:ascii="Verdana" w:eastAsia="Verdana" w:hAnsi="Verdana" w:cs="Verdana"/>
          <w:sz w:val="20"/>
          <w:szCs w:val="20"/>
          <w:lang w:val="es-CR"/>
        </w:rPr>
        <w:t xml:space="preserve">y </w:t>
      </w:r>
      <w:r w:rsidRPr="00BF2146">
        <w:rPr>
          <w:rFonts w:ascii="Verdana" w:hAnsi="Verdana"/>
          <w:sz w:val="20"/>
          <w:szCs w:val="20"/>
          <w:lang w:val="es-ES"/>
        </w:rPr>
        <w:t xml:space="preserve">Cristóbal Gerónimo Chales. </w:t>
      </w:r>
      <w:r w:rsidRPr="00BF2146">
        <w:rPr>
          <w:rFonts w:ascii="Verdana" w:hAnsi="Verdana"/>
          <w:sz w:val="20"/>
          <w:szCs w:val="20"/>
          <w:lang w:val="es-CR" w:eastAsia="es-ES"/>
        </w:rPr>
        <w:t>Este</w:t>
      </w:r>
      <w:r w:rsidRPr="00B25AD4">
        <w:rPr>
          <w:rFonts w:ascii="Verdana" w:hAnsi="Verdana"/>
          <w:i/>
          <w:sz w:val="20"/>
          <w:szCs w:val="20"/>
          <w:lang w:val="es-CR" w:eastAsia="es-ES"/>
        </w:rPr>
        <w:t xml:space="preserve"> </w:t>
      </w:r>
      <w:r w:rsidRPr="00B25AD4">
        <w:rPr>
          <w:rFonts w:ascii="Verdana" w:hAnsi="Verdana"/>
          <w:b/>
          <w:i/>
          <w:sz w:val="20"/>
          <w:szCs w:val="20"/>
          <w:lang w:val="es-CR" w:eastAsia="es-ES"/>
        </w:rPr>
        <w:t>Tribunal</w:t>
      </w:r>
      <w:r w:rsidRPr="00B25AD4">
        <w:rPr>
          <w:rFonts w:ascii="Verdana" w:hAnsi="Verdana"/>
          <w:sz w:val="20"/>
          <w:szCs w:val="20"/>
          <w:lang w:val="es-CR" w:eastAsia="es-ES"/>
        </w:rPr>
        <w:t xml:space="preserve"> nota que el Estado en sus observaciones a las declaraciones cuestiona su contenido, por lo que la Corte entiende que no impugna su admisibilidad, sino que cuestiona su valor probatorio</w:t>
      </w:r>
      <w:r w:rsidRPr="00EC2F24">
        <w:rPr>
          <w:rStyle w:val="Refdenotaalpie"/>
          <w:rFonts w:ascii="Verdana" w:hAnsi="Verdana"/>
          <w:sz w:val="20"/>
          <w:szCs w:val="20"/>
          <w:lang w:val="es-CR" w:eastAsia="es-ES"/>
        </w:rPr>
        <w:footnoteReference w:id="30"/>
      </w:r>
      <w:r w:rsidRPr="00B25AD4">
        <w:rPr>
          <w:rFonts w:ascii="Verdana" w:hAnsi="Verdana"/>
          <w:sz w:val="20"/>
          <w:szCs w:val="20"/>
          <w:lang w:val="es-CR" w:eastAsia="es-ES"/>
        </w:rPr>
        <w:t>. En consecuencia, este Tribunal admite las referidas declaraciones, las cuales serán consideradas en lo pertinente en cuanto se ajusten al objeto ordenado y teniendo en cuenta las observaciones del Estado.</w:t>
      </w:r>
    </w:p>
    <w:p w14:paraId="0F196A83" w14:textId="77777777" w:rsidR="005E2A26" w:rsidRDefault="005E2A26" w:rsidP="00B25AD4">
      <w:pPr>
        <w:pStyle w:val="Prrafodelista"/>
        <w:autoSpaceDE w:val="0"/>
        <w:autoSpaceDN w:val="0"/>
        <w:adjustRightInd w:val="0"/>
        <w:spacing w:after="0" w:line="240" w:lineRule="auto"/>
        <w:ind w:left="0"/>
        <w:jc w:val="both"/>
        <w:rPr>
          <w:rFonts w:ascii="Verdana" w:hAnsi="Verdana"/>
          <w:sz w:val="20"/>
          <w:szCs w:val="20"/>
          <w:lang w:val="es-CR" w:eastAsia="es-ES"/>
        </w:rPr>
      </w:pPr>
    </w:p>
    <w:p w14:paraId="5D17D591" w14:textId="77777777" w:rsidR="00B25AD4" w:rsidRPr="000474FD" w:rsidRDefault="005E2A26" w:rsidP="00872F17">
      <w:pPr>
        <w:pStyle w:val="Ttulo1"/>
        <w:spacing w:before="0"/>
      </w:pPr>
      <w:bookmarkStart w:id="23" w:name="_Toc25247737"/>
      <w:r>
        <w:t>VII</w:t>
      </w:r>
      <w:r w:rsidR="00872F17">
        <w:br/>
      </w:r>
      <w:r w:rsidR="00B25AD4" w:rsidRPr="000474FD">
        <w:t>HECHOS</w:t>
      </w:r>
      <w:bookmarkEnd w:id="23"/>
    </w:p>
    <w:p w14:paraId="7668FB6E" w14:textId="77777777" w:rsidR="00B25AD4" w:rsidRDefault="00B25AD4" w:rsidP="00B25AD4">
      <w:pPr>
        <w:pStyle w:val="Prrafodelista"/>
        <w:autoSpaceDE w:val="0"/>
        <w:autoSpaceDN w:val="0"/>
        <w:adjustRightInd w:val="0"/>
        <w:spacing w:after="0" w:line="240" w:lineRule="auto"/>
        <w:ind w:left="0"/>
        <w:jc w:val="both"/>
        <w:rPr>
          <w:rFonts w:ascii="Verdana" w:hAnsi="Verdana"/>
          <w:sz w:val="20"/>
          <w:szCs w:val="20"/>
          <w:lang w:val="es-CR"/>
        </w:rPr>
      </w:pPr>
    </w:p>
    <w:p w14:paraId="3482B069" w14:textId="77777777" w:rsidR="00B76F3A" w:rsidRPr="005E2A26" w:rsidRDefault="000E6FC3" w:rsidP="005406CA">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B25AD4">
        <w:rPr>
          <w:rFonts w:ascii="Verdana" w:hAnsi="Verdana"/>
          <w:sz w:val="20"/>
          <w:szCs w:val="20"/>
          <w:lang w:val="es-CR"/>
        </w:rPr>
        <w:t xml:space="preserve">En el presente capítulo se establecerán los hechos del presente caso </w:t>
      </w:r>
      <w:r w:rsidRPr="00B25AD4">
        <w:rPr>
          <w:rFonts w:ascii="Verdana" w:hAnsi="Verdana"/>
          <w:sz w:val="20"/>
          <w:szCs w:val="20"/>
          <w:lang w:val="es-PE"/>
        </w:rPr>
        <w:t>y, cuando sea pertinente, los hechos en controversia,</w:t>
      </w:r>
      <w:r w:rsidRPr="00B25AD4">
        <w:rPr>
          <w:rFonts w:ascii="Verdana" w:hAnsi="Verdana"/>
          <w:sz w:val="20"/>
          <w:szCs w:val="20"/>
          <w:lang w:val="es-CR"/>
        </w:rPr>
        <w:t xml:space="preserve"> con base en el marco fáctico sometido al conocimiento de la Corte por la Comisión, teniendo en cuenta el acervo probatorio aportado y lo alegado por las partes</w:t>
      </w:r>
      <w:r w:rsidRPr="00B25AD4">
        <w:rPr>
          <w:rFonts w:ascii="Verdana" w:eastAsia="Verdana" w:hAnsi="Verdana" w:cs="Verdana"/>
          <w:color w:val="000000"/>
          <w:sz w:val="20"/>
          <w:szCs w:val="20"/>
          <w:lang w:val="es-CR"/>
        </w:rPr>
        <w:t>. L</w:t>
      </w:r>
      <w:r w:rsidRPr="00B25AD4">
        <w:rPr>
          <w:rFonts w:ascii="Verdana" w:hAnsi="Verdana"/>
          <w:sz w:val="20"/>
          <w:szCs w:val="20"/>
          <w:lang w:val="es-CR"/>
        </w:rPr>
        <w:t xml:space="preserve">os mismos serán expuestos en el siguiente orden: A) Normativa en Guatemala; B) Situación del señor Tirso Román Valenzuela Ávila y el proceso penal que culminó con la sentencia de pena de muerte; C) </w:t>
      </w:r>
      <w:r w:rsidRPr="00B25AD4">
        <w:rPr>
          <w:rFonts w:ascii="Verdana" w:hAnsi="Verdana"/>
          <w:sz w:val="20"/>
          <w:szCs w:val="20"/>
          <w:lang w:val="es-AR"/>
        </w:rPr>
        <w:t>Alegados actos de violencia, fugas del señor Valenzuela y diligencias judiciales realizadas</w:t>
      </w:r>
      <w:r w:rsidRPr="00B25AD4">
        <w:rPr>
          <w:rFonts w:ascii="Verdana" w:hAnsi="Verdana"/>
          <w:sz w:val="20"/>
          <w:szCs w:val="20"/>
          <w:lang w:val="es-CR"/>
        </w:rPr>
        <w:t xml:space="preserve">, y D) Muerte del señor Valenzuela y </w:t>
      </w:r>
      <w:r w:rsidR="00D65035">
        <w:rPr>
          <w:rFonts w:ascii="Verdana" w:hAnsi="Verdana"/>
          <w:sz w:val="20"/>
          <w:szCs w:val="20"/>
          <w:lang w:val="es-CR"/>
        </w:rPr>
        <w:t xml:space="preserve">su </w:t>
      </w:r>
      <w:r w:rsidRPr="00B25AD4">
        <w:rPr>
          <w:rFonts w:ascii="Verdana" w:hAnsi="Verdana"/>
          <w:sz w:val="20"/>
          <w:szCs w:val="20"/>
          <w:lang w:val="es-CR"/>
        </w:rPr>
        <w:t>investigación.</w:t>
      </w:r>
    </w:p>
    <w:p w14:paraId="14B672F4" w14:textId="77777777" w:rsidR="00B76F3A" w:rsidRPr="005E2A26" w:rsidRDefault="00B76F3A" w:rsidP="005E2A26">
      <w:pPr>
        <w:pStyle w:val="Ttulo2"/>
      </w:pPr>
      <w:bookmarkStart w:id="24" w:name="_Toc25247738"/>
      <w:r w:rsidRPr="00EC2F24">
        <w:t>A. Normativa en Guatemala</w:t>
      </w:r>
      <w:bookmarkEnd w:id="24"/>
    </w:p>
    <w:p w14:paraId="3664C712" w14:textId="1D80EC25" w:rsidR="00B76F3A" w:rsidRPr="00E339A6" w:rsidRDefault="00B76F3A" w:rsidP="000474FD">
      <w:pPr>
        <w:pStyle w:val="Ttulo3"/>
        <w:rPr>
          <w:rFonts w:eastAsia="Verdana"/>
          <w:b w:val="0"/>
        </w:rPr>
      </w:pPr>
      <w:bookmarkStart w:id="25" w:name="_Toc25247739"/>
      <w:r w:rsidRPr="00E339A6">
        <w:rPr>
          <w:rFonts w:eastAsia="Verdana"/>
          <w:b w:val="0"/>
        </w:rPr>
        <w:t>A.1</w:t>
      </w:r>
      <w:r w:rsidR="00E339A6" w:rsidRPr="00E339A6">
        <w:rPr>
          <w:rFonts w:eastAsia="Verdana"/>
          <w:b w:val="0"/>
        </w:rPr>
        <w:t>.</w:t>
      </w:r>
      <w:r w:rsidRPr="00E339A6">
        <w:rPr>
          <w:rFonts w:eastAsia="Verdana"/>
          <w:b w:val="0"/>
        </w:rPr>
        <w:t xml:space="preserve"> Norma</w:t>
      </w:r>
      <w:r w:rsidR="00734557">
        <w:rPr>
          <w:rFonts w:eastAsia="Verdana"/>
          <w:b w:val="0"/>
        </w:rPr>
        <w:t>tiva</w:t>
      </w:r>
      <w:r w:rsidRPr="00E339A6">
        <w:rPr>
          <w:rFonts w:eastAsia="Verdana"/>
          <w:b w:val="0"/>
        </w:rPr>
        <w:t xml:space="preserve"> vigente en Guatemala al momento de los hechos relativas a la pena de muerte</w:t>
      </w:r>
      <w:bookmarkEnd w:id="25"/>
    </w:p>
    <w:p w14:paraId="5335BB81" w14:textId="77777777" w:rsidR="00B76F3A" w:rsidRDefault="00B76F3A" w:rsidP="00B76F3A">
      <w:pPr>
        <w:pStyle w:val="Prrafodelista"/>
        <w:autoSpaceDE w:val="0"/>
        <w:autoSpaceDN w:val="0"/>
        <w:adjustRightInd w:val="0"/>
        <w:spacing w:after="0" w:line="240" w:lineRule="auto"/>
        <w:ind w:left="0"/>
        <w:jc w:val="both"/>
        <w:rPr>
          <w:rFonts w:ascii="Verdana" w:hAnsi="Verdana"/>
          <w:sz w:val="20"/>
          <w:szCs w:val="20"/>
          <w:lang w:val="es-CR"/>
        </w:rPr>
      </w:pPr>
    </w:p>
    <w:p w14:paraId="4F672605" w14:textId="77777777" w:rsidR="000458F4" w:rsidRPr="000458F4" w:rsidRDefault="000E6FC3" w:rsidP="005406CA">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B76F3A">
        <w:rPr>
          <w:rFonts w:ascii="Verdana" w:hAnsi="Verdana"/>
          <w:sz w:val="20"/>
          <w:szCs w:val="20"/>
          <w:lang w:val="es-CR"/>
        </w:rPr>
        <w:t xml:space="preserve">El artículo 18 de la Constitución de Guatemala </w:t>
      </w:r>
      <w:r w:rsidR="00564133">
        <w:rPr>
          <w:rFonts w:ascii="Verdana" w:hAnsi="Verdana"/>
          <w:sz w:val="20"/>
          <w:szCs w:val="20"/>
          <w:lang w:val="es-CR"/>
        </w:rPr>
        <w:t xml:space="preserve">prevé </w:t>
      </w:r>
      <w:r w:rsidRPr="00B76F3A">
        <w:rPr>
          <w:rFonts w:ascii="Verdana" w:hAnsi="Verdana"/>
          <w:sz w:val="20"/>
          <w:szCs w:val="20"/>
          <w:lang w:val="es-CR"/>
        </w:rPr>
        <w:t>la posibilidad de que dentro de Guatemala se aplique la pena de muerte</w:t>
      </w:r>
      <w:r w:rsidRPr="00EC2F24">
        <w:rPr>
          <w:rStyle w:val="Refdenotaalpie"/>
          <w:rFonts w:ascii="Verdana" w:hAnsi="Verdana"/>
          <w:sz w:val="20"/>
          <w:szCs w:val="20"/>
        </w:rPr>
        <w:footnoteReference w:id="31"/>
      </w:r>
      <w:r w:rsidRPr="00B76F3A">
        <w:rPr>
          <w:rFonts w:ascii="Verdana" w:hAnsi="Verdana"/>
          <w:sz w:val="20"/>
          <w:szCs w:val="20"/>
          <w:lang w:val="es-CR"/>
        </w:rPr>
        <w:t xml:space="preserve">. El artículo 43 del Código Penal establece que la pena de muerte “tiene carácter extraordinario y solo podrá aplicarse en los casos </w:t>
      </w:r>
      <w:r w:rsidRPr="00B76F3A">
        <w:rPr>
          <w:rFonts w:ascii="Verdana" w:hAnsi="Verdana"/>
          <w:sz w:val="20"/>
          <w:szCs w:val="20"/>
          <w:lang w:val="es-CR"/>
        </w:rPr>
        <w:lastRenderedPageBreak/>
        <w:t>expresamente consignados en la ley y no se ejecutará, sino después de agotarse todos los recursos legales”</w:t>
      </w:r>
      <w:r w:rsidRPr="00EC2F24">
        <w:rPr>
          <w:rStyle w:val="Refdenotaalpie"/>
          <w:rFonts w:ascii="Verdana" w:hAnsi="Verdana"/>
          <w:sz w:val="20"/>
          <w:szCs w:val="20"/>
        </w:rPr>
        <w:footnoteReference w:id="32"/>
      </w:r>
      <w:r w:rsidRPr="00B76F3A">
        <w:rPr>
          <w:rFonts w:ascii="Verdana" w:hAnsi="Verdana"/>
          <w:sz w:val="20"/>
          <w:szCs w:val="20"/>
          <w:lang w:val="es-CR"/>
        </w:rPr>
        <w:t>.</w:t>
      </w:r>
      <w:r w:rsidRPr="00B76F3A">
        <w:rPr>
          <w:rFonts w:ascii="Verdana" w:eastAsia="Verdana" w:hAnsi="Verdana" w:cs="Verdana"/>
          <w:b/>
          <w:sz w:val="20"/>
          <w:szCs w:val="20"/>
          <w:lang w:val="es-CR"/>
        </w:rPr>
        <w:t xml:space="preserve"> </w:t>
      </w:r>
    </w:p>
    <w:p w14:paraId="432A65B5" w14:textId="77777777" w:rsidR="000458F4" w:rsidRDefault="000458F4" w:rsidP="000458F4">
      <w:pPr>
        <w:pStyle w:val="Prrafodelista"/>
        <w:autoSpaceDE w:val="0"/>
        <w:autoSpaceDN w:val="0"/>
        <w:adjustRightInd w:val="0"/>
        <w:spacing w:after="0" w:line="240" w:lineRule="auto"/>
        <w:ind w:left="0"/>
        <w:jc w:val="both"/>
        <w:rPr>
          <w:rFonts w:ascii="Verdana" w:hAnsi="Verdana"/>
          <w:sz w:val="20"/>
          <w:szCs w:val="20"/>
          <w:lang w:val="es-CR"/>
        </w:rPr>
      </w:pPr>
    </w:p>
    <w:p w14:paraId="4C8CAD11" w14:textId="77777777" w:rsidR="000458F4" w:rsidRPr="000458F4" w:rsidRDefault="000E6FC3" w:rsidP="005406CA">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0458F4">
        <w:rPr>
          <w:rFonts w:ascii="Verdana" w:eastAsia="Verdana" w:hAnsi="Verdana" w:cs="Verdana"/>
          <w:sz w:val="20"/>
          <w:szCs w:val="20"/>
          <w:lang w:val="es-CR"/>
        </w:rPr>
        <w:t>El artículo 132 del Código Penal vigente en 1995 tipificaba el asesinato en los siguientes términos:</w:t>
      </w:r>
    </w:p>
    <w:p w14:paraId="4BD8369F" w14:textId="77777777" w:rsidR="000458F4" w:rsidRDefault="000458F4" w:rsidP="000458F4">
      <w:pPr>
        <w:pStyle w:val="Prrafodelista"/>
        <w:autoSpaceDE w:val="0"/>
        <w:autoSpaceDN w:val="0"/>
        <w:adjustRightInd w:val="0"/>
        <w:spacing w:after="0" w:line="240" w:lineRule="auto"/>
        <w:ind w:left="0"/>
        <w:jc w:val="both"/>
        <w:rPr>
          <w:rFonts w:ascii="Verdana" w:hAnsi="Verdana"/>
          <w:sz w:val="20"/>
          <w:szCs w:val="20"/>
          <w:lang w:val="es-CR"/>
        </w:rPr>
      </w:pPr>
    </w:p>
    <w:p w14:paraId="40B45C9C" w14:textId="77777777" w:rsidR="000458F4" w:rsidRPr="000458F4" w:rsidRDefault="000458F4" w:rsidP="000458F4">
      <w:pPr>
        <w:pStyle w:val="Prrafodelista"/>
        <w:autoSpaceDE w:val="0"/>
        <w:autoSpaceDN w:val="0"/>
        <w:adjustRightInd w:val="0"/>
        <w:spacing w:after="0" w:line="240" w:lineRule="auto"/>
        <w:ind w:right="558"/>
        <w:jc w:val="both"/>
        <w:rPr>
          <w:rFonts w:ascii="Verdana" w:hAnsi="Verdana" w:cs="Times New Roman"/>
          <w:sz w:val="16"/>
          <w:szCs w:val="20"/>
          <w:lang w:val="es-PE"/>
        </w:rPr>
      </w:pPr>
      <w:r w:rsidRPr="000458F4">
        <w:rPr>
          <w:rFonts w:ascii="Verdana" w:hAnsi="Verdana" w:cs="Times New Roman"/>
          <w:sz w:val="16"/>
          <w:szCs w:val="20"/>
          <w:lang w:val="es-PE"/>
        </w:rPr>
        <w:t>Comete asesinato quién matare a una persona:</w:t>
      </w:r>
    </w:p>
    <w:p w14:paraId="6251A742" w14:textId="77777777" w:rsidR="000458F4" w:rsidRPr="000458F4" w:rsidRDefault="00D2235A" w:rsidP="000458F4">
      <w:pPr>
        <w:pStyle w:val="Prrafodelista"/>
        <w:autoSpaceDE w:val="0"/>
        <w:autoSpaceDN w:val="0"/>
        <w:adjustRightInd w:val="0"/>
        <w:spacing w:after="0" w:line="240" w:lineRule="auto"/>
        <w:ind w:right="558"/>
        <w:jc w:val="both"/>
        <w:rPr>
          <w:rFonts w:ascii="Verdana" w:hAnsi="Verdana" w:cs="Times New Roman"/>
          <w:sz w:val="16"/>
          <w:szCs w:val="20"/>
          <w:lang w:val="es-PE"/>
        </w:rPr>
      </w:pPr>
      <w:r>
        <w:rPr>
          <w:rFonts w:ascii="Verdana" w:hAnsi="Verdana" w:cs="Times New Roman"/>
          <w:sz w:val="16"/>
          <w:szCs w:val="20"/>
          <w:lang w:val="es-PE"/>
        </w:rPr>
        <w:t>1</w:t>
      </w:r>
      <w:r w:rsidR="000458F4" w:rsidRPr="000458F4">
        <w:rPr>
          <w:rFonts w:ascii="Verdana" w:hAnsi="Verdana" w:cs="Times New Roman"/>
          <w:sz w:val="16"/>
          <w:szCs w:val="20"/>
          <w:lang w:val="es-PE"/>
        </w:rPr>
        <w:t>) Con alevosía. 2) Por precio, recompensa o promesa. 3) Por medio o con ocasión de inundación, incendio, veneno, explosión, desmoronamiento, derrumbe de edificio u otro artificio que pueda ocasionar gran estrago. 4) Con premeditación conocida. 5) Con ensañamiento. 6) Con impulso de perversidad brutal. 7) Para preparar, facilitar, consumar u ocultar otro delito o para asegurar sus resultados o la impunidad para sí o para sus copartícipes o por no haber obtenido el resultado que se hubiere propuesto al intentar otro hecho punible.</w:t>
      </w:r>
    </w:p>
    <w:p w14:paraId="718A7FF7" w14:textId="77777777" w:rsidR="000458F4" w:rsidRPr="000458F4" w:rsidRDefault="000458F4" w:rsidP="000458F4">
      <w:pPr>
        <w:pStyle w:val="Prrafodelista"/>
        <w:autoSpaceDE w:val="0"/>
        <w:autoSpaceDN w:val="0"/>
        <w:adjustRightInd w:val="0"/>
        <w:spacing w:after="0" w:line="240" w:lineRule="auto"/>
        <w:ind w:right="556"/>
        <w:jc w:val="both"/>
        <w:rPr>
          <w:rFonts w:ascii="Verdana" w:eastAsia="Verdana" w:hAnsi="Verdana" w:cs="Verdana"/>
          <w:sz w:val="16"/>
          <w:szCs w:val="20"/>
          <w:lang w:val="es-CR"/>
        </w:rPr>
      </w:pPr>
      <w:r w:rsidRPr="000458F4">
        <w:rPr>
          <w:rFonts w:ascii="Verdana" w:hAnsi="Verdana" w:cs="Times New Roman"/>
          <w:sz w:val="16"/>
          <w:szCs w:val="20"/>
          <w:lang w:val="es-PE"/>
        </w:rPr>
        <w:t>Al reo de asesinato se le impondrá prisión de veinte a treinta años; sin embargo se impondrá la pena de muerte en lugar del máximo de prisión, si por las circunstancias del hecho y de la ocasión, la manera de realizarlo y los móviles determinantes, se revelare una mayor y particular peligrosidad del agente</w:t>
      </w:r>
      <w:r w:rsidRPr="000458F4">
        <w:rPr>
          <w:rStyle w:val="Refdenotaalpie"/>
          <w:rFonts w:ascii="Verdana" w:eastAsia="Verdana" w:hAnsi="Verdana" w:cs="Verdana"/>
          <w:sz w:val="16"/>
          <w:szCs w:val="20"/>
        </w:rPr>
        <w:footnoteReference w:id="33"/>
      </w:r>
      <w:r w:rsidRPr="007B6ACD">
        <w:rPr>
          <w:rFonts w:ascii="Verdana" w:eastAsia="Verdana" w:hAnsi="Verdana" w:cs="Verdana"/>
          <w:sz w:val="16"/>
          <w:szCs w:val="20"/>
          <w:lang w:val="es-CR"/>
        </w:rPr>
        <w:t>.</w:t>
      </w:r>
      <w:r w:rsidRPr="000458F4">
        <w:rPr>
          <w:rFonts w:ascii="Verdana" w:eastAsia="Verdana" w:hAnsi="Verdana" w:cs="Verdana"/>
          <w:b/>
          <w:sz w:val="16"/>
          <w:szCs w:val="20"/>
          <w:lang w:val="es-CR"/>
        </w:rPr>
        <w:t xml:space="preserve"> </w:t>
      </w:r>
      <w:r w:rsidRPr="000458F4">
        <w:rPr>
          <w:rFonts w:ascii="Verdana" w:eastAsia="Verdana" w:hAnsi="Verdana" w:cs="Verdana"/>
          <w:i/>
          <w:sz w:val="16"/>
          <w:szCs w:val="20"/>
          <w:lang w:val="es-CR"/>
        </w:rPr>
        <w:t xml:space="preserve"> </w:t>
      </w:r>
    </w:p>
    <w:p w14:paraId="695C23A2" w14:textId="77777777" w:rsidR="000458F4" w:rsidRDefault="000458F4" w:rsidP="000458F4">
      <w:pPr>
        <w:pStyle w:val="Prrafodelista"/>
        <w:autoSpaceDE w:val="0"/>
        <w:autoSpaceDN w:val="0"/>
        <w:adjustRightInd w:val="0"/>
        <w:spacing w:after="0" w:line="240" w:lineRule="auto"/>
        <w:ind w:left="0"/>
        <w:jc w:val="both"/>
        <w:rPr>
          <w:rFonts w:ascii="Verdana" w:hAnsi="Verdana"/>
          <w:sz w:val="20"/>
          <w:szCs w:val="20"/>
          <w:lang w:val="es-CR"/>
        </w:rPr>
      </w:pPr>
    </w:p>
    <w:p w14:paraId="0ECFF644" w14:textId="1A0087FC" w:rsidR="000458F4" w:rsidRPr="000458F4" w:rsidRDefault="000E6FC3" w:rsidP="005406CA">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0458F4">
        <w:rPr>
          <w:rFonts w:ascii="Verdana" w:hAnsi="Verdana"/>
          <w:sz w:val="20"/>
          <w:szCs w:val="20"/>
          <w:lang w:val="es-CR"/>
        </w:rPr>
        <w:t>La pena de mue</w:t>
      </w:r>
      <w:r w:rsidR="00EB3591">
        <w:rPr>
          <w:rFonts w:ascii="Verdana" w:hAnsi="Verdana"/>
          <w:sz w:val="20"/>
          <w:szCs w:val="20"/>
          <w:lang w:val="es-CR"/>
        </w:rPr>
        <w:t>rte en Guatemala era aplicada so</w:t>
      </w:r>
      <w:r w:rsidRPr="000458F4">
        <w:rPr>
          <w:rFonts w:ascii="Verdana" w:hAnsi="Verdana"/>
          <w:sz w:val="20"/>
          <w:szCs w:val="20"/>
          <w:lang w:val="es-CR"/>
        </w:rPr>
        <w:t>lo ocasionalmente hasta la década de los 90. Sin embargo, a partir de 1996</w:t>
      </w:r>
      <w:r w:rsidRPr="00EC2F24">
        <w:rPr>
          <w:rStyle w:val="Refdenotaalpie"/>
          <w:rFonts w:ascii="Verdana" w:hAnsi="Verdana"/>
          <w:sz w:val="20"/>
          <w:szCs w:val="20"/>
        </w:rPr>
        <w:footnoteReference w:id="34"/>
      </w:r>
      <w:r w:rsidRPr="000458F4">
        <w:rPr>
          <w:rFonts w:ascii="Verdana" w:hAnsi="Verdana"/>
          <w:sz w:val="20"/>
          <w:szCs w:val="20"/>
          <w:lang w:val="es-CR"/>
        </w:rPr>
        <w:t xml:space="preserve"> el Estado volvió a aplicarla primero por medio de fusilamiento, conforme al Decreto No. 234 del Congreso de la República</w:t>
      </w:r>
      <w:r w:rsidRPr="00EC2F24">
        <w:rPr>
          <w:rStyle w:val="Refdenotaalpie"/>
          <w:rFonts w:ascii="Verdana" w:hAnsi="Verdana"/>
          <w:sz w:val="20"/>
          <w:szCs w:val="20"/>
        </w:rPr>
        <w:footnoteReference w:id="35"/>
      </w:r>
      <w:r w:rsidRPr="000458F4">
        <w:rPr>
          <w:rFonts w:ascii="Verdana" w:hAnsi="Verdana"/>
          <w:sz w:val="20"/>
          <w:szCs w:val="20"/>
          <w:lang w:val="es-CR"/>
        </w:rPr>
        <w:t>, y luego a través de inyección letal, después que el Decreto No. 234 fue derogado por el Decreto No.100-96 de noviembre de 1996, mediante el cual se estableció</w:t>
      </w:r>
      <w:r w:rsidR="00D65035">
        <w:rPr>
          <w:rFonts w:ascii="Verdana" w:hAnsi="Verdana"/>
          <w:sz w:val="20"/>
          <w:szCs w:val="20"/>
          <w:lang w:val="es-CR"/>
        </w:rPr>
        <w:t xml:space="preserve"> este nuevo método de ejecución</w:t>
      </w:r>
      <w:r w:rsidRPr="00EC2F24">
        <w:rPr>
          <w:rStyle w:val="Refdenotaalpie"/>
          <w:rFonts w:ascii="Verdana" w:hAnsi="Verdana"/>
          <w:sz w:val="20"/>
          <w:szCs w:val="20"/>
        </w:rPr>
        <w:footnoteReference w:id="36"/>
      </w:r>
      <w:r w:rsidR="00D65035">
        <w:rPr>
          <w:rFonts w:ascii="Verdana" w:hAnsi="Verdana"/>
          <w:sz w:val="20"/>
          <w:szCs w:val="20"/>
          <w:lang w:val="es-CR"/>
        </w:rPr>
        <w:t>.</w:t>
      </w:r>
      <w:r w:rsidRPr="000458F4">
        <w:rPr>
          <w:rFonts w:ascii="Verdana" w:hAnsi="Verdana"/>
          <w:sz w:val="20"/>
          <w:szCs w:val="20"/>
          <w:lang w:val="es-CR"/>
        </w:rPr>
        <w:t xml:space="preserve"> </w:t>
      </w:r>
    </w:p>
    <w:p w14:paraId="5B273E35" w14:textId="77777777" w:rsidR="000458F4" w:rsidRDefault="000458F4" w:rsidP="000458F4">
      <w:pPr>
        <w:pStyle w:val="Prrafodelista"/>
        <w:autoSpaceDE w:val="0"/>
        <w:autoSpaceDN w:val="0"/>
        <w:adjustRightInd w:val="0"/>
        <w:spacing w:after="0" w:line="240" w:lineRule="auto"/>
        <w:ind w:left="0"/>
        <w:jc w:val="both"/>
        <w:rPr>
          <w:rFonts w:ascii="Verdana" w:hAnsi="Verdana"/>
          <w:sz w:val="20"/>
          <w:szCs w:val="20"/>
          <w:lang w:val="es-CR"/>
        </w:rPr>
      </w:pPr>
    </w:p>
    <w:p w14:paraId="0B8A573E" w14:textId="77777777" w:rsidR="00B14127" w:rsidRPr="002A1142" w:rsidRDefault="000E6FC3" w:rsidP="005406CA">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0458F4">
        <w:rPr>
          <w:rFonts w:ascii="Verdana" w:eastAsia="Verdana" w:hAnsi="Verdana" w:cs="Verdana"/>
          <w:color w:val="000000"/>
          <w:sz w:val="20"/>
          <w:szCs w:val="20"/>
          <w:lang w:val="es-CR"/>
        </w:rPr>
        <w:t>El Decreto No. 159 de 19 de abril de 1892 de la Asamblea Nacional Legislativa contemplaba conceder indulto o conmutación de la pena y reglamentaba el procedimiento para hacerlos efectivos. El 1 de junio de 2000 el referido Decreto No. 159 fue derogado por el Congreso de Guatemala mediante el Decreto Legislativo No. 32/2000.</w:t>
      </w:r>
    </w:p>
    <w:p w14:paraId="55418CC9" w14:textId="77777777" w:rsidR="000458F4" w:rsidRDefault="000E6FC3" w:rsidP="002A1142">
      <w:pPr>
        <w:pStyle w:val="Prrafodelista"/>
        <w:autoSpaceDE w:val="0"/>
        <w:autoSpaceDN w:val="0"/>
        <w:adjustRightInd w:val="0"/>
        <w:spacing w:after="0" w:line="240" w:lineRule="auto"/>
        <w:ind w:left="0"/>
        <w:jc w:val="both"/>
        <w:rPr>
          <w:rFonts w:ascii="Verdana" w:hAnsi="Verdana"/>
          <w:sz w:val="20"/>
          <w:szCs w:val="20"/>
          <w:lang w:val="es-CR"/>
        </w:rPr>
      </w:pPr>
      <w:r w:rsidRPr="000458F4">
        <w:rPr>
          <w:rFonts w:ascii="Verdana" w:eastAsia="Verdana" w:hAnsi="Verdana" w:cs="Verdana"/>
          <w:color w:val="000000"/>
          <w:sz w:val="20"/>
          <w:szCs w:val="20"/>
          <w:lang w:val="es-CR"/>
        </w:rPr>
        <w:t xml:space="preserve"> </w:t>
      </w:r>
    </w:p>
    <w:p w14:paraId="4EC2DBC0" w14:textId="77777777" w:rsidR="000458F4" w:rsidRPr="000458F4" w:rsidRDefault="000E6FC3" w:rsidP="006D317C">
      <w:pPr>
        <w:pStyle w:val="Prrafodelista"/>
        <w:autoSpaceDE w:val="0"/>
        <w:autoSpaceDN w:val="0"/>
        <w:adjustRightInd w:val="0"/>
        <w:spacing w:after="0" w:line="240" w:lineRule="auto"/>
        <w:ind w:left="0" w:firstLine="708"/>
        <w:jc w:val="both"/>
        <w:outlineLvl w:val="2"/>
        <w:rPr>
          <w:rFonts w:ascii="Verdana" w:hAnsi="Verdana"/>
          <w:sz w:val="20"/>
          <w:szCs w:val="20"/>
          <w:lang w:val="es-CR"/>
        </w:rPr>
      </w:pPr>
      <w:bookmarkStart w:id="26" w:name="_Toc25247740"/>
      <w:r w:rsidRPr="000458F4">
        <w:rPr>
          <w:rFonts w:ascii="Verdana" w:eastAsia="Verdana" w:hAnsi="Verdana" w:cs="Verdana"/>
          <w:i/>
          <w:color w:val="000000"/>
          <w:sz w:val="20"/>
          <w:szCs w:val="20"/>
          <w:lang w:val="es-CR"/>
        </w:rPr>
        <w:t>A.2</w:t>
      </w:r>
      <w:r w:rsidR="00E339A6">
        <w:rPr>
          <w:rFonts w:ascii="Verdana" w:eastAsia="Verdana" w:hAnsi="Verdana" w:cs="Verdana"/>
          <w:i/>
          <w:color w:val="000000"/>
          <w:sz w:val="20"/>
          <w:szCs w:val="20"/>
          <w:lang w:val="es-CR"/>
        </w:rPr>
        <w:t>.</w:t>
      </w:r>
      <w:r w:rsidRPr="000458F4">
        <w:rPr>
          <w:rFonts w:ascii="Verdana" w:eastAsia="Verdana" w:hAnsi="Verdana" w:cs="Verdana"/>
          <w:i/>
          <w:color w:val="000000"/>
          <w:sz w:val="20"/>
          <w:szCs w:val="20"/>
          <w:lang w:val="es-CR"/>
        </w:rPr>
        <w:t xml:space="preserve"> Normativa vigente en Guatemala </w:t>
      </w:r>
      <w:r w:rsidR="006D1593" w:rsidRPr="000458F4">
        <w:rPr>
          <w:rFonts w:ascii="Verdana" w:eastAsia="Verdana" w:hAnsi="Verdana" w:cs="Verdana"/>
          <w:i/>
          <w:color w:val="000000"/>
          <w:sz w:val="20"/>
          <w:szCs w:val="20"/>
          <w:lang w:val="es-CR"/>
        </w:rPr>
        <w:t xml:space="preserve">relativa a la tortura </w:t>
      </w:r>
      <w:r w:rsidRPr="000458F4">
        <w:rPr>
          <w:rFonts w:ascii="Verdana" w:eastAsia="Verdana" w:hAnsi="Verdana" w:cs="Verdana"/>
          <w:i/>
          <w:color w:val="000000"/>
          <w:sz w:val="20"/>
          <w:szCs w:val="20"/>
          <w:lang w:val="es-CR"/>
        </w:rPr>
        <w:t>al momento de los hechos</w:t>
      </w:r>
      <w:bookmarkEnd w:id="26"/>
      <w:r w:rsidRPr="000458F4">
        <w:rPr>
          <w:rFonts w:ascii="Verdana" w:eastAsia="Verdana" w:hAnsi="Verdana" w:cs="Verdana"/>
          <w:i/>
          <w:color w:val="000000"/>
          <w:sz w:val="20"/>
          <w:szCs w:val="20"/>
          <w:lang w:val="es-CR"/>
        </w:rPr>
        <w:t xml:space="preserve"> </w:t>
      </w:r>
    </w:p>
    <w:p w14:paraId="247541B3" w14:textId="77777777" w:rsidR="000458F4" w:rsidRDefault="000458F4" w:rsidP="000458F4">
      <w:pPr>
        <w:pStyle w:val="Prrafodelista"/>
        <w:autoSpaceDE w:val="0"/>
        <w:autoSpaceDN w:val="0"/>
        <w:adjustRightInd w:val="0"/>
        <w:spacing w:after="0" w:line="240" w:lineRule="auto"/>
        <w:ind w:left="0"/>
        <w:jc w:val="both"/>
        <w:rPr>
          <w:rFonts w:ascii="Verdana" w:hAnsi="Verdana"/>
          <w:sz w:val="20"/>
          <w:szCs w:val="20"/>
          <w:lang w:val="es-CR"/>
        </w:rPr>
      </w:pPr>
    </w:p>
    <w:p w14:paraId="4166278D" w14:textId="193B5763" w:rsidR="00D60369" w:rsidRDefault="00CC3ECB" w:rsidP="005406CA">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Pr>
          <w:rFonts w:ascii="Verdana" w:hAnsi="Verdana"/>
          <w:sz w:val="20"/>
          <w:szCs w:val="20"/>
          <w:lang w:val="es-CR"/>
        </w:rPr>
        <w:t>El artículo 201</w:t>
      </w:r>
      <w:r w:rsidR="00872F17">
        <w:rPr>
          <w:rFonts w:ascii="Verdana" w:hAnsi="Verdana"/>
          <w:sz w:val="20"/>
          <w:szCs w:val="20"/>
          <w:lang w:val="es-CR"/>
        </w:rPr>
        <w:t xml:space="preserve"> </w:t>
      </w:r>
      <w:r w:rsidR="000E6FC3" w:rsidRPr="000458F4">
        <w:rPr>
          <w:rFonts w:ascii="Verdana" w:hAnsi="Verdana"/>
          <w:sz w:val="20"/>
          <w:szCs w:val="20"/>
          <w:lang w:val="es-CR"/>
        </w:rPr>
        <w:t xml:space="preserve">bis </w:t>
      </w:r>
      <w:r w:rsidR="000E6FC3" w:rsidRPr="004C43C4">
        <w:rPr>
          <w:rFonts w:ascii="Verdana" w:hAnsi="Verdana"/>
          <w:sz w:val="20"/>
          <w:szCs w:val="20"/>
          <w:lang w:val="es-CR"/>
        </w:rPr>
        <w:t xml:space="preserve">del </w:t>
      </w:r>
      <w:r w:rsidR="000E6FC3" w:rsidRPr="005010EB">
        <w:rPr>
          <w:rFonts w:ascii="Verdana" w:hAnsi="Verdana"/>
          <w:sz w:val="20"/>
          <w:szCs w:val="20"/>
          <w:lang w:val="es-CR"/>
        </w:rPr>
        <w:t>Código Penal</w:t>
      </w:r>
      <w:r w:rsidR="002D7487" w:rsidRPr="005010EB">
        <w:rPr>
          <w:rFonts w:ascii="Verdana" w:hAnsi="Verdana"/>
          <w:sz w:val="20"/>
          <w:szCs w:val="20"/>
          <w:lang w:val="es-CR"/>
        </w:rPr>
        <w:t xml:space="preserve"> </w:t>
      </w:r>
      <w:r w:rsidR="000E6FC3" w:rsidRPr="005010EB">
        <w:rPr>
          <w:rFonts w:ascii="Verdana" w:hAnsi="Verdana"/>
          <w:sz w:val="20"/>
          <w:szCs w:val="20"/>
          <w:lang w:val="es-CR"/>
        </w:rPr>
        <w:t>tipifica el delito de tortura</w:t>
      </w:r>
      <w:r w:rsidR="002D7487" w:rsidRPr="005010EB">
        <w:rPr>
          <w:rFonts w:ascii="Verdana" w:hAnsi="Verdana"/>
          <w:sz w:val="20"/>
          <w:szCs w:val="20"/>
          <w:lang w:val="es-CR"/>
        </w:rPr>
        <w:t>,</w:t>
      </w:r>
      <w:r w:rsidR="000E6FC3" w:rsidRPr="005010EB">
        <w:rPr>
          <w:rFonts w:ascii="Verdana" w:hAnsi="Verdana"/>
          <w:sz w:val="20"/>
          <w:szCs w:val="20"/>
          <w:lang w:val="es-CR"/>
        </w:rPr>
        <w:t xml:space="preserve"> en los términos</w:t>
      </w:r>
      <w:r w:rsidR="002D7487" w:rsidRPr="005010EB">
        <w:rPr>
          <w:rFonts w:ascii="Verdana" w:hAnsi="Verdana"/>
          <w:sz w:val="20"/>
          <w:szCs w:val="20"/>
          <w:lang w:val="es-CR"/>
        </w:rPr>
        <w:t xml:space="preserve"> ya indicados (</w:t>
      </w:r>
      <w:r w:rsidR="002D7487" w:rsidRPr="005010EB">
        <w:rPr>
          <w:rFonts w:ascii="Verdana" w:hAnsi="Verdana"/>
          <w:i/>
          <w:sz w:val="20"/>
          <w:szCs w:val="20"/>
          <w:lang w:val="es-CR"/>
        </w:rPr>
        <w:t>supra</w:t>
      </w:r>
      <w:r w:rsidR="002D7487" w:rsidRPr="005010EB">
        <w:rPr>
          <w:rFonts w:ascii="Verdana" w:hAnsi="Verdana"/>
          <w:sz w:val="20"/>
          <w:szCs w:val="20"/>
          <w:lang w:val="es-CR"/>
        </w:rPr>
        <w:t xml:space="preserve"> párr. </w:t>
      </w:r>
      <w:r w:rsidR="006D1593">
        <w:rPr>
          <w:rFonts w:ascii="Verdana" w:hAnsi="Verdana"/>
          <w:sz w:val="20"/>
          <w:szCs w:val="20"/>
          <w:lang w:val="es-CR"/>
        </w:rPr>
        <w:t>28</w:t>
      </w:r>
      <w:r w:rsidR="00DF5CC8">
        <w:rPr>
          <w:rFonts w:ascii="Verdana" w:hAnsi="Verdana"/>
          <w:sz w:val="20"/>
          <w:szCs w:val="20"/>
          <w:lang w:val="es-CR"/>
        </w:rPr>
        <w:t>)</w:t>
      </w:r>
      <w:r w:rsidR="00213B1E">
        <w:rPr>
          <w:rFonts w:ascii="Verdana" w:hAnsi="Verdana"/>
          <w:sz w:val="20"/>
          <w:szCs w:val="20"/>
          <w:lang w:val="es-CR"/>
        </w:rPr>
        <w:t>.</w:t>
      </w:r>
    </w:p>
    <w:p w14:paraId="2EBE87AF" w14:textId="77777777" w:rsidR="00D41EB2" w:rsidRPr="002D7487" w:rsidRDefault="00D41EB2" w:rsidP="00D41EB2">
      <w:pPr>
        <w:pStyle w:val="Prrafodelista"/>
        <w:autoSpaceDE w:val="0"/>
        <w:autoSpaceDN w:val="0"/>
        <w:adjustRightInd w:val="0"/>
        <w:spacing w:after="0" w:line="240" w:lineRule="auto"/>
        <w:ind w:left="0"/>
        <w:jc w:val="both"/>
        <w:rPr>
          <w:rFonts w:ascii="Verdana" w:hAnsi="Verdana"/>
          <w:sz w:val="20"/>
          <w:szCs w:val="20"/>
          <w:lang w:val="es-CR"/>
        </w:rPr>
      </w:pPr>
    </w:p>
    <w:p w14:paraId="0708168E" w14:textId="77777777" w:rsidR="00D60369" w:rsidRDefault="00D60369" w:rsidP="00164317">
      <w:pPr>
        <w:pStyle w:val="Ttulo2"/>
        <w:rPr>
          <w:lang w:val="es-CR"/>
        </w:rPr>
      </w:pPr>
      <w:bookmarkStart w:id="27" w:name="_Toc25247741"/>
      <w:r w:rsidRPr="00EC2F24">
        <w:rPr>
          <w:lang w:val="es-CR"/>
        </w:rPr>
        <w:lastRenderedPageBreak/>
        <w:t>B. Situación de Tirso Román Valenzuela Ávila y el proceso penal que culminó con la condena de muerte</w:t>
      </w:r>
      <w:bookmarkEnd w:id="27"/>
      <w:r w:rsidRPr="00EC2F24">
        <w:rPr>
          <w:lang w:val="es-CR"/>
        </w:rPr>
        <w:t xml:space="preserve"> </w:t>
      </w:r>
    </w:p>
    <w:p w14:paraId="5C560041" w14:textId="77777777" w:rsidR="00D60369" w:rsidRDefault="00D60369" w:rsidP="00D60369">
      <w:pPr>
        <w:pStyle w:val="Prrafodelista"/>
        <w:autoSpaceDE w:val="0"/>
        <w:autoSpaceDN w:val="0"/>
        <w:adjustRightInd w:val="0"/>
        <w:spacing w:after="0" w:line="240" w:lineRule="auto"/>
        <w:ind w:left="0"/>
        <w:jc w:val="both"/>
        <w:rPr>
          <w:rFonts w:ascii="Verdana" w:hAnsi="Verdana"/>
          <w:sz w:val="20"/>
          <w:szCs w:val="20"/>
          <w:lang w:val="es-CR"/>
        </w:rPr>
      </w:pPr>
    </w:p>
    <w:p w14:paraId="6A54A011" w14:textId="4CD5D5DB" w:rsidR="00D60369" w:rsidRPr="002D7487" w:rsidRDefault="000E6FC3" w:rsidP="005406CA">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D60369">
        <w:rPr>
          <w:rFonts w:ascii="Verdana" w:eastAsia="Verdana" w:hAnsi="Verdana" w:cs="Verdana"/>
          <w:sz w:val="20"/>
          <w:szCs w:val="20"/>
          <w:lang w:val="es-PE"/>
        </w:rPr>
        <w:t xml:space="preserve">Tirso Román Valenzuela Ávila, también fue conocido como </w:t>
      </w:r>
      <w:r w:rsidR="00265F81">
        <w:rPr>
          <w:rFonts w:ascii="Verdana" w:eastAsia="Verdana" w:hAnsi="Verdana" w:cs="Verdana"/>
          <w:sz w:val="20"/>
          <w:szCs w:val="20"/>
          <w:lang w:val="es-PE"/>
        </w:rPr>
        <w:t>Víctor Manuel Vásquez González,</w:t>
      </w:r>
      <w:r w:rsidRPr="00D60369">
        <w:rPr>
          <w:rFonts w:ascii="Verdana" w:eastAsia="Verdana" w:hAnsi="Verdana" w:cs="Verdana"/>
          <w:sz w:val="20"/>
          <w:szCs w:val="20"/>
          <w:lang w:val="es-PE"/>
        </w:rPr>
        <w:t xml:space="preserve"> </w:t>
      </w:r>
      <w:r w:rsidR="00265F81">
        <w:rPr>
          <w:rFonts w:ascii="Verdana" w:eastAsia="Verdana" w:hAnsi="Verdana" w:cs="Verdana"/>
          <w:sz w:val="20"/>
          <w:szCs w:val="20"/>
          <w:lang w:val="es-PE"/>
        </w:rPr>
        <w:t>Pablo Sandoval Ramírez,</w:t>
      </w:r>
      <w:r w:rsidRPr="00D60369">
        <w:rPr>
          <w:rFonts w:ascii="Verdana" w:eastAsia="Verdana" w:hAnsi="Verdana" w:cs="Verdana"/>
          <w:sz w:val="20"/>
          <w:szCs w:val="20"/>
          <w:lang w:val="es-PE"/>
        </w:rPr>
        <w:t xml:space="preserve"> Jorge Armando Fuentes o como Jorge </w:t>
      </w:r>
      <w:r w:rsidR="00265F81">
        <w:rPr>
          <w:rFonts w:ascii="Verdana" w:eastAsia="Verdana" w:hAnsi="Verdana" w:cs="Verdana"/>
          <w:sz w:val="20"/>
          <w:szCs w:val="20"/>
          <w:lang w:val="es-PE"/>
        </w:rPr>
        <w:t>“</w:t>
      </w:r>
      <w:r w:rsidRPr="00D60369">
        <w:rPr>
          <w:rFonts w:ascii="Verdana" w:eastAsia="Verdana" w:hAnsi="Verdana" w:cs="Verdana"/>
          <w:sz w:val="20"/>
          <w:szCs w:val="20"/>
          <w:lang w:val="es-PE"/>
        </w:rPr>
        <w:t>el Flaco</w:t>
      </w:r>
      <w:r w:rsidR="00265F81">
        <w:rPr>
          <w:rFonts w:ascii="Verdana" w:eastAsia="Verdana" w:hAnsi="Verdana" w:cs="Verdana"/>
          <w:sz w:val="20"/>
          <w:szCs w:val="20"/>
          <w:lang w:val="es-PE"/>
        </w:rPr>
        <w:t>”</w:t>
      </w:r>
      <w:r w:rsidRPr="00D60369">
        <w:rPr>
          <w:rFonts w:ascii="Verdana" w:eastAsia="Verdana" w:hAnsi="Verdana" w:cs="Verdana"/>
          <w:sz w:val="20"/>
          <w:szCs w:val="20"/>
          <w:lang w:val="es-PE"/>
        </w:rPr>
        <w:t>, según aparece en distintos actos judiciales</w:t>
      </w:r>
      <w:r w:rsidRPr="00EC2F24">
        <w:rPr>
          <w:rStyle w:val="Refdenotaalpie"/>
          <w:rFonts w:ascii="Verdana" w:eastAsia="Verdana" w:hAnsi="Verdana" w:cs="Verdana"/>
          <w:sz w:val="20"/>
          <w:szCs w:val="20"/>
          <w:lang w:val="es-PE"/>
        </w:rPr>
        <w:footnoteReference w:id="37"/>
      </w:r>
      <w:r w:rsidRPr="00D60369">
        <w:rPr>
          <w:rFonts w:ascii="Verdana" w:eastAsia="Verdana" w:hAnsi="Verdana" w:cs="Verdana"/>
          <w:sz w:val="20"/>
          <w:szCs w:val="20"/>
          <w:lang w:val="es-PE"/>
        </w:rPr>
        <w:t>, vivió en la ciudad de San Marcos, Guatemala. Para efectos de la presente Sentencia la Corte se referirá al señor Tirso Román Valenzuela Ávila.</w:t>
      </w:r>
    </w:p>
    <w:p w14:paraId="4B8D9FF1" w14:textId="77777777" w:rsidR="00D60369" w:rsidRPr="00D60369" w:rsidRDefault="00D60369" w:rsidP="00D60369">
      <w:pPr>
        <w:pStyle w:val="Prrafodelista"/>
        <w:autoSpaceDE w:val="0"/>
        <w:autoSpaceDN w:val="0"/>
        <w:adjustRightInd w:val="0"/>
        <w:spacing w:after="0" w:line="240" w:lineRule="auto"/>
        <w:ind w:left="0"/>
        <w:jc w:val="both"/>
        <w:rPr>
          <w:rFonts w:ascii="Verdana" w:hAnsi="Verdana"/>
          <w:sz w:val="20"/>
          <w:szCs w:val="20"/>
          <w:lang w:val="es-CR"/>
        </w:rPr>
      </w:pPr>
    </w:p>
    <w:p w14:paraId="133DAC62" w14:textId="77777777" w:rsidR="00164317" w:rsidRPr="006D317C" w:rsidRDefault="000E6FC3" w:rsidP="006D317C">
      <w:pPr>
        <w:pStyle w:val="Ttulo3"/>
        <w:spacing w:before="0"/>
        <w:ind w:left="706"/>
        <w:rPr>
          <w:b w:val="0"/>
          <w:lang w:val="es-AR"/>
        </w:rPr>
      </w:pPr>
      <w:bookmarkStart w:id="28" w:name="_Toc25247742"/>
      <w:r w:rsidRPr="006D317C">
        <w:rPr>
          <w:b w:val="0"/>
          <w:lang w:val="es-AR"/>
        </w:rPr>
        <w:t xml:space="preserve">B.1. </w:t>
      </w:r>
      <w:r w:rsidR="0032565E" w:rsidRPr="006D317C">
        <w:rPr>
          <w:b w:val="0"/>
          <w:lang w:val="es-AR"/>
        </w:rPr>
        <w:t xml:space="preserve"> Detención y </w:t>
      </w:r>
      <w:r w:rsidRPr="006D317C">
        <w:rPr>
          <w:b w:val="0"/>
          <w:lang w:val="es-AR"/>
        </w:rPr>
        <w:t>Allanamiento</w:t>
      </w:r>
      <w:bookmarkEnd w:id="28"/>
      <w:r w:rsidRPr="006D317C">
        <w:rPr>
          <w:b w:val="0"/>
          <w:lang w:val="es-AR"/>
        </w:rPr>
        <w:t xml:space="preserve"> </w:t>
      </w:r>
    </w:p>
    <w:p w14:paraId="400AD82F" w14:textId="77777777" w:rsidR="00164317" w:rsidRPr="006D317C" w:rsidRDefault="00164317" w:rsidP="00164317">
      <w:pPr>
        <w:spacing w:after="0"/>
        <w:rPr>
          <w:rFonts w:ascii="Verdana" w:hAnsi="Verdana"/>
          <w:sz w:val="20"/>
          <w:szCs w:val="20"/>
          <w:lang w:val="es-AR"/>
        </w:rPr>
      </w:pPr>
    </w:p>
    <w:p w14:paraId="7B145FD5" w14:textId="053E0286" w:rsidR="0032565E" w:rsidRPr="0041182E" w:rsidRDefault="00860A3A" w:rsidP="005406CA">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Pr>
          <w:rFonts w:ascii="Verdana" w:eastAsia="Verdana" w:hAnsi="Verdana" w:cs="Verdana"/>
          <w:color w:val="000000"/>
          <w:sz w:val="20"/>
          <w:szCs w:val="20"/>
        </w:rPr>
        <w:t xml:space="preserve">Respecto a la detención del señor Valenzuela existe controversia en cuanto al </w:t>
      </w:r>
      <w:r w:rsidRPr="002F0A75">
        <w:rPr>
          <w:rFonts w:ascii="Verdana" w:hAnsi="Verdana"/>
          <w:sz w:val="20"/>
          <w:szCs w:val="20"/>
        </w:rPr>
        <w:t>lugar, forma</w:t>
      </w:r>
      <w:r>
        <w:rPr>
          <w:rFonts w:ascii="Verdana" w:hAnsi="Verdana"/>
          <w:sz w:val="20"/>
          <w:szCs w:val="20"/>
        </w:rPr>
        <w:t xml:space="preserve"> y momento</w:t>
      </w:r>
      <w:r>
        <w:rPr>
          <w:rFonts w:ascii="Verdana" w:eastAsia="Verdana" w:hAnsi="Verdana" w:cs="Verdana"/>
          <w:color w:val="000000"/>
          <w:sz w:val="20"/>
          <w:szCs w:val="20"/>
        </w:rPr>
        <w:t xml:space="preserve"> de ésta.  Según </w:t>
      </w:r>
      <w:r w:rsidR="00EF7D75">
        <w:rPr>
          <w:rFonts w:ascii="Verdana" w:eastAsia="Verdana" w:hAnsi="Verdana" w:cs="Verdana"/>
          <w:color w:val="000000"/>
          <w:sz w:val="20"/>
          <w:szCs w:val="20"/>
        </w:rPr>
        <w:t>la versión d</w:t>
      </w:r>
      <w:r w:rsidR="0032565E">
        <w:rPr>
          <w:rFonts w:ascii="Verdana" w:eastAsia="Verdana" w:hAnsi="Verdana" w:cs="Verdana"/>
          <w:color w:val="000000"/>
          <w:sz w:val="20"/>
          <w:szCs w:val="20"/>
        </w:rPr>
        <w:t xml:space="preserve">el señor </w:t>
      </w:r>
      <w:r w:rsidR="0032565E" w:rsidRPr="0032565E">
        <w:rPr>
          <w:rFonts w:ascii="Verdana" w:eastAsia="Verdana" w:hAnsi="Verdana" w:cs="Verdana"/>
          <w:color w:val="000000"/>
          <w:sz w:val="20"/>
          <w:szCs w:val="20"/>
        </w:rPr>
        <w:t xml:space="preserve">Tirso Román Valenzuela Ávila </w:t>
      </w:r>
      <w:r>
        <w:rPr>
          <w:rFonts w:ascii="Verdana" w:eastAsia="Verdana" w:hAnsi="Verdana" w:cs="Verdana"/>
          <w:color w:val="000000"/>
          <w:sz w:val="20"/>
          <w:szCs w:val="20"/>
        </w:rPr>
        <w:t>e</w:t>
      </w:r>
      <w:r w:rsidRPr="0032565E">
        <w:rPr>
          <w:rFonts w:ascii="Verdana" w:eastAsia="Verdana" w:hAnsi="Verdana" w:cs="Verdana"/>
          <w:color w:val="000000"/>
          <w:sz w:val="20"/>
          <w:szCs w:val="20"/>
        </w:rPr>
        <w:t xml:space="preserve">l 27 de mayo de 1998 </w:t>
      </w:r>
      <w:r w:rsidR="00265F81">
        <w:rPr>
          <w:rFonts w:ascii="Verdana" w:eastAsia="Verdana" w:hAnsi="Verdana" w:cs="Verdana"/>
          <w:color w:val="000000"/>
          <w:sz w:val="20"/>
          <w:szCs w:val="20"/>
        </w:rPr>
        <w:t>llegó a su vivienda</w:t>
      </w:r>
      <w:r w:rsidR="0032565E" w:rsidRPr="0032565E">
        <w:rPr>
          <w:rFonts w:ascii="Verdana" w:eastAsia="Verdana" w:hAnsi="Verdana" w:cs="Verdana"/>
          <w:color w:val="000000"/>
          <w:sz w:val="20"/>
          <w:szCs w:val="20"/>
        </w:rPr>
        <w:t xml:space="preserve"> </w:t>
      </w:r>
      <w:r w:rsidR="0032565E">
        <w:rPr>
          <w:rFonts w:ascii="Verdana" w:eastAsia="Verdana" w:hAnsi="Verdana" w:cs="Verdana"/>
          <w:color w:val="000000"/>
          <w:sz w:val="20"/>
          <w:szCs w:val="20"/>
        </w:rPr>
        <w:t>y</w:t>
      </w:r>
      <w:r w:rsidR="0032565E" w:rsidRPr="0032565E">
        <w:rPr>
          <w:rFonts w:ascii="Verdana" w:eastAsia="Verdana" w:hAnsi="Verdana" w:cs="Verdana"/>
          <w:color w:val="000000"/>
          <w:sz w:val="20"/>
          <w:szCs w:val="20"/>
        </w:rPr>
        <w:t xml:space="preserve"> fue interceptado por unos hombres</w:t>
      </w:r>
      <w:r w:rsidR="00D2235A">
        <w:rPr>
          <w:rFonts w:ascii="Verdana" w:eastAsia="Verdana" w:hAnsi="Verdana" w:cs="Verdana"/>
          <w:color w:val="000000"/>
          <w:sz w:val="20"/>
          <w:szCs w:val="20"/>
        </w:rPr>
        <w:t>, quienes</w:t>
      </w:r>
      <w:r w:rsidR="00E339A6">
        <w:rPr>
          <w:rFonts w:ascii="Verdana" w:eastAsia="Verdana" w:hAnsi="Verdana" w:cs="Verdana"/>
          <w:color w:val="000000"/>
          <w:sz w:val="20"/>
          <w:szCs w:val="20"/>
        </w:rPr>
        <w:t xml:space="preserve"> </w:t>
      </w:r>
      <w:r w:rsidR="0032565E" w:rsidRPr="0032565E">
        <w:rPr>
          <w:rFonts w:ascii="Verdana" w:eastAsia="Verdana" w:hAnsi="Verdana" w:cs="Verdana"/>
          <w:color w:val="000000"/>
          <w:sz w:val="20"/>
          <w:szCs w:val="20"/>
        </w:rPr>
        <w:t>lo golpearon en distintas partes, y lo subieron a bordo de un vehículo que pusieron en marcha.</w:t>
      </w:r>
      <w:r w:rsidR="00D2235A">
        <w:rPr>
          <w:rFonts w:ascii="Verdana" w:eastAsia="Verdana" w:hAnsi="Verdana" w:cs="Verdana"/>
          <w:color w:val="000000"/>
          <w:sz w:val="20"/>
          <w:szCs w:val="20"/>
        </w:rPr>
        <w:t xml:space="preserve"> Asimismo, indicó que</w:t>
      </w:r>
      <w:r w:rsidR="0032565E" w:rsidRPr="0032565E">
        <w:rPr>
          <w:rFonts w:ascii="Verdana" w:eastAsia="Verdana" w:hAnsi="Verdana" w:cs="Verdana"/>
          <w:color w:val="000000"/>
          <w:sz w:val="20"/>
          <w:szCs w:val="20"/>
        </w:rPr>
        <w:t xml:space="preserve"> </w:t>
      </w:r>
      <w:r w:rsidR="00D2235A">
        <w:rPr>
          <w:rFonts w:ascii="Verdana" w:eastAsia="Verdana" w:hAnsi="Verdana" w:cs="Verdana"/>
          <w:color w:val="000000"/>
          <w:sz w:val="20"/>
          <w:szCs w:val="20"/>
        </w:rPr>
        <w:t>a</w:t>
      </w:r>
      <w:r w:rsidR="0032565E">
        <w:rPr>
          <w:rFonts w:ascii="Verdana" w:eastAsia="Verdana" w:hAnsi="Verdana" w:cs="Verdana"/>
          <w:color w:val="000000"/>
          <w:sz w:val="20"/>
          <w:szCs w:val="20"/>
        </w:rPr>
        <w:t>l detenerse el auto</w:t>
      </w:r>
      <w:r w:rsidR="00F54F76">
        <w:rPr>
          <w:rFonts w:ascii="Verdana" w:eastAsia="Verdana" w:hAnsi="Verdana" w:cs="Verdana"/>
          <w:color w:val="000000"/>
          <w:sz w:val="20"/>
          <w:szCs w:val="20"/>
        </w:rPr>
        <w:t>móvil</w:t>
      </w:r>
      <w:r w:rsidR="0032565E">
        <w:rPr>
          <w:rFonts w:ascii="Verdana" w:eastAsia="Verdana" w:hAnsi="Verdana" w:cs="Verdana"/>
          <w:color w:val="000000"/>
          <w:sz w:val="20"/>
          <w:szCs w:val="20"/>
        </w:rPr>
        <w:t xml:space="preserve"> </w:t>
      </w:r>
      <w:r w:rsidR="00D2235A">
        <w:rPr>
          <w:rFonts w:ascii="Verdana" w:eastAsia="Verdana" w:hAnsi="Verdana" w:cs="Verdana"/>
          <w:color w:val="000000"/>
          <w:sz w:val="20"/>
          <w:szCs w:val="20"/>
        </w:rPr>
        <w:t>en el que era transportado</w:t>
      </w:r>
      <w:r w:rsidR="00F54F76">
        <w:rPr>
          <w:rFonts w:ascii="Verdana" w:eastAsia="Verdana" w:hAnsi="Verdana" w:cs="Verdana"/>
          <w:color w:val="000000"/>
          <w:sz w:val="20"/>
          <w:szCs w:val="20"/>
        </w:rPr>
        <w:t>,</w:t>
      </w:r>
      <w:r w:rsidR="00D2235A">
        <w:rPr>
          <w:rFonts w:ascii="Verdana" w:eastAsia="Verdana" w:hAnsi="Verdana" w:cs="Verdana"/>
          <w:color w:val="000000"/>
          <w:sz w:val="20"/>
          <w:szCs w:val="20"/>
        </w:rPr>
        <w:t xml:space="preserve"> </w:t>
      </w:r>
      <w:r w:rsidR="0032565E">
        <w:rPr>
          <w:rFonts w:ascii="Verdana" w:eastAsia="Verdana" w:hAnsi="Verdana" w:cs="Verdana"/>
          <w:color w:val="000000"/>
          <w:sz w:val="20"/>
          <w:szCs w:val="20"/>
        </w:rPr>
        <w:t>lo bajaron</w:t>
      </w:r>
      <w:r w:rsidR="00D2235A">
        <w:rPr>
          <w:rFonts w:ascii="Verdana" w:eastAsia="Verdana" w:hAnsi="Verdana" w:cs="Verdana"/>
          <w:color w:val="000000"/>
          <w:sz w:val="20"/>
          <w:szCs w:val="20"/>
        </w:rPr>
        <w:t xml:space="preserve"> y</w:t>
      </w:r>
      <w:r w:rsidR="0032565E" w:rsidRPr="0032565E">
        <w:rPr>
          <w:rFonts w:ascii="Verdana" w:eastAsia="Verdana" w:hAnsi="Verdana" w:cs="Verdana"/>
          <w:color w:val="000000"/>
          <w:sz w:val="20"/>
          <w:szCs w:val="20"/>
        </w:rPr>
        <w:t xml:space="preserve"> lo comenzaron a interrogar</w:t>
      </w:r>
      <w:r w:rsidR="00D2235A">
        <w:rPr>
          <w:rFonts w:ascii="Verdana" w:eastAsia="Verdana" w:hAnsi="Verdana" w:cs="Verdana"/>
          <w:color w:val="000000"/>
          <w:sz w:val="20"/>
          <w:szCs w:val="20"/>
        </w:rPr>
        <w:t>, siendo</w:t>
      </w:r>
      <w:r w:rsidR="0032565E" w:rsidRPr="0032565E">
        <w:rPr>
          <w:rFonts w:ascii="Verdana" w:eastAsia="Verdana" w:hAnsi="Verdana" w:cs="Verdana"/>
          <w:color w:val="000000"/>
          <w:sz w:val="20"/>
          <w:szCs w:val="20"/>
        </w:rPr>
        <w:t xml:space="preserve"> nuevamente objeto </w:t>
      </w:r>
      <w:r w:rsidR="00E339A6">
        <w:rPr>
          <w:rFonts w:ascii="Verdana" w:eastAsia="Verdana" w:hAnsi="Verdana" w:cs="Verdana"/>
          <w:color w:val="000000"/>
          <w:sz w:val="20"/>
          <w:szCs w:val="20"/>
        </w:rPr>
        <w:t>de golpes y asfixia. A</w:t>
      </w:r>
      <w:r w:rsidR="00D2235A">
        <w:rPr>
          <w:rFonts w:ascii="Verdana" w:eastAsia="Verdana" w:hAnsi="Verdana" w:cs="Verdana"/>
          <w:color w:val="000000"/>
          <w:sz w:val="20"/>
          <w:szCs w:val="20"/>
        </w:rPr>
        <w:t>demás mencion</w:t>
      </w:r>
      <w:r w:rsidR="00F54F76">
        <w:rPr>
          <w:rFonts w:ascii="Verdana" w:eastAsia="Verdana" w:hAnsi="Verdana" w:cs="Verdana"/>
          <w:color w:val="000000"/>
          <w:sz w:val="20"/>
          <w:szCs w:val="20"/>
        </w:rPr>
        <w:t>ó</w:t>
      </w:r>
      <w:r w:rsidR="00D2235A">
        <w:rPr>
          <w:rFonts w:ascii="Verdana" w:eastAsia="Verdana" w:hAnsi="Verdana" w:cs="Verdana"/>
          <w:color w:val="000000"/>
          <w:sz w:val="20"/>
          <w:szCs w:val="20"/>
        </w:rPr>
        <w:t xml:space="preserve"> que</w:t>
      </w:r>
      <w:r w:rsidR="0032565E" w:rsidRPr="0032565E">
        <w:rPr>
          <w:rFonts w:ascii="Verdana" w:eastAsia="Verdana" w:hAnsi="Verdana" w:cs="Verdana"/>
          <w:color w:val="000000"/>
          <w:sz w:val="20"/>
          <w:szCs w:val="20"/>
        </w:rPr>
        <w:t xml:space="preserve"> una de las personas que lo retenía recibió una llamada telefónica y lo volvieron </w:t>
      </w:r>
      <w:r w:rsidR="00EB3591">
        <w:rPr>
          <w:rFonts w:ascii="Verdana" w:eastAsia="Verdana" w:hAnsi="Verdana" w:cs="Verdana"/>
          <w:color w:val="000000"/>
          <w:sz w:val="20"/>
          <w:szCs w:val="20"/>
        </w:rPr>
        <w:t xml:space="preserve">a </w:t>
      </w:r>
      <w:r w:rsidR="0032565E" w:rsidRPr="0032565E">
        <w:rPr>
          <w:rFonts w:ascii="Verdana" w:eastAsia="Verdana" w:hAnsi="Verdana" w:cs="Verdana"/>
          <w:color w:val="000000"/>
          <w:sz w:val="20"/>
          <w:szCs w:val="20"/>
        </w:rPr>
        <w:t>subir al automóvil</w:t>
      </w:r>
      <w:r w:rsidR="0032565E">
        <w:rPr>
          <w:rStyle w:val="Refdenotaalpie"/>
          <w:rFonts w:ascii="Verdana" w:eastAsia="Verdana" w:hAnsi="Verdana" w:cs="Verdana"/>
          <w:color w:val="000000"/>
          <w:sz w:val="20"/>
          <w:szCs w:val="20"/>
        </w:rPr>
        <w:footnoteReference w:id="38"/>
      </w:r>
      <w:r w:rsidR="00D2235A">
        <w:rPr>
          <w:rFonts w:ascii="Verdana" w:eastAsia="Verdana" w:hAnsi="Verdana" w:cs="Verdana"/>
          <w:color w:val="000000"/>
          <w:sz w:val="20"/>
          <w:szCs w:val="20"/>
        </w:rPr>
        <w:t xml:space="preserve"> para llevarlo</w:t>
      </w:r>
      <w:r w:rsidR="00E339A6">
        <w:rPr>
          <w:rFonts w:ascii="Verdana" w:eastAsia="Verdana" w:hAnsi="Verdana" w:cs="Verdana"/>
          <w:color w:val="000000"/>
          <w:sz w:val="20"/>
          <w:szCs w:val="20"/>
        </w:rPr>
        <w:t xml:space="preserve"> </w:t>
      </w:r>
      <w:r w:rsidR="00AF3867">
        <w:rPr>
          <w:rFonts w:ascii="Verdana" w:eastAsia="Verdana" w:hAnsi="Verdana" w:cs="Verdana"/>
          <w:color w:val="000000"/>
          <w:sz w:val="20"/>
          <w:szCs w:val="20"/>
        </w:rPr>
        <w:t>de vuelta a su vivienda</w:t>
      </w:r>
      <w:r w:rsidR="0032565E">
        <w:rPr>
          <w:rFonts w:ascii="Verdana" w:eastAsia="Verdana" w:hAnsi="Verdana" w:cs="Verdana"/>
          <w:color w:val="000000"/>
          <w:sz w:val="20"/>
          <w:szCs w:val="20"/>
        </w:rPr>
        <w:t xml:space="preserve">. </w:t>
      </w:r>
      <w:r w:rsidR="00E339A6">
        <w:rPr>
          <w:rFonts w:ascii="Verdana" w:eastAsia="Verdana" w:hAnsi="Verdana" w:cs="Verdana"/>
          <w:color w:val="000000"/>
          <w:sz w:val="20"/>
          <w:szCs w:val="20"/>
        </w:rPr>
        <w:t>P</w:t>
      </w:r>
      <w:r w:rsidR="0049233B">
        <w:rPr>
          <w:rFonts w:ascii="Verdana" w:eastAsia="Verdana" w:hAnsi="Verdana" w:cs="Verdana"/>
          <w:color w:val="000000"/>
          <w:sz w:val="20"/>
          <w:szCs w:val="20"/>
        </w:rPr>
        <w:t>recis</w:t>
      </w:r>
      <w:r w:rsidR="00F54F76">
        <w:rPr>
          <w:rFonts w:ascii="Verdana" w:eastAsia="Verdana" w:hAnsi="Verdana" w:cs="Verdana"/>
          <w:color w:val="000000"/>
          <w:sz w:val="20"/>
          <w:szCs w:val="20"/>
        </w:rPr>
        <w:t>ó</w:t>
      </w:r>
      <w:r w:rsidR="0049233B">
        <w:rPr>
          <w:rFonts w:ascii="Verdana" w:eastAsia="Verdana" w:hAnsi="Verdana" w:cs="Verdana"/>
          <w:color w:val="000000"/>
          <w:sz w:val="20"/>
          <w:szCs w:val="20"/>
        </w:rPr>
        <w:t xml:space="preserve"> que e</w:t>
      </w:r>
      <w:r w:rsidR="0032565E">
        <w:rPr>
          <w:rFonts w:ascii="Verdana" w:eastAsia="Verdana" w:hAnsi="Verdana" w:cs="Verdana"/>
          <w:color w:val="000000"/>
          <w:sz w:val="20"/>
          <w:szCs w:val="20"/>
        </w:rPr>
        <w:t>n su casa</w:t>
      </w:r>
      <w:r w:rsidR="0032565E" w:rsidRPr="0032565E">
        <w:rPr>
          <w:rFonts w:ascii="Verdana" w:eastAsia="Verdana" w:hAnsi="Verdana" w:cs="Verdana"/>
          <w:color w:val="000000"/>
          <w:sz w:val="20"/>
          <w:szCs w:val="20"/>
        </w:rPr>
        <w:t xml:space="preserve"> </w:t>
      </w:r>
      <w:proofErr w:type="gramStart"/>
      <w:r w:rsidR="0032565E" w:rsidRPr="0032565E">
        <w:rPr>
          <w:rFonts w:ascii="Verdana" w:eastAsia="Verdana" w:hAnsi="Verdana" w:cs="Verdana"/>
          <w:color w:val="000000"/>
          <w:sz w:val="20"/>
          <w:szCs w:val="20"/>
        </w:rPr>
        <w:t>habían</w:t>
      </w:r>
      <w:proofErr w:type="gramEnd"/>
      <w:r w:rsidR="0032565E" w:rsidRPr="0032565E">
        <w:rPr>
          <w:rFonts w:ascii="Verdana" w:eastAsia="Verdana" w:hAnsi="Verdana" w:cs="Verdana"/>
          <w:color w:val="000000"/>
          <w:sz w:val="20"/>
          <w:szCs w:val="20"/>
        </w:rPr>
        <w:t xml:space="preserve"> vehículos policiales, y al ingresar en la vivienda en ella se encontraban algunos efectivos policiales y otras personas vestidas como civiles, así como un fiscal y el Juez Segundo de Paz</w:t>
      </w:r>
      <w:r w:rsidR="0032565E">
        <w:rPr>
          <w:rStyle w:val="Refdenotaalpie"/>
          <w:rFonts w:ascii="Verdana" w:eastAsia="Verdana" w:hAnsi="Verdana" w:cs="Verdana"/>
          <w:color w:val="000000"/>
          <w:sz w:val="20"/>
          <w:szCs w:val="20"/>
        </w:rPr>
        <w:footnoteReference w:id="39"/>
      </w:r>
      <w:r w:rsidR="0032565E" w:rsidRPr="0032565E">
        <w:rPr>
          <w:rFonts w:ascii="Verdana" w:eastAsia="Verdana" w:hAnsi="Verdana" w:cs="Verdana"/>
          <w:color w:val="000000"/>
          <w:sz w:val="20"/>
          <w:szCs w:val="20"/>
        </w:rPr>
        <w:t xml:space="preserve">. </w:t>
      </w:r>
    </w:p>
    <w:p w14:paraId="57AD69A3" w14:textId="77777777" w:rsidR="0032565E" w:rsidRPr="0032565E" w:rsidRDefault="0032565E" w:rsidP="0032565E">
      <w:pPr>
        <w:pStyle w:val="Prrafodelista"/>
        <w:autoSpaceDE w:val="0"/>
        <w:autoSpaceDN w:val="0"/>
        <w:adjustRightInd w:val="0"/>
        <w:spacing w:after="0" w:line="240" w:lineRule="auto"/>
        <w:ind w:left="0"/>
        <w:jc w:val="both"/>
        <w:rPr>
          <w:rFonts w:ascii="Verdana" w:hAnsi="Verdana"/>
          <w:sz w:val="20"/>
          <w:szCs w:val="20"/>
          <w:lang w:val="es-CR"/>
        </w:rPr>
      </w:pPr>
    </w:p>
    <w:p w14:paraId="32BA646A" w14:textId="5EAD8405" w:rsidR="00C03ED9" w:rsidRDefault="00265F81" w:rsidP="005406CA">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Pr>
          <w:rFonts w:ascii="Verdana" w:eastAsia="Verdana" w:hAnsi="Verdana" w:cs="Verdana"/>
          <w:sz w:val="20"/>
          <w:szCs w:val="20"/>
          <w:lang w:val="es-PE"/>
        </w:rPr>
        <w:t>Por otro lado,</w:t>
      </w:r>
      <w:r w:rsidR="00EF7D75">
        <w:rPr>
          <w:rFonts w:ascii="Verdana" w:eastAsia="Verdana" w:hAnsi="Verdana" w:cs="Verdana"/>
          <w:sz w:val="20"/>
          <w:szCs w:val="20"/>
          <w:lang w:val="es-PE"/>
        </w:rPr>
        <w:t xml:space="preserve"> según la versión </w:t>
      </w:r>
      <w:r w:rsidR="008918C1">
        <w:rPr>
          <w:rFonts w:ascii="Verdana" w:eastAsia="Verdana" w:hAnsi="Verdana" w:cs="Verdana"/>
          <w:sz w:val="20"/>
          <w:szCs w:val="20"/>
          <w:lang w:val="es-PE"/>
        </w:rPr>
        <w:t xml:space="preserve">consignada en </w:t>
      </w:r>
      <w:r w:rsidR="00EF7D75">
        <w:rPr>
          <w:rFonts w:ascii="Verdana" w:eastAsia="Verdana" w:hAnsi="Verdana" w:cs="Verdana"/>
          <w:sz w:val="20"/>
          <w:szCs w:val="20"/>
          <w:lang w:val="es-PE"/>
        </w:rPr>
        <w:t>e</w:t>
      </w:r>
      <w:r w:rsidR="008918C1">
        <w:rPr>
          <w:rFonts w:ascii="Verdana" w:eastAsia="Verdana" w:hAnsi="Verdana" w:cs="Verdana"/>
          <w:sz w:val="20"/>
          <w:szCs w:val="20"/>
          <w:lang w:val="es-PE"/>
        </w:rPr>
        <w:t>l proceso penal</w:t>
      </w:r>
      <w:r>
        <w:rPr>
          <w:rFonts w:ascii="Verdana" w:eastAsia="Verdana" w:hAnsi="Verdana" w:cs="Verdana"/>
          <w:sz w:val="20"/>
          <w:szCs w:val="20"/>
          <w:lang w:val="es-PE"/>
        </w:rPr>
        <w:t>,</w:t>
      </w:r>
      <w:r w:rsidR="008918C1">
        <w:rPr>
          <w:rFonts w:ascii="Verdana" w:eastAsia="Verdana" w:hAnsi="Verdana" w:cs="Verdana"/>
          <w:sz w:val="20"/>
          <w:szCs w:val="20"/>
          <w:lang w:val="es-PE"/>
        </w:rPr>
        <w:t xml:space="preserve"> </w:t>
      </w:r>
      <w:r w:rsidR="00EF7D75">
        <w:rPr>
          <w:rFonts w:ascii="Verdana" w:eastAsia="Verdana" w:hAnsi="Verdana" w:cs="Verdana"/>
          <w:sz w:val="20"/>
          <w:szCs w:val="20"/>
          <w:lang w:val="es-PE"/>
        </w:rPr>
        <w:t xml:space="preserve">el señor Valenzuela Ávila fue detenido durante un </w:t>
      </w:r>
      <w:r w:rsidR="000E6FC3" w:rsidRPr="0032565E">
        <w:rPr>
          <w:rFonts w:ascii="Verdana" w:eastAsia="Verdana" w:hAnsi="Verdana" w:cs="Verdana"/>
          <w:sz w:val="20"/>
          <w:szCs w:val="20"/>
          <w:lang w:val="es-PE"/>
        </w:rPr>
        <w:t>allanamiento</w:t>
      </w:r>
      <w:r w:rsidR="000E6FC3" w:rsidRPr="0032565E">
        <w:rPr>
          <w:rFonts w:ascii="Verdana" w:hAnsi="Verdana"/>
          <w:sz w:val="20"/>
          <w:szCs w:val="20"/>
          <w:lang w:val="es-AR"/>
        </w:rPr>
        <w:t xml:space="preserve"> </w:t>
      </w:r>
      <w:r w:rsidR="00EF7D75">
        <w:rPr>
          <w:rFonts w:ascii="Verdana" w:hAnsi="Verdana"/>
          <w:sz w:val="20"/>
          <w:szCs w:val="20"/>
          <w:lang w:val="es-AR"/>
        </w:rPr>
        <w:t xml:space="preserve">llevado a cabo </w:t>
      </w:r>
      <w:r w:rsidR="000E6FC3" w:rsidRPr="0032565E">
        <w:rPr>
          <w:rFonts w:ascii="Verdana" w:hAnsi="Verdana"/>
          <w:sz w:val="20"/>
          <w:szCs w:val="20"/>
          <w:lang w:val="es-AR"/>
        </w:rPr>
        <w:t xml:space="preserve">en </w:t>
      </w:r>
      <w:r w:rsidR="00EF7D75">
        <w:rPr>
          <w:rFonts w:ascii="Verdana" w:hAnsi="Verdana"/>
          <w:sz w:val="20"/>
          <w:szCs w:val="20"/>
          <w:lang w:val="es-AR"/>
        </w:rPr>
        <w:t>su v</w:t>
      </w:r>
      <w:r w:rsidR="000E6FC3" w:rsidRPr="0032565E">
        <w:rPr>
          <w:rFonts w:ascii="Verdana" w:hAnsi="Verdana"/>
          <w:sz w:val="20"/>
          <w:szCs w:val="20"/>
          <w:lang w:val="es-AR"/>
        </w:rPr>
        <w:t>ivienda</w:t>
      </w:r>
      <w:r w:rsidR="00EF7D75">
        <w:rPr>
          <w:rFonts w:ascii="Verdana" w:hAnsi="Verdana"/>
          <w:sz w:val="20"/>
          <w:szCs w:val="20"/>
          <w:lang w:val="es-AR"/>
        </w:rPr>
        <w:t xml:space="preserve"> e</w:t>
      </w:r>
      <w:r w:rsidR="00EF7D75" w:rsidRPr="0032565E">
        <w:rPr>
          <w:rFonts w:ascii="Verdana" w:eastAsia="Verdana" w:hAnsi="Verdana" w:cs="Verdana"/>
          <w:sz w:val="20"/>
          <w:szCs w:val="20"/>
          <w:lang w:val="es-PE"/>
        </w:rPr>
        <w:t>l 27 de mayo de 1998</w:t>
      </w:r>
      <w:r w:rsidR="008918C1">
        <w:rPr>
          <w:rFonts w:ascii="Verdana" w:eastAsia="Verdana" w:hAnsi="Verdana" w:cs="Verdana"/>
          <w:sz w:val="20"/>
          <w:szCs w:val="20"/>
          <w:lang w:val="es-PE"/>
        </w:rPr>
        <w:t xml:space="preserve">, por orden del </w:t>
      </w:r>
      <w:r w:rsidR="00EF7D75" w:rsidRPr="0032565E">
        <w:rPr>
          <w:rFonts w:ascii="Verdana" w:eastAsia="Verdana" w:hAnsi="Verdana" w:cs="Verdana"/>
          <w:sz w:val="20"/>
          <w:szCs w:val="20"/>
          <w:lang w:val="es-PE"/>
        </w:rPr>
        <w:t xml:space="preserve">Juez Segundo de Paz Penal </w:t>
      </w:r>
      <w:r w:rsidR="000E6FC3" w:rsidRPr="0032565E">
        <w:rPr>
          <w:rFonts w:ascii="Verdana" w:hAnsi="Verdana"/>
          <w:sz w:val="20"/>
          <w:szCs w:val="20"/>
          <w:lang w:val="es-AR"/>
        </w:rPr>
        <w:t>en el marco de la investigación sobre la muerte de la fiscal</w:t>
      </w:r>
      <w:r w:rsidR="0064236A">
        <w:rPr>
          <w:rFonts w:ascii="Verdana" w:hAnsi="Verdana"/>
          <w:sz w:val="20"/>
          <w:szCs w:val="20"/>
          <w:lang w:val="es-AR"/>
        </w:rPr>
        <w:t>a</w:t>
      </w:r>
      <w:r w:rsidR="000E6FC3" w:rsidRPr="0032565E">
        <w:rPr>
          <w:rFonts w:ascii="Verdana" w:hAnsi="Verdana"/>
          <w:sz w:val="20"/>
          <w:szCs w:val="20"/>
          <w:lang w:val="es-AR"/>
        </w:rPr>
        <w:t xml:space="preserve"> SJR</w:t>
      </w:r>
      <w:r w:rsidR="000E6FC3" w:rsidRPr="00EC2F24">
        <w:rPr>
          <w:rStyle w:val="Refdenotaalpie"/>
          <w:rFonts w:ascii="Verdana" w:hAnsi="Verdana"/>
          <w:sz w:val="20"/>
          <w:szCs w:val="20"/>
          <w:lang w:val="es-AR"/>
        </w:rPr>
        <w:footnoteReference w:id="40"/>
      </w:r>
      <w:r w:rsidR="000E6FC3" w:rsidRPr="0032565E">
        <w:rPr>
          <w:rFonts w:ascii="Verdana" w:hAnsi="Verdana"/>
          <w:sz w:val="20"/>
          <w:szCs w:val="20"/>
          <w:lang w:val="es-AR"/>
        </w:rPr>
        <w:t>.</w:t>
      </w:r>
      <w:r w:rsidR="002F0A75" w:rsidRPr="0032565E">
        <w:rPr>
          <w:rFonts w:ascii="Verdana" w:hAnsi="Verdana"/>
          <w:sz w:val="20"/>
          <w:szCs w:val="20"/>
          <w:lang w:val="es-AR"/>
        </w:rPr>
        <w:t xml:space="preserve"> </w:t>
      </w:r>
    </w:p>
    <w:p w14:paraId="33AAF3F3" w14:textId="77777777" w:rsidR="00C03ED9" w:rsidRPr="00C03ED9" w:rsidRDefault="00C03ED9" w:rsidP="00C03ED9">
      <w:pPr>
        <w:pStyle w:val="Prrafodelista"/>
        <w:autoSpaceDE w:val="0"/>
        <w:autoSpaceDN w:val="0"/>
        <w:adjustRightInd w:val="0"/>
        <w:spacing w:after="0" w:line="240" w:lineRule="auto"/>
        <w:ind w:left="0"/>
        <w:jc w:val="both"/>
        <w:rPr>
          <w:rFonts w:ascii="Verdana" w:hAnsi="Verdana"/>
          <w:sz w:val="20"/>
          <w:szCs w:val="20"/>
          <w:lang w:val="es-CR"/>
        </w:rPr>
      </w:pPr>
    </w:p>
    <w:p w14:paraId="405D8905" w14:textId="0C56A766" w:rsidR="00D60369" w:rsidRPr="00D60369" w:rsidRDefault="008918C1" w:rsidP="005406CA">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Pr>
          <w:rFonts w:ascii="Verdana" w:hAnsi="Verdana"/>
          <w:sz w:val="20"/>
          <w:szCs w:val="20"/>
          <w:lang w:val="es-AR"/>
        </w:rPr>
        <w:t>También hay controversia sobre</w:t>
      </w:r>
      <w:r w:rsidR="0032565E">
        <w:rPr>
          <w:rFonts w:ascii="Verdana" w:hAnsi="Verdana"/>
          <w:sz w:val="20"/>
          <w:szCs w:val="20"/>
          <w:lang w:val="es-AR"/>
        </w:rPr>
        <w:t xml:space="preserve"> </w:t>
      </w:r>
      <w:r w:rsidR="00171E85">
        <w:rPr>
          <w:rFonts w:ascii="Verdana" w:hAnsi="Verdana"/>
          <w:sz w:val="20"/>
          <w:szCs w:val="20"/>
          <w:lang w:val="es-AR"/>
        </w:rPr>
        <w:t xml:space="preserve">lo sucedido </w:t>
      </w:r>
      <w:r>
        <w:rPr>
          <w:rFonts w:ascii="Verdana" w:hAnsi="Verdana"/>
          <w:sz w:val="20"/>
          <w:szCs w:val="20"/>
          <w:lang w:val="es-AR"/>
        </w:rPr>
        <w:t>durante el allanamiento</w:t>
      </w:r>
      <w:r w:rsidR="000E6FC3" w:rsidRPr="00D60369">
        <w:rPr>
          <w:rFonts w:ascii="Verdana" w:hAnsi="Verdana"/>
          <w:sz w:val="20"/>
          <w:szCs w:val="20"/>
          <w:lang w:val="es-AR"/>
        </w:rPr>
        <w:t xml:space="preserve">, en </w:t>
      </w:r>
      <w:r w:rsidR="0032565E">
        <w:rPr>
          <w:rFonts w:ascii="Verdana" w:hAnsi="Verdana"/>
          <w:sz w:val="20"/>
          <w:szCs w:val="20"/>
          <w:lang w:val="es-AR"/>
        </w:rPr>
        <w:t xml:space="preserve">razón de lo cual se indican </w:t>
      </w:r>
      <w:r w:rsidR="000E6FC3" w:rsidRPr="00D60369">
        <w:rPr>
          <w:rFonts w:ascii="Verdana" w:hAnsi="Verdana"/>
          <w:sz w:val="20"/>
          <w:szCs w:val="20"/>
          <w:lang w:val="es-AR"/>
        </w:rPr>
        <w:t>dos versiones, una s</w:t>
      </w:r>
      <w:r w:rsidR="00265F81">
        <w:rPr>
          <w:rFonts w:ascii="Verdana" w:hAnsi="Verdana"/>
          <w:sz w:val="20"/>
          <w:szCs w:val="20"/>
          <w:lang w:val="es-AR"/>
        </w:rPr>
        <w:t>eñalada por el Estado y la otra</w:t>
      </w:r>
      <w:r w:rsidR="000E6FC3" w:rsidRPr="00D60369">
        <w:rPr>
          <w:rFonts w:ascii="Verdana" w:hAnsi="Verdana"/>
          <w:sz w:val="20"/>
          <w:szCs w:val="20"/>
          <w:lang w:val="es-AR"/>
        </w:rPr>
        <w:t xml:space="preserve"> </w:t>
      </w:r>
      <w:r w:rsidR="0032565E">
        <w:rPr>
          <w:rFonts w:ascii="Verdana" w:hAnsi="Verdana"/>
          <w:sz w:val="20"/>
          <w:szCs w:val="20"/>
          <w:lang w:val="es-AR"/>
        </w:rPr>
        <w:t xml:space="preserve">por </w:t>
      </w:r>
      <w:r w:rsidR="000E6FC3" w:rsidRPr="00D60369">
        <w:rPr>
          <w:rFonts w:ascii="Verdana" w:hAnsi="Verdana"/>
          <w:sz w:val="20"/>
          <w:szCs w:val="20"/>
          <w:lang w:val="es-AR"/>
        </w:rPr>
        <w:t>la p</w:t>
      </w:r>
      <w:r w:rsidR="0032565E">
        <w:rPr>
          <w:rFonts w:ascii="Verdana" w:hAnsi="Verdana"/>
          <w:sz w:val="20"/>
          <w:szCs w:val="20"/>
          <w:lang w:val="es-AR"/>
        </w:rPr>
        <w:t xml:space="preserve">resunta víctima. En cuanto a la versión del </w:t>
      </w:r>
      <w:r w:rsidR="000E6FC3" w:rsidRPr="00D60369">
        <w:rPr>
          <w:rFonts w:ascii="Verdana" w:hAnsi="Verdana"/>
          <w:sz w:val="20"/>
          <w:szCs w:val="20"/>
          <w:lang w:val="es-AR"/>
        </w:rPr>
        <w:t xml:space="preserve">Estado </w:t>
      </w:r>
      <w:r w:rsidR="0032565E">
        <w:rPr>
          <w:rFonts w:ascii="Verdana" w:hAnsi="Verdana"/>
          <w:sz w:val="20"/>
          <w:szCs w:val="20"/>
          <w:lang w:val="es-AR"/>
        </w:rPr>
        <w:t xml:space="preserve">consta </w:t>
      </w:r>
      <w:r w:rsidR="000E6FC3" w:rsidRPr="00D60369">
        <w:rPr>
          <w:rFonts w:ascii="Verdana" w:hAnsi="Verdana"/>
          <w:sz w:val="20"/>
          <w:szCs w:val="20"/>
          <w:lang w:val="es-AR"/>
        </w:rPr>
        <w:t>en el Oficio</w:t>
      </w:r>
      <w:r w:rsidR="0049233B">
        <w:rPr>
          <w:rFonts w:ascii="Verdana" w:hAnsi="Verdana"/>
          <w:sz w:val="20"/>
          <w:szCs w:val="20"/>
          <w:lang w:val="es-AR"/>
        </w:rPr>
        <w:t xml:space="preserve"> </w:t>
      </w:r>
      <w:r w:rsidR="0049233B" w:rsidRPr="00D60369">
        <w:rPr>
          <w:rFonts w:ascii="Verdana" w:hAnsi="Verdana"/>
          <w:sz w:val="20"/>
          <w:szCs w:val="20"/>
          <w:lang w:val="es-AR"/>
        </w:rPr>
        <w:t>N</w:t>
      </w:r>
      <w:r w:rsidR="0049233B">
        <w:rPr>
          <w:rFonts w:ascii="Verdana" w:hAnsi="Verdana"/>
          <w:sz w:val="20"/>
          <w:szCs w:val="20"/>
          <w:lang w:val="es-AR"/>
        </w:rPr>
        <w:t>o</w:t>
      </w:r>
      <w:r w:rsidR="00265F81">
        <w:rPr>
          <w:rFonts w:ascii="Verdana" w:hAnsi="Verdana"/>
          <w:sz w:val="20"/>
          <w:szCs w:val="20"/>
          <w:lang w:val="es-AR"/>
        </w:rPr>
        <w:t>.</w:t>
      </w:r>
      <w:r w:rsidR="000E6FC3" w:rsidRPr="00D60369">
        <w:rPr>
          <w:rFonts w:ascii="Verdana" w:hAnsi="Verdana"/>
          <w:sz w:val="20"/>
          <w:szCs w:val="20"/>
          <w:lang w:val="es-AR"/>
        </w:rPr>
        <w:t xml:space="preserve"> 1709-98, </w:t>
      </w:r>
      <w:r w:rsidR="0032565E">
        <w:rPr>
          <w:rFonts w:ascii="Verdana" w:hAnsi="Verdana"/>
          <w:sz w:val="20"/>
          <w:szCs w:val="20"/>
          <w:lang w:val="es-AR"/>
        </w:rPr>
        <w:t xml:space="preserve">que </w:t>
      </w:r>
      <w:r w:rsidR="000E6FC3" w:rsidRPr="00D60369">
        <w:rPr>
          <w:rFonts w:ascii="Verdana" w:hAnsi="Verdana"/>
          <w:sz w:val="20"/>
          <w:szCs w:val="20"/>
          <w:lang w:val="es-AR"/>
        </w:rPr>
        <w:t>la orden de allanamiento fue girada en el Oficio N</w:t>
      </w:r>
      <w:r w:rsidR="0049233B">
        <w:rPr>
          <w:rFonts w:ascii="Verdana" w:hAnsi="Verdana"/>
          <w:sz w:val="20"/>
          <w:szCs w:val="20"/>
          <w:lang w:val="es-AR"/>
        </w:rPr>
        <w:t>o</w:t>
      </w:r>
      <w:r w:rsidR="000E6FC3" w:rsidRPr="00D60369">
        <w:rPr>
          <w:rFonts w:ascii="Verdana" w:hAnsi="Verdana"/>
          <w:sz w:val="20"/>
          <w:szCs w:val="20"/>
          <w:lang w:val="es-AR"/>
        </w:rPr>
        <w:t xml:space="preserve">. 112 de 27 de mayo de 1998 y firmada por el Juez </w:t>
      </w:r>
      <w:r w:rsidR="000E6FC3" w:rsidRPr="00F54F76">
        <w:rPr>
          <w:rFonts w:ascii="Verdana" w:hAnsi="Verdana"/>
          <w:sz w:val="20"/>
          <w:szCs w:val="20"/>
          <w:lang w:val="es-AR"/>
        </w:rPr>
        <w:t xml:space="preserve">Segundo de </w:t>
      </w:r>
      <w:r w:rsidR="0049233B" w:rsidRPr="00F54F76">
        <w:rPr>
          <w:rFonts w:ascii="Verdana" w:hAnsi="Verdana"/>
          <w:sz w:val="20"/>
          <w:szCs w:val="20"/>
          <w:lang w:val="es-AR"/>
        </w:rPr>
        <w:t>Paz</w:t>
      </w:r>
      <w:r w:rsidR="0049233B">
        <w:rPr>
          <w:rFonts w:ascii="Verdana" w:hAnsi="Verdana"/>
          <w:sz w:val="20"/>
          <w:szCs w:val="20"/>
          <w:lang w:val="es-AR"/>
        </w:rPr>
        <w:t xml:space="preserve"> </w:t>
      </w:r>
      <w:r w:rsidR="000E6FC3" w:rsidRPr="00D60369">
        <w:rPr>
          <w:rFonts w:ascii="Verdana" w:hAnsi="Verdana"/>
          <w:sz w:val="20"/>
          <w:szCs w:val="20"/>
          <w:lang w:val="es-AR"/>
        </w:rPr>
        <w:t>Penal Local</w:t>
      </w:r>
      <w:r w:rsidR="00171E85">
        <w:rPr>
          <w:rFonts w:ascii="Verdana" w:hAnsi="Verdana"/>
          <w:sz w:val="20"/>
          <w:szCs w:val="20"/>
          <w:lang w:val="es-AR"/>
        </w:rPr>
        <w:t>. Durante la realización del</w:t>
      </w:r>
      <w:r w:rsidR="000E6FC3" w:rsidRPr="00D60369">
        <w:rPr>
          <w:rFonts w:ascii="Verdana" w:hAnsi="Verdana"/>
          <w:sz w:val="20"/>
          <w:szCs w:val="20"/>
          <w:lang w:val="es-AR"/>
        </w:rPr>
        <w:t xml:space="preserve"> cateo en </w:t>
      </w:r>
      <w:r w:rsidR="00171E85">
        <w:rPr>
          <w:rFonts w:ascii="Verdana" w:hAnsi="Verdana"/>
          <w:sz w:val="20"/>
          <w:szCs w:val="20"/>
          <w:lang w:val="es-AR"/>
        </w:rPr>
        <w:t xml:space="preserve">la casa </w:t>
      </w:r>
      <w:r w:rsidR="000E6FC3" w:rsidRPr="00D60369">
        <w:rPr>
          <w:rFonts w:ascii="Verdana" w:hAnsi="Verdana"/>
          <w:sz w:val="20"/>
          <w:szCs w:val="20"/>
          <w:lang w:val="es-AR"/>
        </w:rPr>
        <w:t xml:space="preserve">donde habitaba Víctor Manuel Vásquez González (Tirso Valenzuela) </w:t>
      </w:r>
      <w:r w:rsidR="00171E85">
        <w:rPr>
          <w:rFonts w:ascii="Verdana" w:hAnsi="Verdana"/>
          <w:sz w:val="20"/>
          <w:szCs w:val="20"/>
          <w:lang w:val="es-AR"/>
        </w:rPr>
        <w:t xml:space="preserve">se localizaron </w:t>
      </w:r>
      <w:r w:rsidR="000E6FC3" w:rsidRPr="00D60369">
        <w:rPr>
          <w:rFonts w:ascii="Verdana" w:hAnsi="Verdana"/>
          <w:sz w:val="20"/>
          <w:szCs w:val="20"/>
          <w:lang w:val="es-AR"/>
        </w:rPr>
        <w:t>varias armas, que</w:t>
      </w:r>
      <w:r w:rsidR="00171E85">
        <w:rPr>
          <w:rFonts w:ascii="Verdana" w:hAnsi="Verdana"/>
          <w:sz w:val="20"/>
          <w:szCs w:val="20"/>
          <w:lang w:val="es-AR"/>
        </w:rPr>
        <w:t xml:space="preserve"> fueron incautadas</w:t>
      </w:r>
      <w:r w:rsidR="000E6FC3" w:rsidRPr="00D60369">
        <w:rPr>
          <w:rFonts w:ascii="Verdana" w:hAnsi="Verdana"/>
          <w:sz w:val="20"/>
          <w:szCs w:val="20"/>
          <w:lang w:val="es-AR"/>
        </w:rPr>
        <w:t xml:space="preserve"> y el señor Valenzuela</w:t>
      </w:r>
      <w:r w:rsidR="00552E87">
        <w:rPr>
          <w:rFonts w:ascii="Verdana" w:hAnsi="Verdana"/>
          <w:sz w:val="20"/>
          <w:szCs w:val="20"/>
          <w:lang w:val="es-AR"/>
        </w:rPr>
        <w:t xml:space="preserve"> fue detenido por</w:t>
      </w:r>
      <w:r w:rsidR="000E6FC3" w:rsidRPr="00D60369">
        <w:rPr>
          <w:rFonts w:ascii="Verdana" w:hAnsi="Verdana"/>
          <w:sz w:val="20"/>
          <w:szCs w:val="20"/>
          <w:lang w:val="es-AR"/>
        </w:rPr>
        <w:t xml:space="preserve"> el delito de tenencia de armas de fuego. Asimismo, el 28 de mayo de 1998 se amplió el Oficio 17</w:t>
      </w:r>
      <w:r w:rsidR="000E6FC3" w:rsidRPr="001E2509">
        <w:rPr>
          <w:rFonts w:ascii="Verdana" w:hAnsi="Verdana"/>
          <w:sz w:val="20"/>
          <w:szCs w:val="20"/>
          <w:lang w:val="es-AR"/>
        </w:rPr>
        <w:t>09-98 me</w:t>
      </w:r>
      <w:r w:rsidR="00760F8C" w:rsidRPr="001E2509">
        <w:rPr>
          <w:rFonts w:ascii="Verdana" w:hAnsi="Verdana"/>
          <w:sz w:val="20"/>
          <w:szCs w:val="20"/>
          <w:lang w:val="es-AR"/>
        </w:rPr>
        <w:t xml:space="preserve">diante el Oficio </w:t>
      </w:r>
      <w:proofErr w:type="spellStart"/>
      <w:r w:rsidR="00760F8C" w:rsidRPr="001E2509">
        <w:rPr>
          <w:rFonts w:ascii="Verdana" w:hAnsi="Verdana"/>
          <w:sz w:val="20"/>
          <w:szCs w:val="20"/>
          <w:lang w:val="es-AR"/>
        </w:rPr>
        <w:t>N°</w:t>
      </w:r>
      <w:proofErr w:type="spellEnd"/>
      <w:r w:rsidR="00760F8C" w:rsidRPr="001E2509">
        <w:rPr>
          <w:rFonts w:ascii="Verdana" w:hAnsi="Verdana"/>
          <w:sz w:val="20"/>
          <w:szCs w:val="20"/>
          <w:lang w:val="es-AR"/>
        </w:rPr>
        <w:t xml:space="preserve"> 1714-98 </w:t>
      </w:r>
      <w:r w:rsidR="000E6FC3" w:rsidRPr="001E2509">
        <w:rPr>
          <w:rFonts w:ascii="Verdana" w:hAnsi="Verdana"/>
          <w:sz w:val="20"/>
          <w:szCs w:val="20"/>
          <w:lang w:val="es-AR"/>
        </w:rPr>
        <w:t xml:space="preserve">donde se consignó que el señor Tirso Román Valenzuela Ávila, </w:t>
      </w:r>
      <w:r w:rsidR="001E2509" w:rsidRPr="004C0EBB">
        <w:rPr>
          <w:rFonts w:ascii="Verdana" w:hAnsi="Verdana"/>
          <w:sz w:val="20"/>
          <w:szCs w:val="20"/>
          <w:lang w:val="es-AR"/>
        </w:rPr>
        <w:t>manifestó voluntariamente</w:t>
      </w:r>
      <w:r w:rsidR="000E6FC3" w:rsidRPr="001E2509">
        <w:rPr>
          <w:rFonts w:ascii="Verdana" w:hAnsi="Verdana"/>
          <w:sz w:val="20"/>
          <w:szCs w:val="20"/>
          <w:lang w:val="es-AR"/>
        </w:rPr>
        <w:t xml:space="preserve"> </w:t>
      </w:r>
      <w:r w:rsidR="002D492E" w:rsidRPr="001E2509">
        <w:rPr>
          <w:rFonts w:ascii="Verdana" w:hAnsi="Verdana"/>
          <w:sz w:val="20"/>
          <w:szCs w:val="20"/>
          <w:lang w:val="es-AR"/>
        </w:rPr>
        <w:t xml:space="preserve">a los agentes de policía </w:t>
      </w:r>
      <w:r w:rsidR="001E2509" w:rsidRPr="001E2509">
        <w:rPr>
          <w:rFonts w:ascii="Verdana" w:hAnsi="Verdana"/>
          <w:sz w:val="20"/>
          <w:szCs w:val="20"/>
          <w:lang w:val="es-AR"/>
        </w:rPr>
        <w:t xml:space="preserve">que dio muerte a la </w:t>
      </w:r>
      <w:r w:rsidR="000E6FC3" w:rsidRPr="001E2509">
        <w:rPr>
          <w:rFonts w:ascii="Verdana" w:hAnsi="Verdana"/>
          <w:sz w:val="20"/>
          <w:szCs w:val="20"/>
          <w:lang w:val="es-AR"/>
        </w:rPr>
        <w:t>fiscal</w:t>
      </w:r>
      <w:r w:rsidR="0064236A" w:rsidRPr="001E2509">
        <w:rPr>
          <w:rFonts w:ascii="Verdana" w:hAnsi="Verdana"/>
          <w:sz w:val="20"/>
          <w:szCs w:val="20"/>
          <w:lang w:val="es-AR"/>
        </w:rPr>
        <w:t>a</w:t>
      </w:r>
      <w:r w:rsidR="000E6FC3" w:rsidRPr="001E2509">
        <w:rPr>
          <w:rFonts w:ascii="Verdana" w:hAnsi="Verdana"/>
          <w:sz w:val="20"/>
          <w:szCs w:val="20"/>
          <w:lang w:val="es-AR"/>
        </w:rPr>
        <w:t xml:space="preserve"> SJR.</w:t>
      </w:r>
      <w:r w:rsidR="000E6FC3" w:rsidRPr="00D60369">
        <w:rPr>
          <w:rFonts w:ascii="Verdana" w:hAnsi="Verdana"/>
          <w:sz w:val="20"/>
          <w:szCs w:val="20"/>
          <w:lang w:val="es-AR"/>
        </w:rPr>
        <w:t xml:space="preserve"> Por tal motivo se ampl</w:t>
      </w:r>
      <w:r w:rsidR="000E6FC3" w:rsidRPr="00D60369">
        <w:rPr>
          <w:rFonts w:ascii="Verdana" w:hAnsi="Verdana" w:cs="Verdana"/>
          <w:sz w:val="20"/>
          <w:szCs w:val="20"/>
          <w:lang w:val="es-AR"/>
        </w:rPr>
        <w:t xml:space="preserve">ió </w:t>
      </w:r>
      <w:r w:rsidR="000E6FC3" w:rsidRPr="00D60369">
        <w:rPr>
          <w:rFonts w:ascii="Verdana" w:hAnsi="Verdana"/>
          <w:sz w:val="20"/>
          <w:szCs w:val="20"/>
          <w:lang w:val="es-AR"/>
        </w:rPr>
        <w:t>su consignaci</w:t>
      </w:r>
      <w:r w:rsidR="000E6FC3" w:rsidRPr="00D60369">
        <w:rPr>
          <w:rFonts w:ascii="Verdana" w:hAnsi="Verdana" w:cs="Verdana"/>
          <w:sz w:val="20"/>
          <w:szCs w:val="20"/>
          <w:lang w:val="es-AR"/>
        </w:rPr>
        <w:t>ó</w:t>
      </w:r>
      <w:r w:rsidR="000E6FC3" w:rsidRPr="00D60369">
        <w:rPr>
          <w:rFonts w:ascii="Verdana" w:hAnsi="Verdana"/>
          <w:sz w:val="20"/>
          <w:szCs w:val="20"/>
          <w:lang w:val="es-AR"/>
        </w:rPr>
        <w:t xml:space="preserve">n por el delito de </w:t>
      </w:r>
      <w:r w:rsidR="000E6FC3" w:rsidRPr="00D60369">
        <w:rPr>
          <w:rFonts w:ascii="Verdana" w:hAnsi="Verdana"/>
          <w:sz w:val="20"/>
          <w:szCs w:val="20"/>
          <w:lang w:val="es-AR"/>
        </w:rPr>
        <w:lastRenderedPageBreak/>
        <w:t>asesinato</w:t>
      </w:r>
      <w:r w:rsidR="000E6FC3" w:rsidRPr="00EC2F24">
        <w:rPr>
          <w:rStyle w:val="Refdenotaalpie"/>
          <w:rFonts w:ascii="Verdana" w:hAnsi="Verdana"/>
          <w:sz w:val="20"/>
          <w:szCs w:val="20"/>
          <w:lang w:val="es-AR"/>
        </w:rPr>
        <w:footnoteReference w:id="41"/>
      </w:r>
      <w:r w:rsidR="000E6FC3" w:rsidRPr="00D60369">
        <w:rPr>
          <w:rFonts w:ascii="Verdana" w:hAnsi="Verdana"/>
          <w:sz w:val="20"/>
          <w:szCs w:val="20"/>
          <w:lang w:val="es-AR"/>
        </w:rPr>
        <w:t>, esta última aseveración también consta en la sentencia de 21 de octubre de 1999 (</w:t>
      </w:r>
      <w:r w:rsidR="000E6FC3" w:rsidRPr="00D60369">
        <w:rPr>
          <w:rFonts w:ascii="Verdana" w:hAnsi="Verdana"/>
          <w:i/>
          <w:sz w:val="20"/>
          <w:szCs w:val="20"/>
          <w:lang w:val="es-AR"/>
        </w:rPr>
        <w:t>infra</w:t>
      </w:r>
      <w:r w:rsidR="000E6FC3" w:rsidRPr="00D60369">
        <w:rPr>
          <w:rFonts w:ascii="Verdana" w:hAnsi="Verdana"/>
          <w:sz w:val="20"/>
          <w:szCs w:val="20"/>
          <w:lang w:val="es-AR"/>
        </w:rPr>
        <w:t xml:space="preserve"> párr.</w:t>
      </w:r>
      <w:r w:rsidR="00130D62">
        <w:rPr>
          <w:rFonts w:ascii="Verdana" w:hAnsi="Verdana"/>
          <w:sz w:val="20"/>
          <w:szCs w:val="20"/>
          <w:lang w:val="es-AR"/>
        </w:rPr>
        <w:t xml:space="preserve"> 76</w:t>
      </w:r>
      <w:r w:rsidR="000E6FC3" w:rsidRPr="00D60369">
        <w:rPr>
          <w:rFonts w:ascii="Verdana" w:hAnsi="Verdana"/>
          <w:sz w:val="20"/>
          <w:szCs w:val="20"/>
          <w:lang w:val="es-AR"/>
        </w:rPr>
        <w:t>).</w:t>
      </w:r>
    </w:p>
    <w:p w14:paraId="5F5E5331" w14:textId="77777777" w:rsidR="00D60369" w:rsidRDefault="00D60369" w:rsidP="00D60369">
      <w:pPr>
        <w:pStyle w:val="Prrafodelista"/>
        <w:autoSpaceDE w:val="0"/>
        <w:autoSpaceDN w:val="0"/>
        <w:adjustRightInd w:val="0"/>
        <w:spacing w:after="0" w:line="240" w:lineRule="auto"/>
        <w:ind w:left="0"/>
        <w:jc w:val="both"/>
        <w:rPr>
          <w:rFonts w:ascii="Verdana" w:hAnsi="Verdana"/>
          <w:sz w:val="20"/>
          <w:szCs w:val="20"/>
          <w:lang w:val="es-CR"/>
        </w:rPr>
      </w:pPr>
    </w:p>
    <w:p w14:paraId="40AA587D" w14:textId="34F21FEE" w:rsidR="00F23A7C" w:rsidRPr="006278DC" w:rsidRDefault="00845F18" w:rsidP="005406CA">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Pr>
          <w:rFonts w:ascii="Verdana" w:hAnsi="Verdana"/>
          <w:sz w:val="20"/>
          <w:szCs w:val="20"/>
          <w:lang w:val="es-AR"/>
        </w:rPr>
        <w:t>Por su parte</w:t>
      </w:r>
      <w:r w:rsidR="00B17BA6">
        <w:rPr>
          <w:rFonts w:ascii="Verdana" w:hAnsi="Verdana"/>
          <w:sz w:val="20"/>
          <w:szCs w:val="20"/>
          <w:lang w:val="es-AR"/>
        </w:rPr>
        <w:t>,</w:t>
      </w:r>
      <w:r>
        <w:rPr>
          <w:rFonts w:ascii="Verdana" w:hAnsi="Verdana"/>
          <w:sz w:val="20"/>
          <w:szCs w:val="20"/>
          <w:lang w:val="es-AR"/>
        </w:rPr>
        <w:t xml:space="preserve"> </w:t>
      </w:r>
      <w:r w:rsidR="000E6FC3" w:rsidRPr="00D60369">
        <w:rPr>
          <w:rFonts w:ascii="Verdana" w:hAnsi="Verdana"/>
          <w:sz w:val="20"/>
          <w:szCs w:val="20"/>
          <w:lang w:val="es-AR"/>
        </w:rPr>
        <w:t xml:space="preserve">el señor Valenzuela </w:t>
      </w:r>
      <w:r w:rsidR="00130D62">
        <w:rPr>
          <w:rFonts w:ascii="Verdana" w:hAnsi="Verdana"/>
          <w:sz w:val="20"/>
          <w:szCs w:val="20"/>
          <w:lang w:val="es-AR"/>
        </w:rPr>
        <w:t>en</w:t>
      </w:r>
      <w:r w:rsidR="00B17BA6">
        <w:rPr>
          <w:rFonts w:ascii="Verdana" w:hAnsi="Verdana"/>
          <w:sz w:val="20"/>
          <w:szCs w:val="20"/>
          <w:lang w:val="es-AR"/>
        </w:rPr>
        <w:t xml:space="preserve"> el juicio </w:t>
      </w:r>
      <w:r w:rsidR="000E6FC3" w:rsidRPr="00D60369">
        <w:rPr>
          <w:rFonts w:ascii="Verdana" w:hAnsi="Verdana"/>
          <w:sz w:val="20"/>
          <w:szCs w:val="20"/>
          <w:lang w:val="es-AR"/>
        </w:rPr>
        <w:t xml:space="preserve">declaró que </w:t>
      </w:r>
      <w:r w:rsidR="002F0A75">
        <w:rPr>
          <w:rFonts w:ascii="Verdana" w:hAnsi="Verdana"/>
          <w:sz w:val="20"/>
          <w:szCs w:val="20"/>
          <w:lang w:val="es-AR"/>
        </w:rPr>
        <w:t xml:space="preserve">durante el allanamiento </w:t>
      </w:r>
      <w:r w:rsidR="0003566E">
        <w:rPr>
          <w:rFonts w:ascii="Verdana" w:hAnsi="Verdana"/>
          <w:sz w:val="20"/>
          <w:szCs w:val="20"/>
          <w:lang w:val="es-AR"/>
        </w:rPr>
        <w:t xml:space="preserve">vio </w:t>
      </w:r>
      <w:r w:rsidR="002F0A75">
        <w:rPr>
          <w:rFonts w:ascii="Verdana" w:hAnsi="Verdana"/>
          <w:sz w:val="20"/>
          <w:szCs w:val="20"/>
          <w:lang w:val="es-AR"/>
        </w:rPr>
        <w:t xml:space="preserve">como </w:t>
      </w:r>
      <w:r w:rsidR="00AE4AF7">
        <w:rPr>
          <w:rFonts w:ascii="Verdana" w:hAnsi="Verdana"/>
          <w:sz w:val="20"/>
          <w:szCs w:val="20"/>
          <w:lang w:val="es-AR"/>
        </w:rPr>
        <w:t xml:space="preserve">un agente </w:t>
      </w:r>
      <w:r w:rsidR="0003566E">
        <w:rPr>
          <w:rFonts w:ascii="Verdana" w:hAnsi="Verdana"/>
          <w:sz w:val="20"/>
          <w:szCs w:val="20"/>
          <w:lang w:val="es-AR"/>
        </w:rPr>
        <w:t xml:space="preserve">de particular </w:t>
      </w:r>
      <w:r w:rsidR="00E42AAF">
        <w:rPr>
          <w:rFonts w:ascii="Verdana" w:hAnsi="Verdana"/>
          <w:sz w:val="20"/>
          <w:szCs w:val="20"/>
          <w:lang w:val="es-AR"/>
        </w:rPr>
        <w:t xml:space="preserve">entró a su </w:t>
      </w:r>
      <w:r w:rsidR="00E42AAF" w:rsidRPr="00D60369">
        <w:rPr>
          <w:rFonts w:ascii="Verdana" w:hAnsi="Verdana"/>
          <w:sz w:val="20"/>
          <w:szCs w:val="20"/>
          <w:lang w:val="es-AR"/>
        </w:rPr>
        <w:t>casa</w:t>
      </w:r>
      <w:r w:rsidR="00E42AAF">
        <w:rPr>
          <w:rFonts w:ascii="Verdana" w:hAnsi="Verdana"/>
          <w:sz w:val="20"/>
          <w:szCs w:val="20"/>
          <w:lang w:val="es-AR"/>
        </w:rPr>
        <w:t xml:space="preserve"> </w:t>
      </w:r>
      <w:r w:rsidR="00D9138F">
        <w:rPr>
          <w:rFonts w:ascii="Verdana" w:hAnsi="Verdana"/>
          <w:sz w:val="20"/>
          <w:szCs w:val="20"/>
          <w:lang w:val="es-AR"/>
        </w:rPr>
        <w:t xml:space="preserve">con </w:t>
      </w:r>
      <w:r w:rsidR="00AE4AF7">
        <w:rPr>
          <w:rFonts w:ascii="Verdana" w:hAnsi="Verdana"/>
          <w:sz w:val="20"/>
          <w:szCs w:val="20"/>
          <w:lang w:val="es-AR"/>
        </w:rPr>
        <w:t>un costal.</w:t>
      </w:r>
      <w:r w:rsidR="00D9138F">
        <w:rPr>
          <w:rFonts w:ascii="Verdana" w:hAnsi="Verdana"/>
          <w:sz w:val="20"/>
          <w:szCs w:val="20"/>
          <w:lang w:val="es-AR"/>
        </w:rPr>
        <w:t xml:space="preserve"> Luego alguien dijo que “</w:t>
      </w:r>
      <w:proofErr w:type="spellStart"/>
      <w:r w:rsidR="000E6FC3" w:rsidRPr="00D60369">
        <w:rPr>
          <w:rFonts w:ascii="Verdana" w:hAnsi="Verdana"/>
          <w:sz w:val="20"/>
          <w:szCs w:val="20"/>
          <w:lang w:val="es-AR"/>
        </w:rPr>
        <w:t>encontr</w:t>
      </w:r>
      <w:proofErr w:type="spellEnd"/>
      <w:r w:rsidR="0049233B">
        <w:rPr>
          <w:rFonts w:ascii="Verdana" w:hAnsi="Verdana"/>
          <w:sz w:val="20"/>
          <w:szCs w:val="20"/>
          <w:lang w:val="es-AR"/>
        </w:rPr>
        <w:t>[</w:t>
      </w:r>
      <w:proofErr w:type="spellStart"/>
      <w:r w:rsidR="0049233B">
        <w:rPr>
          <w:rFonts w:ascii="Verdana" w:hAnsi="Verdana"/>
          <w:sz w:val="20"/>
          <w:szCs w:val="20"/>
          <w:lang w:val="es-AR"/>
        </w:rPr>
        <w:t>ó</w:t>
      </w:r>
      <w:proofErr w:type="spellEnd"/>
      <w:r w:rsidR="0049233B">
        <w:rPr>
          <w:rFonts w:ascii="Verdana" w:hAnsi="Verdana"/>
          <w:sz w:val="20"/>
          <w:szCs w:val="20"/>
          <w:lang w:val="es-AR"/>
        </w:rPr>
        <w:t>]</w:t>
      </w:r>
      <w:r w:rsidR="000E6FC3" w:rsidRPr="00D60369">
        <w:rPr>
          <w:rFonts w:ascii="Verdana" w:hAnsi="Verdana"/>
          <w:sz w:val="20"/>
          <w:szCs w:val="20"/>
          <w:lang w:val="es-AR"/>
        </w:rPr>
        <w:t xml:space="preserve"> un paquete que </w:t>
      </w:r>
      <w:proofErr w:type="spellStart"/>
      <w:r w:rsidR="000E6FC3" w:rsidRPr="00D60369">
        <w:rPr>
          <w:rFonts w:ascii="Verdana" w:hAnsi="Verdana"/>
          <w:sz w:val="20"/>
          <w:szCs w:val="20"/>
          <w:lang w:val="es-AR"/>
        </w:rPr>
        <w:t>cont</w:t>
      </w:r>
      <w:proofErr w:type="spellEnd"/>
      <w:r w:rsidR="006D1593">
        <w:rPr>
          <w:rFonts w:ascii="Verdana" w:hAnsi="Verdana"/>
          <w:sz w:val="20"/>
          <w:szCs w:val="20"/>
          <w:lang w:val="es-AR"/>
        </w:rPr>
        <w:t>[</w:t>
      </w:r>
      <w:proofErr w:type="spellStart"/>
      <w:r w:rsidR="006D1593">
        <w:rPr>
          <w:rFonts w:ascii="Verdana" w:hAnsi="Verdana"/>
          <w:sz w:val="20"/>
          <w:szCs w:val="20"/>
          <w:lang w:val="es-AR"/>
        </w:rPr>
        <w:t>enía</w:t>
      </w:r>
      <w:proofErr w:type="spellEnd"/>
      <w:r w:rsidR="006D1593">
        <w:rPr>
          <w:rFonts w:ascii="Verdana" w:hAnsi="Verdana"/>
          <w:sz w:val="20"/>
          <w:szCs w:val="20"/>
          <w:lang w:val="es-AR"/>
        </w:rPr>
        <w:t>]</w:t>
      </w:r>
      <w:r w:rsidR="000E6FC3" w:rsidRPr="00D60369">
        <w:rPr>
          <w:rFonts w:ascii="Verdana" w:hAnsi="Verdana"/>
          <w:sz w:val="20"/>
          <w:szCs w:val="20"/>
          <w:lang w:val="es-AR"/>
        </w:rPr>
        <w:t xml:space="preserve"> armas”. Expuso que seguidamente se reunieron el agente fiscal y el juez en un patio trasero, procedieron a abrir el costal y sacaron </w:t>
      </w:r>
      <w:r w:rsidR="006D1593">
        <w:rPr>
          <w:rFonts w:ascii="Verdana" w:hAnsi="Verdana"/>
          <w:sz w:val="20"/>
          <w:szCs w:val="20"/>
          <w:lang w:val="es-AR"/>
        </w:rPr>
        <w:t xml:space="preserve">las </w:t>
      </w:r>
      <w:r w:rsidR="000E6FC3" w:rsidRPr="00D60369">
        <w:rPr>
          <w:rFonts w:ascii="Verdana" w:hAnsi="Verdana"/>
          <w:sz w:val="20"/>
          <w:szCs w:val="20"/>
          <w:lang w:val="es-AR"/>
        </w:rPr>
        <w:t>arm</w:t>
      </w:r>
      <w:r w:rsidR="00D9138F">
        <w:rPr>
          <w:rFonts w:ascii="Verdana" w:hAnsi="Verdana"/>
          <w:sz w:val="20"/>
          <w:szCs w:val="20"/>
          <w:lang w:val="es-AR"/>
        </w:rPr>
        <w:t xml:space="preserve">as. El señor Valenzuela manifestó que luego se dio </w:t>
      </w:r>
      <w:r w:rsidR="000E6FC3" w:rsidRPr="00D60369">
        <w:rPr>
          <w:rFonts w:ascii="Verdana" w:hAnsi="Verdana"/>
          <w:sz w:val="20"/>
          <w:szCs w:val="20"/>
          <w:lang w:val="es-AR"/>
        </w:rPr>
        <w:t xml:space="preserve">la orden que lo sacaran de </w:t>
      </w:r>
      <w:r w:rsidR="006D1593">
        <w:rPr>
          <w:rFonts w:ascii="Verdana" w:hAnsi="Verdana"/>
          <w:sz w:val="20"/>
          <w:szCs w:val="20"/>
          <w:lang w:val="es-AR"/>
        </w:rPr>
        <w:t>ahí</w:t>
      </w:r>
      <w:r w:rsidR="000E6FC3" w:rsidRPr="00D60369">
        <w:rPr>
          <w:rFonts w:ascii="Verdana" w:hAnsi="Verdana"/>
          <w:sz w:val="20"/>
          <w:szCs w:val="20"/>
          <w:lang w:val="es-AR"/>
        </w:rPr>
        <w:t xml:space="preserve">, </w:t>
      </w:r>
      <w:r w:rsidR="00D9138F">
        <w:rPr>
          <w:rFonts w:ascii="Verdana" w:hAnsi="Verdana"/>
          <w:sz w:val="20"/>
          <w:szCs w:val="20"/>
          <w:lang w:val="es-AR"/>
        </w:rPr>
        <w:t>y lo introdujeron a un vehículo</w:t>
      </w:r>
      <w:r w:rsidR="00612331">
        <w:rPr>
          <w:rFonts w:ascii="Verdana" w:hAnsi="Verdana"/>
          <w:sz w:val="20"/>
          <w:szCs w:val="20"/>
          <w:lang w:val="es-AR"/>
        </w:rPr>
        <w:t xml:space="preserve">, </w:t>
      </w:r>
      <w:r w:rsidR="0049233B">
        <w:rPr>
          <w:rFonts w:ascii="Verdana" w:hAnsi="Verdana"/>
          <w:sz w:val="20"/>
          <w:szCs w:val="20"/>
          <w:lang w:val="es-AR"/>
        </w:rPr>
        <w:t xml:space="preserve">siendo objeto </w:t>
      </w:r>
      <w:r w:rsidR="00612331">
        <w:rPr>
          <w:rFonts w:ascii="Verdana" w:hAnsi="Verdana"/>
          <w:sz w:val="20"/>
          <w:szCs w:val="20"/>
          <w:lang w:val="es-AR"/>
        </w:rPr>
        <w:t xml:space="preserve">de diversos actos de violencia y después lo llevaron </w:t>
      </w:r>
      <w:r w:rsidR="00612331" w:rsidRPr="00D60369">
        <w:rPr>
          <w:rFonts w:ascii="Verdana" w:hAnsi="Verdana"/>
          <w:sz w:val="20"/>
          <w:szCs w:val="20"/>
          <w:lang w:val="es-AR"/>
        </w:rPr>
        <w:t>al Segundo Cuerpo</w:t>
      </w:r>
      <w:r w:rsidR="000E6FC3" w:rsidRPr="00EC2F24">
        <w:rPr>
          <w:rStyle w:val="Refdenotaalpie"/>
          <w:rFonts w:ascii="Verdana" w:hAnsi="Verdana"/>
          <w:sz w:val="20"/>
          <w:szCs w:val="20"/>
          <w:lang w:val="es-AR"/>
        </w:rPr>
        <w:footnoteReference w:id="42"/>
      </w:r>
      <w:r w:rsidR="000E6FC3" w:rsidRPr="00D60369">
        <w:rPr>
          <w:rFonts w:ascii="Verdana" w:hAnsi="Verdana"/>
          <w:sz w:val="20"/>
          <w:szCs w:val="20"/>
          <w:lang w:val="es-AR"/>
        </w:rPr>
        <w:t xml:space="preserve">. </w:t>
      </w:r>
      <w:r w:rsidR="000E6FC3" w:rsidRPr="00612331">
        <w:rPr>
          <w:rFonts w:ascii="Verdana" w:hAnsi="Verdana"/>
          <w:sz w:val="20"/>
          <w:szCs w:val="20"/>
          <w:lang w:val="es-AR"/>
        </w:rPr>
        <w:t xml:space="preserve">En relación a la “confesión del delito” el señor Valenzuela </w:t>
      </w:r>
      <w:proofErr w:type="gramStart"/>
      <w:r w:rsidR="00612331">
        <w:rPr>
          <w:rFonts w:ascii="Verdana" w:hAnsi="Verdana"/>
          <w:sz w:val="20"/>
          <w:szCs w:val="20"/>
          <w:lang w:val="es-AR"/>
        </w:rPr>
        <w:t>manifestó  que</w:t>
      </w:r>
      <w:proofErr w:type="gramEnd"/>
      <w:r w:rsidR="00612331">
        <w:rPr>
          <w:rFonts w:ascii="Verdana" w:hAnsi="Verdana"/>
          <w:sz w:val="20"/>
          <w:szCs w:val="20"/>
          <w:lang w:val="es-AR"/>
        </w:rPr>
        <w:t xml:space="preserve"> </w:t>
      </w:r>
      <w:r w:rsidR="00DA2B72">
        <w:rPr>
          <w:rFonts w:ascii="Verdana" w:hAnsi="Verdana"/>
          <w:sz w:val="20"/>
          <w:szCs w:val="20"/>
          <w:lang w:val="es-AR"/>
        </w:rPr>
        <w:t>“decid[</w:t>
      </w:r>
      <w:proofErr w:type="spellStart"/>
      <w:r w:rsidR="00DA2B72">
        <w:rPr>
          <w:rFonts w:ascii="Verdana" w:hAnsi="Verdana"/>
          <w:sz w:val="20"/>
          <w:szCs w:val="20"/>
          <w:lang w:val="es-AR"/>
        </w:rPr>
        <w:t>ió</w:t>
      </w:r>
      <w:proofErr w:type="spellEnd"/>
      <w:r w:rsidR="00DA2B72">
        <w:rPr>
          <w:rFonts w:ascii="Verdana" w:hAnsi="Verdana"/>
          <w:sz w:val="20"/>
          <w:szCs w:val="20"/>
          <w:lang w:val="es-AR"/>
        </w:rPr>
        <w:t>] dar [su]</w:t>
      </w:r>
      <w:r w:rsidR="000E6FC3" w:rsidRPr="00612331">
        <w:rPr>
          <w:rFonts w:ascii="Verdana" w:hAnsi="Verdana"/>
          <w:sz w:val="20"/>
          <w:szCs w:val="20"/>
          <w:lang w:val="es-AR"/>
        </w:rPr>
        <w:t xml:space="preserve"> declaración porque </w:t>
      </w:r>
      <w:r w:rsidR="002F0A75">
        <w:rPr>
          <w:rFonts w:ascii="Verdana" w:hAnsi="Verdana"/>
          <w:sz w:val="20"/>
          <w:szCs w:val="20"/>
          <w:lang w:val="es-AR"/>
        </w:rPr>
        <w:t xml:space="preserve">un señor </w:t>
      </w:r>
      <w:r w:rsidR="00DA2B72">
        <w:rPr>
          <w:rFonts w:ascii="Verdana" w:hAnsi="Verdana"/>
          <w:sz w:val="20"/>
          <w:szCs w:val="20"/>
          <w:lang w:val="es-AR"/>
        </w:rPr>
        <w:t>[lo]</w:t>
      </w:r>
      <w:r w:rsidR="0049233B">
        <w:rPr>
          <w:rFonts w:ascii="Verdana" w:hAnsi="Verdana"/>
          <w:sz w:val="20"/>
          <w:szCs w:val="20"/>
          <w:lang w:val="es-AR"/>
        </w:rPr>
        <w:t xml:space="preserve"> </w:t>
      </w:r>
      <w:r w:rsidR="00DA2B72">
        <w:rPr>
          <w:rFonts w:ascii="Verdana" w:hAnsi="Verdana"/>
          <w:sz w:val="20"/>
          <w:szCs w:val="20"/>
          <w:lang w:val="es-AR"/>
        </w:rPr>
        <w:t xml:space="preserve">torturó y él </w:t>
      </w:r>
      <w:r w:rsidR="0049233B">
        <w:rPr>
          <w:rFonts w:ascii="Verdana" w:hAnsi="Verdana"/>
          <w:sz w:val="20"/>
          <w:szCs w:val="20"/>
          <w:lang w:val="es-AR"/>
        </w:rPr>
        <w:t>[decía]</w:t>
      </w:r>
      <w:r w:rsidR="00F54F76">
        <w:rPr>
          <w:rFonts w:ascii="Verdana" w:hAnsi="Verdana"/>
          <w:sz w:val="20"/>
          <w:szCs w:val="20"/>
          <w:lang w:val="es-AR"/>
        </w:rPr>
        <w:t xml:space="preserve"> </w:t>
      </w:r>
      <w:r w:rsidR="00DA2B72">
        <w:rPr>
          <w:rFonts w:ascii="Verdana" w:hAnsi="Verdana"/>
          <w:sz w:val="20"/>
          <w:szCs w:val="20"/>
          <w:lang w:val="es-AR"/>
        </w:rPr>
        <w:t>que yo declar</w:t>
      </w:r>
      <w:r w:rsidR="00EB3591">
        <w:rPr>
          <w:rFonts w:ascii="Verdana" w:hAnsi="Verdana"/>
          <w:sz w:val="20"/>
          <w:szCs w:val="20"/>
          <w:lang w:val="es-AR"/>
        </w:rPr>
        <w:t>é</w:t>
      </w:r>
      <w:r w:rsidR="000E6FC3" w:rsidRPr="00612331">
        <w:rPr>
          <w:rFonts w:ascii="Verdana" w:hAnsi="Verdana"/>
          <w:sz w:val="20"/>
          <w:szCs w:val="20"/>
          <w:lang w:val="es-AR"/>
        </w:rPr>
        <w:t xml:space="preserve"> espontáneamente lo del asesinato sin hacerme preguntas”</w:t>
      </w:r>
      <w:r w:rsidR="000E6FC3" w:rsidRPr="00EC2F24">
        <w:rPr>
          <w:rStyle w:val="Refdenotaalpie"/>
          <w:rFonts w:ascii="Verdana" w:hAnsi="Verdana"/>
          <w:sz w:val="20"/>
          <w:szCs w:val="20"/>
          <w:lang w:val="es-AR"/>
        </w:rPr>
        <w:footnoteReference w:id="43"/>
      </w:r>
      <w:r w:rsidR="000E6FC3" w:rsidRPr="00612331">
        <w:rPr>
          <w:rFonts w:ascii="Verdana" w:hAnsi="Verdana"/>
          <w:sz w:val="20"/>
          <w:szCs w:val="20"/>
          <w:lang w:val="es-AR"/>
        </w:rPr>
        <w:t xml:space="preserve">. </w:t>
      </w:r>
    </w:p>
    <w:p w14:paraId="62119D82" w14:textId="77777777" w:rsidR="006278DC" w:rsidRPr="00612331" w:rsidRDefault="006278DC" w:rsidP="004B67C3">
      <w:pPr>
        <w:pStyle w:val="Prrafodelista"/>
        <w:autoSpaceDE w:val="0"/>
        <w:autoSpaceDN w:val="0"/>
        <w:adjustRightInd w:val="0"/>
        <w:spacing w:after="0" w:line="240" w:lineRule="auto"/>
        <w:ind w:left="0"/>
        <w:jc w:val="both"/>
        <w:rPr>
          <w:rFonts w:ascii="Verdana" w:hAnsi="Verdana"/>
          <w:sz w:val="20"/>
          <w:szCs w:val="20"/>
          <w:lang w:val="es-CR"/>
        </w:rPr>
      </w:pPr>
    </w:p>
    <w:p w14:paraId="58D465DB" w14:textId="77777777" w:rsidR="006D317C" w:rsidRDefault="000E6FC3" w:rsidP="00084C68">
      <w:pPr>
        <w:pStyle w:val="Ttulo3"/>
        <w:spacing w:before="0"/>
        <w:rPr>
          <w:b w:val="0"/>
          <w:lang w:val="es-PE"/>
        </w:rPr>
      </w:pPr>
      <w:bookmarkStart w:id="29" w:name="_Toc25247743"/>
      <w:r w:rsidRPr="006D317C">
        <w:rPr>
          <w:b w:val="0"/>
          <w:lang w:val="es-AR"/>
        </w:rPr>
        <w:t>B.2</w:t>
      </w:r>
      <w:r w:rsidR="00F23A7C" w:rsidRPr="006D317C">
        <w:rPr>
          <w:b w:val="0"/>
          <w:lang w:val="es-AR"/>
        </w:rPr>
        <w:t>.</w:t>
      </w:r>
      <w:r w:rsidRPr="006D317C">
        <w:rPr>
          <w:b w:val="0"/>
          <w:lang w:val="es-CR"/>
        </w:rPr>
        <w:t xml:space="preserve"> P</w:t>
      </w:r>
      <w:r w:rsidRPr="006D317C">
        <w:rPr>
          <w:b w:val="0"/>
          <w:lang w:val="es-PE"/>
        </w:rPr>
        <w:t>roceso penal llevado en contra del señor Valenzuela</w:t>
      </w:r>
      <w:bookmarkEnd w:id="29"/>
    </w:p>
    <w:p w14:paraId="6C16A7E2" w14:textId="77777777" w:rsidR="00393723" w:rsidRPr="00393723" w:rsidRDefault="00393723" w:rsidP="00393723">
      <w:pPr>
        <w:spacing w:after="0"/>
        <w:rPr>
          <w:lang w:val="es-PE"/>
        </w:rPr>
      </w:pPr>
    </w:p>
    <w:p w14:paraId="67547665" w14:textId="77777777" w:rsidR="00F23A7C" w:rsidRPr="006D317C" w:rsidRDefault="002924A9" w:rsidP="006D317C">
      <w:pPr>
        <w:pStyle w:val="Ttulo4"/>
        <w:spacing w:before="0"/>
        <w:ind w:left="1411"/>
        <w:rPr>
          <w:szCs w:val="20"/>
          <w:lang w:val="es-PE"/>
        </w:rPr>
      </w:pPr>
      <w:bookmarkStart w:id="30" w:name="_Toc25247744"/>
      <w:r>
        <w:rPr>
          <w:lang w:val="es-PE"/>
        </w:rPr>
        <w:t xml:space="preserve">B.2.1 </w:t>
      </w:r>
      <w:r w:rsidRPr="002924A9">
        <w:t>Hechos que dan lugar a la sentencia condenatoria</w:t>
      </w:r>
      <w:r>
        <w:t xml:space="preserve"> de pena de muerte</w:t>
      </w:r>
      <w:bookmarkEnd w:id="30"/>
    </w:p>
    <w:p w14:paraId="2E4EF9DA" w14:textId="77777777" w:rsidR="002924A9" w:rsidRPr="00F23A7C" w:rsidRDefault="002924A9" w:rsidP="006278DC">
      <w:pPr>
        <w:pStyle w:val="Prrafodelista"/>
        <w:tabs>
          <w:tab w:val="left" w:pos="1530"/>
          <w:tab w:val="center" w:pos="4709"/>
        </w:tabs>
        <w:autoSpaceDE w:val="0"/>
        <w:autoSpaceDN w:val="0"/>
        <w:adjustRightInd w:val="0"/>
        <w:spacing w:after="0" w:line="240" w:lineRule="auto"/>
        <w:ind w:left="0"/>
        <w:jc w:val="both"/>
        <w:rPr>
          <w:rFonts w:ascii="Verdana" w:hAnsi="Verdana"/>
          <w:i/>
          <w:sz w:val="20"/>
          <w:szCs w:val="20"/>
          <w:lang w:val="es-PE"/>
        </w:rPr>
      </w:pPr>
      <w:r>
        <w:rPr>
          <w:rFonts w:ascii="Verdana" w:hAnsi="Verdana"/>
          <w:i/>
          <w:sz w:val="20"/>
          <w:szCs w:val="20"/>
          <w:lang w:val="es-PE"/>
        </w:rPr>
        <w:tab/>
      </w:r>
      <w:r w:rsidR="006278DC">
        <w:rPr>
          <w:rFonts w:ascii="Verdana" w:hAnsi="Verdana"/>
          <w:i/>
          <w:sz w:val="20"/>
          <w:szCs w:val="20"/>
          <w:lang w:val="es-PE"/>
        </w:rPr>
        <w:tab/>
      </w:r>
    </w:p>
    <w:p w14:paraId="26D3EF06" w14:textId="77777777" w:rsidR="0008547A" w:rsidRDefault="000E6FC3" w:rsidP="005406CA">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F23A7C">
        <w:rPr>
          <w:rFonts w:ascii="Verdana" w:hAnsi="Verdana"/>
          <w:sz w:val="20"/>
          <w:szCs w:val="20"/>
          <w:lang w:val="es-CR"/>
        </w:rPr>
        <w:t xml:space="preserve">El </w:t>
      </w:r>
      <w:r w:rsidR="0049233B">
        <w:rPr>
          <w:rFonts w:ascii="Verdana" w:hAnsi="Verdana"/>
          <w:sz w:val="20"/>
          <w:szCs w:val="20"/>
          <w:lang w:val="es-CR"/>
        </w:rPr>
        <w:t xml:space="preserve">1 de junio </w:t>
      </w:r>
      <w:r w:rsidRPr="00F23A7C">
        <w:rPr>
          <w:rFonts w:ascii="Verdana" w:hAnsi="Verdana"/>
          <w:sz w:val="20"/>
          <w:szCs w:val="20"/>
          <w:lang w:val="es-CR"/>
        </w:rPr>
        <w:t>de 1999 el Ministerio Público formuló acusación en contra de Tirso Román Valenzuela Ávila por los delitos de lesiones, tenencia ilegal de armas de fuego ofensivas, asesinato, secuestro, evasión, y uso público de nombre supuesto</w:t>
      </w:r>
      <w:r w:rsidRPr="00EC2F24">
        <w:rPr>
          <w:rStyle w:val="Refdenotaalpie"/>
          <w:rFonts w:ascii="Verdana" w:hAnsi="Verdana"/>
          <w:sz w:val="20"/>
          <w:szCs w:val="20"/>
        </w:rPr>
        <w:footnoteReference w:id="44"/>
      </w:r>
      <w:r w:rsidRPr="00F23A7C">
        <w:rPr>
          <w:rFonts w:ascii="Verdana" w:hAnsi="Verdana"/>
          <w:sz w:val="20"/>
          <w:szCs w:val="20"/>
          <w:lang w:val="es-CR"/>
        </w:rPr>
        <w:t>. El 2 de julio de 1999 el Juzgado de Primera Instancia Penal decretó el sobreseimiento respecto del delito de lesiones</w:t>
      </w:r>
      <w:r w:rsidRPr="00EC2F24">
        <w:rPr>
          <w:rStyle w:val="Refdenotaalpie"/>
          <w:rFonts w:ascii="Verdana" w:hAnsi="Verdana"/>
          <w:sz w:val="20"/>
          <w:szCs w:val="20"/>
        </w:rPr>
        <w:footnoteReference w:id="45"/>
      </w:r>
      <w:r w:rsidRPr="00F23A7C">
        <w:rPr>
          <w:rFonts w:ascii="Verdana" w:hAnsi="Verdana"/>
          <w:sz w:val="20"/>
          <w:szCs w:val="20"/>
          <w:lang w:val="es-CR"/>
        </w:rPr>
        <w:t xml:space="preserve">, </w:t>
      </w:r>
      <w:r w:rsidRPr="00F23A7C">
        <w:rPr>
          <w:rFonts w:ascii="Verdana" w:hAnsi="Verdana"/>
          <w:sz w:val="20"/>
          <w:szCs w:val="20"/>
          <w:lang w:val="es-AR"/>
        </w:rPr>
        <w:t>y admitió la acusación respecto de los otros delitos enunciados.</w:t>
      </w:r>
      <w:r w:rsidRPr="00F23A7C">
        <w:rPr>
          <w:rFonts w:ascii="Verdana" w:hAnsi="Verdana"/>
          <w:sz w:val="20"/>
          <w:szCs w:val="20"/>
          <w:lang w:val="es-CR"/>
        </w:rPr>
        <w:t xml:space="preserve"> Dicha resolución fue recurrida</w:t>
      </w:r>
      <w:r w:rsidRPr="00EC2F24">
        <w:rPr>
          <w:rStyle w:val="Refdenotaalpie"/>
          <w:rFonts w:ascii="Verdana" w:hAnsi="Verdana"/>
          <w:sz w:val="20"/>
          <w:szCs w:val="20"/>
        </w:rPr>
        <w:footnoteReference w:id="46"/>
      </w:r>
      <w:r w:rsidR="008918C1">
        <w:rPr>
          <w:rFonts w:ascii="Verdana" w:hAnsi="Verdana"/>
          <w:sz w:val="20"/>
          <w:szCs w:val="20"/>
          <w:lang w:val="es-CR"/>
        </w:rPr>
        <w:t xml:space="preserve"> y el</w:t>
      </w:r>
      <w:r w:rsidRPr="00F23A7C">
        <w:rPr>
          <w:rFonts w:ascii="Verdana" w:hAnsi="Verdana"/>
          <w:sz w:val="20"/>
          <w:szCs w:val="20"/>
          <w:lang w:val="es-CR"/>
        </w:rPr>
        <w:t xml:space="preserve"> recurso fue declarado sin lugar el 8 de julio de 1999</w:t>
      </w:r>
      <w:r w:rsidRPr="00EC2F24">
        <w:rPr>
          <w:rStyle w:val="Refdenotaalpie"/>
          <w:rFonts w:ascii="Verdana" w:hAnsi="Verdana"/>
          <w:sz w:val="20"/>
          <w:szCs w:val="20"/>
        </w:rPr>
        <w:footnoteReference w:id="47"/>
      </w:r>
      <w:r w:rsidRPr="00F23A7C">
        <w:rPr>
          <w:rFonts w:ascii="Verdana" w:hAnsi="Verdana"/>
          <w:sz w:val="20"/>
          <w:szCs w:val="20"/>
          <w:lang w:val="es-CR"/>
        </w:rPr>
        <w:t>.</w:t>
      </w:r>
    </w:p>
    <w:p w14:paraId="2B856FF4" w14:textId="77777777" w:rsidR="0008547A" w:rsidRDefault="0008547A" w:rsidP="0008547A">
      <w:pPr>
        <w:pStyle w:val="Prrafodelista"/>
        <w:autoSpaceDE w:val="0"/>
        <w:autoSpaceDN w:val="0"/>
        <w:adjustRightInd w:val="0"/>
        <w:spacing w:after="0" w:line="240" w:lineRule="auto"/>
        <w:ind w:left="0"/>
        <w:jc w:val="both"/>
        <w:rPr>
          <w:rFonts w:ascii="Verdana" w:hAnsi="Verdana"/>
          <w:sz w:val="20"/>
          <w:szCs w:val="20"/>
          <w:lang w:val="es-CR"/>
        </w:rPr>
      </w:pPr>
    </w:p>
    <w:p w14:paraId="3924B503" w14:textId="5BBE3E97" w:rsidR="00AA7382" w:rsidRPr="0008547A" w:rsidRDefault="000E6FC3" w:rsidP="005406CA">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08547A">
        <w:rPr>
          <w:rFonts w:ascii="Verdana" w:hAnsi="Verdana"/>
          <w:sz w:val="20"/>
          <w:szCs w:val="20"/>
          <w:lang w:val="es-CR"/>
        </w:rPr>
        <w:t xml:space="preserve">El 21 de octubre de 1999 el Tribunal de Sentencia del Departamento de Quetzaltenango </w:t>
      </w:r>
      <w:r w:rsidRPr="0008547A">
        <w:rPr>
          <w:rFonts w:ascii="Verdana" w:hAnsi="Verdana"/>
          <w:sz w:val="20"/>
          <w:szCs w:val="20"/>
          <w:lang w:val="es-AR"/>
        </w:rPr>
        <w:t xml:space="preserve">dictó sentencia condenatoria en contra del señor </w:t>
      </w:r>
      <w:r w:rsidRPr="0008547A">
        <w:rPr>
          <w:rFonts w:ascii="Verdana" w:hAnsi="Verdana"/>
          <w:sz w:val="20"/>
          <w:szCs w:val="20"/>
          <w:lang w:val="es-CR"/>
        </w:rPr>
        <w:t xml:space="preserve">Valenzuela </w:t>
      </w:r>
      <w:r w:rsidRPr="0008547A">
        <w:rPr>
          <w:rFonts w:ascii="Verdana" w:hAnsi="Verdana"/>
          <w:sz w:val="20"/>
          <w:szCs w:val="20"/>
          <w:lang w:val="es-AR"/>
        </w:rPr>
        <w:t xml:space="preserve">y otras personas. En dicha sentencia el señor </w:t>
      </w:r>
      <w:r w:rsidRPr="0008547A">
        <w:rPr>
          <w:rFonts w:ascii="Verdana" w:hAnsi="Verdana"/>
          <w:sz w:val="20"/>
          <w:szCs w:val="20"/>
          <w:lang w:val="es-CR"/>
        </w:rPr>
        <w:t>Valenzuela</w:t>
      </w:r>
      <w:r w:rsidRPr="0008547A">
        <w:rPr>
          <w:rFonts w:ascii="Verdana" w:hAnsi="Verdana"/>
          <w:sz w:val="20"/>
          <w:szCs w:val="20"/>
          <w:lang w:val="es-AR"/>
        </w:rPr>
        <w:t xml:space="preserve"> fue absuelto por el delito de plagio o secuestro por falta de prueba y declarado responsable por los delitos de tenencia ilegal de armas de fuego ofensivas, asesinato, evasión y uso público de nombre supuesto. </w:t>
      </w:r>
      <w:r w:rsidR="00BA0BF2" w:rsidRPr="0008547A">
        <w:rPr>
          <w:rFonts w:ascii="Verdana" w:hAnsi="Verdana"/>
          <w:sz w:val="20"/>
          <w:szCs w:val="20"/>
          <w:lang w:val="es-AR"/>
        </w:rPr>
        <w:t xml:space="preserve">El señor Valenzuela Ávila </w:t>
      </w:r>
      <w:r w:rsidRPr="0008547A">
        <w:rPr>
          <w:rFonts w:ascii="Verdana" w:hAnsi="Verdana"/>
          <w:sz w:val="20"/>
          <w:szCs w:val="20"/>
          <w:lang w:val="es-AR"/>
        </w:rPr>
        <w:t>fue condenado a la pena de muerte por el delito de asesinato</w:t>
      </w:r>
      <w:r w:rsidR="00BA0BF2" w:rsidRPr="0008547A">
        <w:rPr>
          <w:rFonts w:ascii="Verdana" w:hAnsi="Verdana"/>
          <w:sz w:val="20"/>
          <w:szCs w:val="20"/>
          <w:lang w:val="es-AR"/>
        </w:rPr>
        <w:t>,</w:t>
      </w:r>
      <w:r w:rsidR="006610AC">
        <w:rPr>
          <w:rFonts w:ascii="Verdana" w:hAnsi="Verdana"/>
          <w:sz w:val="20"/>
          <w:szCs w:val="20"/>
          <w:lang w:val="es-AR"/>
        </w:rPr>
        <w:t xml:space="preserve"> por considerar el t</w:t>
      </w:r>
      <w:r w:rsidRPr="0008547A">
        <w:rPr>
          <w:rFonts w:ascii="Verdana" w:hAnsi="Verdana"/>
          <w:sz w:val="20"/>
          <w:szCs w:val="20"/>
          <w:lang w:val="es-AR"/>
        </w:rPr>
        <w:t>ribunal que se configuraba el requisito de "peligrosidad social"</w:t>
      </w:r>
      <w:r w:rsidRPr="00EC2F24">
        <w:rPr>
          <w:rStyle w:val="Refdenotaalpie"/>
          <w:rFonts w:ascii="Verdana" w:hAnsi="Verdana"/>
          <w:sz w:val="20"/>
          <w:szCs w:val="20"/>
        </w:rPr>
        <w:footnoteReference w:id="48"/>
      </w:r>
      <w:r w:rsidR="002F3C51" w:rsidRPr="0008547A">
        <w:rPr>
          <w:rFonts w:ascii="Verdana" w:hAnsi="Verdana"/>
          <w:sz w:val="20"/>
          <w:szCs w:val="20"/>
          <w:lang w:val="es-AR"/>
        </w:rPr>
        <w:t>.</w:t>
      </w:r>
    </w:p>
    <w:p w14:paraId="504117F8" w14:textId="77777777" w:rsidR="002F3C51" w:rsidRDefault="002F3C51" w:rsidP="00AA7382">
      <w:pPr>
        <w:pStyle w:val="Prrafodelista"/>
        <w:autoSpaceDE w:val="0"/>
        <w:autoSpaceDN w:val="0"/>
        <w:adjustRightInd w:val="0"/>
        <w:spacing w:after="0" w:line="240" w:lineRule="auto"/>
        <w:ind w:left="0"/>
        <w:jc w:val="both"/>
        <w:rPr>
          <w:rFonts w:ascii="Verdana" w:hAnsi="Verdana"/>
          <w:sz w:val="20"/>
          <w:szCs w:val="20"/>
          <w:lang w:val="es-CR"/>
        </w:rPr>
      </w:pPr>
    </w:p>
    <w:p w14:paraId="6C4163CD" w14:textId="6AD96187" w:rsidR="00651E93" w:rsidRDefault="000E6FC3" w:rsidP="005406CA">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AA7382">
        <w:rPr>
          <w:rFonts w:ascii="Verdana" w:hAnsi="Verdana"/>
          <w:sz w:val="20"/>
          <w:szCs w:val="20"/>
          <w:lang w:val="es-CR"/>
        </w:rPr>
        <w:t xml:space="preserve">El 3 de noviembre de 1999 la defensa del señor Valenzuela interpuso un recurso de apelación especial en contra de la sentencia condenatoria. </w:t>
      </w:r>
      <w:r w:rsidRPr="00AA7382">
        <w:rPr>
          <w:rFonts w:ascii="Verdana" w:hAnsi="Verdana"/>
          <w:sz w:val="20"/>
          <w:szCs w:val="20"/>
          <w:lang w:val="es-AR"/>
        </w:rPr>
        <w:t>Argumen</w:t>
      </w:r>
      <w:r w:rsidR="00224232">
        <w:rPr>
          <w:rFonts w:ascii="Verdana" w:hAnsi="Verdana"/>
          <w:sz w:val="20"/>
          <w:szCs w:val="20"/>
          <w:lang w:val="es-AR"/>
        </w:rPr>
        <w:t xml:space="preserve">tó, entre los motivos de forma: </w:t>
      </w:r>
      <w:r w:rsidRPr="00AA7382">
        <w:rPr>
          <w:rFonts w:ascii="Verdana" w:hAnsi="Verdana"/>
          <w:sz w:val="20"/>
          <w:szCs w:val="20"/>
          <w:lang w:val="es-AR"/>
        </w:rPr>
        <w:t xml:space="preserve">violación al principio de inmediación; falta de fundamentación, refiriendo que el </w:t>
      </w:r>
      <w:r w:rsidRPr="00AA7382">
        <w:rPr>
          <w:rFonts w:ascii="Verdana" w:hAnsi="Verdana"/>
          <w:sz w:val="20"/>
          <w:szCs w:val="20"/>
          <w:lang w:val="es-AR"/>
        </w:rPr>
        <w:lastRenderedPageBreak/>
        <w:t>Tribunal se limitó a enumerar los medios de prueba producidos en el debate, sin indicar los razonamientos que inducen al tribunal a condenar o absolver y que no se valoró la totalidad de la prueba</w:t>
      </w:r>
      <w:r w:rsidRPr="00AA7382">
        <w:rPr>
          <w:rFonts w:ascii="Verdana" w:hAnsi="Verdana"/>
          <w:i/>
          <w:sz w:val="20"/>
          <w:szCs w:val="20"/>
          <w:lang w:val="es-AR"/>
        </w:rPr>
        <w:t xml:space="preserve">; </w:t>
      </w:r>
      <w:r w:rsidRPr="00AA7382">
        <w:rPr>
          <w:rFonts w:ascii="Verdana" w:hAnsi="Verdana"/>
          <w:sz w:val="20"/>
          <w:szCs w:val="20"/>
          <w:lang w:val="es-AR"/>
        </w:rPr>
        <w:t>ilegalidad de la obtención de los medios de prueba</w:t>
      </w:r>
      <w:r w:rsidRPr="00AA7382">
        <w:rPr>
          <w:rFonts w:ascii="Verdana" w:hAnsi="Verdana"/>
          <w:i/>
          <w:sz w:val="20"/>
          <w:szCs w:val="20"/>
          <w:lang w:val="es-AR"/>
        </w:rPr>
        <w:t>,</w:t>
      </w:r>
      <w:r w:rsidRPr="00AA7382">
        <w:rPr>
          <w:rFonts w:ascii="Verdana" w:hAnsi="Verdana"/>
          <w:sz w:val="20"/>
          <w:szCs w:val="20"/>
          <w:lang w:val="es-AR"/>
        </w:rPr>
        <w:t xml:space="preserve"> en tanto el </w:t>
      </w:r>
      <w:r w:rsidR="004577A4">
        <w:rPr>
          <w:rFonts w:ascii="Verdana" w:hAnsi="Verdana"/>
          <w:sz w:val="20"/>
          <w:szCs w:val="20"/>
          <w:lang w:val="es-AR"/>
        </w:rPr>
        <w:t>t</w:t>
      </w:r>
      <w:r w:rsidRPr="00AA7382">
        <w:rPr>
          <w:rFonts w:ascii="Verdana" w:hAnsi="Verdana"/>
          <w:sz w:val="20"/>
          <w:szCs w:val="20"/>
          <w:lang w:val="es-AR"/>
        </w:rPr>
        <w:t>ribunal tuvo en cuenta una confesión</w:t>
      </w:r>
      <w:r w:rsidR="00CA7264">
        <w:rPr>
          <w:rFonts w:ascii="Verdana" w:hAnsi="Verdana"/>
          <w:sz w:val="20"/>
          <w:szCs w:val="20"/>
          <w:lang w:val="es-AR"/>
        </w:rPr>
        <w:t xml:space="preserve"> </w:t>
      </w:r>
      <w:r w:rsidRPr="00AA7382">
        <w:rPr>
          <w:rFonts w:ascii="Verdana" w:hAnsi="Verdana"/>
          <w:sz w:val="20"/>
          <w:szCs w:val="20"/>
          <w:lang w:val="es-AR"/>
        </w:rPr>
        <w:t>obtenida mediante tortura del señor Valenzuela ante sus captores el día de su</w:t>
      </w:r>
      <w:r w:rsidR="00FE1B7E">
        <w:rPr>
          <w:rFonts w:ascii="Verdana" w:hAnsi="Verdana"/>
          <w:sz w:val="20"/>
          <w:szCs w:val="20"/>
          <w:lang w:val="es-AR"/>
        </w:rPr>
        <w:t xml:space="preserve"> detención el 27 de mayo de 1998</w:t>
      </w:r>
      <w:r w:rsidRPr="00AA7382">
        <w:rPr>
          <w:rFonts w:ascii="Verdana" w:hAnsi="Verdana"/>
          <w:sz w:val="20"/>
          <w:szCs w:val="20"/>
          <w:lang w:val="es-AR"/>
        </w:rPr>
        <w:t>. Asimismo</w:t>
      </w:r>
      <w:r w:rsidR="004577A4">
        <w:rPr>
          <w:rFonts w:ascii="Verdana" w:hAnsi="Verdana"/>
          <w:sz w:val="20"/>
          <w:szCs w:val="20"/>
          <w:lang w:val="es-AR"/>
        </w:rPr>
        <w:t>,</w:t>
      </w:r>
      <w:r w:rsidRPr="00AA7382">
        <w:rPr>
          <w:rFonts w:ascii="Verdana" w:hAnsi="Verdana"/>
          <w:sz w:val="20"/>
          <w:szCs w:val="20"/>
          <w:lang w:val="es-AR"/>
        </w:rPr>
        <w:t xml:space="preserve"> alegó, entre los motivos de fondo:</w:t>
      </w:r>
      <w:r w:rsidRPr="00AA7382">
        <w:rPr>
          <w:rFonts w:ascii="Verdana" w:hAnsi="Verdana"/>
          <w:i/>
          <w:sz w:val="20"/>
          <w:szCs w:val="20"/>
          <w:lang w:val="es-AR"/>
        </w:rPr>
        <w:t xml:space="preserve"> </w:t>
      </w:r>
      <w:r w:rsidRPr="00AA7382">
        <w:rPr>
          <w:rFonts w:ascii="Verdana" w:hAnsi="Verdana"/>
          <w:sz w:val="20"/>
          <w:szCs w:val="20"/>
          <w:lang w:val="es-AR"/>
        </w:rPr>
        <w:t>errónea aplicación del último párrafo del artículo 132 (delito de asesinato)</w:t>
      </w:r>
      <w:r w:rsidR="00224232" w:rsidRPr="00224232">
        <w:rPr>
          <w:rFonts w:ascii="Verdana" w:hAnsi="Verdana"/>
          <w:sz w:val="20"/>
          <w:szCs w:val="20"/>
          <w:lang w:val="es-AR"/>
        </w:rPr>
        <w:t>,</w:t>
      </w:r>
      <w:r w:rsidR="00224232">
        <w:rPr>
          <w:rFonts w:ascii="Verdana" w:hAnsi="Verdana"/>
          <w:i/>
          <w:sz w:val="20"/>
          <w:szCs w:val="20"/>
          <w:lang w:val="es-AR"/>
        </w:rPr>
        <w:t xml:space="preserve"> </w:t>
      </w:r>
      <w:r w:rsidRPr="00AA7382">
        <w:rPr>
          <w:rFonts w:ascii="Verdana" w:hAnsi="Verdana"/>
          <w:sz w:val="20"/>
          <w:szCs w:val="20"/>
          <w:lang w:val="es-AR"/>
        </w:rPr>
        <w:t>toda vez que</w:t>
      </w:r>
      <w:r w:rsidRPr="00AA7382">
        <w:rPr>
          <w:rFonts w:ascii="Verdana" w:hAnsi="Verdana"/>
          <w:i/>
          <w:sz w:val="20"/>
          <w:szCs w:val="20"/>
          <w:lang w:val="es-AR"/>
        </w:rPr>
        <w:t xml:space="preserve"> </w:t>
      </w:r>
      <w:r w:rsidRPr="00AA7382">
        <w:rPr>
          <w:rFonts w:ascii="Verdana" w:hAnsi="Verdana"/>
          <w:sz w:val="20"/>
          <w:szCs w:val="20"/>
          <w:lang w:val="es-AR"/>
        </w:rPr>
        <w:t>no quedó comprobado cuál fue el móvil de la comisión del delito y el tribunal no utilizó pruebas directas para determinar la peligrosidad social del señor Valenzuela sino presunciones</w:t>
      </w:r>
      <w:r w:rsidRPr="00EC2F24">
        <w:rPr>
          <w:rStyle w:val="Refdenotaalpie"/>
          <w:rFonts w:ascii="Verdana" w:hAnsi="Verdana"/>
          <w:sz w:val="20"/>
          <w:szCs w:val="20"/>
        </w:rPr>
        <w:footnoteReference w:id="49"/>
      </w:r>
      <w:r w:rsidR="002F3C51" w:rsidRPr="002F3C51">
        <w:rPr>
          <w:rFonts w:ascii="Verdana" w:hAnsi="Verdana"/>
          <w:i/>
          <w:sz w:val="20"/>
          <w:szCs w:val="20"/>
          <w:lang w:val="es-AR"/>
        </w:rPr>
        <w:t>.</w:t>
      </w:r>
    </w:p>
    <w:p w14:paraId="239EA018" w14:textId="77777777" w:rsidR="00651E93" w:rsidRDefault="00651E93" w:rsidP="00651E93">
      <w:pPr>
        <w:pStyle w:val="Prrafodelista"/>
        <w:autoSpaceDE w:val="0"/>
        <w:autoSpaceDN w:val="0"/>
        <w:adjustRightInd w:val="0"/>
        <w:spacing w:after="0" w:line="240" w:lineRule="auto"/>
        <w:ind w:left="0"/>
        <w:jc w:val="both"/>
        <w:rPr>
          <w:rFonts w:ascii="Verdana" w:hAnsi="Verdana"/>
          <w:sz w:val="20"/>
          <w:szCs w:val="20"/>
          <w:lang w:val="es-CR"/>
        </w:rPr>
      </w:pPr>
    </w:p>
    <w:p w14:paraId="17706C7F" w14:textId="3229EFCA" w:rsidR="00CC1C0D" w:rsidRPr="002F3C51" w:rsidRDefault="000E6FC3" w:rsidP="005406CA">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651E93">
        <w:rPr>
          <w:rFonts w:ascii="Verdana" w:hAnsi="Verdana"/>
          <w:sz w:val="20"/>
          <w:szCs w:val="20"/>
          <w:lang w:val="es-CR"/>
        </w:rPr>
        <w:t>El 7 de agosto de 2000 la Sala Séptima de la Corte de Apelaciones d</w:t>
      </w:r>
      <w:r w:rsidR="00224232">
        <w:rPr>
          <w:rFonts w:ascii="Verdana" w:hAnsi="Verdana"/>
          <w:sz w:val="20"/>
          <w:szCs w:val="20"/>
          <w:lang w:val="es-CR"/>
        </w:rPr>
        <w:t xml:space="preserve">eclaró sin lugar el recurso. Dicha Sala </w:t>
      </w:r>
      <w:r w:rsidRPr="00651E93">
        <w:rPr>
          <w:rFonts w:ascii="Verdana" w:hAnsi="Verdana"/>
          <w:sz w:val="20"/>
          <w:szCs w:val="20"/>
          <w:lang w:val="es-CR"/>
        </w:rPr>
        <w:t xml:space="preserve">concluyó que </w:t>
      </w:r>
      <w:r w:rsidR="00BE7DBF">
        <w:rPr>
          <w:rFonts w:ascii="Verdana" w:hAnsi="Verdana"/>
          <w:sz w:val="20"/>
          <w:szCs w:val="20"/>
          <w:lang w:val="es-AR"/>
        </w:rPr>
        <w:t>el recurso era</w:t>
      </w:r>
      <w:r w:rsidRPr="00651E93">
        <w:rPr>
          <w:rFonts w:ascii="Verdana" w:hAnsi="Verdana"/>
          <w:sz w:val="20"/>
          <w:szCs w:val="20"/>
          <w:lang w:val="es-AR"/>
        </w:rPr>
        <w:t xml:space="preserve"> improcedente porque “adolece de deficiencias acerca de s</w:t>
      </w:r>
      <w:r w:rsidR="00BE7DBF">
        <w:rPr>
          <w:rFonts w:ascii="Verdana" w:hAnsi="Verdana"/>
          <w:sz w:val="20"/>
          <w:szCs w:val="20"/>
          <w:lang w:val="es-AR"/>
        </w:rPr>
        <w:t>u formulación, invocación</w:t>
      </w:r>
      <w:r w:rsidRPr="00651E93">
        <w:rPr>
          <w:rFonts w:ascii="Verdana" w:hAnsi="Verdana"/>
          <w:sz w:val="20"/>
          <w:szCs w:val="20"/>
          <w:lang w:val="es-AR"/>
        </w:rPr>
        <w:t xml:space="preserve"> de los vicios alegados como tales; así como la ausencia de una tesis inteligible con relación a los </w:t>
      </w:r>
      <w:proofErr w:type="spellStart"/>
      <w:r w:rsidRPr="00651E93">
        <w:rPr>
          <w:rFonts w:ascii="Verdana" w:hAnsi="Verdana"/>
          <w:sz w:val="20"/>
          <w:szCs w:val="20"/>
          <w:lang w:val="es-AR"/>
        </w:rPr>
        <w:t>sub-motivos</w:t>
      </w:r>
      <w:proofErr w:type="spellEnd"/>
      <w:r w:rsidRPr="00651E93">
        <w:rPr>
          <w:rFonts w:ascii="Verdana" w:hAnsi="Verdana"/>
          <w:sz w:val="20"/>
          <w:szCs w:val="20"/>
          <w:lang w:val="es-AR"/>
        </w:rPr>
        <w:t xml:space="preserve"> alegados”</w:t>
      </w:r>
      <w:r w:rsidRPr="00EC2F24">
        <w:rPr>
          <w:rStyle w:val="Refdenotaalpie"/>
          <w:rFonts w:ascii="Verdana" w:hAnsi="Verdana"/>
          <w:sz w:val="20"/>
          <w:szCs w:val="20"/>
        </w:rPr>
        <w:footnoteReference w:id="50"/>
      </w:r>
      <w:r w:rsidRPr="00651E93">
        <w:rPr>
          <w:rFonts w:ascii="Verdana" w:hAnsi="Verdana"/>
          <w:sz w:val="20"/>
          <w:szCs w:val="20"/>
          <w:lang w:val="es-AR"/>
        </w:rPr>
        <w:t>.</w:t>
      </w:r>
    </w:p>
    <w:p w14:paraId="4EFF0B51" w14:textId="77777777" w:rsidR="00CC1C0D" w:rsidRPr="002F3C51" w:rsidRDefault="00CC1C0D" w:rsidP="002F3C51">
      <w:pPr>
        <w:pStyle w:val="Prrafodelista"/>
        <w:rPr>
          <w:rFonts w:ascii="Verdana" w:hAnsi="Verdana"/>
          <w:sz w:val="20"/>
          <w:szCs w:val="20"/>
          <w:lang w:val="es-AR"/>
        </w:rPr>
      </w:pPr>
    </w:p>
    <w:p w14:paraId="296211B2" w14:textId="65534DB0" w:rsidR="000F52D8" w:rsidRDefault="005F6AF4" w:rsidP="005406CA">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Pr>
          <w:rFonts w:ascii="Verdana" w:hAnsi="Verdana"/>
          <w:sz w:val="20"/>
          <w:szCs w:val="20"/>
          <w:lang w:val="es-AR"/>
        </w:rPr>
        <w:t>E</w:t>
      </w:r>
      <w:r w:rsidR="000E6FC3" w:rsidRPr="005F6AF4">
        <w:rPr>
          <w:rFonts w:ascii="Verdana" w:hAnsi="Verdana"/>
          <w:sz w:val="20"/>
          <w:szCs w:val="20"/>
          <w:lang w:val="es-CR"/>
        </w:rPr>
        <w:t xml:space="preserve">l señor Valenzuela interpuso </w:t>
      </w:r>
      <w:r w:rsidR="0041182E">
        <w:rPr>
          <w:rFonts w:ascii="Verdana" w:hAnsi="Verdana"/>
          <w:sz w:val="20"/>
          <w:szCs w:val="20"/>
          <w:lang w:val="es-CR"/>
        </w:rPr>
        <w:t xml:space="preserve">un </w:t>
      </w:r>
      <w:r w:rsidR="000E6FC3" w:rsidRPr="005F6AF4">
        <w:rPr>
          <w:rFonts w:ascii="Verdana" w:hAnsi="Verdana"/>
          <w:sz w:val="20"/>
          <w:szCs w:val="20"/>
          <w:lang w:val="es-CR"/>
        </w:rPr>
        <w:t>recurso de casación por motivos de forma y fondo. E</w:t>
      </w:r>
      <w:r w:rsidR="000E6FC3" w:rsidRPr="000F52D8">
        <w:rPr>
          <w:rFonts w:ascii="Verdana" w:hAnsi="Verdana"/>
          <w:sz w:val="20"/>
          <w:szCs w:val="20"/>
          <w:lang w:val="es-CR"/>
        </w:rPr>
        <w:t xml:space="preserve">l 1 de diciembre de 2000 la </w:t>
      </w:r>
      <w:r w:rsidR="005463F8" w:rsidRPr="00FB0250">
        <w:rPr>
          <w:rFonts w:ascii="Verdana" w:hAnsi="Verdana"/>
          <w:sz w:val="20"/>
          <w:szCs w:val="20"/>
          <w:lang w:val="es-CR"/>
        </w:rPr>
        <w:t>Cámara</w:t>
      </w:r>
      <w:r w:rsidR="000E6FC3" w:rsidRPr="00FB0250">
        <w:rPr>
          <w:rFonts w:ascii="Verdana" w:hAnsi="Verdana"/>
          <w:sz w:val="20"/>
          <w:szCs w:val="20"/>
          <w:lang w:val="es-CR"/>
        </w:rPr>
        <w:t xml:space="preserve"> Penal</w:t>
      </w:r>
      <w:r w:rsidR="000E6FC3" w:rsidRPr="000F52D8">
        <w:rPr>
          <w:rFonts w:ascii="Verdana" w:hAnsi="Verdana"/>
          <w:sz w:val="20"/>
          <w:szCs w:val="20"/>
          <w:lang w:val="es-CR"/>
        </w:rPr>
        <w:t xml:space="preserve"> de la Corte Suprema de Justicia declaró improcedente el recurso de casación. En cuanto al motivo de forma señaló que “lo argumentado por el </w:t>
      </w:r>
      <w:proofErr w:type="spellStart"/>
      <w:r w:rsidR="000E6FC3" w:rsidRPr="000F52D8">
        <w:rPr>
          <w:rFonts w:ascii="Verdana" w:hAnsi="Verdana"/>
          <w:sz w:val="20"/>
          <w:szCs w:val="20"/>
          <w:lang w:val="es-CR"/>
        </w:rPr>
        <w:t>interponente</w:t>
      </w:r>
      <w:proofErr w:type="spellEnd"/>
      <w:r w:rsidR="000E6FC3" w:rsidRPr="000F52D8">
        <w:rPr>
          <w:rFonts w:ascii="Verdana" w:hAnsi="Verdana"/>
          <w:sz w:val="20"/>
          <w:szCs w:val="20"/>
          <w:lang w:val="es-CR"/>
        </w:rPr>
        <w:t xml:space="preserve"> del recurso, no es claro, preciso y técnico, al no indicar concretamente las razones </w:t>
      </w:r>
      <w:proofErr w:type="spellStart"/>
      <w:r w:rsidR="000E6FC3" w:rsidRPr="000F52D8">
        <w:rPr>
          <w:rFonts w:ascii="Verdana" w:hAnsi="Verdana"/>
          <w:sz w:val="20"/>
          <w:szCs w:val="20"/>
          <w:lang w:val="es-CR"/>
        </w:rPr>
        <w:t>fundamentadoras</w:t>
      </w:r>
      <w:proofErr w:type="spellEnd"/>
      <w:r w:rsidR="000E6FC3" w:rsidRPr="000F52D8">
        <w:rPr>
          <w:rFonts w:ascii="Verdana" w:hAnsi="Verdana"/>
          <w:sz w:val="20"/>
          <w:szCs w:val="20"/>
          <w:lang w:val="es-CR"/>
        </w:rPr>
        <w:t xml:space="preserve"> de los motivos por los que ataca la sentencia”. Agregó que “la sentencia […] contiene la estructura que asume la sentencia penal de segundo grado, dividiendo en cuatro momentos de tratamiento […] conteniendo así, los requisitos internos como externos para que un fallo de segundo grado sea válido”</w:t>
      </w:r>
      <w:r w:rsidR="005054DD" w:rsidRPr="005054DD">
        <w:rPr>
          <w:rStyle w:val="Refdenotaalpie"/>
          <w:rFonts w:ascii="Verdana" w:hAnsi="Verdana"/>
          <w:sz w:val="20"/>
          <w:szCs w:val="20"/>
          <w:lang w:val="es-CR"/>
        </w:rPr>
        <w:t xml:space="preserve"> </w:t>
      </w:r>
      <w:r w:rsidR="005054DD" w:rsidRPr="00EC2F24">
        <w:rPr>
          <w:rStyle w:val="Refdenotaalpie"/>
          <w:rFonts w:ascii="Verdana" w:hAnsi="Verdana"/>
          <w:sz w:val="20"/>
          <w:szCs w:val="20"/>
          <w:lang w:val="es-CR"/>
        </w:rPr>
        <w:footnoteReference w:id="51"/>
      </w:r>
      <w:r w:rsidR="000E6FC3" w:rsidRPr="000F52D8">
        <w:rPr>
          <w:rFonts w:ascii="Verdana" w:hAnsi="Verdana"/>
          <w:sz w:val="20"/>
          <w:szCs w:val="20"/>
          <w:lang w:val="es-CR"/>
        </w:rPr>
        <w:t>.</w:t>
      </w:r>
    </w:p>
    <w:p w14:paraId="324DA964" w14:textId="77777777" w:rsidR="000F52D8" w:rsidRDefault="000F52D8" w:rsidP="000F52D8">
      <w:pPr>
        <w:pStyle w:val="Prrafodelista"/>
        <w:autoSpaceDE w:val="0"/>
        <w:autoSpaceDN w:val="0"/>
        <w:adjustRightInd w:val="0"/>
        <w:spacing w:after="0" w:line="240" w:lineRule="auto"/>
        <w:ind w:left="0"/>
        <w:jc w:val="both"/>
        <w:rPr>
          <w:rFonts w:ascii="Verdana" w:hAnsi="Verdana"/>
          <w:sz w:val="20"/>
          <w:szCs w:val="20"/>
          <w:lang w:val="es-CR"/>
        </w:rPr>
      </w:pPr>
    </w:p>
    <w:p w14:paraId="68681EFE" w14:textId="558DAFF5" w:rsidR="000F52D8" w:rsidRDefault="000E6FC3" w:rsidP="005406CA">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AR"/>
        </w:rPr>
      </w:pPr>
      <w:r w:rsidRPr="000F52D8">
        <w:rPr>
          <w:rFonts w:ascii="Verdana" w:hAnsi="Verdana"/>
          <w:sz w:val="20"/>
          <w:szCs w:val="20"/>
          <w:lang w:val="es-CR"/>
        </w:rPr>
        <w:t>El</w:t>
      </w:r>
      <w:r w:rsidRPr="000F52D8">
        <w:rPr>
          <w:rFonts w:ascii="Verdana" w:hAnsi="Verdana"/>
          <w:sz w:val="20"/>
          <w:szCs w:val="20"/>
          <w:lang w:val="es-AR"/>
        </w:rPr>
        <w:t xml:space="preserve"> 10 de junio de 2002 </w:t>
      </w:r>
      <w:r w:rsidRPr="000F52D8">
        <w:rPr>
          <w:rFonts w:ascii="Verdana" w:hAnsi="Verdana"/>
          <w:sz w:val="20"/>
          <w:szCs w:val="20"/>
          <w:lang w:val="es-CR"/>
        </w:rPr>
        <w:t xml:space="preserve">la defensa de Tirso Román Valenzuela Ávila presentó un recurso de revisión en contra de la sentencia de 21 de octubre de 1999 dictada por el Tribunal de Sentencia del Departamento de Quetzaltenango, el cual fue admitido el 17 de marzo de 2003 y declarado sin lugar el 5 de julio de 2004 por </w:t>
      </w:r>
      <w:r w:rsidRPr="00FB0250">
        <w:rPr>
          <w:rFonts w:ascii="Verdana" w:hAnsi="Verdana"/>
          <w:sz w:val="20"/>
          <w:szCs w:val="20"/>
          <w:lang w:val="es-CR"/>
        </w:rPr>
        <w:t>la Cámara</w:t>
      </w:r>
      <w:r w:rsidRPr="000F52D8">
        <w:rPr>
          <w:rFonts w:ascii="Verdana" w:hAnsi="Verdana"/>
          <w:sz w:val="20"/>
          <w:szCs w:val="20"/>
          <w:lang w:val="es-CR"/>
        </w:rPr>
        <w:t xml:space="preserve"> Penal de la Corte Suprema de Justicia</w:t>
      </w:r>
      <w:r w:rsidRPr="00C92E20">
        <w:rPr>
          <w:rFonts w:ascii="Verdana" w:hAnsi="Verdana"/>
          <w:sz w:val="18"/>
          <w:szCs w:val="18"/>
          <w:lang w:val="es-CR"/>
        </w:rPr>
        <w:t xml:space="preserve">. </w:t>
      </w:r>
      <w:r w:rsidR="000F52D8" w:rsidRPr="009C7DC5">
        <w:rPr>
          <w:rFonts w:ascii="Verdana" w:hAnsi="Verdana"/>
          <w:sz w:val="20"/>
          <w:szCs w:val="20"/>
          <w:lang w:val="es-AR"/>
        </w:rPr>
        <w:t>La Cámara entendió que las pruebas aportadas, que fueron todas las sentencias de las instancias anteriores, no constituían hechos o elementos de prueba sobrevenidos después de la sentencia condenatoria</w:t>
      </w:r>
      <w:r w:rsidR="000F52D8" w:rsidRPr="00EC2F24">
        <w:rPr>
          <w:rStyle w:val="Refdenotaalpie"/>
          <w:rFonts w:ascii="Verdana" w:hAnsi="Verdana"/>
          <w:sz w:val="20"/>
          <w:szCs w:val="20"/>
        </w:rPr>
        <w:footnoteReference w:id="52"/>
      </w:r>
      <w:r w:rsidR="000F52D8" w:rsidRPr="009C7DC5">
        <w:rPr>
          <w:rFonts w:ascii="Verdana" w:hAnsi="Verdana"/>
          <w:sz w:val="20"/>
          <w:szCs w:val="20"/>
          <w:lang w:val="es-AR"/>
        </w:rPr>
        <w:t>.</w:t>
      </w:r>
    </w:p>
    <w:p w14:paraId="7D79E2EB" w14:textId="77777777" w:rsidR="003C46E1" w:rsidRPr="005924A6" w:rsidRDefault="003C46E1" w:rsidP="005924A6">
      <w:pPr>
        <w:pStyle w:val="Prrafodelista"/>
        <w:spacing w:line="240" w:lineRule="auto"/>
        <w:rPr>
          <w:rFonts w:ascii="Verdana" w:hAnsi="Verdana"/>
          <w:sz w:val="20"/>
          <w:szCs w:val="20"/>
          <w:lang w:val="es-AR"/>
        </w:rPr>
      </w:pPr>
    </w:p>
    <w:p w14:paraId="480339BF" w14:textId="77777777" w:rsidR="009227DA" w:rsidRPr="005924A6" w:rsidRDefault="009227DA" w:rsidP="005924A6">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AR"/>
        </w:rPr>
      </w:pPr>
      <w:r w:rsidRPr="005924A6">
        <w:rPr>
          <w:rFonts w:ascii="Verdana" w:hAnsi="Verdana"/>
          <w:sz w:val="20"/>
          <w:szCs w:val="20"/>
          <w:lang w:val="es-AR"/>
        </w:rPr>
        <w:t>Según señalan los representantes, el 9 de septiembre de 2004 el señor Tirso Román Valenzuela interpuso recurso de gracia ante la Presidencia de la República, en el cual solicitó que se le conmutara la pena de muerte por la inmediata inferior de 50 años. Al momento de su muerte, según alegaron los representantes, no fue tramitado ni resuelto el referido recurso.</w:t>
      </w:r>
    </w:p>
    <w:p w14:paraId="3ECB2F46" w14:textId="77777777" w:rsidR="009227DA" w:rsidRPr="009227DA" w:rsidRDefault="009227DA" w:rsidP="00210816">
      <w:pPr>
        <w:pStyle w:val="Prrafodelista"/>
        <w:autoSpaceDE w:val="0"/>
        <w:autoSpaceDN w:val="0"/>
        <w:adjustRightInd w:val="0"/>
        <w:spacing w:after="0" w:line="240" w:lineRule="auto"/>
        <w:ind w:left="0"/>
        <w:jc w:val="both"/>
        <w:rPr>
          <w:rFonts w:ascii="Verdana" w:hAnsi="Verdana"/>
          <w:b/>
          <w:sz w:val="20"/>
          <w:szCs w:val="20"/>
          <w:lang w:val="es-CR"/>
        </w:rPr>
      </w:pPr>
    </w:p>
    <w:p w14:paraId="13E176EF" w14:textId="2A532978" w:rsidR="00AF3867" w:rsidRDefault="002924A9" w:rsidP="005406CA">
      <w:pPr>
        <w:pStyle w:val="Ttulo2"/>
        <w:numPr>
          <w:ilvl w:val="0"/>
          <w:numId w:val="13"/>
        </w:numPr>
        <w:spacing w:before="0"/>
        <w:rPr>
          <w:lang w:val="es-AR"/>
        </w:rPr>
      </w:pPr>
      <w:bookmarkStart w:id="31" w:name="_Toc25247745"/>
      <w:r>
        <w:rPr>
          <w:lang w:val="es-AR"/>
        </w:rPr>
        <w:t>Alegadas torturas</w:t>
      </w:r>
      <w:r w:rsidR="00C10FBF">
        <w:rPr>
          <w:lang w:val="es-AR"/>
        </w:rPr>
        <w:t xml:space="preserve"> y malos tratos</w:t>
      </w:r>
      <w:r w:rsidR="002D492E">
        <w:rPr>
          <w:lang w:val="es-AR"/>
        </w:rPr>
        <w:t>,</w:t>
      </w:r>
      <w:r w:rsidR="000E6FC3" w:rsidRPr="000F52D8">
        <w:rPr>
          <w:lang w:val="es-AR"/>
        </w:rPr>
        <w:t xml:space="preserve"> fugas del señor Valenzuela y diligencias judiciales realizadas</w:t>
      </w:r>
      <w:bookmarkEnd w:id="31"/>
    </w:p>
    <w:p w14:paraId="4B9C74E2" w14:textId="77777777" w:rsidR="00AF3867" w:rsidRPr="00AF3867" w:rsidRDefault="00AF3867" w:rsidP="00AF3867">
      <w:pPr>
        <w:spacing w:after="0"/>
        <w:rPr>
          <w:lang w:val="es-AR"/>
        </w:rPr>
      </w:pPr>
    </w:p>
    <w:p w14:paraId="4C3CD592" w14:textId="77777777" w:rsidR="000F52D8" w:rsidRPr="006D317C" w:rsidRDefault="000E6FC3" w:rsidP="00AF3867">
      <w:pPr>
        <w:pStyle w:val="Ttulo3"/>
        <w:spacing w:before="0"/>
        <w:ind w:left="706"/>
        <w:rPr>
          <w:b w:val="0"/>
          <w:lang w:val="es-CR"/>
        </w:rPr>
      </w:pPr>
      <w:bookmarkStart w:id="32" w:name="_Toc25247746"/>
      <w:r w:rsidRPr="006D317C">
        <w:rPr>
          <w:b w:val="0"/>
          <w:lang w:val="es-AR"/>
        </w:rPr>
        <w:t>C.1</w:t>
      </w:r>
      <w:r w:rsidR="00C92E20" w:rsidRPr="006D317C">
        <w:rPr>
          <w:b w:val="0"/>
          <w:lang w:val="es-AR"/>
        </w:rPr>
        <w:t>.</w:t>
      </w:r>
      <w:r w:rsidR="002924A9" w:rsidRPr="006D317C">
        <w:rPr>
          <w:b w:val="0"/>
          <w:lang w:val="es-AR"/>
        </w:rPr>
        <w:t xml:space="preserve"> D</w:t>
      </w:r>
      <w:r w:rsidR="00D94328" w:rsidRPr="006D317C">
        <w:rPr>
          <w:b w:val="0"/>
          <w:lang w:val="es-AR"/>
        </w:rPr>
        <w:t xml:space="preserve">etención </w:t>
      </w:r>
      <w:r w:rsidR="00AF3867" w:rsidRPr="006D317C">
        <w:rPr>
          <w:b w:val="0"/>
          <w:lang w:val="es-AR"/>
        </w:rPr>
        <w:t>d</w:t>
      </w:r>
      <w:r w:rsidR="00866241" w:rsidRPr="006D317C">
        <w:rPr>
          <w:b w:val="0"/>
          <w:lang w:val="es-AR"/>
        </w:rPr>
        <w:t xml:space="preserve">el </w:t>
      </w:r>
      <w:r w:rsidR="00D94328" w:rsidRPr="006D317C">
        <w:rPr>
          <w:rFonts w:eastAsia="Verdana" w:cs="Verdana"/>
          <w:b w:val="0"/>
          <w:lang w:val="es-CR"/>
        </w:rPr>
        <w:t>27 de mayo de 1998</w:t>
      </w:r>
      <w:bookmarkEnd w:id="32"/>
    </w:p>
    <w:p w14:paraId="54DA2937" w14:textId="77777777" w:rsidR="000F52D8" w:rsidRDefault="000F52D8" w:rsidP="000F52D8">
      <w:pPr>
        <w:pStyle w:val="Prrafodelista"/>
        <w:autoSpaceDE w:val="0"/>
        <w:autoSpaceDN w:val="0"/>
        <w:adjustRightInd w:val="0"/>
        <w:spacing w:after="0" w:line="240" w:lineRule="auto"/>
        <w:ind w:left="0"/>
        <w:jc w:val="both"/>
        <w:rPr>
          <w:rFonts w:ascii="Verdana" w:hAnsi="Verdana"/>
          <w:sz w:val="20"/>
          <w:szCs w:val="20"/>
          <w:lang w:val="es-CR"/>
        </w:rPr>
      </w:pPr>
    </w:p>
    <w:p w14:paraId="506C0164" w14:textId="177F5552" w:rsidR="000D1463" w:rsidRDefault="00CF4402" w:rsidP="005406CA">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Pr>
          <w:rFonts w:ascii="Verdana" w:eastAsia="Verdana" w:hAnsi="Verdana" w:cs="Verdana"/>
          <w:sz w:val="20"/>
          <w:szCs w:val="20"/>
          <w:lang w:val="es-CR"/>
        </w:rPr>
        <w:t>El señor Valenzuela narró que e</w:t>
      </w:r>
      <w:r w:rsidR="000E6FC3" w:rsidRPr="000F52D8">
        <w:rPr>
          <w:rFonts w:ascii="Verdana" w:eastAsia="Verdana" w:hAnsi="Verdana" w:cs="Verdana"/>
          <w:sz w:val="20"/>
          <w:szCs w:val="20"/>
          <w:lang w:val="es-CR"/>
        </w:rPr>
        <w:t xml:space="preserve">l 27 de mayo </w:t>
      </w:r>
      <w:r w:rsidR="00170690">
        <w:rPr>
          <w:rFonts w:ascii="Verdana" w:eastAsia="Verdana" w:hAnsi="Verdana" w:cs="Verdana"/>
          <w:sz w:val="20"/>
          <w:szCs w:val="20"/>
          <w:lang w:val="es-CR"/>
        </w:rPr>
        <w:t xml:space="preserve">de 1998, luego del allanamiento en su domicilio </w:t>
      </w:r>
      <w:r w:rsidR="000E6FC3" w:rsidRPr="000F52D8">
        <w:rPr>
          <w:rFonts w:ascii="Verdana" w:eastAsia="Verdana" w:hAnsi="Verdana" w:cs="Verdana"/>
          <w:sz w:val="20"/>
          <w:szCs w:val="20"/>
          <w:lang w:val="es-CR"/>
        </w:rPr>
        <w:t xml:space="preserve">y </w:t>
      </w:r>
      <w:r w:rsidR="00FC4AA0">
        <w:rPr>
          <w:rFonts w:ascii="Verdana" w:eastAsia="Verdana" w:hAnsi="Verdana" w:cs="Verdana"/>
          <w:sz w:val="20"/>
          <w:szCs w:val="20"/>
          <w:lang w:val="es-CR"/>
        </w:rPr>
        <w:t xml:space="preserve">su </w:t>
      </w:r>
      <w:r w:rsidR="00170690">
        <w:rPr>
          <w:rFonts w:ascii="Verdana" w:eastAsia="Verdana" w:hAnsi="Verdana" w:cs="Verdana"/>
          <w:sz w:val="20"/>
          <w:szCs w:val="20"/>
          <w:lang w:val="es-CR"/>
        </w:rPr>
        <w:t>detención</w:t>
      </w:r>
      <w:r w:rsidR="007C4A35">
        <w:rPr>
          <w:rFonts w:ascii="Verdana" w:eastAsia="Verdana" w:hAnsi="Verdana" w:cs="Verdana"/>
          <w:sz w:val="20"/>
          <w:szCs w:val="20"/>
          <w:lang w:val="es-CR"/>
        </w:rPr>
        <w:t>,</w:t>
      </w:r>
      <w:r w:rsidR="00170690">
        <w:rPr>
          <w:rFonts w:ascii="Verdana" w:eastAsia="Verdana" w:hAnsi="Verdana" w:cs="Verdana"/>
          <w:sz w:val="20"/>
          <w:szCs w:val="20"/>
          <w:lang w:val="es-CR"/>
        </w:rPr>
        <w:t xml:space="preserve"> lo subieron a un veh</w:t>
      </w:r>
      <w:r w:rsidR="007C4A35">
        <w:rPr>
          <w:rFonts w:ascii="Verdana" w:eastAsia="Verdana" w:hAnsi="Verdana" w:cs="Verdana"/>
          <w:sz w:val="20"/>
          <w:szCs w:val="20"/>
          <w:lang w:val="es-CR"/>
        </w:rPr>
        <w:t>ículo</w:t>
      </w:r>
      <w:r w:rsidR="00331EC5">
        <w:rPr>
          <w:rFonts w:ascii="Verdana" w:eastAsia="Verdana" w:hAnsi="Verdana" w:cs="Verdana"/>
          <w:sz w:val="20"/>
          <w:szCs w:val="20"/>
          <w:lang w:val="es-CR"/>
        </w:rPr>
        <w:t xml:space="preserve"> y</w:t>
      </w:r>
      <w:r w:rsidR="00170690">
        <w:rPr>
          <w:rFonts w:ascii="Verdana" w:eastAsia="Verdana" w:hAnsi="Verdana" w:cs="Verdana"/>
          <w:sz w:val="20"/>
          <w:szCs w:val="20"/>
          <w:lang w:val="es-CR"/>
        </w:rPr>
        <w:t xml:space="preserve"> lo </w:t>
      </w:r>
      <w:r w:rsidR="00331EC5">
        <w:rPr>
          <w:rFonts w:ascii="Verdana" w:eastAsia="Verdana" w:hAnsi="Verdana" w:cs="Verdana"/>
          <w:sz w:val="20"/>
          <w:szCs w:val="20"/>
          <w:lang w:val="es-CR"/>
        </w:rPr>
        <w:t>interroga</w:t>
      </w:r>
      <w:r>
        <w:rPr>
          <w:rFonts w:ascii="Verdana" w:eastAsia="Verdana" w:hAnsi="Verdana" w:cs="Verdana"/>
          <w:sz w:val="20"/>
          <w:szCs w:val="20"/>
          <w:lang w:val="es-CR"/>
        </w:rPr>
        <w:t>ron</w:t>
      </w:r>
      <w:r w:rsidR="00331EC5">
        <w:rPr>
          <w:rFonts w:ascii="Verdana" w:eastAsia="Verdana" w:hAnsi="Verdana" w:cs="Verdana"/>
          <w:sz w:val="20"/>
          <w:szCs w:val="20"/>
          <w:lang w:val="es-CR"/>
        </w:rPr>
        <w:t xml:space="preserve"> </w:t>
      </w:r>
      <w:r w:rsidR="000E6FC3" w:rsidRPr="000F52D8">
        <w:rPr>
          <w:rFonts w:ascii="Verdana" w:eastAsia="Verdana" w:hAnsi="Verdana" w:cs="Verdana"/>
          <w:sz w:val="20"/>
          <w:szCs w:val="20"/>
          <w:lang w:val="es-CR"/>
        </w:rPr>
        <w:t>so</w:t>
      </w:r>
      <w:r w:rsidR="00170690">
        <w:rPr>
          <w:rFonts w:ascii="Verdana" w:eastAsia="Verdana" w:hAnsi="Verdana" w:cs="Verdana"/>
          <w:sz w:val="20"/>
          <w:szCs w:val="20"/>
          <w:lang w:val="es-CR"/>
        </w:rPr>
        <w:t>bre</w:t>
      </w:r>
      <w:r w:rsidR="007C4A35">
        <w:rPr>
          <w:rFonts w:ascii="Verdana" w:eastAsia="Verdana" w:hAnsi="Verdana" w:cs="Verdana"/>
          <w:sz w:val="20"/>
          <w:szCs w:val="20"/>
          <w:lang w:val="es-CR"/>
        </w:rPr>
        <w:t xml:space="preserve"> </w:t>
      </w:r>
      <w:r w:rsidR="00331EC5">
        <w:rPr>
          <w:rFonts w:ascii="Verdana" w:eastAsia="Verdana" w:hAnsi="Verdana" w:cs="Verdana"/>
          <w:sz w:val="20"/>
          <w:szCs w:val="20"/>
          <w:lang w:val="es-CR"/>
        </w:rPr>
        <w:t>varios hechos y</w:t>
      </w:r>
      <w:r w:rsidR="001D305F">
        <w:rPr>
          <w:rFonts w:ascii="Verdana" w:eastAsia="Verdana" w:hAnsi="Verdana" w:cs="Verdana"/>
          <w:sz w:val="20"/>
          <w:szCs w:val="20"/>
          <w:lang w:val="es-CR"/>
        </w:rPr>
        <w:t xml:space="preserve"> sobre</w:t>
      </w:r>
      <w:r w:rsidR="00331EC5">
        <w:rPr>
          <w:rFonts w:ascii="Verdana" w:eastAsia="Verdana" w:hAnsi="Verdana" w:cs="Verdana"/>
          <w:sz w:val="20"/>
          <w:szCs w:val="20"/>
          <w:lang w:val="es-CR"/>
        </w:rPr>
        <w:t xml:space="preserve"> la </w:t>
      </w:r>
      <w:r w:rsidR="001D305F">
        <w:rPr>
          <w:rFonts w:ascii="Verdana" w:eastAsia="Verdana" w:hAnsi="Verdana" w:cs="Verdana"/>
          <w:sz w:val="20"/>
          <w:szCs w:val="20"/>
          <w:lang w:val="es-CR"/>
        </w:rPr>
        <w:t>muerte de una</w:t>
      </w:r>
      <w:r w:rsidR="00170690">
        <w:rPr>
          <w:rFonts w:ascii="Verdana" w:eastAsia="Verdana" w:hAnsi="Verdana" w:cs="Verdana"/>
          <w:sz w:val="20"/>
          <w:szCs w:val="20"/>
          <w:lang w:val="es-CR"/>
        </w:rPr>
        <w:t xml:space="preserve"> fiscal</w:t>
      </w:r>
      <w:r w:rsidR="0064236A">
        <w:rPr>
          <w:rFonts w:ascii="Verdana" w:eastAsia="Verdana" w:hAnsi="Verdana" w:cs="Verdana"/>
          <w:sz w:val="20"/>
          <w:szCs w:val="20"/>
          <w:lang w:val="es-CR"/>
        </w:rPr>
        <w:t>a</w:t>
      </w:r>
      <w:r w:rsidR="00170690">
        <w:rPr>
          <w:rFonts w:ascii="Verdana" w:eastAsia="Verdana" w:hAnsi="Verdana" w:cs="Verdana"/>
          <w:sz w:val="20"/>
          <w:szCs w:val="20"/>
          <w:lang w:val="es-CR"/>
        </w:rPr>
        <w:t>, l</w:t>
      </w:r>
      <w:r w:rsidR="000E6FC3" w:rsidRPr="000F52D8">
        <w:rPr>
          <w:rFonts w:ascii="Verdana" w:eastAsia="Verdana" w:hAnsi="Verdana" w:cs="Verdana"/>
          <w:sz w:val="20"/>
          <w:szCs w:val="20"/>
          <w:lang w:val="es-CR"/>
        </w:rPr>
        <w:t>o golpear</w:t>
      </w:r>
      <w:r w:rsidR="00FC4AA0">
        <w:rPr>
          <w:rFonts w:ascii="Verdana" w:eastAsia="Verdana" w:hAnsi="Verdana" w:cs="Verdana"/>
          <w:sz w:val="20"/>
          <w:szCs w:val="20"/>
          <w:lang w:val="es-CR"/>
        </w:rPr>
        <w:t>on</w:t>
      </w:r>
      <w:r w:rsidR="000E6FC3" w:rsidRPr="000F52D8">
        <w:rPr>
          <w:rFonts w:ascii="Verdana" w:eastAsia="Verdana" w:hAnsi="Verdana" w:cs="Verdana"/>
          <w:sz w:val="20"/>
          <w:szCs w:val="20"/>
          <w:lang w:val="es-CR"/>
        </w:rPr>
        <w:t xml:space="preserve"> y asfixiar</w:t>
      </w:r>
      <w:r w:rsidR="00FC4AA0">
        <w:rPr>
          <w:rFonts w:ascii="Verdana" w:eastAsia="Verdana" w:hAnsi="Verdana" w:cs="Verdana"/>
          <w:sz w:val="20"/>
          <w:szCs w:val="20"/>
          <w:lang w:val="es-CR"/>
        </w:rPr>
        <w:t>on</w:t>
      </w:r>
      <w:r w:rsidR="000E6FC3" w:rsidRPr="000F52D8">
        <w:rPr>
          <w:rFonts w:ascii="Verdana" w:eastAsia="Verdana" w:hAnsi="Verdana" w:cs="Verdana"/>
          <w:sz w:val="20"/>
          <w:szCs w:val="20"/>
          <w:lang w:val="es-CR"/>
        </w:rPr>
        <w:t xml:space="preserve"> con el lienzo de hule, </w:t>
      </w:r>
      <w:r w:rsidR="00FC4AA0">
        <w:rPr>
          <w:rFonts w:ascii="Verdana" w:eastAsia="Verdana" w:hAnsi="Verdana" w:cs="Verdana"/>
          <w:sz w:val="20"/>
          <w:szCs w:val="20"/>
          <w:lang w:val="es-CR"/>
        </w:rPr>
        <w:t xml:space="preserve">y </w:t>
      </w:r>
      <w:r w:rsidR="00170690">
        <w:rPr>
          <w:rFonts w:ascii="Verdana" w:eastAsia="Verdana" w:hAnsi="Verdana" w:cs="Verdana"/>
          <w:sz w:val="20"/>
          <w:szCs w:val="20"/>
          <w:lang w:val="es-CR"/>
        </w:rPr>
        <w:t xml:space="preserve">le introdujeron </w:t>
      </w:r>
      <w:r w:rsidR="00170690">
        <w:rPr>
          <w:rFonts w:ascii="Verdana" w:eastAsia="Verdana" w:hAnsi="Verdana" w:cs="Verdana"/>
          <w:sz w:val="20"/>
          <w:szCs w:val="20"/>
          <w:lang w:val="es-CR"/>
        </w:rPr>
        <w:lastRenderedPageBreak/>
        <w:t xml:space="preserve">un bastón engrasado en el ano varias veces </w:t>
      </w:r>
      <w:r w:rsidR="000E6FC3" w:rsidRPr="000F52D8">
        <w:rPr>
          <w:rFonts w:ascii="Verdana" w:eastAsia="Verdana" w:hAnsi="Verdana" w:cs="Verdana"/>
          <w:sz w:val="20"/>
          <w:szCs w:val="20"/>
          <w:lang w:val="es-CR"/>
        </w:rPr>
        <w:t xml:space="preserve">hasta </w:t>
      </w:r>
      <w:r w:rsidR="007C4A35">
        <w:rPr>
          <w:rFonts w:ascii="Verdana" w:eastAsia="Verdana" w:hAnsi="Verdana" w:cs="Verdana"/>
          <w:sz w:val="20"/>
          <w:szCs w:val="20"/>
          <w:lang w:val="es-CR"/>
        </w:rPr>
        <w:t xml:space="preserve">perder </w:t>
      </w:r>
      <w:r w:rsidR="00331EC5">
        <w:rPr>
          <w:rFonts w:ascii="Verdana" w:eastAsia="Verdana" w:hAnsi="Verdana" w:cs="Verdana"/>
          <w:sz w:val="20"/>
          <w:szCs w:val="20"/>
          <w:lang w:val="es-CR"/>
        </w:rPr>
        <w:t>el conocimiento</w:t>
      </w:r>
      <w:r>
        <w:rPr>
          <w:rFonts w:ascii="Verdana" w:eastAsia="Verdana" w:hAnsi="Verdana" w:cs="Verdana"/>
          <w:sz w:val="20"/>
          <w:szCs w:val="20"/>
          <w:lang w:val="es-CR"/>
        </w:rPr>
        <w:t xml:space="preserve">. Por lo que, según el señor Valenzuela </w:t>
      </w:r>
      <w:r w:rsidR="000E6FC3" w:rsidRPr="000F52D8">
        <w:rPr>
          <w:rFonts w:ascii="Verdana" w:eastAsia="Verdana" w:hAnsi="Verdana" w:cs="Verdana"/>
          <w:sz w:val="20"/>
          <w:szCs w:val="20"/>
          <w:lang w:val="es-CR"/>
        </w:rPr>
        <w:t xml:space="preserve">decidió aceptar </w:t>
      </w:r>
      <w:r w:rsidR="00331EC5">
        <w:rPr>
          <w:rFonts w:ascii="Verdana" w:eastAsia="Verdana" w:hAnsi="Verdana" w:cs="Verdana"/>
          <w:sz w:val="20"/>
          <w:szCs w:val="20"/>
          <w:lang w:val="es-CR"/>
        </w:rPr>
        <w:t>su participación en la muerte</w:t>
      </w:r>
      <w:r w:rsidR="000E6FC3" w:rsidRPr="000F52D8">
        <w:rPr>
          <w:rFonts w:ascii="Verdana" w:eastAsia="Verdana" w:hAnsi="Verdana" w:cs="Verdana"/>
          <w:sz w:val="20"/>
          <w:szCs w:val="20"/>
          <w:lang w:val="es-CR"/>
        </w:rPr>
        <w:t xml:space="preserve"> de la </w:t>
      </w:r>
      <w:r w:rsidR="006D1593">
        <w:rPr>
          <w:rFonts w:ascii="Verdana" w:eastAsia="Verdana" w:hAnsi="Verdana" w:cs="Verdana"/>
          <w:sz w:val="20"/>
          <w:szCs w:val="20"/>
          <w:lang w:val="es-CR"/>
        </w:rPr>
        <w:t xml:space="preserve">referida </w:t>
      </w:r>
      <w:r w:rsidR="000E6FC3" w:rsidRPr="000F52D8">
        <w:rPr>
          <w:rFonts w:ascii="Verdana" w:eastAsia="Verdana" w:hAnsi="Verdana" w:cs="Verdana"/>
          <w:sz w:val="20"/>
          <w:szCs w:val="20"/>
          <w:lang w:val="es-CR"/>
        </w:rPr>
        <w:t>fisca</w:t>
      </w:r>
      <w:r w:rsidR="00D66DEC">
        <w:rPr>
          <w:rFonts w:ascii="Verdana" w:eastAsia="Verdana" w:hAnsi="Verdana" w:cs="Verdana"/>
          <w:sz w:val="20"/>
          <w:szCs w:val="20"/>
          <w:lang w:val="es-CR"/>
        </w:rPr>
        <w:t>la</w:t>
      </w:r>
      <w:r w:rsidR="000E6FC3" w:rsidRPr="00EC2F24">
        <w:rPr>
          <w:rStyle w:val="Refdenotaalpie"/>
          <w:rFonts w:ascii="Verdana" w:eastAsia="Verdana" w:hAnsi="Verdana" w:cs="Verdana"/>
          <w:sz w:val="20"/>
          <w:szCs w:val="20"/>
        </w:rPr>
        <w:footnoteReference w:id="53"/>
      </w:r>
      <w:r w:rsidR="000E6FC3" w:rsidRPr="000F52D8">
        <w:rPr>
          <w:rFonts w:ascii="Verdana" w:eastAsia="Verdana" w:hAnsi="Verdana" w:cs="Verdana"/>
          <w:sz w:val="20"/>
          <w:szCs w:val="20"/>
          <w:lang w:val="es-CR"/>
        </w:rPr>
        <w:t>.</w:t>
      </w:r>
      <w:r w:rsidR="000E6FC3" w:rsidRPr="000F52D8">
        <w:rPr>
          <w:rFonts w:ascii="Verdana" w:hAnsi="Verdana"/>
          <w:sz w:val="20"/>
          <w:szCs w:val="20"/>
          <w:lang w:val="es-CR"/>
        </w:rPr>
        <w:t xml:space="preserve"> </w:t>
      </w:r>
      <w:r w:rsidR="00331EC5">
        <w:rPr>
          <w:rFonts w:ascii="Verdana" w:eastAsia="Verdana" w:hAnsi="Verdana" w:cs="Verdana"/>
          <w:color w:val="000000"/>
          <w:sz w:val="20"/>
          <w:szCs w:val="20"/>
          <w:lang w:val="es-CR"/>
        </w:rPr>
        <w:t xml:space="preserve">Después de </w:t>
      </w:r>
      <w:r w:rsidR="004041D6">
        <w:rPr>
          <w:rFonts w:ascii="Verdana" w:eastAsia="Verdana" w:hAnsi="Verdana" w:cs="Verdana"/>
          <w:color w:val="000000"/>
          <w:sz w:val="20"/>
          <w:szCs w:val="20"/>
          <w:lang w:val="es-CR"/>
        </w:rPr>
        <w:t xml:space="preserve">su </w:t>
      </w:r>
      <w:r w:rsidR="004041D6" w:rsidRPr="004C0EBB">
        <w:rPr>
          <w:rFonts w:ascii="Verdana" w:eastAsia="Verdana" w:hAnsi="Verdana" w:cs="Verdana"/>
          <w:color w:val="000000"/>
          <w:sz w:val="20"/>
          <w:szCs w:val="20"/>
          <w:lang w:val="es-CR"/>
        </w:rPr>
        <w:t>declaración espontánea</w:t>
      </w:r>
      <w:r w:rsidR="000E6FC3" w:rsidRPr="004C0EBB">
        <w:rPr>
          <w:rFonts w:ascii="Verdana" w:eastAsia="Verdana" w:hAnsi="Verdana" w:cs="Verdana"/>
          <w:color w:val="000000"/>
          <w:sz w:val="20"/>
          <w:szCs w:val="20"/>
          <w:lang w:val="es-CR"/>
        </w:rPr>
        <w:t>,</w:t>
      </w:r>
      <w:r w:rsidR="000E6FC3" w:rsidRPr="000F52D8">
        <w:rPr>
          <w:rFonts w:ascii="Verdana" w:eastAsia="Verdana" w:hAnsi="Verdana" w:cs="Verdana"/>
          <w:color w:val="000000"/>
          <w:sz w:val="20"/>
          <w:szCs w:val="20"/>
          <w:lang w:val="es-CR"/>
        </w:rPr>
        <w:t xml:space="preserve"> los agentes policiales lo trasladaron </w:t>
      </w:r>
      <w:r w:rsidR="001D305F">
        <w:rPr>
          <w:rFonts w:ascii="Verdana" w:eastAsia="Verdana" w:hAnsi="Verdana" w:cs="Verdana"/>
          <w:color w:val="000000"/>
          <w:sz w:val="20"/>
          <w:szCs w:val="20"/>
          <w:lang w:val="es-CR"/>
        </w:rPr>
        <w:t xml:space="preserve">en </w:t>
      </w:r>
      <w:r w:rsidR="001D305F" w:rsidRPr="00FE25BA">
        <w:rPr>
          <w:rFonts w:ascii="Verdana" w:eastAsia="Verdana" w:hAnsi="Verdana" w:cs="Verdana"/>
          <w:color w:val="000000"/>
          <w:sz w:val="20"/>
          <w:szCs w:val="20"/>
          <w:lang w:val="es-CR"/>
        </w:rPr>
        <w:t xml:space="preserve">la </w:t>
      </w:r>
      <w:r w:rsidR="001D305F" w:rsidRPr="002A1142">
        <w:rPr>
          <w:rFonts w:ascii="Verdana" w:eastAsia="Verdana" w:hAnsi="Verdana" w:cs="Verdana"/>
          <w:color w:val="000000"/>
          <w:sz w:val="20"/>
          <w:szCs w:val="20"/>
          <w:lang w:val="es-CR"/>
        </w:rPr>
        <w:t>madrugada</w:t>
      </w:r>
      <w:r w:rsidR="001D305F">
        <w:rPr>
          <w:rFonts w:ascii="Verdana" w:eastAsia="Verdana" w:hAnsi="Verdana" w:cs="Verdana"/>
          <w:color w:val="000000"/>
          <w:sz w:val="20"/>
          <w:szCs w:val="20"/>
          <w:lang w:val="es-CR"/>
        </w:rPr>
        <w:t xml:space="preserve"> </w:t>
      </w:r>
      <w:r w:rsidR="000E6FC3" w:rsidRPr="000F52D8">
        <w:rPr>
          <w:rFonts w:ascii="Verdana" w:eastAsia="Verdana" w:hAnsi="Verdana" w:cs="Verdana"/>
          <w:color w:val="000000"/>
          <w:sz w:val="20"/>
          <w:szCs w:val="20"/>
          <w:lang w:val="es-CR"/>
        </w:rPr>
        <w:t xml:space="preserve">al Centro Preventivo </w:t>
      </w:r>
      <w:r w:rsidR="00331EC5">
        <w:rPr>
          <w:rFonts w:ascii="Verdana" w:eastAsia="Verdana" w:hAnsi="Verdana" w:cs="Verdana"/>
          <w:color w:val="000000"/>
          <w:sz w:val="20"/>
          <w:szCs w:val="20"/>
          <w:lang w:val="es-PE"/>
        </w:rPr>
        <w:t>Hombres de Quetzaltenango.</w:t>
      </w:r>
      <w:r w:rsidR="000E6FC3" w:rsidRPr="000F52D8">
        <w:rPr>
          <w:rFonts w:ascii="Verdana" w:eastAsia="Verdana" w:hAnsi="Verdana" w:cs="Verdana"/>
          <w:color w:val="000000"/>
          <w:sz w:val="20"/>
          <w:szCs w:val="20"/>
          <w:lang w:val="es-PE"/>
        </w:rPr>
        <w:t xml:space="preserve"> </w:t>
      </w:r>
      <w:r>
        <w:rPr>
          <w:rFonts w:ascii="Verdana" w:eastAsia="Verdana" w:hAnsi="Verdana" w:cs="Verdana"/>
          <w:color w:val="000000"/>
          <w:sz w:val="20"/>
          <w:szCs w:val="20"/>
          <w:lang w:val="es-PE"/>
        </w:rPr>
        <w:t>Además, manifestó que d</w:t>
      </w:r>
      <w:proofErr w:type="spellStart"/>
      <w:r w:rsidR="000E6FC3" w:rsidRPr="000F52D8">
        <w:rPr>
          <w:rFonts w:ascii="Verdana" w:eastAsia="Verdana" w:hAnsi="Verdana" w:cs="Verdana"/>
          <w:color w:val="000000"/>
          <w:sz w:val="20"/>
          <w:szCs w:val="20"/>
          <w:lang w:val="es-CR"/>
        </w:rPr>
        <w:t>ebido</w:t>
      </w:r>
      <w:proofErr w:type="spellEnd"/>
      <w:r w:rsidR="000E6FC3" w:rsidRPr="000F52D8">
        <w:rPr>
          <w:rFonts w:ascii="Verdana" w:eastAsia="Verdana" w:hAnsi="Verdana" w:cs="Verdana"/>
          <w:color w:val="000000"/>
          <w:sz w:val="20"/>
          <w:szCs w:val="20"/>
          <w:lang w:val="es-CR"/>
        </w:rPr>
        <w:t xml:space="preserve"> al estado en que se encontraba algunos internos </w:t>
      </w:r>
      <w:r w:rsidR="00FC4AA0">
        <w:rPr>
          <w:rFonts w:ascii="Verdana" w:eastAsia="Verdana" w:hAnsi="Verdana" w:cs="Verdana"/>
          <w:color w:val="000000"/>
          <w:sz w:val="20"/>
          <w:szCs w:val="20"/>
          <w:lang w:val="es-CR"/>
        </w:rPr>
        <w:t xml:space="preserve">lo </w:t>
      </w:r>
      <w:r w:rsidR="000E6FC3" w:rsidRPr="000F52D8">
        <w:rPr>
          <w:rFonts w:ascii="Verdana" w:eastAsia="Verdana" w:hAnsi="Verdana" w:cs="Verdana"/>
          <w:color w:val="000000"/>
          <w:sz w:val="20"/>
          <w:szCs w:val="20"/>
          <w:lang w:val="es-CR"/>
        </w:rPr>
        <w:t>asisti</w:t>
      </w:r>
      <w:r w:rsidR="00FC4AA0">
        <w:rPr>
          <w:rFonts w:ascii="Verdana" w:eastAsia="Verdana" w:hAnsi="Verdana" w:cs="Verdana"/>
          <w:color w:val="000000"/>
          <w:sz w:val="20"/>
          <w:szCs w:val="20"/>
          <w:lang w:val="es-CR"/>
        </w:rPr>
        <w:t xml:space="preserve">eron </w:t>
      </w:r>
      <w:r w:rsidR="000E6FC3" w:rsidRPr="000F52D8">
        <w:rPr>
          <w:rFonts w:ascii="Verdana" w:eastAsia="Verdana" w:hAnsi="Verdana" w:cs="Verdana"/>
          <w:color w:val="000000"/>
          <w:sz w:val="20"/>
          <w:szCs w:val="20"/>
          <w:lang w:val="es-CR"/>
        </w:rPr>
        <w:t xml:space="preserve">para poder ir al baño y </w:t>
      </w:r>
      <w:r w:rsidR="00FC4AA0">
        <w:rPr>
          <w:rFonts w:ascii="Verdana" w:eastAsia="Verdana" w:hAnsi="Verdana" w:cs="Verdana"/>
          <w:color w:val="000000"/>
          <w:sz w:val="20"/>
          <w:szCs w:val="20"/>
          <w:lang w:val="es-CR"/>
        </w:rPr>
        <w:t xml:space="preserve">le </w:t>
      </w:r>
      <w:r w:rsidR="000E6FC3" w:rsidRPr="000F52D8">
        <w:rPr>
          <w:rFonts w:ascii="Verdana" w:eastAsia="Verdana" w:hAnsi="Verdana" w:cs="Verdana"/>
          <w:color w:val="000000"/>
          <w:sz w:val="20"/>
          <w:szCs w:val="20"/>
          <w:lang w:val="es-CR"/>
        </w:rPr>
        <w:t>entreg</w:t>
      </w:r>
      <w:r w:rsidR="00FC4AA0">
        <w:rPr>
          <w:rFonts w:ascii="Verdana" w:eastAsia="Verdana" w:hAnsi="Verdana" w:cs="Verdana"/>
          <w:color w:val="000000"/>
          <w:sz w:val="20"/>
          <w:szCs w:val="20"/>
          <w:lang w:val="es-CR"/>
        </w:rPr>
        <w:t>aron</w:t>
      </w:r>
      <w:r w:rsidR="000E6FC3" w:rsidRPr="000F52D8">
        <w:rPr>
          <w:rFonts w:ascii="Verdana" w:eastAsia="Verdana" w:hAnsi="Verdana" w:cs="Verdana"/>
          <w:color w:val="000000"/>
          <w:sz w:val="20"/>
          <w:szCs w:val="20"/>
          <w:lang w:val="es-CR"/>
        </w:rPr>
        <w:t xml:space="preserve"> analgésicos</w:t>
      </w:r>
      <w:r w:rsidR="00AF3867">
        <w:rPr>
          <w:rFonts w:ascii="Verdana" w:eastAsia="Verdana" w:hAnsi="Verdana" w:cs="Verdana"/>
          <w:color w:val="000000"/>
          <w:sz w:val="20"/>
          <w:szCs w:val="20"/>
          <w:lang w:val="es-CR"/>
        </w:rPr>
        <w:t xml:space="preserve">. </w:t>
      </w:r>
      <w:r w:rsidR="000E6FC3" w:rsidRPr="007C4A35">
        <w:rPr>
          <w:rFonts w:ascii="Verdana" w:hAnsi="Verdana"/>
          <w:sz w:val="20"/>
          <w:szCs w:val="20"/>
          <w:lang w:val="es-CR"/>
        </w:rPr>
        <w:t xml:space="preserve">SMR y de EMM, </w:t>
      </w:r>
      <w:r w:rsidR="00AF3867">
        <w:rPr>
          <w:rFonts w:ascii="Verdana" w:hAnsi="Verdana"/>
          <w:sz w:val="20"/>
          <w:szCs w:val="20"/>
          <w:lang w:val="es-CR"/>
        </w:rPr>
        <w:t xml:space="preserve">quienes se encontraban privados de libertad en el </w:t>
      </w:r>
      <w:r w:rsidR="00AF3867" w:rsidRPr="000F52D8">
        <w:rPr>
          <w:rFonts w:ascii="Verdana" w:eastAsia="Verdana" w:hAnsi="Verdana" w:cs="Verdana"/>
          <w:color w:val="000000"/>
          <w:sz w:val="20"/>
          <w:szCs w:val="20"/>
          <w:lang w:val="es-CR"/>
        </w:rPr>
        <w:t xml:space="preserve">Centro Preventivo </w:t>
      </w:r>
      <w:r w:rsidR="00AF3867">
        <w:rPr>
          <w:rFonts w:ascii="Verdana" w:eastAsia="Verdana" w:hAnsi="Verdana" w:cs="Verdana"/>
          <w:color w:val="000000"/>
          <w:sz w:val="20"/>
          <w:szCs w:val="20"/>
          <w:lang w:val="es-PE"/>
        </w:rPr>
        <w:t>Hombres de Quetzaltenango</w:t>
      </w:r>
      <w:r w:rsidR="000E6FC3" w:rsidRPr="007C4A35">
        <w:rPr>
          <w:rFonts w:ascii="Verdana" w:hAnsi="Verdana"/>
          <w:sz w:val="20"/>
          <w:szCs w:val="20"/>
          <w:lang w:val="es-CR"/>
        </w:rPr>
        <w:t xml:space="preserve">, </w:t>
      </w:r>
      <w:r w:rsidR="00AF3867">
        <w:rPr>
          <w:rFonts w:ascii="Verdana" w:hAnsi="Verdana"/>
          <w:sz w:val="20"/>
          <w:szCs w:val="20"/>
          <w:lang w:val="es-CR"/>
        </w:rPr>
        <w:t xml:space="preserve">expresaron que </w:t>
      </w:r>
      <w:r w:rsidR="000E6FC3" w:rsidRPr="007C4A35">
        <w:rPr>
          <w:rFonts w:ascii="Verdana" w:hAnsi="Verdana"/>
          <w:sz w:val="20"/>
          <w:szCs w:val="20"/>
          <w:lang w:val="es-CR"/>
        </w:rPr>
        <w:t>el señor Valenzuela llegó muy golpeado, defecaba sangre, necesitaba ayuda para poder movilizarse, no se podía sentar, dormía de pie y se quejaba constantemente de los múltiples dolores que tenía</w:t>
      </w:r>
      <w:r w:rsidR="000E6FC3" w:rsidRPr="00EC2F24">
        <w:rPr>
          <w:rStyle w:val="Refdenotaalpie"/>
          <w:rFonts w:ascii="Verdana" w:hAnsi="Verdana"/>
          <w:sz w:val="20"/>
          <w:szCs w:val="20"/>
          <w:lang w:val="es-CR"/>
        </w:rPr>
        <w:footnoteReference w:id="54"/>
      </w:r>
      <w:r w:rsidR="000D1463" w:rsidRPr="007C4A35">
        <w:rPr>
          <w:rFonts w:ascii="Verdana" w:hAnsi="Verdana"/>
          <w:sz w:val="20"/>
          <w:szCs w:val="20"/>
          <w:lang w:val="es-CR"/>
        </w:rPr>
        <w:t>.</w:t>
      </w:r>
      <w:r w:rsidR="002924A9">
        <w:rPr>
          <w:rFonts w:ascii="Verdana" w:hAnsi="Verdana"/>
          <w:sz w:val="20"/>
          <w:szCs w:val="20"/>
          <w:lang w:val="es-CR"/>
        </w:rPr>
        <w:t xml:space="preserve"> El Estado niega las alegadas torturas.</w:t>
      </w:r>
    </w:p>
    <w:p w14:paraId="5A7E2E12" w14:textId="77777777" w:rsidR="00104AF5" w:rsidRPr="007C4A35" w:rsidRDefault="00104AF5" w:rsidP="00341D8C">
      <w:pPr>
        <w:pStyle w:val="Prrafodelista"/>
        <w:autoSpaceDE w:val="0"/>
        <w:autoSpaceDN w:val="0"/>
        <w:adjustRightInd w:val="0"/>
        <w:spacing w:after="0" w:line="240" w:lineRule="auto"/>
        <w:ind w:left="0"/>
        <w:jc w:val="both"/>
        <w:rPr>
          <w:rFonts w:ascii="Verdana" w:hAnsi="Verdana"/>
          <w:sz w:val="20"/>
          <w:szCs w:val="20"/>
          <w:lang w:val="es-CR"/>
        </w:rPr>
      </w:pPr>
    </w:p>
    <w:p w14:paraId="35BA5317" w14:textId="77777777" w:rsidR="000D1463" w:rsidRPr="006D317C" w:rsidRDefault="000E6FC3" w:rsidP="00341D8C">
      <w:pPr>
        <w:pStyle w:val="Ttulo3"/>
        <w:spacing w:before="0"/>
        <w:ind w:left="706"/>
        <w:rPr>
          <w:b w:val="0"/>
          <w:lang w:val="es-AR"/>
        </w:rPr>
      </w:pPr>
      <w:bookmarkStart w:id="33" w:name="_Toc25247747"/>
      <w:r w:rsidRPr="006D317C">
        <w:rPr>
          <w:b w:val="0"/>
          <w:lang w:val="es-AR"/>
        </w:rPr>
        <w:t>C.2</w:t>
      </w:r>
      <w:r w:rsidR="00C92E20" w:rsidRPr="006D317C">
        <w:rPr>
          <w:b w:val="0"/>
          <w:lang w:val="es-AR"/>
        </w:rPr>
        <w:t>.</w:t>
      </w:r>
      <w:r w:rsidRPr="006D317C">
        <w:rPr>
          <w:b w:val="0"/>
          <w:lang w:val="es-AR"/>
        </w:rPr>
        <w:t xml:space="preserve">  Su primera fuga y recaptura</w:t>
      </w:r>
      <w:bookmarkEnd w:id="33"/>
    </w:p>
    <w:p w14:paraId="48125812" w14:textId="77777777" w:rsidR="000D1463" w:rsidRDefault="000D1463" w:rsidP="000D1463">
      <w:pPr>
        <w:pStyle w:val="Prrafodelista"/>
        <w:autoSpaceDE w:val="0"/>
        <w:autoSpaceDN w:val="0"/>
        <w:adjustRightInd w:val="0"/>
        <w:spacing w:after="0" w:line="240" w:lineRule="auto"/>
        <w:ind w:left="0"/>
        <w:jc w:val="both"/>
        <w:rPr>
          <w:rFonts w:ascii="Verdana" w:hAnsi="Verdana"/>
          <w:sz w:val="20"/>
          <w:szCs w:val="20"/>
          <w:lang w:val="es-CR"/>
        </w:rPr>
      </w:pPr>
    </w:p>
    <w:p w14:paraId="02C985A8" w14:textId="77777777" w:rsidR="00910CDA" w:rsidRPr="0027240E" w:rsidRDefault="000E6FC3" w:rsidP="005406CA">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0D1463">
        <w:rPr>
          <w:rFonts w:ascii="Verdana" w:eastAsia="Verdana" w:hAnsi="Verdana" w:cs="Verdana"/>
          <w:color w:val="000000"/>
          <w:sz w:val="20"/>
          <w:szCs w:val="20"/>
          <w:lang w:val="es-PE"/>
        </w:rPr>
        <w:t xml:space="preserve">El 14 de junio de 1998 se produjo una fuga de privados de libertad, entre los que se encontraba el </w:t>
      </w:r>
      <w:r w:rsidRPr="0027240E">
        <w:rPr>
          <w:rFonts w:ascii="Verdana" w:eastAsia="Verdana" w:hAnsi="Verdana" w:cs="Verdana"/>
          <w:color w:val="000000"/>
          <w:sz w:val="20"/>
          <w:szCs w:val="20"/>
          <w:lang w:val="es-PE"/>
        </w:rPr>
        <w:t>señor Valenzuela</w:t>
      </w:r>
      <w:r w:rsidRPr="0027240E">
        <w:rPr>
          <w:rStyle w:val="Refdenotaalpie"/>
          <w:rFonts w:ascii="Verdana" w:eastAsia="Verdana" w:hAnsi="Verdana" w:cs="Verdana"/>
          <w:color w:val="000000"/>
          <w:sz w:val="20"/>
          <w:szCs w:val="20"/>
          <w:lang w:val="es-PE"/>
        </w:rPr>
        <w:footnoteReference w:id="55"/>
      </w:r>
      <w:r w:rsidRPr="0027240E">
        <w:rPr>
          <w:rFonts w:ascii="Verdana" w:eastAsia="Verdana" w:hAnsi="Verdana" w:cs="Verdana"/>
          <w:color w:val="000000"/>
          <w:sz w:val="20"/>
          <w:szCs w:val="20"/>
          <w:lang w:val="es-PE"/>
        </w:rPr>
        <w:t>, hasta</w:t>
      </w:r>
      <w:r w:rsidRPr="0027240E">
        <w:rPr>
          <w:rFonts w:ascii="Verdana" w:eastAsia="Verdana" w:hAnsi="Verdana" w:cs="Verdana"/>
          <w:color w:val="000000"/>
          <w:sz w:val="20"/>
          <w:szCs w:val="20"/>
          <w:lang w:val="es-CR"/>
        </w:rPr>
        <w:t xml:space="preserve"> ese momento no se había formulado acusación en su contra</w:t>
      </w:r>
      <w:r w:rsidRPr="0027240E">
        <w:rPr>
          <w:rStyle w:val="Refdenotaalpie"/>
          <w:rFonts w:ascii="Verdana" w:eastAsia="Verdana" w:hAnsi="Verdana" w:cs="Verdana"/>
          <w:color w:val="000000"/>
          <w:sz w:val="20"/>
          <w:szCs w:val="20"/>
        </w:rPr>
        <w:footnoteReference w:id="56"/>
      </w:r>
      <w:r w:rsidRPr="0027240E">
        <w:rPr>
          <w:rFonts w:ascii="Verdana" w:eastAsia="Verdana" w:hAnsi="Verdana" w:cs="Verdana"/>
          <w:color w:val="000000"/>
          <w:sz w:val="20"/>
          <w:szCs w:val="20"/>
          <w:lang w:val="es-CR"/>
        </w:rPr>
        <w:t>.</w:t>
      </w:r>
    </w:p>
    <w:p w14:paraId="08192CB7" w14:textId="77777777" w:rsidR="0027240E" w:rsidRPr="00143445" w:rsidRDefault="0027240E" w:rsidP="00143445">
      <w:pPr>
        <w:pStyle w:val="Prrafodelista"/>
        <w:tabs>
          <w:tab w:val="left" w:pos="2525"/>
        </w:tabs>
        <w:autoSpaceDE w:val="0"/>
        <w:autoSpaceDN w:val="0"/>
        <w:adjustRightInd w:val="0"/>
        <w:spacing w:after="0" w:line="240" w:lineRule="auto"/>
        <w:ind w:left="0"/>
        <w:jc w:val="both"/>
        <w:rPr>
          <w:rFonts w:ascii="Verdana" w:hAnsi="Verdana"/>
          <w:sz w:val="20"/>
          <w:szCs w:val="20"/>
          <w:lang w:val="es-CR"/>
        </w:rPr>
      </w:pPr>
      <w:r w:rsidRPr="00143445">
        <w:rPr>
          <w:rFonts w:ascii="Verdana" w:hAnsi="Verdana"/>
          <w:sz w:val="20"/>
          <w:szCs w:val="20"/>
          <w:lang w:val="es-CR"/>
        </w:rPr>
        <w:tab/>
      </w:r>
    </w:p>
    <w:p w14:paraId="48D5222D" w14:textId="77777777" w:rsidR="00D04BB7" w:rsidRPr="008E68BF" w:rsidRDefault="00D04BB7" w:rsidP="00143445">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8E68BF">
        <w:rPr>
          <w:rFonts w:ascii="Verdana" w:hAnsi="Verdana"/>
          <w:sz w:val="20"/>
          <w:szCs w:val="20"/>
          <w:lang w:val="es-CR"/>
        </w:rPr>
        <w:t xml:space="preserve">El 10 de abril de 1999 </w:t>
      </w:r>
      <w:r w:rsidRPr="008E68BF">
        <w:rPr>
          <w:rFonts w:ascii="Verdana" w:eastAsia="Verdana" w:hAnsi="Verdana" w:cs="Verdana"/>
          <w:color w:val="000000"/>
          <w:sz w:val="20"/>
          <w:szCs w:val="20"/>
          <w:lang w:val="es-PE"/>
        </w:rPr>
        <w:t>el señor Valenzuela</w:t>
      </w:r>
      <w:r w:rsidRPr="008E68BF">
        <w:rPr>
          <w:rFonts w:ascii="Verdana" w:hAnsi="Verdana"/>
          <w:sz w:val="20"/>
          <w:szCs w:val="20"/>
          <w:lang w:val="es-CR"/>
        </w:rPr>
        <w:t xml:space="preserve"> fue recapturado en el Hospital “Juan José Ortega” de Coatepeque</w:t>
      </w:r>
      <w:r w:rsidRPr="008E68BF">
        <w:rPr>
          <w:rStyle w:val="Refdenotaalpie"/>
          <w:rFonts w:ascii="Verdana" w:hAnsi="Verdana"/>
          <w:sz w:val="20"/>
          <w:szCs w:val="20"/>
          <w:lang w:val="es-CR"/>
        </w:rPr>
        <w:footnoteReference w:id="57"/>
      </w:r>
      <w:r w:rsidRPr="008E68BF">
        <w:rPr>
          <w:rFonts w:ascii="Verdana" w:hAnsi="Verdana"/>
          <w:sz w:val="20"/>
          <w:szCs w:val="20"/>
          <w:lang w:val="es-CR"/>
        </w:rPr>
        <w:t>. El 16 de abril de 1999 lo trasladaron al Hospital San Juan de Dios. Luego fue enviado al hospital privado de la PNC ubicado en el Centro Preventivo, en donde estuvo internado hasta el 21 de abril del mismo año</w:t>
      </w:r>
      <w:r w:rsidRPr="008E68BF">
        <w:rPr>
          <w:rStyle w:val="Refdenotaalpie"/>
          <w:rFonts w:ascii="Verdana" w:hAnsi="Verdana"/>
          <w:sz w:val="20"/>
          <w:szCs w:val="20"/>
        </w:rPr>
        <w:footnoteReference w:id="58"/>
      </w:r>
      <w:r w:rsidRPr="008E68BF">
        <w:rPr>
          <w:rFonts w:ascii="Verdana" w:hAnsi="Verdana"/>
          <w:sz w:val="20"/>
          <w:szCs w:val="20"/>
          <w:vertAlign w:val="subscript"/>
          <w:lang w:val="es-CR"/>
        </w:rPr>
        <w:t xml:space="preserve">. </w:t>
      </w:r>
      <w:r w:rsidRPr="008E68BF">
        <w:rPr>
          <w:rFonts w:ascii="Verdana" w:hAnsi="Verdana"/>
          <w:sz w:val="20"/>
          <w:szCs w:val="20"/>
          <w:lang w:val="es-CR"/>
        </w:rPr>
        <w:t>De allí lo llevaron al Preventivo y en septiembre fue conducido a la Cárcel de Máxima Seguridad</w:t>
      </w:r>
      <w:r w:rsidRPr="008E68BF">
        <w:rPr>
          <w:rFonts w:ascii="Verdana" w:hAnsi="Verdana"/>
          <w:sz w:val="20"/>
          <w:szCs w:val="20"/>
          <w:lang w:val="es-PE"/>
        </w:rPr>
        <w:t xml:space="preserve"> conocido como “El Infiernito”</w:t>
      </w:r>
      <w:r w:rsidRPr="008E68BF">
        <w:rPr>
          <w:rStyle w:val="Refdenotaalpie"/>
          <w:rFonts w:ascii="Verdana" w:hAnsi="Verdana"/>
          <w:sz w:val="20"/>
          <w:szCs w:val="20"/>
          <w:lang w:val="es-PE"/>
        </w:rPr>
        <w:footnoteReference w:id="59"/>
      </w:r>
      <w:r w:rsidRPr="008E68BF">
        <w:rPr>
          <w:rFonts w:ascii="Verdana" w:hAnsi="Verdana"/>
          <w:sz w:val="20"/>
          <w:szCs w:val="20"/>
          <w:lang w:val="es-CR"/>
        </w:rPr>
        <w:t>.</w:t>
      </w:r>
    </w:p>
    <w:p w14:paraId="338D03F0" w14:textId="77777777" w:rsidR="00550D06" w:rsidRPr="002615B8" w:rsidRDefault="00550D06" w:rsidP="00550D06">
      <w:pPr>
        <w:pStyle w:val="Prrafodelista"/>
        <w:autoSpaceDE w:val="0"/>
        <w:autoSpaceDN w:val="0"/>
        <w:adjustRightInd w:val="0"/>
        <w:spacing w:after="0" w:line="240" w:lineRule="auto"/>
        <w:ind w:left="0"/>
        <w:jc w:val="both"/>
        <w:rPr>
          <w:rFonts w:ascii="Verdana" w:hAnsi="Verdana"/>
          <w:sz w:val="20"/>
          <w:szCs w:val="20"/>
          <w:lang w:val="es-CR"/>
        </w:rPr>
      </w:pPr>
    </w:p>
    <w:p w14:paraId="43DCD273" w14:textId="77777777" w:rsidR="000D1463" w:rsidRPr="006D317C" w:rsidRDefault="000E6FC3" w:rsidP="00550D06">
      <w:pPr>
        <w:pStyle w:val="Ttulo3"/>
        <w:spacing w:before="0"/>
        <w:ind w:left="706"/>
        <w:rPr>
          <w:b w:val="0"/>
          <w:lang w:val="es-CR"/>
        </w:rPr>
      </w:pPr>
      <w:bookmarkStart w:id="34" w:name="_Toc25247748"/>
      <w:r w:rsidRPr="006D317C">
        <w:rPr>
          <w:b w:val="0"/>
          <w:lang w:val="es-AR"/>
        </w:rPr>
        <w:t>C.3.</w:t>
      </w:r>
      <w:r w:rsidR="00C92E20" w:rsidRPr="006D317C">
        <w:rPr>
          <w:b w:val="0"/>
          <w:lang w:val="es-AR"/>
        </w:rPr>
        <w:t xml:space="preserve"> </w:t>
      </w:r>
      <w:r w:rsidRPr="006D317C">
        <w:rPr>
          <w:b w:val="0"/>
          <w:lang w:val="es-AR"/>
        </w:rPr>
        <w:t>Segunda fuga y recaptura</w:t>
      </w:r>
      <w:bookmarkEnd w:id="34"/>
    </w:p>
    <w:p w14:paraId="09824B77" w14:textId="77777777" w:rsidR="000D1463" w:rsidRDefault="006D317C" w:rsidP="006D317C">
      <w:pPr>
        <w:pStyle w:val="Prrafodelista"/>
        <w:tabs>
          <w:tab w:val="left" w:pos="2250"/>
        </w:tabs>
        <w:autoSpaceDE w:val="0"/>
        <w:autoSpaceDN w:val="0"/>
        <w:adjustRightInd w:val="0"/>
        <w:spacing w:after="0" w:line="240" w:lineRule="auto"/>
        <w:ind w:left="0"/>
        <w:jc w:val="both"/>
        <w:rPr>
          <w:rFonts w:ascii="Verdana" w:hAnsi="Verdana"/>
          <w:sz w:val="20"/>
          <w:szCs w:val="20"/>
          <w:lang w:val="es-CR"/>
        </w:rPr>
      </w:pPr>
      <w:r>
        <w:rPr>
          <w:rFonts w:ascii="Verdana" w:hAnsi="Verdana"/>
          <w:sz w:val="20"/>
          <w:szCs w:val="20"/>
          <w:lang w:val="es-CR"/>
        </w:rPr>
        <w:tab/>
      </w:r>
    </w:p>
    <w:p w14:paraId="6695C4DB" w14:textId="4DA741C4" w:rsidR="00404265" w:rsidRPr="002C4B6E" w:rsidRDefault="00BC2D41" w:rsidP="005406CA">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2C4B6E">
        <w:rPr>
          <w:rFonts w:ascii="Verdana" w:hAnsi="Verdana"/>
          <w:sz w:val="20"/>
          <w:szCs w:val="20"/>
          <w:lang w:val="es-CR"/>
        </w:rPr>
        <w:t xml:space="preserve">El 17 de junio de 2001 </w:t>
      </w:r>
      <w:r w:rsidRPr="002C4B6E">
        <w:rPr>
          <w:rFonts w:ascii="Verdana" w:hAnsi="Verdana"/>
          <w:sz w:val="20"/>
          <w:szCs w:val="20"/>
          <w:lang w:val="es-PE"/>
        </w:rPr>
        <w:t xml:space="preserve">se realizó una fuga masiva de 78 privados de libertad del centro de reclusión conocido como “El Infiernito”. </w:t>
      </w:r>
      <w:r w:rsidRPr="002C4B6E">
        <w:rPr>
          <w:rFonts w:ascii="Verdana" w:hAnsi="Verdana"/>
          <w:sz w:val="20"/>
          <w:szCs w:val="20"/>
          <w:lang w:val="es-CR"/>
        </w:rPr>
        <w:t xml:space="preserve">Ese día el </w:t>
      </w:r>
      <w:r w:rsidR="00BE7DBF">
        <w:rPr>
          <w:rFonts w:ascii="Verdana" w:hAnsi="Verdana"/>
          <w:sz w:val="20"/>
          <w:szCs w:val="20"/>
          <w:lang w:val="es-CR"/>
        </w:rPr>
        <w:t>señor Valenzuela se fugó junto con</w:t>
      </w:r>
      <w:r w:rsidRPr="002C4B6E">
        <w:rPr>
          <w:rFonts w:ascii="Verdana" w:hAnsi="Verdana"/>
          <w:sz w:val="20"/>
          <w:szCs w:val="20"/>
          <w:lang w:val="es-CR"/>
        </w:rPr>
        <w:t xml:space="preserve"> otros internos</w:t>
      </w:r>
      <w:r w:rsidRPr="00005AE8">
        <w:rPr>
          <w:rFonts w:ascii="Verdana" w:hAnsi="Verdana"/>
          <w:b/>
          <w:sz w:val="20"/>
          <w:szCs w:val="20"/>
          <w:lang w:val="es-CR"/>
        </w:rPr>
        <w:t xml:space="preserve"> </w:t>
      </w:r>
      <w:r w:rsidRPr="002C4B6E">
        <w:rPr>
          <w:rFonts w:ascii="Verdana" w:hAnsi="Verdana"/>
          <w:sz w:val="20"/>
          <w:szCs w:val="20"/>
          <w:lang w:val="es-CR"/>
        </w:rPr>
        <w:t>y fue recapturado por agentes estatales. Posteriormente, el señor Valenzuela fue trasladado al preventivo</w:t>
      </w:r>
      <w:r w:rsidRPr="0069521B">
        <w:rPr>
          <w:rFonts w:ascii="Verdana" w:hAnsi="Verdana"/>
          <w:sz w:val="20"/>
          <w:szCs w:val="20"/>
          <w:lang w:val="es-CR"/>
        </w:rPr>
        <w:t xml:space="preserve">. </w:t>
      </w:r>
      <w:r w:rsidRPr="002C4B6E">
        <w:rPr>
          <w:rFonts w:ascii="Verdana" w:hAnsi="Verdana"/>
          <w:sz w:val="20"/>
          <w:szCs w:val="20"/>
          <w:lang w:val="es-CR"/>
        </w:rPr>
        <w:t xml:space="preserve">Al respecto, el señor Valenzuela manifestó que </w:t>
      </w:r>
      <w:r w:rsidR="00244A43">
        <w:rPr>
          <w:rFonts w:ascii="Verdana" w:hAnsi="Verdana"/>
          <w:sz w:val="20"/>
          <w:szCs w:val="20"/>
          <w:lang w:val="es-CR"/>
        </w:rPr>
        <w:t xml:space="preserve">el 17 y 18 </w:t>
      </w:r>
      <w:r w:rsidRPr="002C4B6E">
        <w:rPr>
          <w:rFonts w:ascii="Verdana" w:hAnsi="Verdana"/>
          <w:sz w:val="20"/>
          <w:szCs w:val="20"/>
          <w:lang w:val="es-CR"/>
        </w:rPr>
        <w:t>de junio de 2001 habría sufrido maltratos</w:t>
      </w:r>
      <w:r w:rsidRPr="002C4B6E">
        <w:rPr>
          <w:rFonts w:ascii="Verdana" w:hAnsi="Verdana"/>
          <w:vertAlign w:val="superscript"/>
          <w:lang w:val="es-CR"/>
        </w:rPr>
        <w:footnoteReference w:id="60"/>
      </w:r>
      <w:r w:rsidRPr="002C4B6E">
        <w:rPr>
          <w:rFonts w:ascii="Verdana" w:hAnsi="Verdana"/>
          <w:sz w:val="20"/>
          <w:szCs w:val="20"/>
          <w:lang w:val="es-CR"/>
        </w:rPr>
        <w:t>. Sobre este punto, el Estado niega</w:t>
      </w:r>
      <w:r w:rsidR="0097244E">
        <w:rPr>
          <w:rFonts w:ascii="Verdana" w:hAnsi="Verdana"/>
          <w:sz w:val="20"/>
          <w:szCs w:val="20"/>
          <w:lang w:val="es-CR"/>
        </w:rPr>
        <w:t xml:space="preserve"> </w:t>
      </w:r>
      <w:r w:rsidR="00845C91">
        <w:rPr>
          <w:rFonts w:ascii="Verdana" w:hAnsi="Verdana"/>
          <w:sz w:val="20"/>
          <w:szCs w:val="20"/>
          <w:lang w:val="es-CR"/>
        </w:rPr>
        <w:t>los alegados actos</w:t>
      </w:r>
      <w:r w:rsidRPr="002C4B6E">
        <w:rPr>
          <w:rFonts w:ascii="Verdana" w:hAnsi="Verdana"/>
          <w:sz w:val="20"/>
          <w:szCs w:val="20"/>
          <w:lang w:val="es-CR"/>
        </w:rPr>
        <w:t>.</w:t>
      </w:r>
    </w:p>
    <w:p w14:paraId="1AAE0158" w14:textId="77777777" w:rsidR="00404265" w:rsidRPr="00404265" w:rsidRDefault="00404265" w:rsidP="00404265">
      <w:pPr>
        <w:pStyle w:val="Prrafodelista"/>
        <w:autoSpaceDE w:val="0"/>
        <w:autoSpaceDN w:val="0"/>
        <w:adjustRightInd w:val="0"/>
        <w:spacing w:after="0" w:line="240" w:lineRule="auto"/>
        <w:ind w:left="0"/>
        <w:jc w:val="both"/>
        <w:rPr>
          <w:rFonts w:ascii="Verdana" w:hAnsi="Verdana"/>
          <w:sz w:val="20"/>
          <w:szCs w:val="20"/>
          <w:lang w:val="es-CR"/>
        </w:rPr>
      </w:pPr>
    </w:p>
    <w:p w14:paraId="31323B7D" w14:textId="2277F8CA" w:rsidR="002D492E" w:rsidRPr="00CE16C9" w:rsidRDefault="00FE25BA" w:rsidP="002D492E">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Pr>
          <w:rFonts w:ascii="Verdana" w:hAnsi="Verdana"/>
          <w:sz w:val="20"/>
          <w:szCs w:val="20"/>
          <w:lang w:val="es-CR"/>
        </w:rPr>
        <w:t>Según un</w:t>
      </w:r>
      <w:r w:rsidR="00744218" w:rsidRPr="00404265">
        <w:rPr>
          <w:rFonts w:ascii="Verdana" w:hAnsi="Verdana"/>
          <w:sz w:val="20"/>
          <w:szCs w:val="20"/>
          <w:lang w:val="es-CR"/>
        </w:rPr>
        <w:t xml:space="preserve"> privado de libertad</w:t>
      </w:r>
      <w:r w:rsidR="000E6FC3" w:rsidRPr="00404265">
        <w:rPr>
          <w:rFonts w:ascii="Verdana" w:hAnsi="Verdana"/>
          <w:sz w:val="20"/>
          <w:szCs w:val="20"/>
          <w:lang w:val="es-CR"/>
        </w:rPr>
        <w:t xml:space="preserve">, PRA </w:t>
      </w:r>
      <w:r>
        <w:rPr>
          <w:rFonts w:ascii="Verdana" w:hAnsi="Verdana"/>
          <w:sz w:val="20"/>
          <w:szCs w:val="20"/>
          <w:lang w:val="es-CR"/>
        </w:rPr>
        <w:t xml:space="preserve">manifestó </w:t>
      </w:r>
      <w:r w:rsidR="000E6FC3" w:rsidRPr="00404265">
        <w:rPr>
          <w:rFonts w:ascii="Verdana" w:hAnsi="Verdana"/>
          <w:sz w:val="20"/>
          <w:szCs w:val="20"/>
          <w:lang w:val="es-CR"/>
        </w:rPr>
        <w:t xml:space="preserve">que luego de ser recapturado, </w:t>
      </w:r>
      <w:r w:rsidR="006D1593">
        <w:rPr>
          <w:rFonts w:ascii="Verdana" w:hAnsi="Verdana"/>
          <w:sz w:val="20"/>
          <w:szCs w:val="20"/>
          <w:lang w:val="es-CR"/>
        </w:rPr>
        <w:t>el</w:t>
      </w:r>
      <w:r w:rsidR="006D1593" w:rsidRPr="00404265">
        <w:rPr>
          <w:rFonts w:ascii="Verdana" w:hAnsi="Verdana"/>
          <w:sz w:val="20"/>
          <w:szCs w:val="20"/>
          <w:lang w:val="es-CR"/>
        </w:rPr>
        <w:t xml:space="preserve"> </w:t>
      </w:r>
      <w:r w:rsidR="000E6FC3" w:rsidRPr="00404265">
        <w:rPr>
          <w:rFonts w:ascii="Verdana" w:hAnsi="Verdana"/>
          <w:sz w:val="20"/>
          <w:szCs w:val="20"/>
          <w:lang w:val="es-CR"/>
        </w:rPr>
        <w:t xml:space="preserve">señor Valenzuela </w:t>
      </w:r>
      <w:r w:rsidR="006D1593">
        <w:rPr>
          <w:rFonts w:ascii="Verdana" w:hAnsi="Verdana"/>
          <w:sz w:val="20"/>
          <w:szCs w:val="20"/>
          <w:lang w:val="es-CR"/>
        </w:rPr>
        <w:t>fue sustraído</w:t>
      </w:r>
      <w:r w:rsidR="000E6FC3" w:rsidRPr="00404265">
        <w:rPr>
          <w:rFonts w:ascii="Verdana" w:hAnsi="Verdana"/>
          <w:sz w:val="20"/>
          <w:szCs w:val="20"/>
          <w:lang w:val="es-CR"/>
        </w:rPr>
        <w:t xml:space="preserve"> </w:t>
      </w:r>
      <w:r w:rsidR="0027018D">
        <w:rPr>
          <w:rFonts w:ascii="Verdana" w:hAnsi="Verdana"/>
          <w:sz w:val="20"/>
          <w:szCs w:val="20"/>
          <w:lang w:val="es-CR"/>
        </w:rPr>
        <w:t xml:space="preserve">de su celda </w:t>
      </w:r>
      <w:r w:rsidR="000E6FC3" w:rsidRPr="00404265">
        <w:rPr>
          <w:rFonts w:ascii="Verdana" w:hAnsi="Verdana"/>
          <w:sz w:val="20"/>
          <w:szCs w:val="20"/>
          <w:lang w:val="es-CR"/>
        </w:rPr>
        <w:t xml:space="preserve">en repetidas ocasiones </w:t>
      </w:r>
      <w:r w:rsidR="006D1593">
        <w:rPr>
          <w:rFonts w:ascii="Verdana" w:hAnsi="Verdana"/>
          <w:sz w:val="20"/>
          <w:szCs w:val="20"/>
          <w:lang w:val="es-CR"/>
        </w:rPr>
        <w:t xml:space="preserve">por </w:t>
      </w:r>
      <w:r w:rsidR="000E6FC3" w:rsidRPr="00404265">
        <w:rPr>
          <w:rFonts w:ascii="Verdana" w:hAnsi="Verdana"/>
          <w:sz w:val="20"/>
          <w:szCs w:val="20"/>
          <w:lang w:val="es-CR"/>
        </w:rPr>
        <w:t>person</w:t>
      </w:r>
      <w:r w:rsidR="0027018D">
        <w:rPr>
          <w:rFonts w:ascii="Verdana" w:hAnsi="Verdana"/>
          <w:sz w:val="20"/>
          <w:szCs w:val="20"/>
          <w:lang w:val="es-CR"/>
        </w:rPr>
        <w:t xml:space="preserve">as vestidas de particular </w:t>
      </w:r>
      <w:r w:rsidR="0027018D">
        <w:rPr>
          <w:rFonts w:ascii="Verdana" w:hAnsi="Verdana"/>
          <w:sz w:val="20"/>
          <w:szCs w:val="20"/>
          <w:lang w:val="es-CR"/>
        </w:rPr>
        <w:lastRenderedPageBreak/>
        <w:t xml:space="preserve">y </w:t>
      </w:r>
      <w:r w:rsidR="000E6FC3" w:rsidRPr="00404265">
        <w:rPr>
          <w:rFonts w:ascii="Verdana" w:hAnsi="Verdana"/>
          <w:sz w:val="20"/>
          <w:szCs w:val="20"/>
          <w:lang w:val="es-CR"/>
        </w:rPr>
        <w:t>regresaba cada vez más golpeado. Agregó, que el señor Valenzuela estaba mal físicamente, que tenía golpes en todo el cuerpo y que en distintas conversaciones con él, éste le contó sobre las torturas que hab</w:t>
      </w:r>
      <w:r w:rsidR="00744218" w:rsidRPr="00404265">
        <w:rPr>
          <w:rFonts w:ascii="Verdana" w:hAnsi="Verdana"/>
          <w:sz w:val="20"/>
          <w:szCs w:val="20"/>
          <w:lang w:val="es-CR"/>
        </w:rPr>
        <w:t>r</w:t>
      </w:r>
      <w:r w:rsidR="000E6FC3" w:rsidRPr="00404265">
        <w:rPr>
          <w:rFonts w:ascii="Verdana" w:hAnsi="Verdana"/>
          <w:sz w:val="20"/>
          <w:szCs w:val="20"/>
          <w:lang w:val="es-CR"/>
        </w:rPr>
        <w:t>ía sufrido con cigarrillos en la parte del cuello y genitales y que anteriormente le habían introducido un objeto (bastón o palo) en el ano</w:t>
      </w:r>
      <w:r w:rsidR="000E6FC3" w:rsidRPr="00EC2F24">
        <w:rPr>
          <w:rStyle w:val="Refdenotaalpie"/>
          <w:rFonts w:ascii="Verdana" w:hAnsi="Verdana"/>
          <w:sz w:val="20"/>
          <w:szCs w:val="20"/>
        </w:rPr>
        <w:footnoteReference w:id="61"/>
      </w:r>
      <w:r w:rsidR="000E6FC3" w:rsidRPr="00404265">
        <w:rPr>
          <w:rFonts w:ascii="Verdana" w:hAnsi="Verdana"/>
          <w:sz w:val="20"/>
          <w:szCs w:val="20"/>
          <w:lang w:val="es-CR"/>
        </w:rPr>
        <w:t xml:space="preserve">. </w:t>
      </w:r>
    </w:p>
    <w:p w14:paraId="73FAA26D" w14:textId="77777777" w:rsidR="002D7487" w:rsidRPr="009224AE" w:rsidRDefault="002D7487" w:rsidP="00341D8C">
      <w:pPr>
        <w:pStyle w:val="Prrafodelista"/>
        <w:autoSpaceDE w:val="0"/>
        <w:autoSpaceDN w:val="0"/>
        <w:adjustRightInd w:val="0"/>
        <w:spacing w:after="0" w:line="240" w:lineRule="auto"/>
        <w:ind w:left="0"/>
        <w:jc w:val="both"/>
        <w:rPr>
          <w:rFonts w:ascii="Verdana" w:hAnsi="Verdana"/>
          <w:sz w:val="20"/>
          <w:szCs w:val="20"/>
          <w:lang w:val="es-CR"/>
        </w:rPr>
      </w:pPr>
    </w:p>
    <w:p w14:paraId="71363471" w14:textId="1F73C3FA" w:rsidR="00404265" w:rsidRPr="006D317C" w:rsidRDefault="000E6FC3" w:rsidP="00341D8C">
      <w:pPr>
        <w:pStyle w:val="Ttulo3"/>
        <w:spacing w:before="0"/>
        <w:ind w:left="706"/>
        <w:rPr>
          <w:b w:val="0"/>
          <w:lang w:val="es-CR"/>
        </w:rPr>
      </w:pPr>
      <w:bookmarkStart w:id="35" w:name="_Toc25247749"/>
      <w:r w:rsidRPr="006D317C">
        <w:rPr>
          <w:b w:val="0"/>
          <w:lang w:val="es-CR"/>
        </w:rPr>
        <w:t>C.4</w:t>
      </w:r>
      <w:r w:rsidR="00C92E20" w:rsidRPr="006D317C">
        <w:rPr>
          <w:b w:val="0"/>
          <w:lang w:val="es-CR"/>
        </w:rPr>
        <w:t>.</w:t>
      </w:r>
      <w:r w:rsidRPr="006D317C">
        <w:rPr>
          <w:b w:val="0"/>
          <w:lang w:val="es-CR"/>
        </w:rPr>
        <w:t xml:space="preserve"> Diligencias llevadas a cabo por el señor Valen</w:t>
      </w:r>
      <w:r w:rsidR="002D492E">
        <w:rPr>
          <w:b w:val="0"/>
          <w:lang w:val="es-CR"/>
        </w:rPr>
        <w:t>zuela y su defensa en relación con</w:t>
      </w:r>
      <w:r w:rsidRPr="006D317C">
        <w:rPr>
          <w:b w:val="0"/>
          <w:lang w:val="es-CR"/>
        </w:rPr>
        <w:t xml:space="preserve"> los alegados actos de violencia</w:t>
      </w:r>
      <w:bookmarkEnd w:id="35"/>
    </w:p>
    <w:p w14:paraId="4786D533" w14:textId="77777777" w:rsidR="00404265" w:rsidRDefault="00404265" w:rsidP="00404265">
      <w:pPr>
        <w:pStyle w:val="Prrafodelista"/>
        <w:autoSpaceDE w:val="0"/>
        <w:autoSpaceDN w:val="0"/>
        <w:adjustRightInd w:val="0"/>
        <w:spacing w:after="0" w:line="240" w:lineRule="auto"/>
        <w:ind w:left="0"/>
        <w:jc w:val="both"/>
        <w:rPr>
          <w:rFonts w:ascii="Verdana" w:hAnsi="Verdana"/>
          <w:sz w:val="20"/>
          <w:szCs w:val="20"/>
          <w:lang w:val="es-CR"/>
        </w:rPr>
      </w:pPr>
    </w:p>
    <w:p w14:paraId="1AADF300" w14:textId="77777777" w:rsidR="00404265" w:rsidRPr="000E2DF8" w:rsidRDefault="000E6FC3" w:rsidP="000E2DF8">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404265">
        <w:rPr>
          <w:rFonts w:ascii="Verdana" w:hAnsi="Verdana"/>
          <w:sz w:val="20"/>
          <w:szCs w:val="20"/>
          <w:lang w:val="es-AR"/>
        </w:rPr>
        <w:t xml:space="preserve">El señor Valenzuela denunció los actos de violencia perpetrados </w:t>
      </w:r>
      <w:r w:rsidR="00796CDA">
        <w:rPr>
          <w:rFonts w:ascii="Verdana" w:hAnsi="Verdana"/>
          <w:sz w:val="20"/>
          <w:szCs w:val="20"/>
          <w:lang w:val="es-AR"/>
        </w:rPr>
        <w:t>durante su detención</w:t>
      </w:r>
      <w:r w:rsidRPr="00404265">
        <w:rPr>
          <w:rFonts w:ascii="Verdana" w:hAnsi="Verdana"/>
          <w:sz w:val="20"/>
          <w:szCs w:val="20"/>
          <w:lang w:val="es-AR"/>
        </w:rPr>
        <w:t>,</w:t>
      </w:r>
      <w:r w:rsidR="00796CDA">
        <w:rPr>
          <w:rFonts w:ascii="Verdana" w:hAnsi="Verdana"/>
          <w:sz w:val="20"/>
          <w:szCs w:val="20"/>
          <w:lang w:val="es-AR"/>
        </w:rPr>
        <w:t xml:space="preserve"> en su declaración </w:t>
      </w:r>
      <w:r w:rsidR="003008CB" w:rsidRPr="00760F8C">
        <w:rPr>
          <w:rFonts w:ascii="Verdana" w:hAnsi="Verdana"/>
          <w:sz w:val="20"/>
          <w:szCs w:val="20"/>
          <w:lang w:val="es-AR"/>
        </w:rPr>
        <w:t>indagatoria</w:t>
      </w:r>
      <w:r w:rsidR="003008CB">
        <w:rPr>
          <w:rFonts w:ascii="Verdana" w:hAnsi="Verdana"/>
          <w:sz w:val="20"/>
          <w:szCs w:val="20"/>
          <w:lang w:val="es-AR"/>
        </w:rPr>
        <w:t xml:space="preserve"> </w:t>
      </w:r>
      <w:r w:rsidR="00796CDA">
        <w:rPr>
          <w:rFonts w:ascii="Verdana" w:hAnsi="Verdana"/>
          <w:sz w:val="20"/>
          <w:szCs w:val="20"/>
          <w:lang w:val="es-AR"/>
        </w:rPr>
        <w:t>de 8 de junio de 1998</w:t>
      </w:r>
      <w:r w:rsidR="00796CDA">
        <w:rPr>
          <w:rStyle w:val="Refdenotaalpie"/>
          <w:rFonts w:ascii="Verdana" w:hAnsi="Verdana"/>
          <w:sz w:val="20"/>
          <w:szCs w:val="20"/>
          <w:lang w:val="es-AR"/>
        </w:rPr>
        <w:footnoteReference w:id="62"/>
      </w:r>
      <w:r w:rsidR="00796CDA">
        <w:rPr>
          <w:rFonts w:ascii="Verdana" w:hAnsi="Verdana"/>
          <w:sz w:val="20"/>
          <w:szCs w:val="20"/>
          <w:lang w:val="es-AR"/>
        </w:rPr>
        <w:t>,</w:t>
      </w:r>
      <w:r w:rsidRPr="00404265">
        <w:rPr>
          <w:rFonts w:ascii="Verdana" w:hAnsi="Verdana"/>
          <w:sz w:val="20"/>
          <w:szCs w:val="20"/>
          <w:lang w:val="es-AR"/>
        </w:rPr>
        <w:t xml:space="preserve"> </w:t>
      </w:r>
      <w:r w:rsidRPr="00C10FBF">
        <w:rPr>
          <w:rFonts w:ascii="Verdana" w:hAnsi="Verdana"/>
          <w:sz w:val="20"/>
          <w:szCs w:val="20"/>
          <w:lang w:val="es-AR"/>
        </w:rPr>
        <w:t>en su declaración de 11 de octubre de 1999</w:t>
      </w:r>
      <w:r w:rsidRPr="00C10FBF">
        <w:rPr>
          <w:rStyle w:val="Refdenotaalpie"/>
          <w:rFonts w:ascii="Verdana" w:hAnsi="Verdana"/>
          <w:sz w:val="20"/>
          <w:szCs w:val="20"/>
          <w:lang w:val="es-AR"/>
        </w:rPr>
        <w:footnoteReference w:id="63"/>
      </w:r>
      <w:r w:rsidRPr="00C10FBF">
        <w:rPr>
          <w:rFonts w:ascii="Verdana" w:hAnsi="Verdana"/>
          <w:sz w:val="20"/>
          <w:szCs w:val="20"/>
          <w:lang w:val="es-AR"/>
        </w:rPr>
        <w:t>, y también hizo referencia a las mismas en el recurso de apelación de 3 de noviembre de 1999</w:t>
      </w:r>
      <w:r w:rsidRPr="00404265">
        <w:rPr>
          <w:rFonts w:ascii="Verdana" w:hAnsi="Verdana"/>
          <w:sz w:val="20"/>
          <w:szCs w:val="20"/>
          <w:lang w:val="es-AR"/>
        </w:rPr>
        <w:t xml:space="preserve"> presentado por la defensa del señor Valenzuela</w:t>
      </w:r>
      <w:r w:rsidRPr="00EC2F24">
        <w:rPr>
          <w:rStyle w:val="Refdenotaalpie"/>
          <w:rFonts w:ascii="Verdana" w:hAnsi="Verdana"/>
          <w:sz w:val="20"/>
          <w:szCs w:val="20"/>
          <w:lang w:val="es-AR"/>
        </w:rPr>
        <w:footnoteReference w:id="64"/>
      </w:r>
      <w:r w:rsidRPr="00404265">
        <w:rPr>
          <w:rFonts w:ascii="Verdana" w:hAnsi="Verdana"/>
          <w:sz w:val="20"/>
          <w:szCs w:val="20"/>
          <w:lang w:val="es-AR"/>
        </w:rPr>
        <w:t>.</w:t>
      </w:r>
      <w:r w:rsidRPr="00404265">
        <w:rPr>
          <w:rFonts w:ascii="Verdana" w:hAnsi="Verdana"/>
          <w:color w:val="00B050"/>
          <w:sz w:val="20"/>
          <w:szCs w:val="20"/>
          <w:lang w:val="es-AR"/>
        </w:rPr>
        <w:t xml:space="preserve"> </w:t>
      </w:r>
    </w:p>
    <w:p w14:paraId="1E5008F0" w14:textId="77777777" w:rsidR="00E078C9" w:rsidRPr="00A724A0" w:rsidRDefault="00E078C9" w:rsidP="00E078C9">
      <w:pPr>
        <w:pStyle w:val="Prrafodelista"/>
        <w:autoSpaceDE w:val="0"/>
        <w:autoSpaceDN w:val="0"/>
        <w:adjustRightInd w:val="0"/>
        <w:spacing w:after="0" w:line="240" w:lineRule="auto"/>
        <w:ind w:left="0"/>
        <w:jc w:val="both"/>
        <w:rPr>
          <w:rFonts w:ascii="Verdana" w:hAnsi="Verdana"/>
          <w:sz w:val="20"/>
          <w:szCs w:val="20"/>
          <w:lang w:val="es-CR"/>
        </w:rPr>
      </w:pPr>
    </w:p>
    <w:p w14:paraId="7F73B307" w14:textId="78A7F5DC" w:rsidR="002E5280" w:rsidRPr="00104AF5" w:rsidRDefault="000E6FC3" w:rsidP="005406CA">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E078C9">
        <w:rPr>
          <w:rFonts w:ascii="Verdana" w:hAnsi="Verdana"/>
          <w:sz w:val="20"/>
          <w:szCs w:val="20"/>
          <w:lang w:val="es-AR"/>
        </w:rPr>
        <w:t xml:space="preserve">El 11 de julio del 2001 el señor Valenzuela interpuso un recurso de exhibición personal en contra del Director de la Policía Nacional Civil, el Jefe del Departamento de Servicio de Investigación Criminal y el Director del Centro Preventivo para Hombres de la zona 18. En dicho recurso </w:t>
      </w:r>
      <w:r w:rsidR="002D492E">
        <w:rPr>
          <w:rFonts w:ascii="Verdana" w:hAnsi="Verdana"/>
          <w:sz w:val="20"/>
          <w:szCs w:val="20"/>
          <w:lang w:val="es-AR"/>
        </w:rPr>
        <w:t xml:space="preserve">también </w:t>
      </w:r>
      <w:r w:rsidRPr="00E078C9">
        <w:rPr>
          <w:rFonts w:ascii="Verdana" w:hAnsi="Verdana"/>
          <w:sz w:val="20"/>
          <w:szCs w:val="20"/>
          <w:lang w:val="es-AR"/>
        </w:rPr>
        <w:t xml:space="preserve">denunció los malos tratos que habría sufrido el 17 de junio de 2001. </w:t>
      </w:r>
      <w:r w:rsidRPr="004F2C85">
        <w:rPr>
          <w:rFonts w:ascii="Verdana" w:hAnsi="Verdana"/>
          <w:sz w:val="20"/>
          <w:szCs w:val="20"/>
          <w:lang w:val="es-AR"/>
        </w:rPr>
        <w:t xml:space="preserve">El 30 de julio de 2001 la Sala Tercera de la Corte de Apelaciones resolvió </w:t>
      </w:r>
      <w:r w:rsidR="006D1593">
        <w:rPr>
          <w:rFonts w:ascii="Verdana" w:hAnsi="Verdana"/>
          <w:sz w:val="20"/>
          <w:szCs w:val="20"/>
          <w:lang w:val="es-AR"/>
        </w:rPr>
        <w:t xml:space="preserve">declarar </w:t>
      </w:r>
      <w:r w:rsidRPr="004F2C85">
        <w:rPr>
          <w:rFonts w:ascii="Verdana" w:hAnsi="Verdana"/>
          <w:sz w:val="20"/>
          <w:szCs w:val="20"/>
          <w:lang w:val="es-AR"/>
        </w:rPr>
        <w:t xml:space="preserve">sin lugar el recurso de exhibición personal, con base en que </w:t>
      </w:r>
      <w:r w:rsidR="006D1593">
        <w:rPr>
          <w:rFonts w:ascii="Verdana" w:hAnsi="Verdana"/>
          <w:sz w:val="20"/>
          <w:szCs w:val="20"/>
          <w:lang w:val="es-AR"/>
        </w:rPr>
        <w:t xml:space="preserve">en </w:t>
      </w:r>
      <w:r w:rsidRPr="004F2C85">
        <w:rPr>
          <w:rFonts w:ascii="Verdana" w:hAnsi="Verdana"/>
          <w:sz w:val="20"/>
          <w:szCs w:val="20"/>
          <w:lang w:val="es-AR"/>
        </w:rPr>
        <w:t>el caso no concurrían los presupuestos legales para su procedencia, previstos en el artículo 82 de la Ley de Amparo, Exhibición Personal y de Constitucionalidad</w:t>
      </w:r>
      <w:r w:rsidRPr="00EC2F24">
        <w:rPr>
          <w:rStyle w:val="Refdenotaalpie"/>
          <w:rFonts w:ascii="Verdana" w:hAnsi="Verdana"/>
          <w:sz w:val="20"/>
          <w:szCs w:val="20"/>
        </w:rPr>
        <w:footnoteReference w:id="65"/>
      </w:r>
      <w:r w:rsidRPr="004F2C85">
        <w:rPr>
          <w:rFonts w:ascii="Verdana" w:hAnsi="Verdana"/>
          <w:sz w:val="20"/>
          <w:szCs w:val="20"/>
          <w:lang w:val="es-AR"/>
        </w:rPr>
        <w:t>.</w:t>
      </w:r>
    </w:p>
    <w:p w14:paraId="14A81D90" w14:textId="77777777" w:rsidR="002E5280" w:rsidRPr="00AF3867" w:rsidRDefault="002E5280" w:rsidP="000E2DF8">
      <w:pPr>
        <w:pStyle w:val="Prrafodelista"/>
        <w:autoSpaceDE w:val="0"/>
        <w:autoSpaceDN w:val="0"/>
        <w:adjustRightInd w:val="0"/>
        <w:spacing w:after="0" w:line="240" w:lineRule="auto"/>
        <w:ind w:left="0"/>
        <w:jc w:val="both"/>
        <w:rPr>
          <w:rFonts w:ascii="Verdana" w:hAnsi="Verdana"/>
          <w:sz w:val="20"/>
          <w:szCs w:val="20"/>
          <w:lang w:val="es-CR"/>
        </w:rPr>
      </w:pPr>
    </w:p>
    <w:p w14:paraId="1082E745" w14:textId="77777777" w:rsidR="000E2DF8" w:rsidRDefault="000E6FC3" w:rsidP="000E2DF8">
      <w:pPr>
        <w:pStyle w:val="Ttulo3"/>
        <w:spacing w:before="0"/>
        <w:ind w:left="706"/>
        <w:rPr>
          <w:b w:val="0"/>
          <w:lang w:val="es-AR"/>
        </w:rPr>
      </w:pPr>
      <w:bookmarkStart w:id="36" w:name="_Toc25247750"/>
      <w:r w:rsidRPr="006D317C">
        <w:rPr>
          <w:b w:val="0"/>
          <w:lang w:val="es-AR"/>
        </w:rPr>
        <w:t>C.5. Tercera fuga</w:t>
      </w:r>
      <w:r w:rsidR="00244A43">
        <w:rPr>
          <w:b w:val="0"/>
          <w:lang w:val="es-AR"/>
        </w:rPr>
        <w:t xml:space="preserve">, </w:t>
      </w:r>
      <w:r w:rsidRPr="006D317C">
        <w:rPr>
          <w:b w:val="0"/>
          <w:lang w:val="es-AR"/>
        </w:rPr>
        <w:t>muerte del señor Valenzuela</w:t>
      </w:r>
      <w:r w:rsidR="007829F4">
        <w:rPr>
          <w:b w:val="0"/>
          <w:lang w:val="es-AR"/>
        </w:rPr>
        <w:t xml:space="preserve"> </w:t>
      </w:r>
      <w:r w:rsidR="000E2DF8">
        <w:rPr>
          <w:b w:val="0"/>
          <w:lang w:val="es-AR"/>
        </w:rPr>
        <w:t xml:space="preserve">y </w:t>
      </w:r>
      <w:r w:rsidR="00424B1A">
        <w:rPr>
          <w:b w:val="0"/>
          <w:lang w:val="es-AR"/>
        </w:rPr>
        <w:t xml:space="preserve">la </w:t>
      </w:r>
      <w:r w:rsidR="00424B1A">
        <w:rPr>
          <w:rFonts w:cs="Calibri"/>
          <w:b w:val="0"/>
          <w:szCs w:val="20"/>
          <w:lang w:val="es-ES_tradnl"/>
        </w:rPr>
        <w:t>“Operación</w:t>
      </w:r>
      <w:r w:rsidR="00424B1A" w:rsidRPr="00F54EDE">
        <w:rPr>
          <w:rFonts w:cs="Calibri"/>
          <w:szCs w:val="20"/>
          <w:lang w:val="es-ES_tradnl"/>
        </w:rPr>
        <w:t xml:space="preserve"> </w:t>
      </w:r>
      <w:r w:rsidR="00424B1A" w:rsidRPr="0097244E">
        <w:rPr>
          <w:rFonts w:cs="Calibri"/>
          <w:b w:val="0"/>
          <w:szCs w:val="20"/>
          <w:lang w:val="es-ES_tradnl"/>
        </w:rPr>
        <w:t>Gavilán”</w:t>
      </w:r>
      <w:bookmarkEnd w:id="36"/>
    </w:p>
    <w:p w14:paraId="08EF0043" w14:textId="77777777" w:rsidR="000E2DF8" w:rsidRPr="000E2DF8" w:rsidRDefault="000E2DF8" w:rsidP="000E2DF8">
      <w:pPr>
        <w:spacing w:after="0"/>
        <w:rPr>
          <w:lang w:val="es-AR"/>
        </w:rPr>
      </w:pPr>
    </w:p>
    <w:p w14:paraId="53E9B4AC" w14:textId="3488285C" w:rsidR="00215228" w:rsidRPr="000E2DF8" w:rsidRDefault="00215228" w:rsidP="000E2DF8">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A724A0">
        <w:rPr>
          <w:rFonts w:ascii="Verdana" w:hAnsi="Verdana"/>
          <w:sz w:val="20"/>
          <w:lang w:val="es-CR"/>
        </w:rPr>
        <w:t>El 22 de octubre de 2005 durante la madrugada, 19 internos calificados como de alta peligrosidad</w:t>
      </w:r>
      <w:r w:rsidR="000E2DF8">
        <w:rPr>
          <w:rFonts w:ascii="Verdana" w:hAnsi="Verdana"/>
          <w:sz w:val="20"/>
          <w:lang w:val="es-CR"/>
        </w:rPr>
        <w:t xml:space="preserve"> </w:t>
      </w:r>
      <w:r w:rsidRPr="00A724A0">
        <w:rPr>
          <w:rFonts w:ascii="Verdana" w:hAnsi="Verdana"/>
          <w:sz w:val="20"/>
          <w:lang w:val="es-CR"/>
        </w:rPr>
        <w:t>se fugaron de la cárcel de máxima seguridad “El Infiernito”, a través de un túnel de 120 metros de longitud</w:t>
      </w:r>
      <w:r w:rsidRPr="0097244E">
        <w:rPr>
          <w:rStyle w:val="Refdenotaalpie"/>
          <w:rFonts w:ascii="Verdana" w:hAnsi="Verdana"/>
          <w:sz w:val="20"/>
        </w:rPr>
        <w:footnoteReference w:id="66"/>
      </w:r>
      <w:r w:rsidR="000E2DF8" w:rsidRPr="0097244E">
        <w:rPr>
          <w:rFonts w:ascii="Verdana" w:hAnsi="Verdana"/>
          <w:sz w:val="20"/>
          <w:lang w:val="es-CR"/>
        </w:rPr>
        <w:t xml:space="preserve">, </w:t>
      </w:r>
      <w:r w:rsidR="000E2DF8" w:rsidRPr="0097244E">
        <w:rPr>
          <w:rFonts w:ascii="Verdana" w:hAnsi="Verdana"/>
          <w:sz w:val="20"/>
          <w:szCs w:val="20"/>
          <w:lang w:val="es-CR"/>
        </w:rPr>
        <w:t>entre ellos se fugó Tirso Román Valenzuela Ávila</w:t>
      </w:r>
      <w:r w:rsidRPr="0097244E">
        <w:rPr>
          <w:rFonts w:ascii="Verdana" w:hAnsi="Verdana"/>
          <w:sz w:val="20"/>
          <w:lang w:val="es-CR"/>
        </w:rPr>
        <w:t>.</w:t>
      </w:r>
      <w:r w:rsidRPr="000E2DF8">
        <w:rPr>
          <w:rFonts w:ascii="Verdana" w:hAnsi="Verdana"/>
          <w:b/>
          <w:sz w:val="20"/>
          <w:lang w:val="es-CR"/>
        </w:rPr>
        <w:t xml:space="preserve"> </w:t>
      </w:r>
      <w:r w:rsidRPr="00A724A0">
        <w:rPr>
          <w:rFonts w:ascii="Verdana" w:hAnsi="Verdana"/>
          <w:sz w:val="20"/>
          <w:lang w:val="es-CR"/>
        </w:rPr>
        <w:t>Frente a esto, el Servicio de Inteligencia Criminal de la Policía Na</w:t>
      </w:r>
      <w:r w:rsidR="00B35F0F">
        <w:rPr>
          <w:rFonts w:ascii="Verdana" w:hAnsi="Verdana"/>
          <w:sz w:val="20"/>
          <w:lang w:val="es-CR"/>
        </w:rPr>
        <w:t xml:space="preserve">cional Civil </w:t>
      </w:r>
      <w:r w:rsidRPr="00A724A0">
        <w:rPr>
          <w:rFonts w:ascii="Verdana" w:hAnsi="Verdana"/>
          <w:sz w:val="20"/>
          <w:lang w:val="es-CR"/>
        </w:rPr>
        <w:t>emitió el Plan de Acción No. 002-2005 que establece la “Operación Gavilán” o “Plan Gavilán”, cuyo objetivo principal era la búsqueda y captura de los 19 reos fugados, calificados de “peligrosos delincuentes”, para efectos de “proteger la vida, la integridad física de las personas y sus bienes, el libre ejercicio de los derechos y libertades, así como prevenir, investigar y combatir el delito preservando el orden y la seguridad pública”</w:t>
      </w:r>
      <w:r w:rsidRPr="00A724A0">
        <w:rPr>
          <w:rStyle w:val="Refdenotaalpie"/>
          <w:rFonts w:ascii="Verdana" w:hAnsi="Verdana"/>
          <w:sz w:val="20"/>
        </w:rPr>
        <w:footnoteReference w:id="67"/>
      </w:r>
      <w:r w:rsidRPr="00A724A0">
        <w:rPr>
          <w:rFonts w:ascii="Verdana" w:hAnsi="Verdana"/>
          <w:sz w:val="20"/>
          <w:lang w:val="es-CR"/>
        </w:rPr>
        <w:t>.</w:t>
      </w:r>
    </w:p>
    <w:p w14:paraId="47C51C60" w14:textId="77777777" w:rsidR="000E2DF8" w:rsidRPr="000E2DF8" w:rsidRDefault="000E2DF8" w:rsidP="000E2DF8">
      <w:pPr>
        <w:pStyle w:val="Prrafodelista"/>
        <w:autoSpaceDE w:val="0"/>
        <w:autoSpaceDN w:val="0"/>
        <w:adjustRightInd w:val="0"/>
        <w:spacing w:after="0" w:line="240" w:lineRule="auto"/>
        <w:ind w:left="0"/>
        <w:jc w:val="both"/>
        <w:rPr>
          <w:rFonts w:ascii="Verdana" w:hAnsi="Verdana"/>
          <w:sz w:val="20"/>
          <w:szCs w:val="20"/>
          <w:lang w:val="es-CR"/>
        </w:rPr>
      </w:pPr>
    </w:p>
    <w:p w14:paraId="6FDE6C4F" w14:textId="35AAF8B9" w:rsidR="00215228" w:rsidRPr="00E369F3" w:rsidRDefault="00215228" w:rsidP="000E2DF8">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E369F3">
        <w:rPr>
          <w:rFonts w:ascii="Verdana" w:hAnsi="Verdana"/>
          <w:sz w:val="20"/>
          <w:lang w:val="es-CR"/>
        </w:rPr>
        <w:t xml:space="preserve">El </w:t>
      </w:r>
      <w:r w:rsidR="00424B1A" w:rsidRPr="00E369F3">
        <w:rPr>
          <w:rFonts w:ascii="Verdana" w:hAnsi="Verdana"/>
          <w:sz w:val="20"/>
          <w:lang w:val="es-CR"/>
        </w:rPr>
        <w:t>“</w:t>
      </w:r>
      <w:r w:rsidRPr="00E369F3">
        <w:rPr>
          <w:rFonts w:ascii="Verdana" w:hAnsi="Verdana"/>
          <w:sz w:val="20"/>
          <w:lang w:val="es-CR"/>
        </w:rPr>
        <w:t>Plan Gavilán</w:t>
      </w:r>
      <w:r w:rsidR="00424B1A" w:rsidRPr="00E369F3">
        <w:rPr>
          <w:rFonts w:ascii="Verdana" w:hAnsi="Verdana"/>
          <w:sz w:val="20"/>
          <w:lang w:val="es-CR"/>
        </w:rPr>
        <w:t>”</w:t>
      </w:r>
      <w:r w:rsidRPr="00E369F3">
        <w:rPr>
          <w:rFonts w:ascii="Verdana" w:hAnsi="Verdana"/>
          <w:sz w:val="20"/>
          <w:lang w:val="es-CR"/>
        </w:rPr>
        <w:t xml:space="preserve"> fue establecido formalmente el 24 de octubre de 2005 y firmado por Víctor Hugo Soto Diéguez, jefe del Servicio Investigación Criminal de la PNC</w:t>
      </w:r>
      <w:r w:rsidRPr="00E369F3">
        <w:rPr>
          <w:rStyle w:val="Refdenotaalpie"/>
          <w:rFonts w:ascii="Verdana" w:hAnsi="Verdana"/>
          <w:sz w:val="20"/>
        </w:rPr>
        <w:footnoteReference w:id="68"/>
      </w:r>
      <w:r w:rsidRPr="00E369F3">
        <w:rPr>
          <w:rFonts w:ascii="Verdana" w:hAnsi="Verdana"/>
          <w:sz w:val="20"/>
          <w:lang w:val="es-CR"/>
        </w:rPr>
        <w:t xml:space="preserve">. Esta operación </w:t>
      </w:r>
      <w:r w:rsidRPr="00E369F3">
        <w:rPr>
          <w:rFonts w:ascii="Verdana" w:hAnsi="Verdana"/>
          <w:sz w:val="20"/>
          <w:lang w:val="es-CR"/>
        </w:rPr>
        <w:lastRenderedPageBreak/>
        <w:t>tendría vigencia a partir de las 07:30 horas del día sábado 22 de octubre de 2005 hasta nueva orden</w:t>
      </w:r>
      <w:r w:rsidRPr="00E369F3">
        <w:rPr>
          <w:rStyle w:val="Refdenotaalpie"/>
          <w:rFonts w:ascii="Verdana" w:hAnsi="Verdana"/>
          <w:sz w:val="20"/>
        </w:rPr>
        <w:footnoteReference w:id="69"/>
      </w:r>
      <w:r w:rsidRPr="00E369F3">
        <w:rPr>
          <w:rFonts w:ascii="Verdana" w:hAnsi="Verdana"/>
          <w:sz w:val="20"/>
          <w:lang w:val="es-CR"/>
        </w:rPr>
        <w:t xml:space="preserve">. El  marco general de actuación del </w:t>
      </w:r>
      <w:r w:rsidR="002D492E">
        <w:rPr>
          <w:rFonts w:ascii="Verdana" w:hAnsi="Verdana"/>
          <w:sz w:val="20"/>
          <w:lang w:val="es-CR"/>
        </w:rPr>
        <w:t>“</w:t>
      </w:r>
      <w:r w:rsidRPr="00E369F3">
        <w:rPr>
          <w:rFonts w:ascii="Verdana" w:hAnsi="Verdana"/>
          <w:sz w:val="20"/>
          <w:lang w:val="es-CR"/>
        </w:rPr>
        <w:t>Plan Gavilán</w:t>
      </w:r>
      <w:r w:rsidR="002D492E">
        <w:rPr>
          <w:rFonts w:ascii="Verdana" w:hAnsi="Verdana"/>
          <w:sz w:val="20"/>
          <w:lang w:val="es-CR"/>
        </w:rPr>
        <w:t>”</w:t>
      </w:r>
      <w:r w:rsidRPr="00E369F3">
        <w:rPr>
          <w:rFonts w:ascii="Verdana" w:hAnsi="Verdana"/>
          <w:sz w:val="20"/>
          <w:lang w:val="es-CR"/>
        </w:rPr>
        <w:t xml:space="preserve"> debía adecuarse a lo establecido por la Constitución Política de la República de Guatemala, la</w:t>
      </w:r>
      <w:r w:rsidR="00760F8C" w:rsidRPr="00E369F3">
        <w:rPr>
          <w:rFonts w:ascii="Verdana" w:hAnsi="Verdana"/>
          <w:sz w:val="20"/>
          <w:lang w:val="es-CR"/>
        </w:rPr>
        <w:t xml:space="preserve"> Ley de Policía Nacional Civil D</w:t>
      </w:r>
      <w:r w:rsidRPr="00E369F3">
        <w:rPr>
          <w:rFonts w:ascii="Verdana" w:hAnsi="Verdana"/>
          <w:sz w:val="20"/>
          <w:lang w:val="es-CR"/>
        </w:rPr>
        <w:t xml:space="preserve">ecreto </w:t>
      </w:r>
      <w:r w:rsidR="00760F8C" w:rsidRPr="00E369F3">
        <w:rPr>
          <w:rFonts w:ascii="Verdana" w:hAnsi="Verdana"/>
          <w:sz w:val="20"/>
          <w:lang w:val="es-CR"/>
        </w:rPr>
        <w:t xml:space="preserve">No. </w:t>
      </w:r>
      <w:r w:rsidRPr="00E369F3">
        <w:rPr>
          <w:rFonts w:ascii="Verdana" w:hAnsi="Verdana"/>
          <w:sz w:val="20"/>
          <w:lang w:val="es-CR"/>
        </w:rPr>
        <w:t>11-97, el artículo</w:t>
      </w:r>
      <w:r w:rsidR="00760F8C" w:rsidRPr="00E369F3">
        <w:rPr>
          <w:rFonts w:ascii="Verdana" w:hAnsi="Verdana"/>
          <w:sz w:val="20"/>
          <w:lang w:val="es-CR"/>
        </w:rPr>
        <w:t xml:space="preserve"> 112 del Código Procesal Penal </w:t>
      </w:r>
      <w:r w:rsidR="005F27CC">
        <w:rPr>
          <w:rFonts w:ascii="Verdana" w:hAnsi="Verdana"/>
          <w:sz w:val="20"/>
          <w:lang w:val="es-CR"/>
        </w:rPr>
        <w:t>(</w:t>
      </w:r>
      <w:r w:rsidR="00760F8C" w:rsidRPr="00E369F3">
        <w:rPr>
          <w:rFonts w:ascii="Verdana" w:hAnsi="Verdana"/>
          <w:sz w:val="20"/>
          <w:lang w:val="es-CR"/>
        </w:rPr>
        <w:t>D</w:t>
      </w:r>
      <w:r w:rsidRPr="00E369F3">
        <w:rPr>
          <w:rFonts w:ascii="Verdana" w:hAnsi="Verdana"/>
          <w:sz w:val="20"/>
          <w:lang w:val="es-CR"/>
        </w:rPr>
        <w:t xml:space="preserve">ecreto </w:t>
      </w:r>
      <w:r w:rsidR="00760F8C" w:rsidRPr="00E369F3">
        <w:rPr>
          <w:rFonts w:ascii="Verdana" w:hAnsi="Verdana"/>
          <w:sz w:val="20"/>
          <w:lang w:val="es-CR"/>
        </w:rPr>
        <w:t xml:space="preserve">No. </w:t>
      </w:r>
      <w:r w:rsidRPr="00E369F3">
        <w:rPr>
          <w:rFonts w:ascii="Verdana" w:hAnsi="Verdana"/>
          <w:sz w:val="20"/>
          <w:lang w:val="es-CR"/>
        </w:rPr>
        <w:t>51-92</w:t>
      </w:r>
      <w:r w:rsidR="005F27CC">
        <w:rPr>
          <w:rFonts w:ascii="Verdana" w:hAnsi="Verdana"/>
          <w:sz w:val="20"/>
          <w:lang w:val="es-CR"/>
        </w:rPr>
        <w:t>) de la República de Guatemala (en adelante Código Procesal Penal)</w:t>
      </w:r>
      <w:r w:rsidRPr="00E369F3">
        <w:rPr>
          <w:rFonts w:ascii="Verdana" w:hAnsi="Verdana"/>
          <w:sz w:val="20"/>
          <w:lang w:val="es-CR"/>
        </w:rPr>
        <w:t>, los artículo</w:t>
      </w:r>
      <w:r w:rsidR="00760F8C" w:rsidRPr="00E369F3">
        <w:rPr>
          <w:rFonts w:ascii="Verdana" w:hAnsi="Verdana"/>
          <w:sz w:val="20"/>
          <w:lang w:val="es-CR"/>
        </w:rPr>
        <w:t>s 1 y 4 del Código Penal D</w:t>
      </w:r>
      <w:r w:rsidRPr="00E369F3">
        <w:rPr>
          <w:rFonts w:ascii="Verdana" w:hAnsi="Verdana"/>
          <w:sz w:val="20"/>
          <w:lang w:val="es-CR"/>
        </w:rPr>
        <w:t xml:space="preserve">ecreto </w:t>
      </w:r>
      <w:r w:rsidR="00760F8C" w:rsidRPr="00E369F3">
        <w:rPr>
          <w:rFonts w:ascii="Verdana" w:hAnsi="Verdana"/>
          <w:sz w:val="20"/>
          <w:lang w:val="es-CR"/>
        </w:rPr>
        <w:t xml:space="preserve">No. </w:t>
      </w:r>
      <w:r w:rsidRPr="00E369F3">
        <w:rPr>
          <w:rFonts w:ascii="Verdana" w:hAnsi="Verdana"/>
          <w:sz w:val="20"/>
          <w:lang w:val="es-CR"/>
        </w:rPr>
        <w:t>17-73, la Ley de Armas y Municiones decreto 38-89, los tratados internacionales de derechos humanos y las demás leyes vigentes de la República de Guatemala</w:t>
      </w:r>
      <w:r w:rsidRPr="00E369F3">
        <w:rPr>
          <w:rStyle w:val="Refdenotaalpie"/>
          <w:rFonts w:ascii="Verdana" w:hAnsi="Verdana"/>
          <w:sz w:val="20"/>
        </w:rPr>
        <w:footnoteReference w:id="70"/>
      </w:r>
      <w:r w:rsidRPr="00E369F3">
        <w:rPr>
          <w:rFonts w:ascii="Verdana" w:hAnsi="Verdana"/>
          <w:sz w:val="20"/>
          <w:lang w:val="es-CR"/>
        </w:rPr>
        <w:t>.</w:t>
      </w:r>
    </w:p>
    <w:p w14:paraId="42EDFFF2" w14:textId="77777777" w:rsidR="000E2DF8" w:rsidRPr="00E369F3" w:rsidRDefault="000E2DF8" w:rsidP="000E2DF8">
      <w:pPr>
        <w:pStyle w:val="Prrafodelista"/>
        <w:rPr>
          <w:rFonts w:ascii="Verdana" w:hAnsi="Verdana"/>
          <w:sz w:val="20"/>
          <w:szCs w:val="20"/>
          <w:lang w:val="es-CR"/>
        </w:rPr>
      </w:pPr>
    </w:p>
    <w:p w14:paraId="3F80BA76" w14:textId="4C05131A" w:rsidR="00215228" w:rsidRPr="00E369F3" w:rsidRDefault="00215228" w:rsidP="000E2DF8">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E369F3">
        <w:rPr>
          <w:rFonts w:ascii="Verdana" w:hAnsi="Verdana"/>
          <w:sz w:val="20"/>
          <w:lang w:val="es-CR"/>
        </w:rPr>
        <w:t xml:space="preserve">El mando general del </w:t>
      </w:r>
      <w:r w:rsidR="00424B1A" w:rsidRPr="00E369F3">
        <w:rPr>
          <w:rFonts w:ascii="Verdana" w:hAnsi="Verdana"/>
          <w:sz w:val="20"/>
          <w:lang w:val="es-CR"/>
        </w:rPr>
        <w:t>“</w:t>
      </w:r>
      <w:r w:rsidRPr="00E369F3">
        <w:rPr>
          <w:rFonts w:ascii="Verdana" w:hAnsi="Verdana"/>
          <w:sz w:val="20"/>
          <w:lang w:val="es-CR"/>
        </w:rPr>
        <w:t>Plan Gavilán</w:t>
      </w:r>
      <w:r w:rsidR="00424B1A" w:rsidRPr="00E369F3">
        <w:rPr>
          <w:rFonts w:ascii="Verdana" w:hAnsi="Verdana"/>
          <w:sz w:val="20"/>
          <w:lang w:val="es-CR"/>
        </w:rPr>
        <w:t>”</w:t>
      </w:r>
      <w:r w:rsidRPr="00E369F3">
        <w:rPr>
          <w:rFonts w:ascii="Verdana" w:hAnsi="Verdana"/>
          <w:sz w:val="20"/>
          <w:lang w:val="es-CR"/>
        </w:rPr>
        <w:t xml:space="preserve"> estaba a cargo del Jefe del Servicio de Investigación Criminal. El Jefe de la Sección Auxiliar de Tribunales estaba a cargo de la supervisión y seguimiento de las líneas de acción operativas, las cuales consistían en la “coordinación </w:t>
      </w:r>
      <w:r w:rsidR="008374F1">
        <w:rPr>
          <w:rFonts w:ascii="Verdana" w:hAnsi="Verdana"/>
          <w:sz w:val="20"/>
          <w:lang w:val="es-CR"/>
        </w:rPr>
        <w:t>con</w:t>
      </w:r>
      <w:r w:rsidRPr="00E369F3">
        <w:rPr>
          <w:rFonts w:ascii="Verdana" w:hAnsi="Verdana"/>
          <w:sz w:val="20"/>
          <w:lang w:val="es-CR"/>
        </w:rPr>
        <w:t xml:space="preserve"> autoridades policiales de países centroamericanos a través de la INTERPOL, para la puesta en acción de medidas de seguridad de áreas fronterizas”. El Jefe Administrativo del Servicio de Investigación Criminal estaba a cargo de la supervisión y seguimiento de las líneas de acción investigativa, las cuales consistían en el acopio de información sobre los prófugos, la operación de allanamientos y la organización de ocho equipos de búsqueda a nivel nacional, teniendo a cargo cada uno de ellos la búsqueda y captura de reos en específico. Cada equipo estaba conformado por 4 investigadores del Servicio de Investigación Criminal y del Servicio de Información Policial</w:t>
      </w:r>
      <w:r w:rsidRPr="00E369F3">
        <w:rPr>
          <w:rStyle w:val="Refdenotaalpie"/>
          <w:rFonts w:ascii="Verdana" w:hAnsi="Verdana"/>
          <w:sz w:val="20"/>
        </w:rPr>
        <w:footnoteReference w:id="71"/>
      </w:r>
      <w:r w:rsidRPr="00E369F3">
        <w:rPr>
          <w:rFonts w:ascii="Verdana" w:hAnsi="Verdana"/>
          <w:sz w:val="20"/>
          <w:lang w:val="es-CR"/>
        </w:rPr>
        <w:t>.</w:t>
      </w:r>
    </w:p>
    <w:p w14:paraId="487E08A6" w14:textId="77777777" w:rsidR="000E2DF8" w:rsidRPr="00760F8C" w:rsidRDefault="000E2DF8" w:rsidP="000E2DF8">
      <w:pPr>
        <w:pStyle w:val="Prrafodelista"/>
        <w:rPr>
          <w:rFonts w:ascii="Verdana" w:hAnsi="Verdana"/>
          <w:b/>
          <w:sz w:val="20"/>
          <w:szCs w:val="20"/>
          <w:lang w:val="es-CR"/>
        </w:rPr>
      </w:pPr>
    </w:p>
    <w:p w14:paraId="261EA298" w14:textId="14647001" w:rsidR="00025C31" w:rsidRPr="0097244E" w:rsidRDefault="00215228" w:rsidP="00E369F3">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E369F3">
        <w:rPr>
          <w:rFonts w:ascii="Verdana" w:hAnsi="Verdana"/>
          <w:sz w:val="20"/>
          <w:szCs w:val="20"/>
          <w:lang w:val="es-CR"/>
        </w:rPr>
        <w:t xml:space="preserve">En la audiencia oral de prueba anticipada ofrecida ante el Juzgado Primero de Primera Instancia Penal, Narcoactividad y Delitos contra el Ambiente del 15 de febrero de 2012 en la causa C-01076-2010-004, la señora MFF, quien formó parte del </w:t>
      </w:r>
      <w:r w:rsidR="00424B1A" w:rsidRPr="00E369F3">
        <w:rPr>
          <w:rFonts w:ascii="Verdana" w:hAnsi="Verdana"/>
          <w:sz w:val="20"/>
          <w:szCs w:val="20"/>
          <w:lang w:val="es-CR"/>
        </w:rPr>
        <w:t>“</w:t>
      </w:r>
      <w:r w:rsidRPr="00E369F3">
        <w:rPr>
          <w:rFonts w:ascii="Verdana" w:hAnsi="Verdana"/>
          <w:sz w:val="20"/>
          <w:szCs w:val="20"/>
          <w:lang w:val="es-CR"/>
        </w:rPr>
        <w:t>Plan Gavilán</w:t>
      </w:r>
      <w:r w:rsidR="00424B1A" w:rsidRPr="00E369F3">
        <w:rPr>
          <w:rFonts w:ascii="Verdana" w:hAnsi="Verdana"/>
          <w:sz w:val="20"/>
          <w:szCs w:val="20"/>
          <w:lang w:val="es-CR"/>
        </w:rPr>
        <w:t>”</w:t>
      </w:r>
      <w:r w:rsidRPr="00E369F3">
        <w:rPr>
          <w:rFonts w:ascii="Verdana" w:hAnsi="Verdana"/>
          <w:sz w:val="20"/>
          <w:szCs w:val="20"/>
          <w:lang w:val="es-CR"/>
        </w:rPr>
        <w:t>, declaró a propósito de las órdenes que se les dio a los funcionarios encargados de la búsqueda y captura de los reos fugados, que “las directrices eran directas, de que los que estaban por delitos de alto impacto ya no tenían que regresar nuevamente a la cárcel”</w:t>
      </w:r>
      <w:r w:rsidR="00025C31" w:rsidRPr="00E369F3">
        <w:rPr>
          <w:rStyle w:val="Refdenotaalpie"/>
          <w:rFonts w:ascii="Verdana" w:hAnsi="Verdana"/>
          <w:sz w:val="20"/>
          <w:szCs w:val="20"/>
          <w:lang w:val="es-CR"/>
        </w:rPr>
        <w:footnoteReference w:id="72"/>
      </w:r>
      <w:r w:rsidR="00025C31" w:rsidRPr="00E369F3">
        <w:rPr>
          <w:rFonts w:ascii="Verdana" w:hAnsi="Verdana"/>
          <w:sz w:val="20"/>
          <w:szCs w:val="20"/>
          <w:lang w:val="es-CR"/>
        </w:rPr>
        <w:t>.</w:t>
      </w:r>
      <w:r w:rsidR="00025C31" w:rsidRPr="0097244E">
        <w:rPr>
          <w:rFonts w:ascii="Verdana" w:hAnsi="Verdana"/>
          <w:sz w:val="20"/>
          <w:szCs w:val="20"/>
          <w:lang w:val="es-CR"/>
        </w:rPr>
        <w:t xml:space="preserve"> En la misma línea</w:t>
      </w:r>
      <w:r w:rsidR="00455802" w:rsidRPr="0097244E">
        <w:rPr>
          <w:rFonts w:ascii="Verdana" w:hAnsi="Verdana"/>
          <w:sz w:val="20"/>
          <w:szCs w:val="20"/>
          <w:lang w:val="es-CR"/>
        </w:rPr>
        <w:t>,</w:t>
      </w:r>
      <w:r w:rsidR="00025C31" w:rsidRPr="0097244E">
        <w:rPr>
          <w:rFonts w:ascii="Verdana" w:hAnsi="Verdana"/>
          <w:sz w:val="20"/>
          <w:szCs w:val="20"/>
          <w:lang w:val="es-CR"/>
        </w:rPr>
        <w:t xml:space="preserve"> otros oficiales que integraron la </w:t>
      </w:r>
      <w:r w:rsidR="00BE7DBF">
        <w:rPr>
          <w:rFonts w:ascii="Verdana" w:hAnsi="Verdana"/>
          <w:sz w:val="20"/>
          <w:szCs w:val="20"/>
          <w:lang w:val="es-CR"/>
        </w:rPr>
        <w:t>“</w:t>
      </w:r>
      <w:r w:rsidR="00025C31" w:rsidRPr="0097244E">
        <w:rPr>
          <w:rFonts w:ascii="Verdana" w:hAnsi="Verdana"/>
          <w:sz w:val="20"/>
          <w:szCs w:val="20"/>
          <w:lang w:val="es-CR"/>
        </w:rPr>
        <w:t>Operación Gavilán</w:t>
      </w:r>
      <w:r w:rsidR="00BE7DBF">
        <w:rPr>
          <w:rFonts w:ascii="Verdana" w:hAnsi="Verdana"/>
          <w:sz w:val="20"/>
          <w:szCs w:val="20"/>
          <w:lang w:val="es-CR"/>
        </w:rPr>
        <w:t>”</w:t>
      </w:r>
      <w:r w:rsidR="00025C31" w:rsidRPr="0097244E">
        <w:rPr>
          <w:rFonts w:ascii="Verdana" w:hAnsi="Verdana"/>
          <w:sz w:val="20"/>
          <w:szCs w:val="20"/>
          <w:lang w:val="es-CR"/>
        </w:rPr>
        <w:t xml:space="preserve"> reafirmaron esta aseveración</w:t>
      </w:r>
      <w:r w:rsidR="00025C31" w:rsidRPr="0097244E">
        <w:rPr>
          <w:rFonts w:ascii="Verdana" w:hAnsi="Verdana"/>
          <w:sz w:val="20"/>
          <w:szCs w:val="20"/>
          <w:vertAlign w:val="superscript"/>
          <w:lang w:val="es-CR"/>
        </w:rPr>
        <w:footnoteReference w:id="73"/>
      </w:r>
      <w:r w:rsidR="005B4A2F" w:rsidRPr="0097244E">
        <w:rPr>
          <w:rFonts w:ascii="Verdana" w:hAnsi="Verdana"/>
          <w:sz w:val="20"/>
          <w:szCs w:val="20"/>
          <w:lang w:val="es-CR"/>
        </w:rPr>
        <w:t>.</w:t>
      </w:r>
      <w:r w:rsidR="00763694" w:rsidRPr="0097244E">
        <w:rPr>
          <w:rFonts w:ascii="Verdana" w:hAnsi="Verdana"/>
          <w:sz w:val="20"/>
          <w:szCs w:val="20"/>
          <w:lang w:val="es-CR"/>
        </w:rPr>
        <w:t xml:space="preserve"> </w:t>
      </w:r>
      <w:r w:rsidRPr="0097244E">
        <w:rPr>
          <w:rFonts w:ascii="Verdana" w:hAnsi="Verdana"/>
          <w:sz w:val="20"/>
          <w:lang w:val="es-CR"/>
        </w:rPr>
        <w:t>Con ocasión de la investigación de la ejecución extrajudicial de ESR en el marco de la Operación Gavilán, el 8 de agosto de 2013 el Tribunal Primero de Sentencia Penal, Narcoactividad y Delitos contra el Medio</w:t>
      </w:r>
      <w:r w:rsidR="005B4A2F" w:rsidRPr="0097244E">
        <w:rPr>
          <w:rFonts w:ascii="Verdana" w:hAnsi="Verdana"/>
          <w:sz w:val="20"/>
          <w:lang w:val="es-CR"/>
        </w:rPr>
        <w:t xml:space="preserve"> A</w:t>
      </w:r>
      <w:r w:rsidRPr="0097244E">
        <w:rPr>
          <w:rFonts w:ascii="Verdana" w:hAnsi="Verdana"/>
          <w:sz w:val="20"/>
          <w:lang w:val="es-CR"/>
        </w:rPr>
        <w:t xml:space="preserve">mbiente dictó una sentencia en la cual se condenó a Víctor Hugo Soto Diéguez, </w:t>
      </w:r>
      <w:r w:rsidR="004B4758" w:rsidRPr="0097244E">
        <w:rPr>
          <w:rFonts w:ascii="Verdana" w:hAnsi="Verdana"/>
          <w:sz w:val="20"/>
          <w:lang w:val="es-CR"/>
        </w:rPr>
        <w:t>quien</w:t>
      </w:r>
      <w:r w:rsidR="00025C31" w:rsidRPr="0097244E">
        <w:rPr>
          <w:rFonts w:ascii="Verdana" w:hAnsi="Verdana"/>
          <w:sz w:val="20"/>
          <w:lang w:val="es-CR"/>
        </w:rPr>
        <w:t>:</w:t>
      </w:r>
    </w:p>
    <w:p w14:paraId="00507657" w14:textId="77777777" w:rsidR="00025C31" w:rsidRPr="0097244E" w:rsidRDefault="00025C31" w:rsidP="00763694">
      <w:pPr>
        <w:pStyle w:val="Prrafodelista"/>
        <w:autoSpaceDE w:val="0"/>
        <w:autoSpaceDN w:val="0"/>
        <w:adjustRightInd w:val="0"/>
        <w:spacing w:after="0" w:line="240" w:lineRule="auto"/>
        <w:ind w:left="0" w:right="868"/>
        <w:jc w:val="both"/>
        <w:rPr>
          <w:rFonts w:ascii="Verdana" w:eastAsia="ArialMT" w:hAnsi="Verdana" w:cs="ArialMT"/>
          <w:sz w:val="20"/>
          <w:szCs w:val="20"/>
          <w:lang w:val="es-CR"/>
        </w:rPr>
      </w:pPr>
    </w:p>
    <w:p w14:paraId="29D8A845" w14:textId="77777777" w:rsidR="00025C31" w:rsidRPr="0097244E" w:rsidRDefault="00025C31" w:rsidP="00763694">
      <w:pPr>
        <w:pStyle w:val="Prrafodelista"/>
        <w:autoSpaceDE w:val="0"/>
        <w:autoSpaceDN w:val="0"/>
        <w:adjustRightInd w:val="0"/>
        <w:spacing w:after="0" w:line="240" w:lineRule="auto"/>
        <w:ind w:left="708" w:right="868"/>
        <w:jc w:val="both"/>
        <w:rPr>
          <w:rFonts w:ascii="Verdana" w:eastAsia="ArialMT" w:hAnsi="Verdana" w:cs="ArialMT"/>
          <w:sz w:val="16"/>
          <w:szCs w:val="16"/>
          <w:lang w:val="es-CR"/>
        </w:rPr>
      </w:pPr>
      <w:r w:rsidRPr="0097244E">
        <w:rPr>
          <w:rFonts w:ascii="Verdana" w:eastAsia="ArialMT" w:hAnsi="Verdana" w:cs="ArialMT"/>
          <w:sz w:val="16"/>
          <w:szCs w:val="16"/>
          <w:lang w:val="es-CR"/>
        </w:rPr>
        <w:t>[…]</w:t>
      </w:r>
      <w:r w:rsidR="00763694" w:rsidRPr="0097244E">
        <w:rPr>
          <w:rFonts w:ascii="Verdana" w:eastAsia="ArialMT" w:hAnsi="Verdana" w:cs="ArialMT"/>
          <w:sz w:val="16"/>
          <w:szCs w:val="16"/>
          <w:lang w:val="es-CR"/>
        </w:rPr>
        <w:t xml:space="preserve"> </w:t>
      </w:r>
      <w:r w:rsidRPr="0097244E">
        <w:rPr>
          <w:rFonts w:ascii="Verdana" w:eastAsia="ArialMT" w:hAnsi="Verdana" w:cs="ArialMT"/>
          <w:sz w:val="16"/>
          <w:szCs w:val="16"/>
          <w:lang w:val="es-CR"/>
        </w:rPr>
        <w:t>en su condición d</w:t>
      </w:r>
      <w:r w:rsidRPr="0097244E">
        <w:rPr>
          <w:rFonts w:ascii="Verdana" w:hAnsi="Verdana" w:cs="Arial"/>
          <w:sz w:val="16"/>
          <w:szCs w:val="16"/>
          <w:lang w:val="es-CR"/>
        </w:rPr>
        <w:t xml:space="preserve">e funcionario público como Comisario de la Policía Nacional Civil, en la Ciudad de Guatemala en el mes de octubre de dos mil cinco, </w:t>
      </w:r>
      <w:r w:rsidRPr="0097244E">
        <w:rPr>
          <w:rFonts w:ascii="Verdana" w:hAnsi="Verdana" w:cs="Arial"/>
          <w:bCs/>
          <w:sz w:val="16"/>
          <w:szCs w:val="16"/>
          <w:lang w:val="es-CR"/>
        </w:rPr>
        <w:t xml:space="preserve">integró un equipo especial </w:t>
      </w:r>
      <w:r w:rsidRPr="0097244E">
        <w:rPr>
          <w:rFonts w:ascii="Verdana" w:hAnsi="Verdana" w:cs="Arial"/>
          <w:sz w:val="16"/>
          <w:szCs w:val="16"/>
          <w:lang w:val="es-CR"/>
        </w:rPr>
        <w:t xml:space="preserve">conformado por miembros de distintos cuerpos de la Policía Nacional Civil, para la recaptura de los 19 reos </w:t>
      </w:r>
      <w:r w:rsidRPr="0097244E">
        <w:rPr>
          <w:rFonts w:ascii="Verdana" w:eastAsia="ArialMT" w:hAnsi="Verdana" w:cs="ArialMT"/>
          <w:sz w:val="16"/>
          <w:szCs w:val="16"/>
          <w:lang w:val="es-CR"/>
        </w:rPr>
        <w:t xml:space="preserve">fugados […] </w:t>
      </w:r>
      <w:r w:rsidRPr="0097244E">
        <w:rPr>
          <w:rFonts w:ascii="Verdana" w:eastAsia="ArialMT" w:hAnsi="Verdana" w:cs="Arial"/>
          <w:bCs/>
          <w:sz w:val="16"/>
          <w:szCs w:val="16"/>
          <w:lang w:val="es-CR"/>
        </w:rPr>
        <w:t>paralelamente a dicho plan, se determinó que una vez capturados</w:t>
      </w:r>
      <w:r w:rsidRPr="0097244E">
        <w:rPr>
          <w:rFonts w:ascii="Verdana" w:hAnsi="Verdana" w:cs="Arial"/>
          <w:sz w:val="16"/>
          <w:szCs w:val="16"/>
          <w:lang w:val="es-CR"/>
        </w:rPr>
        <w:t xml:space="preserve"> </w:t>
      </w:r>
      <w:r w:rsidRPr="0097244E">
        <w:rPr>
          <w:rFonts w:ascii="Verdana" w:eastAsia="ArialMT" w:hAnsi="Verdana" w:cs="Arial"/>
          <w:bCs/>
          <w:sz w:val="16"/>
          <w:szCs w:val="16"/>
          <w:lang w:val="es-CR"/>
        </w:rPr>
        <w:t xml:space="preserve">los prófugos debían ser ejecutados extrajudicialmente </w:t>
      </w:r>
      <w:r w:rsidRPr="0097244E">
        <w:rPr>
          <w:rFonts w:ascii="Verdana" w:eastAsia="ArialMT" w:hAnsi="Verdana" w:cs="ArialMT"/>
          <w:sz w:val="16"/>
          <w:szCs w:val="16"/>
          <w:lang w:val="es-CR"/>
        </w:rPr>
        <w:t>[…]</w:t>
      </w:r>
      <w:r w:rsidRPr="0097244E">
        <w:rPr>
          <w:rStyle w:val="Refdenotaalpie"/>
          <w:rFonts w:ascii="Verdana" w:eastAsia="ArialMT" w:hAnsi="Verdana" w:cs="ArialMT"/>
          <w:sz w:val="16"/>
          <w:szCs w:val="16"/>
          <w:lang w:val="es-CR"/>
        </w:rPr>
        <w:footnoteReference w:id="74"/>
      </w:r>
      <w:r w:rsidRPr="0097244E">
        <w:rPr>
          <w:rFonts w:ascii="Verdana" w:eastAsia="ArialMT" w:hAnsi="Verdana" w:cs="ArialMT"/>
          <w:sz w:val="16"/>
          <w:szCs w:val="16"/>
          <w:lang w:val="es-CR"/>
        </w:rPr>
        <w:t>.</w:t>
      </w:r>
    </w:p>
    <w:p w14:paraId="77BC2F8A" w14:textId="77777777" w:rsidR="00B9095B" w:rsidRPr="00763694" w:rsidRDefault="00B9095B" w:rsidP="00763694">
      <w:pPr>
        <w:pStyle w:val="Prrafodelista"/>
        <w:autoSpaceDE w:val="0"/>
        <w:autoSpaceDN w:val="0"/>
        <w:adjustRightInd w:val="0"/>
        <w:spacing w:after="0" w:line="240" w:lineRule="auto"/>
        <w:ind w:left="0"/>
        <w:jc w:val="both"/>
        <w:rPr>
          <w:rFonts w:ascii="Verdana" w:hAnsi="Verdana"/>
          <w:b/>
          <w:sz w:val="20"/>
          <w:szCs w:val="20"/>
          <w:u w:val="single"/>
          <w:lang w:val="es-CR"/>
        </w:rPr>
      </w:pPr>
    </w:p>
    <w:p w14:paraId="0978AC82" w14:textId="7BCDA69B" w:rsidR="005F262D" w:rsidRPr="00760F8C" w:rsidRDefault="00215228" w:rsidP="00763694">
      <w:pPr>
        <w:pStyle w:val="Prrafodelista"/>
        <w:numPr>
          <w:ilvl w:val="3"/>
          <w:numId w:val="1"/>
        </w:numPr>
        <w:autoSpaceDE w:val="0"/>
        <w:autoSpaceDN w:val="0"/>
        <w:adjustRightInd w:val="0"/>
        <w:spacing w:after="0" w:line="240" w:lineRule="auto"/>
        <w:ind w:left="0" w:firstLine="0"/>
        <w:jc w:val="both"/>
        <w:rPr>
          <w:szCs w:val="20"/>
          <w:lang w:val="es-CR"/>
        </w:rPr>
      </w:pPr>
      <w:r w:rsidRPr="00763694">
        <w:rPr>
          <w:rFonts w:ascii="Verdana" w:hAnsi="Verdana"/>
          <w:sz w:val="20"/>
          <w:szCs w:val="20"/>
          <w:lang w:val="es-CR"/>
        </w:rPr>
        <w:t xml:space="preserve">En dicha sentencia se reconoce que el </w:t>
      </w:r>
      <w:r w:rsidR="005B4A2F" w:rsidRPr="00763694">
        <w:rPr>
          <w:rFonts w:ascii="Verdana" w:hAnsi="Verdana"/>
          <w:sz w:val="20"/>
          <w:szCs w:val="20"/>
          <w:lang w:val="es-CR"/>
        </w:rPr>
        <w:t>“</w:t>
      </w:r>
      <w:r w:rsidRPr="00763694">
        <w:rPr>
          <w:rFonts w:ascii="Verdana" w:hAnsi="Verdana"/>
          <w:sz w:val="20"/>
          <w:szCs w:val="20"/>
          <w:lang w:val="es-CR"/>
        </w:rPr>
        <w:t>Plan Gavilán</w:t>
      </w:r>
      <w:r w:rsidR="005B4A2F" w:rsidRPr="00763694">
        <w:rPr>
          <w:rFonts w:ascii="Verdana" w:hAnsi="Verdana"/>
          <w:sz w:val="20"/>
          <w:szCs w:val="20"/>
          <w:lang w:val="es-CR"/>
        </w:rPr>
        <w:t>”</w:t>
      </w:r>
      <w:r w:rsidRPr="00763694">
        <w:rPr>
          <w:rFonts w:ascii="Verdana" w:hAnsi="Verdana"/>
          <w:sz w:val="20"/>
          <w:szCs w:val="20"/>
          <w:lang w:val="es-CR"/>
        </w:rPr>
        <w:t xml:space="preserve"> fue creado por la Policía Nacional Civil para la búsqueda y captura de los 19 reos que se habían fugado de la cárcel “El Infiernito”, entre los que se encontraba el señor ESR. Además, la sentencia señala como un hecho probado que paralel</w:t>
      </w:r>
      <w:r w:rsidR="00455802" w:rsidRPr="00763694">
        <w:rPr>
          <w:rFonts w:ascii="Verdana" w:hAnsi="Verdana"/>
          <w:sz w:val="20"/>
          <w:szCs w:val="20"/>
          <w:lang w:val="es-CR"/>
        </w:rPr>
        <w:t>amente</w:t>
      </w:r>
      <w:r w:rsidRPr="00763694">
        <w:rPr>
          <w:rFonts w:ascii="Verdana" w:hAnsi="Verdana"/>
          <w:sz w:val="20"/>
          <w:szCs w:val="20"/>
          <w:lang w:val="es-CR"/>
        </w:rPr>
        <w:t xml:space="preserve"> al </w:t>
      </w:r>
      <w:r w:rsidR="00424B1A" w:rsidRPr="00763694">
        <w:rPr>
          <w:rFonts w:ascii="Verdana" w:hAnsi="Verdana"/>
          <w:sz w:val="20"/>
          <w:szCs w:val="20"/>
          <w:lang w:val="es-CR"/>
        </w:rPr>
        <w:t>“</w:t>
      </w:r>
      <w:r w:rsidRPr="00763694">
        <w:rPr>
          <w:rFonts w:ascii="Verdana" w:hAnsi="Verdana"/>
          <w:sz w:val="20"/>
          <w:szCs w:val="20"/>
          <w:lang w:val="es-CR"/>
        </w:rPr>
        <w:t>Plan Gavilán</w:t>
      </w:r>
      <w:r w:rsidR="00424B1A" w:rsidRPr="00763694">
        <w:rPr>
          <w:rFonts w:ascii="Verdana" w:hAnsi="Verdana"/>
          <w:sz w:val="20"/>
          <w:szCs w:val="20"/>
          <w:lang w:val="es-CR"/>
        </w:rPr>
        <w:t>”</w:t>
      </w:r>
      <w:r w:rsidRPr="00763694">
        <w:rPr>
          <w:rFonts w:ascii="Verdana" w:hAnsi="Verdana"/>
          <w:sz w:val="20"/>
          <w:szCs w:val="20"/>
          <w:lang w:val="es-CR"/>
        </w:rPr>
        <w:t xml:space="preserve"> se determinó que una vez capturados los reos, estos debían ser ejecutados</w:t>
      </w:r>
      <w:r w:rsidRPr="00763694">
        <w:rPr>
          <w:rStyle w:val="Refdenotaalpie"/>
          <w:rFonts w:ascii="Verdana" w:hAnsi="Verdana"/>
          <w:sz w:val="20"/>
          <w:szCs w:val="20"/>
        </w:rPr>
        <w:footnoteReference w:id="75"/>
      </w:r>
      <w:r w:rsidRPr="00763694">
        <w:rPr>
          <w:rFonts w:ascii="Verdana" w:hAnsi="Verdana"/>
          <w:sz w:val="20"/>
          <w:szCs w:val="20"/>
          <w:lang w:val="es-CR"/>
        </w:rPr>
        <w:t>.</w:t>
      </w:r>
      <w:r w:rsidR="00763694">
        <w:rPr>
          <w:rFonts w:ascii="Verdana" w:hAnsi="Verdana"/>
          <w:sz w:val="20"/>
          <w:szCs w:val="20"/>
          <w:lang w:val="es-CR"/>
        </w:rPr>
        <w:t xml:space="preserve"> </w:t>
      </w:r>
      <w:r w:rsidR="00763694" w:rsidRPr="0097244E">
        <w:rPr>
          <w:rFonts w:ascii="Verdana" w:hAnsi="Verdana"/>
          <w:sz w:val="20"/>
          <w:szCs w:val="20"/>
          <w:lang w:val="es-CR"/>
        </w:rPr>
        <w:t xml:space="preserve">Dicha actuación también </w:t>
      </w:r>
      <w:r w:rsidR="00455802" w:rsidRPr="0097244E">
        <w:rPr>
          <w:rFonts w:ascii="Verdana" w:hAnsi="Verdana"/>
          <w:sz w:val="20"/>
          <w:szCs w:val="20"/>
          <w:lang w:val="es-CR"/>
        </w:rPr>
        <w:t>fue manifestad</w:t>
      </w:r>
      <w:r w:rsidR="00763694" w:rsidRPr="0097244E">
        <w:rPr>
          <w:rFonts w:ascii="Verdana" w:hAnsi="Verdana"/>
          <w:sz w:val="20"/>
          <w:szCs w:val="20"/>
          <w:lang w:val="es-CR"/>
        </w:rPr>
        <w:t>a</w:t>
      </w:r>
      <w:r w:rsidR="00455802" w:rsidRPr="0097244E">
        <w:rPr>
          <w:rFonts w:ascii="Verdana" w:hAnsi="Verdana"/>
          <w:sz w:val="20"/>
          <w:szCs w:val="20"/>
          <w:lang w:val="es-CR"/>
        </w:rPr>
        <w:t xml:space="preserve"> por </w:t>
      </w:r>
      <w:r w:rsidR="00B432D9" w:rsidRPr="0097244E">
        <w:rPr>
          <w:rFonts w:ascii="Verdana" w:hAnsi="Verdana"/>
          <w:sz w:val="20"/>
          <w:szCs w:val="20"/>
          <w:lang w:val="es-CR"/>
        </w:rPr>
        <w:t xml:space="preserve">otros </w:t>
      </w:r>
      <w:r w:rsidR="00455802" w:rsidRPr="0097244E">
        <w:rPr>
          <w:rFonts w:ascii="Verdana" w:hAnsi="Verdana"/>
          <w:sz w:val="20"/>
          <w:szCs w:val="20"/>
          <w:lang w:val="es-CR"/>
        </w:rPr>
        <w:t xml:space="preserve">oficiales que formaron parte del </w:t>
      </w:r>
      <w:r w:rsidR="005B4A2F" w:rsidRPr="0097244E">
        <w:rPr>
          <w:rFonts w:ascii="Verdana" w:hAnsi="Verdana"/>
          <w:sz w:val="20"/>
          <w:szCs w:val="20"/>
          <w:lang w:val="es-CR"/>
        </w:rPr>
        <w:t>“P</w:t>
      </w:r>
      <w:r w:rsidR="00455802" w:rsidRPr="0097244E">
        <w:rPr>
          <w:rFonts w:ascii="Verdana" w:hAnsi="Verdana"/>
          <w:sz w:val="20"/>
          <w:szCs w:val="20"/>
          <w:lang w:val="es-CR"/>
        </w:rPr>
        <w:t xml:space="preserve">lan </w:t>
      </w:r>
      <w:r w:rsidR="005B4A2F" w:rsidRPr="0097244E">
        <w:rPr>
          <w:rFonts w:ascii="Verdana" w:hAnsi="Verdana"/>
          <w:sz w:val="20"/>
          <w:szCs w:val="20"/>
          <w:lang w:val="es-CR"/>
        </w:rPr>
        <w:t>Ga</w:t>
      </w:r>
      <w:r w:rsidR="00455802" w:rsidRPr="0097244E">
        <w:rPr>
          <w:rFonts w:ascii="Verdana" w:hAnsi="Verdana"/>
          <w:sz w:val="20"/>
          <w:szCs w:val="20"/>
          <w:lang w:val="es-CR"/>
        </w:rPr>
        <w:t>vilán</w:t>
      </w:r>
      <w:r w:rsidR="005B4A2F" w:rsidRPr="0097244E">
        <w:rPr>
          <w:rFonts w:ascii="Verdana" w:hAnsi="Verdana"/>
          <w:sz w:val="20"/>
          <w:szCs w:val="20"/>
          <w:lang w:val="es-CR"/>
        </w:rPr>
        <w:t>”</w:t>
      </w:r>
      <w:r w:rsidR="00455802" w:rsidRPr="0097244E">
        <w:rPr>
          <w:rStyle w:val="Refdenotaalpie"/>
          <w:rFonts w:ascii="Verdana" w:hAnsi="Verdana"/>
          <w:sz w:val="20"/>
          <w:szCs w:val="20"/>
          <w:lang w:val="es-CR"/>
        </w:rPr>
        <w:footnoteReference w:id="76"/>
      </w:r>
      <w:r w:rsidR="00455802" w:rsidRPr="0097244E">
        <w:rPr>
          <w:rFonts w:ascii="Verdana" w:hAnsi="Verdana"/>
          <w:sz w:val="20"/>
          <w:szCs w:val="20"/>
          <w:lang w:val="es-CR"/>
        </w:rPr>
        <w:t>.</w:t>
      </w:r>
      <w:r w:rsidR="00455802" w:rsidRPr="00763694">
        <w:rPr>
          <w:lang w:val="es-CR"/>
        </w:rPr>
        <w:t xml:space="preserve">  </w:t>
      </w:r>
    </w:p>
    <w:p w14:paraId="757EB5F0" w14:textId="77777777" w:rsidR="00D36319" w:rsidRPr="0097244E" w:rsidRDefault="00D36319" w:rsidP="000E2DF8">
      <w:pPr>
        <w:spacing w:after="0" w:line="240" w:lineRule="auto"/>
        <w:ind w:left="720" w:right="508"/>
        <w:jc w:val="both"/>
        <w:rPr>
          <w:rFonts w:ascii="Verdana" w:eastAsia="ArialMT" w:hAnsi="Verdana" w:cs="ArialMT"/>
          <w:sz w:val="16"/>
          <w:szCs w:val="16"/>
          <w:lang w:val="es-CR"/>
        </w:rPr>
      </w:pPr>
    </w:p>
    <w:p w14:paraId="1916B9AB" w14:textId="14EC47B0" w:rsidR="00B944A1" w:rsidRPr="0097244E" w:rsidRDefault="00CC6307" w:rsidP="000E2DF8">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97244E">
        <w:rPr>
          <w:rFonts w:ascii="Verdana" w:hAnsi="Verdana"/>
          <w:sz w:val="20"/>
          <w:szCs w:val="20"/>
        </w:rPr>
        <w:t>Al respecto, la Comisión Internacional contra l</w:t>
      </w:r>
      <w:r w:rsidR="00102B0E">
        <w:rPr>
          <w:rFonts w:ascii="Verdana" w:hAnsi="Verdana"/>
          <w:sz w:val="20"/>
          <w:szCs w:val="20"/>
        </w:rPr>
        <w:t>a Impunidad en Guatemala</w:t>
      </w:r>
      <w:r w:rsidRPr="0097244E">
        <w:rPr>
          <w:rFonts w:ascii="Verdana" w:hAnsi="Verdana"/>
          <w:sz w:val="20"/>
          <w:szCs w:val="20"/>
        </w:rPr>
        <w:t xml:space="preserve">, en su comunicado </w:t>
      </w:r>
      <w:r w:rsidR="00B57183" w:rsidRPr="0097244E">
        <w:rPr>
          <w:rFonts w:ascii="Verdana" w:hAnsi="Verdana"/>
          <w:sz w:val="20"/>
          <w:szCs w:val="20"/>
        </w:rPr>
        <w:t>de prensa 041</w:t>
      </w:r>
      <w:r w:rsidRPr="0097244E">
        <w:rPr>
          <w:rFonts w:ascii="Verdana" w:hAnsi="Verdana"/>
          <w:sz w:val="20"/>
          <w:lang w:val="es-CR"/>
        </w:rPr>
        <w:t>,</w:t>
      </w:r>
      <w:r w:rsidR="00B57183" w:rsidRPr="0097244E">
        <w:rPr>
          <w:rFonts w:ascii="Verdana" w:hAnsi="Verdana"/>
          <w:sz w:val="20"/>
          <w:lang w:val="es-CR"/>
        </w:rPr>
        <w:t xml:space="preserve"> con base en esta sentencia</w:t>
      </w:r>
      <w:r w:rsidRPr="0097244E">
        <w:rPr>
          <w:rFonts w:ascii="Verdana" w:hAnsi="Verdana"/>
          <w:sz w:val="20"/>
          <w:lang w:val="es-CR"/>
        </w:rPr>
        <w:t xml:space="preserve"> </w:t>
      </w:r>
      <w:r w:rsidRPr="0097244E">
        <w:rPr>
          <w:rFonts w:ascii="Verdana" w:hAnsi="Verdana"/>
          <w:sz w:val="20"/>
          <w:szCs w:val="20"/>
        </w:rPr>
        <w:t xml:space="preserve">señaló </w:t>
      </w:r>
      <w:r w:rsidR="00B57183" w:rsidRPr="0097244E">
        <w:rPr>
          <w:rFonts w:ascii="Verdana" w:hAnsi="Verdana"/>
          <w:sz w:val="20"/>
          <w:szCs w:val="20"/>
        </w:rPr>
        <w:t>que era</w:t>
      </w:r>
      <w:r w:rsidRPr="0097244E">
        <w:rPr>
          <w:rFonts w:ascii="Verdana" w:hAnsi="Verdana"/>
          <w:sz w:val="20"/>
          <w:szCs w:val="20"/>
        </w:rPr>
        <w:t xml:space="preserve"> evidente la injerencia de autoridades en la integración de una estructura paralela con el poder de llevar a cabo la ejecución extrajudicial de los prófugos del Infiernito, bajo el fundamento de eliminar a quienes consideraban como “lacras” y “enemigos de la sociedad”.</w:t>
      </w:r>
      <w:r w:rsidRPr="0097244E">
        <w:rPr>
          <w:rFonts w:ascii="Verdana" w:hAnsi="Verdana"/>
          <w:sz w:val="16"/>
          <w:szCs w:val="16"/>
          <w:lang w:val="es-CR"/>
        </w:rPr>
        <w:t xml:space="preserve"> </w:t>
      </w:r>
      <w:r w:rsidRPr="0097244E">
        <w:rPr>
          <w:rFonts w:ascii="Verdana" w:hAnsi="Verdana"/>
          <w:sz w:val="20"/>
          <w:szCs w:val="20"/>
          <w:lang w:val="es-CR"/>
        </w:rPr>
        <w:t xml:space="preserve">En dicho documento se señala que el </w:t>
      </w:r>
      <w:r w:rsidR="00424B1A" w:rsidRPr="0097244E">
        <w:rPr>
          <w:rFonts w:ascii="Verdana" w:hAnsi="Verdana"/>
          <w:sz w:val="20"/>
          <w:szCs w:val="20"/>
          <w:lang w:val="es-CR"/>
        </w:rPr>
        <w:t>“</w:t>
      </w:r>
      <w:r w:rsidRPr="0097244E">
        <w:rPr>
          <w:rFonts w:ascii="Verdana" w:hAnsi="Verdana"/>
          <w:sz w:val="20"/>
          <w:szCs w:val="20"/>
          <w:lang w:val="es-CR"/>
        </w:rPr>
        <w:t>Plan Gavilán</w:t>
      </w:r>
      <w:r w:rsidR="00424B1A" w:rsidRPr="0097244E">
        <w:rPr>
          <w:rFonts w:ascii="Verdana" w:hAnsi="Verdana"/>
          <w:sz w:val="20"/>
          <w:szCs w:val="20"/>
          <w:lang w:val="es-CR"/>
        </w:rPr>
        <w:t>”</w:t>
      </w:r>
      <w:r w:rsidRPr="0097244E">
        <w:rPr>
          <w:rFonts w:ascii="Verdana" w:hAnsi="Verdana"/>
          <w:sz w:val="20"/>
          <w:szCs w:val="20"/>
          <w:lang w:val="es-CR"/>
        </w:rPr>
        <w:t xml:space="preserve"> fue la fachada de una estructura integrada por altos funcionarios, agentes de la PNC y civiles, liderada por el Ministro de Gobernación de la época, </w:t>
      </w:r>
      <w:r w:rsidR="00593B83" w:rsidRPr="0097244E">
        <w:rPr>
          <w:rFonts w:ascii="Verdana" w:hAnsi="Verdana"/>
          <w:sz w:val="20"/>
          <w:szCs w:val="20"/>
          <w:lang w:val="es-CR"/>
        </w:rPr>
        <w:t>CVM</w:t>
      </w:r>
      <w:r w:rsidRPr="0097244E">
        <w:rPr>
          <w:rFonts w:ascii="Verdana" w:hAnsi="Verdana"/>
          <w:sz w:val="20"/>
          <w:szCs w:val="20"/>
          <w:lang w:val="es-CR"/>
        </w:rPr>
        <w:t xml:space="preserve">, y el director de la </w:t>
      </w:r>
      <w:r w:rsidR="00710D57" w:rsidRPr="0097244E">
        <w:rPr>
          <w:rFonts w:ascii="Verdana" w:hAnsi="Verdana"/>
          <w:sz w:val="20"/>
          <w:szCs w:val="20"/>
          <w:lang w:val="es-CR"/>
        </w:rPr>
        <w:t>Policía Nacional Civil</w:t>
      </w:r>
      <w:r w:rsidRPr="0097244E">
        <w:rPr>
          <w:rFonts w:ascii="Verdana" w:hAnsi="Verdana"/>
          <w:sz w:val="20"/>
          <w:szCs w:val="20"/>
          <w:lang w:val="es-CR"/>
        </w:rPr>
        <w:t xml:space="preserve"> </w:t>
      </w:r>
      <w:r w:rsidR="00A616D1" w:rsidRPr="0097244E">
        <w:rPr>
          <w:rFonts w:ascii="Verdana" w:hAnsi="Verdana"/>
          <w:sz w:val="20"/>
          <w:szCs w:val="20"/>
          <w:lang w:val="es-CR"/>
        </w:rPr>
        <w:t>ESV</w:t>
      </w:r>
      <w:r w:rsidRPr="0097244E">
        <w:rPr>
          <w:rFonts w:ascii="Verdana" w:hAnsi="Verdana"/>
          <w:sz w:val="20"/>
          <w:szCs w:val="20"/>
          <w:lang w:val="es-CR"/>
        </w:rPr>
        <w:t>”</w:t>
      </w:r>
      <w:r w:rsidRPr="0097244E">
        <w:rPr>
          <w:rFonts w:ascii="Verdana" w:hAnsi="Verdana"/>
          <w:sz w:val="20"/>
          <w:szCs w:val="20"/>
          <w:vertAlign w:val="superscript"/>
        </w:rPr>
        <w:footnoteReference w:id="77"/>
      </w:r>
      <w:r w:rsidRPr="0097244E">
        <w:rPr>
          <w:rFonts w:ascii="Verdana" w:hAnsi="Verdana"/>
          <w:sz w:val="20"/>
          <w:szCs w:val="20"/>
          <w:lang w:val="es-CR"/>
        </w:rPr>
        <w:t>.</w:t>
      </w:r>
      <w:r w:rsidRPr="0097244E">
        <w:rPr>
          <w:rFonts w:ascii="Verdana" w:hAnsi="Verdana"/>
          <w:sz w:val="16"/>
          <w:szCs w:val="16"/>
          <w:lang w:val="es-CR"/>
        </w:rPr>
        <w:t xml:space="preserve"> </w:t>
      </w:r>
      <w:r w:rsidRPr="0097244E">
        <w:rPr>
          <w:rFonts w:ascii="Verdana" w:hAnsi="Verdana"/>
          <w:sz w:val="20"/>
          <w:szCs w:val="20"/>
        </w:rPr>
        <w:t xml:space="preserve"> </w:t>
      </w:r>
      <w:r w:rsidR="005A6AC5" w:rsidRPr="0097244E">
        <w:rPr>
          <w:rFonts w:ascii="Verdana" w:hAnsi="Verdana"/>
          <w:sz w:val="20"/>
          <w:szCs w:val="20"/>
        </w:rPr>
        <w:t>En esta línea l</w:t>
      </w:r>
      <w:r w:rsidR="00215228" w:rsidRPr="0097244E">
        <w:rPr>
          <w:rFonts w:ascii="Verdana" w:hAnsi="Verdana"/>
          <w:sz w:val="20"/>
          <w:szCs w:val="20"/>
        </w:rPr>
        <w:t>a Comisión se refirió a</w:t>
      </w:r>
      <w:r w:rsidRPr="0097244E">
        <w:rPr>
          <w:rFonts w:ascii="Verdana" w:hAnsi="Verdana"/>
          <w:sz w:val="20"/>
          <w:szCs w:val="20"/>
        </w:rPr>
        <w:t xml:space="preserve"> dicho </w:t>
      </w:r>
      <w:r w:rsidR="00215228" w:rsidRPr="0097244E">
        <w:rPr>
          <w:rFonts w:ascii="Verdana" w:hAnsi="Verdana"/>
          <w:sz w:val="20"/>
          <w:szCs w:val="20"/>
        </w:rPr>
        <w:t>comunicado de l</w:t>
      </w:r>
      <w:r w:rsidRPr="0097244E">
        <w:rPr>
          <w:rFonts w:ascii="Verdana" w:hAnsi="Verdana"/>
          <w:sz w:val="20"/>
          <w:szCs w:val="20"/>
        </w:rPr>
        <w:t xml:space="preserve">a </w:t>
      </w:r>
      <w:r w:rsidR="00215228" w:rsidRPr="0097244E">
        <w:rPr>
          <w:rFonts w:ascii="Verdana" w:hAnsi="Verdana"/>
          <w:sz w:val="20"/>
          <w:szCs w:val="20"/>
        </w:rPr>
        <w:t xml:space="preserve">CICIG sobre la sentencia condenatoria dictada el 8 de agosto de 2013 por el Tribunal Primero de Mayor Riesgo B por la ejecución extrajudicial de una de las personas fugadas de la cárcel </w:t>
      </w:r>
      <w:r w:rsidR="00D950F7" w:rsidRPr="0097244E">
        <w:rPr>
          <w:rFonts w:ascii="Verdana" w:hAnsi="Verdana"/>
          <w:sz w:val="20"/>
          <w:szCs w:val="20"/>
        </w:rPr>
        <w:t>“</w:t>
      </w:r>
      <w:r w:rsidR="00215228" w:rsidRPr="0097244E">
        <w:rPr>
          <w:rFonts w:ascii="Verdana" w:hAnsi="Verdana"/>
          <w:sz w:val="20"/>
          <w:szCs w:val="20"/>
        </w:rPr>
        <w:t>El Infiernito</w:t>
      </w:r>
      <w:r w:rsidR="00D950F7" w:rsidRPr="0097244E">
        <w:rPr>
          <w:rFonts w:ascii="Verdana" w:hAnsi="Verdana"/>
          <w:sz w:val="20"/>
          <w:szCs w:val="20"/>
        </w:rPr>
        <w:t>”</w:t>
      </w:r>
      <w:r w:rsidR="000F4866" w:rsidRPr="0097244E">
        <w:rPr>
          <w:rStyle w:val="Refdenotaalpie"/>
          <w:rFonts w:ascii="Verdana" w:hAnsi="Verdana"/>
          <w:sz w:val="20"/>
          <w:szCs w:val="20"/>
        </w:rPr>
        <w:footnoteReference w:id="78"/>
      </w:r>
      <w:r w:rsidR="00215228" w:rsidRPr="0097244E">
        <w:rPr>
          <w:rFonts w:ascii="Verdana" w:hAnsi="Verdana"/>
          <w:sz w:val="20"/>
          <w:szCs w:val="20"/>
        </w:rPr>
        <w:t xml:space="preserve">.  </w:t>
      </w:r>
    </w:p>
    <w:p w14:paraId="17DD83CE" w14:textId="77777777" w:rsidR="00B944A1" w:rsidRPr="0097244E" w:rsidRDefault="00B944A1" w:rsidP="003B1283">
      <w:pPr>
        <w:pStyle w:val="Prrafodelista"/>
        <w:autoSpaceDE w:val="0"/>
        <w:autoSpaceDN w:val="0"/>
        <w:adjustRightInd w:val="0"/>
        <w:spacing w:after="0" w:line="240" w:lineRule="auto"/>
        <w:ind w:left="0"/>
        <w:jc w:val="both"/>
        <w:rPr>
          <w:rFonts w:ascii="Verdana" w:hAnsi="Verdana"/>
          <w:sz w:val="20"/>
          <w:szCs w:val="20"/>
          <w:lang w:val="es-CR"/>
        </w:rPr>
      </w:pPr>
    </w:p>
    <w:p w14:paraId="1D18F12A" w14:textId="7DD41AC0" w:rsidR="008E68BF" w:rsidRPr="00A632FD" w:rsidRDefault="00215228" w:rsidP="008E68BF">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97244E">
        <w:rPr>
          <w:rFonts w:ascii="Verdana" w:hAnsi="Verdana"/>
          <w:sz w:val="20"/>
          <w:szCs w:val="20"/>
        </w:rPr>
        <w:t xml:space="preserve">Por </w:t>
      </w:r>
      <w:r w:rsidR="005A6AC5" w:rsidRPr="0097244E">
        <w:rPr>
          <w:rFonts w:ascii="Verdana" w:hAnsi="Verdana"/>
          <w:sz w:val="20"/>
          <w:szCs w:val="20"/>
        </w:rPr>
        <w:t>otro lado</w:t>
      </w:r>
      <w:r w:rsidRPr="0097244E">
        <w:rPr>
          <w:rFonts w:ascii="Verdana" w:hAnsi="Verdana"/>
          <w:sz w:val="20"/>
          <w:szCs w:val="20"/>
        </w:rPr>
        <w:t xml:space="preserve">, el 19 de febrero de 2007 el Relator Especial sobre las ejecuciones extrajudiciales, publicó un informe sobre el contexto </w:t>
      </w:r>
      <w:r w:rsidR="000C00CA" w:rsidRPr="0097244E">
        <w:rPr>
          <w:rFonts w:ascii="Verdana" w:hAnsi="Verdana"/>
          <w:sz w:val="20"/>
          <w:szCs w:val="20"/>
        </w:rPr>
        <w:t xml:space="preserve">en </w:t>
      </w:r>
      <w:r w:rsidRPr="0097244E">
        <w:rPr>
          <w:rFonts w:ascii="Verdana" w:hAnsi="Verdana"/>
          <w:sz w:val="20"/>
          <w:szCs w:val="20"/>
        </w:rPr>
        <w:t xml:space="preserve">que se encontraba presente Guatemala, </w:t>
      </w:r>
      <w:r w:rsidR="00A724A0" w:rsidRPr="0097244E">
        <w:rPr>
          <w:rFonts w:ascii="Verdana" w:hAnsi="Verdana"/>
          <w:sz w:val="20"/>
          <w:szCs w:val="20"/>
        </w:rPr>
        <w:t xml:space="preserve">y de acuerdo con </w:t>
      </w:r>
      <w:r w:rsidR="005A6AC5" w:rsidRPr="0097244E">
        <w:rPr>
          <w:rFonts w:ascii="Verdana" w:hAnsi="Verdana"/>
          <w:sz w:val="20"/>
          <w:szCs w:val="20"/>
        </w:rPr>
        <w:t xml:space="preserve">la </w:t>
      </w:r>
      <w:r w:rsidR="00A724A0" w:rsidRPr="0097244E">
        <w:rPr>
          <w:rFonts w:ascii="Verdana" w:hAnsi="Verdana"/>
          <w:sz w:val="20"/>
          <w:szCs w:val="20"/>
        </w:rPr>
        <w:t xml:space="preserve">información obtenida de las denuncias de personas que trabajaban para la División de Investigación Criminal </w:t>
      </w:r>
      <w:r w:rsidR="000C00CA" w:rsidRPr="0097244E">
        <w:rPr>
          <w:rFonts w:ascii="Verdana" w:hAnsi="Verdana"/>
          <w:sz w:val="20"/>
          <w:szCs w:val="20"/>
        </w:rPr>
        <w:t xml:space="preserve">se determinó </w:t>
      </w:r>
      <w:r w:rsidR="00A724A0" w:rsidRPr="0097244E">
        <w:rPr>
          <w:rFonts w:ascii="Verdana" w:hAnsi="Verdana"/>
          <w:sz w:val="20"/>
          <w:szCs w:val="20"/>
        </w:rPr>
        <w:t>que “e[</w:t>
      </w:r>
      <w:proofErr w:type="spellStart"/>
      <w:r w:rsidR="00A724A0" w:rsidRPr="0097244E">
        <w:rPr>
          <w:rFonts w:ascii="Verdana" w:hAnsi="Verdana"/>
          <w:sz w:val="20"/>
          <w:szCs w:val="20"/>
        </w:rPr>
        <w:t>ra</w:t>
      </w:r>
      <w:proofErr w:type="spellEnd"/>
      <w:r w:rsidR="00A724A0" w:rsidRPr="0097244E">
        <w:rPr>
          <w:rFonts w:ascii="Verdana" w:hAnsi="Verdana"/>
          <w:sz w:val="20"/>
          <w:szCs w:val="20"/>
        </w:rPr>
        <w:t>] evidente que s[</w:t>
      </w:r>
      <w:proofErr w:type="spellStart"/>
      <w:r w:rsidR="00A724A0" w:rsidRPr="0097244E">
        <w:rPr>
          <w:rFonts w:ascii="Verdana" w:hAnsi="Verdana"/>
          <w:sz w:val="20"/>
          <w:szCs w:val="20"/>
        </w:rPr>
        <w:t>eguían</w:t>
      </w:r>
      <w:proofErr w:type="spellEnd"/>
      <w:r w:rsidR="00A724A0" w:rsidRPr="0097244E">
        <w:rPr>
          <w:rFonts w:ascii="Verdana" w:hAnsi="Verdana"/>
          <w:sz w:val="20"/>
          <w:szCs w:val="20"/>
        </w:rPr>
        <w:t>] funcionando grupos dedicados a la limpieza social”, señalando de forma particular al “Cuerpo de Detectives de la Policía Nacional”</w:t>
      </w:r>
      <w:r w:rsidR="00F34F96" w:rsidRPr="0097244E">
        <w:rPr>
          <w:rFonts w:ascii="Verdana" w:hAnsi="Verdana"/>
          <w:sz w:val="20"/>
          <w:szCs w:val="20"/>
        </w:rPr>
        <w:t>.</w:t>
      </w:r>
      <w:r w:rsidR="00710D57" w:rsidRPr="0097244E">
        <w:rPr>
          <w:rFonts w:ascii="Verdana" w:hAnsi="Verdana"/>
          <w:sz w:val="20"/>
          <w:szCs w:val="20"/>
        </w:rPr>
        <w:t xml:space="preserve"> </w:t>
      </w:r>
      <w:r w:rsidR="00F34F96" w:rsidRPr="0097244E">
        <w:rPr>
          <w:rFonts w:ascii="Verdana" w:hAnsi="Verdana"/>
          <w:sz w:val="20"/>
          <w:szCs w:val="20"/>
        </w:rPr>
        <w:t>A</w:t>
      </w:r>
      <w:r w:rsidR="007C71CF" w:rsidRPr="0097244E">
        <w:rPr>
          <w:rFonts w:ascii="Verdana" w:hAnsi="Verdana"/>
          <w:sz w:val="20"/>
          <w:szCs w:val="20"/>
        </w:rPr>
        <w:t>simismo precisó que, “</w:t>
      </w:r>
      <w:r w:rsidR="00F34F96" w:rsidRPr="0097244E">
        <w:rPr>
          <w:rFonts w:ascii="Verdana" w:hAnsi="Verdana"/>
          <w:sz w:val="20"/>
          <w:szCs w:val="20"/>
        </w:rPr>
        <w:t>[l]</w:t>
      </w:r>
      <w:r w:rsidR="007C71CF" w:rsidRPr="0097244E">
        <w:rPr>
          <w:rFonts w:ascii="Verdana" w:hAnsi="Verdana"/>
          <w:sz w:val="20"/>
          <w:szCs w:val="20"/>
          <w:lang w:val="es-CR"/>
        </w:rPr>
        <w:t>a información obtenida indica que la limpieza social es algo más que la actuación de unos pocos agentes corruptos. Ello no significa que haya alcanzado la categoría de política oficial, pero por su frecuencia y su carácter sistemático la limpieza social sí plantea una cuestión de responsabilidad institucional”</w:t>
      </w:r>
      <w:r w:rsidR="007C71CF" w:rsidRPr="0097244E">
        <w:rPr>
          <w:rStyle w:val="Refdenotaalpie"/>
          <w:rFonts w:ascii="Verdana" w:hAnsi="Verdana"/>
          <w:sz w:val="20"/>
          <w:szCs w:val="20"/>
        </w:rPr>
        <w:t xml:space="preserve"> </w:t>
      </w:r>
      <w:r w:rsidR="007C71CF" w:rsidRPr="0097244E">
        <w:rPr>
          <w:rStyle w:val="Refdenotaalpie"/>
          <w:rFonts w:ascii="Verdana" w:hAnsi="Verdana"/>
          <w:sz w:val="20"/>
          <w:szCs w:val="20"/>
        </w:rPr>
        <w:footnoteReference w:id="79"/>
      </w:r>
      <w:r w:rsidR="007C71CF" w:rsidRPr="0097244E">
        <w:rPr>
          <w:rFonts w:ascii="Verdana" w:hAnsi="Verdana"/>
          <w:sz w:val="20"/>
          <w:szCs w:val="20"/>
          <w:lang w:val="es-CR"/>
        </w:rPr>
        <w:t>.</w:t>
      </w:r>
    </w:p>
    <w:p w14:paraId="762A48FF" w14:textId="77777777" w:rsidR="00C874D6" w:rsidRDefault="00C874D6" w:rsidP="0060326C">
      <w:pPr>
        <w:pStyle w:val="Prrafodelista"/>
        <w:autoSpaceDE w:val="0"/>
        <w:autoSpaceDN w:val="0"/>
        <w:adjustRightInd w:val="0"/>
        <w:spacing w:after="0" w:line="240" w:lineRule="auto"/>
        <w:ind w:left="0"/>
        <w:jc w:val="both"/>
        <w:rPr>
          <w:rFonts w:ascii="Verdana" w:hAnsi="Verdana"/>
          <w:sz w:val="20"/>
          <w:szCs w:val="20"/>
          <w:lang w:val="es-CR"/>
        </w:rPr>
      </w:pPr>
    </w:p>
    <w:p w14:paraId="6F901520" w14:textId="77777777" w:rsidR="00CE16C9" w:rsidRDefault="00CE16C9" w:rsidP="0060326C">
      <w:pPr>
        <w:pStyle w:val="Prrafodelista"/>
        <w:autoSpaceDE w:val="0"/>
        <w:autoSpaceDN w:val="0"/>
        <w:adjustRightInd w:val="0"/>
        <w:spacing w:after="0" w:line="240" w:lineRule="auto"/>
        <w:ind w:left="0"/>
        <w:jc w:val="both"/>
        <w:rPr>
          <w:rFonts w:ascii="Verdana" w:hAnsi="Verdana"/>
          <w:sz w:val="20"/>
          <w:szCs w:val="20"/>
          <w:lang w:val="es-CR"/>
        </w:rPr>
      </w:pPr>
    </w:p>
    <w:p w14:paraId="0587723A" w14:textId="1F2324E9" w:rsidR="00CE16C9" w:rsidRPr="002615B8" w:rsidRDefault="005065B5" w:rsidP="0060326C">
      <w:pPr>
        <w:pStyle w:val="Prrafodelista"/>
        <w:autoSpaceDE w:val="0"/>
        <w:autoSpaceDN w:val="0"/>
        <w:adjustRightInd w:val="0"/>
        <w:spacing w:after="0" w:line="240" w:lineRule="auto"/>
        <w:ind w:left="0"/>
        <w:jc w:val="both"/>
        <w:rPr>
          <w:rFonts w:ascii="Verdana" w:hAnsi="Verdana"/>
          <w:sz w:val="20"/>
          <w:szCs w:val="20"/>
          <w:lang w:val="es-CR"/>
        </w:rPr>
      </w:pPr>
      <w:r>
        <w:rPr>
          <w:rFonts w:ascii="Verdana" w:hAnsi="Verdana"/>
          <w:sz w:val="20"/>
          <w:szCs w:val="20"/>
          <w:lang w:val="es-CR"/>
        </w:rPr>
        <w:t xml:space="preserve"> </w:t>
      </w:r>
    </w:p>
    <w:p w14:paraId="4F3F619C" w14:textId="77777777" w:rsidR="00C874D6" w:rsidRPr="008D2CAF" w:rsidRDefault="00C874D6" w:rsidP="00341D8C">
      <w:pPr>
        <w:pStyle w:val="Ttulo2"/>
        <w:spacing w:before="0"/>
      </w:pPr>
      <w:bookmarkStart w:id="37" w:name="_Toc25247751"/>
      <w:r w:rsidRPr="008D2CAF">
        <w:lastRenderedPageBreak/>
        <w:t xml:space="preserve">D. </w:t>
      </w:r>
      <w:r w:rsidR="000E6FC3" w:rsidRPr="008D2CAF">
        <w:t>Investigación sobre la muerte del señor Valenzuela</w:t>
      </w:r>
      <w:r w:rsidR="00C10FBF">
        <w:t xml:space="preserve"> Ávila</w:t>
      </w:r>
      <w:bookmarkEnd w:id="37"/>
    </w:p>
    <w:p w14:paraId="4D908AFE" w14:textId="77777777" w:rsidR="00C874D6" w:rsidRPr="00C874D6" w:rsidRDefault="00C874D6" w:rsidP="00C874D6">
      <w:pPr>
        <w:pStyle w:val="Prrafodelista"/>
        <w:autoSpaceDE w:val="0"/>
        <w:autoSpaceDN w:val="0"/>
        <w:adjustRightInd w:val="0"/>
        <w:spacing w:after="0" w:line="240" w:lineRule="auto"/>
        <w:ind w:left="0"/>
        <w:jc w:val="both"/>
        <w:rPr>
          <w:rFonts w:ascii="Verdana" w:hAnsi="Verdana"/>
          <w:sz w:val="20"/>
          <w:szCs w:val="20"/>
          <w:lang w:val="es-CR"/>
        </w:rPr>
      </w:pPr>
    </w:p>
    <w:p w14:paraId="3D310CA3" w14:textId="7EB026BB" w:rsidR="00A724A0" w:rsidRPr="00A724A0" w:rsidRDefault="00407B0D" w:rsidP="004F6269">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C874D6">
        <w:rPr>
          <w:rFonts w:ascii="Verdana" w:hAnsi="Verdana"/>
          <w:sz w:val="20"/>
          <w:szCs w:val="20"/>
          <w:lang w:val="es-AR"/>
        </w:rPr>
        <w:t>El 8 de diciembre de 2006 se enc</w:t>
      </w:r>
      <w:r w:rsidR="00845C91">
        <w:rPr>
          <w:rFonts w:ascii="Verdana" w:hAnsi="Verdana"/>
          <w:sz w:val="20"/>
          <w:szCs w:val="20"/>
          <w:lang w:val="es-AR"/>
        </w:rPr>
        <w:t>ontró</w:t>
      </w:r>
      <w:r w:rsidRPr="00C874D6">
        <w:rPr>
          <w:rFonts w:ascii="Verdana" w:hAnsi="Verdana"/>
          <w:sz w:val="20"/>
          <w:szCs w:val="20"/>
          <w:lang w:val="es-AR"/>
        </w:rPr>
        <w:t xml:space="preserve"> el cuerpo sin vida del señor Valenzuela, junto con el de otro prófugo, en la ciudad de Gomera, departamento de Escuintla</w:t>
      </w:r>
      <w:r w:rsidRPr="00EC2F24">
        <w:rPr>
          <w:rStyle w:val="Refdenotaalpie"/>
          <w:rFonts w:ascii="Verdana" w:hAnsi="Verdana"/>
          <w:sz w:val="20"/>
          <w:szCs w:val="20"/>
          <w:lang w:val="es-AR"/>
        </w:rPr>
        <w:footnoteReference w:id="80"/>
      </w:r>
      <w:r w:rsidRPr="00C874D6">
        <w:rPr>
          <w:rFonts w:ascii="Verdana" w:hAnsi="Verdana"/>
          <w:sz w:val="20"/>
          <w:szCs w:val="20"/>
          <w:lang w:val="es-AR"/>
        </w:rPr>
        <w:t xml:space="preserve">. </w:t>
      </w:r>
      <w:r w:rsidR="000E6FC3" w:rsidRPr="00A724A0">
        <w:rPr>
          <w:rFonts w:ascii="Verdana" w:hAnsi="Verdana"/>
          <w:sz w:val="20"/>
          <w:szCs w:val="20"/>
          <w:lang w:val="es-AR"/>
        </w:rPr>
        <w:t xml:space="preserve">El 8 de diciembre de 2006 cuando ocurrió la muerte del señor Valenzuela, un oficial de la Estación 31-44 de la PNC de la ciudad de Gomera de Escuintla, solicitó mediante oficio 1050-06 a la Jueza de Paz </w:t>
      </w:r>
      <w:r w:rsidR="000E6FC3" w:rsidRPr="00A724A0">
        <w:rPr>
          <w:rFonts w:ascii="Verdana" w:hAnsi="Verdana" w:cs="Times New Roman"/>
          <w:sz w:val="20"/>
          <w:szCs w:val="20"/>
          <w:lang w:val="es-AR"/>
        </w:rPr>
        <w:t xml:space="preserve">su presencia en </w:t>
      </w:r>
      <w:r w:rsidR="006D1593">
        <w:rPr>
          <w:rFonts w:ascii="Verdana" w:hAnsi="Verdana" w:cs="Times New Roman"/>
          <w:sz w:val="20"/>
          <w:szCs w:val="20"/>
          <w:lang w:val="es-AR"/>
        </w:rPr>
        <w:t xml:space="preserve">el </w:t>
      </w:r>
      <w:r w:rsidR="000E6FC3" w:rsidRPr="00A724A0">
        <w:rPr>
          <w:rFonts w:ascii="Verdana" w:hAnsi="Verdana" w:cs="Times New Roman"/>
          <w:sz w:val="20"/>
          <w:szCs w:val="20"/>
          <w:lang w:val="es-AR"/>
        </w:rPr>
        <w:t xml:space="preserve">lugar del hecho para realizar las diligencias respectivas, indicándole que “el día de hoy siendo las 18:30 </w:t>
      </w:r>
      <w:proofErr w:type="spellStart"/>
      <w:r w:rsidR="000E6FC3" w:rsidRPr="00A724A0">
        <w:rPr>
          <w:rFonts w:ascii="Verdana" w:hAnsi="Verdana" w:cs="Times New Roman"/>
          <w:sz w:val="20"/>
          <w:szCs w:val="20"/>
          <w:lang w:val="es-AR"/>
        </w:rPr>
        <w:t>hrs</w:t>
      </w:r>
      <w:proofErr w:type="spellEnd"/>
      <w:r w:rsidR="000E6FC3" w:rsidRPr="00A724A0">
        <w:rPr>
          <w:rFonts w:ascii="Verdana" w:hAnsi="Verdana" w:cs="Times New Roman"/>
          <w:sz w:val="20"/>
          <w:szCs w:val="20"/>
          <w:lang w:val="es-AR"/>
        </w:rPr>
        <w:t>. se tuvo conoci</w:t>
      </w:r>
      <w:r w:rsidR="00E73061" w:rsidRPr="00A724A0">
        <w:rPr>
          <w:rFonts w:ascii="Verdana" w:hAnsi="Verdana" w:cs="Times New Roman"/>
          <w:sz w:val="20"/>
          <w:szCs w:val="20"/>
          <w:lang w:val="es-AR"/>
        </w:rPr>
        <w:t>miento que […] se enco</w:t>
      </w:r>
      <w:r w:rsidR="000E6FC3" w:rsidRPr="00A724A0">
        <w:rPr>
          <w:rFonts w:ascii="Verdana" w:hAnsi="Verdana" w:cs="Times New Roman"/>
          <w:sz w:val="20"/>
          <w:szCs w:val="20"/>
          <w:lang w:val="es-AR"/>
        </w:rPr>
        <w:t>ntraban dos personas de sexo masculino fallecidas, por lo que al lugar se dirigieron l</w:t>
      </w:r>
      <w:r w:rsidR="006D1593">
        <w:rPr>
          <w:rFonts w:ascii="Verdana" w:hAnsi="Verdana" w:cs="Times New Roman"/>
          <w:sz w:val="20"/>
          <w:szCs w:val="20"/>
          <w:lang w:val="es-AR"/>
        </w:rPr>
        <w:t>o</w:t>
      </w:r>
      <w:r w:rsidR="000E6FC3" w:rsidRPr="00A724A0">
        <w:rPr>
          <w:rFonts w:ascii="Verdana" w:hAnsi="Verdana" w:cs="Times New Roman"/>
          <w:sz w:val="20"/>
          <w:szCs w:val="20"/>
          <w:lang w:val="es-AR"/>
        </w:rPr>
        <w:t>s agentes […] quienes constataron la veracidad del caso, tratándose de dos personas de sexo masculino fallecidas por múltiples heridas de proyectil de arma de fuego de calibre ignorado”</w:t>
      </w:r>
      <w:r w:rsidR="000E6FC3" w:rsidRPr="00EC2F24">
        <w:rPr>
          <w:rStyle w:val="Refdenotaalpie"/>
          <w:rFonts w:ascii="Verdana" w:hAnsi="Verdana" w:cs="Times New Roman"/>
          <w:sz w:val="20"/>
          <w:szCs w:val="20"/>
          <w:lang w:val="es-AR"/>
        </w:rPr>
        <w:footnoteReference w:id="81"/>
      </w:r>
      <w:r w:rsidR="000E6FC3" w:rsidRPr="00A724A0">
        <w:rPr>
          <w:rFonts w:ascii="Verdana" w:hAnsi="Verdana" w:cs="Times New Roman"/>
          <w:sz w:val="20"/>
          <w:szCs w:val="20"/>
          <w:lang w:val="es-AR"/>
        </w:rPr>
        <w:t>. Luego mediante otro oficio ampliatorio indicó que “según versiones de personas que presenciar</w:t>
      </w:r>
      <w:r w:rsidR="00B30CBB">
        <w:rPr>
          <w:rFonts w:ascii="Verdana" w:hAnsi="Verdana" w:cs="Times New Roman"/>
          <w:sz w:val="20"/>
          <w:szCs w:val="20"/>
          <w:lang w:val="es-AR"/>
        </w:rPr>
        <w:t>o</w:t>
      </w:r>
      <w:r w:rsidR="000E6FC3" w:rsidRPr="00A724A0">
        <w:rPr>
          <w:rFonts w:ascii="Verdana" w:hAnsi="Verdana" w:cs="Times New Roman"/>
          <w:sz w:val="20"/>
          <w:szCs w:val="20"/>
          <w:lang w:val="es-AR"/>
        </w:rPr>
        <w:t>n el hecho y que se negaron a proporcionar su nombre, manifestaron que los dos occisos se conducían a bordo de [una] motocicleta […], siendo perseguidos por varios individuos armados que se conducían abordo de un vehículo tipo pick-Up desconocido, quienes les dispararon con armas de fuego de grueso calibre, ocasionándoles la muerte”</w:t>
      </w:r>
      <w:r w:rsidR="000E6FC3" w:rsidRPr="00EC2F24">
        <w:rPr>
          <w:rStyle w:val="Refdenotaalpie"/>
          <w:rFonts w:ascii="Verdana" w:hAnsi="Verdana" w:cs="Times New Roman"/>
          <w:sz w:val="20"/>
          <w:szCs w:val="20"/>
          <w:lang w:val="es-AR"/>
        </w:rPr>
        <w:footnoteReference w:id="82"/>
      </w:r>
      <w:r w:rsidR="000E6FC3" w:rsidRPr="00A724A0">
        <w:rPr>
          <w:rFonts w:ascii="Verdana" w:hAnsi="Verdana" w:cs="Times New Roman"/>
          <w:sz w:val="20"/>
          <w:szCs w:val="20"/>
          <w:lang w:val="es-AR"/>
        </w:rPr>
        <w:t>.</w:t>
      </w:r>
    </w:p>
    <w:p w14:paraId="1DBEA54E" w14:textId="77777777" w:rsidR="00A724A0" w:rsidRPr="00A724A0" w:rsidRDefault="000E6FC3" w:rsidP="00A724A0">
      <w:pPr>
        <w:pStyle w:val="Prrafodelista"/>
        <w:autoSpaceDE w:val="0"/>
        <w:autoSpaceDN w:val="0"/>
        <w:adjustRightInd w:val="0"/>
        <w:spacing w:after="0" w:line="240" w:lineRule="auto"/>
        <w:ind w:left="0"/>
        <w:jc w:val="both"/>
        <w:rPr>
          <w:rFonts w:ascii="Verdana" w:hAnsi="Verdana"/>
          <w:sz w:val="20"/>
          <w:szCs w:val="20"/>
          <w:lang w:val="es-CR"/>
        </w:rPr>
      </w:pPr>
      <w:r w:rsidRPr="00A724A0">
        <w:rPr>
          <w:rFonts w:ascii="Verdana" w:hAnsi="Verdana" w:cs="Times New Roman"/>
          <w:sz w:val="20"/>
          <w:szCs w:val="20"/>
          <w:lang w:val="es-AR"/>
        </w:rPr>
        <w:t xml:space="preserve"> </w:t>
      </w:r>
    </w:p>
    <w:p w14:paraId="35D85DE1" w14:textId="38C38B20" w:rsidR="00C874D6" w:rsidRPr="00A724A0" w:rsidRDefault="000E6FC3" w:rsidP="006F6D58">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A724A0">
        <w:rPr>
          <w:rFonts w:ascii="Verdana" w:hAnsi="Verdana" w:cs="Times New Roman"/>
          <w:sz w:val="20"/>
          <w:szCs w:val="20"/>
          <w:lang w:val="es-AR"/>
        </w:rPr>
        <w:t xml:space="preserve"> La Jueza de Paz elaboró el </w:t>
      </w:r>
      <w:r w:rsidR="00845C91">
        <w:rPr>
          <w:rFonts w:ascii="Verdana" w:hAnsi="Verdana" w:cs="Times New Roman"/>
          <w:sz w:val="20"/>
          <w:szCs w:val="20"/>
          <w:lang w:val="es-AR"/>
        </w:rPr>
        <w:t>a</w:t>
      </w:r>
      <w:r w:rsidRPr="00A724A0">
        <w:rPr>
          <w:rFonts w:ascii="Verdana" w:hAnsi="Verdana" w:cs="Times New Roman"/>
          <w:sz w:val="20"/>
          <w:szCs w:val="20"/>
          <w:lang w:val="es-AR"/>
        </w:rPr>
        <w:t xml:space="preserve">cta de </w:t>
      </w:r>
      <w:r w:rsidR="00845C91">
        <w:rPr>
          <w:rFonts w:ascii="Verdana" w:hAnsi="Verdana" w:cs="Times New Roman"/>
          <w:sz w:val="20"/>
          <w:szCs w:val="20"/>
          <w:lang w:val="es-AR"/>
        </w:rPr>
        <w:t>i</w:t>
      </w:r>
      <w:r w:rsidRPr="00A724A0">
        <w:rPr>
          <w:rFonts w:ascii="Verdana" w:hAnsi="Verdana" w:cs="Times New Roman"/>
          <w:sz w:val="20"/>
          <w:szCs w:val="20"/>
          <w:lang w:val="es-AR"/>
        </w:rPr>
        <w:t xml:space="preserve">nspección </w:t>
      </w:r>
      <w:r w:rsidR="00845C91">
        <w:rPr>
          <w:rFonts w:ascii="Verdana" w:hAnsi="Verdana" w:cs="Times New Roman"/>
          <w:sz w:val="20"/>
          <w:szCs w:val="20"/>
          <w:lang w:val="es-AR"/>
        </w:rPr>
        <w:t>o</w:t>
      </w:r>
      <w:r w:rsidRPr="00A724A0">
        <w:rPr>
          <w:rFonts w:ascii="Verdana" w:hAnsi="Verdana" w:cs="Times New Roman"/>
          <w:sz w:val="20"/>
          <w:szCs w:val="20"/>
          <w:lang w:val="es-AR"/>
        </w:rPr>
        <w:t xml:space="preserve">cular y </w:t>
      </w:r>
      <w:r w:rsidR="00B30CBB">
        <w:rPr>
          <w:rFonts w:ascii="Verdana" w:hAnsi="Verdana" w:cs="Times New Roman"/>
          <w:sz w:val="20"/>
          <w:szCs w:val="20"/>
          <w:lang w:val="es-AR"/>
        </w:rPr>
        <w:t>en ella</w:t>
      </w:r>
      <w:r w:rsidR="00B30CBB" w:rsidRPr="00A724A0">
        <w:rPr>
          <w:rFonts w:ascii="Verdana" w:hAnsi="Verdana" w:cs="Times New Roman"/>
          <w:sz w:val="20"/>
          <w:szCs w:val="20"/>
          <w:lang w:val="es-AR"/>
        </w:rPr>
        <w:t xml:space="preserve"> </w:t>
      </w:r>
      <w:r w:rsidRPr="00A724A0">
        <w:rPr>
          <w:rFonts w:ascii="Verdana" w:hAnsi="Verdana" w:cs="Times New Roman"/>
          <w:sz w:val="20"/>
          <w:szCs w:val="20"/>
          <w:lang w:val="es-AR"/>
        </w:rPr>
        <w:t>describió el lugar donde se encontraba el cuerpo del señor Valenzuela, la posición del cadáver, sus características físicas, las lesiones que presentaba, vestimenta y otros objetos que llevaba</w:t>
      </w:r>
      <w:r w:rsidRPr="00EC2F24">
        <w:rPr>
          <w:rFonts w:cs="Times New Roman"/>
          <w:vertAlign w:val="superscript"/>
        </w:rPr>
        <w:footnoteReference w:id="83"/>
      </w:r>
      <w:r w:rsidR="00407B0D">
        <w:rPr>
          <w:rFonts w:ascii="Verdana" w:hAnsi="Verdana" w:cs="Times New Roman"/>
          <w:sz w:val="20"/>
          <w:szCs w:val="20"/>
          <w:lang w:val="es-AR"/>
        </w:rPr>
        <w:t>.</w:t>
      </w:r>
      <w:r w:rsidRPr="00A724A0">
        <w:rPr>
          <w:rFonts w:ascii="Verdana" w:hAnsi="Verdana"/>
          <w:sz w:val="20"/>
          <w:szCs w:val="20"/>
          <w:lang w:val="es-AR"/>
        </w:rPr>
        <w:t xml:space="preserve"> </w:t>
      </w:r>
    </w:p>
    <w:p w14:paraId="48965196" w14:textId="77777777" w:rsidR="00C03ED9" w:rsidRPr="00104AF5" w:rsidRDefault="00C03ED9" w:rsidP="00C03ED9">
      <w:pPr>
        <w:pStyle w:val="Prrafodelista"/>
        <w:autoSpaceDE w:val="0"/>
        <w:autoSpaceDN w:val="0"/>
        <w:adjustRightInd w:val="0"/>
        <w:spacing w:after="0" w:line="240" w:lineRule="auto"/>
        <w:ind w:left="0"/>
        <w:jc w:val="both"/>
        <w:rPr>
          <w:rFonts w:ascii="Verdana" w:hAnsi="Verdana"/>
          <w:sz w:val="20"/>
          <w:szCs w:val="20"/>
          <w:lang w:val="es-CR"/>
        </w:rPr>
      </w:pPr>
    </w:p>
    <w:p w14:paraId="49C4C0F5" w14:textId="77777777" w:rsidR="00C874D6" w:rsidRPr="00C874D6" w:rsidRDefault="000E6FC3" w:rsidP="006F6D58">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C874D6">
        <w:rPr>
          <w:rFonts w:ascii="Verdana" w:hAnsi="Verdana"/>
          <w:sz w:val="20"/>
          <w:szCs w:val="20"/>
          <w:lang w:val="es-AR"/>
        </w:rPr>
        <w:t xml:space="preserve">El </w:t>
      </w:r>
      <w:r w:rsidR="00E17FB3">
        <w:rPr>
          <w:rFonts w:ascii="Verdana" w:hAnsi="Verdana"/>
          <w:sz w:val="20"/>
          <w:szCs w:val="20"/>
          <w:lang w:val="es-AR"/>
        </w:rPr>
        <w:t>8</w:t>
      </w:r>
      <w:r w:rsidRPr="00C874D6">
        <w:rPr>
          <w:rFonts w:ascii="Verdana" w:hAnsi="Verdana"/>
          <w:sz w:val="20"/>
          <w:szCs w:val="20"/>
          <w:lang w:val="es-AR"/>
        </w:rPr>
        <w:t xml:space="preserve"> de diciembre de 2006 </w:t>
      </w:r>
      <w:r w:rsidR="00E17FB3" w:rsidRPr="00C874D6">
        <w:rPr>
          <w:rFonts w:ascii="Verdana" w:hAnsi="Verdana"/>
          <w:sz w:val="20"/>
          <w:szCs w:val="20"/>
          <w:lang w:val="es-AR"/>
        </w:rPr>
        <w:t xml:space="preserve">se extendió una certificación médica de defunción sin identificación, </w:t>
      </w:r>
      <w:r w:rsidR="00E17FB3">
        <w:rPr>
          <w:rFonts w:ascii="Verdana" w:hAnsi="Verdana"/>
          <w:sz w:val="20"/>
          <w:szCs w:val="20"/>
          <w:lang w:val="es-AR"/>
        </w:rPr>
        <w:t xml:space="preserve">con la denominación de </w:t>
      </w:r>
      <w:r w:rsidR="00E17FB3" w:rsidRPr="00D34C76">
        <w:rPr>
          <w:rFonts w:ascii="Verdana" w:hAnsi="Verdana"/>
          <w:sz w:val="20"/>
          <w:szCs w:val="20"/>
          <w:lang w:val="es-AR"/>
        </w:rPr>
        <w:t>“XX</w:t>
      </w:r>
      <w:r w:rsidR="001C7D79" w:rsidRPr="00D34C76">
        <w:rPr>
          <w:rFonts w:ascii="Verdana" w:hAnsi="Verdana"/>
          <w:sz w:val="20"/>
          <w:szCs w:val="20"/>
          <w:lang w:val="es-AR"/>
        </w:rPr>
        <w:t>”</w:t>
      </w:r>
      <w:r w:rsidR="00E17FB3" w:rsidRPr="00D34C76">
        <w:rPr>
          <w:rFonts w:ascii="Verdana" w:hAnsi="Verdana"/>
          <w:sz w:val="20"/>
          <w:szCs w:val="20"/>
          <w:lang w:val="es-AR"/>
        </w:rPr>
        <w:t>,</w:t>
      </w:r>
      <w:r w:rsidR="00E17FB3" w:rsidRPr="00C874D6">
        <w:rPr>
          <w:rFonts w:ascii="Verdana" w:hAnsi="Verdana"/>
          <w:sz w:val="20"/>
          <w:szCs w:val="20"/>
          <w:lang w:val="es-AR"/>
        </w:rPr>
        <w:t xml:space="preserve"> sexo masculino de </w:t>
      </w:r>
      <w:r w:rsidR="00E17FB3">
        <w:rPr>
          <w:rFonts w:ascii="Verdana" w:hAnsi="Verdana"/>
          <w:sz w:val="20"/>
          <w:szCs w:val="20"/>
          <w:lang w:val="es-AR"/>
        </w:rPr>
        <w:t>26</w:t>
      </w:r>
      <w:r w:rsidR="00E17FB3" w:rsidRPr="00C874D6">
        <w:rPr>
          <w:rFonts w:ascii="Verdana" w:hAnsi="Verdana"/>
          <w:sz w:val="20"/>
          <w:szCs w:val="20"/>
          <w:lang w:val="es-AR"/>
        </w:rPr>
        <w:t xml:space="preserve"> años de edad aproximadamente”</w:t>
      </w:r>
      <w:r w:rsidR="00E17FB3" w:rsidRPr="00EC2F24">
        <w:rPr>
          <w:rStyle w:val="Refdenotaalpie"/>
          <w:rFonts w:ascii="Verdana" w:hAnsi="Verdana"/>
          <w:sz w:val="20"/>
          <w:szCs w:val="20"/>
          <w:lang w:val="es-AR"/>
        </w:rPr>
        <w:footnoteReference w:id="84"/>
      </w:r>
      <w:r w:rsidR="00D34C76">
        <w:rPr>
          <w:rFonts w:ascii="Verdana" w:hAnsi="Verdana"/>
          <w:sz w:val="20"/>
          <w:szCs w:val="20"/>
          <w:lang w:val="es-AR"/>
        </w:rPr>
        <w:t>.</w:t>
      </w:r>
      <w:r w:rsidR="00E17FB3">
        <w:rPr>
          <w:rFonts w:ascii="Verdana" w:hAnsi="Verdana"/>
          <w:sz w:val="20"/>
          <w:szCs w:val="20"/>
          <w:lang w:val="es-AR"/>
        </w:rPr>
        <w:t xml:space="preserve"> </w:t>
      </w:r>
      <w:r w:rsidR="00D34C76">
        <w:rPr>
          <w:rFonts w:ascii="Verdana" w:hAnsi="Verdana"/>
          <w:sz w:val="20"/>
          <w:szCs w:val="20"/>
          <w:lang w:val="es-AR"/>
        </w:rPr>
        <w:t>P</w:t>
      </w:r>
      <w:r w:rsidR="00E17FB3">
        <w:rPr>
          <w:rFonts w:ascii="Verdana" w:hAnsi="Verdana"/>
          <w:sz w:val="20"/>
          <w:szCs w:val="20"/>
          <w:lang w:val="es-AR"/>
        </w:rPr>
        <w:t xml:space="preserve">osteriormente, </w:t>
      </w:r>
      <w:r w:rsidR="00D34C76">
        <w:rPr>
          <w:rFonts w:ascii="Verdana" w:hAnsi="Verdana"/>
          <w:sz w:val="20"/>
          <w:szCs w:val="20"/>
          <w:lang w:val="es-AR"/>
        </w:rPr>
        <w:t xml:space="preserve">el 10 de diciembre de 2006 </w:t>
      </w:r>
      <w:r w:rsidRPr="00C874D6">
        <w:rPr>
          <w:rFonts w:ascii="Verdana" w:hAnsi="Verdana"/>
          <w:sz w:val="20"/>
          <w:szCs w:val="20"/>
          <w:lang w:val="es-AR"/>
        </w:rPr>
        <w:t xml:space="preserve">se realizó la necropsia del </w:t>
      </w:r>
      <w:r w:rsidR="00E17FB3">
        <w:rPr>
          <w:rFonts w:ascii="Verdana" w:hAnsi="Verdana"/>
          <w:sz w:val="20"/>
          <w:szCs w:val="20"/>
          <w:lang w:val="es-AR"/>
        </w:rPr>
        <w:t>cadáver de “una</w:t>
      </w:r>
      <w:r w:rsidR="008D1782">
        <w:rPr>
          <w:rFonts w:ascii="Verdana" w:hAnsi="Verdana"/>
          <w:sz w:val="20"/>
          <w:szCs w:val="20"/>
          <w:lang w:val="es-AR"/>
        </w:rPr>
        <w:t xml:space="preserve"> persona no identificada </w:t>
      </w:r>
      <w:r w:rsidR="00E17FB3">
        <w:rPr>
          <w:rFonts w:ascii="Verdana" w:hAnsi="Verdana"/>
          <w:sz w:val="20"/>
          <w:szCs w:val="20"/>
          <w:lang w:val="es-AR"/>
        </w:rPr>
        <w:t>“</w:t>
      </w:r>
      <w:r w:rsidR="00B9095B">
        <w:rPr>
          <w:rFonts w:ascii="Verdana" w:hAnsi="Verdana"/>
          <w:sz w:val="20"/>
          <w:szCs w:val="20"/>
          <w:lang w:val="es-AR"/>
        </w:rPr>
        <w:t>XX</w:t>
      </w:r>
      <w:r w:rsidR="00E17FB3">
        <w:rPr>
          <w:rFonts w:ascii="Verdana" w:hAnsi="Verdana"/>
          <w:sz w:val="20"/>
          <w:szCs w:val="20"/>
          <w:lang w:val="es-AR"/>
        </w:rPr>
        <w:t>”</w:t>
      </w:r>
      <w:r w:rsidR="00146A46">
        <w:rPr>
          <w:rFonts w:ascii="Verdana" w:hAnsi="Verdana"/>
          <w:sz w:val="20"/>
          <w:szCs w:val="20"/>
          <w:lang w:val="es-AR"/>
        </w:rPr>
        <w:t xml:space="preserve"> </w:t>
      </w:r>
      <w:r w:rsidR="008D1782">
        <w:rPr>
          <w:rFonts w:ascii="Verdana" w:hAnsi="Verdana"/>
          <w:sz w:val="20"/>
          <w:szCs w:val="20"/>
          <w:lang w:val="es-AR"/>
        </w:rPr>
        <w:t>de sexo masculino y de 26 años de edad”</w:t>
      </w:r>
      <w:r w:rsidR="00E17FB3">
        <w:rPr>
          <w:rFonts w:ascii="Verdana" w:hAnsi="Verdana"/>
          <w:sz w:val="20"/>
          <w:szCs w:val="20"/>
          <w:lang w:val="es-AR"/>
        </w:rPr>
        <w:t>, que</w:t>
      </w:r>
      <w:r w:rsidR="00146A46">
        <w:rPr>
          <w:rFonts w:ascii="Verdana" w:hAnsi="Verdana"/>
          <w:sz w:val="20"/>
          <w:szCs w:val="20"/>
          <w:lang w:val="es-AR"/>
        </w:rPr>
        <w:t xml:space="preserve"> </w:t>
      </w:r>
      <w:r w:rsidR="008D1782">
        <w:rPr>
          <w:rFonts w:ascii="Verdana" w:hAnsi="Verdana"/>
          <w:sz w:val="20"/>
          <w:szCs w:val="20"/>
          <w:lang w:val="es-AR"/>
        </w:rPr>
        <w:t xml:space="preserve">indica </w:t>
      </w:r>
      <w:r w:rsidR="00B9095B">
        <w:rPr>
          <w:rFonts w:ascii="Verdana" w:hAnsi="Verdana"/>
          <w:sz w:val="20"/>
          <w:szCs w:val="20"/>
          <w:lang w:val="es-AR"/>
        </w:rPr>
        <w:t xml:space="preserve">que el cuerpo </w:t>
      </w:r>
      <w:r w:rsidR="00E17FB3">
        <w:rPr>
          <w:rFonts w:ascii="Verdana" w:hAnsi="Verdana"/>
          <w:sz w:val="20"/>
          <w:szCs w:val="20"/>
          <w:lang w:val="es-AR"/>
        </w:rPr>
        <w:t>posee “el</w:t>
      </w:r>
      <w:r w:rsidR="008D1782">
        <w:rPr>
          <w:rFonts w:ascii="Verdana" w:hAnsi="Verdana"/>
          <w:sz w:val="20"/>
          <w:szCs w:val="20"/>
          <w:lang w:val="es-AR"/>
        </w:rPr>
        <w:t xml:space="preserve"> cráneo completamente </w:t>
      </w:r>
      <w:r w:rsidR="00D950F7">
        <w:rPr>
          <w:rFonts w:ascii="Verdana" w:hAnsi="Verdana"/>
          <w:sz w:val="20"/>
          <w:szCs w:val="20"/>
          <w:lang w:val="es-AR"/>
        </w:rPr>
        <w:t xml:space="preserve">destrozado con masa encefálica expuesta </w:t>
      </w:r>
      <w:r w:rsidR="008D1782">
        <w:rPr>
          <w:rFonts w:ascii="Verdana" w:hAnsi="Verdana"/>
          <w:sz w:val="20"/>
          <w:szCs w:val="20"/>
          <w:lang w:val="es-AR"/>
        </w:rPr>
        <w:t xml:space="preserve">ocasionada con arma de fuego </w:t>
      </w:r>
      <w:r w:rsidR="00D950F7">
        <w:rPr>
          <w:rFonts w:ascii="Verdana" w:hAnsi="Verdana"/>
          <w:sz w:val="20"/>
          <w:szCs w:val="20"/>
          <w:lang w:val="es-AR"/>
        </w:rPr>
        <w:t xml:space="preserve">de grueso </w:t>
      </w:r>
      <w:r w:rsidR="008D1782">
        <w:rPr>
          <w:rFonts w:ascii="Verdana" w:hAnsi="Verdana"/>
          <w:sz w:val="20"/>
          <w:szCs w:val="20"/>
          <w:lang w:val="es-AR"/>
        </w:rPr>
        <w:t>calibre,</w:t>
      </w:r>
      <w:r w:rsidR="00D950F7">
        <w:rPr>
          <w:rFonts w:ascii="Verdana" w:hAnsi="Verdana"/>
          <w:sz w:val="20"/>
          <w:szCs w:val="20"/>
          <w:lang w:val="es-AR"/>
        </w:rPr>
        <w:t xml:space="preserve"> dedo meñique de mano izquierda destrozado”</w:t>
      </w:r>
      <w:r w:rsidR="008D1782">
        <w:rPr>
          <w:rFonts w:ascii="Verdana" w:hAnsi="Verdana"/>
          <w:sz w:val="20"/>
          <w:szCs w:val="20"/>
          <w:lang w:val="es-AR"/>
        </w:rPr>
        <w:t xml:space="preserve"> y como causa de muerte “1) LACERACIÓN </w:t>
      </w:r>
      <w:proofErr w:type="gramStart"/>
      <w:r w:rsidR="008D1782">
        <w:rPr>
          <w:rFonts w:ascii="Verdana" w:hAnsi="Verdana"/>
          <w:sz w:val="20"/>
          <w:szCs w:val="20"/>
          <w:lang w:val="es-AR"/>
        </w:rPr>
        <w:t>CEREBRAL</w:t>
      </w:r>
      <w:r w:rsidR="00265B24">
        <w:rPr>
          <w:rFonts w:ascii="Verdana" w:hAnsi="Verdana"/>
          <w:sz w:val="20"/>
          <w:szCs w:val="20"/>
          <w:lang w:val="es-AR"/>
        </w:rPr>
        <w:t>[</w:t>
      </w:r>
      <w:proofErr w:type="gramEnd"/>
      <w:r w:rsidR="00265B24">
        <w:rPr>
          <w:rFonts w:ascii="Verdana" w:hAnsi="Verdana"/>
          <w:sz w:val="20"/>
          <w:szCs w:val="20"/>
          <w:lang w:val="es-AR"/>
        </w:rPr>
        <w:t>,] 2) FRACTURA MULTIFRAGMENTARIA DE CRANEO […]</w:t>
      </w:r>
      <w:r w:rsidRPr="00C874D6">
        <w:rPr>
          <w:rFonts w:ascii="Verdana" w:hAnsi="Verdana"/>
          <w:sz w:val="20"/>
          <w:szCs w:val="20"/>
          <w:lang w:val="es-AR"/>
        </w:rPr>
        <w:t>”</w:t>
      </w:r>
      <w:r w:rsidRPr="00EC2F24">
        <w:rPr>
          <w:rStyle w:val="Refdenotaalpie"/>
          <w:rFonts w:ascii="Verdana" w:hAnsi="Verdana"/>
          <w:sz w:val="20"/>
          <w:szCs w:val="20"/>
          <w:lang w:val="es-AR"/>
        </w:rPr>
        <w:footnoteReference w:id="85"/>
      </w:r>
      <w:r w:rsidRPr="00C874D6">
        <w:rPr>
          <w:rFonts w:ascii="Verdana" w:hAnsi="Verdana"/>
          <w:sz w:val="20"/>
          <w:szCs w:val="20"/>
          <w:lang w:val="es-AR"/>
        </w:rPr>
        <w:t xml:space="preserve">. </w:t>
      </w:r>
    </w:p>
    <w:p w14:paraId="1C2B4C33" w14:textId="77777777" w:rsidR="00C874D6" w:rsidRPr="00C874D6" w:rsidRDefault="00C874D6" w:rsidP="00C874D6">
      <w:pPr>
        <w:pStyle w:val="Prrafodelista"/>
        <w:autoSpaceDE w:val="0"/>
        <w:autoSpaceDN w:val="0"/>
        <w:adjustRightInd w:val="0"/>
        <w:spacing w:after="0" w:line="240" w:lineRule="auto"/>
        <w:ind w:left="0"/>
        <w:jc w:val="both"/>
        <w:rPr>
          <w:rFonts w:ascii="Verdana" w:hAnsi="Verdana"/>
          <w:sz w:val="20"/>
          <w:szCs w:val="20"/>
          <w:lang w:val="es-CR"/>
        </w:rPr>
      </w:pPr>
    </w:p>
    <w:p w14:paraId="44170829" w14:textId="3F544BCF" w:rsidR="000004EF" w:rsidRPr="00A724A0" w:rsidRDefault="000E6FC3" w:rsidP="006F6D58">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C874D6">
        <w:rPr>
          <w:rFonts w:ascii="Verdana" w:hAnsi="Verdana"/>
          <w:sz w:val="20"/>
          <w:szCs w:val="20"/>
          <w:lang w:val="es-AR"/>
        </w:rPr>
        <w:t>El 26 de diciembre de 2006 se realizó un estudio de huellas dactilares que dio como resultado que el cuerpo pertenecía a Tirso Román Valenzuela Ávila</w:t>
      </w:r>
      <w:r w:rsidRPr="00EC2F24">
        <w:rPr>
          <w:rStyle w:val="Refdenotaalpie"/>
          <w:rFonts w:ascii="Verdana" w:hAnsi="Verdana"/>
          <w:sz w:val="20"/>
          <w:szCs w:val="20"/>
          <w:lang w:val="es-AR"/>
        </w:rPr>
        <w:footnoteReference w:id="86"/>
      </w:r>
      <w:r w:rsidRPr="00C874D6">
        <w:rPr>
          <w:rFonts w:ascii="Verdana" w:hAnsi="Verdana"/>
          <w:sz w:val="20"/>
          <w:szCs w:val="20"/>
          <w:lang w:val="es-AR"/>
        </w:rPr>
        <w:t>. El 21 de junio de 2007 se emitió la certificación d</w:t>
      </w:r>
      <w:r w:rsidR="00102B0E">
        <w:rPr>
          <w:rFonts w:ascii="Verdana" w:hAnsi="Verdana"/>
          <w:sz w:val="20"/>
          <w:szCs w:val="20"/>
          <w:lang w:val="es-AR"/>
        </w:rPr>
        <w:t>e defunción en la cual se indicó</w:t>
      </w:r>
      <w:r w:rsidRPr="00C874D6">
        <w:rPr>
          <w:rFonts w:ascii="Verdana" w:hAnsi="Verdana"/>
          <w:sz w:val="20"/>
          <w:szCs w:val="20"/>
          <w:lang w:val="es-AR"/>
        </w:rPr>
        <w:t xml:space="preserve"> que “p</w:t>
      </w:r>
      <w:r w:rsidR="009C7DC5">
        <w:rPr>
          <w:rFonts w:ascii="Verdana" w:hAnsi="Verdana"/>
          <w:sz w:val="20"/>
          <w:szCs w:val="20"/>
          <w:lang w:val="es-AR"/>
        </w:rPr>
        <w:t>ertenece a ‘hombre desconocido’</w:t>
      </w:r>
      <w:r w:rsidRPr="00EC2F24">
        <w:rPr>
          <w:rStyle w:val="Refdenotaalpie"/>
          <w:rFonts w:ascii="Verdana" w:hAnsi="Verdana"/>
          <w:sz w:val="20"/>
          <w:szCs w:val="20"/>
          <w:lang w:val="es-AR"/>
        </w:rPr>
        <w:footnoteReference w:id="87"/>
      </w:r>
      <w:r w:rsidR="00552E87">
        <w:rPr>
          <w:rFonts w:ascii="Verdana" w:hAnsi="Verdana"/>
          <w:sz w:val="20"/>
          <w:szCs w:val="20"/>
          <w:lang w:val="es-AR"/>
        </w:rPr>
        <w:t xml:space="preserve">. </w:t>
      </w:r>
      <w:r w:rsidR="00F24F2B">
        <w:rPr>
          <w:rFonts w:ascii="Verdana" w:hAnsi="Verdana"/>
          <w:sz w:val="20"/>
          <w:szCs w:val="20"/>
          <w:lang w:val="es-AR"/>
        </w:rPr>
        <w:t>Después</w:t>
      </w:r>
      <w:r w:rsidR="00552E87">
        <w:rPr>
          <w:rFonts w:ascii="Verdana" w:hAnsi="Verdana"/>
          <w:sz w:val="20"/>
          <w:szCs w:val="20"/>
          <w:lang w:val="es-AR"/>
        </w:rPr>
        <w:t>, el 18</w:t>
      </w:r>
      <w:r w:rsidRPr="00C874D6">
        <w:rPr>
          <w:rFonts w:ascii="Verdana" w:hAnsi="Verdana"/>
          <w:sz w:val="20"/>
          <w:szCs w:val="20"/>
          <w:lang w:val="es-AR"/>
        </w:rPr>
        <w:t xml:space="preserve"> de septiembre de 2007 la Fiscalía solicitó rectificar la partida de defunción toda vez que se había logrado identificar a Tirso Román Valenzuela Ávila como </w:t>
      </w:r>
      <w:r w:rsidRPr="00C874D6">
        <w:rPr>
          <w:rFonts w:ascii="Verdana" w:hAnsi="Verdana"/>
          <w:sz w:val="20"/>
          <w:szCs w:val="20"/>
          <w:lang w:val="es-AR"/>
        </w:rPr>
        <w:lastRenderedPageBreak/>
        <w:t>el fallecido</w:t>
      </w:r>
      <w:r w:rsidRPr="00EC2F24">
        <w:rPr>
          <w:rStyle w:val="Refdenotaalpie"/>
          <w:rFonts w:ascii="Verdana" w:hAnsi="Verdana"/>
          <w:sz w:val="20"/>
          <w:szCs w:val="20"/>
          <w:lang w:val="es-AR"/>
        </w:rPr>
        <w:footnoteReference w:id="88"/>
      </w:r>
      <w:r w:rsidR="00552E87">
        <w:rPr>
          <w:rFonts w:ascii="Verdana" w:hAnsi="Verdana"/>
          <w:sz w:val="20"/>
          <w:szCs w:val="20"/>
          <w:lang w:val="es-AR"/>
        </w:rPr>
        <w:t>, motivo por el cual el 1</w:t>
      </w:r>
      <w:r w:rsidR="00D950F7">
        <w:rPr>
          <w:rFonts w:ascii="Verdana" w:hAnsi="Verdana"/>
          <w:sz w:val="20"/>
          <w:szCs w:val="20"/>
          <w:lang w:val="es-AR"/>
        </w:rPr>
        <w:t>6</w:t>
      </w:r>
      <w:r w:rsidRPr="00C874D6">
        <w:rPr>
          <w:rFonts w:ascii="Verdana" w:hAnsi="Verdana"/>
          <w:sz w:val="20"/>
          <w:szCs w:val="20"/>
          <w:lang w:val="es-AR"/>
        </w:rPr>
        <w:t xml:space="preserve"> de noviembre de 2007 se consignó el nombre de Tirso Román Valenzuela en su Partida de Defunción</w:t>
      </w:r>
      <w:r w:rsidRPr="00EC2F24">
        <w:rPr>
          <w:rStyle w:val="Refdenotaalpie"/>
          <w:rFonts w:ascii="Verdana" w:hAnsi="Verdana"/>
          <w:sz w:val="20"/>
          <w:szCs w:val="20"/>
          <w:lang w:val="es-AR"/>
        </w:rPr>
        <w:footnoteReference w:id="89"/>
      </w:r>
      <w:r w:rsidRPr="00C874D6">
        <w:rPr>
          <w:rFonts w:ascii="Verdana" w:hAnsi="Verdana"/>
          <w:sz w:val="20"/>
          <w:szCs w:val="20"/>
          <w:lang w:val="es-AR"/>
        </w:rPr>
        <w:t xml:space="preserve">. </w:t>
      </w:r>
    </w:p>
    <w:p w14:paraId="42A0D93F" w14:textId="77777777" w:rsidR="00A724A0" w:rsidRPr="00A724A0" w:rsidRDefault="00A724A0" w:rsidP="00A724A0">
      <w:pPr>
        <w:pStyle w:val="Prrafodelista"/>
        <w:ind w:left="0"/>
        <w:rPr>
          <w:rFonts w:ascii="Verdana" w:hAnsi="Verdana"/>
          <w:sz w:val="20"/>
          <w:szCs w:val="20"/>
          <w:lang w:val="es-CR"/>
        </w:rPr>
      </w:pPr>
    </w:p>
    <w:p w14:paraId="2FBB2340" w14:textId="77777777" w:rsidR="000004EF" w:rsidRPr="00A724A0" w:rsidRDefault="000E6FC3" w:rsidP="006F6D58">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A724A0">
        <w:rPr>
          <w:rFonts w:ascii="Verdana" w:hAnsi="Verdana"/>
          <w:sz w:val="20"/>
          <w:szCs w:val="20"/>
          <w:lang w:val="es-AR"/>
        </w:rPr>
        <w:t>EL 28 de septiembre de 2009 la Municipalidad de Santa Lucía de Cotzumalguapa, Escuintla informó a la Fiscalía que en el Cementerio Municipal se encuentra una sepultura ínfima con una cruz de madera, en la cual se puede leer la inscripción “E.P.D Tirso Román Valenzuela A”</w:t>
      </w:r>
      <w:r w:rsidRPr="00EC2F24">
        <w:rPr>
          <w:rStyle w:val="Refdenotaalpie"/>
          <w:rFonts w:ascii="Verdana" w:hAnsi="Verdana"/>
          <w:sz w:val="20"/>
          <w:szCs w:val="20"/>
          <w:lang w:val="es-AR"/>
        </w:rPr>
        <w:footnoteReference w:id="90"/>
      </w:r>
      <w:r w:rsidRPr="00A724A0">
        <w:rPr>
          <w:rFonts w:ascii="Verdana" w:hAnsi="Verdana"/>
          <w:sz w:val="20"/>
          <w:szCs w:val="20"/>
          <w:lang w:val="es-AR"/>
        </w:rPr>
        <w:t xml:space="preserve">. </w:t>
      </w:r>
    </w:p>
    <w:p w14:paraId="39440E2A" w14:textId="77777777" w:rsidR="00A724A0" w:rsidRPr="00A724A0" w:rsidRDefault="00A724A0" w:rsidP="00A724A0">
      <w:pPr>
        <w:pStyle w:val="Prrafodelista"/>
        <w:ind w:left="0"/>
        <w:rPr>
          <w:rFonts w:ascii="Verdana" w:hAnsi="Verdana"/>
          <w:sz w:val="20"/>
          <w:szCs w:val="20"/>
          <w:lang w:val="es-CR"/>
        </w:rPr>
      </w:pPr>
    </w:p>
    <w:p w14:paraId="02E038C7" w14:textId="65C60164" w:rsidR="00A724A0" w:rsidRPr="00A724A0" w:rsidRDefault="000E6FC3" w:rsidP="006F6D58">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A724A0">
        <w:rPr>
          <w:rFonts w:ascii="Verdana" w:hAnsi="Verdana"/>
          <w:sz w:val="20"/>
          <w:szCs w:val="20"/>
          <w:lang w:val="es-AR"/>
        </w:rPr>
        <w:t>El 16 de junio</w:t>
      </w:r>
      <w:r w:rsidR="00BE7DBF">
        <w:rPr>
          <w:rFonts w:ascii="Verdana" w:hAnsi="Verdana"/>
          <w:sz w:val="20"/>
          <w:szCs w:val="20"/>
          <w:lang w:val="es-AR"/>
        </w:rPr>
        <w:t xml:space="preserve"> de 2009 el Fiscal General y </w:t>
      </w:r>
      <w:r w:rsidRPr="00A724A0">
        <w:rPr>
          <w:rFonts w:ascii="Verdana" w:hAnsi="Verdana"/>
          <w:sz w:val="20"/>
          <w:szCs w:val="20"/>
          <w:lang w:val="es-AR"/>
        </w:rPr>
        <w:t>el Jefe del Ministerio Público dirigieron una nota a las tres fiscalías, que en ese momento investigaban el caso de la muerte del señor Valenzuela, a los fines de que tuvieran una reunión de trabajo para determinar a cuál de las tres le corresponde cono</w:t>
      </w:r>
      <w:r w:rsidR="00E73061" w:rsidRPr="00A724A0">
        <w:rPr>
          <w:rFonts w:ascii="Verdana" w:hAnsi="Verdana"/>
          <w:sz w:val="20"/>
          <w:szCs w:val="20"/>
          <w:lang w:val="es-AR"/>
        </w:rPr>
        <w:t>cer del mismo y para que remitieran</w:t>
      </w:r>
      <w:r w:rsidRPr="00A724A0">
        <w:rPr>
          <w:rFonts w:ascii="Verdana" w:hAnsi="Verdana"/>
          <w:sz w:val="20"/>
          <w:szCs w:val="20"/>
          <w:lang w:val="es-AR"/>
        </w:rPr>
        <w:t xml:space="preserve"> un informe circunstanciado del caso del señor Tirso Román Valenzuela Ávila</w:t>
      </w:r>
      <w:r w:rsidRPr="00EC2F24">
        <w:rPr>
          <w:rStyle w:val="Refdenotaalpie"/>
          <w:rFonts w:ascii="Verdana" w:hAnsi="Verdana"/>
          <w:sz w:val="20"/>
          <w:szCs w:val="20"/>
          <w:lang w:val="es-AR"/>
        </w:rPr>
        <w:footnoteReference w:id="91"/>
      </w:r>
      <w:r w:rsidRPr="00A724A0">
        <w:rPr>
          <w:rFonts w:ascii="Verdana" w:hAnsi="Verdana"/>
          <w:sz w:val="20"/>
          <w:szCs w:val="20"/>
          <w:lang w:val="es-AR"/>
        </w:rPr>
        <w:t>. Una de esas Fiscalías respondió el 17 de junio de 2009 con todas las diligencias llevadas a cabo desde el 8 de diciembre de 2006 a la fecha de remisión del informe</w:t>
      </w:r>
      <w:r w:rsidRPr="00EC2F24">
        <w:rPr>
          <w:rStyle w:val="Refdenotaalpie"/>
          <w:rFonts w:ascii="Verdana" w:hAnsi="Verdana"/>
          <w:sz w:val="20"/>
          <w:szCs w:val="20"/>
          <w:lang w:val="es-AR"/>
        </w:rPr>
        <w:footnoteReference w:id="92"/>
      </w:r>
      <w:r w:rsidRPr="00A724A0">
        <w:rPr>
          <w:rFonts w:ascii="Verdana" w:hAnsi="Verdana"/>
          <w:sz w:val="20"/>
          <w:szCs w:val="20"/>
          <w:lang w:val="es-AR"/>
        </w:rPr>
        <w:t>.</w:t>
      </w:r>
    </w:p>
    <w:p w14:paraId="6EEEE3C3" w14:textId="77777777" w:rsidR="00A724A0" w:rsidRPr="00A724A0" w:rsidRDefault="00A724A0" w:rsidP="00A724A0">
      <w:pPr>
        <w:pStyle w:val="Prrafodelista"/>
        <w:ind w:left="0"/>
        <w:rPr>
          <w:rFonts w:ascii="Verdana" w:hAnsi="Verdana"/>
          <w:sz w:val="20"/>
          <w:szCs w:val="20"/>
          <w:lang w:val="es-AR"/>
        </w:rPr>
      </w:pPr>
    </w:p>
    <w:p w14:paraId="5F7367BD" w14:textId="296AFBE3" w:rsidR="00595B25" w:rsidRPr="00234DF5" w:rsidRDefault="000E6FC3" w:rsidP="00755341">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234DF5">
        <w:rPr>
          <w:rFonts w:ascii="Verdana" w:hAnsi="Verdana"/>
          <w:sz w:val="20"/>
          <w:szCs w:val="20"/>
          <w:lang w:val="es-AR"/>
        </w:rPr>
        <w:t xml:space="preserve"> </w:t>
      </w:r>
      <w:r w:rsidR="00E73061" w:rsidRPr="00234DF5">
        <w:rPr>
          <w:rFonts w:ascii="Verdana" w:hAnsi="Verdana"/>
          <w:sz w:val="20"/>
          <w:szCs w:val="20"/>
          <w:lang w:val="es-AR"/>
        </w:rPr>
        <w:t>El 6 de diciembre de 2011</w:t>
      </w:r>
      <w:r w:rsidRPr="00234DF5">
        <w:rPr>
          <w:rFonts w:ascii="Verdana" w:hAnsi="Verdana"/>
          <w:sz w:val="20"/>
          <w:szCs w:val="20"/>
          <w:lang w:val="es-AR"/>
        </w:rPr>
        <w:t xml:space="preserve"> la Comisión Internacional contra la Impunidad en Guatemala “</w:t>
      </w:r>
      <w:proofErr w:type="spellStart"/>
      <w:r w:rsidRPr="00234DF5">
        <w:rPr>
          <w:rFonts w:ascii="Verdana" w:hAnsi="Verdana"/>
          <w:sz w:val="20"/>
          <w:szCs w:val="20"/>
          <w:lang w:val="es-AR"/>
        </w:rPr>
        <w:t>consider</w:t>
      </w:r>
      <w:proofErr w:type="spellEnd"/>
      <w:r w:rsidRPr="00234DF5">
        <w:rPr>
          <w:rFonts w:ascii="Verdana" w:hAnsi="Verdana"/>
          <w:sz w:val="20"/>
          <w:szCs w:val="20"/>
          <w:lang w:val="es-AR"/>
        </w:rPr>
        <w:t>[</w:t>
      </w:r>
      <w:proofErr w:type="spellStart"/>
      <w:r w:rsidRPr="00234DF5">
        <w:rPr>
          <w:rFonts w:ascii="Verdana" w:hAnsi="Verdana"/>
          <w:sz w:val="20"/>
          <w:szCs w:val="20"/>
          <w:lang w:val="es-AR"/>
        </w:rPr>
        <w:t>ó</w:t>
      </w:r>
      <w:proofErr w:type="spellEnd"/>
      <w:r w:rsidRPr="00234DF5">
        <w:rPr>
          <w:rFonts w:ascii="Verdana" w:hAnsi="Verdana"/>
          <w:sz w:val="20"/>
          <w:szCs w:val="20"/>
          <w:lang w:val="es-AR"/>
        </w:rPr>
        <w:t xml:space="preserve">] oportuno que el expediente [que investiga la causa del señor Valenzuela] sea trasladado a la […] Fiscalía Especial contra la Impunidad, para unirlo al resto de casos de los fugados de la cárcel de máxima seguridad </w:t>
      </w:r>
      <w:r w:rsidR="00DC793C" w:rsidRPr="00234DF5">
        <w:rPr>
          <w:rFonts w:ascii="Verdana" w:hAnsi="Verdana"/>
          <w:sz w:val="20"/>
          <w:szCs w:val="20"/>
          <w:lang w:val="es-AR"/>
        </w:rPr>
        <w:t xml:space="preserve">“El </w:t>
      </w:r>
      <w:r w:rsidRPr="00234DF5">
        <w:rPr>
          <w:rFonts w:ascii="Verdana" w:hAnsi="Verdana"/>
          <w:sz w:val="20"/>
          <w:szCs w:val="20"/>
          <w:lang w:val="es-AR"/>
        </w:rPr>
        <w:t>Infiernito</w:t>
      </w:r>
      <w:r w:rsidR="00DC793C" w:rsidRPr="00234DF5">
        <w:rPr>
          <w:rFonts w:ascii="Verdana" w:hAnsi="Verdana"/>
          <w:sz w:val="20"/>
          <w:szCs w:val="20"/>
          <w:lang w:val="es-AR"/>
        </w:rPr>
        <w:t>”</w:t>
      </w:r>
      <w:r w:rsidRPr="00234DF5">
        <w:rPr>
          <w:rFonts w:ascii="Verdana" w:hAnsi="Verdana"/>
          <w:sz w:val="20"/>
          <w:szCs w:val="20"/>
          <w:lang w:val="es-AR"/>
        </w:rPr>
        <w:t xml:space="preserve"> de Escuintla y a los cuales se les dio muerte cuando fueron recapturados”</w:t>
      </w:r>
      <w:r w:rsidRPr="003D64E6">
        <w:rPr>
          <w:rStyle w:val="Refdenotaalpie"/>
          <w:rFonts w:ascii="Verdana" w:hAnsi="Verdana"/>
          <w:sz w:val="20"/>
          <w:szCs w:val="20"/>
          <w:lang w:val="es-AR"/>
        </w:rPr>
        <w:footnoteReference w:id="93"/>
      </w:r>
      <w:r w:rsidRPr="00234DF5">
        <w:rPr>
          <w:rFonts w:ascii="Verdana" w:hAnsi="Verdana"/>
          <w:sz w:val="20"/>
          <w:szCs w:val="20"/>
          <w:lang w:val="es-AR"/>
        </w:rPr>
        <w:t>.</w:t>
      </w:r>
      <w:r w:rsidR="00962F49" w:rsidRPr="00234DF5">
        <w:rPr>
          <w:rFonts w:ascii="Verdana" w:hAnsi="Verdana"/>
          <w:sz w:val="20"/>
          <w:szCs w:val="20"/>
          <w:lang w:val="es-AR"/>
        </w:rPr>
        <w:t xml:space="preserve"> </w:t>
      </w:r>
    </w:p>
    <w:p w14:paraId="084DF76E" w14:textId="77777777" w:rsidR="00234DF5" w:rsidRPr="00234DF5" w:rsidRDefault="00234DF5" w:rsidP="00234DF5">
      <w:pPr>
        <w:pStyle w:val="Prrafodelista"/>
        <w:autoSpaceDE w:val="0"/>
        <w:autoSpaceDN w:val="0"/>
        <w:adjustRightInd w:val="0"/>
        <w:spacing w:after="0" w:line="240" w:lineRule="auto"/>
        <w:ind w:left="0"/>
        <w:jc w:val="both"/>
        <w:rPr>
          <w:rFonts w:ascii="Verdana" w:hAnsi="Verdana"/>
          <w:sz w:val="20"/>
          <w:szCs w:val="20"/>
          <w:lang w:val="es-CR"/>
        </w:rPr>
      </w:pPr>
    </w:p>
    <w:p w14:paraId="2A2DBAC0" w14:textId="333DD6F7" w:rsidR="00234DF5" w:rsidRPr="00234DF5" w:rsidRDefault="00090F17" w:rsidP="00234DF5">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Pr>
          <w:rFonts w:ascii="Verdana" w:hAnsi="Verdana"/>
          <w:sz w:val="20"/>
          <w:szCs w:val="20"/>
          <w:lang w:val="es-AR"/>
        </w:rPr>
        <w:t>El 12</w:t>
      </w:r>
      <w:r w:rsidR="00234DF5" w:rsidRPr="003D64E6">
        <w:rPr>
          <w:rFonts w:ascii="Verdana" w:hAnsi="Verdana"/>
          <w:sz w:val="20"/>
          <w:szCs w:val="20"/>
          <w:lang w:val="es-AR"/>
        </w:rPr>
        <w:t xml:space="preserve"> de diciembre de 2018 la Fiscalía Especial contra la Impunidad informó respecto de las diligencias de investigación que en esa fecha se encontraba realizando </w:t>
      </w:r>
    </w:p>
    <w:p w14:paraId="5BF16A39" w14:textId="77777777" w:rsidR="00234DF5" w:rsidRDefault="00234DF5" w:rsidP="00234DF5">
      <w:pPr>
        <w:pStyle w:val="Prrafodelista"/>
        <w:autoSpaceDE w:val="0"/>
        <w:autoSpaceDN w:val="0"/>
        <w:adjustRightInd w:val="0"/>
        <w:spacing w:after="0" w:line="240" w:lineRule="auto"/>
        <w:ind w:left="0"/>
        <w:jc w:val="both"/>
        <w:rPr>
          <w:rFonts w:ascii="Verdana" w:hAnsi="Verdana"/>
          <w:sz w:val="20"/>
          <w:szCs w:val="20"/>
          <w:lang w:val="es-CR"/>
        </w:rPr>
      </w:pPr>
    </w:p>
    <w:p w14:paraId="32EDE276" w14:textId="21FA811D" w:rsidR="00234DF5" w:rsidRDefault="00234DF5" w:rsidP="00234DF5">
      <w:pPr>
        <w:pStyle w:val="Prrafodelista"/>
        <w:autoSpaceDE w:val="0"/>
        <w:autoSpaceDN w:val="0"/>
        <w:adjustRightInd w:val="0"/>
        <w:spacing w:after="0" w:line="240" w:lineRule="auto"/>
        <w:ind w:right="598"/>
        <w:jc w:val="both"/>
        <w:rPr>
          <w:rFonts w:ascii="Verdana" w:hAnsi="Verdana"/>
          <w:sz w:val="20"/>
          <w:szCs w:val="20"/>
          <w:lang w:val="es-CR"/>
        </w:rPr>
      </w:pPr>
      <w:r w:rsidRPr="003D64E6">
        <w:rPr>
          <w:rFonts w:ascii="Verdana" w:hAnsi="Verdana"/>
          <w:sz w:val="20"/>
          <w:szCs w:val="20"/>
          <w:lang w:val="es-AR"/>
        </w:rPr>
        <w:t xml:space="preserve">las actuaciones [relacionadas con] la muerte violenta del señor VALENZUELA ÁVILA, la cual cuenta con control jurisdiccional a cargo de la Juez Primero de Primera Instancia Penal </w:t>
      </w:r>
      <w:proofErr w:type="spellStart"/>
      <w:r w:rsidRPr="003D64E6">
        <w:rPr>
          <w:rFonts w:ascii="Verdana" w:hAnsi="Verdana"/>
          <w:sz w:val="20"/>
          <w:szCs w:val="20"/>
          <w:lang w:val="es-AR"/>
        </w:rPr>
        <w:t>Narcoatividad</w:t>
      </w:r>
      <w:proofErr w:type="spellEnd"/>
      <w:r w:rsidRPr="003D64E6">
        <w:rPr>
          <w:rFonts w:ascii="Verdana" w:hAnsi="Verdana"/>
          <w:sz w:val="20"/>
          <w:szCs w:val="20"/>
          <w:lang w:val="es-AR"/>
        </w:rPr>
        <w:t xml:space="preserve"> y Delitos Contra el Ambiente […] y se ha[</w:t>
      </w:r>
      <w:proofErr w:type="spellStart"/>
      <w:r w:rsidRPr="003D64E6">
        <w:rPr>
          <w:rFonts w:ascii="Verdana" w:hAnsi="Verdana"/>
          <w:sz w:val="20"/>
          <w:szCs w:val="20"/>
          <w:lang w:val="es-AR"/>
        </w:rPr>
        <w:t>bían</w:t>
      </w:r>
      <w:proofErr w:type="spellEnd"/>
      <w:r w:rsidRPr="003D64E6">
        <w:rPr>
          <w:rFonts w:ascii="Verdana" w:hAnsi="Verdana"/>
          <w:sz w:val="20"/>
          <w:szCs w:val="20"/>
          <w:lang w:val="es-AR"/>
        </w:rPr>
        <w:t>] desarrollado recientemente [en esa fecha] diversas diligencias de investigación relacionadas a su ejecución extrajudicial habiéndose requerido […] a dependencias del Estado declaraciones testimoniales de testigos, familiares y referenciales, […] practicado reconstrucciones de los hechos, obtenido inclusive evidencia material balística, [… y] practicado declaraciones testimoniales en calidad de anticipo de prueba”; pero “no se ha determinado la identid</w:t>
      </w:r>
      <w:r>
        <w:rPr>
          <w:rFonts w:ascii="Verdana" w:hAnsi="Verdana"/>
          <w:sz w:val="20"/>
          <w:szCs w:val="20"/>
          <w:lang w:val="es-AR"/>
        </w:rPr>
        <w:t>ad de las personas responsables</w:t>
      </w:r>
      <w:r w:rsidRPr="003D64E6">
        <w:rPr>
          <w:rStyle w:val="Refdenotaalpie"/>
          <w:rFonts w:ascii="Verdana" w:hAnsi="Verdana"/>
          <w:sz w:val="20"/>
          <w:szCs w:val="20"/>
          <w:lang w:val="es-AR"/>
        </w:rPr>
        <w:footnoteReference w:id="94"/>
      </w:r>
      <w:r>
        <w:rPr>
          <w:rFonts w:ascii="Verdana" w:hAnsi="Verdana"/>
          <w:sz w:val="20"/>
          <w:szCs w:val="20"/>
          <w:lang w:val="es-AR"/>
        </w:rPr>
        <w:t xml:space="preserve"> (mayúsculas del original)</w:t>
      </w:r>
      <w:r w:rsidRPr="003D64E6">
        <w:rPr>
          <w:rFonts w:ascii="Verdana" w:hAnsi="Verdana"/>
          <w:sz w:val="20"/>
          <w:szCs w:val="20"/>
          <w:lang w:val="es-AR"/>
        </w:rPr>
        <w:t>.</w:t>
      </w:r>
      <w:r>
        <w:rPr>
          <w:rFonts w:ascii="Verdana" w:hAnsi="Verdana"/>
          <w:sz w:val="20"/>
          <w:szCs w:val="20"/>
          <w:lang w:val="es-CR"/>
        </w:rPr>
        <w:t xml:space="preserve"> </w:t>
      </w:r>
    </w:p>
    <w:p w14:paraId="3404F9FC" w14:textId="77777777" w:rsidR="00234DF5" w:rsidRPr="00234DF5" w:rsidRDefault="00234DF5" w:rsidP="00234DF5">
      <w:pPr>
        <w:pStyle w:val="Prrafodelista"/>
        <w:rPr>
          <w:rFonts w:ascii="Verdana" w:hAnsi="Verdana"/>
          <w:sz w:val="20"/>
          <w:szCs w:val="20"/>
          <w:lang w:val="es-AR"/>
        </w:rPr>
      </w:pPr>
    </w:p>
    <w:p w14:paraId="1EAC5360" w14:textId="6B1587BB" w:rsidR="008448A1" w:rsidRPr="00234DF5" w:rsidRDefault="00AD4265" w:rsidP="00234DF5">
      <w:pPr>
        <w:pStyle w:val="Prrafodelista"/>
        <w:autoSpaceDE w:val="0"/>
        <w:autoSpaceDN w:val="0"/>
        <w:adjustRightInd w:val="0"/>
        <w:spacing w:after="0" w:line="240" w:lineRule="auto"/>
        <w:ind w:left="0"/>
        <w:jc w:val="both"/>
        <w:rPr>
          <w:rFonts w:ascii="Verdana" w:hAnsi="Verdana"/>
          <w:sz w:val="20"/>
          <w:szCs w:val="20"/>
          <w:lang w:val="es-CR"/>
        </w:rPr>
      </w:pPr>
      <w:r w:rsidRPr="00234DF5">
        <w:rPr>
          <w:rFonts w:ascii="Verdana" w:hAnsi="Verdana"/>
          <w:sz w:val="20"/>
          <w:szCs w:val="20"/>
          <w:lang w:val="es-AR"/>
        </w:rPr>
        <w:t>Las circunstancias de la muerte del señor Tirso Román Valenzuela Ávila aún siguen</w:t>
      </w:r>
      <w:r w:rsidRPr="00234DF5">
        <w:rPr>
          <w:rFonts w:ascii="Verdana" w:hAnsi="Verdana"/>
          <w:sz w:val="20"/>
          <w:szCs w:val="20"/>
        </w:rPr>
        <w:t xml:space="preserve"> siendo investigadas a nivel interno</w:t>
      </w:r>
      <w:r w:rsidRPr="00234DF5">
        <w:rPr>
          <w:rFonts w:ascii="Verdana" w:hAnsi="Verdana"/>
          <w:sz w:val="20"/>
          <w:szCs w:val="20"/>
          <w:lang w:val="es-AR"/>
        </w:rPr>
        <w:t>.</w:t>
      </w:r>
    </w:p>
    <w:p w14:paraId="544B3AFC" w14:textId="77777777" w:rsidR="00716B08" w:rsidRDefault="00716B08" w:rsidP="00716B08">
      <w:pPr>
        <w:pStyle w:val="Prrafodelista"/>
        <w:autoSpaceDE w:val="0"/>
        <w:autoSpaceDN w:val="0"/>
        <w:adjustRightInd w:val="0"/>
        <w:spacing w:after="0" w:line="240" w:lineRule="auto"/>
        <w:ind w:left="0"/>
        <w:jc w:val="both"/>
        <w:rPr>
          <w:rFonts w:ascii="Verdana" w:hAnsi="Verdana"/>
          <w:sz w:val="20"/>
          <w:szCs w:val="20"/>
          <w:lang w:val="es-CR"/>
        </w:rPr>
      </w:pPr>
    </w:p>
    <w:p w14:paraId="0BAFD3BF" w14:textId="77777777" w:rsidR="00716B08" w:rsidRDefault="00716B08" w:rsidP="00716B08">
      <w:pPr>
        <w:pStyle w:val="Prrafodelista"/>
        <w:autoSpaceDE w:val="0"/>
        <w:autoSpaceDN w:val="0"/>
        <w:adjustRightInd w:val="0"/>
        <w:spacing w:after="0" w:line="240" w:lineRule="auto"/>
        <w:ind w:left="0"/>
        <w:jc w:val="both"/>
        <w:rPr>
          <w:rFonts w:ascii="Verdana" w:hAnsi="Verdana"/>
          <w:sz w:val="20"/>
          <w:szCs w:val="20"/>
          <w:lang w:val="es-CR"/>
        </w:rPr>
      </w:pPr>
    </w:p>
    <w:p w14:paraId="03337057" w14:textId="77777777" w:rsidR="00716B08" w:rsidRPr="00D539AC" w:rsidRDefault="00716B08" w:rsidP="00716B08">
      <w:pPr>
        <w:pStyle w:val="Prrafodelista"/>
        <w:autoSpaceDE w:val="0"/>
        <w:autoSpaceDN w:val="0"/>
        <w:adjustRightInd w:val="0"/>
        <w:spacing w:after="0" w:line="240" w:lineRule="auto"/>
        <w:ind w:left="0"/>
        <w:jc w:val="both"/>
        <w:rPr>
          <w:rFonts w:ascii="Verdana" w:hAnsi="Verdana"/>
          <w:sz w:val="20"/>
          <w:szCs w:val="20"/>
          <w:lang w:val="es-CR"/>
        </w:rPr>
      </w:pPr>
    </w:p>
    <w:p w14:paraId="5407575A" w14:textId="77777777" w:rsidR="00084C68" w:rsidRPr="00084C68" w:rsidRDefault="00D36319" w:rsidP="0060326C">
      <w:pPr>
        <w:pStyle w:val="Ttulo1"/>
        <w:spacing w:before="0"/>
      </w:pPr>
      <w:bookmarkStart w:id="38" w:name="_Toc25247752"/>
      <w:r>
        <w:t>VIII</w:t>
      </w:r>
      <w:r w:rsidRPr="008D2CAF">
        <w:t xml:space="preserve"> </w:t>
      </w:r>
      <w:r>
        <w:br/>
      </w:r>
      <w:r w:rsidRPr="008D2CAF">
        <w:t>FONDO</w:t>
      </w:r>
      <w:bookmarkEnd w:id="38"/>
    </w:p>
    <w:p w14:paraId="38AEEA7E" w14:textId="77777777" w:rsidR="00A55271" w:rsidRDefault="00A55271" w:rsidP="0060326C">
      <w:pPr>
        <w:pStyle w:val="Prrafodelista"/>
        <w:autoSpaceDE w:val="0"/>
        <w:autoSpaceDN w:val="0"/>
        <w:adjustRightInd w:val="0"/>
        <w:spacing w:after="0" w:line="240" w:lineRule="auto"/>
        <w:ind w:left="0"/>
        <w:jc w:val="both"/>
        <w:rPr>
          <w:rFonts w:ascii="Verdana" w:hAnsi="Verdana"/>
          <w:sz w:val="20"/>
          <w:szCs w:val="20"/>
          <w:lang w:val="es-CR"/>
        </w:rPr>
      </w:pPr>
    </w:p>
    <w:p w14:paraId="2966B29A" w14:textId="1A2C6A1F" w:rsidR="00D36319" w:rsidRPr="00D36319" w:rsidRDefault="000E6FC3" w:rsidP="00D36319">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D36319">
        <w:rPr>
          <w:rFonts w:ascii="Verdana" w:hAnsi="Verdana"/>
          <w:sz w:val="20"/>
          <w:szCs w:val="20"/>
          <w:lang w:val="es-CR"/>
        </w:rPr>
        <w:t>El presente caso versa sobre la alegada responsabilidad internacional del Estado por la imposición de la pena de muerte con base en un tipo penal que preveía la peligrosidad como elemento típico, así como por las alegadas to</w:t>
      </w:r>
      <w:r w:rsidR="00C22D08">
        <w:rPr>
          <w:rFonts w:ascii="Verdana" w:hAnsi="Verdana"/>
          <w:sz w:val="20"/>
          <w:szCs w:val="20"/>
          <w:lang w:val="es-CR"/>
        </w:rPr>
        <w:t xml:space="preserve">rturas, </w:t>
      </w:r>
      <w:r w:rsidRPr="00D36319">
        <w:rPr>
          <w:rFonts w:ascii="Verdana" w:hAnsi="Verdana"/>
          <w:sz w:val="20"/>
          <w:szCs w:val="20"/>
          <w:lang w:val="es-CR"/>
        </w:rPr>
        <w:t xml:space="preserve">actos de violencia y las violaciones </w:t>
      </w:r>
      <w:r w:rsidRPr="00D36319">
        <w:rPr>
          <w:rFonts w:ascii="Verdana" w:eastAsia="Verdana" w:hAnsi="Verdana" w:cs="Verdana"/>
          <w:color w:val="000000"/>
          <w:sz w:val="20"/>
          <w:szCs w:val="20"/>
          <w:lang w:val="es-CR"/>
        </w:rPr>
        <w:t>al debido proceso cometidas en el marco del proceso penal contra</w:t>
      </w:r>
      <w:r w:rsidRPr="00D36319">
        <w:rPr>
          <w:rFonts w:ascii="Verdana" w:hAnsi="Verdana"/>
          <w:sz w:val="20"/>
          <w:szCs w:val="20"/>
          <w:lang w:val="es-CR"/>
        </w:rPr>
        <w:t xml:space="preserve"> Tirso Román Valenzuela Ávila</w:t>
      </w:r>
      <w:r w:rsidRPr="00D36319">
        <w:rPr>
          <w:rFonts w:ascii="Verdana" w:eastAsia="Verdana" w:hAnsi="Verdana" w:cs="Verdana"/>
          <w:color w:val="000000"/>
          <w:sz w:val="20"/>
          <w:szCs w:val="20"/>
          <w:lang w:val="es-CR"/>
        </w:rPr>
        <w:t xml:space="preserve">. Dicho proceso culminó en sentencia condenatoria de pena de muerte para el señor Valenzuela. Además, </w:t>
      </w:r>
      <w:r w:rsidR="00951404">
        <w:rPr>
          <w:rFonts w:ascii="Verdana" w:eastAsia="Verdana" w:hAnsi="Verdana" w:cs="Verdana"/>
          <w:color w:val="000000"/>
          <w:sz w:val="20"/>
          <w:szCs w:val="20"/>
          <w:lang w:val="es-CR"/>
        </w:rPr>
        <w:t xml:space="preserve">sobre la alegada ejecución extrajudicial </w:t>
      </w:r>
      <w:r w:rsidRPr="00D36319">
        <w:rPr>
          <w:rFonts w:ascii="Verdana" w:eastAsia="Verdana" w:hAnsi="Verdana" w:cs="Verdana"/>
          <w:color w:val="000000"/>
          <w:sz w:val="20"/>
          <w:szCs w:val="20"/>
          <w:lang w:val="es-CR"/>
        </w:rPr>
        <w:t>del señor Valenzuela tras su última fuga del centro penitenciario “El Infiernito”</w:t>
      </w:r>
      <w:r w:rsidR="00951404">
        <w:rPr>
          <w:rFonts w:ascii="Verdana" w:eastAsia="Verdana" w:hAnsi="Verdana" w:cs="Verdana"/>
          <w:color w:val="000000"/>
          <w:sz w:val="20"/>
          <w:szCs w:val="20"/>
          <w:lang w:val="es-CR"/>
        </w:rPr>
        <w:t xml:space="preserve"> </w:t>
      </w:r>
      <w:r w:rsidRPr="00D36319">
        <w:rPr>
          <w:rFonts w:ascii="Verdana" w:eastAsia="Verdana" w:hAnsi="Verdana" w:cs="Verdana"/>
          <w:color w:val="000000"/>
          <w:sz w:val="20"/>
          <w:szCs w:val="20"/>
          <w:lang w:val="es-CR"/>
        </w:rPr>
        <w:t xml:space="preserve">la </w:t>
      </w:r>
      <w:r w:rsidR="00951404">
        <w:rPr>
          <w:rFonts w:ascii="Verdana" w:eastAsia="Verdana" w:hAnsi="Verdana" w:cs="Verdana"/>
          <w:color w:val="000000"/>
          <w:sz w:val="20"/>
          <w:szCs w:val="20"/>
          <w:lang w:val="es-CR"/>
        </w:rPr>
        <w:t xml:space="preserve">eventual </w:t>
      </w:r>
      <w:r w:rsidRPr="00D36319">
        <w:rPr>
          <w:rFonts w:ascii="Verdana" w:eastAsia="Verdana" w:hAnsi="Verdana" w:cs="Verdana"/>
          <w:color w:val="000000"/>
          <w:sz w:val="20"/>
          <w:szCs w:val="20"/>
          <w:lang w:val="es-CR"/>
        </w:rPr>
        <w:t xml:space="preserve">responsabilidad internacional del Estado por las violaciones al derecho a la vida y a las garantías judiciales por la falta de investigación, juzgamiento, y en su caso, la sanción de los posibles responsables, ya que aún </w:t>
      </w:r>
      <w:r w:rsidR="00F24F2B">
        <w:rPr>
          <w:rFonts w:ascii="Verdana" w:eastAsia="Verdana" w:hAnsi="Verdana" w:cs="Verdana"/>
          <w:color w:val="000000"/>
          <w:sz w:val="20"/>
          <w:szCs w:val="20"/>
          <w:lang w:val="es-CR"/>
        </w:rPr>
        <w:t xml:space="preserve">la </w:t>
      </w:r>
      <w:proofErr w:type="gramStart"/>
      <w:r w:rsidR="00F24F2B">
        <w:rPr>
          <w:rFonts w:ascii="Verdana" w:eastAsia="Verdana" w:hAnsi="Verdana" w:cs="Verdana"/>
          <w:color w:val="000000"/>
          <w:sz w:val="20"/>
          <w:szCs w:val="20"/>
          <w:lang w:val="es-CR"/>
        </w:rPr>
        <w:t xml:space="preserve">investigación </w:t>
      </w:r>
      <w:r w:rsidR="00D04102">
        <w:rPr>
          <w:rFonts w:ascii="Verdana" w:eastAsia="Verdana" w:hAnsi="Verdana" w:cs="Verdana"/>
          <w:color w:val="000000"/>
          <w:sz w:val="20"/>
          <w:szCs w:val="20"/>
          <w:lang w:val="es-CR"/>
        </w:rPr>
        <w:t xml:space="preserve"> sigue</w:t>
      </w:r>
      <w:proofErr w:type="gramEnd"/>
      <w:r w:rsidR="00D04102">
        <w:rPr>
          <w:rFonts w:ascii="Verdana" w:eastAsia="Verdana" w:hAnsi="Verdana" w:cs="Verdana"/>
          <w:color w:val="000000"/>
          <w:sz w:val="20"/>
          <w:szCs w:val="20"/>
          <w:lang w:val="es-CR"/>
        </w:rPr>
        <w:t xml:space="preserve"> </w:t>
      </w:r>
      <w:r w:rsidRPr="00D36319">
        <w:rPr>
          <w:rFonts w:ascii="Verdana" w:eastAsia="Verdana" w:hAnsi="Verdana" w:cs="Verdana"/>
          <w:color w:val="000000"/>
          <w:sz w:val="20"/>
          <w:szCs w:val="20"/>
          <w:lang w:val="es-CR"/>
        </w:rPr>
        <w:t>abiert</w:t>
      </w:r>
      <w:r w:rsidR="00F24F2B">
        <w:rPr>
          <w:rFonts w:ascii="Verdana" w:eastAsia="Verdana" w:hAnsi="Verdana" w:cs="Verdana"/>
          <w:color w:val="000000"/>
          <w:sz w:val="20"/>
          <w:szCs w:val="20"/>
          <w:lang w:val="es-CR"/>
        </w:rPr>
        <w:t>a</w:t>
      </w:r>
      <w:r w:rsidRPr="00D34C76">
        <w:rPr>
          <w:rFonts w:ascii="Verdana" w:eastAsia="Verdana" w:hAnsi="Verdana" w:cs="Verdana"/>
          <w:color w:val="000000"/>
          <w:sz w:val="20"/>
          <w:szCs w:val="20"/>
          <w:lang w:val="es-CR"/>
        </w:rPr>
        <w:t>.</w:t>
      </w:r>
      <w:r w:rsidR="005E51FE" w:rsidRPr="00D34C76">
        <w:rPr>
          <w:rFonts w:ascii="Verdana" w:eastAsia="Verdana" w:hAnsi="Verdana" w:cs="Verdana"/>
          <w:color w:val="000000"/>
          <w:sz w:val="20"/>
          <w:szCs w:val="20"/>
          <w:lang w:val="es-CR"/>
        </w:rPr>
        <w:t xml:space="preserve"> A continuación este Tribunal pasa a considerar y resolver el fondo de la controversia. Para ello, analizará: 1) </w:t>
      </w:r>
      <w:r w:rsidR="003C3B89" w:rsidRPr="00D34C76">
        <w:rPr>
          <w:rFonts w:ascii="Verdana" w:eastAsia="Verdana" w:hAnsi="Verdana" w:cs="Verdana"/>
          <w:color w:val="000000"/>
          <w:sz w:val="20"/>
          <w:szCs w:val="20"/>
          <w:lang w:val="es-CR"/>
        </w:rPr>
        <w:t xml:space="preserve">la presunta vulneración de los derecho a las garantías judiciales y protección judicial; 2) </w:t>
      </w:r>
      <w:r w:rsidR="005E51FE" w:rsidRPr="00D34C76">
        <w:rPr>
          <w:rFonts w:ascii="Verdana" w:eastAsia="Verdana" w:hAnsi="Verdana" w:cs="Verdana"/>
          <w:color w:val="000000"/>
          <w:sz w:val="20"/>
          <w:szCs w:val="20"/>
          <w:lang w:val="es-CR"/>
        </w:rPr>
        <w:t>la imposición de la pena de mue</w:t>
      </w:r>
      <w:r w:rsidR="00D04102">
        <w:rPr>
          <w:rFonts w:ascii="Verdana" w:eastAsia="Verdana" w:hAnsi="Verdana" w:cs="Verdana"/>
          <w:color w:val="000000"/>
          <w:sz w:val="20"/>
          <w:szCs w:val="20"/>
          <w:lang w:val="es-CR"/>
        </w:rPr>
        <w:t>rte al señor Valenzuela Ávila;</w:t>
      </w:r>
      <w:r w:rsidR="003C3B89" w:rsidRPr="00D34C76">
        <w:rPr>
          <w:rFonts w:ascii="Verdana" w:eastAsia="Verdana" w:hAnsi="Verdana" w:cs="Verdana"/>
          <w:color w:val="000000"/>
          <w:sz w:val="20"/>
          <w:szCs w:val="20"/>
          <w:lang w:val="es-CR"/>
        </w:rPr>
        <w:t xml:space="preserve"> 3</w:t>
      </w:r>
      <w:r w:rsidR="00D04102">
        <w:rPr>
          <w:rFonts w:ascii="Verdana" w:eastAsia="Verdana" w:hAnsi="Verdana" w:cs="Verdana"/>
          <w:color w:val="000000"/>
          <w:sz w:val="20"/>
          <w:szCs w:val="20"/>
          <w:lang w:val="es-CR"/>
        </w:rPr>
        <w:t xml:space="preserve">) la </w:t>
      </w:r>
      <w:r w:rsidR="005E51FE" w:rsidRPr="00D34C76">
        <w:rPr>
          <w:rFonts w:ascii="Verdana" w:eastAsia="Verdana" w:hAnsi="Verdana" w:cs="Verdana"/>
          <w:color w:val="000000"/>
          <w:sz w:val="20"/>
          <w:szCs w:val="20"/>
          <w:lang w:val="es-CR"/>
        </w:rPr>
        <w:t>muer</w:t>
      </w:r>
      <w:r w:rsidR="00D04102">
        <w:rPr>
          <w:rFonts w:ascii="Verdana" w:eastAsia="Verdana" w:hAnsi="Verdana" w:cs="Verdana"/>
          <w:color w:val="000000"/>
          <w:sz w:val="20"/>
          <w:szCs w:val="20"/>
          <w:lang w:val="es-CR"/>
        </w:rPr>
        <w:t>te del señor Valenzuela Ávila;</w:t>
      </w:r>
      <w:r w:rsidR="003C3B89" w:rsidRPr="00D34C76">
        <w:rPr>
          <w:rFonts w:ascii="Verdana" w:eastAsia="Verdana" w:hAnsi="Verdana" w:cs="Verdana"/>
          <w:color w:val="000000"/>
          <w:sz w:val="20"/>
          <w:szCs w:val="20"/>
          <w:lang w:val="es-CR"/>
        </w:rPr>
        <w:t xml:space="preserve"> 4</w:t>
      </w:r>
      <w:r w:rsidR="005E51FE" w:rsidRPr="00D34C76">
        <w:rPr>
          <w:rFonts w:ascii="Verdana" w:eastAsia="Verdana" w:hAnsi="Verdana" w:cs="Verdana"/>
          <w:color w:val="000000"/>
          <w:sz w:val="20"/>
          <w:szCs w:val="20"/>
          <w:lang w:val="es-CR"/>
        </w:rPr>
        <w:t xml:space="preserve">) las alegadas torturas, violencia sexual y malos tratos sufridos por el señor Valenzuela Ávila, durante su detención y mientras que permanecía privado de libertad, así </w:t>
      </w:r>
      <w:r w:rsidR="00DC793C">
        <w:rPr>
          <w:rFonts w:ascii="Verdana" w:eastAsia="Verdana" w:hAnsi="Verdana" w:cs="Verdana"/>
          <w:color w:val="000000"/>
          <w:sz w:val="20"/>
          <w:szCs w:val="20"/>
          <w:lang w:val="es-CR"/>
        </w:rPr>
        <w:t>como</w:t>
      </w:r>
      <w:r w:rsidR="005E51FE" w:rsidRPr="00D34C76">
        <w:rPr>
          <w:rFonts w:ascii="Verdana" w:eastAsia="Verdana" w:hAnsi="Verdana" w:cs="Verdana"/>
          <w:color w:val="000000"/>
          <w:sz w:val="20"/>
          <w:szCs w:val="20"/>
          <w:lang w:val="es-CR"/>
        </w:rPr>
        <w:t xml:space="preserve"> </w:t>
      </w:r>
      <w:r w:rsidR="00DC793C">
        <w:rPr>
          <w:rFonts w:ascii="Verdana" w:eastAsia="Verdana" w:hAnsi="Verdana" w:cs="Verdana"/>
          <w:color w:val="000000"/>
          <w:sz w:val="20"/>
          <w:szCs w:val="20"/>
          <w:lang w:val="es-CR"/>
        </w:rPr>
        <w:t xml:space="preserve">los </w:t>
      </w:r>
      <w:r w:rsidR="005E51FE" w:rsidRPr="00D34C76">
        <w:rPr>
          <w:rFonts w:ascii="Verdana" w:eastAsia="Verdana" w:hAnsi="Verdana" w:cs="Verdana"/>
          <w:color w:val="000000"/>
          <w:sz w:val="20"/>
          <w:szCs w:val="20"/>
          <w:lang w:val="es-CR"/>
        </w:rPr>
        <w:t>trato</w:t>
      </w:r>
      <w:r w:rsidR="00DC793C">
        <w:rPr>
          <w:rFonts w:ascii="Verdana" w:eastAsia="Verdana" w:hAnsi="Verdana" w:cs="Verdana"/>
          <w:color w:val="000000"/>
          <w:sz w:val="20"/>
          <w:szCs w:val="20"/>
          <w:lang w:val="es-CR"/>
        </w:rPr>
        <w:t>s</w:t>
      </w:r>
      <w:r w:rsidR="005E51FE" w:rsidRPr="00D34C76">
        <w:rPr>
          <w:rFonts w:ascii="Verdana" w:eastAsia="Verdana" w:hAnsi="Verdana" w:cs="Verdana"/>
          <w:color w:val="000000"/>
          <w:sz w:val="20"/>
          <w:szCs w:val="20"/>
          <w:lang w:val="es-CR"/>
        </w:rPr>
        <w:t xml:space="preserve"> cruel</w:t>
      </w:r>
      <w:r w:rsidR="00DC793C">
        <w:rPr>
          <w:rFonts w:ascii="Verdana" w:eastAsia="Verdana" w:hAnsi="Verdana" w:cs="Verdana"/>
          <w:color w:val="000000"/>
          <w:sz w:val="20"/>
          <w:szCs w:val="20"/>
          <w:lang w:val="es-CR"/>
        </w:rPr>
        <w:t>es</w:t>
      </w:r>
      <w:r w:rsidR="005E51FE" w:rsidRPr="00D34C76">
        <w:rPr>
          <w:rFonts w:ascii="Verdana" w:eastAsia="Verdana" w:hAnsi="Verdana" w:cs="Verdana"/>
          <w:color w:val="000000"/>
          <w:sz w:val="20"/>
          <w:szCs w:val="20"/>
          <w:lang w:val="es-CR"/>
        </w:rPr>
        <w:t>, inhumano</w:t>
      </w:r>
      <w:r w:rsidR="00DC793C">
        <w:rPr>
          <w:rFonts w:ascii="Verdana" w:eastAsia="Verdana" w:hAnsi="Verdana" w:cs="Verdana"/>
          <w:color w:val="000000"/>
          <w:sz w:val="20"/>
          <w:szCs w:val="20"/>
          <w:lang w:val="es-CR"/>
        </w:rPr>
        <w:t>s</w:t>
      </w:r>
      <w:r w:rsidR="005E51FE" w:rsidRPr="00D34C76">
        <w:rPr>
          <w:rFonts w:ascii="Verdana" w:eastAsia="Verdana" w:hAnsi="Verdana" w:cs="Verdana"/>
          <w:color w:val="000000"/>
          <w:sz w:val="20"/>
          <w:szCs w:val="20"/>
          <w:lang w:val="es-CR"/>
        </w:rPr>
        <w:t xml:space="preserve"> y degradante</w:t>
      </w:r>
      <w:r w:rsidR="00DC793C">
        <w:rPr>
          <w:rFonts w:ascii="Verdana" w:eastAsia="Verdana" w:hAnsi="Verdana" w:cs="Verdana"/>
          <w:color w:val="000000"/>
          <w:sz w:val="20"/>
          <w:szCs w:val="20"/>
          <w:lang w:val="es-CR"/>
        </w:rPr>
        <w:t>s</w:t>
      </w:r>
      <w:r w:rsidR="005E51FE" w:rsidRPr="00D34C76">
        <w:rPr>
          <w:rFonts w:ascii="Verdana" w:eastAsia="Verdana" w:hAnsi="Verdana" w:cs="Verdana"/>
          <w:color w:val="000000"/>
          <w:sz w:val="20"/>
          <w:szCs w:val="20"/>
          <w:lang w:val="es-CR"/>
        </w:rPr>
        <w:t xml:space="preserve"> </w:t>
      </w:r>
      <w:r w:rsidR="00DC793C">
        <w:rPr>
          <w:rFonts w:ascii="Verdana" w:eastAsia="Verdana" w:hAnsi="Verdana" w:cs="Verdana"/>
          <w:color w:val="000000"/>
          <w:sz w:val="20"/>
          <w:szCs w:val="20"/>
          <w:lang w:val="es-CR"/>
        </w:rPr>
        <w:t xml:space="preserve">sufridos </w:t>
      </w:r>
      <w:r w:rsidR="005E51FE" w:rsidRPr="00D34C76">
        <w:rPr>
          <w:rFonts w:ascii="Verdana" w:eastAsia="Verdana" w:hAnsi="Verdana" w:cs="Verdana"/>
          <w:color w:val="000000"/>
          <w:sz w:val="20"/>
          <w:szCs w:val="20"/>
          <w:lang w:val="es-CR"/>
        </w:rPr>
        <w:t xml:space="preserve">por haber estado sometido al “corredor de la muerte”, </w:t>
      </w:r>
      <w:r w:rsidR="003C3B89" w:rsidRPr="00D34C76">
        <w:rPr>
          <w:rFonts w:ascii="Verdana" w:eastAsia="Verdana" w:hAnsi="Verdana" w:cs="Verdana"/>
          <w:color w:val="000000"/>
          <w:sz w:val="20"/>
          <w:szCs w:val="20"/>
          <w:lang w:val="es-CR"/>
        </w:rPr>
        <w:t>y 5</w:t>
      </w:r>
      <w:r w:rsidR="005E51FE" w:rsidRPr="00D34C76">
        <w:rPr>
          <w:rFonts w:ascii="Verdana" w:eastAsia="Verdana" w:hAnsi="Verdana" w:cs="Verdana"/>
          <w:color w:val="000000"/>
          <w:sz w:val="20"/>
          <w:szCs w:val="20"/>
          <w:lang w:val="es-CR"/>
        </w:rPr>
        <w:t>) la alegada violación al dere</w:t>
      </w:r>
      <w:r w:rsidR="003C3B89" w:rsidRPr="00D34C76">
        <w:rPr>
          <w:rFonts w:ascii="Verdana" w:eastAsia="Verdana" w:hAnsi="Verdana" w:cs="Verdana"/>
          <w:color w:val="000000"/>
          <w:sz w:val="20"/>
          <w:szCs w:val="20"/>
          <w:lang w:val="es-CR"/>
        </w:rPr>
        <w:t>cho a su libertad personal</w:t>
      </w:r>
      <w:r w:rsidR="005E51FE" w:rsidRPr="00D34C76">
        <w:rPr>
          <w:rFonts w:ascii="Verdana" w:eastAsia="Verdana" w:hAnsi="Verdana" w:cs="Verdana"/>
          <w:color w:val="000000"/>
          <w:sz w:val="20"/>
          <w:szCs w:val="20"/>
          <w:lang w:val="es-CR"/>
        </w:rPr>
        <w:t>.</w:t>
      </w:r>
    </w:p>
    <w:p w14:paraId="63DE74B7" w14:textId="77777777" w:rsidR="00D36319" w:rsidRDefault="00D36319" w:rsidP="00D36319">
      <w:pPr>
        <w:pStyle w:val="Prrafodelista"/>
        <w:autoSpaceDE w:val="0"/>
        <w:autoSpaceDN w:val="0"/>
        <w:adjustRightInd w:val="0"/>
        <w:spacing w:after="0" w:line="240" w:lineRule="auto"/>
        <w:ind w:left="0"/>
        <w:jc w:val="both"/>
        <w:rPr>
          <w:rFonts w:ascii="Verdana" w:eastAsia="Verdana" w:hAnsi="Verdana" w:cs="Verdana"/>
          <w:b/>
          <w:color w:val="000000"/>
          <w:sz w:val="20"/>
          <w:szCs w:val="20"/>
          <w:lang w:val="es-CR"/>
        </w:rPr>
      </w:pPr>
    </w:p>
    <w:p w14:paraId="28E689DD" w14:textId="57644838" w:rsidR="00D36319" w:rsidRDefault="00D36319" w:rsidP="00D41EB2">
      <w:pPr>
        <w:pStyle w:val="Ttulo1"/>
        <w:spacing w:before="0"/>
        <w:ind w:left="1800" w:right="1678" w:hanging="270"/>
      </w:pPr>
      <w:bookmarkStart w:id="39" w:name="_Toc25247753"/>
      <w:r>
        <w:t>VIII-1</w:t>
      </w:r>
      <w:r>
        <w:br/>
      </w:r>
      <w:r w:rsidRPr="00CE7529">
        <w:t xml:space="preserve">DERECHO A LAS </w:t>
      </w:r>
      <w:proofErr w:type="gramStart"/>
      <w:r w:rsidRPr="00CE7529">
        <w:t>GARANTÍAS JU</w:t>
      </w:r>
      <w:r>
        <w:t>DICIALES Y PROTECCIÓN JUDICIAL</w:t>
      </w:r>
      <w:proofErr w:type="gramEnd"/>
      <w:r w:rsidR="00710D57">
        <w:rPr>
          <w:rStyle w:val="Refdenotaalpie"/>
        </w:rPr>
        <w:footnoteReference w:id="95"/>
      </w:r>
      <w:bookmarkEnd w:id="39"/>
    </w:p>
    <w:p w14:paraId="21ECEA86" w14:textId="77777777" w:rsidR="00D41EB2" w:rsidRPr="00D41EB2" w:rsidRDefault="00D41EB2" w:rsidP="00393723">
      <w:pPr>
        <w:spacing w:after="0"/>
      </w:pPr>
    </w:p>
    <w:p w14:paraId="2F439BA2" w14:textId="77777777" w:rsidR="00D36319" w:rsidRPr="00C03C6B" w:rsidRDefault="00D36319" w:rsidP="00D36319">
      <w:pPr>
        <w:pStyle w:val="Ttulo2"/>
        <w:spacing w:before="0"/>
      </w:pPr>
      <w:bookmarkStart w:id="40" w:name="_Toc25247754"/>
      <w:r w:rsidRPr="00C03C6B">
        <w:t>A. Alegatos de la Comisión y las partes</w:t>
      </w:r>
      <w:bookmarkEnd w:id="40"/>
    </w:p>
    <w:p w14:paraId="4FB6601B" w14:textId="0886E99D" w:rsidR="00D36319" w:rsidRPr="00D36319" w:rsidRDefault="004D4077" w:rsidP="004D4077">
      <w:pPr>
        <w:pStyle w:val="Prrafodelista"/>
        <w:tabs>
          <w:tab w:val="left" w:pos="4140"/>
        </w:tabs>
        <w:autoSpaceDE w:val="0"/>
        <w:autoSpaceDN w:val="0"/>
        <w:adjustRightInd w:val="0"/>
        <w:spacing w:after="0" w:line="240" w:lineRule="auto"/>
        <w:ind w:left="0"/>
        <w:jc w:val="both"/>
        <w:rPr>
          <w:rFonts w:ascii="Verdana" w:hAnsi="Verdana"/>
          <w:sz w:val="20"/>
          <w:szCs w:val="20"/>
        </w:rPr>
      </w:pPr>
      <w:r>
        <w:rPr>
          <w:rFonts w:ascii="Verdana" w:hAnsi="Verdana"/>
          <w:sz w:val="20"/>
          <w:szCs w:val="20"/>
        </w:rPr>
        <w:tab/>
      </w:r>
    </w:p>
    <w:p w14:paraId="2291C5E0" w14:textId="75D7DC5A" w:rsidR="00D36319" w:rsidRPr="00D36319" w:rsidRDefault="00EC417E" w:rsidP="00D36319">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D36319">
        <w:rPr>
          <w:rFonts w:ascii="Verdana" w:hAnsi="Verdana"/>
          <w:sz w:val="20"/>
          <w:szCs w:val="20"/>
        </w:rPr>
        <w:t xml:space="preserve">La </w:t>
      </w:r>
      <w:r w:rsidRPr="00D36319">
        <w:rPr>
          <w:rFonts w:ascii="Verdana" w:hAnsi="Verdana"/>
          <w:b/>
          <w:i/>
          <w:sz w:val="20"/>
          <w:szCs w:val="20"/>
        </w:rPr>
        <w:t>Comisión</w:t>
      </w:r>
      <w:r w:rsidRPr="00D36319">
        <w:rPr>
          <w:rFonts w:ascii="Verdana" w:hAnsi="Verdana"/>
          <w:sz w:val="20"/>
          <w:szCs w:val="20"/>
        </w:rPr>
        <w:t xml:space="preserve"> concluyó que </w:t>
      </w:r>
      <w:r w:rsidR="00D65B8C">
        <w:rPr>
          <w:rFonts w:ascii="Verdana" w:hAnsi="Verdana"/>
          <w:sz w:val="20"/>
          <w:szCs w:val="20"/>
        </w:rPr>
        <w:t>dentro del</w:t>
      </w:r>
      <w:r w:rsidRPr="00D36319">
        <w:rPr>
          <w:rFonts w:ascii="Verdana" w:hAnsi="Verdana"/>
          <w:sz w:val="20"/>
          <w:szCs w:val="20"/>
        </w:rPr>
        <w:t xml:space="preserve"> proceso penal</w:t>
      </w:r>
      <w:r w:rsidR="00D04102">
        <w:rPr>
          <w:rFonts w:ascii="Verdana" w:hAnsi="Verdana"/>
          <w:sz w:val="20"/>
          <w:szCs w:val="20"/>
        </w:rPr>
        <w:t xml:space="preserve"> en contra del</w:t>
      </w:r>
      <w:r w:rsidRPr="00D36319">
        <w:rPr>
          <w:rFonts w:ascii="Verdana" w:hAnsi="Verdana"/>
          <w:sz w:val="20"/>
          <w:szCs w:val="20"/>
        </w:rPr>
        <w:t xml:space="preserve"> señor Valenzuela </w:t>
      </w:r>
      <w:r w:rsidR="00D65B8C">
        <w:rPr>
          <w:rFonts w:ascii="Verdana" w:hAnsi="Verdana"/>
          <w:sz w:val="20"/>
          <w:szCs w:val="20"/>
        </w:rPr>
        <w:t xml:space="preserve">que </w:t>
      </w:r>
      <w:r w:rsidRPr="00D36319">
        <w:rPr>
          <w:rFonts w:ascii="Verdana" w:hAnsi="Verdana"/>
          <w:sz w:val="20"/>
          <w:szCs w:val="20"/>
        </w:rPr>
        <w:t>culminó con sentencia condenatoria a pena de muerte, se violó el principio de presunción de inocencia y no fueron observadas las garantí</w:t>
      </w:r>
      <w:r w:rsidR="00C22D08">
        <w:rPr>
          <w:rFonts w:ascii="Verdana" w:hAnsi="Verdana"/>
          <w:sz w:val="20"/>
          <w:szCs w:val="20"/>
        </w:rPr>
        <w:t>as del debido proceso, toda vez</w:t>
      </w:r>
      <w:r w:rsidRPr="00D36319">
        <w:rPr>
          <w:rFonts w:ascii="Verdana" w:hAnsi="Verdana"/>
          <w:sz w:val="20"/>
          <w:szCs w:val="20"/>
        </w:rPr>
        <w:t xml:space="preserve"> que se aplicó el artículo 132 del Código Penal de acuerdo con el elemento de la peligrosidad social. Por otro lado, alegó que su declaración fue obtenida mediante tortura física y psicológica, en tanto que se violó el derecho a no ser obligado a declarar contra sí mismo y a no ser coaccionado a confesar, por lo que se concluyó que el Estado vulneró los artículos 8.2.g) y 8.3 de la Convención. Asimismo, alegó que el señor Valenzuela no contó con la posibilidad de recurrir el fallo condenatorio, toda vez que conforme a los estándares de la Convención, tampoco contó con un recurso efectivo, ni en apelación ni en casación para impugnar la condena a muerte, por ende, constituyó una violación al artículo 8.2.h) de la Convención</w:t>
      </w:r>
      <w:r w:rsidR="004E52A6">
        <w:rPr>
          <w:rFonts w:ascii="Verdana" w:hAnsi="Verdana"/>
          <w:sz w:val="20"/>
          <w:szCs w:val="20"/>
        </w:rPr>
        <w:t>.</w:t>
      </w:r>
      <w:r w:rsidRPr="00D36319">
        <w:rPr>
          <w:rFonts w:ascii="Verdana" w:hAnsi="Verdana"/>
          <w:sz w:val="20"/>
          <w:szCs w:val="20"/>
        </w:rPr>
        <w:t xml:space="preserve"> Finalmente, </w:t>
      </w:r>
      <w:r w:rsidR="00A55271">
        <w:rPr>
          <w:rFonts w:ascii="Verdana" w:hAnsi="Verdana"/>
          <w:sz w:val="20"/>
          <w:szCs w:val="20"/>
        </w:rPr>
        <w:t xml:space="preserve">adujo </w:t>
      </w:r>
      <w:r w:rsidRPr="00D36319">
        <w:rPr>
          <w:rFonts w:ascii="Verdana" w:hAnsi="Verdana"/>
          <w:sz w:val="20"/>
          <w:szCs w:val="20"/>
        </w:rPr>
        <w:t xml:space="preserve">que el Estado no </w:t>
      </w:r>
      <w:r w:rsidR="00C22D08">
        <w:rPr>
          <w:rFonts w:ascii="Verdana" w:hAnsi="Verdana"/>
          <w:sz w:val="20"/>
          <w:szCs w:val="20"/>
        </w:rPr>
        <w:t xml:space="preserve">inició </w:t>
      </w:r>
      <w:r w:rsidRPr="00D36319">
        <w:rPr>
          <w:rFonts w:ascii="Verdana" w:hAnsi="Verdana"/>
          <w:sz w:val="20"/>
          <w:szCs w:val="20"/>
        </w:rPr>
        <w:t xml:space="preserve">la investigación sobre los hechos de tortura, lo que violó el derecho a las </w:t>
      </w:r>
      <w:proofErr w:type="gramStart"/>
      <w:r w:rsidRPr="00D36319">
        <w:rPr>
          <w:rFonts w:ascii="Verdana" w:hAnsi="Verdana"/>
          <w:sz w:val="20"/>
          <w:szCs w:val="20"/>
        </w:rPr>
        <w:t>garantías judiciales y protección judicial</w:t>
      </w:r>
      <w:proofErr w:type="gramEnd"/>
      <w:r w:rsidRPr="00D36319">
        <w:rPr>
          <w:rFonts w:ascii="Verdana" w:hAnsi="Verdana"/>
          <w:sz w:val="20"/>
          <w:szCs w:val="20"/>
        </w:rPr>
        <w:t>, establecidos en los artículos 8.1 y 25.1 de la Convención</w:t>
      </w:r>
      <w:r w:rsidR="004E52A6">
        <w:rPr>
          <w:rFonts w:ascii="Verdana" w:hAnsi="Verdana"/>
          <w:sz w:val="20"/>
          <w:szCs w:val="20"/>
        </w:rPr>
        <w:t>.</w:t>
      </w:r>
      <w:r w:rsidRPr="00D36319">
        <w:rPr>
          <w:rFonts w:ascii="Verdana" w:hAnsi="Verdana"/>
          <w:sz w:val="20"/>
          <w:szCs w:val="20"/>
        </w:rPr>
        <w:t xml:space="preserve"> </w:t>
      </w:r>
    </w:p>
    <w:p w14:paraId="4D60E297" w14:textId="77777777" w:rsidR="00D36319" w:rsidRDefault="00D36319" w:rsidP="00D36319">
      <w:pPr>
        <w:pStyle w:val="Prrafodelista"/>
        <w:autoSpaceDE w:val="0"/>
        <w:autoSpaceDN w:val="0"/>
        <w:adjustRightInd w:val="0"/>
        <w:spacing w:after="0" w:line="240" w:lineRule="auto"/>
        <w:ind w:left="0"/>
        <w:jc w:val="both"/>
        <w:rPr>
          <w:rFonts w:ascii="Verdana" w:hAnsi="Verdana"/>
          <w:sz w:val="20"/>
          <w:szCs w:val="20"/>
          <w:lang w:val="es-CR"/>
        </w:rPr>
      </w:pPr>
    </w:p>
    <w:p w14:paraId="18E187E2" w14:textId="6E184D8C" w:rsidR="00D36319" w:rsidRDefault="00EC417E" w:rsidP="00D36319">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D36319">
        <w:rPr>
          <w:rFonts w:ascii="Verdana" w:hAnsi="Verdana"/>
          <w:sz w:val="20"/>
          <w:szCs w:val="20"/>
        </w:rPr>
        <w:t xml:space="preserve">Los </w:t>
      </w:r>
      <w:r w:rsidRPr="00D36319">
        <w:rPr>
          <w:rFonts w:ascii="Verdana" w:hAnsi="Verdana"/>
          <w:b/>
          <w:i/>
          <w:sz w:val="20"/>
          <w:szCs w:val="20"/>
        </w:rPr>
        <w:t>representantes</w:t>
      </w:r>
      <w:r w:rsidRPr="00D36319">
        <w:rPr>
          <w:rFonts w:ascii="Verdana" w:hAnsi="Verdana"/>
          <w:sz w:val="20"/>
          <w:szCs w:val="20"/>
        </w:rPr>
        <w:t>, reiteraron las alegaciones de la Comisión e indicaron que el Estado es responsable internacionalmente por la violación de los derechos a las garantías judiciales y a la protección judicial efectiva contenidos en los artículos 8.1, 8.2.c), d), e), g) y h)</w:t>
      </w:r>
      <w:r w:rsidR="00D65B8C">
        <w:rPr>
          <w:rFonts w:ascii="Verdana" w:hAnsi="Verdana"/>
          <w:sz w:val="20"/>
          <w:szCs w:val="20"/>
        </w:rPr>
        <w:t>,</w:t>
      </w:r>
      <w:r w:rsidRPr="00D36319">
        <w:rPr>
          <w:rFonts w:ascii="Verdana" w:hAnsi="Verdana"/>
          <w:sz w:val="20"/>
          <w:szCs w:val="20"/>
        </w:rPr>
        <w:t xml:space="preserve"> y 25.1 de la Convención, en relación con los artículos 1.1 y 2 del mismo instrumento, en perjuicio del señor Valenzuela Ávila. Asimismo, alegaron que las fuerzas policiales utilizaron la tortura para tratar de obtener la confesión de la presunta víctima. También argumentaron que el Estado es responsable por la imposición de la pena de muerte con base en una norma </w:t>
      </w:r>
      <w:r w:rsidR="0049621D">
        <w:rPr>
          <w:rFonts w:ascii="Verdana" w:hAnsi="Verdana"/>
          <w:sz w:val="20"/>
          <w:szCs w:val="20"/>
        </w:rPr>
        <w:t xml:space="preserve">contraria a la Convención, y no garantizó </w:t>
      </w:r>
      <w:r w:rsidRPr="00D36319">
        <w:rPr>
          <w:rFonts w:ascii="Verdana" w:hAnsi="Verdana"/>
          <w:sz w:val="20"/>
          <w:szCs w:val="20"/>
        </w:rPr>
        <w:t xml:space="preserve">el acceso a un recurso efectivo para impugnarla, de </w:t>
      </w:r>
      <w:r w:rsidRPr="00D36319">
        <w:rPr>
          <w:rFonts w:ascii="Verdana" w:hAnsi="Verdana"/>
          <w:sz w:val="20"/>
          <w:szCs w:val="20"/>
        </w:rPr>
        <w:lastRenderedPageBreak/>
        <w:t>acuerdo con lo contenido en los artículos 8.1, 8.2</w:t>
      </w:r>
      <w:r w:rsidR="00BD2F36">
        <w:rPr>
          <w:rFonts w:ascii="Verdana" w:hAnsi="Verdana"/>
          <w:sz w:val="20"/>
          <w:szCs w:val="20"/>
        </w:rPr>
        <w:t xml:space="preserve"> y</w:t>
      </w:r>
      <w:r w:rsidRPr="00D36319">
        <w:rPr>
          <w:rFonts w:ascii="Verdana" w:hAnsi="Verdana"/>
          <w:sz w:val="20"/>
          <w:szCs w:val="20"/>
        </w:rPr>
        <w:t xml:space="preserve"> 8.3 de la Convención Americana. Agregaron que las investigaciones adelantadas para esclarecer los hechos relativos a su ejecución han adolecido de omisiones, irregularidades y negligencias que han obstaculizado el proceso</w:t>
      </w:r>
      <w:r w:rsidR="00D65B8C">
        <w:rPr>
          <w:rFonts w:ascii="Verdana" w:hAnsi="Verdana"/>
          <w:sz w:val="20"/>
          <w:szCs w:val="20"/>
        </w:rPr>
        <w:t xml:space="preserve"> y</w:t>
      </w:r>
      <w:r w:rsidRPr="00D36319">
        <w:rPr>
          <w:rFonts w:ascii="Verdana" w:hAnsi="Verdana"/>
          <w:sz w:val="20"/>
          <w:szCs w:val="20"/>
        </w:rPr>
        <w:t xml:space="preserve"> retrasado la obtención de justicia en el caso concreto. </w:t>
      </w:r>
    </w:p>
    <w:p w14:paraId="1F26B874" w14:textId="77777777" w:rsidR="00D36319" w:rsidRPr="00D36319" w:rsidRDefault="00D36319" w:rsidP="00D36319">
      <w:pPr>
        <w:pStyle w:val="Prrafodelista"/>
        <w:rPr>
          <w:rFonts w:ascii="Verdana" w:hAnsi="Verdana"/>
          <w:sz w:val="20"/>
          <w:szCs w:val="20"/>
        </w:rPr>
      </w:pPr>
    </w:p>
    <w:p w14:paraId="2B7EFB54" w14:textId="77777777" w:rsidR="00D36319" w:rsidRPr="00084C68" w:rsidRDefault="00EC417E" w:rsidP="00084C68">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D36319">
        <w:rPr>
          <w:rFonts w:ascii="Verdana" w:hAnsi="Verdana"/>
          <w:sz w:val="20"/>
          <w:szCs w:val="20"/>
        </w:rPr>
        <w:t xml:space="preserve">El </w:t>
      </w:r>
      <w:r w:rsidRPr="00D36319">
        <w:rPr>
          <w:rFonts w:ascii="Verdana" w:hAnsi="Verdana"/>
          <w:b/>
          <w:i/>
          <w:sz w:val="20"/>
          <w:szCs w:val="20"/>
        </w:rPr>
        <w:t>Estado</w:t>
      </w:r>
      <w:r w:rsidRPr="00D36319">
        <w:rPr>
          <w:rFonts w:ascii="Verdana" w:hAnsi="Verdana"/>
          <w:sz w:val="20"/>
          <w:szCs w:val="20"/>
        </w:rPr>
        <w:t xml:space="preserve"> alegó que el señor Valenzuela Ávila estuvo sujeto a un proceso penal en el que se demostró su participación y que la sentencia emitida no resultó exclusivamente de su declaración, por lo que consideró que no ha violado el artículo 8 de la Convención Americana</w:t>
      </w:r>
      <w:r w:rsidR="004E52A6">
        <w:rPr>
          <w:rFonts w:ascii="Verdana" w:hAnsi="Verdana"/>
          <w:sz w:val="20"/>
          <w:szCs w:val="20"/>
        </w:rPr>
        <w:t>.</w:t>
      </w:r>
      <w:r w:rsidRPr="00D36319">
        <w:rPr>
          <w:rFonts w:ascii="Verdana" w:hAnsi="Verdana"/>
          <w:sz w:val="20"/>
          <w:szCs w:val="20"/>
        </w:rPr>
        <w:t xml:space="preserve"> Adujo que en el proceso penal se respetaron todas las garantías procesales, atendiendo al principio de legalidad, en que la sentencia estuvo debidamente </w:t>
      </w:r>
      <w:r w:rsidR="00D65B8C" w:rsidRPr="00D36319">
        <w:rPr>
          <w:rFonts w:ascii="Verdana" w:hAnsi="Verdana"/>
          <w:sz w:val="20"/>
          <w:szCs w:val="20"/>
        </w:rPr>
        <w:t>fundamentad</w:t>
      </w:r>
      <w:r w:rsidR="00D65B8C">
        <w:rPr>
          <w:rFonts w:ascii="Verdana" w:hAnsi="Verdana"/>
          <w:sz w:val="20"/>
          <w:szCs w:val="20"/>
        </w:rPr>
        <w:t>a</w:t>
      </w:r>
      <w:r w:rsidRPr="00D36319">
        <w:rPr>
          <w:rFonts w:ascii="Verdana" w:hAnsi="Verdana"/>
          <w:sz w:val="20"/>
          <w:szCs w:val="20"/>
        </w:rPr>
        <w:t>, en consecuencia, no es responsable de la violación de los artículos 8.2.g), h), y 9 de la Convención</w:t>
      </w:r>
      <w:r w:rsidR="004E52A6">
        <w:rPr>
          <w:rFonts w:ascii="Verdana" w:hAnsi="Verdana"/>
          <w:sz w:val="20"/>
          <w:szCs w:val="20"/>
        </w:rPr>
        <w:t>.</w:t>
      </w:r>
      <w:r w:rsidRPr="00D36319">
        <w:rPr>
          <w:rFonts w:ascii="Verdana" w:hAnsi="Verdana"/>
          <w:b/>
          <w:sz w:val="20"/>
          <w:szCs w:val="20"/>
        </w:rPr>
        <w:t xml:space="preserve"> </w:t>
      </w:r>
      <w:r w:rsidRPr="00D36319">
        <w:rPr>
          <w:rFonts w:ascii="Verdana" w:hAnsi="Verdana"/>
          <w:sz w:val="20"/>
          <w:szCs w:val="20"/>
        </w:rPr>
        <w:t>Además, reconoció su responsabilidad internacional sobre la falta de investigación de los actos de tortura denunciados por el señor Valenzuela Ávila. Finalmente, no es posible establecer que la muerte del señor Valenzuela Ávila fue derivad</w:t>
      </w:r>
      <w:r w:rsidR="00D65B8C">
        <w:rPr>
          <w:rFonts w:ascii="Verdana" w:hAnsi="Verdana"/>
          <w:sz w:val="20"/>
          <w:szCs w:val="20"/>
        </w:rPr>
        <w:t>a</w:t>
      </w:r>
      <w:r w:rsidRPr="00D36319">
        <w:rPr>
          <w:rFonts w:ascii="Verdana" w:hAnsi="Verdana"/>
          <w:sz w:val="20"/>
          <w:szCs w:val="20"/>
        </w:rPr>
        <w:t xml:space="preserve"> de la participación de los agentes del Estado, dado a que está en proceso de investigación, por lo que el Estado no es responsable de la violación de los artículos 8.1 y 25.1 de la Convención</w:t>
      </w:r>
      <w:r w:rsidR="004E52A6">
        <w:rPr>
          <w:rFonts w:ascii="Verdana" w:hAnsi="Verdana"/>
          <w:sz w:val="20"/>
          <w:szCs w:val="20"/>
        </w:rPr>
        <w:t>.</w:t>
      </w:r>
      <w:r w:rsidRPr="00D36319">
        <w:rPr>
          <w:rFonts w:ascii="Verdana" w:hAnsi="Verdana"/>
          <w:sz w:val="20"/>
          <w:szCs w:val="20"/>
        </w:rPr>
        <w:t xml:space="preserve"> </w:t>
      </w:r>
    </w:p>
    <w:p w14:paraId="417CA067" w14:textId="77CC179B" w:rsidR="00084C68" w:rsidRPr="00084C68" w:rsidRDefault="004D4077" w:rsidP="004D4077">
      <w:pPr>
        <w:pStyle w:val="Prrafodelista"/>
        <w:tabs>
          <w:tab w:val="left" w:pos="2175"/>
        </w:tabs>
        <w:autoSpaceDE w:val="0"/>
        <w:autoSpaceDN w:val="0"/>
        <w:adjustRightInd w:val="0"/>
        <w:spacing w:after="0" w:line="240" w:lineRule="auto"/>
        <w:ind w:left="0"/>
        <w:jc w:val="both"/>
        <w:rPr>
          <w:rFonts w:ascii="Verdana" w:hAnsi="Verdana"/>
          <w:sz w:val="20"/>
          <w:szCs w:val="20"/>
          <w:lang w:val="es-CR"/>
        </w:rPr>
      </w:pPr>
      <w:r>
        <w:rPr>
          <w:rFonts w:ascii="Verdana" w:hAnsi="Verdana"/>
          <w:sz w:val="20"/>
          <w:szCs w:val="20"/>
          <w:lang w:val="es-CR"/>
        </w:rPr>
        <w:tab/>
      </w:r>
    </w:p>
    <w:p w14:paraId="652275EB" w14:textId="77777777" w:rsidR="00D36319" w:rsidRPr="00084C68" w:rsidRDefault="00D36319" w:rsidP="00084C68">
      <w:pPr>
        <w:pStyle w:val="Ttulo2"/>
        <w:spacing w:before="0"/>
        <w:rPr>
          <w:rFonts w:eastAsiaTheme="minorHAnsi"/>
        </w:rPr>
      </w:pPr>
      <w:bookmarkStart w:id="41" w:name="_Toc25247755"/>
      <w:r w:rsidRPr="007D26C3">
        <w:rPr>
          <w:rFonts w:eastAsiaTheme="minorHAnsi"/>
        </w:rPr>
        <w:t>B. Consideraciones de la Corte</w:t>
      </w:r>
      <w:bookmarkEnd w:id="41"/>
    </w:p>
    <w:p w14:paraId="7612A4CA" w14:textId="77777777" w:rsidR="00084C68" w:rsidRPr="00084C68" w:rsidRDefault="00084C68" w:rsidP="00084C68">
      <w:pPr>
        <w:pStyle w:val="Prrafodelista"/>
        <w:autoSpaceDE w:val="0"/>
        <w:autoSpaceDN w:val="0"/>
        <w:adjustRightInd w:val="0"/>
        <w:spacing w:after="0" w:line="240" w:lineRule="auto"/>
        <w:ind w:left="0"/>
        <w:jc w:val="both"/>
        <w:rPr>
          <w:rFonts w:ascii="Verdana" w:hAnsi="Verdana"/>
          <w:sz w:val="20"/>
          <w:szCs w:val="20"/>
          <w:lang w:val="es-CR"/>
        </w:rPr>
      </w:pPr>
    </w:p>
    <w:p w14:paraId="4448D337" w14:textId="77777777" w:rsidR="00D36319" w:rsidRPr="00D36319" w:rsidRDefault="00EC417E" w:rsidP="00D36319">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D36319">
        <w:rPr>
          <w:rFonts w:ascii="Verdana" w:hAnsi="Verdana"/>
          <w:sz w:val="20"/>
          <w:szCs w:val="20"/>
        </w:rPr>
        <w:t xml:space="preserve">De acuerdo con las alegaciones de la Comisión y los representantes relacionadas con la vulneración de las </w:t>
      </w:r>
      <w:proofErr w:type="gramStart"/>
      <w:r w:rsidRPr="00D36319">
        <w:rPr>
          <w:rFonts w:ascii="Verdana" w:hAnsi="Verdana"/>
          <w:sz w:val="20"/>
          <w:szCs w:val="20"/>
        </w:rPr>
        <w:t>garantías judiciales y protección judicial</w:t>
      </w:r>
      <w:proofErr w:type="gramEnd"/>
      <w:r w:rsidRPr="00D36319">
        <w:rPr>
          <w:rFonts w:ascii="Verdana" w:hAnsi="Verdana"/>
          <w:sz w:val="20"/>
          <w:szCs w:val="20"/>
        </w:rPr>
        <w:t xml:space="preserve">, consagradas en los artículos 8 y 25.1 de la Convención Americana, la Corte las analizará en dos apartados: B.1) del proceso penal que resultó en la sentencia de pena muerte contra el señor Valenzuela Ávila, y B.2) </w:t>
      </w:r>
      <w:r w:rsidR="00D65B8C">
        <w:rPr>
          <w:rFonts w:ascii="Verdana" w:hAnsi="Verdana"/>
          <w:sz w:val="20"/>
          <w:szCs w:val="20"/>
        </w:rPr>
        <w:t>del p</w:t>
      </w:r>
      <w:r w:rsidRPr="00D36319">
        <w:rPr>
          <w:rFonts w:ascii="Verdana" w:hAnsi="Verdana"/>
          <w:sz w:val="20"/>
          <w:szCs w:val="20"/>
        </w:rPr>
        <w:t>roceso penal respecto a la muerte del señor Valenzuela Ávila.</w:t>
      </w:r>
    </w:p>
    <w:p w14:paraId="38DBCC4F" w14:textId="77777777" w:rsidR="00D36319" w:rsidRDefault="00D36319" w:rsidP="00D36319">
      <w:pPr>
        <w:pStyle w:val="Prrafodelista"/>
        <w:autoSpaceDE w:val="0"/>
        <w:autoSpaceDN w:val="0"/>
        <w:adjustRightInd w:val="0"/>
        <w:spacing w:after="0" w:line="240" w:lineRule="auto"/>
        <w:ind w:left="0"/>
        <w:jc w:val="both"/>
        <w:rPr>
          <w:rFonts w:ascii="Verdana" w:hAnsi="Verdana"/>
          <w:sz w:val="20"/>
          <w:szCs w:val="20"/>
        </w:rPr>
      </w:pPr>
    </w:p>
    <w:p w14:paraId="6339B8AE" w14:textId="77777777" w:rsidR="00D36319" w:rsidRPr="00FF3FAE" w:rsidRDefault="00D36319" w:rsidP="00D36319">
      <w:pPr>
        <w:pStyle w:val="Ttulo3"/>
        <w:spacing w:before="0"/>
        <w:ind w:left="706"/>
        <w:rPr>
          <w:b w:val="0"/>
        </w:rPr>
      </w:pPr>
      <w:bookmarkStart w:id="42" w:name="_Toc25247756"/>
      <w:r w:rsidRPr="00FF3FAE">
        <w:rPr>
          <w:b w:val="0"/>
        </w:rPr>
        <w:t>B.1. Proceso penal que resultó en la sentencia de pena de muerte contra el señor Valenzuela Ávila</w:t>
      </w:r>
      <w:bookmarkEnd w:id="42"/>
    </w:p>
    <w:p w14:paraId="386EDE14" w14:textId="77777777" w:rsidR="00D36319" w:rsidRPr="0088639B" w:rsidRDefault="00D36319" w:rsidP="00D36319">
      <w:pPr>
        <w:spacing w:after="0"/>
      </w:pPr>
    </w:p>
    <w:p w14:paraId="104A6A34" w14:textId="77777777" w:rsidR="00D36319" w:rsidRPr="00D42601" w:rsidRDefault="00D36319" w:rsidP="00D36319">
      <w:pPr>
        <w:pStyle w:val="Ttulo4"/>
        <w:spacing w:before="0"/>
        <w:ind w:left="1411"/>
      </w:pPr>
      <w:bookmarkStart w:id="43" w:name="_Toc25247757"/>
      <w:r w:rsidRPr="007D26C3">
        <w:rPr>
          <w:rFonts w:eastAsiaTheme="minorHAnsi"/>
        </w:rPr>
        <w:t>B.1.1. Garantías judiciales mínimas</w:t>
      </w:r>
      <w:bookmarkEnd w:id="43"/>
    </w:p>
    <w:p w14:paraId="11D90491" w14:textId="77777777" w:rsidR="00D36319" w:rsidRDefault="00D36319" w:rsidP="00D36319">
      <w:pPr>
        <w:pStyle w:val="Prrafodelista"/>
        <w:autoSpaceDE w:val="0"/>
        <w:autoSpaceDN w:val="0"/>
        <w:adjustRightInd w:val="0"/>
        <w:spacing w:after="0" w:line="240" w:lineRule="auto"/>
        <w:ind w:left="0"/>
        <w:jc w:val="both"/>
        <w:rPr>
          <w:rFonts w:ascii="Verdana" w:hAnsi="Verdana"/>
          <w:sz w:val="20"/>
          <w:szCs w:val="20"/>
          <w:lang w:val="es-CR"/>
        </w:rPr>
      </w:pPr>
    </w:p>
    <w:p w14:paraId="4D90E094" w14:textId="77777777" w:rsidR="00D36319" w:rsidRPr="00D36319" w:rsidRDefault="00EC417E" w:rsidP="00D36319">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D36319">
        <w:rPr>
          <w:rFonts w:ascii="Verdana" w:hAnsi="Verdana"/>
          <w:sz w:val="20"/>
          <w:szCs w:val="20"/>
        </w:rPr>
        <w:t>La Corte ha señalado que el derecho al debido proceso se refiere al conjunto de requisitos que deben observarse en las instancias procesales a efectos de que las personas estén en condiciones de defender adecuadamente sus derechos ante cualquier acto del Estado, adoptado por cualquier autoridad pública, sea administrativa, legislativa o judicial, que pueda afectarlos</w:t>
      </w:r>
      <w:r w:rsidRPr="007D26C3">
        <w:rPr>
          <w:vertAlign w:val="superscript"/>
        </w:rPr>
        <w:footnoteReference w:id="96"/>
      </w:r>
      <w:r w:rsidRPr="00D36319">
        <w:rPr>
          <w:rFonts w:ascii="Verdana" w:hAnsi="Verdana"/>
          <w:sz w:val="20"/>
          <w:szCs w:val="20"/>
        </w:rPr>
        <w:t xml:space="preserve">. </w:t>
      </w:r>
    </w:p>
    <w:p w14:paraId="4A04668E" w14:textId="77777777" w:rsidR="00D36319" w:rsidRDefault="00D36319" w:rsidP="00D36319">
      <w:pPr>
        <w:pStyle w:val="Prrafodelista"/>
        <w:autoSpaceDE w:val="0"/>
        <w:autoSpaceDN w:val="0"/>
        <w:adjustRightInd w:val="0"/>
        <w:spacing w:after="0" w:line="240" w:lineRule="auto"/>
        <w:ind w:left="0"/>
        <w:jc w:val="both"/>
        <w:rPr>
          <w:rFonts w:ascii="Verdana" w:hAnsi="Verdana"/>
          <w:sz w:val="20"/>
          <w:szCs w:val="20"/>
          <w:lang w:val="es-CR"/>
        </w:rPr>
      </w:pPr>
    </w:p>
    <w:p w14:paraId="25DF38CB" w14:textId="77777777" w:rsidR="00D36319" w:rsidRDefault="00EC417E" w:rsidP="00D36319">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D36319">
        <w:rPr>
          <w:rFonts w:ascii="Verdana" w:hAnsi="Verdana"/>
          <w:sz w:val="20"/>
          <w:szCs w:val="20"/>
        </w:rPr>
        <w:t xml:space="preserve">En términos convencionales el debido proceso se traduce centralmente en las “garantías judiciales” reconocidas en el artículo 8 de la Convención Americana. La referida disposición convencional contempla un sistema de garantías que condicionan el ejercicio del </w:t>
      </w:r>
      <w:r w:rsidRPr="00D36319">
        <w:rPr>
          <w:rFonts w:ascii="Verdana" w:hAnsi="Verdana"/>
          <w:i/>
          <w:sz w:val="20"/>
          <w:szCs w:val="20"/>
        </w:rPr>
        <w:t>ius puniendi</w:t>
      </w:r>
      <w:r w:rsidRPr="00D36319">
        <w:rPr>
          <w:rFonts w:ascii="Verdana" w:hAnsi="Verdana"/>
          <w:sz w:val="20"/>
          <w:szCs w:val="20"/>
        </w:rPr>
        <w:t xml:space="preserve"> del Estado y que buscan asegurar que el inculpado o imputado no sea sometido a decisiones arbitrarias, toda vez que se deben observar “las debidas garantías” que aseguren, según el procedimiento de que se trate, el derecho al debido proceso</w:t>
      </w:r>
      <w:r w:rsidRPr="007D26C3">
        <w:rPr>
          <w:vertAlign w:val="superscript"/>
        </w:rPr>
        <w:footnoteReference w:id="97"/>
      </w:r>
      <w:r w:rsidRPr="00D36319">
        <w:rPr>
          <w:rFonts w:ascii="Verdana" w:hAnsi="Verdana"/>
          <w:sz w:val="20"/>
          <w:szCs w:val="20"/>
        </w:rPr>
        <w:t xml:space="preserve">. Desde el inicio de las primeras diligencias de un proceso deben concurrir las máximas garantías procesales para </w:t>
      </w:r>
      <w:r w:rsidRPr="00D36319">
        <w:rPr>
          <w:rFonts w:ascii="Verdana" w:hAnsi="Verdana"/>
          <w:sz w:val="20"/>
          <w:szCs w:val="20"/>
        </w:rPr>
        <w:lastRenderedPageBreak/>
        <w:t>salvaguardar el derecho del imputado a la defensa</w:t>
      </w:r>
      <w:r w:rsidRPr="007D26C3">
        <w:rPr>
          <w:vertAlign w:val="superscript"/>
        </w:rPr>
        <w:footnoteReference w:id="98"/>
      </w:r>
      <w:r w:rsidRPr="00D36319">
        <w:rPr>
          <w:rFonts w:ascii="Verdana" w:hAnsi="Verdana"/>
          <w:sz w:val="20"/>
          <w:szCs w:val="20"/>
        </w:rPr>
        <w:t>. Asimismo, deben concurrir los elementos necesarios para que exista el mayor equilibrio entre las partes, para la debida defensa de sus intereses y derechos, lo cual implica, entre otras cosas, que rija el principio de contradictorio</w:t>
      </w:r>
      <w:r w:rsidRPr="007D26C3">
        <w:rPr>
          <w:vertAlign w:val="superscript"/>
        </w:rPr>
        <w:footnoteReference w:id="99"/>
      </w:r>
      <w:r w:rsidRPr="00D36319">
        <w:rPr>
          <w:rFonts w:ascii="Verdana" w:hAnsi="Verdana"/>
          <w:sz w:val="20"/>
          <w:szCs w:val="20"/>
        </w:rPr>
        <w:t>.</w:t>
      </w:r>
    </w:p>
    <w:p w14:paraId="7F928A1A" w14:textId="77777777" w:rsidR="00D36319" w:rsidRPr="00D36319" w:rsidRDefault="00D36319" w:rsidP="00D36319">
      <w:pPr>
        <w:pStyle w:val="Prrafodelista"/>
        <w:rPr>
          <w:rFonts w:ascii="Verdana" w:hAnsi="Verdana"/>
          <w:sz w:val="20"/>
          <w:szCs w:val="20"/>
        </w:rPr>
      </w:pPr>
    </w:p>
    <w:p w14:paraId="57C374BF" w14:textId="42E9D8AF" w:rsidR="008E68BF" w:rsidRPr="00B13A65" w:rsidRDefault="00EC417E" w:rsidP="008E68BF">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D36319">
        <w:rPr>
          <w:rFonts w:ascii="Verdana" w:hAnsi="Verdana"/>
          <w:sz w:val="20"/>
          <w:szCs w:val="20"/>
        </w:rPr>
        <w:t xml:space="preserve">El derecho a la defensa se proyecta en dos facetas dentro del proceso penal: por un lado, a través de los propios actos del inculpado, siendo su exponente central la posibilidad de rendir una declaración libre sobre los hechos que se le atribuyen y, por el otro, por medio de la defensa técnica, ejercida por un profesional del Derecho, quien cumple la función de asesorar al investigado sobre sus deberes y derechos y ejecuta, </w:t>
      </w:r>
      <w:r w:rsidRPr="00D36319">
        <w:rPr>
          <w:rFonts w:ascii="Verdana" w:hAnsi="Verdana"/>
          <w:i/>
          <w:sz w:val="20"/>
          <w:szCs w:val="20"/>
        </w:rPr>
        <w:t>inter alia</w:t>
      </w:r>
      <w:r w:rsidRPr="00D36319">
        <w:rPr>
          <w:rFonts w:ascii="Verdana" w:hAnsi="Verdana"/>
          <w:sz w:val="20"/>
          <w:szCs w:val="20"/>
        </w:rPr>
        <w:t>, un control crítico y de legalidad en la producción de pruebas</w:t>
      </w:r>
      <w:r w:rsidRPr="007D26C3">
        <w:rPr>
          <w:vertAlign w:val="superscript"/>
        </w:rPr>
        <w:footnoteReference w:id="100"/>
      </w:r>
      <w:r w:rsidRPr="00D36319">
        <w:rPr>
          <w:rFonts w:ascii="Verdana" w:hAnsi="Verdana"/>
          <w:sz w:val="20"/>
          <w:szCs w:val="20"/>
        </w:rPr>
        <w:t xml:space="preserve">. </w:t>
      </w:r>
    </w:p>
    <w:p w14:paraId="73606800" w14:textId="77777777" w:rsidR="00D36319" w:rsidRPr="00084C68" w:rsidRDefault="00D36319" w:rsidP="00084C68">
      <w:pPr>
        <w:pStyle w:val="Ttulo4"/>
        <w:rPr>
          <w:lang w:val="es-CR"/>
        </w:rPr>
      </w:pPr>
      <w:bookmarkStart w:id="44" w:name="_Toc25247758"/>
      <w:r w:rsidRPr="005F476A">
        <w:rPr>
          <w:lang w:val="es-CR"/>
        </w:rPr>
        <w:t>B.1.2.</w:t>
      </w:r>
      <w:r>
        <w:rPr>
          <w:lang w:val="es-CR"/>
        </w:rPr>
        <w:t xml:space="preserve"> Alcance de los artículos 8.2</w:t>
      </w:r>
      <w:r w:rsidRPr="005F476A">
        <w:rPr>
          <w:lang w:val="es-CR"/>
        </w:rPr>
        <w:t>)</w:t>
      </w:r>
      <w:r w:rsidR="00B4450E">
        <w:rPr>
          <w:lang w:val="es-CR"/>
        </w:rPr>
        <w:t xml:space="preserve"> y</w:t>
      </w:r>
      <w:r w:rsidRPr="005F476A">
        <w:rPr>
          <w:lang w:val="es-CR"/>
        </w:rPr>
        <w:t xml:space="preserve"> 8.2.g)</w:t>
      </w:r>
      <w:bookmarkEnd w:id="44"/>
    </w:p>
    <w:p w14:paraId="5482ADAD" w14:textId="01A8FE33" w:rsidR="00084C68" w:rsidRDefault="004D4077" w:rsidP="004D4077">
      <w:pPr>
        <w:pStyle w:val="Prrafodelista"/>
        <w:tabs>
          <w:tab w:val="left" w:pos="2250"/>
        </w:tabs>
        <w:autoSpaceDE w:val="0"/>
        <w:autoSpaceDN w:val="0"/>
        <w:adjustRightInd w:val="0"/>
        <w:spacing w:after="0" w:line="240" w:lineRule="auto"/>
        <w:ind w:left="0"/>
        <w:jc w:val="both"/>
        <w:rPr>
          <w:rFonts w:ascii="Verdana" w:hAnsi="Verdana"/>
          <w:sz w:val="20"/>
          <w:szCs w:val="20"/>
          <w:lang w:val="es-CR"/>
        </w:rPr>
      </w:pPr>
      <w:r>
        <w:rPr>
          <w:rFonts w:ascii="Verdana" w:hAnsi="Verdana"/>
          <w:sz w:val="20"/>
          <w:szCs w:val="20"/>
          <w:lang w:val="es-CR"/>
        </w:rPr>
        <w:tab/>
      </w:r>
    </w:p>
    <w:p w14:paraId="344DB26B" w14:textId="77777777" w:rsidR="00D36319" w:rsidRPr="00D36319" w:rsidRDefault="00EC417E" w:rsidP="00D36319">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D36319">
        <w:rPr>
          <w:rFonts w:ascii="Verdana" w:hAnsi="Verdana"/>
          <w:sz w:val="20"/>
          <w:szCs w:val="20"/>
        </w:rPr>
        <w:t xml:space="preserve">La Corte estima que del examen de los alegatos presentados por la Comisión y los representantes relacionados con la vulneración de los artículos 8.1 y 25.1 de la Convención Americana, se relacionan con la falta de garantías mínimas, así como la ausencia de defensa, por lo tanto, deben ser analizados bajo los presupuestos del artículo 8.2 de la Convención. Cabe señalar que el proceso penal del señor Valenzuela culminó con la sentencia de pena de muerte impuesta mediante la aplicación del artículo 132 del </w:t>
      </w:r>
      <w:r w:rsidR="009D06F6" w:rsidRPr="008E0075">
        <w:rPr>
          <w:rFonts w:ascii="Verdana" w:hAnsi="Verdana"/>
          <w:sz w:val="20"/>
          <w:szCs w:val="20"/>
          <w:lang w:val="es-CR"/>
        </w:rPr>
        <w:t>Código Penal</w:t>
      </w:r>
      <w:r w:rsidRPr="00D36319">
        <w:rPr>
          <w:rFonts w:ascii="Verdana" w:hAnsi="Verdana"/>
          <w:sz w:val="20"/>
          <w:szCs w:val="20"/>
        </w:rPr>
        <w:t xml:space="preserve">, respecto del elemento de “peligrosidad del agente”, del cual la Corte </w:t>
      </w:r>
      <w:r w:rsidR="00123F27">
        <w:rPr>
          <w:rFonts w:ascii="Verdana" w:hAnsi="Verdana"/>
          <w:sz w:val="20"/>
          <w:szCs w:val="20"/>
        </w:rPr>
        <w:t>realizará</w:t>
      </w:r>
      <w:r w:rsidRPr="00D36319">
        <w:rPr>
          <w:rFonts w:ascii="Verdana" w:hAnsi="Verdana"/>
          <w:sz w:val="20"/>
          <w:szCs w:val="20"/>
        </w:rPr>
        <w:t xml:space="preserve"> el análisis </w:t>
      </w:r>
      <w:r w:rsidR="00123F27">
        <w:rPr>
          <w:rFonts w:ascii="Verdana" w:hAnsi="Verdana"/>
          <w:sz w:val="20"/>
          <w:szCs w:val="20"/>
        </w:rPr>
        <w:t xml:space="preserve">respectivo dentro del capítulo </w:t>
      </w:r>
      <w:r w:rsidRPr="00D36319">
        <w:rPr>
          <w:rFonts w:ascii="Verdana" w:hAnsi="Verdana"/>
          <w:sz w:val="20"/>
          <w:szCs w:val="20"/>
        </w:rPr>
        <w:t>de</w:t>
      </w:r>
      <w:r w:rsidR="00123F27">
        <w:rPr>
          <w:rFonts w:ascii="Verdana" w:hAnsi="Verdana"/>
          <w:sz w:val="20"/>
          <w:szCs w:val="20"/>
        </w:rPr>
        <w:t xml:space="preserve"> los</w:t>
      </w:r>
      <w:r w:rsidRPr="00D36319">
        <w:rPr>
          <w:rFonts w:ascii="Verdana" w:hAnsi="Verdana"/>
          <w:sz w:val="20"/>
          <w:szCs w:val="20"/>
        </w:rPr>
        <w:t xml:space="preserve"> artículo</w:t>
      </w:r>
      <w:r w:rsidR="00123F27">
        <w:rPr>
          <w:rFonts w:ascii="Verdana" w:hAnsi="Verdana"/>
          <w:sz w:val="20"/>
          <w:szCs w:val="20"/>
        </w:rPr>
        <w:t>s 4 y</w:t>
      </w:r>
      <w:r w:rsidRPr="00D36319">
        <w:rPr>
          <w:rFonts w:ascii="Verdana" w:hAnsi="Verdana"/>
          <w:sz w:val="20"/>
          <w:szCs w:val="20"/>
        </w:rPr>
        <w:t xml:space="preserve"> 9 de la Convención Americana</w:t>
      </w:r>
      <w:r w:rsidR="00123F27">
        <w:rPr>
          <w:rFonts w:ascii="Verdana" w:hAnsi="Verdana"/>
          <w:sz w:val="20"/>
          <w:szCs w:val="20"/>
        </w:rPr>
        <w:t xml:space="preserve"> en esta Sentencia</w:t>
      </w:r>
      <w:r w:rsidRPr="00D36319">
        <w:rPr>
          <w:rFonts w:ascii="Verdana" w:hAnsi="Verdana"/>
          <w:sz w:val="20"/>
          <w:szCs w:val="20"/>
        </w:rPr>
        <w:t>.</w:t>
      </w:r>
    </w:p>
    <w:p w14:paraId="23C29448" w14:textId="77777777" w:rsidR="00D36319" w:rsidRDefault="00D36319" w:rsidP="00D36319">
      <w:pPr>
        <w:pStyle w:val="Prrafodelista"/>
        <w:autoSpaceDE w:val="0"/>
        <w:autoSpaceDN w:val="0"/>
        <w:adjustRightInd w:val="0"/>
        <w:spacing w:after="0" w:line="240" w:lineRule="auto"/>
        <w:ind w:left="0"/>
        <w:jc w:val="both"/>
        <w:rPr>
          <w:rFonts w:ascii="Verdana" w:hAnsi="Verdana"/>
          <w:sz w:val="20"/>
          <w:szCs w:val="20"/>
          <w:lang w:val="es-CR"/>
        </w:rPr>
      </w:pPr>
    </w:p>
    <w:p w14:paraId="7ABF46B9" w14:textId="6A351044" w:rsidR="00D36319" w:rsidRDefault="00EC417E" w:rsidP="00D36319">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D36319">
        <w:rPr>
          <w:rFonts w:ascii="Verdana" w:hAnsi="Verdana"/>
          <w:sz w:val="20"/>
          <w:szCs w:val="20"/>
        </w:rPr>
        <w:t>La jurisprudencia de la Corte ha sido enfática en señalar la importancia del principio de presunción de inocencia, consagrado en el artículo 8.2 de la Convención,</w:t>
      </w:r>
      <w:r w:rsidR="00D04102">
        <w:rPr>
          <w:rFonts w:ascii="Verdana" w:hAnsi="Verdana"/>
          <w:sz w:val="20"/>
          <w:szCs w:val="20"/>
        </w:rPr>
        <w:t xml:space="preserve"> al</w:t>
      </w:r>
      <w:r w:rsidRPr="00D36319">
        <w:rPr>
          <w:rFonts w:ascii="Verdana" w:hAnsi="Verdana"/>
          <w:sz w:val="20"/>
          <w:szCs w:val="20"/>
        </w:rPr>
        <w:t xml:space="preserve"> </w:t>
      </w:r>
      <w:r w:rsidR="00123F27">
        <w:rPr>
          <w:rFonts w:ascii="Verdana" w:hAnsi="Verdana"/>
          <w:sz w:val="20"/>
          <w:szCs w:val="20"/>
        </w:rPr>
        <w:t>constituir</w:t>
      </w:r>
      <w:r w:rsidR="00123F27" w:rsidRPr="00D36319">
        <w:rPr>
          <w:rFonts w:ascii="Verdana" w:hAnsi="Verdana"/>
          <w:sz w:val="20"/>
          <w:szCs w:val="20"/>
        </w:rPr>
        <w:t xml:space="preserve"> </w:t>
      </w:r>
      <w:r w:rsidRPr="00D36319">
        <w:rPr>
          <w:rFonts w:ascii="Verdana" w:hAnsi="Verdana"/>
          <w:sz w:val="20"/>
          <w:szCs w:val="20"/>
        </w:rPr>
        <w:t xml:space="preserve">un fundamento de las garantías judiciales. La presunción de inocencia implica que el acusado no debe demostrar que no ha cometido el delito que se le atribuye, ya que el </w:t>
      </w:r>
      <w:proofErr w:type="spellStart"/>
      <w:r w:rsidRPr="00D36319">
        <w:rPr>
          <w:rFonts w:ascii="Verdana" w:hAnsi="Verdana"/>
          <w:i/>
          <w:sz w:val="20"/>
          <w:szCs w:val="20"/>
        </w:rPr>
        <w:t>onus</w:t>
      </w:r>
      <w:proofErr w:type="spellEnd"/>
      <w:r w:rsidRPr="00D36319">
        <w:rPr>
          <w:rFonts w:ascii="Verdana" w:hAnsi="Verdana"/>
          <w:i/>
          <w:sz w:val="20"/>
          <w:szCs w:val="20"/>
        </w:rPr>
        <w:t xml:space="preserve"> probandi</w:t>
      </w:r>
      <w:r w:rsidRPr="00D36319">
        <w:rPr>
          <w:rFonts w:ascii="Verdana" w:hAnsi="Verdana"/>
          <w:sz w:val="20"/>
          <w:szCs w:val="20"/>
        </w:rPr>
        <w:t xml:space="preserve"> corresponde a quien acusa</w:t>
      </w:r>
      <w:r w:rsidRPr="005F476A">
        <w:rPr>
          <w:vertAlign w:val="superscript"/>
        </w:rPr>
        <w:footnoteReference w:id="101"/>
      </w:r>
      <w:r w:rsidRPr="00D36319">
        <w:rPr>
          <w:rFonts w:ascii="Verdana" w:hAnsi="Verdana"/>
          <w:sz w:val="20"/>
          <w:szCs w:val="20"/>
        </w:rPr>
        <w:t xml:space="preserve">. </w:t>
      </w:r>
    </w:p>
    <w:p w14:paraId="17092CBB" w14:textId="77777777" w:rsidR="00D36319" w:rsidRPr="00D36319" w:rsidRDefault="00D36319" w:rsidP="00D36319">
      <w:pPr>
        <w:pStyle w:val="Prrafodelista"/>
        <w:rPr>
          <w:rFonts w:ascii="Verdana" w:hAnsi="Verdana"/>
          <w:sz w:val="20"/>
          <w:szCs w:val="20"/>
        </w:rPr>
      </w:pPr>
    </w:p>
    <w:p w14:paraId="5605CFC8" w14:textId="0B4E87DD" w:rsidR="008448A1" w:rsidRPr="00084C68" w:rsidRDefault="00EC417E" w:rsidP="008448A1">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D36319">
        <w:rPr>
          <w:rFonts w:ascii="Verdana" w:hAnsi="Verdana"/>
          <w:sz w:val="20"/>
          <w:szCs w:val="20"/>
        </w:rPr>
        <w:t xml:space="preserve">Además, este Tribunal ha señalado que una garantía al ejercicio material del derecho de defensa es la prohibición de que una persona sea obligada a declarar contra sí misma (artículo 8.2.g). Dicho artículo implica el derecho de participación activa del imputado en los medios probatorios, el derecho a no declarar contra sí mismo y más específico, el </w:t>
      </w:r>
      <w:proofErr w:type="gramStart"/>
      <w:r w:rsidRPr="00D36319">
        <w:rPr>
          <w:rFonts w:ascii="Verdana" w:hAnsi="Verdana"/>
          <w:sz w:val="20"/>
          <w:szCs w:val="20"/>
        </w:rPr>
        <w:t>derecho  a</w:t>
      </w:r>
      <w:proofErr w:type="gramEnd"/>
      <w:r w:rsidRPr="00D36319">
        <w:rPr>
          <w:rFonts w:ascii="Verdana" w:hAnsi="Verdana"/>
          <w:sz w:val="20"/>
          <w:szCs w:val="20"/>
        </w:rPr>
        <w:t xml:space="preserve"> guardar silencio. En ese sentido, utilizar la tortura para obtener una </w:t>
      </w:r>
      <w:r w:rsidR="00F51963" w:rsidRPr="00F51963">
        <w:rPr>
          <w:rFonts w:ascii="Verdana" w:hAnsi="Verdana"/>
          <w:sz w:val="20"/>
          <w:szCs w:val="20"/>
        </w:rPr>
        <w:t>confesión</w:t>
      </w:r>
      <w:r w:rsidR="00CA7264">
        <w:rPr>
          <w:rFonts w:ascii="Verdana" w:hAnsi="Verdana"/>
          <w:sz w:val="20"/>
          <w:szCs w:val="20"/>
        </w:rPr>
        <w:t xml:space="preserve"> </w:t>
      </w:r>
      <w:r w:rsidRPr="00D36319">
        <w:rPr>
          <w:rFonts w:ascii="Verdana" w:hAnsi="Verdana"/>
          <w:sz w:val="20"/>
          <w:szCs w:val="20"/>
        </w:rPr>
        <w:t>por parte del imputado sería completamente contrari</w:t>
      </w:r>
      <w:r w:rsidR="00BD2F36">
        <w:rPr>
          <w:rFonts w:ascii="Verdana" w:hAnsi="Verdana"/>
          <w:sz w:val="20"/>
          <w:szCs w:val="20"/>
        </w:rPr>
        <w:t>a</w:t>
      </w:r>
      <w:r w:rsidRPr="00D36319">
        <w:rPr>
          <w:rFonts w:ascii="Verdana" w:hAnsi="Verdana"/>
          <w:sz w:val="20"/>
          <w:szCs w:val="20"/>
        </w:rPr>
        <w:t xml:space="preserve"> a lo establecido por este derecho. Al respecto, la Corte ha señalado que, “[l]a exclusión de pruebas obtenidas mediante coacción ostenta un carácter absoluto e inderogable”. Por lo tanto, cualquier </w:t>
      </w:r>
      <w:r w:rsidR="00F51963" w:rsidRPr="00F51963">
        <w:rPr>
          <w:rFonts w:ascii="Verdana" w:hAnsi="Verdana"/>
          <w:sz w:val="20"/>
          <w:szCs w:val="20"/>
        </w:rPr>
        <w:t>confesión</w:t>
      </w:r>
      <w:r w:rsidR="00F51963">
        <w:rPr>
          <w:rFonts w:ascii="Verdana" w:hAnsi="Verdana"/>
          <w:sz w:val="20"/>
          <w:szCs w:val="20"/>
        </w:rPr>
        <w:t xml:space="preserve"> </w:t>
      </w:r>
      <w:r w:rsidRPr="00D36319">
        <w:rPr>
          <w:rFonts w:ascii="Verdana" w:hAnsi="Verdana"/>
          <w:sz w:val="20"/>
          <w:szCs w:val="20"/>
        </w:rPr>
        <w:t>obtenida mediante tortura es absolutamente inválida y no puede ser utilizada como prueba en una sentencia condenatoria</w:t>
      </w:r>
      <w:r>
        <w:rPr>
          <w:rStyle w:val="Refdenotaalpie"/>
          <w:rFonts w:ascii="Verdana" w:hAnsi="Verdana"/>
          <w:sz w:val="20"/>
          <w:szCs w:val="20"/>
        </w:rPr>
        <w:footnoteReference w:id="102"/>
      </w:r>
      <w:r w:rsidRPr="00D36319">
        <w:rPr>
          <w:rFonts w:ascii="Verdana" w:hAnsi="Verdana"/>
          <w:sz w:val="20"/>
          <w:szCs w:val="20"/>
        </w:rPr>
        <w:t>.</w:t>
      </w:r>
    </w:p>
    <w:p w14:paraId="3801214B" w14:textId="77777777" w:rsidR="008448A1" w:rsidRPr="008448A1" w:rsidRDefault="00D36319" w:rsidP="00084C68">
      <w:pPr>
        <w:pStyle w:val="Ttulo4"/>
        <w:rPr>
          <w:lang w:val="es-CR"/>
        </w:rPr>
      </w:pPr>
      <w:bookmarkStart w:id="45" w:name="_Toc25247759"/>
      <w:r w:rsidRPr="005F476A">
        <w:rPr>
          <w:lang w:val="es-CR"/>
        </w:rPr>
        <w:lastRenderedPageBreak/>
        <w:t>B.1.3. Análisis del caso concreto</w:t>
      </w:r>
      <w:bookmarkEnd w:id="45"/>
    </w:p>
    <w:p w14:paraId="1E671AD5" w14:textId="77777777" w:rsidR="00084C68" w:rsidRPr="00084C68" w:rsidRDefault="00084C68" w:rsidP="00084C68">
      <w:pPr>
        <w:pStyle w:val="Prrafodelista"/>
        <w:autoSpaceDE w:val="0"/>
        <w:autoSpaceDN w:val="0"/>
        <w:adjustRightInd w:val="0"/>
        <w:spacing w:after="0" w:line="240" w:lineRule="auto"/>
        <w:ind w:left="0"/>
        <w:jc w:val="both"/>
        <w:rPr>
          <w:rFonts w:ascii="Verdana" w:hAnsi="Verdana"/>
          <w:sz w:val="20"/>
          <w:szCs w:val="20"/>
          <w:lang w:val="es-CR"/>
        </w:rPr>
      </w:pPr>
    </w:p>
    <w:p w14:paraId="747D1606" w14:textId="67356DFF" w:rsidR="00D36319" w:rsidRPr="007B0254" w:rsidRDefault="00EC417E" w:rsidP="00D36319">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D36319">
        <w:rPr>
          <w:rFonts w:ascii="Verdana" w:hAnsi="Verdana"/>
          <w:sz w:val="20"/>
          <w:szCs w:val="20"/>
        </w:rPr>
        <w:t>Está probado que el señor Valenzuela fue detenido por funcionarios de la PNC el 27 de mayo de 1998, al encontrarse armas de fuego durante un allanamiento realizado en su vivienda</w:t>
      </w:r>
      <w:r w:rsidRPr="00796E9E">
        <w:rPr>
          <w:rFonts w:ascii="Verdana" w:hAnsi="Verdana"/>
          <w:sz w:val="20"/>
          <w:szCs w:val="20"/>
          <w:vertAlign w:val="superscript"/>
        </w:rPr>
        <w:footnoteReference w:id="103"/>
      </w:r>
      <w:r w:rsidRPr="00D36319">
        <w:rPr>
          <w:rFonts w:ascii="Verdana" w:hAnsi="Verdana"/>
          <w:sz w:val="20"/>
          <w:szCs w:val="20"/>
        </w:rPr>
        <w:t>. Por otro lado, está demostrado que el señor Valenzuela fue objeto de actos de tortura y violencia sexual, los cuales fueron cometidos intencionalmente por agentes estatales, con la finalidad de que aceptara haber participado en la comisión de un hecho delictivo</w:t>
      </w:r>
      <w:r w:rsidR="00F430E1">
        <w:rPr>
          <w:rFonts w:ascii="Verdana" w:hAnsi="Verdana"/>
          <w:sz w:val="20"/>
          <w:szCs w:val="20"/>
        </w:rPr>
        <w:t xml:space="preserve"> (</w:t>
      </w:r>
      <w:r w:rsidR="00F430E1" w:rsidRPr="00F430E1">
        <w:rPr>
          <w:rFonts w:ascii="Verdana" w:hAnsi="Verdana"/>
          <w:i/>
          <w:sz w:val="20"/>
          <w:szCs w:val="20"/>
        </w:rPr>
        <w:t>infra</w:t>
      </w:r>
      <w:r w:rsidR="00F430E1">
        <w:rPr>
          <w:rFonts w:ascii="Verdana" w:hAnsi="Verdana"/>
          <w:sz w:val="20"/>
          <w:szCs w:val="20"/>
        </w:rPr>
        <w:t xml:space="preserve"> párrs. 194 y 195)</w:t>
      </w:r>
      <w:r w:rsidRPr="00D36319">
        <w:rPr>
          <w:rFonts w:ascii="Verdana" w:hAnsi="Verdana"/>
          <w:sz w:val="20"/>
          <w:szCs w:val="20"/>
        </w:rPr>
        <w:t>. Además, pese a que el Estado en diversas oportunidades tomó conocimiento de los actos de tortura contra el señor Valenzuela (</w:t>
      </w:r>
      <w:r w:rsidRPr="00D36319">
        <w:rPr>
          <w:rFonts w:ascii="Verdana" w:hAnsi="Verdana"/>
          <w:i/>
          <w:sz w:val="20"/>
          <w:szCs w:val="20"/>
        </w:rPr>
        <w:t xml:space="preserve">supra </w:t>
      </w:r>
      <w:r w:rsidRPr="00D36319">
        <w:rPr>
          <w:rFonts w:ascii="Verdana" w:hAnsi="Verdana"/>
          <w:sz w:val="20"/>
          <w:szCs w:val="20"/>
        </w:rPr>
        <w:t xml:space="preserve">párr. </w:t>
      </w:r>
      <w:r w:rsidR="00C806EB">
        <w:rPr>
          <w:rFonts w:ascii="Verdana" w:hAnsi="Verdana"/>
          <w:sz w:val="20"/>
          <w:szCs w:val="20"/>
        </w:rPr>
        <w:t>87</w:t>
      </w:r>
      <w:r w:rsidRPr="00D36319">
        <w:rPr>
          <w:rFonts w:ascii="Verdana" w:hAnsi="Verdana"/>
          <w:sz w:val="20"/>
          <w:szCs w:val="20"/>
        </w:rPr>
        <w:t>), no inició una investigación para la determinación de la verdad, captura, enjuiciamiento y eventual sanción de los responsables</w:t>
      </w:r>
      <w:r w:rsidR="009B7B13">
        <w:rPr>
          <w:rFonts w:ascii="Verdana" w:hAnsi="Verdana"/>
          <w:sz w:val="20"/>
          <w:szCs w:val="20"/>
        </w:rPr>
        <w:t xml:space="preserve"> (</w:t>
      </w:r>
      <w:r w:rsidR="009B7B13" w:rsidRPr="009B7B13">
        <w:rPr>
          <w:rFonts w:ascii="Verdana" w:hAnsi="Verdana"/>
          <w:i/>
          <w:sz w:val="20"/>
          <w:szCs w:val="20"/>
        </w:rPr>
        <w:t>infra</w:t>
      </w:r>
      <w:r w:rsidR="009B7B13">
        <w:rPr>
          <w:rFonts w:ascii="Verdana" w:hAnsi="Verdana"/>
          <w:sz w:val="20"/>
          <w:szCs w:val="20"/>
        </w:rPr>
        <w:t xml:space="preserve"> pá</w:t>
      </w:r>
      <w:r w:rsidR="00091A01">
        <w:rPr>
          <w:rFonts w:ascii="Verdana" w:hAnsi="Verdana"/>
          <w:sz w:val="20"/>
          <w:szCs w:val="20"/>
        </w:rPr>
        <w:t>rr.</w:t>
      </w:r>
      <w:r w:rsidR="009B7B13">
        <w:rPr>
          <w:rFonts w:ascii="Verdana" w:hAnsi="Verdana"/>
          <w:sz w:val="20"/>
          <w:szCs w:val="20"/>
        </w:rPr>
        <w:t xml:space="preserve"> </w:t>
      </w:r>
      <w:r w:rsidR="009F7B3D">
        <w:rPr>
          <w:rFonts w:ascii="Verdana" w:hAnsi="Verdana"/>
          <w:sz w:val="20"/>
          <w:szCs w:val="20"/>
        </w:rPr>
        <w:t>144</w:t>
      </w:r>
      <w:r w:rsidR="009B7B13">
        <w:rPr>
          <w:rFonts w:ascii="Verdana" w:hAnsi="Verdana"/>
          <w:sz w:val="20"/>
          <w:szCs w:val="20"/>
        </w:rPr>
        <w:t>)</w:t>
      </w:r>
      <w:r w:rsidRPr="00D36319">
        <w:rPr>
          <w:rFonts w:ascii="Verdana" w:hAnsi="Verdana"/>
          <w:sz w:val="20"/>
          <w:szCs w:val="20"/>
        </w:rPr>
        <w:t>. En este sentido, esta Corte advierte que el señor Valenzuela fue obligado a declarar contra sí mismo para aceptar haber participado en un hecho delictivo. Por lo tanto la Corte considera que el Estado vulneró los artículos 8.2 y 8.2.g), en relación con el artículo 1.1 de la Convención, en perjuicio del señor Tirso Román Valenzuela Ávila.</w:t>
      </w:r>
    </w:p>
    <w:p w14:paraId="7DC2CA4E" w14:textId="77777777" w:rsidR="007B0254" w:rsidRDefault="007B0254" w:rsidP="007B0254">
      <w:pPr>
        <w:pStyle w:val="Prrafodelista"/>
        <w:autoSpaceDE w:val="0"/>
        <w:autoSpaceDN w:val="0"/>
        <w:adjustRightInd w:val="0"/>
        <w:spacing w:after="0" w:line="240" w:lineRule="auto"/>
        <w:ind w:left="0"/>
        <w:jc w:val="both"/>
        <w:rPr>
          <w:rFonts w:ascii="Verdana" w:hAnsi="Verdana"/>
          <w:sz w:val="20"/>
          <w:szCs w:val="20"/>
          <w:lang w:val="es-CR"/>
        </w:rPr>
      </w:pPr>
    </w:p>
    <w:p w14:paraId="34D8025B" w14:textId="17C4E1CF" w:rsidR="00D36319" w:rsidRPr="00D36319" w:rsidRDefault="00EC417E" w:rsidP="00D36319">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D36319">
        <w:rPr>
          <w:rFonts w:ascii="Verdana" w:hAnsi="Verdana"/>
          <w:sz w:val="20"/>
          <w:szCs w:val="20"/>
        </w:rPr>
        <w:t xml:space="preserve">En cuanto a la alegación de la Comisión y los representantes respecto a la vulneración del artículo 8.3, la Corte nota que el señor Valenzuela, como consta </w:t>
      </w:r>
      <w:proofErr w:type="gramStart"/>
      <w:r w:rsidRPr="00D36319">
        <w:rPr>
          <w:rFonts w:ascii="Verdana" w:hAnsi="Verdana"/>
          <w:sz w:val="20"/>
          <w:szCs w:val="20"/>
        </w:rPr>
        <w:t>en  el</w:t>
      </w:r>
      <w:proofErr w:type="gramEnd"/>
      <w:r w:rsidRPr="00D36319">
        <w:rPr>
          <w:rFonts w:ascii="Verdana" w:hAnsi="Verdana"/>
          <w:sz w:val="20"/>
          <w:szCs w:val="20"/>
        </w:rPr>
        <w:t xml:space="preserve"> acta de juicio 38 – 99, manifestó “que decidió dar su declaración porque [… lo estaban] </w:t>
      </w:r>
      <w:proofErr w:type="spellStart"/>
      <w:r w:rsidRPr="00D36319">
        <w:rPr>
          <w:rFonts w:ascii="Verdana" w:hAnsi="Verdana"/>
          <w:sz w:val="20"/>
          <w:szCs w:val="20"/>
        </w:rPr>
        <w:t>tortu</w:t>
      </w:r>
      <w:proofErr w:type="spellEnd"/>
      <w:r w:rsidRPr="00D36319">
        <w:rPr>
          <w:rFonts w:ascii="Verdana" w:hAnsi="Verdana"/>
          <w:sz w:val="20"/>
          <w:szCs w:val="20"/>
        </w:rPr>
        <w:t>[</w:t>
      </w:r>
      <w:proofErr w:type="spellStart"/>
      <w:r w:rsidRPr="00D36319">
        <w:rPr>
          <w:rFonts w:ascii="Verdana" w:hAnsi="Verdana"/>
          <w:sz w:val="20"/>
          <w:szCs w:val="20"/>
        </w:rPr>
        <w:t>rando</w:t>
      </w:r>
      <w:proofErr w:type="spellEnd"/>
      <w:r w:rsidRPr="00D36319">
        <w:rPr>
          <w:rFonts w:ascii="Verdana" w:hAnsi="Verdana"/>
          <w:sz w:val="20"/>
          <w:szCs w:val="20"/>
        </w:rPr>
        <w:t>]</w:t>
      </w:r>
      <w:r w:rsidR="00F24F2B">
        <w:rPr>
          <w:rFonts w:ascii="Verdana" w:hAnsi="Verdana"/>
          <w:sz w:val="20"/>
          <w:szCs w:val="20"/>
        </w:rPr>
        <w:t xml:space="preserve"> (</w:t>
      </w:r>
      <w:r w:rsidR="00F24F2B" w:rsidRPr="0097244E">
        <w:rPr>
          <w:rFonts w:ascii="Verdana" w:hAnsi="Verdana"/>
          <w:i/>
          <w:sz w:val="20"/>
          <w:szCs w:val="20"/>
        </w:rPr>
        <w:t>supra</w:t>
      </w:r>
      <w:r w:rsidR="00130D62">
        <w:rPr>
          <w:rFonts w:ascii="Verdana" w:hAnsi="Verdana"/>
          <w:sz w:val="20"/>
          <w:szCs w:val="20"/>
        </w:rPr>
        <w:t xml:space="preserve"> párr. 74</w:t>
      </w:r>
      <w:r w:rsidR="00F24F2B">
        <w:rPr>
          <w:rFonts w:ascii="Verdana" w:hAnsi="Verdana"/>
          <w:sz w:val="20"/>
          <w:szCs w:val="20"/>
        </w:rPr>
        <w:t>)</w:t>
      </w:r>
      <w:r w:rsidRPr="00D36319">
        <w:rPr>
          <w:rFonts w:ascii="Verdana" w:hAnsi="Verdana"/>
          <w:sz w:val="20"/>
          <w:szCs w:val="20"/>
        </w:rPr>
        <w:t xml:space="preserve">. Además, consta en la sentencia de 21 de octubre de 1999 que el señor Valenzuela “negó categóricamente la acusación que se le formuló”. </w:t>
      </w:r>
      <w:r w:rsidRPr="0067591B">
        <w:rPr>
          <w:rFonts w:ascii="Verdana" w:hAnsi="Verdana"/>
          <w:sz w:val="20"/>
          <w:szCs w:val="20"/>
        </w:rPr>
        <w:t>Sin embargo, el Tribunal</w:t>
      </w:r>
      <w:r w:rsidRPr="009D0FD1">
        <w:rPr>
          <w:rFonts w:ascii="Verdana" w:hAnsi="Verdana"/>
          <w:sz w:val="20"/>
          <w:szCs w:val="20"/>
        </w:rPr>
        <w:t xml:space="preserve"> de Sentencia del Departamento de Quetzaltenango, que condenó al señor Valenzuela, no confirió valor probatorio </w:t>
      </w:r>
      <w:r w:rsidR="009D0FD1">
        <w:rPr>
          <w:rFonts w:ascii="Verdana" w:hAnsi="Verdana"/>
          <w:sz w:val="20"/>
          <w:szCs w:val="20"/>
        </w:rPr>
        <w:t xml:space="preserve">a dicha declaración </w:t>
      </w:r>
      <w:r w:rsidR="009D0FD1" w:rsidRPr="009D0FD1">
        <w:rPr>
          <w:rFonts w:ascii="Verdana" w:eastAsia="Arial Unicode MS" w:hAnsi="Verdana" w:cs="Arial Unicode MS"/>
          <w:color w:val="000000"/>
          <w:sz w:val="20"/>
          <w:szCs w:val="20"/>
          <w:u w:color="000000"/>
          <w:lang w:val="es-ES_tradnl"/>
        </w:rPr>
        <w:t>(</w:t>
      </w:r>
      <w:r w:rsidR="009D0FD1" w:rsidRPr="009D0FD1">
        <w:rPr>
          <w:rFonts w:ascii="Verdana" w:eastAsia="Arial Unicode MS" w:hAnsi="Verdana" w:cs="Arial Unicode MS"/>
          <w:i/>
          <w:color w:val="000000"/>
          <w:sz w:val="20"/>
          <w:szCs w:val="20"/>
          <w:u w:color="000000"/>
          <w:lang w:val="es-ES_tradnl"/>
        </w:rPr>
        <w:t>supra</w:t>
      </w:r>
      <w:r w:rsidR="009D0FD1" w:rsidRPr="009D0FD1">
        <w:rPr>
          <w:rFonts w:ascii="Verdana" w:eastAsia="Arial Unicode MS" w:hAnsi="Verdana" w:cs="Arial Unicode MS"/>
          <w:color w:val="000000"/>
          <w:sz w:val="20"/>
          <w:szCs w:val="20"/>
          <w:u w:color="000000"/>
          <w:lang w:val="es-ES_tradnl"/>
        </w:rPr>
        <w:t xml:space="preserve"> párr. 76)</w:t>
      </w:r>
      <w:r w:rsidR="0067591B">
        <w:rPr>
          <w:rFonts w:ascii="Verdana" w:hAnsi="Verdana"/>
          <w:sz w:val="20"/>
          <w:szCs w:val="20"/>
        </w:rPr>
        <w:t xml:space="preserve">. </w:t>
      </w:r>
      <w:r w:rsidRPr="00D36319">
        <w:rPr>
          <w:rFonts w:ascii="Verdana" w:hAnsi="Verdana"/>
          <w:sz w:val="20"/>
          <w:szCs w:val="20"/>
        </w:rPr>
        <w:t>En razón de lo expuesto, este Tribunal considera que el Estado no es responsable de la violación del artículo 8.3 de la Convención, en tanto que</w:t>
      </w:r>
      <w:r w:rsidR="00DF743D">
        <w:rPr>
          <w:rFonts w:ascii="Verdana" w:hAnsi="Verdana"/>
          <w:sz w:val="20"/>
          <w:szCs w:val="20"/>
        </w:rPr>
        <w:t xml:space="preserve"> </w:t>
      </w:r>
      <w:r w:rsidR="00DF743D" w:rsidRPr="00D34C76">
        <w:rPr>
          <w:rFonts w:ascii="Verdana" w:hAnsi="Verdana"/>
          <w:sz w:val="20"/>
          <w:szCs w:val="20"/>
        </w:rPr>
        <w:t xml:space="preserve">se declaró </w:t>
      </w:r>
      <w:r w:rsidR="001C6773" w:rsidRPr="00D34C76">
        <w:rPr>
          <w:rFonts w:ascii="Verdana" w:eastAsia="Arial Unicode MS" w:hAnsi="Verdana" w:cs="Arial Unicode MS"/>
          <w:sz w:val="20"/>
          <w:szCs w:val="20"/>
          <w:u w:color="000000"/>
          <w:lang w:val="es-ES_tradnl"/>
        </w:rPr>
        <w:t xml:space="preserve">la culpabilidad del señor Valenzuela Ávila </w:t>
      </w:r>
      <w:r w:rsidR="00DF743D" w:rsidRPr="00D34C76">
        <w:rPr>
          <w:rFonts w:ascii="Verdana" w:eastAsia="Arial Unicode MS" w:hAnsi="Verdana" w:cs="Arial Unicode MS"/>
          <w:sz w:val="20"/>
          <w:szCs w:val="20"/>
          <w:u w:color="000000"/>
          <w:lang w:val="es-ES_tradnl"/>
        </w:rPr>
        <w:t>con base en</w:t>
      </w:r>
      <w:r w:rsidR="001C6773" w:rsidRPr="00D34C76">
        <w:rPr>
          <w:rFonts w:ascii="Verdana" w:eastAsia="Arial Unicode MS" w:hAnsi="Verdana" w:cs="Arial Unicode MS"/>
          <w:sz w:val="20"/>
          <w:szCs w:val="20"/>
          <w:u w:color="000000"/>
          <w:lang w:val="es-ES_tradnl"/>
        </w:rPr>
        <w:t xml:space="preserve"> otros medios de pruebas</w:t>
      </w:r>
      <w:r w:rsidR="001C6773" w:rsidRPr="00D34C76">
        <w:rPr>
          <w:rStyle w:val="Refdenotaalpie"/>
          <w:rFonts w:ascii="Verdana" w:eastAsia="Arial Unicode MS" w:hAnsi="Verdana" w:cs="Arial Unicode MS"/>
          <w:sz w:val="20"/>
          <w:szCs w:val="20"/>
          <w:u w:color="000000"/>
          <w:lang w:val="es-ES_tradnl"/>
        </w:rPr>
        <w:footnoteReference w:id="104"/>
      </w:r>
      <w:r w:rsidRPr="00D34C76">
        <w:rPr>
          <w:rFonts w:ascii="Verdana" w:hAnsi="Verdana"/>
          <w:sz w:val="20"/>
          <w:szCs w:val="20"/>
        </w:rPr>
        <w:t xml:space="preserve"> </w:t>
      </w:r>
      <w:r w:rsidR="001C6773" w:rsidRPr="00D34C76">
        <w:rPr>
          <w:rFonts w:ascii="Verdana" w:hAnsi="Verdana"/>
          <w:sz w:val="20"/>
          <w:szCs w:val="20"/>
        </w:rPr>
        <w:t xml:space="preserve">y </w:t>
      </w:r>
      <w:r w:rsidRPr="00D36319">
        <w:rPr>
          <w:rFonts w:ascii="Verdana" w:hAnsi="Verdana"/>
          <w:sz w:val="20"/>
          <w:szCs w:val="20"/>
        </w:rPr>
        <w:t xml:space="preserve">no se otorgó valor probatorio a la </w:t>
      </w:r>
      <w:r w:rsidR="00F51963" w:rsidRPr="00F51963">
        <w:rPr>
          <w:rFonts w:ascii="Verdana" w:hAnsi="Verdana"/>
          <w:sz w:val="20"/>
          <w:szCs w:val="20"/>
        </w:rPr>
        <w:t>confesión</w:t>
      </w:r>
      <w:r w:rsidR="00CA7264">
        <w:rPr>
          <w:rFonts w:ascii="Verdana" w:hAnsi="Verdana"/>
          <w:sz w:val="20"/>
          <w:szCs w:val="20"/>
        </w:rPr>
        <w:t xml:space="preserve"> </w:t>
      </w:r>
      <w:r w:rsidR="00426903">
        <w:rPr>
          <w:rFonts w:ascii="Verdana" w:hAnsi="Verdana"/>
          <w:sz w:val="20"/>
          <w:szCs w:val="20"/>
        </w:rPr>
        <w:t xml:space="preserve">del </w:t>
      </w:r>
      <w:r w:rsidRPr="00D36319">
        <w:rPr>
          <w:rFonts w:ascii="Verdana" w:hAnsi="Verdana"/>
          <w:sz w:val="20"/>
          <w:szCs w:val="20"/>
        </w:rPr>
        <w:t xml:space="preserve">señor Valenzuela realizada bajo tortura, para </w:t>
      </w:r>
      <w:r w:rsidR="00DF743D">
        <w:rPr>
          <w:rFonts w:ascii="Verdana" w:hAnsi="Verdana"/>
          <w:sz w:val="20"/>
          <w:szCs w:val="20"/>
        </w:rPr>
        <w:t>sustentar</w:t>
      </w:r>
      <w:r w:rsidR="00DF743D" w:rsidRPr="00D36319">
        <w:rPr>
          <w:rFonts w:ascii="Verdana" w:hAnsi="Verdana"/>
          <w:sz w:val="20"/>
          <w:szCs w:val="20"/>
        </w:rPr>
        <w:t xml:space="preserve"> </w:t>
      </w:r>
      <w:r w:rsidRPr="00D36319">
        <w:rPr>
          <w:rFonts w:ascii="Verdana" w:hAnsi="Verdana"/>
          <w:sz w:val="20"/>
          <w:szCs w:val="20"/>
        </w:rPr>
        <w:t>la sentencia condenatoria a pena de muerte.</w:t>
      </w:r>
      <w:r w:rsidR="00B95CAE">
        <w:rPr>
          <w:rFonts w:ascii="Verdana" w:hAnsi="Verdana"/>
          <w:sz w:val="20"/>
          <w:szCs w:val="20"/>
        </w:rPr>
        <w:t xml:space="preserve"> </w:t>
      </w:r>
      <w:r w:rsidR="00B95CAE" w:rsidRPr="0097244E">
        <w:rPr>
          <w:rFonts w:ascii="Verdana" w:hAnsi="Verdana"/>
          <w:sz w:val="20"/>
          <w:szCs w:val="20"/>
        </w:rPr>
        <w:t>En razón de lo anterior, esta Corte considera que no es necesario pronunciarse sobre el artículo 10 de la CIPST.</w:t>
      </w:r>
    </w:p>
    <w:p w14:paraId="5DDF25D0" w14:textId="77777777" w:rsidR="00D36319" w:rsidRDefault="00D36319" w:rsidP="00D36319">
      <w:pPr>
        <w:pStyle w:val="Prrafodelista"/>
        <w:autoSpaceDE w:val="0"/>
        <w:autoSpaceDN w:val="0"/>
        <w:adjustRightInd w:val="0"/>
        <w:spacing w:after="0" w:line="240" w:lineRule="auto"/>
        <w:ind w:left="0"/>
        <w:jc w:val="both"/>
        <w:rPr>
          <w:rFonts w:ascii="Verdana" w:hAnsi="Verdana"/>
          <w:sz w:val="20"/>
          <w:szCs w:val="20"/>
          <w:lang w:val="es-CR"/>
        </w:rPr>
      </w:pPr>
    </w:p>
    <w:p w14:paraId="54BA84B6" w14:textId="77777777" w:rsidR="00D36319" w:rsidRDefault="00EC417E" w:rsidP="00084C68">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5A2F43">
        <w:rPr>
          <w:rFonts w:ascii="Verdana" w:hAnsi="Verdana"/>
          <w:sz w:val="20"/>
          <w:szCs w:val="20"/>
          <w:lang w:val="es-CR"/>
        </w:rPr>
        <w:t xml:space="preserve">Por otra parte, los representantes, tanto en el objeto del escrito de solicitudes y argumentos como en el petitorio, señalaron que el Estado había infringido, además de los artículos ya </w:t>
      </w:r>
      <w:r w:rsidRPr="00252E25">
        <w:rPr>
          <w:rFonts w:ascii="Verdana" w:hAnsi="Verdana"/>
          <w:sz w:val="20"/>
          <w:szCs w:val="20"/>
          <w:lang w:val="es-CR"/>
        </w:rPr>
        <w:t xml:space="preserve">señalados, </w:t>
      </w:r>
      <w:r w:rsidR="00BD2F36" w:rsidRPr="00252E25">
        <w:rPr>
          <w:rFonts w:ascii="Verdana" w:hAnsi="Verdana"/>
          <w:sz w:val="20"/>
          <w:szCs w:val="20"/>
          <w:lang w:val="es-CR"/>
        </w:rPr>
        <w:t xml:space="preserve">los artículos </w:t>
      </w:r>
      <w:r w:rsidR="00A55271" w:rsidRPr="00252E25">
        <w:rPr>
          <w:rFonts w:ascii="Verdana" w:hAnsi="Verdana"/>
          <w:sz w:val="20"/>
          <w:szCs w:val="20"/>
          <w:lang w:val="es-CR"/>
        </w:rPr>
        <w:t>8.2.a), 8.2.c)</w:t>
      </w:r>
      <w:r w:rsidR="00BD2F36" w:rsidRPr="00252E25">
        <w:rPr>
          <w:rFonts w:ascii="Verdana" w:hAnsi="Verdana"/>
          <w:sz w:val="20"/>
          <w:szCs w:val="20"/>
          <w:lang w:val="es-CR"/>
        </w:rPr>
        <w:t>,</w:t>
      </w:r>
      <w:r w:rsidR="00A55271" w:rsidRPr="00252E25">
        <w:rPr>
          <w:rFonts w:ascii="Verdana" w:hAnsi="Verdana"/>
          <w:sz w:val="20"/>
          <w:szCs w:val="20"/>
          <w:lang w:val="es-CR"/>
        </w:rPr>
        <w:t xml:space="preserve"> 8.2.d),</w:t>
      </w:r>
      <w:r w:rsidR="00BD2F36" w:rsidRPr="00252E25">
        <w:rPr>
          <w:rFonts w:ascii="Verdana" w:hAnsi="Verdana"/>
          <w:sz w:val="20"/>
          <w:szCs w:val="20"/>
          <w:lang w:val="es-CR"/>
        </w:rPr>
        <w:t xml:space="preserve"> y</w:t>
      </w:r>
      <w:r w:rsidR="00A55271" w:rsidRPr="00252E25">
        <w:rPr>
          <w:rFonts w:ascii="Verdana" w:hAnsi="Verdana"/>
          <w:sz w:val="20"/>
          <w:szCs w:val="20"/>
          <w:lang w:val="es-CR"/>
        </w:rPr>
        <w:t xml:space="preserve"> 8.2.e) y 25.2, todos de la Convención Americana</w:t>
      </w:r>
      <w:r w:rsidRPr="00252E25">
        <w:rPr>
          <w:rFonts w:ascii="Verdana" w:hAnsi="Verdana"/>
          <w:sz w:val="20"/>
          <w:szCs w:val="20"/>
          <w:lang w:val="es-CR"/>
        </w:rPr>
        <w:t xml:space="preserve">. </w:t>
      </w:r>
      <w:r w:rsidR="00BD2F36" w:rsidRPr="0097244E">
        <w:rPr>
          <w:rFonts w:ascii="Verdana" w:hAnsi="Verdana"/>
          <w:sz w:val="20"/>
          <w:szCs w:val="20"/>
          <w:lang w:val="es-CR"/>
        </w:rPr>
        <w:t>No obstante, respecto de los artículos 8.2.a), 8,2.c), 8.2.d) y 8.2.e) de la Convención, la Corte no advierte elementos para determinar su violación, al no presentarse los supuestos fácticos para establecer que en el caso fuera necesaria la asistencia de un intérprete o traductor dentro del juicio, o que en el caso concreto la presunta víctima no haya contado con una defensa técnica adecuada durante el procedimiento. Mientras que en el caso del artículo 25.2 de la Convención, no se advierte alguna fundamentación dirigida a comprobar su violación. Por lo cual este Tribunal no encuentra necesario analizar la alegada violación de los artículos mencionados.</w:t>
      </w:r>
    </w:p>
    <w:p w14:paraId="18EDC97C" w14:textId="77777777" w:rsidR="00D41EB2" w:rsidRDefault="00D41EB2" w:rsidP="00D41EB2">
      <w:pPr>
        <w:pStyle w:val="Prrafodelista"/>
        <w:autoSpaceDE w:val="0"/>
        <w:autoSpaceDN w:val="0"/>
        <w:adjustRightInd w:val="0"/>
        <w:spacing w:after="0" w:line="240" w:lineRule="auto"/>
        <w:ind w:left="0"/>
        <w:jc w:val="both"/>
        <w:rPr>
          <w:rFonts w:ascii="Verdana" w:hAnsi="Verdana"/>
          <w:sz w:val="20"/>
          <w:szCs w:val="20"/>
          <w:lang w:val="es-CR"/>
        </w:rPr>
      </w:pPr>
    </w:p>
    <w:p w14:paraId="18DE1956" w14:textId="77777777" w:rsidR="005E422B" w:rsidRDefault="005E422B" w:rsidP="00D41EB2">
      <w:pPr>
        <w:pStyle w:val="Prrafodelista"/>
        <w:autoSpaceDE w:val="0"/>
        <w:autoSpaceDN w:val="0"/>
        <w:adjustRightInd w:val="0"/>
        <w:spacing w:after="0" w:line="240" w:lineRule="auto"/>
        <w:ind w:left="0"/>
        <w:jc w:val="both"/>
        <w:rPr>
          <w:rFonts w:ascii="Verdana" w:hAnsi="Verdana"/>
          <w:sz w:val="20"/>
          <w:szCs w:val="20"/>
          <w:lang w:val="es-CR"/>
        </w:rPr>
      </w:pPr>
    </w:p>
    <w:p w14:paraId="1B7EA5A7" w14:textId="77777777" w:rsidR="005E422B" w:rsidRPr="00EB1703" w:rsidRDefault="005E422B" w:rsidP="00D41EB2">
      <w:pPr>
        <w:pStyle w:val="Prrafodelista"/>
        <w:autoSpaceDE w:val="0"/>
        <w:autoSpaceDN w:val="0"/>
        <w:adjustRightInd w:val="0"/>
        <w:spacing w:after="0" w:line="240" w:lineRule="auto"/>
        <w:ind w:left="0"/>
        <w:jc w:val="both"/>
        <w:rPr>
          <w:rFonts w:ascii="Verdana" w:hAnsi="Verdana"/>
          <w:sz w:val="20"/>
          <w:szCs w:val="20"/>
          <w:lang w:val="es-CR"/>
        </w:rPr>
      </w:pPr>
    </w:p>
    <w:p w14:paraId="12822664" w14:textId="77777777" w:rsidR="00D36319" w:rsidRPr="00084C68" w:rsidRDefault="00D36319" w:rsidP="00393723">
      <w:pPr>
        <w:pStyle w:val="Ttulo3"/>
        <w:spacing w:before="0"/>
        <w:ind w:left="706"/>
        <w:rPr>
          <w:b w:val="0"/>
        </w:rPr>
      </w:pPr>
      <w:bookmarkStart w:id="46" w:name="_Toc25247760"/>
      <w:r w:rsidRPr="00FF3FAE">
        <w:rPr>
          <w:b w:val="0"/>
        </w:rPr>
        <w:lastRenderedPageBreak/>
        <w:t>B.2. Derecho a recurrir la sentencia condenatoria contra el señor Valenzuela</w:t>
      </w:r>
      <w:bookmarkEnd w:id="46"/>
    </w:p>
    <w:p w14:paraId="26078FDD" w14:textId="77777777" w:rsidR="00084C68" w:rsidRPr="00084C68" w:rsidRDefault="00084C68" w:rsidP="00084C68">
      <w:pPr>
        <w:pStyle w:val="Prrafodelista"/>
        <w:autoSpaceDE w:val="0"/>
        <w:autoSpaceDN w:val="0"/>
        <w:adjustRightInd w:val="0"/>
        <w:spacing w:after="0" w:line="240" w:lineRule="auto"/>
        <w:ind w:left="0"/>
        <w:jc w:val="both"/>
        <w:rPr>
          <w:rFonts w:ascii="Verdana" w:hAnsi="Verdana"/>
          <w:sz w:val="20"/>
          <w:szCs w:val="20"/>
          <w:lang w:val="es-CR"/>
        </w:rPr>
      </w:pPr>
    </w:p>
    <w:p w14:paraId="0B26DA58" w14:textId="77777777" w:rsidR="00D36319" w:rsidRPr="00D36319" w:rsidRDefault="00EC417E" w:rsidP="00D36319">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D36319">
        <w:rPr>
          <w:rFonts w:ascii="Verdana" w:hAnsi="Verdana"/>
          <w:sz w:val="20"/>
          <w:szCs w:val="20"/>
        </w:rPr>
        <w:t xml:space="preserve">Tanto la Comisión como los representantes alegaron que el señor Valenzuela, no contó con la posibilidad de recurrir </w:t>
      </w:r>
      <w:r w:rsidR="004E52A6">
        <w:rPr>
          <w:rFonts w:ascii="Verdana" w:hAnsi="Verdana"/>
          <w:sz w:val="20"/>
          <w:szCs w:val="20"/>
        </w:rPr>
        <w:t>del</w:t>
      </w:r>
      <w:r w:rsidRPr="00D36319">
        <w:rPr>
          <w:rFonts w:ascii="Verdana" w:hAnsi="Verdana"/>
          <w:sz w:val="20"/>
          <w:szCs w:val="20"/>
        </w:rPr>
        <w:t xml:space="preserve"> fallo condenatorio toda vez que conforme a los estándares de la Convención, están excluidas de verificación ciertas categorías como los hechos y la valoración de la prueba, y tampoco se contó con un recurso efectivo, ni en apelación ni en casación para impugnar la condena a muerte. </w:t>
      </w:r>
    </w:p>
    <w:p w14:paraId="6C931943" w14:textId="77777777" w:rsidR="00D36319" w:rsidRDefault="00D36319" w:rsidP="00D36319">
      <w:pPr>
        <w:pStyle w:val="Prrafodelista"/>
        <w:autoSpaceDE w:val="0"/>
        <w:autoSpaceDN w:val="0"/>
        <w:adjustRightInd w:val="0"/>
        <w:spacing w:after="0" w:line="240" w:lineRule="auto"/>
        <w:ind w:left="0"/>
        <w:jc w:val="both"/>
        <w:rPr>
          <w:rFonts w:ascii="Verdana" w:hAnsi="Verdana"/>
          <w:sz w:val="20"/>
          <w:szCs w:val="20"/>
          <w:lang w:val="es-CR"/>
        </w:rPr>
      </w:pPr>
    </w:p>
    <w:p w14:paraId="623D217D" w14:textId="353B4D31" w:rsidR="00D36319" w:rsidRDefault="00EC417E" w:rsidP="00D36319">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D36319">
        <w:rPr>
          <w:rFonts w:ascii="Verdana" w:hAnsi="Verdana"/>
          <w:sz w:val="20"/>
          <w:szCs w:val="20"/>
          <w:lang w:val="es-CR"/>
        </w:rPr>
        <w:t>La Corte se ha referido en su jurisprudencia constante sobre el alcance y contenido del artículo 8.2.h) de la Convención, así como a los estándares que deben ser observados para asegurar la garantía del derecho a recurrir el fallo ante juez o tribunal superior. El Tribunal ha entendido que dicho derecho consiste en una garantía mínima y primordial que “se debe respetar en el marco del debido proceso legal, en aras de permitir que una sentencia adversa pueda ser revisada por un juez o tribunal distinto y de superior jerarquía […]”</w:t>
      </w:r>
      <w:r w:rsidRPr="00A873DE">
        <w:rPr>
          <w:rFonts w:ascii="Verdana" w:hAnsi="Verdana"/>
          <w:sz w:val="20"/>
          <w:szCs w:val="20"/>
          <w:vertAlign w:val="superscript"/>
          <w:lang w:val="es-CR"/>
        </w:rPr>
        <w:footnoteReference w:id="105"/>
      </w:r>
      <w:r w:rsidRPr="00D36319">
        <w:rPr>
          <w:rFonts w:ascii="Verdana" w:hAnsi="Verdana"/>
          <w:sz w:val="20"/>
          <w:szCs w:val="20"/>
          <w:lang w:val="es-CR"/>
        </w:rPr>
        <w:t>. Teniendo en cuenta que las garantías judiciales buscan que quien esté incurso en un proceso no sea sometido a decisiones arbitrarias, la Corte ha interpretado que el derecho a recurrir el fallo no puede ser efectivo si no se garantiza respecto de todo aquél que es condenado</w:t>
      </w:r>
      <w:r w:rsidRPr="00A873DE">
        <w:rPr>
          <w:rFonts w:ascii="Verdana" w:hAnsi="Verdana"/>
          <w:sz w:val="20"/>
          <w:szCs w:val="20"/>
          <w:vertAlign w:val="superscript"/>
          <w:lang w:val="es-CR"/>
        </w:rPr>
        <w:footnoteReference w:id="106"/>
      </w:r>
      <w:r w:rsidRPr="00D36319">
        <w:rPr>
          <w:rFonts w:ascii="Verdana" w:hAnsi="Verdana"/>
          <w:sz w:val="20"/>
          <w:szCs w:val="20"/>
          <w:lang w:val="es-CR"/>
        </w:rPr>
        <w:t>, ya que la condena es la manifestación del ejercicio del poder punitivo del Estado</w:t>
      </w:r>
      <w:r w:rsidRPr="00A873DE">
        <w:rPr>
          <w:rFonts w:ascii="Verdana" w:hAnsi="Verdana"/>
          <w:sz w:val="20"/>
          <w:szCs w:val="20"/>
          <w:vertAlign w:val="superscript"/>
          <w:lang w:val="es-CR"/>
        </w:rPr>
        <w:footnoteReference w:id="107"/>
      </w:r>
      <w:r w:rsidRPr="00D36319">
        <w:rPr>
          <w:rFonts w:ascii="Verdana" w:hAnsi="Verdana"/>
          <w:sz w:val="20"/>
          <w:szCs w:val="20"/>
          <w:lang w:val="es-CR"/>
        </w:rPr>
        <w:t>.</w:t>
      </w:r>
    </w:p>
    <w:p w14:paraId="5E3AA5E1" w14:textId="77777777" w:rsidR="00D36319" w:rsidRPr="00D36319" w:rsidRDefault="00D36319" w:rsidP="00D36319">
      <w:pPr>
        <w:pStyle w:val="Prrafodelista"/>
        <w:rPr>
          <w:rFonts w:ascii="Verdana" w:hAnsi="Verdana"/>
          <w:sz w:val="20"/>
          <w:szCs w:val="20"/>
          <w:lang w:val="es-CR"/>
        </w:rPr>
      </w:pPr>
    </w:p>
    <w:p w14:paraId="0AFA910B" w14:textId="3A2E90AF" w:rsidR="00D36319" w:rsidRDefault="00EC417E" w:rsidP="00D36319">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D36319">
        <w:rPr>
          <w:rFonts w:ascii="Verdana" w:hAnsi="Verdana"/>
          <w:sz w:val="20"/>
          <w:szCs w:val="20"/>
          <w:lang w:val="es-CR"/>
        </w:rPr>
        <w:t xml:space="preserve">Además, el Tribunal ha sostenido que el artículo 8.2.h) de la Convención se refiere a un recurso ordinario, accesible y eficaz, es decir que no debe requerir mayores complejidades que tornen ilusorio este derecho. Debe entenderse que, independientemente del régimen o sistema recursivo que adopten los </w:t>
      </w:r>
      <w:proofErr w:type="gramStart"/>
      <w:r w:rsidRPr="00D36319">
        <w:rPr>
          <w:rFonts w:ascii="Verdana" w:hAnsi="Verdana"/>
          <w:sz w:val="20"/>
          <w:szCs w:val="20"/>
          <w:lang w:val="es-CR"/>
        </w:rPr>
        <w:t>Estados Partes</w:t>
      </w:r>
      <w:proofErr w:type="gramEnd"/>
      <w:r w:rsidRPr="00D36319">
        <w:rPr>
          <w:rFonts w:ascii="Verdana" w:hAnsi="Verdana"/>
          <w:sz w:val="20"/>
          <w:szCs w:val="20"/>
          <w:lang w:val="es-CR"/>
        </w:rPr>
        <w:t>, y de la denominación que den al medio de impugnación de la sentencia condenatoria, para que éste sea eficaz debe constituir un medio adecuado para procurar la corrección de una condena errónea. Ello requiere que pueda analizar las cuestiones fácticas, probatorias y jurídicas en que se basa la sentencia impugnada, puesto que en la actividad jurisdiccional existe una interdependencia entre las determinaciones fácticas y la aplicación del derecho, de forma tal que una errónea determinación de los hechos implica una errada o indebida aplicación del derecho. Consecuentemente, las causales de procedencia del recurso deben posibilitar un control amplio de los aspectos impugnados de la sentencia condenatoria</w:t>
      </w:r>
      <w:r w:rsidRPr="003C1B3F">
        <w:rPr>
          <w:rFonts w:ascii="Verdana" w:hAnsi="Verdana"/>
          <w:sz w:val="20"/>
          <w:szCs w:val="20"/>
          <w:vertAlign w:val="superscript"/>
          <w:lang w:val="es-CR"/>
        </w:rPr>
        <w:footnoteReference w:id="108"/>
      </w:r>
      <w:r w:rsidRPr="00D36319">
        <w:rPr>
          <w:rFonts w:ascii="Verdana" w:hAnsi="Verdana"/>
          <w:sz w:val="20"/>
          <w:szCs w:val="20"/>
          <w:lang w:val="es-CR"/>
        </w:rPr>
        <w:t>.</w:t>
      </w:r>
      <w:r w:rsidR="001A3C89">
        <w:rPr>
          <w:rFonts w:ascii="Verdana" w:hAnsi="Verdana"/>
          <w:sz w:val="20"/>
          <w:szCs w:val="20"/>
          <w:lang w:val="es-CR"/>
        </w:rPr>
        <w:t xml:space="preserve"> </w:t>
      </w:r>
    </w:p>
    <w:p w14:paraId="499B007A" w14:textId="77777777" w:rsidR="00D36319" w:rsidRDefault="00D36319" w:rsidP="00D36319">
      <w:pPr>
        <w:pStyle w:val="Prrafodelista"/>
        <w:autoSpaceDE w:val="0"/>
        <w:autoSpaceDN w:val="0"/>
        <w:adjustRightInd w:val="0"/>
        <w:spacing w:after="0" w:line="240" w:lineRule="auto"/>
        <w:ind w:left="0"/>
        <w:jc w:val="both"/>
        <w:rPr>
          <w:rFonts w:ascii="Verdana" w:hAnsi="Verdana"/>
          <w:sz w:val="20"/>
          <w:szCs w:val="20"/>
          <w:lang w:val="es-CR"/>
        </w:rPr>
      </w:pPr>
    </w:p>
    <w:p w14:paraId="5A6E2BF9" w14:textId="2A1971EC" w:rsidR="00D36319" w:rsidRDefault="0049621D" w:rsidP="00D36319">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Pr>
          <w:rFonts w:ascii="Verdana" w:hAnsi="Verdana"/>
          <w:sz w:val="20"/>
          <w:szCs w:val="20"/>
          <w:lang w:val="es-CR"/>
        </w:rPr>
        <w:t>Dicho lo</w:t>
      </w:r>
      <w:r w:rsidR="00EC417E" w:rsidRPr="00D36319">
        <w:rPr>
          <w:rFonts w:ascii="Verdana" w:hAnsi="Verdana"/>
          <w:sz w:val="20"/>
          <w:szCs w:val="20"/>
        </w:rPr>
        <w:t xml:space="preserve"> anterior, la Corte observa que el Código Procesal Penal contempla dos recursos que pretenden satisfacer el derecho a recurrir el fallo: el recurso de apelación especial y el recurso de casación. </w:t>
      </w:r>
      <w:r w:rsidR="00EC417E" w:rsidRPr="00D36319">
        <w:rPr>
          <w:rFonts w:ascii="Verdana" w:hAnsi="Verdana"/>
          <w:sz w:val="20"/>
          <w:szCs w:val="20"/>
          <w:lang w:val="es-CR"/>
        </w:rPr>
        <w:t>El recurso de apelación especial está regulado de la siguiente forma</w:t>
      </w:r>
      <w:r w:rsidR="00E1011F">
        <w:rPr>
          <w:rFonts w:ascii="Verdana" w:hAnsi="Verdana"/>
          <w:sz w:val="20"/>
          <w:szCs w:val="20"/>
          <w:lang w:val="es-CR"/>
        </w:rPr>
        <w:t xml:space="preserve"> en el artículo 430</w:t>
      </w:r>
      <w:r w:rsidR="00EC417E" w:rsidRPr="00D36319">
        <w:rPr>
          <w:rFonts w:ascii="Verdana" w:hAnsi="Verdana"/>
          <w:sz w:val="20"/>
          <w:szCs w:val="20"/>
          <w:lang w:val="es-CR"/>
        </w:rPr>
        <w:t xml:space="preserve">: </w:t>
      </w:r>
    </w:p>
    <w:p w14:paraId="4F99DFA0" w14:textId="77777777" w:rsidR="00D36319" w:rsidRPr="00D36319" w:rsidRDefault="00D36319" w:rsidP="00D36319">
      <w:pPr>
        <w:pStyle w:val="Prrafodelista"/>
        <w:rPr>
          <w:rFonts w:ascii="Verdana" w:hAnsi="Verdana"/>
          <w:sz w:val="20"/>
          <w:szCs w:val="20"/>
          <w:lang w:val="es-CR"/>
        </w:rPr>
      </w:pPr>
    </w:p>
    <w:p w14:paraId="5D24D3BE" w14:textId="77777777" w:rsidR="00D36319" w:rsidRPr="008448A1" w:rsidRDefault="00E1011F" w:rsidP="008448A1">
      <w:pPr>
        <w:pStyle w:val="Prrafodelista"/>
        <w:spacing w:before="100" w:beforeAutospacing="1" w:after="0" w:line="240" w:lineRule="auto"/>
        <w:ind w:right="624"/>
        <w:jc w:val="both"/>
        <w:rPr>
          <w:rFonts w:ascii="Verdana" w:hAnsi="Verdana"/>
          <w:sz w:val="16"/>
          <w:szCs w:val="20"/>
          <w:lang w:val="es-CR"/>
        </w:rPr>
      </w:pPr>
      <w:r>
        <w:rPr>
          <w:rFonts w:ascii="Verdana" w:hAnsi="Verdana"/>
          <w:sz w:val="16"/>
          <w:szCs w:val="20"/>
          <w:lang w:val="es-CR"/>
        </w:rPr>
        <w:t>[l]</w:t>
      </w:r>
      <w:r w:rsidR="00D36319" w:rsidRPr="00D352D9">
        <w:rPr>
          <w:rFonts w:ascii="Verdana" w:hAnsi="Verdana"/>
          <w:sz w:val="16"/>
          <w:szCs w:val="20"/>
          <w:lang w:val="es-CR"/>
        </w:rPr>
        <w:t>a sentencia no podrá en ningún caso hacer mérito de la prueba o de los hechos que se declaren probados conforme a las reglas de la sana crítica razonada. Únicamente podrá referirse a ellos para aplicación de la ley sustantiva o cuando exista manifiesta contradicción con la s</w:t>
      </w:r>
      <w:r w:rsidR="00D36319">
        <w:rPr>
          <w:rFonts w:ascii="Verdana" w:hAnsi="Verdana"/>
          <w:sz w:val="16"/>
          <w:szCs w:val="20"/>
          <w:lang w:val="es-CR"/>
        </w:rPr>
        <w:t>entencia recurrida.</w:t>
      </w:r>
    </w:p>
    <w:p w14:paraId="68DBF8F6" w14:textId="77777777" w:rsidR="008448A1" w:rsidRDefault="008448A1" w:rsidP="008448A1">
      <w:pPr>
        <w:pStyle w:val="Prrafodelista"/>
        <w:autoSpaceDE w:val="0"/>
        <w:autoSpaceDN w:val="0"/>
        <w:adjustRightInd w:val="0"/>
        <w:spacing w:after="0" w:line="240" w:lineRule="auto"/>
        <w:ind w:left="0"/>
        <w:jc w:val="both"/>
        <w:rPr>
          <w:rFonts w:ascii="Verdana" w:hAnsi="Verdana"/>
          <w:sz w:val="20"/>
          <w:szCs w:val="20"/>
          <w:lang w:val="es-CR"/>
        </w:rPr>
      </w:pPr>
    </w:p>
    <w:p w14:paraId="59EAE682" w14:textId="4432A6E2" w:rsidR="00D36319" w:rsidRPr="00D36319" w:rsidRDefault="00EC417E" w:rsidP="00D36319">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D36319">
        <w:rPr>
          <w:rFonts w:ascii="Verdana" w:hAnsi="Verdana"/>
          <w:sz w:val="20"/>
          <w:szCs w:val="20"/>
        </w:rPr>
        <w:t xml:space="preserve">De la legislación </w:t>
      </w:r>
      <w:r w:rsidRPr="00D36319">
        <w:rPr>
          <w:rFonts w:ascii="Verdana" w:eastAsia="MS Mincho" w:hAnsi="Verdana"/>
          <w:sz w:val="20"/>
          <w:szCs w:val="20"/>
        </w:rPr>
        <w:t>transcrita</w:t>
      </w:r>
      <w:r w:rsidRPr="00D36319">
        <w:rPr>
          <w:rFonts w:ascii="Verdana" w:hAnsi="Verdana"/>
          <w:sz w:val="20"/>
          <w:szCs w:val="20"/>
        </w:rPr>
        <w:t xml:space="preserve"> se desprende que el recurso de apelación especial es un recurso en cierta </w:t>
      </w:r>
      <w:r w:rsidR="0049621D">
        <w:rPr>
          <w:rFonts w:ascii="Verdana" w:hAnsi="Verdana"/>
          <w:sz w:val="20"/>
          <w:szCs w:val="20"/>
        </w:rPr>
        <w:t>medida limitado, toda vez que so</w:t>
      </w:r>
      <w:r w:rsidRPr="00D36319">
        <w:rPr>
          <w:rFonts w:ascii="Verdana" w:hAnsi="Verdana"/>
          <w:sz w:val="20"/>
          <w:szCs w:val="20"/>
        </w:rPr>
        <w:t>lo permite la revisión de hechos “para aplicación de la ley sustantiva o cuando exista manifiesta contradicción con la sentencia recurrida”.</w:t>
      </w:r>
    </w:p>
    <w:p w14:paraId="2399EDB5" w14:textId="77777777" w:rsidR="00D36319" w:rsidRDefault="00D36319" w:rsidP="00D36319">
      <w:pPr>
        <w:pStyle w:val="Prrafodelista"/>
        <w:autoSpaceDE w:val="0"/>
        <w:autoSpaceDN w:val="0"/>
        <w:adjustRightInd w:val="0"/>
        <w:spacing w:after="0" w:line="240" w:lineRule="auto"/>
        <w:ind w:left="0"/>
        <w:jc w:val="both"/>
        <w:rPr>
          <w:rFonts w:ascii="Verdana" w:hAnsi="Verdana"/>
          <w:sz w:val="20"/>
          <w:szCs w:val="20"/>
          <w:lang w:val="es-CR"/>
        </w:rPr>
      </w:pPr>
    </w:p>
    <w:p w14:paraId="6341027B" w14:textId="77777777" w:rsidR="00D36319" w:rsidRDefault="00EC417E" w:rsidP="00D36319">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D36319">
        <w:rPr>
          <w:rFonts w:ascii="Verdana" w:hAnsi="Verdana"/>
          <w:sz w:val="20"/>
          <w:szCs w:val="20"/>
          <w:lang w:val="es-CR"/>
        </w:rPr>
        <w:t xml:space="preserve">El recurso de casación está regulado, en lo relevante, de la siguiente manera: </w:t>
      </w:r>
    </w:p>
    <w:p w14:paraId="50091EB2" w14:textId="77777777" w:rsidR="00D36319" w:rsidRDefault="00D36319" w:rsidP="00393723">
      <w:pPr>
        <w:pStyle w:val="Prrafodelista"/>
        <w:spacing w:after="0"/>
        <w:rPr>
          <w:rFonts w:ascii="Verdana" w:hAnsi="Verdana"/>
          <w:sz w:val="20"/>
          <w:szCs w:val="20"/>
          <w:lang w:val="es-CR"/>
        </w:rPr>
      </w:pPr>
    </w:p>
    <w:p w14:paraId="08EB6FBB" w14:textId="77777777" w:rsidR="00D36319" w:rsidRPr="00D352D9" w:rsidRDefault="00D36319" w:rsidP="00D36319">
      <w:pPr>
        <w:pStyle w:val="Prrafodelista"/>
        <w:autoSpaceDE w:val="0"/>
        <w:autoSpaceDN w:val="0"/>
        <w:adjustRightInd w:val="0"/>
        <w:spacing w:after="0" w:line="240" w:lineRule="auto"/>
        <w:ind w:right="624"/>
        <w:jc w:val="both"/>
        <w:rPr>
          <w:rFonts w:ascii="Verdana" w:hAnsi="Verdana"/>
          <w:sz w:val="16"/>
          <w:szCs w:val="20"/>
          <w:lang w:val="es-CR"/>
        </w:rPr>
      </w:pPr>
      <w:r w:rsidRPr="00D352D9">
        <w:rPr>
          <w:rFonts w:ascii="Verdana" w:hAnsi="Verdana"/>
          <w:sz w:val="16"/>
          <w:szCs w:val="20"/>
          <w:lang w:val="es-CR"/>
        </w:rPr>
        <w:t>Artículo 442. “El tribunal de casación conocerá únicamente de los errores jurídicos contenidos en la resolución recurrida. Está sujeto a los hechos que se hayan tenido como probados por el tribunal de sentencia, y solamente en los casos en que advierta violación de una norma constitucional o legal, podrá disponer de la anulación y el re</w:t>
      </w:r>
      <w:r>
        <w:rPr>
          <w:rFonts w:ascii="Verdana" w:hAnsi="Verdana"/>
          <w:sz w:val="16"/>
          <w:szCs w:val="20"/>
          <w:lang w:val="es-CR"/>
        </w:rPr>
        <w:t>envío para la corrección debida</w:t>
      </w:r>
      <w:r w:rsidRPr="00D352D9">
        <w:rPr>
          <w:rFonts w:ascii="Verdana" w:hAnsi="Verdana"/>
          <w:sz w:val="16"/>
          <w:szCs w:val="20"/>
          <w:lang w:val="es-CR"/>
        </w:rPr>
        <w:t>”</w:t>
      </w:r>
      <w:r>
        <w:rPr>
          <w:rFonts w:ascii="Verdana" w:hAnsi="Verdana"/>
          <w:sz w:val="16"/>
          <w:szCs w:val="20"/>
          <w:lang w:val="es-CR"/>
        </w:rPr>
        <w:t>.</w:t>
      </w:r>
    </w:p>
    <w:p w14:paraId="4B29FCF9" w14:textId="77777777" w:rsidR="00D36319" w:rsidRPr="00D36319" w:rsidRDefault="00D36319" w:rsidP="00D36319">
      <w:pPr>
        <w:pStyle w:val="Prrafodelista"/>
        <w:rPr>
          <w:rFonts w:ascii="Verdana" w:hAnsi="Verdana"/>
          <w:sz w:val="20"/>
          <w:szCs w:val="20"/>
          <w:lang w:val="es-CR"/>
        </w:rPr>
      </w:pPr>
    </w:p>
    <w:p w14:paraId="24DAC476" w14:textId="658E3477" w:rsidR="00D36319" w:rsidRDefault="00EC417E" w:rsidP="00D36319">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D36319">
        <w:rPr>
          <w:rFonts w:ascii="Verdana" w:hAnsi="Verdana"/>
          <w:sz w:val="20"/>
          <w:szCs w:val="20"/>
          <w:lang w:val="es-CR"/>
        </w:rPr>
        <w:t>De</w:t>
      </w:r>
      <w:r w:rsidRPr="00D36319">
        <w:rPr>
          <w:rFonts w:ascii="Verdana" w:hAnsi="Verdana"/>
          <w:sz w:val="20"/>
          <w:szCs w:val="20"/>
        </w:rPr>
        <w:t xml:space="preserve"> las normas </w:t>
      </w:r>
      <w:r w:rsidRPr="00D36319">
        <w:rPr>
          <w:rFonts w:ascii="Verdana" w:eastAsia="MS Mincho" w:hAnsi="Verdana"/>
          <w:sz w:val="20"/>
          <w:szCs w:val="20"/>
        </w:rPr>
        <w:t>transcritas</w:t>
      </w:r>
      <w:r w:rsidRPr="00D36319">
        <w:rPr>
          <w:rFonts w:ascii="Verdana" w:hAnsi="Verdana"/>
          <w:sz w:val="20"/>
          <w:szCs w:val="20"/>
        </w:rPr>
        <w:t xml:space="preserve"> se desprende que el recurso de casación, al igual que el recurso </w:t>
      </w:r>
      <w:r w:rsidRPr="00E13991">
        <w:rPr>
          <w:rFonts w:ascii="Verdana" w:hAnsi="Verdana"/>
          <w:sz w:val="20"/>
          <w:szCs w:val="20"/>
        </w:rPr>
        <w:t xml:space="preserve">de </w:t>
      </w:r>
      <w:r w:rsidR="00F24F2B" w:rsidRPr="00E13991">
        <w:rPr>
          <w:rFonts w:ascii="Verdana" w:hAnsi="Verdana"/>
          <w:sz w:val="20"/>
          <w:szCs w:val="20"/>
        </w:rPr>
        <w:t xml:space="preserve">apelación </w:t>
      </w:r>
      <w:r w:rsidRPr="00E13991">
        <w:rPr>
          <w:rFonts w:ascii="Verdana" w:hAnsi="Verdana"/>
          <w:sz w:val="20"/>
          <w:szCs w:val="20"/>
        </w:rPr>
        <w:t>especial</w:t>
      </w:r>
      <w:r w:rsidRPr="00D36319">
        <w:rPr>
          <w:rFonts w:ascii="Verdana" w:hAnsi="Verdana"/>
          <w:sz w:val="20"/>
          <w:szCs w:val="20"/>
        </w:rPr>
        <w:t>, no permite la revi</w:t>
      </w:r>
      <w:r w:rsidR="00DB5E71">
        <w:rPr>
          <w:rFonts w:ascii="Verdana" w:hAnsi="Verdana"/>
          <w:sz w:val="20"/>
          <w:szCs w:val="20"/>
        </w:rPr>
        <w:t>sión de hechos ni de pruebas, so</w:t>
      </w:r>
      <w:r w:rsidRPr="00D36319">
        <w:rPr>
          <w:rFonts w:ascii="Verdana" w:hAnsi="Verdana"/>
          <w:sz w:val="20"/>
          <w:szCs w:val="20"/>
        </w:rPr>
        <w:t xml:space="preserve">lo de derecho. </w:t>
      </w:r>
    </w:p>
    <w:p w14:paraId="77AF9AD6" w14:textId="77777777" w:rsidR="00D36319" w:rsidRDefault="00D36319" w:rsidP="00D36319">
      <w:pPr>
        <w:pStyle w:val="Prrafodelista"/>
        <w:autoSpaceDE w:val="0"/>
        <w:autoSpaceDN w:val="0"/>
        <w:adjustRightInd w:val="0"/>
        <w:spacing w:after="0" w:line="240" w:lineRule="auto"/>
        <w:ind w:left="0"/>
        <w:jc w:val="both"/>
        <w:rPr>
          <w:rFonts w:ascii="Verdana" w:hAnsi="Verdana"/>
          <w:sz w:val="20"/>
          <w:szCs w:val="20"/>
          <w:lang w:val="es-CR"/>
        </w:rPr>
      </w:pPr>
    </w:p>
    <w:p w14:paraId="26D3F7E2" w14:textId="6997CB1E" w:rsidR="00D36319" w:rsidRPr="00D36319" w:rsidRDefault="00EC417E" w:rsidP="00D36319">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D36319">
        <w:rPr>
          <w:rFonts w:ascii="Verdana" w:hAnsi="Verdana"/>
          <w:sz w:val="20"/>
          <w:szCs w:val="20"/>
          <w:lang w:val="es-CR"/>
        </w:rPr>
        <w:t>La Corte recuerda que el señor Valenzuela fue condenado el 21 de octubre de 1999 por el Tribunal de Sentencia de Departamento de Quetzaltenango (</w:t>
      </w:r>
      <w:r w:rsidRPr="0060326C">
        <w:rPr>
          <w:rFonts w:ascii="Verdana" w:hAnsi="Verdana"/>
          <w:i/>
          <w:sz w:val="20"/>
          <w:szCs w:val="20"/>
          <w:lang w:val="es-CR"/>
        </w:rPr>
        <w:t xml:space="preserve">supra </w:t>
      </w:r>
      <w:r w:rsidRPr="00D36319">
        <w:rPr>
          <w:rFonts w:ascii="Verdana" w:hAnsi="Verdana"/>
          <w:sz w:val="20"/>
          <w:szCs w:val="20"/>
          <w:lang w:val="es-CR"/>
        </w:rPr>
        <w:t xml:space="preserve">párr. </w:t>
      </w:r>
      <w:r w:rsidR="001C0947">
        <w:rPr>
          <w:rFonts w:ascii="Verdana" w:hAnsi="Verdana"/>
          <w:sz w:val="20"/>
          <w:szCs w:val="20"/>
          <w:lang w:val="es-CR"/>
        </w:rPr>
        <w:t>76</w:t>
      </w:r>
      <w:r w:rsidR="00AD4265">
        <w:rPr>
          <w:rFonts w:ascii="Verdana" w:hAnsi="Verdana"/>
          <w:sz w:val="20"/>
          <w:szCs w:val="20"/>
          <w:lang w:val="es-CR"/>
        </w:rPr>
        <w:t>)</w:t>
      </w:r>
      <w:r w:rsidRPr="00D36319">
        <w:rPr>
          <w:rFonts w:ascii="Verdana" w:hAnsi="Verdana"/>
          <w:sz w:val="20"/>
          <w:szCs w:val="20"/>
          <w:lang w:val="es-CR"/>
        </w:rPr>
        <w:t xml:space="preserve">. El 3 de noviembre de 1999 la defensa del señor Valenzuela interpuso un recurso de apelación especial por motivos de forma y fondo con base en los artículos 415 y 419 del Código Procesal Penal de Guatemala, solicitando la anulación de la sentencia y acto procesal impugnado, el cual fue elevado ante la </w:t>
      </w:r>
      <w:r w:rsidRPr="00FB0250">
        <w:rPr>
          <w:rFonts w:ascii="Verdana" w:hAnsi="Verdana"/>
          <w:sz w:val="20"/>
          <w:szCs w:val="20"/>
          <w:lang w:val="es-CR"/>
        </w:rPr>
        <w:t>Sala</w:t>
      </w:r>
      <w:r w:rsidRPr="00D36319">
        <w:rPr>
          <w:rFonts w:ascii="Verdana" w:hAnsi="Verdana"/>
          <w:sz w:val="20"/>
          <w:szCs w:val="20"/>
          <w:lang w:val="es-CR"/>
        </w:rPr>
        <w:t xml:space="preserve"> Séptima de la Corte de Apelaciones (</w:t>
      </w:r>
      <w:r w:rsidRPr="0097244E">
        <w:rPr>
          <w:rFonts w:ascii="Verdana" w:hAnsi="Verdana"/>
          <w:i/>
          <w:sz w:val="20"/>
          <w:szCs w:val="20"/>
          <w:lang w:val="es-CR"/>
        </w:rPr>
        <w:t>supra</w:t>
      </w:r>
      <w:r w:rsidRPr="00D36319">
        <w:rPr>
          <w:rFonts w:ascii="Verdana" w:hAnsi="Verdana"/>
          <w:sz w:val="20"/>
          <w:szCs w:val="20"/>
          <w:lang w:val="es-CR"/>
        </w:rPr>
        <w:t xml:space="preserve"> párr. </w:t>
      </w:r>
      <w:r w:rsidR="001C0947">
        <w:rPr>
          <w:rFonts w:ascii="Verdana" w:hAnsi="Verdana"/>
          <w:sz w:val="20"/>
          <w:szCs w:val="20"/>
          <w:lang w:val="es-CR"/>
        </w:rPr>
        <w:t>77</w:t>
      </w:r>
      <w:r w:rsidRPr="00D36319">
        <w:rPr>
          <w:rFonts w:ascii="Verdana" w:hAnsi="Verdana"/>
          <w:sz w:val="20"/>
          <w:szCs w:val="20"/>
          <w:lang w:val="es-CR"/>
        </w:rPr>
        <w:t>)</w:t>
      </w:r>
      <w:r>
        <w:rPr>
          <w:rStyle w:val="Refdenotaalpie"/>
          <w:rFonts w:ascii="Verdana" w:hAnsi="Verdana"/>
          <w:sz w:val="20"/>
          <w:szCs w:val="20"/>
          <w:lang w:val="es-CR"/>
        </w:rPr>
        <w:footnoteReference w:id="109"/>
      </w:r>
      <w:r w:rsidRPr="00D36319">
        <w:rPr>
          <w:rFonts w:ascii="Verdana" w:hAnsi="Verdana"/>
          <w:sz w:val="20"/>
          <w:szCs w:val="20"/>
          <w:lang w:val="es-CR"/>
        </w:rPr>
        <w:t xml:space="preserve">. La defensa fundamentó la apelación </w:t>
      </w:r>
      <w:r w:rsidR="004F068D">
        <w:rPr>
          <w:rFonts w:ascii="Verdana" w:hAnsi="Verdana"/>
          <w:sz w:val="20"/>
          <w:szCs w:val="20"/>
          <w:lang w:val="es-CR"/>
        </w:rPr>
        <w:t xml:space="preserve">en la falta </w:t>
      </w:r>
      <w:r w:rsidRPr="00D36319">
        <w:rPr>
          <w:rFonts w:ascii="Verdana" w:hAnsi="Verdana"/>
          <w:sz w:val="20"/>
          <w:szCs w:val="20"/>
          <w:lang w:val="es-CR"/>
        </w:rPr>
        <w:t>de una</w:t>
      </w:r>
      <w:r w:rsidR="000C77EB">
        <w:rPr>
          <w:rFonts w:ascii="Verdana" w:hAnsi="Verdana"/>
          <w:sz w:val="20"/>
          <w:szCs w:val="20"/>
          <w:lang w:val="es-CR"/>
        </w:rPr>
        <w:t xml:space="preserve"> adecuada motivación, debido a “</w:t>
      </w:r>
      <w:r w:rsidRPr="00D36319">
        <w:rPr>
          <w:rFonts w:ascii="Verdana" w:hAnsi="Verdana"/>
          <w:sz w:val="20"/>
          <w:szCs w:val="20"/>
          <w:lang w:val="es-CR"/>
        </w:rPr>
        <w:t>que la sentencia tiene por acreditado un hecho decisivo para agravar la pena, sin que se haya tenido por probado tal hecho en el tribunal de sentencia</w:t>
      </w:r>
      <w:r w:rsidR="000C77EB">
        <w:rPr>
          <w:rFonts w:ascii="Verdana" w:hAnsi="Verdana"/>
          <w:sz w:val="20"/>
          <w:szCs w:val="20"/>
          <w:lang w:val="es-CR"/>
        </w:rPr>
        <w:t>”</w:t>
      </w:r>
      <w:r w:rsidRPr="00D36319">
        <w:rPr>
          <w:rFonts w:ascii="Verdana" w:hAnsi="Verdana"/>
          <w:sz w:val="20"/>
          <w:szCs w:val="20"/>
          <w:lang w:val="es-CR"/>
        </w:rPr>
        <w:t xml:space="preserve">, por lo tanto </w:t>
      </w:r>
      <w:r w:rsidR="00AC12BC">
        <w:rPr>
          <w:rFonts w:ascii="Verdana" w:hAnsi="Verdana"/>
          <w:sz w:val="20"/>
          <w:szCs w:val="20"/>
          <w:lang w:val="es-CR"/>
        </w:rPr>
        <w:t xml:space="preserve">solicitó </w:t>
      </w:r>
      <w:r w:rsidR="004F068D">
        <w:rPr>
          <w:rFonts w:ascii="Verdana" w:hAnsi="Verdana"/>
          <w:sz w:val="20"/>
          <w:szCs w:val="20"/>
          <w:lang w:val="es-CR"/>
        </w:rPr>
        <w:t>la</w:t>
      </w:r>
      <w:r w:rsidRPr="00D36319">
        <w:rPr>
          <w:rFonts w:ascii="Verdana" w:hAnsi="Verdana"/>
          <w:sz w:val="20"/>
          <w:szCs w:val="20"/>
          <w:lang w:val="es-CR"/>
        </w:rPr>
        <w:t xml:space="preserve"> anul</w:t>
      </w:r>
      <w:r w:rsidR="004F068D">
        <w:rPr>
          <w:rFonts w:ascii="Verdana" w:hAnsi="Verdana"/>
          <w:sz w:val="20"/>
          <w:szCs w:val="20"/>
          <w:lang w:val="es-CR"/>
        </w:rPr>
        <w:t>ación de</w:t>
      </w:r>
      <w:r w:rsidRPr="00D36319">
        <w:rPr>
          <w:rFonts w:ascii="Verdana" w:hAnsi="Verdana"/>
          <w:sz w:val="20"/>
          <w:szCs w:val="20"/>
          <w:lang w:val="es-CR"/>
        </w:rPr>
        <w:t xml:space="preserve"> la sentencia impugnada, modificando la misma en el sentido de que en lugar de la pena de muerte se </w:t>
      </w:r>
      <w:r w:rsidR="004F068D">
        <w:rPr>
          <w:rFonts w:ascii="Verdana" w:hAnsi="Verdana"/>
          <w:sz w:val="20"/>
          <w:szCs w:val="20"/>
          <w:lang w:val="es-CR"/>
        </w:rPr>
        <w:t xml:space="preserve">impusiera </w:t>
      </w:r>
      <w:r w:rsidRPr="00D36319">
        <w:rPr>
          <w:rFonts w:ascii="Verdana" w:hAnsi="Verdana"/>
          <w:sz w:val="20"/>
          <w:szCs w:val="20"/>
          <w:lang w:val="es-CR"/>
        </w:rPr>
        <w:t xml:space="preserve">la pena máxima de prisión por no estar demostrado que </w:t>
      </w:r>
      <w:r w:rsidR="00AC12BC">
        <w:rPr>
          <w:rFonts w:ascii="Verdana" w:hAnsi="Verdana"/>
          <w:sz w:val="20"/>
          <w:szCs w:val="20"/>
          <w:lang w:val="es-CR"/>
        </w:rPr>
        <w:t xml:space="preserve">el acusado haya sido </w:t>
      </w:r>
      <w:r w:rsidRPr="00D36319">
        <w:rPr>
          <w:rFonts w:ascii="Verdana" w:hAnsi="Verdana"/>
          <w:sz w:val="20"/>
          <w:szCs w:val="20"/>
          <w:lang w:val="es-CR"/>
        </w:rPr>
        <w:t xml:space="preserve">un sujeto peligroso </w:t>
      </w:r>
      <w:r w:rsidR="00AC12BC">
        <w:rPr>
          <w:rFonts w:ascii="Verdana" w:hAnsi="Verdana"/>
          <w:sz w:val="20"/>
          <w:szCs w:val="20"/>
          <w:lang w:val="es-CR"/>
        </w:rPr>
        <w:t>para la sociedad</w:t>
      </w:r>
      <w:r w:rsidRPr="00D36319">
        <w:rPr>
          <w:rFonts w:ascii="Verdana" w:hAnsi="Verdana"/>
          <w:sz w:val="20"/>
          <w:szCs w:val="20"/>
          <w:lang w:val="es-CR"/>
        </w:rPr>
        <w:t xml:space="preserve">. </w:t>
      </w:r>
    </w:p>
    <w:p w14:paraId="2CD9618F" w14:textId="77777777" w:rsidR="00D36319" w:rsidRDefault="00D36319" w:rsidP="00D36319">
      <w:pPr>
        <w:pStyle w:val="Prrafodelista"/>
        <w:autoSpaceDE w:val="0"/>
        <w:autoSpaceDN w:val="0"/>
        <w:adjustRightInd w:val="0"/>
        <w:spacing w:after="0" w:line="240" w:lineRule="auto"/>
        <w:ind w:left="0"/>
        <w:jc w:val="both"/>
        <w:rPr>
          <w:rFonts w:ascii="Verdana" w:hAnsi="Verdana"/>
          <w:sz w:val="20"/>
          <w:szCs w:val="20"/>
          <w:lang w:val="es-CR"/>
        </w:rPr>
      </w:pPr>
    </w:p>
    <w:p w14:paraId="2A80773A" w14:textId="2FB4648F" w:rsidR="00D36319" w:rsidRDefault="00EC417E" w:rsidP="00D36319">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D36319">
        <w:rPr>
          <w:rFonts w:ascii="Verdana" w:hAnsi="Verdana"/>
          <w:sz w:val="20"/>
          <w:szCs w:val="20"/>
          <w:lang w:val="es-CR"/>
        </w:rPr>
        <w:t xml:space="preserve">El 7 de agosto de 2000 la Sala Séptima de la Corte de Apelaciones declaró sin lugar el recurso de apelación especial por motivos de forma y fondo, y se limitó a reiterar algunas de las razones sobre las que se basó el Tribunal de Sentencia de Departamento de Quetzaltenango para concluir la culpabilidad del señor Valenzuela, pero sin realizar valoración alguna sobre si dicha evaluación </w:t>
      </w:r>
      <w:proofErr w:type="gramStart"/>
      <w:r w:rsidRPr="00D36319">
        <w:rPr>
          <w:rFonts w:ascii="Verdana" w:hAnsi="Verdana"/>
          <w:sz w:val="20"/>
          <w:szCs w:val="20"/>
          <w:lang w:val="es-CR"/>
        </w:rPr>
        <w:t>habría</w:t>
      </w:r>
      <w:proofErr w:type="gramEnd"/>
      <w:r w:rsidRPr="00D36319">
        <w:rPr>
          <w:rFonts w:ascii="Verdana" w:hAnsi="Verdana"/>
          <w:sz w:val="20"/>
          <w:szCs w:val="20"/>
          <w:lang w:val="es-CR"/>
        </w:rPr>
        <w:t xml:space="preserve"> sido realizada adecuadamente.  </w:t>
      </w:r>
      <w:r w:rsidRPr="00D36319">
        <w:rPr>
          <w:rFonts w:ascii="Verdana" w:hAnsi="Verdana"/>
          <w:sz w:val="20"/>
          <w:szCs w:val="20"/>
          <w:lang w:val="es-PE"/>
        </w:rPr>
        <w:t>No</w:t>
      </w:r>
      <w:r w:rsidR="0049621D">
        <w:rPr>
          <w:rFonts w:ascii="Verdana" w:hAnsi="Verdana"/>
          <w:sz w:val="20"/>
          <w:szCs w:val="20"/>
          <w:lang w:val="es-PE"/>
        </w:rPr>
        <w:t xml:space="preserve"> realizó algún tipo de revisión</w:t>
      </w:r>
      <w:r w:rsidRPr="00D36319">
        <w:rPr>
          <w:rFonts w:ascii="Verdana" w:hAnsi="Verdana"/>
          <w:sz w:val="20"/>
          <w:szCs w:val="20"/>
          <w:lang w:val="es-PE"/>
        </w:rPr>
        <w:t xml:space="preserve"> sobre cuestiones fácticas o probatorias. En consecuencia, este Tribunal considera que la nega</w:t>
      </w:r>
      <w:r w:rsidR="00241516">
        <w:rPr>
          <w:rFonts w:ascii="Verdana" w:hAnsi="Verdana"/>
          <w:sz w:val="20"/>
          <w:szCs w:val="20"/>
          <w:lang w:val="es-PE"/>
        </w:rPr>
        <w:t>tiva por parte de la Sala Séptima</w:t>
      </w:r>
      <w:r w:rsidRPr="00D36319">
        <w:rPr>
          <w:rFonts w:ascii="Verdana" w:hAnsi="Verdana"/>
          <w:sz w:val="20"/>
          <w:szCs w:val="20"/>
          <w:lang w:val="es-PE"/>
        </w:rPr>
        <w:t xml:space="preserve"> de la Corte de Apelaciones de revisar el fondo de la cuestión planteada por la defensa del señor Valenzuela, así como de las cuestiones fácticas planteadas constituyó un hecho ilícito internacional en tanto resultó en un incumplimiento del deber de revisión integral del fallo establecido en el artículo 8.2.h)</w:t>
      </w:r>
      <w:r w:rsidR="00F24F2B">
        <w:rPr>
          <w:rFonts w:ascii="Verdana" w:hAnsi="Verdana"/>
          <w:sz w:val="20"/>
          <w:szCs w:val="20"/>
          <w:lang w:val="es-PE"/>
        </w:rPr>
        <w:t xml:space="preserve"> de la Convención</w:t>
      </w:r>
      <w:r w:rsidRPr="00D36319">
        <w:rPr>
          <w:rFonts w:ascii="Verdana" w:hAnsi="Verdana"/>
          <w:sz w:val="20"/>
          <w:szCs w:val="20"/>
          <w:lang w:val="es-PE"/>
        </w:rPr>
        <w:t>.</w:t>
      </w:r>
    </w:p>
    <w:p w14:paraId="1D6AC277" w14:textId="77777777" w:rsidR="00FA583B" w:rsidRPr="00D36319" w:rsidRDefault="00FA583B" w:rsidP="00D36319">
      <w:pPr>
        <w:pStyle w:val="Prrafodelista"/>
        <w:autoSpaceDE w:val="0"/>
        <w:autoSpaceDN w:val="0"/>
        <w:adjustRightInd w:val="0"/>
        <w:spacing w:after="0" w:line="240" w:lineRule="auto"/>
        <w:ind w:left="0"/>
        <w:jc w:val="both"/>
        <w:rPr>
          <w:rFonts w:ascii="Verdana" w:hAnsi="Verdana"/>
          <w:sz w:val="20"/>
          <w:szCs w:val="20"/>
          <w:lang w:val="es-CR"/>
        </w:rPr>
      </w:pPr>
    </w:p>
    <w:p w14:paraId="23B31344" w14:textId="77777777" w:rsidR="00D36319" w:rsidRPr="00FF3FAE" w:rsidRDefault="00D36319" w:rsidP="00D36319">
      <w:pPr>
        <w:pStyle w:val="Ttulo3"/>
        <w:spacing w:before="0"/>
        <w:ind w:left="706"/>
        <w:rPr>
          <w:b w:val="0"/>
          <w:sz w:val="18"/>
          <w:lang w:val="es-CR"/>
        </w:rPr>
      </w:pPr>
      <w:bookmarkStart w:id="47" w:name="_Toc25247761"/>
      <w:r w:rsidRPr="00FF3FAE">
        <w:rPr>
          <w:b w:val="0"/>
          <w:lang w:val="es-CR"/>
        </w:rPr>
        <w:t>B.3. Conclusión</w:t>
      </w:r>
      <w:bookmarkEnd w:id="47"/>
    </w:p>
    <w:p w14:paraId="27F6EED9" w14:textId="77777777" w:rsidR="00D36319" w:rsidRPr="00D36319" w:rsidRDefault="00D36319" w:rsidP="00D36319">
      <w:pPr>
        <w:pStyle w:val="Prrafodelista"/>
        <w:rPr>
          <w:rFonts w:ascii="Verdana" w:hAnsi="Verdana"/>
          <w:sz w:val="20"/>
        </w:rPr>
      </w:pPr>
    </w:p>
    <w:p w14:paraId="72D9EDF2" w14:textId="414BEEB4" w:rsidR="00D36319" w:rsidRDefault="00EC417E" w:rsidP="00D36319">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D36319">
        <w:rPr>
          <w:rFonts w:ascii="Verdana" w:hAnsi="Verdana"/>
          <w:sz w:val="20"/>
        </w:rPr>
        <w:t>En consecuencia, la Corte considera que el Estado vulneró los artículos 8.2 y 8.2.g) de la Convención Americana</w:t>
      </w:r>
      <w:r w:rsidR="00F24F2B">
        <w:rPr>
          <w:rFonts w:ascii="Verdana" w:hAnsi="Verdana"/>
          <w:sz w:val="20"/>
        </w:rPr>
        <w:t>,</w:t>
      </w:r>
      <w:r w:rsidRPr="00D36319">
        <w:rPr>
          <w:rFonts w:ascii="Verdana" w:hAnsi="Verdana"/>
          <w:sz w:val="20"/>
        </w:rPr>
        <w:t xml:space="preserve"> en relación con el artículo 1.1 de la Convención, en perjuicio del señor Tirso Román Valenzuela Ávila.  </w:t>
      </w:r>
    </w:p>
    <w:p w14:paraId="19115931" w14:textId="77777777" w:rsidR="00497AC2" w:rsidRPr="00497AC2" w:rsidRDefault="00497AC2" w:rsidP="00497AC2">
      <w:pPr>
        <w:pStyle w:val="Prrafodelista"/>
        <w:autoSpaceDE w:val="0"/>
        <w:autoSpaceDN w:val="0"/>
        <w:adjustRightInd w:val="0"/>
        <w:spacing w:after="0" w:line="240" w:lineRule="auto"/>
        <w:ind w:left="0"/>
        <w:jc w:val="both"/>
        <w:rPr>
          <w:rFonts w:ascii="Verdana" w:hAnsi="Verdana"/>
          <w:sz w:val="20"/>
          <w:szCs w:val="20"/>
          <w:lang w:val="es-CR"/>
        </w:rPr>
      </w:pPr>
    </w:p>
    <w:p w14:paraId="2D8A4404" w14:textId="77777777" w:rsidR="00D36319" w:rsidRPr="008448A1" w:rsidRDefault="00EC417E" w:rsidP="008448A1">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D36319">
        <w:rPr>
          <w:rFonts w:ascii="Verdana" w:hAnsi="Verdana"/>
          <w:sz w:val="20"/>
          <w:szCs w:val="20"/>
          <w:lang w:val="es-CR"/>
        </w:rPr>
        <w:lastRenderedPageBreak/>
        <w:t xml:space="preserve">Además, la Corte concluye que el Estado es responsable por la violación del artículo 8.2.h) de la Convención Americana, en relación con el artículo 1.1 del mismo instrumento, en perjuicio del señor Valenzuela. </w:t>
      </w:r>
    </w:p>
    <w:p w14:paraId="2C6024E5" w14:textId="77777777" w:rsidR="00D36319" w:rsidRPr="008448A1" w:rsidRDefault="00D36319" w:rsidP="008448A1">
      <w:pPr>
        <w:pStyle w:val="Ttulo3"/>
        <w:rPr>
          <w:rFonts w:eastAsiaTheme="minorHAnsi"/>
          <w:b w:val="0"/>
        </w:rPr>
      </w:pPr>
      <w:bookmarkStart w:id="48" w:name="_Toc25247762"/>
      <w:r w:rsidRPr="00FF3FAE">
        <w:rPr>
          <w:rFonts w:eastAsiaTheme="minorHAnsi"/>
          <w:b w:val="0"/>
        </w:rPr>
        <w:t>B.4. Proceso Penal respecto a la muerte de</w:t>
      </w:r>
      <w:r>
        <w:rPr>
          <w:rFonts w:eastAsiaTheme="minorHAnsi"/>
          <w:b w:val="0"/>
        </w:rPr>
        <w:t>l señor</w:t>
      </w:r>
      <w:r w:rsidRPr="00FF3FAE">
        <w:rPr>
          <w:rFonts w:eastAsiaTheme="minorHAnsi"/>
          <w:b w:val="0"/>
        </w:rPr>
        <w:t xml:space="preserve"> Valenzuela</w:t>
      </w:r>
      <w:bookmarkEnd w:id="48"/>
    </w:p>
    <w:p w14:paraId="7F743E0E" w14:textId="77777777" w:rsidR="00D36319" w:rsidRPr="00D36319" w:rsidRDefault="00D36319" w:rsidP="00D36319">
      <w:pPr>
        <w:pStyle w:val="Prrafodelista"/>
        <w:rPr>
          <w:rFonts w:ascii="Verdana" w:hAnsi="Verdana"/>
          <w:sz w:val="20"/>
          <w:szCs w:val="20"/>
        </w:rPr>
      </w:pPr>
    </w:p>
    <w:p w14:paraId="77F7B3C9" w14:textId="1C921F33" w:rsidR="008E68BF" w:rsidRPr="00D6022C" w:rsidRDefault="00EC417E" w:rsidP="00D36319">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D36319">
        <w:rPr>
          <w:rFonts w:ascii="Verdana" w:hAnsi="Verdana"/>
          <w:sz w:val="20"/>
          <w:szCs w:val="20"/>
        </w:rPr>
        <w:t>A continuación, la</w:t>
      </w:r>
      <w:r w:rsidR="0049621D">
        <w:rPr>
          <w:rFonts w:ascii="Verdana" w:hAnsi="Verdana"/>
          <w:sz w:val="20"/>
          <w:szCs w:val="20"/>
        </w:rPr>
        <w:t xml:space="preserve"> Corte se pronunciará respecto de</w:t>
      </w:r>
      <w:r w:rsidRPr="00D36319">
        <w:rPr>
          <w:rFonts w:ascii="Verdana" w:hAnsi="Verdana"/>
          <w:sz w:val="20"/>
          <w:szCs w:val="20"/>
        </w:rPr>
        <w:t xml:space="preserve"> la investigación de los hechos sucedidos</w:t>
      </w:r>
      <w:r w:rsidR="0049621D">
        <w:rPr>
          <w:rFonts w:ascii="Verdana" w:hAnsi="Verdana"/>
          <w:sz w:val="20"/>
          <w:szCs w:val="20"/>
        </w:rPr>
        <w:t xml:space="preserve"> al señor Valenzuela sobre</w:t>
      </w:r>
      <w:r w:rsidRPr="00D36319">
        <w:rPr>
          <w:rFonts w:ascii="Verdana" w:hAnsi="Verdana"/>
          <w:sz w:val="20"/>
          <w:szCs w:val="20"/>
        </w:rPr>
        <w:t xml:space="preserve"> su muerte, en primer lugar, relacionados con la alegada falta a la debida diligencia en la investigación en un plazo razonable y, en segundo lugar, sobre la falta de investigación de los presuntos actos de tortura y violencia sexual sufridos por el señor Valenzuela. La Corte no hará referencia a hechos o argumentos cuyo examen no resulte necesario por haber quedado co</w:t>
      </w:r>
      <w:r w:rsidR="009F7B3D">
        <w:rPr>
          <w:rFonts w:ascii="Verdana" w:hAnsi="Verdana"/>
          <w:sz w:val="20"/>
          <w:szCs w:val="20"/>
        </w:rPr>
        <w:t xml:space="preserve">mprendidos en el análisis de </w:t>
      </w:r>
      <w:r w:rsidR="00E641E7">
        <w:rPr>
          <w:rFonts w:ascii="Verdana" w:hAnsi="Verdana"/>
          <w:sz w:val="20"/>
          <w:szCs w:val="20"/>
        </w:rPr>
        <w:t>otras</w:t>
      </w:r>
      <w:r w:rsidRPr="00D36319">
        <w:rPr>
          <w:rFonts w:ascii="Verdana" w:hAnsi="Verdana"/>
          <w:sz w:val="20"/>
          <w:szCs w:val="20"/>
        </w:rPr>
        <w:t xml:space="preserve"> violaciones</w:t>
      </w:r>
      <w:r w:rsidR="00E14EAC">
        <w:rPr>
          <w:rFonts w:ascii="Verdana" w:hAnsi="Verdana"/>
          <w:sz w:val="20"/>
          <w:szCs w:val="20"/>
        </w:rPr>
        <w:t xml:space="preserve"> en los capítulos siguientes</w:t>
      </w:r>
      <w:r w:rsidRPr="00D36319">
        <w:rPr>
          <w:rFonts w:ascii="Verdana" w:hAnsi="Verdana"/>
          <w:sz w:val="20"/>
          <w:szCs w:val="20"/>
        </w:rPr>
        <w:t>.</w:t>
      </w:r>
    </w:p>
    <w:p w14:paraId="53CC2DBE" w14:textId="77777777" w:rsidR="008E68BF" w:rsidRDefault="008E68BF" w:rsidP="00D36319">
      <w:pPr>
        <w:pStyle w:val="Prrafodelista"/>
        <w:autoSpaceDE w:val="0"/>
        <w:autoSpaceDN w:val="0"/>
        <w:adjustRightInd w:val="0"/>
        <w:spacing w:after="0" w:line="240" w:lineRule="auto"/>
        <w:ind w:left="0"/>
        <w:jc w:val="both"/>
        <w:rPr>
          <w:rFonts w:ascii="Verdana" w:hAnsi="Verdana"/>
          <w:sz w:val="20"/>
          <w:szCs w:val="20"/>
        </w:rPr>
      </w:pPr>
    </w:p>
    <w:p w14:paraId="4D6B83FE" w14:textId="77777777" w:rsidR="00D36319" w:rsidRPr="002E5280" w:rsidRDefault="00D36319" w:rsidP="00D36319">
      <w:pPr>
        <w:pStyle w:val="Ttulo4"/>
        <w:spacing w:before="0"/>
        <w:rPr>
          <w:szCs w:val="20"/>
          <w:lang w:val="es-CR"/>
        </w:rPr>
      </w:pPr>
      <w:bookmarkStart w:id="49" w:name="_Toc25247763"/>
      <w:r w:rsidRPr="002E5280">
        <w:rPr>
          <w:szCs w:val="20"/>
        </w:rPr>
        <w:t xml:space="preserve">B.4.1. </w:t>
      </w:r>
      <w:r w:rsidRPr="002E5280">
        <w:rPr>
          <w:rFonts w:eastAsiaTheme="minorHAnsi" w:cstheme="minorBidi"/>
          <w:szCs w:val="20"/>
        </w:rPr>
        <w:t>Debida</w:t>
      </w:r>
      <w:r w:rsidRPr="002E5280">
        <w:rPr>
          <w:szCs w:val="20"/>
        </w:rPr>
        <w:t xml:space="preserve"> diligencia en la investigación</w:t>
      </w:r>
      <w:bookmarkEnd w:id="49"/>
    </w:p>
    <w:p w14:paraId="30B37653" w14:textId="77777777" w:rsidR="00D36319" w:rsidRDefault="00D36319" w:rsidP="00D36319">
      <w:pPr>
        <w:pStyle w:val="Prrafodelista"/>
        <w:autoSpaceDE w:val="0"/>
        <w:autoSpaceDN w:val="0"/>
        <w:adjustRightInd w:val="0"/>
        <w:spacing w:after="0" w:line="240" w:lineRule="auto"/>
        <w:ind w:left="0"/>
        <w:jc w:val="both"/>
        <w:rPr>
          <w:rFonts w:ascii="Verdana" w:hAnsi="Verdana"/>
          <w:sz w:val="20"/>
          <w:szCs w:val="20"/>
          <w:lang w:val="es-CR"/>
        </w:rPr>
      </w:pPr>
    </w:p>
    <w:p w14:paraId="6FCF19D4" w14:textId="77777777" w:rsidR="00D36319" w:rsidRPr="00D36319" w:rsidRDefault="00EC417E" w:rsidP="00D36319">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D36319">
        <w:rPr>
          <w:rFonts w:ascii="Verdana" w:hAnsi="Verdana"/>
          <w:sz w:val="20"/>
          <w:szCs w:val="20"/>
        </w:rPr>
        <w:t>La Corte ha señalado de manera consistente que el deber de investigar es una obligación de medios y no de resultados, que debe ser asumida por el Estado como un deber jurídico propio y no como una simple formalidad condenada de antemano a ser infructuosa, o como una mera gestión de intereses particulares, que dependa de la iniciativa procesal de las víctimas o de sus familiares o de la aportación privada de elementos probatorios. Además la investigación debe ser seria, objetiva y efectiva, y estar orientada a la determinación de la verdad y a la persecución, captura, y eventual enjuiciamiento y castigo de los autores de los hechos</w:t>
      </w:r>
      <w:r w:rsidRPr="002A4740">
        <w:rPr>
          <w:vertAlign w:val="superscript"/>
        </w:rPr>
        <w:footnoteReference w:id="110"/>
      </w:r>
      <w:r w:rsidRPr="00D36319">
        <w:rPr>
          <w:rFonts w:ascii="Verdana" w:hAnsi="Verdana"/>
          <w:sz w:val="20"/>
          <w:szCs w:val="20"/>
        </w:rPr>
        <w:t>.</w:t>
      </w:r>
    </w:p>
    <w:p w14:paraId="771EC563" w14:textId="77777777" w:rsidR="00D36319" w:rsidRDefault="00D36319" w:rsidP="00D36319">
      <w:pPr>
        <w:pStyle w:val="Prrafodelista"/>
        <w:autoSpaceDE w:val="0"/>
        <w:autoSpaceDN w:val="0"/>
        <w:adjustRightInd w:val="0"/>
        <w:spacing w:after="0" w:line="240" w:lineRule="auto"/>
        <w:ind w:left="0"/>
        <w:jc w:val="both"/>
        <w:rPr>
          <w:rFonts w:ascii="Verdana" w:hAnsi="Verdana"/>
          <w:sz w:val="20"/>
          <w:szCs w:val="20"/>
          <w:lang w:val="es-CR"/>
        </w:rPr>
      </w:pPr>
    </w:p>
    <w:p w14:paraId="72874C0A" w14:textId="798522B0" w:rsidR="00D36319" w:rsidRDefault="00EC417E" w:rsidP="00D36319">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D36319">
        <w:rPr>
          <w:rFonts w:ascii="Verdana" w:hAnsi="Verdana"/>
          <w:sz w:val="20"/>
          <w:szCs w:val="20"/>
        </w:rPr>
        <w:t>Asimismo, ha indicado que la obligación de investigar debe ser asumida por el Estado como un deber jurídico propio y no como una simple formalidad condenada de antemano a ser infructuosa, o como una mera gestión de intereses particulares, que dependa de la iniciativa procesal de las víctimas o de sus familiares o de la aportación pr</w:t>
      </w:r>
      <w:r w:rsidR="000C77EB">
        <w:rPr>
          <w:rFonts w:ascii="Verdana" w:hAnsi="Verdana"/>
          <w:sz w:val="20"/>
          <w:szCs w:val="20"/>
        </w:rPr>
        <w:t>ivada de elementos probatorios.</w:t>
      </w:r>
      <w:r w:rsidRPr="00D36319">
        <w:rPr>
          <w:rFonts w:ascii="Verdana" w:hAnsi="Verdana"/>
          <w:sz w:val="20"/>
          <w:szCs w:val="20"/>
        </w:rPr>
        <w:t xml:space="preserve"> El derecho a la tutela judicial efectiva exige que las actuaciones se dirijan de modo que se eviten dilaciones y entorpecimientos indebidos que puedan frustrar dichos fines</w:t>
      </w:r>
      <w:r w:rsidRPr="002A4740">
        <w:rPr>
          <w:vertAlign w:val="superscript"/>
        </w:rPr>
        <w:footnoteReference w:id="111"/>
      </w:r>
      <w:r w:rsidRPr="00D36319">
        <w:rPr>
          <w:rFonts w:ascii="Verdana" w:hAnsi="Verdana"/>
          <w:sz w:val="20"/>
          <w:szCs w:val="20"/>
        </w:rPr>
        <w:t>.</w:t>
      </w:r>
    </w:p>
    <w:p w14:paraId="4B7D1D2F" w14:textId="77777777" w:rsidR="00D36319" w:rsidRPr="00D36319" w:rsidRDefault="00D36319" w:rsidP="00D36319">
      <w:pPr>
        <w:pStyle w:val="Prrafodelista"/>
        <w:rPr>
          <w:rFonts w:ascii="Verdana" w:hAnsi="Verdana"/>
          <w:sz w:val="20"/>
          <w:szCs w:val="20"/>
        </w:rPr>
      </w:pPr>
    </w:p>
    <w:p w14:paraId="19D5702A" w14:textId="77777777" w:rsidR="00D36319" w:rsidRDefault="00EC417E" w:rsidP="00D36319">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D36319">
        <w:rPr>
          <w:rFonts w:ascii="Verdana" w:hAnsi="Verdana"/>
          <w:sz w:val="20"/>
          <w:szCs w:val="20"/>
        </w:rPr>
        <w:t xml:space="preserve">Para poder determinar si la investigación fue realizada de manera diligente, la Corte referirá diversas diligencias del proceso penal, relacionadas con la identificación de la víctima, el tratamiento de la escena del delito, la realización de una necropsia y otros medios de prueba. </w:t>
      </w:r>
    </w:p>
    <w:p w14:paraId="2C3CB7CD" w14:textId="77777777" w:rsidR="00D36319" w:rsidRPr="00D36319" w:rsidRDefault="00D36319" w:rsidP="00D36319">
      <w:pPr>
        <w:pStyle w:val="Prrafodelista"/>
        <w:rPr>
          <w:rFonts w:ascii="Verdana" w:hAnsi="Verdana"/>
          <w:sz w:val="20"/>
          <w:szCs w:val="20"/>
        </w:rPr>
      </w:pPr>
    </w:p>
    <w:p w14:paraId="30640452" w14:textId="76C9D606" w:rsidR="00D36319" w:rsidRPr="008448A1" w:rsidRDefault="00EC417E" w:rsidP="008448A1">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D36319">
        <w:rPr>
          <w:rFonts w:ascii="Verdana" w:hAnsi="Verdana"/>
          <w:sz w:val="20"/>
          <w:szCs w:val="20"/>
        </w:rPr>
        <w:t xml:space="preserve">La Corte ha establecido que la eficiente determinación de la verdad en el marco de la obligación de investigar una posible </w:t>
      </w:r>
      <w:proofErr w:type="gramStart"/>
      <w:r w:rsidRPr="00D36319">
        <w:rPr>
          <w:rFonts w:ascii="Verdana" w:hAnsi="Verdana"/>
          <w:sz w:val="20"/>
          <w:szCs w:val="20"/>
        </w:rPr>
        <w:t>muerte,</w:t>
      </w:r>
      <w:proofErr w:type="gramEnd"/>
      <w:r w:rsidRPr="00D36319">
        <w:rPr>
          <w:rFonts w:ascii="Verdana" w:hAnsi="Verdana"/>
          <w:sz w:val="20"/>
          <w:szCs w:val="20"/>
        </w:rPr>
        <w:t xml:space="preserve"> debe mostrarse desde las primeras diligencias con toda acuc</w:t>
      </w:r>
      <w:r w:rsidR="0049621D">
        <w:rPr>
          <w:rFonts w:ascii="Verdana" w:hAnsi="Verdana"/>
          <w:sz w:val="20"/>
          <w:szCs w:val="20"/>
        </w:rPr>
        <w:t>iosidad. E</w:t>
      </w:r>
      <w:r w:rsidRPr="00D36319">
        <w:rPr>
          <w:rFonts w:ascii="Verdana" w:hAnsi="Verdana"/>
          <w:sz w:val="20"/>
          <w:szCs w:val="20"/>
        </w:rPr>
        <w:t xml:space="preserve">ste Tribunal </w:t>
      </w:r>
      <w:r w:rsidR="0049621D">
        <w:rPr>
          <w:rFonts w:ascii="Verdana" w:hAnsi="Verdana"/>
          <w:sz w:val="20"/>
          <w:szCs w:val="20"/>
        </w:rPr>
        <w:t xml:space="preserve">ha especificado </w:t>
      </w:r>
      <w:r w:rsidRPr="00D36319">
        <w:rPr>
          <w:rFonts w:ascii="Verdana" w:hAnsi="Verdana"/>
          <w:sz w:val="20"/>
          <w:szCs w:val="20"/>
        </w:rPr>
        <w:t xml:space="preserve">que las autoridades estatales que conducen una investigación de este tipo deben intentar como mínimo, </w:t>
      </w:r>
      <w:r w:rsidRPr="00D36319">
        <w:rPr>
          <w:rFonts w:ascii="Verdana" w:hAnsi="Verdana"/>
          <w:i/>
          <w:sz w:val="20"/>
          <w:szCs w:val="20"/>
        </w:rPr>
        <w:t>inter alia</w:t>
      </w:r>
      <w:r w:rsidRPr="00D36319">
        <w:rPr>
          <w:rFonts w:ascii="Verdana" w:hAnsi="Verdana"/>
          <w:sz w:val="20"/>
          <w:szCs w:val="20"/>
        </w:rPr>
        <w:t xml:space="preserve">: i) identificar a la víctima; </w:t>
      </w:r>
      <w:proofErr w:type="spellStart"/>
      <w:r w:rsidRPr="00D36319">
        <w:rPr>
          <w:rFonts w:ascii="Verdana" w:hAnsi="Verdana"/>
          <w:sz w:val="20"/>
          <w:szCs w:val="20"/>
        </w:rPr>
        <w:t>ii</w:t>
      </w:r>
      <w:proofErr w:type="spellEnd"/>
      <w:r w:rsidRPr="00D36319">
        <w:rPr>
          <w:rFonts w:ascii="Verdana" w:hAnsi="Verdana"/>
          <w:sz w:val="20"/>
          <w:szCs w:val="20"/>
        </w:rPr>
        <w:t xml:space="preserve">) recuperar y preservar el material probatorio relacionado con la muerte, con el fin de ayudar en cualquier potencial investigación penal de los responsables; </w:t>
      </w:r>
      <w:proofErr w:type="spellStart"/>
      <w:r w:rsidRPr="00D36319">
        <w:rPr>
          <w:rFonts w:ascii="Verdana" w:hAnsi="Verdana"/>
          <w:sz w:val="20"/>
          <w:szCs w:val="20"/>
        </w:rPr>
        <w:t>iii</w:t>
      </w:r>
      <w:proofErr w:type="spellEnd"/>
      <w:r w:rsidRPr="00D36319">
        <w:rPr>
          <w:rFonts w:ascii="Verdana" w:hAnsi="Verdana"/>
          <w:sz w:val="20"/>
          <w:szCs w:val="20"/>
        </w:rPr>
        <w:t xml:space="preserve">) identificar posibles testigos y obtener sus declaraciones en relación con la muerte que se investiga; </w:t>
      </w:r>
      <w:proofErr w:type="spellStart"/>
      <w:r w:rsidRPr="00D36319">
        <w:rPr>
          <w:rFonts w:ascii="Verdana" w:hAnsi="Verdana"/>
          <w:sz w:val="20"/>
          <w:szCs w:val="20"/>
        </w:rPr>
        <w:t>iv</w:t>
      </w:r>
      <w:proofErr w:type="spellEnd"/>
      <w:r w:rsidRPr="00D36319">
        <w:rPr>
          <w:rFonts w:ascii="Verdana" w:hAnsi="Verdana"/>
          <w:sz w:val="20"/>
          <w:szCs w:val="20"/>
        </w:rPr>
        <w:t xml:space="preserve">) determinar la causa, forma, lugar y momento de la muerte, así como cualquier patrón o práctica que pueda haber causado la muerte, y v) distinguir entre muerte natural, muerte </w:t>
      </w:r>
      <w:r w:rsidRPr="00D36319">
        <w:rPr>
          <w:rFonts w:ascii="Verdana" w:hAnsi="Verdana"/>
          <w:sz w:val="20"/>
          <w:szCs w:val="20"/>
        </w:rPr>
        <w:lastRenderedPageBreak/>
        <w:t>accidental, suicidio y homicidio. Además, es necesario investigar exhaustivamente la escena del delito, se deben realizar autopsias y análisis de restos humanos, en forma rigurosa, por profesionales competentes y empleando los procedimientos más apropiados</w:t>
      </w:r>
      <w:r w:rsidRPr="002A4740">
        <w:rPr>
          <w:vertAlign w:val="superscript"/>
        </w:rPr>
        <w:footnoteReference w:id="112"/>
      </w:r>
      <w:r w:rsidRPr="00D36319">
        <w:rPr>
          <w:rFonts w:ascii="Verdana" w:hAnsi="Verdana"/>
          <w:sz w:val="20"/>
          <w:szCs w:val="20"/>
        </w:rPr>
        <w:t>.</w:t>
      </w:r>
    </w:p>
    <w:p w14:paraId="08069742" w14:textId="77777777" w:rsidR="008448A1" w:rsidRDefault="008448A1" w:rsidP="00D36319">
      <w:pPr>
        <w:pStyle w:val="Ttulo5"/>
        <w:numPr>
          <w:ilvl w:val="0"/>
          <w:numId w:val="0"/>
        </w:numPr>
        <w:ind w:left="1416"/>
        <w:rPr>
          <w:u w:val="none"/>
        </w:rPr>
      </w:pPr>
    </w:p>
    <w:p w14:paraId="7FE56DCE" w14:textId="77777777" w:rsidR="00D36319" w:rsidRPr="002D7487" w:rsidRDefault="008448A1" w:rsidP="00D36319">
      <w:pPr>
        <w:pStyle w:val="Ttulo5"/>
        <w:numPr>
          <w:ilvl w:val="0"/>
          <w:numId w:val="0"/>
        </w:numPr>
        <w:ind w:left="1416"/>
        <w:rPr>
          <w:u w:val="none"/>
        </w:rPr>
      </w:pPr>
      <w:r>
        <w:rPr>
          <w:u w:val="none"/>
        </w:rPr>
        <w:t xml:space="preserve">a) </w:t>
      </w:r>
      <w:r w:rsidR="00D36319" w:rsidRPr="002D7487">
        <w:rPr>
          <w:u w:val="none"/>
        </w:rPr>
        <w:t>Investigación sobre la muerte del señor Valenzuela</w:t>
      </w:r>
    </w:p>
    <w:p w14:paraId="1FB265D5" w14:textId="77777777" w:rsidR="00D36319" w:rsidRPr="00D36319" w:rsidRDefault="00D36319" w:rsidP="00D36319">
      <w:pPr>
        <w:pStyle w:val="Prrafodelista"/>
        <w:rPr>
          <w:rFonts w:ascii="Verdana" w:hAnsi="Verdana"/>
          <w:sz w:val="20"/>
          <w:szCs w:val="20"/>
          <w:lang w:val="es-CR"/>
        </w:rPr>
      </w:pPr>
    </w:p>
    <w:p w14:paraId="19F968BC" w14:textId="77777777" w:rsidR="00D36319" w:rsidRPr="00D36319" w:rsidRDefault="00EC417E" w:rsidP="00D36319">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D36319">
        <w:rPr>
          <w:rFonts w:ascii="Verdana" w:hAnsi="Verdana"/>
          <w:sz w:val="20"/>
          <w:szCs w:val="20"/>
        </w:rPr>
        <w:t xml:space="preserve">Respecto a la investigación de la muerte del señor Valenzuela, tanto la </w:t>
      </w:r>
      <w:r w:rsidRPr="00D36319">
        <w:rPr>
          <w:rFonts w:ascii="Verdana" w:hAnsi="Verdana"/>
          <w:b/>
          <w:i/>
          <w:sz w:val="20"/>
          <w:szCs w:val="20"/>
        </w:rPr>
        <w:t>Comisión</w:t>
      </w:r>
      <w:r w:rsidRPr="00D36319">
        <w:rPr>
          <w:rFonts w:ascii="Verdana" w:hAnsi="Verdana"/>
          <w:sz w:val="20"/>
          <w:szCs w:val="20"/>
        </w:rPr>
        <w:t xml:space="preserve"> como los </w:t>
      </w:r>
      <w:r w:rsidRPr="00D36319">
        <w:rPr>
          <w:rFonts w:ascii="Verdana" w:hAnsi="Verdana"/>
          <w:b/>
          <w:i/>
          <w:sz w:val="20"/>
          <w:szCs w:val="20"/>
        </w:rPr>
        <w:t>representantes</w:t>
      </w:r>
      <w:r w:rsidRPr="00D36319">
        <w:rPr>
          <w:rFonts w:ascii="Verdana" w:hAnsi="Verdana"/>
          <w:sz w:val="20"/>
          <w:szCs w:val="20"/>
        </w:rPr>
        <w:t xml:space="preserve"> alegaron que si bien no se tiene la información de la investigación para esclarecer su muerte, hay indicios en otras actuaciones para determinar la intervención y responsabilidad de los policías o de los agentes estatales. Asimismo, manifestaron que el Estado se ha excedido en el plazo razonable para la realización de la investigación. Por otro lado, el </w:t>
      </w:r>
      <w:r w:rsidRPr="00D36319">
        <w:rPr>
          <w:rFonts w:ascii="Verdana" w:hAnsi="Verdana"/>
          <w:b/>
          <w:i/>
          <w:sz w:val="20"/>
          <w:szCs w:val="20"/>
        </w:rPr>
        <w:t>Estado</w:t>
      </w:r>
      <w:r w:rsidRPr="00D36319">
        <w:rPr>
          <w:rFonts w:ascii="Verdana" w:hAnsi="Verdana"/>
          <w:sz w:val="20"/>
          <w:szCs w:val="20"/>
        </w:rPr>
        <w:t xml:space="preserve"> adujo que no es viable establecer la participación de los agentes en la muerte del señor Valenzuela, toda vez que la investigación para esclarecer los hechos aún se encuentra activa. Agregó que ese hecho sucedió cuando se encontraba prófugo de la justicia, por lo que de acuerdo con el acervo probatorio no es posible establecer con absoluta certeza la manera de su fallecimiento.</w:t>
      </w:r>
    </w:p>
    <w:p w14:paraId="1033AB4C" w14:textId="77777777" w:rsidR="00D36319" w:rsidRDefault="00D36319" w:rsidP="00D36319">
      <w:pPr>
        <w:pStyle w:val="Prrafodelista"/>
        <w:autoSpaceDE w:val="0"/>
        <w:autoSpaceDN w:val="0"/>
        <w:adjustRightInd w:val="0"/>
        <w:spacing w:after="0" w:line="240" w:lineRule="auto"/>
        <w:ind w:left="0"/>
        <w:jc w:val="both"/>
        <w:rPr>
          <w:rFonts w:ascii="Verdana" w:hAnsi="Verdana"/>
          <w:sz w:val="20"/>
          <w:szCs w:val="20"/>
          <w:lang w:val="es-CR"/>
        </w:rPr>
      </w:pPr>
    </w:p>
    <w:p w14:paraId="293F4286" w14:textId="0D784ED2" w:rsidR="00D36319" w:rsidRDefault="00EC417E" w:rsidP="00D36319">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D36319">
        <w:rPr>
          <w:rFonts w:ascii="Verdana" w:hAnsi="Verdana"/>
          <w:sz w:val="20"/>
          <w:szCs w:val="20"/>
        </w:rPr>
        <w:t>En consideración de lo anterior, corresponde a la Corte determinar si el Estado ha investigado diligentemente los hechos relacionados con las circunstancias de la muerte de</w:t>
      </w:r>
      <w:r w:rsidR="00DB5E71">
        <w:rPr>
          <w:rFonts w:ascii="Verdana" w:hAnsi="Verdana"/>
          <w:sz w:val="20"/>
          <w:szCs w:val="20"/>
        </w:rPr>
        <w:t>l señor Valenzuela, de acuerdo con</w:t>
      </w:r>
      <w:r w:rsidRPr="00D36319">
        <w:rPr>
          <w:rFonts w:ascii="Verdana" w:hAnsi="Verdana"/>
          <w:sz w:val="20"/>
          <w:szCs w:val="20"/>
        </w:rPr>
        <w:t xml:space="preserve"> lo</w:t>
      </w:r>
      <w:r w:rsidR="0049621D">
        <w:rPr>
          <w:rFonts w:ascii="Verdana" w:hAnsi="Verdana"/>
          <w:sz w:val="20"/>
          <w:szCs w:val="20"/>
        </w:rPr>
        <w:t>s</w:t>
      </w:r>
      <w:r w:rsidRPr="00D36319">
        <w:rPr>
          <w:rFonts w:ascii="Verdana" w:hAnsi="Verdana"/>
          <w:sz w:val="20"/>
          <w:szCs w:val="20"/>
        </w:rPr>
        <w:t xml:space="preserve"> estándares mínimos y fundamentales para esclarecer lo ocurrido, y la posible participación de agentes estatales que origine la responsabilidad del Estado. </w:t>
      </w:r>
    </w:p>
    <w:p w14:paraId="7AE7E631" w14:textId="77777777" w:rsidR="00D36319" w:rsidRPr="00D36319" w:rsidRDefault="00D36319" w:rsidP="00D36319">
      <w:pPr>
        <w:pStyle w:val="Prrafodelista"/>
        <w:rPr>
          <w:rFonts w:ascii="Verdana" w:hAnsi="Verdana"/>
          <w:sz w:val="20"/>
          <w:szCs w:val="20"/>
        </w:rPr>
      </w:pPr>
    </w:p>
    <w:p w14:paraId="2D76EC00" w14:textId="4310B733" w:rsidR="00D36319" w:rsidRDefault="00EC417E" w:rsidP="00D36319">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D36319">
        <w:rPr>
          <w:rFonts w:ascii="Verdana" w:hAnsi="Verdana"/>
          <w:sz w:val="20"/>
          <w:szCs w:val="20"/>
        </w:rPr>
        <w:t>En el presente caso, el 8 de diciembre de 2006 fue encontrado el cuerpo del señor Valenzuela, en la ciudad de G</w:t>
      </w:r>
      <w:r w:rsidR="0049621D">
        <w:rPr>
          <w:rFonts w:ascii="Verdana" w:hAnsi="Verdana"/>
          <w:sz w:val="20"/>
          <w:szCs w:val="20"/>
        </w:rPr>
        <w:t>omera de Escuintla. De acuerdo con</w:t>
      </w:r>
      <w:r w:rsidRPr="00D36319">
        <w:rPr>
          <w:rFonts w:ascii="Verdana" w:hAnsi="Verdana"/>
          <w:sz w:val="20"/>
          <w:szCs w:val="20"/>
        </w:rPr>
        <w:t xml:space="preserve"> la escena del crimen el señor Valenzuela murió de forma violenta por arma de fuego, aproximadamente un año después de su fuga de 22 de octubre de 2005 (</w:t>
      </w:r>
      <w:r w:rsidRPr="00D36319">
        <w:rPr>
          <w:rFonts w:ascii="Verdana" w:hAnsi="Verdana"/>
          <w:i/>
          <w:sz w:val="20"/>
          <w:szCs w:val="20"/>
        </w:rPr>
        <w:t>supra</w:t>
      </w:r>
      <w:r w:rsidRPr="00D36319">
        <w:rPr>
          <w:rFonts w:ascii="Verdana" w:hAnsi="Verdana"/>
          <w:sz w:val="20"/>
          <w:szCs w:val="20"/>
        </w:rPr>
        <w:t xml:space="preserve"> párr</w:t>
      </w:r>
      <w:r w:rsidR="00F24F2B">
        <w:rPr>
          <w:rFonts w:ascii="Verdana" w:hAnsi="Verdana"/>
          <w:sz w:val="20"/>
          <w:szCs w:val="20"/>
        </w:rPr>
        <w:t>s</w:t>
      </w:r>
      <w:r w:rsidRPr="00D36319">
        <w:rPr>
          <w:rFonts w:ascii="Verdana" w:hAnsi="Verdana"/>
          <w:sz w:val="20"/>
          <w:szCs w:val="20"/>
        </w:rPr>
        <w:t>.</w:t>
      </w:r>
      <w:r w:rsidR="003A0DEB">
        <w:rPr>
          <w:rFonts w:ascii="Verdana" w:hAnsi="Verdana"/>
          <w:sz w:val="20"/>
          <w:szCs w:val="20"/>
        </w:rPr>
        <w:t xml:space="preserve"> 96 a 98</w:t>
      </w:r>
      <w:r w:rsidRPr="00D36319">
        <w:rPr>
          <w:rFonts w:ascii="Verdana" w:hAnsi="Verdana"/>
          <w:sz w:val="20"/>
          <w:szCs w:val="20"/>
        </w:rPr>
        <w:t>).</w:t>
      </w:r>
    </w:p>
    <w:p w14:paraId="46487BC4" w14:textId="77777777" w:rsidR="00D36319" w:rsidRPr="00D36319" w:rsidRDefault="00D36319" w:rsidP="00D36319">
      <w:pPr>
        <w:pStyle w:val="Prrafodelista"/>
        <w:rPr>
          <w:rFonts w:ascii="Verdana" w:hAnsi="Verdana"/>
          <w:sz w:val="20"/>
          <w:szCs w:val="20"/>
        </w:rPr>
      </w:pPr>
    </w:p>
    <w:p w14:paraId="65C0D7C8" w14:textId="7350F5C4" w:rsidR="00D36319" w:rsidRPr="00D36319" w:rsidRDefault="00EC417E" w:rsidP="00D36319">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D36319">
        <w:rPr>
          <w:rFonts w:ascii="Verdana" w:hAnsi="Verdana"/>
          <w:sz w:val="20"/>
          <w:szCs w:val="20"/>
        </w:rPr>
        <w:t>El Estado inició una investigación penal para esclarecer los hechos, y fue hasta el 2 de marzo de 2009, según señaló el Estado</w:t>
      </w:r>
      <w:r w:rsidR="00AC12BC">
        <w:rPr>
          <w:rFonts w:ascii="Verdana" w:hAnsi="Verdana"/>
          <w:sz w:val="20"/>
          <w:szCs w:val="20"/>
        </w:rPr>
        <w:t>, que</w:t>
      </w:r>
      <w:r w:rsidRPr="00D36319">
        <w:rPr>
          <w:rFonts w:ascii="Verdana" w:hAnsi="Verdana"/>
          <w:sz w:val="20"/>
          <w:szCs w:val="20"/>
        </w:rPr>
        <w:t xml:space="preserve"> se identificó al propietario de la motocicleta usada por al señor Valenzuela. No se tiene otra información relevante en busca de información, diligencias de reconstrucción de hechos y trayectorias de los disparos; </w:t>
      </w:r>
      <w:r w:rsidR="00AC12BC">
        <w:rPr>
          <w:rFonts w:ascii="Verdana" w:hAnsi="Verdana"/>
          <w:sz w:val="20"/>
          <w:szCs w:val="20"/>
        </w:rPr>
        <w:t xml:space="preserve">o, </w:t>
      </w:r>
      <w:r w:rsidRPr="00D36319">
        <w:rPr>
          <w:rFonts w:ascii="Verdana" w:hAnsi="Verdana"/>
          <w:sz w:val="20"/>
          <w:szCs w:val="20"/>
        </w:rPr>
        <w:t>entrevistas a posibles testigos presenciales de los hechos. Además, en la causa sobre la muerte de Valenzuela se consignó como hipótesis criminal de acuerdo con la inspección ocular realizada por la Jueza de Paz, que dos desconocidos a bordo de una Pick Up, dieron muerte al señor Valenzuela y otra persona</w:t>
      </w:r>
      <w:r w:rsidR="000C0691">
        <w:rPr>
          <w:rFonts w:ascii="Verdana" w:hAnsi="Verdana"/>
          <w:sz w:val="20"/>
          <w:szCs w:val="20"/>
        </w:rPr>
        <w:t xml:space="preserve"> EM</w:t>
      </w:r>
      <w:r w:rsidR="0097244E">
        <w:rPr>
          <w:rFonts w:ascii="Verdana" w:hAnsi="Verdana"/>
          <w:sz w:val="20"/>
          <w:szCs w:val="20"/>
        </w:rPr>
        <w:t>F</w:t>
      </w:r>
      <w:r w:rsidRPr="00D36319">
        <w:rPr>
          <w:rFonts w:ascii="Verdana" w:hAnsi="Verdana"/>
          <w:sz w:val="20"/>
          <w:szCs w:val="20"/>
        </w:rPr>
        <w:t>, sin ahondar en mayores detalles. Fue hasta el 16 de junio de 2009 que se solicitó al Fiscal General y al jefe del Mi</w:t>
      </w:r>
      <w:r w:rsidR="00DB5E71">
        <w:rPr>
          <w:rFonts w:ascii="Verdana" w:hAnsi="Verdana"/>
          <w:sz w:val="20"/>
          <w:szCs w:val="20"/>
        </w:rPr>
        <w:t>nisterio Público que determinara</w:t>
      </w:r>
      <w:r w:rsidRPr="00D36319">
        <w:rPr>
          <w:rFonts w:ascii="Verdana" w:hAnsi="Verdana"/>
          <w:sz w:val="20"/>
          <w:szCs w:val="20"/>
        </w:rPr>
        <w:t>n la fiscalía</w:t>
      </w:r>
      <w:r w:rsidR="00AC12BC">
        <w:rPr>
          <w:rFonts w:ascii="Verdana" w:hAnsi="Verdana"/>
          <w:sz w:val="20"/>
          <w:szCs w:val="20"/>
        </w:rPr>
        <w:t xml:space="preserve"> a la cual</w:t>
      </w:r>
      <w:r w:rsidRPr="00D36319">
        <w:rPr>
          <w:rFonts w:ascii="Verdana" w:hAnsi="Verdana"/>
          <w:sz w:val="20"/>
          <w:szCs w:val="20"/>
        </w:rPr>
        <w:t xml:space="preserve"> corres</w:t>
      </w:r>
      <w:r w:rsidR="00090F17">
        <w:rPr>
          <w:rFonts w:ascii="Verdana" w:hAnsi="Verdana"/>
          <w:sz w:val="20"/>
          <w:szCs w:val="20"/>
        </w:rPr>
        <w:t>pondería la investigación. El 12</w:t>
      </w:r>
      <w:r w:rsidR="00E641E7">
        <w:rPr>
          <w:rFonts w:ascii="Verdana" w:hAnsi="Verdana"/>
          <w:sz w:val="20"/>
          <w:szCs w:val="20"/>
        </w:rPr>
        <w:t xml:space="preserve"> de diciembre</w:t>
      </w:r>
      <w:r w:rsidRPr="00D36319">
        <w:rPr>
          <w:rFonts w:ascii="Verdana" w:hAnsi="Verdana"/>
          <w:sz w:val="20"/>
          <w:szCs w:val="20"/>
        </w:rPr>
        <w:t xml:space="preserve"> de 2018 la Fiscalía Especial contra la Impunidad del Ministerio Público de Guatemala comunicó las diligencias de investigación y que aún se encuentra activ</w:t>
      </w:r>
      <w:r w:rsidR="00AC12BC">
        <w:rPr>
          <w:rFonts w:ascii="Verdana" w:hAnsi="Verdana"/>
          <w:sz w:val="20"/>
          <w:szCs w:val="20"/>
        </w:rPr>
        <w:t>a</w:t>
      </w:r>
      <w:r w:rsidR="002D7CCA">
        <w:rPr>
          <w:rFonts w:ascii="Verdana" w:hAnsi="Verdana"/>
          <w:sz w:val="20"/>
          <w:szCs w:val="20"/>
        </w:rPr>
        <w:t xml:space="preserve"> (</w:t>
      </w:r>
      <w:r w:rsidR="002D7CCA" w:rsidRPr="00090F17">
        <w:rPr>
          <w:rFonts w:ascii="Verdana" w:hAnsi="Verdana"/>
          <w:i/>
          <w:sz w:val="20"/>
          <w:szCs w:val="20"/>
        </w:rPr>
        <w:t>supra</w:t>
      </w:r>
      <w:r w:rsidR="002D7CCA">
        <w:rPr>
          <w:rFonts w:ascii="Verdana" w:hAnsi="Verdana"/>
          <w:sz w:val="20"/>
          <w:szCs w:val="20"/>
        </w:rPr>
        <w:t xml:space="preserve"> párr. 10</w:t>
      </w:r>
      <w:r w:rsidR="005E422B">
        <w:rPr>
          <w:rFonts w:ascii="Verdana" w:hAnsi="Verdana"/>
          <w:sz w:val="20"/>
          <w:szCs w:val="20"/>
        </w:rPr>
        <w:t>3</w:t>
      </w:r>
      <w:r w:rsidR="002D7CCA">
        <w:rPr>
          <w:rFonts w:ascii="Verdana" w:hAnsi="Verdana"/>
          <w:sz w:val="20"/>
          <w:szCs w:val="20"/>
        </w:rPr>
        <w:t>)</w:t>
      </w:r>
      <w:r w:rsidRPr="00D36319">
        <w:rPr>
          <w:rFonts w:ascii="Verdana" w:hAnsi="Verdana"/>
          <w:sz w:val="20"/>
          <w:szCs w:val="20"/>
        </w:rPr>
        <w:t xml:space="preserve">. </w:t>
      </w:r>
      <w:r w:rsidR="00AC12BC">
        <w:rPr>
          <w:rFonts w:ascii="Verdana" w:hAnsi="Verdana"/>
          <w:sz w:val="20"/>
          <w:szCs w:val="20"/>
        </w:rPr>
        <w:t>E</w:t>
      </w:r>
      <w:r w:rsidRPr="00D36319">
        <w:rPr>
          <w:rFonts w:ascii="Verdana" w:hAnsi="Verdana"/>
          <w:sz w:val="20"/>
          <w:szCs w:val="20"/>
        </w:rPr>
        <w:t>l Estado ha señalado, que la investigación en la actualidad sigue en curs</w:t>
      </w:r>
      <w:r w:rsidR="0049621D">
        <w:rPr>
          <w:rFonts w:ascii="Verdana" w:hAnsi="Verdana"/>
          <w:sz w:val="20"/>
          <w:szCs w:val="20"/>
        </w:rPr>
        <w:t>o, y que una de las hipótesis es</w:t>
      </w:r>
      <w:r w:rsidRPr="00D36319">
        <w:rPr>
          <w:rFonts w:ascii="Verdana" w:hAnsi="Verdana"/>
          <w:sz w:val="20"/>
          <w:szCs w:val="20"/>
        </w:rPr>
        <w:t xml:space="preserve"> la posible ejecución extrajudicial.</w:t>
      </w:r>
    </w:p>
    <w:p w14:paraId="3222FBBC" w14:textId="77777777" w:rsidR="00D36319" w:rsidRDefault="00D36319" w:rsidP="00D36319">
      <w:pPr>
        <w:pStyle w:val="Prrafodelista"/>
        <w:autoSpaceDE w:val="0"/>
        <w:autoSpaceDN w:val="0"/>
        <w:adjustRightInd w:val="0"/>
        <w:spacing w:after="0" w:line="240" w:lineRule="auto"/>
        <w:ind w:left="0"/>
        <w:jc w:val="both"/>
        <w:rPr>
          <w:rFonts w:ascii="Verdana" w:hAnsi="Verdana"/>
          <w:sz w:val="20"/>
          <w:szCs w:val="20"/>
          <w:lang w:val="es-CR"/>
        </w:rPr>
      </w:pPr>
    </w:p>
    <w:p w14:paraId="03201A3E" w14:textId="55BBB4B0" w:rsidR="00D36319" w:rsidRDefault="00EC417E" w:rsidP="00D36319">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D36319">
        <w:rPr>
          <w:rFonts w:ascii="Verdana" w:hAnsi="Verdana"/>
          <w:sz w:val="20"/>
          <w:szCs w:val="20"/>
        </w:rPr>
        <w:t xml:space="preserve">Asimismo, en el curso de las primeras diligencias se han producido una serie de falencias, que constan en las diferentes actuaciones realizadas, como en el acta de inspección ocular </w:t>
      </w:r>
      <w:r w:rsidRPr="005A2F43">
        <w:rPr>
          <w:rFonts w:ascii="Verdana" w:hAnsi="Verdana"/>
          <w:sz w:val="20"/>
          <w:szCs w:val="20"/>
        </w:rPr>
        <w:t xml:space="preserve">de 8 de diciembre de </w:t>
      </w:r>
      <w:r w:rsidR="000C0691" w:rsidRPr="005A2F43">
        <w:rPr>
          <w:rFonts w:ascii="Verdana" w:hAnsi="Verdana"/>
          <w:sz w:val="20"/>
          <w:szCs w:val="20"/>
        </w:rPr>
        <w:t>2006</w:t>
      </w:r>
      <w:r w:rsidRPr="003E02BA">
        <w:rPr>
          <w:rStyle w:val="Refdenotaalpie"/>
          <w:rFonts w:ascii="Verdana" w:hAnsi="Verdana"/>
          <w:sz w:val="20"/>
          <w:szCs w:val="20"/>
        </w:rPr>
        <w:footnoteReference w:id="113"/>
      </w:r>
      <w:r w:rsidRPr="003E02BA">
        <w:rPr>
          <w:rFonts w:ascii="Verdana" w:hAnsi="Verdana"/>
          <w:sz w:val="20"/>
          <w:szCs w:val="20"/>
        </w:rPr>
        <w:t xml:space="preserve">, elaborada por la Jueza de Paz; la necropsia en la que se </w:t>
      </w:r>
      <w:r w:rsidRPr="003E02BA">
        <w:rPr>
          <w:rFonts w:ascii="Verdana" w:hAnsi="Verdana"/>
          <w:sz w:val="20"/>
          <w:szCs w:val="20"/>
        </w:rPr>
        <w:lastRenderedPageBreak/>
        <w:t>indica que el cadáver de una persona desconocida de 26 años de edad presentaba el “cráneo completamente destrozado con masa encefálica expuesta ocasionado con arma de fuego de grueso calibre, dedo meñique de mano izquierda destrozado”</w:t>
      </w:r>
      <w:r w:rsidRPr="003E02BA">
        <w:rPr>
          <w:rFonts w:ascii="Verdana" w:hAnsi="Verdana"/>
          <w:sz w:val="20"/>
          <w:szCs w:val="20"/>
          <w:vertAlign w:val="superscript"/>
        </w:rPr>
        <w:footnoteReference w:id="114"/>
      </w:r>
      <w:r w:rsidRPr="003E02BA">
        <w:rPr>
          <w:rFonts w:ascii="Verdana" w:hAnsi="Verdana"/>
          <w:sz w:val="20"/>
          <w:szCs w:val="20"/>
        </w:rPr>
        <w:t>, cuya causa de muerte fue “1) LACERACIÓN CEREBRAL[,] 2) FRACTURA MULTIFRAGMENTARIA DE CRANEO […]”</w:t>
      </w:r>
      <w:r w:rsidRPr="003E02BA">
        <w:rPr>
          <w:rFonts w:ascii="Verdana" w:hAnsi="Verdana"/>
          <w:sz w:val="20"/>
          <w:szCs w:val="20"/>
          <w:vertAlign w:val="superscript"/>
        </w:rPr>
        <w:footnoteReference w:id="115"/>
      </w:r>
      <w:r w:rsidRPr="003E02BA">
        <w:rPr>
          <w:rFonts w:ascii="Verdana" w:hAnsi="Verdana"/>
          <w:sz w:val="20"/>
          <w:szCs w:val="20"/>
        </w:rPr>
        <w:t>. Posteriormente, el señor Saulo Daniel Ruíz</w:t>
      </w:r>
      <w:r w:rsidR="00213433" w:rsidRPr="003E02BA">
        <w:rPr>
          <w:rStyle w:val="Refdenotaalpie"/>
          <w:rFonts w:ascii="Verdana" w:hAnsi="Verdana"/>
          <w:sz w:val="20"/>
          <w:szCs w:val="20"/>
        </w:rPr>
        <w:footnoteReference w:id="116"/>
      </w:r>
      <w:r w:rsidRPr="003E02BA">
        <w:rPr>
          <w:rFonts w:ascii="Verdana" w:hAnsi="Verdana"/>
          <w:sz w:val="20"/>
          <w:szCs w:val="20"/>
        </w:rPr>
        <w:t xml:space="preserve"> reconoció el cadáver y señaló que este le pertenecía al señor Valenzuela, tal como consta en el informe del Investigador JPM. Igualmente fue reconocido por la señora </w:t>
      </w:r>
      <w:r w:rsidRPr="00A17F10">
        <w:rPr>
          <w:rFonts w:ascii="Verdana" w:hAnsi="Verdana"/>
          <w:sz w:val="20"/>
          <w:szCs w:val="20"/>
        </w:rPr>
        <w:t>Florinda López de López</w:t>
      </w:r>
      <w:r w:rsidRPr="003E02BA">
        <w:rPr>
          <w:rFonts w:ascii="Verdana" w:hAnsi="Verdana"/>
          <w:sz w:val="20"/>
          <w:szCs w:val="20"/>
        </w:rPr>
        <w:t>, quien también confirm</w:t>
      </w:r>
      <w:r w:rsidR="00912266" w:rsidRPr="003E02BA">
        <w:rPr>
          <w:rFonts w:ascii="Verdana" w:hAnsi="Verdana"/>
          <w:sz w:val="20"/>
          <w:szCs w:val="20"/>
        </w:rPr>
        <w:t>ó</w:t>
      </w:r>
      <w:r w:rsidRPr="003E02BA">
        <w:rPr>
          <w:rFonts w:ascii="Verdana" w:hAnsi="Verdana"/>
          <w:sz w:val="20"/>
          <w:szCs w:val="20"/>
        </w:rPr>
        <w:t xml:space="preserve"> que este cadáver era del señor Valenzuela</w:t>
      </w:r>
      <w:r w:rsidR="00912266" w:rsidRPr="003E02BA">
        <w:rPr>
          <w:rStyle w:val="Refdenotaalpie"/>
          <w:rFonts w:ascii="Verdana" w:hAnsi="Verdana"/>
          <w:sz w:val="20"/>
          <w:szCs w:val="20"/>
        </w:rPr>
        <w:footnoteReference w:id="117"/>
      </w:r>
      <w:r w:rsidRPr="003E02BA">
        <w:rPr>
          <w:rFonts w:ascii="Verdana" w:hAnsi="Verdana"/>
          <w:sz w:val="20"/>
          <w:szCs w:val="20"/>
        </w:rPr>
        <w:t>. Ademá</w:t>
      </w:r>
      <w:r w:rsidR="0049621D">
        <w:rPr>
          <w:rFonts w:ascii="Verdana" w:hAnsi="Verdana"/>
          <w:sz w:val="20"/>
          <w:szCs w:val="20"/>
        </w:rPr>
        <w:t xml:space="preserve">s de ello, </w:t>
      </w:r>
      <w:r w:rsidRPr="003E02BA">
        <w:rPr>
          <w:rFonts w:ascii="Verdana" w:hAnsi="Verdana"/>
          <w:sz w:val="20"/>
          <w:szCs w:val="20"/>
        </w:rPr>
        <w:t>el 26 de diciembre de 2006 se realizó un estudio de huellas dactilares que dio como resultado la identificación del señor Valenzuela</w:t>
      </w:r>
      <w:r w:rsidRPr="003E02BA">
        <w:rPr>
          <w:rStyle w:val="Refdenotaalpie"/>
          <w:rFonts w:ascii="Verdana" w:hAnsi="Verdana"/>
          <w:sz w:val="20"/>
          <w:szCs w:val="20"/>
          <w:lang w:val="es-AR"/>
        </w:rPr>
        <w:footnoteReference w:id="118"/>
      </w:r>
      <w:r w:rsidRPr="003E02BA">
        <w:rPr>
          <w:rFonts w:ascii="Verdana" w:hAnsi="Verdana"/>
          <w:sz w:val="20"/>
          <w:szCs w:val="20"/>
        </w:rPr>
        <w:t xml:space="preserve">. Sin embargo, el 21 de junio del 2007 se emitió la certificación de defunción que indicaba que el cadáver </w:t>
      </w:r>
      <w:r w:rsidRPr="003E02BA">
        <w:rPr>
          <w:rFonts w:ascii="Verdana" w:hAnsi="Verdana"/>
          <w:sz w:val="20"/>
          <w:szCs w:val="20"/>
          <w:lang w:val="es-AR"/>
        </w:rPr>
        <w:t>“pertenece a ‘hombre desconocido’”</w:t>
      </w:r>
      <w:r w:rsidRPr="003E02BA">
        <w:rPr>
          <w:rStyle w:val="Refdenotaalpie"/>
          <w:rFonts w:ascii="Verdana" w:hAnsi="Verdana"/>
          <w:sz w:val="20"/>
          <w:szCs w:val="20"/>
          <w:lang w:val="es-AR"/>
        </w:rPr>
        <w:t xml:space="preserve"> </w:t>
      </w:r>
      <w:r w:rsidR="00213433" w:rsidRPr="003E02BA">
        <w:rPr>
          <w:rFonts w:ascii="Verdana" w:hAnsi="Verdana"/>
          <w:sz w:val="20"/>
          <w:szCs w:val="20"/>
          <w:lang w:val="es-AR"/>
        </w:rPr>
        <w:t xml:space="preserve"> </w:t>
      </w:r>
      <w:r w:rsidRPr="003E02BA">
        <w:rPr>
          <w:rFonts w:ascii="Verdana" w:hAnsi="Verdana"/>
          <w:sz w:val="20"/>
          <w:szCs w:val="20"/>
        </w:rPr>
        <w:t>y fue hasta el 16 de noviembre de 2007 que se recti</w:t>
      </w:r>
      <w:r w:rsidR="007B0254" w:rsidRPr="003E02BA">
        <w:rPr>
          <w:rFonts w:ascii="Verdana" w:hAnsi="Verdana"/>
          <w:sz w:val="20"/>
          <w:szCs w:val="20"/>
        </w:rPr>
        <w:t xml:space="preserve">ficó la partida de defunción y </w:t>
      </w:r>
      <w:r w:rsidRPr="003E02BA">
        <w:rPr>
          <w:rFonts w:ascii="Verdana" w:hAnsi="Verdana"/>
          <w:sz w:val="20"/>
          <w:szCs w:val="20"/>
          <w:lang w:val="es-AR"/>
        </w:rPr>
        <w:t>el 1</w:t>
      </w:r>
      <w:r w:rsidR="00F24F2B">
        <w:rPr>
          <w:rFonts w:ascii="Verdana" w:hAnsi="Verdana"/>
          <w:sz w:val="20"/>
          <w:szCs w:val="20"/>
          <w:lang w:val="es-AR"/>
        </w:rPr>
        <w:t>8</w:t>
      </w:r>
      <w:r w:rsidRPr="003E02BA">
        <w:rPr>
          <w:rFonts w:ascii="Verdana" w:hAnsi="Verdana"/>
          <w:sz w:val="20"/>
          <w:szCs w:val="20"/>
          <w:lang w:val="es-AR"/>
        </w:rPr>
        <w:t xml:space="preserve"> de septiembre de 2007 la Fiscalía solicitó rectificar la partida de defunción toda vez que se había logrado identificar a la persona de Tirso Román Valenzuela Ávila como el fallecido</w:t>
      </w:r>
      <w:r w:rsidRPr="003E02BA">
        <w:rPr>
          <w:rStyle w:val="Refdenotaalpie"/>
          <w:rFonts w:ascii="Verdana" w:hAnsi="Verdana"/>
          <w:sz w:val="20"/>
          <w:szCs w:val="20"/>
          <w:lang w:val="es-AR"/>
        </w:rPr>
        <w:footnoteReference w:id="119"/>
      </w:r>
      <w:r w:rsidRPr="003E02BA">
        <w:rPr>
          <w:rFonts w:ascii="Verdana" w:hAnsi="Verdana"/>
          <w:sz w:val="20"/>
          <w:szCs w:val="20"/>
          <w:lang w:val="es-AR"/>
        </w:rPr>
        <w:t xml:space="preserve">, motivo por el cual el </w:t>
      </w:r>
      <w:r w:rsidRPr="005A2F43">
        <w:rPr>
          <w:rFonts w:ascii="Verdana" w:hAnsi="Verdana"/>
          <w:sz w:val="20"/>
          <w:szCs w:val="20"/>
          <w:lang w:val="es-AR"/>
        </w:rPr>
        <w:t>16</w:t>
      </w:r>
      <w:r w:rsidRPr="00D36319">
        <w:rPr>
          <w:rFonts w:ascii="Verdana" w:hAnsi="Verdana"/>
          <w:sz w:val="20"/>
          <w:szCs w:val="20"/>
          <w:lang w:val="es-AR"/>
        </w:rPr>
        <w:t xml:space="preserve"> de noviembre de 2007 se consignó el nombre de Tirso Román Valenzuela en esta Partida de Defunción</w:t>
      </w:r>
      <w:r w:rsidR="007B0254">
        <w:rPr>
          <w:rFonts w:ascii="Verdana" w:hAnsi="Verdana"/>
          <w:sz w:val="20"/>
          <w:szCs w:val="20"/>
          <w:lang w:val="es-AR"/>
        </w:rPr>
        <w:t xml:space="preserve"> </w:t>
      </w:r>
      <w:r w:rsidR="007B0254" w:rsidRPr="00D36319">
        <w:rPr>
          <w:rFonts w:ascii="Verdana" w:hAnsi="Verdana"/>
          <w:sz w:val="20"/>
          <w:szCs w:val="20"/>
          <w:lang w:val="es-AR"/>
        </w:rPr>
        <w:t>(</w:t>
      </w:r>
      <w:r w:rsidR="007B0254" w:rsidRPr="00D36319">
        <w:rPr>
          <w:rFonts w:ascii="Verdana" w:hAnsi="Verdana"/>
          <w:i/>
          <w:sz w:val="20"/>
          <w:szCs w:val="20"/>
          <w:lang w:val="es-AR"/>
        </w:rPr>
        <w:t>supra</w:t>
      </w:r>
      <w:r w:rsidR="007B0254" w:rsidRPr="00D36319">
        <w:rPr>
          <w:rFonts w:ascii="Verdana" w:hAnsi="Verdana"/>
          <w:sz w:val="20"/>
          <w:szCs w:val="20"/>
          <w:lang w:val="es-AR"/>
        </w:rPr>
        <w:t xml:space="preserve"> párr. </w:t>
      </w:r>
      <w:r w:rsidR="001C0947">
        <w:rPr>
          <w:rFonts w:ascii="Verdana" w:hAnsi="Verdana"/>
          <w:sz w:val="20"/>
          <w:szCs w:val="20"/>
          <w:lang w:val="es-AR"/>
        </w:rPr>
        <w:t>99</w:t>
      </w:r>
      <w:r w:rsidR="007B0254" w:rsidRPr="00D36319">
        <w:rPr>
          <w:rFonts w:ascii="Verdana" w:hAnsi="Verdana"/>
          <w:sz w:val="20"/>
          <w:szCs w:val="20"/>
          <w:lang w:val="es-AR"/>
        </w:rPr>
        <w:t>)</w:t>
      </w:r>
      <w:r w:rsidRPr="00D36319">
        <w:rPr>
          <w:rFonts w:ascii="Verdana" w:hAnsi="Verdana"/>
          <w:sz w:val="20"/>
          <w:szCs w:val="20"/>
          <w:lang w:val="es-AR"/>
        </w:rPr>
        <w:t>.</w:t>
      </w:r>
    </w:p>
    <w:p w14:paraId="019B5FD2" w14:textId="77777777" w:rsidR="00D36319" w:rsidRDefault="00D36319" w:rsidP="00D36319">
      <w:pPr>
        <w:pStyle w:val="Prrafodelista"/>
        <w:autoSpaceDE w:val="0"/>
        <w:autoSpaceDN w:val="0"/>
        <w:adjustRightInd w:val="0"/>
        <w:spacing w:after="0" w:line="240" w:lineRule="auto"/>
        <w:ind w:left="0"/>
        <w:jc w:val="both"/>
        <w:rPr>
          <w:rFonts w:ascii="Verdana" w:hAnsi="Verdana"/>
          <w:sz w:val="20"/>
          <w:szCs w:val="20"/>
          <w:lang w:val="es-CR"/>
        </w:rPr>
      </w:pPr>
    </w:p>
    <w:p w14:paraId="40B79D9C" w14:textId="4B2DF0D3" w:rsidR="00D36319" w:rsidRDefault="00EC417E" w:rsidP="00D36319">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D36319">
        <w:rPr>
          <w:rFonts w:ascii="Verdana" w:hAnsi="Verdana"/>
          <w:sz w:val="20"/>
          <w:szCs w:val="20"/>
          <w:lang w:val="es-CR"/>
        </w:rPr>
        <w:t xml:space="preserve">Además, a este Tribunal llama </w:t>
      </w:r>
      <w:r w:rsidR="0049621D">
        <w:rPr>
          <w:rFonts w:ascii="Verdana" w:hAnsi="Verdana"/>
          <w:sz w:val="20"/>
          <w:szCs w:val="20"/>
          <w:lang w:val="es-CR"/>
        </w:rPr>
        <w:t>la atención que no se utilizaron</w:t>
      </w:r>
      <w:r w:rsidRPr="00D36319">
        <w:rPr>
          <w:rFonts w:ascii="Verdana" w:hAnsi="Verdana"/>
          <w:sz w:val="20"/>
          <w:szCs w:val="20"/>
          <w:lang w:val="es-CR"/>
        </w:rPr>
        <w:t xml:space="preserve"> los protocolos de investigación vigentes en este momento, </w:t>
      </w:r>
      <w:r w:rsidR="00BD2F36" w:rsidRPr="0097244E">
        <w:rPr>
          <w:rFonts w:ascii="Verdana" w:hAnsi="Verdana"/>
          <w:sz w:val="20"/>
          <w:szCs w:val="20"/>
          <w:lang w:val="es-CR"/>
        </w:rPr>
        <w:t>cuya implementación era</w:t>
      </w:r>
      <w:r w:rsidRPr="00D36319">
        <w:rPr>
          <w:rFonts w:ascii="Verdana" w:hAnsi="Verdana"/>
          <w:sz w:val="20"/>
          <w:szCs w:val="20"/>
          <w:lang w:val="es-CR"/>
        </w:rPr>
        <w:t xml:space="preserve"> necesar</w:t>
      </w:r>
      <w:r w:rsidR="00BD2F36">
        <w:rPr>
          <w:rFonts w:ascii="Verdana" w:hAnsi="Verdana"/>
          <w:sz w:val="20"/>
          <w:szCs w:val="20"/>
          <w:lang w:val="es-CR"/>
        </w:rPr>
        <w:t xml:space="preserve">ia </w:t>
      </w:r>
      <w:r w:rsidRPr="00D36319">
        <w:rPr>
          <w:rFonts w:ascii="Verdana" w:hAnsi="Verdana"/>
          <w:sz w:val="20"/>
          <w:szCs w:val="20"/>
          <w:lang w:val="es-CR"/>
        </w:rPr>
        <w:t>para recoger todas las evidencias e indicios que permit</w:t>
      </w:r>
      <w:r w:rsidR="00BD2F36">
        <w:rPr>
          <w:rFonts w:ascii="Verdana" w:hAnsi="Verdana"/>
          <w:sz w:val="20"/>
          <w:szCs w:val="20"/>
          <w:lang w:val="es-CR"/>
        </w:rPr>
        <w:t>ieran</w:t>
      </w:r>
      <w:r w:rsidRPr="00D36319">
        <w:rPr>
          <w:rFonts w:ascii="Verdana" w:hAnsi="Verdana"/>
          <w:sz w:val="20"/>
          <w:szCs w:val="20"/>
          <w:lang w:val="es-CR"/>
        </w:rPr>
        <w:t xml:space="preserve"> esclarecer la escena del crimen</w:t>
      </w:r>
      <w:r w:rsidR="00BD2F36">
        <w:rPr>
          <w:rFonts w:ascii="Verdana" w:hAnsi="Verdana"/>
          <w:sz w:val="20"/>
          <w:szCs w:val="20"/>
          <w:lang w:val="es-CR"/>
        </w:rPr>
        <w:t>.</w:t>
      </w:r>
      <w:r w:rsidRPr="00D36319">
        <w:rPr>
          <w:rFonts w:ascii="Verdana" w:hAnsi="Verdana"/>
          <w:sz w:val="20"/>
          <w:szCs w:val="20"/>
          <w:lang w:val="es-CR"/>
        </w:rPr>
        <w:t xml:space="preserve"> </w:t>
      </w:r>
      <w:r w:rsidR="0049621D">
        <w:rPr>
          <w:rFonts w:ascii="Verdana" w:hAnsi="Verdana"/>
          <w:sz w:val="20"/>
          <w:szCs w:val="20"/>
          <w:lang w:val="es-CR"/>
        </w:rPr>
        <w:t>Lo anterior, t</w:t>
      </w:r>
      <w:r w:rsidRPr="00D36319">
        <w:rPr>
          <w:rFonts w:ascii="Verdana" w:hAnsi="Verdana"/>
          <w:sz w:val="20"/>
          <w:szCs w:val="20"/>
          <w:lang w:val="es-CR"/>
        </w:rPr>
        <w:t>oda vez</w:t>
      </w:r>
      <w:r w:rsidR="004F068D">
        <w:rPr>
          <w:rFonts w:ascii="Verdana" w:hAnsi="Verdana"/>
          <w:sz w:val="20"/>
          <w:szCs w:val="20"/>
          <w:lang w:val="es-CR"/>
        </w:rPr>
        <w:t xml:space="preserve"> que</w:t>
      </w:r>
      <w:r w:rsidRPr="00D36319">
        <w:rPr>
          <w:rFonts w:ascii="Verdana" w:hAnsi="Verdana"/>
          <w:sz w:val="20"/>
          <w:szCs w:val="20"/>
          <w:lang w:val="es-CR"/>
        </w:rPr>
        <w:t xml:space="preserve"> </w:t>
      </w:r>
      <w:r w:rsidR="00BD2F36">
        <w:rPr>
          <w:rFonts w:ascii="Verdana" w:hAnsi="Verdana"/>
          <w:sz w:val="20"/>
          <w:szCs w:val="20"/>
          <w:lang w:val="es-CR"/>
        </w:rPr>
        <w:t xml:space="preserve">dichos </w:t>
      </w:r>
      <w:r w:rsidRPr="00D36319">
        <w:rPr>
          <w:rFonts w:ascii="Verdana" w:hAnsi="Verdana"/>
          <w:sz w:val="20"/>
          <w:szCs w:val="20"/>
          <w:lang w:val="es-CR"/>
        </w:rPr>
        <w:t xml:space="preserve">elementos </w:t>
      </w:r>
      <w:r w:rsidR="00BD2F36">
        <w:rPr>
          <w:rFonts w:ascii="Verdana" w:hAnsi="Verdana"/>
          <w:sz w:val="20"/>
          <w:szCs w:val="20"/>
          <w:lang w:val="es-CR"/>
        </w:rPr>
        <w:t>tiene</w:t>
      </w:r>
      <w:r w:rsidR="005D1038">
        <w:rPr>
          <w:rFonts w:ascii="Verdana" w:hAnsi="Verdana"/>
          <w:sz w:val="20"/>
          <w:szCs w:val="20"/>
          <w:lang w:val="es-CR"/>
        </w:rPr>
        <w:t>n</w:t>
      </w:r>
      <w:r w:rsidR="00BD2F36">
        <w:rPr>
          <w:rFonts w:ascii="Verdana" w:hAnsi="Verdana"/>
          <w:sz w:val="20"/>
          <w:szCs w:val="20"/>
          <w:lang w:val="es-CR"/>
        </w:rPr>
        <w:t xml:space="preserve"> el </w:t>
      </w:r>
      <w:r w:rsidRPr="00D36319">
        <w:rPr>
          <w:rFonts w:ascii="Verdana" w:hAnsi="Verdana"/>
          <w:sz w:val="20"/>
          <w:szCs w:val="20"/>
          <w:lang w:val="es-CR"/>
        </w:rPr>
        <w:t xml:space="preserve">carácter </w:t>
      </w:r>
      <w:r w:rsidR="00BD2F36">
        <w:rPr>
          <w:rFonts w:ascii="Verdana" w:hAnsi="Verdana"/>
          <w:sz w:val="20"/>
          <w:szCs w:val="20"/>
          <w:lang w:val="es-CR"/>
        </w:rPr>
        <w:t xml:space="preserve">de </w:t>
      </w:r>
      <w:r w:rsidRPr="00D36319">
        <w:rPr>
          <w:rFonts w:ascii="Verdana" w:hAnsi="Verdana"/>
          <w:sz w:val="20"/>
          <w:szCs w:val="20"/>
          <w:lang w:val="es-CR"/>
        </w:rPr>
        <w:t>irrepetibles</w:t>
      </w:r>
      <w:r w:rsidR="00BD2F36">
        <w:rPr>
          <w:rFonts w:ascii="Verdana" w:hAnsi="Verdana"/>
          <w:sz w:val="20"/>
          <w:szCs w:val="20"/>
          <w:lang w:val="es-CR"/>
        </w:rPr>
        <w:t xml:space="preserve">, </w:t>
      </w:r>
      <w:r w:rsidRPr="00D36319">
        <w:rPr>
          <w:rFonts w:ascii="Verdana" w:hAnsi="Verdana"/>
          <w:sz w:val="20"/>
          <w:szCs w:val="20"/>
          <w:lang w:val="es-CR"/>
        </w:rPr>
        <w:t xml:space="preserve">por </w:t>
      </w:r>
      <w:r w:rsidR="00BD2F36">
        <w:rPr>
          <w:rFonts w:ascii="Verdana" w:hAnsi="Verdana"/>
          <w:sz w:val="20"/>
          <w:szCs w:val="20"/>
          <w:lang w:val="es-CR"/>
        </w:rPr>
        <w:t xml:space="preserve">lo </w:t>
      </w:r>
      <w:r w:rsidR="00BD2F36" w:rsidRPr="0097244E">
        <w:rPr>
          <w:rFonts w:ascii="Verdana" w:hAnsi="Verdana"/>
          <w:sz w:val="20"/>
          <w:szCs w:val="20"/>
          <w:lang w:val="es-CR"/>
        </w:rPr>
        <w:t xml:space="preserve">cual </w:t>
      </w:r>
      <w:r w:rsidRPr="0097244E">
        <w:rPr>
          <w:rFonts w:ascii="Verdana" w:hAnsi="Verdana"/>
          <w:sz w:val="20"/>
          <w:szCs w:val="20"/>
          <w:lang w:val="es-CR"/>
        </w:rPr>
        <w:t>deb</w:t>
      </w:r>
      <w:r w:rsidR="00BD2F36" w:rsidRPr="0097244E">
        <w:rPr>
          <w:rFonts w:ascii="Verdana" w:hAnsi="Verdana"/>
          <w:sz w:val="20"/>
          <w:szCs w:val="20"/>
          <w:lang w:val="es-CR"/>
        </w:rPr>
        <w:t>ieron</w:t>
      </w:r>
      <w:r w:rsidRPr="0097244E">
        <w:rPr>
          <w:rFonts w:ascii="Verdana" w:hAnsi="Verdana"/>
          <w:sz w:val="20"/>
          <w:szCs w:val="20"/>
          <w:lang w:val="es-CR"/>
        </w:rPr>
        <w:t xml:space="preserve"> procesarse con el mayor cuidado posible, más aún cuando esta serie de elementos pud</w:t>
      </w:r>
      <w:r w:rsidR="00BD2F36" w:rsidRPr="0097244E">
        <w:rPr>
          <w:rFonts w:ascii="Verdana" w:hAnsi="Verdana"/>
          <w:sz w:val="20"/>
          <w:szCs w:val="20"/>
          <w:lang w:val="es-CR"/>
        </w:rPr>
        <w:t>ieron</w:t>
      </w:r>
      <w:r w:rsidRPr="0097244E">
        <w:rPr>
          <w:rFonts w:ascii="Verdana" w:hAnsi="Verdana"/>
          <w:sz w:val="20"/>
          <w:szCs w:val="20"/>
          <w:lang w:val="es-CR"/>
        </w:rPr>
        <w:t xml:space="preserve"> coadyuvar a determinar </w:t>
      </w:r>
      <w:r w:rsidR="00851E6D" w:rsidRPr="0097244E">
        <w:rPr>
          <w:rFonts w:ascii="Verdana" w:hAnsi="Verdana"/>
          <w:sz w:val="20"/>
          <w:szCs w:val="20"/>
          <w:lang w:val="es-CR"/>
        </w:rPr>
        <w:t xml:space="preserve">si se trataba de una </w:t>
      </w:r>
      <w:r w:rsidRPr="0097244E">
        <w:rPr>
          <w:rFonts w:ascii="Verdana" w:hAnsi="Verdana"/>
          <w:sz w:val="20"/>
          <w:szCs w:val="20"/>
          <w:lang w:val="es-CR"/>
        </w:rPr>
        <w:t xml:space="preserve">ejecución extrajudicial. </w:t>
      </w:r>
      <w:r w:rsidR="00BD2F36" w:rsidRPr="0097244E">
        <w:rPr>
          <w:rFonts w:ascii="Verdana" w:hAnsi="Verdana"/>
          <w:sz w:val="20"/>
          <w:szCs w:val="20"/>
          <w:lang w:val="es-CR"/>
        </w:rPr>
        <w:t>En ese s</w:t>
      </w:r>
      <w:r w:rsidR="00F71B19">
        <w:rPr>
          <w:rFonts w:ascii="Verdana" w:hAnsi="Verdana"/>
          <w:sz w:val="20"/>
          <w:szCs w:val="20"/>
          <w:lang w:val="es-CR"/>
        </w:rPr>
        <w:t xml:space="preserve">entido, resulta evidente que la </w:t>
      </w:r>
      <w:r w:rsidRPr="0097244E">
        <w:rPr>
          <w:rFonts w:ascii="Verdana" w:hAnsi="Verdana"/>
          <w:sz w:val="20"/>
          <w:szCs w:val="20"/>
          <w:lang w:val="es-CR"/>
        </w:rPr>
        <w:t xml:space="preserve">protección, preservación y acordonamiento de la escena del crimen fue deficiente, </w:t>
      </w:r>
      <w:r w:rsidR="005D1038" w:rsidRPr="0097244E">
        <w:rPr>
          <w:rFonts w:ascii="Verdana" w:hAnsi="Verdana"/>
          <w:sz w:val="20"/>
          <w:szCs w:val="20"/>
          <w:lang w:val="es-CR"/>
        </w:rPr>
        <w:t xml:space="preserve">que </w:t>
      </w:r>
      <w:r w:rsidRPr="0097244E">
        <w:rPr>
          <w:rFonts w:ascii="Verdana" w:hAnsi="Verdana"/>
          <w:sz w:val="20"/>
          <w:szCs w:val="20"/>
          <w:lang w:val="es-CR"/>
        </w:rPr>
        <w:t xml:space="preserve">de las actuaciones </w:t>
      </w:r>
      <w:r w:rsidR="004F068D" w:rsidRPr="0097244E">
        <w:rPr>
          <w:rFonts w:ascii="Verdana" w:hAnsi="Verdana"/>
          <w:sz w:val="20"/>
          <w:szCs w:val="20"/>
          <w:lang w:val="es-CR"/>
        </w:rPr>
        <w:t xml:space="preserve">realizadas </w:t>
      </w:r>
      <w:r w:rsidRPr="0097244E">
        <w:rPr>
          <w:rFonts w:ascii="Verdana" w:hAnsi="Verdana"/>
          <w:sz w:val="20"/>
          <w:szCs w:val="20"/>
          <w:lang w:val="es-CR"/>
        </w:rPr>
        <w:t>no se desprende</w:t>
      </w:r>
      <w:r w:rsidR="00BD2F36" w:rsidRPr="0097244E">
        <w:rPr>
          <w:rFonts w:ascii="Verdana" w:hAnsi="Verdana"/>
          <w:sz w:val="20"/>
          <w:szCs w:val="20"/>
          <w:lang w:val="es-CR"/>
        </w:rPr>
        <w:t>n</w:t>
      </w:r>
      <w:r w:rsidRPr="0097244E">
        <w:rPr>
          <w:rFonts w:ascii="Verdana" w:hAnsi="Verdana"/>
          <w:sz w:val="20"/>
          <w:szCs w:val="20"/>
          <w:lang w:val="es-CR"/>
        </w:rPr>
        <w:t xml:space="preserve"> mayores detalles sobre la reconstrucción de los hechos</w:t>
      </w:r>
      <w:r w:rsidRPr="00D36319">
        <w:rPr>
          <w:rFonts w:ascii="Verdana" w:hAnsi="Verdana"/>
          <w:sz w:val="20"/>
          <w:szCs w:val="20"/>
          <w:lang w:val="es-CR"/>
        </w:rPr>
        <w:t xml:space="preserve">, ni documentos que hagan constar la forma en que se pudo haber efectuado el hecho criminal, </w:t>
      </w:r>
      <w:r w:rsidR="00BD2F36">
        <w:rPr>
          <w:rFonts w:ascii="Verdana" w:hAnsi="Verdana"/>
          <w:sz w:val="20"/>
          <w:szCs w:val="20"/>
          <w:lang w:val="es-CR"/>
        </w:rPr>
        <w:t xml:space="preserve">ni </w:t>
      </w:r>
      <w:r w:rsidR="004F068D">
        <w:rPr>
          <w:rFonts w:ascii="Verdana" w:hAnsi="Verdana"/>
          <w:sz w:val="20"/>
          <w:szCs w:val="20"/>
          <w:lang w:val="es-CR"/>
        </w:rPr>
        <w:t xml:space="preserve">hay </w:t>
      </w:r>
      <w:r w:rsidRPr="00D36319">
        <w:rPr>
          <w:rFonts w:ascii="Verdana" w:hAnsi="Verdana"/>
          <w:sz w:val="20"/>
          <w:szCs w:val="20"/>
          <w:lang w:val="es-CR"/>
        </w:rPr>
        <w:t>material fotográfico</w:t>
      </w:r>
      <w:r w:rsidR="004F068D">
        <w:rPr>
          <w:rFonts w:ascii="Verdana" w:hAnsi="Verdana"/>
          <w:sz w:val="20"/>
          <w:szCs w:val="20"/>
          <w:lang w:val="es-CR"/>
        </w:rPr>
        <w:t xml:space="preserve"> sobre la escena del crimen</w:t>
      </w:r>
      <w:r>
        <w:rPr>
          <w:rStyle w:val="Refdenotaalpie"/>
          <w:rFonts w:ascii="Verdana" w:hAnsi="Verdana"/>
          <w:sz w:val="20"/>
          <w:szCs w:val="20"/>
          <w:lang w:val="es-CR"/>
        </w:rPr>
        <w:footnoteReference w:id="120"/>
      </w:r>
      <w:r w:rsidRPr="00D36319">
        <w:rPr>
          <w:rFonts w:ascii="Verdana" w:hAnsi="Verdana"/>
          <w:sz w:val="20"/>
          <w:szCs w:val="20"/>
          <w:lang w:val="es-CR"/>
        </w:rPr>
        <w:t>.</w:t>
      </w:r>
    </w:p>
    <w:p w14:paraId="5F263B7C" w14:textId="77777777" w:rsidR="00D36319" w:rsidRPr="00D36319" w:rsidRDefault="00D36319" w:rsidP="00D36319">
      <w:pPr>
        <w:pStyle w:val="Prrafodelista"/>
        <w:rPr>
          <w:rFonts w:ascii="Verdana" w:hAnsi="Verdana"/>
          <w:sz w:val="20"/>
          <w:szCs w:val="20"/>
        </w:rPr>
      </w:pPr>
    </w:p>
    <w:p w14:paraId="58C4FEA1" w14:textId="77777777" w:rsidR="00D36319" w:rsidRDefault="00EC417E" w:rsidP="00D36319">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D36319">
        <w:rPr>
          <w:rFonts w:ascii="Verdana" w:hAnsi="Verdana"/>
          <w:sz w:val="20"/>
          <w:szCs w:val="20"/>
        </w:rPr>
        <w:lastRenderedPageBreak/>
        <w:t xml:space="preserve">Respecto, a las aseveraciones efectuadas por la Comisión y los representantes en lo relativo a la participación de agentes estatales en los hechos, pese a que el Estado lo ha controvertido, no lo ha desvirtuado mediante una investigación seria y diligente. Por ello resulta necesario que el Estado tome en cuenta dichas actuaciones en lo pertinente para el esclarecimiento de la muerte del señor Valenzuela en la investigación que cursa en la jurisdicción interna. </w:t>
      </w:r>
    </w:p>
    <w:p w14:paraId="186946A0" w14:textId="77777777" w:rsidR="00D36319" w:rsidRPr="00D36319" w:rsidRDefault="00D36319" w:rsidP="00D36319">
      <w:pPr>
        <w:pStyle w:val="Prrafodelista"/>
        <w:rPr>
          <w:rFonts w:ascii="Verdana" w:hAnsi="Verdana"/>
          <w:sz w:val="20"/>
          <w:szCs w:val="20"/>
          <w:lang w:val="es-CR"/>
        </w:rPr>
      </w:pPr>
    </w:p>
    <w:p w14:paraId="19C71D54" w14:textId="0BCA88D4" w:rsidR="00D36319" w:rsidRDefault="00EC417E" w:rsidP="00D36319">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D36319">
        <w:rPr>
          <w:rFonts w:ascii="Verdana" w:hAnsi="Verdana"/>
          <w:sz w:val="20"/>
          <w:szCs w:val="20"/>
          <w:lang w:val="es-CR"/>
        </w:rPr>
        <w:t>La Corte considera que las omisiones ocurridas en la investigación del presente caso ha</w:t>
      </w:r>
      <w:r w:rsidR="00AC12BC">
        <w:rPr>
          <w:rFonts w:ascii="Verdana" w:hAnsi="Verdana"/>
          <w:sz w:val="20"/>
          <w:szCs w:val="20"/>
          <w:lang w:val="es-CR"/>
        </w:rPr>
        <w:t>n</w:t>
      </w:r>
      <w:r w:rsidR="00DB5E71">
        <w:rPr>
          <w:rFonts w:ascii="Verdana" w:hAnsi="Verdana"/>
          <w:sz w:val="20"/>
          <w:szCs w:val="20"/>
          <w:lang w:val="es-CR"/>
        </w:rPr>
        <w:t xml:space="preserve"> impedido </w:t>
      </w:r>
      <w:r w:rsidRPr="00D36319">
        <w:rPr>
          <w:rFonts w:ascii="Verdana" w:hAnsi="Verdana"/>
          <w:sz w:val="20"/>
          <w:szCs w:val="20"/>
          <w:lang w:val="es-CR"/>
        </w:rPr>
        <w:t xml:space="preserve">esclarecer los hechos </w:t>
      </w:r>
      <w:r w:rsidR="004F068D">
        <w:rPr>
          <w:rFonts w:ascii="Verdana" w:hAnsi="Verdana"/>
          <w:sz w:val="20"/>
          <w:szCs w:val="20"/>
          <w:lang w:val="es-CR"/>
        </w:rPr>
        <w:t>e</w:t>
      </w:r>
      <w:r w:rsidR="00DB5E71">
        <w:rPr>
          <w:rFonts w:ascii="Verdana" w:hAnsi="Verdana"/>
          <w:sz w:val="20"/>
          <w:szCs w:val="20"/>
          <w:lang w:val="es-CR"/>
        </w:rPr>
        <w:t xml:space="preserve"> investi</w:t>
      </w:r>
      <w:r w:rsidR="00F71B19">
        <w:rPr>
          <w:rFonts w:ascii="Verdana" w:hAnsi="Verdana"/>
          <w:sz w:val="20"/>
          <w:szCs w:val="20"/>
          <w:lang w:val="es-CR"/>
        </w:rPr>
        <w:t>gar de manera diligente, juzgar</w:t>
      </w:r>
      <w:r w:rsidR="00DB5E71">
        <w:rPr>
          <w:rFonts w:ascii="Verdana" w:hAnsi="Verdana"/>
          <w:sz w:val="20"/>
          <w:szCs w:val="20"/>
          <w:lang w:val="es-CR"/>
        </w:rPr>
        <w:t xml:space="preserve"> y</w:t>
      </w:r>
      <w:r w:rsidR="00F71B19">
        <w:rPr>
          <w:rFonts w:ascii="Verdana" w:hAnsi="Verdana"/>
          <w:sz w:val="20"/>
          <w:szCs w:val="20"/>
          <w:lang w:val="es-CR"/>
        </w:rPr>
        <w:t>,</w:t>
      </w:r>
      <w:r w:rsidR="00DB5E71">
        <w:rPr>
          <w:rFonts w:ascii="Verdana" w:hAnsi="Verdana"/>
          <w:sz w:val="20"/>
          <w:szCs w:val="20"/>
          <w:lang w:val="es-CR"/>
        </w:rPr>
        <w:t xml:space="preserve"> en su caso, sancionar</w:t>
      </w:r>
      <w:r w:rsidRPr="00D36319">
        <w:rPr>
          <w:rFonts w:ascii="Verdana" w:hAnsi="Verdana"/>
          <w:sz w:val="20"/>
          <w:szCs w:val="20"/>
          <w:lang w:val="es-CR"/>
        </w:rPr>
        <w:t xml:space="preserve"> a los posibles responsables de los hechos, pese a que han transcurrido cerca de 13 años desde </w:t>
      </w:r>
      <w:r w:rsidR="00AC12BC">
        <w:rPr>
          <w:rFonts w:ascii="Verdana" w:hAnsi="Verdana"/>
          <w:sz w:val="20"/>
          <w:szCs w:val="20"/>
          <w:lang w:val="es-CR"/>
        </w:rPr>
        <w:t xml:space="preserve">el </w:t>
      </w:r>
      <w:r w:rsidRPr="00D36319">
        <w:rPr>
          <w:rFonts w:ascii="Verdana" w:hAnsi="Verdana"/>
          <w:sz w:val="20"/>
          <w:szCs w:val="20"/>
          <w:lang w:val="es-CR"/>
        </w:rPr>
        <w:t>inicio de la investigación.</w:t>
      </w:r>
    </w:p>
    <w:p w14:paraId="06BCD1A5" w14:textId="77777777" w:rsidR="00D36319" w:rsidRPr="00D36319" w:rsidRDefault="00D36319" w:rsidP="00D36319">
      <w:pPr>
        <w:pStyle w:val="Prrafodelista"/>
        <w:rPr>
          <w:rFonts w:ascii="Verdana" w:hAnsi="Verdana"/>
          <w:sz w:val="20"/>
          <w:szCs w:val="20"/>
          <w:lang w:val="es-CR"/>
        </w:rPr>
      </w:pPr>
    </w:p>
    <w:p w14:paraId="10B026EA" w14:textId="42A993F4" w:rsidR="00D36319" w:rsidRDefault="00EC417E" w:rsidP="00B65A50">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273376">
        <w:rPr>
          <w:rFonts w:ascii="Verdana" w:hAnsi="Verdana"/>
          <w:sz w:val="20"/>
          <w:szCs w:val="20"/>
          <w:lang w:val="es-CR"/>
        </w:rPr>
        <w:t xml:space="preserve">Sobre este punto este </w:t>
      </w:r>
      <w:r w:rsidRPr="00273376">
        <w:rPr>
          <w:rFonts w:ascii="Verdana" w:hAnsi="Verdana"/>
          <w:sz w:val="20"/>
          <w:szCs w:val="20"/>
        </w:rPr>
        <w:t xml:space="preserve">Tribunal ha considerado que una demora prolongada puede llegar a constituir, por sí misma, una violación a las garantías </w:t>
      </w:r>
      <w:r w:rsidR="000C77EB">
        <w:rPr>
          <w:rFonts w:ascii="Verdana" w:hAnsi="Verdana"/>
          <w:sz w:val="20"/>
          <w:szCs w:val="20"/>
        </w:rPr>
        <w:t>judiciales. En el presente caso</w:t>
      </w:r>
      <w:r w:rsidRPr="00D36319">
        <w:rPr>
          <w:rFonts w:ascii="Verdana" w:hAnsi="Verdana"/>
          <w:sz w:val="20"/>
          <w:szCs w:val="20"/>
          <w:lang w:val="es-CR"/>
        </w:rPr>
        <w:t>, dado el tiempo transcurrido, no resulta necesario efectuar un análisis exhaustivo</w:t>
      </w:r>
      <w:r w:rsidR="00B65A50">
        <w:rPr>
          <w:rFonts w:ascii="Verdana" w:hAnsi="Verdana"/>
          <w:sz w:val="20"/>
          <w:szCs w:val="20"/>
          <w:lang w:val="es-CR"/>
        </w:rPr>
        <w:t xml:space="preserve"> al respecto</w:t>
      </w:r>
      <w:r w:rsidRPr="005A3F15">
        <w:rPr>
          <w:vertAlign w:val="superscript"/>
          <w:lang w:val="es-CR"/>
        </w:rPr>
        <w:footnoteReference w:id="121"/>
      </w:r>
      <w:r w:rsidRPr="00D36319">
        <w:rPr>
          <w:rFonts w:ascii="Verdana" w:hAnsi="Verdana"/>
          <w:sz w:val="20"/>
          <w:szCs w:val="20"/>
          <w:lang w:val="es-CR"/>
        </w:rPr>
        <w:t>. Por lo tanto, la Corte concluye que el Estado no realizó una investigación diligente que permita en un plazo razonable, avanzar en la determinación de los hechos y en su caso, de las consecuencias legales correspondientes. Es así, que el Estado está obligado a combatir esta situación de impunidad por todos los medios legales disponibles, ya que esto propicia la repetición crónica de las violaciones de derechos humanos y la indefensión de</w:t>
      </w:r>
      <w:r w:rsidR="00D37112">
        <w:rPr>
          <w:rFonts w:ascii="Verdana" w:hAnsi="Verdana"/>
          <w:sz w:val="20"/>
          <w:szCs w:val="20"/>
          <w:lang w:val="es-CR"/>
        </w:rPr>
        <w:t xml:space="preserve"> las</w:t>
      </w:r>
      <w:r w:rsidRPr="00D36319">
        <w:rPr>
          <w:rFonts w:ascii="Verdana" w:hAnsi="Verdana"/>
          <w:sz w:val="20"/>
          <w:szCs w:val="20"/>
          <w:lang w:val="es-CR"/>
        </w:rPr>
        <w:t xml:space="preserve"> víctimas</w:t>
      </w:r>
      <w:r w:rsidRPr="007F2D91">
        <w:rPr>
          <w:rFonts w:ascii="Verdana" w:hAnsi="Verdana"/>
          <w:sz w:val="20"/>
          <w:szCs w:val="20"/>
          <w:vertAlign w:val="superscript"/>
          <w:lang w:val="es-CR"/>
        </w:rPr>
        <w:footnoteReference w:id="122"/>
      </w:r>
      <w:r w:rsidRPr="00D36319">
        <w:rPr>
          <w:rFonts w:ascii="Verdana" w:hAnsi="Verdana"/>
          <w:sz w:val="20"/>
          <w:szCs w:val="20"/>
          <w:lang w:val="es-CR"/>
        </w:rPr>
        <w:t xml:space="preserve">. </w:t>
      </w:r>
    </w:p>
    <w:p w14:paraId="50D19D6C" w14:textId="77777777" w:rsidR="00D36319" w:rsidRPr="00D36319" w:rsidRDefault="00D36319" w:rsidP="00D36319">
      <w:pPr>
        <w:pStyle w:val="Prrafodelista"/>
        <w:rPr>
          <w:rFonts w:ascii="Verdana" w:hAnsi="Verdana"/>
          <w:sz w:val="20"/>
          <w:szCs w:val="20"/>
        </w:rPr>
      </w:pPr>
    </w:p>
    <w:p w14:paraId="14911DD7" w14:textId="2ADE47D6" w:rsidR="00D36319" w:rsidRPr="00DC128C" w:rsidRDefault="00EC417E" w:rsidP="00DC128C">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D36319">
        <w:rPr>
          <w:rFonts w:ascii="Verdana" w:hAnsi="Verdana"/>
          <w:sz w:val="20"/>
          <w:szCs w:val="20"/>
        </w:rPr>
        <w:t>Con base en lo expuesto, la Corte concluye que el Estado no actuó con diligencia</w:t>
      </w:r>
      <w:r w:rsidR="00F71B19">
        <w:rPr>
          <w:rFonts w:ascii="Verdana" w:hAnsi="Verdana"/>
          <w:sz w:val="20"/>
          <w:szCs w:val="20"/>
        </w:rPr>
        <w:t xml:space="preserve"> debida para investigar, juzgar</w:t>
      </w:r>
      <w:r w:rsidRPr="00D36319">
        <w:rPr>
          <w:rFonts w:ascii="Verdana" w:hAnsi="Verdana"/>
          <w:sz w:val="20"/>
          <w:szCs w:val="20"/>
        </w:rPr>
        <w:t xml:space="preserve"> y</w:t>
      </w:r>
      <w:r w:rsidR="00F71B19">
        <w:rPr>
          <w:rFonts w:ascii="Verdana" w:hAnsi="Verdana"/>
          <w:sz w:val="20"/>
          <w:szCs w:val="20"/>
        </w:rPr>
        <w:t>,</w:t>
      </w:r>
      <w:r w:rsidRPr="00D36319">
        <w:rPr>
          <w:rFonts w:ascii="Verdana" w:hAnsi="Verdana"/>
          <w:sz w:val="20"/>
          <w:szCs w:val="20"/>
        </w:rPr>
        <w:t xml:space="preserve"> en su caso, sancionar a los posibles responsables de la muerte del señor Valenzuela dentro de un plazo razonable, lo que mantiene en impunidad el presente caso. En consecuencia, este Tribunal considera que el Estado es responsable de la violación de las garantías judiciales consagradas en el </w:t>
      </w:r>
      <w:r w:rsidRPr="000E33CE">
        <w:rPr>
          <w:rFonts w:ascii="Verdana" w:hAnsi="Verdana"/>
          <w:sz w:val="20"/>
          <w:szCs w:val="20"/>
        </w:rPr>
        <w:t>artículo 8.1</w:t>
      </w:r>
      <w:r w:rsidR="00DE54E5" w:rsidRPr="000E33CE">
        <w:rPr>
          <w:rFonts w:ascii="Verdana" w:hAnsi="Verdana"/>
          <w:sz w:val="20"/>
          <w:szCs w:val="20"/>
        </w:rPr>
        <w:t xml:space="preserve"> y 25.1</w:t>
      </w:r>
      <w:r w:rsidR="0010367F" w:rsidRPr="000E33CE">
        <w:rPr>
          <w:rFonts w:ascii="Verdana" w:hAnsi="Verdana"/>
          <w:sz w:val="20"/>
          <w:szCs w:val="20"/>
        </w:rPr>
        <w:t xml:space="preserve"> </w:t>
      </w:r>
      <w:r w:rsidRPr="00D36319">
        <w:rPr>
          <w:rFonts w:ascii="Verdana" w:hAnsi="Verdana"/>
          <w:sz w:val="20"/>
          <w:szCs w:val="20"/>
        </w:rPr>
        <w:t>de la Convención Americana, en relación con el artículo 1.1 del mismo tratado, en perjuicio de Tirso Román Valenzuela Ávila.</w:t>
      </w:r>
      <w:r w:rsidR="00D36319" w:rsidRPr="00D36319">
        <w:rPr>
          <w:rFonts w:ascii="Verdana" w:hAnsi="Verdana"/>
          <w:sz w:val="20"/>
          <w:szCs w:val="20"/>
        </w:rPr>
        <w:t xml:space="preserve"> </w:t>
      </w:r>
    </w:p>
    <w:p w14:paraId="1E328046" w14:textId="77777777" w:rsidR="00DC128C" w:rsidRPr="00DC128C" w:rsidRDefault="00DC128C" w:rsidP="00DC128C">
      <w:pPr>
        <w:pStyle w:val="Prrafodelista"/>
        <w:autoSpaceDE w:val="0"/>
        <w:autoSpaceDN w:val="0"/>
        <w:adjustRightInd w:val="0"/>
        <w:spacing w:after="0" w:line="240" w:lineRule="auto"/>
        <w:ind w:left="0"/>
        <w:jc w:val="both"/>
        <w:rPr>
          <w:rFonts w:ascii="Verdana" w:hAnsi="Verdana"/>
          <w:sz w:val="20"/>
          <w:szCs w:val="20"/>
          <w:lang w:val="es-CR"/>
        </w:rPr>
      </w:pPr>
    </w:p>
    <w:p w14:paraId="126FB5A1" w14:textId="77777777" w:rsidR="00D36319" w:rsidRPr="002D7487" w:rsidRDefault="00D36319" w:rsidP="00D36319">
      <w:pPr>
        <w:pStyle w:val="Ttulo5"/>
        <w:numPr>
          <w:ilvl w:val="0"/>
          <w:numId w:val="15"/>
        </w:numPr>
        <w:rPr>
          <w:u w:val="none"/>
        </w:rPr>
      </w:pPr>
      <w:r w:rsidRPr="002D7487">
        <w:rPr>
          <w:u w:val="none"/>
        </w:rPr>
        <w:t>Falta d</w:t>
      </w:r>
      <w:r>
        <w:rPr>
          <w:u w:val="none"/>
        </w:rPr>
        <w:t>e investigación de la tortura a</w:t>
      </w:r>
      <w:r w:rsidRPr="002D7487">
        <w:rPr>
          <w:u w:val="none"/>
        </w:rPr>
        <w:t>l señor Valenzuela</w:t>
      </w:r>
    </w:p>
    <w:p w14:paraId="62979DCE" w14:textId="77777777" w:rsidR="00D36319" w:rsidRPr="00D36319" w:rsidRDefault="00D36319" w:rsidP="00D36319">
      <w:pPr>
        <w:pStyle w:val="Prrafodelista"/>
        <w:rPr>
          <w:rFonts w:ascii="Verdana" w:hAnsi="Verdana"/>
          <w:sz w:val="20"/>
          <w:szCs w:val="20"/>
          <w:lang w:val="es-CR"/>
        </w:rPr>
      </w:pPr>
    </w:p>
    <w:p w14:paraId="6D8DCA24" w14:textId="77777777" w:rsidR="00EC417E" w:rsidRDefault="00D36319" w:rsidP="00B11896">
      <w:pPr>
        <w:pStyle w:val="Prrafodelista"/>
        <w:numPr>
          <w:ilvl w:val="3"/>
          <w:numId w:val="1"/>
        </w:numPr>
        <w:autoSpaceDE w:val="0"/>
        <w:autoSpaceDN w:val="0"/>
        <w:adjustRightInd w:val="0"/>
        <w:spacing w:after="0" w:line="240" w:lineRule="auto"/>
        <w:ind w:left="0" w:firstLine="0"/>
        <w:jc w:val="both"/>
        <w:rPr>
          <w:rFonts w:ascii="Verdana" w:hAnsi="Verdana"/>
          <w:sz w:val="20"/>
          <w:szCs w:val="20"/>
        </w:rPr>
      </w:pPr>
      <w:r w:rsidRPr="0060326C">
        <w:rPr>
          <w:rFonts w:ascii="Verdana" w:hAnsi="Verdana"/>
          <w:sz w:val="20"/>
          <w:szCs w:val="20"/>
        </w:rPr>
        <w:t>Tal como se resolvió en el apartado sobre el reconocimiento parcial de responsabilidad efectuado por el Estado</w:t>
      </w:r>
      <w:r w:rsidR="00D37112">
        <w:rPr>
          <w:rFonts w:ascii="Verdana" w:hAnsi="Verdana"/>
          <w:sz w:val="20"/>
          <w:szCs w:val="20"/>
        </w:rPr>
        <w:t>,</w:t>
      </w:r>
      <w:r w:rsidRPr="0060326C">
        <w:rPr>
          <w:rFonts w:ascii="Verdana" w:hAnsi="Verdana"/>
          <w:sz w:val="20"/>
          <w:szCs w:val="20"/>
        </w:rPr>
        <w:t xml:space="preserve"> cesó la controversia respecto a la falta de investigar las torturas sufridas por el señor Valenzuela. En consecuencia, la Corte estima que el Estado violó las </w:t>
      </w:r>
      <w:proofErr w:type="gramStart"/>
      <w:r w:rsidRPr="0060326C">
        <w:rPr>
          <w:rFonts w:ascii="Verdana" w:hAnsi="Verdana"/>
          <w:sz w:val="20"/>
          <w:szCs w:val="20"/>
        </w:rPr>
        <w:t>garantías judiciales y la protección judicial</w:t>
      </w:r>
      <w:proofErr w:type="gramEnd"/>
      <w:r w:rsidRPr="0060326C">
        <w:rPr>
          <w:rFonts w:ascii="Verdana" w:hAnsi="Verdana"/>
          <w:sz w:val="20"/>
          <w:szCs w:val="20"/>
        </w:rPr>
        <w:t xml:space="preserve"> consagrados en los artículos 8.1 y 25.1 de la Convención Americana, en relación con los artículos 1, 6 y 8 de la Convención Interamericana para Prevenir y Sancionar la Tortura, en perjuicio del señor Tirso Román Valenzuela Ávila.</w:t>
      </w:r>
      <w:r w:rsidR="00B95CAE" w:rsidRPr="0060326C">
        <w:rPr>
          <w:rFonts w:ascii="Verdana" w:hAnsi="Verdana"/>
          <w:sz w:val="20"/>
          <w:szCs w:val="20"/>
        </w:rPr>
        <w:t xml:space="preserve"> </w:t>
      </w:r>
    </w:p>
    <w:p w14:paraId="7390ACE7" w14:textId="77777777" w:rsidR="00785A5C" w:rsidRPr="0060326C" w:rsidRDefault="00785A5C" w:rsidP="0060326C">
      <w:pPr>
        <w:pStyle w:val="Prrafodelista"/>
        <w:autoSpaceDE w:val="0"/>
        <w:autoSpaceDN w:val="0"/>
        <w:adjustRightInd w:val="0"/>
        <w:spacing w:after="0" w:line="240" w:lineRule="auto"/>
        <w:ind w:left="0"/>
        <w:jc w:val="both"/>
        <w:rPr>
          <w:rFonts w:ascii="Verdana" w:hAnsi="Verdana"/>
          <w:sz w:val="20"/>
          <w:szCs w:val="20"/>
        </w:rPr>
      </w:pPr>
    </w:p>
    <w:p w14:paraId="1046146E" w14:textId="77777777" w:rsidR="00DC128C" w:rsidRPr="007F2D91" w:rsidRDefault="00DC128C" w:rsidP="00DC128C">
      <w:pPr>
        <w:pStyle w:val="Ttulo2"/>
        <w:spacing w:before="0"/>
        <w:rPr>
          <w:rFonts w:eastAsiaTheme="minorHAnsi"/>
        </w:rPr>
      </w:pPr>
      <w:bookmarkStart w:id="50" w:name="_Toc25247764"/>
      <w:r w:rsidRPr="007F2D91">
        <w:rPr>
          <w:rFonts w:eastAsiaTheme="minorHAnsi"/>
        </w:rPr>
        <w:t>C. Conclusión</w:t>
      </w:r>
      <w:bookmarkEnd w:id="50"/>
    </w:p>
    <w:p w14:paraId="6B8A72D6" w14:textId="77777777" w:rsidR="00DC128C" w:rsidRPr="00DC128C" w:rsidRDefault="00DC128C" w:rsidP="00DC128C">
      <w:pPr>
        <w:pStyle w:val="Prrafodelista"/>
        <w:autoSpaceDE w:val="0"/>
        <w:autoSpaceDN w:val="0"/>
        <w:adjustRightInd w:val="0"/>
        <w:spacing w:after="0" w:line="240" w:lineRule="auto"/>
        <w:ind w:left="0"/>
        <w:jc w:val="both"/>
        <w:rPr>
          <w:rFonts w:ascii="Verdana" w:hAnsi="Verdana"/>
          <w:sz w:val="20"/>
          <w:szCs w:val="20"/>
        </w:rPr>
      </w:pPr>
    </w:p>
    <w:p w14:paraId="39646265" w14:textId="0ACCF1F2" w:rsidR="00DC128C" w:rsidRPr="00DC128C" w:rsidRDefault="00EC417E" w:rsidP="00DC128C">
      <w:pPr>
        <w:pStyle w:val="Prrafodelista"/>
        <w:numPr>
          <w:ilvl w:val="3"/>
          <w:numId w:val="1"/>
        </w:numPr>
        <w:autoSpaceDE w:val="0"/>
        <w:autoSpaceDN w:val="0"/>
        <w:adjustRightInd w:val="0"/>
        <w:spacing w:after="0" w:line="240" w:lineRule="auto"/>
        <w:ind w:left="0" w:firstLine="0"/>
        <w:jc w:val="both"/>
        <w:rPr>
          <w:rFonts w:ascii="Verdana" w:hAnsi="Verdana"/>
          <w:sz w:val="18"/>
          <w:szCs w:val="20"/>
          <w:lang w:val="es-CR"/>
        </w:rPr>
      </w:pPr>
      <w:r w:rsidRPr="007F2D91">
        <w:rPr>
          <w:rFonts w:ascii="Verdana" w:hAnsi="Verdana"/>
          <w:sz w:val="20"/>
          <w:szCs w:val="20"/>
        </w:rPr>
        <w:t xml:space="preserve">De lo expuesto, la Corte considera que las </w:t>
      </w:r>
      <w:r w:rsidRPr="00902B12">
        <w:rPr>
          <w:rFonts w:ascii="Verdana" w:hAnsi="Verdana"/>
          <w:sz w:val="20"/>
          <w:szCs w:val="20"/>
        </w:rPr>
        <w:t xml:space="preserve">garantías judiciales no fueron observadas en el proceso penal seguido en contra del señor Valenzuela, toda vez que este proceso culminó con una sentencia condenatoria de pena de muerte, donde se </w:t>
      </w:r>
      <w:r w:rsidR="0049621D">
        <w:rPr>
          <w:rFonts w:ascii="Verdana" w:hAnsi="Verdana"/>
          <w:sz w:val="20"/>
          <w:szCs w:val="20"/>
        </w:rPr>
        <w:t xml:space="preserve">afectaron </w:t>
      </w:r>
      <w:r w:rsidRPr="00902B12">
        <w:rPr>
          <w:rFonts w:ascii="Verdana" w:hAnsi="Verdana"/>
          <w:sz w:val="20"/>
          <w:szCs w:val="20"/>
        </w:rPr>
        <w:t>sus</w:t>
      </w:r>
      <w:r w:rsidRPr="007F2D91">
        <w:rPr>
          <w:rFonts w:ascii="Verdana" w:hAnsi="Verdana"/>
          <w:sz w:val="20"/>
          <w:szCs w:val="20"/>
        </w:rPr>
        <w:t xml:space="preserve"> derechos al debido proceso</w:t>
      </w:r>
      <w:r w:rsidR="00415575">
        <w:rPr>
          <w:rFonts w:ascii="Verdana" w:hAnsi="Verdana"/>
          <w:sz w:val="20"/>
          <w:szCs w:val="20"/>
        </w:rPr>
        <w:t>,</w:t>
      </w:r>
      <w:r w:rsidRPr="007F2D91">
        <w:rPr>
          <w:rFonts w:ascii="Verdana" w:hAnsi="Verdana"/>
          <w:sz w:val="20"/>
          <w:szCs w:val="20"/>
        </w:rPr>
        <w:t xml:space="preserve"> por lo que el Estado es responsable de la violación de los derechos de presunción de </w:t>
      </w:r>
      <w:r w:rsidRPr="007F2D91">
        <w:rPr>
          <w:rFonts w:ascii="Verdana" w:hAnsi="Verdana"/>
          <w:sz w:val="20"/>
          <w:szCs w:val="20"/>
        </w:rPr>
        <w:lastRenderedPageBreak/>
        <w:t>inocencia,</w:t>
      </w:r>
      <w:r>
        <w:rPr>
          <w:rFonts w:ascii="Verdana" w:hAnsi="Verdana"/>
          <w:sz w:val="20"/>
          <w:szCs w:val="20"/>
        </w:rPr>
        <w:t xml:space="preserve"> y</w:t>
      </w:r>
      <w:r w:rsidRPr="007F2D91">
        <w:rPr>
          <w:rFonts w:ascii="Verdana" w:hAnsi="Verdana"/>
          <w:sz w:val="20"/>
          <w:szCs w:val="20"/>
        </w:rPr>
        <w:t xml:space="preserve"> de no declarar contra sí mismo,</w:t>
      </w:r>
      <w:r>
        <w:rPr>
          <w:rFonts w:ascii="Verdana" w:hAnsi="Verdana"/>
          <w:sz w:val="20"/>
          <w:szCs w:val="20"/>
        </w:rPr>
        <w:t xml:space="preserve"> y el derecho de recurrir el fallo,</w:t>
      </w:r>
      <w:r w:rsidRPr="007F2D91">
        <w:rPr>
          <w:rFonts w:ascii="Verdana" w:hAnsi="Verdana"/>
          <w:sz w:val="20"/>
          <w:szCs w:val="20"/>
        </w:rPr>
        <w:t xml:space="preserve"> consagrad</w:t>
      </w:r>
      <w:r>
        <w:rPr>
          <w:rFonts w:ascii="Verdana" w:hAnsi="Verdana"/>
          <w:sz w:val="20"/>
          <w:szCs w:val="20"/>
        </w:rPr>
        <w:t>os en los artículos 8.2, 8.2.g) y</w:t>
      </w:r>
      <w:r w:rsidRPr="007F2D91">
        <w:rPr>
          <w:rFonts w:ascii="Verdana" w:hAnsi="Verdana"/>
          <w:sz w:val="20"/>
          <w:szCs w:val="20"/>
        </w:rPr>
        <w:t xml:space="preserve"> </w:t>
      </w:r>
      <w:r w:rsidRPr="002A1142">
        <w:rPr>
          <w:rFonts w:ascii="Verdana" w:hAnsi="Verdana"/>
          <w:sz w:val="20"/>
          <w:szCs w:val="20"/>
        </w:rPr>
        <w:t>8.2.h)</w:t>
      </w:r>
      <w:r w:rsidRPr="007F2D91">
        <w:rPr>
          <w:rFonts w:ascii="Verdana" w:hAnsi="Verdana"/>
          <w:sz w:val="20"/>
          <w:szCs w:val="20"/>
        </w:rPr>
        <w:t xml:space="preserve"> de la Convención Americana, en</w:t>
      </w:r>
      <w:r>
        <w:rPr>
          <w:rFonts w:ascii="Verdana" w:hAnsi="Verdana"/>
          <w:sz w:val="20"/>
          <w:szCs w:val="20"/>
        </w:rPr>
        <w:t xml:space="preserve"> relación a</w:t>
      </w:r>
      <w:r w:rsidR="00DE54E5">
        <w:rPr>
          <w:rFonts w:ascii="Verdana" w:hAnsi="Verdana"/>
          <w:sz w:val="20"/>
          <w:szCs w:val="20"/>
        </w:rPr>
        <w:t>l</w:t>
      </w:r>
      <w:r>
        <w:rPr>
          <w:rFonts w:ascii="Verdana" w:hAnsi="Verdana"/>
          <w:sz w:val="20"/>
          <w:szCs w:val="20"/>
        </w:rPr>
        <w:t xml:space="preserve"> artículo 1.</w:t>
      </w:r>
      <w:r w:rsidRPr="00E44EA7">
        <w:rPr>
          <w:rFonts w:ascii="Verdana" w:hAnsi="Verdana"/>
          <w:sz w:val="20"/>
          <w:szCs w:val="20"/>
        </w:rPr>
        <w:t>1</w:t>
      </w:r>
      <w:r>
        <w:rPr>
          <w:rFonts w:ascii="Verdana" w:hAnsi="Verdana"/>
          <w:sz w:val="20"/>
          <w:szCs w:val="20"/>
        </w:rPr>
        <w:t xml:space="preserve"> </w:t>
      </w:r>
      <w:r w:rsidRPr="00E44EA7">
        <w:rPr>
          <w:rFonts w:ascii="Verdana" w:hAnsi="Verdana"/>
          <w:sz w:val="20"/>
          <w:szCs w:val="20"/>
        </w:rPr>
        <w:t>de</w:t>
      </w:r>
      <w:r w:rsidRPr="007F2D91">
        <w:rPr>
          <w:rFonts w:ascii="Verdana" w:hAnsi="Verdana"/>
          <w:sz w:val="20"/>
          <w:szCs w:val="20"/>
        </w:rPr>
        <w:t xml:space="preserve"> la Convención, en perjuicio del señor Tirso Román Valenzuela Ávila.</w:t>
      </w:r>
    </w:p>
    <w:p w14:paraId="5B1F90D6" w14:textId="77777777" w:rsidR="00DC128C" w:rsidRDefault="00DC128C" w:rsidP="00DC128C">
      <w:pPr>
        <w:pStyle w:val="Prrafodelista"/>
        <w:autoSpaceDE w:val="0"/>
        <w:autoSpaceDN w:val="0"/>
        <w:adjustRightInd w:val="0"/>
        <w:spacing w:after="0" w:line="240" w:lineRule="auto"/>
        <w:ind w:left="0"/>
        <w:jc w:val="both"/>
        <w:rPr>
          <w:rFonts w:ascii="Verdana" w:hAnsi="Verdana"/>
          <w:sz w:val="18"/>
          <w:szCs w:val="20"/>
          <w:lang w:val="es-CR"/>
        </w:rPr>
      </w:pPr>
    </w:p>
    <w:p w14:paraId="65043AE8" w14:textId="4EE822C2" w:rsidR="00DC128C" w:rsidRDefault="00EC417E" w:rsidP="00DC128C">
      <w:pPr>
        <w:pStyle w:val="Prrafodelista"/>
        <w:numPr>
          <w:ilvl w:val="3"/>
          <w:numId w:val="1"/>
        </w:numPr>
        <w:autoSpaceDE w:val="0"/>
        <w:autoSpaceDN w:val="0"/>
        <w:adjustRightInd w:val="0"/>
        <w:spacing w:after="0" w:line="240" w:lineRule="auto"/>
        <w:ind w:left="0" w:firstLine="0"/>
        <w:jc w:val="both"/>
        <w:rPr>
          <w:rFonts w:ascii="Verdana" w:hAnsi="Verdana"/>
          <w:sz w:val="18"/>
          <w:szCs w:val="20"/>
          <w:lang w:val="es-CR"/>
        </w:rPr>
      </w:pPr>
      <w:r w:rsidRPr="00DC128C">
        <w:rPr>
          <w:rFonts w:ascii="Verdana" w:hAnsi="Verdana"/>
          <w:sz w:val="20"/>
          <w:szCs w:val="20"/>
        </w:rPr>
        <w:t xml:space="preserve">Además, la Corte concluye que el Estado no actuó con diligencia debida </w:t>
      </w:r>
      <w:r w:rsidR="001F1591">
        <w:rPr>
          <w:rFonts w:ascii="Verdana" w:hAnsi="Verdana"/>
          <w:sz w:val="20"/>
          <w:szCs w:val="20"/>
        </w:rPr>
        <w:t xml:space="preserve">para investigar, juzgar </w:t>
      </w:r>
      <w:r w:rsidRPr="00DC128C">
        <w:rPr>
          <w:rFonts w:ascii="Verdana" w:hAnsi="Verdana"/>
          <w:sz w:val="20"/>
          <w:szCs w:val="20"/>
        </w:rPr>
        <w:t>y</w:t>
      </w:r>
      <w:r w:rsidR="001F1591">
        <w:rPr>
          <w:rFonts w:ascii="Verdana" w:hAnsi="Verdana"/>
          <w:sz w:val="20"/>
          <w:szCs w:val="20"/>
        </w:rPr>
        <w:t>,</w:t>
      </w:r>
      <w:r w:rsidRPr="00DC128C">
        <w:rPr>
          <w:rFonts w:ascii="Verdana" w:hAnsi="Verdana"/>
          <w:sz w:val="20"/>
          <w:szCs w:val="20"/>
        </w:rPr>
        <w:t xml:space="preserve"> en su caso, sancionar a los posibles responsables de </w:t>
      </w:r>
      <w:r w:rsidRPr="00B13A65">
        <w:rPr>
          <w:rFonts w:ascii="Verdana" w:hAnsi="Verdana"/>
          <w:sz w:val="20"/>
          <w:szCs w:val="20"/>
        </w:rPr>
        <w:t xml:space="preserve">la </w:t>
      </w:r>
      <w:r w:rsidR="00B13A65" w:rsidRPr="00B13A65">
        <w:rPr>
          <w:rFonts w:ascii="Verdana" w:hAnsi="Verdana"/>
          <w:sz w:val="20"/>
          <w:szCs w:val="20"/>
        </w:rPr>
        <w:t>muerte</w:t>
      </w:r>
      <w:r w:rsidRPr="00B13A65">
        <w:rPr>
          <w:rFonts w:ascii="Verdana" w:hAnsi="Verdana"/>
          <w:sz w:val="20"/>
          <w:szCs w:val="20"/>
        </w:rPr>
        <w:t xml:space="preserve"> del</w:t>
      </w:r>
      <w:r w:rsidRPr="00DC128C">
        <w:rPr>
          <w:rFonts w:ascii="Verdana" w:hAnsi="Verdana"/>
          <w:sz w:val="20"/>
          <w:szCs w:val="20"/>
        </w:rPr>
        <w:t xml:space="preserve"> señor Valenzuela dentro de un plazo razonable, lo que mantiene en impunidad el presente caso, por lo que el Estado es responsable de la violación de las garantías judiciales y la protección judicial, consagrados en los artículos 8.1 y 25.1 de la Convención Americana, en relación con el artículo 1.1 del mismo tratado, en perjuicio de Tirso Román Valenzuela Ávila.</w:t>
      </w:r>
    </w:p>
    <w:p w14:paraId="6E54B5F6" w14:textId="77777777" w:rsidR="00DC128C" w:rsidRPr="00DC128C" w:rsidRDefault="00DC128C" w:rsidP="00DC128C">
      <w:pPr>
        <w:pStyle w:val="Prrafodelista"/>
        <w:rPr>
          <w:rFonts w:ascii="Verdana" w:hAnsi="Verdana"/>
          <w:sz w:val="20"/>
          <w:szCs w:val="20"/>
        </w:rPr>
      </w:pPr>
    </w:p>
    <w:p w14:paraId="25676F0C" w14:textId="6300BD6F" w:rsidR="00B13A65" w:rsidRPr="00595B25" w:rsidRDefault="00EC417E" w:rsidP="005A2F43">
      <w:pPr>
        <w:pStyle w:val="Prrafodelista"/>
        <w:numPr>
          <w:ilvl w:val="3"/>
          <w:numId w:val="1"/>
        </w:numPr>
        <w:autoSpaceDE w:val="0"/>
        <w:autoSpaceDN w:val="0"/>
        <w:adjustRightInd w:val="0"/>
        <w:spacing w:after="0" w:line="240" w:lineRule="auto"/>
        <w:ind w:left="0" w:firstLine="0"/>
        <w:jc w:val="both"/>
        <w:rPr>
          <w:rFonts w:ascii="Verdana" w:hAnsi="Verdana"/>
          <w:sz w:val="18"/>
          <w:szCs w:val="20"/>
          <w:lang w:val="es-CR"/>
        </w:rPr>
      </w:pPr>
      <w:r w:rsidRPr="00DC128C">
        <w:rPr>
          <w:rFonts w:ascii="Verdana" w:hAnsi="Verdana"/>
          <w:sz w:val="20"/>
          <w:szCs w:val="20"/>
        </w:rPr>
        <w:t xml:space="preserve">Por último, la Corte estima que, de acuerdo con el reconocimiento parcial de responsabilidad efectuado por el Estado es responsable por la violación de las garantías judiciales y la protección judicial, consagrados en los artículos 8.1 y 25.1 de la Convención Americana, en relación con el artículo 1.1 de la Convención y en relación con los artículos </w:t>
      </w:r>
      <w:r w:rsidRPr="008E68BF">
        <w:rPr>
          <w:rFonts w:ascii="Verdana" w:hAnsi="Verdana"/>
          <w:sz w:val="20"/>
          <w:szCs w:val="20"/>
        </w:rPr>
        <w:t xml:space="preserve">1, 6 y 8 de la Convención Interamericana para Prevenir y Sancionar la Tortura, en perjuicio del señor Tirso Román Valenzuela Ávila, por la </w:t>
      </w:r>
      <w:r w:rsidR="0037016E" w:rsidRPr="008E68BF">
        <w:rPr>
          <w:rFonts w:ascii="Verdana" w:hAnsi="Verdana"/>
          <w:sz w:val="20"/>
          <w:szCs w:val="20"/>
        </w:rPr>
        <w:t xml:space="preserve">omisión </w:t>
      </w:r>
      <w:r w:rsidRPr="008E68BF">
        <w:rPr>
          <w:rFonts w:ascii="Verdana" w:hAnsi="Verdana"/>
          <w:sz w:val="20"/>
          <w:szCs w:val="20"/>
        </w:rPr>
        <w:t>de investigar l</w:t>
      </w:r>
      <w:r w:rsidR="00002FD4">
        <w:rPr>
          <w:rFonts w:ascii="Verdana" w:hAnsi="Verdana"/>
          <w:sz w:val="20"/>
          <w:szCs w:val="20"/>
        </w:rPr>
        <w:t>a</w:t>
      </w:r>
      <w:r w:rsidRPr="008E68BF">
        <w:rPr>
          <w:rFonts w:ascii="Verdana" w:hAnsi="Verdana"/>
          <w:sz w:val="20"/>
          <w:szCs w:val="20"/>
        </w:rPr>
        <w:t xml:space="preserve"> tortura </w:t>
      </w:r>
      <w:r w:rsidR="00002FD4">
        <w:rPr>
          <w:rFonts w:ascii="Verdana" w:hAnsi="Verdana"/>
          <w:sz w:val="20"/>
          <w:szCs w:val="20"/>
        </w:rPr>
        <w:t xml:space="preserve">que sufrió. </w:t>
      </w:r>
    </w:p>
    <w:p w14:paraId="6462959D" w14:textId="77777777" w:rsidR="00595B25" w:rsidRPr="00EC6A8A" w:rsidRDefault="00595B25" w:rsidP="00595B25">
      <w:pPr>
        <w:pStyle w:val="Prrafodelista"/>
        <w:autoSpaceDE w:val="0"/>
        <w:autoSpaceDN w:val="0"/>
        <w:adjustRightInd w:val="0"/>
        <w:spacing w:after="0" w:line="240" w:lineRule="auto"/>
        <w:ind w:left="0"/>
        <w:jc w:val="both"/>
        <w:rPr>
          <w:rFonts w:ascii="Verdana" w:hAnsi="Verdana"/>
          <w:sz w:val="18"/>
          <w:szCs w:val="20"/>
          <w:lang w:val="es-CR"/>
        </w:rPr>
      </w:pPr>
    </w:p>
    <w:p w14:paraId="463A5405" w14:textId="77777777" w:rsidR="00DC128C" w:rsidRPr="00703BB4" w:rsidRDefault="00DC128C" w:rsidP="00DC128C">
      <w:pPr>
        <w:pStyle w:val="Ttulo1"/>
        <w:spacing w:before="0"/>
        <w:ind w:left="567" w:right="616"/>
        <w:rPr>
          <w:szCs w:val="20"/>
        </w:rPr>
      </w:pPr>
      <w:bookmarkStart w:id="51" w:name="_Toc25247765"/>
      <w:r>
        <w:rPr>
          <w:lang w:val="es-CR"/>
        </w:rPr>
        <w:t xml:space="preserve">VIII-2 </w:t>
      </w:r>
      <w:r>
        <w:rPr>
          <w:lang w:val="es-CR"/>
        </w:rPr>
        <w:br/>
      </w:r>
      <w:r w:rsidRPr="00EC2F24">
        <w:t>DERECHO A LA VIDA Y PRINCIPIO DE LEGALIDAD Y</w:t>
      </w:r>
      <w:r>
        <w:t xml:space="preserve"> </w:t>
      </w:r>
      <w:r w:rsidRPr="00EC2F24">
        <w:t>DE RETROACTIVIDAD</w:t>
      </w:r>
      <w:r>
        <w:t xml:space="preserve">, </w:t>
      </w:r>
      <w:r w:rsidRPr="00377181">
        <w:t xml:space="preserve">CON MOTIVO DE LA APLICACIÓN DE LA PENA DE </w:t>
      </w:r>
      <w:r w:rsidRPr="00703BB4">
        <w:rPr>
          <w:szCs w:val="20"/>
        </w:rPr>
        <w:t>MUERTE AL SEÑOR VALENZUELA ÁVILA</w:t>
      </w:r>
      <w:r w:rsidR="00092AAF">
        <w:rPr>
          <w:rStyle w:val="Refdenotaalpie"/>
          <w:szCs w:val="20"/>
        </w:rPr>
        <w:footnoteReference w:id="123"/>
      </w:r>
      <w:bookmarkEnd w:id="51"/>
    </w:p>
    <w:p w14:paraId="46B62FCA" w14:textId="77777777" w:rsidR="00DC128C" w:rsidRPr="00D14CA7" w:rsidRDefault="00DC128C" w:rsidP="00DC128C">
      <w:pPr>
        <w:pStyle w:val="Ttulo2"/>
      </w:pPr>
      <w:bookmarkStart w:id="52" w:name="_Toc25247766"/>
      <w:r w:rsidRPr="00D14CA7">
        <w:t>A. Alegatos de la Comisión y las partes</w:t>
      </w:r>
      <w:bookmarkEnd w:id="52"/>
    </w:p>
    <w:p w14:paraId="759EF751" w14:textId="77777777" w:rsidR="00DC128C" w:rsidRPr="00DC128C" w:rsidRDefault="00DC128C" w:rsidP="00DC128C">
      <w:pPr>
        <w:pStyle w:val="Prrafodelista"/>
        <w:rPr>
          <w:rFonts w:ascii="Verdana" w:hAnsi="Verdana"/>
          <w:sz w:val="20"/>
          <w:szCs w:val="20"/>
          <w:lang w:val="es-CR"/>
        </w:rPr>
      </w:pPr>
    </w:p>
    <w:p w14:paraId="6E82E0F3" w14:textId="5DD58073" w:rsidR="00DC128C" w:rsidRPr="00DC128C" w:rsidRDefault="000E6FC3" w:rsidP="00DC128C">
      <w:pPr>
        <w:pStyle w:val="Prrafodelista"/>
        <w:numPr>
          <w:ilvl w:val="3"/>
          <w:numId w:val="1"/>
        </w:numPr>
        <w:autoSpaceDE w:val="0"/>
        <w:autoSpaceDN w:val="0"/>
        <w:adjustRightInd w:val="0"/>
        <w:spacing w:after="0" w:line="240" w:lineRule="auto"/>
        <w:ind w:left="0" w:firstLine="0"/>
        <w:jc w:val="both"/>
        <w:rPr>
          <w:rFonts w:ascii="Verdana" w:hAnsi="Verdana"/>
          <w:sz w:val="18"/>
          <w:szCs w:val="20"/>
          <w:lang w:val="es-CR"/>
        </w:rPr>
      </w:pPr>
      <w:r w:rsidRPr="00DC128C">
        <w:rPr>
          <w:rFonts w:ascii="Verdana" w:hAnsi="Verdana"/>
          <w:sz w:val="20"/>
          <w:szCs w:val="20"/>
          <w:lang w:val="es-CR"/>
        </w:rPr>
        <w:t>La</w:t>
      </w:r>
      <w:r w:rsidRPr="00DC128C">
        <w:rPr>
          <w:rFonts w:ascii="Verdana" w:hAnsi="Verdana"/>
          <w:b/>
          <w:sz w:val="20"/>
          <w:szCs w:val="20"/>
          <w:lang w:val="es-CR"/>
        </w:rPr>
        <w:t xml:space="preserve"> </w:t>
      </w:r>
      <w:r w:rsidRPr="00DC128C">
        <w:rPr>
          <w:rFonts w:ascii="Verdana" w:hAnsi="Verdana"/>
          <w:b/>
          <w:i/>
          <w:sz w:val="20"/>
          <w:szCs w:val="20"/>
          <w:lang w:val="es-CR"/>
        </w:rPr>
        <w:t>Comisión</w:t>
      </w:r>
      <w:r w:rsidRPr="00DC128C">
        <w:rPr>
          <w:rFonts w:ascii="Verdana" w:hAnsi="Verdana"/>
          <w:sz w:val="20"/>
          <w:szCs w:val="20"/>
          <w:lang w:val="es-CR"/>
        </w:rPr>
        <w:t xml:space="preserve"> concluyó que el artículo 132 del Código Penal es contrario a la Convención Americana, y afirmó que la autoridad judicial que impuso la pena de muerte hizo referencia a los “antecedentes personales desfavorables del culpable” para justificar la “peligrosidad social”, vulnerando de esta manera, a criterio de la Comisión, el derecho a la presunción de inocencia y el principio de legalidad y, en consecuencia, el derecho a la vida. Asimismo, señaló que la imposición de la pena de muerte en el marco de procesos que vulneren el debido proceso produce una violación del derecho a la vida, por tales motivos, la Comisión concluyó que el Estado violó los artículos 4.1, 4.2 y 9 de la Convención Americana, en relación con los artículos 1.1 y 2 del mismo instrumento.</w:t>
      </w:r>
      <w:r w:rsidR="00FE25BA" w:rsidRPr="00DC128C">
        <w:rPr>
          <w:rFonts w:ascii="Verdana" w:hAnsi="Verdana"/>
          <w:sz w:val="20"/>
          <w:szCs w:val="20"/>
          <w:lang w:val="es-CR"/>
        </w:rPr>
        <w:t xml:space="preserve"> </w:t>
      </w:r>
    </w:p>
    <w:p w14:paraId="2DFCB44D" w14:textId="77777777" w:rsidR="00DC128C" w:rsidRDefault="00DC128C" w:rsidP="00DC128C">
      <w:pPr>
        <w:pStyle w:val="Prrafodelista"/>
        <w:autoSpaceDE w:val="0"/>
        <w:autoSpaceDN w:val="0"/>
        <w:adjustRightInd w:val="0"/>
        <w:spacing w:after="0" w:line="240" w:lineRule="auto"/>
        <w:ind w:left="0"/>
        <w:jc w:val="both"/>
        <w:rPr>
          <w:rFonts w:ascii="Verdana" w:hAnsi="Verdana"/>
          <w:sz w:val="18"/>
          <w:szCs w:val="20"/>
          <w:lang w:val="es-CR"/>
        </w:rPr>
      </w:pPr>
    </w:p>
    <w:p w14:paraId="529DC8B6" w14:textId="3E841731" w:rsidR="00DC128C" w:rsidRPr="00DC128C" w:rsidRDefault="000E6FC3" w:rsidP="00DC128C">
      <w:pPr>
        <w:pStyle w:val="Prrafodelista"/>
        <w:numPr>
          <w:ilvl w:val="3"/>
          <w:numId w:val="1"/>
        </w:numPr>
        <w:autoSpaceDE w:val="0"/>
        <w:autoSpaceDN w:val="0"/>
        <w:adjustRightInd w:val="0"/>
        <w:spacing w:after="0" w:line="240" w:lineRule="auto"/>
        <w:ind w:left="0" w:firstLine="0"/>
        <w:jc w:val="both"/>
        <w:rPr>
          <w:rFonts w:ascii="Verdana" w:hAnsi="Verdana"/>
          <w:sz w:val="18"/>
          <w:szCs w:val="20"/>
          <w:lang w:val="es-CR"/>
        </w:rPr>
      </w:pPr>
      <w:r w:rsidRPr="00DC128C">
        <w:rPr>
          <w:rFonts w:ascii="Verdana" w:eastAsia="Calibri" w:hAnsi="Verdana" w:cs="Arial"/>
          <w:sz w:val="20"/>
          <w:szCs w:val="20"/>
        </w:rPr>
        <w:t xml:space="preserve">Los </w:t>
      </w:r>
      <w:r w:rsidRPr="00DC128C">
        <w:rPr>
          <w:rFonts w:ascii="Verdana" w:eastAsia="Calibri" w:hAnsi="Verdana" w:cs="Arial"/>
          <w:b/>
          <w:i/>
          <w:sz w:val="20"/>
          <w:szCs w:val="20"/>
        </w:rPr>
        <w:t>representantes</w:t>
      </w:r>
      <w:r w:rsidRPr="00DC128C">
        <w:rPr>
          <w:rFonts w:ascii="Verdana" w:eastAsia="Calibri" w:hAnsi="Verdana" w:cs="Arial"/>
          <w:b/>
          <w:sz w:val="20"/>
          <w:szCs w:val="20"/>
        </w:rPr>
        <w:t xml:space="preserve"> </w:t>
      </w:r>
      <w:r w:rsidRPr="00DC128C">
        <w:rPr>
          <w:rFonts w:ascii="Verdana" w:hAnsi="Verdana"/>
          <w:sz w:val="20"/>
          <w:szCs w:val="20"/>
          <w:lang w:val="es-CR"/>
        </w:rPr>
        <w:t xml:space="preserve">alegaron que el Estado condenó a pena de muerte al señor Tirso Román Valenzuela Ávila a través de una sentencia que se basó en una norma contraria a la Convención Americana, por ende, es responsable internacionalmente por la violación del derecho la vida y el principio de legalidad, establecidos en los artículos 4.1, 4.2 y 9 de la Convención, en relación al artículo 1.1 del mismo instrumento. </w:t>
      </w:r>
      <w:r w:rsidRPr="00DC128C">
        <w:rPr>
          <w:rFonts w:ascii="Verdana" w:eastAsia="Calibri" w:hAnsi="Verdana" w:cs="Arial"/>
          <w:sz w:val="20"/>
          <w:szCs w:val="20"/>
        </w:rPr>
        <w:t>Asimismo,</w:t>
      </w:r>
      <w:r w:rsidRPr="00DC128C">
        <w:rPr>
          <w:rFonts w:ascii="Verdana" w:eastAsia="Calibri" w:hAnsi="Verdana" w:cs="Arial"/>
          <w:b/>
          <w:sz w:val="20"/>
          <w:szCs w:val="20"/>
        </w:rPr>
        <w:t xml:space="preserve"> </w:t>
      </w:r>
      <w:r w:rsidRPr="00DC128C">
        <w:rPr>
          <w:rFonts w:ascii="Verdana" w:hAnsi="Verdana"/>
          <w:sz w:val="20"/>
          <w:szCs w:val="20"/>
          <w:lang w:val="es-CR"/>
        </w:rPr>
        <w:t>alegaron la vulneración del artículo 4.6 de la Convención por no garantizarse el acceso a un recurso efectivo para impugnar una sentencia arbitraria</w:t>
      </w:r>
      <w:r w:rsidR="0053737D" w:rsidRPr="00DC128C">
        <w:rPr>
          <w:rFonts w:ascii="Verdana" w:hAnsi="Verdana"/>
          <w:sz w:val="20"/>
          <w:szCs w:val="20"/>
          <w:lang w:val="es-CR"/>
        </w:rPr>
        <w:t>.</w:t>
      </w:r>
    </w:p>
    <w:p w14:paraId="0A29C6B0" w14:textId="77777777" w:rsidR="00DC128C" w:rsidRDefault="00DC128C" w:rsidP="00DC128C">
      <w:pPr>
        <w:pStyle w:val="Prrafodelista"/>
        <w:autoSpaceDE w:val="0"/>
        <w:autoSpaceDN w:val="0"/>
        <w:adjustRightInd w:val="0"/>
        <w:spacing w:after="0" w:line="240" w:lineRule="auto"/>
        <w:ind w:left="0"/>
        <w:jc w:val="both"/>
        <w:rPr>
          <w:rFonts w:ascii="Verdana" w:hAnsi="Verdana"/>
          <w:sz w:val="18"/>
          <w:szCs w:val="20"/>
          <w:lang w:val="es-CR"/>
        </w:rPr>
      </w:pPr>
    </w:p>
    <w:p w14:paraId="4F606518" w14:textId="5A1C7A18" w:rsidR="00DC128C" w:rsidRDefault="000E6FC3" w:rsidP="00DC128C">
      <w:pPr>
        <w:pStyle w:val="Prrafodelista"/>
        <w:numPr>
          <w:ilvl w:val="3"/>
          <w:numId w:val="1"/>
        </w:numPr>
        <w:autoSpaceDE w:val="0"/>
        <w:autoSpaceDN w:val="0"/>
        <w:adjustRightInd w:val="0"/>
        <w:spacing w:after="0" w:line="240" w:lineRule="auto"/>
        <w:ind w:left="0" w:firstLine="0"/>
        <w:jc w:val="both"/>
        <w:rPr>
          <w:rFonts w:ascii="Verdana" w:hAnsi="Verdana"/>
          <w:sz w:val="18"/>
          <w:szCs w:val="20"/>
          <w:lang w:val="es-CR"/>
        </w:rPr>
      </w:pPr>
      <w:r w:rsidRPr="00DC128C">
        <w:rPr>
          <w:rFonts w:ascii="Verdana" w:hAnsi="Verdana"/>
          <w:sz w:val="20"/>
          <w:szCs w:val="20"/>
          <w:lang w:val="es-CR"/>
        </w:rPr>
        <w:t xml:space="preserve">El </w:t>
      </w:r>
      <w:r w:rsidRPr="00DC128C">
        <w:rPr>
          <w:rFonts w:ascii="Verdana" w:hAnsi="Verdana"/>
          <w:b/>
          <w:i/>
          <w:sz w:val="20"/>
          <w:szCs w:val="20"/>
          <w:lang w:val="es-CR"/>
        </w:rPr>
        <w:t>Estado</w:t>
      </w:r>
      <w:r w:rsidRPr="00DC128C">
        <w:rPr>
          <w:rFonts w:ascii="Verdana" w:hAnsi="Verdana"/>
          <w:sz w:val="20"/>
          <w:szCs w:val="20"/>
          <w:lang w:val="es-CR"/>
        </w:rPr>
        <w:t xml:space="preserve"> considera que aplicar el criterio de la incompatibilidad de la peligrosidad con la Convención para declarar la responsabilidad internacional de Guatemala por haber condenado al señor Valenzuela a pena de muerte, es darle un uso retroactivo al contenido de la Convención, pues aunque ésta se encontraba vigente en Guatemala al momento de dictar la sentencia condenatoria de Valenzuela Ávila en 1999, el criterio jurisprudencial de la Corte que contrapone el principio de legalidad a la peligrosidad del agente aún no existía en ese entonces, por lo que sería una violación a la seguridad jurídica y al principio de legalidad en </w:t>
      </w:r>
      <w:r w:rsidRPr="00DC128C">
        <w:rPr>
          <w:rFonts w:ascii="Verdana" w:hAnsi="Verdana"/>
          <w:sz w:val="20"/>
          <w:szCs w:val="20"/>
          <w:lang w:val="es-CR"/>
        </w:rPr>
        <w:lastRenderedPageBreak/>
        <w:t xml:space="preserve">el Sistema Interamericano sancionar al Estado por ello. </w:t>
      </w:r>
      <w:r w:rsidR="00C66904" w:rsidRPr="00DC128C">
        <w:rPr>
          <w:rFonts w:ascii="Verdana" w:hAnsi="Verdana"/>
          <w:sz w:val="20"/>
          <w:szCs w:val="20"/>
          <w:lang w:val="es-CR"/>
        </w:rPr>
        <w:t>C</w:t>
      </w:r>
      <w:r w:rsidRPr="00DC128C">
        <w:rPr>
          <w:rFonts w:ascii="Verdana" w:hAnsi="Verdana"/>
          <w:sz w:val="20"/>
          <w:szCs w:val="20"/>
          <w:lang w:val="es-CR"/>
        </w:rPr>
        <w:t xml:space="preserve">oncluyó que no hubo violación de los artículos </w:t>
      </w:r>
      <w:r w:rsidR="00C66904" w:rsidRPr="00DC128C">
        <w:rPr>
          <w:rFonts w:ascii="Verdana" w:hAnsi="Verdana"/>
          <w:sz w:val="20"/>
          <w:szCs w:val="20"/>
          <w:lang w:val="es-CR"/>
        </w:rPr>
        <w:t xml:space="preserve">4.1, </w:t>
      </w:r>
      <w:r w:rsidRPr="00DC128C">
        <w:rPr>
          <w:rFonts w:ascii="Verdana" w:hAnsi="Verdana"/>
          <w:sz w:val="20"/>
          <w:szCs w:val="20"/>
          <w:lang w:val="es-CR"/>
        </w:rPr>
        <w:t>4.2 y 9 de la Convención, en relación al artícu</w:t>
      </w:r>
      <w:r w:rsidR="005C1686">
        <w:rPr>
          <w:rFonts w:ascii="Verdana" w:hAnsi="Verdana"/>
          <w:sz w:val="20"/>
          <w:szCs w:val="20"/>
          <w:lang w:val="es-CR"/>
        </w:rPr>
        <w:t>lo 1.1 y 2 de este instrumento.</w:t>
      </w:r>
      <w:r w:rsidRPr="00DC128C">
        <w:rPr>
          <w:rFonts w:ascii="Verdana" w:hAnsi="Verdana"/>
          <w:sz w:val="20"/>
          <w:szCs w:val="20"/>
          <w:lang w:val="es-CR"/>
        </w:rPr>
        <w:t xml:space="preserve">  </w:t>
      </w:r>
    </w:p>
    <w:p w14:paraId="1184CE74" w14:textId="77777777" w:rsidR="00595B25" w:rsidRPr="00595B25" w:rsidRDefault="00595B25" w:rsidP="00595B25">
      <w:pPr>
        <w:pStyle w:val="Prrafodelista"/>
        <w:autoSpaceDE w:val="0"/>
        <w:autoSpaceDN w:val="0"/>
        <w:adjustRightInd w:val="0"/>
        <w:spacing w:after="0" w:line="240" w:lineRule="auto"/>
        <w:ind w:left="0"/>
        <w:jc w:val="both"/>
        <w:rPr>
          <w:rFonts w:ascii="Verdana" w:hAnsi="Verdana"/>
          <w:sz w:val="18"/>
          <w:szCs w:val="20"/>
          <w:lang w:val="es-CR"/>
        </w:rPr>
      </w:pPr>
    </w:p>
    <w:p w14:paraId="401337F0" w14:textId="77777777" w:rsidR="00DC128C" w:rsidRDefault="00DC128C" w:rsidP="00747CC2">
      <w:pPr>
        <w:pStyle w:val="Prrafodelista"/>
        <w:numPr>
          <w:ilvl w:val="0"/>
          <w:numId w:val="2"/>
        </w:numPr>
        <w:autoSpaceDE w:val="0"/>
        <w:autoSpaceDN w:val="0"/>
        <w:adjustRightInd w:val="0"/>
        <w:spacing w:after="0" w:line="240" w:lineRule="auto"/>
        <w:jc w:val="both"/>
        <w:outlineLvl w:val="1"/>
        <w:rPr>
          <w:rFonts w:ascii="Verdana" w:hAnsi="Verdana"/>
          <w:b/>
          <w:sz w:val="20"/>
          <w:szCs w:val="20"/>
          <w:lang w:val="es-CR"/>
        </w:rPr>
      </w:pPr>
      <w:bookmarkStart w:id="53" w:name="_Toc25247767"/>
      <w:r w:rsidRPr="00C61629">
        <w:rPr>
          <w:rFonts w:ascii="Verdana" w:hAnsi="Verdana"/>
          <w:b/>
          <w:sz w:val="20"/>
          <w:szCs w:val="20"/>
          <w:lang w:val="es-CR"/>
        </w:rPr>
        <w:t>Consideraciones de la Corte</w:t>
      </w:r>
      <w:bookmarkEnd w:id="53"/>
    </w:p>
    <w:p w14:paraId="3C55D372" w14:textId="77777777" w:rsidR="00DC128C" w:rsidRDefault="00DC128C" w:rsidP="00DC128C">
      <w:pPr>
        <w:pStyle w:val="Prrafodelista"/>
        <w:autoSpaceDE w:val="0"/>
        <w:autoSpaceDN w:val="0"/>
        <w:adjustRightInd w:val="0"/>
        <w:spacing w:after="0" w:line="240" w:lineRule="auto"/>
        <w:ind w:left="0"/>
        <w:jc w:val="both"/>
        <w:rPr>
          <w:rFonts w:ascii="Verdana" w:hAnsi="Verdana"/>
          <w:sz w:val="18"/>
          <w:szCs w:val="20"/>
          <w:lang w:val="es-CR"/>
        </w:rPr>
      </w:pPr>
    </w:p>
    <w:p w14:paraId="72A2F438" w14:textId="52067823" w:rsidR="00DC128C" w:rsidRPr="000E33CE" w:rsidRDefault="0016415B" w:rsidP="000E33CE">
      <w:pPr>
        <w:pStyle w:val="Prrafodelista"/>
        <w:numPr>
          <w:ilvl w:val="3"/>
          <w:numId w:val="1"/>
        </w:numPr>
        <w:autoSpaceDE w:val="0"/>
        <w:autoSpaceDN w:val="0"/>
        <w:adjustRightInd w:val="0"/>
        <w:spacing w:after="0" w:line="240" w:lineRule="auto"/>
        <w:ind w:left="0" w:firstLine="0"/>
        <w:jc w:val="both"/>
        <w:rPr>
          <w:rFonts w:ascii="Verdana" w:hAnsi="Verdana"/>
          <w:sz w:val="18"/>
          <w:szCs w:val="20"/>
          <w:lang w:val="es-CR"/>
        </w:rPr>
      </w:pPr>
      <w:r w:rsidRPr="00EB1703">
        <w:rPr>
          <w:rFonts w:ascii="Verdana" w:hAnsi="Verdana"/>
          <w:sz w:val="20"/>
          <w:szCs w:val="20"/>
          <w:lang w:val="es-CR"/>
        </w:rPr>
        <w:t xml:space="preserve">Para efectos de examinar la alegada violación del derecho a la vida del señor </w:t>
      </w:r>
      <w:r w:rsidR="00DF108B" w:rsidRPr="00EB1703">
        <w:rPr>
          <w:rFonts w:ascii="Verdana" w:hAnsi="Verdana"/>
          <w:sz w:val="20"/>
          <w:szCs w:val="20"/>
          <w:lang w:val="es-CR"/>
        </w:rPr>
        <w:t xml:space="preserve">Tirso Román Valenzuela Ávila </w:t>
      </w:r>
      <w:r w:rsidRPr="00EB1703">
        <w:rPr>
          <w:rFonts w:ascii="Verdana" w:hAnsi="Verdana"/>
          <w:sz w:val="20"/>
          <w:szCs w:val="20"/>
          <w:lang w:val="es-CR"/>
        </w:rPr>
        <w:t xml:space="preserve">por imposición de la pena de muerte, cabe recordar que la Corte ha destacado recientemente en el caso </w:t>
      </w:r>
      <w:r w:rsidRPr="00EB1703">
        <w:rPr>
          <w:rFonts w:ascii="Verdana" w:hAnsi="Verdana"/>
          <w:i/>
          <w:sz w:val="20"/>
          <w:szCs w:val="20"/>
          <w:lang w:val="es-CR"/>
        </w:rPr>
        <w:t>Martínez Coronado Vs. Guatemala</w:t>
      </w:r>
      <w:r w:rsidR="00AD1ACF" w:rsidRPr="00EB1703">
        <w:rPr>
          <w:rStyle w:val="Refdenotaalpie"/>
          <w:rFonts w:ascii="Verdana" w:hAnsi="Verdana"/>
          <w:sz w:val="20"/>
          <w:szCs w:val="20"/>
          <w:lang w:val="es-CR"/>
        </w:rPr>
        <w:footnoteReference w:id="124"/>
      </w:r>
      <w:r w:rsidRPr="00EB1703">
        <w:rPr>
          <w:rFonts w:ascii="Verdana" w:hAnsi="Verdana"/>
          <w:sz w:val="20"/>
          <w:szCs w:val="20"/>
          <w:lang w:val="es-CR"/>
        </w:rPr>
        <w:t xml:space="preserve"> que en los casos exc</w:t>
      </w:r>
      <w:r w:rsidR="0049621D">
        <w:rPr>
          <w:rFonts w:ascii="Verdana" w:hAnsi="Verdana"/>
          <w:sz w:val="20"/>
          <w:szCs w:val="20"/>
          <w:lang w:val="es-CR"/>
        </w:rPr>
        <w:t>epcionales en los cua</w:t>
      </w:r>
      <w:r w:rsidRPr="00EB1703">
        <w:rPr>
          <w:rFonts w:ascii="Verdana" w:hAnsi="Verdana"/>
          <w:sz w:val="20"/>
          <w:szCs w:val="20"/>
          <w:lang w:val="es-CR"/>
        </w:rPr>
        <w:t>les está permitido a los Estados la aplicación de la pena de muerte, tal posibilidad está sujeta a un conjunto de rigurosas</w:t>
      </w:r>
      <w:r w:rsidR="00DF108B" w:rsidRPr="00EB1703">
        <w:rPr>
          <w:rFonts w:ascii="Verdana" w:hAnsi="Verdana"/>
          <w:sz w:val="20"/>
          <w:szCs w:val="20"/>
          <w:lang w:val="es-CR"/>
        </w:rPr>
        <w:t xml:space="preserve"> limitaciones</w:t>
      </w:r>
      <w:r w:rsidRPr="00EB1703">
        <w:rPr>
          <w:rFonts w:ascii="Verdana" w:hAnsi="Verdana"/>
          <w:sz w:val="20"/>
          <w:szCs w:val="20"/>
          <w:lang w:val="es-CR"/>
        </w:rPr>
        <w:t>. Por una parte, se dispone que la pena de muerte no podrá imponerse sino para los delitos más graves (artículo 4.2) y por la otra, se excluye de modo absoluto su aplicación por delitos políticos o por delitos comunes conexos con los políticos (artículo 4.4). La circunstancia de que la Convención Americana reduzca el ámbito posible de aplicación de la pena de muerte a los delitos comunes más graves y no conexos, es reveladora del propósito de co</w:t>
      </w:r>
      <w:r w:rsidR="00273F38">
        <w:rPr>
          <w:rFonts w:ascii="Verdana" w:hAnsi="Verdana"/>
          <w:sz w:val="20"/>
          <w:szCs w:val="20"/>
          <w:lang w:val="es-CR"/>
        </w:rPr>
        <w:t>nsiderar dicha pena aplicable so</w:t>
      </w:r>
      <w:r w:rsidRPr="00EB1703">
        <w:rPr>
          <w:rFonts w:ascii="Verdana" w:hAnsi="Verdana"/>
          <w:sz w:val="20"/>
          <w:szCs w:val="20"/>
          <w:lang w:val="es-CR"/>
        </w:rPr>
        <w:t>l</w:t>
      </w:r>
      <w:r w:rsidR="003C3B89" w:rsidRPr="00EB1703">
        <w:rPr>
          <w:rFonts w:ascii="Verdana" w:hAnsi="Verdana"/>
          <w:sz w:val="20"/>
          <w:szCs w:val="20"/>
          <w:lang w:val="es-CR"/>
        </w:rPr>
        <w:t>o en condiciones excepcionales.</w:t>
      </w:r>
    </w:p>
    <w:p w14:paraId="7C64966A" w14:textId="77777777" w:rsidR="000E33CE" w:rsidRPr="000E33CE" w:rsidRDefault="000E33CE" w:rsidP="000E33CE">
      <w:pPr>
        <w:pStyle w:val="Prrafodelista"/>
        <w:autoSpaceDE w:val="0"/>
        <w:autoSpaceDN w:val="0"/>
        <w:adjustRightInd w:val="0"/>
        <w:spacing w:after="0" w:line="240" w:lineRule="auto"/>
        <w:ind w:left="0"/>
        <w:jc w:val="both"/>
        <w:rPr>
          <w:rFonts w:ascii="Verdana" w:hAnsi="Verdana"/>
          <w:sz w:val="18"/>
          <w:szCs w:val="20"/>
          <w:lang w:val="es-CR"/>
        </w:rPr>
      </w:pPr>
    </w:p>
    <w:p w14:paraId="707FF25D" w14:textId="7E18AAF3" w:rsidR="00DC128C" w:rsidRDefault="000E6FC3" w:rsidP="00DC128C">
      <w:pPr>
        <w:pStyle w:val="Prrafodelista"/>
        <w:numPr>
          <w:ilvl w:val="3"/>
          <w:numId w:val="1"/>
        </w:numPr>
        <w:autoSpaceDE w:val="0"/>
        <w:autoSpaceDN w:val="0"/>
        <w:adjustRightInd w:val="0"/>
        <w:spacing w:after="0" w:line="240" w:lineRule="auto"/>
        <w:ind w:left="0" w:firstLine="0"/>
        <w:jc w:val="both"/>
        <w:rPr>
          <w:rFonts w:ascii="Verdana" w:hAnsi="Verdana"/>
          <w:sz w:val="18"/>
          <w:szCs w:val="20"/>
          <w:lang w:val="es-CR"/>
        </w:rPr>
      </w:pPr>
      <w:r w:rsidRPr="00DC128C">
        <w:rPr>
          <w:rFonts w:ascii="Verdana" w:hAnsi="Verdana"/>
          <w:sz w:val="20"/>
          <w:szCs w:val="20"/>
          <w:lang w:val="es-CR"/>
        </w:rPr>
        <w:t>La</w:t>
      </w:r>
      <w:r w:rsidRPr="00DC128C">
        <w:rPr>
          <w:rFonts w:ascii="Verdana" w:hAnsi="Verdana"/>
          <w:color w:val="141414"/>
          <w:sz w:val="20"/>
          <w:szCs w:val="20"/>
          <w:lang w:val="es-CR"/>
        </w:rPr>
        <w:t xml:space="preserve"> Corte resalta que en el presente caso para determinar la condena del señor Valenzuela Ávila se aplicó el artículo </w:t>
      </w:r>
      <w:r w:rsidRPr="00DC128C">
        <w:rPr>
          <w:rFonts w:ascii="Verdana" w:hAnsi="Verdana"/>
          <w:color w:val="141414"/>
          <w:sz w:val="20"/>
          <w:szCs w:val="20"/>
          <w:lang w:val="es-PE"/>
        </w:rPr>
        <w:t xml:space="preserve">132 </w:t>
      </w:r>
      <w:r w:rsidRPr="00DC128C">
        <w:rPr>
          <w:rFonts w:ascii="Verdana" w:hAnsi="Verdana"/>
          <w:color w:val="232323"/>
          <w:sz w:val="20"/>
          <w:szCs w:val="20"/>
          <w:lang w:val="es-PE"/>
        </w:rPr>
        <w:t xml:space="preserve">del </w:t>
      </w:r>
      <w:r w:rsidRPr="00DC128C">
        <w:rPr>
          <w:rFonts w:ascii="Verdana" w:hAnsi="Verdana"/>
          <w:color w:val="141414"/>
          <w:sz w:val="20"/>
          <w:szCs w:val="20"/>
          <w:lang w:val="es-PE"/>
        </w:rPr>
        <w:t>Código Penal</w:t>
      </w:r>
      <w:r w:rsidRPr="00DC128C">
        <w:rPr>
          <w:rFonts w:ascii="Verdana" w:hAnsi="Verdana"/>
          <w:color w:val="232323"/>
          <w:sz w:val="20"/>
          <w:szCs w:val="20"/>
          <w:lang w:val="es-PE"/>
        </w:rPr>
        <w:t xml:space="preserve"> vigente para dicha fecha, en el que se regulaba </w:t>
      </w:r>
      <w:r w:rsidRPr="00DC128C">
        <w:rPr>
          <w:rFonts w:ascii="Verdana" w:hAnsi="Verdana"/>
          <w:color w:val="141414"/>
          <w:sz w:val="20"/>
          <w:szCs w:val="20"/>
          <w:lang w:val="es-PE"/>
        </w:rPr>
        <w:t xml:space="preserve">el tipo penal de </w:t>
      </w:r>
      <w:r w:rsidRPr="00DC128C">
        <w:rPr>
          <w:rFonts w:ascii="Verdana" w:hAnsi="Verdana"/>
          <w:color w:val="232323"/>
          <w:sz w:val="20"/>
          <w:szCs w:val="20"/>
          <w:lang w:val="es-PE"/>
        </w:rPr>
        <w:t>asesinato (</w:t>
      </w:r>
      <w:r w:rsidRPr="00DC128C">
        <w:rPr>
          <w:rFonts w:ascii="Verdana" w:hAnsi="Verdana"/>
          <w:i/>
          <w:color w:val="232323"/>
          <w:sz w:val="20"/>
          <w:szCs w:val="20"/>
          <w:lang w:val="es-PE"/>
        </w:rPr>
        <w:t>supra</w:t>
      </w:r>
      <w:r w:rsidR="00D938E1" w:rsidRPr="00DC128C">
        <w:rPr>
          <w:rFonts w:ascii="Verdana" w:hAnsi="Verdana"/>
          <w:color w:val="232323"/>
          <w:sz w:val="20"/>
          <w:szCs w:val="20"/>
          <w:lang w:val="es-PE"/>
        </w:rPr>
        <w:t xml:space="preserve"> párr. </w:t>
      </w:r>
      <w:r w:rsidR="001C0947">
        <w:rPr>
          <w:rFonts w:ascii="Verdana" w:hAnsi="Verdana"/>
          <w:color w:val="232323"/>
          <w:sz w:val="20"/>
          <w:szCs w:val="20"/>
          <w:lang w:val="es-PE"/>
        </w:rPr>
        <w:t>66</w:t>
      </w:r>
      <w:r w:rsidRPr="00DC128C">
        <w:rPr>
          <w:rFonts w:ascii="Verdana" w:hAnsi="Verdana"/>
          <w:color w:val="232323"/>
          <w:sz w:val="20"/>
          <w:szCs w:val="20"/>
          <w:lang w:val="es-PE"/>
        </w:rPr>
        <w:t>)</w:t>
      </w:r>
      <w:r w:rsidRPr="00DC128C">
        <w:rPr>
          <w:rFonts w:ascii="Verdana" w:hAnsi="Verdana"/>
          <w:sz w:val="20"/>
          <w:szCs w:val="20"/>
          <w:lang w:val="es-CR"/>
        </w:rPr>
        <w:t xml:space="preserve">, para fundamentar la tipificación de los hechos del ilícito penal y la determinación de la sanción correspondiente. </w:t>
      </w:r>
      <w:r w:rsidRPr="00DC128C">
        <w:rPr>
          <w:rFonts w:ascii="Verdana" w:hAnsi="Verdana"/>
          <w:color w:val="232323"/>
          <w:sz w:val="20"/>
          <w:szCs w:val="20"/>
          <w:lang w:val="es-PE"/>
        </w:rPr>
        <w:t xml:space="preserve">En concreto, se condenó a pena de muerte al señor </w:t>
      </w:r>
      <w:r w:rsidRPr="00DC128C">
        <w:rPr>
          <w:rFonts w:ascii="Verdana" w:hAnsi="Verdana"/>
          <w:color w:val="141414"/>
          <w:sz w:val="20"/>
          <w:szCs w:val="20"/>
          <w:lang w:val="es-CR"/>
        </w:rPr>
        <w:t xml:space="preserve">Valenzuela Ávila </w:t>
      </w:r>
      <w:r w:rsidRPr="00DC128C">
        <w:rPr>
          <w:rFonts w:ascii="Verdana" w:hAnsi="Verdana"/>
          <w:color w:val="232323"/>
          <w:sz w:val="20"/>
          <w:szCs w:val="20"/>
          <w:lang w:val="es-PE"/>
        </w:rPr>
        <w:t xml:space="preserve">en aplicación del segundo párrafo de dicha norma, que preveía </w:t>
      </w:r>
      <w:r w:rsidR="00FF137F" w:rsidRPr="00DC128C">
        <w:rPr>
          <w:rFonts w:ascii="Verdana" w:hAnsi="Verdana"/>
          <w:color w:val="232323"/>
          <w:sz w:val="20"/>
          <w:szCs w:val="20"/>
          <w:lang w:val="es-PE"/>
        </w:rPr>
        <w:t xml:space="preserve">su </w:t>
      </w:r>
      <w:r w:rsidRPr="00DC128C">
        <w:rPr>
          <w:rFonts w:ascii="Verdana" w:hAnsi="Verdana"/>
          <w:color w:val="232323"/>
          <w:sz w:val="20"/>
          <w:szCs w:val="20"/>
          <w:lang w:val="es-PE"/>
        </w:rPr>
        <w:t>aplicación “si por las circunstancias del hecho y de la ocasión, la manera de realizarlo y los móviles determinantes, se revelare una mayor y particular peligro</w:t>
      </w:r>
      <w:r w:rsidR="00FF137F" w:rsidRPr="00DC128C">
        <w:rPr>
          <w:rFonts w:ascii="Verdana" w:hAnsi="Verdana"/>
          <w:color w:val="232323"/>
          <w:sz w:val="20"/>
          <w:szCs w:val="20"/>
          <w:lang w:val="es-PE"/>
        </w:rPr>
        <w:t>sidad del agente”</w:t>
      </w:r>
      <w:r w:rsidRPr="00DC128C">
        <w:rPr>
          <w:rFonts w:ascii="Verdana" w:eastAsia="Verdana" w:hAnsi="Verdana" w:cs="Verdana"/>
          <w:sz w:val="20"/>
          <w:szCs w:val="20"/>
          <w:lang w:val="es-CR"/>
        </w:rPr>
        <w:t>.</w:t>
      </w:r>
    </w:p>
    <w:p w14:paraId="7781DAE2" w14:textId="77777777" w:rsidR="00DC128C" w:rsidRPr="00DC128C" w:rsidRDefault="00DC128C" w:rsidP="00DC128C">
      <w:pPr>
        <w:pStyle w:val="Prrafodelista"/>
        <w:rPr>
          <w:rFonts w:ascii="Verdana" w:hAnsi="Verdana"/>
          <w:color w:val="232323"/>
          <w:sz w:val="20"/>
          <w:szCs w:val="20"/>
          <w:lang w:val="es-PE"/>
        </w:rPr>
      </w:pPr>
    </w:p>
    <w:p w14:paraId="4BB70F1B" w14:textId="427C30ED" w:rsidR="00DC128C" w:rsidRDefault="00FF137F" w:rsidP="00DC128C">
      <w:pPr>
        <w:pStyle w:val="Prrafodelista"/>
        <w:numPr>
          <w:ilvl w:val="3"/>
          <w:numId w:val="1"/>
        </w:numPr>
        <w:autoSpaceDE w:val="0"/>
        <w:autoSpaceDN w:val="0"/>
        <w:adjustRightInd w:val="0"/>
        <w:spacing w:after="0" w:line="240" w:lineRule="auto"/>
        <w:ind w:left="0" w:firstLine="0"/>
        <w:jc w:val="both"/>
        <w:rPr>
          <w:rFonts w:ascii="Verdana" w:hAnsi="Verdana"/>
          <w:sz w:val="18"/>
          <w:szCs w:val="20"/>
          <w:lang w:val="es-CR"/>
        </w:rPr>
      </w:pPr>
      <w:r w:rsidRPr="00DC128C">
        <w:rPr>
          <w:rFonts w:ascii="Verdana" w:hAnsi="Verdana"/>
          <w:color w:val="232323"/>
          <w:sz w:val="20"/>
          <w:szCs w:val="20"/>
          <w:lang w:val="es-PE"/>
        </w:rPr>
        <w:t>E</w:t>
      </w:r>
      <w:r w:rsidR="000E6FC3" w:rsidRPr="00DC128C">
        <w:rPr>
          <w:rFonts w:ascii="Verdana" w:hAnsi="Verdana"/>
          <w:color w:val="232323"/>
          <w:sz w:val="20"/>
          <w:szCs w:val="20"/>
          <w:lang w:val="es-PE"/>
        </w:rPr>
        <w:t>n la sentencia de 21 de octubre de 1999</w:t>
      </w:r>
      <w:r w:rsidRPr="00DC128C">
        <w:rPr>
          <w:rFonts w:ascii="Verdana" w:hAnsi="Verdana"/>
          <w:color w:val="232323"/>
          <w:sz w:val="20"/>
          <w:szCs w:val="20"/>
          <w:lang w:val="es-PE"/>
        </w:rPr>
        <w:t>, entre otros,</w:t>
      </w:r>
      <w:r w:rsidR="000E6FC3" w:rsidRPr="00DC128C">
        <w:rPr>
          <w:rFonts w:ascii="Verdana" w:hAnsi="Verdana"/>
          <w:color w:val="232323"/>
          <w:sz w:val="20"/>
          <w:szCs w:val="20"/>
          <w:lang w:val="es-PE"/>
        </w:rPr>
        <w:t xml:space="preserve"> </w:t>
      </w:r>
      <w:r w:rsidRPr="00DC128C">
        <w:rPr>
          <w:rFonts w:ascii="Verdana" w:hAnsi="Verdana"/>
          <w:color w:val="232323"/>
          <w:sz w:val="20"/>
          <w:szCs w:val="20"/>
          <w:lang w:val="es-PE"/>
        </w:rPr>
        <w:t xml:space="preserve">se </w:t>
      </w:r>
      <w:r w:rsidR="000E6FC3" w:rsidRPr="00DC128C">
        <w:rPr>
          <w:rFonts w:ascii="Verdana" w:hAnsi="Verdana"/>
          <w:color w:val="232323"/>
          <w:sz w:val="20"/>
          <w:szCs w:val="20"/>
          <w:lang w:val="es-PE"/>
        </w:rPr>
        <w:t>consideró “la peligrosidad social”, tomando en cuenta, entre otros, el cargo que desempeñaba la funcionaria del Ministerio Público, los antecedentes policiales de la presunta víctima, el móvil de los delitos, y el “</w:t>
      </w:r>
      <w:r w:rsidR="000E6FC3" w:rsidRPr="00DC128C">
        <w:rPr>
          <w:rFonts w:ascii="Verdana" w:hAnsi="Verdana"/>
          <w:sz w:val="20"/>
          <w:szCs w:val="20"/>
          <w:lang w:val="es-PE"/>
        </w:rPr>
        <w:t>del asesinato lo constituy</w:t>
      </w:r>
      <w:r w:rsidR="00BB36E7">
        <w:rPr>
          <w:rFonts w:ascii="Verdana" w:hAnsi="Verdana"/>
          <w:sz w:val="20"/>
          <w:szCs w:val="20"/>
          <w:lang w:val="es-PE"/>
        </w:rPr>
        <w:t>ó</w:t>
      </w:r>
      <w:r w:rsidR="000E6FC3" w:rsidRPr="00DC128C">
        <w:rPr>
          <w:rFonts w:ascii="Verdana" w:hAnsi="Verdana"/>
          <w:sz w:val="20"/>
          <w:szCs w:val="20"/>
          <w:lang w:val="es-PE"/>
        </w:rPr>
        <w:t xml:space="preserve"> el propósito de causar zozobra e intranquilidad en la sociedad y atentar contra la administración de justicia” […] de lo que deviene que el impacto social de tales hechos es graves;.[…] Menosprecio al ofendido, debido a que la víctima resultó ser una mujer, abuso de superioridad física, p</w:t>
      </w:r>
      <w:r w:rsidR="00273F38">
        <w:rPr>
          <w:rFonts w:ascii="Verdana" w:hAnsi="Verdana"/>
          <w:sz w:val="20"/>
          <w:szCs w:val="20"/>
          <w:lang w:val="es-PE"/>
        </w:rPr>
        <w:t>orque el autor del delito empleó</w:t>
      </w:r>
      <w:r w:rsidR="000E6FC3" w:rsidRPr="00DC128C">
        <w:rPr>
          <w:rFonts w:ascii="Verdana" w:hAnsi="Verdana"/>
          <w:sz w:val="20"/>
          <w:szCs w:val="20"/>
          <w:lang w:val="es-PE"/>
        </w:rPr>
        <w:t xml:space="preserve"> arma de fuego que debilitó la defensa de la víctima” (</w:t>
      </w:r>
      <w:r w:rsidR="000E6FC3" w:rsidRPr="00DC128C">
        <w:rPr>
          <w:rFonts w:ascii="Verdana" w:hAnsi="Verdana"/>
          <w:i/>
          <w:sz w:val="20"/>
          <w:szCs w:val="20"/>
          <w:lang w:val="es-PE"/>
        </w:rPr>
        <w:t>supra</w:t>
      </w:r>
      <w:r w:rsidR="00626135" w:rsidRPr="00DC128C">
        <w:rPr>
          <w:rFonts w:ascii="Verdana" w:hAnsi="Verdana"/>
          <w:sz w:val="20"/>
          <w:szCs w:val="20"/>
          <w:lang w:val="es-PE"/>
        </w:rPr>
        <w:t xml:space="preserve"> párr.</w:t>
      </w:r>
      <w:r w:rsidR="000E6FC3" w:rsidRPr="00DC128C">
        <w:rPr>
          <w:rFonts w:ascii="Verdana" w:hAnsi="Verdana"/>
          <w:sz w:val="20"/>
          <w:szCs w:val="20"/>
          <w:lang w:val="es-PE"/>
        </w:rPr>
        <w:t xml:space="preserve"> </w:t>
      </w:r>
      <w:r w:rsidR="001C0947">
        <w:rPr>
          <w:rFonts w:ascii="Verdana" w:hAnsi="Verdana"/>
          <w:sz w:val="20"/>
          <w:szCs w:val="20"/>
          <w:lang w:val="es-PE"/>
        </w:rPr>
        <w:t>76</w:t>
      </w:r>
      <w:r w:rsidR="000E6FC3" w:rsidRPr="00DC128C">
        <w:rPr>
          <w:rFonts w:ascii="Verdana" w:hAnsi="Verdana"/>
          <w:sz w:val="20"/>
          <w:szCs w:val="20"/>
          <w:lang w:val="es-PE"/>
        </w:rPr>
        <w:t>).</w:t>
      </w:r>
    </w:p>
    <w:p w14:paraId="48CB5427" w14:textId="77777777" w:rsidR="00DC128C" w:rsidRPr="00DC128C" w:rsidRDefault="00DC128C" w:rsidP="00DC128C">
      <w:pPr>
        <w:pStyle w:val="Prrafodelista"/>
        <w:rPr>
          <w:rFonts w:ascii="Verdana" w:hAnsi="Verdana"/>
          <w:color w:val="232323"/>
          <w:sz w:val="20"/>
          <w:szCs w:val="20"/>
          <w:lang w:val="es-PE"/>
        </w:rPr>
      </w:pPr>
    </w:p>
    <w:p w14:paraId="3B6831BD" w14:textId="77777777" w:rsidR="00DC128C" w:rsidRDefault="000E6FC3" w:rsidP="00DC128C">
      <w:pPr>
        <w:pStyle w:val="Prrafodelista"/>
        <w:numPr>
          <w:ilvl w:val="3"/>
          <w:numId w:val="1"/>
        </w:numPr>
        <w:autoSpaceDE w:val="0"/>
        <w:autoSpaceDN w:val="0"/>
        <w:adjustRightInd w:val="0"/>
        <w:spacing w:after="0" w:line="240" w:lineRule="auto"/>
        <w:ind w:left="0" w:firstLine="0"/>
        <w:jc w:val="both"/>
        <w:rPr>
          <w:rFonts w:ascii="Verdana" w:hAnsi="Verdana"/>
          <w:sz w:val="18"/>
          <w:szCs w:val="20"/>
          <w:lang w:val="es-CR"/>
        </w:rPr>
      </w:pPr>
      <w:r w:rsidRPr="00DC128C">
        <w:rPr>
          <w:rFonts w:ascii="Verdana" w:hAnsi="Verdana"/>
          <w:color w:val="232323"/>
          <w:sz w:val="20"/>
          <w:szCs w:val="20"/>
          <w:lang w:val="es-PE"/>
        </w:rPr>
        <w:t xml:space="preserve">Esta Corte ya ha tenido la oportunidad de pronunciarse específicamente sobre la aplicación del referido artículo 132 del Código Penal y el concepto de “peligrosidad futura” en el caso </w:t>
      </w:r>
      <w:r w:rsidRPr="0060326C">
        <w:rPr>
          <w:rFonts w:ascii="Verdana" w:hAnsi="Verdana"/>
          <w:i/>
          <w:color w:val="232323"/>
          <w:sz w:val="20"/>
          <w:szCs w:val="20"/>
          <w:lang w:val="es-PE"/>
        </w:rPr>
        <w:t>Fermín Ramírez Vs. Guatemala</w:t>
      </w:r>
      <w:r w:rsidRPr="00DC128C">
        <w:rPr>
          <w:rFonts w:ascii="Verdana" w:hAnsi="Verdana"/>
          <w:color w:val="232323"/>
          <w:sz w:val="20"/>
          <w:szCs w:val="20"/>
          <w:lang w:val="es-PE"/>
        </w:rPr>
        <w:t xml:space="preserve">. </w:t>
      </w:r>
      <w:r w:rsidR="00AA15BB" w:rsidRPr="00DC128C">
        <w:rPr>
          <w:rFonts w:ascii="Verdana" w:hAnsi="Verdana"/>
          <w:color w:val="232323"/>
          <w:sz w:val="20"/>
          <w:szCs w:val="20"/>
          <w:lang w:val="es-PE"/>
        </w:rPr>
        <w:t>E</w:t>
      </w:r>
      <w:r w:rsidR="00E452E3" w:rsidRPr="00DC128C">
        <w:rPr>
          <w:rFonts w:ascii="Verdana" w:hAnsi="Verdana"/>
          <w:color w:val="232323"/>
          <w:sz w:val="20"/>
          <w:szCs w:val="20"/>
          <w:lang w:val="es-PE"/>
        </w:rPr>
        <w:t>ste Tribunal e</w:t>
      </w:r>
      <w:r w:rsidR="00AA15BB" w:rsidRPr="00DC128C">
        <w:rPr>
          <w:rFonts w:ascii="Verdana" w:hAnsi="Verdana"/>
          <w:color w:val="232323"/>
          <w:sz w:val="20"/>
          <w:szCs w:val="20"/>
          <w:lang w:val="es-PE"/>
        </w:rPr>
        <w:t xml:space="preserve">stableció que el “examen de la peligrosidad del agente </w:t>
      </w:r>
      <w:proofErr w:type="spellStart"/>
      <w:r w:rsidR="00AA15BB" w:rsidRPr="00DC128C">
        <w:rPr>
          <w:rFonts w:ascii="Verdana" w:hAnsi="Verdana"/>
          <w:color w:val="232323"/>
          <w:sz w:val="20"/>
          <w:szCs w:val="20"/>
          <w:lang w:val="es-PE"/>
        </w:rPr>
        <w:t>implic</w:t>
      </w:r>
      <w:proofErr w:type="spellEnd"/>
      <w:r w:rsidR="00AA15BB" w:rsidRPr="00DC128C">
        <w:rPr>
          <w:rFonts w:ascii="Verdana" w:hAnsi="Verdana"/>
          <w:color w:val="232323"/>
          <w:sz w:val="20"/>
          <w:szCs w:val="20"/>
          <w:lang w:val="es-PE"/>
        </w:rPr>
        <w:t>[a] la valoración por parte del juzgador de hechos que no han ocurrido y, por lo tanto, supone una sanción basada en un juicio sobre la personalidad del infractor y no en los hechos delictivos imputados conforme la tipificación penal aplicable”</w:t>
      </w:r>
      <w:r w:rsidR="00EE4FB5">
        <w:rPr>
          <w:rStyle w:val="Refdenotaalpie"/>
          <w:rFonts w:ascii="Verdana" w:hAnsi="Verdana"/>
          <w:color w:val="232323"/>
          <w:sz w:val="20"/>
          <w:szCs w:val="20"/>
          <w:lang w:val="es-PE"/>
        </w:rPr>
        <w:footnoteReference w:id="125"/>
      </w:r>
      <w:r w:rsidR="00AA15BB" w:rsidRPr="00DC128C">
        <w:rPr>
          <w:rFonts w:ascii="Verdana" w:hAnsi="Verdana"/>
          <w:color w:val="232323"/>
          <w:sz w:val="20"/>
          <w:szCs w:val="20"/>
          <w:lang w:val="es-PE"/>
        </w:rPr>
        <w:t xml:space="preserve">. </w:t>
      </w:r>
      <w:r w:rsidRPr="00DC128C">
        <w:rPr>
          <w:rFonts w:ascii="Verdana" w:hAnsi="Verdana"/>
          <w:color w:val="232323"/>
          <w:sz w:val="20"/>
          <w:szCs w:val="20"/>
          <w:lang w:val="es-PE"/>
        </w:rPr>
        <w:t>En dicha Sentencia, se determinó que la referida norma era contraria a la Convención Americana, particularmente por cuanto violaba el artículo 9 de la Convención; ordenándose adecuar dicha norma al derecho internacional de los derechos humanos</w:t>
      </w:r>
      <w:r w:rsidR="00626135" w:rsidRPr="00E17CFC">
        <w:rPr>
          <w:rFonts w:ascii="Verdana" w:hAnsi="Verdana"/>
          <w:color w:val="232323"/>
          <w:sz w:val="20"/>
          <w:szCs w:val="20"/>
          <w:vertAlign w:val="superscript"/>
          <w:lang w:val="es-PE"/>
        </w:rPr>
        <w:footnoteReference w:id="126"/>
      </w:r>
      <w:r w:rsidRPr="00DC128C">
        <w:rPr>
          <w:rFonts w:ascii="Verdana" w:hAnsi="Verdana"/>
          <w:color w:val="232323"/>
          <w:sz w:val="20"/>
          <w:szCs w:val="20"/>
          <w:lang w:val="es-PE"/>
        </w:rPr>
        <w:t xml:space="preserve">. </w:t>
      </w:r>
    </w:p>
    <w:p w14:paraId="2748E3C6" w14:textId="77777777" w:rsidR="00DC128C" w:rsidRPr="00DC128C" w:rsidRDefault="00DC128C" w:rsidP="00DC128C">
      <w:pPr>
        <w:pStyle w:val="Prrafodelista"/>
        <w:rPr>
          <w:rFonts w:ascii="Verdana" w:hAnsi="Verdana"/>
          <w:color w:val="232323"/>
          <w:sz w:val="20"/>
          <w:szCs w:val="20"/>
          <w:lang w:val="es-PE"/>
        </w:rPr>
      </w:pPr>
    </w:p>
    <w:p w14:paraId="0593404D" w14:textId="15692DC8" w:rsidR="00DC128C" w:rsidRPr="00753F1B" w:rsidRDefault="000E6FC3" w:rsidP="00753F1B">
      <w:pPr>
        <w:pStyle w:val="Prrafodelista"/>
        <w:numPr>
          <w:ilvl w:val="3"/>
          <w:numId w:val="1"/>
        </w:numPr>
        <w:autoSpaceDE w:val="0"/>
        <w:autoSpaceDN w:val="0"/>
        <w:adjustRightInd w:val="0"/>
        <w:spacing w:after="0" w:line="240" w:lineRule="auto"/>
        <w:ind w:left="0" w:firstLine="0"/>
        <w:jc w:val="both"/>
        <w:rPr>
          <w:rFonts w:ascii="Verdana" w:hAnsi="Verdana"/>
          <w:strike/>
          <w:sz w:val="18"/>
          <w:szCs w:val="20"/>
          <w:lang w:val="es-CR"/>
        </w:rPr>
      </w:pPr>
      <w:r w:rsidRPr="005C1686">
        <w:rPr>
          <w:rFonts w:ascii="Verdana" w:hAnsi="Verdana"/>
          <w:color w:val="232323"/>
          <w:sz w:val="20"/>
          <w:szCs w:val="20"/>
          <w:lang w:val="es-PE"/>
        </w:rPr>
        <w:t xml:space="preserve">Posteriormente, este Tribunal </w:t>
      </w:r>
      <w:r w:rsidR="00B65A50" w:rsidRPr="005C1686">
        <w:rPr>
          <w:rFonts w:ascii="Verdana" w:hAnsi="Verdana"/>
          <w:color w:val="232323"/>
          <w:sz w:val="20"/>
          <w:szCs w:val="20"/>
          <w:lang w:val="es-PE"/>
        </w:rPr>
        <w:t xml:space="preserve">reiteró </w:t>
      </w:r>
      <w:r w:rsidRPr="005C1686">
        <w:rPr>
          <w:rFonts w:ascii="Verdana" w:hAnsi="Verdana"/>
          <w:color w:val="232323"/>
          <w:sz w:val="20"/>
          <w:szCs w:val="20"/>
          <w:lang w:val="es-PE"/>
        </w:rPr>
        <w:t xml:space="preserve">la incompatibilidad </w:t>
      </w:r>
      <w:r w:rsidR="00B65A50" w:rsidRPr="005C1686">
        <w:rPr>
          <w:rFonts w:ascii="Verdana" w:hAnsi="Verdana"/>
          <w:color w:val="232323"/>
          <w:sz w:val="20"/>
          <w:szCs w:val="20"/>
          <w:lang w:val="es-PE"/>
        </w:rPr>
        <w:t xml:space="preserve">de la imposición de la pena de muerte con base en el criterio de </w:t>
      </w:r>
      <w:r w:rsidRPr="005C1686">
        <w:rPr>
          <w:rFonts w:ascii="Verdana" w:hAnsi="Verdana"/>
          <w:color w:val="232323"/>
          <w:sz w:val="20"/>
          <w:szCs w:val="20"/>
          <w:lang w:val="es-PE"/>
        </w:rPr>
        <w:t xml:space="preserve">“peligrosidad” con el principio de legalidad y la Convención </w:t>
      </w:r>
      <w:r w:rsidRPr="005C1686">
        <w:rPr>
          <w:rFonts w:ascii="Verdana" w:hAnsi="Verdana"/>
          <w:color w:val="232323"/>
          <w:sz w:val="20"/>
          <w:szCs w:val="20"/>
          <w:lang w:val="es-PE"/>
        </w:rPr>
        <w:lastRenderedPageBreak/>
        <w:t xml:space="preserve">Americana en los casos de </w:t>
      </w:r>
      <w:proofErr w:type="spellStart"/>
      <w:r w:rsidRPr="005C1686">
        <w:rPr>
          <w:rFonts w:ascii="Verdana" w:hAnsi="Verdana"/>
          <w:i/>
          <w:color w:val="232323"/>
          <w:sz w:val="20"/>
          <w:szCs w:val="20"/>
          <w:lang w:val="es-PE"/>
        </w:rPr>
        <w:t>Raxcacó</w:t>
      </w:r>
      <w:proofErr w:type="spellEnd"/>
      <w:r w:rsidRPr="005C1686">
        <w:rPr>
          <w:rFonts w:ascii="Verdana" w:hAnsi="Verdana"/>
          <w:i/>
          <w:color w:val="232323"/>
          <w:sz w:val="20"/>
          <w:szCs w:val="20"/>
          <w:lang w:val="es-PE"/>
        </w:rPr>
        <w:t xml:space="preserve"> Reyes Vs. Guatemala </w:t>
      </w:r>
      <w:r w:rsidRPr="005C1686">
        <w:rPr>
          <w:rFonts w:ascii="Verdana" w:hAnsi="Verdana"/>
          <w:color w:val="232323"/>
          <w:sz w:val="20"/>
          <w:szCs w:val="20"/>
          <w:lang w:val="es-PE"/>
        </w:rPr>
        <w:t xml:space="preserve">y </w:t>
      </w:r>
      <w:r w:rsidRPr="005C1686">
        <w:rPr>
          <w:rFonts w:ascii="Verdana" w:hAnsi="Verdana"/>
          <w:i/>
          <w:color w:val="232323"/>
          <w:sz w:val="20"/>
          <w:szCs w:val="20"/>
          <w:lang w:val="es-PE"/>
        </w:rPr>
        <w:t>Martínez Coronado Vs. Guatemala</w:t>
      </w:r>
      <w:r w:rsidRPr="005C1686">
        <w:rPr>
          <w:rFonts w:ascii="Verdana" w:hAnsi="Verdana"/>
          <w:color w:val="232323"/>
          <w:sz w:val="20"/>
          <w:szCs w:val="20"/>
          <w:lang w:val="es-PE"/>
        </w:rPr>
        <w:t xml:space="preserve">. </w:t>
      </w:r>
      <w:r w:rsidR="00D938E1" w:rsidRPr="00E13991">
        <w:rPr>
          <w:rFonts w:ascii="Verdana" w:hAnsi="Verdana"/>
          <w:color w:val="232323"/>
          <w:sz w:val="20"/>
          <w:szCs w:val="20"/>
          <w:lang w:val="es-PE"/>
        </w:rPr>
        <w:t xml:space="preserve">Dado lo anterior y visto </w:t>
      </w:r>
      <w:r w:rsidR="00AA15BB" w:rsidRPr="00E13991">
        <w:rPr>
          <w:rFonts w:ascii="Verdana" w:hAnsi="Verdana"/>
          <w:color w:val="232323"/>
          <w:sz w:val="20"/>
          <w:szCs w:val="20"/>
          <w:lang w:val="es-PE"/>
        </w:rPr>
        <w:t xml:space="preserve">el </w:t>
      </w:r>
      <w:r w:rsidRPr="00E13991">
        <w:rPr>
          <w:rFonts w:ascii="Verdana" w:hAnsi="Verdana"/>
          <w:color w:val="232323"/>
          <w:sz w:val="20"/>
          <w:szCs w:val="20"/>
          <w:lang w:val="es-PE"/>
        </w:rPr>
        <w:t>empleo del criterio de peligrosidad del agente, tanto en la tipificación de los hechos del ilícito penal cometido por el señor Valenzuela Ávila, como en la determinación de la sanción correspondiente, resulta incompatible con el principio de legalidad previsto en la Convención Americana.</w:t>
      </w:r>
      <w:r w:rsidRPr="00E13991">
        <w:rPr>
          <w:rFonts w:ascii="Verdana" w:hAnsi="Verdana"/>
          <w:strike/>
          <w:color w:val="232323"/>
          <w:sz w:val="20"/>
          <w:szCs w:val="20"/>
          <w:lang w:val="es-PE"/>
        </w:rPr>
        <w:t xml:space="preserve"> </w:t>
      </w:r>
    </w:p>
    <w:p w14:paraId="7EA9B8F3" w14:textId="77777777" w:rsidR="00DC128C" w:rsidRPr="00DC128C" w:rsidRDefault="00DC128C" w:rsidP="00DC128C">
      <w:pPr>
        <w:pStyle w:val="Prrafodelista"/>
        <w:rPr>
          <w:rFonts w:ascii="Verdana" w:hAnsi="Verdana"/>
          <w:sz w:val="20"/>
          <w:szCs w:val="20"/>
          <w:lang w:val="es-ES"/>
        </w:rPr>
      </w:pPr>
    </w:p>
    <w:p w14:paraId="59B75CB4" w14:textId="786D2ECA" w:rsidR="00DC128C" w:rsidRPr="000E33CE" w:rsidRDefault="000E6FC3" w:rsidP="000E33CE">
      <w:pPr>
        <w:pStyle w:val="Prrafodelista"/>
        <w:numPr>
          <w:ilvl w:val="3"/>
          <w:numId w:val="1"/>
        </w:numPr>
        <w:autoSpaceDE w:val="0"/>
        <w:autoSpaceDN w:val="0"/>
        <w:adjustRightInd w:val="0"/>
        <w:spacing w:after="0" w:line="240" w:lineRule="auto"/>
        <w:ind w:left="0" w:firstLine="0"/>
        <w:jc w:val="both"/>
        <w:rPr>
          <w:rFonts w:ascii="Verdana" w:hAnsi="Verdana"/>
          <w:sz w:val="20"/>
          <w:szCs w:val="20"/>
        </w:rPr>
      </w:pPr>
      <w:r w:rsidRPr="000E33CE">
        <w:rPr>
          <w:rFonts w:ascii="Verdana" w:hAnsi="Verdana"/>
          <w:sz w:val="20"/>
          <w:szCs w:val="20"/>
          <w:lang w:val="es-ES"/>
        </w:rPr>
        <w:t xml:space="preserve">En consecuencia, la Corte considera que el Estado </w:t>
      </w:r>
      <w:r w:rsidRPr="000E33CE">
        <w:rPr>
          <w:rFonts w:ascii="Verdana" w:hAnsi="Verdana"/>
          <w:sz w:val="20"/>
          <w:szCs w:val="20"/>
        </w:rPr>
        <w:t>es</w:t>
      </w:r>
      <w:r w:rsidR="005E51FE" w:rsidRPr="000E33CE">
        <w:rPr>
          <w:rFonts w:ascii="Verdana" w:hAnsi="Verdana"/>
          <w:sz w:val="20"/>
          <w:szCs w:val="20"/>
        </w:rPr>
        <w:t xml:space="preserve"> responsable de la violación de los</w:t>
      </w:r>
      <w:r w:rsidRPr="000E33CE">
        <w:rPr>
          <w:rFonts w:ascii="Verdana" w:hAnsi="Verdana"/>
          <w:sz w:val="20"/>
          <w:szCs w:val="20"/>
        </w:rPr>
        <w:t xml:space="preserve"> artículo</w:t>
      </w:r>
      <w:r w:rsidR="005E51FE" w:rsidRPr="000E33CE">
        <w:rPr>
          <w:rFonts w:ascii="Verdana" w:hAnsi="Verdana"/>
          <w:sz w:val="20"/>
          <w:szCs w:val="20"/>
        </w:rPr>
        <w:t>s</w:t>
      </w:r>
      <w:r w:rsidRPr="000E33CE">
        <w:rPr>
          <w:rFonts w:ascii="Verdana" w:hAnsi="Verdana"/>
          <w:sz w:val="20"/>
          <w:szCs w:val="20"/>
        </w:rPr>
        <w:t xml:space="preserve"> </w:t>
      </w:r>
      <w:r w:rsidR="00A84E7A" w:rsidRPr="000E33CE">
        <w:rPr>
          <w:rFonts w:ascii="Verdana" w:hAnsi="Verdana"/>
          <w:sz w:val="20"/>
          <w:szCs w:val="20"/>
        </w:rPr>
        <w:t xml:space="preserve">4.2 </w:t>
      </w:r>
      <w:r w:rsidR="005E51FE" w:rsidRPr="000E33CE">
        <w:rPr>
          <w:rFonts w:ascii="Verdana" w:hAnsi="Verdana"/>
          <w:sz w:val="20"/>
          <w:szCs w:val="20"/>
        </w:rPr>
        <w:t xml:space="preserve">y 9 </w:t>
      </w:r>
      <w:r w:rsidRPr="000E33CE">
        <w:rPr>
          <w:rFonts w:ascii="Verdana" w:hAnsi="Verdana"/>
          <w:sz w:val="20"/>
          <w:szCs w:val="20"/>
        </w:rPr>
        <w:t xml:space="preserve">de la Convención Americana, en relación </w:t>
      </w:r>
      <w:r w:rsidR="00EE4FB5" w:rsidRPr="000E33CE">
        <w:rPr>
          <w:rFonts w:ascii="Verdana" w:hAnsi="Verdana"/>
          <w:sz w:val="20"/>
          <w:szCs w:val="20"/>
        </w:rPr>
        <w:t xml:space="preserve">con los </w:t>
      </w:r>
      <w:r w:rsidRPr="000E33CE">
        <w:rPr>
          <w:rFonts w:ascii="Verdana" w:hAnsi="Verdana"/>
          <w:sz w:val="20"/>
          <w:szCs w:val="20"/>
        </w:rPr>
        <w:t>artículo</w:t>
      </w:r>
      <w:r w:rsidR="00EE4FB5" w:rsidRPr="000E33CE">
        <w:rPr>
          <w:rFonts w:ascii="Verdana" w:hAnsi="Verdana"/>
          <w:sz w:val="20"/>
          <w:szCs w:val="20"/>
        </w:rPr>
        <w:t>s</w:t>
      </w:r>
      <w:r w:rsidRPr="000E33CE">
        <w:rPr>
          <w:rFonts w:ascii="Verdana" w:hAnsi="Verdana"/>
          <w:sz w:val="20"/>
          <w:szCs w:val="20"/>
        </w:rPr>
        <w:t xml:space="preserve"> 1.1 y 2 del mismo instrumento, en perjuicio del señor Valenzuela. Por otro lado, la Corte advierte que </w:t>
      </w:r>
      <w:r w:rsidR="005E51FE" w:rsidRPr="000E33CE">
        <w:rPr>
          <w:rFonts w:ascii="Verdana" w:hAnsi="Verdana"/>
          <w:sz w:val="20"/>
          <w:szCs w:val="20"/>
        </w:rPr>
        <w:t xml:space="preserve">en relación con la imposición de la pena de muerte, ésta </w:t>
      </w:r>
      <w:r w:rsidRPr="000E33CE">
        <w:rPr>
          <w:rFonts w:ascii="Verdana" w:hAnsi="Verdana"/>
          <w:sz w:val="20"/>
          <w:szCs w:val="20"/>
        </w:rPr>
        <w:t xml:space="preserve">nunca fue ejecutada, </w:t>
      </w:r>
      <w:r w:rsidR="005E51FE" w:rsidRPr="000E33CE">
        <w:rPr>
          <w:rFonts w:ascii="Verdana" w:hAnsi="Verdana"/>
          <w:sz w:val="20"/>
          <w:szCs w:val="20"/>
        </w:rPr>
        <w:t xml:space="preserve">toda vez que </w:t>
      </w:r>
      <w:r w:rsidRPr="000E33CE">
        <w:rPr>
          <w:rFonts w:ascii="Verdana" w:hAnsi="Verdana"/>
          <w:sz w:val="20"/>
          <w:szCs w:val="20"/>
        </w:rPr>
        <w:t xml:space="preserve">la presunta víctima falleció por circunstancias ajenas a la </w:t>
      </w:r>
      <w:r w:rsidR="005E51FE" w:rsidRPr="000E33CE">
        <w:rPr>
          <w:rFonts w:ascii="Verdana" w:hAnsi="Verdana"/>
          <w:sz w:val="20"/>
          <w:szCs w:val="20"/>
        </w:rPr>
        <w:t xml:space="preserve">eventual ejecución de la pena capital. En este sentido, </w:t>
      </w:r>
      <w:r w:rsidRPr="000E33CE">
        <w:rPr>
          <w:rFonts w:ascii="Verdana" w:hAnsi="Verdana"/>
          <w:sz w:val="20"/>
          <w:szCs w:val="20"/>
        </w:rPr>
        <w:t xml:space="preserve">este Tribunal considera que el Estado no violó el artículo 4.1 de la Convención, en relación al artículo </w:t>
      </w:r>
      <w:r w:rsidR="00F15055" w:rsidRPr="000E33CE">
        <w:rPr>
          <w:rFonts w:ascii="Verdana" w:hAnsi="Verdana"/>
          <w:sz w:val="20"/>
          <w:szCs w:val="20"/>
        </w:rPr>
        <w:t>1.1 del mismo instrumento, sin</w:t>
      </w:r>
      <w:r w:rsidRPr="000E33CE">
        <w:rPr>
          <w:rFonts w:ascii="Verdana" w:hAnsi="Verdana"/>
          <w:sz w:val="20"/>
          <w:szCs w:val="20"/>
        </w:rPr>
        <w:t xml:space="preserve"> perjuicio</w:t>
      </w:r>
      <w:r w:rsidR="000E33CE" w:rsidRPr="000E33CE">
        <w:rPr>
          <w:rFonts w:ascii="Verdana" w:hAnsi="Verdana"/>
          <w:sz w:val="20"/>
          <w:szCs w:val="20"/>
        </w:rPr>
        <w:t xml:space="preserve"> de que se </w:t>
      </w:r>
      <w:proofErr w:type="gramStart"/>
      <w:r w:rsidR="000E33CE" w:rsidRPr="000E33CE">
        <w:rPr>
          <w:rFonts w:ascii="Verdana" w:hAnsi="Verdana"/>
          <w:sz w:val="20"/>
          <w:szCs w:val="20"/>
        </w:rPr>
        <w:t>va</w:t>
      </w:r>
      <w:proofErr w:type="gramEnd"/>
      <w:r w:rsidR="000E33CE" w:rsidRPr="000E33CE">
        <w:rPr>
          <w:rFonts w:ascii="Verdana" w:hAnsi="Verdana"/>
          <w:sz w:val="20"/>
          <w:szCs w:val="20"/>
        </w:rPr>
        <w:t xml:space="preserve"> analizar más adelante en relación con su alegada ejecución extrajudicial.</w:t>
      </w:r>
      <w:r w:rsidR="006F6D58" w:rsidRPr="000E33CE">
        <w:rPr>
          <w:rFonts w:ascii="Verdana" w:hAnsi="Verdana"/>
          <w:b/>
          <w:sz w:val="20"/>
          <w:szCs w:val="20"/>
        </w:rPr>
        <w:t xml:space="preserve"> </w:t>
      </w:r>
    </w:p>
    <w:p w14:paraId="0FA90195" w14:textId="77777777" w:rsidR="000E33CE" w:rsidRPr="000E33CE" w:rsidRDefault="000E33CE" w:rsidP="000E33CE">
      <w:pPr>
        <w:pStyle w:val="Prrafodelista"/>
        <w:autoSpaceDE w:val="0"/>
        <w:autoSpaceDN w:val="0"/>
        <w:adjustRightInd w:val="0"/>
        <w:spacing w:after="0" w:line="240" w:lineRule="auto"/>
        <w:ind w:left="0"/>
        <w:jc w:val="both"/>
        <w:rPr>
          <w:rFonts w:ascii="Verdana" w:hAnsi="Verdana"/>
          <w:sz w:val="20"/>
          <w:szCs w:val="20"/>
        </w:rPr>
      </w:pPr>
    </w:p>
    <w:p w14:paraId="6A6C460C" w14:textId="1013CD44" w:rsidR="00DC128C" w:rsidRPr="00DC128C" w:rsidRDefault="000E6FC3" w:rsidP="00DC128C">
      <w:pPr>
        <w:pStyle w:val="Prrafodelista"/>
        <w:numPr>
          <w:ilvl w:val="3"/>
          <w:numId w:val="1"/>
        </w:numPr>
        <w:autoSpaceDE w:val="0"/>
        <w:autoSpaceDN w:val="0"/>
        <w:adjustRightInd w:val="0"/>
        <w:spacing w:after="0" w:line="240" w:lineRule="auto"/>
        <w:ind w:left="0" w:firstLine="0"/>
        <w:jc w:val="both"/>
        <w:rPr>
          <w:rFonts w:ascii="Verdana" w:hAnsi="Verdana"/>
          <w:sz w:val="18"/>
          <w:szCs w:val="20"/>
          <w:lang w:val="es-CR"/>
        </w:rPr>
      </w:pPr>
      <w:r w:rsidRPr="00DC128C">
        <w:rPr>
          <w:rFonts w:ascii="Verdana" w:hAnsi="Verdana"/>
          <w:sz w:val="20"/>
          <w:szCs w:val="20"/>
        </w:rPr>
        <w:t xml:space="preserve">Por otra parte, los </w:t>
      </w:r>
      <w:r w:rsidRPr="00DC128C">
        <w:rPr>
          <w:rFonts w:ascii="Verdana" w:hAnsi="Verdana"/>
          <w:b/>
          <w:i/>
          <w:sz w:val="20"/>
          <w:szCs w:val="20"/>
        </w:rPr>
        <w:t>representantes</w:t>
      </w:r>
      <w:r w:rsidRPr="00DC128C">
        <w:rPr>
          <w:rFonts w:ascii="Verdana" w:hAnsi="Verdana"/>
          <w:sz w:val="20"/>
          <w:szCs w:val="20"/>
        </w:rPr>
        <w:t xml:space="preserve"> alegaron la vulneración del artículo 4.6 de la Convención por no garantizarse el acceso a un recurso efectivo para impugnar una sentencia arbitraria</w:t>
      </w:r>
      <w:r w:rsidRPr="0060326C">
        <w:rPr>
          <w:rFonts w:ascii="Verdana" w:hAnsi="Verdana"/>
          <w:sz w:val="20"/>
          <w:szCs w:val="20"/>
        </w:rPr>
        <w:t>.</w:t>
      </w:r>
      <w:r w:rsidRPr="00DC128C">
        <w:rPr>
          <w:rFonts w:ascii="Verdana" w:hAnsi="Verdana"/>
          <w:b/>
          <w:sz w:val="20"/>
          <w:szCs w:val="20"/>
        </w:rPr>
        <w:t xml:space="preserve"> </w:t>
      </w:r>
      <w:r w:rsidRPr="00DC128C">
        <w:rPr>
          <w:rFonts w:ascii="Verdana" w:hAnsi="Verdana"/>
          <w:sz w:val="20"/>
          <w:szCs w:val="20"/>
        </w:rPr>
        <w:t>Al respecto, indicaron que el señor Valenzuela interpuso un</w:t>
      </w:r>
      <w:r w:rsidRPr="00DC128C">
        <w:rPr>
          <w:rFonts w:ascii="Verdana" w:hAnsi="Verdana"/>
          <w:b/>
          <w:sz w:val="20"/>
          <w:szCs w:val="20"/>
        </w:rPr>
        <w:t xml:space="preserve"> </w:t>
      </w:r>
      <w:r w:rsidRPr="00DC128C">
        <w:rPr>
          <w:rFonts w:ascii="Verdana" w:hAnsi="Verdana"/>
          <w:sz w:val="20"/>
          <w:szCs w:val="20"/>
        </w:rPr>
        <w:t>recurso de gracia el 9 de septiembre de 2004, en el</w:t>
      </w:r>
      <w:r w:rsidR="001A2686">
        <w:rPr>
          <w:rFonts w:ascii="Verdana" w:hAnsi="Verdana"/>
          <w:sz w:val="20"/>
          <w:szCs w:val="20"/>
        </w:rPr>
        <w:t xml:space="preserve"> cual solicitaron que se conmutara</w:t>
      </w:r>
      <w:r w:rsidRPr="00DC128C">
        <w:rPr>
          <w:rFonts w:ascii="Verdana" w:hAnsi="Verdana"/>
          <w:sz w:val="20"/>
          <w:szCs w:val="20"/>
        </w:rPr>
        <w:t xml:space="preserve"> la pena de muerte por la inmediata inferior de 50 años. Según se aleg</w:t>
      </w:r>
      <w:r w:rsidR="00851DD4">
        <w:rPr>
          <w:rFonts w:ascii="Verdana" w:hAnsi="Verdana"/>
          <w:sz w:val="20"/>
          <w:szCs w:val="20"/>
        </w:rPr>
        <w:t>ó</w:t>
      </w:r>
      <w:r w:rsidRPr="00DC128C">
        <w:rPr>
          <w:rFonts w:ascii="Verdana" w:hAnsi="Verdana"/>
          <w:sz w:val="20"/>
          <w:szCs w:val="20"/>
        </w:rPr>
        <w:t xml:space="preserve"> este recurso antes de la muerte del señor Valenzuela no había sido tramitado ni resuelto. </w:t>
      </w:r>
      <w:r w:rsidR="00E146D7">
        <w:rPr>
          <w:rFonts w:ascii="Verdana" w:hAnsi="Verdana"/>
          <w:sz w:val="20"/>
          <w:szCs w:val="20"/>
        </w:rPr>
        <w:t>Sin embargo, d</w:t>
      </w:r>
      <w:r w:rsidRPr="00DC128C">
        <w:rPr>
          <w:rFonts w:ascii="Verdana" w:hAnsi="Verdana"/>
          <w:sz w:val="20"/>
          <w:szCs w:val="20"/>
        </w:rPr>
        <w:t xml:space="preserve">ado que no han sido aportados los suficientes elementos de convicción que permitan a la Corte determinar una violación en los términos planteados por los representantes, no se pronuncia al respecto. </w:t>
      </w:r>
    </w:p>
    <w:p w14:paraId="56C82056" w14:textId="77777777" w:rsidR="00DC128C" w:rsidRPr="00DC128C" w:rsidRDefault="00DC128C" w:rsidP="00DC128C">
      <w:pPr>
        <w:pStyle w:val="Prrafodelista"/>
        <w:autoSpaceDE w:val="0"/>
        <w:autoSpaceDN w:val="0"/>
        <w:adjustRightInd w:val="0"/>
        <w:spacing w:after="0" w:line="240" w:lineRule="auto"/>
        <w:ind w:left="0"/>
        <w:jc w:val="both"/>
        <w:rPr>
          <w:rFonts w:ascii="Verdana" w:hAnsi="Verdana"/>
          <w:sz w:val="18"/>
          <w:szCs w:val="20"/>
          <w:lang w:val="es-CR"/>
        </w:rPr>
      </w:pPr>
    </w:p>
    <w:p w14:paraId="568D653F" w14:textId="77777777" w:rsidR="00DC128C" w:rsidRPr="00DC128C" w:rsidRDefault="00DC128C" w:rsidP="00DC128C">
      <w:pPr>
        <w:pStyle w:val="Ttulo2"/>
        <w:numPr>
          <w:ilvl w:val="0"/>
          <w:numId w:val="2"/>
        </w:numPr>
        <w:spacing w:before="0"/>
      </w:pPr>
      <w:bookmarkStart w:id="54" w:name="_Toc25247768"/>
      <w:r>
        <w:t>Conclusión</w:t>
      </w:r>
      <w:bookmarkEnd w:id="54"/>
    </w:p>
    <w:p w14:paraId="09721235" w14:textId="77777777" w:rsidR="00DC128C" w:rsidRPr="00DC128C" w:rsidRDefault="00DC128C" w:rsidP="00DC128C">
      <w:pPr>
        <w:pStyle w:val="Prrafodelista"/>
        <w:autoSpaceDE w:val="0"/>
        <w:autoSpaceDN w:val="0"/>
        <w:adjustRightInd w:val="0"/>
        <w:spacing w:after="0" w:line="240" w:lineRule="auto"/>
        <w:ind w:left="0"/>
        <w:jc w:val="both"/>
        <w:rPr>
          <w:rFonts w:ascii="Verdana" w:hAnsi="Verdana"/>
          <w:sz w:val="18"/>
          <w:szCs w:val="20"/>
          <w:lang w:val="es-CR"/>
        </w:rPr>
      </w:pPr>
    </w:p>
    <w:p w14:paraId="78313971" w14:textId="67A66157" w:rsidR="00DC128C" w:rsidRPr="00DC128C" w:rsidRDefault="000E6FC3" w:rsidP="00DC128C">
      <w:pPr>
        <w:pStyle w:val="Prrafodelista"/>
        <w:numPr>
          <w:ilvl w:val="3"/>
          <w:numId w:val="1"/>
        </w:numPr>
        <w:autoSpaceDE w:val="0"/>
        <w:autoSpaceDN w:val="0"/>
        <w:adjustRightInd w:val="0"/>
        <w:spacing w:after="0" w:line="240" w:lineRule="auto"/>
        <w:ind w:left="0" w:firstLine="0"/>
        <w:jc w:val="both"/>
        <w:rPr>
          <w:rFonts w:ascii="Verdana" w:hAnsi="Verdana"/>
          <w:sz w:val="18"/>
          <w:szCs w:val="20"/>
          <w:lang w:val="es-CR"/>
        </w:rPr>
      </w:pPr>
      <w:r w:rsidRPr="00DC128C">
        <w:rPr>
          <w:rFonts w:ascii="Verdana" w:hAnsi="Verdana"/>
          <w:sz w:val="20"/>
          <w:szCs w:val="20"/>
        </w:rPr>
        <w:t xml:space="preserve">Por lo expuesto, teniendo en cuenta la aplicación de la pena de muerte como consecuencia de la figura </w:t>
      </w:r>
      <w:r w:rsidRPr="000E33CE">
        <w:rPr>
          <w:rFonts w:ascii="Verdana" w:hAnsi="Verdana"/>
          <w:sz w:val="20"/>
          <w:szCs w:val="20"/>
        </w:rPr>
        <w:t xml:space="preserve">de “peligrosidad futura” del agente, este Tribunal concluye que el Estado es responsable internacionalmente de la violación de los derechos reconocidos en </w:t>
      </w:r>
      <w:r w:rsidR="00884254" w:rsidRPr="000E33CE">
        <w:rPr>
          <w:rFonts w:ascii="Verdana" w:hAnsi="Verdana"/>
          <w:sz w:val="20"/>
          <w:szCs w:val="20"/>
        </w:rPr>
        <w:t>los</w:t>
      </w:r>
      <w:r w:rsidRPr="000E33CE">
        <w:rPr>
          <w:rFonts w:ascii="Verdana" w:hAnsi="Verdana"/>
          <w:sz w:val="20"/>
          <w:szCs w:val="20"/>
        </w:rPr>
        <w:t xml:space="preserve"> artículo</w:t>
      </w:r>
      <w:r w:rsidR="00884254" w:rsidRPr="000E33CE">
        <w:rPr>
          <w:rFonts w:ascii="Verdana" w:hAnsi="Verdana"/>
          <w:sz w:val="20"/>
          <w:szCs w:val="20"/>
        </w:rPr>
        <w:t>s</w:t>
      </w:r>
      <w:r w:rsidRPr="000E33CE">
        <w:rPr>
          <w:rFonts w:ascii="Verdana" w:hAnsi="Verdana"/>
          <w:sz w:val="20"/>
          <w:szCs w:val="20"/>
        </w:rPr>
        <w:t xml:space="preserve"> </w:t>
      </w:r>
      <w:r w:rsidR="00A30E5B" w:rsidRPr="000E33CE">
        <w:rPr>
          <w:rFonts w:ascii="Verdana" w:hAnsi="Verdana"/>
          <w:sz w:val="20"/>
          <w:szCs w:val="20"/>
        </w:rPr>
        <w:t xml:space="preserve">4.2 y </w:t>
      </w:r>
      <w:r w:rsidR="00DF108B" w:rsidRPr="000E33CE">
        <w:rPr>
          <w:rFonts w:ascii="Verdana" w:hAnsi="Verdana"/>
          <w:sz w:val="20"/>
          <w:szCs w:val="20"/>
        </w:rPr>
        <w:t>9</w:t>
      </w:r>
      <w:r w:rsidR="00A84E7A" w:rsidRPr="000E33CE">
        <w:rPr>
          <w:rFonts w:ascii="Verdana" w:hAnsi="Verdana"/>
          <w:sz w:val="20"/>
          <w:szCs w:val="20"/>
        </w:rPr>
        <w:t xml:space="preserve"> </w:t>
      </w:r>
      <w:r w:rsidRPr="000E33CE">
        <w:rPr>
          <w:rFonts w:ascii="Verdana" w:hAnsi="Verdana"/>
          <w:sz w:val="20"/>
          <w:szCs w:val="20"/>
        </w:rPr>
        <w:t xml:space="preserve">de la Convención Americana, en relación con los artículos 1.1 y 2 de la Convención, en perjuicio de Tirso Román Valenzuela Ávila. Además, </w:t>
      </w:r>
      <w:r w:rsidRPr="000E33CE">
        <w:rPr>
          <w:rFonts w:ascii="Verdana" w:eastAsia="Verdana" w:hAnsi="Verdana" w:cs="Verdana"/>
          <w:color w:val="000000"/>
          <w:sz w:val="20"/>
          <w:szCs w:val="20"/>
        </w:rPr>
        <w:t xml:space="preserve">este Tribunal considera </w:t>
      </w:r>
      <w:r w:rsidRPr="000E33CE">
        <w:rPr>
          <w:rFonts w:ascii="Verdana" w:hAnsi="Verdana"/>
          <w:sz w:val="20"/>
          <w:szCs w:val="20"/>
        </w:rPr>
        <w:t xml:space="preserve">que en el presente caso </w:t>
      </w:r>
      <w:r w:rsidR="00DE4656" w:rsidRPr="000E33CE">
        <w:rPr>
          <w:rFonts w:ascii="Verdana" w:hAnsi="Verdana"/>
          <w:sz w:val="20"/>
          <w:szCs w:val="20"/>
        </w:rPr>
        <w:t xml:space="preserve">el Estado </w:t>
      </w:r>
      <w:r w:rsidR="009C7DC5" w:rsidRPr="000E33CE">
        <w:rPr>
          <w:rFonts w:ascii="Verdana" w:hAnsi="Verdana"/>
          <w:sz w:val="20"/>
          <w:szCs w:val="20"/>
        </w:rPr>
        <w:t>no</w:t>
      </w:r>
      <w:r w:rsidR="00F15055" w:rsidRPr="000E33CE">
        <w:rPr>
          <w:rFonts w:ascii="Verdana" w:hAnsi="Verdana"/>
          <w:sz w:val="20"/>
          <w:szCs w:val="20"/>
        </w:rPr>
        <w:t xml:space="preserve"> es responsable de la violación de</w:t>
      </w:r>
      <w:r w:rsidRPr="000E33CE">
        <w:rPr>
          <w:rFonts w:ascii="Verdana" w:hAnsi="Verdana"/>
          <w:sz w:val="20"/>
          <w:szCs w:val="20"/>
        </w:rPr>
        <w:t xml:space="preserve"> l</w:t>
      </w:r>
      <w:r w:rsidR="00A30E5B" w:rsidRPr="000E33CE">
        <w:rPr>
          <w:rFonts w:ascii="Verdana" w:hAnsi="Verdana"/>
          <w:sz w:val="20"/>
          <w:szCs w:val="20"/>
        </w:rPr>
        <w:t>os</w:t>
      </w:r>
      <w:r w:rsidRPr="000E33CE">
        <w:rPr>
          <w:rFonts w:ascii="Verdana" w:hAnsi="Verdana"/>
          <w:sz w:val="20"/>
          <w:szCs w:val="20"/>
        </w:rPr>
        <w:t xml:space="preserve"> artículo</w:t>
      </w:r>
      <w:r w:rsidR="00A30E5B" w:rsidRPr="000E33CE">
        <w:rPr>
          <w:rFonts w:ascii="Verdana" w:hAnsi="Verdana"/>
          <w:sz w:val="20"/>
          <w:szCs w:val="20"/>
        </w:rPr>
        <w:t>s 4.1 y</w:t>
      </w:r>
      <w:r w:rsidRPr="000E33CE">
        <w:rPr>
          <w:rFonts w:ascii="Verdana" w:hAnsi="Verdana"/>
          <w:sz w:val="20"/>
          <w:szCs w:val="20"/>
        </w:rPr>
        <w:t xml:space="preserve"> 4.6 de la Convención</w:t>
      </w:r>
      <w:r w:rsidR="009C7DC5" w:rsidRPr="000E33CE">
        <w:rPr>
          <w:rFonts w:ascii="Verdana" w:hAnsi="Verdana"/>
          <w:sz w:val="20"/>
          <w:szCs w:val="20"/>
        </w:rPr>
        <w:t xml:space="preserve"> Americana</w:t>
      </w:r>
      <w:r w:rsidRPr="000E33CE">
        <w:rPr>
          <w:rFonts w:ascii="Verdana" w:hAnsi="Verdana"/>
          <w:sz w:val="20"/>
          <w:szCs w:val="20"/>
        </w:rPr>
        <w:t>.</w:t>
      </w:r>
    </w:p>
    <w:p w14:paraId="13759B1D" w14:textId="77777777" w:rsidR="00DC128C" w:rsidRDefault="00DC128C" w:rsidP="00DC128C">
      <w:pPr>
        <w:pStyle w:val="Prrafodelista"/>
        <w:autoSpaceDE w:val="0"/>
        <w:autoSpaceDN w:val="0"/>
        <w:adjustRightInd w:val="0"/>
        <w:spacing w:after="0" w:line="240" w:lineRule="auto"/>
        <w:ind w:left="0"/>
        <w:jc w:val="both"/>
        <w:rPr>
          <w:rFonts w:ascii="Verdana" w:hAnsi="Verdana"/>
          <w:sz w:val="20"/>
          <w:szCs w:val="20"/>
        </w:rPr>
      </w:pPr>
    </w:p>
    <w:p w14:paraId="21CC7324" w14:textId="77777777" w:rsidR="00DC128C" w:rsidRDefault="00DC128C" w:rsidP="00DC128C">
      <w:pPr>
        <w:pStyle w:val="Ttulo1"/>
        <w:spacing w:before="0"/>
        <w:ind w:right="616"/>
      </w:pPr>
      <w:bookmarkStart w:id="55" w:name="_Toc25247769"/>
      <w:r>
        <w:rPr>
          <w:lang w:val="es-CR"/>
        </w:rPr>
        <w:t>VIII-3</w:t>
      </w:r>
      <w:r>
        <w:rPr>
          <w:lang w:val="es-CR"/>
        </w:rPr>
        <w:br/>
      </w:r>
      <w:r w:rsidRPr="00EC2F24">
        <w:t>DERECHO A LA VIDA</w:t>
      </w:r>
      <w:r w:rsidRPr="00377181">
        <w:t>, CON MOTIVO DE LA MUERTE</w:t>
      </w:r>
      <w:bookmarkEnd w:id="55"/>
      <w:r>
        <w:t xml:space="preserve"> </w:t>
      </w:r>
    </w:p>
    <w:p w14:paraId="3B69EA1F" w14:textId="77777777" w:rsidR="00DC128C" w:rsidRDefault="00DC128C" w:rsidP="00DC128C">
      <w:pPr>
        <w:pStyle w:val="Ttulo1"/>
        <w:spacing w:before="0"/>
        <w:ind w:right="616"/>
      </w:pPr>
      <w:bookmarkStart w:id="56" w:name="_Toc25247770"/>
      <w:r w:rsidRPr="004D7DBA">
        <w:t>SEÑOR VALENZUELA ÁVILA</w:t>
      </w:r>
      <w:r w:rsidR="00092AAF">
        <w:rPr>
          <w:rStyle w:val="Refdenotaalpie"/>
        </w:rPr>
        <w:footnoteReference w:id="127"/>
      </w:r>
      <w:bookmarkEnd w:id="56"/>
      <w:r>
        <w:t xml:space="preserve"> </w:t>
      </w:r>
    </w:p>
    <w:p w14:paraId="69476A05" w14:textId="77777777" w:rsidR="00DC128C" w:rsidRPr="00CC3ECB" w:rsidRDefault="00DC128C" w:rsidP="00DC128C">
      <w:pPr>
        <w:spacing w:after="0"/>
      </w:pPr>
    </w:p>
    <w:p w14:paraId="73BB3BF2" w14:textId="77777777" w:rsidR="00DC128C" w:rsidRPr="00D14CA7" w:rsidRDefault="00DC128C" w:rsidP="00DC128C">
      <w:pPr>
        <w:pStyle w:val="Ttulo2"/>
        <w:numPr>
          <w:ilvl w:val="0"/>
          <w:numId w:val="11"/>
        </w:numPr>
        <w:tabs>
          <w:tab w:val="left" w:pos="360"/>
        </w:tabs>
        <w:spacing w:before="0"/>
        <w:ind w:hanging="720"/>
      </w:pPr>
      <w:bookmarkStart w:id="57" w:name="_Toc25247771"/>
      <w:r w:rsidRPr="00D14CA7">
        <w:t>Alegatos de la Comisión y las partes</w:t>
      </w:r>
      <w:bookmarkEnd w:id="57"/>
    </w:p>
    <w:p w14:paraId="70F7B5F6" w14:textId="77777777" w:rsidR="00DC128C" w:rsidRPr="00DC128C" w:rsidRDefault="00DC128C" w:rsidP="00DC128C">
      <w:pPr>
        <w:pStyle w:val="Prrafodelista"/>
        <w:autoSpaceDE w:val="0"/>
        <w:autoSpaceDN w:val="0"/>
        <w:adjustRightInd w:val="0"/>
        <w:spacing w:after="0" w:line="240" w:lineRule="auto"/>
        <w:ind w:left="0"/>
        <w:jc w:val="both"/>
        <w:rPr>
          <w:rFonts w:ascii="Verdana" w:hAnsi="Verdana"/>
          <w:sz w:val="18"/>
          <w:szCs w:val="20"/>
        </w:rPr>
      </w:pPr>
    </w:p>
    <w:p w14:paraId="6A0C92BB" w14:textId="77777777" w:rsidR="00DC128C" w:rsidRDefault="00AB2B45" w:rsidP="00DC128C">
      <w:pPr>
        <w:pStyle w:val="Prrafodelista"/>
        <w:numPr>
          <w:ilvl w:val="3"/>
          <w:numId w:val="1"/>
        </w:numPr>
        <w:autoSpaceDE w:val="0"/>
        <w:autoSpaceDN w:val="0"/>
        <w:adjustRightInd w:val="0"/>
        <w:spacing w:after="0" w:line="240" w:lineRule="auto"/>
        <w:ind w:left="0" w:firstLine="0"/>
        <w:jc w:val="both"/>
        <w:rPr>
          <w:rFonts w:ascii="Verdana" w:hAnsi="Verdana"/>
          <w:sz w:val="18"/>
          <w:szCs w:val="20"/>
          <w:lang w:val="es-CR"/>
        </w:rPr>
      </w:pPr>
      <w:r w:rsidRPr="00DC128C">
        <w:rPr>
          <w:rFonts w:ascii="Verdana" w:hAnsi="Verdana"/>
          <w:sz w:val="20"/>
          <w:szCs w:val="20"/>
          <w:lang w:val="es-CR"/>
        </w:rPr>
        <w:t>La</w:t>
      </w:r>
      <w:r w:rsidRPr="00DC128C">
        <w:rPr>
          <w:rFonts w:ascii="Verdana" w:hAnsi="Verdana"/>
          <w:b/>
          <w:sz w:val="20"/>
          <w:szCs w:val="20"/>
          <w:lang w:val="es-CR"/>
        </w:rPr>
        <w:t xml:space="preserve"> </w:t>
      </w:r>
      <w:r w:rsidRPr="00DC128C">
        <w:rPr>
          <w:rFonts w:ascii="Verdana" w:hAnsi="Verdana"/>
          <w:b/>
          <w:i/>
          <w:sz w:val="20"/>
          <w:szCs w:val="20"/>
          <w:lang w:val="es-CR"/>
        </w:rPr>
        <w:t>Comisión</w:t>
      </w:r>
      <w:r w:rsidRPr="00DC128C">
        <w:rPr>
          <w:rFonts w:ascii="Verdana" w:hAnsi="Verdana"/>
          <w:sz w:val="20"/>
          <w:szCs w:val="20"/>
          <w:lang w:val="es-CR"/>
        </w:rPr>
        <w:t xml:space="preserve"> adujo que el Estado habría ejecutado extrajudicialmente al señor Tirso Román Valenzuela el 8 de diciembre de 2006 dentro de un plan de recaptura de personas p</w:t>
      </w:r>
      <w:r w:rsidR="00CC229B" w:rsidRPr="00DC128C">
        <w:rPr>
          <w:rFonts w:ascii="Verdana" w:hAnsi="Verdana"/>
          <w:sz w:val="20"/>
          <w:szCs w:val="20"/>
          <w:lang w:val="es-CR"/>
        </w:rPr>
        <w:t>rivadas de libertad. C</w:t>
      </w:r>
      <w:r w:rsidRPr="00DC128C">
        <w:rPr>
          <w:rFonts w:ascii="Verdana" w:hAnsi="Verdana"/>
          <w:sz w:val="20"/>
          <w:szCs w:val="20"/>
          <w:lang w:val="es-CR"/>
        </w:rPr>
        <w:t xml:space="preserve">oncluyó que el Estado vulneró el artículo 4.1 de la Convención, en relación con el artículo 1.1 del mismo instrumento. </w:t>
      </w:r>
    </w:p>
    <w:p w14:paraId="7F65ED37" w14:textId="77777777" w:rsidR="00DC128C" w:rsidRDefault="00DC128C" w:rsidP="00DC128C">
      <w:pPr>
        <w:pStyle w:val="Prrafodelista"/>
        <w:autoSpaceDE w:val="0"/>
        <w:autoSpaceDN w:val="0"/>
        <w:adjustRightInd w:val="0"/>
        <w:spacing w:after="0" w:line="240" w:lineRule="auto"/>
        <w:ind w:left="0"/>
        <w:jc w:val="both"/>
        <w:rPr>
          <w:rFonts w:ascii="Verdana" w:hAnsi="Verdana"/>
          <w:sz w:val="18"/>
          <w:szCs w:val="20"/>
          <w:lang w:val="es-CR"/>
        </w:rPr>
      </w:pPr>
    </w:p>
    <w:p w14:paraId="044A5CA8" w14:textId="77777777" w:rsidR="00DC128C" w:rsidRDefault="00AB2B45" w:rsidP="00DC128C">
      <w:pPr>
        <w:pStyle w:val="Prrafodelista"/>
        <w:numPr>
          <w:ilvl w:val="3"/>
          <w:numId w:val="1"/>
        </w:numPr>
        <w:autoSpaceDE w:val="0"/>
        <w:autoSpaceDN w:val="0"/>
        <w:adjustRightInd w:val="0"/>
        <w:spacing w:after="0" w:line="240" w:lineRule="auto"/>
        <w:ind w:left="0" w:firstLine="0"/>
        <w:jc w:val="both"/>
        <w:rPr>
          <w:rFonts w:ascii="Verdana" w:hAnsi="Verdana"/>
          <w:sz w:val="18"/>
          <w:szCs w:val="20"/>
          <w:lang w:val="es-CR"/>
        </w:rPr>
      </w:pPr>
      <w:r w:rsidRPr="00DC128C">
        <w:rPr>
          <w:rFonts w:ascii="Verdana" w:eastAsia="Calibri" w:hAnsi="Verdana" w:cs="Arial"/>
          <w:sz w:val="20"/>
          <w:szCs w:val="20"/>
        </w:rPr>
        <w:t xml:space="preserve">Los </w:t>
      </w:r>
      <w:r w:rsidRPr="00DC128C">
        <w:rPr>
          <w:rFonts w:ascii="Verdana" w:eastAsia="Calibri" w:hAnsi="Verdana" w:cs="Arial"/>
          <w:b/>
          <w:i/>
          <w:sz w:val="20"/>
          <w:szCs w:val="20"/>
        </w:rPr>
        <w:t>representantes</w:t>
      </w:r>
      <w:r w:rsidRPr="00DC128C">
        <w:rPr>
          <w:rFonts w:ascii="Verdana" w:eastAsia="Calibri" w:hAnsi="Verdana" w:cs="Arial"/>
          <w:b/>
          <w:sz w:val="20"/>
          <w:szCs w:val="20"/>
        </w:rPr>
        <w:t xml:space="preserve"> </w:t>
      </w:r>
      <w:r w:rsidRPr="00DC128C">
        <w:rPr>
          <w:rFonts w:ascii="Verdana" w:hAnsi="Verdana"/>
          <w:sz w:val="20"/>
          <w:szCs w:val="20"/>
          <w:lang w:val="es-CR"/>
        </w:rPr>
        <w:t xml:space="preserve">alegaron </w:t>
      </w:r>
      <w:r w:rsidRPr="00DC128C">
        <w:rPr>
          <w:rFonts w:ascii="Verdana" w:hAnsi="Verdana" w:cs="Arial"/>
          <w:sz w:val="20"/>
          <w:szCs w:val="20"/>
          <w:lang w:val="es-CR"/>
        </w:rPr>
        <w:t xml:space="preserve">que el Estado es responsable de haberle privado la vida arbitrariamente al señor Valenzuela Ávila, en violación al artículo 4.1 de la Convención, con relación al artículo 1.1 del mismo instrumento. </w:t>
      </w:r>
    </w:p>
    <w:p w14:paraId="33D14E4E" w14:textId="77777777" w:rsidR="00DC128C" w:rsidRPr="00DC128C" w:rsidRDefault="00DC128C" w:rsidP="00DC128C">
      <w:pPr>
        <w:pStyle w:val="Prrafodelista"/>
        <w:rPr>
          <w:rFonts w:ascii="Verdana" w:hAnsi="Verdana"/>
          <w:sz w:val="20"/>
          <w:szCs w:val="20"/>
          <w:lang w:val="es-CR"/>
        </w:rPr>
      </w:pPr>
    </w:p>
    <w:p w14:paraId="003D8653" w14:textId="6C3D3BAA" w:rsidR="008448A1" w:rsidRPr="00747CC2" w:rsidRDefault="002B2C08" w:rsidP="008448A1">
      <w:pPr>
        <w:pStyle w:val="Prrafodelista"/>
        <w:numPr>
          <w:ilvl w:val="3"/>
          <w:numId w:val="1"/>
        </w:numPr>
        <w:autoSpaceDE w:val="0"/>
        <w:autoSpaceDN w:val="0"/>
        <w:adjustRightInd w:val="0"/>
        <w:spacing w:after="0" w:line="240" w:lineRule="auto"/>
        <w:ind w:left="0" w:firstLine="0"/>
        <w:jc w:val="both"/>
        <w:rPr>
          <w:rFonts w:ascii="Verdana" w:hAnsi="Verdana"/>
          <w:sz w:val="18"/>
          <w:szCs w:val="20"/>
          <w:lang w:val="es-CR"/>
        </w:rPr>
      </w:pPr>
      <w:r w:rsidRPr="00DC128C">
        <w:rPr>
          <w:rFonts w:ascii="Verdana" w:hAnsi="Verdana"/>
          <w:sz w:val="20"/>
          <w:szCs w:val="20"/>
          <w:lang w:val="es-CR"/>
        </w:rPr>
        <w:t xml:space="preserve">El </w:t>
      </w:r>
      <w:r w:rsidR="00AB2B45" w:rsidRPr="00DC128C">
        <w:rPr>
          <w:rFonts w:ascii="Verdana" w:hAnsi="Verdana"/>
          <w:b/>
          <w:sz w:val="20"/>
          <w:szCs w:val="20"/>
          <w:lang w:val="es-CR"/>
        </w:rPr>
        <w:t xml:space="preserve">Estado </w:t>
      </w:r>
      <w:r w:rsidR="00AB2B45" w:rsidRPr="00DC128C">
        <w:rPr>
          <w:rFonts w:ascii="Verdana" w:hAnsi="Verdana"/>
          <w:sz w:val="20"/>
          <w:szCs w:val="20"/>
          <w:lang w:val="es-CR"/>
        </w:rPr>
        <w:t xml:space="preserve">adujo que la situación sobre la muerte de la presunta víctima aún se encuentra en investigación y no ha sido resuelta debido a que no se ha logrado establecer ni </w:t>
      </w:r>
      <w:r w:rsidR="00AB2B45" w:rsidRPr="00DC128C">
        <w:rPr>
          <w:rFonts w:ascii="Verdana" w:hAnsi="Verdana"/>
          <w:sz w:val="20"/>
          <w:szCs w:val="20"/>
          <w:lang w:val="es-CR"/>
        </w:rPr>
        <w:lastRenderedPageBreak/>
        <w:t xml:space="preserve">verificar los elementos de una ejecución extrajudicial por las complejidades que ha presentado el caso. En consecuencia, el Estado consideró que no se vulneró el artículo 4.1 de la Convención, en relación con el artículo 1.1 del mismo instrumento.  </w:t>
      </w:r>
    </w:p>
    <w:p w14:paraId="43E754D1" w14:textId="77777777" w:rsidR="00747CC2" w:rsidRPr="00747CC2" w:rsidRDefault="00747CC2" w:rsidP="00747CC2">
      <w:pPr>
        <w:autoSpaceDE w:val="0"/>
        <w:autoSpaceDN w:val="0"/>
        <w:adjustRightInd w:val="0"/>
        <w:spacing w:after="0" w:line="240" w:lineRule="auto"/>
        <w:jc w:val="both"/>
        <w:rPr>
          <w:rFonts w:ascii="Verdana" w:hAnsi="Verdana"/>
          <w:sz w:val="18"/>
          <w:szCs w:val="20"/>
          <w:lang w:val="es-CR"/>
        </w:rPr>
      </w:pPr>
    </w:p>
    <w:p w14:paraId="4FB50F1D" w14:textId="1A955C99" w:rsidR="00747CC2" w:rsidRPr="00747CC2" w:rsidRDefault="00DC128C" w:rsidP="00747CC2">
      <w:pPr>
        <w:pStyle w:val="Ttulo2"/>
        <w:numPr>
          <w:ilvl w:val="0"/>
          <w:numId w:val="11"/>
        </w:numPr>
        <w:tabs>
          <w:tab w:val="left" w:pos="360"/>
        </w:tabs>
        <w:spacing w:before="0"/>
        <w:ind w:hanging="720"/>
      </w:pPr>
      <w:bookmarkStart w:id="58" w:name="_Toc25247772"/>
      <w:r w:rsidRPr="00747CC2">
        <w:t>Consideraciones de la Corte</w:t>
      </w:r>
      <w:bookmarkEnd w:id="58"/>
    </w:p>
    <w:p w14:paraId="6F0E09FC" w14:textId="77777777" w:rsidR="00747CC2" w:rsidRPr="00747CC2" w:rsidRDefault="00747CC2" w:rsidP="00747CC2">
      <w:pPr>
        <w:pStyle w:val="Prrafodelista"/>
        <w:autoSpaceDE w:val="0"/>
        <w:autoSpaceDN w:val="0"/>
        <w:adjustRightInd w:val="0"/>
        <w:spacing w:after="0" w:line="240" w:lineRule="auto"/>
        <w:ind w:left="0"/>
        <w:jc w:val="both"/>
        <w:rPr>
          <w:rFonts w:ascii="Verdana" w:hAnsi="Verdana"/>
          <w:sz w:val="18"/>
          <w:szCs w:val="20"/>
          <w:lang w:val="es-CR"/>
        </w:rPr>
      </w:pPr>
    </w:p>
    <w:p w14:paraId="4453238F" w14:textId="316DD235" w:rsidR="00DC128C" w:rsidRPr="00DC128C" w:rsidRDefault="000E6FC3" w:rsidP="00DC128C">
      <w:pPr>
        <w:pStyle w:val="Prrafodelista"/>
        <w:numPr>
          <w:ilvl w:val="3"/>
          <w:numId w:val="1"/>
        </w:numPr>
        <w:autoSpaceDE w:val="0"/>
        <w:autoSpaceDN w:val="0"/>
        <w:adjustRightInd w:val="0"/>
        <w:spacing w:after="0" w:line="240" w:lineRule="auto"/>
        <w:ind w:left="0" w:firstLine="0"/>
        <w:jc w:val="both"/>
        <w:rPr>
          <w:rFonts w:ascii="Verdana" w:hAnsi="Verdana"/>
          <w:sz w:val="18"/>
          <w:szCs w:val="20"/>
          <w:lang w:val="es-CR"/>
        </w:rPr>
      </w:pPr>
      <w:r w:rsidRPr="00DC128C">
        <w:rPr>
          <w:rFonts w:ascii="Verdana" w:hAnsi="Verdana"/>
          <w:sz w:val="20"/>
          <w:szCs w:val="20"/>
        </w:rPr>
        <w:t xml:space="preserve">Este Tribunal nota que tanto la Comisión como los representantes argumentaron que el señor Valenzuela habría sido </w:t>
      </w:r>
      <w:r w:rsidR="006317D6" w:rsidRPr="00DC128C">
        <w:rPr>
          <w:rFonts w:ascii="Verdana" w:hAnsi="Verdana"/>
          <w:sz w:val="20"/>
          <w:szCs w:val="20"/>
        </w:rPr>
        <w:t xml:space="preserve">ejecutado extrajudicialmente. Por lo </w:t>
      </w:r>
      <w:r w:rsidR="00273F38">
        <w:rPr>
          <w:rFonts w:ascii="Verdana" w:hAnsi="Verdana"/>
          <w:sz w:val="20"/>
          <w:szCs w:val="20"/>
        </w:rPr>
        <w:t xml:space="preserve">que </w:t>
      </w:r>
      <w:r w:rsidR="006317D6" w:rsidRPr="00DC128C">
        <w:rPr>
          <w:rFonts w:ascii="Verdana" w:hAnsi="Verdana"/>
          <w:sz w:val="20"/>
          <w:szCs w:val="20"/>
        </w:rPr>
        <w:t>concluyeron que Guatemala violó el artículo 4.1 de la Convención Americana, en relación con el artículo 1.1 del mismo instrumento.</w:t>
      </w:r>
      <w:r w:rsidRPr="00DC128C">
        <w:rPr>
          <w:rFonts w:ascii="Verdana" w:hAnsi="Verdana"/>
          <w:sz w:val="20"/>
          <w:szCs w:val="20"/>
        </w:rPr>
        <w:t xml:space="preserve"> Por su parte, el Estado señaló que aún no se ha</w:t>
      </w:r>
      <w:r w:rsidR="00E146D7">
        <w:rPr>
          <w:rFonts w:ascii="Verdana" w:hAnsi="Verdana"/>
          <w:sz w:val="20"/>
          <w:szCs w:val="20"/>
        </w:rPr>
        <w:t>n</w:t>
      </w:r>
      <w:r w:rsidRPr="00DC128C">
        <w:rPr>
          <w:rFonts w:ascii="Verdana" w:hAnsi="Verdana"/>
          <w:sz w:val="20"/>
          <w:szCs w:val="20"/>
        </w:rPr>
        <w:t xml:space="preserve"> logrado establecer los elementos de una ejecución extrajudicial debido a las complejidades que se presentan en el caso, el cual aún está siendo investigado a nivel interno.</w:t>
      </w:r>
    </w:p>
    <w:p w14:paraId="4487FF63" w14:textId="77777777" w:rsidR="00DC128C" w:rsidRDefault="00DC128C" w:rsidP="00DC128C">
      <w:pPr>
        <w:pStyle w:val="Prrafodelista"/>
        <w:autoSpaceDE w:val="0"/>
        <w:autoSpaceDN w:val="0"/>
        <w:adjustRightInd w:val="0"/>
        <w:spacing w:after="0" w:line="240" w:lineRule="auto"/>
        <w:ind w:left="0"/>
        <w:jc w:val="both"/>
        <w:rPr>
          <w:rFonts w:ascii="Verdana" w:hAnsi="Verdana"/>
          <w:sz w:val="18"/>
          <w:szCs w:val="20"/>
          <w:lang w:val="es-CR"/>
        </w:rPr>
      </w:pPr>
    </w:p>
    <w:p w14:paraId="305D5C05" w14:textId="77777777" w:rsidR="00DC128C" w:rsidRDefault="000E6FC3" w:rsidP="00DC128C">
      <w:pPr>
        <w:pStyle w:val="Prrafodelista"/>
        <w:numPr>
          <w:ilvl w:val="3"/>
          <w:numId w:val="1"/>
        </w:numPr>
        <w:autoSpaceDE w:val="0"/>
        <w:autoSpaceDN w:val="0"/>
        <w:adjustRightInd w:val="0"/>
        <w:spacing w:after="0" w:line="240" w:lineRule="auto"/>
        <w:ind w:left="0" w:firstLine="0"/>
        <w:jc w:val="both"/>
        <w:rPr>
          <w:rFonts w:ascii="Verdana" w:hAnsi="Verdana"/>
          <w:sz w:val="18"/>
          <w:szCs w:val="20"/>
          <w:lang w:val="es-CR"/>
        </w:rPr>
      </w:pPr>
      <w:r w:rsidRPr="00DC128C">
        <w:rPr>
          <w:rFonts w:ascii="Verdana" w:eastAsia="Times New Roman" w:hAnsi="Verdana" w:cs="Arial"/>
          <w:sz w:val="20"/>
          <w:szCs w:val="20"/>
          <w:lang w:val="es-CR"/>
        </w:rPr>
        <w:t>En casos como el presente donde no existe prueba directa de la actuación de los agentes estatales, la Corte ha resaltado que es legítimo el uso de la prueba circunstancial, los indicios y las presunciones para fundar una sentencia, siempre que de ellos puedan inferirse conclusiones consistentes sobre los hechos</w:t>
      </w:r>
      <w:r w:rsidRPr="002F2396">
        <w:rPr>
          <w:rFonts w:ascii="Verdana" w:hAnsi="Verdana"/>
          <w:sz w:val="20"/>
          <w:szCs w:val="20"/>
          <w:vertAlign w:val="superscript"/>
          <w:lang w:val="es-CR"/>
        </w:rPr>
        <w:footnoteReference w:id="128"/>
      </w:r>
      <w:r w:rsidRPr="00DC128C">
        <w:rPr>
          <w:rFonts w:ascii="Verdana" w:eastAsia="Times New Roman" w:hAnsi="Verdana" w:cs="Arial"/>
          <w:sz w:val="20"/>
          <w:szCs w:val="20"/>
          <w:lang w:val="es-CR"/>
        </w:rPr>
        <w:t>. Al respecto, este Tribunal ha señalado que corresponde a la parte demandante, en principio, la carga de la prueba de los hechos en que se funda su alegato. No obstante, ha destacado que, en los procesos sobre violaciones de derechos humanos la defensa del Estado no puede descansar sobre la imposibilidad del demandante de allegar pruebas, cuando es el Estado quien tiene el control de los medios para aclarar hechos ocurridos dentro de su territorio</w:t>
      </w:r>
      <w:r w:rsidRPr="002F2396">
        <w:rPr>
          <w:rFonts w:ascii="Verdana" w:hAnsi="Verdana"/>
          <w:sz w:val="20"/>
          <w:szCs w:val="20"/>
          <w:vertAlign w:val="superscript"/>
          <w:lang w:val="es-CR"/>
        </w:rPr>
        <w:footnoteReference w:id="129"/>
      </w:r>
      <w:r w:rsidRPr="00DC128C">
        <w:rPr>
          <w:rFonts w:ascii="Verdana" w:eastAsia="Times New Roman" w:hAnsi="Verdana" w:cs="Arial"/>
          <w:sz w:val="20"/>
          <w:szCs w:val="20"/>
          <w:lang w:val="es-CR"/>
        </w:rPr>
        <w:t>.</w:t>
      </w:r>
    </w:p>
    <w:p w14:paraId="08A00A9B" w14:textId="77777777" w:rsidR="00DC128C" w:rsidRPr="00DC128C" w:rsidRDefault="00DC128C" w:rsidP="00DC128C">
      <w:pPr>
        <w:pStyle w:val="Prrafodelista"/>
        <w:rPr>
          <w:rFonts w:ascii="Verdana" w:eastAsia="Times New Roman" w:hAnsi="Verdana" w:cs="Arial"/>
          <w:sz w:val="20"/>
          <w:szCs w:val="20"/>
          <w:lang w:val="es-CR"/>
        </w:rPr>
      </w:pPr>
    </w:p>
    <w:p w14:paraId="7EC3872A" w14:textId="77777777" w:rsidR="00DC128C" w:rsidRDefault="000E6FC3" w:rsidP="00DC128C">
      <w:pPr>
        <w:pStyle w:val="Prrafodelista"/>
        <w:numPr>
          <w:ilvl w:val="3"/>
          <w:numId w:val="1"/>
        </w:numPr>
        <w:autoSpaceDE w:val="0"/>
        <w:autoSpaceDN w:val="0"/>
        <w:adjustRightInd w:val="0"/>
        <w:spacing w:after="0" w:line="240" w:lineRule="auto"/>
        <w:ind w:left="0" w:firstLine="0"/>
        <w:jc w:val="both"/>
        <w:rPr>
          <w:rFonts w:ascii="Verdana" w:hAnsi="Verdana"/>
          <w:sz w:val="18"/>
          <w:szCs w:val="20"/>
          <w:lang w:val="es-CR"/>
        </w:rPr>
      </w:pPr>
      <w:r w:rsidRPr="00DC128C">
        <w:rPr>
          <w:rFonts w:ascii="Verdana" w:eastAsia="Times New Roman" w:hAnsi="Verdana" w:cs="Arial"/>
          <w:sz w:val="20"/>
          <w:szCs w:val="20"/>
          <w:lang w:val="es-CR"/>
        </w:rPr>
        <w:t xml:space="preserve"> </w:t>
      </w:r>
      <w:r w:rsidR="00D35B26" w:rsidRPr="00DC128C">
        <w:rPr>
          <w:rFonts w:ascii="Verdana" w:eastAsia="Times New Roman" w:hAnsi="Verdana" w:cs="Arial"/>
          <w:sz w:val="20"/>
          <w:szCs w:val="20"/>
          <w:lang w:val="es-CR"/>
        </w:rPr>
        <w:t>L</w:t>
      </w:r>
      <w:r w:rsidRPr="00DC128C">
        <w:rPr>
          <w:rFonts w:ascii="Verdana" w:eastAsia="Times New Roman" w:hAnsi="Verdana" w:cs="Arial"/>
          <w:sz w:val="20"/>
          <w:szCs w:val="20"/>
          <w:lang w:val="es-CR"/>
        </w:rPr>
        <w:t xml:space="preserve">a Comisión y los representantes hicieron </w:t>
      </w:r>
      <w:r w:rsidR="002F2396" w:rsidRPr="00DC128C">
        <w:rPr>
          <w:rFonts w:ascii="Verdana" w:eastAsia="Times New Roman" w:hAnsi="Verdana" w:cs="Arial"/>
          <w:sz w:val="20"/>
          <w:szCs w:val="20"/>
          <w:lang w:val="es-CR"/>
        </w:rPr>
        <w:t xml:space="preserve">diversas </w:t>
      </w:r>
      <w:r w:rsidRPr="00DC128C">
        <w:rPr>
          <w:rFonts w:ascii="Verdana" w:eastAsia="Times New Roman" w:hAnsi="Verdana" w:cs="Arial"/>
          <w:sz w:val="20"/>
          <w:szCs w:val="20"/>
          <w:lang w:val="es-CR"/>
        </w:rPr>
        <w:t xml:space="preserve">aseveraciones relacionadas con la actividad desplegada por agentes estatales en la búsqueda del señor Valenzuela dentro del </w:t>
      </w:r>
      <w:r w:rsidR="00110582" w:rsidRPr="00DC128C">
        <w:rPr>
          <w:rFonts w:ascii="Verdana" w:eastAsia="Times New Roman" w:hAnsi="Verdana" w:cs="Arial"/>
          <w:sz w:val="20"/>
          <w:szCs w:val="20"/>
          <w:lang w:val="es-CR"/>
        </w:rPr>
        <w:t>“</w:t>
      </w:r>
      <w:r w:rsidRPr="00DC128C">
        <w:rPr>
          <w:rFonts w:ascii="Verdana" w:eastAsia="Times New Roman" w:hAnsi="Verdana" w:cs="Arial"/>
          <w:sz w:val="20"/>
          <w:szCs w:val="20"/>
          <w:lang w:val="es-CR"/>
        </w:rPr>
        <w:t>Plan Gavilán</w:t>
      </w:r>
      <w:r w:rsidR="00110582" w:rsidRPr="00DC128C">
        <w:rPr>
          <w:rFonts w:ascii="Verdana" w:eastAsia="Times New Roman" w:hAnsi="Verdana" w:cs="Arial"/>
          <w:sz w:val="20"/>
          <w:szCs w:val="20"/>
          <w:lang w:val="es-CR"/>
        </w:rPr>
        <w:t>”</w:t>
      </w:r>
      <w:r w:rsidRPr="00DC128C">
        <w:rPr>
          <w:rFonts w:ascii="Verdana" w:eastAsia="Times New Roman" w:hAnsi="Verdana" w:cs="Arial"/>
          <w:sz w:val="20"/>
          <w:szCs w:val="20"/>
          <w:lang w:val="es-CR"/>
        </w:rPr>
        <w:t xml:space="preserve">, creado entre los años 2005 y 2006 por el Estado para recapturar a los 19 prófugos </w:t>
      </w:r>
      <w:r w:rsidRPr="00DC128C">
        <w:rPr>
          <w:rFonts w:ascii="Verdana" w:hAnsi="Verdana"/>
          <w:sz w:val="20"/>
          <w:szCs w:val="20"/>
          <w:lang w:val="es-CR"/>
        </w:rPr>
        <w:t>del centro penitenciario de máxima seguridad de Escuintla “El Infiernito”</w:t>
      </w:r>
      <w:r w:rsidR="006943A6" w:rsidRPr="00DC128C">
        <w:rPr>
          <w:rFonts w:ascii="Verdana" w:hAnsi="Verdana"/>
          <w:sz w:val="20"/>
          <w:szCs w:val="20"/>
          <w:lang w:val="es-CR"/>
        </w:rPr>
        <w:t>, y centraron sus alegatos</w:t>
      </w:r>
      <w:r w:rsidRPr="00DC128C">
        <w:rPr>
          <w:rFonts w:ascii="Verdana" w:hAnsi="Verdana"/>
          <w:sz w:val="20"/>
          <w:szCs w:val="20"/>
          <w:lang w:val="es-CR"/>
        </w:rPr>
        <w:t xml:space="preserve"> </w:t>
      </w:r>
      <w:r w:rsidR="006943A6" w:rsidRPr="00DC128C">
        <w:rPr>
          <w:rFonts w:ascii="Verdana" w:hAnsi="Verdana"/>
          <w:sz w:val="20"/>
          <w:szCs w:val="20"/>
          <w:lang w:val="es-CR"/>
        </w:rPr>
        <w:t xml:space="preserve">en </w:t>
      </w:r>
      <w:r w:rsidRPr="00DC128C">
        <w:rPr>
          <w:rFonts w:ascii="Verdana" w:hAnsi="Verdana"/>
          <w:sz w:val="20"/>
          <w:szCs w:val="20"/>
          <w:lang w:val="es-CR"/>
        </w:rPr>
        <w:t>una serie de actuaciones realizadas en otras investigaciones relacionadas con otros prófugos de “El Infiernito”</w:t>
      </w:r>
      <w:r w:rsidR="00BE698E" w:rsidRPr="002F2396">
        <w:rPr>
          <w:rStyle w:val="Refdenotaalpie"/>
          <w:rFonts w:ascii="Verdana" w:hAnsi="Verdana"/>
          <w:sz w:val="20"/>
          <w:szCs w:val="20"/>
          <w:lang w:val="es-CR"/>
        </w:rPr>
        <w:footnoteReference w:id="130"/>
      </w:r>
      <w:r w:rsidR="00BE698E" w:rsidRPr="00DC128C">
        <w:rPr>
          <w:rFonts w:ascii="Verdana" w:hAnsi="Verdana"/>
          <w:sz w:val="20"/>
          <w:szCs w:val="20"/>
          <w:lang w:val="es-CR"/>
        </w:rPr>
        <w:t>.</w:t>
      </w:r>
      <w:r w:rsidRPr="00DC128C">
        <w:rPr>
          <w:rFonts w:ascii="Verdana" w:hAnsi="Verdana"/>
          <w:sz w:val="20"/>
          <w:szCs w:val="20"/>
          <w:lang w:val="es-CR"/>
        </w:rPr>
        <w:t xml:space="preserve"> </w:t>
      </w:r>
    </w:p>
    <w:p w14:paraId="2E255291" w14:textId="77777777" w:rsidR="00DC128C" w:rsidRPr="00DC128C" w:rsidRDefault="00DC128C" w:rsidP="00DC128C">
      <w:pPr>
        <w:pStyle w:val="Prrafodelista"/>
        <w:rPr>
          <w:rFonts w:ascii="Verdana" w:hAnsi="Verdana"/>
          <w:sz w:val="20"/>
          <w:szCs w:val="20"/>
          <w:lang w:val="es-CR"/>
        </w:rPr>
      </w:pPr>
    </w:p>
    <w:p w14:paraId="68DD4556" w14:textId="77777777" w:rsidR="00DC128C" w:rsidRDefault="00E96FA5" w:rsidP="00DC128C">
      <w:pPr>
        <w:pStyle w:val="Prrafodelista"/>
        <w:numPr>
          <w:ilvl w:val="3"/>
          <w:numId w:val="1"/>
        </w:numPr>
        <w:autoSpaceDE w:val="0"/>
        <w:autoSpaceDN w:val="0"/>
        <w:adjustRightInd w:val="0"/>
        <w:spacing w:after="0" w:line="240" w:lineRule="auto"/>
        <w:ind w:left="0" w:firstLine="0"/>
        <w:jc w:val="both"/>
        <w:rPr>
          <w:rFonts w:ascii="Verdana" w:hAnsi="Verdana"/>
          <w:sz w:val="18"/>
          <w:szCs w:val="20"/>
          <w:lang w:val="es-CR"/>
        </w:rPr>
      </w:pPr>
      <w:r w:rsidRPr="00DC128C">
        <w:rPr>
          <w:rFonts w:ascii="Verdana" w:hAnsi="Verdana"/>
          <w:sz w:val="20"/>
          <w:szCs w:val="20"/>
          <w:lang w:val="es-CR"/>
        </w:rPr>
        <w:t>Frente a lo anterior, el Estado señaló que si bien considera incontrovertible la existencia de un plan para la recaptura de los reos fugados, dentro de</w:t>
      </w:r>
      <w:r w:rsidR="00963A3D">
        <w:rPr>
          <w:rFonts w:ascii="Verdana" w:hAnsi="Verdana"/>
          <w:sz w:val="20"/>
          <w:szCs w:val="20"/>
          <w:lang w:val="es-CR"/>
        </w:rPr>
        <w:t>l cual se llevó a cabo la recaptura de</w:t>
      </w:r>
      <w:r w:rsidRPr="00DC128C">
        <w:rPr>
          <w:rFonts w:ascii="Verdana" w:hAnsi="Verdana"/>
          <w:sz w:val="20"/>
          <w:szCs w:val="20"/>
          <w:lang w:val="es-CR"/>
        </w:rPr>
        <w:t xml:space="preserve"> nueve prófugos, no consideró “pertinente afirmar que de la ejecución de ese plan hayan resultado muertas siete personas”. </w:t>
      </w:r>
    </w:p>
    <w:p w14:paraId="0BB9EB15" w14:textId="77777777" w:rsidR="00DC128C" w:rsidRPr="00DC128C" w:rsidRDefault="00DC128C" w:rsidP="00DC128C">
      <w:pPr>
        <w:pStyle w:val="Prrafodelista"/>
        <w:rPr>
          <w:rFonts w:ascii="Verdana" w:hAnsi="Verdana"/>
          <w:sz w:val="20"/>
          <w:szCs w:val="20"/>
          <w:lang w:val="es-CR"/>
        </w:rPr>
      </w:pPr>
    </w:p>
    <w:p w14:paraId="767C3B40" w14:textId="77777777" w:rsidR="00DC128C" w:rsidRDefault="00394A23" w:rsidP="00DC128C">
      <w:pPr>
        <w:pStyle w:val="Prrafodelista"/>
        <w:numPr>
          <w:ilvl w:val="3"/>
          <w:numId w:val="1"/>
        </w:numPr>
        <w:autoSpaceDE w:val="0"/>
        <w:autoSpaceDN w:val="0"/>
        <w:adjustRightInd w:val="0"/>
        <w:spacing w:after="0" w:line="240" w:lineRule="auto"/>
        <w:ind w:left="0" w:firstLine="0"/>
        <w:jc w:val="both"/>
        <w:rPr>
          <w:rFonts w:ascii="Verdana" w:hAnsi="Verdana"/>
          <w:sz w:val="18"/>
          <w:szCs w:val="20"/>
          <w:lang w:val="es-CR"/>
        </w:rPr>
      </w:pPr>
      <w:r w:rsidRPr="00DC128C">
        <w:rPr>
          <w:rFonts w:ascii="Verdana" w:hAnsi="Verdana"/>
          <w:sz w:val="20"/>
          <w:szCs w:val="20"/>
          <w:lang w:val="es-CR"/>
        </w:rPr>
        <w:t>Dadas las alegaciones de las partes y la Comisión</w:t>
      </w:r>
      <w:r w:rsidR="006C353E" w:rsidRPr="00DC128C">
        <w:rPr>
          <w:rFonts w:ascii="Verdana" w:hAnsi="Verdana"/>
          <w:sz w:val="20"/>
          <w:szCs w:val="20"/>
          <w:lang w:val="es-CR"/>
        </w:rPr>
        <w:t xml:space="preserve"> </w:t>
      </w:r>
      <w:r w:rsidR="008E556E" w:rsidRPr="00DC128C">
        <w:rPr>
          <w:rFonts w:ascii="Verdana" w:hAnsi="Verdana"/>
          <w:sz w:val="20"/>
          <w:szCs w:val="20"/>
          <w:lang w:val="es-CR"/>
        </w:rPr>
        <w:t xml:space="preserve">corresponde a este </w:t>
      </w:r>
      <w:r w:rsidR="006C353E" w:rsidRPr="00DC128C">
        <w:rPr>
          <w:rFonts w:ascii="Verdana" w:hAnsi="Verdana"/>
          <w:sz w:val="20"/>
          <w:szCs w:val="20"/>
          <w:lang w:val="es-CR"/>
        </w:rPr>
        <w:t>Tribunal examinar</w:t>
      </w:r>
      <w:r w:rsidR="00AB1FFF" w:rsidRPr="00DC128C">
        <w:rPr>
          <w:rFonts w:ascii="Verdana" w:hAnsi="Verdana"/>
          <w:sz w:val="20"/>
          <w:szCs w:val="20"/>
          <w:lang w:val="es-CR"/>
        </w:rPr>
        <w:t xml:space="preserve"> </w:t>
      </w:r>
      <w:r w:rsidR="006C353E" w:rsidRPr="00DC128C">
        <w:rPr>
          <w:rFonts w:ascii="Verdana" w:hAnsi="Verdana"/>
          <w:sz w:val="20"/>
          <w:szCs w:val="20"/>
          <w:lang w:val="es-CR"/>
        </w:rPr>
        <w:t>las circunstancias en que se produjo la muerte del señor Valenzuela y si esta es atribuible al Estado, tomando en cuenta el acervo probatorio.</w:t>
      </w:r>
    </w:p>
    <w:p w14:paraId="16F9F00D" w14:textId="77777777" w:rsidR="00DC128C" w:rsidRPr="00DC128C" w:rsidRDefault="00DC128C" w:rsidP="00DC128C">
      <w:pPr>
        <w:pStyle w:val="Prrafodelista"/>
        <w:rPr>
          <w:rFonts w:ascii="Verdana" w:hAnsi="Verdana"/>
          <w:b/>
          <w:sz w:val="20"/>
          <w:szCs w:val="20"/>
          <w:lang w:val="es-CR"/>
        </w:rPr>
      </w:pPr>
    </w:p>
    <w:p w14:paraId="0D7AE87C" w14:textId="77777777" w:rsidR="00DC128C" w:rsidRPr="00BD4F4B" w:rsidRDefault="00FF0D4A" w:rsidP="00912266">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912266">
        <w:rPr>
          <w:rFonts w:ascii="Verdana" w:hAnsi="Verdana"/>
          <w:sz w:val="20"/>
          <w:szCs w:val="20"/>
          <w:lang w:val="es-CR"/>
        </w:rPr>
        <w:lastRenderedPageBreak/>
        <w:t xml:space="preserve">Ahora bien, está probado que </w:t>
      </w:r>
      <w:r w:rsidR="00476A0A" w:rsidRPr="00912266">
        <w:rPr>
          <w:rFonts w:ascii="Verdana" w:hAnsi="Verdana"/>
          <w:sz w:val="20"/>
          <w:szCs w:val="20"/>
          <w:lang w:val="es-CR"/>
        </w:rPr>
        <w:t xml:space="preserve">el </w:t>
      </w:r>
      <w:r w:rsidRPr="00912266">
        <w:rPr>
          <w:rFonts w:ascii="Verdana" w:hAnsi="Verdana"/>
          <w:sz w:val="20"/>
          <w:szCs w:val="20"/>
          <w:lang w:val="es-CR"/>
        </w:rPr>
        <w:t xml:space="preserve">22 de octubre de 2005 el señor Valenzuela junto con 18 personas </w:t>
      </w:r>
      <w:r w:rsidR="00476A0A" w:rsidRPr="00912266">
        <w:rPr>
          <w:rFonts w:ascii="Verdana" w:hAnsi="Verdana"/>
          <w:sz w:val="20"/>
          <w:szCs w:val="20"/>
          <w:lang w:val="es-CR"/>
        </w:rPr>
        <w:t xml:space="preserve">se </w:t>
      </w:r>
      <w:r w:rsidRPr="00912266">
        <w:rPr>
          <w:rFonts w:ascii="Verdana" w:hAnsi="Verdana"/>
          <w:sz w:val="20"/>
          <w:szCs w:val="20"/>
          <w:lang w:val="es-CR"/>
        </w:rPr>
        <w:t xml:space="preserve">fugaron de la cárcel de máxima </w:t>
      </w:r>
      <w:proofErr w:type="gramStart"/>
      <w:r w:rsidRPr="00912266">
        <w:rPr>
          <w:rFonts w:ascii="Verdana" w:hAnsi="Verdana"/>
          <w:sz w:val="20"/>
          <w:szCs w:val="20"/>
          <w:lang w:val="es-CR"/>
        </w:rPr>
        <w:t>seguridad  “</w:t>
      </w:r>
      <w:proofErr w:type="gramEnd"/>
      <w:r w:rsidRPr="00912266">
        <w:rPr>
          <w:rFonts w:ascii="Verdana" w:hAnsi="Verdana"/>
          <w:sz w:val="20"/>
          <w:szCs w:val="20"/>
          <w:lang w:val="es-CR"/>
        </w:rPr>
        <w:t>El Infiernito”,</w:t>
      </w:r>
      <w:r w:rsidR="00476A0A" w:rsidRPr="00912266">
        <w:rPr>
          <w:rFonts w:ascii="Verdana" w:hAnsi="Verdana"/>
          <w:sz w:val="20"/>
          <w:szCs w:val="20"/>
          <w:lang w:val="es-CR"/>
        </w:rPr>
        <w:t xml:space="preserve"> y que en </w:t>
      </w:r>
      <w:r w:rsidRPr="00912266">
        <w:rPr>
          <w:rFonts w:ascii="Verdana" w:hAnsi="Verdana"/>
          <w:sz w:val="20"/>
          <w:szCs w:val="20"/>
          <w:lang w:val="es-CR"/>
        </w:rPr>
        <w:t xml:space="preserve">esa misma fecha el Estado </w:t>
      </w:r>
      <w:r w:rsidR="00476A0A" w:rsidRPr="00912266">
        <w:rPr>
          <w:rFonts w:ascii="Verdana" w:hAnsi="Verdana"/>
          <w:sz w:val="20"/>
          <w:szCs w:val="20"/>
          <w:lang w:val="es-CR"/>
        </w:rPr>
        <w:t>creó</w:t>
      </w:r>
      <w:r w:rsidRPr="00912266">
        <w:rPr>
          <w:rFonts w:ascii="Verdana" w:hAnsi="Verdana"/>
          <w:sz w:val="20"/>
          <w:szCs w:val="20"/>
          <w:lang w:val="es-CR"/>
        </w:rPr>
        <w:t xml:space="preserve"> la “Operación Gavilán” con la finalidad de </w:t>
      </w:r>
      <w:r w:rsidR="00963A3D">
        <w:rPr>
          <w:rFonts w:ascii="Verdana" w:hAnsi="Verdana"/>
          <w:sz w:val="20"/>
          <w:szCs w:val="20"/>
          <w:lang w:val="es-CR"/>
        </w:rPr>
        <w:t xml:space="preserve">llevar a cabo </w:t>
      </w:r>
      <w:r w:rsidR="00380A09" w:rsidRPr="00912266">
        <w:rPr>
          <w:rFonts w:ascii="Verdana" w:hAnsi="Verdana"/>
          <w:sz w:val="20"/>
          <w:szCs w:val="20"/>
          <w:lang w:val="es-CR"/>
        </w:rPr>
        <w:t xml:space="preserve">la búsqueda y </w:t>
      </w:r>
      <w:r w:rsidRPr="00912266">
        <w:rPr>
          <w:rFonts w:ascii="Verdana" w:hAnsi="Verdana"/>
          <w:sz w:val="20"/>
          <w:szCs w:val="20"/>
          <w:lang w:val="es-CR"/>
        </w:rPr>
        <w:t>recaptura</w:t>
      </w:r>
      <w:r w:rsidR="00380A09" w:rsidRPr="00912266">
        <w:rPr>
          <w:rFonts w:ascii="Verdana" w:hAnsi="Verdana"/>
          <w:sz w:val="20"/>
          <w:szCs w:val="20"/>
          <w:lang w:val="es-CR"/>
        </w:rPr>
        <w:t xml:space="preserve"> de</w:t>
      </w:r>
      <w:r w:rsidRPr="00912266">
        <w:rPr>
          <w:rFonts w:ascii="Verdana" w:hAnsi="Verdana"/>
          <w:sz w:val="20"/>
          <w:szCs w:val="20"/>
          <w:lang w:val="es-CR"/>
        </w:rPr>
        <w:t xml:space="preserve"> los 19 privados de libertad</w:t>
      </w:r>
      <w:r w:rsidR="000C77D8" w:rsidRPr="00912266">
        <w:rPr>
          <w:rFonts w:ascii="Verdana" w:hAnsi="Verdana"/>
          <w:sz w:val="20"/>
          <w:szCs w:val="20"/>
          <w:lang w:val="es-CR"/>
        </w:rPr>
        <w:t xml:space="preserve"> </w:t>
      </w:r>
      <w:r w:rsidR="00476A0A" w:rsidRPr="00912266">
        <w:rPr>
          <w:rFonts w:ascii="Verdana" w:hAnsi="Verdana"/>
          <w:sz w:val="20"/>
          <w:szCs w:val="20"/>
          <w:lang w:val="es-CR"/>
        </w:rPr>
        <w:t>que se encontraban prófugo</w:t>
      </w:r>
      <w:r w:rsidR="00851DD4">
        <w:rPr>
          <w:rFonts w:ascii="Verdana" w:hAnsi="Verdana"/>
          <w:sz w:val="20"/>
          <w:szCs w:val="20"/>
          <w:lang w:val="es-CR"/>
        </w:rPr>
        <w:t>s</w:t>
      </w:r>
      <w:r w:rsidR="00912266">
        <w:rPr>
          <w:rFonts w:ascii="Verdana" w:hAnsi="Verdana"/>
          <w:sz w:val="20"/>
          <w:szCs w:val="20"/>
          <w:lang w:val="es-CR"/>
        </w:rPr>
        <w:t xml:space="preserve">. </w:t>
      </w:r>
      <w:r w:rsidRPr="00912266">
        <w:rPr>
          <w:rFonts w:ascii="Verdana" w:hAnsi="Verdana"/>
          <w:sz w:val="20"/>
          <w:szCs w:val="20"/>
          <w:lang w:val="es-CR"/>
        </w:rPr>
        <w:t xml:space="preserve">Además de ello, está </w:t>
      </w:r>
      <w:r w:rsidR="00476A0A" w:rsidRPr="00912266">
        <w:rPr>
          <w:rFonts w:ascii="Verdana" w:hAnsi="Verdana"/>
          <w:sz w:val="20"/>
          <w:szCs w:val="20"/>
          <w:lang w:val="es-CR"/>
        </w:rPr>
        <w:t xml:space="preserve">demostrado </w:t>
      </w:r>
      <w:r w:rsidRPr="00912266">
        <w:rPr>
          <w:rFonts w:ascii="Verdana" w:hAnsi="Verdana"/>
          <w:sz w:val="20"/>
          <w:szCs w:val="20"/>
          <w:lang w:val="es-CR"/>
        </w:rPr>
        <w:t xml:space="preserve">que el señor Valenzuela murió violentamente </w:t>
      </w:r>
      <w:r w:rsidRPr="00912266">
        <w:rPr>
          <w:rFonts w:ascii="Verdana" w:hAnsi="Verdana" w:cs="Calibri"/>
          <w:sz w:val="20"/>
          <w:szCs w:val="20"/>
          <w:lang w:val="es-CR"/>
        </w:rPr>
        <w:t xml:space="preserve">junto con EMF </w:t>
      </w:r>
      <w:r w:rsidRPr="00912266">
        <w:rPr>
          <w:rFonts w:ascii="Verdana" w:hAnsi="Verdana" w:cs="Arial"/>
          <w:sz w:val="20"/>
          <w:szCs w:val="20"/>
          <w:lang w:val="es-CR"/>
        </w:rPr>
        <w:t>(ambos prófugos de la justicia)</w:t>
      </w:r>
      <w:r w:rsidRPr="00912266">
        <w:rPr>
          <w:rFonts w:ascii="Verdana" w:hAnsi="Verdana"/>
          <w:sz w:val="20"/>
          <w:szCs w:val="20"/>
          <w:lang w:val="es-CR"/>
        </w:rPr>
        <w:t xml:space="preserve"> el 8 de </w:t>
      </w:r>
      <w:r w:rsidR="00476A0A" w:rsidRPr="00912266">
        <w:rPr>
          <w:rFonts w:ascii="Verdana" w:hAnsi="Verdana"/>
          <w:sz w:val="20"/>
          <w:szCs w:val="20"/>
          <w:lang w:val="es-CR"/>
        </w:rPr>
        <w:t>diciembre de 2006 por</w:t>
      </w:r>
      <w:r w:rsidRPr="00912266">
        <w:rPr>
          <w:rFonts w:ascii="Verdana" w:hAnsi="Verdana"/>
          <w:sz w:val="20"/>
          <w:szCs w:val="20"/>
          <w:lang w:val="es-CR"/>
        </w:rPr>
        <w:t xml:space="preserve"> arma de fuego </w:t>
      </w:r>
      <w:r w:rsidRPr="00912266">
        <w:rPr>
          <w:rFonts w:ascii="Verdana" w:hAnsi="Verdana" w:cs="Arial"/>
          <w:sz w:val="20"/>
          <w:szCs w:val="20"/>
          <w:lang w:val="es-CR"/>
        </w:rPr>
        <w:t>en pleno centro de la</w:t>
      </w:r>
      <w:r w:rsidR="008739AA" w:rsidRPr="00912266">
        <w:rPr>
          <w:rFonts w:ascii="Verdana" w:hAnsi="Verdana" w:cs="Arial"/>
          <w:sz w:val="20"/>
          <w:szCs w:val="20"/>
          <w:lang w:val="es-CR"/>
        </w:rPr>
        <w:t xml:space="preserve"> ciudad de La Gomera, Escuintla, y su</w:t>
      </w:r>
      <w:r w:rsidR="008739AA" w:rsidRPr="00912266">
        <w:t xml:space="preserve"> </w:t>
      </w:r>
      <w:r w:rsidR="008739AA" w:rsidRPr="00912266">
        <w:rPr>
          <w:rFonts w:ascii="Verdana" w:hAnsi="Verdana"/>
          <w:sz w:val="20"/>
          <w:szCs w:val="20"/>
        </w:rPr>
        <w:t>cadáver no fue entregado a sus familiares</w:t>
      </w:r>
      <w:r w:rsidR="008739AA" w:rsidRPr="00912266">
        <w:rPr>
          <w:rStyle w:val="Refdenotaalpie"/>
          <w:rFonts w:ascii="Verdana" w:hAnsi="Verdana"/>
          <w:sz w:val="20"/>
          <w:szCs w:val="20"/>
        </w:rPr>
        <w:footnoteReference w:id="131"/>
      </w:r>
      <w:r w:rsidR="008739AA" w:rsidRPr="00912266">
        <w:rPr>
          <w:rFonts w:ascii="Verdana" w:hAnsi="Verdana"/>
          <w:sz w:val="20"/>
          <w:szCs w:val="20"/>
        </w:rPr>
        <w:t>.</w:t>
      </w:r>
      <w:r w:rsidR="008739AA" w:rsidRPr="00912266">
        <w:t xml:space="preserve">  </w:t>
      </w:r>
    </w:p>
    <w:p w14:paraId="3F3594A5" w14:textId="77777777" w:rsidR="00BD4F4B" w:rsidRPr="00912266" w:rsidRDefault="00BD4F4B" w:rsidP="00BD4F4B">
      <w:pPr>
        <w:pStyle w:val="Prrafodelista"/>
        <w:autoSpaceDE w:val="0"/>
        <w:autoSpaceDN w:val="0"/>
        <w:adjustRightInd w:val="0"/>
        <w:spacing w:after="0" w:line="240" w:lineRule="auto"/>
        <w:ind w:left="0"/>
        <w:jc w:val="both"/>
        <w:rPr>
          <w:rFonts w:ascii="Verdana" w:hAnsi="Verdana"/>
          <w:sz w:val="20"/>
          <w:szCs w:val="20"/>
          <w:lang w:val="es-CR"/>
        </w:rPr>
      </w:pPr>
    </w:p>
    <w:p w14:paraId="05944F3E" w14:textId="61FFE6A1" w:rsidR="00DC128C" w:rsidRPr="00E21C19" w:rsidRDefault="004B4758" w:rsidP="00DC128C">
      <w:pPr>
        <w:pStyle w:val="Prrafodelista"/>
        <w:numPr>
          <w:ilvl w:val="3"/>
          <w:numId w:val="1"/>
        </w:numPr>
        <w:autoSpaceDE w:val="0"/>
        <w:autoSpaceDN w:val="0"/>
        <w:adjustRightInd w:val="0"/>
        <w:spacing w:after="0" w:line="240" w:lineRule="auto"/>
        <w:ind w:left="0" w:firstLine="0"/>
        <w:jc w:val="both"/>
        <w:rPr>
          <w:rFonts w:ascii="Verdana" w:hAnsi="Verdana"/>
          <w:sz w:val="18"/>
          <w:szCs w:val="20"/>
          <w:lang w:val="es-CR"/>
        </w:rPr>
      </w:pPr>
      <w:r w:rsidRPr="00912266">
        <w:rPr>
          <w:rFonts w:ascii="Verdana" w:hAnsi="Verdana"/>
          <w:sz w:val="20"/>
          <w:szCs w:val="20"/>
          <w:lang w:val="es-CR"/>
        </w:rPr>
        <w:t xml:space="preserve">Además, en la audiencia oral de prueba anticipada ofrecida ante el Juzgado Primero de Primera Instancia Penal, Narcoactividad y Delitos contra el Ambiente del 15 de febrero de 2012 en la causa C-01076-2010-004, la señora MFF, quien formó parte del </w:t>
      </w:r>
      <w:r w:rsidR="00424B1A" w:rsidRPr="00912266">
        <w:rPr>
          <w:rFonts w:ascii="Verdana" w:hAnsi="Verdana"/>
          <w:sz w:val="20"/>
          <w:szCs w:val="20"/>
          <w:lang w:val="es-CR"/>
        </w:rPr>
        <w:t>“</w:t>
      </w:r>
      <w:r w:rsidRPr="00912266">
        <w:rPr>
          <w:rFonts w:ascii="Verdana" w:hAnsi="Verdana"/>
          <w:sz w:val="20"/>
          <w:szCs w:val="20"/>
          <w:lang w:val="es-CR"/>
        </w:rPr>
        <w:t>Plan Gavilán</w:t>
      </w:r>
      <w:r w:rsidR="00424B1A" w:rsidRPr="00912266">
        <w:rPr>
          <w:rFonts w:ascii="Verdana" w:hAnsi="Verdana"/>
          <w:sz w:val="20"/>
          <w:szCs w:val="20"/>
          <w:lang w:val="es-CR"/>
        </w:rPr>
        <w:t>”</w:t>
      </w:r>
      <w:r w:rsidRPr="00912266">
        <w:rPr>
          <w:rFonts w:ascii="Verdana" w:hAnsi="Verdana"/>
          <w:sz w:val="20"/>
          <w:szCs w:val="20"/>
          <w:lang w:val="es-CR"/>
        </w:rPr>
        <w:t xml:space="preserve">, declaró que en el marco de este plan se les había dado la orden directa de que “los que estaban por </w:t>
      </w:r>
      <w:r w:rsidRPr="00E21C19">
        <w:rPr>
          <w:rFonts w:ascii="Verdana" w:hAnsi="Verdana"/>
          <w:sz w:val="20"/>
          <w:szCs w:val="20"/>
          <w:lang w:val="es-CR"/>
        </w:rPr>
        <w:t xml:space="preserve">delitos de alto impacto ya no tenían que regresar nuevamente a </w:t>
      </w:r>
      <w:r w:rsidR="002D22DF" w:rsidRPr="00E21C19">
        <w:rPr>
          <w:rFonts w:ascii="Verdana" w:hAnsi="Verdana"/>
          <w:sz w:val="20"/>
          <w:szCs w:val="20"/>
          <w:lang w:val="es-CR"/>
        </w:rPr>
        <w:t>una</w:t>
      </w:r>
      <w:r w:rsidRPr="00E21C19">
        <w:rPr>
          <w:rFonts w:ascii="Verdana" w:hAnsi="Verdana"/>
          <w:sz w:val="20"/>
          <w:szCs w:val="20"/>
          <w:lang w:val="es-CR"/>
        </w:rPr>
        <w:t xml:space="preserve"> cárcel”</w:t>
      </w:r>
      <w:r w:rsidR="00884254" w:rsidRPr="00E21C19">
        <w:rPr>
          <w:rFonts w:ascii="Verdana" w:hAnsi="Verdana"/>
          <w:sz w:val="20"/>
          <w:szCs w:val="20"/>
          <w:lang w:val="es-CR"/>
        </w:rPr>
        <w:t xml:space="preserve"> (</w:t>
      </w:r>
      <w:r w:rsidR="00884254" w:rsidRPr="00E21C19">
        <w:rPr>
          <w:rFonts w:ascii="Verdana" w:hAnsi="Verdana"/>
          <w:i/>
          <w:sz w:val="20"/>
          <w:szCs w:val="20"/>
          <w:lang w:val="es-CR"/>
        </w:rPr>
        <w:t>supra</w:t>
      </w:r>
      <w:r w:rsidR="001C0947">
        <w:rPr>
          <w:rFonts w:ascii="Verdana" w:hAnsi="Verdana"/>
          <w:sz w:val="20"/>
          <w:szCs w:val="20"/>
          <w:lang w:val="es-CR"/>
        </w:rPr>
        <w:t xml:space="preserve"> párr. 92</w:t>
      </w:r>
      <w:r w:rsidR="00884254" w:rsidRPr="00E21C19">
        <w:rPr>
          <w:rFonts w:ascii="Verdana" w:hAnsi="Verdana"/>
          <w:sz w:val="20"/>
          <w:szCs w:val="20"/>
          <w:lang w:val="es-CR"/>
        </w:rPr>
        <w:t>)</w:t>
      </w:r>
      <w:r w:rsidRPr="00E21C19">
        <w:rPr>
          <w:rFonts w:ascii="Verdana" w:hAnsi="Verdana"/>
          <w:sz w:val="20"/>
          <w:szCs w:val="20"/>
          <w:lang w:val="es-CR"/>
        </w:rPr>
        <w:t>.</w:t>
      </w:r>
      <w:r w:rsidR="00F817E2" w:rsidRPr="00E21C19">
        <w:rPr>
          <w:rFonts w:ascii="Verdana" w:hAnsi="Verdana"/>
          <w:sz w:val="20"/>
          <w:szCs w:val="20"/>
          <w:lang w:val="es-CR"/>
        </w:rPr>
        <w:t xml:space="preserve"> E</w:t>
      </w:r>
      <w:r w:rsidR="00912266" w:rsidRPr="00E21C19">
        <w:rPr>
          <w:rFonts w:ascii="Verdana" w:hAnsi="Verdana"/>
          <w:sz w:val="20"/>
          <w:szCs w:val="20"/>
          <w:lang w:val="es-CR"/>
        </w:rPr>
        <w:t>n el mismo sentido</w:t>
      </w:r>
      <w:r w:rsidR="00F817E2" w:rsidRPr="00E21C19">
        <w:rPr>
          <w:rFonts w:ascii="Verdana" w:hAnsi="Verdana"/>
          <w:sz w:val="20"/>
          <w:szCs w:val="20"/>
          <w:lang w:val="es-CR"/>
        </w:rPr>
        <w:t xml:space="preserve"> otros oficiales que integraron la </w:t>
      </w:r>
      <w:r w:rsidR="00424B1A" w:rsidRPr="00E21C19">
        <w:rPr>
          <w:rFonts w:ascii="Verdana" w:hAnsi="Verdana"/>
          <w:sz w:val="20"/>
          <w:szCs w:val="20"/>
          <w:lang w:val="es-CR"/>
        </w:rPr>
        <w:t>“</w:t>
      </w:r>
      <w:r w:rsidR="00F817E2" w:rsidRPr="00E21C19">
        <w:rPr>
          <w:rFonts w:ascii="Verdana" w:hAnsi="Verdana"/>
          <w:sz w:val="20"/>
          <w:szCs w:val="20"/>
          <w:lang w:val="es-CR"/>
        </w:rPr>
        <w:t>Operación Gavilán</w:t>
      </w:r>
      <w:r w:rsidR="00424B1A" w:rsidRPr="00E21C19">
        <w:rPr>
          <w:rFonts w:ascii="Verdana" w:hAnsi="Verdana"/>
          <w:sz w:val="20"/>
          <w:szCs w:val="20"/>
          <w:lang w:val="es-CR"/>
        </w:rPr>
        <w:t>”</w:t>
      </w:r>
      <w:r w:rsidR="00F817E2" w:rsidRPr="00E21C19">
        <w:rPr>
          <w:rFonts w:ascii="Verdana" w:hAnsi="Verdana"/>
          <w:sz w:val="20"/>
          <w:szCs w:val="20"/>
          <w:lang w:val="es-CR"/>
        </w:rPr>
        <w:t>, reafirmaron esta aseveración</w:t>
      </w:r>
      <w:r w:rsidR="00F817E2" w:rsidRPr="00E21C19">
        <w:rPr>
          <w:rStyle w:val="Refdenotaalpie"/>
          <w:rFonts w:ascii="Verdana" w:hAnsi="Verdana"/>
          <w:sz w:val="20"/>
          <w:szCs w:val="20"/>
          <w:lang w:val="es-CR"/>
        </w:rPr>
        <w:footnoteReference w:id="132"/>
      </w:r>
      <w:r w:rsidR="00F817E2" w:rsidRPr="00E21C19">
        <w:rPr>
          <w:rFonts w:ascii="Verdana" w:hAnsi="Verdana"/>
          <w:sz w:val="20"/>
          <w:szCs w:val="20"/>
          <w:lang w:val="es-CR"/>
        </w:rPr>
        <w:t>.</w:t>
      </w:r>
      <w:r w:rsidRPr="00E21C19">
        <w:rPr>
          <w:rFonts w:ascii="Verdana" w:hAnsi="Verdana"/>
          <w:sz w:val="20"/>
          <w:szCs w:val="20"/>
          <w:lang w:val="es-CR"/>
        </w:rPr>
        <w:t xml:space="preserve"> </w:t>
      </w:r>
    </w:p>
    <w:p w14:paraId="25B0B413" w14:textId="77777777" w:rsidR="00DC128C" w:rsidRPr="00E21C19" w:rsidRDefault="00DC128C" w:rsidP="00DC128C">
      <w:pPr>
        <w:pStyle w:val="Prrafodelista"/>
        <w:rPr>
          <w:rFonts w:ascii="Verdana" w:hAnsi="Verdana"/>
          <w:sz w:val="20"/>
          <w:szCs w:val="20"/>
          <w:lang w:val="es-CR"/>
        </w:rPr>
      </w:pPr>
    </w:p>
    <w:p w14:paraId="18837B65" w14:textId="07A0120F" w:rsidR="00DC128C" w:rsidRPr="00E21C19" w:rsidRDefault="00FF0D4A" w:rsidP="00E21C19">
      <w:pPr>
        <w:pStyle w:val="Prrafodelista"/>
        <w:numPr>
          <w:ilvl w:val="3"/>
          <w:numId w:val="1"/>
        </w:numPr>
        <w:autoSpaceDE w:val="0"/>
        <w:autoSpaceDN w:val="0"/>
        <w:adjustRightInd w:val="0"/>
        <w:spacing w:after="0" w:line="240" w:lineRule="auto"/>
        <w:ind w:left="0" w:firstLine="0"/>
        <w:jc w:val="both"/>
        <w:rPr>
          <w:rFonts w:ascii="Verdana" w:hAnsi="Verdana"/>
          <w:sz w:val="18"/>
          <w:szCs w:val="20"/>
          <w:lang w:val="es-CR"/>
        </w:rPr>
      </w:pPr>
      <w:r w:rsidRPr="00E21C19">
        <w:rPr>
          <w:rFonts w:ascii="Verdana" w:hAnsi="Verdana"/>
          <w:sz w:val="20"/>
          <w:szCs w:val="20"/>
          <w:lang w:val="es-CR"/>
        </w:rPr>
        <w:t xml:space="preserve">A su vez, </w:t>
      </w:r>
      <w:r w:rsidR="004052C6" w:rsidRPr="00E21C19">
        <w:rPr>
          <w:rFonts w:ascii="Verdana" w:hAnsi="Verdana"/>
          <w:sz w:val="20"/>
          <w:szCs w:val="20"/>
          <w:lang w:val="es-CR"/>
        </w:rPr>
        <w:t xml:space="preserve">como se desprende de la sentencia de 8 de agosto de 2013 del Tribunal Primero de </w:t>
      </w:r>
      <w:r w:rsidR="004052C6" w:rsidRPr="003D64E6">
        <w:rPr>
          <w:rFonts w:ascii="Verdana" w:hAnsi="Verdana"/>
          <w:sz w:val="20"/>
          <w:szCs w:val="20"/>
          <w:lang w:val="es-CR"/>
        </w:rPr>
        <w:t xml:space="preserve">Sentencia Penal, Narcoactividad y Delitos contra el Ambiente de Guatemala, </w:t>
      </w:r>
      <w:r w:rsidR="00FB0250" w:rsidRPr="003D64E6">
        <w:rPr>
          <w:rFonts w:ascii="Verdana" w:hAnsi="Verdana"/>
          <w:sz w:val="20"/>
          <w:szCs w:val="20"/>
          <w:lang w:val="es-CR"/>
        </w:rPr>
        <w:t>el órgano judicial en sede interna concluyó que de forma paralela a la recaptura de los reos fugados mediante la “Operación Gavilán”, se creó un plan cuyo objetivo era ejecutar extrajudicialmente a los prófugos una vez que estos fueran capturados.</w:t>
      </w:r>
      <w:r w:rsidR="00FB0250" w:rsidRPr="00956DD1">
        <w:rPr>
          <w:rFonts w:ascii="Verdana" w:hAnsi="Verdana"/>
          <w:sz w:val="20"/>
          <w:szCs w:val="20"/>
          <w:lang w:val="es-CR"/>
        </w:rPr>
        <w:t xml:space="preserve"> </w:t>
      </w:r>
      <w:r w:rsidR="00FB0250">
        <w:rPr>
          <w:rFonts w:ascii="Verdana" w:hAnsi="Verdana"/>
          <w:sz w:val="20"/>
          <w:szCs w:val="20"/>
          <w:lang w:val="es-CR"/>
        </w:rPr>
        <w:t>E</w:t>
      </w:r>
      <w:r w:rsidR="00FB0250" w:rsidRPr="00956DD1">
        <w:rPr>
          <w:rFonts w:ascii="Verdana" w:hAnsi="Verdana"/>
          <w:sz w:val="20"/>
          <w:szCs w:val="20"/>
          <w:lang w:val="es-CR"/>
        </w:rPr>
        <w:t>ste hecho en la referida sentencia se determinó en los siguientes términos:</w:t>
      </w:r>
    </w:p>
    <w:p w14:paraId="00D47681" w14:textId="77777777" w:rsidR="00E21C19" w:rsidRPr="00E21C19" w:rsidRDefault="00E21C19" w:rsidP="00E21C19">
      <w:pPr>
        <w:pStyle w:val="Prrafodelista"/>
        <w:autoSpaceDE w:val="0"/>
        <w:autoSpaceDN w:val="0"/>
        <w:adjustRightInd w:val="0"/>
        <w:spacing w:after="0" w:line="240" w:lineRule="auto"/>
        <w:ind w:left="0"/>
        <w:jc w:val="both"/>
        <w:rPr>
          <w:rFonts w:ascii="Verdana" w:hAnsi="Verdana"/>
          <w:sz w:val="18"/>
          <w:szCs w:val="20"/>
          <w:lang w:val="es-CR"/>
        </w:rPr>
      </w:pPr>
    </w:p>
    <w:p w14:paraId="072188EB" w14:textId="77777777" w:rsidR="00DC128C" w:rsidRPr="00912266" w:rsidRDefault="00DC128C" w:rsidP="00DC128C">
      <w:pPr>
        <w:spacing w:after="0" w:line="240" w:lineRule="auto"/>
        <w:ind w:left="720" w:right="508"/>
        <w:jc w:val="both"/>
        <w:rPr>
          <w:rFonts w:ascii="Verdana" w:eastAsia="ArialMT" w:hAnsi="Verdana" w:cs="ArialMT"/>
          <w:sz w:val="16"/>
          <w:szCs w:val="16"/>
          <w:lang w:val="es-CR"/>
        </w:rPr>
      </w:pPr>
      <w:r w:rsidRPr="00912266">
        <w:rPr>
          <w:rFonts w:ascii="Verdana" w:eastAsia="ArialMT" w:hAnsi="Verdana" w:cs="ArialMT"/>
          <w:sz w:val="16"/>
          <w:szCs w:val="16"/>
          <w:lang w:val="es-CR"/>
        </w:rPr>
        <w:t>[…] VÍCTOR HUGO SOTO DIÉGUEZ, en su condición d</w:t>
      </w:r>
      <w:r w:rsidRPr="00912266">
        <w:rPr>
          <w:rFonts w:ascii="Verdana" w:hAnsi="Verdana" w:cs="Arial"/>
          <w:sz w:val="16"/>
          <w:szCs w:val="16"/>
          <w:lang w:val="es-CR"/>
        </w:rPr>
        <w:t xml:space="preserve">e funcionario público como Comisario de la Policía Nacional Civil, en la Ciudad de Guatemala en el mes de octubre de dos mil cinco, </w:t>
      </w:r>
      <w:r w:rsidRPr="00912266">
        <w:rPr>
          <w:rFonts w:ascii="Verdana" w:hAnsi="Verdana" w:cs="Arial"/>
          <w:bCs/>
          <w:sz w:val="16"/>
          <w:szCs w:val="16"/>
          <w:lang w:val="es-CR"/>
        </w:rPr>
        <w:t xml:space="preserve">integró un equipo especial </w:t>
      </w:r>
      <w:r w:rsidRPr="00912266">
        <w:rPr>
          <w:rFonts w:ascii="Verdana" w:hAnsi="Verdana" w:cs="Arial"/>
          <w:sz w:val="16"/>
          <w:szCs w:val="16"/>
          <w:lang w:val="es-CR"/>
        </w:rPr>
        <w:t xml:space="preserve">conformado por miembros de distintos cuerpos de la Policía Nacional Civil, para la recaptura de los 19 reos </w:t>
      </w:r>
      <w:r w:rsidRPr="00912266">
        <w:rPr>
          <w:rFonts w:ascii="Verdana" w:eastAsia="ArialMT" w:hAnsi="Verdana" w:cs="ArialMT"/>
          <w:sz w:val="16"/>
          <w:szCs w:val="16"/>
          <w:lang w:val="es-CR"/>
        </w:rPr>
        <w:t xml:space="preserve">fugados […] </w:t>
      </w:r>
      <w:r w:rsidRPr="00912266">
        <w:rPr>
          <w:rFonts w:ascii="Verdana" w:eastAsia="ArialMT" w:hAnsi="Verdana" w:cs="Arial"/>
          <w:bCs/>
          <w:sz w:val="16"/>
          <w:szCs w:val="16"/>
          <w:lang w:val="es-CR"/>
        </w:rPr>
        <w:t>paralelamente a dicho plan, se determinó que una vez capturados</w:t>
      </w:r>
      <w:r w:rsidRPr="00912266">
        <w:rPr>
          <w:rFonts w:ascii="Verdana" w:hAnsi="Verdana" w:cs="Arial"/>
          <w:sz w:val="16"/>
          <w:szCs w:val="16"/>
          <w:lang w:val="es-CR"/>
        </w:rPr>
        <w:t xml:space="preserve"> </w:t>
      </w:r>
      <w:r w:rsidRPr="00912266">
        <w:rPr>
          <w:rFonts w:ascii="Verdana" w:eastAsia="ArialMT" w:hAnsi="Verdana" w:cs="Arial"/>
          <w:bCs/>
          <w:sz w:val="16"/>
          <w:szCs w:val="16"/>
          <w:lang w:val="es-CR"/>
        </w:rPr>
        <w:t xml:space="preserve">los prófugos debían ser ejecutados extrajudicialmente </w:t>
      </w:r>
      <w:r w:rsidRPr="00912266">
        <w:rPr>
          <w:rFonts w:ascii="Verdana" w:eastAsia="ArialMT" w:hAnsi="Verdana" w:cs="ArialMT"/>
          <w:sz w:val="16"/>
          <w:szCs w:val="16"/>
          <w:lang w:val="es-CR"/>
        </w:rPr>
        <w:t>[…]</w:t>
      </w:r>
      <w:r w:rsidRPr="00912266">
        <w:rPr>
          <w:rStyle w:val="Refdenotaalpie"/>
          <w:rFonts w:ascii="Verdana" w:eastAsia="ArialMT" w:hAnsi="Verdana" w:cs="ArialMT"/>
          <w:sz w:val="16"/>
          <w:szCs w:val="16"/>
          <w:lang w:val="es-CR"/>
        </w:rPr>
        <w:footnoteReference w:id="133"/>
      </w:r>
      <w:r w:rsidRPr="00912266">
        <w:rPr>
          <w:rFonts w:ascii="Verdana" w:eastAsia="ArialMT" w:hAnsi="Verdana" w:cs="ArialMT"/>
          <w:sz w:val="16"/>
          <w:szCs w:val="16"/>
          <w:lang w:val="es-CR"/>
        </w:rPr>
        <w:t>.</w:t>
      </w:r>
    </w:p>
    <w:p w14:paraId="2C8E4DD4" w14:textId="77777777" w:rsidR="00DC128C" w:rsidRPr="00912266" w:rsidRDefault="00DC128C" w:rsidP="00DC128C">
      <w:pPr>
        <w:pStyle w:val="Prrafodelista"/>
        <w:autoSpaceDE w:val="0"/>
        <w:autoSpaceDN w:val="0"/>
        <w:adjustRightInd w:val="0"/>
        <w:spacing w:after="0" w:line="240" w:lineRule="auto"/>
        <w:ind w:left="0"/>
        <w:jc w:val="both"/>
        <w:rPr>
          <w:rFonts w:ascii="Verdana" w:hAnsi="Verdana"/>
          <w:sz w:val="18"/>
          <w:szCs w:val="20"/>
          <w:lang w:val="es-CR"/>
        </w:rPr>
      </w:pPr>
    </w:p>
    <w:p w14:paraId="6A4C892B" w14:textId="5C9BFB67" w:rsidR="00DC128C" w:rsidRPr="00912266" w:rsidRDefault="00631047" w:rsidP="00DC128C">
      <w:pPr>
        <w:pStyle w:val="Prrafodelista"/>
        <w:numPr>
          <w:ilvl w:val="3"/>
          <w:numId w:val="1"/>
        </w:numPr>
        <w:autoSpaceDE w:val="0"/>
        <w:autoSpaceDN w:val="0"/>
        <w:adjustRightInd w:val="0"/>
        <w:spacing w:after="0" w:line="240" w:lineRule="auto"/>
        <w:ind w:left="0" w:firstLine="0"/>
        <w:jc w:val="both"/>
        <w:rPr>
          <w:rFonts w:ascii="Verdana" w:hAnsi="Verdana"/>
          <w:sz w:val="18"/>
          <w:szCs w:val="20"/>
          <w:lang w:val="es-CR"/>
        </w:rPr>
      </w:pPr>
      <w:r w:rsidRPr="00912266">
        <w:rPr>
          <w:rFonts w:ascii="Verdana" w:hAnsi="Verdana"/>
          <w:sz w:val="20"/>
          <w:szCs w:val="20"/>
          <w:lang w:val="es-CR"/>
        </w:rPr>
        <w:t>Además</w:t>
      </w:r>
      <w:r w:rsidR="00FF0D4A" w:rsidRPr="00912266">
        <w:rPr>
          <w:rFonts w:ascii="Verdana" w:hAnsi="Verdana"/>
          <w:sz w:val="20"/>
          <w:szCs w:val="20"/>
          <w:lang w:val="es-CR"/>
        </w:rPr>
        <w:t xml:space="preserve">, la Corte nota que el 8 de agosto de 2013 el Tribunal Primero de Mayor Riesgo B emitió sentencia condenatoria en contra de Víctor Manuel </w:t>
      </w:r>
      <w:r w:rsidR="00FF0D4A" w:rsidRPr="00FD323A">
        <w:rPr>
          <w:rFonts w:ascii="Verdana" w:hAnsi="Verdana"/>
          <w:sz w:val="20"/>
          <w:szCs w:val="20"/>
          <w:lang w:val="es-CR"/>
        </w:rPr>
        <w:t>Ramos</w:t>
      </w:r>
      <w:r w:rsidR="00FF0D4A" w:rsidRPr="00092AAF">
        <w:rPr>
          <w:rFonts w:ascii="Verdana" w:hAnsi="Verdana"/>
          <w:sz w:val="20"/>
          <w:szCs w:val="20"/>
          <w:lang w:val="es-CR"/>
        </w:rPr>
        <w:t xml:space="preserve"> Molina</w:t>
      </w:r>
      <w:r w:rsidR="00FF0D4A" w:rsidRPr="00912266">
        <w:rPr>
          <w:rFonts w:ascii="Verdana" w:hAnsi="Verdana"/>
          <w:sz w:val="20"/>
          <w:szCs w:val="20"/>
          <w:lang w:val="es-CR"/>
        </w:rPr>
        <w:t xml:space="preserve"> y Axel Arnold Martínez Arreaza por la ejecución extrajudicial </w:t>
      </w:r>
      <w:r w:rsidR="00FF0D4A" w:rsidRPr="009D0D31">
        <w:rPr>
          <w:rFonts w:ascii="Verdana" w:hAnsi="Verdana"/>
          <w:sz w:val="20"/>
          <w:szCs w:val="20"/>
          <w:lang w:val="es-CR"/>
        </w:rPr>
        <w:t>de ES</w:t>
      </w:r>
      <w:r w:rsidR="0028041F" w:rsidRPr="009D0D31">
        <w:rPr>
          <w:rFonts w:ascii="Verdana" w:hAnsi="Verdana"/>
          <w:sz w:val="20"/>
          <w:szCs w:val="20"/>
          <w:lang w:val="es-CR"/>
        </w:rPr>
        <w:t>R</w:t>
      </w:r>
      <w:r w:rsidR="00FF0D4A" w:rsidRPr="009D0D31">
        <w:rPr>
          <w:rFonts w:ascii="Verdana" w:hAnsi="Verdana"/>
          <w:sz w:val="20"/>
          <w:szCs w:val="20"/>
          <w:lang w:val="es-CR"/>
        </w:rPr>
        <w:t>,</w:t>
      </w:r>
      <w:r w:rsidR="00FF0D4A" w:rsidRPr="00912266">
        <w:rPr>
          <w:rFonts w:ascii="Verdana" w:hAnsi="Verdana"/>
          <w:sz w:val="20"/>
          <w:szCs w:val="20"/>
          <w:lang w:val="es-CR"/>
        </w:rPr>
        <w:t xml:space="preserve"> una de las personas fugadas de “El Infiernito”. Además</w:t>
      </w:r>
      <w:r w:rsidR="000C77D8" w:rsidRPr="00912266">
        <w:rPr>
          <w:rFonts w:ascii="Verdana" w:hAnsi="Verdana"/>
          <w:sz w:val="20"/>
          <w:szCs w:val="20"/>
          <w:lang w:val="es-CR"/>
        </w:rPr>
        <w:t>,</w:t>
      </w:r>
      <w:r w:rsidR="00FF0D4A" w:rsidRPr="00912266">
        <w:rPr>
          <w:rFonts w:ascii="Verdana" w:hAnsi="Verdana"/>
          <w:sz w:val="20"/>
          <w:szCs w:val="20"/>
          <w:lang w:val="es-CR"/>
        </w:rPr>
        <w:t xml:space="preserve"> condenó a Víctor Hugo Soto Diéguez, quien fue el ex jefe de Investigación Criminal de la Policía Nacional Civil, a </w:t>
      </w:r>
      <w:r w:rsidR="0018466C" w:rsidRPr="00912266">
        <w:rPr>
          <w:rFonts w:ascii="Verdana" w:hAnsi="Verdana"/>
          <w:sz w:val="20"/>
          <w:szCs w:val="20"/>
          <w:lang w:val="es-CR"/>
        </w:rPr>
        <w:t>33</w:t>
      </w:r>
      <w:r w:rsidR="00FF0D4A" w:rsidRPr="00912266">
        <w:rPr>
          <w:rFonts w:ascii="Verdana" w:hAnsi="Verdana"/>
          <w:sz w:val="20"/>
          <w:szCs w:val="20"/>
          <w:lang w:val="es-CR"/>
        </w:rPr>
        <w:t xml:space="preserve"> años de cárcel por el delito de ejecución extrajudicial de privados de libertad de </w:t>
      </w:r>
      <w:r w:rsidR="00FF0D4A" w:rsidRPr="00912266">
        <w:rPr>
          <w:rFonts w:ascii="Verdana" w:hAnsi="Verdana" w:cs="Calibri"/>
          <w:sz w:val="20"/>
          <w:szCs w:val="20"/>
          <w:lang w:val="es-CR"/>
        </w:rPr>
        <w:t>la Granja Penal de Pavón</w:t>
      </w:r>
      <w:r w:rsidR="00FF0D4A" w:rsidRPr="00912266">
        <w:rPr>
          <w:rFonts w:ascii="Verdana" w:hAnsi="Verdana" w:cs="Calibri"/>
          <w:sz w:val="18"/>
          <w:szCs w:val="18"/>
          <w:lang w:val="es-CR"/>
        </w:rPr>
        <w:t xml:space="preserve"> </w:t>
      </w:r>
      <w:r w:rsidR="00FF0D4A" w:rsidRPr="00912266">
        <w:rPr>
          <w:rFonts w:ascii="Verdana" w:hAnsi="Verdana"/>
          <w:sz w:val="20"/>
          <w:szCs w:val="20"/>
          <w:lang w:val="es-CR"/>
        </w:rPr>
        <w:t xml:space="preserve">y de la cárcel de máxima seguridad “El Infiernito” ocurridos entre el año 2005 y 2006. </w:t>
      </w:r>
      <w:r w:rsidR="00CB533F" w:rsidRPr="00912266">
        <w:rPr>
          <w:rFonts w:ascii="Verdana" w:hAnsi="Verdana"/>
          <w:sz w:val="20"/>
          <w:szCs w:val="20"/>
          <w:lang w:val="es-CR"/>
        </w:rPr>
        <w:t xml:space="preserve">Al respecto, la Comisión Internacional contra </w:t>
      </w:r>
      <w:r w:rsidR="00CB533F" w:rsidRPr="00912266">
        <w:rPr>
          <w:rFonts w:ascii="Verdana" w:hAnsi="Verdana"/>
          <w:sz w:val="20"/>
          <w:szCs w:val="20"/>
          <w:lang w:val="es-CR"/>
        </w:rPr>
        <w:lastRenderedPageBreak/>
        <w:t xml:space="preserve">la Impunidad en Guatemala en relación con dicha sentencia, señaló que </w:t>
      </w:r>
      <w:r w:rsidR="00884254">
        <w:rPr>
          <w:rFonts w:ascii="Verdana" w:hAnsi="Verdana"/>
          <w:sz w:val="20"/>
          <w:szCs w:val="20"/>
          <w:lang w:val="es-CR"/>
        </w:rPr>
        <w:t>“</w:t>
      </w:r>
      <w:r w:rsidR="00CB533F" w:rsidRPr="00912266">
        <w:rPr>
          <w:rFonts w:ascii="Verdana" w:hAnsi="Verdana"/>
          <w:sz w:val="20"/>
          <w:szCs w:val="20"/>
          <w:lang w:val="es-CR"/>
        </w:rPr>
        <w:t>fue evidente la injerencia que hubo de las autoridades en las acciones realizadas para la ejecución extrajudicial de los prófugos</w:t>
      </w:r>
      <w:r w:rsidR="00884254">
        <w:rPr>
          <w:rFonts w:ascii="Verdana" w:hAnsi="Verdana"/>
          <w:sz w:val="20"/>
          <w:szCs w:val="20"/>
          <w:lang w:val="es-CR"/>
        </w:rPr>
        <w:t>”</w:t>
      </w:r>
      <w:r w:rsidR="00CB533F" w:rsidRPr="00912266">
        <w:rPr>
          <w:rFonts w:ascii="Verdana" w:hAnsi="Verdana"/>
          <w:sz w:val="20"/>
          <w:szCs w:val="20"/>
          <w:lang w:val="es-CR"/>
        </w:rPr>
        <w:t xml:space="preserve"> y agregó que </w:t>
      </w:r>
      <w:r w:rsidR="00884254">
        <w:rPr>
          <w:rFonts w:ascii="Verdana" w:hAnsi="Verdana"/>
          <w:sz w:val="20"/>
          <w:szCs w:val="20"/>
          <w:lang w:val="es-CR"/>
        </w:rPr>
        <w:t>“</w:t>
      </w:r>
      <w:r w:rsidR="00CB533F" w:rsidRPr="00912266">
        <w:rPr>
          <w:rFonts w:ascii="Verdana" w:hAnsi="Verdana"/>
          <w:sz w:val="20"/>
          <w:szCs w:val="20"/>
          <w:lang w:val="es-CR"/>
        </w:rPr>
        <w:t>las investigaciones determinaron que se creó una estructura paralela dentro del Estado que tuvo el poder de ejecutar extrajudicialmente a quien ellos consideraban 'lacras' y enemigos de la sociedad</w:t>
      </w:r>
      <w:r w:rsidR="00884254">
        <w:rPr>
          <w:rFonts w:ascii="Verdana" w:hAnsi="Verdana"/>
          <w:sz w:val="20"/>
          <w:szCs w:val="20"/>
          <w:lang w:val="es-CR"/>
        </w:rPr>
        <w:t xml:space="preserve">” </w:t>
      </w:r>
      <w:r w:rsidR="00884254" w:rsidRPr="00912266">
        <w:rPr>
          <w:rFonts w:ascii="Verdana" w:hAnsi="Verdana" w:cs="Times New Roman"/>
          <w:color w:val="2F2F2F"/>
          <w:sz w:val="20"/>
          <w:szCs w:val="20"/>
          <w:lang w:val="es-CR"/>
        </w:rPr>
        <w:t>(</w:t>
      </w:r>
      <w:r w:rsidR="00884254" w:rsidRPr="00912266">
        <w:rPr>
          <w:rFonts w:ascii="Verdana" w:hAnsi="Verdana" w:cs="Times New Roman"/>
          <w:i/>
          <w:color w:val="2F2F2F"/>
          <w:sz w:val="20"/>
          <w:szCs w:val="20"/>
          <w:lang w:val="es-CR"/>
        </w:rPr>
        <w:t>supra</w:t>
      </w:r>
      <w:r w:rsidR="005C1686">
        <w:rPr>
          <w:rFonts w:ascii="Verdana" w:hAnsi="Verdana" w:cs="Times New Roman"/>
          <w:color w:val="2F2F2F"/>
          <w:sz w:val="20"/>
          <w:szCs w:val="20"/>
          <w:lang w:val="es-CR"/>
        </w:rPr>
        <w:t xml:space="preserve"> pá</w:t>
      </w:r>
      <w:r w:rsidR="00884254" w:rsidRPr="00912266">
        <w:rPr>
          <w:rFonts w:ascii="Verdana" w:hAnsi="Verdana" w:cs="Times New Roman"/>
          <w:color w:val="2F2F2F"/>
          <w:sz w:val="20"/>
          <w:szCs w:val="20"/>
          <w:lang w:val="es-CR"/>
        </w:rPr>
        <w:t xml:space="preserve">rr. </w:t>
      </w:r>
      <w:r w:rsidR="001C0947">
        <w:rPr>
          <w:rFonts w:ascii="Verdana" w:hAnsi="Verdana" w:cs="Times New Roman"/>
          <w:color w:val="2F2F2F"/>
          <w:sz w:val="20"/>
          <w:szCs w:val="20"/>
          <w:lang w:val="es-CR"/>
        </w:rPr>
        <w:t>94</w:t>
      </w:r>
      <w:r w:rsidR="00884254" w:rsidRPr="00912266">
        <w:rPr>
          <w:rFonts w:ascii="Verdana" w:hAnsi="Verdana" w:cs="Times New Roman"/>
          <w:color w:val="2F2F2F"/>
          <w:sz w:val="20"/>
          <w:szCs w:val="20"/>
          <w:lang w:val="es-CR"/>
        </w:rPr>
        <w:t>)</w:t>
      </w:r>
      <w:r w:rsidR="006F5BD8" w:rsidRPr="00912266">
        <w:rPr>
          <w:rFonts w:ascii="Verdana" w:hAnsi="Verdana"/>
          <w:sz w:val="20"/>
          <w:szCs w:val="20"/>
          <w:lang w:val="es-CR"/>
        </w:rPr>
        <w:t>.</w:t>
      </w:r>
    </w:p>
    <w:p w14:paraId="15371795" w14:textId="77777777" w:rsidR="00DC128C" w:rsidRPr="00912266" w:rsidRDefault="00DC128C" w:rsidP="00DC128C">
      <w:pPr>
        <w:pStyle w:val="Prrafodelista"/>
        <w:autoSpaceDE w:val="0"/>
        <w:autoSpaceDN w:val="0"/>
        <w:adjustRightInd w:val="0"/>
        <w:spacing w:after="0" w:line="240" w:lineRule="auto"/>
        <w:ind w:left="0"/>
        <w:jc w:val="both"/>
        <w:rPr>
          <w:rFonts w:ascii="Verdana" w:hAnsi="Verdana"/>
          <w:sz w:val="18"/>
          <w:szCs w:val="20"/>
          <w:lang w:val="es-CR"/>
        </w:rPr>
      </w:pPr>
    </w:p>
    <w:p w14:paraId="7D906440" w14:textId="4FBD16D0" w:rsidR="00DC128C" w:rsidRDefault="00631047" w:rsidP="00DC128C">
      <w:pPr>
        <w:pStyle w:val="Prrafodelista"/>
        <w:numPr>
          <w:ilvl w:val="3"/>
          <w:numId w:val="1"/>
        </w:numPr>
        <w:autoSpaceDE w:val="0"/>
        <w:autoSpaceDN w:val="0"/>
        <w:adjustRightInd w:val="0"/>
        <w:spacing w:after="0" w:line="240" w:lineRule="auto"/>
        <w:ind w:left="0" w:firstLine="0"/>
        <w:jc w:val="both"/>
        <w:rPr>
          <w:rFonts w:ascii="Verdana" w:hAnsi="Verdana"/>
          <w:sz w:val="18"/>
          <w:szCs w:val="20"/>
          <w:lang w:val="es-CR"/>
        </w:rPr>
      </w:pPr>
      <w:r w:rsidRPr="00912266">
        <w:rPr>
          <w:rFonts w:ascii="Verdana" w:hAnsi="Verdana"/>
          <w:sz w:val="20"/>
          <w:szCs w:val="20"/>
          <w:lang w:val="es-CR"/>
        </w:rPr>
        <w:t>En ese sentido</w:t>
      </w:r>
      <w:r w:rsidR="00CC0A1A" w:rsidRPr="00912266">
        <w:rPr>
          <w:rFonts w:ascii="Verdana" w:hAnsi="Verdana"/>
          <w:sz w:val="20"/>
          <w:szCs w:val="20"/>
          <w:lang w:val="es-CR"/>
        </w:rPr>
        <w:t xml:space="preserve">, </w:t>
      </w:r>
      <w:r w:rsidR="00CC0A1A" w:rsidRPr="00912266">
        <w:rPr>
          <w:rFonts w:ascii="Verdana" w:hAnsi="Verdana" w:cs="Times New Roman"/>
          <w:color w:val="2F2F2F"/>
          <w:sz w:val="20"/>
          <w:szCs w:val="20"/>
          <w:lang w:val="es-CR"/>
        </w:rPr>
        <w:t xml:space="preserve">el </w:t>
      </w:r>
      <w:r w:rsidR="00CC0A1A" w:rsidRPr="00912266">
        <w:rPr>
          <w:rFonts w:ascii="Verdana" w:hAnsi="Verdana" w:cs="Times New Roman"/>
          <w:color w:val="1B1B1B"/>
          <w:sz w:val="20"/>
          <w:szCs w:val="20"/>
          <w:lang w:val="es-CR"/>
        </w:rPr>
        <w:t xml:space="preserve">Relator Especial </w:t>
      </w:r>
      <w:r w:rsidR="00CC0A1A" w:rsidRPr="00912266">
        <w:rPr>
          <w:rFonts w:ascii="Verdana" w:hAnsi="Verdana" w:cs="Times New Roman"/>
          <w:color w:val="2F2F2F"/>
          <w:sz w:val="20"/>
          <w:szCs w:val="20"/>
          <w:lang w:val="es-CR"/>
        </w:rPr>
        <w:t xml:space="preserve">sobre </w:t>
      </w:r>
      <w:r w:rsidR="00CC0A1A" w:rsidRPr="00912266">
        <w:rPr>
          <w:rFonts w:ascii="Verdana" w:hAnsi="Verdana" w:cs="Times New Roman"/>
          <w:color w:val="1B1B1B"/>
          <w:sz w:val="20"/>
          <w:szCs w:val="20"/>
          <w:lang w:val="es-CR"/>
        </w:rPr>
        <w:t xml:space="preserve">las </w:t>
      </w:r>
      <w:r w:rsidR="00AC3FB4" w:rsidRPr="00912266">
        <w:rPr>
          <w:rFonts w:ascii="Verdana" w:hAnsi="Verdana" w:cs="Times New Roman"/>
          <w:color w:val="2F2F2F"/>
          <w:sz w:val="20"/>
          <w:szCs w:val="20"/>
          <w:lang w:val="es-CR"/>
        </w:rPr>
        <w:t>E</w:t>
      </w:r>
      <w:r w:rsidR="00CC0A1A" w:rsidRPr="00912266">
        <w:rPr>
          <w:rFonts w:ascii="Verdana" w:hAnsi="Verdana" w:cs="Times New Roman"/>
          <w:color w:val="2F2F2F"/>
          <w:sz w:val="20"/>
          <w:szCs w:val="20"/>
          <w:lang w:val="es-CR"/>
        </w:rPr>
        <w:t xml:space="preserve">jecuciones </w:t>
      </w:r>
      <w:r w:rsidR="00AC3FB4" w:rsidRPr="00912266">
        <w:rPr>
          <w:rFonts w:ascii="Verdana" w:hAnsi="Verdana" w:cs="Times New Roman"/>
          <w:color w:val="2F2F2F"/>
          <w:sz w:val="20"/>
          <w:szCs w:val="20"/>
          <w:lang w:val="es-CR"/>
        </w:rPr>
        <w:t>E</w:t>
      </w:r>
      <w:r w:rsidR="00CC0A1A" w:rsidRPr="00912266">
        <w:rPr>
          <w:rFonts w:ascii="Verdana" w:hAnsi="Verdana" w:cs="Times New Roman"/>
          <w:color w:val="2F2F2F"/>
          <w:sz w:val="20"/>
          <w:szCs w:val="20"/>
          <w:lang w:val="es-CR"/>
        </w:rPr>
        <w:t>xtrajudicia</w:t>
      </w:r>
      <w:r w:rsidR="00CC0A1A" w:rsidRPr="00912266">
        <w:rPr>
          <w:rFonts w:ascii="Verdana" w:hAnsi="Verdana" w:cs="Times New Roman"/>
          <w:color w:val="090909"/>
          <w:sz w:val="20"/>
          <w:szCs w:val="20"/>
          <w:lang w:val="es-CR"/>
        </w:rPr>
        <w:t>l</w:t>
      </w:r>
      <w:r w:rsidR="00AC3FB4" w:rsidRPr="00912266">
        <w:rPr>
          <w:rFonts w:ascii="Verdana" w:hAnsi="Verdana" w:cs="Times New Roman"/>
          <w:color w:val="2F2F2F"/>
          <w:sz w:val="20"/>
          <w:szCs w:val="20"/>
          <w:lang w:val="es-CR"/>
        </w:rPr>
        <w:t>es, Sumarias o A</w:t>
      </w:r>
      <w:r w:rsidR="00CC0A1A" w:rsidRPr="00912266">
        <w:rPr>
          <w:rFonts w:ascii="Verdana" w:hAnsi="Verdana" w:cs="Times New Roman"/>
          <w:color w:val="2F2F2F"/>
          <w:sz w:val="20"/>
          <w:szCs w:val="20"/>
          <w:lang w:val="es-CR"/>
        </w:rPr>
        <w:t xml:space="preserve">rbitrarias a </w:t>
      </w:r>
      <w:r w:rsidR="00CC0A1A" w:rsidRPr="00912266">
        <w:rPr>
          <w:rFonts w:ascii="Verdana" w:hAnsi="Verdana" w:cs="Times New Roman"/>
          <w:color w:val="1B1B1B"/>
          <w:sz w:val="20"/>
          <w:szCs w:val="20"/>
          <w:lang w:val="es-CR"/>
        </w:rPr>
        <w:t xml:space="preserve">propósito de </w:t>
      </w:r>
      <w:r w:rsidR="00CC0A1A" w:rsidRPr="00912266">
        <w:rPr>
          <w:rFonts w:ascii="Verdana" w:hAnsi="Verdana" w:cs="Times New Roman"/>
          <w:color w:val="2F2F2F"/>
          <w:sz w:val="20"/>
          <w:szCs w:val="20"/>
          <w:lang w:val="es-CR"/>
        </w:rPr>
        <w:t xml:space="preserve">su </w:t>
      </w:r>
      <w:r w:rsidR="00CC0A1A" w:rsidRPr="00912266">
        <w:rPr>
          <w:rFonts w:ascii="Verdana" w:hAnsi="Verdana" w:cs="Times New Roman"/>
          <w:color w:val="1B1B1B"/>
          <w:sz w:val="20"/>
          <w:szCs w:val="20"/>
          <w:lang w:val="es-CR"/>
        </w:rPr>
        <w:t xml:space="preserve">visita </w:t>
      </w:r>
      <w:r w:rsidR="00CC0A1A" w:rsidRPr="00912266">
        <w:rPr>
          <w:rFonts w:ascii="Verdana" w:hAnsi="Verdana" w:cs="Times New Roman"/>
          <w:color w:val="2F2F2F"/>
          <w:sz w:val="20"/>
          <w:szCs w:val="20"/>
          <w:lang w:val="es-CR"/>
        </w:rPr>
        <w:t xml:space="preserve">a Guatemala </w:t>
      </w:r>
      <w:r w:rsidR="00CC0A1A" w:rsidRPr="00912266">
        <w:rPr>
          <w:rFonts w:ascii="Verdana" w:hAnsi="Verdana" w:cs="Times New Roman"/>
          <w:color w:val="1B1B1B"/>
          <w:sz w:val="20"/>
          <w:szCs w:val="20"/>
          <w:lang w:val="es-CR"/>
        </w:rPr>
        <w:t xml:space="preserve">denunció la </w:t>
      </w:r>
      <w:r w:rsidR="00CC0A1A" w:rsidRPr="00912266">
        <w:rPr>
          <w:rFonts w:ascii="Verdana" w:hAnsi="Verdana" w:cs="Times New Roman"/>
          <w:color w:val="2F2F2F"/>
          <w:sz w:val="20"/>
          <w:szCs w:val="20"/>
          <w:lang w:val="es-CR"/>
        </w:rPr>
        <w:t xml:space="preserve">existencia </w:t>
      </w:r>
      <w:r w:rsidR="00CC0A1A" w:rsidRPr="00912266">
        <w:rPr>
          <w:rFonts w:ascii="Verdana" w:hAnsi="Verdana" w:cs="Times New Roman"/>
          <w:color w:val="1B1B1B"/>
          <w:sz w:val="20"/>
          <w:szCs w:val="20"/>
          <w:lang w:val="es-CR"/>
        </w:rPr>
        <w:t xml:space="preserve">de </w:t>
      </w:r>
      <w:r w:rsidR="00CC0A1A" w:rsidRPr="00912266">
        <w:rPr>
          <w:rFonts w:ascii="Verdana" w:hAnsi="Verdana" w:cs="Times New Roman"/>
          <w:color w:val="2F2F2F"/>
          <w:sz w:val="20"/>
          <w:szCs w:val="20"/>
          <w:lang w:val="es-CR"/>
        </w:rPr>
        <w:t xml:space="preserve">grupos </w:t>
      </w:r>
      <w:r w:rsidR="00CC0A1A" w:rsidRPr="00912266">
        <w:rPr>
          <w:rFonts w:ascii="Verdana" w:hAnsi="Verdana" w:cs="Times New Roman"/>
          <w:color w:val="1B1B1B"/>
          <w:sz w:val="20"/>
          <w:szCs w:val="20"/>
          <w:lang w:val="es-CR"/>
        </w:rPr>
        <w:t xml:space="preserve">dedicados </w:t>
      </w:r>
      <w:r w:rsidR="00CC0A1A" w:rsidRPr="00912266">
        <w:rPr>
          <w:rFonts w:ascii="Verdana" w:hAnsi="Verdana" w:cs="Times New Roman"/>
          <w:color w:val="2F2F2F"/>
          <w:sz w:val="20"/>
          <w:szCs w:val="20"/>
          <w:lang w:val="es-CR"/>
        </w:rPr>
        <w:t xml:space="preserve">a </w:t>
      </w:r>
      <w:r w:rsidR="00CC0A1A" w:rsidRPr="00912266">
        <w:rPr>
          <w:rFonts w:ascii="Verdana" w:hAnsi="Verdana" w:cs="Times New Roman"/>
          <w:color w:val="1B1B1B"/>
          <w:sz w:val="20"/>
          <w:szCs w:val="20"/>
          <w:lang w:val="es-CR"/>
        </w:rPr>
        <w:t>la limpiez</w:t>
      </w:r>
      <w:r w:rsidR="00CC0A1A" w:rsidRPr="00912266">
        <w:rPr>
          <w:rFonts w:ascii="Verdana" w:hAnsi="Verdana" w:cs="Times New Roman"/>
          <w:color w:val="454545"/>
          <w:sz w:val="20"/>
          <w:szCs w:val="20"/>
          <w:lang w:val="es-CR"/>
        </w:rPr>
        <w:t xml:space="preserve">a </w:t>
      </w:r>
      <w:r w:rsidR="00CC0A1A" w:rsidRPr="00912266">
        <w:rPr>
          <w:rFonts w:ascii="Verdana" w:hAnsi="Verdana" w:cs="Times New Roman"/>
          <w:color w:val="2F2F2F"/>
          <w:sz w:val="20"/>
          <w:szCs w:val="20"/>
          <w:lang w:val="es-CR"/>
        </w:rPr>
        <w:t xml:space="preserve">social en </w:t>
      </w:r>
      <w:r w:rsidR="00CC0A1A" w:rsidRPr="00912266">
        <w:rPr>
          <w:rFonts w:ascii="Verdana" w:hAnsi="Verdana" w:cs="Times New Roman"/>
          <w:color w:val="090909"/>
          <w:sz w:val="20"/>
          <w:szCs w:val="20"/>
          <w:lang w:val="es-CR"/>
        </w:rPr>
        <w:t>l</w:t>
      </w:r>
      <w:r w:rsidR="00CC0A1A" w:rsidRPr="00912266">
        <w:rPr>
          <w:rFonts w:ascii="Verdana" w:hAnsi="Verdana" w:cs="Times New Roman"/>
          <w:color w:val="2F2F2F"/>
          <w:sz w:val="20"/>
          <w:szCs w:val="20"/>
          <w:lang w:val="es-CR"/>
        </w:rPr>
        <w:t xml:space="preserve">a </w:t>
      </w:r>
      <w:r w:rsidR="00B35F0F">
        <w:rPr>
          <w:rFonts w:ascii="Verdana" w:hAnsi="Verdana" w:cs="Times New Roman"/>
          <w:color w:val="1B1B1B"/>
          <w:sz w:val="20"/>
          <w:szCs w:val="20"/>
          <w:lang w:val="es-CR"/>
        </w:rPr>
        <w:t>PNC</w:t>
      </w:r>
      <w:r w:rsidR="00CC0A1A" w:rsidRPr="00912266">
        <w:rPr>
          <w:rFonts w:ascii="Verdana" w:hAnsi="Verdana" w:cs="Times New Roman"/>
          <w:color w:val="2F2F2F"/>
          <w:sz w:val="20"/>
          <w:szCs w:val="20"/>
          <w:lang w:val="es-CR"/>
        </w:rPr>
        <w:t xml:space="preserve"> (</w:t>
      </w:r>
      <w:r w:rsidR="00CC0A1A" w:rsidRPr="00912266">
        <w:rPr>
          <w:rFonts w:ascii="Verdana" w:hAnsi="Verdana" w:cs="Times New Roman"/>
          <w:i/>
          <w:color w:val="2F2F2F"/>
          <w:sz w:val="20"/>
          <w:szCs w:val="20"/>
          <w:lang w:val="es-CR"/>
        </w:rPr>
        <w:t>supra</w:t>
      </w:r>
      <w:r w:rsidR="00CC0A1A" w:rsidRPr="00912266">
        <w:rPr>
          <w:rFonts w:ascii="Verdana" w:hAnsi="Verdana" w:cs="Times New Roman"/>
          <w:color w:val="2F2F2F"/>
          <w:sz w:val="20"/>
          <w:szCs w:val="20"/>
          <w:lang w:val="es-CR"/>
        </w:rPr>
        <w:t xml:space="preserve"> párr. </w:t>
      </w:r>
      <w:r w:rsidR="001C0947">
        <w:rPr>
          <w:rFonts w:ascii="Verdana" w:hAnsi="Verdana" w:cs="Times New Roman"/>
          <w:color w:val="2F2F2F"/>
          <w:sz w:val="20"/>
          <w:szCs w:val="20"/>
          <w:lang w:val="es-CR"/>
        </w:rPr>
        <w:t>95</w:t>
      </w:r>
      <w:r w:rsidR="00CC0A1A" w:rsidRPr="00912266">
        <w:rPr>
          <w:rFonts w:ascii="Verdana" w:hAnsi="Verdana" w:cs="Times New Roman"/>
          <w:color w:val="2F2F2F"/>
          <w:sz w:val="20"/>
          <w:szCs w:val="20"/>
          <w:lang w:val="es-CR"/>
        </w:rPr>
        <w:t>).</w:t>
      </w:r>
      <w:r w:rsidR="000C77D8" w:rsidRPr="00DC128C">
        <w:rPr>
          <w:rFonts w:ascii="Verdana" w:hAnsi="Verdana"/>
          <w:b/>
          <w:sz w:val="20"/>
          <w:szCs w:val="20"/>
          <w:lang w:val="es-CR"/>
        </w:rPr>
        <w:t xml:space="preserve"> </w:t>
      </w:r>
    </w:p>
    <w:p w14:paraId="2762E323" w14:textId="77777777" w:rsidR="00DC128C" w:rsidRPr="00DC128C" w:rsidRDefault="00DC128C" w:rsidP="00DC128C">
      <w:pPr>
        <w:pStyle w:val="Prrafodelista"/>
        <w:rPr>
          <w:rFonts w:ascii="Verdana" w:hAnsi="Verdana"/>
          <w:b/>
          <w:sz w:val="20"/>
          <w:szCs w:val="20"/>
          <w:lang w:val="es-CR"/>
        </w:rPr>
      </w:pPr>
    </w:p>
    <w:p w14:paraId="17B0812C" w14:textId="62B65ADB" w:rsidR="00DC128C" w:rsidRPr="00912266" w:rsidRDefault="00134568" w:rsidP="00DC128C">
      <w:pPr>
        <w:pStyle w:val="Prrafodelista"/>
        <w:numPr>
          <w:ilvl w:val="3"/>
          <w:numId w:val="1"/>
        </w:numPr>
        <w:autoSpaceDE w:val="0"/>
        <w:autoSpaceDN w:val="0"/>
        <w:adjustRightInd w:val="0"/>
        <w:spacing w:after="0" w:line="240" w:lineRule="auto"/>
        <w:ind w:left="0" w:firstLine="0"/>
        <w:jc w:val="both"/>
        <w:rPr>
          <w:rFonts w:ascii="Verdana" w:hAnsi="Verdana"/>
          <w:sz w:val="18"/>
          <w:szCs w:val="20"/>
          <w:lang w:val="es-CR"/>
        </w:rPr>
      </w:pPr>
      <w:r w:rsidRPr="00912266">
        <w:rPr>
          <w:rFonts w:ascii="Verdana" w:hAnsi="Verdana"/>
          <w:sz w:val="20"/>
          <w:szCs w:val="20"/>
          <w:lang w:val="es-CR"/>
        </w:rPr>
        <w:t xml:space="preserve">Por otro lado, </w:t>
      </w:r>
      <w:r w:rsidR="005227F1" w:rsidRPr="00912266">
        <w:rPr>
          <w:rFonts w:ascii="Verdana" w:hAnsi="Verdana"/>
          <w:sz w:val="20"/>
          <w:szCs w:val="20"/>
          <w:lang w:val="es-CR"/>
        </w:rPr>
        <w:t xml:space="preserve">a este Tribunal llama la atención que después de los hechos sobre la </w:t>
      </w:r>
      <w:r w:rsidR="00884254">
        <w:rPr>
          <w:rFonts w:ascii="Verdana" w:hAnsi="Verdana"/>
          <w:sz w:val="20"/>
          <w:szCs w:val="20"/>
          <w:lang w:val="es-CR"/>
        </w:rPr>
        <w:t>muerte</w:t>
      </w:r>
      <w:r w:rsidR="000C77EB">
        <w:rPr>
          <w:rFonts w:ascii="Verdana" w:hAnsi="Verdana"/>
          <w:sz w:val="20"/>
          <w:szCs w:val="20"/>
          <w:lang w:val="es-CR"/>
        </w:rPr>
        <w:t xml:space="preserve"> </w:t>
      </w:r>
      <w:r w:rsidR="005227F1" w:rsidRPr="00912266">
        <w:rPr>
          <w:rFonts w:ascii="Verdana" w:hAnsi="Verdana"/>
          <w:sz w:val="20"/>
          <w:szCs w:val="20"/>
          <w:lang w:val="es-CR"/>
        </w:rPr>
        <w:t>del señor Valenzuela, no se utilizar</w:t>
      </w:r>
      <w:r w:rsidR="00963A3D">
        <w:rPr>
          <w:rFonts w:ascii="Verdana" w:hAnsi="Verdana"/>
          <w:sz w:val="20"/>
          <w:szCs w:val="20"/>
          <w:lang w:val="es-CR"/>
        </w:rPr>
        <w:t>o</w:t>
      </w:r>
      <w:r w:rsidR="005227F1" w:rsidRPr="00912266">
        <w:rPr>
          <w:rFonts w:ascii="Verdana" w:hAnsi="Verdana"/>
          <w:sz w:val="20"/>
          <w:szCs w:val="20"/>
          <w:lang w:val="es-CR"/>
        </w:rPr>
        <w:t>n los protocolos de investigación</w:t>
      </w:r>
      <w:r w:rsidR="0025243C" w:rsidRPr="00912266">
        <w:rPr>
          <w:rFonts w:ascii="Verdana" w:hAnsi="Verdana"/>
          <w:sz w:val="20"/>
          <w:szCs w:val="20"/>
          <w:lang w:val="es-CR"/>
        </w:rPr>
        <w:t xml:space="preserve"> que </w:t>
      </w:r>
      <w:r w:rsidR="00963A3D">
        <w:rPr>
          <w:rFonts w:ascii="Verdana" w:hAnsi="Verdana"/>
          <w:sz w:val="20"/>
          <w:szCs w:val="20"/>
          <w:lang w:val="es-CR"/>
        </w:rPr>
        <w:t>eran</w:t>
      </w:r>
      <w:r w:rsidR="00963A3D" w:rsidRPr="00912266">
        <w:rPr>
          <w:rFonts w:ascii="Verdana" w:hAnsi="Verdana"/>
          <w:sz w:val="20"/>
          <w:szCs w:val="20"/>
          <w:lang w:val="es-CR"/>
        </w:rPr>
        <w:t xml:space="preserve"> </w:t>
      </w:r>
      <w:r w:rsidR="0025243C" w:rsidRPr="00912266">
        <w:rPr>
          <w:rFonts w:ascii="Verdana" w:hAnsi="Verdana"/>
          <w:sz w:val="20"/>
          <w:szCs w:val="20"/>
          <w:lang w:val="es-CR"/>
        </w:rPr>
        <w:t>necesarios para recolectar</w:t>
      </w:r>
      <w:r w:rsidR="005227F1" w:rsidRPr="00912266">
        <w:rPr>
          <w:rFonts w:ascii="Verdana" w:hAnsi="Verdana"/>
          <w:sz w:val="20"/>
          <w:szCs w:val="20"/>
          <w:lang w:val="es-CR"/>
        </w:rPr>
        <w:t xml:space="preserve"> todas las evidencias e indicios que </w:t>
      </w:r>
      <w:r w:rsidR="00963A3D">
        <w:rPr>
          <w:rFonts w:ascii="Verdana" w:hAnsi="Verdana"/>
          <w:sz w:val="20"/>
          <w:szCs w:val="20"/>
          <w:lang w:val="es-CR"/>
        </w:rPr>
        <w:t xml:space="preserve">hubieran </w:t>
      </w:r>
      <w:r w:rsidR="005227F1" w:rsidRPr="00912266">
        <w:rPr>
          <w:rFonts w:ascii="Verdana" w:hAnsi="Verdana"/>
          <w:sz w:val="20"/>
          <w:szCs w:val="20"/>
          <w:lang w:val="es-CR"/>
        </w:rPr>
        <w:t>permit</w:t>
      </w:r>
      <w:r w:rsidR="00963A3D">
        <w:rPr>
          <w:rFonts w:ascii="Verdana" w:hAnsi="Verdana"/>
          <w:sz w:val="20"/>
          <w:szCs w:val="20"/>
          <w:lang w:val="es-CR"/>
        </w:rPr>
        <w:t>ido</w:t>
      </w:r>
      <w:r w:rsidR="005227F1" w:rsidRPr="00912266">
        <w:rPr>
          <w:rFonts w:ascii="Verdana" w:hAnsi="Verdana"/>
          <w:sz w:val="20"/>
          <w:szCs w:val="20"/>
          <w:lang w:val="es-CR"/>
        </w:rPr>
        <w:t xml:space="preserve"> esclarecer la escena del crimen, toda vez, que son elementos de carácter irrepetibles que solo pueden obtenerse </w:t>
      </w:r>
      <w:r w:rsidR="005227F1" w:rsidRPr="00912266">
        <w:rPr>
          <w:rFonts w:ascii="Verdana" w:hAnsi="Verdana"/>
          <w:i/>
          <w:sz w:val="20"/>
          <w:szCs w:val="20"/>
          <w:lang w:val="es-CR"/>
        </w:rPr>
        <w:t>ipso facto</w:t>
      </w:r>
      <w:r w:rsidR="005227F1" w:rsidRPr="00912266">
        <w:rPr>
          <w:rFonts w:ascii="Verdana" w:hAnsi="Verdana"/>
          <w:sz w:val="20"/>
          <w:szCs w:val="20"/>
          <w:lang w:val="es-CR"/>
        </w:rPr>
        <w:t>.</w:t>
      </w:r>
      <w:r w:rsidR="005227F1" w:rsidRPr="00912266">
        <w:rPr>
          <w:rFonts w:ascii="Verdana" w:hAnsi="Verdana"/>
          <w:i/>
          <w:sz w:val="20"/>
          <w:szCs w:val="20"/>
          <w:lang w:val="es-CR"/>
        </w:rPr>
        <w:t xml:space="preserve"> </w:t>
      </w:r>
      <w:r w:rsidR="005227F1" w:rsidRPr="00912266">
        <w:rPr>
          <w:rFonts w:ascii="Verdana" w:hAnsi="Verdana"/>
          <w:sz w:val="20"/>
          <w:szCs w:val="20"/>
          <w:lang w:val="es-CR"/>
        </w:rPr>
        <w:t xml:space="preserve">Por </w:t>
      </w:r>
      <w:r w:rsidR="00963A3D">
        <w:rPr>
          <w:rFonts w:ascii="Verdana" w:hAnsi="Verdana"/>
          <w:sz w:val="20"/>
          <w:szCs w:val="20"/>
          <w:lang w:val="es-CR"/>
        </w:rPr>
        <w:t>lo cual</w:t>
      </w:r>
      <w:r w:rsidR="005227F1" w:rsidRPr="00912266">
        <w:rPr>
          <w:rFonts w:ascii="Verdana" w:hAnsi="Verdana"/>
          <w:sz w:val="20"/>
          <w:szCs w:val="20"/>
          <w:lang w:val="es-CR"/>
        </w:rPr>
        <w:t>, deb</w:t>
      </w:r>
      <w:r w:rsidR="00963A3D">
        <w:rPr>
          <w:rFonts w:ascii="Verdana" w:hAnsi="Verdana"/>
          <w:sz w:val="20"/>
          <w:szCs w:val="20"/>
          <w:lang w:val="es-CR"/>
        </w:rPr>
        <w:t>ieron</w:t>
      </w:r>
      <w:r w:rsidR="005227F1" w:rsidRPr="00912266">
        <w:rPr>
          <w:rFonts w:ascii="Verdana" w:hAnsi="Verdana"/>
          <w:sz w:val="20"/>
          <w:szCs w:val="20"/>
          <w:lang w:val="es-CR"/>
        </w:rPr>
        <w:t xml:space="preserve"> procesarse con el mayor cuidado posible, aplicando todos los protocolos básicos vigentes en el momento de los hechos, más aún cuando esta serie </w:t>
      </w:r>
      <w:r w:rsidR="0025243C" w:rsidRPr="00912266">
        <w:rPr>
          <w:rFonts w:ascii="Verdana" w:hAnsi="Verdana"/>
          <w:sz w:val="20"/>
          <w:szCs w:val="20"/>
          <w:lang w:val="es-CR"/>
        </w:rPr>
        <w:t xml:space="preserve">de elementos </w:t>
      </w:r>
      <w:r w:rsidR="00963A3D">
        <w:rPr>
          <w:rFonts w:ascii="Verdana" w:hAnsi="Verdana"/>
          <w:sz w:val="20"/>
          <w:szCs w:val="20"/>
          <w:lang w:val="es-CR"/>
        </w:rPr>
        <w:t>pudieron</w:t>
      </w:r>
      <w:r w:rsidR="00963A3D" w:rsidRPr="00912266">
        <w:rPr>
          <w:rFonts w:ascii="Verdana" w:hAnsi="Verdana"/>
          <w:sz w:val="20"/>
          <w:szCs w:val="20"/>
          <w:lang w:val="es-CR"/>
        </w:rPr>
        <w:t xml:space="preserve"> </w:t>
      </w:r>
      <w:r w:rsidR="0025243C" w:rsidRPr="00912266">
        <w:rPr>
          <w:rFonts w:ascii="Verdana" w:hAnsi="Verdana"/>
          <w:sz w:val="20"/>
          <w:szCs w:val="20"/>
          <w:lang w:val="es-CR"/>
        </w:rPr>
        <w:t xml:space="preserve">coadyuvar en la investigación de </w:t>
      </w:r>
      <w:r w:rsidR="005227F1" w:rsidRPr="00912266">
        <w:rPr>
          <w:rFonts w:ascii="Verdana" w:hAnsi="Verdana"/>
          <w:sz w:val="20"/>
          <w:szCs w:val="20"/>
          <w:lang w:val="es-CR"/>
        </w:rPr>
        <w:t xml:space="preserve">una ejecución extrajudicial. </w:t>
      </w:r>
    </w:p>
    <w:p w14:paraId="69582516" w14:textId="77777777" w:rsidR="00DC128C" w:rsidRPr="00912266" w:rsidRDefault="00DC128C" w:rsidP="00DC128C">
      <w:pPr>
        <w:pStyle w:val="Prrafodelista"/>
        <w:rPr>
          <w:rFonts w:ascii="Verdana" w:hAnsi="Verdana"/>
          <w:sz w:val="20"/>
          <w:szCs w:val="20"/>
          <w:lang w:val="es-CR"/>
        </w:rPr>
      </w:pPr>
    </w:p>
    <w:p w14:paraId="7593AE5B" w14:textId="4D66E9D7" w:rsidR="00DC128C" w:rsidRPr="00912266" w:rsidRDefault="00A91B90" w:rsidP="00DC128C">
      <w:pPr>
        <w:pStyle w:val="Prrafodelista"/>
        <w:numPr>
          <w:ilvl w:val="3"/>
          <w:numId w:val="1"/>
        </w:numPr>
        <w:autoSpaceDE w:val="0"/>
        <w:autoSpaceDN w:val="0"/>
        <w:adjustRightInd w:val="0"/>
        <w:spacing w:after="0" w:line="240" w:lineRule="auto"/>
        <w:ind w:left="0" w:firstLine="0"/>
        <w:jc w:val="both"/>
        <w:rPr>
          <w:rFonts w:ascii="Verdana" w:hAnsi="Verdana"/>
          <w:sz w:val="18"/>
          <w:szCs w:val="20"/>
          <w:lang w:val="es-CR"/>
        </w:rPr>
      </w:pPr>
      <w:r w:rsidRPr="00912266">
        <w:rPr>
          <w:rFonts w:ascii="Verdana" w:hAnsi="Verdana"/>
          <w:sz w:val="20"/>
          <w:szCs w:val="20"/>
          <w:lang w:val="es-CR"/>
        </w:rPr>
        <w:t>L</w:t>
      </w:r>
      <w:r w:rsidR="003470D4" w:rsidRPr="00912266">
        <w:rPr>
          <w:rFonts w:ascii="Verdana" w:hAnsi="Verdana"/>
          <w:sz w:val="20"/>
          <w:szCs w:val="20"/>
          <w:lang w:val="es-CR"/>
        </w:rPr>
        <w:t xml:space="preserve">a Corte nota que el </w:t>
      </w:r>
      <w:r w:rsidR="00776E25" w:rsidRPr="00912266">
        <w:rPr>
          <w:rFonts w:ascii="Verdana" w:hAnsi="Verdana"/>
          <w:sz w:val="20"/>
          <w:szCs w:val="20"/>
          <w:lang w:val="es-CR"/>
        </w:rPr>
        <w:t xml:space="preserve">cadáver del </w:t>
      </w:r>
      <w:r w:rsidR="003470D4" w:rsidRPr="00912266">
        <w:rPr>
          <w:rFonts w:ascii="Verdana" w:hAnsi="Verdana"/>
          <w:sz w:val="20"/>
          <w:szCs w:val="20"/>
          <w:lang w:val="es-CR"/>
        </w:rPr>
        <w:t>señor Valenzuela</w:t>
      </w:r>
      <w:r w:rsidR="00776E25" w:rsidRPr="00912266">
        <w:rPr>
          <w:rFonts w:ascii="Verdana" w:hAnsi="Verdana"/>
          <w:sz w:val="20"/>
          <w:szCs w:val="20"/>
          <w:lang w:val="es-CR"/>
        </w:rPr>
        <w:t xml:space="preserve"> presentaba heridas causadas por </w:t>
      </w:r>
      <w:r w:rsidR="003470D4" w:rsidRPr="00912266">
        <w:rPr>
          <w:rFonts w:ascii="Verdana" w:hAnsi="Verdana"/>
          <w:sz w:val="20"/>
          <w:szCs w:val="20"/>
          <w:lang w:val="es-CR"/>
        </w:rPr>
        <w:t xml:space="preserve">disparos </w:t>
      </w:r>
      <w:r w:rsidR="00230BBC" w:rsidRPr="00912266">
        <w:rPr>
          <w:rFonts w:ascii="Verdana" w:hAnsi="Verdana"/>
          <w:sz w:val="20"/>
          <w:szCs w:val="20"/>
          <w:lang w:val="es-CR"/>
        </w:rPr>
        <w:t>de</w:t>
      </w:r>
      <w:r w:rsidR="003470D4" w:rsidRPr="00912266">
        <w:rPr>
          <w:rFonts w:ascii="Verdana" w:hAnsi="Verdana"/>
          <w:sz w:val="20"/>
          <w:szCs w:val="20"/>
          <w:lang w:val="es-CR"/>
        </w:rPr>
        <w:t xml:space="preserve"> arma de fuego</w:t>
      </w:r>
      <w:r w:rsidR="00CA6AB6" w:rsidRPr="00912266">
        <w:rPr>
          <w:rFonts w:ascii="Verdana" w:hAnsi="Verdana"/>
          <w:sz w:val="20"/>
          <w:szCs w:val="20"/>
          <w:lang w:val="es-CR"/>
        </w:rPr>
        <w:t>, y según la necropsia</w:t>
      </w:r>
      <w:r w:rsidR="00CF7D82" w:rsidRPr="00912266">
        <w:rPr>
          <w:rFonts w:ascii="Verdana" w:hAnsi="Verdana"/>
          <w:sz w:val="20"/>
          <w:szCs w:val="20"/>
          <w:lang w:val="es-CR"/>
        </w:rPr>
        <w:t xml:space="preserve"> de </w:t>
      </w:r>
      <w:r w:rsidR="00133FCA" w:rsidRPr="005A2F43">
        <w:rPr>
          <w:rFonts w:ascii="Verdana" w:hAnsi="Verdana"/>
          <w:sz w:val="20"/>
          <w:szCs w:val="20"/>
          <w:lang w:val="es-CR"/>
        </w:rPr>
        <w:t>10</w:t>
      </w:r>
      <w:r w:rsidR="00CF7D82" w:rsidRPr="00912266">
        <w:rPr>
          <w:rFonts w:ascii="Verdana" w:hAnsi="Verdana"/>
          <w:sz w:val="20"/>
          <w:szCs w:val="20"/>
          <w:lang w:val="es-CR"/>
        </w:rPr>
        <w:t xml:space="preserve"> de diciembre de 2006</w:t>
      </w:r>
      <w:r w:rsidR="00CA6AB6" w:rsidRPr="00912266">
        <w:rPr>
          <w:rFonts w:ascii="Verdana" w:hAnsi="Verdana"/>
          <w:sz w:val="20"/>
          <w:szCs w:val="20"/>
          <w:lang w:val="es-CR"/>
        </w:rPr>
        <w:t xml:space="preserve"> </w:t>
      </w:r>
      <w:r w:rsidR="00CF7D82" w:rsidRPr="00912266">
        <w:rPr>
          <w:rFonts w:ascii="Verdana" w:hAnsi="Verdana"/>
          <w:sz w:val="20"/>
          <w:szCs w:val="20"/>
          <w:lang w:val="es-CR"/>
        </w:rPr>
        <w:t>no se ident</w:t>
      </w:r>
      <w:r w:rsidR="0025243C" w:rsidRPr="00912266">
        <w:rPr>
          <w:rFonts w:ascii="Verdana" w:hAnsi="Verdana"/>
          <w:sz w:val="20"/>
          <w:szCs w:val="20"/>
          <w:lang w:val="es-CR"/>
        </w:rPr>
        <w:t>ificó su cadáver. S</w:t>
      </w:r>
      <w:r w:rsidR="00CA6AB6" w:rsidRPr="00912266">
        <w:rPr>
          <w:rFonts w:ascii="Verdana" w:hAnsi="Verdana"/>
          <w:sz w:val="20"/>
          <w:szCs w:val="20"/>
          <w:lang w:val="es-CR"/>
        </w:rPr>
        <w:t xml:space="preserve">u cráneo fue destrozado completamente, </w:t>
      </w:r>
      <w:r w:rsidR="00CF7D82" w:rsidRPr="00912266">
        <w:rPr>
          <w:rFonts w:ascii="Verdana" w:hAnsi="Verdana"/>
          <w:sz w:val="20"/>
          <w:szCs w:val="20"/>
          <w:lang w:val="es-CR"/>
        </w:rPr>
        <w:t xml:space="preserve">y la causa de la muerte fue laceración cerebral y fractura </w:t>
      </w:r>
      <w:proofErr w:type="spellStart"/>
      <w:r w:rsidR="00CF7D82" w:rsidRPr="00912266">
        <w:rPr>
          <w:rFonts w:ascii="Verdana" w:hAnsi="Verdana"/>
          <w:sz w:val="20"/>
          <w:szCs w:val="20"/>
          <w:lang w:val="es-CR"/>
        </w:rPr>
        <w:t>multifragmentaria</w:t>
      </w:r>
      <w:proofErr w:type="spellEnd"/>
      <w:r w:rsidR="00CF7D82" w:rsidRPr="00912266">
        <w:rPr>
          <w:rFonts w:ascii="Verdana" w:hAnsi="Verdana"/>
          <w:sz w:val="20"/>
          <w:szCs w:val="20"/>
          <w:lang w:val="es-CR"/>
        </w:rPr>
        <w:t xml:space="preserve"> de cráneo</w:t>
      </w:r>
      <w:r w:rsidR="00051DCC" w:rsidRPr="00912266">
        <w:rPr>
          <w:rFonts w:ascii="Verdana" w:hAnsi="Verdana"/>
          <w:sz w:val="20"/>
          <w:szCs w:val="20"/>
          <w:lang w:val="es-CR"/>
        </w:rPr>
        <w:t xml:space="preserve">, sin otros detalles, como se desprende de </w:t>
      </w:r>
      <w:r w:rsidR="00FE674B">
        <w:rPr>
          <w:rFonts w:ascii="Verdana" w:hAnsi="Verdana"/>
          <w:sz w:val="20"/>
          <w:szCs w:val="20"/>
          <w:lang w:val="es-CR"/>
        </w:rPr>
        <w:t xml:space="preserve">la </w:t>
      </w:r>
      <w:r w:rsidR="00051DCC" w:rsidRPr="00912266">
        <w:rPr>
          <w:rFonts w:ascii="Verdana" w:hAnsi="Verdana"/>
          <w:sz w:val="20"/>
          <w:szCs w:val="20"/>
          <w:lang w:val="es-CR"/>
        </w:rPr>
        <w:t xml:space="preserve">nota </w:t>
      </w:r>
      <w:r w:rsidR="0025243C" w:rsidRPr="00912266">
        <w:rPr>
          <w:rFonts w:ascii="Verdana" w:hAnsi="Verdana"/>
          <w:sz w:val="20"/>
          <w:szCs w:val="20"/>
          <w:lang w:val="es-CR"/>
        </w:rPr>
        <w:t xml:space="preserve">que consta al final de la misma, la cual </w:t>
      </w:r>
      <w:r w:rsidR="00051DCC" w:rsidRPr="00912266">
        <w:rPr>
          <w:rFonts w:ascii="Verdana" w:hAnsi="Verdana"/>
          <w:sz w:val="20"/>
          <w:szCs w:val="20"/>
          <w:lang w:val="es-CR"/>
        </w:rPr>
        <w:t>indica que no se adjuntan muestras ni evidencias.</w:t>
      </w:r>
      <w:r w:rsidR="00776E25" w:rsidRPr="00912266">
        <w:rPr>
          <w:rFonts w:ascii="Verdana" w:hAnsi="Verdana"/>
          <w:sz w:val="20"/>
          <w:szCs w:val="20"/>
          <w:lang w:val="es-CR"/>
        </w:rPr>
        <w:t xml:space="preserve"> </w:t>
      </w:r>
      <w:r w:rsidR="003B72AA" w:rsidRPr="00912266">
        <w:rPr>
          <w:rFonts w:ascii="Verdana" w:hAnsi="Verdana"/>
          <w:sz w:val="20"/>
          <w:szCs w:val="20"/>
          <w:lang w:val="es-CR"/>
        </w:rPr>
        <w:t>Igualmente</w:t>
      </w:r>
      <w:r w:rsidR="00776E25" w:rsidRPr="00912266">
        <w:rPr>
          <w:rFonts w:ascii="Verdana" w:hAnsi="Verdana"/>
          <w:sz w:val="20"/>
          <w:szCs w:val="20"/>
          <w:lang w:val="es-CR"/>
        </w:rPr>
        <w:t xml:space="preserve">, </w:t>
      </w:r>
      <w:r w:rsidR="00776E25" w:rsidRPr="00DF5CC8">
        <w:rPr>
          <w:rFonts w:ascii="Verdana" w:hAnsi="Verdana"/>
          <w:sz w:val="20"/>
          <w:szCs w:val="20"/>
          <w:lang w:val="es-CR"/>
        </w:rPr>
        <w:t xml:space="preserve">en </w:t>
      </w:r>
      <w:r w:rsidR="00776E25" w:rsidRPr="009D0D31">
        <w:rPr>
          <w:rFonts w:ascii="Verdana" w:hAnsi="Verdana"/>
          <w:sz w:val="20"/>
          <w:szCs w:val="20"/>
          <w:lang w:val="es-CR"/>
        </w:rPr>
        <w:t xml:space="preserve">el </w:t>
      </w:r>
      <w:r w:rsidR="00CF7D82" w:rsidRPr="009D0D31">
        <w:rPr>
          <w:rFonts w:ascii="Verdana" w:hAnsi="Verdana"/>
          <w:sz w:val="20"/>
          <w:szCs w:val="20"/>
          <w:lang w:val="es-CR"/>
        </w:rPr>
        <w:t xml:space="preserve">informe </w:t>
      </w:r>
      <w:r w:rsidR="008E556E" w:rsidRPr="009D0D31">
        <w:rPr>
          <w:rFonts w:ascii="Verdana" w:hAnsi="Verdana"/>
          <w:sz w:val="20"/>
          <w:szCs w:val="20"/>
          <w:lang w:val="es-CR"/>
        </w:rPr>
        <w:t xml:space="preserve">de balística </w:t>
      </w:r>
      <w:r w:rsidR="00CF7D82" w:rsidRPr="009D0D31">
        <w:rPr>
          <w:rFonts w:ascii="Verdana" w:hAnsi="Verdana"/>
          <w:sz w:val="20"/>
          <w:szCs w:val="20"/>
          <w:lang w:val="es-CR"/>
        </w:rPr>
        <w:t xml:space="preserve">de 19 de noviembre de 2009 elaborado por la Unidad del Laboratorio de Criminalística del Instituto Nacional </w:t>
      </w:r>
      <w:r w:rsidR="00FE674B">
        <w:rPr>
          <w:rFonts w:ascii="Verdana" w:hAnsi="Verdana"/>
          <w:sz w:val="20"/>
          <w:szCs w:val="20"/>
          <w:lang w:val="es-CR"/>
        </w:rPr>
        <w:t xml:space="preserve">de </w:t>
      </w:r>
      <w:r w:rsidR="00CF7D82" w:rsidRPr="009D0D31">
        <w:rPr>
          <w:rFonts w:ascii="Verdana" w:hAnsi="Verdana"/>
          <w:sz w:val="20"/>
          <w:szCs w:val="20"/>
          <w:lang w:val="es-CR"/>
        </w:rPr>
        <w:t>Ciencias Forenses</w:t>
      </w:r>
      <w:r w:rsidR="0025243C" w:rsidRPr="00DF5CC8">
        <w:rPr>
          <w:rFonts w:ascii="Verdana" w:hAnsi="Verdana"/>
          <w:sz w:val="20"/>
          <w:szCs w:val="20"/>
          <w:lang w:val="es-CR"/>
        </w:rPr>
        <w:t xml:space="preserve"> se</w:t>
      </w:r>
      <w:r w:rsidR="0025243C" w:rsidRPr="00912266">
        <w:rPr>
          <w:rFonts w:ascii="Verdana" w:hAnsi="Verdana"/>
          <w:sz w:val="20"/>
          <w:szCs w:val="20"/>
          <w:lang w:val="es-CR"/>
        </w:rPr>
        <w:t xml:space="preserve"> señala</w:t>
      </w:r>
      <w:r w:rsidR="00776E25" w:rsidRPr="00912266">
        <w:rPr>
          <w:rFonts w:ascii="Verdana" w:hAnsi="Verdana"/>
          <w:sz w:val="20"/>
          <w:szCs w:val="20"/>
          <w:lang w:val="es-CR"/>
        </w:rPr>
        <w:t xml:space="preserve"> </w:t>
      </w:r>
      <w:r w:rsidR="003B72AA" w:rsidRPr="00912266">
        <w:rPr>
          <w:rFonts w:ascii="Verdana" w:hAnsi="Verdana"/>
          <w:sz w:val="20"/>
          <w:szCs w:val="20"/>
          <w:lang w:val="es-CR"/>
        </w:rPr>
        <w:t xml:space="preserve">en términos generales </w:t>
      </w:r>
      <w:r w:rsidR="00776E25" w:rsidRPr="00912266">
        <w:rPr>
          <w:rFonts w:ascii="Verdana" w:hAnsi="Verdana"/>
          <w:sz w:val="20"/>
          <w:szCs w:val="20"/>
          <w:lang w:val="es-CR"/>
        </w:rPr>
        <w:t>que fueron</w:t>
      </w:r>
      <w:r w:rsidR="00092543" w:rsidRPr="00912266">
        <w:rPr>
          <w:rFonts w:ascii="Verdana" w:hAnsi="Verdana"/>
          <w:sz w:val="20"/>
          <w:szCs w:val="20"/>
          <w:lang w:val="es-CR"/>
        </w:rPr>
        <w:t xml:space="preserve"> asesinada</w:t>
      </w:r>
      <w:r w:rsidR="00776E25" w:rsidRPr="00912266">
        <w:rPr>
          <w:rFonts w:ascii="Verdana" w:hAnsi="Verdana"/>
          <w:sz w:val="20"/>
          <w:szCs w:val="20"/>
          <w:lang w:val="es-CR"/>
        </w:rPr>
        <w:t>s las dos personas “a tiros cuando un automotor en marcha disparó con fusiles de asalto contra ellos, que se conducían en una motocicleta”</w:t>
      </w:r>
      <w:r w:rsidR="003B72AA" w:rsidRPr="00912266">
        <w:rPr>
          <w:rFonts w:ascii="Verdana" w:hAnsi="Verdana"/>
          <w:sz w:val="20"/>
          <w:szCs w:val="20"/>
          <w:lang w:val="es-CR"/>
        </w:rPr>
        <w:t xml:space="preserve"> y se describen las cinco armas que participaron en los hechos de acuerdo a los casquillos que se encontraron</w:t>
      </w:r>
      <w:r w:rsidR="00133FCA">
        <w:rPr>
          <w:rStyle w:val="Refdenotaalpie"/>
          <w:rFonts w:ascii="Verdana" w:hAnsi="Verdana"/>
          <w:sz w:val="20"/>
          <w:szCs w:val="20"/>
          <w:lang w:val="es-CR"/>
        </w:rPr>
        <w:footnoteReference w:id="134"/>
      </w:r>
      <w:r w:rsidR="00051DCC" w:rsidRPr="00912266">
        <w:rPr>
          <w:rFonts w:ascii="Verdana" w:hAnsi="Verdana"/>
          <w:sz w:val="20"/>
          <w:szCs w:val="20"/>
          <w:lang w:val="es-CR"/>
        </w:rPr>
        <w:t xml:space="preserve">. Asimismo, la </w:t>
      </w:r>
      <w:r w:rsidR="0096585A" w:rsidRPr="00912266">
        <w:rPr>
          <w:rFonts w:ascii="Verdana" w:hAnsi="Verdana"/>
          <w:sz w:val="20"/>
          <w:szCs w:val="20"/>
          <w:lang w:val="es-CR"/>
        </w:rPr>
        <w:t xml:space="preserve">Corte encuentra que se presentaron una serie de falencias </w:t>
      </w:r>
      <w:r w:rsidR="00051DCC" w:rsidRPr="00912266">
        <w:rPr>
          <w:rFonts w:ascii="Verdana" w:hAnsi="Verdana"/>
          <w:sz w:val="20"/>
          <w:szCs w:val="20"/>
          <w:lang w:val="es-CR"/>
        </w:rPr>
        <w:t xml:space="preserve">en el acta policial y en la inspección ocular realizada por la Jueza de Paz efectuadas el 8 de diciembre de 2006, así como </w:t>
      </w:r>
      <w:r w:rsidR="0096585A" w:rsidRPr="00912266">
        <w:rPr>
          <w:rFonts w:ascii="Verdana" w:hAnsi="Verdana"/>
          <w:sz w:val="20"/>
          <w:szCs w:val="20"/>
          <w:lang w:val="es-CR"/>
        </w:rPr>
        <w:t xml:space="preserve">en </w:t>
      </w:r>
      <w:r w:rsidR="00051DCC" w:rsidRPr="00912266">
        <w:rPr>
          <w:rFonts w:ascii="Verdana" w:hAnsi="Verdana"/>
          <w:sz w:val="20"/>
          <w:szCs w:val="20"/>
          <w:lang w:val="es-CR"/>
        </w:rPr>
        <w:t xml:space="preserve">la </w:t>
      </w:r>
      <w:r w:rsidR="0096585A" w:rsidRPr="00912266">
        <w:rPr>
          <w:rFonts w:ascii="Verdana" w:hAnsi="Verdana"/>
          <w:sz w:val="20"/>
          <w:szCs w:val="20"/>
          <w:lang w:val="es-CR"/>
        </w:rPr>
        <w:t xml:space="preserve">necropsia </w:t>
      </w:r>
      <w:r w:rsidR="00051DCC" w:rsidRPr="00912266">
        <w:rPr>
          <w:rFonts w:ascii="Verdana" w:hAnsi="Verdana"/>
          <w:sz w:val="20"/>
          <w:szCs w:val="20"/>
          <w:lang w:val="es-CR"/>
        </w:rPr>
        <w:t xml:space="preserve">realizada el </w:t>
      </w:r>
      <w:r w:rsidR="0066195F" w:rsidRPr="009D0D31">
        <w:rPr>
          <w:rFonts w:ascii="Verdana" w:hAnsi="Verdana"/>
          <w:sz w:val="20"/>
          <w:szCs w:val="20"/>
          <w:lang w:val="es-CR"/>
        </w:rPr>
        <w:t>10</w:t>
      </w:r>
      <w:r w:rsidR="00051DCC" w:rsidRPr="003E02BA">
        <w:rPr>
          <w:rFonts w:ascii="Verdana" w:hAnsi="Verdana"/>
          <w:sz w:val="20"/>
          <w:szCs w:val="20"/>
          <w:lang w:val="es-CR"/>
        </w:rPr>
        <w:t xml:space="preserve"> </w:t>
      </w:r>
      <w:r w:rsidR="00051DCC" w:rsidRPr="00912266">
        <w:rPr>
          <w:rFonts w:ascii="Verdana" w:hAnsi="Verdana"/>
          <w:sz w:val="20"/>
          <w:szCs w:val="20"/>
          <w:lang w:val="es-CR"/>
        </w:rPr>
        <w:t>de diciembre de 2006</w:t>
      </w:r>
      <w:r w:rsidR="00621DDD" w:rsidRPr="00912266">
        <w:rPr>
          <w:rFonts w:ascii="Verdana" w:hAnsi="Verdana"/>
          <w:sz w:val="20"/>
          <w:szCs w:val="20"/>
          <w:lang w:val="es-CR"/>
        </w:rPr>
        <w:t>.</w:t>
      </w:r>
      <w:r w:rsidR="00CC229B" w:rsidRPr="00912266">
        <w:rPr>
          <w:rFonts w:ascii="Verdana" w:hAnsi="Verdana"/>
          <w:sz w:val="20"/>
          <w:szCs w:val="20"/>
          <w:lang w:val="es-CR"/>
        </w:rPr>
        <w:t xml:space="preserve"> Aspectos que fueron </w:t>
      </w:r>
      <w:r w:rsidR="00030E6C" w:rsidRPr="00912266">
        <w:rPr>
          <w:rFonts w:ascii="Verdana" w:hAnsi="Verdana"/>
          <w:sz w:val="20"/>
          <w:szCs w:val="20"/>
          <w:lang w:val="es-CR"/>
        </w:rPr>
        <w:t>reafirmado</w:t>
      </w:r>
      <w:r w:rsidR="00394A23" w:rsidRPr="00912266">
        <w:rPr>
          <w:rFonts w:ascii="Verdana" w:hAnsi="Verdana"/>
          <w:sz w:val="20"/>
          <w:szCs w:val="20"/>
          <w:lang w:val="es-CR"/>
        </w:rPr>
        <w:t>s</w:t>
      </w:r>
      <w:r w:rsidR="00030E6C" w:rsidRPr="00912266">
        <w:rPr>
          <w:rFonts w:ascii="Verdana" w:hAnsi="Verdana"/>
          <w:sz w:val="20"/>
          <w:szCs w:val="20"/>
          <w:lang w:val="es-CR"/>
        </w:rPr>
        <w:t xml:space="preserve"> por la perita </w:t>
      </w:r>
      <w:r w:rsidR="00884254">
        <w:rPr>
          <w:rFonts w:ascii="Verdana" w:hAnsi="Verdana"/>
          <w:sz w:val="20"/>
          <w:szCs w:val="20"/>
          <w:lang w:val="es-CR"/>
        </w:rPr>
        <w:t xml:space="preserve">Olga Marta </w:t>
      </w:r>
      <w:r w:rsidR="00394A23" w:rsidRPr="00912266">
        <w:rPr>
          <w:rFonts w:ascii="Verdana" w:hAnsi="Verdana"/>
          <w:sz w:val="20"/>
          <w:szCs w:val="20"/>
          <w:lang w:val="es-CR"/>
        </w:rPr>
        <w:t xml:space="preserve">Roldán </w:t>
      </w:r>
      <w:r w:rsidR="00030E6C" w:rsidRPr="00912266">
        <w:rPr>
          <w:rFonts w:ascii="Verdana" w:hAnsi="Verdana"/>
          <w:sz w:val="20"/>
          <w:szCs w:val="20"/>
          <w:lang w:val="es-CR"/>
        </w:rPr>
        <w:t xml:space="preserve">en su declaración rendida </w:t>
      </w:r>
      <w:r w:rsidR="00C709A3" w:rsidRPr="00912266">
        <w:rPr>
          <w:rFonts w:ascii="Verdana" w:hAnsi="Verdana"/>
          <w:sz w:val="20"/>
          <w:szCs w:val="20"/>
          <w:lang w:val="es-CR"/>
        </w:rPr>
        <w:t xml:space="preserve">ante la Corte </w:t>
      </w:r>
      <w:r w:rsidR="00030E6C" w:rsidRPr="00912266">
        <w:rPr>
          <w:rFonts w:ascii="Verdana" w:hAnsi="Verdana"/>
          <w:sz w:val="20"/>
          <w:szCs w:val="20"/>
          <w:lang w:val="es-CR"/>
        </w:rPr>
        <w:t>el 7 de marzo de 2019</w:t>
      </w:r>
      <w:r w:rsidR="000561DD" w:rsidRPr="00912266">
        <w:rPr>
          <w:rFonts w:ascii="Verdana" w:hAnsi="Verdana"/>
          <w:sz w:val="20"/>
          <w:szCs w:val="20"/>
          <w:lang w:val="es-CR"/>
        </w:rPr>
        <w:t>, donde además precisó que existieron una serie de irregularidades en el procesamiento de la escena del crimen</w:t>
      </w:r>
      <w:r w:rsidR="000561DD" w:rsidRPr="00912266">
        <w:rPr>
          <w:rStyle w:val="Refdenotaalpie"/>
          <w:rFonts w:ascii="Verdana" w:hAnsi="Verdana"/>
          <w:sz w:val="20"/>
          <w:szCs w:val="20"/>
          <w:lang w:val="es-CR"/>
        </w:rPr>
        <w:footnoteReference w:id="135"/>
      </w:r>
      <w:r w:rsidR="00030E6C" w:rsidRPr="00912266">
        <w:rPr>
          <w:rFonts w:ascii="Verdana" w:hAnsi="Verdana"/>
          <w:sz w:val="20"/>
          <w:szCs w:val="20"/>
          <w:lang w:val="es-CR"/>
        </w:rPr>
        <w:t>.</w:t>
      </w:r>
    </w:p>
    <w:p w14:paraId="3D94D271" w14:textId="77777777" w:rsidR="00DC128C" w:rsidRPr="00912266" w:rsidRDefault="00DC128C" w:rsidP="00DC128C">
      <w:pPr>
        <w:pStyle w:val="Prrafodelista"/>
        <w:autoSpaceDE w:val="0"/>
        <w:autoSpaceDN w:val="0"/>
        <w:adjustRightInd w:val="0"/>
        <w:spacing w:after="0" w:line="240" w:lineRule="auto"/>
        <w:ind w:left="0"/>
        <w:jc w:val="both"/>
        <w:rPr>
          <w:rFonts w:ascii="Verdana" w:hAnsi="Verdana"/>
          <w:sz w:val="18"/>
          <w:szCs w:val="20"/>
          <w:lang w:val="es-CR"/>
        </w:rPr>
      </w:pPr>
    </w:p>
    <w:p w14:paraId="115A1CC9" w14:textId="7FD0D966" w:rsidR="00DC128C" w:rsidRPr="00912266" w:rsidRDefault="00F73117" w:rsidP="00DC128C">
      <w:pPr>
        <w:pStyle w:val="Prrafodelista"/>
        <w:numPr>
          <w:ilvl w:val="3"/>
          <w:numId w:val="1"/>
        </w:numPr>
        <w:autoSpaceDE w:val="0"/>
        <w:autoSpaceDN w:val="0"/>
        <w:adjustRightInd w:val="0"/>
        <w:spacing w:after="0" w:line="240" w:lineRule="auto"/>
        <w:ind w:left="0" w:firstLine="0"/>
        <w:jc w:val="both"/>
        <w:rPr>
          <w:rFonts w:ascii="Verdana" w:hAnsi="Verdana"/>
          <w:sz w:val="18"/>
          <w:szCs w:val="20"/>
          <w:lang w:val="es-CR"/>
        </w:rPr>
      </w:pPr>
      <w:r w:rsidRPr="00912266">
        <w:rPr>
          <w:rFonts w:ascii="Verdana" w:hAnsi="Verdana"/>
          <w:sz w:val="20"/>
          <w:szCs w:val="20"/>
        </w:rPr>
        <w:t>A</w:t>
      </w:r>
      <w:r w:rsidR="006F5BD8" w:rsidRPr="00912266">
        <w:rPr>
          <w:rFonts w:ascii="Verdana" w:hAnsi="Verdana"/>
          <w:sz w:val="20"/>
          <w:szCs w:val="20"/>
        </w:rPr>
        <w:t>demás, este Tribunal</w:t>
      </w:r>
      <w:r w:rsidRPr="00912266">
        <w:rPr>
          <w:rFonts w:ascii="Verdana" w:hAnsi="Verdana"/>
          <w:sz w:val="20"/>
          <w:szCs w:val="20"/>
        </w:rPr>
        <w:t xml:space="preserve"> </w:t>
      </w:r>
      <w:r w:rsidR="00C9367A" w:rsidRPr="00912266">
        <w:rPr>
          <w:rFonts w:ascii="Verdana" w:hAnsi="Verdana"/>
          <w:sz w:val="20"/>
          <w:szCs w:val="20"/>
          <w:lang w:val="es-CR"/>
        </w:rPr>
        <w:t xml:space="preserve">considera que </w:t>
      </w:r>
      <w:proofErr w:type="gramStart"/>
      <w:r w:rsidR="00C9367A" w:rsidRPr="00912266">
        <w:rPr>
          <w:rFonts w:ascii="Verdana" w:hAnsi="Verdana"/>
          <w:sz w:val="20"/>
          <w:szCs w:val="20"/>
          <w:lang w:val="es-CR"/>
        </w:rPr>
        <w:t>este conjunto de omisiones ha</w:t>
      </w:r>
      <w:r w:rsidR="00273F38">
        <w:rPr>
          <w:rFonts w:ascii="Verdana" w:hAnsi="Verdana"/>
          <w:sz w:val="20"/>
          <w:szCs w:val="20"/>
          <w:lang w:val="es-CR"/>
        </w:rPr>
        <w:t>n</w:t>
      </w:r>
      <w:proofErr w:type="gramEnd"/>
      <w:r w:rsidR="00C9367A" w:rsidRPr="00912266">
        <w:rPr>
          <w:rFonts w:ascii="Verdana" w:hAnsi="Verdana"/>
          <w:sz w:val="20"/>
          <w:szCs w:val="20"/>
          <w:lang w:val="es-CR"/>
        </w:rPr>
        <w:t xml:space="preserve"> impedido que desde el día de la muerte del señor Valenzuela hasta la actualidad no se hayan podido esclarecer los hechos ni investigad</w:t>
      </w:r>
      <w:r w:rsidR="00755341">
        <w:rPr>
          <w:rFonts w:ascii="Verdana" w:hAnsi="Verdana"/>
          <w:sz w:val="20"/>
          <w:szCs w:val="20"/>
          <w:lang w:val="es-CR"/>
        </w:rPr>
        <w:t xml:space="preserve">o de manera diligente, juzgado </w:t>
      </w:r>
      <w:r w:rsidR="00C9367A" w:rsidRPr="00912266">
        <w:rPr>
          <w:rFonts w:ascii="Verdana" w:hAnsi="Verdana"/>
          <w:sz w:val="20"/>
          <w:szCs w:val="20"/>
          <w:lang w:val="es-CR"/>
        </w:rPr>
        <w:t>y</w:t>
      </w:r>
      <w:r w:rsidR="00755341">
        <w:rPr>
          <w:rFonts w:ascii="Verdana" w:hAnsi="Verdana"/>
          <w:sz w:val="20"/>
          <w:szCs w:val="20"/>
          <w:lang w:val="es-CR"/>
        </w:rPr>
        <w:t>,</w:t>
      </w:r>
      <w:r w:rsidR="00C9367A" w:rsidRPr="00912266">
        <w:rPr>
          <w:rFonts w:ascii="Verdana" w:hAnsi="Verdana"/>
          <w:sz w:val="20"/>
          <w:szCs w:val="20"/>
          <w:lang w:val="es-CR"/>
        </w:rPr>
        <w:t xml:space="preserve"> en su caso, sancionado a los posibles responsables de los hechos, pese a que han transcurrido cerca de 13 año</w:t>
      </w:r>
      <w:r w:rsidR="008908E9" w:rsidRPr="00912266">
        <w:rPr>
          <w:rFonts w:ascii="Verdana" w:hAnsi="Verdana"/>
          <w:sz w:val="20"/>
          <w:szCs w:val="20"/>
          <w:lang w:val="es-CR"/>
        </w:rPr>
        <w:t>s desde</w:t>
      </w:r>
      <w:r w:rsidR="00EF31DC" w:rsidRPr="00912266">
        <w:rPr>
          <w:rFonts w:ascii="Verdana" w:hAnsi="Verdana"/>
          <w:sz w:val="20"/>
          <w:szCs w:val="20"/>
          <w:lang w:val="es-CR"/>
        </w:rPr>
        <w:t xml:space="preserve"> el inicio de</w:t>
      </w:r>
      <w:r w:rsidR="008908E9" w:rsidRPr="00912266">
        <w:rPr>
          <w:rFonts w:ascii="Verdana" w:hAnsi="Verdana"/>
          <w:sz w:val="20"/>
          <w:szCs w:val="20"/>
          <w:lang w:val="es-CR"/>
        </w:rPr>
        <w:t xml:space="preserve"> la investigación.</w:t>
      </w:r>
    </w:p>
    <w:p w14:paraId="490EF56E" w14:textId="77777777" w:rsidR="00DC128C" w:rsidRPr="00912266" w:rsidRDefault="00DC128C" w:rsidP="00DC128C">
      <w:pPr>
        <w:pStyle w:val="Prrafodelista"/>
        <w:rPr>
          <w:rFonts w:ascii="Verdana" w:hAnsi="Verdana"/>
          <w:sz w:val="20"/>
          <w:szCs w:val="20"/>
          <w:lang w:val="es-CR"/>
        </w:rPr>
      </w:pPr>
    </w:p>
    <w:p w14:paraId="5DEA4F75" w14:textId="0A31283A" w:rsidR="00DC128C" w:rsidRPr="00912266" w:rsidRDefault="006F5BD8" w:rsidP="00DC128C">
      <w:pPr>
        <w:pStyle w:val="Prrafodelista"/>
        <w:numPr>
          <w:ilvl w:val="3"/>
          <w:numId w:val="1"/>
        </w:numPr>
        <w:autoSpaceDE w:val="0"/>
        <w:autoSpaceDN w:val="0"/>
        <w:adjustRightInd w:val="0"/>
        <w:spacing w:after="0" w:line="240" w:lineRule="auto"/>
        <w:ind w:left="0" w:firstLine="0"/>
        <w:jc w:val="both"/>
        <w:rPr>
          <w:rFonts w:ascii="Verdana" w:hAnsi="Verdana"/>
          <w:sz w:val="18"/>
          <w:szCs w:val="20"/>
          <w:lang w:val="es-CR"/>
        </w:rPr>
      </w:pPr>
      <w:r w:rsidRPr="00912266">
        <w:rPr>
          <w:rFonts w:ascii="Verdana" w:hAnsi="Verdana"/>
          <w:sz w:val="20"/>
          <w:szCs w:val="20"/>
          <w:lang w:val="es-CR"/>
        </w:rPr>
        <w:t>En consideración</w:t>
      </w:r>
      <w:r w:rsidR="00EF31DC" w:rsidRPr="00912266">
        <w:rPr>
          <w:rFonts w:ascii="Verdana" w:hAnsi="Verdana"/>
          <w:sz w:val="20"/>
          <w:szCs w:val="20"/>
          <w:lang w:val="es-CR"/>
        </w:rPr>
        <w:t>: i</w:t>
      </w:r>
      <w:r w:rsidR="00476A0A" w:rsidRPr="00912266">
        <w:rPr>
          <w:rFonts w:ascii="Verdana" w:hAnsi="Verdana"/>
          <w:sz w:val="20"/>
          <w:szCs w:val="20"/>
          <w:lang w:val="es-CR"/>
        </w:rPr>
        <w:t xml:space="preserve">) </w:t>
      </w:r>
      <w:r w:rsidR="004500BF" w:rsidRPr="00912266">
        <w:rPr>
          <w:rFonts w:ascii="Verdana" w:hAnsi="Verdana"/>
          <w:sz w:val="20"/>
          <w:szCs w:val="20"/>
          <w:lang w:val="es-CR"/>
        </w:rPr>
        <w:t xml:space="preserve">a la creación del </w:t>
      </w:r>
      <w:r w:rsidR="00B9095B" w:rsidRPr="00912266">
        <w:rPr>
          <w:rFonts w:ascii="Verdana" w:hAnsi="Verdana"/>
          <w:sz w:val="20"/>
          <w:szCs w:val="20"/>
          <w:lang w:val="es-CR"/>
        </w:rPr>
        <w:t>“</w:t>
      </w:r>
      <w:r w:rsidR="004500BF" w:rsidRPr="00912266">
        <w:rPr>
          <w:rFonts w:ascii="Verdana" w:hAnsi="Verdana"/>
          <w:sz w:val="20"/>
          <w:szCs w:val="20"/>
          <w:lang w:val="es-CR"/>
        </w:rPr>
        <w:t>Plan Gavilán</w:t>
      </w:r>
      <w:r w:rsidR="00B9095B" w:rsidRPr="00912266">
        <w:rPr>
          <w:rFonts w:ascii="Verdana" w:hAnsi="Verdana"/>
          <w:sz w:val="20"/>
          <w:szCs w:val="20"/>
          <w:lang w:val="es-CR"/>
        </w:rPr>
        <w:t>”</w:t>
      </w:r>
      <w:r w:rsidR="004500BF" w:rsidRPr="00912266">
        <w:rPr>
          <w:rFonts w:ascii="Verdana" w:hAnsi="Verdana"/>
          <w:sz w:val="20"/>
          <w:szCs w:val="20"/>
          <w:lang w:val="es-CR"/>
        </w:rPr>
        <w:t xml:space="preserve"> para la búsqueda y recaptura de los 19 privados de libertad prófugos del penal de máx</w:t>
      </w:r>
      <w:r w:rsidR="00EF31DC" w:rsidRPr="00912266">
        <w:rPr>
          <w:rFonts w:ascii="Verdana" w:hAnsi="Verdana"/>
          <w:sz w:val="20"/>
          <w:szCs w:val="20"/>
          <w:lang w:val="es-CR"/>
        </w:rPr>
        <w:t xml:space="preserve">ima seguridad “El Infiernito”; </w:t>
      </w:r>
      <w:proofErr w:type="spellStart"/>
      <w:r w:rsidR="00EF31DC" w:rsidRPr="00912266">
        <w:rPr>
          <w:rFonts w:ascii="Verdana" w:hAnsi="Verdana"/>
          <w:sz w:val="20"/>
          <w:szCs w:val="20"/>
          <w:lang w:val="es-CR"/>
        </w:rPr>
        <w:t>ii</w:t>
      </w:r>
      <w:proofErr w:type="spellEnd"/>
      <w:r w:rsidR="004500BF" w:rsidRPr="00912266">
        <w:rPr>
          <w:rFonts w:ascii="Verdana" w:hAnsi="Verdana"/>
          <w:sz w:val="20"/>
          <w:szCs w:val="20"/>
          <w:lang w:val="es-CR"/>
        </w:rPr>
        <w:t xml:space="preserve">)  </w:t>
      </w:r>
      <w:r w:rsidR="00230BBC" w:rsidRPr="00912266">
        <w:rPr>
          <w:rFonts w:ascii="Verdana" w:hAnsi="Verdana"/>
          <w:sz w:val="20"/>
          <w:szCs w:val="20"/>
          <w:lang w:val="es-CR"/>
        </w:rPr>
        <w:t>a las</w:t>
      </w:r>
      <w:r w:rsidR="00912266">
        <w:rPr>
          <w:rFonts w:ascii="Verdana" w:hAnsi="Verdana"/>
          <w:sz w:val="20"/>
          <w:szCs w:val="20"/>
          <w:lang w:val="es-CR"/>
        </w:rPr>
        <w:t xml:space="preserve"> </w:t>
      </w:r>
      <w:r w:rsidR="00631047" w:rsidRPr="00912266">
        <w:rPr>
          <w:rFonts w:ascii="Verdana" w:hAnsi="Verdana"/>
          <w:sz w:val="20"/>
          <w:szCs w:val="20"/>
          <w:lang w:val="es-CR"/>
        </w:rPr>
        <w:t>ejecuciones extrajudiciales propiciad</w:t>
      </w:r>
      <w:r w:rsidR="00302E7D">
        <w:rPr>
          <w:rFonts w:ascii="Verdana" w:hAnsi="Verdana"/>
          <w:sz w:val="20"/>
          <w:szCs w:val="20"/>
          <w:lang w:val="es-CR"/>
        </w:rPr>
        <w:t>as</w:t>
      </w:r>
      <w:r w:rsidR="00631047" w:rsidRPr="00912266">
        <w:rPr>
          <w:rFonts w:ascii="Verdana" w:hAnsi="Verdana"/>
          <w:sz w:val="20"/>
          <w:szCs w:val="20"/>
          <w:lang w:val="es-CR"/>
        </w:rPr>
        <w:t xml:space="preserve"> por el Estado </w:t>
      </w:r>
      <w:r w:rsidR="004500BF" w:rsidRPr="00912266">
        <w:rPr>
          <w:rFonts w:ascii="Verdana" w:hAnsi="Verdana"/>
          <w:sz w:val="20"/>
          <w:szCs w:val="20"/>
          <w:lang w:val="es-CR"/>
        </w:rPr>
        <w:t xml:space="preserve">entre </w:t>
      </w:r>
      <w:r w:rsidR="00302E7D">
        <w:rPr>
          <w:rFonts w:ascii="Verdana" w:hAnsi="Verdana"/>
          <w:sz w:val="20"/>
          <w:szCs w:val="20"/>
          <w:lang w:val="es-CR"/>
        </w:rPr>
        <w:t>los años</w:t>
      </w:r>
      <w:r w:rsidR="00302E7D" w:rsidRPr="00912266">
        <w:rPr>
          <w:rFonts w:ascii="Verdana" w:hAnsi="Verdana"/>
          <w:sz w:val="20"/>
          <w:szCs w:val="20"/>
          <w:lang w:val="es-CR"/>
        </w:rPr>
        <w:t xml:space="preserve"> </w:t>
      </w:r>
      <w:r w:rsidR="004500BF" w:rsidRPr="00912266">
        <w:rPr>
          <w:rFonts w:ascii="Verdana" w:hAnsi="Verdana"/>
          <w:sz w:val="20"/>
          <w:szCs w:val="20"/>
          <w:lang w:val="es-CR"/>
        </w:rPr>
        <w:t xml:space="preserve">2005 y 2006 </w:t>
      </w:r>
      <w:r w:rsidR="00631047" w:rsidRPr="00912266">
        <w:rPr>
          <w:rFonts w:ascii="Verdana" w:hAnsi="Verdana"/>
          <w:sz w:val="20"/>
          <w:szCs w:val="20"/>
          <w:lang w:val="es-CR"/>
        </w:rPr>
        <w:t xml:space="preserve">para acabar con la vida de los </w:t>
      </w:r>
      <w:r w:rsidR="004500BF" w:rsidRPr="00912266">
        <w:rPr>
          <w:rFonts w:ascii="Verdana" w:hAnsi="Verdana"/>
          <w:sz w:val="20"/>
          <w:szCs w:val="20"/>
          <w:lang w:val="es-CR"/>
        </w:rPr>
        <w:t xml:space="preserve">referidos </w:t>
      </w:r>
      <w:r w:rsidR="00631047" w:rsidRPr="00912266">
        <w:rPr>
          <w:rFonts w:ascii="Verdana" w:hAnsi="Verdana"/>
          <w:sz w:val="20"/>
          <w:szCs w:val="20"/>
          <w:lang w:val="es-CR"/>
        </w:rPr>
        <w:t xml:space="preserve">19 prófugos en el marco de la </w:t>
      </w:r>
      <w:r w:rsidR="00B9095B" w:rsidRPr="00912266">
        <w:rPr>
          <w:rFonts w:ascii="Verdana" w:hAnsi="Verdana"/>
          <w:sz w:val="20"/>
          <w:szCs w:val="20"/>
          <w:lang w:val="es-CR"/>
        </w:rPr>
        <w:t>“</w:t>
      </w:r>
      <w:r w:rsidR="00631047" w:rsidRPr="00912266">
        <w:rPr>
          <w:rFonts w:ascii="Verdana" w:hAnsi="Verdana"/>
          <w:sz w:val="20"/>
          <w:szCs w:val="20"/>
          <w:lang w:val="es-CR"/>
        </w:rPr>
        <w:t>Operación Gavilán</w:t>
      </w:r>
      <w:r w:rsidR="00B9095B" w:rsidRPr="00912266">
        <w:rPr>
          <w:rFonts w:ascii="Verdana" w:hAnsi="Verdana"/>
          <w:sz w:val="20"/>
          <w:szCs w:val="20"/>
          <w:lang w:val="es-CR"/>
        </w:rPr>
        <w:t>”</w:t>
      </w:r>
      <w:r w:rsidR="00631047" w:rsidRPr="00912266">
        <w:rPr>
          <w:rFonts w:ascii="Verdana" w:hAnsi="Verdana"/>
          <w:sz w:val="20"/>
          <w:szCs w:val="20"/>
          <w:lang w:val="es-CR"/>
        </w:rPr>
        <w:t xml:space="preserve"> y su estructura parale</w:t>
      </w:r>
      <w:r w:rsidR="004500BF" w:rsidRPr="00912266">
        <w:rPr>
          <w:rFonts w:ascii="Verdana" w:hAnsi="Verdana"/>
          <w:sz w:val="20"/>
          <w:szCs w:val="20"/>
          <w:lang w:val="es-CR"/>
        </w:rPr>
        <w:t>la</w:t>
      </w:r>
      <w:r w:rsidR="00631047" w:rsidRPr="003D64E6">
        <w:rPr>
          <w:rFonts w:ascii="Verdana" w:hAnsi="Verdana"/>
          <w:sz w:val="20"/>
          <w:szCs w:val="20"/>
          <w:lang w:val="es-CR"/>
        </w:rPr>
        <w:t>;</w:t>
      </w:r>
      <w:r w:rsidR="00184803" w:rsidRPr="003D64E6">
        <w:rPr>
          <w:rFonts w:ascii="Verdana" w:hAnsi="Verdana"/>
          <w:sz w:val="20"/>
          <w:szCs w:val="20"/>
          <w:lang w:val="es-CR"/>
        </w:rPr>
        <w:t xml:space="preserve"> </w:t>
      </w:r>
      <w:proofErr w:type="spellStart"/>
      <w:r w:rsidR="00EF31DC" w:rsidRPr="003D64E6">
        <w:rPr>
          <w:rFonts w:ascii="Verdana" w:hAnsi="Verdana"/>
          <w:sz w:val="20"/>
          <w:szCs w:val="20"/>
          <w:lang w:val="es-CR"/>
        </w:rPr>
        <w:t>iii</w:t>
      </w:r>
      <w:proofErr w:type="spellEnd"/>
      <w:r w:rsidR="00631047" w:rsidRPr="003D64E6">
        <w:rPr>
          <w:rFonts w:ascii="Verdana" w:hAnsi="Verdana"/>
          <w:sz w:val="20"/>
          <w:szCs w:val="20"/>
          <w:lang w:val="es-CR"/>
        </w:rPr>
        <w:t xml:space="preserve">) </w:t>
      </w:r>
      <w:r w:rsidRPr="003D64E6">
        <w:rPr>
          <w:rFonts w:ascii="Verdana" w:hAnsi="Verdana"/>
          <w:sz w:val="20"/>
          <w:szCs w:val="20"/>
          <w:lang w:val="es-CR"/>
        </w:rPr>
        <w:t xml:space="preserve">las </w:t>
      </w:r>
      <w:r w:rsidR="00184803" w:rsidRPr="003D64E6">
        <w:rPr>
          <w:rFonts w:ascii="Verdana" w:hAnsi="Verdana"/>
          <w:sz w:val="20"/>
          <w:szCs w:val="20"/>
          <w:lang w:val="es-CR"/>
        </w:rPr>
        <w:t>decisiones internas</w:t>
      </w:r>
      <w:r w:rsidR="00EC3578" w:rsidRPr="003D64E6">
        <w:rPr>
          <w:rFonts w:ascii="Verdana" w:hAnsi="Verdana"/>
          <w:sz w:val="20"/>
          <w:szCs w:val="20"/>
          <w:lang w:val="es-CR"/>
        </w:rPr>
        <w:t xml:space="preserve"> </w:t>
      </w:r>
      <w:r w:rsidR="00273F38">
        <w:rPr>
          <w:rFonts w:ascii="Verdana" w:hAnsi="Verdana"/>
          <w:sz w:val="20"/>
          <w:szCs w:val="20"/>
          <w:lang w:val="es-CR"/>
        </w:rPr>
        <w:t xml:space="preserve">que </w:t>
      </w:r>
      <w:r w:rsidR="00EC3578" w:rsidRPr="003D64E6">
        <w:rPr>
          <w:rFonts w:ascii="Verdana" w:hAnsi="Verdana"/>
          <w:sz w:val="20"/>
          <w:szCs w:val="20"/>
          <w:lang w:val="es-CR"/>
        </w:rPr>
        <w:t xml:space="preserve">determinaron </w:t>
      </w:r>
      <w:r w:rsidR="00EC3578" w:rsidRPr="003D64E6">
        <w:rPr>
          <w:rFonts w:ascii="Verdana" w:eastAsia="ArialMT" w:hAnsi="Verdana" w:cs="Arial"/>
          <w:bCs/>
          <w:sz w:val="20"/>
          <w:szCs w:val="20"/>
          <w:lang w:val="es-CR"/>
        </w:rPr>
        <w:t>que una vez capturados</w:t>
      </w:r>
      <w:r w:rsidR="00EC3578" w:rsidRPr="003D64E6">
        <w:rPr>
          <w:rFonts w:ascii="Verdana" w:hAnsi="Verdana" w:cs="Arial"/>
          <w:sz w:val="20"/>
          <w:szCs w:val="20"/>
          <w:lang w:val="es-CR"/>
        </w:rPr>
        <w:t xml:space="preserve"> </w:t>
      </w:r>
      <w:r w:rsidR="00EC3578" w:rsidRPr="003D64E6">
        <w:rPr>
          <w:rFonts w:ascii="Verdana" w:eastAsia="ArialMT" w:hAnsi="Verdana" w:cs="Arial"/>
          <w:bCs/>
          <w:sz w:val="20"/>
          <w:szCs w:val="20"/>
          <w:lang w:val="es-CR"/>
        </w:rPr>
        <w:t xml:space="preserve">los prófugos debían ser ejecutados extrajudicialmente, lo cual es concordante con lo referido por la </w:t>
      </w:r>
      <w:r w:rsidR="00EC3578" w:rsidRPr="003D64E6">
        <w:rPr>
          <w:rFonts w:ascii="Verdana" w:hAnsi="Verdana"/>
          <w:sz w:val="20"/>
          <w:szCs w:val="20"/>
          <w:lang w:val="es-CR"/>
        </w:rPr>
        <w:t xml:space="preserve">CICIG, y el </w:t>
      </w:r>
      <w:r w:rsidR="00EC3578" w:rsidRPr="003D64E6">
        <w:rPr>
          <w:rFonts w:ascii="Verdana" w:hAnsi="Verdana" w:cs="Times New Roman"/>
          <w:color w:val="1B1B1B"/>
          <w:sz w:val="20"/>
          <w:szCs w:val="20"/>
          <w:lang w:val="es-CR"/>
        </w:rPr>
        <w:t xml:space="preserve">Relator Especial </w:t>
      </w:r>
      <w:r w:rsidR="00EC3578" w:rsidRPr="003D64E6">
        <w:rPr>
          <w:rFonts w:ascii="Verdana" w:hAnsi="Verdana" w:cs="Times New Roman"/>
          <w:color w:val="2F2F2F"/>
          <w:sz w:val="20"/>
          <w:szCs w:val="20"/>
          <w:lang w:val="es-CR"/>
        </w:rPr>
        <w:t xml:space="preserve">sobre </w:t>
      </w:r>
      <w:r w:rsidR="00EC3578" w:rsidRPr="003D64E6">
        <w:rPr>
          <w:rFonts w:ascii="Verdana" w:hAnsi="Verdana" w:cs="Times New Roman"/>
          <w:color w:val="1B1B1B"/>
          <w:sz w:val="20"/>
          <w:szCs w:val="20"/>
          <w:lang w:val="es-CR"/>
        </w:rPr>
        <w:t xml:space="preserve">las </w:t>
      </w:r>
      <w:r w:rsidR="00EC3578" w:rsidRPr="003D64E6">
        <w:rPr>
          <w:rFonts w:ascii="Verdana" w:hAnsi="Verdana" w:cs="Times New Roman"/>
          <w:color w:val="2F2F2F"/>
          <w:sz w:val="20"/>
          <w:szCs w:val="20"/>
          <w:lang w:val="es-CR"/>
        </w:rPr>
        <w:t>Ejecuciones Extrajudicia</w:t>
      </w:r>
      <w:r w:rsidR="00EC3578" w:rsidRPr="003D64E6">
        <w:rPr>
          <w:rFonts w:ascii="Verdana" w:hAnsi="Verdana" w:cs="Times New Roman"/>
          <w:color w:val="090909"/>
          <w:sz w:val="20"/>
          <w:szCs w:val="20"/>
          <w:lang w:val="es-CR"/>
        </w:rPr>
        <w:t>l</w:t>
      </w:r>
      <w:r w:rsidR="00EC3578" w:rsidRPr="003D64E6">
        <w:rPr>
          <w:rFonts w:ascii="Verdana" w:hAnsi="Verdana" w:cs="Times New Roman"/>
          <w:color w:val="2F2F2F"/>
          <w:sz w:val="20"/>
          <w:szCs w:val="20"/>
          <w:lang w:val="es-CR"/>
        </w:rPr>
        <w:t>es</w:t>
      </w:r>
      <w:r w:rsidR="00EF31DC" w:rsidRPr="003D64E6">
        <w:rPr>
          <w:rFonts w:ascii="Verdana" w:hAnsi="Verdana"/>
          <w:sz w:val="20"/>
          <w:szCs w:val="20"/>
          <w:lang w:val="es-CR"/>
        </w:rPr>
        <w:t xml:space="preserve">; </w:t>
      </w:r>
      <w:proofErr w:type="spellStart"/>
      <w:r w:rsidR="00EF31DC" w:rsidRPr="003D64E6">
        <w:rPr>
          <w:rFonts w:ascii="Verdana" w:hAnsi="Verdana"/>
          <w:sz w:val="20"/>
          <w:szCs w:val="20"/>
          <w:lang w:val="es-CR"/>
        </w:rPr>
        <w:t>iv</w:t>
      </w:r>
      <w:proofErr w:type="spellEnd"/>
      <w:r w:rsidR="00184803" w:rsidRPr="003D64E6">
        <w:rPr>
          <w:rFonts w:ascii="Verdana" w:hAnsi="Verdana"/>
          <w:sz w:val="20"/>
          <w:szCs w:val="20"/>
          <w:lang w:val="es-CR"/>
        </w:rPr>
        <w:t>)</w:t>
      </w:r>
      <w:r w:rsidR="00184803" w:rsidRPr="00912266">
        <w:rPr>
          <w:rFonts w:ascii="Verdana" w:hAnsi="Verdana"/>
          <w:sz w:val="20"/>
          <w:szCs w:val="20"/>
          <w:lang w:val="es-CR"/>
        </w:rPr>
        <w:t xml:space="preserve"> </w:t>
      </w:r>
      <w:r w:rsidRPr="00912266">
        <w:rPr>
          <w:rFonts w:ascii="Verdana" w:hAnsi="Verdana"/>
          <w:sz w:val="20"/>
          <w:szCs w:val="20"/>
          <w:lang w:val="es-CR"/>
        </w:rPr>
        <w:t>a</w:t>
      </w:r>
      <w:r w:rsidR="00184803" w:rsidRPr="00912266">
        <w:rPr>
          <w:rFonts w:ascii="Verdana" w:hAnsi="Verdana"/>
          <w:sz w:val="20"/>
          <w:szCs w:val="20"/>
          <w:lang w:val="es-CR"/>
        </w:rPr>
        <w:t>l</w:t>
      </w:r>
      <w:r w:rsidRPr="00912266">
        <w:rPr>
          <w:rFonts w:ascii="Verdana" w:hAnsi="Verdana"/>
          <w:sz w:val="20"/>
          <w:szCs w:val="20"/>
          <w:lang w:val="es-CR"/>
        </w:rPr>
        <w:t xml:space="preserve"> hecho de que</w:t>
      </w:r>
      <w:r w:rsidR="00184803" w:rsidRPr="00912266">
        <w:rPr>
          <w:rFonts w:ascii="Verdana" w:hAnsi="Verdana"/>
          <w:sz w:val="20"/>
          <w:szCs w:val="20"/>
          <w:lang w:val="es-CR"/>
        </w:rPr>
        <w:t xml:space="preserve"> </w:t>
      </w:r>
      <w:r w:rsidR="00EF31DC" w:rsidRPr="00912266">
        <w:rPr>
          <w:rFonts w:ascii="Verdana" w:hAnsi="Verdana"/>
          <w:sz w:val="20"/>
          <w:szCs w:val="20"/>
          <w:lang w:val="es-CR"/>
        </w:rPr>
        <w:t xml:space="preserve">el </w:t>
      </w:r>
      <w:r w:rsidR="00184803" w:rsidRPr="00912266">
        <w:rPr>
          <w:rFonts w:ascii="Verdana" w:hAnsi="Verdana"/>
          <w:sz w:val="20"/>
          <w:szCs w:val="20"/>
          <w:lang w:val="es-CR"/>
        </w:rPr>
        <w:t xml:space="preserve">señor Valenzuela era prófugo de la justicia y perseguido por agentes del Estado en el marco de la </w:t>
      </w:r>
      <w:r w:rsidR="00B9095B" w:rsidRPr="00912266">
        <w:rPr>
          <w:rFonts w:ascii="Verdana" w:hAnsi="Verdana"/>
          <w:sz w:val="20"/>
          <w:szCs w:val="20"/>
          <w:lang w:val="es-CR"/>
        </w:rPr>
        <w:t>“</w:t>
      </w:r>
      <w:r w:rsidR="00184803" w:rsidRPr="00912266">
        <w:rPr>
          <w:rFonts w:ascii="Verdana" w:hAnsi="Verdana"/>
          <w:sz w:val="20"/>
          <w:szCs w:val="20"/>
          <w:lang w:val="es-CR"/>
        </w:rPr>
        <w:t>Operación Gavilán</w:t>
      </w:r>
      <w:r w:rsidR="00B9095B" w:rsidRPr="00912266">
        <w:rPr>
          <w:rFonts w:ascii="Verdana" w:hAnsi="Verdana"/>
          <w:sz w:val="20"/>
          <w:szCs w:val="20"/>
          <w:lang w:val="es-CR"/>
        </w:rPr>
        <w:t>”</w:t>
      </w:r>
      <w:r w:rsidR="00184803" w:rsidRPr="00912266">
        <w:rPr>
          <w:rFonts w:ascii="Verdana" w:hAnsi="Verdana"/>
          <w:sz w:val="20"/>
          <w:szCs w:val="20"/>
          <w:lang w:val="es-CR"/>
        </w:rPr>
        <w:t>;</w:t>
      </w:r>
      <w:r w:rsidR="00EF31DC" w:rsidRPr="00912266">
        <w:rPr>
          <w:rFonts w:ascii="Verdana" w:hAnsi="Verdana"/>
          <w:sz w:val="20"/>
          <w:szCs w:val="20"/>
          <w:lang w:val="es-CR"/>
        </w:rPr>
        <w:t xml:space="preserve"> v</w:t>
      </w:r>
      <w:r w:rsidR="00184803" w:rsidRPr="00912266">
        <w:rPr>
          <w:rFonts w:ascii="Verdana" w:hAnsi="Verdana"/>
          <w:sz w:val="20"/>
          <w:szCs w:val="20"/>
          <w:lang w:val="es-CR"/>
        </w:rPr>
        <w:t>)</w:t>
      </w:r>
      <w:r w:rsidR="004500BF" w:rsidRPr="00912266">
        <w:rPr>
          <w:rFonts w:ascii="Verdana" w:hAnsi="Verdana"/>
          <w:sz w:val="20"/>
          <w:szCs w:val="20"/>
          <w:lang w:val="es-CR"/>
        </w:rPr>
        <w:t xml:space="preserve"> </w:t>
      </w:r>
      <w:r w:rsidR="00755341">
        <w:rPr>
          <w:rFonts w:ascii="Verdana" w:hAnsi="Verdana"/>
          <w:sz w:val="20"/>
          <w:szCs w:val="20"/>
          <w:lang w:val="es-CR"/>
        </w:rPr>
        <w:t xml:space="preserve">a </w:t>
      </w:r>
      <w:r w:rsidR="004500BF" w:rsidRPr="00912266">
        <w:rPr>
          <w:rFonts w:ascii="Verdana" w:hAnsi="Verdana"/>
          <w:sz w:val="20"/>
          <w:szCs w:val="20"/>
          <w:lang w:val="es-CR"/>
        </w:rPr>
        <w:t>la muerte del señor Valenzuela el 8 de diciembre de 2006</w:t>
      </w:r>
      <w:r w:rsidR="00EF31DC" w:rsidRPr="00912266">
        <w:rPr>
          <w:rFonts w:ascii="Verdana" w:hAnsi="Verdana"/>
          <w:sz w:val="20"/>
          <w:szCs w:val="20"/>
          <w:lang w:val="es-CR"/>
        </w:rPr>
        <w:t xml:space="preserve"> junto con otro prófugo del centro penitenciario </w:t>
      </w:r>
      <w:r w:rsidR="00302E7D">
        <w:rPr>
          <w:rFonts w:ascii="Verdana" w:hAnsi="Verdana"/>
          <w:sz w:val="20"/>
          <w:szCs w:val="20"/>
          <w:lang w:val="es-CR"/>
        </w:rPr>
        <w:t>“</w:t>
      </w:r>
      <w:r w:rsidR="00EF31DC" w:rsidRPr="00912266">
        <w:rPr>
          <w:rFonts w:ascii="Verdana" w:hAnsi="Verdana"/>
          <w:sz w:val="20"/>
          <w:szCs w:val="20"/>
          <w:lang w:val="es-CR"/>
        </w:rPr>
        <w:t>El Infiernito</w:t>
      </w:r>
      <w:r w:rsidR="00302E7D">
        <w:rPr>
          <w:rFonts w:ascii="Verdana" w:hAnsi="Verdana"/>
          <w:sz w:val="20"/>
          <w:szCs w:val="20"/>
          <w:lang w:val="es-CR"/>
        </w:rPr>
        <w:t>”</w:t>
      </w:r>
      <w:r w:rsidR="00EF31DC" w:rsidRPr="00912266">
        <w:rPr>
          <w:rFonts w:ascii="Verdana" w:hAnsi="Verdana"/>
          <w:sz w:val="20"/>
          <w:szCs w:val="20"/>
          <w:lang w:val="es-CR"/>
        </w:rPr>
        <w:t>; vi</w:t>
      </w:r>
      <w:r w:rsidR="004500BF" w:rsidRPr="00912266">
        <w:rPr>
          <w:rFonts w:ascii="Verdana" w:hAnsi="Verdana"/>
          <w:sz w:val="20"/>
          <w:szCs w:val="20"/>
          <w:lang w:val="es-CR"/>
        </w:rPr>
        <w:t>) la negligencia en el</w:t>
      </w:r>
      <w:r w:rsidR="00184803" w:rsidRPr="00912266">
        <w:rPr>
          <w:rFonts w:ascii="Verdana" w:hAnsi="Verdana"/>
          <w:sz w:val="20"/>
          <w:szCs w:val="20"/>
          <w:lang w:val="es-CR"/>
        </w:rPr>
        <w:t xml:space="preserve"> procesamiento de la escena del crimen por el </w:t>
      </w:r>
      <w:r w:rsidR="00476A0A" w:rsidRPr="00912266">
        <w:rPr>
          <w:rFonts w:ascii="Verdana" w:hAnsi="Verdana"/>
          <w:sz w:val="20"/>
          <w:szCs w:val="20"/>
          <w:lang w:val="es-CR"/>
        </w:rPr>
        <w:t>conjunto de omisiones</w:t>
      </w:r>
      <w:r w:rsidR="00631047" w:rsidRPr="00912266">
        <w:rPr>
          <w:rFonts w:ascii="Verdana" w:hAnsi="Verdana"/>
          <w:sz w:val="20"/>
          <w:szCs w:val="20"/>
          <w:lang w:val="es-CR"/>
        </w:rPr>
        <w:t xml:space="preserve"> en la</w:t>
      </w:r>
      <w:r w:rsidR="00476A0A" w:rsidRPr="00912266">
        <w:rPr>
          <w:rFonts w:ascii="Verdana" w:hAnsi="Verdana"/>
          <w:sz w:val="20"/>
          <w:szCs w:val="20"/>
          <w:lang w:val="es-CR"/>
        </w:rPr>
        <w:t xml:space="preserve"> investigación </w:t>
      </w:r>
      <w:r w:rsidR="00184803" w:rsidRPr="00912266">
        <w:rPr>
          <w:rFonts w:ascii="Verdana" w:hAnsi="Verdana"/>
          <w:sz w:val="20"/>
          <w:szCs w:val="20"/>
          <w:lang w:val="es-CR"/>
        </w:rPr>
        <w:t>de los hechos para</w:t>
      </w:r>
      <w:r w:rsidR="00631047" w:rsidRPr="00912266">
        <w:rPr>
          <w:rFonts w:ascii="Verdana" w:hAnsi="Verdana"/>
          <w:sz w:val="20"/>
          <w:szCs w:val="20"/>
          <w:lang w:val="es-CR"/>
        </w:rPr>
        <w:t xml:space="preserve"> </w:t>
      </w:r>
      <w:r w:rsidR="00302E7D">
        <w:rPr>
          <w:rFonts w:ascii="Verdana" w:hAnsi="Verdana"/>
          <w:sz w:val="20"/>
          <w:szCs w:val="20"/>
          <w:lang w:val="es-CR"/>
        </w:rPr>
        <w:t xml:space="preserve">el </w:t>
      </w:r>
      <w:r w:rsidR="00476A0A" w:rsidRPr="00912266">
        <w:rPr>
          <w:rFonts w:ascii="Verdana" w:hAnsi="Verdana"/>
          <w:sz w:val="20"/>
          <w:szCs w:val="20"/>
          <w:lang w:val="es-CR"/>
        </w:rPr>
        <w:t xml:space="preserve">esclarecimiento </w:t>
      </w:r>
      <w:r w:rsidR="00184803" w:rsidRPr="00912266">
        <w:rPr>
          <w:rFonts w:ascii="Verdana" w:hAnsi="Verdana"/>
          <w:sz w:val="20"/>
          <w:szCs w:val="20"/>
          <w:lang w:val="es-CR"/>
        </w:rPr>
        <w:t>de su</w:t>
      </w:r>
      <w:r w:rsidR="00476A0A" w:rsidRPr="00912266">
        <w:rPr>
          <w:rFonts w:ascii="Verdana" w:hAnsi="Verdana"/>
          <w:sz w:val="20"/>
          <w:szCs w:val="20"/>
          <w:lang w:val="es-CR"/>
        </w:rPr>
        <w:t xml:space="preserve"> muerte</w:t>
      </w:r>
      <w:r w:rsidR="006F05B3" w:rsidRPr="00912266">
        <w:rPr>
          <w:rFonts w:ascii="Verdana" w:hAnsi="Verdana"/>
          <w:sz w:val="20"/>
          <w:szCs w:val="20"/>
          <w:lang w:val="es-CR"/>
        </w:rPr>
        <w:t>,</w:t>
      </w:r>
      <w:r w:rsidRPr="00912266">
        <w:rPr>
          <w:rFonts w:ascii="Verdana" w:hAnsi="Verdana"/>
          <w:sz w:val="20"/>
          <w:szCs w:val="20"/>
          <w:lang w:val="es-CR"/>
        </w:rPr>
        <w:t xml:space="preserve"> y</w:t>
      </w:r>
      <w:r w:rsidR="00476A0A" w:rsidRPr="00912266">
        <w:rPr>
          <w:rFonts w:ascii="Verdana" w:hAnsi="Verdana"/>
          <w:sz w:val="20"/>
          <w:szCs w:val="20"/>
          <w:lang w:val="es-CR"/>
        </w:rPr>
        <w:t xml:space="preserve"> </w:t>
      </w:r>
      <w:proofErr w:type="spellStart"/>
      <w:r w:rsidR="00EF31DC" w:rsidRPr="00912266">
        <w:rPr>
          <w:rFonts w:ascii="Verdana" w:hAnsi="Verdana"/>
          <w:sz w:val="20"/>
          <w:szCs w:val="20"/>
          <w:lang w:val="es-CR"/>
        </w:rPr>
        <w:t>vii</w:t>
      </w:r>
      <w:proofErr w:type="spellEnd"/>
      <w:r w:rsidR="00184803" w:rsidRPr="00912266">
        <w:rPr>
          <w:rFonts w:ascii="Verdana" w:hAnsi="Verdana"/>
          <w:sz w:val="20"/>
          <w:szCs w:val="20"/>
          <w:lang w:val="es-CR"/>
        </w:rPr>
        <w:t xml:space="preserve">) la </w:t>
      </w:r>
      <w:r w:rsidR="00476A0A" w:rsidRPr="00912266">
        <w:rPr>
          <w:rFonts w:ascii="Verdana" w:hAnsi="Verdana"/>
          <w:sz w:val="20"/>
          <w:szCs w:val="20"/>
          <w:lang w:val="es-CR"/>
        </w:rPr>
        <w:t xml:space="preserve">impunidad </w:t>
      </w:r>
      <w:r w:rsidR="00184803" w:rsidRPr="00912266">
        <w:rPr>
          <w:rFonts w:ascii="Verdana" w:hAnsi="Verdana"/>
          <w:sz w:val="20"/>
          <w:szCs w:val="20"/>
          <w:lang w:val="es-CR"/>
        </w:rPr>
        <w:t>que persiste en el presente caso</w:t>
      </w:r>
      <w:r w:rsidRPr="00912266">
        <w:rPr>
          <w:rFonts w:ascii="Verdana" w:hAnsi="Verdana"/>
          <w:sz w:val="20"/>
          <w:szCs w:val="20"/>
          <w:lang w:val="es-CR"/>
        </w:rPr>
        <w:t xml:space="preserve">, la Corte </w:t>
      </w:r>
      <w:r w:rsidR="00030EF5" w:rsidRPr="00912266">
        <w:rPr>
          <w:rFonts w:ascii="Verdana" w:hAnsi="Verdana"/>
          <w:sz w:val="20"/>
          <w:szCs w:val="20"/>
          <w:lang w:val="es-CR"/>
        </w:rPr>
        <w:t>concluye que el Estado</w:t>
      </w:r>
      <w:r w:rsidR="00FB7400">
        <w:rPr>
          <w:rFonts w:ascii="Verdana" w:hAnsi="Verdana"/>
          <w:sz w:val="20"/>
          <w:szCs w:val="20"/>
          <w:lang w:val="es-CR"/>
        </w:rPr>
        <w:t xml:space="preserve"> </w:t>
      </w:r>
      <w:r w:rsidR="00FB7400" w:rsidRPr="000E33CE">
        <w:rPr>
          <w:rFonts w:ascii="Verdana" w:hAnsi="Verdana"/>
          <w:sz w:val="20"/>
          <w:szCs w:val="20"/>
          <w:lang w:val="es-CR"/>
        </w:rPr>
        <w:t>es responsable de la ejecución extrajudicial del señor Valenzuela Ávila, en</w:t>
      </w:r>
      <w:r w:rsidR="00FB7400">
        <w:rPr>
          <w:rFonts w:ascii="Verdana" w:hAnsi="Verdana"/>
          <w:sz w:val="20"/>
          <w:szCs w:val="20"/>
          <w:lang w:val="es-CR"/>
        </w:rPr>
        <w:t xml:space="preserve"> violación del</w:t>
      </w:r>
      <w:r w:rsidR="00030EF5" w:rsidRPr="00912266">
        <w:rPr>
          <w:rFonts w:ascii="Verdana" w:hAnsi="Verdana"/>
          <w:sz w:val="20"/>
          <w:szCs w:val="20"/>
          <w:lang w:val="es-CR"/>
        </w:rPr>
        <w:t xml:space="preserve"> </w:t>
      </w:r>
      <w:r w:rsidR="00030EF5" w:rsidRPr="009D0D31">
        <w:rPr>
          <w:rFonts w:ascii="Verdana" w:hAnsi="Verdana"/>
          <w:sz w:val="20"/>
          <w:szCs w:val="20"/>
          <w:lang w:val="es-CR"/>
        </w:rPr>
        <w:t xml:space="preserve">derecho </w:t>
      </w:r>
      <w:r w:rsidR="00030EF5" w:rsidRPr="005A2F43">
        <w:rPr>
          <w:rFonts w:ascii="Verdana" w:hAnsi="Verdana"/>
          <w:sz w:val="20"/>
          <w:szCs w:val="20"/>
          <w:lang w:val="es-CR"/>
        </w:rPr>
        <w:t>a la vida</w:t>
      </w:r>
      <w:r w:rsidR="00030EF5" w:rsidRPr="00912266">
        <w:rPr>
          <w:rFonts w:ascii="Verdana" w:hAnsi="Verdana"/>
          <w:sz w:val="20"/>
          <w:szCs w:val="20"/>
          <w:lang w:val="es-CR"/>
        </w:rPr>
        <w:t xml:space="preserve"> consagrado en el artículo 4.1 de la Convención Americana, en relación con el artículo 1.1 de la misma, en perjuicio de Tirso Román Valenzuela Ávila.</w:t>
      </w:r>
    </w:p>
    <w:p w14:paraId="00F714D3" w14:textId="77777777" w:rsidR="00A17F10" w:rsidRDefault="00A17F10" w:rsidP="00DC128C">
      <w:pPr>
        <w:pStyle w:val="Prrafodelista"/>
        <w:autoSpaceDE w:val="0"/>
        <w:autoSpaceDN w:val="0"/>
        <w:adjustRightInd w:val="0"/>
        <w:spacing w:after="0" w:line="240" w:lineRule="auto"/>
        <w:ind w:left="0"/>
        <w:jc w:val="both"/>
        <w:rPr>
          <w:rFonts w:ascii="Verdana" w:hAnsi="Verdana"/>
          <w:sz w:val="18"/>
          <w:szCs w:val="20"/>
          <w:lang w:val="es-CR"/>
        </w:rPr>
      </w:pPr>
    </w:p>
    <w:p w14:paraId="21E6838C" w14:textId="77777777" w:rsidR="00DC128C" w:rsidRDefault="00DC128C" w:rsidP="00DC128C">
      <w:pPr>
        <w:pStyle w:val="Prrafodelista"/>
        <w:autoSpaceDE w:val="0"/>
        <w:autoSpaceDN w:val="0"/>
        <w:adjustRightInd w:val="0"/>
        <w:spacing w:after="0" w:line="240" w:lineRule="auto"/>
        <w:ind w:left="0"/>
        <w:jc w:val="both"/>
        <w:outlineLvl w:val="1"/>
        <w:rPr>
          <w:rFonts w:ascii="Verdana" w:hAnsi="Verdana"/>
          <w:b/>
          <w:sz w:val="20"/>
          <w:szCs w:val="20"/>
          <w:lang w:val="es-CR"/>
        </w:rPr>
      </w:pPr>
      <w:bookmarkStart w:id="59" w:name="_Toc25247773"/>
      <w:r w:rsidRPr="006278DC">
        <w:rPr>
          <w:rFonts w:ascii="Verdana" w:hAnsi="Verdana"/>
          <w:b/>
          <w:sz w:val="20"/>
          <w:szCs w:val="20"/>
          <w:lang w:val="es-CR"/>
        </w:rPr>
        <w:t>C. Conclusión</w:t>
      </w:r>
      <w:bookmarkEnd w:id="59"/>
      <w:r w:rsidRPr="006278DC">
        <w:rPr>
          <w:rFonts w:ascii="Verdana" w:hAnsi="Verdana"/>
          <w:b/>
          <w:sz w:val="20"/>
          <w:szCs w:val="20"/>
          <w:lang w:val="es-CR"/>
        </w:rPr>
        <w:t xml:space="preserve"> </w:t>
      </w:r>
    </w:p>
    <w:p w14:paraId="235161BC" w14:textId="77777777" w:rsidR="00DC128C" w:rsidRDefault="00DC128C" w:rsidP="00DC128C">
      <w:pPr>
        <w:pStyle w:val="Prrafodelista"/>
        <w:autoSpaceDE w:val="0"/>
        <w:autoSpaceDN w:val="0"/>
        <w:adjustRightInd w:val="0"/>
        <w:spacing w:after="0" w:line="240" w:lineRule="auto"/>
        <w:ind w:left="0"/>
        <w:jc w:val="both"/>
        <w:rPr>
          <w:rFonts w:ascii="Verdana" w:hAnsi="Verdana"/>
          <w:sz w:val="18"/>
          <w:szCs w:val="20"/>
          <w:lang w:val="es-CR"/>
        </w:rPr>
      </w:pPr>
    </w:p>
    <w:p w14:paraId="041F4068" w14:textId="677FB877" w:rsidR="00D57474" w:rsidRPr="00DC128C" w:rsidRDefault="00A400EE" w:rsidP="00DC128C">
      <w:pPr>
        <w:pStyle w:val="Prrafodelista"/>
        <w:numPr>
          <w:ilvl w:val="3"/>
          <w:numId w:val="1"/>
        </w:numPr>
        <w:autoSpaceDE w:val="0"/>
        <w:autoSpaceDN w:val="0"/>
        <w:adjustRightInd w:val="0"/>
        <w:spacing w:after="0" w:line="240" w:lineRule="auto"/>
        <w:ind w:left="0" w:firstLine="0"/>
        <w:jc w:val="both"/>
        <w:rPr>
          <w:rFonts w:ascii="Verdana" w:hAnsi="Verdana"/>
          <w:sz w:val="18"/>
          <w:szCs w:val="20"/>
          <w:lang w:val="es-CR"/>
        </w:rPr>
      </w:pPr>
      <w:r w:rsidRPr="00DC128C">
        <w:rPr>
          <w:rFonts w:ascii="Verdana" w:hAnsi="Verdana"/>
          <w:sz w:val="20"/>
          <w:szCs w:val="20"/>
          <w:lang w:val="es-CR"/>
        </w:rPr>
        <w:t>E</w:t>
      </w:r>
      <w:r w:rsidR="000E6FC3" w:rsidRPr="00DC128C">
        <w:rPr>
          <w:rFonts w:ascii="Verdana" w:hAnsi="Verdana"/>
          <w:sz w:val="20"/>
          <w:szCs w:val="20"/>
          <w:lang w:val="es-CR"/>
        </w:rPr>
        <w:t xml:space="preserve">ste Tribunal </w:t>
      </w:r>
      <w:r w:rsidR="005C1686">
        <w:rPr>
          <w:rFonts w:ascii="Verdana" w:hAnsi="Verdana"/>
          <w:sz w:val="20"/>
          <w:szCs w:val="20"/>
          <w:lang w:val="es-CR"/>
        </w:rPr>
        <w:t>determina</w:t>
      </w:r>
      <w:r w:rsidR="000E6FC3" w:rsidRPr="00DC128C">
        <w:rPr>
          <w:rFonts w:ascii="Verdana" w:hAnsi="Verdana"/>
          <w:sz w:val="20"/>
          <w:szCs w:val="20"/>
          <w:lang w:val="es-CR"/>
        </w:rPr>
        <w:t xml:space="preserve"> que el Estado</w:t>
      </w:r>
      <w:r w:rsidR="000E6FC3" w:rsidRPr="00DC128C">
        <w:rPr>
          <w:rFonts w:ascii="Verdana" w:hAnsi="Verdana"/>
          <w:b/>
          <w:sz w:val="20"/>
          <w:szCs w:val="20"/>
          <w:lang w:val="es-CR"/>
        </w:rPr>
        <w:t xml:space="preserve"> </w:t>
      </w:r>
      <w:r w:rsidR="00C9367A" w:rsidRPr="00912266">
        <w:rPr>
          <w:rFonts w:ascii="Verdana" w:hAnsi="Verdana"/>
          <w:sz w:val="20"/>
          <w:szCs w:val="20"/>
          <w:lang w:val="es-CR"/>
        </w:rPr>
        <w:t xml:space="preserve">violó </w:t>
      </w:r>
      <w:r w:rsidR="000E6FC3" w:rsidRPr="00DC128C">
        <w:rPr>
          <w:rFonts w:ascii="Verdana" w:hAnsi="Verdana"/>
          <w:sz w:val="20"/>
          <w:szCs w:val="20"/>
          <w:lang w:val="es-CR"/>
        </w:rPr>
        <w:t xml:space="preserve">el </w:t>
      </w:r>
      <w:r w:rsidR="004B67C3" w:rsidRPr="00DC128C">
        <w:rPr>
          <w:rFonts w:ascii="Verdana" w:hAnsi="Verdana"/>
          <w:sz w:val="20"/>
          <w:szCs w:val="20"/>
          <w:lang w:val="es-CR"/>
        </w:rPr>
        <w:t xml:space="preserve">derecho a la vida consagrado en el </w:t>
      </w:r>
      <w:r w:rsidR="000E6FC3" w:rsidRPr="00DC128C">
        <w:rPr>
          <w:rFonts w:ascii="Verdana" w:hAnsi="Verdana"/>
          <w:sz w:val="20"/>
          <w:szCs w:val="20"/>
          <w:lang w:val="es-CR"/>
        </w:rPr>
        <w:t>artículo 4.1 de la Convención Americana, en relación con el artículo 1.1 de la misma, en perjuicio de Tirso Román Valenzuela Ávila.</w:t>
      </w:r>
    </w:p>
    <w:p w14:paraId="3DF67C1C" w14:textId="77777777" w:rsidR="00DC128C" w:rsidRDefault="00DC128C" w:rsidP="00DC128C">
      <w:pPr>
        <w:pStyle w:val="Prrafodelista"/>
        <w:autoSpaceDE w:val="0"/>
        <w:autoSpaceDN w:val="0"/>
        <w:adjustRightInd w:val="0"/>
        <w:spacing w:after="0" w:line="240" w:lineRule="auto"/>
        <w:ind w:left="0"/>
        <w:jc w:val="both"/>
        <w:rPr>
          <w:rFonts w:ascii="Verdana" w:hAnsi="Verdana"/>
          <w:sz w:val="20"/>
          <w:szCs w:val="20"/>
          <w:lang w:val="es-CR"/>
        </w:rPr>
      </w:pPr>
    </w:p>
    <w:p w14:paraId="34040159" w14:textId="77777777" w:rsidR="00DC128C" w:rsidRDefault="00DC128C" w:rsidP="00DC128C">
      <w:pPr>
        <w:pStyle w:val="Ttulo1"/>
        <w:spacing w:before="0"/>
        <w:ind w:left="562" w:right="187"/>
      </w:pPr>
      <w:bookmarkStart w:id="60" w:name="_Toc25247774"/>
      <w:r w:rsidRPr="00D57474">
        <w:rPr>
          <w:lang w:val="es-CR"/>
        </w:rPr>
        <w:t>V</w:t>
      </w:r>
      <w:r>
        <w:rPr>
          <w:lang w:val="es-CR"/>
        </w:rPr>
        <w:t>III-</w:t>
      </w:r>
      <w:bookmarkStart w:id="61" w:name="_Toc528937236"/>
      <w:bookmarkStart w:id="62" w:name="_Toc529790130"/>
      <w:bookmarkStart w:id="63" w:name="_Toc531162246"/>
      <w:bookmarkStart w:id="64" w:name="_Toc531172542"/>
      <w:r>
        <w:rPr>
          <w:lang w:val="es-CR"/>
        </w:rPr>
        <w:t xml:space="preserve">4 </w:t>
      </w:r>
      <w:r>
        <w:rPr>
          <w:lang w:val="es-CR"/>
        </w:rPr>
        <w:br/>
      </w:r>
      <w:r w:rsidRPr="00D57474">
        <w:rPr>
          <w:lang w:val="es-CR"/>
        </w:rPr>
        <w:t>DERECHOS A LA INTEGRIDAD PERSONA</w:t>
      </w:r>
      <w:r>
        <w:rPr>
          <w:lang w:val="es-CR"/>
        </w:rPr>
        <w:t>L</w:t>
      </w:r>
      <w:r w:rsidR="005C364F">
        <w:rPr>
          <w:lang w:val="es-CR"/>
        </w:rPr>
        <w:t>,</w:t>
      </w:r>
      <w:bookmarkEnd w:id="60"/>
      <w:r w:rsidR="00092AAF">
        <w:rPr>
          <w:rStyle w:val="Ttulo1Car"/>
          <w:b/>
          <w:bCs/>
          <w:caps/>
          <w:snapToGrid w:val="0"/>
        </w:rPr>
        <w:t xml:space="preserve"> </w:t>
      </w:r>
    </w:p>
    <w:p w14:paraId="18B473EC" w14:textId="77777777" w:rsidR="00DC128C" w:rsidRPr="00D661E4" w:rsidRDefault="00DC128C" w:rsidP="00DC128C">
      <w:pPr>
        <w:pStyle w:val="Ttulo1"/>
        <w:spacing w:before="0"/>
        <w:ind w:left="562" w:right="187"/>
        <w:rPr>
          <w:lang w:val="es-CR"/>
        </w:rPr>
      </w:pPr>
      <w:bookmarkStart w:id="65" w:name="_Toc25247775"/>
      <w:r>
        <w:rPr>
          <w:lang w:val="es-CR"/>
        </w:rPr>
        <w:t xml:space="preserve">A LA DIGNIDAD Y A LA </w:t>
      </w:r>
      <w:r w:rsidRPr="00D57474">
        <w:rPr>
          <w:lang w:val="es-CR"/>
        </w:rPr>
        <w:t>VIDA PRIVADA</w:t>
      </w:r>
      <w:r w:rsidR="00092AAF">
        <w:rPr>
          <w:rStyle w:val="Refdenotaalpie"/>
          <w:lang w:val="es-CR"/>
        </w:rPr>
        <w:footnoteReference w:id="136"/>
      </w:r>
      <w:bookmarkEnd w:id="61"/>
      <w:bookmarkEnd w:id="62"/>
      <w:bookmarkEnd w:id="63"/>
      <w:bookmarkEnd w:id="64"/>
      <w:bookmarkEnd w:id="65"/>
    </w:p>
    <w:p w14:paraId="5DCFEE3D" w14:textId="77777777" w:rsidR="00DC128C" w:rsidRPr="0031342A" w:rsidRDefault="00DC128C" w:rsidP="00DC128C">
      <w:pPr>
        <w:spacing w:after="0"/>
        <w:jc w:val="center"/>
        <w:rPr>
          <w:rFonts w:ascii="Verdana" w:hAnsi="Verdana"/>
          <w:b/>
          <w:sz w:val="20"/>
          <w:lang w:val="es-CR"/>
        </w:rPr>
      </w:pPr>
    </w:p>
    <w:p w14:paraId="0CF37B45" w14:textId="77777777" w:rsidR="00DC128C" w:rsidRPr="00D57474" w:rsidRDefault="00DC128C" w:rsidP="00DC128C">
      <w:pPr>
        <w:pStyle w:val="Ttulo2"/>
        <w:spacing w:before="0"/>
        <w:rPr>
          <w:lang w:val="es-CR"/>
        </w:rPr>
      </w:pPr>
      <w:bookmarkStart w:id="66" w:name="_Toc25247776"/>
      <w:r w:rsidRPr="00D57474">
        <w:rPr>
          <w:lang w:val="es-CR"/>
        </w:rPr>
        <w:t>A. Alegatos de las partes y</w:t>
      </w:r>
      <w:r>
        <w:rPr>
          <w:lang w:val="es-CR"/>
        </w:rPr>
        <w:t xml:space="preserve"> de</w:t>
      </w:r>
      <w:r w:rsidRPr="00D57474">
        <w:rPr>
          <w:lang w:val="es-CR"/>
        </w:rPr>
        <w:t xml:space="preserve"> la Comisión</w:t>
      </w:r>
      <w:bookmarkEnd w:id="66"/>
    </w:p>
    <w:p w14:paraId="73CCC920" w14:textId="77777777" w:rsidR="00DC128C" w:rsidRPr="00DC128C" w:rsidRDefault="00DC128C" w:rsidP="00DC128C">
      <w:pPr>
        <w:pStyle w:val="Prrafodelista"/>
        <w:autoSpaceDE w:val="0"/>
        <w:autoSpaceDN w:val="0"/>
        <w:adjustRightInd w:val="0"/>
        <w:spacing w:after="0" w:line="240" w:lineRule="auto"/>
        <w:ind w:left="0"/>
        <w:jc w:val="both"/>
        <w:rPr>
          <w:rFonts w:ascii="Verdana" w:hAnsi="Verdana"/>
          <w:sz w:val="18"/>
          <w:szCs w:val="20"/>
          <w:lang w:val="es-CR"/>
        </w:rPr>
      </w:pPr>
    </w:p>
    <w:p w14:paraId="124CC045" w14:textId="77777777" w:rsidR="005F262D" w:rsidRPr="005F262D" w:rsidRDefault="005F262D" w:rsidP="005F262D">
      <w:pPr>
        <w:pStyle w:val="Prrafodelista"/>
        <w:numPr>
          <w:ilvl w:val="3"/>
          <w:numId w:val="16"/>
        </w:numPr>
        <w:autoSpaceDE w:val="0"/>
        <w:autoSpaceDN w:val="0"/>
        <w:adjustRightInd w:val="0"/>
        <w:spacing w:after="0" w:line="240" w:lineRule="auto"/>
        <w:jc w:val="both"/>
        <w:rPr>
          <w:rFonts w:ascii="Verdana" w:hAnsi="Verdana"/>
          <w:vanish/>
          <w:sz w:val="20"/>
          <w:szCs w:val="20"/>
          <w:lang w:val="es-CR"/>
        </w:rPr>
      </w:pPr>
    </w:p>
    <w:p w14:paraId="2578E36C" w14:textId="51A61476" w:rsidR="00DC128C" w:rsidRDefault="00C6190C" w:rsidP="00DC128C">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DC128C">
        <w:rPr>
          <w:rFonts w:ascii="Verdana" w:hAnsi="Verdana"/>
          <w:sz w:val="20"/>
          <w:szCs w:val="20"/>
          <w:lang w:val="es-CR"/>
        </w:rPr>
        <w:t xml:space="preserve">La </w:t>
      </w:r>
      <w:r w:rsidRPr="00DC128C">
        <w:rPr>
          <w:rFonts w:ascii="Verdana" w:hAnsi="Verdana"/>
          <w:b/>
          <w:i/>
          <w:sz w:val="20"/>
          <w:szCs w:val="20"/>
          <w:lang w:val="es-CR"/>
        </w:rPr>
        <w:t>Comisión</w:t>
      </w:r>
      <w:r w:rsidRPr="00DC128C">
        <w:rPr>
          <w:rFonts w:ascii="Verdana" w:hAnsi="Verdana"/>
          <w:sz w:val="20"/>
          <w:szCs w:val="20"/>
          <w:lang w:val="es-CR"/>
        </w:rPr>
        <w:t xml:space="preserve"> alegó </w:t>
      </w:r>
      <w:r w:rsidR="00086E3C" w:rsidRPr="00DC128C">
        <w:rPr>
          <w:rFonts w:ascii="Verdana" w:hAnsi="Verdana"/>
          <w:sz w:val="20"/>
          <w:szCs w:val="20"/>
          <w:lang w:val="es-CR"/>
        </w:rPr>
        <w:t xml:space="preserve">que el señor Tirso Román Valenzuela Ávila fue sometido a tortura física y psicológica, incluyendo tortura sexual a través de una penetración anal por medio de un bastón hasta que perdió el conocimiento el 27 de mayo de 1998 </w:t>
      </w:r>
      <w:r w:rsidR="0071347E" w:rsidRPr="00DC128C">
        <w:rPr>
          <w:rFonts w:ascii="Verdana" w:hAnsi="Verdana"/>
          <w:sz w:val="20"/>
          <w:szCs w:val="20"/>
          <w:lang w:val="es-CR"/>
        </w:rPr>
        <w:t xml:space="preserve">por agentes estatales, </w:t>
      </w:r>
      <w:r w:rsidR="00086E3C" w:rsidRPr="00DC128C">
        <w:rPr>
          <w:rFonts w:ascii="Verdana" w:hAnsi="Verdana"/>
          <w:sz w:val="20"/>
          <w:szCs w:val="20"/>
          <w:lang w:val="es-CR"/>
        </w:rPr>
        <w:t>con la finalidad de obtener su confesión sobre un determinado delito, este hecho, a criterio de la Comisión acredita la severidad de la violencia en contra del señor Valenzuela. Además</w:t>
      </w:r>
      <w:r w:rsidR="00884254">
        <w:rPr>
          <w:rFonts w:ascii="Verdana" w:hAnsi="Verdana"/>
          <w:sz w:val="20"/>
          <w:szCs w:val="20"/>
          <w:lang w:val="es-CR"/>
        </w:rPr>
        <w:t>,</w:t>
      </w:r>
      <w:r w:rsidR="00086E3C" w:rsidRPr="00DC128C">
        <w:rPr>
          <w:rFonts w:ascii="Verdana" w:hAnsi="Verdana"/>
          <w:sz w:val="20"/>
          <w:szCs w:val="20"/>
          <w:lang w:val="es-CR"/>
        </w:rPr>
        <w:t xml:space="preserve"> señaló que el señor Valenzuela fue torturado en dos ocasiones a través de fuertes golpes en distintas partes del cuerpo, asfixia con veneno para ratas, </w:t>
      </w:r>
      <w:r w:rsidR="00D45BA6">
        <w:rPr>
          <w:rFonts w:ascii="Verdana" w:hAnsi="Verdana"/>
          <w:sz w:val="20"/>
          <w:szCs w:val="20"/>
          <w:lang w:val="es-CR"/>
        </w:rPr>
        <w:t>lo anterior acompañado</w:t>
      </w:r>
      <w:r w:rsidR="00D45BA6" w:rsidRPr="00DC128C">
        <w:rPr>
          <w:rFonts w:ascii="Verdana" w:hAnsi="Verdana"/>
          <w:sz w:val="20"/>
          <w:szCs w:val="20"/>
          <w:lang w:val="es-CR"/>
        </w:rPr>
        <w:t xml:space="preserve"> </w:t>
      </w:r>
      <w:r w:rsidR="00086E3C" w:rsidRPr="00DC128C">
        <w:rPr>
          <w:rFonts w:ascii="Verdana" w:hAnsi="Verdana"/>
          <w:sz w:val="20"/>
          <w:szCs w:val="20"/>
          <w:lang w:val="es-CR"/>
        </w:rPr>
        <w:t xml:space="preserve">de amenazas de muerte y de violación que alcanzaron un nivel alto de severidad para ser calificados como tortura con la finalidad de castigar a la presunta víctima por fugarse de la cárcel. En consecuencia, la Comisión consideró que el Estado violó la prohibición absoluta de la tortura, la autonomía y la vida privada de la presunta víctima, </w:t>
      </w:r>
      <w:r w:rsidR="0071347E" w:rsidRPr="00DC128C">
        <w:rPr>
          <w:rFonts w:ascii="Verdana" w:hAnsi="Verdana"/>
          <w:sz w:val="20"/>
          <w:szCs w:val="20"/>
          <w:lang w:val="es-CR"/>
        </w:rPr>
        <w:t xml:space="preserve">en vulneración de </w:t>
      </w:r>
      <w:r w:rsidR="00086E3C" w:rsidRPr="00DC128C">
        <w:rPr>
          <w:rFonts w:ascii="Verdana" w:hAnsi="Verdana"/>
          <w:sz w:val="20"/>
          <w:szCs w:val="20"/>
          <w:lang w:val="es-CR"/>
        </w:rPr>
        <w:t>los artículos 5.1, 5.2 y 11</w:t>
      </w:r>
      <w:r w:rsidR="00644A9B" w:rsidRPr="00DC128C">
        <w:rPr>
          <w:rFonts w:ascii="Verdana" w:hAnsi="Verdana"/>
          <w:sz w:val="20"/>
          <w:szCs w:val="20"/>
          <w:lang w:val="es-CR"/>
        </w:rPr>
        <w:t>.1</w:t>
      </w:r>
      <w:r w:rsidR="0071347E" w:rsidRPr="00DC128C">
        <w:rPr>
          <w:rFonts w:ascii="Verdana" w:hAnsi="Verdana"/>
          <w:sz w:val="20"/>
          <w:szCs w:val="20"/>
          <w:lang w:val="es-CR"/>
        </w:rPr>
        <w:t>,</w:t>
      </w:r>
      <w:r w:rsidR="00086E3C" w:rsidRPr="00DC128C">
        <w:rPr>
          <w:rFonts w:ascii="Verdana" w:hAnsi="Verdana"/>
          <w:sz w:val="20"/>
          <w:szCs w:val="20"/>
          <w:lang w:val="es-CR"/>
        </w:rPr>
        <w:t xml:space="preserve"> en relación al artículo 1.1 del mismo instrumento</w:t>
      </w:r>
      <w:r w:rsidR="0071347E" w:rsidRPr="00DC128C">
        <w:rPr>
          <w:rFonts w:ascii="Verdana" w:hAnsi="Verdana"/>
          <w:sz w:val="20"/>
          <w:szCs w:val="20"/>
          <w:lang w:val="es-CR"/>
        </w:rPr>
        <w:t>, en perjuicio del señor Valenzuela</w:t>
      </w:r>
      <w:r w:rsidR="00086E3C" w:rsidRPr="00DC128C">
        <w:rPr>
          <w:rFonts w:ascii="Verdana" w:hAnsi="Verdana"/>
          <w:sz w:val="20"/>
          <w:szCs w:val="20"/>
          <w:lang w:val="es-CR"/>
        </w:rPr>
        <w:t>. Asimismo, la Comisión concluyó que el Estado violó los artículos 1 y 6 de la CIPST.</w:t>
      </w:r>
    </w:p>
    <w:p w14:paraId="29B95D3C" w14:textId="77777777" w:rsidR="00DC128C" w:rsidRDefault="00DC128C" w:rsidP="00DC128C">
      <w:pPr>
        <w:pStyle w:val="Prrafodelista"/>
        <w:autoSpaceDE w:val="0"/>
        <w:autoSpaceDN w:val="0"/>
        <w:adjustRightInd w:val="0"/>
        <w:spacing w:after="0" w:line="240" w:lineRule="auto"/>
        <w:ind w:left="0"/>
        <w:jc w:val="both"/>
        <w:rPr>
          <w:rFonts w:ascii="Verdana" w:hAnsi="Verdana"/>
          <w:sz w:val="20"/>
          <w:szCs w:val="20"/>
          <w:lang w:val="es-CR"/>
        </w:rPr>
      </w:pPr>
    </w:p>
    <w:p w14:paraId="473A86B6" w14:textId="0D4A9461" w:rsidR="00DC128C" w:rsidRDefault="00086E3C" w:rsidP="00DC128C">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DC128C">
        <w:rPr>
          <w:rFonts w:ascii="Verdana" w:hAnsi="Verdana"/>
          <w:sz w:val="20"/>
          <w:szCs w:val="20"/>
          <w:lang w:val="es-CR"/>
        </w:rPr>
        <w:t xml:space="preserve">Los </w:t>
      </w:r>
      <w:r w:rsidRPr="00DC128C">
        <w:rPr>
          <w:rFonts w:ascii="Verdana" w:hAnsi="Verdana"/>
          <w:b/>
          <w:i/>
          <w:sz w:val="20"/>
          <w:szCs w:val="20"/>
          <w:lang w:val="es-CR"/>
        </w:rPr>
        <w:t>representantes</w:t>
      </w:r>
      <w:r w:rsidRPr="00DC128C">
        <w:rPr>
          <w:rFonts w:ascii="Verdana" w:hAnsi="Verdana"/>
          <w:sz w:val="20"/>
          <w:szCs w:val="20"/>
          <w:lang w:val="es-CR"/>
        </w:rPr>
        <w:t xml:space="preserve"> alegaron </w:t>
      </w:r>
      <w:r w:rsidR="001346C8" w:rsidRPr="00DC128C">
        <w:rPr>
          <w:rFonts w:ascii="Verdana" w:hAnsi="Verdana"/>
          <w:sz w:val="20"/>
          <w:szCs w:val="20"/>
          <w:lang w:val="es-CR"/>
        </w:rPr>
        <w:t>que el Estado cometió actos de t</w:t>
      </w:r>
      <w:r w:rsidR="00866241" w:rsidRPr="00DC128C">
        <w:rPr>
          <w:rFonts w:ascii="Verdana" w:hAnsi="Verdana"/>
          <w:sz w:val="20"/>
          <w:szCs w:val="20"/>
          <w:lang w:val="es-CR"/>
        </w:rPr>
        <w:t>ortura</w:t>
      </w:r>
      <w:r w:rsidRPr="00DC128C">
        <w:rPr>
          <w:rFonts w:ascii="Verdana" w:hAnsi="Verdana"/>
          <w:sz w:val="20"/>
          <w:szCs w:val="20"/>
          <w:lang w:val="es-CR"/>
        </w:rPr>
        <w:t xml:space="preserve"> en perjuicio del señor Valenzuela los días 27 y 28 de mayo de 1998 en el momento de su detención a través de violencia física como asfixia y la introducción de un bastón en el ano, con el fin de obtener una confesión sobre el asesinato de la fiscal</w:t>
      </w:r>
      <w:r w:rsidR="0064236A">
        <w:rPr>
          <w:rFonts w:ascii="Verdana" w:hAnsi="Verdana"/>
          <w:sz w:val="20"/>
          <w:szCs w:val="20"/>
          <w:lang w:val="es-CR"/>
        </w:rPr>
        <w:t>a</w:t>
      </w:r>
      <w:r w:rsidR="00316EB1">
        <w:rPr>
          <w:rFonts w:ascii="Verdana" w:hAnsi="Verdana"/>
          <w:sz w:val="20"/>
          <w:szCs w:val="20"/>
          <w:lang w:val="es-CR"/>
        </w:rPr>
        <w:t xml:space="preserve"> </w:t>
      </w:r>
      <w:proofErr w:type="gramStart"/>
      <w:r w:rsidR="001346C8" w:rsidRPr="00DC128C">
        <w:rPr>
          <w:rFonts w:ascii="Verdana" w:hAnsi="Verdana"/>
          <w:sz w:val="20"/>
          <w:szCs w:val="20"/>
          <w:lang w:val="es-CR"/>
        </w:rPr>
        <w:t>SJ</w:t>
      </w:r>
      <w:r w:rsidR="00717234">
        <w:rPr>
          <w:rFonts w:ascii="Verdana" w:hAnsi="Verdana"/>
          <w:sz w:val="20"/>
          <w:szCs w:val="20"/>
          <w:lang w:val="es-CR"/>
        </w:rPr>
        <w:t>R</w:t>
      </w:r>
      <w:r w:rsidR="001346C8" w:rsidRPr="00DC128C">
        <w:rPr>
          <w:rFonts w:ascii="Verdana" w:hAnsi="Verdana"/>
          <w:sz w:val="20"/>
          <w:szCs w:val="20"/>
          <w:lang w:val="es-CR"/>
        </w:rPr>
        <w:t xml:space="preserve"> </w:t>
      </w:r>
      <w:r w:rsidRPr="00DC128C">
        <w:rPr>
          <w:rFonts w:ascii="Verdana" w:hAnsi="Verdana"/>
          <w:sz w:val="20"/>
          <w:szCs w:val="20"/>
          <w:lang w:val="es-CR"/>
        </w:rPr>
        <w:t>.</w:t>
      </w:r>
      <w:proofErr w:type="gramEnd"/>
      <w:r w:rsidRPr="00DC128C">
        <w:rPr>
          <w:rFonts w:ascii="Verdana" w:hAnsi="Verdana"/>
          <w:sz w:val="20"/>
          <w:szCs w:val="20"/>
          <w:lang w:val="es-CR"/>
        </w:rPr>
        <w:t xml:space="preserve"> Además de ello, indicaron que en su segunda recaptura fue objeto de nuevos actos de tortura los días 17 y 18 de junio de 2001, </w:t>
      </w:r>
      <w:r w:rsidR="00866241" w:rsidRPr="00DC128C">
        <w:rPr>
          <w:rFonts w:ascii="Verdana" w:hAnsi="Verdana"/>
          <w:sz w:val="20"/>
          <w:szCs w:val="20"/>
          <w:lang w:val="es-CR"/>
        </w:rPr>
        <w:t xml:space="preserve">los cuales </w:t>
      </w:r>
      <w:r w:rsidRPr="00DC128C">
        <w:rPr>
          <w:rFonts w:ascii="Verdana" w:hAnsi="Verdana"/>
          <w:sz w:val="20"/>
          <w:szCs w:val="20"/>
          <w:lang w:val="es-CR"/>
        </w:rPr>
        <w:t xml:space="preserve">se materializaron en punzones en la mano, quemaduras con cigarrillos en </w:t>
      </w:r>
      <w:r w:rsidR="00D45BA6">
        <w:rPr>
          <w:rFonts w:ascii="Verdana" w:hAnsi="Verdana"/>
          <w:sz w:val="20"/>
          <w:szCs w:val="20"/>
          <w:lang w:val="es-CR"/>
        </w:rPr>
        <w:t xml:space="preserve">el </w:t>
      </w:r>
      <w:r w:rsidRPr="00DC128C">
        <w:rPr>
          <w:rFonts w:ascii="Verdana" w:hAnsi="Verdana"/>
          <w:sz w:val="20"/>
          <w:szCs w:val="20"/>
          <w:lang w:val="es-CR"/>
        </w:rPr>
        <w:t>rostro y en los genitales</w:t>
      </w:r>
      <w:r w:rsidR="00D45BA6">
        <w:rPr>
          <w:rFonts w:ascii="Verdana" w:hAnsi="Verdana"/>
          <w:sz w:val="20"/>
          <w:szCs w:val="20"/>
          <w:lang w:val="es-CR"/>
        </w:rPr>
        <w:t>;</w:t>
      </w:r>
      <w:r w:rsidRPr="00DC128C">
        <w:rPr>
          <w:rFonts w:ascii="Verdana" w:hAnsi="Verdana"/>
          <w:sz w:val="20"/>
          <w:szCs w:val="20"/>
          <w:lang w:val="es-CR"/>
        </w:rPr>
        <w:t xml:space="preserve"> tortura sexual, consistente en apretarle con fuerza los testículos</w:t>
      </w:r>
      <w:r w:rsidR="00D45BA6">
        <w:rPr>
          <w:rFonts w:ascii="Verdana" w:hAnsi="Verdana"/>
          <w:sz w:val="20"/>
          <w:szCs w:val="20"/>
          <w:lang w:val="es-CR"/>
        </w:rPr>
        <w:t>;</w:t>
      </w:r>
      <w:r w:rsidRPr="00DC128C">
        <w:rPr>
          <w:rFonts w:ascii="Verdana" w:hAnsi="Verdana"/>
          <w:sz w:val="20"/>
          <w:szCs w:val="20"/>
          <w:lang w:val="es-CR"/>
        </w:rPr>
        <w:t xml:space="preserve"> amenazarlo con violación sexual</w:t>
      </w:r>
      <w:r w:rsidR="00D45BA6">
        <w:rPr>
          <w:rFonts w:ascii="Verdana" w:hAnsi="Verdana"/>
          <w:sz w:val="20"/>
          <w:szCs w:val="20"/>
          <w:lang w:val="es-CR"/>
        </w:rPr>
        <w:t>;</w:t>
      </w:r>
      <w:r w:rsidRPr="00DC128C">
        <w:rPr>
          <w:rFonts w:ascii="Verdana" w:hAnsi="Verdana"/>
          <w:sz w:val="20"/>
          <w:szCs w:val="20"/>
          <w:lang w:val="es-CR"/>
        </w:rPr>
        <w:t xml:space="preserve"> tortura por</w:t>
      </w:r>
      <w:r w:rsidR="00E90484" w:rsidRPr="00DC128C">
        <w:rPr>
          <w:rFonts w:ascii="Verdana" w:hAnsi="Verdana"/>
          <w:sz w:val="20"/>
          <w:szCs w:val="20"/>
          <w:lang w:val="es-CR"/>
        </w:rPr>
        <w:t xml:space="preserve"> sofocación con una capucha </w:t>
      </w:r>
      <w:r w:rsidR="00DF7BEA">
        <w:rPr>
          <w:rFonts w:ascii="Verdana" w:hAnsi="Verdana"/>
          <w:sz w:val="20"/>
          <w:szCs w:val="20"/>
          <w:lang w:val="es-CR"/>
        </w:rPr>
        <w:t xml:space="preserve">con un veneno para </w:t>
      </w:r>
      <w:r w:rsidR="00DF7BEA">
        <w:rPr>
          <w:rFonts w:ascii="Verdana" w:hAnsi="Verdana"/>
          <w:sz w:val="20"/>
          <w:szCs w:val="20"/>
          <w:lang w:val="es-CR"/>
        </w:rPr>
        <w:lastRenderedPageBreak/>
        <w:t xml:space="preserve">ratas denominado </w:t>
      </w:r>
      <w:r w:rsidR="00E0418E">
        <w:rPr>
          <w:rFonts w:ascii="Verdana" w:hAnsi="Verdana"/>
          <w:sz w:val="20"/>
          <w:szCs w:val="20"/>
          <w:lang w:val="es-CR"/>
        </w:rPr>
        <w:t>“</w:t>
      </w:r>
      <w:proofErr w:type="spellStart"/>
      <w:r w:rsidR="00E90484" w:rsidRPr="00DC128C">
        <w:rPr>
          <w:rFonts w:ascii="Verdana" w:hAnsi="Verdana"/>
          <w:sz w:val="20"/>
          <w:szCs w:val="20"/>
          <w:lang w:val="es-CR"/>
        </w:rPr>
        <w:t>g</w:t>
      </w:r>
      <w:r w:rsidRPr="00DC128C">
        <w:rPr>
          <w:rFonts w:ascii="Verdana" w:hAnsi="Verdana"/>
          <w:sz w:val="20"/>
          <w:szCs w:val="20"/>
          <w:lang w:val="es-CR"/>
        </w:rPr>
        <w:t>amezá</w:t>
      </w:r>
      <w:r w:rsidR="00DF7BEA">
        <w:rPr>
          <w:rFonts w:ascii="Verdana" w:hAnsi="Verdana"/>
          <w:sz w:val="20"/>
          <w:szCs w:val="20"/>
          <w:lang w:val="es-CR"/>
        </w:rPr>
        <w:t>n</w:t>
      </w:r>
      <w:proofErr w:type="spellEnd"/>
      <w:r w:rsidR="00E0418E">
        <w:rPr>
          <w:rFonts w:ascii="Verdana" w:hAnsi="Verdana"/>
          <w:sz w:val="20"/>
          <w:szCs w:val="20"/>
          <w:lang w:val="es-CR"/>
        </w:rPr>
        <w:t>”</w:t>
      </w:r>
      <w:r w:rsidR="00DF7BEA">
        <w:rPr>
          <w:rFonts w:ascii="Verdana" w:hAnsi="Verdana"/>
          <w:sz w:val="20"/>
          <w:szCs w:val="20"/>
          <w:lang w:val="es-CR"/>
        </w:rPr>
        <w:t xml:space="preserve"> </w:t>
      </w:r>
      <w:r w:rsidRPr="00DC128C">
        <w:rPr>
          <w:rFonts w:ascii="Verdana" w:hAnsi="Verdana"/>
          <w:sz w:val="20"/>
          <w:szCs w:val="20"/>
          <w:lang w:val="es-CR"/>
        </w:rPr>
        <w:t>con la finalidad de obtener información sobre la forma en que había sido planificada y ejecutada la fuga masiva de reos el 17 de junio de 2001</w:t>
      </w:r>
      <w:r w:rsidR="00D45BA6">
        <w:rPr>
          <w:rFonts w:ascii="Verdana" w:hAnsi="Verdana"/>
          <w:sz w:val="20"/>
          <w:szCs w:val="20"/>
          <w:lang w:val="es-CR"/>
        </w:rPr>
        <w:t>;</w:t>
      </w:r>
      <w:r w:rsidRPr="00DC128C">
        <w:rPr>
          <w:rFonts w:ascii="Verdana" w:hAnsi="Verdana"/>
          <w:sz w:val="20"/>
          <w:szCs w:val="20"/>
          <w:lang w:val="es-CR"/>
        </w:rPr>
        <w:t xml:space="preserve"> intimidarlo o castigarlo, por haber denunciado las torturas infligidas por </w:t>
      </w:r>
      <w:r w:rsidR="001346C8" w:rsidRPr="00DC128C">
        <w:rPr>
          <w:rFonts w:ascii="Verdana" w:hAnsi="Verdana"/>
          <w:sz w:val="20"/>
          <w:szCs w:val="20"/>
          <w:lang w:val="es-CR"/>
        </w:rPr>
        <w:t xml:space="preserve">CAL </w:t>
      </w:r>
      <w:r w:rsidRPr="00DC128C">
        <w:rPr>
          <w:rFonts w:ascii="Verdana" w:hAnsi="Verdana"/>
          <w:sz w:val="20"/>
          <w:szCs w:val="20"/>
          <w:lang w:val="es-CR"/>
        </w:rPr>
        <w:t xml:space="preserve">y los demás policías, en el juicio penal y </w:t>
      </w:r>
      <w:r w:rsidR="00D45BA6">
        <w:rPr>
          <w:rFonts w:ascii="Verdana" w:hAnsi="Verdana"/>
          <w:sz w:val="20"/>
          <w:szCs w:val="20"/>
          <w:lang w:val="es-CR"/>
        </w:rPr>
        <w:t xml:space="preserve">para </w:t>
      </w:r>
      <w:r w:rsidRPr="00DC128C">
        <w:rPr>
          <w:rFonts w:ascii="Verdana" w:hAnsi="Verdana"/>
          <w:sz w:val="20"/>
          <w:szCs w:val="20"/>
          <w:lang w:val="es-CR"/>
        </w:rPr>
        <w:t>obtener información sobre el asesinato de la fiscal</w:t>
      </w:r>
      <w:r w:rsidR="0064236A">
        <w:rPr>
          <w:rFonts w:ascii="Verdana" w:hAnsi="Verdana"/>
          <w:sz w:val="20"/>
          <w:szCs w:val="20"/>
          <w:lang w:val="es-CR"/>
        </w:rPr>
        <w:t>a</w:t>
      </w:r>
      <w:r w:rsidRPr="00DC128C">
        <w:rPr>
          <w:rFonts w:ascii="Verdana" w:hAnsi="Verdana"/>
          <w:sz w:val="20"/>
          <w:szCs w:val="20"/>
          <w:lang w:val="es-CR"/>
        </w:rPr>
        <w:t xml:space="preserve"> </w:t>
      </w:r>
      <w:r w:rsidR="0071347E" w:rsidRPr="00DC128C">
        <w:rPr>
          <w:rFonts w:ascii="Verdana" w:hAnsi="Verdana"/>
          <w:sz w:val="20"/>
          <w:szCs w:val="20"/>
          <w:lang w:val="es-CR"/>
        </w:rPr>
        <w:t>SJ</w:t>
      </w:r>
      <w:r w:rsidR="00717234">
        <w:rPr>
          <w:rFonts w:ascii="Verdana" w:hAnsi="Verdana"/>
          <w:sz w:val="20"/>
          <w:szCs w:val="20"/>
          <w:lang w:val="es-CR"/>
        </w:rPr>
        <w:t>R</w:t>
      </w:r>
      <w:r w:rsidRPr="00DC128C">
        <w:rPr>
          <w:rFonts w:ascii="Verdana" w:hAnsi="Verdana"/>
          <w:sz w:val="20"/>
          <w:szCs w:val="20"/>
          <w:lang w:val="es-CR"/>
        </w:rPr>
        <w:t>. Por otro lado, indicaron que el Estado ocasionó tratos crueles</w:t>
      </w:r>
      <w:r w:rsidR="00D45BA6">
        <w:rPr>
          <w:rFonts w:ascii="Verdana" w:hAnsi="Verdana"/>
          <w:sz w:val="20"/>
          <w:szCs w:val="20"/>
          <w:lang w:val="es-CR"/>
        </w:rPr>
        <w:t>,</w:t>
      </w:r>
      <w:r w:rsidRPr="00DC128C">
        <w:rPr>
          <w:rFonts w:ascii="Verdana" w:hAnsi="Verdana"/>
          <w:sz w:val="20"/>
          <w:szCs w:val="20"/>
          <w:lang w:val="es-CR"/>
        </w:rPr>
        <w:t xml:space="preserve"> inhumanos y degradantes en contra del señor Valenzuela, toda vez, que no recibió tratamiento médico adecuado </w:t>
      </w:r>
      <w:r w:rsidR="001346C8" w:rsidRPr="00DC128C">
        <w:rPr>
          <w:rFonts w:ascii="Verdana" w:hAnsi="Verdana"/>
          <w:sz w:val="20"/>
          <w:szCs w:val="20"/>
          <w:lang w:val="es-CR"/>
        </w:rPr>
        <w:t xml:space="preserve">después de </w:t>
      </w:r>
      <w:r w:rsidRPr="00DC128C">
        <w:rPr>
          <w:rFonts w:ascii="Verdana" w:hAnsi="Verdana"/>
          <w:sz w:val="20"/>
          <w:szCs w:val="20"/>
          <w:lang w:val="es-CR"/>
        </w:rPr>
        <w:t xml:space="preserve">su detención el 10 de abril de 1999 y tras las torturas sufridas el 27 de mayo de 1998 y los días 17 y 18 de junio de 2001. Asimismo, </w:t>
      </w:r>
      <w:r w:rsidR="00271A09" w:rsidRPr="00DC128C">
        <w:rPr>
          <w:rFonts w:ascii="Verdana" w:hAnsi="Verdana"/>
          <w:sz w:val="20"/>
          <w:szCs w:val="20"/>
          <w:lang w:val="es-CR"/>
        </w:rPr>
        <w:t>a</w:t>
      </w:r>
      <w:r w:rsidRPr="00DC128C">
        <w:rPr>
          <w:rFonts w:ascii="Verdana" w:hAnsi="Verdana"/>
          <w:sz w:val="20"/>
          <w:szCs w:val="20"/>
          <w:lang w:val="es-CR"/>
        </w:rPr>
        <w:t>dujeron que el Estado es responsable de la violación de la integridad</w:t>
      </w:r>
      <w:r w:rsidR="00644A9B" w:rsidRPr="00DC128C">
        <w:rPr>
          <w:rFonts w:ascii="Verdana" w:hAnsi="Verdana"/>
          <w:sz w:val="20"/>
          <w:szCs w:val="20"/>
          <w:lang w:val="es-CR"/>
        </w:rPr>
        <w:t xml:space="preserve"> personal del seño</w:t>
      </w:r>
      <w:r w:rsidR="0056492A" w:rsidRPr="00DC128C">
        <w:rPr>
          <w:rFonts w:ascii="Verdana" w:hAnsi="Verdana"/>
          <w:sz w:val="20"/>
          <w:szCs w:val="20"/>
          <w:lang w:val="es-CR"/>
        </w:rPr>
        <w:t>r</w:t>
      </w:r>
      <w:r w:rsidRPr="00DC128C">
        <w:rPr>
          <w:rFonts w:ascii="Verdana" w:hAnsi="Verdana"/>
          <w:sz w:val="20"/>
          <w:szCs w:val="20"/>
          <w:lang w:val="es-CR"/>
        </w:rPr>
        <w:t xml:space="preserve"> Valenzuela </w:t>
      </w:r>
      <w:r w:rsidR="00EB7D03" w:rsidRPr="00DC128C">
        <w:rPr>
          <w:rFonts w:ascii="Verdana" w:hAnsi="Verdana"/>
          <w:sz w:val="20"/>
          <w:szCs w:val="20"/>
          <w:lang w:val="es-CR"/>
        </w:rPr>
        <w:t xml:space="preserve">Ávila </w:t>
      </w:r>
      <w:r w:rsidRPr="00DC128C">
        <w:rPr>
          <w:rFonts w:ascii="Verdana" w:hAnsi="Verdana"/>
          <w:sz w:val="20"/>
          <w:szCs w:val="20"/>
          <w:lang w:val="es-CR"/>
        </w:rPr>
        <w:t>por haberlo sometido al fenómeno del corredor</w:t>
      </w:r>
      <w:r w:rsidR="001346C8" w:rsidRPr="00DC128C">
        <w:rPr>
          <w:rFonts w:ascii="Verdana" w:hAnsi="Verdana"/>
          <w:sz w:val="20"/>
          <w:szCs w:val="20"/>
          <w:lang w:val="es-CR"/>
        </w:rPr>
        <w:t xml:space="preserve"> de la muerte. En consecuencia,</w:t>
      </w:r>
      <w:r w:rsidRPr="00DC128C">
        <w:rPr>
          <w:rFonts w:ascii="Verdana" w:hAnsi="Verdana"/>
          <w:sz w:val="20"/>
          <w:szCs w:val="20"/>
          <w:lang w:val="es-CR"/>
        </w:rPr>
        <w:t xml:space="preserve"> señalaron que el Estado vulneró </w:t>
      </w:r>
      <w:r w:rsidR="00D45BA6">
        <w:rPr>
          <w:rFonts w:ascii="Verdana" w:hAnsi="Verdana"/>
          <w:sz w:val="20"/>
          <w:szCs w:val="20"/>
          <w:lang w:val="es-CR"/>
        </w:rPr>
        <w:t>los</w:t>
      </w:r>
      <w:r w:rsidR="00D45BA6" w:rsidRPr="00DC128C">
        <w:rPr>
          <w:rFonts w:ascii="Verdana" w:hAnsi="Verdana"/>
          <w:sz w:val="20"/>
          <w:szCs w:val="20"/>
          <w:lang w:val="es-CR"/>
        </w:rPr>
        <w:t xml:space="preserve"> </w:t>
      </w:r>
      <w:r w:rsidRPr="00DC128C">
        <w:rPr>
          <w:rFonts w:ascii="Verdana" w:hAnsi="Verdana"/>
          <w:sz w:val="20"/>
          <w:szCs w:val="20"/>
          <w:lang w:val="es-CR"/>
        </w:rPr>
        <w:t>artículo</w:t>
      </w:r>
      <w:r w:rsidR="00D45BA6">
        <w:rPr>
          <w:rFonts w:ascii="Verdana" w:hAnsi="Verdana"/>
          <w:sz w:val="20"/>
          <w:szCs w:val="20"/>
          <w:lang w:val="es-CR"/>
        </w:rPr>
        <w:t>s</w:t>
      </w:r>
      <w:r w:rsidRPr="00DC128C">
        <w:rPr>
          <w:rFonts w:ascii="Verdana" w:hAnsi="Verdana"/>
          <w:sz w:val="20"/>
          <w:szCs w:val="20"/>
          <w:lang w:val="es-CR"/>
        </w:rPr>
        <w:t xml:space="preserve"> 5.1 y 5.2 de la Convención</w:t>
      </w:r>
      <w:r w:rsidR="00EB7D03" w:rsidRPr="00DC128C">
        <w:rPr>
          <w:rFonts w:ascii="Verdana" w:hAnsi="Verdana"/>
          <w:sz w:val="20"/>
          <w:szCs w:val="20"/>
          <w:lang w:val="es-CR"/>
        </w:rPr>
        <w:t xml:space="preserve"> Americana</w:t>
      </w:r>
      <w:r w:rsidRPr="00DC128C">
        <w:rPr>
          <w:rFonts w:ascii="Verdana" w:hAnsi="Verdana"/>
          <w:sz w:val="20"/>
          <w:szCs w:val="20"/>
          <w:lang w:val="es-CR"/>
        </w:rPr>
        <w:t xml:space="preserve">, en relación con el artículo 1.1 del mismo instrumento, y </w:t>
      </w:r>
      <w:r w:rsidR="00D45BA6">
        <w:rPr>
          <w:rFonts w:ascii="Verdana" w:hAnsi="Verdana"/>
          <w:sz w:val="20"/>
          <w:szCs w:val="20"/>
          <w:lang w:val="es-CR"/>
        </w:rPr>
        <w:t xml:space="preserve">es responsable </w:t>
      </w:r>
      <w:r w:rsidRPr="00DC128C">
        <w:rPr>
          <w:rFonts w:ascii="Verdana" w:hAnsi="Verdana"/>
          <w:sz w:val="20"/>
          <w:szCs w:val="20"/>
          <w:lang w:val="es-CR"/>
        </w:rPr>
        <w:t>por el incumplimiento de las obligaciones contenidas en l</w:t>
      </w:r>
      <w:r w:rsidR="001346C8" w:rsidRPr="00DC128C">
        <w:rPr>
          <w:rFonts w:ascii="Verdana" w:hAnsi="Verdana"/>
          <w:sz w:val="20"/>
          <w:szCs w:val="20"/>
          <w:lang w:val="es-CR"/>
        </w:rPr>
        <w:t>os artículos 1, 6</w:t>
      </w:r>
      <w:r w:rsidR="00D45BA6">
        <w:rPr>
          <w:rFonts w:ascii="Verdana" w:hAnsi="Verdana"/>
          <w:sz w:val="20"/>
          <w:szCs w:val="20"/>
          <w:lang w:val="es-CR"/>
        </w:rPr>
        <w:t>, 7</w:t>
      </w:r>
      <w:r w:rsidR="001346C8" w:rsidRPr="00DC128C">
        <w:rPr>
          <w:rFonts w:ascii="Verdana" w:hAnsi="Verdana"/>
          <w:sz w:val="20"/>
          <w:szCs w:val="20"/>
          <w:lang w:val="es-CR"/>
        </w:rPr>
        <w:t xml:space="preserve"> y 8 de la CIP</w:t>
      </w:r>
      <w:r w:rsidRPr="00DC128C">
        <w:rPr>
          <w:rFonts w:ascii="Verdana" w:hAnsi="Verdana"/>
          <w:sz w:val="20"/>
          <w:szCs w:val="20"/>
          <w:lang w:val="es-CR"/>
        </w:rPr>
        <w:t>ST.</w:t>
      </w:r>
    </w:p>
    <w:p w14:paraId="2B4ECBA3" w14:textId="77777777" w:rsidR="00DC128C" w:rsidRDefault="00DC128C" w:rsidP="00DC128C">
      <w:pPr>
        <w:pStyle w:val="Prrafodelista"/>
        <w:autoSpaceDE w:val="0"/>
        <w:autoSpaceDN w:val="0"/>
        <w:adjustRightInd w:val="0"/>
        <w:spacing w:after="0" w:line="240" w:lineRule="auto"/>
        <w:ind w:left="0"/>
        <w:jc w:val="both"/>
        <w:rPr>
          <w:rFonts w:ascii="Verdana" w:hAnsi="Verdana"/>
          <w:sz w:val="20"/>
          <w:szCs w:val="20"/>
          <w:lang w:val="es-CR"/>
        </w:rPr>
      </w:pPr>
    </w:p>
    <w:p w14:paraId="08E6E5B0" w14:textId="651E1A5C" w:rsidR="00DC128C" w:rsidRDefault="00292209" w:rsidP="00DC128C">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DC128C">
        <w:rPr>
          <w:rFonts w:ascii="Verdana" w:hAnsi="Verdana"/>
          <w:sz w:val="20"/>
          <w:szCs w:val="20"/>
          <w:lang w:val="es-CR"/>
        </w:rPr>
        <w:t xml:space="preserve">El </w:t>
      </w:r>
      <w:r w:rsidRPr="00DC128C">
        <w:rPr>
          <w:rFonts w:ascii="Verdana" w:eastAsia="Calibri" w:hAnsi="Verdana" w:cs="Arial"/>
          <w:b/>
          <w:i/>
          <w:sz w:val="20"/>
          <w:szCs w:val="20"/>
          <w:lang w:val="es-CO" w:eastAsia="es-CR"/>
        </w:rPr>
        <w:t>Estado</w:t>
      </w:r>
      <w:r w:rsidR="00644A9B" w:rsidRPr="00DC128C">
        <w:rPr>
          <w:rFonts w:ascii="Verdana" w:eastAsia="Calibri" w:hAnsi="Verdana" w:cs="Arial"/>
          <w:sz w:val="20"/>
          <w:szCs w:val="20"/>
          <w:lang w:val="es-CO" w:eastAsia="es-CR"/>
        </w:rPr>
        <w:t xml:space="preserve"> especificó, al reconocer su responsabilidad por la falta de investigación de los actos de tortura denunciados por </w:t>
      </w:r>
      <w:r w:rsidR="00C80465">
        <w:rPr>
          <w:rFonts w:ascii="Verdana" w:eastAsia="Calibri" w:hAnsi="Verdana" w:cs="Arial"/>
          <w:sz w:val="20"/>
          <w:szCs w:val="20"/>
          <w:lang w:val="es-CO" w:eastAsia="es-CR"/>
        </w:rPr>
        <w:t xml:space="preserve">el señor </w:t>
      </w:r>
      <w:r w:rsidR="00644A9B" w:rsidRPr="00DC128C">
        <w:rPr>
          <w:rFonts w:ascii="Verdana" w:eastAsia="Calibri" w:hAnsi="Verdana" w:cs="Arial"/>
          <w:sz w:val="20"/>
          <w:szCs w:val="20"/>
          <w:lang w:val="es-CO" w:eastAsia="es-CR"/>
        </w:rPr>
        <w:t xml:space="preserve">Valenzuela, </w:t>
      </w:r>
      <w:r w:rsidR="00C80465">
        <w:rPr>
          <w:rFonts w:ascii="Verdana" w:eastAsia="Calibri" w:hAnsi="Verdana" w:cs="Arial"/>
          <w:sz w:val="20"/>
          <w:szCs w:val="20"/>
          <w:lang w:val="es-CO" w:eastAsia="es-CR"/>
        </w:rPr>
        <w:t xml:space="preserve">que </w:t>
      </w:r>
      <w:r w:rsidR="00644A9B" w:rsidRPr="00DC128C">
        <w:rPr>
          <w:rFonts w:ascii="Verdana" w:eastAsia="Calibri" w:hAnsi="Verdana" w:cs="Arial"/>
          <w:sz w:val="20"/>
          <w:szCs w:val="20"/>
          <w:lang w:val="es-CO" w:eastAsia="es-CR"/>
        </w:rPr>
        <w:t>dicho</w:t>
      </w:r>
      <w:r w:rsidRPr="00DC128C">
        <w:rPr>
          <w:rFonts w:ascii="Verdana" w:eastAsia="Calibri" w:hAnsi="Verdana" w:cs="Arial"/>
          <w:sz w:val="20"/>
          <w:szCs w:val="20"/>
          <w:lang w:val="es-CO" w:eastAsia="es-CR"/>
        </w:rPr>
        <w:t xml:space="preserve"> reconocimiento no abarca la existencia de los alegados actos de tortura.</w:t>
      </w:r>
      <w:r w:rsidRPr="00DC128C">
        <w:rPr>
          <w:rFonts w:ascii="Verdana" w:eastAsia="Calibri" w:hAnsi="Verdana" w:cs="Arial"/>
          <w:b/>
          <w:sz w:val="16"/>
          <w:szCs w:val="16"/>
        </w:rPr>
        <w:t xml:space="preserve"> </w:t>
      </w:r>
      <w:r w:rsidRPr="00DC128C">
        <w:rPr>
          <w:rFonts w:ascii="Verdana" w:eastAsia="Calibri" w:hAnsi="Verdana" w:cs="Arial"/>
          <w:sz w:val="20"/>
          <w:szCs w:val="20"/>
          <w:lang w:val="es-CO" w:eastAsia="es-CR"/>
        </w:rPr>
        <w:t xml:space="preserve">El Estado señaló que no hay documentos que fundamenten los hechos de tortura, por lo que no cuenta con </w:t>
      </w:r>
      <w:r w:rsidR="001A2686">
        <w:rPr>
          <w:rFonts w:ascii="Verdana" w:eastAsia="Calibri" w:hAnsi="Verdana" w:cs="Arial"/>
          <w:sz w:val="20"/>
          <w:szCs w:val="20"/>
          <w:lang w:val="es-CO" w:eastAsia="es-CR"/>
        </w:rPr>
        <w:t xml:space="preserve">la certeza </w:t>
      </w:r>
      <w:r w:rsidRPr="00DC128C">
        <w:rPr>
          <w:rFonts w:ascii="Verdana" w:eastAsia="Calibri" w:hAnsi="Verdana" w:cs="Arial"/>
          <w:sz w:val="20"/>
          <w:szCs w:val="20"/>
          <w:lang w:val="es-CO" w:eastAsia="es-CR"/>
        </w:rPr>
        <w:t>para determinar si ocurrieron</w:t>
      </w:r>
      <w:r w:rsidR="00C80465">
        <w:rPr>
          <w:rFonts w:ascii="Verdana" w:eastAsia="Calibri" w:hAnsi="Verdana" w:cs="Arial"/>
          <w:sz w:val="20"/>
          <w:szCs w:val="20"/>
          <w:lang w:val="es-CO" w:eastAsia="es-CR"/>
        </w:rPr>
        <w:t>.</w:t>
      </w:r>
    </w:p>
    <w:p w14:paraId="1D0650A1" w14:textId="77777777" w:rsidR="00DC128C" w:rsidRPr="00914647" w:rsidRDefault="00DC128C" w:rsidP="00DC128C">
      <w:pPr>
        <w:pStyle w:val="Ttulo2"/>
        <w:rPr>
          <w:lang w:val="es-CR"/>
        </w:rPr>
      </w:pPr>
      <w:bookmarkStart w:id="67" w:name="_Toc25247777"/>
      <w:r w:rsidRPr="00914647">
        <w:rPr>
          <w:lang w:val="es-CR"/>
        </w:rPr>
        <w:t>B. Consideraciones de la Corte</w:t>
      </w:r>
      <w:bookmarkEnd w:id="67"/>
      <w:r w:rsidRPr="00914647">
        <w:rPr>
          <w:lang w:val="es-CR"/>
        </w:rPr>
        <w:t xml:space="preserve"> </w:t>
      </w:r>
    </w:p>
    <w:p w14:paraId="164FF31A" w14:textId="77777777" w:rsidR="00DC128C" w:rsidRPr="00DC128C" w:rsidRDefault="00DC128C" w:rsidP="00DC128C">
      <w:pPr>
        <w:pStyle w:val="Prrafodelista"/>
        <w:rPr>
          <w:rFonts w:ascii="Verdana" w:hAnsi="Verdana"/>
          <w:sz w:val="20"/>
          <w:szCs w:val="20"/>
        </w:rPr>
      </w:pPr>
    </w:p>
    <w:p w14:paraId="142DF248" w14:textId="77777777" w:rsidR="00DC128C" w:rsidRDefault="00644A9B" w:rsidP="00DC128C">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DC128C">
        <w:rPr>
          <w:rFonts w:ascii="Verdana" w:hAnsi="Verdana"/>
          <w:sz w:val="20"/>
          <w:szCs w:val="20"/>
        </w:rPr>
        <w:t xml:space="preserve">La Corte recuerda que el artículo 5.1 de la Convención consagra en términos generales el derecho a la integridad personal, tanto física como psíquica y moral. Por su parte, el artículo 5.2 establece, de manera más específica, la prohibición absoluta de someter a alguien a torturas o a penas o tratos crueles, inhumanos o degradantes. Asimismo, se ha reconocido que la prohibición absoluta de la tortura, tanto física como psicológica, pertenece hoy día al dominio del </w:t>
      </w:r>
      <w:proofErr w:type="spellStart"/>
      <w:r w:rsidRPr="00DC128C">
        <w:rPr>
          <w:rFonts w:ascii="Verdana" w:hAnsi="Verdana"/>
          <w:i/>
          <w:sz w:val="20"/>
          <w:szCs w:val="20"/>
        </w:rPr>
        <w:t>jus</w:t>
      </w:r>
      <w:proofErr w:type="spellEnd"/>
      <w:r w:rsidRPr="00DC128C">
        <w:rPr>
          <w:rFonts w:ascii="Verdana" w:hAnsi="Verdana"/>
          <w:i/>
          <w:sz w:val="20"/>
          <w:szCs w:val="20"/>
        </w:rPr>
        <w:t xml:space="preserve"> cogens</w:t>
      </w:r>
      <w:r w:rsidRPr="00DC128C">
        <w:rPr>
          <w:rFonts w:ascii="Verdana" w:hAnsi="Verdana"/>
          <w:sz w:val="20"/>
          <w:szCs w:val="20"/>
        </w:rPr>
        <w:t xml:space="preserve"> internacional</w:t>
      </w:r>
      <w:r w:rsidRPr="00644A9B">
        <w:rPr>
          <w:vertAlign w:val="superscript"/>
        </w:rPr>
        <w:footnoteReference w:id="137"/>
      </w:r>
      <w:r w:rsidRPr="00DC128C">
        <w:rPr>
          <w:rFonts w:ascii="Verdana" w:hAnsi="Verdana"/>
          <w:sz w:val="20"/>
          <w:szCs w:val="20"/>
        </w:rPr>
        <w:t>.</w:t>
      </w:r>
    </w:p>
    <w:p w14:paraId="41B472B9" w14:textId="77777777" w:rsidR="00DC128C" w:rsidRDefault="00DC128C" w:rsidP="00DC128C">
      <w:pPr>
        <w:pStyle w:val="Prrafodelista"/>
        <w:autoSpaceDE w:val="0"/>
        <w:autoSpaceDN w:val="0"/>
        <w:adjustRightInd w:val="0"/>
        <w:spacing w:after="0" w:line="240" w:lineRule="auto"/>
        <w:ind w:left="0"/>
        <w:jc w:val="both"/>
        <w:rPr>
          <w:rFonts w:ascii="Verdana" w:hAnsi="Verdana"/>
          <w:sz w:val="20"/>
          <w:szCs w:val="20"/>
          <w:lang w:val="es-CR"/>
        </w:rPr>
      </w:pPr>
    </w:p>
    <w:p w14:paraId="42A1F062" w14:textId="77777777" w:rsidR="00DC128C" w:rsidRDefault="0071347E" w:rsidP="00DC128C">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DC128C">
        <w:rPr>
          <w:rFonts w:ascii="Verdana" w:hAnsi="Verdana"/>
          <w:sz w:val="20"/>
          <w:szCs w:val="20"/>
          <w:lang w:val="es-CR"/>
        </w:rPr>
        <w:t xml:space="preserve">A su vez, pueden calificarse como torturas físicas y psíquicas aquellos actos que han sido “preparados y realizados deliberadamente contra la víctima para suprimir su resistencia psíquica y forzarla a </w:t>
      </w:r>
      <w:proofErr w:type="spellStart"/>
      <w:r w:rsidRPr="00DC128C">
        <w:rPr>
          <w:rFonts w:ascii="Verdana" w:hAnsi="Verdana"/>
          <w:sz w:val="20"/>
          <w:szCs w:val="20"/>
          <w:lang w:val="es-CR"/>
        </w:rPr>
        <w:t>autoinculparse</w:t>
      </w:r>
      <w:proofErr w:type="spellEnd"/>
      <w:r w:rsidRPr="00DC128C">
        <w:rPr>
          <w:rFonts w:ascii="Verdana" w:hAnsi="Verdana"/>
          <w:sz w:val="20"/>
          <w:szCs w:val="20"/>
          <w:lang w:val="es-CR"/>
        </w:rPr>
        <w:t xml:space="preserve"> o a confesar determinadas conductas delictivas o para someterla a modalidades de castigos adicionales a la privación de la libertad en sí misma”</w:t>
      </w:r>
      <w:r w:rsidRPr="00914647">
        <w:rPr>
          <w:vertAlign w:val="superscript"/>
          <w:lang w:val="es-CR"/>
        </w:rPr>
        <w:footnoteReference w:id="138"/>
      </w:r>
      <w:r w:rsidRPr="00DC128C">
        <w:rPr>
          <w:rFonts w:ascii="Verdana" w:hAnsi="Verdana"/>
          <w:sz w:val="20"/>
          <w:szCs w:val="20"/>
          <w:lang w:val="es-CR"/>
        </w:rPr>
        <w:t xml:space="preserve">. </w:t>
      </w:r>
    </w:p>
    <w:p w14:paraId="598FBCE3" w14:textId="77777777" w:rsidR="00DC128C" w:rsidRPr="00DC128C" w:rsidRDefault="00DC128C" w:rsidP="00DC128C">
      <w:pPr>
        <w:pStyle w:val="Prrafodelista"/>
        <w:rPr>
          <w:rFonts w:ascii="Verdana" w:eastAsia="Batang" w:hAnsi="Verdana"/>
          <w:spacing w:val="-2"/>
          <w:sz w:val="20"/>
          <w:szCs w:val="20"/>
        </w:rPr>
      </w:pPr>
    </w:p>
    <w:p w14:paraId="7A4E2FC5" w14:textId="77777777" w:rsidR="00DC128C" w:rsidRDefault="00644A9B" w:rsidP="00DC128C">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DC128C">
        <w:rPr>
          <w:rFonts w:ascii="Verdana" w:eastAsia="Batang" w:hAnsi="Verdana"/>
          <w:spacing w:val="-2"/>
          <w:sz w:val="20"/>
          <w:szCs w:val="20"/>
        </w:rPr>
        <w:t xml:space="preserve">La Corte ha señalado que la violación del derecho a la integridad física y psíquica de las personas tiene diversas connotaciones de grado y que abarca desde la tortura hasta otro tipo de vejámenes o </w:t>
      </w:r>
      <w:r w:rsidRPr="00DC128C">
        <w:rPr>
          <w:rFonts w:ascii="Verdana" w:hAnsi="Verdana"/>
          <w:sz w:val="20"/>
          <w:szCs w:val="20"/>
        </w:rPr>
        <w:t>tratos</w:t>
      </w:r>
      <w:r w:rsidRPr="00DC128C">
        <w:rPr>
          <w:rFonts w:ascii="Verdana" w:eastAsia="Batang" w:hAnsi="Verdana"/>
          <w:spacing w:val="-2"/>
          <w:sz w:val="20"/>
          <w:szCs w:val="20"/>
        </w:rPr>
        <w:t xml:space="preserve"> crueles, inhumanos o degradantes, cuyas secuelas físicas y psíquicas varían de intensidad según factores endógenos y exógenos de la persona (duración de los tratos, edad, sexo, salud, contexto, vulnerabilidad, entre otros) que deberán ser analizados en cada situación concreta</w:t>
      </w:r>
      <w:r w:rsidRPr="00644A9B">
        <w:rPr>
          <w:rFonts w:ascii="Verdana" w:eastAsia="Batang" w:hAnsi="Verdana"/>
          <w:sz w:val="20"/>
          <w:szCs w:val="20"/>
          <w:vertAlign w:val="superscript"/>
          <w:lang w:bidi="en-US"/>
        </w:rPr>
        <w:footnoteReference w:id="139"/>
      </w:r>
      <w:r w:rsidRPr="00DC128C">
        <w:rPr>
          <w:rFonts w:ascii="Verdana" w:eastAsia="Batang" w:hAnsi="Verdana"/>
          <w:spacing w:val="-2"/>
          <w:sz w:val="20"/>
          <w:szCs w:val="20"/>
        </w:rPr>
        <w:t xml:space="preserve">. Es decir, las características personales de una supuesta víctima de tortura o tratos crueles, inhumanos o </w:t>
      </w:r>
      <w:proofErr w:type="gramStart"/>
      <w:r w:rsidRPr="00DC128C">
        <w:rPr>
          <w:rFonts w:ascii="Verdana" w:eastAsia="Batang" w:hAnsi="Verdana"/>
          <w:spacing w:val="-2"/>
          <w:sz w:val="20"/>
          <w:szCs w:val="20"/>
        </w:rPr>
        <w:t>degradantes,</w:t>
      </w:r>
      <w:proofErr w:type="gramEnd"/>
      <w:r w:rsidRPr="00DC128C">
        <w:rPr>
          <w:rFonts w:ascii="Verdana" w:eastAsia="Batang" w:hAnsi="Verdana"/>
          <w:spacing w:val="-2"/>
          <w:sz w:val="20"/>
          <w:szCs w:val="20"/>
        </w:rPr>
        <w:t xml:space="preserve"> deben ser tomadas en cuenta al momento de determinar si la integridad personal fue vulnerada, ya que tales características pueden cambiar la percepción de la realidad del individuo y, por ende, incrementar el sufrimiento y el sentido de humillación cuando son sometidas a ciertos tratamientos</w:t>
      </w:r>
      <w:r w:rsidRPr="00644A9B">
        <w:rPr>
          <w:rFonts w:ascii="Verdana" w:eastAsia="Batang" w:hAnsi="Verdana"/>
          <w:sz w:val="20"/>
          <w:szCs w:val="20"/>
          <w:vertAlign w:val="superscript"/>
        </w:rPr>
        <w:footnoteReference w:id="140"/>
      </w:r>
      <w:r w:rsidRPr="00DC128C">
        <w:rPr>
          <w:rFonts w:ascii="Verdana" w:eastAsia="Batang" w:hAnsi="Verdana"/>
          <w:spacing w:val="-2"/>
          <w:sz w:val="20"/>
          <w:szCs w:val="20"/>
        </w:rPr>
        <w:t xml:space="preserve">. </w:t>
      </w:r>
    </w:p>
    <w:p w14:paraId="248B9A92" w14:textId="77777777" w:rsidR="00DC128C" w:rsidRPr="00DC128C" w:rsidRDefault="00DC128C" w:rsidP="00DC128C">
      <w:pPr>
        <w:pStyle w:val="Prrafodelista"/>
        <w:rPr>
          <w:rFonts w:ascii="Verdana" w:hAnsi="Verdana"/>
          <w:sz w:val="20"/>
          <w:szCs w:val="20"/>
          <w:lang w:val="es-CR"/>
        </w:rPr>
      </w:pPr>
    </w:p>
    <w:p w14:paraId="1AB58C36" w14:textId="77777777" w:rsidR="00DC128C" w:rsidRDefault="005E6757" w:rsidP="00DC128C">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DC128C">
        <w:rPr>
          <w:rFonts w:ascii="Verdana" w:hAnsi="Verdana"/>
          <w:sz w:val="20"/>
          <w:szCs w:val="20"/>
          <w:lang w:val="es-CR"/>
        </w:rPr>
        <w:lastRenderedPageBreak/>
        <w:t>En lo que respecta</w:t>
      </w:r>
      <w:r w:rsidR="007E4BE7">
        <w:rPr>
          <w:rFonts w:ascii="Verdana" w:hAnsi="Verdana"/>
          <w:sz w:val="20"/>
          <w:szCs w:val="20"/>
          <w:lang w:val="es-CR"/>
        </w:rPr>
        <w:t xml:space="preserve"> a los</w:t>
      </w:r>
      <w:r w:rsidRPr="00DC128C">
        <w:rPr>
          <w:rFonts w:ascii="Verdana" w:hAnsi="Verdana"/>
          <w:sz w:val="20"/>
          <w:szCs w:val="20"/>
          <w:lang w:val="es-CR"/>
        </w:rPr>
        <w:t xml:space="preserve"> casos de alegada violencia sexual, la Corte</w:t>
      </w:r>
      <w:r w:rsidRPr="00DC128C" w:rsidDel="00B80469">
        <w:rPr>
          <w:rFonts w:ascii="Verdana" w:hAnsi="Verdana"/>
          <w:sz w:val="20"/>
          <w:szCs w:val="20"/>
          <w:lang w:val="es-CR"/>
        </w:rPr>
        <w:t xml:space="preserve"> </w:t>
      </w:r>
      <w:r w:rsidRPr="00DC128C">
        <w:rPr>
          <w:rFonts w:ascii="Verdana" w:hAnsi="Verdana"/>
          <w:sz w:val="20"/>
          <w:szCs w:val="20"/>
          <w:lang w:val="es-CR"/>
        </w:rPr>
        <w:t>ha señalado</w:t>
      </w:r>
      <w:r w:rsidRPr="00DC128C" w:rsidDel="00B80469">
        <w:rPr>
          <w:rFonts w:ascii="Verdana" w:hAnsi="Verdana"/>
          <w:sz w:val="20"/>
          <w:szCs w:val="20"/>
          <w:lang w:val="es-CR"/>
        </w:rPr>
        <w:t xml:space="preserve"> que las agresiones sexuales se caracterizan, en general, por producirse en ausencia de otras personas más allá de la víctima y el agresor o los agresores. Dada la naturaleza de estas formas de violencia, no se puede esperar la existencia de pruebas gráficas o documentales y, por ello, la declaración de la víctima constituye una prueba fundamental sobre el hecho</w:t>
      </w:r>
      <w:r w:rsidRPr="00914647">
        <w:rPr>
          <w:vertAlign w:val="superscript"/>
          <w:lang w:val="es-CR"/>
        </w:rPr>
        <w:footnoteReference w:id="141"/>
      </w:r>
      <w:r w:rsidRPr="00DC128C" w:rsidDel="00B80469">
        <w:rPr>
          <w:rFonts w:ascii="Verdana" w:hAnsi="Verdana"/>
          <w:sz w:val="20"/>
          <w:szCs w:val="20"/>
          <w:lang w:val="es-CR"/>
        </w:rPr>
        <w:t xml:space="preserve">. </w:t>
      </w:r>
    </w:p>
    <w:p w14:paraId="41D0BDCC" w14:textId="77777777" w:rsidR="00DC128C" w:rsidRPr="00DC128C" w:rsidRDefault="00DC128C" w:rsidP="00DC128C">
      <w:pPr>
        <w:pStyle w:val="Prrafodelista"/>
        <w:rPr>
          <w:rFonts w:ascii="Verdana" w:hAnsi="Verdana"/>
          <w:sz w:val="20"/>
          <w:szCs w:val="20"/>
          <w:lang w:val="es-CR"/>
        </w:rPr>
      </w:pPr>
    </w:p>
    <w:p w14:paraId="000E0E36" w14:textId="77777777" w:rsidR="00DC128C" w:rsidRDefault="005E6757" w:rsidP="00DC128C">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DC128C">
        <w:rPr>
          <w:rFonts w:ascii="Verdana" w:hAnsi="Verdana"/>
          <w:sz w:val="20"/>
          <w:szCs w:val="20"/>
          <w:lang w:val="es-CR"/>
        </w:rPr>
        <w:t>Por otro lado, la Corte recuerda que la evidencia obtenida a través de los exámenes médicos tiene un rol crucial durante las investigaciones realizadas contra los detenidos y en los casos cuando estos alegan maltrato</w:t>
      </w:r>
      <w:r w:rsidRPr="00914647">
        <w:rPr>
          <w:rFonts w:ascii="Verdana" w:hAnsi="Verdana"/>
          <w:sz w:val="20"/>
          <w:szCs w:val="20"/>
          <w:vertAlign w:val="superscript"/>
          <w:lang w:val="es-CR"/>
        </w:rPr>
        <w:footnoteReference w:id="142"/>
      </w:r>
      <w:r w:rsidRPr="00DC128C">
        <w:rPr>
          <w:rFonts w:ascii="Verdana" w:hAnsi="Verdana"/>
          <w:sz w:val="20"/>
          <w:szCs w:val="20"/>
          <w:lang w:val="es-CR"/>
        </w:rPr>
        <w:t>. En este sentido, los alegatos de maltratos ocurridos en custodia policial son extremadamente difíciles de sustanciar para la víctima si ésta estuvo aislada del mundo exterior, sin acceso a médicos, abogados, familia o amigos quienes podrán apoyar y reunir la evidencia necesaria</w:t>
      </w:r>
      <w:r w:rsidRPr="00914647">
        <w:rPr>
          <w:rFonts w:ascii="Verdana" w:hAnsi="Verdana"/>
          <w:sz w:val="18"/>
          <w:szCs w:val="20"/>
          <w:vertAlign w:val="superscript"/>
          <w:lang w:val="es-CR"/>
        </w:rPr>
        <w:footnoteReference w:id="143"/>
      </w:r>
      <w:r w:rsidRPr="00DC128C">
        <w:rPr>
          <w:rFonts w:ascii="Verdana" w:hAnsi="Verdana"/>
          <w:sz w:val="20"/>
          <w:szCs w:val="20"/>
          <w:lang w:val="es-CR"/>
        </w:rPr>
        <w:t>. Por tanto, corresponde a las autoridades judiciales el deber de garantizar los derechos del detenido, lo que implica la obtención y el aseguramiento de toda prueba que pueda acreditar los actos de tortura, incluyendo exámenes médicos</w:t>
      </w:r>
      <w:r w:rsidRPr="00914647">
        <w:rPr>
          <w:rFonts w:ascii="Verdana" w:hAnsi="Verdana"/>
          <w:sz w:val="20"/>
          <w:szCs w:val="20"/>
          <w:vertAlign w:val="superscript"/>
          <w:lang w:val="es-CR"/>
        </w:rPr>
        <w:footnoteReference w:id="144"/>
      </w:r>
      <w:r w:rsidRPr="00DC128C">
        <w:rPr>
          <w:rFonts w:ascii="Verdana" w:hAnsi="Verdana"/>
          <w:sz w:val="20"/>
          <w:szCs w:val="20"/>
          <w:lang w:val="es-CR"/>
        </w:rPr>
        <w:t>. Adicionalmente, es importante destacar que en los casos en los que existen alegatos de supuestas torturas o malos tratos, el tiempo transcurrido para la realización de las correspondientes pericias médicas es esencial para determinar fehacientemente la existencia del daño, sobre todo cuando no se cuenta con testigos más allá de los perpetradores y las propias víctimas y, en consecuencia, los elementos de evidencia pueden ser escasos. De ello se desprende que para que una investigación sobre hechos de tortura sea efectiva, la misma deberá ser e</w:t>
      </w:r>
      <w:r w:rsidR="00E54F55" w:rsidRPr="00DC128C">
        <w:rPr>
          <w:rFonts w:ascii="Verdana" w:hAnsi="Verdana"/>
          <w:sz w:val="20"/>
          <w:szCs w:val="20"/>
          <w:lang w:val="es-CR"/>
        </w:rPr>
        <w:t>fectuada con prontitud</w:t>
      </w:r>
      <w:r w:rsidRPr="00983539">
        <w:rPr>
          <w:rFonts w:ascii="Verdana" w:hAnsi="Verdana"/>
          <w:sz w:val="20"/>
          <w:szCs w:val="20"/>
          <w:vertAlign w:val="superscript"/>
          <w:lang w:val="es-CR"/>
        </w:rPr>
        <w:footnoteReference w:id="145"/>
      </w:r>
      <w:r w:rsidR="00E54F55" w:rsidRPr="00DC128C">
        <w:rPr>
          <w:rFonts w:ascii="Verdana" w:hAnsi="Verdana"/>
          <w:sz w:val="20"/>
          <w:szCs w:val="20"/>
          <w:lang w:val="es-CR"/>
        </w:rPr>
        <w:t>.</w:t>
      </w:r>
    </w:p>
    <w:p w14:paraId="3643CB97" w14:textId="77777777" w:rsidR="00DC128C" w:rsidRDefault="00DC128C" w:rsidP="00DC128C">
      <w:pPr>
        <w:pStyle w:val="Prrafodelista"/>
        <w:autoSpaceDE w:val="0"/>
        <w:autoSpaceDN w:val="0"/>
        <w:adjustRightInd w:val="0"/>
        <w:spacing w:after="0" w:line="240" w:lineRule="auto"/>
        <w:ind w:left="0"/>
        <w:jc w:val="both"/>
        <w:rPr>
          <w:rFonts w:ascii="Verdana" w:hAnsi="Verdana"/>
          <w:sz w:val="20"/>
          <w:szCs w:val="20"/>
          <w:lang w:val="es-CR"/>
        </w:rPr>
      </w:pPr>
    </w:p>
    <w:p w14:paraId="61E62C82" w14:textId="77777777" w:rsidR="00DC128C" w:rsidRDefault="005E6757" w:rsidP="00DC128C">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273376">
        <w:rPr>
          <w:rFonts w:ascii="Verdana" w:hAnsi="Verdana"/>
          <w:sz w:val="20"/>
          <w:szCs w:val="20"/>
          <w:lang w:val="es-CR"/>
        </w:rPr>
        <w:t>En</w:t>
      </w:r>
      <w:r w:rsidRPr="00DC128C">
        <w:rPr>
          <w:rFonts w:ascii="Verdana" w:hAnsi="Verdana"/>
          <w:sz w:val="20"/>
          <w:szCs w:val="20"/>
          <w:lang w:val="es-CR"/>
        </w:rPr>
        <w:t xml:space="preserve"> el mismo sentido, en casos donde se alegue</w:t>
      </w:r>
      <w:r w:rsidR="007E4BE7">
        <w:rPr>
          <w:rFonts w:ascii="Verdana" w:hAnsi="Verdana"/>
          <w:sz w:val="20"/>
          <w:szCs w:val="20"/>
          <w:lang w:val="es-CR"/>
        </w:rPr>
        <w:t>n</w:t>
      </w:r>
      <w:r w:rsidRPr="00DC128C">
        <w:rPr>
          <w:rFonts w:ascii="Verdana" w:hAnsi="Verdana"/>
          <w:sz w:val="20"/>
          <w:szCs w:val="20"/>
          <w:lang w:val="es-CR"/>
        </w:rPr>
        <w:t xml:space="preserve"> agresiones sexuales, la falta de evidencia médica no disminuye la veracidad de la declaración de la presunta víctima</w:t>
      </w:r>
      <w:r w:rsidRPr="00983539">
        <w:rPr>
          <w:rFonts w:ascii="Verdana" w:hAnsi="Verdana"/>
          <w:sz w:val="20"/>
          <w:szCs w:val="20"/>
          <w:vertAlign w:val="superscript"/>
          <w:lang w:val="es-CR"/>
        </w:rPr>
        <w:footnoteReference w:id="146"/>
      </w:r>
      <w:r w:rsidRPr="00DC128C">
        <w:rPr>
          <w:rFonts w:ascii="Verdana" w:hAnsi="Verdana"/>
          <w:sz w:val="20"/>
          <w:szCs w:val="20"/>
          <w:lang w:val="es-CR"/>
        </w:rPr>
        <w:t>. En tales casos, no necesariamente se verá reflejada la ocurrencia de violencia o violación sexual en un examen médico, ya que no todos los casos de violencia y/o violación sexual ocasionan lesiones físicas o enfermedades verificables a través de dichos exámenes</w:t>
      </w:r>
      <w:r w:rsidRPr="00983539">
        <w:rPr>
          <w:rFonts w:ascii="Verdana" w:hAnsi="Verdana"/>
          <w:sz w:val="20"/>
          <w:szCs w:val="20"/>
          <w:vertAlign w:val="superscript"/>
          <w:lang w:val="es-CR"/>
        </w:rPr>
        <w:footnoteReference w:id="147"/>
      </w:r>
      <w:r w:rsidRPr="00DC128C">
        <w:rPr>
          <w:rFonts w:ascii="Verdana" w:hAnsi="Verdana"/>
          <w:sz w:val="20"/>
          <w:szCs w:val="20"/>
          <w:lang w:val="es-CR"/>
        </w:rPr>
        <w:t xml:space="preserve">. </w:t>
      </w:r>
    </w:p>
    <w:p w14:paraId="564657BC" w14:textId="77777777" w:rsidR="00DC128C" w:rsidRPr="00DC128C" w:rsidRDefault="00DC128C" w:rsidP="00DC128C">
      <w:pPr>
        <w:pStyle w:val="Prrafodelista"/>
        <w:rPr>
          <w:rFonts w:ascii="Verdana" w:hAnsi="Verdana"/>
          <w:sz w:val="20"/>
          <w:szCs w:val="20"/>
          <w:lang w:val="es-CR"/>
        </w:rPr>
      </w:pPr>
    </w:p>
    <w:p w14:paraId="63A09F56" w14:textId="77777777" w:rsidR="00DC128C" w:rsidRDefault="0071347E" w:rsidP="00DC128C">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DC128C">
        <w:rPr>
          <w:rFonts w:ascii="Verdana" w:hAnsi="Verdana"/>
          <w:sz w:val="20"/>
          <w:szCs w:val="20"/>
          <w:lang w:val="es-CR"/>
        </w:rPr>
        <w:t xml:space="preserve">En el caso </w:t>
      </w:r>
      <w:r w:rsidRPr="00DC128C">
        <w:rPr>
          <w:rFonts w:ascii="Verdana" w:hAnsi="Verdana"/>
          <w:i/>
          <w:sz w:val="20"/>
          <w:szCs w:val="20"/>
          <w:lang w:val="es-CR"/>
        </w:rPr>
        <w:t>sub examine</w:t>
      </w:r>
      <w:r w:rsidRPr="00DC128C">
        <w:rPr>
          <w:rFonts w:ascii="Verdana" w:hAnsi="Verdana"/>
          <w:sz w:val="20"/>
          <w:szCs w:val="20"/>
          <w:lang w:val="es-CR"/>
        </w:rPr>
        <w:t>, tanto la Comisión y los representantes alegaron que el señor Valenzuela fue sometido a torturas por parte del Estado el 27 de mayo de 1998 en su primera detención,</w:t>
      </w:r>
      <w:r w:rsidR="00DF1721" w:rsidRPr="00DC128C">
        <w:rPr>
          <w:rFonts w:ascii="Verdana" w:hAnsi="Verdana"/>
          <w:sz w:val="20"/>
          <w:szCs w:val="20"/>
          <w:lang w:val="es-CR"/>
        </w:rPr>
        <w:t xml:space="preserve"> para que confesara sobre su presunta participación en el asesinato de una fiscal</w:t>
      </w:r>
      <w:r w:rsidR="00D66DEC">
        <w:rPr>
          <w:rFonts w:ascii="Verdana" w:hAnsi="Verdana"/>
          <w:sz w:val="20"/>
          <w:szCs w:val="20"/>
          <w:lang w:val="es-CR"/>
        </w:rPr>
        <w:t>a</w:t>
      </w:r>
      <w:r w:rsidRPr="00DC128C">
        <w:rPr>
          <w:rFonts w:ascii="Verdana" w:hAnsi="Verdana"/>
          <w:sz w:val="20"/>
          <w:szCs w:val="20"/>
          <w:lang w:val="es-CR"/>
        </w:rPr>
        <w:t>, y los días 17</w:t>
      </w:r>
      <w:r w:rsidR="00A34A9F">
        <w:rPr>
          <w:rFonts w:ascii="Verdana" w:hAnsi="Verdana"/>
          <w:sz w:val="20"/>
          <w:szCs w:val="20"/>
          <w:lang w:val="es-CR"/>
        </w:rPr>
        <w:t xml:space="preserve"> y</w:t>
      </w:r>
      <w:r w:rsidRPr="00DC128C">
        <w:rPr>
          <w:rFonts w:ascii="Verdana" w:hAnsi="Verdana"/>
          <w:sz w:val="20"/>
          <w:szCs w:val="20"/>
          <w:lang w:val="es-CR"/>
        </w:rPr>
        <w:t xml:space="preserve"> 18</w:t>
      </w:r>
      <w:r w:rsidR="007C25D0" w:rsidRPr="00DC128C">
        <w:rPr>
          <w:rFonts w:ascii="Verdana" w:hAnsi="Verdana"/>
          <w:sz w:val="20"/>
          <w:szCs w:val="20"/>
          <w:lang w:val="es-CR"/>
        </w:rPr>
        <w:t xml:space="preserve"> de junio de 2001 tras ser</w:t>
      </w:r>
      <w:r w:rsidRPr="00DC128C">
        <w:rPr>
          <w:rFonts w:ascii="Verdana" w:hAnsi="Verdana"/>
          <w:sz w:val="20"/>
          <w:szCs w:val="20"/>
          <w:lang w:val="es-CR"/>
        </w:rPr>
        <w:t xml:space="preserve"> recapturado después de su segunda fuga en junio de 2001</w:t>
      </w:r>
      <w:r w:rsidR="00584353" w:rsidRPr="00DC128C">
        <w:rPr>
          <w:rFonts w:ascii="Verdana" w:hAnsi="Verdana"/>
          <w:sz w:val="20"/>
          <w:szCs w:val="20"/>
          <w:lang w:val="es-CR"/>
        </w:rPr>
        <w:t>.</w:t>
      </w:r>
      <w:r w:rsidR="00DF1721" w:rsidRPr="00DC128C">
        <w:rPr>
          <w:rFonts w:ascii="Verdana" w:hAnsi="Verdana"/>
          <w:sz w:val="20"/>
          <w:szCs w:val="20"/>
          <w:lang w:val="es-CR"/>
        </w:rPr>
        <w:t xml:space="preserve"> </w:t>
      </w:r>
      <w:r w:rsidRPr="00DC128C">
        <w:rPr>
          <w:rFonts w:ascii="Verdana" w:hAnsi="Verdana"/>
          <w:sz w:val="20"/>
          <w:szCs w:val="20"/>
          <w:lang w:val="es-CR"/>
        </w:rPr>
        <w:t xml:space="preserve">Asimismo, los representantes indicaron que el Estado es responsable de tratos crueles inhumanos y degradantes en contra del señor Valenzuela, toda vez, que la presunta víctima no habría </w:t>
      </w:r>
      <w:r w:rsidR="00EE0406" w:rsidRPr="00DC128C">
        <w:rPr>
          <w:rFonts w:ascii="Verdana" w:hAnsi="Verdana"/>
          <w:sz w:val="20"/>
          <w:szCs w:val="20"/>
          <w:lang w:val="es-CR"/>
        </w:rPr>
        <w:t xml:space="preserve">recibido </w:t>
      </w:r>
      <w:r w:rsidRPr="00DC128C">
        <w:rPr>
          <w:rFonts w:ascii="Verdana" w:hAnsi="Verdana"/>
          <w:sz w:val="20"/>
          <w:szCs w:val="20"/>
          <w:lang w:val="es-CR"/>
        </w:rPr>
        <w:t xml:space="preserve">tratamiento médico adecuado. </w:t>
      </w:r>
      <w:r w:rsidR="00CE6755" w:rsidRPr="00DC128C">
        <w:rPr>
          <w:rFonts w:ascii="Verdana" w:hAnsi="Verdana"/>
          <w:sz w:val="20"/>
          <w:szCs w:val="20"/>
          <w:lang w:val="es-CR"/>
        </w:rPr>
        <w:t>Al respecto, el Estado negó la ocurrencia de tales hechos, pero reconoció la falta de investigación de las alegadas torturas.</w:t>
      </w:r>
    </w:p>
    <w:p w14:paraId="240D907E" w14:textId="77777777" w:rsidR="00DC128C" w:rsidRPr="00DC128C" w:rsidRDefault="00DC128C" w:rsidP="00DC128C">
      <w:pPr>
        <w:pStyle w:val="Prrafodelista"/>
        <w:rPr>
          <w:rFonts w:ascii="Verdana" w:hAnsi="Verdana"/>
          <w:sz w:val="20"/>
          <w:szCs w:val="20"/>
          <w:lang w:val="es-CR"/>
        </w:rPr>
      </w:pPr>
    </w:p>
    <w:p w14:paraId="66B6CED2" w14:textId="15349DCB" w:rsidR="005C5A3F" w:rsidRPr="001A2686" w:rsidRDefault="0071347E" w:rsidP="005C5A3F">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DC128C">
        <w:rPr>
          <w:rFonts w:ascii="Verdana" w:hAnsi="Verdana"/>
          <w:sz w:val="20"/>
          <w:szCs w:val="20"/>
          <w:lang w:val="es-CR"/>
        </w:rPr>
        <w:t>Por tales consideraciones este Tribunal analizará</w:t>
      </w:r>
      <w:r w:rsidR="0057547F" w:rsidRPr="00DC128C">
        <w:rPr>
          <w:rFonts w:ascii="Verdana" w:hAnsi="Verdana"/>
          <w:sz w:val="20"/>
          <w:szCs w:val="20"/>
          <w:lang w:val="es-CR"/>
        </w:rPr>
        <w:t xml:space="preserve"> a continuación </w:t>
      </w:r>
      <w:r w:rsidR="00644A9B" w:rsidRPr="00DC128C">
        <w:rPr>
          <w:rFonts w:ascii="Verdana" w:hAnsi="Verdana"/>
          <w:kern w:val="2"/>
          <w:sz w:val="20"/>
          <w:szCs w:val="20"/>
        </w:rPr>
        <w:t>la alegada responsabilidad internacional del Estado po</w:t>
      </w:r>
      <w:r w:rsidR="008A2BCA" w:rsidRPr="00DC128C">
        <w:rPr>
          <w:rFonts w:ascii="Verdana" w:hAnsi="Verdana"/>
          <w:kern w:val="2"/>
          <w:sz w:val="20"/>
          <w:szCs w:val="20"/>
        </w:rPr>
        <w:t>r</w:t>
      </w:r>
      <w:r w:rsidR="00644A9B" w:rsidRPr="00DC128C">
        <w:rPr>
          <w:rFonts w:ascii="Verdana" w:hAnsi="Verdana"/>
          <w:kern w:val="2"/>
          <w:sz w:val="20"/>
          <w:szCs w:val="20"/>
        </w:rPr>
        <w:t xml:space="preserve"> </w:t>
      </w:r>
      <w:r w:rsidR="00644A9B" w:rsidRPr="00DC128C">
        <w:rPr>
          <w:rFonts w:ascii="Verdana" w:hAnsi="Verdana"/>
          <w:sz w:val="20"/>
          <w:szCs w:val="20"/>
          <w:lang w:val="es-CR"/>
        </w:rPr>
        <w:t>las a</w:t>
      </w:r>
      <w:r w:rsidR="000F08F9">
        <w:rPr>
          <w:rFonts w:ascii="Verdana" w:hAnsi="Verdana"/>
          <w:sz w:val="20"/>
          <w:szCs w:val="20"/>
          <w:lang w:val="es-CR"/>
        </w:rPr>
        <w:t>ducidas</w:t>
      </w:r>
      <w:r w:rsidR="00644A9B" w:rsidRPr="00DC128C">
        <w:rPr>
          <w:rFonts w:ascii="Verdana" w:hAnsi="Verdana"/>
          <w:sz w:val="20"/>
          <w:szCs w:val="20"/>
          <w:lang w:val="es-CR"/>
        </w:rPr>
        <w:t xml:space="preserve"> torturas o tratos crueles, inhumanos </w:t>
      </w:r>
      <w:r w:rsidR="000F08F9">
        <w:rPr>
          <w:rFonts w:ascii="Verdana" w:hAnsi="Verdana"/>
          <w:sz w:val="20"/>
          <w:szCs w:val="20"/>
          <w:lang w:val="es-CR"/>
        </w:rPr>
        <w:t>o</w:t>
      </w:r>
      <w:r w:rsidR="00644A9B" w:rsidRPr="00DC128C">
        <w:rPr>
          <w:rFonts w:ascii="Verdana" w:hAnsi="Verdana"/>
          <w:sz w:val="20"/>
          <w:szCs w:val="20"/>
          <w:lang w:val="es-CR"/>
        </w:rPr>
        <w:t xml:space="preserve"> degradantes </w:t>
      </w:r>
      <w:r w:rsidR="0057547F" w:rsidRPr="00DC128C">
        <w:rPr>
          <w:rFonts w:ascii="Verdana" w:hAnsi="Verdana"/>
          <w:sz w:val="20"/>
          <w:szCs w:val="20"/>
          <w:lang w:val="es-CR"/>
        </w:rPr>
        <w:t>sufridas por el señor Valenzuela Ávila</w:t>
      </w:r>
      <w:r w:rsidR="00644A9B" w:rsidRPr="00DC128C">
        <w:rPr>
          <w:rFonts w:ascii="Verdana" w:eastAsia="Batang" w:hAnsi="Verdana"/>
          <w:spacing w:val="-2"/>
          <w:sz w:val="20"/>
          <w:szCs w:val="20"/>
        </w:rPr>
        <w:t>.</w:t>
      </w:r>
    </w:p>
    <w:p w14:paraId="6AE5346A" w14:textId="77777777" w:rsidR="00DC128C" w:rsidRPr="00983539" w:rsidRDefault="00DC128C" w:rsidP="00DC128C">
      <w:pPr>
        <w:pStyle w:val="Ttulo3"/>
        <w:ind w:left="0" w:firstLine="708"/>
        <w:rPr>
          <w:lang w:val="es-CR"/>
        </w:rPr>
      </w:pPr>
      <w:bookmarkStart w:id="68" w:name="_Toc25247778"/>
      <w:r w:rsidRPr="00983539">
        <w:rPr>
          <w:lang w:val="es-CR"/>
        </w:rPr>
        <w:lastRenderedPageBreak/>
        <w:t>B.1. Detención</w:t>
      </w:r>
      <w:r>
        <w:rPr>
          <w:lang w:val="es-CR"/>
        </w:rPr>
        <w:t xml:space="preserve"> y reclusión</w:t>
      </w:r>
      <w:r w:rsidRPr="00983539">
        <w:rPr>
          <w:lang w:val="es-CR"/>
        </w:rPr>
        <w:t xml:space="preserve"> del señor Valenzuela</w:t>
      </w:r>
      <w:bookmarkEnd w:id="68"/>
    </w:p>
    <w:p w14:paraId="7618C06A" w14:textId="77777777" w:rsidR="00DC128C" w:rsidRPr="00DC128C" w:rsidRDefault="00DC128C" w:rsidP="00DC128C">
      <w:pPr>
        <w:pStyle w:val="Prrafodelista"/>
        <w:rPr>
          <w:rFonts w:ascii="Verdana" w:hAnsi="Verdana"/>
          <w:sz w:val="20"/>
          <w:szCs w:val="20"/>
          <w:lang w:val="es-CR"/>
        </w:rPr>
      </w:pPr>
    </w:p>
    <w:p w14:paraId="2E9A90BB" w14:textId="73ABDF0A" w:rsidR="00DC128C" w:rsidRDefault="00BC2D41" w:rsidP="00DC128C">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DC128C">
        <w:rPr>
          <w:rFonts w:ascii="Verdana" w:hAnsi="Verdana"/>
          <w:sz w:val="20"/>
          <w:szCs w:val="20"/>
          <w:lang w:val="es-CR"/>
        </w:rPr>
        <w:t>Según se estableció el señor Valenzuela Ávila fue detenido el 27 de mayo de 1998 (</w:t>
      </w:r>
      <w:r w:rsidRPr="00DC128C">
        <w:rPr>
          <w:rFonts w:ascii="Verdana" w:hAnsi="Verdana"/>
          <w:i/>
          <w:sz w:val="20"/>
          <w:szCs w:val="20"/>
          <w:lang w:val="es-CR"/>
        </w:rPr>
        <w:t xml:space="preserve">supra </w:t>
      </w:r>
      <w:r w:rsidR="0014373E">
        <w:rPr>
          <w:rFonts w:ascii="Verdana" w:hAnsi="Verdana"/>
          <w:sz w:val="20"/>
          <w:szCs w:val="20"/>
          <w:lang w:val="es-CR"/>
        </w:rPr>
        <w:t xml:space="preserve">párr. </w:t>
      </w:r>
      <w:r w:rsidR="001C0947">
        <w:rPr>
          <w:rFonts w:ascii="Verdana" w:hAnsi="Verdana"/>
          <w:sz w:val="20"/>
          <w:szCs w:val="20"/>
          <w:lang w:val="es-CR"/>
        </w:rPr>
        <w:t>82</w:t>
      </w:r>
      <w:r w:rsidRPr="00DC128C">
        <w:rPr>
          <w:rFonts w:ascii="Verdana" w:hAnsi="Verdana"/>
          <w:sz w:val="20"/>
          <w:szCs w:val="20"/>
          <w:lang w:val="es-CR"/>
        </w:rPr>
        <w:t>). En primer término, la Corte se referirá a la alegada tortura ocurrida ese día a partir de la detención ocurrida después del allanamiento</w:t>
      </w:r>
      <w:r w:rsidRPr="00BC2D41">
        <w:rPr>
          <w:rStyle w:val="Refdenotaalpie"/>
          <w:rFonts w:ascii="Verdana" w:hAnsi="Verdana"/>
          <w:sz w:val="20"/>
          <w:szCs w:val="20"/>
          <w:lang w:val="es-CR"/>
        </w:rPr>
        <w:footnoteReference w:id="148"/>
      </w:r>
      <w:r w:rsidRPr="00DC128C">
        <w:rPr>
          <w:rFonts w:ascii="Verdana" w:hAnsi="Verdana"/>
          <w:sz w:val="20"/>
          <w:szCs w:val="20"/>
          <w:lang w:val="es-CR"/>
        </w:rPr>
        <w:t>. Al respecto, en el acta de juicio No</w:t>
      </w:r>
      <w:r w:rsidR="001A2686">
        <w:rPr>
          <w:rFonts w:ascii="Verdana" w:hAnsi="Verdana"/>
          <w:sz w:val="20"/>
          <w:szCs w:val="20"/>
          <w:lang w:val="es-CR"/>
        </w:rPr>
        <w:t>.</w:t>
      </w:r>
      <w:r w:rsidRPr="00DC128C">
        <w:rPr>
          <w:rFonts w:ascii="Verdana" w:hAnsi="Verdana"/>
          <w:sz w:val="20"/>
          <w:szCs w:val="20"/>
          <w:lang w:val="es-CR"/>
        </w:rPr>
        <w:t xml:space="preserve"> 38-99 de 11 de octubre de 1999 emitida por el Tribunal Penal de Quetzaltenango, consta que el señor Valenzuela manifestó que este día fue víctima de torturas a través de golpes, asfixia mediante un lienzo de hule y </w:t>
      </w:r>
      <w:r w:rsidR="00E0418E">
        <w:rPr>
          <w:rFonts w:ascii="Verdana" w:hAnsi="Verdana"/>
          <w:sz w:val="20"/>
          <w:szCs w:val="20"/>
          <w:lang w:val="es-CR"/>
        </w:rPr>
        <w:t>“</w:t>
      </w:r>
      <w:proofErr w:type="spellStart"/>
      <w:r w:rsidRPr="00DC128C">
        <w:rPr>
          <w:rFonts w:ascii="Verdana" w:hAnsi="Verdana"/>
          <w:sz w:val="20"/>
          <w:szCs w:val="20"/>
          <w:lang w:val="es-CR"/>
        </w:rPr>
        <w:t>gamezán</w:t>
      </w:r>
      <w:proofErr w:type="spellEnd"/>
      <w:r w:rsidR="00E0418E">
        <w:rPr>
          <w:rFonts w:ascii="Verdana" w:hAnsi="Verdana"/>
          <w:sz w:val="20"/>
          <w:szCs w:val="20"/>
          <w:lang w:val="es-CR"/>
        </w:rPr>
        <w:t>”</w:t>
      </w:r>
      <w:r w:rsidRPr="00DC128C">
        <w:rPr>
          <w:rFonts w:ascii="Verdana" w:hAnsi="Verdana"/>
          <w:sz w:val="20"/>
          <w:szCs w:val="20"/>
          <w:lang w:val="es-CR"/>
        </w:rPr>
        <w:t xml:space="preserve"> e indicó que le introdujeron “en el ano aproximadamente como quince segundos [un] bastón con grasa”</w:t>
      </w:r>
      <w:r w:rsidRPr="00BC2D41">
        <w:rPr>
          <w:rFonts w:ascii="Verdana" w:hAnsi="Verdana"/>
          <w:sz w:val="20"/>
          <w:szCs w:val="20"/>
          <w:vertAlign w:val="superscript"/>
        </w:rPr>
        <w:footnoteReference w:id="149"/>
      </w:r>
      <w:r w:rsidRPr="00DC128C">
        <w:rPr>
          <w:rFonts w:ascii="Verdana" w:hAnsi="Verdana"/>
          <w:sz w:val="20"/>
          <w:szCs w:val="20"/>
          <w:lang w:val="es-CR"/>
        </w:rPr>
        <w:t xml:space="preserve">. </w:t>
      </w:r>
    </w:p>
    <w:p w14:paraId="7AAF10E6" w14:textId="77777777" w:rsidR="00DC128C" w:rsidRDefault="00DC128C" w:rsidP="00DC128C">
      <w:pPr>
        <w:pStyle w:val="Prrafodelista"/>
        <w:autoSpaceDE w:val="0"/>
        <w:autoSpaceDN w:val="0"/>
        <w:adjustRightInd w:val="0"/>
        <w:spacing w:after="0" w:line="240" w:lineRule="auto"/>
        <w:ind w:left="0"/>
        <w:jc w:val="both"/>
        <w:rPr>
          <w:rFonts w:ascii="Verdana" w:hAnsi="Verdana"/>
          <w:sz w:val="20"/>
          <w:szCs w:val="20"/>
          <w:lang w:val="es-CR"/>
        </w:rPr>
      </w:pPr>
    </w:p>
    <w:p w14:paraId="292845E3" w14:textId="0534FB9A" w:rsidR="00DC128C" w:rsidRPr="00B15762" w:rsidRDefault="0071347E" w:rsidP="00B15762">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DC128C">
        <w:rPr>
          <w:rFonts w:ascii="Verdana" w:hAnsi="Verdana"/>
          <w:sz w:val="20"/>
          <w:szCs w:val="20"/>
          <w:lang w:val="es-CR"/>
        </w:rPr>
        <w:t xml:space="preserve">Además, la Corte </w:t>
      </w:r>
      <w:r w:rsidR="00572C63" w:rsidRPr="00DC128C">
        <w:rPr>
          <w:rFonts w:ascii="Verdana" w:hAnsi="Verdana"/>
          <w:sz w:val="20"/>
          <w:szCs w:val="20"/>
          <w:lang w:val="es-CR"/>
        </w:rPr>
        <w:t>nota</w:t>
      </w:r>
      <w:r w:rsidR="007E4BE7">
        <w:rPr>
          <w:rFonts w:ascii="Verdana" w:hAnsi="Verdana"/>
          <w:sz w:val="20"/>
          <w:szCs w:val="20"/>
          <w:lang w:val="es-CR"/>
        </w:rPr>
        <w:t xml:space="preserve"> que</w:t>
      </w:r>
      <w:r w:rsidR="00572C63" w:rsidRPr="00DC128C">
        <w:rPr>
          <w:rFonts w:ascii="Verdana" w:hAnsi="Verdana"/>
          <w:sz w:val="20"/>
          <w:szCs w:val="20"/>
          <w:lang w:val="es-CR"/>
        </w:rPr>
        <w:t xml:space="preserve"> </w:t>
      </w:r>
      <w:r w:rsidR="00581E47" w:rsidRPr="00DC128C">
        <w:rPr>
          <w:rFonts w:ascii="Verdana" w:hAnsi="Verdana"/>
          <w:sz w:val="20"/>
          <w:szCs w:val="20"/>
          <w:lang w:val="es-CR"/>
        </w:rPr>
        <w:t xml:space="preserve">dos privados de libertad </w:t>
      </w:r>
      <w:r w:rsidR="00465F39" w:rsidRPr="00DC128C">
        <w:rPr>
          <w:rFonts w:ascii="Verdana" w:hAnsi="Verdana"/>
          <w:sz w:val="20"/>
          <w:szCs w:val="20"/>
          <w:lang w:val="es-CR"/>
        </w:rPr>
        <w:t>en el C</w:t>
      </w:r>
      <w:r w:rsidR="00581E47" w:rsidRPr="00DC128C">
        <w:rPr>
          <w:rFonts w:ascii="Verdana" w:hAnsi="Verdana"/>
          <w:sz w:val="20"/>
          <w:szCs w:val="20"/>
          <w:lang w:val="es-CR"/>
        </w:rPr>
        <w:t xml:space="preserve">entro </w:t>
      </w:r>
      <w:r w:rsidR="00465F39" w:rsidRPr="00DC128C">
        <w:rPr>
          <w:rFonts w:ascii="Verdana" w:hAnsi="Verdana"/>
          <w:sz w:val="20"/>
          <w:szCs w:val="20"/>
          <w:lang w:val="es-CR"/>
        </w:rPr>
        <w:t>Preventivo para Varones en donde se encontraba</w:t>
      </w:r>
      <w:r w:rsidR="00581E47" w:rsidRPr="00DC128C">
        <w:rPr>
          <w:rFonts w:ascii="Verdana" w:hAnsi="Verdana"/>
          <w:sz w:val="20"/>
          <w:szCs w:val="20"/>
          <w:lang w:val="es-CR"/>
        </w:rPr>
        <w:t xml:space="preserve"> la presunta víctima</w:t>
      </w:r>
      <w:r w:rsidR="00465F39" w:rsidRPr="00DC128C">
        <w:rPr>
          <w:rFonts w:ascii="Verdana" w:hAnsi="Verdana"/>
          <w:sz w:val="20"/>
          <w:szCs w:val="20"/>
          <w:lang w:val="es-CR"/>
        </w:rPr>
        <w:t xml:space="preserve"> se refirieron a la situación del señor Valenzu</w:t>
      </w:r>
      <w:r w:rsidR="006E0ECD" w:rsidRPr="00DC128C">
        <w:rPr>
          <w:rFonts w:ascii="Verdana" w:hAnsi="Verdana"/>
          <w:sz w:val="20"/>
          <w:szCs w:val="20"/>
          <w:lang w:val="es-CR"/>
        </w:rPr>
        <w:t>e</w:t>
      </w:r>
      <w:r w:rsidR="00465F39" w:rsidRPr="00DC128C">
        <w:rPr>
          <w:rFonts w:ascii="Verdana" w:hAnsi="Verdana"/>
          <w:sz w:val="20"/>
          <w:szCs w:val="20"/>
          <w:lang w:val="es-CR"/>
        </w:rPr>
        <w:t>la</w:t>
      </w:r>
      <w:r w:rsidR="00581E47" w:rsidRPr="00DC128C">
        <w:rPr>
          <w:rFonts w:ascii="Verdana" w:hAnsi="Verdana"/>
          <w:sz w:val="20"/>
          <w:szCs w:val="20"/>
          <w:lang w:val="es-CR"/>
        </w:rPr>
        <w:t xml:space="preserve">. </w:t>
      </w:r>
      <w:r w:rsidR="00465F39" w:rsidRPr="00DC128C">
        <w:rPr>
          <w:rFonts w:ascii="Verdana" w:hAnsi="Verdana"/>
          <w:sz w:val="20"/>
          <w:szCs w:val="20"/>
          <w:lang w:val="es-CR"/>
        </w:rPr>
        <w:t>E</w:t>
      </w:r>
      <w:r w:rsidR="00581E47" w:rsidRPr="00DC128C">
        <w:rPr>
          <w:rFonts w:ascii="Verdana" w:hAnsi="Verdana"/>
          <w:sz w:val="20"/>
          <w:szCs w:val="20"/>
          <w:lang w:val="es-CR"/>
        </w:rPr>
        <w:t xml:space="preserve">l señor </w:t>
      </w:r>
      <w:r w:rsidRPr="00DC128C">
        <w:rPr>
          <w:rFonts w:ascii="Verdana" w:hAnsi="Verdana"/>
          <w:sz w:val="20"/>
          <w:szCs w:val="20"/>
          <w:lang w:val="es-CR"/>
        </w:rPr>
        <w:t xml:space="preserve">SMR </w:t>
      </w:r>
      <w:r w:rsidR="004D364E" w:rsidRPr="00DC128C">
        <w:rPr>
          <w:rFonts w:ascii="Verdana" w:hAnsi="Verdana"/>
          <w:sz w:val="20"/>
          <w:szCs w:val="20"/>
          <w:lang w:val="es-CR"/>
        </w:rPr>
        <w:t>manifestó que el</w:t>
      </w:r>
      <w:r w:rsidRPr="00DC128C">
        <w:rPr>
          <w:rFonts w:ascii="Verdana" w:hAnsi="Verdana"/>
          <w:sz w:val="20"/>
          <w:szCs w:val="20"/>
          <w:lang w:val="es-CR"/>
        </w:rPr>
        <w:t xml:space="preserve"> 28 de mayo de 199</w:t>
      </w:r>
      <w:r w:rsidR="00316BD2" w:rsidRPr="00DC128C">
        <w:rPr>
          <w:rFonts w:ascii="Verdana" w:hAnsi="Verdana"/>
          <w:sz w:val="20"/>
          <w:szCs w:val="20"/>
          <w:lang w:val="es-CR"/>
        </w:rPr>
        <w:t>8</w:t>
      </w:r>
      <w:r w:rsidRPr="00DC128C">
        <w:rPr>
          <w:rFonts w:ascii="Verdana" w:hAnsi="Verdana"/>
          <w:sz w:val="20"/>
          <w:szCs w:val="20"/>
          <w:lang w:val="es-CR"/>
        </w:rPr>
        <w:t xml:space="preserve"> </w:t>
      </w:r>
      <w:r w:rsidR="004D364E" w:rsidRPr="00DC128C">
        <w:rPr>
          <w:rFonts w:ascii="Verdana" w:hAnsi="Verdana"/>
          <w:sz w:val="20"/>
          <w:szCs w:val="20"/>
          <w:lang w:val="es-CR"/>
        </w:rPr>
        <w:t>el señor Valenzuela Ávila “llegó</w:t>
      </w:r>
      <w:r w:rsidRPr="00DC128C">
        <w:rPr>
          <w:rFonts w:ascii="Verdana" w:hAnsi="Verdana"/>
          <w:sz w:val="20"/>
          <w:szCs w:val="20"/>
          <w:lang w:val="es-CR"/>
        </w:rPr>
        <w:t xml:space="preserve"> muy golpeado, del rostro, </w:t>
      </w:r>
      <w:r w:rsidR="007E4BE7">
        <w:rPr>
          <w:rFonts w:ascii="Verdana" w:hAnsi="Verdana"/>
          <w:sz w:val="20"/>
          <w:szCs w:val="20"/>
          <w:lang w:val="es-CR"/>
        </w:rPr>
        <w:t xml:space="preserve">[y] </w:t>
      </w:r>
      <w:r w:rsidRPr="00DC128C">
        <w:rPr>
          <w:rFonts w:ascii="Verdana" w:hAnsi="Verdana"/>
          <w:sz w:val="20"/>
          <w:szCs w:val="20"/>
          <w:lang w:val="es-CR"/>
        </w:rPr>
        <w:t xml:space="preserve">defecaba sangre”, </w:t>
      </w:r>
      <w:r w:rsidR="00581E47" w:rsidRPr="00DC128C">
        <w:rPr>
          <w:rFonts w:ascii="Verdana" w:hAnsi="Verdana"/>
          <w:sz w:val="20"/>
          <w:szCs w:val="20"/>
          <w:lang w:val="es-CR"/>
        </w:rPr>
        <w:t xml:space="preserve">y el señor </w:t>
      </w:r>
      <w:r w:rsidR="000E2829">
        <w:rPr>
          <w:rFonts w:ascii="Verdana" w:hAnsi="Verdana"/>
          <w:sz w:val="20"/>
          <w:szCs w:val="20"/>
          <w:lang w:val="es-CR"/>
        </w:rPr>
        <w:t>E</w:t>
      </w:r>
      <w:r w:rsidR="00B15762">
        <w:rPr>
          <w:rFonts w:ascii="Verdana" w:hAnsi="Verdana"/>
          <w:sz w:val="20"/>
          <w:szCs w:val="20"/>
          <w:lang w:val="es-CR"/>
        </w:rPr>
        <w:t>MM</w:t>
      </w:r>
      <w:r w:rsidRPr="00B15762">
        <w:rPr>
          <w:rFonts w:ascii="Verdana" w:hAnsi="Verdana"/>
          <w:sz w:val="20"/>
          <w:szCs w:val="20"/>
          <w:lang w:val="es-CR"/>
        </w:rPr>
        <w:t xml:space="preserve"> </w:t>
      </w:r>
      <w:r w:rsidR="004D364E" w:rsidRPr="00B15762">
        <w:rPr>
          <w:rFonts w:ascii="Verdana" w:hAnsi="Verdana"/>
          <w:sz w:val="20"/>
          <w:szCs w:val="20"/>
          <w:lang w:val="es-CR"/>
        </w:rPr>
        <w:t xml:space="preserve">expresó </w:t>
      </w:r>
      <w:r w:rsidRPr="00B15762">
        <w:rPr>
          <w:rFonts w:ascii="Verdana" w:hAnsi="Verdana"/>
          <w:sz w:val="20"/>
          <w:szCs w:val="20"/>
          <w:lang w:val="es-CR"/>
        </w:rPr>
        <w:t>que el 29 de mayo de 1998 vio que la presunta víctima “no podía ni sentarse al extremo que dormía parado porque defecaba sangre”</w:t>
      </w:r>
      <w:r w:rsidR="000F08F9" w:rsidRPr="00395FDF" w:rsidDel="000F08F9">
        <w:rPr>
          <w:vertAlign w:val="superscript"/>
        </w:rPr>
        <w:t xml:space="preserve"> </w:t>
      </w:r>
      <w:r w:rsidR="000F08F9">
        <w:rPr>
          <w:rFonts w:ascii="Verdana" w:hAnsi="Verdana"/>
          <w:sz w:val="20"/>
          <w:szCs w:val="20"/>
          <w:lang w:val="es-CR"/>
        </w:rPr>
        <w:t>(</w:t>
      </w:r>
      <w:r w:rsidR="000F08F9" w:rsidRPr="000E33CE">
        <w:rPr>
          <w:rFonts w:ascii="Verdana" w:hAnsi="Verdana"/>
          <w:i/>
          <w:sz w:val="20"/>
          <w:szCs w:val="20"/>
          <w:lang w:val="es-CR"/>
        </w:rPr>
        <w:t xml:space="preserve">supra </w:t>
      </w:r>
      <w:r w:rsidR="00C2350C">
        <w:rPr>
          <w:rFonts w:ascii="Verdana" w:hAnsi="Verdana"/>
          <w:sz w:val="20"/>
          <w:szCs w:val="20"/>
          <w:lang w:val="es-CR"/>
        </w:rPr>
        <w:t>párr. 82</w:t>
      </w:r>
      <w:r w:rsidR="000F08F9">
        <w:rPr>
          <w:rFonts w:ascii="Verdana" w:hAnsi="Verdana"/>
          <w:sz w:val="20"/>
          <w:szCs w:val="20"/>
          <w:lang w:val="es-CR"/>
        </w:rPr>
        <w:t>)</w:t>
      </w:r>
      <w:r w:rsidRPr="00B15762">
        <w:rPr>
          <w:rFonts w:ascii="Verdana" w:hAnsi="Verdana"/>
          <w:sz w:val="20"/>
          <w:szCs w:val="20"/>
          <w:lang w:val="es-CR"/>
        </w:rPr>
        <w:t>.</w:t>
      </w:r>
    </w:p>
    <w:p w14:paraId="090DD289" w14:textId="77777777" w:rsidR="00DC128C" w:rsidRPr="00DC128C" w:rsidRDefault="00DC128C" w:rsidP="00DC128C">
      <w:pPr>
        <w:pStyle w:val="Prrafodelista"/>
        <w:rPr>
          <w:rFonts w:ascii="Verdana" w:hAnsi="Verdana"/>
          <w:sz w:val="20"/>
          <w:szCs w:val="20"/>
          <w:lang w:val="es-CR"/>
        </w:rPr>
      </w:pPr>
    </w:p>
    <w:p w14:paraId="725286AB" w14:textId="3F0E8112" w:rsidR="00DC128C" w:rsidRDefault="001A2686" w:rsidP="00DC128C">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Pr>
          <w:rFonts w:ascii="Verdana" w:hAnsi="Verdana"/>
          <w:sz w:val="20"/>
          <w:szCs w:val="20"/>
          <w:lang w:val="es-CR"/>
        </w:rPr>
        <w:t>A su vez, la señora Rosa María Mendoza</w:t>
      </w:r>
      <w:r w:rsidR="0071347E" w:rsidRPr="00DC128C">
        <w:rPr>
          <w:rFonts w:ascii="Verdana" w:hAnsi="Verdana"/>
          <w:sz w:val="20"/>
          <w:szCs w:val="20"/>
          <w:lang w:val="es-CR"/>
        </w:rPr>
        <w:t xml:space="preserve">, conviviente de la presunta víctima, también indicó que el señor Valenzuela le contó que el día de su detención: “[...] le taparon la cara con una bolsa plástica con </w:t>
      </w:r>
      <w:proofErr w:type="spellStart"/>
      <w:r w:rsidR="0071347E" w:rsidRPr="00DC128C">
        <w:rPr>
          <w:rFonts w:ascii="Verdana" w:hAnsi="Verdana"/>
          <w:sz w:val="20"/>
          <w:szCs w:val="20"/>
          <w:lang w:val="es-CR"/>
        </w:rPr>
        <w:t>gamezán</w:t>
      </w:r>
      <w:proofErr w:type="spellEnd"/>
      <w:r w:rsidR="0071347E" w:rsidRPr="00DC128C">
        <w:rPr>
          <w:rFonts w:ascii="Verdana" w:hAnsi="Verdana"/>
          <w:sz w:val="20"/>
          <w:szCs w:val="20"/>
          <w:lang w:val="es-CR"/>
        </w:rPr>
        <w:t xml:space="preserve"> para ahogarlo [...] [y que] tenía problemas para defecar [...]”</w:t>
      </w:r>
      <w:r w:rsidR="0071347E" w:rsidRPr="00395FDF">
        <w:rPr>
          <w:vertAlign w:val="superscript"/>
        </w:rPr>
        <w:footnoteReference w:id="150"/>
      </w:r>
      <w:r w:rsidR="0071347E" w:rsidRPr="00DC128C">
        <w:rPr>
          <w:rFonts w:ascii="Verdana" w:hAnsi="Verdana"/>
          <w:sz w:val="20"/>
          <w:szCs w:val="20"/>
          <w:lang w:val="es-CR"/>
        </w:rPr>
        <w:t>.</w:t>
      </w:r>
      <w:r w:rsidR="001E0F2E" w:rsidRPr="00DC128C">
        <w:rPr>
          <w:rFonts w:ascii="Verdana" w:hAnsi="Verdana"/>
          <w:sz w:val="20"/>
          <w:szCs w:val="20"/>
          <w:lang w:val="es-CR"/>
        </w:rPr>
        <w:t xml:space="preserve"> También </w:t>
      </w:r>
      <w:r w:rsidR="0071347E" w:rsidRPr="00DC128C">
        <w:rPr>
          <w:rFonts w:ascii="Verdana" w:hAnsi="Verdana"/>
          <w:sz w:val="20"/>
          <w:szCs w:val="20"/>
          <w:lang w:val="es-CR"/>
        </w:rPr>
        <w:t xml:space="preserve">la </w:t>
      </w:r>
      <w:r w:rsidR="004D364E" w:rsidRPr="00DC128C">
        <w:rPr>
          <w:rFonts w:ascii="Verdana" w:hAnsi="Verdana"/>
          <w:sz w:val="20"/>
          <w:szCs w:val="20"/>
          <w:lang w:val="es-CR"/>
        </w:rPr>
        <w:t xml:space="preserve">madre de la presunta </w:t>
      </w:r>
      <w:proofErr w:type="gramStart"/>
      <w:r w:rsidR="004D364E" w:rsidRPr="00DC128C">
        <w:rPr>
          <w:rFonts w:ascii="Verdana" w:hAnsi="Verdana"/>
          <w:sz w:val="20"/>
          <w:szCs w:val="20"/>
          <w:lang w:val="es-CR"/>
        </w:rPr>
        <w:t>víctima</w:t>
      </w:r>
      <w:r w:rsidR="001E0F2E" w:rsidRPr="00DC128C">
        <w:rPr>
          <w:rFonts w:ascii="Verdana" w:hAnsi="Verdana"/>
          <w:sz w:val="20"/>
          <w:szCs w:val="20"/>
          <w:lang w:val="es-CR"/>
        </w:rPr>
        <w:t>,</w:t>
      </w:r>
      <w:proofErr w:type="gramEnd"/>
      <w:r w:rsidR="0071347E" w:rsidRPr="00DC128C">
        <w:rPr>
          <w:rFonts w:ascii="Verdana" w:hAnsi="Verdana"/>
          <w:sz w:val="20"/>
          <w:szCs w:val="20"/>
          <w:lang w:val="es-CR"/>
        </w:rPr>
        <w:t xml:space="preserve"> indicó</w:t>
      </w:r>
      <w:r w:rsidR="004D364E" w:rsidRPr="00DC128C">
        <w:rPr>
          <w:rFonts w:ascii="Verdana" w:hAnsi="Verdana"/>
          <w:sz w:val="20"/>
          <w:szCs w:val="20"/>
          <w:lang w:val="es-CR"/>
        </w:rPr>
        <w:t xml:space="preserve"> que </w:t>
      </w:r>
      <w:r w:rsidR="0071347E" w:rsidRPr="00DC128C">
        <w:rPr>
          <w:rFonts w:ascii="Verdana" w:hAnsi="Verdana"/>
          <w:sz w:val="20"/>
          <w:szCs w:val="20"/>
          <w:lang w:val="es-CR"/>
        </w:rPr>
        <w:t xml:space="preserve">cuando fue a visitar a </w:t>
      </w:r>
      <w:r w:rsidR="00584353" w:rsidRPr="00DC128C">
        <w:rPr>
          <w:rFonts w:ascii="Verdana" w:hAnsi="Verdana"/>
          <w:sz w:val="20"/>
          <w:szCs w:val="20"/>
          <w:lang w:val="es-CR"/>
        </w:rPr>
        <w:t xml:space="preserve">su hijo </w:t>
      </w:r>
      <w:r w:rsidR="0071347E" w:rsidRPr="00DC128C">
        <w:rPr>
          <w:rFonts w:ascii="Verdana" w:hAnsi="Verdana"/>
          <w:sz w:val="20"/>
          <w:szCs w:val="20"/>
          <w:lang w:val="es-CR"/>
        </w:rPr>
        <w:t>al centro penitenciario</w:t>
      </w:r>
      <w:r w:rsidR="004D364E" w:rsidRPr="00DC128C">
        <w:rPr>
          <w:rFonts w:ascii="Verdana" w:hAnsi="Verdana"/>
          <w:sz w:val="20"/>
          <w:szCs w:val="20"/>
          <w:lang w:val="es-CR"/>
        </w:rPr>
        <w:t xml:space="preserve"> cinco</w:t>
      </w:r>
      <w:r w:rsidR="0071347E" w:rsidRPr="00DC128C">
        <w:rPr>
          <w:rFonts w:ascii="Verdana" w:hAnsi="Verdana"/>
          <w:sz w:val="20"/>
          <w:szCs w:val="20"/>
          <w:lang w:val="es-CR"/>
        </w:rPr>
        <w:t xml:space="preserve"> días después de su captura</w:t>
      </w:r>
      <w:r w:rsidR="007E4BE7">
        <w:rPr>
          <w:rFonts w:ascii="Verdana" w:hAnsi="Verdana"/>
          <w:sz w:val="20"/>
          <w:szCs w:val="20"/>
          <w:lang w:val="es-CR"/>
        </w:rPr>
        <w:t>,</w:t>
      </w:r>
      <w:r w:rsidR="00316086" w:rsidRPr="00DC128C">
        <w:rPr>
          <w:rFonts w:ascii="Verdana" w:hAnsi="Verdana"/>
          <w:sz w:val="20"/>
          <w:szCs w:val="20"/>
          <w:lang w:val="es-CR"/>
        </w:rPr>
        <w:t xml:space="preserve"> este le manifestó </w:t>
      </w:r>
      <w:r w:rsidR="0071347E" w:rsidRPr="00DC128C">
        <w:rPr>
          <w:rFonts w:ascii="Verdana" w:hAnsi="Verdana"/>
          <w:sz w:val="20"/>
          <w:szCs w:val="20"/>
          <w:lang w:val="es-CR"/>
        </w:rPr>
        <w:t>que lo “golpearon en las costillas” y le metieron algo por el recto</w:t>
      </w:r>
      <w:r w:rsidR="0071347E" w:rsidRPr="00395FDF">
        <w:rPr>
          <w:vertAlign w:val="superscript"/>
        </w:rPr>
        <w:footnoteReference w:id="151"/>
      </w:r>
      <w:r w:rsidR="0071347E" w:rsidRPr="00DC128C">
        <w:rPr>
          <w:rFonts w:ascii="Verdana" w:hAnsi="Verdana"/>
          <w:sz w:val="20"/>
          <w:szCs w:val="20"/>
          <w:lang w:val="es-CR"/>
        </w:rPr>
        <w:t>.</w:t>
      </w:r>
    </w:p>
    <w:p w14:paraId="63053119" w14:textId="77777777" w:rsidR="00DC128C" w:rsidRPr="00DC128C" w:rsidRDefault="00DC128C" w:rsidP="00DC128C">
      <w:pPr>
        <w:pStyle w:val="Prrafodelista"/>
        <w:rPr>
          <w:rFonts w:ascii="Verdana" w:hAnsi="Verdana"/>
          <w:sz w:val="20"/>
          <w:szCs w:val="20"/>
          <w:lang w:val="es-CR"/>
        </w:rPr>
      </w:pPr>
    </w:p>
    <w:p w14:paraId="59398A56" w14:textId="77777777" w:rsidR="00DC128C" w:rsidRDefault="00CF414C" w:rsidP="00DC128C">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DC128C">
        <w:rPr>
          <w:rFonts w:ascii="Verdana" w:hAnsi="Verdana"/>
          <w:sz w:val="20"/>
          <w:szCs w:val="20"/>
          <w:lang w:val="es-CR"/>
        </w:rPr>
        <w:t>Además</w:t>
      </w:r>
      <w:r w:rsidR="001E0F2E" w:rsidRPr="00DC128C">
        <w:rPr>
          <w:rFonts w:ascii="Verdana" w:hAnsi="Verdana"/>
          <w:sz w:val="20"/>
          <w:szCs w:val="20"/>
          <w:lang w:val="es-CR"/>
        </w:rPr>
        <w:t>, en el acervo probatorio aportado en el presente caso constan</w:t>
      </w:r>
      <w:r w:rsidRPr="00DC128C">
        <w:rPr>
          <w:rFonts w:ascii="Verdana" w:hAnsi="Verdana"/>
          <w:sz w:val="20"/>
          <w:szCs w:val="20"/>
          <w:lang w:val="es-CR"/>
        </w:rPr>
        <w:t xml:space="preserve"> </w:t>
      </w:r>
      <w:r w:rsidR="00DF1959" w:rsidRPr="00DC128C">
        <w:rPr>
          <w:rFonts w:ascii="Verdana" w:hAnsi="Verdana"/>
          <w:sz w:val="20"/>
          <w:szCs w:val="20"/>
          <w:lang w:val="es-CR"/>
        </w:rPr>
        <w:t>tres</w:t>
      </w:r>
      <w:r w:rsidR="0071347E" w:rsidRPr="00DC128C">
        <w:rPr>
          <w:rFonts w:ascii="Verdana" w:hAnsi="Verdana"/>
          <w:sz w:val="20"/>
          <w:szCs w:val="20"/>
          <w:lang w:val="es-CR"/>
        </w:rPr>
        <w:t xml:space="preserve"> informes confeccionados por </w:t>
      </w:r>
      <w:r w:rsidR="00316086" w:rsidRPr="00DC128C">
        <w:rPr>
          <w:rFonts w:ascii="Verdana" w:hAnsi="Verdana"/>
          <w:sz w:val="20"/>
          <w:szCs w:val="20"/>
          <w:lang w:val="es-CR"/>
        </w:rPr>
        <w:t>médicos</w:t>
      </w:r>
      <w:r w:rsidR="00465F39" w:rsidRPr="00DC128C">
        <w:rPr>
          <w:rFonts w:ascii="Verdana" w:hAnsi="Verdana"/>
          <w:sz w:val="20"/>
          <w:szCs w:val="20"/>
          <w:lang w:val="es-CR"/>
        </w:rPr>
        <w:t xml:space="preserve"> </w:t>
      </w:r>
      <w:r w:rsidR="00DF1959" w:rsidRPr="00DC128C">
        <w:rPr>
          <w:rFonts w:ascii="Verdana" w:hAnsi="Verdana"/>
          <w:sz w:val="20"/>
          <w:szCs w:val="20"/>
          <w:lang w:val="es-CR"/>
        </w:rPr>
        <w:t xml:space="preserve">efectuados siete años después de las presuntas torturas sufridas por el señor Valenzuela en mayo de 1998. Dos de ellos </w:t>
      </w:r>
      <w:r w:rsidR="00465F39" w:rsidRPr="00DC128C">
        <w:rPr>
          <w:rFonts w:ascii="Verdana" w:hAnsi="Verdana"/>
          <w:sz w:val="20"/>
          <w:szCs w:val="20"/>
          <w:lang w:val="es-CR"/>
        </w:rPr>
        <w:t>presentados</w:t>
      </w:r>
      <w:r w:rsidR="00316086" w:rsidRPr="00DC128C">
        <w:rPr>
          <w:rFonts w:ascii="Verdana" w:hAnsi="Verdana"/>
          <w:sz w:val="20"/>
          <w:szCs w:val="20"/>
          <w:lang w:val="es-CR"/>
        </w:rPr>
        <w:t xml:space="preserve"> durante el trámite ante la Comisión</w:t>
      </w:r>
      <w:r w:rsidR="001E0F2E" w:rsidRPr="00DC128C">
        <w:rPr>
          <w:rFonts w:ascii="Verdana" w:hAnsi="Verdana"/>
          <w:sz w:val="20"/>
          <w:szCs w:val="20"/>
          <w:lang w:val="es-CR"/>
        </w:rPr>
        <w:t>.</w:t>
      </w:r>
      <w:r w:rsidRPr="00DC128C">
        <w:rPr>
          <w:rFonts w:ascii="Verdana" w:hAnsi="Verdana"/>
          <w:sz w:val="20"/>
          <w:szCs w:val="20"/>
          <w:lang w:val="es-CR"/>
        </w:rPr>
        <w:t xml:space="preserve"> </w:t>
      </w:r>
      <w:r w:rsidR="004D364E" w:rsidRPr="00DC128C">
        <w:rPr>
          <w:rFonts w:ascii="Verdana" w:hAnsi="Verdana"/>
          <w:sz w:val="20"/>
          <w:szCs w:val="20"/>
          <w:lang w:val="es-CR"/>
        </w:rPr>
        <w:t xml:space="preserve">En primer lugar, </w:t>
      </w:r>
      <w:r w:rsidR="00316086" w:rsidRPr="00DC128C">
        <w:rPr>
          <w:rFonts w:ascii="Verdana" w:hAnsi="Verdana"/>
          <w:sz w:val="20"/>
          <w:szCs w:val="20"/>
          <w:lang w:val="es-CR"/>
        </w:rPr>
        <w:t xml:space="preserve">el </w:t>
      </w:r>
      <w:r w:rsidR="00984AC6" w:rsidRPr="00DC128C">
        <w:rPr>
          <w:rFonts w:ascii="Verdana" w:hAnsi="Verdana"/>
          <w:sz w:val="20"/>
          <w:szCs w:val="20"/>
          <w:lang w:val="es-CR"/>
        </w:rPr>
        <w:t xml:space="preserve">certificado </w:t>
      </w:r>
      <w:r w:rsidR="00316086" w:rsidRPr="00DC128C">
        <w:rPr>
          <w:rFonts w:ascii="Verdana" w:hAnsi="Verdana"/>
          <w:sz w:val="20"/>
          <w:szCs w:val="20"/>
          <w:lang w:val="es-CR"/>
        </w:rPr>
        <w:t xml:space="preserve">médico de </w:t>
      </w:r>
      <w:r w:rsidR="0071347E" w:rsidRPr="00DC128C">
        <w:rPr>
          <w:rFonts w:ascii="Verdana" w:hAnsi="Verdana"/>
          <w:sz w:val="20"/>
          <w:szCs w:val="20"/>
          <w:lang w:val="es-CR"/>
        </w:rPr>
        <w:t xml:space="preserve">Edna Karina Vaquerano Martínez, emitido el 15 de junio de 2005, </w:t>
      </w:r>
      <w:r w:rsidR="00316086" w:rsidRPr="00DC128C">
        <w:rPr>
          <w:rFonts w:ascii="Verdana" w:hAnsi="Verdana"/>
          <w:sz w:val="20"/>
          <w:szCs w:val="20"/>
          <w:lang w:val="es-CR"/>
        </w:rPr>
        <w:t xml:space="preserve">en el cual </w:t>
      </w:r>
      <w:r w:rsidR="0071347E" w:rsidRPr="00DC128C">
        <w:rPr>
          <w:rFonts w:ascii="Verdana" w:hAnsi="Verdana"/>
          <w:sz w:val="20"/>
          <w:szCs w:val="20"/>
          <w:lang w:val="es-CR"/>
        </w:rPr>
        <w:t>c</w:t>
      </w:r>
      <w:r w:rsidR="00395FDF" w:rsidRPr="00DC128C">
        <w:rPr>
          <w:rFonts w:ascii="Verdana" w:hAnsi="Verdana"/>
          <w:sz w:val="20"/>
          <w:szCs w:val="20"/>
          <w:lang w:val="es-CR"/>
        </w:rPr>
        <w:t>oncluyó que el señor Valenzuela</w:t>
      </w:r>
      <w:r w:rsidR="00465F39" w:rsidRPr="00DC128C">
        <w:rPr>
          <w:rFonts w:ascii="Verdana" w:hAnsi="Verdana"/>
          <w:sz w:val="20"/>
          <w:szCs w:val="20"/>
          <w:lang w:val="es-CR"/>
        </w:rPr>
        <w:t xml:space="preserve"> “</w:t>
      </w:r>
      <w:r w:rsidR="0071347E" w:rsidRPr="00DC128C">
        <w:rPr>
          <w:rFonts w:ascii="Verdana" w:hAnsi="Verdana"/>
          <w:sz w:val="20"/>
          <w:szCs w:val="20"/>
          <w:lang w:val="es-CR"/>
        </w:rPr>
        <w:t>presenta[</w:t>
      </w:r>
      <w:proofErr w:type="spellStart"/>
      <w:r w:rsidR="0071347E" w:rsidRPr="00DC128C">
        <w:rPr>
          <w:rFonts w:ascii="Verdana" w:hAnsi="Verdana"/>
          <w:sz w:val="20"/>
          <w:szCs w:val="20"/>
          <w:lang w:val="es-CR"/>
        </w:rPr>
        <w:t>ba</w:t>
      </w:r>
      <w:proofErr w:type="spellEnd"/>
      <w:r w:rsidR="0071347E" w:rsidRPr="00DC128C">
        <w:rPr>
          <w:rFonts w:ascii="Verdana" w:hAnsi="Verdana"/>
          <w:sz w:val="20"/>
          <w:szCs w:val="20"/>
          <w:lang w:val="es-CR"/>
        </w:rPr>
        <w:t>] un examen mental acorde a una persona que ha vivido tortura, malos tratos y violencia”</w:t>
      </w:r>
      <w:r w:rsidR="0071347E" w:rsidRPr="00395FDF">
        <w:rPr>
          <w:vertAlign w:val="superscript"/>
        </w:rPr>
        <w:footnoteReference w:id="152"/>
      </w:r>
      <w:r w:rsidR="00316086" w:rsidRPr="00DC128C">
        <w:rPr>
          <w:rFonts w:ascii="Verdana" w:hAnsi="Verdana"/>
          <w:sz w:val="20"/>
          <w:szCs w:val="20"/>
          <w:lang w:val="es-CR"/>
        </w:rPr>
        <w:t>.</w:t>
      </w:r>
      <w:r w:rsidR="004D364E" w:rsidRPr="00DC128C">
        <w:rPr>
          <w:rFonts w:ascii="Verdana" w:hAnsi="Verdana"/>
          <w:sz w:val="20"/>
          <w:szCs w:val="20"/>
          <w:lang w:val="es-CR"/>
        </w:rPr>
        <w:t xml:space="preserve"> En segundo lugar, </w:t>
      </w:r>
      <w:r w:rsidR="00316086" w:rsidRPr="00DC128C">
        <w:rPr>
          <w:rFonts w:ascii="Verdana" w:hAnsi="Verdana"/>
          <w:sz w:val="20"/>
          <w:szCs w:val="20"/>
          <w:lang w:val="es-CR"/>
        </w:rPr>
        <w:t xml:space="preserve">el peritaje psicológico de </w:t>
      </w:r>
      <w:r w:rsidR="0071347E" w:rsidRPr="00DC128C">
        <w:rPr>
          <w:rFonts w:ascii="Verdana" w:hAnsi="Verdana"/>
          <w:sz w:val="20"/>
          <w:szCs w:val="20"/>
          <w:lang w:val="es-CR"/>
        </w:rPr>
        <w:t xml:space="preserve">Juan Cristóbal Aldana Alfaro, </w:t>
      </w:r>
      <w:r w:rsidR="00316086" w:rsidRPr="00DC128C">
        <w:rPr>
          <w:rFonts w:ascii="Verdana" w:hAnsi="Verdana"/>
          <w:sz w:val="20"/>
          <w:szCs w:val="20"/>
          <w:lang w:val="es-CR"/>
        </w:rPr>
        <w:t>en el cual</w:t>
      </w:r>
      <w:r w:rsidR="0071347E" w:rsidRPr="00DC128C">
        <w:rPr>
          <w:rFonts w:ascii="Verdana" w:hAnsi="Verdana"/>
          <w:sz w:val="20"/>
          <w:szCs w:val="20"/>
          <w:lang w:val="es-CR"/>
        </w:rPr>
        <w:t xml:space="preserve"> concluyó que “Tirso muestra las características de una persona torturada tanto desde el punto de vista físico y psicológico”, mostrando “cambios metabólicos y trastornos somáticos […] disfunciones sexuales que son comunes </w:t>
      </w:r>
      <w:r w:rsidR="005C364F">
        <w:rPr>
          <w:rFonts w:ascii="Verdana" w:hAnsi="Verdana"/>
          <w:sz w:val="20"/>
          <w:szCs w:val="20"/>
          <w:lang w:val="es-CR"/>
        </w:rPr>
        <w:t>en</w:t>
      </w:r>
      <w:r w:rsidR="005C364F" w:rsidRPr="00DC128C">
        <w:rPr>
          <w:rFonts w:ascii="Verdana" w:hAnsi="Verdana"/>
          <w:sz w:val="20"/>
          <w:szCs w:val="20"/>
          <w:lang w:val="es-CR"/>
        </w:rPr>
        <w:t xml:space="preserve"> </w:t>
      </w:r>
      <w:r w:rsidR="0071347E" w:rsidRPr="00DC128C">
        <w:rPr>
          <w:rFonts w:ascii="Verdana" w:hAnsi="Verdana"/>
          <w:sz w:val="20"/>
          <w:szCs w:val="20"/>
          <w:lang w:val="es-CR"/>
        </w:rPr>
        <w:t>personas torturada</w:t>
      </w:r>
      <w:r w:rsidR="00316086" w:rsidRPr="00DC128C">
        <w:rPr>
          <w:rFonts w:ascii="Verdana" w:hAnsi="Verdana"/>
          <w:sz w:val="20"/>
          <w:szCs w:val="20"/>
          <w:lang w:val="es-CR"/>
        </w:rPr>
        <w:t>s, especialmente que han sufrido</w:t>
      </w:r>
      <w:r w:rsidR="0071347E" w:rsidRPr="00DC128C">
        <w:rPr>
          <w:rFonts w:ascii="Verdana" w:hAnsi="Verdana"/>
          <w:sz w:val="20"/>
          <w:szCs w:val="20"/>
          <w:lang w:val="es-CR"/>
        </w:rPr>
        <w:t xml:space="preserve"> tortura sexual o violación”</w:t>
      </w:r>
      <w:r w:rsidR="0071347E" w:rsidRPr="00395FDF">
        <w:rPr>
          <w:vertAlign w:val="superscript"/>
        </w:rPr>
        <w:footnoteReference w:id="153"/>
      </w:r>
      <w:r w:rsidR="0071347E" w:rsidRPr="00DC128C">
        <w:rPr>
          <w:rFonts w:ascii="Verdana" w:hAnsi="Verdana"/>
          <w:sz w:val="20"/>
          <w:szCs w:val="20"/>
          <w:lang w:val="es-CR"/>
        </w:rPr>
        <w:t>.</w:t>
      </w:r>
      <w:r w:rsidR="000649CF" w:rsidRPr="00DC128C">
        <w:rPr>
          <w:rFonts w:ascii="Verdana" w:hAnsi="Verdana"/>
          <w:sz w:val="20"/>
          <w:szCs w:val="20"/>
          <w:lang w:val="es-CR"/>
        </w:rPr>
        <w:t xml:space="preserve"> </w:t>
      </w:r>
      <w:r w:rsidR="001E0F2E" w:rsidRPr="00DC128C">
        <w:rPr>
          <w:rFonts w:ascii="Verdana" w:hAnsi="Verdana"/>
          <w:sz w:val="20"/>
          <w:szCs w:val="20"/>
          <w:lang w:val="es-CR"/>
        </w:rPr>
        <w:t>No obstante, frente</w:t>
      </w:r>
      <w:r w:rsidR="0071347E" w:rsidRPr="00DC128C">
        <w:rPr>
          <w:rFonts w:ascii="Verdana" w:hAnsi="Verdana"/>
          <w:sz w:val="20"/>
          <w:szCs w:val="20"/>
          <w:lang w:val="es-CR"/>
        </w:rPr>
        <w:t xml:space="preserve"> a estos informes consta el</w:t>
      </w:r>
      <w:r w:rsidR="000C356F" w:rsidRPr="00DC128C">
        <w:rPr>
          <w:rFonts w:ascii="Verdana" w:hAnsi="Verdana"/>
          <w:sz w:val="20"/>
          <w:szCs w:val="20"/>
          <w:lang w:val="es-CR"/>
        </w:rPr>
        <w:t xml:space="preserve"> examen médico</w:t>
      </w:r>
      <w:r w:rsidR="0071347E" w:rsidRPr="00DC128C">
        <w:rPr>
          <w:rFonts w:ascii="Verdana" w:hAnsi="Verdana"/>
          <w:sz w:val="20"/>
          <w:szCs w:val="20"/>
          <w:lang w:val="es-CR"/>
        </w:rPr>
        <w:t xml:space="preserve"> </w:t>
      </w:r>
      <w:r w:rsidR="001E0F2E" w:rsidRPr="00DC128C">
        <w:rPr>
          <w:rFonts w:ascii="Verdana" w:hAnsi="Verdana"/>
          <w:sz w:val="20"/>
          <w:szCs w:val="20"/>
          <w:lang w:val="es-CR"/>
        </w:rPr>
        <w:t xml:space="preserve">emitido </w:t>
      </w:r>
      <w:r w:rsidR="001E0F2E" w:rsidRPr="00DC128C">
        <w:rPr>
          <w:rFonts w:ascii="Verdana" w:hAnsi="Verdana"/>
          <w:sz w:val="20"/>
          <w:szCs w:val="20"/>
          <w:lang w:val="es-CR"/>
        </w:rPr>
        <w:lastRenderedPageBreak/>
        <w:t xml:space="preserve">el </w:t>
      </w:r>
      <w:r w:rsidR="0071347E" w:rsidRPr="00DC128C">
        <w:rPr>
          <w:rFonts w:ascii="Verdana" w:hAnsi="Verdana"/>
          <w:sz w:val="20"/>
          <w:szCs w:val="20"/>
          <w:lang w:val="es-CR"/>
        </w:rPr>
        <w:t xml:space="preserve">25 de febrero de 2005 </w:t>
      </w:r>
      <w:r w:rsidR="00316086" w:rsidRPr="00DC128C">
        <w:rPr>
          <w:rFonts w:ascii="Verdana" w:hAnsi="Verdana"/>
          <w:sz w:val="20"/>
          <w:szCs w:val="20"/>
          <w:lang w:val="es-CR"/>
        </w:rPr>
        <w:t xml:space="preserve">por </w:t>
      </w:r>
      <w:r w:rsidR="0071347E" w:rsidRPr="00DC128C">
        <w:rPr>
          <w:rFonts w:ascii="Verdana" w:hAnsi="Verdana"/>
          <w:sz w:val="20"/>
          <w:szCs w:val="20"/>
          <w:lang w:val="es-CR"/>
        </w:rPr>
        <w:t xml:space="preserve">Carlos Guillermo </w:t>
      </w:r>
      <w:r w:rsidR="00E65D97" w:rsidRPr="00DC128C">
        <w:rPr>
          <w:rFonts w:ascii="Verdana" w:hAnsi="Verdana"/>
          <w:sz w:val="20"/>
          <w:szCs w:val="20"/>
          <w:lang w:val="es-CR"/>
        </w:rPr>
        <w:t xml:space="preserve">Quijada </w:t>
      </w:r>
      <w:r w:rsidR="0071347E" w:rsidRPr="00DC128C">
        <w:rPr>
          <w:rFonts w:ascii="Verdana" w:hAnsi="Verdana"/>
          <w:sz w:val="20"/>
          <w:szCs w:val="20"/>
          <w:lang w:val="es-CR"/>
        </w:rPr>
        <w:t xml:space="preserve">Sandoval, coordinador del Servicios Médicos del Sistema Penitenciario, </w:t>
      </w:r>
      <w:r w:rsidR="001E0F2E" w:rsidRPr="00DC128C">
        <w:rPr>
          <w:rFonts w:ascii="Verdana" w:hAnsi="Verdana"/>
          <w:sz w:val="20"/>
          <w:szCs w:val="20"/>
          <w:lang w:val="es-CR"/>
        </w:rPr>
        <w:t xml:space="preserve">en el cual </w:t>
      </w:r>
      <w:r w:rsidR="004D364E" w:rsidRPr="00DC128C">
        <w:rPr>
          <w:rFonts w:ascii="Verdana" w:hAnsi="Verdana"/>
          <w:sz w:val="20"/>
          <w:szCs w:val="20"/>
          <w:lang w:val="es-CR"/>
        </w:rPr>
        <w:t xml:space="preserve">concluyó </w:t>
      </w:r>
      <w:r w:rsidR="0071347E" w:rsidRPr="00DC128C">
        <w:rPr>
          <w:rFonts w:ascii="Verdana" w:hAnsi="Verdana"/>
          <w:sz w:val="20"/>
          <w:szCs w:val="20"/>
          <w:lang w:val="es-CR"/>
        </w:rPr>
        <w:t xml:space="preserve">lo contrario, ya que </w:t>
      </w:r>
      <w:r w:rsidR="007D1CC9" w:rsidRPr="00DC128C">
        <w:rPr>
          <w:rFonts w:ascii="Verdana" w:hAnsi="Verdana"/>
          <w:sz w:val="20"/>
          <w:szCs w:val="20"/>
          <w:lang w:val="es-CR"/>
        </w:rPr>
        <w:t xml:space="preserve">estableció </w:t>
      </w:r>
      <w:r w:rsidR="001E0F2E" w:rsidRPr="00DC128C">
        <w:rPr>
          <w:rFonts w:ascii="Verdana" w:hAnsi="Verdana"/>
          <w:sz w:val="20"/>
          <w:szCs w:val="20"/>
          <w:lang w:val="es-CR"/>
        </w:rPr>
        <w:t xml:space="preserve">que </w:t>
      </w:r>
      <w:r w:rsidR="0071347E" w:rsidRPr="00DC128C">
        <w:rPr>
          <w:rFonts w:ascii="Verdana" w:hAnsi="Verdana"/>
          <w:sz w:val="20"/>
          <w:szCs w:val="20"/>
          <w:lang w:val="es-CR"/>
        </w:rPr>
        <w:t>“el estado físico como mental del paciente no presenta ninguna evidencia de agresión o maltrato físico”</w:t>
      </w:r>
      <w:r w:rsidR="0071347E" w:rsidRPr="00395FDF">
        <w:rPr>
          <w:vertAlign w:val="superscript"/>
        </w:rPr>
        <w:footnoteReference w:id="154"/>
      </w:r>
      <w:r w:rsidR="00984AC6" w:rsidRPr="00DC128C">
        <w:rPr>
          <w:rFonts w:ascii="Verdana" w:hAnsi="Verdana"/>
          <w:sz w:val="20"/>
          <w:szCs w:val="20"/>
          <w:lang w:val="es-CR"/>
        </w:rPr>
        <w:t xml:space="preserve">, </w:t>
      </w:r>
      <w:r w:rsidR="005A0D28" w:rsidRPr="00DC128C">
        <w:rPr>
          <w:rFonts w:ascii="Verdana" w:hAnsi="Verdana"/>
          <w:sz w:val="20"/>
          <w:szCs w:val="20"/>
          <w:lang w:val="es-CR"/>
        </w:rPr>
        <w:t>e hizo constar ante una pregunta formulada a la presunta víctima, que a</w:t>
      </w:r>
      <w:r w:rsidR="00984AC6" w:rsidRPr="00DC128C">
        <w:rPr>
          <w:rFonts w:ascii="Verdana" w:hAnsi="Verdana"/>
          <w:sz w:val="20"/>
          <w:szCs w:val="20"/>
          <w:lang w:val="es-CR"/>
        </w:rPr>
        <w:t xml:space="preserve"> la fecha del examen médico el señor Valenzuela manifestó </w:t>
      </w:r>
      <w:r w:rsidR="00095C67" w:rsidRPr="00DC128C">
        <w:rPr>
          <w:rFonts w:ascii="Verdana" w:hAnsi="Verdana"/>
          <w:sz w:val="20"/>
          <w:szCs w:val="20"/>
          <w:lang w:val="es-CR"/>
        </w:rPr>
        <w:t>“</w:t>
      </w:r>
      <w:r w:rsidR="00984AC6" w:rsidRPr="00DC128C">
        <w:rPr>
          <w:rFonts w:ascii="Verdana" w:hAnsi="Verdana"/>
          <w:sz w:val="20"/>
          <w:szCs w:val="20"/>
          <w:lang w:val="es-CR"/>
        </w:rPr>
        <w:t>no haber</w:t>
      </w:r>
      <w:r w:rsidR="0071347E" w:rsidRPr="00DC128C">
        <w:rPr>
          <w:rFonts w:ascii="Verdana" w:hAnsi="Verdana"/>
          <w:sz w:val="20"/>
          <w:szCs w:val="20"/>
          <w:lang w:val="es-CR"/>
        </w:rPr>
        <w:t xml:space="preserve"> </w:t>
      </w:r>
      <w:r w:rsidR="00984AC6" w:rsidRPr="00DC128C">
        <w:rPr>
          <w:rFonts w:ascii="Verdana" w:hAnsi="Verdana"/>
          <w:sz w:val="20"/>
          <w:szCs w:val="20"/>
          <w:lang w:val="es-CR"/>
        </w:rPr>
        <w:t>sufrido agresión ni maltrato alguno</w:t>
      </w:r>
      <w:r w:rsidR="00095C67" w:rsidRPr="00DC128C">
        <w:rPr>
          <w:rFonts w:ascii="Verdana" w:hAnsi="Verdana"/>
          <w:sz w:val="20"/>
          <w:szCs w:val="20"/>
          <w:lang w:val="es-CR"/>
        </w:rPr>
        <w:t>”</w:t>
      </w:r>
      <w:r w:rsidR="00984AC6" w:rsidRPr="00DC128C">
        <w:rPr>
          <w:rFonts w:ascii="Verdana" w:hAnsi="Verdana"/>
          <w:sz w:val="20"/>
          <w:szCs w:val="20"/>
          <w:lang w:val="es-CR"/>
        </w:rPr>
        <w:t>.</w:t>
      </w:r>
      <w:r w:rsidR="005A0D28" w:rsidRPr="00DC128C">
        <w:rPr>
          <w:rFonts w:ascii="Verdana" w:hAnsi="Verdana"/>
          <w:sz w:val="20"/>
          <w:szCs w:val="20"/>
          <w:lang w:val="es-CR"/>
        </w:rPr>
        <w:t xml:space="preserve"> Además</w:t>
      </w:r>
      <w:r w:rsidR="00095C67" w:rsidRPr="00DC128C">
        <w:rPr>
          <w:rFonts w:ascii="Verdana" w:hAnsi="Verdana"/>
          <w:sz w:val="20"/>
          <w:szCs w:val="20"/>
          <w:lang w:val="es-CR"/>
        </w:rPr>
        <w:t>, si bien dicho médico hace una descripción del estado emocional de la presunta víctima, no se desprende que le haya realizado un examen psicológico o psiquiátrico.</w:t>
      </w:r>
    </w:p>
    <w:p w14:paraId="0F7CE18F" w14:textId="77777777" w:rsidR="00DC128C" w:rsidRDefault="00DC128C" w:rsidP="00DC128C">
      <w:pPr>
        <w:pStyle w:val="Prrafodelista"/>
        <w:autoSpaceDE w:val="0"/>
        <w:autoSpaceDN w:val="0"/>
        <w:adjustRightInd w:val="0"/>
        <w:spacing w:after="0" w:line="240" w:lineRule="auto"/>
        <w:ind w:left="0"/>
        <w:jc w:val="both"/>
        <w:rPr>
          <w:rFonts w:ascii="Verdana" w:hAnsi="Verdana"/>
          <w:sz w:val="20"/>
          <w:szCs w:val="20"/>
          <w:lang w:val="es-CR"/>
        </w:rPr>
      </w:pPr>
    </w:p>
    <w:p w14:paraId="44E5D608" w14:textId="77777777" w:rsidR="00DC128C" w:rsidRPr="00DC128C" w:rsidRDefault="00DF1959" w:rsidP="00DC128C">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DC128C">
        <w:rPr>
          <w:rFonts w:ascii="Verdana" w:hAnsi="Verdana"/>
          <w:sz w:val="20"/>
          <w:szCs w:val="20"/>
          <w:lang w:val="es-CR"/>
        </w:rPr>
        <w:t>E</w:t>
      </w:r>
      <w:r w:rsidR="00E54F55" w:rsidRPr="00DC128C">
        <w:rPr>
          <w:rFonts w:ascii="Verdana" w:hAnsi="Verdana"/>
          <w:sz w:val="20"/>
          <w:szCs w:val="20"/>
          <w:lang w:val="es-CR"/>
        </w:rPr>
        <w:t xml:space="preserve">sta Corte se permite recordar lo ya señalado en su jurisprudencia </w:t>
      </w:r>
      <w:r w:rsidR="005C364F">
        <w:rPr>
          <w:rFonts w:ascii="Verdana" w:hAnsi="Verdana"/>
          <w:sz w:val="20"/>
          <w:szCs w:val="20"/>
          <w:lang w:val="es-CR"/>
        </w:rPr>
        <w:t xml:space="preserve">respecto a </w:t>
      </w:r>
      <w:r w:rsidR="00E54F55" w:rsidRPr="00DC128C">
        <w:rPr>
          <w:rFonts w:ascii="Verdana" w:hAnsi="Verdana"/>
          <w:sz w:val="20"/>
          <w:szCs w:val="20"/>
          <w:lang w:val="es-CR"/>
        </w:rPr>
        <w:t>que “la ausencia de señales físicas no implica que no se ha</w:t>
      </w:r>
      <w:r w:rsidR="005C364F">
        <w:rPr>
          <w:rFonts w:ascii="Verdana" w:hAnsi="Verdana"/>
          <w:sz w:val="20"/>
          <w:szCs w:val="20"/>
          <w:lang w:val="es-CR"/>
        </w:rPr>
        <w:t>[ya]</w:t>
      </w:r>
      <w:r w:rsidR="00E54F55" w:rsidRPr="00DC128C">
        <w:rPr>
          <w:rFonts w:ascii="Verdana" w:hAnsi="Verdana"/>
          <w:sz w:val="20"/>
          <w:szCs w:val="20"/>
          <w:lang w:val="es-CR"/>
        </w:rPr>
        <w:t>n producido maltratos, ya que es frecuente que estos actos de violencia contra las personas no dejen marcas ni cicatrices permanentes”</w:t>
      </w:r>
      <w:r w:rsidR="00E54F55" w:rsidRPr="00584353">
        <w:rPr>
          <w:rFonts w:ascii="Verdana" w:hAnsi="Verdana"/>
          <w:sz w:val="20"/>
          <w:szCs w:val="20"/>
          <w:vertAlign w:val="superscript"/>
          <w:lang w:val="es-CR"/>
        </w:rPr>
        <w:footnoteReference w:id="155"/>
      </w:r>
      <w:r w:rsidR="00E54F55" w:rsidRPr="00DC128C">
        <w:rPr>
          <w:rFonts w:ascii="Verdana" w:hAnsi="Verdana"/>
          <w:sz w:val="20"/>
          <w:szCs w:val="20"/>
          <w:lang w:val="es-CR"/>
        </w:rPr>
        <w:t>.</w:t>
      </w:r>
      <w:r w:rsidR="00B371C2" w:rsidRPr="00DC128C">
        <w:rPr>
          <w:rFonts w:ascii="Verdana" w:hAnsi="Verdana"/>
          <w:sz w:val="20"/>
          <w:szCs w:val="20"/>
          <w:lang w:val="es-CR"/>
        </w:rPr>
        <w:t xml:space="preserve"> </w:t>
      </w:r>
      <w:r w:rsidR="005A0D28" w:rsidRPr="00DC128C">
        <w:rPr>
          <w:rFonts w:ascii="Verdana" w:hAnsi="Verdana"/>
          <w:sz w:val="20"/>
          <w:szCs w:val="20"/>
          <w:lang w:val="es-CR"/>
        </w:rPr>
        <w:t xml:space="preserve">En consonancia con lo anterior, </w:t>
      </w:r>
      <w:r w:rsidR="001A3CBF" w:rsidRPr="00DC128C">
        <w:rPr>
          <w:rFonts w:ascii="Verdana" w:hAnsi="Verdana"/>
          <w:sz w:val="20"/>
          <w:szCs w:val="20"/>
          <w:lang w:val="es-CR"/>
        </w:rPr>
        <w:t>la Corte considera relevante val</w:t>
      </w:r>
      <w:r w:rsidR="005E2B01" w:rsidRPr="00DC128C">
        <w:rPr>
          <w:rFonts w:ascii="Verdana" w:hAnsi="Verdana"/>
          <w:sz w:val="20"/>
          <w:szCs w:val="20"/>
          <w:lang w:val="es-CR"/>
        </w:rPr>
        <w:t>orar los certificados médico</w:t>
      </w:r>
      <w:r w:rsidR="005C364F">
        <w:rPr>
          <w:rFonts w:ascii="Verdana" w:hAnsi="Verdana"/>
          <w:sz w:val="20"/>
          <w:szCs w:val="20"/>
          <w:lang w:val="es-CR"/>
        </w:rPr>
        <w:t>s</w:t>
      </w:r>
      <w:r w:rsidR="005E2B01" w:rsidRPr="00DC128C">
        <w:rPr>
          <w:rFonts w:ascii="Verdana" w:hAnsi="Verdana"/>
          <w:sz w:val="20"/>
          <w:szCs w:val="20"/>
          <w:lang w:val="es-CR"/>
        </w:rPr>
        <w:t xml:space="preserve"> y psicológico</w:t>
      </w:r>
      <w:r w:rsidR="005C364F">
        <w:rPr>
          <w:rFonts w:ascii="Verdana" w:hAnsi="Verdana"/>
          <w:sz w:val="20"/>
          <w:szCs w:val="20"/>
          <w:lang w:val="es-CR"/>
        </w:rPr>
        <w:t>s</w:t>
      </w:r>
      <w:r w:rsidR="001A3CBF" w:rsidRPr="00DC128C">
        <w:rPr>
          <w:rFonts w:ascii="Verdana" w:hAnsi="Verdana"/>
          <w:sz w:val="20"/>
          <w:szCs w:val="20"/>
          <w:lang w:val="es-CR"/>
        </w:rPr>
        <w:t xml:space="preserve"> emitidos </w:t>
      </w:r>
      <w:r w:rsidR="001E0F2E" w:rsidRPr="00DC128C">
        <w:rPr>
          <w:rFonts w:ascii="Verdana" w:hAnsi="Verdana"/>
          <w:sz w:val="20"/>
          <w:szCs w:val="20"/>
          <w:lang w:val="es-CR"/>
        </w:rPr>
        <w:t xml:space="preserve">el 15 de junio de 2005 por </w:t>
      </w:r>
      <w:r w:rsidR="005E2B01" w:rsidRPr="00DC128C">
        <w:rPr>
          <w:rFonts w:ascii="Verdana" w:hAnsi="Verdana"/>
          <w:sz w:val="20"/>
          <w:szCs w:val="20"/>
          <w:lang w:val="es-CR"/>
        </w:rPr>
        <w:t>la señora Vaquerano Martínez y el señor Aldana Alfaro</w:t>
      </w:r>
      <w:r w:rsidR="005A0D28" w:rsidRPr="00DC128C">
        <w:rPr>
          <w:rFonts w:ascii="Verdana" w:hAnsi="Verdana"/>
          <w:sz w:val="20"/>
          <w:szCs w:val="20"/>
          <w:lang w:val="es-CR"/>
        </w:rPr>
        <w:t xml:space="preserve">, los cuales son consistentes con el relato de la propia víctima y los otros testigos y familiares </w:t>
      </w:r>
      <w:r w:rsidR="00095C67" w:rsidRPr="00DC128C">
        <w:rPr>
          <w:rFonts w:ascii="Verdana" w:hAnsi="Verdana"/>
          <w:sz w:val="20"/>
          <w:szCs w:val="20"/>
          <w:lang w:val="es-CR"/>
        </w:rPr>
        <w:t>que lo vieron, en tanto que</w:t>
      </w:r>
      <w:r w:rsidR="005A0D28" w:rsidRPr="00DC128C">
        <w:rPr>
          <w:rFonts w:ascii="Verdana" w:hAnsi="Verdana"/>
          <w:sz w:val="20"/>
          <w:szCs w:val="20"/>
          <w:lang w:val="es-CR"/>
        </w:rPr>
        <w:t xml:space="preserve"> concluyen que el señor Valenzuela por su condición mental y psicológica, “presenta características de una persona torturada”</w:t>
      </w:r>
      <w:r w:rsidRPr="00DC128C">
        <w:rPr>
          <w:rFonts w:ascii="Verdana" w:hAnsi="Verdana"/>
          <w:sz w:val="20"/>
          <w:szCs w:val="20"/>
          <w:lang w:val="es-CR"/>
        </w:rPr>
        <w:t>.</w:t>
      </w:r>
    </w:p>
    <w:p w14:paraId="4050DBC1" w14:textId="77777777" w:rsidR="00DC128C" w:rsidRDefault="00DC128C" w:rsidP="00DC128C">
      <w:pPr>
        <w:pStyle w:val="Prrafodelista"/>
        <w:autoSpaceDE w:val="0"/>
        <w:autoSpaceDN w:val="0"/>
        <w:adjustRightInd w:val="0"/>
        <w:spacing w:after="0" w:line="240" w:lineRule="auto"/>
        <w:ind w:left="0"/>
        <w:jc w:val="both"/>
        <w:rPr>
          <w:rFonts w:ascii="Verdana" w:hAnsi="Verdana"/>
          <w:sz w:val="20"/>
          <w:szCs w:val="20"/>
          <w:lang w:val="es-CR"/>
        </w:rPr>
      </w:pPr>
    </w:p>
    <w:p w14:paraId="790B55B3" w14:textId="77777777" w:rsidR="00DC128C" w:rsidRDefault="00452292" w:rsidP="00DC128C">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DC128C">
        <w:rPr>
          <w:rFonts w:ascii="Verdana" w:hAnsi="Verdana"/>
          <w:sz w:val="20"/>
          <w:szCs w:val="20"/>
          <w:lang w:val="es-CR"/>
        </w:rPr>
        <w:t>De lo expuesto, queda acreditado que el señor Valenzuela sufrió una serie de actos de violencia en el m</w:t>
      </w:r>
      <w:r w:rsidR="007D1CC9" w:rsidRPr="00DC128C">
        <w:rPr>
          <w:rFonts w:ascii="Verdana" w:hAnsi="Verdana"/>
          <w:sz w:val="20"/>
          <w:szCs w:val="20"/>
          <w:lang w:val="es-CR"/>
        </w:rPr>
        <w:t xml:space="preserve">arco de su detención, cuando </w:t>
      </w:r>
      <w:r w:rsidRPr="00DC128C">
        <w:rPr>
          <w:rFonts w:ascii="Verdana" w:hAnsi="Verdana"/>
          <w:sz w:val="20"/>
          <w:szCs w:val="20"/>
          <w:lang w:val="es-CR"/>
        </w:rPr>
        <w:t>estaba bajo custodia del Estado</w:t>
      </w:r>
      <w:r w:rsidR="001E0F2E" w:rsidRPr="00DC128C">
        <w:rPr>
          <w:rFonts w:ascii="Verdana" w:hAnsi="Verdana"/>
          <w:sz w:val="20"/>
          <w:szCs w:val="20"/>
          <w:lang w:val="es-CR"/>
        </w:rPr>
        <w:t xml:space="preserve">. Por lo que corresponde </w:t>
      </w:r>
      <w:r w:rsidR="00EE0406" w:rsidRPr="00DC128C">
        <w:rPr>
          <w:rFonts w:ascii="Verdana" w:hAnsi="Verdana"/>
          <w:sz w:val="20"/>
          <w:szCs w:val="20"/>
          <w:lang w:val="es-CR"/>
        </w:rPr>
        <w:t xml:space="preserve">a este Tribunal </w:t>
      </w:r>
      <w:r w:rsidR="001E0F2E" w:rsidRPr="00DC128C">
        <w:rPr>
          <w:rFonts w:ascii="Verdana" w:hAnsi="Verdana"/>
          <w:sz w:val="20"/>
          <w:szCs w:val="20"/>
          <w:lang w:val="es-CR"/>
        </w:rPr>
        <w:t xml:space="preserve">determinar si dichos actos fueron constitutivos de tortura y violencia sexual a la luz del artículo 5.2 de la Convención, </w:t>
      </w:r>
      <w:r w:rsidR="00DF1721" w:rsidRPr="00DC128C">
        <w:rPr>
          <w:rFonts w:ascii="Verdana" w:hAnsi="Verdana"/>
          <w:sz w:val="20"/>
          <w:szCs w:val="20"/>
          <w:lang w:val="es-CR"/>
        </w:rPr>
        <w:t>y de la jurisprudencia de</w:t>
      </w:r>
      <w:r w:rsidR="007D1CC9" w:rsidRPr="00DC128C">
        <w:rPr>
          <w:rFonts w:ascii="Verdana" w:hAnsi="Verdana"/>
          <w:sz w:val="20"/>
          <w:szCs w:val="20"/>
          <w:lang w:val="es-CR"/>
        </w:rPr>
        <w:t xml:space="preserve"> </w:t>
      </w:r>
      <w:r w:rsidR="00DF1721" w:rsidRPr="00DC128C">
        <w:rPr>
          <w:rFonts w:ascii="Verdana" w:hAnsi="Verdana"/>
          <w:sz w:val="20"/>
          <w:szCs w:val="20"/>
          <w:lang w:val="es-CR"/>
        </w:rPr>
        <w:t xml:space="preserve">la Corte, </w:t>
      </w:r>
      <w:r w:rsidR="007D1CC9" w:rsidRPr="00DC128C">
        <w:rPr>
          <w:rFonts w:ascii="Verdana" w:hAnsi="Verdana"/>
          <w:sz w:val="20"/>
          <w:szCs w:val="20"/>
          <w:lang w:val="es-CR"/>
        </w:rPr>
        <w:t>a través del análisis de si el acto fue</w:t>
      </w:r>
      <w:r w:rsidR="007A6338" w:rsidRPr="00DC128C">
        <w:rPr>
          <w:rFonts w:ascii="Verdana" w:hAnsi="Verdana"/>
          <w:sz w:val="20"/>
          <w:szCs w:val="20"/>
          <w:lang w:val="es-CR"/>
        </w:rPr>
        <w:t xml:space="preserve">: i) un acto intencional; </w:t>
      </w:r>
      <w:proofErr w:type="spellStart"/>
      <w:r w:rsidR="007A6338" w:rsidRPr="00DC128C">
        <w:rPr>
          <w:rFonts w:ascii="Verdana" w:hAnsi="Verdana"/>
          <w:sz w:val="20"/>
          <w:szCs w:val="20"/>
          <w:lang w:val="es-CR"/>
        </w:rPr>
        <w:t>ii</w:t>
      </w:r>
      <w:proofErr w:type="spellEnd"/>
      <w:r w:rsidR="0071347E" w:rsidRPr="00DC128C">
        <w:rPr>
          <w:rFonts w:ascii="Verdana" w:hAnsi="Verdana"/>
          <w:sz w:val="20"/>
          <w:szCs w:val="20"/>
          <w:lang w:val="es-CR"/>
        </w:rPr>
        <w:t>) causó severos sufrimientos</w:t>
      </w:r>
      <w:r w:rsidR="007A6338" w:rsidRPr="00DC128C">
        <w:rPr>
          <w:rFonts w:ascii="Verdana" w:hAnsi="Verdana"/>
          <w:sz w:val="20"/>
          <w:szCs w:val="20"/>
          <w:lang w:val="es-CR"/>
        </w:rPr>
        <w:t xml:space="preserve"> físicos o mentales, y si se </w:t>
      </w:r>
      <w:proofErr w:type="spellStart"/>
      <w:r w:rsidR="007A6338" w:rsidRPr="00DC128C">
        <w:rPr>
          <w:rFonts w:ascii="Verdana" w:hAnsi="Verdana"/>
          <w:sz w:val="20"/>
          <w:szCs w:val="20"/>
          <w:lang w:val="es-CR"/>
        </w:rPr>
        <w:t>iii</w:t>
      </w:r>
      <w:proofErr w:type="spellEnd"/>
      <w:r w:rsidR="00BD04EA" w:rsidRPr="00DC128C">
        <w:rPr>
          <w:rFonts w:ascii="Verdana" w:hAnsi="Verdana"/>
          <w:sz w:val="20"/>
          <w:szCs w:val="20"/>
          <w:lang w:val="es-CR"/>
        </w:rPr>
        <w:t>)</w:t>
      </w:r>
      <w:r w:rsidR="0071347E" w:rsidRPr="00DC128C">
        <w:rPr>
          <w:rFonts w:ascii="Verdana" w:hAnsi="Verdana"/>
          <w:sz w:val="20"/>
          <w:szCs w:val="20"/>
          <w:lang w:val="es-CR"/>
        </w:rPr>
        <w:t xml:space="preserve"> se cometió con determinado fin o propósito</w:t>
      </w:r>
      <w:r w:rsidR="00EE0406" w:rsidRPr="00395FDF">
        <w:rPr>
          <w:rFonts w:ascii="Verdana" w:hAnsi="Verdana"/>
          <w:sz w:val="20"/>
          <w:szCs w:val="20"/>
          <w:vertAlign w:val="superscript"/>
          <w:lang w:val="es-CR"/>
        </w:rPr>
        <w:footnoteReference w:id="156"/>
      </w:r>
      <w:r w:rsidR="0071347E" w:rsidRPr="00DC128C">
        <w:rPr>
          <w:rFonts w:ascii="Verdana" w:hAnsi="Verdana"/>
          <w:sz w:val="20"/>
          <w:szCs w:val="20"/>
          <w:lang w:val="es-CR"/>
        </w:rPr>
        <w:t>.</w:t>
      </w:r>
    </w:p>
    <w:p w14:paraId="42E3A505" w14:textId="77777777" w:rsidR="00DC128C" w:rsidRPr="00DC128C" w:rsidRDefault="00DC128C" w:rsidP="00DC128C">
      <w:pPr>
        <w:pStyle w:val="Prrafodelista"/>
        <w:rPr>
          <w:rFonts w:ascii="Verdana" w:hAnsi="Verdana"/>
          <w:sz w:val="20"/>
          <w:szCs w:val="20"/>
          <w:lang w:val="es-CR"/>
        </w:rPr>
      </w:pPr>
    </w:p>
    <w:p w14:paraId="323E875C" w14:textId="77777777" w:rsidR="00DC128C" w:rsidRDefault="007A6338" w:rsidP="00DC128C">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DC128C">
        <w:rPr>
          <w:rFonts w:ascii="Verdana" w:hAnsi="Verdana"/>
          <w:sz w:val="20"/>
          <w:szCs w:val="20"/>
          <w:lang w:val="es-CR"/>
        </w:rPr>
        <w:t>Respecto al primer y tercer elementos e</w:t>
      </w:r>
      <w:r w:rsidR="00A601B6" w:rsidRPr="00DC128C">
        <w:rPr>
          <w:rFonts w:ascii="Verdana" w:hAnsi="Verdana"/>
          <w:sz w:val="20"/>
          <w:szCs w:val="20"/>
          <w:lang w:val="es-CR"/>
        </w:rPr>
        <w:t xml:space="preserve">stá demostrado que el 27 de mayo de 1998 el señor Valenzuela Ávila fue sometido a distintos actos de violencia </w:t>
      </w:r>
      <w:r w:rsidR="00F44468" w:rsidRPr="00DC128C">
        <w:rPr>
          <w:rFonts w:ascii="Verdana" w:hAnsi="Verdana"/>
          <w:sz w:val="20"/>
          <w:szCs w:val="20"/>
          <w:lang w:val="es-CR"/>
        </w:rPr>
        <w:t xml:space="preserve">realizados deliberadamente </w:t>
      </w:r>
      <w:r w:rsidRPr="00DC128C">
        <w:rPr>
          <w:rFonts w:ascii="Verdana" w:hAnsi="Verdana"/>
          <w:sz w:val="20"/>
          <w:szCs w:val="20"/>
          <w:lang w:val="es-CR"/>
        </w:rPr>
        <w:t>por agentes estatales</w:t>
      </w:r>
      <w:r w:rsidR="00E90484" w:rsidRPr="00DC128C">
        <w:rPr>
          <w:rFonts w:ascii="Verdana" w:hAnsi="Verdana"/>
          <w:sz w:val="20"/>
          <w:szCs w:val="20"/>
          <w:lang w:val="es-CR"/>
        </w:rPr>
        <w:t>,</w:t>
      </w:r>
      <w:r w:rsidRPr="00DC128C">
        <w:rPr>
          <w:rFonts w:ascii="Verdana" w:hAnsi="Verdana"/>
          <w:sz w:val="20"/>
          <w:szCs w:val="20"/>
          <w:lang w:val="es-CR"/>
        </w:rPr>
        <w:t xml:space="preserve"> </w:t>
      </w:r>
      <w:r w:rsidR="00A601B6" w:rsidRPr="00DC128C">
        <w:rPr>
          <w:rFonts w:ascii="Verdana" w:hAnsi="Verdana"/>
          <w:sz w:val="20"/>
          <w:szCs w:val="20"/>
          <w:lang w:val="es-CR"/>
        </w:rPr>
        <w:t>con el fin de obtener información sobre la muerte de la fiscal</w:t>
      </w:r>
      <w:r w:rsidR="0064236A">
        <w:rPr>
          <w:rFonts w:ascii="Verdana" w:hAnsi="Verdana"/>
          <w:sz w:val="20"/>
          <w:szCs w:val="20"/>
          <w:lang w:val="es-CR"/>
        </w:rPr>
        <w:t>a</w:t>
      </w:r>
      <w:r w:rsidR="00A601B6" w:rsidRPr="00DC128C">
        <w:rPr>
          <w:rFonts w:ascii="Verdana" w:hAnsi="Verdana"/>
          <w:sz w:val="20"/>
          <w:szCs w:val="20"/>
          <w:lang w:val="es-CR"/>
        </w:rPr>
        <w:t xml:space="preserve"> SJ</w:t>
      </w:r>
      <w:r w:rsidR="00717234">
        <w:rPr>
          <w:rFonts w:ascii="Verdana" w:hAnsi="Verdana"/>
          <w:sz w:val="20"/>
          <w:szCs w:val="20"/>
          <w:lang w:val="es-CR"/>
        </w:rPr>
        <w:t>R</w:t>
      </w:r>
      <w:r w:rsidR="00384E00" w:rsidRPr="00DC128C">
        <w:rPr>
          <w:rFonts w:ascii="Verdana" w:hAnsi="Verdana"/>
          <w:sz w:val="20"/>
          <w:szCs w:val="20"/>
        </w:rPr>
        <w:t>.</w:t>
      </w:r>
      <w:r w:rsidR="00E90484" w:rsidRPr="00DC128C">
        <w:rPr>
          <w:rFonts w:ascii="Verdana" w:hAnsi="Verdana"/>
          <w:sz w:val="20"/>
          <w:szCs w:val="20"/>
          <w:lang w:val="es-CR"/>
        </w:rPr>
        <w:t xml:space="preserve"> </w:t>
      </w:r>
      <w:r w:rsidRPr="00DC128C">
        <w:rPr>
          <w:rFonts w:ascii="Verdana" w:hAnsi="Verdana"/>
          <w:sz w:val="20"/>
          <w:szCs w:val="20"/>
          <w:lang w:val="es-CR"/>
        </w:rPr>
        <w:t>En cu</w:t>
      </w:r>
      <w:r w:rsidR="00AF3867" w:rsidRPr="00DC128C">
        <w:rPr>
          <w:rFonts w:ascii="Verdana" w:hAnsi="Verdana"/>
          <w:sz w:val="20"/>
          <w:szCs w:val="20"/>
          <w:lang w:val="es-CR"/>
        </w:rPr>
        <w:t xml:space="preserve">anto al segundo elemento, está </w:t>
      </w:r>
      <w:r w:rsidRPr="00DC128C">
        <w:rPr>
          <w:rFonts w:ascii="Verdana" w:hAnsi="Verdana"/>
          <w:sz w:val="20"/>
          <w:szCs w:val="20"/>
          <w:lang w:val="es-CR"/>
        </w:rPr>
        <w:t xml:space="preserve">probado que </w:t>
      </w:r>
      <w:r w:rsidR="00575F2D" w:rsidRPr="00DC128C">
        <w:rPr>
          <w:rFonts w:ascii="Verdana" w:hAnsi="Verdana"/>
          <w:sz w:val="20"/>
          <w:szCs w:val="20"/>
          <w:lang w:val="es-CR"/>
        </w:rPr>
        <w:t xml:space="preserve">el </w:t>
      </w:r>
      <w:r w:rsidR="00EA3CF5" w:rsidRPr="00DC128C">
        <w:rPr>
          <w:rFonts w:ascii="Verdana" w:hAnsi="Verdana"/>
          <w:sz w:val="20"/>
          <w:szCs w:val="20"/>
          <w:lang w:val="es-CR"/>
        </w:rPr>
        <w:t>señor Valenzuela recibió una serie de golpes, asfixia</w:t>
      </w:r>
      <w:r w:rsidR="0071347E" w:rsidRPr="00DC128C">
        <w:rPr>
          <w:rFonts w:ascii="Verdana" w:hAnsi="Verdana"/>
          <w:sz w:val="20"/>
          <w:szCs w:val="20"/>
          <w:lang w:val="es-CR"/>
        </w:rPr>
        <w:t xml:space="preserve"> </w:t>
      </w:r>
      <w:r w:rsidR="00EA3CF5" w:rsidRPr="00DC128C">
        <w:rPr>
          <w:rFonts w:ascii="Verdana" w:hAnsi="Verdana"/>
          <w:sz w:val="20"/>
          <w:szCs w:val="20"/>
          <w:lang w:val="es-CR"/>
        </w:rPr>
        <w:t>e incluso una penetración anal por medio de un bastón con grasa, que configura en el presente caso una forma de violación sexual</w:t>
      </w:r>
      <w:r w:rsidR="00EA3CF5" w:rsidRPr="00395FDF">
        <w:rPr>
          <w:vertAlign w:val="superscript"/>
        </w:rPr>
        <w:footnoteReference w:id="157"/>
      </w:r>
      <w:r w:rsidR="00E90484" w:rsidRPr="00DC128C">
        <w:rPr>
          <w:rFonts w:ascii="Verdana" w:hAnsi="Verdana"/>
          <w:sz w:val="20"/>
          <w:szCs w:val="20"/>
          <w:lang w:val="es-CR"/>
        </w:rPr>
        <w:t>.</w:t>
      </w:r>
      <w:r w:rsidR="00C6649C" w:rsidRPr="00DC128C">
        <w:rPr>
          <w:rFonts w:ascii="Verdana" w:hAnsi="Verdana"/>
          <w:sz w:val="20"/>
          <w:szCs w:val="20"/>
          <w:lang w:val="es-CR"/>
        </w:rPr>
        <w:t xml:space="preserve"> </w:t>
      </w:r>
      <w:r w:rsidR="001A2E75" w:rsidRPr="00DC128C">
        <w:rPr>
          <w:rFonts w:ascii="Verdana" w:hAnsi="Verdana"/>
          <w:sz w:val="20"/>
          <w:szCs w:val="20"/>
        </w:rPr>
        <w:t>Al respecto, la Corte ha afirmado que es inherente a la violación sexual el sufrimiento severo de la víctima</w:t>
      </w:r>
      <w:r w:rsidR="001A2E75">
        <w:rPr>
          <w:rStyle w:val="Refdenotaalpie"/>
          <w:rFonts w:ascii="Verdana" w:hAnsi="Verdana"/>
          <w:sz w:val="20"/>
          <w:szCs w:val="20"/>
        </w:rPr>
        <w:footnoteReference w:id="158"/>
      </w:r>
      <w:r w:rsidR="00910F55" w:rsidRPr="00DC128C">
        <w:rPr>
          <w:rFonts w:ascii="Verdana" w:hAnsi="Verdana"/>
          <w:sz w:val="20"/>
          <w:szCs w:val="20"/>
        </w:rPr>
        <w:t xml:space="preserve"> y que una violación se</w:t>
      </w:r>
      <w:r w:rsidR="002E5280" w:rsidRPr="00DC128C">
        <w:rPr>
          <w:rFonts w:ascii="Verdana" w:hAnsi="Verdana"/>
          <w:sz w:val="20"/>
          <w:szCs w:val="20"/>
        </w:rPr>
        <w:t>xual puede constituir tortura au</w:t>
      </w:r>
      <w:r w:rsidR="00910F55" w:rsidRPr="00DC128C">
        <w:rPr>
          <w:rFonts w:ascii="Verdana" w:hAnsi="Verdana"/>
          <w:sz w:val="20"/>
          <w:szCs w:val="20"/>
        </w:rPr>
        <w:t>n cuando consista en un solo hecho u ocurra fuera de instalaciones estatales</w:t>
      </w:r>
      <w:r w:rsidR="00910F55" w:rsidRPr="00910F55">
        <w:rPr>
          <w:rStyle w:val="Refdenotaalpie"/>
          <w:rFonts w:ascii="Verdana" w:hAnsi="Verdana"/>
          <w:sz w:val="20"/>
          <w:szCs w:val="20"/>
        </w:rPr>
        <w:footnoteReference w:id="159"/>
      </w:r>
      <w:r w:rsidR="00910F55" w:rsidRPr="00DC128C">
        <w:rPr>
          <w:rFonts w:ascii="Verdana" w:hAnsi="Verdana"/>
          <w:sz w:val="20"/>
          <w:szCs w:val="20"/>
        </w:rPr>
        <w:t xml:space="preserve">. </w:t>
      </w:r>
      <w:r w:rsidR="00ED0120" w:rsidRPr="00DC128C">
        <w:rPr>
          <w:rFonts w:ascii="Verdana" w:hAnsi="Verdana"/>
          <w:sz w:val="20"/>
          <w:szCs w:val="20"/>
        </w:rPr>
        <w:t xml:space="preserve"> </w:t>
      </w:r>
    </w:p>
    <w:p w14:paraId="23DBA665" w14:textId="77777777" w:rsidR="00DC128C" w:rsidRPr="00DC128C" w:rsidRDefault="00DC128C" w:rsidP="00DC128C">
      <w:pPr>
        <w:pStyle w:val="Prrafodelista"/>
        <w:rPr>
          <w:rFonts w:ascii="Verdana" w:hAnsi="Verdana"/>
          <w:sz w:val="20"/>
          <w:szCs w:val="20"/>
        </w:rPr>
      </w:pPr>
    </w:p>
    <w:p w14:paraId="3C8B3F97" w14:textId="5BFF3A34" w:rsidR="00DC128C" w:rsidRDefault="00AF3867" w:rsidP="00DC128C">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DC128C">
        <w:rPr>
          <w:rFonts w:ascii="Verdana" w:hAnsi="Verdana"/>
          <w:sz w:val="20"/>
          <w:szCs w:val="20"/>
        </w:rPr>
        <w:t>E</w:t>
      </w:r>
      <w:r w:rsidR="00575F2D" w:rsidRPr="00DC128C">
        <w:rPr>
          <w:rFonts w:ascii="Verdana" w:hAnsi="Verdana"/>
          <w:sz w:val="20"/>
          <w:szCs w:val="20"/>
        </w:rPr>
        <w:t xml:space="preserve">ste Tribunal considera acreditada </w:t>
      </w:r>
      <w:r w:rsidR="00575F2D" w:rsidRPr="00DC128C">
        <w:rPr>
          <w:rFonts w:ascii="Verdana" w:hAnsi="Verdana"/>
          <w:sz w:val="20"/>
          <w:szCs w:val="20"/>
          <w:lang w:val="es-CR"/>
        </w:rPr>
        <w:t>la gravedad y los severos sufrimientos padecidos por el señor Valenzuela a causa de los actos cometidos por los agentes estatales con la f</w:t>
      </w:r>
      <w:r w:rsidR="00CA7264">
        <w:rPr>
          <w:rFonts w:ascii="Verdana" w:hAnsi="Verdana"/>
          <w:sz w:val="20"/>
          <w:szCs w:val="20"/>
          <w:lang w:val="es-CR"/>
        </w:rPr>
        <w:t xml:space="preserve">inalidad de obtener </w:t>
      </w:r>
      <w:r w:rsidR="00CA7264" w:rsidRPr="00F51963">
        <w:rPr>
          <w:rFonts w:ascii="Verdana" w:hAnsi="Verdana"/>
          <w:sz w:val="20"/>
          <w:szCs w:val="20"/>
          <w:lang w:val="es-CR"/>
        </w:rPr>
        <w:t>su declaración</w:t>
      </w:r>
      <w:r w:rsidR="00575F2D" w:rsidRPr="00F51963">
        <w:rPr>
          <w:rFonts w:ascii="Verdana" w:hAnsi="Verdana"/>
          <w:sz w:val="20"/>
          <w:szCs w:val="20"/>
          <w:lang w:val="es-CR"/>
        </w:rPr>
        <w:t xml:space="preserve"> sobre</w:t>
      </w:r>
      <w:r w:rsidR="00575F2D" w:rsidRPr="00DC128C">
        <w:rPr>
          <w:rFonts w:ascii="Verdana" w:hAnsi="Verdana"/>
          <w:sz w:val="20"/>
          <w:szCs w:val="20"/>
          <w:lang w:val="es-CR"/>
        </w:rPr>
        <w:t xml:space="preserve"> su presunta participación en la comisión de un delito</w:t>
      </w:r>
      <w:r w:rsidR="00DD3190" w:rsidRPr="00DC128C">
        <w:rPr>
          <w:rFonts w:ascii="Verdana" w:hAnsi="Verdana"/>
          <w:sz w:val="20"/>
          <w:szCs w:val="20"/>
          <w:lang w:val="es-CR"/>
        </w:rPr>
        <w:t xml:space="preserve">, por lo que se encuentran cumplidos </w:t>
      </w:r>
      <w:r w:rsidR="00DD3190" w:rsidRPr="00DC128C">
        <w:rPr>
          <w:rFonts w:ascii="Verdana" w:hAnsi="Verdana"/>
          <w:sz w:val="20"/>
          <w:szCs w:val="20"/>
        </w:rPr>
        <w:t>los tres elementos que esta Corte ha enlistado</w:t>
      </w:r>
      <w:r w:rsidR="00575F2D" w:rsidRPr="00DC128C">
        <w:rPr>
          <w:rFonts w:ascii="Verdana" w:hAnsi="Verdana"/>
          <w:sz w:val="20"/>
          <w:szCs w:val="20"/>
          <w:lang w:val="es-CR"/>
        </w:rPr>
        <w:t xml:space="preserve">. </w:t>
      </w:r>
      <w:r w:rsidRPr="00DC128C">
        <w:rPr>
          <w:rFonts w:ascii="Verdana" w:hAnsi="Verdana"/>
          <w:sz w:val="20"/>
          <w:szCs w:val="20"/>
          <w:lang w:val="es-CR"/>
        </w:rPr>
        <w:t>Por lo tanto</w:t>
      </w:r>
      <w:r w:rsidR="00384E00" w:rsidRPr="00DC128C">
        <w:rPr>
          <w:rFonts w:ascii="Verdana" w:hAnsi="Verdana"/>
          <w:sz w:val="20"/>
          <w:szCs w:val="20"/>
          <w:lang w:val="es-CR"/>
        </w:rPr>
        <w:t xml:space="preserve">, </w:t>
      </w:r>
      <w:r w:rsidR="00575F2D" w:rsidRPr="00DC128C">
        <w:rPr>
          <w:rFonts w:ascii="Verdana" w:hAnsi="Verdana"/>
          <w:sz w:val="20"/>
          <w:szCs w:val="20"/>
          <w:lang w:val="es-CR"/>
        </w:rPr>
        <w:t>la Corte</w:t>
      </w:r>
      <w:r w:rsidR="00F577DF" w:rsidRPr="00DC128C">
        <w:rPr>
          <w:rFonts w:ascii="Verdana" w:hAnsi="Verdana"/>
          <w:sz w:val="20"/>
          <w:szCs w:val="20"/>
        </w:rPr>
        <w:t xml:space="preserve"> </w:t>
      </w:r>
      <w:r w:rsidR="00575F2D" w:rsidRPr="00DC128C">
        <w:rPr>
          <w:rFonts w:ascii="Verdana" w:hAnsi="Verdana"/>
          <w:sz w:val="20"/>
          <w:szCs w:val="20"/>
        </w:rPr>
        <w:t>concluye que el señor Valenzuela Ávila fue sometido a actos de tortura tras</w:t>
      </w:r>
      <w:r w:rsidR="00F577DF" w:rsidRPr="00DC128C">
        <w:rPr>
          <w:rFonts w:ascii="Verdana" w:hAnsi="Verdana"/>
          <w:sz w:val="20"/>
          <w:szCs w:val="20"/>
        </w:rPr>
        <w:t xml:space="preserve"> su detención</w:t>
      </w:r>
      <w:r w:rsidR="00575F2D" w:rsidRPr="00DC128C">
        <w:rPr>
          <w:rFonts w:ascii="Verdana" w:hAnsi="Verdana"/>
          <w:sz w:val="20"/>
          <w:szCs w:val="20"/>
        </w:rPr>
        <w:t xml:space="preserve">, </w:t>
      </w:r>
      <w:r w:rsidR="00F577DF" w:rsidRPr="00DC128C">
        <w:rPr>
          <w:rFonts w:ascii="Verdana" w:hAnsi="Verdana"/>
          <w:sz w:val="20"/>
          <w:szCs w:val="20"/>
        </w:rPr>
        <w:t>cuando ya e</w:t>
      </w:r>
      <w:r w:rsidR="00384E00" w:rsidRPr="00DC128C">
        <w:rPr>
          <w:rFonts w:ascii="Verdana" w:hAnsi="Verdana"/>
          <w:sz w:val="20"/>
          <w:szCs w:val="20"/>
        </w:rPr>
        <w:t>staba bajo custodia del Estado, en violación del artículo 5.2 de la Convención</w:t>
      </w:r>
      <w:r w:rsidRPr="00DC128C">
        <w:rPr>
          <w:rFonts w:ascii="Verdana" w:hAnsi="Verdana"/>
          <w:sz w:val="20"/>
          <w:szCs w:val="20"/>
        </w:rPr>
        <w:t xml:space="preserve"> Americana</w:t>
      </w:r>
      <w:r w:rsidR="00384E00" w:rsidRPr="00DC128C">
        <w:rPr>
          <w:rFonts w:ascii="Verdana" w:hAnsi="Verdana"/>
          <w:sz w:val="20"/>
          <w:szCs w:val="20"/>
        </w:rPr>
        <w:t>.</w:t>
      </w:r>
    </w:p>
    <w:p w14:paraId="451367F6" w14:textId="77777777" w:rsidR="00DC128C" w:rsidRPr="00DC128C" w:rsidRDefault="00DC128C" w:rsidP="00DC128C">
      <w:pPr>
        <w:pStyle w:val="Prrafodelista"/>
        <w:rPr>
          <w:rFonts w:ascii="Verdana" w:hAnsi="Verdana"/>
          <w:sz w:val="20"/>
          <w:szCs w:val="20"/>
          <w:lang w:val="es-CR"/>
        </w:rPr>
      </w:pPr>
    </w:p>
    <w:p w14:paraId="1488159F" w14:textId="77777777" w:rsidR="00DC128C" w:rsidRDefault="002E0786" w:rsidP="00DC128C">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DC128C">
        <w:rPr>
          <w:rFonts w:ascii="Verdana" w:hAnsi="Verdana"/>
          <w:sz w:val="20"/>
          <w:szCs w:val="20"/>
          <w:lang w:val="es-CR"/>
        </w:rPr>
        <w:t xml:space="preserve">Por otro lado, esta Corte </w:t>
      </w:r>
      <w:r w:rsidR="00AF3867" w:rsidRPr="00DC128C">
        <w:rPr>
          <w:rFonts w:ascii="Verdana" w:hAnsi="Verdana"/>
          <w:sz w:val="20"/>
          <w:szCs w:val="20"/>
          <w:lang w:val="es-CR"/>
        </w:rPr>
        <w:t xml:space="preserve">nota </w:t>
      </w:r>
      <w:r w:rsidR="00E322AE" w:rsidRPr="00DC128C">
        <w:rPr>
          <w:rFonts w:ascii="Verdana" w:hAnsi="Verdana"/>
          <w:sz w:val="20"/>
          <w:szCs w:val="20"/>
          <w:lang w:val="es-CR"/>
        </w:rPr>
        <w:t>que la Comisión también alegó la vulneración del artículo 11 de la Convención Americana. A</w:t>
      </w:r>
      <w:r w:rsidR="00465F39" w:rsidRPr="00DC128C">
        <w:rPr>
          <w:rFonts w:ascii="Verdana" w:hAnsi="Verdana"/>
          <w:sz w:val="20"/>
          <w:szCs w:val="20"/>
          <w:lang w:val="es-CR"/>
        </w:rPr>
        <w:t>l respecto, este Tribunal ha señalado</w:t>
      </w:r>
      <w:r w:rsidR="00E322AE" w:rsidRPr="00DC128C">
        <w:rPr>
          <w:rFonts w:ascii="Verdana" w:hAnsi="Verdana"/>
          <w:sz w:val="20"/>
          <w:szCs w:val="20"/>
          <w:lang w:val="es-CR"/>
        </w:rPr>
        <w:t xml:space="preserve"> que si bien este artículo se titula Protección de la “Honra y de la Dignidad”, su contenido incluye, entre otros, la protección de la vida privada, que comprende entre otros ámbitos protegidos, la vida sexual</w:t>
      </w:r>
      <w:r w:rsidR="00E322AE">
        <w:rPr>
          <w:rStyle w:val="Refdenotaalpie"/>
          <w:rFonts w:ascii="Verdana" w:hAnsi="Verdana"/>
          <w:sz w:val="20"/>
          <w:szCs w:val="20"/>
          <w:lang w:val="es-CR"/>
        </w:rPr>
        <w:footnoteReference w:id="160"/>
      </w:r>
      <w:r w:rsidR="00E322AE" w:rsidRPr="00DC128C">
        <w:rPr>
          <w:rFonts w:ascii="Verdana" w:hAnsi="Verdana"/>
          <w:sz w:val="20"/>
          <w:szCs w:val="20"/>
          <w:lang w:val="es-CR"/>
        </w:rPr>
        <w:t xml:space="preserve"> y el derecho a establecer y desarrollar relaciones con otros seres humanos</w:t>
      </w:r>
      <w:r w:rsidR="00E322AE">
        <w:rPr>
          <w:rStyle w:val="Refdenotaalpie"/>
          <w:rFonts w:ascii="Verdana" w:hAnsi="Verdana"/>
          <w:sz w:val="20"/>
          <w:szCs w:val="20"/>
          <w:lang w:val="es-CR"/>
        </w:rPr>
        <w:footnoteReference w:id="161"/>
      </w:r>
      <w:r w:rsidR="00E322AE" w:rsidRPr="00DC128C">
        <w:rPr>
          <w:rFonts w:ascii="Verdana" w:hAnsi="Verdana"/>
          <w:sz w:val="20"/>
          <w:szCs w:val="20"/>
          <w:lang w:val="es-CR"/>
        </w:rPr>
        <w:t>, por tal motivo, la violencia sexual como una violación puede suponer una intromisión en los aspectos más personales e íntimos de la vida privada de una persona</w:t>
      </w:r>
      <w:r w:rsidR="00E322AE">
        <w:rPr>
          <w:rStyle w:val="Refdenotaalpie"/>
          <w:rFonts w:ascii="Verdana" w:hAnsi="Verdana"/>
          <w:sz w:val="20"/>
          <w:szCs w:val="20"/>
          <w:lang w:val="es-CR"/>
        </w:rPr>
        <w:footnoteReference w:id="162"/>
      </w:r>
      <w:r w:rsidR="005F262D" w:rsidRPr="00DC128C">
        <w:rPr>
          <w:rFonts w:ascii="Verdana" w:hAnsi="Verdana"/>
          <w:sz w:val="20"/>
          <w:szCs w:val="20"/>
          <w:lang w:val="es-CR"/>
        </w:rPr>
        <w:t xml:space="preserve">.  Con base en lo anterior, la </w:t>
      </w:r>
      <w:r w:rsidR="00E322AE" w:rsidRPr="00DC128C">
        <w:rPr>
          <w:rFonts w:ascii="Verdana" w:hAnsi="Verdana"/>
          <w:sz w:val="20"/>
          <w:szCs w:val="20"/>
          <w:lang w:val="es-CR"/>
        </w:rPr>
        <w:t xml:space="preserve">Corte </w:t>
      </w:r>
      <w:r w:rsidR="00A601B6" w:rsidRPr="00DC128C">
        <w:rPr>
          <w:rFonts w:ascii="Verdana" w:hAnsi="Verdana"/>
          <w:sz w:val="20"/>
          <w:szCs w:val="20"/>
          <w:lang w:val="es-CR"/>
        </w:rPr>
        <w:t xml:space="preserve">en el presente caso </w:t>
      </w:r>
      <w:r w:rsidR="00E322AE" w:rsidRPr="00DC128C">
        <w:rPr>
          <w:rFonts w:ascii="Verdana" w:hAnsi="Verdana"/>
          <w:sz w:val="20"/>
          <w:szCs w:val="20"/>
          <w:lang w:val="es-CR"/>
        </w:rPr>
        <w:t xml:space="preserve">considera que la violación sexual causada al señor Valenzuela supuso una intromisión a su </w:t>
      </w:r>
      <w:r w:rsidR="006C0205" w:rsidRPr="00DC128C">
        <w:rPr>
          <w:rFonts w:ascii="Verdana" w:hAnsi="Verdana"/>
          <w:sz w:val="20"/>
          <w:szCs w:val="20"/>
          <w:lang w:val="es-CR"/>
        </w:rPr>
        <w:t>intimidad</w:t>
      </w:r>
      <w:r w:rsidR="00E322AE" w:rsidRPr="00DC128C">
        <w:rPr>
          <w:rFonts w:ascii="Verdana" w:hAnsi="Verdana"/>
          <w:sz w:val="20"/>
          <w:szCs w:val="20"/>
          <w:lang w:val="es-CR"/>
        </w:rPr>
        <w:t>.</w:t>
      </w:r>
      <w:r w:rsidR="00764113" w:rsidRPr="00DC128C">
        <w:rPr>
          <w:rFonts w:ascii="Verdana" w:hAnsi="Verdana"/>
          <w:sz w:val="20"/>
          <w:szCs w:val="20"/>
          <w:lang w:val="es-CR"/>
        </w:rPr>
        <w:t xml:space="preserve"> </w:t>
      </w:r>
    </w:p>
    <w:p w14:paraId="43B232A7" w14:textId="77777777" w:rsidR="00DC128C" w:rsidRPr="00DC128C" w:rsidRDefault="00DC128C" w:rsidP="00DC128C">
      <w:pPr>
        <w:pStyle w:val="Prrafodelista"/>
        <w:rPr>
          <w:rFonts w:ascii="Verdana" w:hAnsi="Verdana"/>
          <w:sz w:val="20"/>
          <w:szCs w:val="20"/>
          <w:lang w:val="es-CR"/>
        </w:rPr>
      </w:pPr>
    </w:p>
    <w:p w14:paraId="264E0BDC" w14:textId="77777777" w:rsidR="00DC128C" w:rsidRDefault="006A06DC" w:rsidP="00DC128C">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DC128C">
        <w:rPr>
          <w:rFonts w:ascii="Verdana" w:hAnsi="Verdana"/>
          <w:sz w:val="20"/>
          <w:szCs w:val="20"/>
          <w:lang w:val="es-CR"/>
        </w:rPr>
        <w:t xml:space="preserve">En consecuencia, en cuanto a los elementos considerados </w:t>
      </w:r>
      <w:r w:rsidRPr="00DC128C">
        <w:rPr>
          <w:rFonts w:ascii="Verdana" w:eastAsia="Calibri" w:hAnsi="Verdana" w:cs="Helvetica"/>
          <w:sz w:val="20"/>
          <w:szCs w:val="20"/>
          <w:lang w:bidi="en-US"/>
        </w:rPr>
        <w:t>en el presente análisis, la Corte</w:t>
      </w:r>
      <w:r w:rsidR="004B59A2" w:rsidRPr="00DC128C">
        <w:rPr>
          <w:rFonts w:ascii="Verdana" w:eastAsia="Calibri" w:hAnsi="Verdana" w:cs="Helvetica"/>
          <w:sz w:val="20"/>
          <w:szCs w:val="20"/>
          <w:lang w:bidi="en-US"/>
        </w:rPr>
        <w:t xml:space="preserve"> estima</w:t>
      </w:r>
      <w:r w:rsidRPr="00DC128C">
        <w:rPr>
          <w:rFonts w:ascii="Verdana" w:eastAsia="Calibri" w:hAnsi="Verdana" w:cs="Helvetica"/>
          <w:sz w:val="20"/>
          <w:szCs w:val="20"/>
          <w:lang w:bidi="en-US"/>
        </w:rPr>
        <w:t xml:space="preserve"> que después de su detención el 27 de mayo de 1998, el señor Valenzuela</w:t>
      </w:r>
      <w:r w:rsidR="002E0786" w:rsidRPr="00DC128C">
        <w:rPr>
          <w:rFonts w:ascii="Verdana" w:eastAsia="Calibri" w:hAnsi="Verdana" w:cs="Helvetica"/>
          <w:sz w:val="20"/>
          <w:szCs w:val="20"/>
          <w:lang w:bidi="en-US"/>
        </w:rPr>
        <w:t xml:space="preserve"> </w:t>
      </w:r>
      <w:r w:rsidRPr="00DC128C">
        <w:rPr>
          <w:rFonts w:ascii="Verdana" w:hAnsi="Verdana"/>
          <w:sz w:val="20"/>
          <w:szCs w:val="20"/>
        </w:rPr>
        <w:t xml:space="preserve">fue sometido a actos de tortura física y violencia sexual, de conformidad con los tres elementos </w:t>
      </w:r>
      <w:r w:rsidR="00DB4F87" w:rsidRPr="00DC128C">
        <w:rPr>
          <w:rFonts w:ascii="Verdana" w:hAnsi="Verdana"/>
          <w:sz w:val="20"/>
          <w:szCs w:val="20"/>
        </w:rPr>
        <w:t xml:space="preserve">constitutivos </w:t>
      </w:r>
      <w:r w:rsidR="002E0786" w:rsidRPr="00DC128C">
        <w:rPr>
          <w:rFonts w:ascii="Verdana" w:hAnsi="Verdana"/>
          <w:sz w:val="20"/>
          <w:szCs w:val="20"/>
        </w:rPr>
        <w:t>que é</w:t>
      </w:r>
      <w:r w:rsidR="00DB4F87" w:rsidRPr="00DC128C">
        <w:rPr>
          <w:rFonts w:ascii="Verdana" w:hAnsi="Verdana"/>
          <w:sz w:val="20"/>
          <w:szCs w:val="20"/>
        </w:rPr>
        <w:t>sta</w:t>
      </w:r>
      <w:r w:rsidR="005C364F">
        <w:rPr>
          <w:rFonts w:ascii="Verdana" w:hAnsi="Verdana"/>
          <w:sz w:val="20"/>
          <w:szCs w:val="20"/>
        </w:rPr>
        <w:t xml:space="preserve"> comprende</w:t>
      </w:r>
      <w:r w:rsidR="004B59A2" w:rsidRPr="00DC128C">
        <w:rPr>
          <w:rFonts w:ascii="Verdana" w:hAnsi="Verdana"/>
          <w:sz w:val="20"/>
          <w:szCs w:val="20"/>
        </w:rPr>
        <w:t xml:space="preserve">, conforme a lo establecido por </w:t>
      </w:r>
      <w:r w:rsidR="002E0786" w:rsidRPr="00DC128C">
        <w:rPr>
          <w:rFonts w:ascii="Verdana" w:hAnsi="Verdana"/>
          <w:sz w:val="20"/>
          <w:szCs w:val="20"/>
        </w:rPr>
        <w:t>este Tribunal</w:t>
      </w:r>
      <w:r w:rsidR="00DB4F87" w:rsidRPr="00DC128C">
        <w:rPr>
          <w:rFonts w:ascii="Verdana" w:hAnsi="Verdana"/>
          <w:sz w:val="20"/>
          <w:szCs w:val="20"/>
        </w:rPr>
        <w:t xml:space="preserve"> en su jurisprudencia</w:t>
      </w:r>
      <w:r w:rsidR="004B59A2" w:rsidRPr="00DC128C">
        <w:rPr>
          <w:rFonts w:ascii="Verdana" w:hAnsi="Verdana"/>
          <w:sz w:val="20"/>
          <w:szCs w:val="20"/>
        </w:rPr>
        <w:t>.</w:t>
      </w:r>
    </w:p>
    <w:p w14:paraId="1B29AC93" w14:textId="77777777" w:rsidR="00DC128C" w:rsidRPr="00DC128C" w:rsidRDefault="00DC128C" w:rsidP="00DC128C">
      <w:pPr>
        <w:pStyle w:val="Prrafodelista"/>
        <w:rPr>
          <w:rFonts w:ascii="Verdana" w:hAnsi="Verdana"/>
          <w:sz w:val="20"/>
          <w:szCs w:val="20"/>
          <w:lang w:val="es-CR"/>
        </w:rPr>
      </w:pPr>
    </w:p>
    <w:p w14:paraId="28CE38FA" w14:textId="07F353C5" w:rsidR="00DC128C" w:rsidRDefault="00774D48" w:rsidP="00DC128C">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DC128C">
        <w:rPr>
          <w:rFonts w:ascii="Verdana" w:hAnsi="Verdana"/>
          <w:sz w:val="20"/>
          <w:szCs w:val="20"/>
          <w:lang w:val="es-CR"/>
        </w:rPr>
        <w:t>E</w:t>
      </w:r>
      <w:r w:rsidR="0071347E" w:rsidRPr="00DC128C">
        <w:rPr>
          <w:rFonts w:ascii="Verdana" w:hAnsi="Verdana"/>
          <w:sz w:val="20"/>
          <w:szCs w:val="20"/>
          <w:lang w:val="es-CR"/>
        </w:rPr>
        <w:t xml:space="preserve">n </w:t>
      </w:r>
      <w:r w:rsidR="002E0786" w:rsidRPr="00DC128C">
        <w:rPr>
          <w:rFonts w:ascii="Verdana" w:hAnsi="Verdana"/>
          <w:sz w:val="20"/>
          <w:szCs w:val="20"/>
          <w:lang w:val="es-CR"/>
        </w:rPr>
        <w:t>segundo término, este Tribunal se referirá</w:t>
      </w:r>
      <w:r w:rsidR="0071347E" w:rsidRPr="00DC128C">
        <w:rPr>
          <w:rFonts w:ascii="Verdana" w:hAnsi="Verdana"/>
          <w:sz w:val="20"/>
          <w:szCs w:val="20"/>
          <w:lang w:val="es-CR"/>
        </w:rPr>
        <w:t xml:space="preserve"> </w:t>
      </w:r>
      <w:r w:rsidR="0071347E" w:rsidRPr="00EC3578">
        <w:rPr>
          <w:rFonts w:ascii="Verdana" w:hAnsi="Verdana"/>
          <w:sz w:val="20"/>
          <w:szCs w:val="20"/>
          <w:lang w:val="es-CR"/>
        </w:rPr>
        <w:t xml:space="preserve">a la alegada tortura </w:t>
      </w:r>
      <w:r w:rsidR="009D17C8" w:rsidRPr="00EC3578">
        <w:rPr>
          <w:rFonts w:ascii="Verdana" w:hAnsi="Verdana"/>
          <w:sz w:val="20"/>
          <w:szCs w:val="20"/>
          <w:lang w:val="es-CR"/>
        </w:rPr>
        <w:t>sufrida</w:t>
      </w:r>
      <w:r w:rsidR="009D17C8" w:rsidRPr="00DC128C">
        <w:rPr>
          <w:rFonts w:ascii="Verdana" w:hAnsi="Verdana"/>
          <w:sz w:val="20"/>
          <w:szCs w:val="20"/>
          <w:lang w:val="es-CR"/>
        </w:rPr>
        <w:t xml:space="preserve"> por el señor Valenzuela </w:t>
      </w:r>
      <w:r w:rsidR="0071347E" w:rsidRPr="00DC128C">
        <w:rPr>
          <w:rFonts w:ascii="Verdana" w:hAnsi="Verdana"/>
          <w:sz w:val="20"/>
          <w:szCs w:val="20"/>
          <w:lang w:val="es-CR"/>
        </w:rPr>
        <w:t>los</w:t>
      </w:r>
      <w:r w:rsidR="000D4FF7" w:rsidRPr="00DC128C">
        <w:rPr>
          <w:rFonts w:ascii="Verdana" w:hAnsi="Verdana"/>
          <w:sz w:val="20"/>
          <w:szCs w:val="20"/>
          <w:lang w:val="es-CR"/>
        </w:rPr>
        <w:t xml:space="preserve"> días 17</w:t>
      </w:r>
      <w:r w:rsidR="00014980">
        <w:rPr>
          <w:rFonts w:ascii="Verdana" w:hAnsi="Verdana"/>
          <w:sz w:val="20"/>
          <w:szCs w:val="20"/>
          <w:lang w:val="es-CR"/>
        </w:rPr>
        <w:t xml:space="preserve"> y</w:t>
      </w:r>
      <w:r w:rsidR="006168B7" w:rsidRPr="00DC128C">
        <w:rPr>
          <w:rFonts w:ascii="Verdana" w:hAnsi="Verdana"/>
          <w:sz w:val="20"/>
          <w:szCs w:val="20"/>
          <w:lang w:val="es-CR"/>
        </w:rPr>
        <w:t xml:space="preserve"> 18 de junio</w:t>
      </w:r>
      <w:r w:rsidR="000D4FF7" w:rsidRPr="00DC128C">
        <w:rPr>
          <w:rFonts w:ascii="Verdana" w:hAnsi="Verdana"/>
          <w:sz w:val="20"/>
          <w:szCs w:val="20"/>
          <w:lang w:val="es-CR"/>
        </w:rPr>
        <w:t xml:space="preserve"> de 2001</w:t>
      </w:r>
      <w:r w:rsidR="002E0786" w:rsidRPr="00DC128C">
        <w:rPr>
          <w:rFonts w:ascii="Verdana" w:hAnsi="Verdana"/>
          <w:sz w:val="20"/>
          <w:szCs w:val="20"/>
          <w:lang w:val="es-CR"/>
        </w:rPr>
        <w:t xml:space="preserve">. Al respecto, </w:t>
      </w:r>
      <w:r w:rsidR="00B8553D" w:rsidRPr="00DC128C">
        <w:rPr>
          <w:rFonts w:ascii="Verdana" w:hAnsi="Verdana"/>
          <w:sz w:val="20"/>
          <w:szCs w:val="20"/>
          <w:lang w:val="es-CR"/>
        </w:rPr>
        <w:t xml:space="preserve">este Tribunal advierte </w:t>
      </w:r>
      <w:r w:rsidR="009D17C8" w:rsidRPr="00DC128C">
        <w:rPr>
          <w:rFonts w:ascii="Verdana" w:hAnsi="Verdana"/>
          <w:sz w:val="20"/>
          <w:szCs w:val="20"/>
          <w:lang w:val="es-CR"/>
        </w:rPr>
        <w:t>que</w:t>
      </w:r>
      <w:r w:rsidRPr="00DC128C">
        <w:rPr>
          <w:rFonts w:ascii="Verdana" w:hAnsi="Verdana"/>
          <w:sz w:val="20"/>
          <w:szCs w:val="20"/>
          <w:lang w:val="es-CR"/>
        </w:rPr>
        <w:t xml:space="preserve"> el señor Valenzuela</w:t>
      </w:r>
      <w:r w:rsidRPr="00DC128C">
        <w:rPr>
          <w:vertAlign w:val="superscript"/>
        </w:rPr>
        <w:t xml:space="preserve"> </w:t>
      </w:r>
      <w:r w:rsidR="009D17C8" w:rsidRPr="00DC128C">
        <w:rPr>
          <w:rFonts w:ascii="Verdana" w:hAnsi="Verdana"/>
          <w:sz w:val="20"/>
          <w:szCs w:val="20"/>
          <w:lang w:val="es-CR"/>
        </w:rPr>
        <w:t xml:space="preserve">interpuso un recurso de exhibición personal </w:t>
      </w:r>
      <w:r w:rsidR="002E0786" w:rsidRPr="00DC128C">
        <w:rPr>
          <w:rFonts w:ascii="Verdana" w:hAnsi="Verdana"/>
          <w:sz w:val="20"/>
          <w:szCs w:val="20"/>
          <w:lang w:val="es-CR"/>
        </w:rPr>
        <w:t>e</w:t>
      </w:r>
      <w:r w:rsidR="0089347D" w:rsidRPr="00DC128C">
        <w:rPr>
          <w:rFonts w:ascii="Verdana" w:hAnsi="Verdana"/>
          <w:sz w:val="20"/>
          <w:szCs w:val="20"/>
          <w:lang w:val="es-CR"/>
        </w:rPr>
        <w:t>l 11 de julio de 2001, en el</w:t>
      </w:r>
      <w:r w:rsidR="002E0786" w:rsidRPr="00DC128C">
        <w:rPr>
          <w:rFonts w:ascii="Verdana" w:hAnsi="Verdana"/>
          <w:sz w:val="20"/>
          <w:szCs w:val="20"/>
          <w:lang w:val="es-CR"/>
        </w:rPr>
        <w:t xml:space="preserve"> </w:t>
      </w:r>
      <w:r w:rsidR="0089347D" w:rsidRPr="00DC128C">
        <w:rPr>
          <w:rFonts w:ascii="Verdana" w:hAnsi="Verdana"/>
          <w:sz w:val="20"/>
          <w:szCs w:val="20"/>
          <w:lang w:val="es-CR"/>
        </w:rPr>
        <w:t>que pidió una evaluación médica, así como, el cese de los maltratos</w:t>
      </w:r>
      <w:r w:rsidR="00C836AC" w:rsidRPr="00DC128C">
        <w:rPr>
          <w:rFonts w:ascii="Verdana" w:hAnsi="Verdana"/>
          <w:sz w:val="20"/>
          <w:szCs w:val="20"/>
          <w:lang w:val="es-CR"/>
        </w:rPr>
        <w:t xml:space="preserve"> (</w:t>
      </w:r>
      <w:r w:rsidR="00C836AC" w:rsidRPr="00DC128C">
        <w:rPr>
          <w:rFonts w:ascii="Verdana" w:hAnsi="Verdana"/>
          <w:i/>
          <w:sz w:val="20"/>
          <w:szCs w:val="20"/>
          <w:lang w:val="es-CR"/>
        </w:rPr>
        <w:t>supra</w:t>
      </w:r>
      <w:r w:rsidR="00C836AC" w:rsidRPr="00DC128C">
        <w:rPr>
          <w:rFonts w:ascii="Verdana" w:hAnsi="Verdana"/>
          <w:sz w:val="20"/>
          <w:szCs w:val="20"/>
          <w:lang w:val="es-CR"/>
        </w:rPr>
        <w:t xml:space="preserve"> párr. </w:t>
      </w:r>
      <w:r w:rsidR="00C2350C">
        <w:rPr>
          <w:rFonts w:ascii="Verdana" w:hAnsi="Verdana"/>
          <w:sz w:val="20"/>
          <w:szCs w:val="20"/>
          <w:lang w:val="es-CR"/>
        </w:rPr>
        <w:t>88</w:t>
      </w:r>
      <w:r w:rsidR="00C836AC" w:rsidRPr="00DC128C">
        <w:rPr>
          <w:rFonts w:ascii="Verdana" w:hAnsi="Verdana"/>
          <w:sz w:val="20"/>
          <w:szCs w:val="20"/>
          <w:lang w:val="es-CR"/>
        </w:rPr>
        <w:t>)</w:t>
      </w:r>
      <w:r w:rsidR="0089347D" w:rsidRPr="00DC128C">
        <w:rPr>
          <w:rFonts w:ascii="Verdana" w:hAnsi="Verdana"/>
          <w:sz w:val="20"/>
          <w:szCs w:val="20"/>
          <w:lang w:val="es-CR"/>
        </w:rPr>
        <w:t xml:space="preserve">. </w:t>
      </w:r>
      <w:r w:rsidR="004B59A2" w:rsidRPr="00DC128C">
        <w:rPr>
          <w:rFonts w:ascii="Verdana" w:hAnsi="Verdana"/>
          <w:sz w:val="20"/>
          <w:szCs w:val="20"/>
          <w:lang w:val="es-CR"/>
        </w:rPr>
        <w:t xml:space="preserve"> En dicho recurso </w:t>
      </w:r>
      <w:r w:rsidR="0089347D" w:rsidRPr="00DC128C">
        <w:rPr>
          <w:rFonts w:ascii="Verdana" w:hAnsi="Verdana"/>
          <w:sz w:val="20"/>
          <w:szCs w:val="20"/>
          <w:lang w:val="es-CR"/>
        </w:rPr>
        <w:t>alegó que</w:t>
      </w:r>
      <w:r w:rsidR="004B59A2" w:rsidRPr="00DC128C">
        <w:rPr>
          <w:rFonts w:ascii="Verdana" w:hAnsi="Verdana"/>
          <w:sz w:val="20"/>
          <w:szCs w:val="20"/>
          <w:lang w:val="es-CR"/>
        </w:rPr>
        <w:t>:</w:t>
      </w:r>
      <w:r w:rsidR="0089347D" w:rsidRPr="00DC128C">
        <w:rPr>
          <w:rFonts w:ascii="Verdana" w:hAnsi="Verdana"/>
          <w:sz w:val="20"/>
          <w:szCs w:val="20"/>
          <w:lang w:val="es-CR"/>
        </w:rPr>
        <w:t xml:space="preserve"> </w:t>
      </w:r>
    </w:p>
    <w:p w14:paraId="0A6CA3CB" w14:textId="77777777" w:rsidR="00DC128C" w:rsidRDefault="00DC128C" w:rsidP="00DC128C">
      <w:pPr>
        <w:pStyle w:val="Prrafodelista"/>
        <w:rPr>
          <w:rFonts w:ascii="Verdana" w:hAnsi="Verdana"/>
          <w:sz w:val="20"/>
          <w:szCs w:val="20"/>
          <w:lang w:val="es-CR"/>
        </w:rPr>
      </w:pPr>
    </w:p>
    <w:p w14:paraId="04D4557A" w14:textId="77777777" w:rsidR="00DC128C" w:rsidRPr="00C836AC" w:rsidRDefault="00DC128C" w:rsidP="00DC128C">
      <w:pPr>
        <w:pStyle w:val="Prrafodelista"/>
        <w:autoSpaceDE w:val="0"/>
        <w:autoSpaceDN w:val="0"/>
        <w:adjustRightInd w:val="0"/>
        <w:spacing w:after="0" w:line="240" w:lineRule="auto"/>
        <w:ind w:right="778"/>
        <w:jc w:val="both"/>
        <w:rPr>
          <w:rFonts w:ascii="Verdana" w:hAnsi="Verdana"/>
          <w:sz w:val="16"/>
          <w:szCs w:val="16"/>
          <w:lang w:val="es-CR"/>
        </w:rPr>
      </w:pPr>
      <w:r w:rsidRPr="00C836AC">
        <w:rPr>
          <w:rFonts w:ascii="Verdana" w:hAnsi="Verdana"/>
          <w:sz w:val="16"/>
          <w:szCs w:val="16"/>
          <w:lang w:val="es-CR"/>
        </w:rPr>
        <w:t xml:space="preserve">[El] diecisiete de junio del año dos mil uno en horas de la noche fui sometido a torturas y vejámenes en el que se me exigía diera datos relativos a la muerte de la Fiscal </w:t>
      </w:r>
      <w:r w:rsidR="008B37EB">
        <w:rPr>
          <w:rFonts w:ascii="Verdana" w:hAnsi="Verdana"/>
          <w:sz w:val="16"/>
          <w:szCs w:val="16"/>
          <w:lang w:val="es-CR"/>
        </w:rPr>
        <w:t>[</w:t>
      </w:r>
      <w:r w:rsidR="00785A5C">
        <w:rPr>
          <w:rFonts w:ascii="Verdana" w:hAnsi="Verdana"/>
          <w:sz w:val="16"/>
          <w:szCs w:val="16"/>
          <w:lang w:val="es-CR"/>
        </w:rPr>
        <w:t>SJR</w:t>
      </w:r>
      <w:r w:rsidR="008B37EB">
        <w:rPr>
          <w:rFonts w:ascii="Verdana" w:hAnsi="Verdana"/>
          <w:sz w:val="16"/>
          <w:szCs w:val="16"/>
          <w:lang w:val="es-CR"/>
        </w:rPr>
        <w:t>]</w:t>
      </w:r>
      <w:r w:rsidRPr="00C836AC">
        <w:rPr>
          <w:rFonts w:ascii="Verdana" w:hAnsi="Verdana"/>
          <w:sz w:val="16"/>
          <w:szCs w:val="16"/>
          <w:lang w:val="es-CR"/>
        </w:rPr>
        <w:t xml:space="preserve"> de lo cual fui juzgado y me encuentro condenado a la pena de muerte en esos actos fui objeto de amenazas de muerte, tengo lesionado el cuerpo de lo cual conservo cicatrices e impedimentos en miembros superiores, y en mis órganos sexuales, producto de tales vejámenes de que fui objeto, por personas que se identificaron como miembros del S[</w:t>
      </w:r>
      <w:proofErr w:type="spellStart"/>
      <w:r w:rsidRPr="00C836AC">
        <w:rPr>
          <w:rFonts w:ascii="Verdana" w:hAnsi="Verdana"/>
          <w:sz w:val="16"/>
          <w:szCs w:val="16"/>
          <w:lang w:val="es-CR"/>
        </w:rPr>
        <w:t>ervicio</w:t>
      </w:r>
      <w:proofErr w:type="spellEnd"/>
      <w:r w:rsidRPr="00C836AC">
        <w:rPr>
          <w:rFonts w:ascii="Verdana" w:hAnsi="Verdana"/>
          <w:sz w:val="16"/>
          <w:szCs w:val="16"/>
          <w:lang w:val="es-CR"/>
        </w:rPr>
        <w:t xml:space="preserve"> de </w:t>
      </w:r>
      <w:r w:rsidR="005C364F">
        <w:rPr>
          <w:rFonts w:ascii="Verdana" w:hAnsi="Verdana"/>
          <w:sz w:val="16"/>
          <w:szCs w:val="16"/>
          <w:lang w:val="es-CR"/>
        </w:rPr>
        <w:t>I</w:t>
      </w:r>
      <w:r w:rsidRPr="00C836AC">
        <w:rPr>
          <w:rFonts w:ascii="Verdana" w:hAnsi="Verdana"/>
          <w:sz w:val="16"/>
          <w:szCs w:val="16"/>
          <w:lang w:val="es-CR"/>
        </w:rPr>
        <w:t xml:space="preserve">nvestigación </w:t>
      </w:r>
      <w:r w:rsidR="005C364F">
        <w:rPr>
          <w:rFonts w:ascii="Verdana" w:hAnsi="Verdana"/>
          <w:sz w:val="16"/>
          <w:szCs w:val="16"/>
          <w:lang w:val="es-CR"/>
        </w:rPr>
        <w:t>C</w:t>
      </w:r>
      <w:r w:rsidRPr="00C836AC">
        <w:rPr>
          <w:rFonts w:ascii="Verdana" w:hAnsi="Verdana"/>
          <w:sz w:val="16"/>
          <w:szCs w:val="16"/>
          <w:lang w:val="es-CR"/>
        </w:rPr>
        <w:t>riminal] de la Policía Nacional Civil.</w:t>
      </w:r>
    </w:p>
    <w:p w14:paraId="60DFDBAC" w14:textId="77777777" w:rsidR="00DC128C" w:rsidRPr="00DC128C" w:rsidRDefault="00DC128C" w:rsidP="00DC128C">
      <w:pPr>
        <w:pStyle w:val="Prrafodelista"/>
        <w:rPr>
          <w:rFonts w:ascii="Verdana" w:hAnsi="Verdana"/>
          <w:sz w:val="20"/>
          <w:szCs w:val="20"/>
          <w:lang w:val="es-CR"/>
        </w:rPr>
      </w:pPr>
    </w:p>
    <w:p w14:paraId="06FB31BA" w14:textId="6972EA78" w:rsidR="008B37EB" w:rsidRDefault="00B8553D" w:rsidP="00A2282C">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0879DD">
        <w:rPr>
          <w:rFonts w:ascii="Verdana" w:hAnsi="Verdana"/>
          <w:sz w:val="20"/>
          <w:szCs w:val="20"/>
          <w:lang w:val="es-CR"/>
        </w:rPr>
        <w:t xml:space="preserve">Además, </w:t>
      </w:r>
      <w:r w:rsidR="004B59A2" w:rsidRPr="000879DD">
        <w:rPr>
          <w:rFonts w:ascii="Verdana" w:hAnsi="Verdana"/>
          <w:sz w:val="20"/>
          <w:szCs w:val="20"/>
          <w:lang w:val="es-CR"/>
        </w:rPr>
        <w:t xml:space="preserve">este Tribunal </w:t>
      </w:r>
      <w:r w:rsidRPr="000879DD">
        <w:rPr>
          <w:rFonts w:ascii="Verdana" w:hAnsi="Verdana"/>
          <w:sz w:val="20"/>
          <w:szCs w:val="20"/>
          <w:lang w:val="es-CR"/>
        </w:rPr>
        <w:t xml:space="preserve">nota que </w:t>
      </w:r>
      <w:r w:rsidR="004B59A2" w:rsidRPr="000879DD">
        <w:rPr>
          <w:rFonts w:ascii="Verdana" w:hAnsi="Verdana"/>
          <w:sz w:val="20"/>
          <w:szCs w:val="20"/>
          <w:lang w:val="es-CR"/>
        </w:rPr>
        <w:t>el señor</w:t>
      </w:r>
      <w:r w:rsidR="008B29AC" w:rsidRPr="000879DD">
        <w:rPr>
          <w:rFonts w:ascii="Verdana" w:hAnsi="Verdana"/>
          <w:sz w:val="20"/>
          <w:szCs w:val="20"/>
          <w:lang w:val="es-CR"/>
        </w:rPr>
        <w:t xml:space="preserve"> PRA, </w:t>
      </w:r>
      <w:r w:rsidR="002A5CEE" w:rsidRPr="000879DD">
        <w:rPr>
          <w:rFonts w:ascii="Verdana" w:hAnsi="Verdana"/>
          <w:sz w:val="20"/>
          <w:szCs w:val="20"/>
          <w:lang w:val="es-CR"/>
        </w:rPr>
        <w:t xml:space="preserve">quien se encontraba </w:t>
      </w:r>
      <w:r w:rsidR="009D17C8" w:rsidRPr="00D860B2">
        <w:rPr>
          <w:rFonts w:ascii="Verdana" w:hAnsi="Verdana"/>
          <w:sz w:val="20"/>
          <w:szCs w:val="20"/>
          <w:lang w:val="es-CR"/>
        </w:rPr>
        <w:t>privado de libertad</w:t>
      </w:r>
      <w:r w:rsidR="005A638D" w:rsidRPr="00D860B2">
        <w:rPr>
          <w:rFonts w:ascii="Verdana" w:hAnsi="Verdana"/>
          <w:sz w:val="20"/>
          <w:szCs w:val="20"/>
          <w:lang w:val="es-CR"/>
        </w:rPr>
        <w:t xml:space="preserve"> en </w:t>
      </w:r>
      <w:r w:rsidR="005C364F">
        <w:rPr>
          <w:rFonts w:ascii="Verdana" w:hAnsi="Verdana"/>
          <w:sz w:val="20"/>
          <w:szCs w:val="20"/>
          <w:lang w:val="es-CR"/>
        </w:rPr>
        <w:t xml:space="preserve">el </w:t>
      </w:r>
      <w:r w:rsidR="005A638D" w:rsidRPr="00D860B2">
        <w:rPr>
          <w:rFonts w:ascii="Verdana" w:hAnsi="Verdana"/>
          <w:sz w:val="20"/>
          <w:szCs w:val="20"/>
          <w:lang w:val="es-CR"/>
        </w:rPr>
        <w:t>Centro Preventivo para Varones</w:t>
      </w:r>
      <w:r w:rsidR="009D17C8" w:rsidRPr="00A13752">
        <w:rPr>
          <w:rFonts w:ascii="Verdana" w:hAnsi="Verdana"/>
          <w:sz w:val="20"/>
          <w:szCs w:val="20"/>
          <w:lang w:val="es-CR"/>
        </w:rPr>
        <w:t>, manifestó que “</w:t>
      </w:r>
      <w:r w:rsidR="008B29AC" w:rsidRPr="00210816">
        <w:rPr>
          <w:rFonts w:ascii="Verdana" w:hAnsi="Verdana"/>
          <w:sz w:val="20"/>
          <w:szCs w:val="20"/>
          <w:lang w:val="es-CR"/>
        </w:rPr>
        <w:t>que cuando abrieron la cárcel</w:t>
      </w:r>
      <w:r w:rsidR="008B29AC" w:rsidRPr="00B432D9">
        <w:rPr>
          <w:rFonts w:ascii="Verdana" w:hAnsi="Verdana"/>
          <w:sz w:val="20"/>
          <w:szCs w:val="20"/>
          <w:lang w:val="es-CR"/>
        </w:rPr>
        <w:t xml:space="preserve"> del infierno</w:t>
      </w:r>
      <w:r w:rsidR="005C364F">
        <w:rPr>
          <w:rFonts w:ascii="Verdana" w:hAnsi="Verdana"/>
          <w:sz w:val="20"/>
          <w:szCs w:val="20"/>
          <w:lang w:val="es-CR"/>
        </w:rPr>
        <w:t xml:space="preserve"> </w:t>
      </w:r>
      <w:r w:rsidR="008B29AC" w:rsidRPr="00B432D9">
        <w:rPr>
          <w:rFonts w:ascii="Verdana" w:hAnsi="Verdana"/>
          <w:sz w:val="20"/>
          <w:szCs w:val="20"/>
          <w:lang w:val="es-CR"/>
        </w:rPr>
        <w:t xml:space="preserve">(sic), </w:t>
      </w:r>
      <w:proofErr w:type="spellStart"/>
      <w:r w:rsidR="001226E4">
        <w:rPr>
          <w:rFonts w:ascii="Verdana" w:hAnsi="Verdana"/>
          <w:sz w:val="20"/>
          <w:szCs w:val="20"/>
          <w:lang w:val="es-CR"/>
        </w:rPr>
        <w:t>s</w:t>
      </w:r>
      <w:r w:rsidR="008B29AC" w:rsidRPr="00B432D9">
        <w:rPr>
          <w:rFonts w:ascii="Verdana" w:hAnsi="Verdana"/>
          <w:sz w:val="20"/>
          <w:szCs w:val="20"/>
          <w:lang w:val="es-CR"/>
        </w:rPr>
        <w:t>ali</w:t>
      </w:r>
      <w:proofErr w:type="spellEnd"/>
      <w:r w:rsidR="001226E4">
        <w:rPr>
          <w:rFonts w:ascii="Verdana" w:hAnsi="Verdana"/>
          <w:sz w:val="20"/>
          <w:szCs w:val="20"/>
          <w:lang w:val="es-CR"/>
        </w:rPr>
        <w:t>[</w:t>
      </w:r>
      <w:proofErr w:type="spellStart"/>
      <w:r w:rsidR="001226E4">
        <w:rPr>
          <w:rFonts w:ascii="Verdana" w:hAnsi="Verdana"/>
          <w:sz w:val="20"/>
          <w:szCs w:val="20"/>
          <w:lang w:val="es-CR"/>
        </w:rPr>
        <w:t>eron</w:t>
      </w:r>
      <w:proofErr w:type="spellEnd"/>
      <w:r w:rsidR="001226E4">
        <w:rPr>
          <w:rFonts w:ascii="Verdana" w:hAnsi="Verdana"/>
          <w:sz w:val="20"/>
          <w:szCs w:val="20"/>
          <w:lang w:val="es-CR"/>
        </w:rPr>
        <w:t>]</w:t>
      </w:r>
      <w:r w:rsidR="008B29AC" w:rsidRPr="00B432D9">
        <w:rPr>
          <w:rFonts w:ascii="Verdana" w:hAnsi="Verdana"/>
          <w:sz w:val="20"/>
          <w:szCs w:val="20"/>
          <w:lang w:val="es-CR"/>
        </w:rPr>
        <w:t xml:space="preserve"> y a</w:t>
      </w:r>
      <w:r w:rsidR="005F0786" w:rsidRPr="004C155B">
        <w:rPr>
          <w:rFonts w:ascii="Verdana" w:hAnsi="Verdana"/>
          <w:sz w:val="20"/>
          <w:szCs w:val="20"/>
          <w:lang w:val="es-CR"/>
        </w:rPr>
        <w:t>l</w:t>
      </w:r>
      <w:r w:rsidR="008B29AC" w:rsidRPr="00A24C33">
        <w:rPr>
          <w:rFonts w:ascii="Verdana" w:hAnsi="Verdana"/>
          <w:sz w:val="20"/>
          <w:szCs w:val="20"/>
          <w:lang w:val="es-CR"/>
        </w:rPr>
        <w:t xml:space="preserve"> recapturar</w:t>
      </w:r>
      <w:r w:rsidR="001226E4">
        <w:rPr>
          <w:rFonts w:ascii="Verdana" w:hAnsi="Verdana"/>
          <w:sz w:val="20"/>
          <w:szCs w:val="20"/>
          <w:lang w:val="es-CR"/>
        </w:rPr>
        <w:t>[l]</w:t>
      </w:r>
      <w:r w:rsidR="008B29AC" w:rsidRPr="00A24C33">
        <w:rPr>
          <w:rFonts w:ascii="Verdana" w:hAnsi="Verdana"/>
          <w:sz w:val="20"/>
          <w:szCs w:val="20"/>
          <w:lang w:val="es-CR"/>
        </w:rPr>
        <w:t xml:space="preserve">os, </w:t>
      </w:r>
      <w:r w:rsidR="001226E4">
        <w:rPr>
          <w:rFonts w:ascii="Verdana" w:hAnsi="Verdana"/>
          <w:sz w:val="20"/>
          <w:szCs w:val="20"/>
          <w:lang w:val="es-CR"/>
        </w:rPr>
        <w:t>[l]</w:t>
      </w:r>
      <w:r w:rsidR="008B29AC" w:rsidRPr="00A24C33">
        <w:rPr>
          <w:rFonts w:ascii="Verdana" w:hAnsi="Verdana"/>
          <w:sz w:val="20"/>
          <w:szCs w:val="20"/>
          <w:lang w:val="es-CR"/>
        </w:rPr>
        <w:t xml:space="preserve">os trasladaron al preventivo, </w:t>
      </w:r>
      <w:r w:rsidR="009D17C8" w:rsidRPr="0095392D">
        <w:rPr>
          <w:rFonts w:ascii="Verdana" w:hAnsi="Verdana"/>
          <w:sz w:val="20"/>
          <w:szCs w:val="20"/>
          <w:lang w:val="es-CR"/>
        </w:rPr>
        <w:t xml:space="preserve">estando el señor Tirso Román Valenzuela Ávila en su bartolina </w:t>
      </w:r>
      <w:r w:rsidR="001226E4">
        <w:rPr>
          <w:rFonts w:ascii="Verdana" w:hAnsi="Verdana"/>
          <w:sz w:val="20"/>
          <w:szCs w:val="20"/>
          <w:lang w:val="es-CR"/>
        </w:rPr>
        <w:t>[fu]</w:t>
      </w:r>
      <w:proofErr w:type="spellStart"/>
      <w:r w:rsidR="009D17C8" w:rsidRPr="0095392D">
        <w:rPr>
          <w:rFonts w:ascii="Verdana" w:hAnsi="Verdana"/>
          <w:sz w:val="20"/>
          <w:szCs w:val="20"/>
          <w:lang w:val="es-CR"/>
        </w:rPr>
        <w:t>eron</w:t>
      </w:r>
      <w:proofErr w:type="spellEnd"/>
      <w:r w:rsidR="009D17C8" w:rsidRPr="0095392D">
        <w:rPr>
          <w:rFonts w:ascii="Verdana" w:hAnsi="Verdana"/>
          <w:sz w:val="20"/>
          <w:szCs w:val="20"/>
          <w:lang w:val="es-CR"/>
        </w:rPr>
        <w:t xml:space="preserve"> a sacarlo en repetid</w:t>
      </w:r>
      <w:r w:rsidR="009D17C8" w:rsidRPr="00E369F3">
        <w:rPr>
          <w:rFonts w:ascii="Verdana" w:hAnsi="Verdana"/>
          <w:sz w:val="20"/>
          <w:szCs w:val="20"/>
          <w:lang w:val="es-CR"/>
        </w:rPr>
        <w:t xml:space="preserve">as oportunidades personas vestidas de particular </w:t>
      </w:r>
      <w:r w:rsidR="001226E4">
        <w:rPr>
          <w:rFonts w:ascii="Verdana" w:hAnsi="Verdana"/>
          <w:sz w:val="20"/>
          <w:szCs w:val="20"/>
          <w:lang w:val="es-CR"/>
        </w:rPr>
        <w:t xml:space="preserve">[que] </w:t>
      </w:r>
      <w:r w:rsidR="009D17C8" w:rsidRPr="00E369F3">
        <w:rPr>
          <w:rFonts w:ascii="Verdana" w:hAnsi="Verdana"/>
          <w:sz w:val="20"/>
          <w:szCs w:val="20"/>
          <w:lang w:val="es-CR"/>
        </w:rPr>
        <w:t xml:space="preserve">se lo llevaban y regresaba </w:t>
      </w:r>
      <w:r w:rsidR="001226E4">
        <w:rPr>
          <w:rFonts w:ascii="Verdana" w:hAnsi="Verdana"/>
          <w:sz w:val="20"/>
          <w:szCs w:val="20"/>
          <w:lang w:val="es-CR"/>
        </w:rPr>
        <w:t>é</w:t>
      </w:r>
      <w:r w:rsidR="009D17C8" w:rsidRPr="00E369F3">
        <w:rPr>
          <w:rFonts w:ascii="Verdana" w:hAnsi="Verdana"/>
          <w:sz w:val="20"/>
          <w:szCs w:val="20"/>
          <w:lang w:val="es-CR"/>
        </w:rPr>
        <w:t xml:space="preserve">l </w:t>
      </w:r>
      <w:r w:rsidR="001226E4">
        <w:rPr>
          <w:rFonts w:ascii="Verdana" w:hAnsi="Verdana"/>
          <w:sz w:val="20"/>
          <w:szCs w:val="20"/>
          <w:lang w:val="es-CR"/>
        </w:rPr>
        <w:t xml:space="preserve">[señor Valenzuela] </w:t>
      </w:r>
      <w:r w:rsidR="009D17C8" w:rsidRPr="00E369F3">
        <w:rPr>
          <w:rFonts w:ascii="Verdana" w:hAnsi="Verdana"/>
          <w:sz w:val="20"/>
          <w:szCs w:val="20"/>
          <w:lang w:val="es-CR"/>
        </w:rPr>
        <w:t>cada vez más golpeado</w:t>
      </w:r>
      <w:r w:rsidR="008B29AC" w:rsidRPr="00763694">
        <w:rPr>
          <w:rFonts w:ascii="Verdana" w:hAnsi="Verdana"/>
          <w:sz w:val="20"/>
          <w:szCs w:val="20"/>
          <w:lang w:val="es-CR"/>
        </w:rPr>
        <w:t xml:space="preserve">, es lo que </w:t>
      </w:r>
      <w:r w:rsidR="001226E4">
        <w:rPr>
          <w:rFonts w:ascii="Verdana" w:hAnsi="Verdana"/>
          <w:sz w:val="20"/>
          <w:szCs w:val="20"/>
          <w:lang w:val="es-CR"/>
        </w:rPr>
        <w:t>[l]</w:t>
      </w:r>
      <w:r w:rsidR="008B29AC" w:rsidRPr="00763694">
        <w:rPr>
          <w:rFonts w:ascii="Verdana" w:hAnsi="Verdana"/>
          <w:sz w:val="20"/>
          <w:szCs w:val="20"/>
          <w:lang w:val="es-CR"/>
        </w:rPr>
        <w:t xml:space="preserve">e consta, ya que </w:t>
      </w:r>
      <w:r w:rsidR="009D0FD1">
        <w:rPr>
          <w:rFonts w:ascii="Verdana" w:hAnsi="Verdana"/>
          <w:sz w:val="20"/>
          <w:szCs w:val="20"/>
          <w:lang w:val="es-CR"/>
        </w:rPr>
        <w:t>[e</w:t>
      </w:r>
      <w:r w:rsidR="001226E4">
        <w:rPr>
          <w:rFonts w:ascii="Verdana" w:hAnsi="Verdana"/>
          <w:sz w:val="20"/>
          <w:szCs w:val="20"/>
          <w:lang w:val="es-CR"/>
        </w:rPr>
        <w:t>l señor PRA]</w:t>
      </w:r>
      <w:r w:rsidR="008B29AC" w:rsidRPr="00763694">
        <w:rPr>
          <w:rFonts w:ascii="Verdana" w:hAnsi="Verdana"/>
          <w:sz w:val="20"/>
          <w:szCs w:val="20"/>
          <w:lang w:val="es-CR"/>
        </w:rPr>
        <w:t xml:space="preserve"> estaba en diferentes bartolinas, </w:t>
      </w:r>
      <w:r w:rsidR="001226E4">
        <w:rPr>
          <w:rFonts w:ascii="Verdana" w:hAnsi="Verdana"/>
          <w:sz w:val="20"/>
          <w:szCs w:val="20"/>
          <w:lang w:val="es-CR"/>
        </w:rPr>
        <w:t>[Valenzuela]</w:t>
      </w:r>
      <w:r w:rsidR="008B29AC" w:rsidRPr="00763694">
        <w:rPr>
          <w:rFonts w:ascii="Verdana" w:hAnsi="Verdana"/>
          <w:sz w:val="20"/>
          <w:szCs w:val="20"/>
          <w:lang w:val="es-CR"/>
        </w:rPr>
        <w:t xml:space="preserve"> estaba mal físicamente ya que tenía golpes en todo el cuerpo y en ocasiones que hablábamos [le] contó que lo habían torturado con cigarrillos en la parte del cuello y en sus genitales</w:t>
      </w:r>
      <w:r w:rsidR="009D17C8" w:rsidRPr="00763694">
        <w:rPr>
          <w:rFonts w:ascii="Verdana" w:hAnsi="Verdana"/>
          <w:sz w:val="20"/>
          <w:szCs w:val="20"/>
          <w:lang w:val="es-CR"/>
        </w:rPr>
        <w:t>”</w:t>
      </w:r>
      <w:r w:rsidR="00C836AC" w:rsidRPr="00763694">
        <w:rPr>
          <w:rFonts w:ascii="Verdana" w:hAnsi="Verdana"/>
          <w:sz w:val="20"/>
          <w:szCs w:val="20"/>
          <w:lang w:val="es-CR"/>
        </w:rPr>
        <w:t xml:space="preserve"> (</w:t>
      </w:r>
      <w:r w:rsidR="00C836AC" w:rsidRPr="00763694">
        <w:rPr>
          <w:rFonts w:ascii="Verdana" w:hAnsi="Verdana"/>
          <w:i/>
          <w:sz w:val="20"/>
          <w:szCs w:val="20"/>
          <w:lang w:val="es-CR"/>
        </w:rPr>
        <w:t>supra</w:t>
      </w:r>
      <w:r w:rsidR="00C836AC" w:rsidRPr="003B1283">
        <w:rPr>
          <w:rFonts w:ascii="Verdana" w:hAnsi="Verdana"/>
          <w:sz w:val="20"/>
          <w:szCs w:val="20"/>
          <w:lang w:val="es-CR"/>
        </w:rPr>
        <w:t xml:space="preserve"> párr. </w:t>
      </w:r>
      <w:r w:rsidR="00C2350C">
        <w:rPr>
          <w:rFonts w:ascii="Verdana" w:hAnsi="Verdana"/>
          <w:sz w:val="20"/>
          <w:szCs w:val="20"/>
          <w:lang w:val="es-CR"/>
        </w:rPr>
        <w:t>86</w:t>
      </w:r>
      <w:r w:rsidR="00C836AC" w:rsidRPr="003B1283">
        <w:rPr>
          <w:rFonts w:ascii="Verdana" w:hAnsi="Verdana"/>
          <w:sz w:val="20"/>
          <w:szCs w:val="20"/>
          <w:lang w:val="es-CR"/>
        </w:rPr>
        <w:t>)</w:t>
      </w:r>
      <w:r w:rsidR="009D17C8" w:rsidRPr="00D34C76">
        <w:rPr>
          <w:rFonts w:ascii="Verdana" w:hAnsi="Verdana"/>
          <w:sz w:val="20"/>
          <w:szCs w:val="20"/>
          <w:lang w:val="es-CR"/>
        </w:rPr>
        <w:t>.</w:t>
      </w:r>
    </w:p>
    <w:p w14:paraId="6DAF50AF" w14:textId="77777777" w:rsidR="00DC128C" w:rsidRDefault="009D17C8" w:rsidP="00DC128C">
      <w:pPr>
        <w:pStyle w:val="Prrafodelista"/>
        <w:autoSpaceDE w:val="0"/>
        <w:autoSpaceDN w:val="0"/>
        <w:adjustRightInd w:val="0"/>
        <w:spacing w:after="0" w:line="240" w:lineRule="auto"/>
        <w:ind w:left="0"/>
        <w:jc w:val="both"/>
        <w:rPr>
          <w:rFonts w:ascii="Verdana" w:hAnsi="Verdana"/>
          <w:sz w:val="20"/>
          <w:szCs w:val="20"/>
          <w:lang w:val="es-CR"/>
        </w:rPr>
      </w:pPr>
      <w:r w:rsidRPr="00D34C76">
        <w:rPr>
          <w:rFonts w:ascii="Verdana" w:hAnsi="Verdana"/>
          <w:sz w:val="20"/>
          <w:szCs w:val="20"/>
          <w:lang w:val="es-CR"/>
        </w:rPr>
        <w:t xml:space="preserve"> </w:t>
      </w:r>
      <w:r w:rsidR="000879DD" w:rsidDel="000879DD">
        <w:rPr>
          <w:rFonts w:ascii="Verdana" w:hAnsi="Verdana"/>
          <w:sz w:val="20"/>
          <w:szCs w:val="20"/>
          <w:lang w:val="es-CR"/>
        </w:rPr>
        <w:t xml:space="preserve"> </w:t>
      </w:r>
    </w:p>
    <w:p w14:paraId="79B7388A" w14:textId="162DFDD8" w:rsidR="00DC128C" w:rsidRDefault="00CE6755" w:rsidP="00DC128C">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DC128C">
        <w:rPr>
          <w:rFonts w:ascii="Verdana" w:hAnsi="Verdana"/>
          <w:sz w:val="20"/>
          <w:szCs w:val="20"/>
          <w:lang w:val="es-CR"/>
        </w:rPr>
        <w:t>Aunado a lo anterior</w:t>
      </w:r>
      <w:r w:rsidR="00B8553D" w:rsidRPr="00DC128C">
        <w:rPr>
          <w:rFonts w:ascii="Verdana" w:hAnsi="Verdana"/>
          <w:sz w:val="20"/>
          <w:szCs w:val="20"/>
          <w:lang w:val="es-CR"/>
        </w:rPr>
        <w:t xml:space="preserve">, </w:t>
      </w:r>
      <w:r w:rsidRPr="00DC128C">
        <w:rPr>
          <w:rFonts w:ascii="Verdana" w:hAnsi="Verdana"/>
          <w:sz w:val="20"/>
          <w:szCs w:val="20"/>
          <w:lang w:val="es-CR"/>
        </w:rPr>
        <w:t>como ya se</w:t>
      </w:r>
      <w:r w:rsidR="00C2350C">
        <w:rPr>
          <w:rFonts w:ascii="Verdana" w:hAnsi="Verdana"/>
          <w:sz w:val="20"/>
          <w:szCs w:val="20"/>
          <w:lang w:val="es-CR"/>
        </w:rPr>
        <w:t xml:space="preserve"> señaló en los informes médicos y </w:t>
      </w:r>
      <w:r w:rsidRPr="00DC128C">
        <w:rPr>
          <w:rFonts w:ascii="Verdana" w:hAnsi="Verdana"/>
          <w:sz w:val="20"/>
          <w:szCs w:val="20"/>
          <w:lang w:val="es-CR"/>
        </w:rPr>
        <w:t>psicológicos emitidos el 15 de junio de 2005 por la señora</w:t>
      </w:r>
      <w:r w:rsidR="00C2350C">
        <w:rPr>
          <w:rFonts w:ascii="Verdana" w:hAnsi="Verdana"/>
          <w:sz w:val="20"/>
          <w:szCs w:val="20"/>
          <w:lang w:val="es-CR"/>
        </w:rPr>
        <w:t xml:space="preserve"> Edna Karina Vaquerano Martínez</w:t>
      </w:r>
      <w:r w:rsidRPr="00DC128C">
        <w:rPr>
          <w:rFonts w:ascii="Verdana" w:hAnsi="Verdana"/>
          <w:sz w:val="20"/>
          <w:szCs w:val="20"/>
          <w:lang w:val="es-CR"/>
        </w:rPr>
        <w:t xml:space="preserve"> y el señor Juan Cristóbal Aldana Alfaro (</w:t>
      </w:r>
      <w:r w:rsidRPr="00DC128C">
        <w:rPr>
          <w:rFonts w:ascii="Verdana" w:hAnsi="Verdana"/>
          <w:i/>
          <w:sz w:val="20"/>
          <w:szCs w:val="20"/>
          <w:lang w:val="es-CR"/>
        </w:rPr>
        <w:t>supra</w:t>
      </w:r>
      <w:r w:rsidRPr="00DC128C">
        <w:rPr>
          <w:rFonts w:ascii="Verdana" w:hAnsi="Verdana"/>
          <w:sz w:val="20"/>
          <w:szCs w:val="20"/>
          <w:lang w:val="es-CR"/>
        </w:rPr>
        <w:t xml:space="preserve"> párr. </w:t>
      </w:r>
      <w:r w:rsidR="00C2350C">
        <w:rPr>
          <w:rFonts w:ascii="Verdana" w:hAnsi="Verdana"/>
          <w:sz w:val="20"/>
          <w:szCs w:val="20"/>
          <w:lang w:val="es-CR"/>
        </w:rPr>
        <w:t>191</w:t>
      </w:r>
      <w:r w:rsidRPr="00DC128C">
        <w:rPr>
          <w:rFonts w:ascii="Verdana" w:hAnsi="Verdana"/>
          <w:sz w:val="20"/>
          <w:szCs w:val="20"/>
          <w:lang w:val="es-CR"/>
        </w:rPr>
        <w:t>), se concluyó que la presunta v</w:t>
      </w:r>
      <w:r w:rsidR="005A638D" w:rsidRPr="00DC128C">
        <w:rPr>
          <w:rFonts w:ascii="Verdana" w:hAnsi="Verdana"/>
          <w:sz w:val="20"/>
          <w:szCs w:val="20"/>
          <w:lang w:val="es-CR"/>
        </w:rPr>
        <w:t>íctima</w:t>
      </w:r>
      <w:r w:rsidRPr="00DC128C">
        <w:rPr>
          <w:rFonts w:ascii="Verdana" w:hAnsi="Verdana"/>
          <w:sz w:val="20"/>
          <w:szCs w:val="20"/>
          <w:lang w:val="es-CR"/>
        </w:rPr>
        <w:t xml:space="preserve"> presenta “las características de una persona torturada tanto desde el punto de vista físico y psicológico”. </w:t>
      </w:r>
    </w:p>
    <w:p w14:paraId="050106CA" w14:textId="77777777" w:rsidR="00DC128C" w:rsidRPr="00DC128C" w:rsidRDefault="00DC128C" w:rsidP="00DC128C">
      <w:pPr>
        <w:pStyle w:val="Prrafodelista"/>
        <w:rPr>
          <w:rFonts w:ascii="Verdana" w:hAnsi="Verdana"/>
          <w:sz w:val="20"/>
          <w:szCs w:val="20"/>
          <w:lang w:val="es-CR"/>
        </w:rPr>
      </w:pPr>
    </w:p>
    <w:p w14:paraId="136E2237" w14:textId="3E802B10" w:rsidR="00DC128C" w:rsidRDefault="00CE6755" w:rsidP="00DC128C">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DC128C">
        <w:rPr>
          <w:rFonts w:ascii="Verdana" w:hAnsi="Verdana"/>
          <w:sz w:val="20"/>
          <w:szCs w:val="20"/>
          <w:lang w:val="es-CR"/>
        </w:rPr>
        <w:t>En razón de lo expuesto y siendo que la propia víctima denunció</w:t>
      </w:r>
      <w:r w:rsidR="005A638D" w:rsidRPr="00DC128C">
        <w:rPr>
          <w:rFonts w:ascii="Verdana" w:hAnsi="Verdana"/>
          <w:sz w:val="20"/>
          <w:szCs w:val="20"/>
          <w:lang w:val="es-CR"/>
        </w:rPr>
        <w:t xml:space="preserve"> las </w:t>
      </w:r>
      <w:r w:rsidR="0089347D" w:rsidRPr="00DC128C">
        <w:rPr>
          <w:rFonts w:ascii="Verdana" w:hAnsi="Verdana"/>
          <w:sz w:val="20"/>
          <w:szCs w:val="20"/>
          <w:lang w:val="es-CR"/>
        </w:rPr>
        <w:t xml:space="preserve">supuestas </w:t>
      </w:r>
      <w:r w:rsidR="005A638D" w:rsidRPr="00DC128C">
        <w:rPr>
          <w:rFonts w:ascii="Verdana" w:hAnsi="Verdana"/>
          <w:sz w:val="20"/>
          <w:szCs w:val="20"/>
          <w:lang w:val="es-CR"/>
        </w:rPr>
        <w:t>torturas y vejámenes</w:t>
      </w:r>
      <w:r w:rsidR="0089347D" w:rsidRPr="00DC128C">
        <w:rPr>
          <w:rFonts w:ascii="Verdana" w:hAnsi="Verdana"/>
          <w:sz w:val="20"/>
          <w:szCs w:val="20"/>
          <w:lang w:val="es-CR"/>
        </w:rPr>
        <w:t xml:space="preserve"> y amenazas </w:t>
      </w:r>
      <w:r w:rsidR="00A66A3D" w:rsidRPr="00DC128C">
        <w:rPr>
          <w:rFonts w:ascii="Verdana" w:hAnsi="Verdana"/>
          <w:sz w:val="20"/>
          <w:szCs w:val="20"/>
          <w:lang w:val="es-CR"/>
        </w:rPr>
        <w:t xml:space="preserve">que sufrió durante su reclusión, </w:t>
      </w:r>
      <w:r w:rsidR="005A638D" w:rsidRPr="00DC128C">
        <w:rPr>
          <w:rFonts w:ascii="Verdana" w:hAnsi="Verdana"/>
          <w:sz w:val="20"/>
          <w:szCs w:val="20"/>
          <w:lang w:val="es-CR"/>
        </w:rPr>
        <w:t xml:space="preserve">mediante el recurso de exhibición </w:t>
      </w:r>
      <w:r w:rsidR="005A638D" w:rsidRPr="00DC128C">
        <w:rPr>
          <w:rFonts w:ascii="Verdana" w:hAnsi="Verdana"/>
          <w:sz w:val="20"/>
          <w:szCs w:val="20"/>
          <w:lang w:val="es-CR"/>
        </w:rPr>
        <w:lastRenderedPageBreak/>
        <w:t xml:space="preserve">personal, lo cual es coherente con lo </w:t>
      </w:r>
      <w:r w:rsidR="000E2829">
        <w:rPr>
          <w:rFonts w:ascii="Verdana" w:hAnsi="Verdana"/>
          <w:sz w:val="20"/>
          <w:szCs w:val="20"/>
          <w:lang w:val="es-CR"/>
        </w:rPr>
        <w:t>manifestado por otro privado de</w:t>
      </w:r>
      <w:r w:rsidR="005A638D" w:rsidRPr="00DC128C">
        <w:rPr>
          <w:rFonts w:ascii="Verdana" w:hAnsi="Verdana"/>
          <w:sz w:val="20"/>
          <w:szCs w:val="20"/>
          <w:lang w:val="es-CR"/>
        </w:rPr>
        <w:t xml:space="preserve"> libertad </w:t>
      </w:r>
      <w:r w:rsidR="00E00381" w:rsidRPr="00DC128C">
        <w:rPr>
          <w:rFonts w:ascii="Verdana" w:hAnsi="Verdana"/>
          <w:sz w:val="20"/>
          <w:szCs w:val="20"/>
          <w:lang w:val="es-CR"/>
        </w:rPr>
        <w:t>y los</w:t>
      </w:r>
      <w:r w:rsidR="005A638D" w:rsidRPr="00DC128C">
        <w:rPr>
          <w:rFonts w:ascii="Verdana" w:hAnsi="Verdana"/>
          <w:sz w:val="20"/>
          <w:szCs w:val="20"/>
          <w:lang w:val="es-CR"/>
        </w:rPr>
        <w:t xml:space="preserve"> informes m</w:t>
      </w:r>
      <w:r w:rsidR="00A66A3D" w:rsidRPr="00DC128C">
        <w:rPr>
          <w:rFonts w:ascii="Verdana" w:hAnsi="Verdana"/>
          <w:sz w:val="20"/>
          <w:szCs w:val="20"/>
          <w:lang w:val="es-CR"/>
        </w:rPr>
        <w:t>édicos, e</w:t>
      </w:r>
      <w:r w:rsidR="00B8553D" w:rsidRPr="00DC128C">
        <w:rPr>
          <w:rFonts w:ascii="Verdana" w:hAnsi="Verdana"/>
          <w:sz w:val="20"/>
          <w:szCs w:val="20"/>
          <w:lang w:val="es-CR"/>
        </w:rPr>
        <w:t xml:space="preserve">sta Corte </w:t>
      </w:r>
      <w:r w:rsidR="00A66A3D" w:rsidRPr="00DC128C">
        <w:rPr>
          <w:rFonts w:ascii="Verdana" w:hAnsi="Verdana"/>
          <w:sz w:val="20"/>
          <w:szCs w:val="20"/>
          <w:lang w:val="es-CR"/>
        </w:rPr>
        <w:t xml:space="preserve">considera </w:t>
      </w:r>
      <w:r w:rsidR="00A66A3D" w:rsidRPr="00DC128C">
        <w:rPr>
          <w:rFonts w:ascii="Verdana" w:hAnsi="Verdana"/>
          <w:sz w:val="20"/>
          <w:szCs w:val="20"/>
        </w:rPr>
        <w:t xml:space="preserve">acreditado que el señor Valenzuela sufrió serias lesiones cuando permanecía recluido bajo custodia del Estado, las cuales fueron perpetradas intencionalmente con el </w:t>
      </w:r>
      <w:r w:rsidR="004B59A2" w:rsidRPr="00DC128C">
        <w:rPr>
          <w:rFonts w:ascii="Verdana" w:hAnsi="Verdana"/>
          <w:sz w:val="20"/>
          <w:szCs w:val="20"/>
        </w:rPr>
        <w:t xml:space="preserve">fin </w:t>
      </w:r>
      <w:r w:rsidR="00A66A3D" w:rsidRPr="00DC128C">
        <w:rPr>
          <w:rFonts w:ascii="Verdana" w:hAnsi="Verdana"/>
          <w:sz w:val="20"/>
          <w:szCs w:val="20"/>
        </w:rPr>
        <w:t xml:space="preserve">de obtener información sobre </w:t>
      </w:r>
      <w:r w:rsidR="00A66A3D" w:rsidRPr="00DC128C">
        <w:rPr>
          <w:rFonts w:ascii="Verdana" w:hAnsi="Verdana"/>
          <w:sz w:val="20"/>
          <w:szCs w:val="20"/>
          <w:lang w:val="es-CR"/>
        </w:rPr>
        <w:t xml:space="preserve">la muerte de la Fiscala </w:t>
      </w:r>
      <w:r w:rsidR="00EC557E">
        <w:rPr>
          <w:rFonts w:ascii="Verdana" w:hAnsi="Verdana"/>
          <w:sz w:val="20"/>
          <w:szCs w:val="20"/>
          <w:lang w:val="es-CR"/>
        </w:rPr>
        <w:t>S</w:t>
      </w:r>
      <w:r w:rsidR="00A66A3D" w:rsidRPr="00DC128C">
        <w:rPr>
          <w:rFonts w:ascii="Verdana" w:hAnsi="Verdana"/>
          <w:sz w:val="20"/>
          <w:szCs w:val="20"/>
          <w:lang w:val="es-CR"/>
        </w:rPr>
        <w:t>J</w:t>
      </w:r>
      <w:r w:rsidR="00785A5C">
        <w:rPr>
          <w:rFonts w:ascii="Verdana" w:hAnsi="Verdana"/>
          <w:sz w:val="20"/>
          <w:szCs w:val="20"/>
          <w:lang w:val="es-CR"/>
        </w:rPr>
        <w:t>R.</w:t>
      </w:r>
      <w:r w:rsidR="00014980">
        <w:rPr>
          <w:rFonts w:ascii="Verdana" w:hAnsi="Verdana"/>
          <w:sz w:val="20"/>
          <w:szCs w:val="20"/>
          <w:lang w:val="es-CR"/>
        </w:rPr>
        <w:t xml:space="preserve"> </w:t>
      </w:r>
      <w:r w:rsidR="00A66A3D" w:rsidRPr="00DC128C">
        <w:rPr>
          <w:rFonts w:ascii="Verdana" w:hAnsi="Verdana"/>
          <w:sz w:val="20"/>
          <w:szCs w:val="20"/>
          <w:lang w:val="es-CR"/>
        </w:rPr>
        <w:t>Además, la Corte nota que pese a que el Estado tuvo conocimiento de dichos actos no procuró garantizar su derecho a la integridad personal ni inició de inmediato una investigación al respecto.</w:t>
      </w:r>
      <w:r w:rsidR="004B59A2" w:rsidRPr="00DC128C">
        <w:rPr>
          <w:rFonts w:ascii="Verdana" w:hAnsi="Verdana"/>
          <w:sz w:val="20"/>
          <w:szCs w:val="20"/>
          <w:lang w:val="es-CR"/>
        </w:rPr>
        <w:t xml:space="preserve"> Por lo tanto, en consideración de los elementos considerados, la Corte estima </w:t>
      </w:r>
      <w:r w:rsidR="004B59A2" w:rsidRPr="00DC128C">
        <w:rPr>
          <w:rFonts w:ascii="Verdana" w:eastAsia="Calibri" w:hAnsi="Verdana" w:cs="Helvetica"/>
          <w:sz w:val="20"/>
          <w:szCs w:val="20"/>
          <w:lang w:bidi="en-US"/>
        </w:rPr>
        <w:t xml:space="preserve">que el señor Valenzuela </w:t>
      </w:r>
      <w:r w:rsidR="004B59A2" w:rsidRPr="00DC128C">
        <w:rPr>
          <w:rFonts w:ascii="Verdana" w:hAnsi="Verdana"/>
          <w:sz w:val="20"/>
          <w:szCs w:val="20"/>
        </w:rPr>
        <w:t>fue sometido a actos de tortura física y malos tratos.</w:t>
      </w:r>
    </w:p>
    <w:p w14:paraId="03235F9E" w14:textId="77777777" w:rsidR="00DC128C" w:rsidRPr="00DC128C" w:rsidRDefault="00DC128C" w:rsidP="00DC128C">
      <w:pPr>
        <w:pStyle w:val="Prrafodelista"/>
        <w:rPr>
          <w:rFonts w:ascii="Verdana" w:hAnsi="Verdana"/>
          <w:sz w:val="20"/>
          <w:szCs w:val="20"/>
          <w:lang w:val="es-CR"/>
        </w:rPr>
      </w:pPr>
    </w:p>
    <w:p w14:paraId="7F17D662" w14:textId="2696ED86" w:rsidR="00DC128C" w:rsidRPr="000E33CE" w:rsidRDefault="004B59A2" w:rsidP="0060326C">
      <w:pPr>
        <w:pStyle w:val="Prrafodelista"/>
        <w:numPr>
          <w:ilvl w:val="3"/>
          <w:numId w:val="1"/>
        </w:numPr>
        <w:autoSpaceDE w:val="0"/>
        <w:autoSpaceDN w:val="0"/>
        <w:adjustRightInd w:val="0"/>
        <w:spacing w:after="0" w:line="240" w:lineRule="auto"/>
        <w:ind w:left="0" w:firstLine="0"/>
        <w:jc w:val="both"/>
        <w:rPr>
          <w:rFonts w:ascii="Verdana" w:hAnsi="Verdana"/>
          <w:sz w:val="20"/>
          <w:szCs w:val="20"/>
        </w:rPr>
      </w:pPr>
      <w:r w:rsidRPr="00DC128C">
        <w:rPr>
          <w:rFonts w:ascii="Verdana" w:hAnsi="Verdana"/>
          <w:sz w:val="20"/>
          <w:szCs w:val="20"/>
          <w:lang w:val="es-CR"/>
        </w:rPr>
        <w:t xml:space="preserve">Dado lo expuesto anteriormente, este Tribunal </w:t>
      </w:r>
      <w:r w:rsidR="00880086" w:rsidRPr="00DC128C">
        <w:rPr>
          <w:rFonts w:ascii="Verdana" w:hAnsi="Verdana"/>
          <w:sz w:val="20"/>
          <w:szCs w:val="20"/>
          <w:lang w:val="es-CR"/>
        </w:rPr>
        <w:t xml:space="preserve">acredita </w:t>
      </w:r>
      <w:r w:rsidR="00880086" w:rsidRPr="00DC128C">
        <w:rPr>
          <w:rFonts w:ascii="Verdana" w:eastAsia="Calibri" w:hAnsi="Verdana" w:cs="Helvetica"/>
          <w:sz w:val="20"/>
          <w:szCs w:val="20"/>
          <w:lang w:bidi="en-US"/>
        </w:rPr>
        <w:t>que el señor Valenzuela después de su detención el 27 de mayo de 1998</w:t>
      </w:r>
      <w:r w:rsidR="00880086" w:rsidRPr="00DC128C">
        <w:rPr>
          <w:rFonts w:ascii="Verdana" w:hAnsi="Verdana"/>
          <w:sz w:val="20"/>
          <w:szCs w:val="20"/>
        </w:rPr>
        <w:t xml:space="preserve"> </w:t>
      </w:r>
      <w:r w:rsidR="007F6B19" w:rsidRPr="00DC128C">
        <w:rPr>
          <w:rFonts w:ascii="Verdana" w:hAnsi="Verdana"/>
          <w:sz w:val="20"/>
          <w:szCs w:val="20"/>
        </w:rPr>
        <w:t>fue sometido a actos de tortura física y violencia sexual</w:t>
      </w:r>
      <w:r w:rsidR="0008547A" w:rsidRPr="00DC128C">
        <w:rPr>
          <w:rFonts w:ascii="Verdana" w:hAnsi="Verdana"/>
          <w:sz w:val="20"/>
          <w:szCs w:val="20"/>
        </w:rPr>
        <w:t xml:space="preserve"> y además, en junio de 2001 recibió nuevamente actos de tortura </w:t>
      </w:r>
      <w:proofErr w:type="gramStart"/>
      <w:r w:rsidR="0008547A" w:rsidRPr="00DC128C">
        <w:rPr>
          <w:rFonts w:ascii="Verdana" w:hAnsi="Verdana"/>
          <w:sz w:val="20"/>
          <w:szCs w:val="20"/>
        </w:rPr>
        <w:t xml:space="preserve">física, </w:t>
      </w:r>
      <w:r w:rsidR="007F6B19" w:rsidRPr="00DC128C">
        <w:rPr>
          <w:rFonts w:ascii="Verdana" w:hAnsi="Verdana"/>
          <w:sz w:val="20"/>
          <w:szCs w:val="20"/>
        </w:rPr>
        <w:t xml:space="preserve"> </w:t>
      </w:r>
      <w:r w:rsidR="00880086" w:rsidRPr="00DC128C">
        <w:rPr>
          <w:rFonts w:ascii="Verdana" w:hAnsi="Verdana"/>
          <w:sz w:val="20"/>
          <w:szCs w:val="20"/>
        </w:rPr>
        <w:t>cuando</w:t>
      </w:r>
      <w:proofErr w:type="gramEnd"/>
      <w:r w:rsidR="00880086" w:rsidRPr="00DC128C">
        <w:rPr>
          <w:rFonts w:ascii="Verdana" w:hAnsi="Verdana"/>
          <w:sz w:val="20"/>
          <w:szCs w:val="20"/>
        </w:rPr>
        <w:t xml:space="preserve"> permanecía recluido en el Centro Preventivo de Varones. En consecuencia, la Corte concluye</w:t>
      </w:r>
      <w:r w:rsidR="0029703B" w:rsidRPr="00DC128C">
        <w:rPr>
          <w:rFonts w:ascii="Verdana" w:hAnsi="Verdana"/>
          <w:sz w:val="20"/>
          <w:szCs w:val="20"/>
        </w:rPr>
        <w:t>, sin perjuicio de la responsabilidad penal que debe dirimirse en el ámbito interno,</w:t>
      </w:r>
      <w:r w:rsidR="001A2686">
        <w:rPr>
          <w:rFonts w:ascii="Verdana" w:hAnsi="Verdana"/>
          <w:sz w:val="20"/>
          <w:szCs w:val="20"/>
        </w:rPr>
        <w:t xml:space="preserve"> que </w:t>
      </w:r>
      <w:r w:rsidR="00880086" w:rsidRPr="00DC128C">
        <w:rPr>
          <w:rFonts w:ascii="Verdana" w:hAnsi="Verdana"/>
          <w:sz w:val="20"/>
          <w:szCs w:val="20"/>
        </w:rPr>
        <w:t>el Estado es responsable de la violación de los artículos 5.1 y 5.2 y 11</w:t>
      </w:r>
      <w:r w:rsidR="0029703B" w:rsidRPr="00DC128C">
        <w:rPr>
          <w:rFonts w:ascii="Verdana" w:hAnsi="Verdana"/>
          <w:sz w:val="20"/>
          <w:szCs w:val="20"/>
        </w:rPr>
        <w:t>.1</w:t>
      </w:r>
      <w:r w:rsidR="00880086" w:rsidRPr="00DC128C">
        <w:rPr>
          <w:rFonts w:ascii="Verdana" w:hAnsi="Verdana"/>
          <w:sz w:val="20"/>
          <w:szCs w:val="20"/>
        </w:rPr>
        <w:t xml:space="preserve"> de la Convención </w:t>
      </w:r>
      <w:r w:rsidR="00880086" w:rsidRPr="000E33CE">
        <w:rPr>
          <w:rFonts w:ascii="Verdana" w:hAnsi="Verdana"/>
          <w:sz w:val="20"/>
          <w:szCs w:val="20"/>
        </w:rPr>
        <w:t xml:space="preserve">Americana, </w:t>
      </w:r>
      <w:r w:rsidR="00880086" w:rsidRPr="000E33CE">
        <w:rPr>
          <w:rFonts w:ascii="Verdana" w:hAnsi="Verdana"/>
          <w:bCs/>
          <w:iCs/>
          <w:sz w:val="20"/>
          <w:szCs w:val="20"/>
        </w:rPr>
        <w:t>con relación al artículo 1.1 del mismo instrumento</w:t>
      </w:r>
      <w:r w:rsidR="00880086" w:rsidRPr="000E33CE">
        <w:rPr>
          <w:rFonts w:ascii="Verdana" w:hAnsi="Verdana"/>
          <w:sz w:val="20"/>
          <w:szCs w:val="20"/>
        </w:rPr>
        <w:t xml:space="preserve">, así como en violación de los artículos 1, 6 y 8 de la Convención Interamericana para Prevenir y Sancionar la Tortura, en perjuicio del señor Tirso Valenzuela Ávila. </w:t>
      </w:r>
      <w:r w:rsidR="00FD0DB0">
        <w:rPr>
          <w:rFonts w:ascii="Verdana" w:hAnsi="Verdana"/>
          <w:sz w:val="20"/>
          <w:szCs w:val="20"/>
        </w:rPr>
        <w:t>P</w:t>
      </w:r>
      <w:r w:rsidR="000F18B8">
        <w:rPr>
          <w:rFonts w:ascii="Verdana" w:hAnsi="Verdana"/>
          <w:sz w:val="20"/>
          <w:szCs w:val="20"/>
        </w:rPr>
        <w:t xml:space="preserve">or </w:t>
      </w:r>
      <w:proofErr w:type="gramStart"/>
      <w:r w:rsidR="000F18B8">
        <w:rPr>
          <w:rFonts w:ascii="Verdana" w:hAnsi="Verdana"/>
          <w:sz w:val="20"/>
          <w:szCs w:val="20"/>
        </w:rPr>
        <w:t>otra lado</w:t>
      </w:r>
      <w:proofErr w:type="gramEnd"/>
      <w:r w:rsidR="00785A5C" w:rsidRPr="000E33CE">
        <w:rPr>
          <w:rFonts w:ascii="Verdana" w:hAnsi="Verdana"/>
          <w:sz w:val="20"/>
          <w:szCs w:val="20"/>
        </w:rPr>
        <w:t>, los representantes alegaron la violación del artículo 7 de la CIPST, este Tribunal</w:t>
      </w:r>
      <w:r w:rsidR="00A07AF4" w:rsidRPr="000E33CE">
        <w:rPr>
          <w:rFonts w:ascii="Verdana" w:hAnsi="Verdana"/>
          <w:sz w:val="20"/>
          <w:szCs w:val="20"/>
        </w:rPr>
        <w:t xml:space="preserve"> </w:t>
      </w:r>
      <w:r w:rsidR="0012770C" w:rsidRPr="000E33CE">
        <w:rPr>
          <w:rFonts w:ascii="Verdana" w:hAnsi="Verdana"/>
          <w:sz w:val="20"/>
          <w:szCs w:val="20"/>
        </w:rPr>
        <w:t>con base en lo res</w:t>
      </w:r>
      <w:r w:rsidR="00A07AF4" w:rsidRPr="000E33CE">
        <w:rPr>
          <w:rFonts w:ascii="Verdana" w:hAnsi="Verdana"/>
          <w:sz w:val="20"/>
          <w:szCs w:val="20"/>
        </w:rPr>
        <w:t>uel</w:t>
      </w:r>
      <w:r w:rsidR="0012770C" w:rsidRPr="000E33CE">
        <w:rPr>
          <w:rFonts w:ascii="Verdana" w:hAnsi="Verdana"/>
          <w:sz w:val="20"/>
          <w:szCs w:val="20"/>
        </w:rPr>
        <w:t xml:space="preserve">to, considera que no es necesario pronunciarse sobre la alegada vulneración. </w:t>
      </w:r>
    </w:p>
    <w:p w14:paraId="50887154" w14:textId="77777777" w:rsidR="00DC128C" w:rsidRPr="00DC128C" w:rsidRDefault="00DC128C" w:rsidP="00DC128C">
      <w:pPr>
        <w:pStyle w:val="Prrafodelista"/>
        <w:rPr>
          <w:rFonts w:ascii="Verdana" w:hAnsi="Verdana"/>
          <w:sz w:val="20"/>
          <w:szCs w:val="20"/>
          <w:lang w:val="es-CR"/>
        </w:rPr>
      </w:pPr>
    </w:p>
    <w:p w14:paraId="1D707A83" w14:textId="77777777" w:rsidR="00DC128C" w:rsidRPr="003C46E1" w:rsidRDefault="008B29AC" w:rsidP="00DC128C">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DC128C">
        <w:rPr>
          <w:rFonts w:ascii="Verdana" w:hAnsi="Verdana"/>
          <w:sz w:val="20"/>
          <w:szCs w:val="20"/>
          <w:lang w:val="es-CR"/>
        </w:rPr>
        <w:t>Por otra parte</w:t>
      </w:r>
      <w:r w:rsidR="0071347E" w:rsidRPr="00DC128C">
        <w:rPr>
          <w:rFonts w:ascii="Verdana" w:hAnsi="Verdana"/>
          <w:sz w:val="20"/>
          <w:szCs w:val="20"/>
          <w:lang w:val="es-CR"/>
        </w:rPr>
        <w:t>, los representantes alegaron q</w:t>
      </w:r>
      <w:r w:rsidR="00D16781" w:rsidRPr="00DC128C">
        <w:rPr>
          <w:rFonts w:ascii="Verdana" w:hAnsi="Verdana"/>
          <w:sz w:val="20"/>
          <w:szCs w:val="20"/>
          <w:lang w:val="es-CR"/>
        </w:rPr>
        <w:t xml:space="preserve">ue el señor Valenzuela Ávila </w:t>
      </w:r>
      <w:r w:rsidR="0071347E" w:rsidRPr="00DC128C">
        <w:rPr>
          <w:rFonts w:ascii="Verdana" w:hAnsi="Verdana"/>
          <w:sz w:val="20"/>
          <w:szCs w:val="20"/>
          <w:lang w:val="es-CR"/>
        </w:rPr>
        <w:t>no recibió tratamiento médico durante su perman</w:t>
      </w:r>
      <w:r w:rsidR="009D17C8" w:rsidRPr="00DC128C">
        <w:rPr>
          <w:rFonts w:ascii="Verdana" w:hAnsi="Verdana"/>
          <w:sz w:val="20"/>
          <w:szCs w:val="20"/>
          <w:lang w:val="es-CR"/>
        </w:rPr>
        <w:t>encia en el centro penitenciario</w:t>
      </w:r>
      <w:r w:rsidR="0071347E" w:rsidRPr="00DC128C">
        <w:rPr>
          <w:rFonts w:ascii="Verdana" w:hAnsi="Verdana"/>
          <w:sz w:val="20"/>
          <w:szCs w:val="20"/>
          <w:lang w:val="es-CR"/>
        </w:rPr>
        <w:t>, luego de las torturas sufridas cuando fue detenido y recapturado. Al respecto, la Corte ha establecido que “[u]</w:t>
      </w:r>
      <w:proofErr w:type="spellStart"/>
      <w:r w:rsidR="0071347E" w:rsidRPr="00DC128C">
        <w:rPr>
          <w:rFonts w:ascii="Verdana" w:hAnsi="Verdana"/>
          <w:sz w:val="20"/>
          <w:szCs w:val="20"/>
          <w:lang w:val="es-CR"/>
        </w:rPr>
        <w:t>na</w:t>
      </w:r>
      <w:proofErr w:type="spellEnd"/>
      <w:r w:rsidR="0071347E" w:rsidRPr="00DC128C">
        <w:rPr>
          <w:rFonts w:ascii="Verdana" w:hAnsi="Verdana"/>
          <w:sz w:val="20"/>
          <w:szCs w:val="20"/>
          <w:lang w:val="es-CR"/>
        </w:rPr>
        <w:t xml:space="preserve"> de las obligaciones que ineludiblemente debe asumir el Estado en su posición de garante, con el objetivo de proteger y garantizar el derecho a la vida y a la integridad personal de las personas privadas de libertad, es la de [procurar] a éstas las condiciones mínimas compatibles con su dignidad mientras permanec</w:t>
      </w:r>
      <w:r w:rsidR="006168B7" w:rsidRPr="00DC128C">
        <w:rPr>
          <w:rFonts w:ascii="Verdana" w:hAnsi="Verdana"/>
          <w:sz w:val="20"/>
          <w:szCs w:val="20"/>
          <w:lang w:val="es-CR"/>
        </w:rPr>
        <w:t>en en los centros de detención”</w:t>
      </w:r>
      <w:r w:rsidR="0071347E" w:rsidRPr="0060326C">
        <w:rPr>
          <w:rFonts w:ascii="Verdana" w:hAnsi="Verdana"/>
          <w:sz w:val="20"/>
          <w:szCs w:val="20"/>
          <w:vertAlign w:val="superscript"/>
        </w:rPr>
        <w:footnoteReference w:id="163"/>
      </w:r>
      <w:r w:rsidR="006168B7" w:rsidRPr="00DC128C">
        <w:rPr>
          <w:rFonts w:ascii="Verdana" w:hAnsi="Verdana"/>
          <w:sz w:val="20"/>
          <w:szCs w:val="20"/>
        </w:rPr>
        <w:t>.</w:t>
      </w:r>
      <w:r w:rsidR="0071347E" w:rsidRPr="00DC128C">
        <w:rPr>
          <w:rFonts w:ascii="Verdana" w:hAnsi="Verdana"/>
          <w:sz w:val="20"/>
          <w:szCs w:val="20"/>
          <w:lang w:val="es-CR"/>
        </w:rPr>
        <w:t xml:space="preserve"> Sobre este punto, la Corte ha desarrollado un conjunto de obligaciones para el cumplimiento de este deber, entre ellas, se encuentra la obligación de brindar atención médica, a través de un tratamiento adecuado que sea necesario</w:t>
      </w:r>
      <w:r w:rsidR="0071347E" w:rsidRPr="0060326C">
        <w:rPr>
          <w:rFonts w:ascii="Verdana" w:hAnsi="Verdana"/>
          <w:sz w:val="20"/>
          <w:szCs w:val="20"/>
          <w:vertAlign w:val="superscript"/>
        </w:rPr>
        <w:footnoteReference w:id="164"/>
      </w:r>
      <w:r w:rsidR="0071347E" w:rsidRPr="00DC128C">
        <w:rPr>
          <w:rFonts w:ascii="Verdana" w:hAnsi="Verdana"/>
          <w:sz w:val="20"/>
          <w:szCs w:val="20"/>
          <w:lang w:val="es-CR"/>
        </w:rPr>
        <w:t>. Asimismo, ha señalado que la inexistencia de un “tratamiento o atención médi</w:t>
      </w:r>
      <w:r w:rsidRPr="00DC128C">
        <w:rPr>
          <w:rFonts w:ascii="Verdana" w:hAnsi="Verdana"/>
          <w:sz w:val="20"/>
          <w:szCs w:val="20"/>
          <w:lang w:val="es-CR"/>
        </w:rPr>
        <w:t>ca adecuada y oportuna”, constituye</w:t>
      </w:r>
      <w:r w:rsidR="0071347E" w:rsidRPr="00DC128C">
        <w:rPr>
          <w:rFonts w:ascii="Verdana" w:hAnsi="Verdana"/>
          <w:sz w:val="20"/>
          <w:szCs w:val="20"/>
          <w:lang w:val="es-CR"/>
        </w:rPr>
        <w:t xml:space="preserve"> una vio</w:t>
      </w:r>
      <w:r w:rsidR="000D4FF7" w:rsidRPr="00DC128C">
        <w:rPr>
          <w:rFonts w:ascii="Verdana" w:hAnsi="Verdana"/>
          <w:sz w:val="20"/>
          <w:szCs w:val="20"/>
          <w:lang w:val="es-CR"/>
        </w:rPr>
        <w:t xml:space="preserve">lación del </w:t>
      </w:r>
      <w:r w:rsidR="000D4FF7" w:rsidRPr="003C46E1">
        <w:rPr>
          <w:rFonts w:ascii="Verdana" w:hAnsi="Verdana"/>
          <w:sz w:val="20"/>
          <w:szCs w:val="20"/>
          <w:lang w:val="es-CR"/>
        </w:rPr>
        <w:t>artículo 5 de la Convención</w:t>
      </w:r>
      <w:r w:rsidR="0071347E" w:rsidRPr="005924A6">
        <w:rPr>
          <w:rFonts w:ascii="Verdana" w:hAnsi="Verdana"/>
          <w:sz w:val="20"/>
          <w:szCs w:val="20"/>
          <w:vertAlign w:val="superscript"/>
        </w:rPr>
        <w:footnoteReference w:id="165"/>
      </w:r>
      <w:r w:rsidR="0071347E" w:rsidRPr="003C46E1">
        <w:rPr>
          <w:rFonts w:ascii="Verdana" w:hAnsi="Verdana"/>
          <w:sz w:val="20"/>
          <w:szCs w:val="20"/>
          <w:lang w:val="es-CR"/>
        </w:rPr>
        <w:t>.</w:t>
      </w:r>
    </w:p>
    <w:p w14:paraId="7F18A2A4" w14:textId="77777777" w:rsidR="003C46E1" w:rsidRPr="005924A6" w:rsidRDefault="003C46E1" w:rsidP="005924A6">
      <w:pPr>
        <w:pStyle w:val="Prrafodelista"/>
        <w:rPr>
          <w:rFonts w:ascii="Verdana" w:hAnsi="Verdana"/>
          <w:sz w:val="20"/>
          <w:szCs w:val="20"/>
          <w:lang w:val="es-CR"/>
        </w:rPr>
      </w:pPr>
    </w:p>
    <w:p w14:paraId="6F24707A" w14:textId="0722F5FD" w:rsidR="00AD1ACF" w:rsidRPr="003D64E6" w:rsidRDefault="00112F00" w:rsidP="005924A6">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3D64E6">
        <w:rPr>
          <w:rFonts w:ascii="Verdana" w:hAnsi="Verdana"/>
          <w:sz w:val="20"/>
          <w:szCs w:val="20"/>
          <w:lang w:val="es-CR"/>
        </w:rPr>
        <w:t>Para este Tribunal de los</w:t>
      </w:r>
      <w:r w:rsidR="0071347E" w:rsidRPr="003D64E6">
        <w:rPr>
          <w:rFonts w:ascii="Verdana" w:hAnsi="Verdana"/>
          <w:sz w:val="20"/>
          <w:szCs w:val="20"/>
          <w:lang w:val="es-CR"/>
        </w:rPr>
        <w:t xml:space="preserve"> hechos</w:t>
      </w:r>
      <w:r w:rsidRPr="003D64E6">
        <w:rPr>
          <w:rFonts w:ascii="Verdana" w:hAnsi="Verdana"/>
          <w:sz w:val="20"/>
          <w:szCs w:val="20"/>
          <w:lang w:val="es-CR"/>
        </w:rPr>
        <w:t xml:space="preserve"> aducidos y elementos de pruebas aportados s</w:t>
      </w:r>
      <w:r w:rsidR="00EC3578" w:rsidRPr="003D64E6">
        <w:rPr>
          <w:rFonts w:ascii="Verdana" w:hAnsi="Verdana"/>
          <w:sz w:val="20"/>
          <w:szCs w:val="20"/>
          <w:lang w:val="es-CR"/>
        </w:rPr>
        <w:t xml:space="preserve">e </w:t>
      </w:r>
      <w:r w:rsidRPr="003D64E6">
        <w:rPr>
          <w:rFonts w:ascii="Verdana" w:hAnsi="Verdana"/>
          <w:sz w:val="20"/>
          <w:szCs w:val="20"/>
          <w:lang w:val="es-CR"/>
        </w:rPr>
        <w:t xml:space="preserve">desprende que </w:t>
      </w:r>
      <w:r w:rsidR="00EC3578" w:rsidRPr="003D64E6">
        <w:rPr>
          <w:rFonts w:ascii="Verdana" w:hAnsi="Verdana"/>
          <w:sz w:val="20"/>
          <w:szCs w:val="20"/>
          <w:lang w:val="es-CR"/>
        </w:rPr>
        <w:t>el Estado</w:t>
      </w:r>
      <w:r w:rsidR="0071347E" w:rsidRPr="003D64E6">
        <w:rPr>
          <w:rFonts w:ascii="Verdana" w:hAnsi="Verdana"/>
          <w:sz w:val="20"/>
          <w:szCs w:val="20"/>
          <w:lang w:val="es-CR"/>
        </w:rPr>
        <w:t xml:space="preserve"> no brindó at</w:t>
      </w:r>
      <w:r w:rsidR="00EC3578" w:rsidRPr="003D64E6">
        <w:rPr>
          <w:rFonts w:ascii="Verdana" w:hAnsi="Verdana"/>
          <w:sz w:val="20"/>
          <w:szCs w:val="20"/>
          <w:lang w:val="es-CR"/>
        </w:rPr>
        <w:t xml:space="preserve">ención médica adecuada en </w:t>
      </w:r>
      <w:r w:rsidR="0071347E" w:rsidRPr="003D64E6">
        <w:rPr>
          <w:rFonts w:ascii="Verdana" w:hAnsi="Verdana"/>
          <w:sz w:val="20"/>
          <w:szCs w:val="20"/>
          <w:lang w:val="es-CR"/>
        </w:rPr>
        <w:t>los momentos en que el señor Valenz</w:t>
      </w:r>
      <w:r w:rsidR="003441A5" w:rsidRPr="003D64E6">
        <w:rPr>
          <w:rFonts w:ascii="Verdana" w:hAnsi="Verdana"/>
          <w:sz w:val="20"/>
          <w:szCs w:val="20"/>
          <w:lang w:val="es-CR"/>
        </w:rPr>
        <w:t xml:space="preserve">uela </w:t>
      </w:r>
      <w:r w:rsidRPr="003D64E6">
        <w:rPr>
          <w:rFonts w:ascii="Verdana" w:hAnsi="Verdana"/>
          <w:sz w:val="20"/>
          <w:szCs w:val="20"/>
          <w:lang w:val="es-CR"/>
        </w:rPr>
        <w:t xml:space="preserve">la </w:t>
      </w:r>
      <w:r w:rsidR="003441A5" w:rsidRPr="003D64E6">
        <w:rPr>
          <w:rFonts w:ascii="Verdana" w:hAnsi="Verdana"/>
          <w:sz w:val="20"/>
          <w:szCs w:val="20"/>
          <w:lang w:val="es-CR"/>
        </w:rPr>
        <w:t xml:space="preserve">solicitó </w:t>
      </w:r>
      <w:r w:rsidR="0071347E" w:rsidRPr="003D64E6">
        <w:rPr>
          <w:rFonts w:ascii="Verdana" w:hAnsi="Verdana"/>
          <w:sz w:val="20"/>
          <w:szCs w:val="20"/>
          <w:lang w:val="es-CR"/>
        </w:rPr>
        <w:t>debido al estado físico y mental en el que se encontraba</w:t>
      </w:r>
      <w:r w:rsidR="00EC3578" w:rsidRPr="003D64E6">
        <w:rPr>
          <w:rStyle w:val="Refdenotaalpie"/>
          <w:rFonts w:ascii="Verdana" w:hAnsi="Verdana"/>
          <w:sz w:val="20"/>
          <w:szCs w:val="20"/>
          <w:lang w:val="es-CR"/>
        </w:rPr>
        <w:footnoteReference w:id="166"/>
      </w:r>
      <w:r w:rsidR="00EC3578" w:rsidRPr="003D64E6">
        <w:rPr>
          <w:rFonts w:ascii="Verdana" w:hAnsi="Verdana"/>
          <w:sz w:val="20"/>
          <w:szCs w:val="20"/>
          <w:lang w:val="es-CR"/>
        </w:rPr>
        <w:t>,</w:t>
      </w:r>
      <w:r w:rsidR="0071347E" w:rsidRPr="003D64E6">
        <w:rPr>
          <w:rFonts w:ascii="Verdana" w:hAnsi="Verdana"/>
          <w:sz w:val="20"/>
          <w:szCs w:val="20"/>
          <w:lang w:val="es-CR"/>
        </w:rPr>
        <w:t xml:space="preserve"> después de</w:t>
      </w:r>
      <w:r w:rsidR="006D5320" w:rsidRPr="003D64E6">
        <w:rPr>
          <w:rFonts w:ascii="Verdana" w:hAnsi="Verdana"/>
          <w:sz w:val="20"/>
          <w:szCs w:val="20"/>
          <w:lang w:val="es-CR"/>
        </w:rPr>
        <w:t xml:space="preserve"> haber sido torturado </w:t>
      </w:r>
      <w:r w:rsidR="006168B7" w:rsidRPr="003D64E6">
        <w:rPr>
          <w:rFonts w:ascii="Verdana" w:hAnsi="Verdana"/>
          <w:sz w:val="20"/>
          <w:szCs w:val="20"/>
          <w:lang w:val="es-CR"/>
        </w:rPr>
        <w:t>el 27 de mayo de 1998</w:t>
      </w:r>
      <w:r w:rsidR="006D5320" w:rsidRPr="003D64E6">
        <w:rPr>
          <w:rFonts w:ascii="Verdana" w:hAnsi="Verdana"/>
          <w:sz w:val="20"/>
          <w:szCs w:val="20"/>
          <w:lang w:val="es-CR"/>
        </w:rPr>
        <w:t xml:space="preserve"> </w:t>
      </w:r>
      <w:r w:rsidR="0071347E" w:rsidRPr="003D64E6">
        <w:rPr>
          <w:rFonts w:ascii="Verdana" w:hAnsi="Verdana"/>
          <w:sz w:val="20"/>
          <w:szCs w:val="20"/>
          <w:lang w:val="es-CR"/>
        </w:rPr>
        <w:t xml:space="preserve">y </w:t>
      </w:r>
      <w:r w:rsidR="00961196" w:rsidRPr="003D64E6">
        <w:rPr>
          <w:rFonts w:ascii="Verdana" w:hAnsi="Verdana"/>
          <w:sz w:val="20"/>
          <w:szCs w:val="20"/>
          <w:lang w:val="es-CR"/>
        </w:rPr>
        <w:t xml:space="preserve">en </w:t>
      </w:r>
      <w:r w:rsidR="0071347E" w:rsidRPr="003D64E6">
        <w:rPr>
          <w:rFonts w:ascii="Verdana" w:hAnsi="Verdana"/>
          <w:sz w:val="20"/>
          <w:szCs w:val="20"/>
          <w:lang w:val="es-CR"/>
        </w:rPr>
        <w:t xml:space="preserve">junio de 2001, </w:t>
      </w:r>
      <w:r w:rsidR="00EC3578" w:rsidRPr="003D64E6">
        <w:rPr>
          <w:rFonts w:ascii="Verdana" w:hAnsi="Verdana"/>
          <w:sz w:val="20"/>
          <w:szCs w:val="20"/>
          <w:lang w:val="es-CR"/>
        </w:rPr>
        <w:t>después de su segunda recaptura. P</w:t>
      </w:r>
      <w:r w:rsidR="001B5942" w:rsidRPr="003D64E6">
        <w:rPr>
          <w:rFonts w:ascii="Verdana" w:hAnsi="Verdana"/>
          <w:sz w:val="20"/>
          <w:szCs w:val="20"/>
          <w:lang w:val="es-CR"/>
        </w:rPr>
        <w:t>or lo que la Corte considera que la falta de la atención médica</w:t>
      </w:r>
      <w:r w:rsidR="000F18B8">
        <w:rPr>
          <w:rFonts w:ascii="Verdana" w:hAnsi="Verdana"/>
          <w:sz w:val="20"/>
          <w:szCs w:val="20"/>
          <w:lang w:val="es-CR"/>
        </w:rPr>
        <w:t xml:space="preserve"> adecuada</w:t>
      </w:r>
      <w:r w:rsidR="001B5942" w:rsidRPr="003D64E6">
        <w:rPr>
          <w:rFonts w:ascii="Verdana" w:hAnsi="Verdana"/>
          <w:sz w:val="20"/>
          <w:szCs w:val="20"/>
          <w:lang w:val="es-CR"/>
        </w:rPr>
        <w:t xml:space="preserve"> constituye una violación del artículo 5 de la Convención.</w:t>
      </w:r>
    </w:p>
    <w:p w14:paraId="63FBDEBF" w14:textId="77777777" w:rsidR="00AD1ACF" w:rsidRDefault="00AD1ACF" w:rsidP="008B37EB">
      <w:pPr>
        <w:pStyle w:val="Prrafodelista"/>
        <w:autoSpaceDE w:val="0"/>
        <w:autoSpaceDN w:val="0"/>
        <w:adjustRightInd w:val="0"/>
        <w:spacing w:after="0" w:line="240" w:lineRule="auto"/>
        <w:ind w:left="0"/>
        <w:jc w:val="both"/>
        <w:rPr>
          <w:rFonts w:ascii="Verdana" w:hAnsi="Verdana"/>
          <w:sz w:val="20"/>
          <w:szCs w:val="20"/>
          <w:lang w:val="es-CR"/>
        </w:rPr>
      </w:pPr>
    </w:p>
    <w:p w14:paraId="509D2AEA" w14:textId="5449022C" w:rsidR="00792505" w:rsidRPr="008B37EB" w:rsidRDefault="008A2BCA" w:rsidP="008B37EB">
      <w:pPr>
        <w:pStyle w:val="Prrafodelista"/>
        <w:numPr>
          <w:ilvl w:val="3"/>
          <w:numId w:val="1"/>
        </w:numPr>
        <w:autoSpaceDE w:val="0"/>
        <w:autoSpaceDN w:val="0"/>
        <w:adjustRightInd w:val="0"/>
        <w:spacing w:after="0" w:line="240" w:lineRule="auto"/>
        <w:ind w:left="0" w:firstLine="0"/>
        <w:jc w:val="both"/>
        <w:rPr>
          <w:rFonts w:ascii="Verdana" w:hAnsi="Verdana"/>
          <w:sz w:val="20"/>
          <w:szCs w:val="20"/>
        </w:rPr>
      </w:pPr>
      <w:r w:rsidRPr="008B37EB">
        <w:rPr>
          <w:rFonts w:ascii="Verdana" w:hAnsi="Verdana"/>
          <w:sz w:val="20"/>
          <w:szCs w:val="20"/>
        </w:rPr>
        <w:lastRenderedPageBreak/>
        <w:t>Por último</w:t>
      </w:r>
      <w:r w:rsidR="006C303E" w:rsidRPr="008B37EB">
        <w:rPr>
          <w:rFonts w:ascii="Verdana" w:hAnsi="Verdana"/>
          <w:sz w:val="20"/>
          <w:szCs w:val="20"/>
        </w:rPr>
        <w:t>, los</w:t>
      </w:r>
      <w:r w:rsidR="006C303E" w:rsidRPr="008B37EB">
        <w:rPr>
          <w:rFonts w:ascii="Verdana" w:hAnsi="Verdana"/>
          <w:b/>
          <w:sz w:val="20"/>
          <w:szCs w:val="20"/>
        </w:rPr>
        <w:t xml:space="preserve"> </w:t>
      </w:r>
      <w:r w:rsidR="006C303E" w:rsidRPr="008B37EB">
        <w:rPr>
          <w:rFonts w:ascii="Verdana" w:hAnsi="Verdana"/>
          <w:b/>
          <w:i/>
          <w:sz w:val="20"/>
          <w:szCs w:val="20"/>
        </w:rPr>
        <w:t>representantes</w:t>
      </w:r>
      <w:r w:rsidR="006C303E" w:rsidRPr="008B37EB">
        <w:rPr>
          <w:rFonts w:ascii="Verdana" w:hAnsi="Verdana"/>
          <w:i/>
          <w:sz w:val="20"/>
          <w:szCs w:val="20"/>
        </w:rPr>
        <w:t xml:space="preserve"> </w:t>
      </w:r>
      <w:r w:rsidR="006C303E" w:rsidRPr="008B37EB">
        <w:rPr>
          <w:rFonts w:ascii="Verdana" w:hAnsi="Verdana"/>
          <w:sz w:val="20"/>
          <w:szCs w:val="20"/>
        </w:rPr>
        <w:t>alegaron que el Estado también vulneró el derecho a la integridad personal de la presunta víctima al someterlo al corre</w:t>
      </w:r>
      <w:r w:rsidR="00770EC6" w:rsidRPr="008B37EB">
        <w:rPr>
          <w:rFonts w:ascii="Verdana" w:hAnsi="Verdana"/>
          <w:sz w:val="20"/>
          <w:szCs w:val="20"/>
        </w:rPr>
        <w:t>dor de la muerte.</w:t>
      </w:r>
      <w:r w:rsidR="006E2EF9" w:rsidRPr="008B37EB">
        <w:rPr>
          <w:rFonts w:ascii="Verdana" w:hAnsi="Verdana"/>
          <w:sz w:val="20"/>
          <w:szCs w:val="20"/>
        </w:rPr>
        <w:t xml:space="preserve"> </w:t>
      </w:r>
      <w:r w:rsidR="00792505" w:rsidRPr="008B37EB">
        <w:rPr>
          <w:rFonts w:ascii="Verdana" w:hAnsi="Verdana"/>
          <w:kern w:val="2"/>
          <w:sz w:val="20"/>
          <w:szCs w:val="20"/>
        </w:rPr>
        <w:t xml:space="preserve">Esta Corte ha tenido oportunidad de pronunciarse al respecto del llamado “fenómeno del corredor de la muerte” </w:t>
      </w:r>
      <w:r w:rsidR="00792505" w:rsidRPr="008B37EB">
        <w:rPr>
          <w:rStyle w:val="Textoennegrita"/>
          <w:rFonts w:ascii="Verdana" w:eastAsia="Calibri" w:hAnsi="Verdana"/>
          <w:b w:val="0"/>
          <w:sz w:val="20"/>
          <w:szCs w:val="20"/>
        </w:rPr>
        <w:t>en el caso</w:t>
      </w:r>
      <w:r w:rsidR="00792505" w:rsidRPr="008B37EB">
        <w:rPr>
          <w:rStyle w:val="Textoennegrita"/>
          <w:rFonts w:ascii="Verdana" w:eastAsia="Calibri" w:hAnsi="Verdana"/>
          <w:b w:val="0"/>
          <w:i/>
          <w:sz w:val="20"/>
          <w:szCs w:val="20"/>
        </w:rPr>
        <w:t xml:space="preserve"> Hilaire, </w:t>
      </w:r>
      <w:proofErr w:type="spellStart"/>
      <w:r w:rsidR="00792505" w:rsidRPr="008B37EB">
        <w:rPr>
          <w:rStyle w:val="Textoennegrita"/>
          <w:rFonts w:ascii="Verdana" w:eastAsia="Calibri" w:hAnsi="Verdana"/>
          <w:b w:val="0"/>
          <w:i/>
          <w:sz w:val="20"/>
          <w:szCs w:val="20"/>
        </w:rPr>
        <w:t>Constantine</w:t>
      </w:r>
      <w:proofErr w:type="spellEnd"/>
      <w:r w:rsidR="00792505" w:rsidRPr="008B37EB">
        <w:rPr>
          <w:rStyle w:val="Textoennegrita"/>
          <w:rFonts w:ascii="Verdana" w:eastAsia="Calibri" w:hAnsi="Verdana"/>
          <w:b w:val="0"/>
          <w:i/>
          <w:sz w:val="20"/>
          <w:szCs w:val="20"/>
        </w:rPr>
        <w:t xml:space="preserve"> y </w:t>
      </w:r>
      <w:proofErr w:type="spellStart"/>
      <w:r w:rsidR="00792505" w:rsidRPr="008B37EB">
        <w:rPr>
          <w:rStyle w:val="Textoennegrita"/>
          <w:rFonts w:ascii="Verdana" w:eastAsia="Calibri" w:hAnsi="Verdana"/>
          <w:b w:val="0"/>
          <w:i/>
          <w:sz w:val="20"/>
          <w:szCs w:val="20"/>
        </w:rPr>
        <w:t>Benjamin</w:t>
      </w:r>
      <w:proofErr w:type="spellEnd"/>
      <w:r w:rsidR="00792505" w:rsidRPr="008B37EB">
        <w:rPr>
          <w:rStyle w:val="Textoennegrita"/>
          <w:rFonts w:ascii="Verdana" w:eastAsia="Calibri" w:hAnsi="Verdana"/>
          <w:b w:val="0"/>
          <w:i/>
          <w:sz w:val="20"/>
          <w:szCs w:val="20"/>
        </w:rPr>
        <w:t xml:space="preserve"> y otros Vs. Trinidad y Tobago</w:t>
      </w:r>
      <w:r w:rsidR="00792505" w:rsidRPr="008B37EB">
        <w:rPr>
          <w:rFonts w:ascii="Verdana" w:hAnsi="Verdana"/>
          <w:bCs/>
          <w:sz w:val="20"/>
          <w:szCs w:val="20"/>
        </w:rPr>
        <w:t xml:space="preserve"> </w:t>
      </w:r>
      <w:r w:rsidR="00792505" w:rsidRPr="008B37EB">
        <w:rPr>
          <w:rFonts w:ascii="Verdana" w:hAnsi="Verdana"/>
          <w:kern w:val="2"/>
          <w:sz w:val="20"/>
          <w:szCs w:val="20"/>
        </w:rPr>
        <w:t xml:space="preserve">y en el caso </w:t>
      </w:r>
      <w:proofErr w:type="spellStart"/>
      <w:r w:rsidR="00792505" w:rsidRPr="008B37EB">
        <w:rPr>
          <w:rStyle w:val="Textoennegrita"/>
          <w:rFonts w:ascii="Verdana" w:eastAsia="Calibri" w:hAnsi="Verdana"/>
          <w:b w:val="0"/>
          <w:i/>
          <w:sz w:val="20"/>
          <w:szCs w:val="20"/>
        </w:rPr>
        <w:t>Raxcacó</w:t>
      </w:r>
      <w:proofErr w:type="spellEnd"/>
      <w:r w:rsidR="00792505" w:rsidRPr="008B37EB">
        <w:rPr>
          <w:rStyle w:val="Textoennegrita"/>
          <w:rFonts w:ascii="Verdana" w:eastAsia="Calibri" w:hAnsi="Verdana"/>
          <w:b w:val="0"/>
          <w:i/>
          <w:sz w:val="20"/>
          <w:szCs w:val="20"/>
        </w:rPr>
        <w:t xml:space="preserve"> Reyes Vs. Guatemala</w:t>
      </w:r>
      <w:r w:rsidR="00792505" w:rsidRPr="008B37EB">
        <w:rPr>
          <w:rStyle w:val="Textoennegrita"/>
          <w:rFonts w:ascii="Verdana" w:eastAsia="Calibri" w:hAnsi="Verdana"/>
          <w:b w:val="0"/>
          <w:sz w:val="20"/>
          <w:szCs w:val="20"/>
        </w:rPr>
        <w:t xml:space="preserve">. La Corte </w:t>
      </w:r>
      <w:r w:rsidR="00CD22EB">
        <w:rPr>
          <w:rStyle w:val="Textoennegrita"/>
          <w:rFonts w:ascii="Verdana" w:eastAsia="Calibri" w:hAnsi="Verdana"/>
          <w:b w:val="0"/>
          <w:sz w:val="20"/>
          <w:szCs w:val="20"/>
        </w:rPr>
        <w:t>nota</w:t>
      </w:r>
      <w:r w:rsidR="00792505" w:rsidRPr="008B37EB">
        <w:rPr>
          <w:rStyle w:val="Textoennegrita"/>
          <w:rFonts w:ascii="Verdana" w:eastAsia="Calibri" w:hAnsi="Verdana"/>
          <w:b w:val="0"/>
          <w:sz w:val="20"/>
          <w:szCs w:val="20"/>
        </w:rPr>
        <w:t xml:space="preserve"> que, </w:t>
      </w:r>
      <w:r w:rsidR="00CD22EB">
        <w:rPr>
          <w:rStyle w:val="Textoennegrita"/>
          <w:rFonts w:ascii="Verdana" w:eastAsia="Calibri" w:hAnsi="Verdana"/>
          <w:b w:val="0"/>
          <w:sz w:val="20"/>
          <w:szCs w:val="20"/>
        </w:rPr>
        <w:t xml:space="preserve">en dichos casos </w:t>
      </w:r>
      <w:r w:rsidR="00792505" w:rsidRPr="00586918">
        <w:rPr>
          <w:rFonts w:ascii="Verdana" w:hAnsi="Verdana"/>
          <w:sz w:val="20"/>
          <w:szCs w:val="20"/>
        </w:rPr>
        <w:t>se realizó una valoración de los peritajes aportados relativos a las condiciones de detención específicas y propias de las personas condenadas</w:t>
      </w:r>
      <w:r w:rsidR="00792505" w:rsidRPr="00F612C0">
        <w:rPr>
          <w:rFonts w:ascii="Verdana" w:hAnsi="Verdana"/>
          <w:sz w:val="20"/>
          <w:szCs w:val="20"/>
        </w:rPr>
        <w:t xml:space="preserve"> a muerte y víctimas del caso, así como sobre el impacto concreto sobre ellas, las cuales condujeron a una violación de los artículos 5.1 y 5.2 de la Convención Americana, en relación con el artículo 1.1 d</w:t>
      </w:r>
      <w:r w:rsidR="00792505" w:rsidRPr="00E17FB3">
        <w:rPr>
          <w:rFonts w:ascii="Verdana" w:hAnsi="Verdana"/>
          <w:sz w:val="20"/>
          <w:szCs w:val="20"/>
        </w:rPr>
        <w:t>el mismo instrumento</w:t>
      </w:r>
      <w:r w:rsidR="00792505" w:rsidRPr="005C01D6">
        <w:rPr>
          <w:rStyle w:val="Refdenotaalpie"/>
          <w:rFonts w:ascii="Verdana" w:hAnsi="Verdana"/>
          <w:sz w:val="20"/>
          <w:szCs w:val="20"/>
        </w:rPr>
        <w:footnoteReference w:id="167"/>
      </w:r>
      <w:r w:rsidR="00792505" w:rsidRPr="00593B83">
        <w:rPr>
          <w:rFonts w:ascii="Verdana" w:hAnsi="Verdana"/>
          <w:sz w:val="20"/>
          <w:szCs w:val="20"/>
        </w:rPr>
        <w:t xml:space="preserve">. </w:t>
      </w:r>
      <w:r w:rsidR="00792505" w:rsidRPr="00CF101E">
        <w:rPr>
          <w:rFonts w:ascii="Verdana" w:hAnsi="Verdana"/>
          <w:sz w:val="20"/>
          <w:szCs w:val="20"/>
          <w:lang w:val="es-CO"/>
        </w:rPr>
        <w:t>Asimismo</w:t>
      </w:r>
      <w:r w:rsidR="00792505" w:rsidRPr="009A35BB">
        <w:rPr>
          <w:rFonts w:ascii="Verdana" w:hAnsi="Verdana"/>
          <w:sz w:val="20"/>
          <w:szCs w:val="20"/>
        </w:rPr>
        <w:t>, el Tribunal Europeo de Derechos Humanos</w:t>
      </w:r>
      <w:r w:rsidR="00792505" w:rsidRPr="00717234">
        <w:rPr>
          <w:rStyle w:val="Refdenotaalpie"/>
          <w:rFonts w:ascii="Verdana" w:hAnsi="Verdana" w:cs="AmnestyTradeGothic"/>
          <w:sz w:val="20"/>
          <w:szCs w:val="20"/>
        </w:rPr>
        <w:footnoteReference w:id="168"/>
      </w:r>
      <w:r w:rsidR="00792505" w:rsidRPr="00717234">
        <w:rPr>
          <w:rFonts w:ascii="Verdana" w:hAnsi="Verdana"/>
          <w:sz w:val="20"/>
          <w:szCs w:val="20"/>
        </w:rPr>
        <w:t>, el Sistema Universal de Derechos Humanos</w:t>
      </w:r>
      <w:r w:rsidR="00792505" w:rsidRPr="00717234">
        <w:rPr>
          <w:rStyle w:val="Refdenotaalpie"/>
          <w:rFonts w:ascii="Verdana" w:hAnsi="Verdana"/>
          <w:sz w:val="20"/>
          <w:szCs w:val="20"/>
        </w:rPr>
        <w:footnoteReference w:id="169"/>
      </w:r>
      <w:r w:rsidR="00792505" w:rsidRPr="00B963F6">
        <w:rPr>
          <w:rFonts w:ascii="Verdana" w:hAnsi="Verdana"/>
          <w:sz w:val="20"/>
          <w:szCs w:val="20"/>
        </w:rPr>
        <w:t xml:space="preserve"> y algunos tribunales nacionales</w:t>
      </w:r>
      <w:r w:rsidR="00792505" w:rsidRPr="00B963F6">
        <w:rPr>
          <w:rStyle w:val="Refdenotaalpie"/>
          <w:rFonts w:ascii="Verdana" w:hAnsi="Verdana"/>
          <w:sz w:val="20"/>
          <w:szCs w:val="20"/>
        </w:rPr>
        <w:footnoteReference w:id="170"/>
      </w:r>
      <w:r w:rsidR="00792505" w:rsidRPr="00B963F6">
        <w:rPr>
          <w:rFonts w:ascii="Verdana" w:hAnsi="Verdana"/>
          <w:sz w:val="20"/>
          <w:szCs w:val="20"/>
        </w:rPr>
        <w:t xml:space="preserve"> advierten que el llamado “corredor de la muerte” causa una afectación al derecho a la integridad personal por l</w:t>
      </w:r>
      <w:r w:rsidR="00792505" w:rsidRPr="000C5D68">
        <w:rPr>
          <w:rFonts w:ascii="Verdana" w:hAnsi="Verdana"/>
          <w:sz w:val="20"/>
          <w:szCs w:val="20"/>
        </w:rPr>
        <w:t xml:space="preserve">a angustia en la que se encuentran </w:t>
      </w:r>
      <w:r w:rsidR="00792505" w:rsidRPr="000C5D68">
        <w:rPr>
          <w:rFonts w:ascii="Verdana" w:hAnsi="Verdana"/>
          <w:kern w:val="2"/>
          <w:sz w:val="20"/>
          <w:szCs w:val="20"/>
        </w:rPr>
        <w:t>las</w:t>
      </w:r>
      <w:r w:rsidR="00792505" w:rsidRPr="00177461">
        <w:rPr>
          <w:rFonts w:ascii="Verdana" w:hAnsi="Verdana"/>
          <w:sz w:val="20"/>
          <w:szCs w:val="20"/>
        </w:rPr>
        <w:t xml:space="preserve"> personas condenadas a muerte, situación, que genera traumas psicológicos por la manifestación presente y creciente de la ejecución de la pena máxima</w:t>
      </w:r>
      <w:r w:rsidR="00792505" w:rsidRPr="00FB2FDA">
        <w:rPr>
          <w:rStyle w:val="Refdenotaalpie"/>
          <w:rFonts w:ascii="Verdana" w:hAnsi="Verdana"/>
          <w:sz w:val="20"/>
          <w:szCs w:val="20"/>
        </w:rPr>
        <w:footnoteReference w:id="171"/>
      </w:r>
      <w:r w:rsidR="00792505" w:rsidRPr="00ED2B13">
        <w:rPr>
          <w:rFonts w:ascii="Verdana" w:hAnsi="Verdana"/>
          <w:sz w:val="20"/>
          <w:szCs w:val="20"/>
        </w:rPr>
        <w:t>, por ende, es considerado como un trato cruel</w:t>
      </w:r>
      <w:r w:rsidR="000F08F9">
        <w:rPr>
          <w:rFonts w:ascii="Verdana" w:hAnsi="Verdana"/>
          <w:sz w:val="20"/>
          <w:szCs w:val="20"/>
        </w:rPr>
        <w:t>,</w:t>
      </w:r>
      <w:r w:rsidR="00792505" w:rsidRPr="00ED2B13">
        <w:rPr>
          <w:rFonts w:ascii="Verdana" w:hAnsi="Verdana"/>
          <w:sz w:val="20"/>
          <w:szCs w:val="20"/>
        </w:rPr>
        <w:t xml:space="preserve"> inhu</w:t>
      </w:r>
      <w:r w:rsidR="00792505" w:rsidRPr="001B12F0">
        <w:rPr>
          <w:rFonts w:ascii="Verdana" w:hAnsi="Verdana"/>
          <w:sz w:val="20"/>
          <w:szCs w:val="20"/>
        </w:rPr>
        <w:t>mano y degradante. Por lo tanto</w:t>
      </w:r>
      <w:r w:rsidR="00193F92">
        <w:rPr>
          <w:rFonts w:ascii="Verdana" w:hAnsi="Verdana"/>
          <w:sz w:val="20"/>
          <w:szCs w:val="20"/>
        </w:rPr>
        <w:t>,</w:t>
      </w:r>
      <w:r w:rsidR="00792505" w:rsidRPr="001B12F0">
        <w:rPr>
          <w:rFonts w:ascii="Verdana" w:hAnsi="Verdana"/>
          <w:sz w:val="20"/>
          <w:szCs w:val="20"/>
        </w:rPr>
        <w:t xml:space="preserve"> </w:t>
      </w:r>
      <w:r w:rsidR="00792505" w:rsidRPr="00B14E15">
        <w:rPr>
          <w:rFonts w:ascii="Verdana" w:eastAsia="Calibri" w:hAnsi="Verdana" w:cs="Calibri"/>
          <w:sz w:val="20"/>
          <w:szCs w:val="20"/>
        </w:rPr>
        <w:t>para determinar la existencia de una violación a la integridad personal derivada del “corredor de la muerte”, es necesario analizar las circunstancias personales y particulares del caso para poder valorar si la permanencia en el mismo alcanzó el nivel de gravedad para calificarse como cruel, inhumano o degradante</w:t>
      </w:r>
      <w:r w:rsidR="00792505" w:rsidRPr="00B14E15">
        <w:rPr>
          <w:rStyle w:val="Refdenotaalpie"/>
          <w:rFonts w:ascii="Verdana" w:eastAsia="Calibri" w:hAnsi="Verdana" w:cs="Calibri"/>
          <w:sz w:val="20"/>
          <w:szCs w:val="20"/>
        </w:rPr>
        <w:footnoteReference w:id="172"/>
      </w:r>
      <w:r w:rsidR="00792505" w:rsidRPr="008A4941">
        <w:rPr>
          <w:rFonts w:ascii="Verdana" w:eastAsia="Calibri" w:hAnsi="Verdana" w:cs="Calibri"/>
          <w:sz w:val="20"/>
          <w:szCs w:val="20"/>
        </w:rPr>
        <w:t>.</w:t>
      </w:r>
    </w:p>
    <w:p w14:paraId="38843191" w14:textId="77777777" w:rsidR="007E62B2" w:rsidRPr="008B37EB" w:rsidRDefault="007E62B2" w:rsidP="00DC128C">
      <w:pPr>
        <w:pStyle w:val="Prrafodelista"/>
        <w:autoSpaceDE w:val="0"/>
        <w:autoSpaceDN w:val="0"/>
        <w:adjustRightInd w:val="0"/>
        <w:spacing w:after="0" w:line="240" w:lineRule="auto"/>
        <w:ind w:left="0"/>
        <w:jc w:val="both"/>
        <w:rPr>
          <w:rFonts w:ascii="Verdana" w:hAnsi="Verdana"/>
          <w:strike/>
          <w:sz w:val="20"/>
          <w:szCs w:val="20"/>
          <w:lang w:val="es-CR"/>
        </w:rPr>
      </w:pPr>
    </w:p>
    <w:p w14:paraId="426E6A5B" w14:textId="6CBDAA60" w:rsidR="00DC128C" w:rsidRPr="007E62B2" w:rsidRDefault="001C48A8" w:rsidP="00DC128C">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8B37EB">
        <w:rPr>
          <w:rFonts w:ascii="Verdana" w:hAnsi="Verdana"/>
          <w:sz w:val="20"/>
          <w:szCs w:val="20"/>
        </w:rPr>
        <w:t>La</w:t>
      </w:r>
      <w:r w:rsidRPr="008B37EB">
        <w:rPr>
          <w:rFonts w:ascii="Verdana" w:eastAsia="Calibri" w:hAnsi="Verdana"/>
          <w:kern w:val="2"/>
          <w:sz w:val="20"/>
          <w:szCs w:val="20"/>
        </w:rPr>
        <w:t xml:space="preserve"> Corte observa que </w:t>
      </w:r>
      <w:r w:rsidRPr="008B37EB">
        <w:rPr>
          <w:rFonts w:ascii="Verdana" w:hAnsi="Verdana"/>
          <w:sz w:val="20"/>
          <w:szCs w:val="20"/>
          <w:lang w:val="es-ES_tradnl"/>
        </w:rPr>
        <w:t>el señor Valenzuela permaneció durante 6 años y 2 meses bajo una constante amenaza de que en cualquier momento podía ser ejecutado. C</w:t>
      </w:r>
      <w:proofErr w:type="spellStart"/>
      <w:r w:rsidRPr="008B37EB">
        <w:rPr>
          <w:rFonts w:ascii="Verdana" w:hAnsi="Verdana"/>
          <w:color w:val="000000" w:themeColor="text1"/>
          <w:sz w:val="20"/>
          <w:szCs w:val="20"/>
        </w:rPr>
        <w:t>omo</w:t>
      </w:r>
      <w:proofErr w:type="spellEnd"/>
      <w:r w:rsidRPr="008B37EB">
        <w:rPr>
          <w:rFonts w:ascii="Verdana" w:hAnsi="Verdana"/>
          <w:color w:val="000000" w:themeColor="text1"/>
          <w:sz w:val="20"/>
          <w:szCs w:val="20"/>
        </w:rPr>
        <w:t xml:space="preserve"> resultado de esta sentencia condenatoria, </w:t>
      </w:r>
      <w:r w:rsidRPr="008B37EB">
        <w:rPr>
          <w:rFonts w:ascii="Verdana" w:hAnsi="Verdana"/>
          <w:sz w:val="20"/>
          <w:szCs w:val="20"/>
        </w:rPr>
        <w:t>el señor Valenzuela tuvo que contemplar la</w:t>
      </w:r>
      <w:r w:rsidRPr="008B37EB">
        <w:rPr>
          <w:rFonts w:ascii="Verdana" w:hAnsi="Verdana"/>
          <w:spacing w:val="23"/>
          <w:sz w:val="20"/>
          <w:szCs w:val="20"/>
        </w:rPr>
        <w:t xml:space="preserve"> </w:t>
      </w:r>
      <w:r w:rsidRPr="008B37EB">
        <w:rPr>
          <w:rFonts w:ascii="Verdana" w:hAnsi="Verdana"/>
          <w:sz w:val="20"/>
          <w:szCs w:val="20"/>
        </w:rPr>
        <w:t>perspectiva</w:t>
      </w:r>
      <w:r w:rsidRPr="008B37EB">
        <w:rPr>
          <w:rFonts w:ascii="Verdana" w:hAnsi="Verdana"/>
          <w:spacing w:val="10"/>
          <w:sz w:val="20"/>
          <w:szCs w:val="20"/>
        </w:rPr>
        <w:t xml:space="preserve"> </w:t>
      </w:r>
      <w:r w:rsidRPr="008B37EB">
        <w:rPr>
          <w:rFonts w:ascii="Verdana" w:hAnsi="Verdana"/>
          <w:sz w:val="20"/>
          <w:szCs w:val="20"/>
        </w:rPr>
        <w:t>de</w:t>
      </w:r>
      <w:r w:rsidRPr="008B37EB">
        <w:rPr>
          <w:rFonts w:ascii="Verdana" w:hAnsi="Verdana"/>
          <w:spacing w:val="8"/>
          <w:sz w:val="20"/>
          <w:szCs w:val="20"/>
        </w:rPr>
        <w:t xml:space="preserve"> </w:t>
      </w:r>
      <w:r w:rsidRPr="008B37EB">
        <w:rPr>
          <w:rFonts w:ascii="Verdana" w:hAnsi="Verdana"/>
          <w:sz w:val="20"/>
          <w:szCs w:val="20"/>
        </w:rPr>
        <w:t>la extinción de su vida</w:t>
      </w:r>
      <w:r w:rsidRPr="008B37EB">
        <w:rPr>
          <w:rStyle w:val="Refdenotaalpie"/>
          <w:rFonts w:ascii="Verdana" w:hAnsi="Verdana"/>
          <w:sz w:val="20"/>
          <w:szCs w:val="20"/>
        </w:rPr>
        <w:footnoteReference w:id="173"/>
      </w:r>
      <w:r w:rsidRPr="008B37EB">
        <w:rPr>
          <w:rFonts w:ascii="Verdana" w:hAnsi="Verdana"/>
          <w:sz w:val="20"/>
          <w:szCs w:val="20"/>
        </w:rPr>
        <w:t xml:space="preserve"> durante dicho tiempo</w:t>
      </w:r>
      <w:r w:rsidRPr="008B37EB">
        <w:rPr>
          <w:rFonts w:ascii="Verdana" w:hAnsi="Verdana"/>
          <w:bCs/>
          <w:iCs/>
          <w:sz w:val="20"/>
          <w:szCs w:val="20"/>
        </w:rPr>
        <w:t>.</w:t>
      </w:r>
      <w:r w:rsidRPr="008B37EB">
        <w:rPr>
          <w:rFonts w:ascii="Verdana" w:hAnsi="Verdana"/>
          <w:sz w:val="20"/>
          <w:szCs w:val="20"/>
        </w:rPr>
        <w:t xml:space="preserve"> Asimismo, la Corte destaca que la forma en la que se impone una condena a pena de muerte puede constituir un factor que determine su incompatibilidad con lo establecido en el artículo 5 de la Convención Americana</w:t>
      </w:r>
      <w:r w:rsidRPr="008B37EB">
        <w:rPr>
          <w:rStyle w:val="Refdenotaalpie"/>
          <w:rFonts w:ascii="Verdana" w:hAnsi="Verdana"/>
          <w:sz w:val="20"/>
          <w:szCs w:val="20"/>
        </w:rPr>
        <w:footnoteReference w:id="174"/>
      </w:r>
      <w:r w:rsidRPr="008B37EB">
        <w:rPr>
          <w:rFonts w:ascii="Verdana" w:hAnsi="Verdana"/>
          <w:sz w:val="20"/>
          <w:szCs w:val="20"/>
        </w:rPr>
        <w:t xml:space="preserve">. La Corte nota que </w:t>
      </w:r>
      <w:r w:rsidRPr="008B37EB">
        <w:rPr>
          <w:rFonts w:ascii="Verdana" w:hAnsi="Verdana"/>
          <w:sz w:val="20"/>
          <w:szCs w:val="20"/>
          <w:lang w:val="es-ES_tradnl"/>
        </w:rPr>
        <w:t>el señor Valenzuela fue condenado a la pena capital en el marco de un procedimiento penal en el que se produjeron patentes violaciones del artículo 4.2 de la Convención, y en violación de varios preceptos relativos al debido proceso en el mar</w:t>
      </w:r>
      <w:r w:rsidR="00C2350C">
        <w:rPr>
          <w:rFonts w:ascii="Verdana" w:hAnsi="Verdana"/>
          <w:sz w:val="20"/>
          <w:szCs w:val="20"/>
          <w:lang w:val="es-ES_tradnl"/>
        </w:rPr>
        <w:t>co del procedimiento penal (</w:t>
      </w:r>
      <w:r w:rsidR="0099280E">
        <w:rPr>
          <w:rFonts w:ascii="Verdana" w:hAnsi="Verdana"/>
          <w:i/>
          <w:sz w:val="20"/>
          <w:szCs w:val="20"/>
          <w:lang w:val="es-ES_tradnl"/>
        </w:rPr>
        <w:t>supra</w:t>
      </w:r>
      <w:r w:rsidRPr="008B37EB">
        <w:rPr>
          <w:rFonts w:ascii="Verdana" w:hAnsi="Verdana"/>
          <w:sz w:val="20"/>
          <w:szCs w:val="20"/>
          <w:lang w:val="es-ES_tradnl"/>
        </w:rPr>
        <w:t xml:space="preserve"> </w:t>
      </w:r>
      <w:r w:rsidR="00C2350C">
        <w:rPr>
          <w:rFonts w:ascii="Verdana" w:hAnsi="Verdana"/>
          <w:sz w:val="20"/>
          <w:szCs w:val="20"/>
          <w:lang w:val="es-ES_tradnl"/>
        </w:rPr>
        <w:t>párrs. 145 y 158</w:t>
      </w:r>
      <w:r w:rsidRPr="008B37EB">
        <w:rPr>
          <w:rFonts w:ascii="Verdana" w:hAnsi="Verdana"/>
          <w:sz w:val="20"/>
          <w:szCs w:val="20"/>
          <w:lang w:val="es-ES_tradnl"/>
        </w:rPr>
        <w:t xml:space="preserve">). </w:t>
      </w:r>
      <w:r w:rsidR="00311C83">
        <w:rPr>
          <w:rFonts w:ascii="Verdana" w:hAnsi="Verdana"/>
          <w:sz w:val="20"/>
          <w:szCs w:val="20"/>
          <w:lang w:val="es-ES_tradnl"/>
        </w:rPr>
        <w:t>Adem</w:t>
      </w:r>
      <w:r w:rsidR="000B6E16">
        <w:rPr>
          <w:rFonts w:ascii="Verdana" w:hAnsi="Verdana"/>
          <w:sz w:val="20"/>
          <w:szCs w:val="20"/>
          <w:lang w:val="es-ES_tradnl"/>
        </w:rPr>
        <w:t>ás, la Corte nota que en el peritaje realizado por el se</w:t>
      </w:r>
      <w:r w:rsidR="000B6E16" w:rsidRPr="000E33CE">
        <w:rPr>
          <w:rFonts w:ascii="Verdana" w:hAnsi="Verdana"/>
          <w:sz w:val="20"/>
          <w:szCs w:val="20"/>
          <w:lang w:val="es-ES_tradnl"/>
        </w:rPr>
        <w:t xml:space="preserve">ñor </w:t>
      </w:r>
      <w:r w:rsidR="008B37EB" w:rsidRPr="000E33CE">
        <w:rPr>
          <w:rFonts w:ascii="Verdana" w:hAnsi="Verdana"/>
          <w:sz w:val="20"/>
          <w:szCs w:val="20"/>
        </w:rPr>
        <w:t>Aldana Alfaro</w:t>
      </w:r>
      <w:r w:rsidR="000B6E16" w:rsidRPr="000E33CE">
        <w:rPr>
          <w:rFonts w:ascii="Verdana" w:hAnsi="Verdana"/>
          <w:sz w:val="20"/>
          <w:szCs w:val="20"/>
        </w:rPr>
        <w:t xml:space="preserve"> cuando </w:t>
      </w:r>
      <w:r w:rsidR="007E62B2" w:rsidRPr="000E33CE">
        <w:rPr>
          <w:rFonts w:ascii="Verdana" w:hAnsi="Verdana"/>
          <w:sz w:val="20"/>
          <w:szCs w:val="20"/>
        </w:rPr>
        <w:t xml:space="preserve">el señor Valenzuela </w:t>
      </w:r>
      <w:r w:rsidR="000B6E16" w:rsidRPr="000E33CE">
        <w:rPr>
          <w:rFonts w:ascii="Verdana" w:hAnsi="Verdana"/>
          <w:sz w:val="20"/>
          <w:szCs w:val="20"/>
        </w:rPr>
        <w:t>permanecía privado de libertad, indicó que</w:t>
      </w:r>
      <w:r w:rsidR="007E62B2" w:rsidRPr="000E33CE">
        <w:rPr>
          <w:rFonts w:ascii="Verdana" w:hAnsi="Verdana"/>
          <w:sz w:val="20"/>
          <w:szCs w:val="20"/>
          <w:lang w:val="es-CR"/>
        </w:rPr>
        <w:t xml:space="preserve"> </w:t>
      </w:r>
      <w:r w:rsidR="007E62B2" w:rsidRPr="000E33CE">
        <w:rPr>
          <w:rFonts w:ascii="Verdana" w:hAnsi="Verdana"/>
          <w:sz w:val="20"/>
          <w:szCs w:val="20"/>
        </w:rPr>
        <w:t xml:space="preserve">otros efectos “se extienden a su situación […] en el corredor de la muerte, como la depresión, </w:t>
      </w:r>
      <w:r w:rsidR="007E62B2" w:rsidRPr="000E33CE">
        <w:rPr>
          <w:rFonts w:ascii="Verdana" w:hAnsi="Verdana"/>
          <w:sz w:val="20"/>
          <w:szCs w:val="20"/>
        </w:rPr>
        <w:lastRenderedPageBreak/>
        <w:t>sentimientos de culpa, confusión emocional y una ansiedad moderada por el distanciamiento de las visitas familiares”</w:t>
      </w:r>
      <w:r w:rsidR="007E62B2" w:rsidRPr="000E33CE">
        <w:rPr>
          <w:rStyle w:val="Refdenotaalpie"/>
          <w:rFonts w:ascii="Verdana" w:hAnsi="Verdana"/>
          <w:sz w:val="20"/>
          <w:szCs w:val="20"/>
        </w:rPr>
        <w:t xml:space="preserve"> </w:t>
      </w:r>
      <w:r w:rsidR="007E62B2" w:rsidRPr="000E33CE">
        <w:rPr>
          <w:rStyle w:val="Refdenotaalpie"/>
          <w:rFonts w:ascii="Verdana" w:hAnsi="Verdana"/>
          <w:sz w:val="20"/>
          <w:szCs w:val="20"/>
        </w:rPr>
        <w:footnoteReference w:id="175"/>
      </w:r>
      <w:r w:rsidR="007E62B2" w:rsidRPr="000E33CE">
        <w:rPr>
          <w:rFonts w:ascii="Verdana" w:hAnsi="Verdana"/>
          <w:sz w:val="20"/>
          <w:szCs w:val="20"/>
        </w:rPr>
        <w:t>.</w:t>
      </w:r>
    </w:p>
    <w:p w14:paraId="20F3075E" w14:textId="77777777" w:rsidR="007E62B2" w:rsidRPr="007E62B2" w:rsidRDefault="007E62B2" w:rsidP="007E62B2">
      <w:pPr>
        <w:pStyle w:val="Prrafodelista"/>
        <w:autoSpaceDE w:val="0"/>
        <w:autoSpaceDN w:val="0"/>
        <w:adjustRightInd w:val="0"/>
        <w:spacing w:after="0" w:line="240" w:lineRule="auto"/>
        <w:ind w:left="0"/>
        <w:jc w:val="both"/>
        <w:rPr>
          <w:rFonts w:ascii="Verdana" w:hAnsi="Verdana"/>
          <w:sz w:val="20"/>
          <w:szCs w:val="20"/>
          <w:lang w:val="es-CR"/>
        </w:rPr>
      </w:pPr>
    </w:p>
    <w:p w14:paraId="4ACD2646" w14:textId="77777777" w:rsidR="002C0A4E" w:rsidRPr="002C0A4E" w:rsidRDefault="00D16781" w:rsidP="008448A1">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A2282C">
        <w:rPr>
          <w:rFonts w:ascii="Verdana" w:hAnsi="Verdana"/>
          <w:color w:val="000000" w:themeColor="text1"/>
          <w:sz w:val="20"/>
          <w:szCs w:val="20"/>
        </w:rPr>
        <w:t xml:space="preserve">Por tal motivo, </w:t>
      </w:r>
      <w:r w:rsidRPr="00A2282C">
        <w:rPr>
          <w:rFonts w:ascii="Verdana" w:hAnsi="Verdana"/>
          <w:sz w:val="20"/>
          <w:szCs w:val="20"/>
        </w:rPr>
        <w:t>la Corte concluye que el señor Valenzuela Ávila enfrentó graves sufrimientos psíquicos provenientes de la angustia de saber</w:t>
      </w:r>
      <w:r w:rsidR="00193F92">
        <w:rPr>
          <w:rFonts w:ascii="Verdana" w:hAnsi="Verdana"/>
          <w:sz w:val="20"/>
          <w:szCs w:val="20"/>
        </w:rPr>
        <w:t>se</w:t>
      </w:r>
      <w:r w:rsidRPr="00A2282C">
        <w:rPr>
          <w:rFonts w:ascii="Verdana" w:hAnsi="Verdana"/>
          <w:sz w:val="20"/>
          <w:szCs w:val="20"/>
        </w:rPr>
        <w:t xml:space="preserve"> en el “corredor de la muerte” tras un procedimiento que tuvo numerosas falencias, lo cual </w:t>
      </w:r>
      <w:r w:rsidRPr="00A2282C">
        <w:rPr>
          <w:rFonts w:ascii="Verdana" w:hAnsi="Verdana"/>
          <w:bCs/>
          <w:iCs/>
          <w:sz w:val="20"/>
          <w:szCs w:val="20"/>
        </w:rPr>
        <w:t>fue violatorio de su derecho a la integridad física, psíquica y moral, contenido en el artículo 5.1 de la Convención Americana y han constituido un trato cruel, inhumano y degradante contrario al artículo 5.2 de la</w:t>
      </w:r>
      <w:r w:rsidR="00D6022C">
        <w:rPr>
          <w:rFonts w:ascii="Verdana" w:hAnsi="Verdana"/>
          <w:bCs/>
          <w:iCs/>
          <w:sz w:val="20"/>
          <w:szCs w:val="20"/>
        </w:rPr>
        <w:t xml:space="preserve"> </w:t>
      </w:r>
      <w:r w:rsidR="000F08F9">
        <w:rPr>
          <w:rFonts w:ascii="Verdana" w:hAnsi="Verdana"/>
          <w:bCs/>
          <w:iCs/>
          <w:sz w:val="20"/>
          <w:szCs w:val="20"/>
        </w:rPr>
        <w:t>Convención</w:t>
      </w:r>
      <w:r w:rsidRPr="00A2282C">
        <w:rPr>
          <w:rFonts w:ascii="Verdana" w:hAnsi="Verdana"/>
          <w:bCs/>
          <w:iCs/>
          <w:sz w:val="20"/>
          <w:szCs w:val="20"/>
        </w:rPr>
        <w:t xml:space="preserve">, todo ello </w:t>
      </w:r>
      <w:r w:rsidR="00193F92">
        <w:rPr>
          <w:rFonts w:ascii="Verdana" w:hAnsi="Verdana"/>
          <w:bCs/>
          <w:iCs/>
          <w:sz w:val="20"/>
          <w:szCs w:val="20"/>
        </w:rPr>
        <w:t>en</w:t>
      </w:r>
      <w:r w:rsidR="00193F92" w:rsidRPr="00A2282C">
        <w:rPr>
          <w:rFonts w:ascii="Verdana" w:hAnsi="Verdana"/>
          <w:bCs/>
          <w:iCs/>
          <w:sz w:val="20"/>
          <w:szCs w:val="20"/>
        </w:rPr>
        <w:t xml:space="preserve"> </w:t>
      </w:r>
      <w:r w:rsidRPr="00A2282C">
        <w:rPr>
          <w:rFonts w:ascii="Verdana" w:hAnsi="Verdana"/>
          <w:bCs/>
          <w:iCs/>
          <w:sz w:val="20"/>
          <w:szCs w:val="20"/>
        </w:rPr>
        <w:t xml:space="preserve">relación </w:t>
      </w:r>
      <w:r w:rsidR="00193F92">
        <w:rPr>
          <w:rFonts w:ascii="Verdana" w:hAnsi="Verdana"/>
          <w:bCs/>
          <w:iCs/>
          <w:sz w:val="20"/>
          <w:szCs w:val="20"/>
        </w:rPr>
        <w:t>con el</w:t>
      </w:r>
      <w:r w:rsidR="00193F92" w:rsidRPr="00A2282C">
        <w:rPr>
          <w:rFonts w:ascii="Verdana" w:hAnsi="Verdana"/>
          <w:bCs/>
          <w:iCs/>
          <w:sz w:val="20"/>
          <w:szCs w:val="20"/>
        </w:rPr>
        <w:t xml:space="preserve"> </w:t>
      </w:r>
      <w:r w:rsidRPr="00A2282C">
        <w:rPr>
          <w:rFonts w:ascii="Verdana" w:hAnsi="Verdana"/>
          <w:bCs/>
          <w:iCs/>
          <w:sz w:val="20"/>
          <w:szCs w:val="20"/>
        </w:rPr>
        <w:t>artículo 1.1 del mismo instrumento.</w:t>
      </w:r>
    </w:p>
    <w:p w14:paraId="71F60CBF" w14:textId="77777777" w:rsidR="002C0A4E" w:rsidRPr="002C0A4E" w:rsidRDefault="002C0A4E" w:rsidP="002C0A4E">
      <w:pPr>
        <w:pStyle w:val="Prrafodelista"/>
        <w:spacing w:after="0"/>
        <w:rPr>
          <w:lang w:val="es-CR"/>
        </w:rPr>
      </w:pPr>
    </w:p>
    <w:p w14:paraId="26514D02" w14:textId="3B421A41" w:rsidR="00DC128C" w:rsidRPr="002C0A4E" w:rsidRDefault="008448A1" w:rsidP="002C0A4E">
      <w:pPr>
        <w:pStyle w:val="Prrafodelista"/>
        <w:autoSpaceDE w:val="0"/>
        <w:autoSpaceDN w:val="0"/>
        <w:adjustRightInd w:val="0"/>
        <w:spacing w:after="0" w:line="240" w:lineRule="auto"/>
        <w:ind w:left="0"/>
        <w:jc w:val="both"/>
        <w:outlineLvl w:val="1"/>
        <w:rPr>
          <w:rFonts w:ascii="Verdana" w:hAnsi="Verdana" w:cs="Arial"/>
          <w:b/>
          <w:sz w:val="20"/>
          <w:szCs w:val="20"/>
          <w:lang w:val="es-CR"/>
        </w:rPr>
      </w:pPr>
      <w:bookmarkStart w:id="69" w:name="_Toc25247779"/>
      <w:r w:rsidRPr="002C0A4E">
        <w:rPr>
          <w:rFonts w:ascii="Verdana" w:hAnsi="Verdana" w:cs="Arial"/>
          <w:b/>
          <w:sz w:val="20"/>
          <w:szCs w:val="20"/>
          <w:lang w:val="es-CR"/>
        </w:rPr>
        <w:t xml:space="preserve">C. </w:t>
      </w:r>
      <w:r w:rsidR="00DC128C" w:rsidRPr="002C0A4E">
        <w:rPr>
          <w:rFonts w:ascii="Verdana" w:hAnsi="Verdana" w:cs="Arial"/>
          <w:b/>
          <w:sz w:val="20"/>
          <w:szCs w:val="20"/>
          <w:lang w:val="es-CR"/>
        </w:rPr>
        <w:t>Conclusión</w:t>
      </w:r>
      <w:bookmarkEnd w:id="69"/>
    </w:p>
    <w:p w14:paraId="1804033F" w14:textId="77777777" w:rsidR="00DC128C" w:rsidRPr="00DC128C" w:rsidRDefault="00DC128C" w:rsidP="002C0A4E">
      <w:pPr>
        <w:pStyle w:val="Prrafodelista"/>
        <w:spacing w:after="0"/>
        <w:rPr>
          <w:rFonts w:ascii="Verdana" w:hAnsi="Verdana"/>
          <w:sz w:val="20"/>
          <w:szCs w:val="20"/>
          <w:lang w:val="es-CR"/>
        </w:rPr>
      </w:pPr>
    </w:p>
    <w:p w14:paraId="6CFD403B" w14:textId="5600E1F3" w:rsidR="00DC128C" w:rsidRDefault="00D042FA" w:rsidP="00DC128C">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DC128C">
        <w:rPr>
          <w:rFonts w:ascii="Verdana" w:hAnsi="Verdana"/>
          <w:sz w:val="20"/>
          <w:szCs w:val="20"/>
          <w:lang w:val="es-CR"/>
        </w:rPr>
        <w:t xml:space="preserve">Por </w:t>
      </w:r>
      <w:r w:rsidRPr="003D64E6">
        <w:rPr>
          <w:rFonts w:ascii="Verdana" w:hAnsi="Verdana"/>
          <w:sz w:val="20"/>
          <w:szCs w:val="20"/>
          <w:lang w:val="es-CR"/>
        </w:rPr>
        <w:t xml:space="preserve">todos los argumentos expuestos, esta Corte considera </w:t>
      </w:r>
      <w:r w:rsidR="00213B1E" w:rsidRPr="003D64E6">
        <w:rPr>
          <w:rFonts w:ascii="Verdana" w:hAnsi="Verdana"/>
          <w:sz w:val="20"/>
          <w:szCs w:val="20"/>
          <w:lang w:val="es-CR"/>
        </w:rPr>
        <w:t xml:space="preserve">que el Estado es responsable por </w:t>
      </w:r>
      <w:r w:rsidRPr="003D64E6">
        <w:rPr>
          <w:rFonts w:ascii="Verdana" w:hAnsi="Verdana"/>
          <w:sz w:val="20"/>
          <w:szCs w:val="20"/>
          <w:lang w:val="es-CR"/>
        </w:rPr>
        <w:t xml:space="preserve">la </w:t>
      </w:r>
      <w:r w:rsidR="00213B1E" w:rsidRPr="003D64E6">
        <w:rPr>
          <w:rFonts w:ascii="Verdana" w:hAnsi="Verdana"/>
          <w:sz w:val="20"/>
          <w:szCs w:val="20"/>
          <w:lang w:val="es-CR"/>
        </w:rPr>
        <w:t xml:space="preserve">vulneración </w:t>
      </w:r>
      <w:r w:rsidRPr="003D64E6">
        <w:rPr>
          <w:rFonts w:ascii="Verdana" w:hAnsi="Verdana"/>
          <w:sz w:val="20"/>
          <w:szCs w:val="20"/>
          <w:lang w:val="es-CR"/>
        </w:rPr>
        <w:t>de la prohibición de la tortura</w:t>
      </w:r>
      <w:r w:rsidR="00213B1E" w:rsidRPr="003D64E6">
        <w:rPr>
          <w:rFonts w:ascii="Verdana" w:hAnsi="Verdana"/>
          <w:sz w:val="20"/>
          <w:szCs w:val="20"/>
          <w:lang w:val="es-CR"/>
        </w:rPr>
        <w:t xml:space="preserve">, </w:t>
      </w:r>
      <w:r w:rsidR="001B5942" w:rsidRPr="003D64E6">
        <w:rPr>
          <w:rFonts w:ascii="Verdana" w:hAnsi="Verdana"/>
          <w:sz w:val="20"/>
          <w:szCs w:val="20"/>
          <w:lang w:val="es-CR"/>
        </w:rPr>
        <w:t>al</w:t>
      </w:r>
      <w:r w:rsidR="00213B1E" w:rsidRPr="003D64E6">
        <w:rPr>
          <w:rFonts w:ascii="Verdana" w:hAnsi="Verdana"/>
          <w:sz w:val="20"/>
          <w:szCs w:val="20"/>
          <w:lang w:val="es-CR"/>
        </w:rPr>
        <w:t xml:space="preserve"> derecho a no ser sometido a tratos crueles, inhumanos y degradantes</w:t>
      </w:r>
      <w:r w:rsidR="001B5942" w:rsidRPr="003D64E6">
        <w:rPr>
          <w:rFonts w:ascii="Verdana" w:hAnsi="Verdana"/>
          <w:sz w:val="20"/>
          <w:szCs w:val="20"/>
          <w:lang w:val="es-CR"/>
        </w:rPr>
        <w:t xml:space="preserve"> por haber permanecido en el “corredor de la muerte”</w:t>
      </w:r>
      <w:r w:rsidR="00213B1E" w:rsidRPr="003D64E6">
        <w:rPr>
          <w:rFonts w:ascii="Verdana" w:hAnsi="Verdana"/>
          <w:sz w:val="20"/>
          <w:szCs w:val="20"/>
          <w:lang w:val="es-CR"/>
        </w:rPr>
        <w:t xml:space="preserve">, </w:t>
      </w:r>
      <w:r w:rsidRPr="003D64E6">
        <w:rPr>
          <w:rFonts w:ascii="Verdana" w:hAnsi="Verdana"/>
          <w:sz w:val="20"/>
          <w:szCs w:val="20"/>
          <w:lang w:val="es-CR"/>
        </w:rPr>
        <w:t xml:space="preserve">y por </w:t>
      </w:r>
      <w:r w:rsidR="001B5942" w:rsidRPr="003D64E6">
        <w:rPr>
          <w:rFonts w:ascii="Verdana" w:hAnsi="Verdana"/>
          <w:sz w:val="20"/>
          <w:szCs w:val="20"/>
          <w:lang w:val="es-CR"/>
        </w:rPr>
        <w:t>la falta de atención médica</w:t>
      </w:r>
      <w:r w:rsidR="000E2829">
        <w:rPr>
          <w:rFonts w:ascii="Verdana" w:hAnsi="Verdana"/>
          <w:sz w:val="20"/>
          <w:szCs w:val="20"/>
          <w:lang w:val="es-CR"/>
        </w:rPr>
        <w:t xml:space="preserve"> adecuada</w:t>
      </w:r>
      <w:r w:rsidR="001B5942" w:rsidRPr="003D64E6">
        <w:rPr>
          <w:rFonts w:ascii="Verdana" w:hAnsi="Verdana"/>
          <w:sz w:val="20"/>
          <w:szCs w:val="20"/>
          <w:lang w:val="es-CR"/>
        </w:rPr>
        <w:t xml:space="preserve">, </w:t>
      </w:r>
      <w:r w:rsidR="00124656" w:rsidRPr="003D64E6">
        <w:rPr>
          <w:rFonts w:ascii="Verdana" w:hAnsi="Verdana"/>
          <w:sz w:val="20"/>
          <w:szCs w:val="20"/>
          <w:lang w:val="es-CR"/>
        </w:rPr>
        <w:t>en violación</w:t>
      </w:r>
      <w:r w:rsidR="00124656" w:rsidRPr="00DC128C">
        <w:rPr>
          <w:rFonts w:ascii="Verdana" w:hAnsi="Verdana"/>
          <w:sz w:val="20"/>
          <w:szCs w:val="20"/>
          <w:lang w:val="es-CR"/>
        </w:rPr>
        <w:t xml:space="preserve"> de</w:t>
      </w:r>
      <w:r w:rsidRPr="00DC128C">
        <w:rPr>
          <w:rFonts w:ascii="Verdana" w:hAnsi="Verdana"/>
          <w:sz w:val="20"/>
          <w:szCs w:val="20"/>
          <w:lang w:val="es-CR"/>
        </w:rPr>
        <w:t xml:space="preserve"> los artículos 5.1 y 5.2 </w:t>
      </w:r>
      <w:r w:rsidR="00961196" w:rsidRPr="00DC128C">
        <w:rPr>
          <w:rFonts w:ascii="Verdana" w:hAnsi="Verdana"/>
          <w:sz w:val="20"/>
          <w:szCs w:val="20"/>
          <w:lang w:val="es-CR"/>
        </w:rPr>
        <w:t xml:space="preserve">y 11.1 </w:t>
      </w:r>
      <w:r w:rsidRPr="00DC128C">
        <w:rPr>
          <w:rFonts w:ascii="Verdana" w:hAnsi="Verdana"/>
          <w:sz w:val="20"/>
          <w:szCs w:val="20"/>
          <w:lang w:val="es-CR"/>
        </w:rPr>
        <w:t>de la Convenc</w:t>
      </w:r>
      <w:r w:rsidR="00961196" w:rsidRPr="00DC128C">
        <w:rPr>
          <w:rFonts w:ascii="Verdana" w:hAnsi="Verdana"/>
          <w:sz w:val="20"/>
          <w:szCs w:val="20"/>
          <w:lang w:val="es-CR"/>
        </w:rPr>
        <w:t>ión Americana, en relación el artículo</w:t>
      </w:r>
      <w:r w:rsidRPr="00DC128C">
        <w:rPr>
          <w:rFonts w:ascii="Verdana" w:hAnsi="Verdana"/>
          <w:sz w:val="20"/>
          <w:szCs w:val="20"/>
          <w:lang w:val="es-CR"/>
        </w:rPr>
        <w:t xml:space="preserve"> 1.1 del mismo instrumento y en relación con los artículos 1, 6 y 8 de la CIPST, en perjuicio de Tirso Román Valenzuela Ávila.</w:t>
      </w:r>
    </w:p>
    <w:p w14:paraId="4A96080D" w14:textId="77777777" w:rsidR="00DC128C" w:rsidRDefault="00DC128C" w:rsidP="00DC128C">
      <w:pPr>
        <w:pStyle w:val="Prrafodelista"/>
        <w:autoSpaceDE w:val="0"/>
        <w:autoSpaceDN w:val="0"/>
        <w:adjustRightInd w:val="0"/>
        <w:spacing w:after="0" w:line="240" w:lineRule="auto"/>
        <w:ind w:left="0"/>
        <w:jc w:val="both"/>
        <w:rPr>
          <w:rFonts w:ascii="Verdana" w:hAnsi="Verdana"/>
          <w:sz w:val="20"/>
          <w:szCs w:val="20"/>
          <w:lang w:val="es-CR"/>
        </w:rPr>
      </w:pPr>
    </w:p>
    <w:p w14:paraId="78BFB4DC" w14:textId="77777777" w:rsidR="00DC128C" w:rsidRDefault="00DC128C" w:rsidP="00DC128C">
      <w:pPr>
        <w:pStyle w:val="Ttulo1"/>
        <w:spacing w:before="0"/>
        <w:ind w:left="562" w:right="475"/>
      </w:pPr>
      <w:bookmarkStart w:id="70" w:name="_Toc25247780"/>
      <w:r>
        <w:t>VIII-5</w:t>
      </w:r>
      <w:r w:rsidRPr="006A3093">
        <w:t xml:space="preserve"> </w:t>
      </w:r>
      <w:r>
        <w:br/>
      </w:r>
      <w:r w:rsidRPr="006A3093">
        <w:t>DERECHO A LA LIBERTAD PERSONAL</w:t>
      </w:r>
      <w:r w:rsidR="00092AAF">
        <w:rPr>
          <w:rStyle w:val="Refdenotaalpie"/>
        </w:rPr>
        <w:footnoteReference w:id="176"/>
      </w:r>
      <w:bookmarkEnd w:id="70"/>
    </w:p>
    <w:p w14:paraId="6D8A4977" w14:textId="77777777" w:rsidR="00DC128C" w:rsidRPr="000D1165" w:rsidRDefault="00DC128C" w:rsidP="00DC128C">
      <w:pPr>
        <w:pStyle w:val="Ttulo1"/>
        <w:spacing w:before="0"/>
        <w:ind w:left="562" w:right="475"/>
      </w:pPr>
    </w:p>
    <w:p w14:paraId="6D3149A5" w14:textId="77777777" w:rsidR="00DC128C" w:rsidRDefault="008448A1" w:rsidP="008448A1">
      <w:pPr>
        <w:pStyle w:val="Ttulo2"/>
        <w:spacing w:before="0"/>
      </w:pPr>
      <w:bookmarkStart w:id="71" w:name="_Toc25247781"/>
      <w:r>
        <w:t xml:space="preserve">A. </w:t>
      </w:r>
      <w:r w:rsidR="00DC128C" w:rsidRPr="00455E63">
        <w:t>Alegatos de la Comisión y las partes</w:t>
      </w:r>
      <w:bookmarkEnd w:id="71"/>
    </w:p>
    <w:p w14:paraId="16E3430B" w14:textId="77777777" w:rsidR="00DC128C" w:rsidRPr="00DC128C" w:rsidRDefault="00DC128C" w:rsidP="00DC128C">
      <w:pPr>
        <w:pStyle w:val="Prrafodelista"/>
        <w:autoSpaceDE w:val="0"/>
        <w:autoSpaceDN w:val="0"/>
        <w:adjustRightInd w:val="0"/>
        <w:spacing w:after="0" w:line="240" w:lineRule="auto"/>
        <w:ind w:left="0"/>
        <w:jc w:val="both"/>
        <w:rPr>
          <w:rFonts w:ascii="Verdana" w:hAnsi="Verdana"/>
          <w:sz w:val="20"/>
          <w:szCs w:val="20"/>
        </w:rPr>
      </w:pPr>
    </w:p>
    <w:p w14:paraId="278FB977" w14:textId="27A83C21" w:rsidR="00DC128C" w:rsidRDefault="00D969DA" w:rsidP="00DC128C">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DC128C">
        <w:rPr>
          <w:rFonts w:ascii="Verdana" w:hAnsi="Verdana"/>
          <w:sz w:val="20"/>
          <w:szCs w:val="20"/>
          <w:lang w:val="es-CR"/>
        </w:rPr>
        <w:t xml:space="preserve">Los </w:t>
      </w:r>
      <w:r w:rsidRPr="00DC128C">
        <w:rPr>
          <w:rFonts w:ascii="Verdana" w:hAnsi="Verdana"/>
          <w:b/>
          <w:i/>
          <w:sz w:val="20"/>
          <w:szCs w:val="20"/>
          <w:lang w:val="es-CR"/>
        </w:rPr>
        <w:t>representantes</w:t>
      </w:r>
      <w:r w:rsidRPr="00DC128C">
        <w:rPr>
          <w:rFonts w:ascii="Verdana" w:hAnsi="Verdana"/>
          <w:sz w:val="20"/>
          <w:szCs w:val="20"/>
          <w:lang w:val="es-CR"/>
        </w:rPr>
        <w:t xml:space="preserve"> argumentaron que el Estado violó en perjuicio del señor Tirso Román Valenzuela los derechos contenidos en lo</w:t>
      </w:r>
      <w:r w:rsidR="0099280E">
        <w:rPr>
          <w:rFonts w:ascii="Verdana" w:hAnsi="Verdana"/>
          <w:sz w:val="20"/>
          <w:szCs w:val="20"/>
          <w:lang w:val="es-CR"/>
        </w:rPr>
        <w:t>s artículos 7.1 a</w:t>
      </w:r>
      <w:r w:rsidRPr="00DC128C">
        <w:rPr>
          <w:rFonts w:ascii="Verdana" w:hAnsi="Verdana"/>
          <w:sz w:val="20"/>
          <w:szCs w:val="20"/>
          <w:lang w:val="es-CR"/>
        </w:rPr>
        <w:t xml:space="preserve"> 7.5, en relación con el 1.1 de la Convención Americana, en razón a que la alegada detención fue “ilegal y arbitraria”, ya que al momento de la aprehensión no existía orden judicial, no se cumplían los presupuestos de delito flagrante, no le fueron informados ni sus derechos ni el motivo de la detención y</w:t>
      </w:r>
      <w:r w:rsidR="000879DD">
        <w:rPr>
          <w:rFonts w:ascii="Verdana" w:hAnsi="Verdana"/>
          <w:sz w:val="20"/>
          <w:szCs w:val="20"/>
          <w:lang w:val="es-CR"/>
        </w:rPr>
        <w:t>,</w:t>
      </w:r>
      <w:r w:rsidRPr="00DC128C">
        <w:rPr>
          <w:rFonts w:ascii="Verdana" w:hAnsi="Verdana"/>
          <w:sz w:val="20"/>
          <w:szCs w:val="20"/>
          <w:lang w:val="es-CR"/>
        </w:rPr>
        <w:t xml:space="preserve"> por último, su detención no fue sometida diligentemente a revisión judicial</w:t>
      </w:r>
      <w:r w:rsidRPr="0060326C">
        <w:rPr>
          <w:rFonts w:ascii="Verdana" w:hAnsi="Verdana"/>
          <w:sz w:val="20"/>
          <w:szCs w:val="20"/>
          <w:lang w:val="es-CR"/>
        </w:rPr>
        <w:t>.</w:t>
      </w:r>
      <w:r w:rsidR="00CA3D29" w:rsidRPr="0060326C">
        <w:rPr>
          <w:rFonts w:ascii="Verdana" w:hAnsi="Verdana"/>
          <w:sz w:val="20"/>
          <w:szCs w:val="20"/>
          <w:lang w:val="es-CR"/>
        </w:rPr>
        <w:t xml:space="preserve"> </w:t>
      </w:r>
      <w:r w:rsidR="00CA3D29" w:rsidRPr="00DC128C">
        <w:rPr>
          <w:rFonts w:ascii="Verdana" w:hAnsi="Verdana"/>
          <w:sz w:val="20"/>
          <w:szCs w:val="20"/>
          <w:lang w:val="es-CR"/>
        </w:rPr>
        <w:t xml:space="preserve">Adicionalmente alegaron la violación de los artículos 7.6 y 25.1 de la Convención por un recurso de exhibición personal </w:t>
      </w:r>
      <w:r w:rsidR="00AB4B1D" w:rsidRPr="00DC128C">
        <w:rPr>
          <w:rFonts w:ascii="Verdana" w:hAnsi="Verdana"/>
          <w:sz w:val="20"/>
          <w:szCs w:val="20"/>
          <w:lang w:val="es-CR"/>
        </w:rPr>
        <w:t>inte</w:t>
      </w:r>
      <w:r w:rsidR="00912DDA" w:rsidRPr="00DC128C">
        <w:rPr>
          <w:rFonts w:ascii="Verdana" w:hAnsi="Verdana"/>
          <w:sz w:val="20"/>
          <w:szCs w:val="20"/>
          <w:lang w:val="es-CR"/>
        </w:rPr>
        <w:t>r</w:t>
      </w:r>
      <w:r w:rsidR="00AB4B1D" w:rsidRPr="00DC128C">
        <w:rPr>
          <w:rFonts w:ascii="Verdana" w:hAnsi="Verdana"/>
          <w:sz w:val="20"/>
          <w:szCs w:val="20"/>
          <w:lang w:val="es-CR"/>
        </w:rPr>
        <w:t xml:space="preserve">puesto por el señor Valenzuela, el cual fue </w:t>
      </w:r>
      <w:r w:rsidR="00CA3D29" w:rsidRPr="00DC128C">
        <w:rPr>
          <w:rFonts w:ascii="Verdana" w:hAnsi="Verdana"/>
          <w:sz w:val="20"/>
          <w:szCs w:val="20"/>
          <w:lang w:val="es-CR"/>
        </w:rPr>
        <w:t>denegado.</w:t>
      </w:r>
      <w:r w:rsidRPr="00DC128C">
        <w:rPr>
          <w:rFonts w:ascii="Verdana" w:hAnsi="Verdana"/>
          <w:sz w:val="20"/>
          <w:szCs w:val="20"/>
          <w:lang w:val="es-CR"/>
        </w:rPr>
        <w:t xml:space="preserve"> Ni la </w:t>
      </w:r>
      <w:r w:rsidRPr="00DC128C">
        <w:rPr>
          <w:rFonts w:ascii="Verdana" w:hAnsi="Verdana"/>
          <w:b/>
          <w:i/>
          <w:sz w:val="20"/>
          <w:szCs w:val="20"/>
          <w:lang w:val="es-CR"/>
        </w:rPr>
        <w:t>Comisión</w:t>
      </w:r>
      <w:r w:rsidRPr="00DC128C">
        <w:rPr>
          <w:rFonts w:ascii="Verdana" w:hAnsi="Verdana"/>
          <w:sz w:val="20"/>
          <w:szCs w:val="20"/>
          <w:lang w:val="es-CR"/>
        </w:rPr>
        <w:t xml:space="preserve">, ni el </w:t>
      </w:r>
      <w:r w:rsidRPr="00DC128C">
        <w:rPr>
          <w:rFonts w:ascii="Verdana" w:hAnsi="Verdana"/>
          <w:b/>
          <w:i/>
          <w:sz w:val="20"/>
          <w:szCs w:val="20"/>
          <w:lang w:val="es-CR"/>
        </w:rPr>
        <w:t>Estado</w:t>
      </w:r>
      <w:r w:rsidRPr="00DC128C">
        <w:rPr>
          <w:rFonts w:ascii="Verdana" w:hAnsi="Verdana"/>
          <w:sz w:val="20"/>
          <w:szCs w:val="20"/>
          <w:lang w:val="es-CR"/>
        </w:rPr>
        <w:t xml:space="preserve"> realizaron alegaciones específicas respecto a dichos derechos. </w:t>
      </w:r>
    </w:p>
    <w:p w14:paraId="4FCAD41C" w14:textId="77777777" w:rsidR="00DC128C" w:rsidRDefault="00DC128C" w:rsidP="00DC128C">
      <w:pPr>
        <w:pStyle w:val="Prrafodelista"/>
        <w:autoSpaceDE w:val="0"/>
        <w:autoSpaceDN w:val="0"/>
        <w:adjustRightInd w:val="0"/>
        <w:spacing w:after="0" w:line="240" w:lineRule="auto"/>
        <w:ind w:left="0"/>
        <w:jc w:val="both"/>
        <w:rPr>
          <w:rFonts w:ascii="Verdana" w:hAnsi="Verdana"/>
          <w:sz w:val="20"/>
          <w:szCs w:val="20"/>
          <w:lang w:val="es-CR"/>
        </w:rPr>
      </w:pPr>
    </w:p>
    <w:p w14:paraId="333813C2" w14:textId="77777777" w:rsidR="00DC128C" w:rsidRPr="00455E63" w:rsidRDefault="00DC128C" w:rsidP="008448A1">
      <w:pPr>
        <w:pStyle w:val="Ttulo2"/>
        <w:spacing w:before="0"/>
        <w:rPr>
          <w:lang w:val="es-CR"/>
        </w:rPr>
      </w:pPr>
      <w:bookmarkStart w:id="72" w:name="_Toc25247782"/>
      <w:r w:rsidRPr="00455E63">
        <w:rPr>
          <w:lang w:val="es-CR"/>
        </w:rPr>
        <w:t>B. Consideraciones de la Corte</w:t>
      </w:r>
      <w:bookmarkEnd w:id="72"/>
    </w:p>
    <w:p w14:paraId="095ACE4D" w14:textId="77777777" w:rsidR="00DC128C" w:rsidRPr="00DC128C" w:rsidRDefault="00DC128C" w:rsidP="00DC128C">
      <w:pPr>
        <w:pStyle w:val="Prrafodelista"/>
        <w:autoSpaceDE w:val="0"/>
        <w:autoSpaceDN w:val="0"/>
        <w:adjustRightInd w:val="0"/>
        <w:spacing w:after="0" w:line="240" w:lineRule="auto"/>
        <w:ind w:left="0"/>
        <w:jc w:val="both"/>
      </w:pPr>
    </w:p>
    <w:p w14:paraId="7BA904C2" w14:textId="77777777" w:rsidR="00DC128C" w:rsidRDefault="008D1AB8" w:rsidP="00DC128C">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DC128C">
        <w:rPr>
          <w:rFonts w:ascii="Verdana" w:hAnsi="Verdana"/>
          <w:sz w:val="20"/>
          <w:szCs w:val="20"/>
        </w:rPr>
        <w:t>Previamente cabe señalar, que las representantes alegaron la violac</w:t>
      </w:r>
      <w:r w:rsidR="003014C9" w:rsidRPr="00DC128C">
        <w:rPr>
          <w:rFonts w:ascii="Verdana" w:hAnsi="Verdana"/>
          <w:sz w:val="20"/>
          <w:szCs w:val="20"/>
        </w:rPr>
        <w:t>ión de este derecho no invocado</w:t>
      </w:r>
      <w:r w:rsidRPr="00DC128C">
        <w:rPr>
          <w:rFonts w:ascii="Verdana" w:hAnsi="Verdana"/>
          <w:sz w:val="20"/>
          <w:szCs w:val="20"/>
        </w:rPr>
        <w:t xml:space="preserve"> por la Comisión. Al respecto, es jurisprudencia reiterada de este Tribunal </w:t>
      </w:r>
      <w:r w:rsidR="00863EFE">
        <w:rPr>
          <w:rFonts w:ascii="Verdana" w:hAnsi="Verdana"/>
          <w:sz w:val="20"/>
          <w:szCs w:val="20"/>
        </w:rPr>
        <w:t xml:space="preserve">que </w:t>
      </w:r>
      <w:r w:rsidRPr="00DC128C">
        <w:rPr>
          <w:rFonts w:ascii="Verdana" w:hAnsi="Verdana"/>
          <w:sz w:val="20"/>
          <w:szCs w:val="20"/>
        </w:rPr>
        <w:t>las presuntas víctimas y sus representantes pueden invocar la violación de otros derechos distintos a los comprendidos en el Informe de Fondo, siempre y cuando se atengan a los hechos contenidos en dicho documento</w:t>
      </w:r>
      <w:r w:rsidRPr="00455E63">
        <w:rPr>
          <w:vertAlign w:val="superscript"/>
        </w:rPr>
        <w:footnoteReference w:id="177"/>
      </w:r>
      <w:r w:rsidRPr="00DC128C">
        <w:rPr>
          <w:rFonts w:ascii="Verdana" w:hAnsi="Verdana"/>
          <w:sz w:val="20"/>
          <w:szCs w:val="20"/>
        </w:rPr>
        <w:t>.</w:t>
      </w:r>
    </w:p>
    <w:p w14:paraId="1E288DCD" w14:textId="77777777" w:rsidR="00DC128C" w:rsidRDefault="00DC128C" w:rsidP="00DC128C">
      <w:pPr>
        <w:pStyle w:val="Prrafodelista"/>
        <w:autoSpaceDE w:val="0"/>
        <w:autoSpaceDN w:val="0"/>
        <w:adjustRightInd w:val="0"/>
        <w:spacing w:after="0" w:line="240" w:lineRule="auto"/>
        <w:ind w:left="0"/>
        <w:jc w:val="both"/>
        <w:rPr>
          <w:rFonts w:ascii="Verdana" w:hAnsi="Verdana"/>
          <w:sz w:val="20"/>
          <w:szCs w:val="20"/>
          <w:lang w:val="es-CR"/>
        </w:rPr>
      </w:pPr>
    </w:p>
    <w:p w14:paraId="14D4A6C0" w14:textId="77777777" w:rsidR="00DC128C" w:rsidRDefault="000B6B20" w:rsidP="00DC128C">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DC128C">
        <w:rPr>
          <w:rFonts w:ascii="Verdana" w:hAnsi="Verdana"/>
          <w:sz w:val="20"/>
          <w:szCs w:val="20"/>
          <w:lang w:val="es-CR"/>
        </w:rPr>
        <w:t>La Corte ya ha señalado en su jurisprudencia que el contenido esencial del artículo 7 de la Convención Americana consagra la protección al individuo contra toda interferencia arbitraria o ilegal del Estado</w:t>
      </w:r>
      <w:r w:rsidRPr="00455E63">
        <w:rPr>
          <w:vertAlign w:val="superscript"/>
          <w:lang w:val="es-CR"/>
        </w:rPr>
        <w:footnoteReference w:id="178"/>
      </w:r>
      <w:r w:rsidRPr="00DC128C">
        <w:rPr>
          <w:rFonts w:ascii="Verdana" w:hAnsi="Verdana"/>
          <w:sz w:val="20"/>
          <w:szCs w:val="20"/>
          <w:lang w:val="es-CR"/>
        </w:rPr>
        <w:t xml:space="preserve">. A su vez, la Corte ha señalado también que este artículo tiene </w:t>
      </w:r>
      <w:r w:rsidRPr="00DC128C">
        <w:rPr>
          <w:rFonts w:ascii="Verdana" w:hAnsi="Verdana"/>
          <w:sz w:val="20"/>
          <w:szCs w:val="20"/>
          <w:lang w:val="es-CR"/>
        </w:rPr>
        <w:lastRenderedPageBreak/>
        <w:t>dos tipos de regulaciones, una general y una específica. La general se encuentra en el numeral 1, mientras que la específica en los numerales del 2 al 7. Cualquier violación a estos numerales acarreará necesariamente la violación al artículo 7.1 de la Convención Americana</w:t>
      </w:r>
      <w:r w:rsidR="00D969DA" w:rsidRPr="00455E63">
        <w:rPr>
          <w:vertAlign w:val="superscript"/>
          <w:lang w:val="es-CR"/>
        </w:rPr>
        <w:footnoteReference w:id="179"/>
      </w:r>
      <w:r w:rsidR="00D969DA" w:rsidRPr="00DC128C">
        <w:rPr>
          <w:rFonts w:ascii="Verdana" w:hAnsi="Verdana"/>
          <w:sz w:val="20"/>
          <w:szCs w:val="20"/>
          <w:lang w:val="es-CR"/>
        </w:rPr>
        <w:t>.</w:t>
      </w:r>
    </w:p>
    <w:p w14:paraId="3D0DCCD9" w14:textId="77777777" w:rsidR="00DC128C" w:rsidRPr="00DC128C" w:rsidRDefault="00DC128C" w:rsidP="00DC128C">
      <w:pPr>
        <w:pStyle w:val="Prrafodelista"/>
        <w:rPr>
          <w:rFonts w:ascii="Verdana" w:hAnsi="Verdana"/>
          <w:sz w:val="20"/>
          <w:szCs w:val="20"/>
          <w:lang w:val="es-CR"/>
        </w:rPr>
      </w:pPr>
    </w:p>
    <w:p w14:paraId="5578640B" w14:textId="77777777" w:rsidR="00DC128C" w:rsidRDefault="000B6B20" w:rsidP="00DC128C">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DC128C">
        <w:rPr>
          <w:rFonts w:ascii="Verdana" w:hAnsi="Verdana"/>
          <w:sz w:val="20"/>
          <w:szCs w:val="20"/>
          <w:lang w:val="es-CR"/>
        </w:rPr>
        <w:t>La regulación específica del artículo 7 de la Convención Americana son garantías que establecen límites al ejercicio de la autoridad llevado a cabo por funcionarios del Estado, límites que se aplican a los instrumentos de control estatales. Entre ellos se encuentra la detención, la cual debe aplicarse en concordancia con las demás garantías de la Convención Americana. Además debe tener un carácter excepcional y respetar el principio de presunción de inocencia, de legalidad, necesidad y proporcionalidad, todos principios indispensables para el correcto funcionamiento de una sociedad democrática y respetuosa de los derechos humanos</w:t>
      </w:r>
      <w:r w:rsidRPr="0060326C">
        <w:rPr>
          <w:rFonts w:ascii="Verdana" w:hAnsi="Verdana"/>
          <w:sz w:val="20"/>
          <w:szCs w:val="20"/>
          <w:vertAlign w:val="superscript"/>
          <w:lang w:val="es-CR"/>
        </w:rPr>
        <w:footnoteReference w:id="180"/>
      </w:r>
      <w:r w:rsidRPr="0060326C">
        <w:rPr>
          <w:rFonts w:ascii="Verdana" w:hAnsi="Verdana"/>
          <w:sz w:val="20"/>
          <w:szCs w:val="20"/>
          <w:lang w:val="es-CR"/>
        </w:rPr>
        <w:t>.</w:t>
      </w:r>
      <w:r w:rsidRPr="00DC128C">
        <w:rPr>
          <w:rFonts w:ascii="Verdana" w:hAnsi="Verdana"/>
          <w:sz w:val="20"/>
          <w:szCs w:val="20"/>
          <w:lang w:val="es-CR"/>
        </w:rPr>
        <w:t xml:space="preserve"> Para privar a alguien de su libertad es necesario que la causa o motivo por el cual se priva de libertad esté fijado con anterioridad. Además, esa privación no puede ser arbitraria, se debe informar de las razones de su detención a quien la sufre, se debe poner al detenido lo antes posible a disposición del juez y se tiene derecho a recurrir ante un juez o tribunal competente para efectos de que este evalúe la legalidad de la detención. </w:t>
      </w:r>
    </w:p>
    <w:p w14:paraId="06A2D137" w14:textId="77777777" w:rsidR="00DC128C" w:rsidRPr="00DC128C" w:rsidRDefault="00DC128C" w:rsidP="00DC128C">
      <w:pPr>
        <w:pStyle w:val="Prrafodelista"/>
        <w:rPr>
          <w:rFonts w:ascii="Verdana" w:hAnsi="Verdana"/>
          <w:sz w:val="20"/>
          <w:szCs w:val="20"/>
          <w:lang w:val="es-CR"/>
        </w:rPr>
      </w:pPr>
    </w:p>
    <w:p w14:paraId="2F40EEF1" w14:textId="77777777" w:rsidR="00DC128C" w:rsidRDefault="007D27B3" w:rsidP="00DC128C">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DC128C">
        <w:rPr>
          <w:rFonts w:ascii="Verdana" w:hAnsi="Verdana"/>
          <w:sz w:val="20"/>
          <w:szCs w:val="20"/>
          <w:lang w:val="es-CR"/>
        </w:rPr>
        <w:t xml:space="preserve">La garantía de una detención legal en Guatemala se desprende de su Constitución Política, en el artículo 6, en el cual se establece: </w:t>
      </w:r>
    </w:p>
    <w:p w14:paraId="691B63B9" w14:textId="77777777" w:rsidR="00DC128C" w:rsidRDefault="00DC128C" w:rsidP="00DC128C">
      <w:pPr>
        <w:pStyle w:val="Prrafodelista"/>
        <w:rPr>
          <w:rFonts w:ascii="Verdana" w:hAnsi="Verdana"/>
          <w:sz w:val="20"/>
          <w:szCs w:val="20"/>
          <w:lang w:val="es-CR"/>
        </w:rPr>
      </w:pPr>
    </w:p>
    <w:p w14:paraId="5ACD97AF" w14:textId="77777777" w:rsidR="00DC128C" w:rsidRPr="00133023" w:rsidRDefault="00DC128C" w:rsidP="00DC128C">
      <w:pPr>
        <w:pStyle w:val="Prrafodelista"/>
        <w:spacing w:after="0" w:line="240" w:lineRule="auto"/>
        <w:ind w:right="333"/>
        <w:jc w:val="both"/>
        <w:rPr>
          <w:rFonts w:ascii="Verdana" w:hAnsi="Verdana"/>
          <w:sz w:val="16"/>
          <w:szCs w:val="16"/>
          <w:lang w:val="es-CR"/>
        </w:rPr>
      </w:pPr>
      <w:r w:rsidRPr="00133023">
        <w:rPr>
          <w:rFonts w:ascii="Verdana" w:hAnsi="Verdana"/>
          <w:sz w:val="16"/>
          <w:szCs w:val="16"/>
          <w:lang w:val="es-CR"/>
        </w:rPr>
        <w:t>Detención legal. Ninguna persona puede ser detenida o presa, sino por causa de delito o falta y en virtud de orden librada con apego a la ley por autoridad judicial competente. Se exceptúan los casos de flagrante delito o falta. Los detenidos deberán ser puestos a disposición de la autoridad judicial competente en un plazo que no exceda de seis horas, y no podrán quedar sujetos a ninguna otra autoridad. El funcionario, o agente de la autoridad que infrinja lo dispuesto en este artículo será sancionado conforme a la ley, y los tribunales, de oficio, iniciarán el proceso correspondiente.</w:t>
      </w:r>
    </w:p>
    <w:p w14:paraId="1C40E87F" w14:textId="77777777" w:rsidR="00DC128C" w:rsidRPr="00DC128C" w:rsidRDefault="00DC128C" w:rsidP="00DC128C">
      <w:pPr>
        <w:pStyle w:val="Prrafodelista"/>
        <w:rPr>
          <w:rFonts w:ascii="Verdana" w:hAnsi="Verdana"/>
          <w:sz w:val="20"/>
          <w:szCs w:val="20"/>
          <w:lang w:val="es-CR"/>
        </w:rPr>
      </w:pPr>
    </w:p>
    <w:p w14:paraId="01241467" w14:textId="77777777" w:rsidR="00DC128C" w:rsidRDefault="007D27B3" w:rsidP="00DC128C">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DC128C">
        <w:rPr>
          <w:rFonts w:ascii="Verdana" w:hAnsi="Verdana"/>
          <w:sz w:val="20"/>
          <w:szCs w:val="20"/>
          <w:lang w:val="es-CR"/>
        </w:rPr>
        <w:t xml:space="preserve">Además, el Código Procesal </w:t>
      </w:r>
      <w:proofErr w:type="gramStart"/>
      <w:r w:rsidRPr="00DC128C">
        <w:rPr>
          <w:rFonts w:ascii="Verdana" w:hAnsi="Verdana"/>
          <w:sz w:val="20"/>
          <w:szCs w:val="20"/>
          <w:lang w:val="es-CR"/>
        </w:rPr>
        <w:t>Penal  se</w:t>
      </w:r>
      <w:proofErr w:type="gramEnd"/>
      <w:r w:rsidRPr="00DC128C">
        <w:rPr>
          <w:rFonts w:ascii="Verdana" w:hAnsi="Verdana"/>
          <w:sz w:val="20"/>
          <w:szCs w:val="20"/>
          <w:lang w:val="es-CR"/>
        </w:rPr>
        <w:t xml:space="preserve"> refiere a la aprehensión en su artículo 257 en los siguientes términos:</w:t>
      </w:r>
    </w:p>
    <w:p w14:paraId="602F52BD" w14:textId="77777777" w:rsidR="00DC128C" w:rsidRDefault="00DC128C" w:rsidP="00DC128C">
      <w:pPr>
        <w:pStyle w:val="Prrafodelista"/>
        <w:autoSpaceDE w:val="0"/>
        <w:autoSpaceDN w:val="0"/>
        <w:adjustRightInd w:val="0"/>
        <w:spacing w:after="0" w:line="240" w:lineRule="auto"/>
        <w:ind w:left="0"/>
        <w:jc w:val="both"/>
        <w:rPr>
          <w:rFonts w:ascii="Verdana" w:hAnsi="Verdana"/>
          <w:sz w:val="20"/>
          <w:szCs w:val="20"/>
          <w:lang w:val="es-CR"/>
        </w:rPr>
      </w:pPr>
    </w:p>
    <w:p w14:paraId="1285F3A8" w14:textId="77777777" w:rsidR="00DC128C" w:rsidRDefault="00DC128C" w:rsidP="00DC128C">
      <w:pPr>
        <w:pStyle w:val="Prrafodelista"/>
        <w:autoSpaceDE w:val="0"/>
        <w:autoSpaceDN w:val="0"/>
        <w:adjustRightInd w:val="0"/>
        <w:spacing w:after="0" w:line="240" w:lineRule="auto"/>
        <w:ind w:right="448"/>
        <w:jc w:val="both"/>
        <w:rPr>
          <w:rFonts w:ascii="Verdana" w:hAnsi="Verdana"/>
          <w:sz w:val="16"/>
          <w:szCs w:val="20"/>
          <w:lang w:val="es-CR"/>
        </w:rPr>
      </w:pPr>
      <w:r w:rsidRPr="00133023">
        <w:rPr>
          <w:rFonts w:ascii="Verdana" w:hAnsi="Verdana"/>
          <w:sz w:val="16"/>
          <w:szCs w:val="20"/>
          <w:lang w:val="es-CR"/>
        </w:rPr>
        <w:t>Artículo 257. (Aprehensión). La policía deberá aprehender a quien sorprenda en flagrante delito o persiga inmediatamente después de la comisión de un hecho punible.</w:t>
      </w:r>
    </w:p>
    <w:p w14:paraId="37E12E8D" w14:textId="77777777" w:rsidR="00DC128C" w:rsidRPr="00133023" w:rsidRDefault="00DC128C" w:rsidP="00DC128C">
      <w:pPr>
        <w:pStyle w:val="Prrafodelista"/>
        <w:autoSpaceDE w:val="0"/>
        <w:autoSpaceDN w:val="0"/>
        <w:adjustRightInd w:val="0"/>
        <w:spacing w:after="0" w:line="240" w:lineRule="auto"/>
        <w:ind w:right="448"/>
        <w:jc w:val="both"/>
        <w:rPr>
          <w:rFonts w:ascii="Verdana" w:hAnsi="Verdana"/>
          <w:sz w:val="16"/>
          <w:szCs w:val="20"/>
          <w:lang w:val="es-CR"/>
        </w:rPr>
      </w:pPr>
      <w:r w:rsidRPr="00133023">
        <w:rPr>
          <w:rFonts w:ascii="Verdana" w:hAnsi="Verdana"/>
          <w:sz w:val="16"/>
          <w:szCs w:val="20"/>
          <w:lang w:val="es-CR"/>
        </w:rPr>
        <w:t xml:space="preserve"> </w:t>
      </w:r>
    </w:p>
    <w:p w14:paraId="54C3ABBE" w14:textId="77777777" w:rsidR="00DC128C" w:rsidRPr="00133023" w:rsidRDefault="00DC128C" w:rsidP="00DC128C">
      <w:pPr>
        <w:pStyle w:val="Prrafodelista"/>
        <w:autoSpaceDE w:val="0"/>
        <w:autoSpaceDN w:val="0"/>
        <w:adjustRightInd w:val="0"/>
        <w:spacing w:after="0" w:line="240" w:lineRule="auto"/>
        <w:ind w:right="448"/>
        <w:jc w:val="both"/>
        <w:rPr>
          <w:rFonts w:ascii="Verdana" w:hAnsi="Verdana"/>
          <w:sz w:val="16"/>
          <w:szCs w:val="20"/>
          <w:lang w:val="es-CR"/>
        </w:rPr>
      </w:pPr>
      <w:r w:rsidRPr="00133023">
        <w:rPr>
          <w:rFonts w:ascii="Verdana" w:hAnsi="Verdana"/>
          <w:sz w:val="16"/>
          <w:szCs w:val="20"/>
          <w:lang w:val="es-CR"/>
        </w:rPr>
        <w:t xml:space="preserve">En el mismo caso, cualquier persona está autorizada a practicar la aprehensión y a impedir que el hecho punible produzca consecuencias ulteriores. Deberá entregar inmediatamente al aprehendido, juntamente con las cosas recogidas, al Ministerio Público, a la policía o a la autoridad judicial más próxima. </w:t>
      </w:r>
    </w:p>
    <w:p w14:paraId="71A06DAA" w14:textId="77777777" w:rsidR="00DC128C" w:rsidRDefault="00DC128C" w:rsidP="00DC128C">
      <w:pPr>
        <w:pStyle w:val="Prrafodelista"/>
        <w:autoSpaceDE w:val="0"/>
        <w:autoSpaceDN w:val="0"/>
        <w:adjustRightInd w:val="0"/>
        <w:spacing w:after="0" w:line="240" w:lineRule="auto"/>
        <w:ind w:right="448"/>
        <w:jc w:val="both"/>
        <w:rPr>
          <w:rFonts w:ascii="Verdana" w:hAnsi="Verdana"/>
          <w:sz w:val="16"/>
          <w:szCs w:val="20"/>
          <w:lang w:val="es-CR"/>
        </w:rPr>
      </w:pPr>
      <w:r w:rsidRPr="00133023">
        <w:rPr>
          <w:rFonts w:ascii="Verdana" w:hAnsi="Verdana"/>
          <w:sz w:val="16"/>
          <w:szCs w:val="20"/>
          <w:lang w:val="es-CR"/>
        </w:rPr>
        <w:t xml:space="preserve">El Ministerio Público podrá solicitar la aprehensión del sindicado, al juez o tribunal, cuando estime que concurren los requisitos de ley y que resulta necesario su encarcelamiento, en cuyo caso lo pondrá a disposición del juez que controla la investigación. El juez podrá ordenar cualquier medida sustitutiva de la privación de libertad, o prescindir de ella, caso en el cual liberará al sindicado. </w:t>
      </w:r>
    </w:p>
    <w:p w14:paraId="329C0433" w14:textId="77777777" w:rsidR="00DC128C" w:rsidRDefault="00DC128C" w:rsidP="00DC128C">
      <w:pPr>
        <w:pStyle w:val="Prrafodelista"/>
        <w:autoSpaceDE w:val="0"/>
        <w:autoSpaceDN w:val="0"/>
        <w:adjustRightInd w:val="0"/>
        <w:spacing w:after="0" w:line="240" w:lineRule="auto"/>
        <w:ind w:left="0"/>
        <w:jc w:val="both"/>
        <w:rPr>
          <w:rFonts w:ascii="Verdana" w:hAnsi="Verdana"/>
          <w:sz w:val="20"/>
          <w:szCs w:val="20"/>
          <w:lang w:val="es-CR"/>
        </w:rPr>
      </w:pPr>
    </w:p>
    <w:p w14:paraId="2659F2AB" w14:textId="77777777" w:rsidR="00DC128C" w:rsidRDefault="007D27B3" w:rsidP="00DC128C">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DC128C">
        <w:rPr>
          <w:rFonts w:ascii="Verdana" w:hAnsi="Verdana"/>
          <w:sz w:val="20"/>
          <w:szCs w:val="20"/>
          <w:lang w:val="es-CR"/>
        </w:rPr>
        <w:t>De conformidad con los referidos artículos 6 de la Constitución y 257 del Código Procesal Penal es preciso que exista un control judicial inmediato de la detención, como medida tendiente a evitar la arbitrariedad o ilegalidad de la medida.</w:t>
      </w:r>
    </w:p>
    <w:p w14:paraId="63BF514D" w14:textId="77777777" w:rsidR="00DC128C" w:rsidRDefault="00DC128C" w:rsidP="00DC128C">
      <w:pPr>
        <w:pStyle w:val="Prrafodelista"/>
        <w:autoSpaceDE w:val="0"/>
        <w:autoSpaceDN w:val="0"/>
        <w:adjustRightInd w:val="0"/>
        <w:spacing w:after="0" w:line="240" w:lineRule="auto"/>
        <w:ind w:left="0"/>
        <w:jc w:val="both"/>
        <w:rPr>
          <w:rFonts w:ascii="Verdana" w:hAnsi="Verdana"/>
          <w:sz w:val="20"/>
          <w:szCs w:val="20"/>
          <w:lang w:val="es-CR"/>
        </w:rPr>
      </w:pPr>
    </w:p>
    <w:p w14:paraId="3D9EE63E" w14:textId="5D29FBE3" w:rsidR="00DC128C" w:rsidRDefault="0035346E" w:rsidP="00DC128C">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DC128C">
        <w:rPr>
          <w:rFonts w:ascii="Verdana" w:hAnsi="Verdana"/>
          <w:sz w:val="20"/>
          <w:szCs w:val="20"/>
          <w:lang w:val="es-CR"/>
        </w:rPr>
        <w:t>Ahora bien, en el presente caso existe controversia</w:t>
      </w:r>
      <w:r w:rsidR="00C714C6" w:rsidRPr="00DC128C">
        <w:rPr>
          <w:rFonts w:ascii="Verdana" w:hAnsi="Verdana"/>
          <w:sz w:val="20"/>
          <w:szCs w:val="20"/>
          <w:lang w:val="es-CR"/>
        </w:rPr>
        <w:t xml:space="preserve"> respecto a los alegados hechos de la detención</w:t>
      </w:r>
      <w:r w:rsidR="003546D0" w:rsidRPr="00DC128C">
        <w:rPr>
          <w:rFonts w:ascii="Verdana" w:hAnsi="Verdana"/>
          <w:sz w:val="20"/>
          <w:szCs w:val="20"/>
          <w:lang w:val="es-CR"/>
        </w:rPr>
        <w:t>, ya que los representante</w:t>
      </w:r>
      <w:r w:rsidR="00C02DF6" w:rsidRPr="00DC128C">
        <w:rPr>
          <w:rFonts w:ascii="Verdana" w:hAnsi="Verdana"/>
          <w:sz w:val="20"/>
          <w:szCs w:val="20"/>
          <w:lang w:val="es-CR"/>
        </w:rPr>
        <w:t xml:space="preserve">s y </w:t>
      </w:r>
      <w:r w:rsidR="003546D0" w:rsidRPr="00DC128C">
        <w:rPr>
          <w:rFonts w:ascii="Verdana" w:hAnsi="Verdana"/>
          <w:sz w:val="20"/>
          <w:szCs w:val="20"/>
          <w:lang w:val="es-CR"/>
        </w:rPr>
        <w:t>el Estado presentaron versiones distintas</w:t>
      </w:r>
      <w:r w:rsidR="00C714C6" w:rsidRPr="00DC128C">
        <w:rPr>
          <w:rFonts w:ascii="Verdana" w:hAnsi="Verdana"/>
          <w:sz w:val="20"/>
          <w:szCs w:val="20"/>
          <w:lang w:val="es-CR"/>
        </w:rPr>
        <w:t>. Por un lado, s</w:t>
      </w:r>
      <w:r w:rsidR="00D820E7" w:rsidRPr="00DC128C">
        <w:rPr>
          <w:rFonts w:ascii="Verdana" w:hAnsi="Verdana"/>
          <w:sz w:val="20"/>
          <w:szCs w:val="20"/>
          <w:lang w:val="es-CR"/>
        </w:rPr>
        <w:t xml:space="preserve">egún </w:t>
      </w:r>
      <w:r w:rsidR="00C02DF6" w:rsidRPr="00DC128C">
        <w:rPr>
          <w:rFonts w:ascii="Verdana" w:hAnsi="Verdana"/>
          <w:sz w:val="20"/>
          <w:szCs w:val="20"/>
          <w:lang w:val="es-CR"/>
        </w:rPr>
        <w:t xml:space="preserve">narró </w:t>
      </w:r>
      <w:r w:rsidR="00810CD2" w:rsidRPr="00DC128C">
        <w:rPr>
          <w:rFonts w:ascii="Verdana" w:hAnsi="Verdana"/>
          <w:sz w:val="20"/>
          <w:szCs w:val="20"/>
          <w:lang w:val="es-CR"/>
        </w:rPr>
        <w:t xml:space="preserve">el </w:t>
      </w:r>
      <w:r w:rsidRPr="00DC128C">
        <w:rPr>
          <w:rFonts w:ascii="Verdana" w:hAnsi="Verdana"/>
          <w:sz w:val="20"/>
          <w:szCs w:val="20"/>
          <w:lang w:val="es-CR"/>
        </w:rPr>
        <w:t>señor Valenzuela</w:t>
      </w:r>
      <w:r w:rsidR="003546D0" w:rsidRPr="00DC128C">
        <w:rPr>
          <w:rFonts w:ascii="Verdana" w:hAnsi="Verdana"/>
          <w:sz w:val="20"/>
          <w:szCs w:val="20"/>
          <w:lang w:val="es-CR"/>
        </w:rPr>
        <w:t>,</w:t>
      </w:r>
      <w:r w:rsidRPr="00DC128C">
        <w:rPr>
          <w:rFonts w:ascii="Verdana" w:hAnsi="Verdana"/>
          <w:sz w:val="20"/>
          <w:szCs w:val="20"/>
          <w:lang w:val="es-CR"/>
        </w:rPr>
        <w:t xml:space="preserve"> fue detenido primeramente el 27 de mayo de 1998 por funcionarios de la PNC</w:t>
      </w:r>
      <w:r w:rsidR="00D820E7" w:rsidRPr="00DC128C">
        <w:rPr>
          <w:rFonts w:ascii="Verdana" w:hAnsi="Verdana"/>
          <w:sz w:val="20"/>
          <w:szCs w:val="20"/>
          <w:lang w:val="es-CR"/>
        </w:rPr>
        <w:t xml:space="preserve"> vestidos de civil</w:t>
      </w:r>
      <w:r w:rsidRPr="00DC128C">
        <w:rPr>
          <w:rFonts w:ascii="Verdana" w:hAnsi="Verdana"/>
          <w:sz w:val="20"/>
          <w:szCs w:val="20"/>
          <w:lang w:val="es-CR"/>
        </w:rPr>
        <w:t>, alrededor de las 13:45 h</w:t>
      </w:r>
      <w:r w:rsidR="000E33CE">
        <w:rPr>
          <w:rFonts w:ascii="Verdana" w:hAnsi="Verdana"/>
          <w:sz w:val="20"/>
          <w:szCs w:val="20"/>
          <w:lang w:val="es-CR"/>
        </w:rPr>
        <w:t>.</w:t>
      </w:r>
      <w:r w:rsidRPr="00DC128C">
        <w:rPr>
          <w:rFonts w:ascii="Verdana" w:hAnsi="Verdana"/>
          <w:sz w:val="20"/>
          <w:szCs w:val="20"/>
          <w:lang w:val="es-CR"/>
        </w:rPr>
        <w:t xml:space="preserve">, quienes lo llevaron a </w:t>
      </w:r>
      <w:r w:rsidRPr="00DC128C">
        <w:rPr>
          <w:rFonts w:ascii="Verdana" w:eastAsia="Verdana" w:hAnsi="Verdana" w:cs="Verdana"/>
          <w:sz w:val="20"/>
          <w:szCs w:val="20"/>
          <w:lang w:val="es-CR"/>
        </w:rPr>
        <w:t xml:space="preserve">la Cumbre de </w:t>
      </w:r>
      <w:proofErr w:type="spellStart"/>
      <w:r w:rsidRPr="00DC128C">
        <w:rPr>
          <w:rFonts w:ascii="Verdana" w:eastAsia="Verdana" w:hAnsi="Verdana" w:cs="Verdana"/>
          <w:sz w:val="20"/>
          <w:szCs w:val="20"/>
          <w:lang w:val="es-CR"/>
        </w:rPr>
        <w:t>Olintepeque</w:t>
      </w:r>
      <w:proofErr w:type="spellEnd"/>
      <w:r w:rsidRPr="00DC128C">
        <w:rPr>
          <w:rFonts w:ascii="Verdana" w:eastAsia="Verdana" w:hAnsi="Verdana" w:cs="Verdana"/>
          <w:sz w:val="20"/>
          <w:szCs w:val="20"/>
          <w:lang w:val="es-CR"/>
        </w:rPr>
        <w:t xml:space="preserve"> Quetzaltenango</w:t>
      </w:r>
      <w:r w:rsidR="00810CD2" w:rsidRPr="00DC128C">
        <w:rPr>
          <w:rFonts w:ascii="Verdana" w:eastAsia="Verdana" w:hAnsi="Verdana" w:cs="Verdana"/>
          <w:sz w:val="20"/>
          <w:szCs w:val="20"/>
          <w:lang w:val="es-CR"/>
        </w:rPr>
        <w:t xml:space="preserve"> en donde fue objeto de violencia </w:t>
      </w:r>
      <w:r w:rsidR="003546D0" w:rsidRPr="00DC128C">
        <w:rPr>
          <w:rFonts w:ascii="Verdana" w:eastAsia="Verdana" w:hAnsi="Verdana" w:cs="Verdana"/>
          <w:sz w:val="20"/>
          <w:szCs w:val="20"/>
          <w:lang w:val="es-CR"/>
        </w:rPr>
        <w:t xml:space="preserve">para </w:t>
      </w:r>
      <w:r w:rsidRPr="00DC128C">
        <w:rPr>
          <w:rFonts w:ascii="Verdana" w:eastAsia="Verdana" w:hAnsi="Verdana" w:cs="Verdana"/>
          <w:sz w:val="20"/>
          <w:szCs w:val="20"/>
          <w:lang w:val="es-CR"/>
        </w:rPr>
        <w:t>obtener</w:t>
      </w:r>
      <w:r w:rsidRPr="00DC128C">
        <w:rPr>
          <w:rFonts w:ascii="Verdana" w:eastAsia="Calibri" w:hAnsi="Verdana" w:cs="Calibri"/>
          <w:sz w:val="20"/>
          <w:szCs w:val="20"/>
          <w:lang w:val="es-CR"/>
        </w:rPr>
        <w:t xml:space="preserve"> </w:t>
      </w:r>
      <w:r w:rsidRPr="00DC128C">
        <w:rPr>
          <w:rFonts w:ascii="Verdana" w:eastAsia="Calibri" w:hAnsi="Verdana" w:cs="Calibri"/>
          <w:sz w:val="20"/>
          <w:szCs w:val="20"/>
          <w:lang w:val="es-CR"/>
        </w:rPr>
        <w:lastRenderedPageBreak/>
        <w:t>información respecto d</w:t>
      </w:r>
      <w:r w:rsidRPr="00DC128C">
        <w:rPr>
          <w:rFonts w:ascii="Verdana" w:eastAsia="Verdana" w:hAnsi="Verdana" w:cs="Verdana"/>
          <w:sz w:val="20"/>
          <w:szCs w:val="20"/>
          <w:lang w:val="es-CR"/>
        </w:rPr>
        <w:t>el crimen del cual había sido víctima la fiscal</w:t>
      </w:r>
      <w:r w:rsidR="0064236A">
        <w:rPr>
          <w:rFonts w:ascii="Verdana" w:eastAsia="Verdana" w:hAnsi="Verdana" w:cs="Verdana"/>
          <w:sz w:val="20"/>
          <w:szCs w:val="20"/>
          <w:lang w:val="es-CR"/>
        </w:rPr>
        <w:t>a</w:t>
      </w:r>
      <w:r w:rsidRPr="00DC128C">
        <w:rPr>
          <w:rFonts w:ascii="Verdana" w:eastAsia="Verdana" w:hAnsi="Verdana" w:cs="Verdana"/>
          <w:sz w:val="20"/>
          <w:szCs w:val="20"/>
          <w:lang w:val="es-CR"/>
        </w:rPr>
        <w:t xml:space="preserve"> SJR. </w:t>
      </w:r>
      <w:r w:rsidRPr="00DC128C">
        <w:rPr>
          <w:rFonts w:ascii="Verdana" w:eastAsia="Calibri" w:hAnsi="Verdana" w:cs="Calibri"/>
          <w:sz w:val="20"/>
          <w:szCs w:val="20"/>
        </w:rPr>
        <w:t>P</w:t>
      </w:r>
      <w:proofErr w:type="spellStart"/>
      <w:r w:rsidRPr="00DC128C">
        <w:rPr>
          <w:rFonts w:ascii="Verdana" w:eastAsia="Calibri" w:hAnsi="Verdana" w:cs="Calibri"/>
          <w:sz w:val="20"/>
          <w:szCs w:val="20"/>
          <w:lang w:val="es-CR"/>
        </w:rPr>
        <w:t>osteriormente</w:t>
      </w:r>
      <w:proofErr w:type="spellEnd"/>
      <w:r w:rsidR="00810CD2" w:rsidRPr="00DC128C">
        <w:rPr>
          <w:rFonts w:ascii="Verdana" w:eastAsia="Calibri" w:hAnsi="Verdana" w:cs="Calibri"/>
          <w:sz w:val="20"/>
          <w:szCs w:val="20"/>
          <w:lang w:val="es-CR"/>
        </w:rPr>
        <w:t>,</w:t>
      </w:r>
      <w:r w:rsidRPr="00DC128C">
        <w:rPr>
          <w:rFonts w:ascii="Verdana" w:eastAsia="Calibri" w:hAnsi="Verdana" w:cs="Calibri"/>
          <w:sz w:val="20"/>
          <w:szCs w:val="20"/>
          <w:lang w:val="es-CR"/>
        </w:rPr>
        <w:t xml:space="preserve"> fue llevado nuevamente a su domicilio para practicar un allanamiento</w:t>
      </w:r>
      <w:r w:rsidR="00D820E7" w:rsidRPr="00DC128C">
        <w:rPr>
          <w:rFonts w:ascii="Verdana" w:eastAsia="Calibri" w:hAnsi="Verdana" w:cs="Calibri"/>
          <w:sz w:val="20"/>
          <w:szCs w:val="20"/>
          <w:lang w:val="es-CR"/>
        </w:rPr>
        <w:t>,</w:t>
      </w:r>
      <w:r w:rsidRPr="00DC128C">
        <w:rPr>
          <w:rFonts w:ascii="Verdana" w:eastAsia="Verdana" w:hAnsi="Verdana" w:cs="Verdana"/>
          <w:sz w:val="20"/>
          <w:szCs w:val="20"/>
          <w:lang w:val="es-CR"/>
        </w:rPr>
        <w:t xml:space="preserve"> </w:t>
      </w:r>
      <w:r w:rsidR="00D820E7" w:rsidRPr="00DC128C">
        <w:rPr>
          <w:rFonts w:ascii="Verdana" w:eastAsia="Calibri" w:hAnsi="Verdana" w:cs="Calibri"/>
          <w:sz w:val="20"/>
          <w:szCs w:val="20"/>
          <w:lang w:val="es-CR"/>
        </w:rPr>
        <w:t xml:space="preserve">durante </w:t>
      </w:r>
      <w:r w:rsidR="00987672">
        <w:rPr>
          <w:rFonts w:ascii="Verdana" w:eastAsia="Calibri" w:hAnsi="Verdana" w:cs="Calibri"/>
          <w:sz w:val="20"/>
          <w:szCs w:val="20"/>
          <w:lang w:val="es-CR"/>
        </w:rPr>
        <w:t xml:space="preserve">el </w:t>
      </w:r>
      <w:r w:rsidR="00D820E7" w:rsidRPr="00DC128C">
        <w:rPr>
          <w:rFonts w:ascii="Verdana" w:eastAsia="Calibri" w:hAnsi="Verdana" w:cs="Calibri"/>
          <w:sz w:val="20"/>
          <w:szCs w:val="20"/>
          <w:lang w:val="es-CR"/>
        </w:rPr>
        <w:t>cual</w:t>
      </w:r>
      <w:r w:rsidR="00810CD2" w:rsidRPr="00DC128C">
        <w:rPr>
          <w:rFonts w:ascii="Verdana" w:eastAsia="Calibri" w:hAnsi="Verdana" w:cs="Calibri"/>
          <w:sz w:val="20"/>
          <w:szCs w:val="20"/>
          <w:lang w:val="es-CR"/>
        </w:rPr>
        <w:t xml:space="preserve"> un agente estatal ingresó al domicilio con un costal que contenía las armas y</w:t>
      </w:r>
      <w:r w:rsidR="00D820E7" w:rsidRPr="00DC128C">
        <w:rPr>
          <w:rFonts w:ascii="Verdana" w:eastAsia="Calibri" w:hAnsi="Verdana" w:cs="Calibri"/>
          <w:sz w:val="20"/>
          <w:szCs w:val="20"/>
          <w:lang w:val="es-CR"/>
        </w:rPr>
        <w:t xml:space="preserve"> se le atribuy</w:t>
      </w:r>
      <w:r w:rsidR="00940F62" w:rsidRPr="00DC128C">
        <w:rPr>
          <w:rFonts w:ascii="Verdana" w:eastAsia="Calibri" w:hAnsi="Verdana" w:cs="Calibri"/>
          <w:sz w:val="20"/>
          <w:szCs w:val="20"/>
          <w:lang w:val="es-CR"/>
        </w:rPr>
        <w:t>ó la posesión</w:t>
      </w:r>
      <w:r w:rsidR="00D820E7" w:rsidRPr="00DC128C">
        <w:rPr>
          <w:rFonts w:ascii="Verdana" w:eastAsia="Calibri" w:hAnsi="Verdana" w:cs="Calibri"/>
          <w:sz w:val="20"/>
          <w:szCs w:val="20"/>
          <w:lang w:val="es-CR"/>
        </w:rPr>
        <w:t xml:space="preserve"> de las mismas</w:t>
      </w:r>
      <w:r w:rsidR="006863F4" w:rsidRPr="00DC128C">
        <w:rPr>
          <w:rFonts w:ascii="Verdana" w:eastAsia="Calibri" w:hAnsi="Verdana" w:cs="Calibri"/>
          <w:sz w:val="20"/>
          <w:szCs w:val="20"/>
          <w:lang w:val="es-CR"/>
        </w:rPr>
        <w:t xml:space="preserve"> que “implantaron”</w:t>
      </w:r>
      <w:r w:rsidR="00252DED">
        <w:rPr>
          <w:rFonts w:ascii="Verdana" w:eastAsia="Calibri" w:hAnsi="Verdana" w:cs="Calibri"/>
          <w:sz w:val="20"/>
          <w:szCs w:val="20"/>
          <w:lang w:val="es-CR"/>
        </w:rPr>
        <w:t xml:space="preserve">. </w:t>
      </w:r>
      <w:r w:rsidR="00810CD2" w:rsidRPr="00DC128C">
        <w:rPr>
          <w:rFonts w:ascii="Verdana" w:eastAsia="Calibri" w:hAnsi="Verdana" w:cs="Calibri"/>
          <w:sz w:val="20"/>
          <w:szCs w:val="20"/>
          <w:lang w:val="es-CR"/>
        </w:rPr>
        <w:t xml:space="preserve">La </w:t>
      </w:r>
      <w:r w:rsidR="00637C80">
        <w:rPr>
          <w:rFonts w:ascii="Verdana" w:eastAsia="Calibri" w:hAnsi="Verdana" w:cs="Calibri"/>
          <w:sz w:val="20"/>
          <w:szCs w:val="20"/>
          <w:lang w:val="es-CR"/>
        </w:rPr>
        <w:t xml:space="preserve">otra </w:t>
      </w:r>
      <w:r w:rsidR="00810CD2" w:rsidRPr="00DC128C">
        <w:rPr>
          <w:rFonts w:ascii="Verdana" w:eastAsia="Calibri" w:hAnsi="Verdana" w:cs="Calibri"/>
          <w:sz w:val="20"/>
          <w:szCs w:val="20"/>
          <w:lang w:val="es-CR"/>
        </w:rPr>
        <w:t>versión, es la del Estado, que no se refiere a l</w:t>
      </w:r>
      <w:r w:rsidR="00C02DF6" w:rsidRPr="00DC128C">
        <w:rPr>
          <w:rFonts w:ascii="Verdana" w:eastAsia="Calibri" w:hAnsi="Verdana" w:cs="Calibri"/>
          <w:sz w:val="20"/>
          <w:szCs w:val="20"/>
          <w:lang w:val="es-CR"/>
        </w:rPr>
        <w:t xml:space="preserve">a </w:t>
      </w:r>
      <w:r w:rsidR="00810CD2" w:rsidRPr="00DC128C">
        <w:rPr>
          <w:rFonts w:ascii="Verdana" w:eastAsia="Calibri" w:hAnsi="Verdana" w:cs="Calibri"/>
          <w:sz w:val="20"/>
          <w:szCs w:val="20"/>
          <w:lang w:val="es-CR"/>
        </w:rPr>
        <w:t xml:space="preserve">detención descrita por el señor Valenzuela, sino que parte del allanamiento efectuado y </w:t>
      </w:r>
      <w:r w:rsidR="00D820E7" w:rsidRPr="00DC128C">
        <w:rPr>
          <w:rFonts w:ascii="Verdana" w:eastAsia="Calibri" w:hAnsi="Verdana" w:cs="Calibri"/>
          <w:sz w:val="20"/>
          <w:szCs w:val="20"/>
          <w:lang w:val="es-CR"/>
        </w:rPr>
        <w:t xml:space="preserve">de </w:t>
      </w:r>
      <w:r w:rsidR="00810CD2" w:rsidRPr="00DC128C">
        <w:rPr>
          <w:rFonts w:ascii="Verdana" w:eastAsia="Calibri" w:hAnsi="Verdana" w:cs="Calibri"/>
          <w:sz w:val="20"/>
          <w:szCs w:val="20"/>
          <w:lang w:val="es-CR"/>
        </w:rPr>
        <w:t>la incautación de armas de grueso calibre</w:t>
      </w:r>
      <w:r w:rsidR="00D820E7" w:rsidRPr="00DC128C">
        <w:rPr>
          <w:rFonts w:ascii="Verdana" w:eastAsia="Calibri" w:hAnsi="Verdana" w:cs="Calibri"/>
          <w:sz w:val="20"/>
          <w:szCs w:val="20"/>
          <w:lang w:val="es-CR"/>
        </w:rPr>
        <w:t xml:space="preserve"> encontradas en su domicilio</w:t>
      </w:r>
      <w:r w:rsidR="00D04FAC" w:rsidRPr="00DC128C">
        <w:rPr>
          <w:rFonts w:ascii="Verdana" w:eastAsia="Calibri" w:hAnsi="Verdana" w:cs="Calibri"/>
          <w:sz w:val="20"/>
          <w:szCs w:val="20"/>
          <w:lang w:val="es-CR"/>
        </w:rPr>
        <w:t xml:space="preserve">, razón por la cual se produce </w:t>
      </w:r>
      <w:r w:rsidR="00810CD2" w:rsidRPr="00DC128C">
        <w:rPr>
          <w:rFonts w:ascii="Verdana" w:eastAsia="Calibri" w:hAnsi="Verdana" w:cs="Calibri"/>
          <w:sz w:val="20"/>
          <w:szCs w:val="20"/>
          <w:lang w:val="es-CR"/>
        </w:rPr>
        <w:t>su detención</w:t>
      </w:r>
      <w:r w:rsidR="006B6C4D" w:rsidRPr="00DC128C">
        <w:rPr>
          <w:rFonts w:ascii="Verdana" w:eastAsia="Calibri" w:hAnsi="Verdana" w:cs="Calibri"/>
          <w:sz w:val="20"/>
          <w:szCs w:val="20"/>
          <w:lang w:val="es-CR"/>
        </w:rPr>
        <w:t xml:space="preserve"> </w:t>
      </w:r>
      <w:r w:rsidR="006B6C4D" w:rsidRPr="00DC128C">
        <w:rPr>
          <w:rFonts w:ascii="Verdana" w:eastAsia="Arial Unicode MS" w:hAnsi="Verdana" w:cs="Arial Unicode MS"/>
          <w:color w:val="000000"/>
          <w:sz w:val="20"/>
          <w:szCs w:val="20"/>
          <w:u w:color="000000"/>
          <w:lang w:val="es-ES_tradnl"/>
        </w:rPr>
        <w:t>(</w:t>
      </w:r>
      <w:r w:rsidR="006863F4" w:rsidRPr="00DC128C">
        <w:rPr>
          <w:rFonts w:ascii="Verdana" w:eastAsia="Arial Unicode MS" w:hAnsi="Verdana" w:cs="Arial Unicode MS"/>
          <w:i/>
          <w:color w:val="000000"/>
          <w:sz w:val="20"/>
          <w:szCs w:val="20"/>
          <w:u w:color="000000"/>
          <w:lang w:val="es-ES_tradnl"/>
        </w:rPr>
        <w:t>supra</w:t>
      </w:r>
      <w:r w:rsidR="006B6C4D" w:rsidRPr="00DC128C">
        <w:rPr>
          <w:rFonts w:ascii="Verdana" w:eastAsia="Arial Unicode MS" w:hAnsi="Verdana" w:cs="Arial Unicode MS"/>
          <w:color w:val="000000"/>
          <w:sz w:val="20"/>
          <w:szCs w:val="20"/>
          <w:u w:color="000000"/>
          <w:lang w:val="es-ES_tradnl"/>
        </w:rPr>
        <w:t xml:space="preserve"> párrs. </w:t>
      </w:r>
      <w:r w:rsidR="000F08F9">
        <w:rPr>
          <w:rFonts w:ascii="Verdana" w:eastAsia="Arial Unicode MS" w:hAnsi="Verdana" w:cs="Arial Unicode MS"/>
          <w:color w:val="000000"/>
          <w:sz w:val="20"/>
          <w:szCs w:val="20"/>
          <w:u w:color="000000"/>
          <w:lang w:val="es-ES_tradnl"/>
        </w:rPr>
        <w:t xml:space="preserve">73 y </w:t>
      </w:r>
      <w:r w:rsidR="00637C80">
        <w:rPr>
          <w:rFonts w:ascii="Verdana" w:eastAsia="Arial Unicode MS" w:hAnsi="Verdana" w:cs="Arial Unicode MS"/>
          <w:color w:val="000000"/>
          <w:sz w:val="20"/>
          <w:szCs w:val="20"/>
          <w:u w:color="000000"/>
          <w:lang w:val="es-ES_tradnl"/>
        </w:rPr>
        <w:t>74</w:t>
      </w:r>
      <w:r w:rsidR="006B6C4D" w:rsidRPr="00DC128C">
        <w:rPr>
          <w:rFonts w:ascii="Verdana" w:eastAsia="Arial Unicode MS" w:hAnsi="Verdana" w:cs="Arial Unicode MS"/>
          <w:color w:val="000000"/>
          <w:sz w:val="20"/>
          <w:szCs w:val="20"/>
          <w:u w:color="000000"/>
          <w:lang w:val="es-ES_tradnl"/>
        </w:rPr>
        <w:t>)</w:t>
      </w:r>
      <w:r w:rsidR="00C02DF6">
        <w:rPr>
          <w:rStyle w:val="Refdenotaalpie"/>
          <w:rFonts w:ascii="Verdana" w:eastAsia="Arial Unicode MS" w:hAnsi="Verdana" w:cs="Arial Unicode MS"/>
          <w:color w:val="000000"/>
          <w:sz w:val="20"/>
          <w:szCs w:val="20"/>
          <w:u w:color="000000"/>
          <w:lang w:val="es-ES_tradnl"/>
        </w:rPr>
        <w:footnoteReference w:id="181"/>
      </w:r>
      <w:r w:rsidR="00810CD2" w:rsidRPr="00DC128C">
        <w:rPr>
          <w:rFonts w:ascii="Verdana" w:eastAsia="Calibri" w:hAnsi="Verdana" w:cs="Calibri"/>
          <w:sz w:val="20"/>
          <w:szCs w:val="20"/>
          <w:lang w:val="es-CR"/>
        </w:rPr>
        <w:t>.</w:t>
      </w:r>
      <w:r w:rsidRPr="00DC128C">
        <w:rPr>
          <w:rFonts w:ascii="Verdana" w:eastAsia="Calibri" w:hAnsi="Verdana" w:cs="Calibri"/>
          <w:sz w:val="20"/>
          <w:szCs w:val="20"/>
          <w:lang w:val="es-CR"/>
        </w:rPr>
        <w:t xml:space="preserve"> </w:t>
      </w:r>
    </w:p>
    <w:p w14:paraId="13F3A840" w14:textId="77777777" w:rsidR="00DC128C" w:rsidRPr="00DC128C" w:rsidRDefault="00DC128C" w:rsidP="00DC128C">
      <w:pPr>
        <w:pStyle w:val="Prrafodelista"/>
        <w:rPr>
          <w:rFonts w:ascii="Verdana" w:hAnsi="Verdana"/>
          <w:sz w:val="20"/>
          <w:szCs w:val="20"/>
          <w:lang w:val="es-CR"/>
        </w:rPr>
      </w:pPr>
    </w:p>
    <w:p w14:paraId="058A5CEB" w14:textId="41F6221E" w:rsidR="00DC128C" w:rsidRDefault="000D474C" w:rsidP="00DC128C">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DC128C">
        <w:rPr>
          <w:rFonts w:ascii="Verdana" w:hAnsi="Verdana"/>
          <w:sz w:val="20"/>
          <w:szCs w:val="20"/>
          <w:lang w:val="es-CR"/>
        </w:rPr>
        <w:t xml:space="preserve">Respecto de la referida </w:t>
      </w:r>
      <w:r w:rsidR="006B6C4D" w:rsidRPr="00DC128C">
        <w:rPr>
          <w:rFonts w:ascii="Verdana" w:hAnsi="Verdana"/>
          <w:sz w:val="20"/>
          <w:szCs w:val="20"/>
          <w:lang w:val="es-CR"/>
        </w:rPr>
        <w:t xml:space="preserve">controversia, </w:t>
      </w:r>
      <w:r w:rsidR="00D80C4B" w:rsidRPr="00DC128C">
        <w:rPr>
          <w:rFonts w:ascii="Verdana" w:hAnsi="Verdana"/>
          <w:sz w:val="20"/>
          <w:szCs w:val="20"/>
          <w:lang w:val="es-CR"/>
        </w:rPr>
        <w:t>del acervo probatorio allegado</w:t>
      </w:r>
      <w:r w:rsidR="000F08F9">
        <w:rPr>
          <w:rFonts w:ascii="Verdana" w:hAnsi="Verdana"/>
          <w:sz w:val="20"/>
          <w:szCs w:val="20"/>
          <w:lang w:val="es-CR"/>
        </w:rPr>
        <w:t xml:space="preserve"> a</w:t>
      </w:r>
      <w:r w:rsidR="00D80C4B" w:rsidRPr="00DC128C">
        <w:rPr>
          <w:rFonts w:ascii="Verdana" w:hAnsi="Verdana"/>
          <w:sz w:val="20"/>
          <w:szCs w:val="20"/>
          <w:lang w:val="es-CR"/>
        </w:rPr>
        <w:t xml:space="preserve"> </w:t>
      </w:r>
      <w:r w:rsidR="00987672" w:rsidRPr="00DC128C">
        <w:rPr>
          <w:rFonts w:ascii="Verdana" w:hAnsi="Verdana"/>
          <w:sz w:val="20"/>
          <w:szCs w:val="20"/>
          <w:lang w:val="es-CR"/>
        </w:rPr>
        <w:t xml:space="preserve">este Tribunal </w:t>
      </w:r>
      <w:r w:rsidR="00D80C4B" w:rsidRPr="00DC128C">
        <w:rPr>
          <w:rFonts w:ascii="Verdana" w:hAnsi="Verdana"/>
          <w:sz w:val="20"/>
          <w:szCs w:val="20"/>
          <w:lang w:val="es-CR"/>
        </w:rPr>
        <w:t>no</w:t>
      </w:r>
      <w:r w:rsidR="00D04FAC" w:rsidRPr="00DC128C">
        <w:rPr>
          <w:rFonts w:ascii="Verdana" w:hAnsi="Verdana"/>
          <w:sz w:val="20"/>
          <w:szCs w:val="20"/>
          <w:lang w:val="es-CR"/>
        </w:rPr>
        <w:t xml:space="preserve"> </w:t>
      </w:r>
      <w:r w:rsidR="006B6C4D" w:rsidRPr="00DC128C">
        <w:rPr>
          <w:rFonts w:ascii="Verdana" w:hAnsi="Verdana"/>
          <w:sz w:val="20"/>
          <w:szCs w:val="20"/>
          <w:lang w:val="es-CR"/>
        </w:rPr>
        <w:t xml:space="preserve">cuenta con elementos suficientes para </w:t>
      </w:r>
      <w:r w:rsidR="00D04FAC" w:rsidRPr="00DC128C">
        <w:rPr>
          <w:rFonts w:ascii="Verdana" w:hAnsi="Verdana"/>
          <w:sz w:val="20"/>
          <w:szCs w:val="20"/>
          <w:lang w:val="es-CR"/>
        </w:rPr>
        <w:t xml:space="preserve">concluir que efectivamente </w:t>
      </w:r>
      <w:r w:rsidR="006B6C4D" w:rsidRPr="00DC128C">
        <w:rPr>
          <w:rFonts w:ascii="Verdana" w:hAnsi="Verdana"/>
          <w:sz w:val="20"/>
          <w:szCs w:val="20"/>
          <w:lang w:val="es-CR"/>
        </w:rPr>
        <w:t xml:space="preserve">el señor Valenzuela </w:t>
      </w:r>
      <w:r w:rsidRPr="00DC128C">
        <w:rPr>
          <w:rFonts w:ascii="Verdana" w:hAnsi="Verdana"/>
          <w:sz w:val="20"/>
          <w:szCs w:val="20"/>
          <w:lang w:val="es-CR"/>
        </w:rPr>
        <w:t xml:space="preserve">habría sido </w:t>
      </w:r>
      <w:r w:rsidR="006B6C4D" w:rsidRPr="00DC128C">
        <w:rPr>
          <w:rFonts w:ascii="Verdana" w:hAnsi="Verdana"/>
          <w:sz w:val="20"/>
          <w:szCs w:val="20"/>
          <w:lang w:val="es-CR"/>
        </w:rPr>
        <w:t>detenido</w:t>
      </w:r>
      <w:r w:rsidR="007D66BF" w:rsidRPr="00DC128C">
        <w:rPr>
          <w:rFonts w:ascii="Verdana" w:hAnsi="Verdana"/>
          <w:sz w:val="20"/>
          <w:szCs w:val="20"/>
          <w:lang w:val="es-CR"/>
        </w:rPr>
        <w:t xml:space="preserve">, antes del allanamiento, </w:t>
      </w:r>
      <w:r w:rsidR="00D80C4B" w:rsidRPr="00DC128C">
        <w:rPr>
          <w:rFonts w:ascii="Verdana" w:hAnsi="Verdana"/>
          <w:sz w:val="20"/>
          <w:szCs w:val="20"/>
          <w:lang w:val="es-CR"/>
        </w:rPr>
        <w:t>el 27 de mayo de 1998</w:t>
      </w:r>
      <w:r w:rsidR="007D66BF" w:rsidRPr="00DC128C">
        <w:rPr>
          <w:rFonts w:ascii="Verdana" w:hAnsi="Verdana"/>
          <w:sz w:val="20"/>
          <w:szCs w:val="20"/>
          <w:lang w:val="es-CR"/>
        </w:rPr>
        <w:t xml:space="preserve">, </w:t>
      </w:r>
      <w:r w:rsidR="00D80C4B" w:rsidRPr="00DC128C">
        <w:rPr>
          <w:rFonts w:ascii="Verdana" w:hAnsi="Verdana"/>
          <w:sz w:val="20"/>
          <w:szCs w:val="20"/>
          <w:lang w:val="es-CR"/>
        </w:rPr>
        <w:t xml:space="preserve">y por tanto no </w:t>
      </w:r>
      <w:r w:rsidR="00C5519F" w:rsidRPr="00DC128C">
        <w:rPr>
          <w:rFonts w:ascii="Verdana" w:hAnsi="Verdana"/>
          <w:sz w:val="20"/>
          <w:szCs w:val="20"/>
          <w:lang w:val="es-CR"/>
        </w:rPr>
        <w:t>analizará las</w:t>
      </w:r>
      <w:r w:rsidR="006B6C4D" w:rsidRPr="00DC128C">
        <w:rPr>
          <w:rFonts w:ascii="Verdana" w:hAnsi="Verdana"/>
          <w:sz w:val="20"/>
          <w:szCs w:val="20"/>
          <w:lang w:val="es-CR"/>
        </w:rPr>
        <w:t xml:space="preserve"> alega</w:t>
      </w:r>
      <w:r w:rsidR="00C5519F" w:rsidRPr="00DC128C">
        <w:rPr>
          <w:rFonts w:ascii="Verdana" w:hAnsi="Verdana"/>
          <w:sz w:val="20"/>
          <w:szCs w:val="20"/>
          <w:lang w:val="es-CR"/>
        </w:rPr>
        <w:t>ciones de</w:t>
      </w:r>
      <w:r w:rsidR="006B6C4D" w:rsidRPr="00DC128C">
        <w:rPr>
          <w:rFonts w:ascii="Verdana" w:hAnsi="Verdana"/>
          <w:sz w:val="20"/>
          <w:szCs w:val="20"/>
          <w:lang w:val="es-CR"/>
        </w:rPr>
        <w:t xml:space="preserve"> los representantes</w:t>
      </w:r>
      <w:r w:rsidR="00C5519F" w:rsidRPr="00DC128C">
        <w:rPr>
          <w:rFonts w:ascii="Verdana" w:hAnsi="Verdana"/>
          <w:sz w:val="20"/>
          <w:szCs w:val="20"/>
          <w:lang w:val="es-CR"/>
        </w:rPr>
        <w:t xml:space="preserve"> respecto a esta detención</w:t>
      </w:r>
      <w:r w:rsidR="006B6C4D" w:rsidRPr="00DC128C">
        <w:rPr>
          <w:rFonts w:ascii="Verdana" w:hAnsi="Verdana"/>
          <w:sz w:val="20"/>
          <w:szCs w:val="20"/>
          <w:lang w:val="es-CR"/>
        </w:rPr>
        <w:t xml:space="preserve">. </w:t>
      </w:r>
    </w:p>
    <w:p w14:paraId="281B69A8" w14:textId="77777777" w:rsidR="00DC128C" w:rsidRPr="00DC128C" w:rsidRDefault="00DC128C" w:rsidP="00DC128C">
      <w:pPr>
        <w:pStyle w:val="Prrafodelista"/>
        <w:rPr>
          <w:rFonts w:ascii="Verdana" w:hAnsi="Verdana"/>
          <w:sz w:val="20"/>
          <w:szCs w:val="20"/>
          <w:lang w:val="es-CR"/>
        </w:rPr>
      </w:pPr>
    </w:p>
    <w:p w14:paraId="3EB1140B" w14:textId="77777777" w:rsidR="00DC128C" w:rsidRDefault="006863F4" w:rsidP="00DC128C">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DC128C">
        <w:rPr>
          <w:rFonts w:ascii="Verdana" w:hAnsi="Verdana"/>
          <w:sz w:val="20"/>
          <w:szCs w:val="20"/>
          <w:lang w:val="es-CR"/>
        </w:rPr>
        <w:t xml:space="preserve">Resuelto lo anterior, corresponde a la </w:t>
      </w:r>
      <w:r w:rsidR="00D969DA" w:rsidRPr="00DC128C">
        <w:rPr>
          <w:rFonts w:ascii="Verdana" w:hAnsi="Verdana"/>
          <w:sz w:val="20"/>
          <w:szCs w:val="20"/>
          <w:lang w:val="es-CR"/>
        </w:rPr>
        <w:t>Co</w:t>
      </w:r>
      <w:r w:rsidR="00E665B8" w:rsidRPr="00DC128C">
        <w:rPr>
          <w:rFonts w:ascii="Verdana" w:hAnsi="Verdana"/>
          <w:sz w:val="20"/>
          <w:szCs w:val="20"/>
          <w:lang w:val="es-CR"/>
        </w:rPr>
        <w:t xml:space="preserve">rte analizar si </w:t>
      </w:r>
      <w:r w:rsidRPr="00DC128C">
        <w:rPr>
          <w:rFonts w:ascii="Verdana" w:hAnsi="Verdana"/>
          <w:sz w:val="20"/>
          <w:szCs w:val="20"/>
          <w:lang w:val="es-CR"/>
        </w:rPr>
        <w:t xml:space="preserve">de acuerdo a </w:t>
      </w:r>
      <w:r w:rsidR="006749BA" w:rsidRPr="00DC128C">
        <w:rPr>
          <w:rFonts w:ascii="Verdana" w:hAnsi="Verdana"/>
          <w:sz w:val="20"/>
          <w:szCs w:val="20"/>
          <w:lang w:val="es-CR"/>
        </w:rPr>
        <w:t>los hechos</w:t>
      </w:r>
      <w:r w:rsidR="00987672">
        <w:rPr>
          <w:rFonts w:ascii="Verdana" w:hAnsi="Verdana"/>
          <w:sz w:val="20"/>
          <w:szCs w:val="20"/>
          <w:lang w:val="es-CR"/>
        </w:rPr>
        <w:t xml:space="preserve"> ocurridos</w:t>
      </w:r>
      <w:r w:rsidRPr="00DC128C">
        <w:rPr>
          <w:rFonts w:ascii="Verdana" w:hAnsi="Verdana"/>
          <w:sz w:val="20"/>
          <w:szCs w:val="20"/>
          <w:lang w:val="es-CR"/>
        </w:rPr>
        <w:t xml:space="preserve"> </w:t>
      </w:r>
      <w:r w:rsidR="009553EB" w:rsidRPr="00DC128C">
        <w:rPr>
          <w:rFonts w:ascii="Verdana" w:hAnsi="Verdana"/>
          <w:sz w:val="20"/>
          <w:szCs w:val="20"/>
          <w:lang w:val="es-CR"/>
        </w:rPr>
        <w:t xml:space="preserve">después de la detención ocurrida al finalizar el allanamiento, </w:t>
      </w:r>
      <w:r w:rsidRPr="00DC128C">
        <w:rPr>
          <w:rFonts w:ascii="Verdana" w:hAnsi="Verdana"/>
          <w:sz w:val="20"/>
          <w:szCs w:val="20"/>
          <w:lang w:val="es-CR"/>
        </w:rPr>
        <w:t xml:space="preserve">el señor Valenzuela </w:t>
      </w:r>
      <w:r w:rsidR="006749BA" w:rsidRPr="00DC128C">
        <w:rPr>
          <w:rFonts w:ascii="Verdana" w:hAnsi="Verdana"/>
          <w:sz w:val="20"/>
          <w:szCs w:val="20"/>
          <w:lang w:val="es-CR"/>
        </w:rPr>
        <w:t xml:space="preserve">fue llevado sin demora ante un juez u otro funcionario competente en garantía de sus derechos, y </w:t>
      </w:r>
      <w:r w:rsidR="0079531D" w:rsidRPr="00DC128C">
        <w:rPr>
          <w:rFonts w:ascii="Verdana" w:hAnsi="Verdana"/>
          <w:sz w:val="20"/>
          <w:szCs w:val="20"/>
          <w:lang w:val="es-CR"/>
        </w:rPr>
        <w:t xml:space="preserve">si </w:t>
      </w:r>
      <w:r w:rsidR="00AC7D27">
        <w:rPr>
          <w:rFonts w:ascii="Verdana" w:hAnsi="Verdana"/>
          <w:sz w:val="20"/>
          <w:szCs w:val="20"/>
          <w:lang w:val="es-CR"/>
        </w:rPr>
        <w:t>en su caso, dich</w:t>
      </w:r>
      <w:r w:rsidR="009B3203">
        <w:rPr>
          <w:rFonts w:ascii="Verdana" w:hAnsi="Verdana"/>
          <w:sz w:val="20"/>
          <w:szCs w:val="20"/>
          <w:lang w:val="es-CR"/>
        </w:rPr>
        <w:t>a</w:t>
      </w:r>
      <w:r w:rsidR="00AC7D27">
        <w:rPr>
          <w:rFonts w:ascii="Verdana" w:hAnsi="Verdana"/>
          <w:sz w:val="20"/>
          <w:szCs w:val="20"/>
          <w:lang w:val="es-CR"/>
        </w:rPr>
        <w:t xml:space="preserve"> omisión </w:t>
      </w:r>
      <w:r w:rsidR="00D969DA" w:rsidRPr="00DC128C">
        <w:rPr>
          <w:rFonts w:ascii="Verdana" w:hAnsi="Verdana"/>
          <w:sz w:val="20"/>
          <w:szCs w:val="20"/>
          <w:lang w:val="es-CR"/>
        </w:rPr>
        <w:t>puede ser atribuid</w:t>
      </w:r>
      <w:r w:rsidR="00AC7D27">
        <w:rPr>
          <w:rFonts w:ascii="Verdana" w:hAnsi="Verdana"/>
          <w:sz w:val="20"/>
          <w:szCs w:val="20"/>
          <w:lang w:val="es-CR"/>
        </w:rPr>
        <w:t>a</w:t>
      </w:r>
      <w:r w:rsidR="00D969DA" w:rsidRPr="00DC128C">
        <w:rPr>
          <w:rFonts w:ascii="Verdana" w:hAnsi="Verdana"/>
          <w:sz w:val="20"/>
          <w:szCs w:val="20"/>
          <w:lang w:val="es-CR"/>
        </w:rPr>
        <w:t xml:space="preserve"> al Estado </w:t>
      </w:r>
      <w:r w:rsidR="0079531D" w:rsidRPr="00DC128C">
        <w:rPr>
          <w:rFonts w:ascii="Verdana" w:hAnsi="Verdana"/>
          <w:sz w:val="20"/>
          <w:szCs w:val="20"/>
          <w:lang w:val="es-CR"/>
        </w:rPr>
        <w:t xml:space="preserve">en </w:t>
      </w:r>
      <w:r w:rsidR="006749BA" w:rsidRPr="00DC128C">
        <w:rPr>
          <w:rFonts w:ascii="Verdana" w:hAnsi="Verdana"/>
          <w:sz w:val="20"/>
          <w:szCs w:val="20"/>
          <w:lang w:val="es-CR"/>
        </w:rPr>
        <w:t>violación a</w:t>
      </w:r>
      <w:r w:rsidR="00D969DA" w:rsidRPr="00DC128C">
        <w:rPr>
          <w:rFonts w:ascii="Verdana" w:hAnsi="Verdana"/>
          <w:sz w:val="20"/>
          <w:szCs w:val="20"/>
          <w:lang w:val="es-CR"/>
        </w:rPr>
        <w:t xml:space="preserve"> la Convención Americana</w:t>
      </w:r>
      <w:r w:rsidR="00D969DA" w:rsidRPr="0060326C">
        <w:rPr>
          <w:rFonts w:ascii="Verdana" w:hAnsi="Verdana"/>
          <w:sz w:val="20"/>
          <w:szCs w:val="20"/>
          <w:vertAlign w:val="superscript"/>
          <w:lang w:val="es-CR"/>
        </w:rPr>
        <w:footnoteReference w:id="182"/>
      </w:r>
      <w:r w:rsidR="00D969DA" w:rsidRPr="0060326C">
        <w:rPr>
          <w:rFonts w:ascii="Verdana" w:hAnsi="Verdana"/>
          <w:sz w:val="20"/>
          <w:szCs w:val="20"/>
          <w:lang w:val="es-CR"/>
        </w:rPr>
        <w:t>.</w:t>
      </w:r>
      <w:r w:rsidR="00D969DA" w:rsidRPr="00DC128C">
        <w:rPr>
          <w:rFonts w:ascii="Verdana" w:hAnsi="Verdana"/>
          <w:sz w:val="20"/>
          <w:szCs w:val="20"/>
          <w:lang w:val="es-CR"/>
        </w:rPr>
        <w:t xml:space="preserve"> </w:t>
      </w:r>
    </w:p>
    <w:p w14:paraId="2A5AC4D0" w14:textId="77777777" w:rsidR="00DC128C" w:rsidRPr="00DC128C" w:rsidRDefault="00DC128C" w:rsidP="00DC128C">
      <w:pPr>
        <w:pStyle w:val="Prrafodelista"/>
        <w:rPr>
          <w:rFonts w:ascii="Verdana" w:hAnsi="Verdana"/>
          <w:sz w:val="20"/>
          <w:szCs w:val="20"/>
          <w:lang w:val="es-CR"/>
        </w:rPr>
      </w:pPr>
    </w:p>
    <w:p w14:paraId="773D18BB" w14:textId="729CFD90" w:rsidR="00DC128C" w:rsidRDefault="00AB4B1D" w:rsidP="00DC128C">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DC128C">
        <w:rPr>
          <w:rFonts w:ascii="Verdana" w:hAnsi="Verdana"/>
          <w:sz w:val="20"/>
          <w:szCs w:val="20"/>
          <w:lang w:val="es-CR"/>
        </w:rPr>
        <w:t>Está demostrado</w:t>
      </w:r>
      <w:r w:rsidR="008C5BEA" w:rsidRPr="00DC128C">
        <w:rPr>
          <w:rFonts w:ascii="Verdana" w:hAnsi="Verdana"/>
          <w:sz w:val="20"/>
          <w:szCs w:val="20"/>
          <w:lang w:val="es-CR"/>
        </w:rPr>
        <w:t xml:space="preserve"> </w:t>
      </w:r>
      <w:r w:rsidRPr="00DC128C">
        <w:rPr>
          <w:rFonts w:ascii="Verdana" w:hAnsi="Verdana"/>
          <w:sz w:val="20"/>
          <w:szCs w:val="20"/>
          <w:lang w:val="es-CR"/>
        </w:rPr>
        <w:t xml:space="preserve">que </w:t>
      </w:r>
      <w:r w:rsidR="004A4BE5" w:rsidRPr="00DC128C">
        <w:rPr>
          <w:rFonts w:ascii="Verdana" w:hAnsi="Verdana"/>
          <w:sz w:val="20"/>
          <w:szCs w:val="20"/>
          <w:lang w:val="es-CR"/>
        </w:rPr>
        <w:t>el señor Tirso Román Valenzuela Ávila</w:t>
      </w:r>
      <w:r w:rsidR="000F08F9">
        <w:rPr>
          <w:rFonts w:ascii="Verdana" w:hAnsi="Verdana"/>
          <w:sz w:val="20"/>
          <w:szCs w:val="20"/>
          <w:lang w:val="es-CR"/>
        </w:rPr>
        <w:t xml:space="preserve"> </w:t>
      </w:r>
      <w:r w:rsidR="006749BA" w:rsidRPr="00DC128C">
        <w:rPr>
          <w:rFonts w:ascii="Verdana" w:hAnsi="Verdana"/>
          <w:sz w:val="20"/>
          <w:szCs w:val="20"/>
          <w:lang w:val="es-CR"/>
        </w:rPr>
        <w:t>después del allana</w:t>
      </w:r>
      <w:r w:rsidRPr="00DC128C">
        <w:rPr>
          <w:rFonts w:ascii="Verdana" w:hAnsi="Verdana"/>
          <w:sz w:val="20"/>
          <w:szCs w:val="20"/>
          <w:lang w:val="es-CR"/>
        </w:rPr>
        <w:t>miento</w:t>
      </w:r>
      <w:r w:rsidR="008C5BEA" w:rsidRPr="00DC128C">
        <w:rPr>
          <w:rFonts w:ascii="Verdana" w:hAnsi="Verdana"/>
          <w:sz w:val="20"/>
          <w:szCs w:val="20"/>
          <w:lang w:val="es-CR"/>
        </w:rPr>
        <w:t xml:space="preserve"> efectuado en su domicilio, entre las 16:55 y las 17:50 horas, del 27 de mayo de 1998</w:t>
      </w:r>
      <w:r w:rsidR="00252DED">
        <w:rPr>
          <w:rFonts w:ascii="Verdana" w:hAnsi="Verdana"/>
          <w:sz w:val="20"/>
          <w:szCs w:val="20"/>
          <w:lang w:val="es-CR"/>
        </w:rPr>
        <w:t xml:space="preserve"> </w:t>
      </w:r>
      <w:r w:rsidR="005C5A3F">
        <w:rPr>
          <w:rFonts w:ascii="Verdana" w:hAnsi="Verdana"/>
          <w:sz w:val="20"/>
          <w:szCs w:val="20"/>
          <w:lang w:val="es-CR"/>
        </w:rPr>
        <w:t>(</w:t>
      </w:r>
      <w:r w:rsidR="005C5A3F" w:rsidRPr="000E33CE">
        <w:rPr>
          <w:rFonts w:ascii="Verdana" w:hAnsi="Verdana"/>
          <w:i/>
          <w:sz w:val="20"/>
          <w:szCs w:val="20"/>
          <w:lang w:val="es-CR"/>
        </w:rPr>
        <w:t>supra</w:t>
      </w:r>
      <w:r w:rsidR="001F51BD">
        <w:rPr>
          <w:rFonts w:ascii="Verdana" w:hAnsi="Verdana"/>
          <w:sz w:val="20"/>
          <w:szCs w:val="20"/>
          <w:lang w:val="es-CR"/>
        </w:rPr>
        <w:t xml:space="preserve"> pie de página 40</w:t>
      </w:r>
      <w:r w:rsidR="005C5A3F">
        <w:rPr>
          <w:rFonts w:ascii="Verdana" w:hAnsi="Verdana"/>
          <w:sz w:val="20"/>
          <w:szCs w:val="20"/>
          <w:lang w:val="es-CR"/>
        </w:rPr>
        <w:t>)</w:t>
      </w:r>
      <w:r w:rsidR="008C5BEA" w:rsidRPr="00DC128C">
        <w:rPr>
          <w:rFonts w:ascii="Verdana" w:hAnsi="Verdana"/>
          <w:sz w:val="20"/>
          <w:szCs w:val="20"/>
          <w:lang w:val="es-CR"/>
        </w:rPr>
        <w:t xml:space="preserve">, </w:t>
      </w:r>
      <w:r w:rsidR="00D4084F" w:rsidRPr="00DC128C">
        <w:rPr>
          <w:rFonts w:ascii="Verdana" w:hAnsi="Verdana"/>
          <w:sz w:val="20"/>
          <w:szCs w:val="20"/>
          <w:lang w:val="es-CR"/>
        </w:rPr>
        <w:t xml:space="preserve">como </w:t>
      </w:r>
      <w:r w:rsidR="008C5BEA" w:rsidRPr="00DC128C">
        <w:rPr>
          <w:rFonts w:ascii="Verdana" w:hAnsi="Verdana"/>
          <w:sz w:val="20"/>
          <w:szCs w:val="20"/>
          <w:lang w:val="es-CR"/>
        </w:rPr>
        <w:t>consta en el oficio No. 1709-98</w:t>
      </w:r>
      <w:r w:rsidR="00D4084F" w:rsidRPr="00DC128C">
        <w:rPr>
          <w:vertAlign w:val="superscript"/>
        </w:rPr>
        <w:t xml:space="preserve"> </w:t>
      </w:r>
      <w:r w:rsidR="00D4084F" w:rsidRPr="00DC128C">
        <w:rPr>
          <w:rFonts w:ascii="Verdana" w:hAnsi="Verdana"/>
          <w:sz w:val="20"/>
          <w:szCs w:val="20"/>
          <w:lang w:val="es-CR"/>
        </w:rPr>
        <w:t>(</w:t>
      </w:r>
      <w:r w:rsidR="00D4084F" w:rsidRPr="00DC128C">
        <w:rPr>
          <w:rFonts w:ascii="Verdana" w:hAnsi="Verdana"/>
          <w:i/>
          <w:sz w:val="20"/>
          <w:szCs w:val="20"/>
          <w:lang w:val="es-CR"/>
        </w:rPr>
        <w:t>supra</w:t>
      </w:r>
      <w:r w:rsidR="00D4084F" w:rsidRPr="00DC128C">
        <w:rPr>
          <w:rFonts w:ascii="Verdana" w:hAnsi="Verdana"/>
          <w:sz w:val="20"/>
          <w:szCs w:val="20"/>
          <w:lang w:val="es-CR"/>
        </w:rPr>
        <w:t xml:space="preserve"> párr. </w:t>
      </w:r>
      <w:r w:rsidR="00252DED">
        <w:rPr>
          <w:rFonts w:ascii="Verdana" w:hAnsi="Verdana"/>
          <w:sz w:val="20"/>
          <w:szCs w:val="20"/>
          <w:lang w:val="es-CR"/>
        </w:rPr>
        <w:t>73</w:t>
      </w:r>
      <w:r w:rsidR="00D4084F" w:rsidRPr="00DC128C">
        <w:rPr>
          <w:rFonts w:ascii="Verdana" w:hAnsi="Verdana"/>
          <w:sz w:val="20"/>
          <w:szCs w:val="20"/>
          <w:lang w:val="es-CR"/>
        </w:rPr>
        <w:t>)</w:t>
      </w:r>
      <w:r w:rsidR="008C5BEA" w:rsidRPr="00DC128C">
        <w:rPr>
          <w:rFonts w:ascii="Verdana" w:hAnsi="Verdana"/>
          <w:sz w:val="20"/>
          <w:szCs w:val="20"/>
          <w:lang w:val="es-CR"/>
        </w:rPr>
        <w:t>,</w:t>
      </w:r>
      <w:r w:rsidR="000D474C" w:rsidRPr="00DC128C">
        <w:rPr>
          <w:rFonts w:ascii="Verdana" w:hAnsi="Verdana"/>
          <w:sz w:val="20"/>
          <w:szCs w:val="20"/>
          <w:vertAlign w:val="subscript"/>
        </w:rPr>
        <w:t xml:space="preserve"> </w:t>
      </w:r>
      <w:r w:rsidRPr="00DC128C">
        <w:rPr>
          <w:rFonts w:ascii="Verdana" w:hAnsi="Verdana"/>
          <w:sz w:val="20"/>
          <w:szCs w:val="20"/>
          <w:lang w:val="es-CR"/>
        </w:rPr>
        <w:t xml:space="preserve">fue detenido </w:t>
      </w:r>
      <w:r w:rsidR="00094C9C" w:rsidRPr="00DC128C">
        <w:rPr>
          <w:rFonts w:ascii="Verdana" w:hAnsi="Verdana"/>
          <w:sz w:val="20"/>
          <w:szCs w:val="20"/>
          <w:lang w:val="es-CR"/>
        </w:rPr>
        <w:t>por</w:t>
      </w:r>
      <w:r w:rsidR="00C91930" w:rsidRPr="00DC128C">
        <w:rPr>
          <w:rFonts w:ascii="Verdana" w:hAnsi="Verdana"/>
          <w:sz w:val="20"/>
          <w:szCs w:val="20"/>
          <w:lang w:val="es-CR"/>
        </w:rPr>
        <w:t xml:space="preserve"> agentes estatales para ser trasladado al Centro Preventivo Hombres de Quetzaltenango</w:t>
      </w:r>
      <w:r w:rsidR="000D474C" w:rsidRPr="00DC128C">
        <w:rPr>
          <w:rFonts w:ascii="Verdana" w:hAnsi="Verdana"/>
          <w:sz w:val="20"/>
          <w:szCs w:val="20"/>
          <w:lang w:val="es-CR"/>
        </w:rPr>
        <w:t xml:space="preserve">. Si bien no se tiene registro de su ingreso </w:t>
      </w:r>
      <w:r w:rsidR="00D4084F" w:rsidRPr="00DC128C">
        <w:rPr>
          <w:rFonts w:ascii="Verdana" w:hAnsi="Verdana"/>
          <w:sz w:val="20"/>
          <w:szCs w:val="20"/>
          <w:lang w:val="es-CR"/>
        </w:rPr>
        <w:t>en dicho centro,</w:t>
      </w:r>
      <w:r w:rsidR="009553EB" w:rsidRPr="00DC128C">
        <w:rPr>
          <w:rFonts w:ascii="Verdana" w:hAnsi="Verdana"/>
          <w:sz w:val="20"/>
          <w:szCs w:val="20"/>
          <w:lang w:val="es-CR"/>
        </w:rPr>
        <w:t xml:space="preserve"> </w:t>
      </w:r>
      <w:r w:rsidR="000D474C" w:rsidRPr="00DC128C">
        <w:rPr>
          <w:rFonts w:ascii="Verdana" w:hAnsi="Verdana"/>
          <w:sz w:val="20"/>
          <w:szCs w:val="20"/>
          <w:lang w:val="es-CR"/>
        </w:rPr>
        <w:t>no es un hecho controvertido que</w:t>
      </w:r>
      <w:r w:rsidR="00C91930" w:rsidRPr="00DC128C">
        <w:rPr>
          <w:rFonts w:ascii="Verdana" w:hAnsi="Verdana"/>
          <w:sz w:val="20"/>
          <w:szCs w:val="20"/>
          <w:lang w:val="es-CR"/>
        </w:rPr>
        <w:t xml:space="preserve"> </w:t>
      </w:r>
      <w:r w:rsidR="006749BA" w:rsidRPr="00DC128C">
        <w:rPr>
          <w:rFonts w:ascii="Verdana" w:hAnsi="Verdana"/>
          <w:sz w:val="20"/>
          <w:szCs w:val="20"/>
          <w:lang w:val="es-CR"/>
        </w:rPr>
        <w:t>ingresó</w:t>
      </w:r>
      <w:r w:rsidR="000D474C" w:rsidRPr="00DC128C">
        <w:rPr>
          <w:rFonts w:ascii="Verdana" w:hAnsi="Verdana"/>
          <w:sz w:val="20"/>
          <w:szCs w:val="20"/>
          <w:lang w:val="es-CR"/>
        </w:rPr>
        <w:t xml:space="preserve"> en </w:t>
      </w:r>
      <w:r w:rsidR="00F832C5" w:rsidRPr="00DC128C">
        <w:rPr>
          <w:rFonts w:ascii="Verdana" w:hAnsi="Verdana"/>
          <w:sz w:val="20"/>
          <w:szCs w:val="20"/>
          <w:lang w:val="es-CR"/>
        </w:rPr>
        <w:t>horas de la</w:t>
      </w:r>
      <w:r w:rsidR="009529A4" w:rsidRPr="00DC128C">
        <w:rPr>
          <w:rFonts w:ascii="Verdana" w:hAnsi="Verdana"/>
          <w:sz w:val="20"/>
          <w:szCs w:val="20"/>
          <w:lang w:val="es-CR"/>
        </w:rPr>
        <w:t xml:space="preserve"> madrugada del 28 de mayo de 1998</w:t>
      </w:r>
      <w:r w:rsidR="002B5448" w:rsidRPr="00DC128C">
        <w:rPr>
          <w:rFonts w:ascii="Verdana" w:eastAsia="Arial Unicode MS" w:hAnsi="Verdana" w:cs="Arial Unicode MS"/>
          <w:color w:val="000000"/>
          <w:sz w:val="20"/>
          <w:szCs w:val="20"/>
          <w:u w:color="000000"/>
          <w:lang w:val="es-ES_tradnl"/>
        </w:rPr>
        <w:t xml:space="preserve">. </w:t>
      </w:r>
      <w:r w:rsidR="006749BA" w:rsidRPr="00DC128C">
        <w:rPr>
          <w:rFonts w:ascii="Verdana" w:hAnsi="Verdana"/>
          <w:sz w:val="20"/>
          <w:szCs w:val="20"/>
          <w:lang w:val="es-CR"/>
        </w:rPr>
        <w:t>P</w:t>
      </w:r>
      <w:r w:rsidRPr="00DC128C">
        <w:rPr>
          <w:rFonts w:ascii="Verdana" w:hAnsi="Verdana"/>
          <w:sz w:val="20"/>
          <w:szCs w:val="20"/>
          <w:lang w:val="es-CR"/>
        </w:rPr>
        <w:t>ara este momento,</w:t>
      </w:r>
      <w:r w:rsidR="009529A4" w:rsidRPr="00DC128C">
        <w:rPr>
          <w:rFonts w:ascii="Verdana" w:hAnsi="Verdana"/>
          <w:sz w:val="20"/>
          <w:szCs w:val="20"/>
          <w:lang w:val="es-CR"/>
        </w:rPr>
        <w:t xml:space="preserve"> </w:t>
      </w:r>
      <w:r w:rsidR="006749BA" w:rsidRPr="00DC128C">
        <w:rPr>
          <w:rFonts w:ascii="Verdana" w:hAnsi="Verdana"/>
          <w:sz w:val="20"/>
          <w:szCs w:val="20"/>
          <w:lang w:val="es-CR"/>
        </w:rPr>
        <w:t xml:space="preserve">ya habían transcurrido </w:t>
      </w:r>
      <w:r w:rsidRPr="00DC128C">
        <w:rPr>
          <w:rFonts w:ascii="Verdana" w:hAnsi="Verdana"/>
          <w:sz w:val="20"/>
          <w:szCs w:val="20"/>
          <w:lang w:val="es-CR"/>
        </w:rPr>
        <w:t xml:space="preserve">varias horas </w:t>
      </w:r>
      <w:r w:rsidR="000D474C" w:rsidRPr="00DC128C">
        <w:rPr>
          <w:rFonts w:ascii="Verdana" w:hAnsi="Verdana"/>
          <w:sz w:val="20"/>
          <w:szCs w:val="20"/>
          <w:lang w:val="es-CR"/>
        </w:rPr>
        <w:t>después de haberse efectuado la detención del señor Valenzuela al finalizar</w:t>
      </w:r>
      <w:r w:rsidR="00C91930" w:rsidRPr="00DC128C">
        <w:rPr>
          <w:rFonts w:ascii="Verdana" w:hAnsi="Verdana"/>
          <w:sz w:val="20"/>
          <w:szCs w:val="20"/>
          <w:lang w:val="es-CR"/>
        </w:rPr>
        <w:t xml:space="preserve"> el allanamiento</w:t>
      </w:r>
      <w:r w:rsidR="000D474C" w:rsidRPr="00DC128C">
        <w:rPr>
          <w:rFonts w:ascii="Verdana" w:hAnsi="Verdana"/>
          <w:sz w:val="20"/>
          <w:szCs w:val="20"/>
          <w:lang w:val="es-CR"/>
        </w:rPr>
        <w:t xml:space="preserve"> el 27 de mayo de </w:t>
      </w:r>
      <w:r w:rsidR="006C2B32" w:rsidRPr="00DC128C">
        <w:rPr>
          <w:rFonts w:ascii="Verdana" w:hAnsi="Verdana"/>
          <w:sz w:val="20"/>
          <w:szCs w:val="20"/>
          <w:lang w:val="es-CR"/>
        </w:rPr>
        <w:t>1998</w:t>
      </w:r>
      <w:r w:rsidR="00C91930" w:rsidRPr="00DC128C">
        <w:rPr>
          <w:rFonts w:ascii="Verdana" w:hAnsi="Verdana"/>
          <w:sz w:val="20"/>
          <w:szCs w:val="20"/>
          <w:lang w:val="es-CR"/>
        </w:rPr>
        <w:t>.</w:t>
      </w:r>
      <w:r w:rsidRPr="00DC128C">
        <w:rPr>
          <w:rFonts w:ascii="Verdana" w:hAnsi="Verdana"/>
          <w:sz w:val="20"/>
          <w:szCs w:val="20"/>
          <w:lang w:val="es-CR"/>
        </w:rPr>
        <w:t xml:space="preserve"> </w:t>
      </w:r>
      <w:r w:rsidR="006C2B32" w:rsidRPr="00DC128C">
        <w:rPr>
          <w:rFonts w:ascii="Verdana" w:hAnsi="Verdana"/>
          <w:sz w:val="20"/>
          <w:szCs w:val="20"/>
          <w:lang w:val="es-CR"/>
        </w:rPr>
        <w:t>S</w:t>
      </w:r>
      <w:r w:rsidR="0079531D" w:rsidRPr="00DC128C">
        <w:rPr>
          <w:rFonts w:ascii="Verdana" w:hAnsi="Verdana"/>
          <w:sz w:val="20"/>
          <w:szCs w:val="20"/>
          <w:lang w:val="es-CR"/>
        </w:rPr>
        <w:t xml:space="preserve">egún señaló el Estado </w:t>
      </w:r>
      <w:r w:rsidR="006C2B32" w:rsidRPr="00DC128C">
        <w:rPr>
          <w:rFonts w:ascii="Verdana" w:hAnsi="Verdana"/>
          <w:sz w:val="20"/>
          <w:szCs w:val="20"/>
          <w:lang w:val="es-CR"/>
        </w:rPr>
        <w:t xml:space="preserve">el 28 de mayo de 1998 </w:t>
      </w:r>
      <w:r w:rsidR="00A65660" w:rsidRPr="00DC128C">
        <w:rPr>
          <w:rFonts w:ascii="Verdana" w:hAnsi="Verdana"/>
          <w:sz w:val="20"/>
          <w:szCs w:val="20"/>
          <w:lang w:val="es-CR"/>
        </w:rPr>
        <w:t xml:space="preserve">fue </w:t>
      </w:r>
      <w:r w:rsidR="009529A4" w:rsidRPr="00DC128C">
        <w:rPr>
          <w:rFonts w:ascii="Verdana" w:hAnsi="Verdana"/>
          <w:sz w:val="20"/>
          <w:szCs w:val="20"/>
          <w:lang w:val="es-CR"/>
        </w:rPr>
        <w:t xml:space="preserve">recibida </w:t>
      </w:r>
      <w:r w:rsidR="00D4084F" w:rsidRPr="00DC128C">
        <w:rPr>
          <w:rFonts w:ascii="Verdana" w:hAnsi="Verdana"/>
          <w:sz w:val="20"/>
          <w:szCs w:val="20"/>
          <w:lang w:val="es-CR"/>
        </w:rPr>
        <w:t>la</w:t>
      </w:r>
      <w:r w:rsidR="009529A4" w:rsidRPr="00DC128C">
        <w:rPr>
          <w:rFonts w:ascii="Verdana" w:hAnsi="Verdana"/>
          <w:sz w:val="20"/>
          <w:szCs w:val="20"/>
          <w:lang w:val="es-CR"/>
        </w:rPr>
        <w:t xml:space="preserve"> “declaración judicial” del señor Valenzuela por un juez</w:t>
      </w:r>
      <w:r w:rsidR="009529A4" w:rsidRPr="000A3C3F">
        <w:rPr>
          <w:rFonts w:ascii="Verdana" w:hAnsi="Verdana"/>
          <w:sz w:val="20"/>
          <w:szCs w:val="20"/>
          <w:vertAlign w:val="superscript"/>
        </w:rPr>
        <w:footnoteReference w:id="183"/>
      </w:r>
      <w:r w:rsidR="0079531D" w:rsidRPr="00DC128C">
        <w:rPr>
          <w:rFonts w:ascii="Verdana" w:hAnsi="Verdana"/>
          <w:sz w:val="20"/>
          <w:szCs w:val="20"/>
          <w:lang w:val="es-CR"/>
        </w:rPr>
        <w:t>,</w:t>
      </w:r>
      <w:r w:rsidR="00F832C5" w:rsidRPr="00DC128C">
        <w:rPr>
          <w:rFonts w:ascii="Verdana" w:hAnsi="Verdana"/>
          <w:sz w:val="20"/>
          <w:szCs w:val="20"/>
          <w:lang w:val="es-CR"/>
        </w:rPr>
        <w:t xml:space="preserve"> y el 29 de mayo de 1998 el Juzgado Segundo de Primera Instancia Penal de Quetzaltenango, di</w:t>
      </w:r>
      <w:r w:rsidR="00252DED">
        <w:rPr>
          <w:rFonts w:ascii="Verdana" w:hAnsi="Verdana"/>
          <w:sz w:val="20"/>
          <w:szCs w:val="20"/>
          <w:lang w:val="es-CR"/>
        </w:rPr>
        <w:t>ctó auto de prisión preventiva.</w:t>
      </w:r>
      <w:r w:rsidR="000160E7" w:rsidRPr="00DC128C">
        <w:rPr>
          <w:rFonts w:ascii="Verdana" w:hAnsi="Verdana"/>
          <w:sz w:val="20"/>
          <w:szCs w:val="20"/>
          <w:lang w:val="es-CR"/>
        </w:rPr>
        <w:t xml:space="preserve"> </w:t>
      </w:r>
      <w:r w:rsidR="006C2B32" w:rsidRPr="00DC128C">
        <w:rPr>
          <w:rFonts w:ascii="Verdana" w:hAnsi="Verdana"/>
          <w:sz w:val="20"/>
          <w:szCs w:val="20"/>
          <w:lang w:val="es-CR"/>
        </w:rPr>
        <w:t>L</w:t>
      </w:r>
      <w:r w:rsidR="000160E7" w:rsidRPr="00DC128C">
        <w:rPr>
          <w:rFonts w:ascii="Verdana" w:hAnsi="Verdana"/>
          <w:sz w:val="20"/>
          <w:szCs w:val="20"/>
          <w:lang w:val="es-CR"/>
        </w:rPr>
        <w:t xml:space="preserve">os representantes </w:t>
      </w:r>
      <w:r w:rsidR="006C2B32" w:rsidRPr="00DC128C">
        <w:rPr>
          <w:rFonts w:ascii="Verdana" w:hAnsi="Verdana"/>
          <w:sz w:val="20"/>
          <w:szCs w:val="20"/>
          <w:lang w:val="es-CR"/>
        </w:rPr>
        <w:t xml:space="preserve">adujeron que </w:t>
      </w:r>
      <w:r w:rsidR="000160E7" w:rsidRPr="00DC128C">
        <w:rPr>
          <w:rFonts w:ascii="Verdana" w:hAnsi="Verdana"/>
          <w:sz w:val="20"/>
          <w:szCs w:val="20"/>
          <w:lang w:val="es-CR"/>
        </w:rPr>
        <w:t>por primera vez, en la última fecha indicada, un juez escuchó al señor Valenzuela Ávila</w:t>
      </w:r>
      <w:r w:rsidR="0079531D" w:rsidRPr="00DC128C">
        <w:rPr>
          <w:rFonts w:ascii="Verdana" w:hAnsi="Verdana"/>
          <w:sz w:val="20"/>
          <w:szCs w:val="20"/>
          <w:lang w:val="es-CR"/>
        </w:rPr>
        <w:t>.</w:t>
      </w:r>
      <w:r w:rsidR="000160E7" w:rsidRPr="00DC128C">
        <w:rPr>
          <w:rFonts w:ascii="Verdana" w:hAnsi="Verdana"/>
          <w:sz w:val="20"/>
          <w:szCs w:val="20"/>
          <w:lang w:val="es-CR"/>
        </w:rPr>
        <w:t xml:space="preserve"> </w:t>
      </w:r>
    </w:p>
    <w:p w14:paraId="7DEAAE79" w14:textId="77777777" w:rsidR="00DC128C" w:rsidRPr="00DC128C" w:rsidRDefault="00DC128C" w:rsidP="00DC128C">
      <w:pPr>
        <w:pStyle w:val="Prrafodelista"/>
        <w:rPr>
          <w:rFonts w:ascii="Verdana" w:hAnsi="Verdana"/>
          <w:sz w:val="20"/>
          <w:szCs w:val="20"/>
          <w:lang w:val="es-CR"/>
        </w:rPr>
      </w:pPr>
    </w:p>
    <w:p w14:paraId="2F345191" w14:textId="3BE2AEAC" w:rsidR="00DC128C" w:rsidRDefault="006D7B7F" w:rsidP="00DC128C">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DC128C">
        <w:rPr>
          <w:rFonts w:ascii="Verdana" w:hAnsi="Verdana"/>
          <w:sz w:val="20"/>
          <w:szCs w:val="20"/>
          <w:lang w:val="es-CR"/>
        </w:rPr>
        <w:t>De lo expuesto</w:t>
      </w:r>
      <w:r w:rsidR="000160E7" w:rsidRPr="00DC128C">
        <w:rPr>
          <w:rFonts w:ascii="Verdana" w:hAnsi="Verdana"/>
          <w:sz w:val="20"/>
          <w:szCs w:val="20"/>
          <w:lang w:val="es-CR"/>
        </w:rPr>
        <w:t xml:space="preserve">, </w:t>
      </w:r>
      <w:r w:rsidR="009529A4" w:rsidRPr="00DC128C">
        <w:rPr>
          <w:rFonts w:ascii="Verdana" w:hAnsi="Verdana"/>
          <w:sz w:val="20"/>
          <w:szCs w:val="20"/>
          <w:lang w:val="es-CR"/>
        </w:rPr>
        <w:t>es e</w:t>
      </w:r>
      <w:r w:rsidR="00F71F2D" w:rsidRPr="00DC128C">
        <w:rPr>
          <w:rFonts w:ascii="Verdana" w:hAnsi="Verdana"/>
          <w:sz w:val="20"/>
          <w:szCs w:val="20"/>
          <w:lang w:val="es-CR"/>
        </w:rPr>
        <w:t xml:space="preserve">vidente que </w:t>
      </w:r>
      <w:r w:rsidR="005D097D" w:rsidRPr="00DC128C">
        <w:rPr>
          <w:rFonts w:ascii="Verdana" w:hAnsi="Verdana"/>
          <w:sz w:val="20"/>
          <w:szCs w:val="20"/>
          <w:lang w:val="es-CR"/>
        </w:rPr>
        <w:t>a</w:t>
      </w:r>
      <w:r w:rsidR="0079531D" w:rsidRPr="00DC128C">
        <w:rPr>
          <w:rFonts w:ascii="Verdana" w:hAnsi="Verdana"/>
          <w:sz w:val="20"/>
          <w:szCs w:val="20"/>
          <w:lang w:val="es-CR"/>
        </w:rPr>
        <w:t xml:space="preserve">l señor Valenzuela Ávila </w:t>
      </w:r>
      <w:r w:rsidR="005D097D" w:rsidRPr="00DC128C">
        <w:rPr>
          <w:rFonts w:ascii="Verdana" w:hAnsi="Verdana"/>
          <w:sz w:val="20"/>
          <w:szCs w:val="20"/>
          <w:lang w:val="es-CR"/>
        </w:rPr>
        <w:t xml:space="preserve">no le fue respetado su derecho constitucional establecido en el artículo 6 de la Constitución Política de ser puesto a disposición de la autoridad judicial competente en un plazo que no </w:t>
      </w:r>
      <w:r w:rsidR="0010367F">
        <w:rPr>
          <w:rFonts w:ascii="Verdana" w:hAnsi="Verdana"/>
          <w:sz w:val="20"/>
          <w:szCs w:val="20"/>
          <w:lang w:val="es-CR"/>
        </w:rPr>
        <w:t>excediera</w:t>
      </w:r>
      <w:r w:rsidR="0010367F" w:rsidRPr="00DC128C">
        <w:rPr>
          <w:rFonts w:ascii="Verdana" w:hAnsi="Verdana"/>
          <w:sz w:val="20"/>
          <w:szCs w:val="20"/>
          <w:lang w:val="es-CR"/>
        </w:rPr>
        <w:t xml:space="preserve"> </w:t>
      </w:r>
      <w:r w:rsidR="005D097D" w:rsidRPr="00DC128C">
        <w:rPr>
          <w:rFonts w:ascii="Verdana" w:hAnsi="Verdana"/>
          <w:sz w:val="20"/>
          <w:szCs w:val="20"/>
          <w:lang w:val="es-CR"/>
        </w:rPr>
        <w:t>de seis horas (</w:t>
      </w:r>
      <w:r w:rsidR="005D097D" w:rsidRPr="00DC128C">
        <w:rPr>
          <w:rFonts w:ascii="Verdana" w:hAnsi="Verdana"/>
          <w:i/>
          <w:sz w:val="20"/>
          <w:szCs w:val="20"/>
          <w:lang w:val="es-CR"/>
        </w:rPr>
        <w:t>supra</w:t>
      </w:r>
      <w:r w:rsidR="005D097D" w:rsidRPr="00DC128C">
        <w:rPr>
          <w:rFonts w:ascii="Verdana" w:hAnsi="Verdana"/>
          <w:sz w:val="20"/>
          <w:szCs w:val="20"/>
          <w:lang w:val="es-CR"/>
        </w:rPr>
        <w:t xml:space="preserve"> </w:t>
      </w:r>
      <w:r w:rsidR="003B28B5">
        <w:rPr>
          <w:rFonts w:ascii="Verdana" w:hAnsi="Verdana"/>
          <w:sz w:val="20"/>
          <w:szCs w:val="20"/>
          <w:lang w:val="es-CR"/>
        </w:rPr>
        <w:t xml:space="preserve">párr. </w:t>
      </w:r>
      <w:r w:rsidR="001F51BD">
        <w:rPr>
          <w:rFonts w:ascii="Verdana" w:hAnsi="Verdana"/>
          <w:sz w:val="20"/>
          <w:szCs w:val="20"/>
          <w:lang w:val="es-CR"/>
        </w:rPr>
        <w:t>213</w:t>
      </w:r>
      <w:r w:rsidR="005D097D" w:rsidRPr="00DC128C">
        <w:rPr>
          <w:rFonts w:ascii="Verdana" w:hAnsi="Verdana"/>
          <w:sz w:val="20"/>
          <w:szCs w:val="20"/>
          <w:lang w:val="es-CR"/>
        </w:rPr>
        <w:t>)</w:t>
      </w:r>
      <w:r w:rsidR="008D1782" w:rsidRPr="00DC128C">
        <w:rPr>
          <w:rFonts w:ascii="Verdana" w:hAnsi="Verdana"/>
          <w:sz w:val="20"/>
          <w:szCs w:val="20"/>
          <w:lang w:val="es-CR"/>
        </w:rPr>
        <w:t>,</w:t>
      </w:r>
      <w:r w:rsidR="005D097D" w:rsidRPr="00DC128C">
        <w:rPr>
          <w:rFonts w:ascii="Verdana" w:hAnsi="Verdana"/>
          <w:sz w:val="20"/>
          <w:szCs w:val="20"/>
          <w:lang w:val="es-CR"/>
        </w:rPr>
        <w:t xml:space="preserve"> ya que </w:t>
      </w:r>
      <w:r w:rsidR="0079531D" w:rsidRPr="00DC128C">
        <w:rPr>
          <w:rFonts w:ascii="Verdana" w:hAnsi="Verdana"/>
          <w:sz w:val="20"/>
          <w:szCs w:val="20"/>
          <w:lang w:val="es-CR"/>
        </w:rPr>
        <w:t>no fue llevado ante la presencia de un juez competente q</w:t>
      </w:r>
      <w:r w:rsidRPr="00DC128C">
        <w:rPr>
          <w:rFonts w:ascii="Verdana" w:hAnsi="Verdana"/>
          <w:sz w:val="20"/>
          <w:szCs w:val="20"/>
          <w:lang w:val="es-CR"/>
        </w:rPr>
        <w:t>ue verificara la legalidad de su</w:t>
      </w:r>
      <w:r w:rsidR="0079531D" w:rsidRPr="00DC128C">
        <w:rPr>
          <w:rFonts w:ascii="Verdana" w:hAnsi="Verdana"/>
          <w:sz w:val="20"/>
          <w:szCs w:val="20"/>
          <w:lang w:val="es-CR"/>
        </w:rPr>
        <w:t xml:space="preserve"> detención. Es decir, </w:t>
      </w:r>
      <w:r w:rsidRPr="00DC128C">
        <w:rPr>
          <w:rFonts w:ascii="Verdana" w:hAnsi="Verdana"/>
          <w:sz w:val="20"/>
          <w:szCs w:val="20"/>
          <w:lang w:val="es-CR"/>
        </w:rPr>
        <w:t>no se</w:t>
      </w:r>
      <w:r w:rsidR="0079531D" w:rsidRPr="00DC128C">
        <w:rPr>
          <w:rFonts w:ascii="Verdana" w:hAnsi="Verdana"/>
          <w:sz w:val="20"/>
          <w:szCs w:val="20"/>
          <w:lang w:val="es-CR"/>
        </w:rPr>
        <w:t xml:space="preserve"> </w:t>
      </w:r>
      <w:r w:rsidRPr="00DC128C">
        <w:rPr>
          <w:rFonts w:ascii="Verdana" w:hAnsi="Verdana"/>
          <w:sz w:val="20"/>
          <w:szCs w:val="20"/>
          <w:lang w:val="es-CR"/>
        </w:rPr>
        <w:t xml:space="preserve">efectuó </w:t>
      </w:r>
      <w:r w:rsidR="0079531D" w:rsidRPr="00DC128C">
        <w:rPr>
          <w:rFonts w:ascii="Verdana" w:hAnsi="Verdana"/>
          <w:sz w:val="20"/>
          <w:szCs w:val="20"/>
          <w:lang w:val="es-CR"/>
        </w:rPr>
        <w:t>un control judicial</w:t>
      </w:r>
      <w:r w:rsidRPr="00DC128C">
        <w:rPr>
          <w:rFonts w:ascii="Verdana" w:hAnsi="Verdana"/>
          <w:sz w:val="20"/>
          <w:szCs w:val="20"/>
          <w:lang w:val="es-CR"/>
        </w:rPr>
        <w:t xml:space="preserve"> sin demora</w:t>
      </w:r>
      <w:r w:rsidR="0079531D" w:rsidRPr="00DC128C">
        <w:rPr>
          <w:rFonts w:ascii="Verdana" w:hAnsi="Verdana"/>
          <w:sz w:val="20"/>
          <w:szCs w:val="20"/>
          <w:lang w:val="es-CR"/>
        </w:rPr>
        <w:t>, tomando en cuenta que</w:t>
      </w:r>
      <w:r w:rsidRPr="00DC128C">
        <w:rPr>
          <w:rFonts w:ascii="Verdana" w:hAnsi="Verdana"/>
          <w:sz w:val="20"/>
          <w:szCs w:val="20"/>
          <w:lang w:val="es-CR"/>
        </w:rPr>
        <w:t xml:space="preserve"> el plazo de 6 horas determinado constitucionalmente,</w:t>
      </w:r>
      <w:r w:rsidR="0079531D" w:rsidRPr="00DC128C">
        <w:rPr>
          <w:rFonts w:ascii="Verdana" w:hAnsi="Verdana"/>
          <w:sz w:val="20"/>
          <w:szCs w:val="20"/>
          <w:lang w:val="es-CR"/>
        </w:rPr>
        <w:t xml:space="preserve"> </w:t>
      </w:r>
      <w:r w:rsidRPr="00DC128C">
        <w:rPr>
          <w:rFonts w:ascii="Verdana" w:hAnsi="Verdana"/>
          <w:sz w:val="20"/>
          <w:szCs w:val="20"/>
          <w:lang w:val="es-CR"/>
        </w:rPr>
        <w:t>para</w:t>
      </w:r>
      <w:r w:rsidR="0079531D" w:rsidRPr="00DC128C">
        <w:rPr>
          <w:rFonts w:ascii="Verdana" w:hAnsi="Verdana"/>
          <w:sz w:val="20"/>
          <w:szCs w:val="20"/>
          <w:lang w:val="es-CR"/>
        </w:rPr>
        <w:t xml:space="preserve"> el 28 o 29 de mayo </w:t>
      </w:r>
      <w:r w:rsidRPr="00DC128C">
        <w:rPr>
          <w:rFonts w:ascii="Verdana" w:hAnsi="Verdana"/>
          <w:sz w:val="20"/>
          <w:szCs w:val="20"/>
          <w:lang w:val="es-CR"/>
        </w:rPr>
        <w:t xml:space="preserve">en </w:t>
      </w:r>
      <w:r w:rsidR="0079531D" w:rsidRPr="00DC128C">
        <w:rPr>
          <w:rFonts w:ascii="Verdana" w:hAnsi="Verdana"/>
          <w:sz w:val="20"/>
          <w:szCs w:val="20"/>
          <w:lang w:val="es-CR"/>
        </w:rPr>
        <w:t>que</w:t>
      </w:r>
      <w:r w:rsidR="000160E7" w:rsidRPr="00DC128C">
        <w:rPr>
          <w:rFonts w:ascii="Verdana" w:hAnsi="Verdana"/>
          <w:sz w:val="20"/>
          <w:szCs w:val="20"/>
          <w:lang w:val="es-CR"/>
        </w:rPr>
        <w:t xml:space="preserve"> </w:t>
      </w:r>
      <w:r w:rsidR="006C2B32" w:rsidRPr="00DC128C">
        <w:rPr>
          <w:rFonts w:ascii="Verdana" w:hAnsi="Verdana"/>
          <w:sz w:val="20"/>
          <w:szCs w:val="20"/>
          <w:lang w:val="es-CR"/>
        </w:rPr>
        <w:t xml:space="preserve">habría sido </w:t>
      </w:r>
      <w:r w:rsidR="00A52857" w:rsidRPr="00DC128C">
        <w:rPr>
          <w:rFonts w:ascii="Verdana" w:hAnsi="Verdana"/>
          <w:sz w:val="20"/>
          <w:szCs w:val="20"/>
          <w:lang w:val="es-CR"/>
        </w:rPr>
        <w:t>llevado</w:t>
      </w:r>
      <w:r w:rsidRPr="00DC128C">
        <w:rPr>
          <w:rFonts w:ascii="Verdana" w:hAnsi="Verdana"/>
          <w:sz w:val="20"/>
          <w:szCs w:val="20"/>
          <w:lang w:val="es-CR"/>
        </w:rPr>
        <w:t xml:space="preserve"> el señor Valenzuela ante una</w:t>
      </w:r>
      <w:r w:rsidR="00A52857" w:rsidRPr="00DC128C">
        <w:rPr>
          <w:rFonts w:ascii="Verdana" w:hAnsi="Verdana"/>
          <w:sz w:val="20"/>
          <w:szCs w:val="20"/>
          <w:lang w:val="es-CR"/>
        </w:rPr>
        <w:t xml:space="preserve"> autoridad competente</w:t>
      </w:r>
      <w:r w:rsidRPr="00DC128C">
        <w:rPr>
          <w:rFonts w:ascii="Verdana" w:hAnsi="Verdana"/>
          <w:sz w:val="20"/>
          <w:szCs w:val="20"/>
          <w:lang w:val="es-CR"/>
        </w:rPr>
        <w:t>,</w:t>
      </w:r>
      <w:r w:rsidR="0079531D" w:rsidRPr="00DC128C">
        <w:rPr>
          <w:rFonts w:ascii="Verdana" w:hAnsi="Verdana"/>
          <w:sz w:val="20"/>
          <w:szCs w:val="20"/>
          <w:lang w:val="es-CR"/>
        </w:rPr>
        <w:t xml:space="preserve"> ya había </w:t>
      </w:r>
      <w:r w:rsidR="006C2B32" w:rsidRPr="00DC128C">
        <w:rPr>
          <w:rFonts w:ascii="Verdana" w:hAnsi="Verdana"/>
          <w:sz w:val="20"/>
          <w:szCs w:val="20"/>
          <w:lang w:val="es-CR"/>
        </w:rPr>
        <w:t>sido sobrepasado</w:t>
      </w:r>
      <w:r w:rsidR="00974AF2" w:rsidRPr="00DC128C">
        <w:rPr>
          <w:rFonts w:ascii="Verdana" w:hAnsi="Verdana"/>
          <w:sz w:val="20"/>
          <w:szCs w:val="20"/>
          <w:lang w:val="es-CR"/>
        </w:rPr>
        <w:t>.</w:t>
      </w:r>
      <w:r w:rsidR="00A52857" w:rsidRPr="00DC128C">
        <w:rPr>
          <w:rFonts w:ascii="Verdana" w:hAnsi="Verdana"/>
          <w:sz w:val="20"/>
          <w:szCs w:val="20"/>
          <w:lang w:val="es-CR"/>
        </w:rPr>
        <w:t xml:space="preserve"> </w:t>
      </w:r>
      <w:r w:rsidR="00880037" w:rsidRPr="00DC128C">
        <w:rPr>
          <w:rFonts w:ascii="Verdana" w:hAnsi="Verdana"/>
          <w:sz w:val="20"/>
          <w:szCs w:val="20"/>
          <w:lang w:val="es-CR"/>
        </w:rPr>
        <w:t>Dado lo anterior,</w:t>
      </w:r>
      <w:r w:rsidR="00094C9C" w:rsidRPr="00DC128C">
        <w:rPr>
          <w:rFonts w:ascii="Verdana" w:hAnsi="Verdana"/>
          <w:sz w:val="20"/>
          <w:szCs w:val="20"/>
          <w:lang w:val="es-CR"/>
        </w:rPr>
        <w:t xml:space="preserve"> </w:t>
      </w:r>
      <w:r w:rsidR="00A52857" w:rsidRPr="00DC128C">
        <w:rPr>
          <w:rFonts w:ascii="Verdana" w:hAnsi="Verdana"/>
          <w:sz w:val="20"/>
          <w:szCs w:val="20"/>
          <w:lang w:val="es-CR"/>
        </w:rPr>
        <w:t>este Tribunal considera que el Estado</w:t>
      </w:r>
      <w:r w:rsidR="00094C9C" w:rsidRPr="00DC128C">
        <w:rPr>
          <w:rFonts w:ascii="Verdana" w:hAnsi="Verdana"/>
          <w:sz w:val="20"/>
          <w:szCs w:val="20"/>
          <w:lang w:val="es-CR"/>
        </w:rPr>
        <w:t xml:space="preserve"> </w:t>
      </w:r>
      <w:r w:rsidR="00912DDA" w:rsidRPr="00DC128C">
        <w:rPr>
          <w:rFonts w:ascii="Verdana" w:hAnsi="Verdana"/>
          <w:sz w:val="20"/>
          <w:szCs w:val="20"/>
          <w:lang w:val="es-CR"/>
        </w:rPr>
        <w:t xml:space="preserve">incumplió con su deber de llevar al señor Valenzuela ante un juez o funcionario autorizado por ley, en </w:t>
      </w:r>
      <w:r w:rsidR="00094C9C" w:rsidRPr="00DC128C">
        <w:rPr>
          <w:rFonts w:ascii="Verdana" w:hAnsi="Verdana"/>
          <w:sz w:val="20"/>
          <w:szCs w:val="20"/>
          <w:lang w:val="es-CR"/>
        </w:rPr>
        <w:t xml:space="preserve">violación del </w:t>
      </w:r>
      <w:r w:rsidR="006C2B32" w:rsidRPr="00DC128C">
        <w:rPr>
          <w:rFonts w:ascii="Verdana" w:hAnsi="Verdana"/>
          <w:sz w:val="20"/>
          <w:szCs w:val="20"/>
          <w:lang w:val="es-CR"/>
        </w:rPr>
        <w:t xml:space="preserve">derecho a la libertad personal consagrado en el </w:t>
      </w:r>
      <w:r w:rsidR="00094C9C" w:rsidRPr="00DC128C">
        <w:rPr>
          <w:rFonts w:ascii="Verdana" w:hAnsi="Verdana"/>
          <w:sz w:val="20"/>
          <w:szCs w:val="20"/>
          <w:lang w:val="es-CR"/>
        </w:rPr>
        <w:t>artículo</w:t>
      </w:r>
      <w:r w:rsidR="008A2BCA" w:rsidRPr="00DC128C">
        <w:rPr>
          <w:rFonts w:ascii="Verdana" w:hAnsi="Verdana"/>
          <w:sz w:val="20"/>
          <w:szCs w:val="20"/>
          <w:lang w:val="es-CR"/>
        </w:rPr>
        <w:t xml:space="preserve"> 7.1, 7.2 y</w:t>
      </w:r>
      <w:r w:rsidR="00094C9C" w:rsidRPr="00DC128C">
        <w:rPr>
          <w:rFonts w:ascii="Verdana" w:hAnsi="Verdana"/>
          <w:sz w:val="20"/>
          <w:szCs w:val="20"/>
          <w:lang w:val="es-CR"/>
        </w:rPr>
        <w:t xml:space="preserve"> 7.5</w:t>
      </w:r>
      <w:r w:rsidR="00A52857" w:rsidRPr="00DC128C">
        <w:rPr>
          <w:rFonts w:ascii="Verdana" w:hAnsi="Verdana"/>
          <w:sz w:val="20"/>
          <w:szCs w:val="20"/>
          <w:lang w:val="es-CR"/>
        </w:rPr>
        <w:t xml:space="preserve"> de la Convención Americana,</w:t>
      </w:r>
      <w:r w:rsidR="00A52857" w:rsidRPr="00A52857">
        <w:t xml:space="preserve"> </w:t>
      </w:r>
      <w:r w:rsidR="00A52857" w:rsidRPr="00DC128C">
        <w:rPr>
          <w:rFonts w:ascii="Verdana" w:hAnsi="Verdana"/>
          <w:sz w:val="20"/>
          <w:szCs w:val="20"/>
        </w:rPr>
        <w:t>en relación con el artículo 1.1 de la misma</w:t>
      </w:r>
      <w:r w:rsidR="006C2B32" w:rsidRPr="00DC128C">
        <w:rPr>
          <w:rFonts w:ascii="Verdana" w:hAnsi="Verdana"/>
          <w:sz w:val="20"/>
          <w:szCs w:val="20"/>
        </w:rPr>
        <w:t>, en su perju</w:t>
      </w:r>
      <w:r w:rsidR="008C5BEA" w:rsidRPr="00DC128C">
        <w:rPr>
          <w:rFonts w:ascii="Verdana" w:hAnsi="Verdana"/>
          <w:sz w:val="20"/>
          <w:szCs w:val="20"/>
        </w:rPr>
        <w:t>i</w:t>
      </w:r>
      <w:r w:rsidR="006C2B32" w:rsidRPr="00DC128C">
        <w:rPr>
          <w:rFonts w:ascii="Verdana" w:hAnsi="Verdana"/>
          <w:sz w:val="20"/>
          <w:szCs w:val="20"/>
        </w:rPr>
        <w:t>cio</w:t>
      </w:r>
      <w:r w:rsidR="00A52857" w:rsidRPr="00DC128C">
        <w:rPr>
          <w:rFonts w:ascii="Verdana" w:hAnsi="Verdana"/>
          <w:sz w:val="20"/>
          <w:szCs w:val="20"/>
          <w:lang w:val="es-CR"/>
        </w:rPr>
        <w:t xml:space="preserve">. </w:t>
      </w:r>
    </w:p>
    <w:p w14:paraId="0529FA07" w14:textId="77777777" w:rsidR="00DC128C" w:rsidRPr="00DC128C" w:rsidRDefault="00DC128C" w:rsidP="00DC128C">
      <w:pPr>
        <w:pStyle w:val="Prrafodelista"/>
        <w:rPr>
          <w:rFonts w:ascii="Verdana" w:hAnsi="Verdana"/>
          <w:b/>
          <w:sz w:val="20"/>
          <w:szCs w:val="20"/>
          <w:lang w:val="es-CR"/>
        </w:rPr>
      </w:pPr>
    </w:p>
    <w:p w14:paraId="3669838F" w14:textId="77777777" w:rsidR="00DC128C" w:rsidRDefault="005F262D" w:rsidP="00DC128C">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A2282C">
        <w:rPr>
          <w:rFonts w:ascii="Verdana" w:hAnsi="Verdana"/>
          <w:sz w:val="20"/>
          <w:szCs w:val="20"/>
          <w:lang w:val="es-CR"/>
        </w:rPr>
        <w:t>Dado lo resuelto la</w:t>
      </w:r>
      <w:r w:rsidR="0050028C" w:rsidRPr="00A2282C">
        <w:rPr>
          <w:rFonts w:ascii="Verdana" w:hAnsi="Verdana"/>
          <w:sz w:val="20"/>
          <w:szCs w:val="20"/>
          <w:lang w:val="es-CR"/>
        </w:rPr>
        <w:t xml:space="preserve"> Corte</w:t>
      </w:r>
      <w:r w:rsidRPr="00A2282C">
        <w:rPr>
          <w:rFonts w:ascii="Verdana" w:hAnsi="Verdana"/>
          <w:sz w:val="20"/>
          <w:szCs w:val="20"/>
          <w:lang w:val="es-CR"/>
        </w:rPr>
        <w:t xml:space="preserve"> estima que no es necesario pronunciarse</w:t>
      </w:r>
      <w:r w:rsidR="00094C9C" w:rsidRPr="00DC128C">
        <w:rPr>
          <w:rFonts w:ascii="Verdana" w:hAnsi="Verdana"/>
          <w:b/>
          <w:sz w:val="20"/>
          <w:szCs w:val="20"/>
          <w:lang w:val="es-CR"/>
        </w:rPr>
        <w:t xml:space="preserve"> </w:t>
      </w:r>
      <w:r w:rsidRPr="00DC128C">
        <w:rPr>
          <w:rFonts w:ascii="Verdana" w:hAnsi="Verdana"/>
          <w:sz w:val="20"/>
          <w:szCs w:val="20"/>
          <w:lang w:val="es-CR"/>
        </w:rPr>
        <w:t xml:space="preserve">sobre </w:t>
      </w:r>
      <w:r w:rsidR="00094C9C" w:rsidRPr="00DC128C">
        <w:rPr>
          <w:rFonts w:ascii="Verdana" w:hAnsi="Verdana"/>
          <w:sz w:val="20"/>
          <w:szCs w:val="20"/>
          <w:lang w:val="es-CR"/>
        </w:rPr>
        <w:t>la alegada violaci</w:t>
      </w:r>
      <w:r w:rsidR="00912DDA" w:rsidRPr="00DC128C">
        <w:rPr>
          <w:rFonts w:ascii="Verdana" w:hAnsi="Verdana"/>
          <w:sz w:val="20"/>
          <w:szCs w:val="20"/>
          <w:lang w:val="es-CR"/>
        </w:rPr>
        <w:t xml:space="preserve">ón de los incisos 3 y 4 del artículo 7 </w:t>
      </w:r>
      <w:r w:rsidR="00094C9C" w:rsidRPr="00DC128C">
        <w:rPr>
          <w:rFonts w:ascii="Verdana" w:hAnsi="Verdana"/>
          <w:sz w:val="20"/>
          <w:szCs w:val="20"/>
          <w:lang w:val="es-CR"/>
        </w:rPr>
        <w:t xml:space="preserve">de la Convención Americana. </w:t>
      </w:r>
    </w:p>
    <w:p w14:paraId="08E8D474" w14:textId="77777777" w:rsidR="00DC128C" w:rsidRPr="00DC128C" w:rsidRDefault="00DC128C" w:rsidP="00DC128C">
      <w:pPr>
        <w:pStyle w:val="Prrafodelista"/>
        <w:rPr>
          <w:rFonts w:ascii="Verdana" w:hAnsi="Verdana"/>
          <w:sz w:val="20"/>
          <w:szCs w:val="20"/>
          <w:lang w:val="es-CR"/>
        </w:rPr>
      </w:pPr>
    </w:p>
    <w:p w14:paraId="1E10F7D8" w14:textId="777FF7CE" w:rsidR="002F60A3" w:rsidRPr="00962F49" w:rsidRDefault="005E551E" w:rsidP="002F60A3">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DC128C">
        <w:rPr>
          <w:rFonts w:ascii="Verdana" w:hAnsi="Verdana"/>
          <w:sz w:val="20"/>
          <w:szCs w:val="20"/>
          <w:lang w:val="es-CR"/>
        </w:rPr>
        <w:t xml:space="preserve">Por último, los </w:t>
      </w:r>
      <w:r w:rsidRPr="00DC128C">
        <w:rPr>
          <w:rFonts w:ascii="Verdana" w:hAnsi="Verdana"/>
          <w:b/>
          <w:i/>
          <w:sz w:val="20"/>
          <w:szCs w:val="20"/>
          <w:lang w:val="es-CR"/>
        </w:rPr>
        <w:t>representantes</w:t>
      </w:r>
      <w:r w:rsidRPr="00DC128C">
        <w:rPr>
          <w:rFonts w:ascii="Verdana" w:hAnsi="Verdana"/>
          <w:sz w:val="20"/>
          <w:szCs w:val="20"/>
          <w:lang w:val="es-CR"/>
        </w:rPr>
        <w:t xml:space="preserve"> alegaron la violación de los artículos 7.6 y 25</w:t>
      </w:r>
      <w:r w:rsidR="00A52857" w:rsidRPr="00DC128C">
        <w:rPr>
          <w:rFonts w:ascii="Verdana" w:hAnsi="Verdana"/>
          <w:sz w:val="20"/>
          <w:szCs w:val="20"/>
          <w:lang w:val="es-CR"/>
        </w:rPr>
        <w:t>.1</w:t>
      </w:r>
      <w:r w:rsidRPr="00DC128C">
        <w:rPr>
          <w:rFonts w:ascii="Verdana" w:hAnsi="Verdana"/>
          <w:sz w:val="20"/>
          <w:szCs w:val="20"/>
          <w:lang w:val="es-CR"/>
        </w:rPr>
        <w:t xml:space="preserve"> de la Convención </w:t>
      </w:r>
      <w:r w:rsidR="000B762C" w:rsidRPr="00DC128C">
        <w:rPr>
          <w:rFonts w:ascii="Verdana" w:hAnsi="Verdana"/>
          <w:sz w:val="20"/>
          <w:szCs w:val="20"/>
          <w:lang w:val="es-CR"/>
        </w:rPr>
        <w:t>Americana, debido al rechazo de un</w:t>
      </w:r>
      <w:r w:rsidRPr="00DC128C">
        <w:rPr>
          <w:rFonts w:ascii="Verdana" w:hAnsi="Verdana"/>
          <w:sz w:val="20"/>
          <w:szCs w:val="20"/>
          <w:lang w:val="es-CR"/>
        </w:rPr>
        <w:t xml:space="preserve"> recurso de exhibición personal presentado </w:t>
      </w:r>
      <w:r w:rsidR="000B762C" w:rsidRPr="00DC128C">
        <w:rPr>
          <w:rFonts w:ascii="Verdana" w:hAnsi="Verdana"/>
          <w:sz w:val="20"/>
          <w:szCs w:val="20"/>
          <w:lang w:val="es-CR"/>
        </w:rPr>
        <w:t xml:space="preserve">por </w:t>
      </w:r>
      <w:r w:rsidRPr="00DC128C">
        <w:rPr>
          <w:rFonts w:ascii="Verdana" w:hAnsi="Verdana"/>
          <w:sz w:val="20"/>
          <w:szCs w:val="20"/>
          <w:lang w:val="es-CR"/>
        </w:rPr>
        <w:t>el defensor de la presunta víctima</w:t>
      </w:r>
      <w:r w:rsidR="00D131F4" w:rsidRPr="00DC128C">
        <w:rPr>
          <w:rFonts w:ascii="Verdana" w:hAnsi="Verdana"/>
          <w:sz w:val="20"/>
          <w:szCs w:val="20"/>
          <w:lang w:val="es-CR"/>
        </w:rPr>
        <w:t xml:space="preserve">, con base </w:t>
      </w:r>
      <w:r w:rsidR="00D35623" w:rsidRPr="00DC128C">
        <w:rPr>
          <w:rFonts w:ascii="Verdana" w:hAnsi="Verdana"/>
          <w:sz w:val="20"/>
          <w:szCs w:val="20"/>
        </w:rPr>
        <w:t xml:space="preserve">en </w:t>
      </w:r>
      <w:r w:rsidRPr="00DC128C">
        <w:rPr>
          <w:rFonts w:ascii="Verdana" w:hAnsi="Verdana"/>
          <w:sz w:val="20"/>
          <w:szCs w:val="20"/>
          <w:lang w:val="es-CR"/>
        </w:rPr>
        <w:t>las supuestas torturas y vejámenes que sufría el señor Valenzuela</w:t>
      </w:r>
      <w:r w:rsidR="00D35623" w:rsidRPr="00DC128C">
        <w:rPr>
          <w:rFonts w:ascii="Verdana" w:hAnsi="Verdana"/>
          <w:sz w:val="20"/>
          <w:szCs w:val="20"/>
        </w:rPr>
        <w:t xml:space="preserve"> que</w:t>
      </w:r>
      <w:r w:rsidRPr="00DC128C">
        <w:rPr>
          <w:rFonts w:ascii="Verdana" w:hAnsi="Verdana"/>
          <w:sz w:val="20"/>
          <w:szCs w:val="20"/>
        </w:rPr>
        <w:t xml:space="preserve">, en realidad, refiere a aspectos sobre la integridad personal, que </w:t>
      </w:r>
      <w:r w:rsidR="00D35623" w:rsidRPr="00DC128C">
        <w:rPr>
          <w:rFonts w:ascii="Verdana" w:hAnsi="Verdana"/>
          <w:sz w:val="20"/>
          <w:szCs w:val="20"/>
        </w:rPr>
        <w:t>ya fueron</w:t>
      </w:r>
      <w:r w:rsidRPr="00DC128C">
        <w:rPr>
          <w:rFonts w:ascii="Verdana" w:hAnsi="Verdana"/>
          <w:sz w:val="20"/>
          <w:szCs w:val="20"/>
        </w:rPr>
        <w:t xml:space="preserve"> examinados re</w:t>
      </w:r>
      <w:r w:rsidR="00204E65" w:rsidRPr="00DC128C">
        <w:rPr>
          <w:rFonts w:ascii="Verdana" w:hAnsi="Verdana"/>
          <w:sz w:val="20"/>
          <w:szCs w:val="20"/>
        </w:rPr>
        <w:t>specto al artículo 5 de la Convención</w:t>
      </w:r>
      <w:r w:rsidRPr="00DC128C">
        <w:rPr>
          <w:rFonts w:ascii="Verdana" w:hAnsi="Verdana"/>
          <w:sz w:val="20"/>
          <w:szCs w:val="20"/>
        </w:rPr>
        <w:t>. Por ello, no se examinar</w:t>
      </w:r>
      <w:r w:rsidR="00D35623" w:rsidRPr="00DC128C">
        <w:rPr>
          <w:rFonts w:ascii="Verdana" w:hAnsi="Verdana"/>
          <w:sz w:val="20"/>
          <w:szCs w:val="20"/>
        </w:rPr>
        <w:t>án dichos argumentos</w:t>
      </w:r>
      <w:r w:rsidR="00DC128C">
        <w:rPr>
          <w:rFonts w:ascii="Verdana" w:hAnsi="Verdana"/>
          <w:sz w:val="20"/>
          <w:szCs w:val="20"/>
          <w:lang w:val="es-CR"/>
        </w:rPr>
        <w:t>.</w:t>
      </w:r>
    </w:p>
    <w:p w14:paraId="42222990" w14:textId="77777777" w:rsidR="00DC128C" w:rsidRPr="00341D8C" w:rsidRDefault="00DC128C" w:rsidP="008448A1">
      <w:pPr>
        <w:pStyle w:val="Ttulo2"/>
        <w:rPr>
          <w:szCs w:val="20"/>
          <w:lang w:val="es-CR"/>
        </w:rPr>
      </w:pPr>
      <w:bookmarkStart w:id="73" w:name="_Toc25247783"/>
      <w:r w:rsidRPr="00341D8C">
        <w:rPr>
          <w:lang w:val="es-CR"/>
        </w:rPr>
        <w:t>C. Conclusión</w:t>
      </w:r>
      <w:bookmarkEnd w:id="73"/>
    </w:p>
    <w:p w14:paraId="33A15ED7" w14:textId="77777777" w:rsidR="00DC128C" w:rsidRPr="00DC128C" w:rsidRDefault="00DC128C" w:rsidP="00DC128C">
      <w:pPr>
        <w:pStyle w:val="Prrafodelista"/>
        <w:rPr>
          <w:rFonts w:ascii="Verdana" w:hAnsi="Verdana"/>
          <w:sz w:val="20"/>
          <w:szCs w:val="20"/>
          <w:lang w:val="es-CR"/>
        </w:rPr>
      </w:pPr>
    </w:p>
    <w:p w14:paraId="50C03CAA" w14:textId="77777777" w:rsidR="005F0BFF" w:rsidRDefault="008A20D9" w:rsidP="005F0BFF">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DC128C">
        <w:rPr>
          <w:rFonts w:ascii="Verdana" w:hAnsi="Verdana"/>
          <w:sz w:val="20"/>
          <w:szCs w:val="20"/>
          <w:lang w:val="es-CR"/>
        </w:rPr>
        <w:t xml:space="preserve">Esta Corte concluye </w:t>
      </w:r>
      <w:r w:rsidR="00EF58BC" w:rsidRPr="00DC128C">
        <w:rPr>
          <w:rFonts w:ascii="Verdana" w:hAnsi="Verdana"/>
          <w:sz w:val="20"/>
          <w:szCs w:val="20"/>
          <w:lang w:val="es-CR"/>
        </w:rPr>
        <w:t xml:space="preserve">que el Estado </w:t>
      </w:r>
      <w:r w:rsidR="003A1DDF" w:rsidRPr="00DC128C">
        <w:rPr>
          <w:rFonts w:ascii="Verdana" w:hAnsi="Verdana"/>
          <w:sz w:val="20"/>
          <w:szCs w:val="20"/>
          <w:lang w:val="es-CR"/>
        </w:rPr>
        <w:t>es responsable de la violación al derech</w:t>
      </w:r>
      <w:r w:rsidRPr="00DC128C">
        <w:rPr>
          <w:rFonts w:ascii="Verdana" w:hAnsi="Verdana"/>
          <w:sz w:val="20"/>
          <w:szCs w:val="20"/>
          <w:lang w:val="es-CR"/>
        </w:rPr>
        <w:t>o a libertad personal consagrado</w:t>
      </w:r>
      <w:r w:rsidR="009553ED" w:rsidRPr="00DC128C">
        <w:rPr>
          <w:rFonts w:ascii="Verdana" w:hAnsi="Verdana"/>
          <w:sz w:val="20"/>
          <w:szCs w:val="20"/>
          <w:lang w:val="es-CR"/>
        </w:rPr>
        <w:t xml:space="preserve"> en los artículos 7.1</w:t>
      </w:r>
      <w:r w:rsidR="008A2BCA" w:rsidRPr="00DC128C">
        <w:rPr>
          <w:rFonts w:ascii="Verdana" w:hAnsi="Verdana"/>
          <w:sz w:val="20"/>
          <w:szCs w:val="20"/>
          <w:lang w:val="es-CR"/>
        </w:rPr>
        <w:t>, 7.2</w:t>
      </w:r>
      <w:r w:rsidR="00912DDA" w:rsidRPr="00DC128C">
        <w:rPr>
          <w:rFonts w:ascii="Verdana" w:hAnsi="Verdana"/>
          <w:sz w:val="20"/>
          <w:szCs w:val="20"/>
          <w:lang w:val="es-CR"/>
        </w:rPr>
        <w:t xml:space="preserve"> </w:t>
      </w:r>
      <w:r w:rsidR="009553ED" w:rsidRPr="00DC128C">
        <w:rPr>
          <w:rFonts w:ascii="Verdana" w:hAnsi="Verdana"/>
          <w:sz w:val="20"/>
          <w:szCs w:val="20"/>
          <w:lang w:val="es-CR"/>
        </w:rPr>
        <w:t xml:space="preserve">y 7.5 </w:t>
      </w:r>
      <w:r w:rsidR="00EF58BC" w:rsidRPr="00DC128C">
        <w:rPr>
          <w:rFonts w:ascii="Verdana" w:hAnsi="Verdana"/>
          <w:sz w:val="20"/>
          <w:szCs w:val="20"/>
          <w:lang w:val="es-CR"/>
        </w:rPr>
        <w:t>de la Convención Americana</w:t>
      </w:r>
      <w:r w:rsidR="00E1021D" w:rsidRPr="00DC128C">
        <w:rPr>
          <w:rFonts w:ascii="Verdana" w:hAnsi="Verdana"/>
          <w:sz w:val="20"/>
          <w:szCs w:val="20"/>
          <w:lang w:val="es-CR"/>
        </w:rPr>
        <w:t xml:space="preserve">, </w:t>
      </w:r>
      <w:r w:rsidR="00E1021D" w:rsidRPr="00DC128C">
        <w:rPr>
          <w:rFonts w:ascii="Verdana" w:hAnsi="Verdana"/>
          <w:sz w:val="20"/>
          <w:szCs w:val="20"/>
        </w:rPr>
        <w:t>en relación con el artículo 1.1 del mismo</w:t>
      </w:r>
      <w:r w:rsidR="00E1021D" w:rsidRPr="00DC128C">
        <w:rPr>
          <w:rFonts w:ascii="Verdana" w:hAnsi="Verdana"/>
          <w:sz w:val="20"/>
          <w:szCs w:val="20"/>
          <w:lang w:val="es-CR"/>
        </w:rPr>
        <w:t>, en perjuicio de Tirso Román Valenzuela Ávila</w:t>
      </w:r>
      <w:r w:rsidR="00EF58BC" w:rsidRPr="00DC128C">
        <w:rPr>
          <w:rFonts w:ascii="Verdana" w:hAnsi="Verdana"/>
          <w:sz w:val="20"/>
          <w:szCs w:val="20"/>
          <w:lang w:val="es-CR"/>
        </w:rPr>
        <w:t>.</w:t>
      </w:r>
      <w:r w:rsidR="009529A4" w:rsidRPr="00DC128C">
        <w:rPr>
          <w:rFonts w:ascii="Verdana" w:hAnsi="Verdana"/>
          <w:sz w:val="20"/>
          <w:szCs w:val="20"/>
          <w:lang w:val="es-CR"/>
        </w:rPr>
        <w:t xml:space="preserve"> </w:t>
      </w:r>
    </w:p>
    <w:p w14:paraId="79E4286F" w14:textId="77777777" w:rsidR="00EB415C" w:rsidRDefault="00EB415C" w:rsidP="005F0BFF">
      <w:pPr>
        <w:pStyle w:val="Prrafodelista"/>
        <w:autoSpaceDE w:val="0"/>
        <w:autoSpaceDN w:val="0"/>
        <w:adjustRightInd w:val="0"/>
        <w:spacing w:after="0" w:line="240" w:lineRule="auto"/>
        <w:ind w:left="0"/>
        <w:jc w:val="both"/>
        <w:rPr>
          <w:rFonts w:ascii="Verdana" w:hAnsi="Verdana"/>
          <w:sz w:val="20"/>
          <w:szCs w:val="20"/>
          <w:lang w:val="es-CR"/>
        </w:rPr>
      </w:pPr>
    </w:p>
    <w:p w14:paraId="40F032FE" w14:textId="77777777" w:rsidR="005F0BFF" w:rsidRDefault="005F0BFF" w:rsidP="005F0BFF">
      <w:pPr>
        <w:pStyle w:val="Ttulo1"/>
        <w:spacing w:before="0"/>
        <w:rPr>
          <w:lang w:val="es-CR"/>
        </w:rPr>
      </w:pPr>
      <w:bookmarkStart w:id="74" w:name="_Toc25247784"/>
      <w:r>
        <w:rPr>
          <w:lang w:val="es-CR"/>
        </w:rPr>
        <w:t xml:space="preserve">IX </w:t>
      </w:r>
      <w:r>
        <w:rPr>
          <w:lang w:val="es-CR"/>
        </w:rPr>
        <w:br/>
        <w:t>REPARACIONES</w:t>
      </w:r>
      <w:r w:rsidR="00EB415C" w:rsidRPr="005E422B">
        <w:rPr>
          <w:rStyle w:val="Refdenotaalpie"/>
          <w:b w:val="0"/>
          <w:lang w:val="es-CR"/>
        </w:rPr>
        <w:footnoteReference w:id="184"/>
      </w:r>
      <w:bookmarkEnd w:id="74"/>
      <w:r w:rsidRPr="005E422B">
        <w:rPr>
          <w:b w:val="0"/>
          <w:lang w:val="es-CR"/>
        </w:rPr>
        <w:t xml:space="preserve"> </w:t>
      </w:r>
    </w:p>
    <w:p w14:paraId="59E1201A" w14:textId="77777777" w:rsidR="005F0BFF" w:rsidRDefault="005F0BFF" w:rsidP="005F0BFF">
      <w:pPr>
        <w:pStyle w:val="Prrafodelista"/>
        <w:autoSpaceDE w:val="0"/>
        <w:autoSpaceDN w:val="0"/>
        <w:adjustRightInd w:val="0"/>
        <w:spacing w:after="0" w:line="240" w:lineRule="auto"/>
        <w:ind w:left="0"/>
        <w:jc w:val="both"/>
        <w:rPr>
          <w:rFonts w:ascii="Verdana" w:hAnsi="Verdana"/>
          <w:sz w:val="20"/>
          <w:szCs w:val="20"/>
          <w:lang w:val="es-CR"/>
        </w:rPr>
      </w:pPr>
    </w:p>
    <w:p w14:paraId="2C995984" w14:textId="77777777" w:rsidR="005F0BFF" w:rsidRDefault="00D969DA" w:rsidP="005F0BFF">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5F0BFF">
        <w:rPr>
          <w:rFonts w:ascii="Verdana" w:hAnsi="Verdana"/>
          <w:sz w:val="20"/>
          <w:szCs w:val="20"/>
          <w:lang w:val="es-CR"/>
        </w:rPr>
        <w:t>Con base en lo dispuesto en el artículo 63.1 de la Convención Americana, la Corte ha indicado que toda violación de una obligación internacional que haya producido daño comporta el deber de repararlo adecuadamente, y que esa disposición recoge una norma consuetudinaria que constituye uno de los principios fundamentales del Derecho Internacional contemporáneo sobre responsabilidad de un Estado</w:t>
      </w:r>
      <w:r w:rsidRPr="00016CE7">
        <w:rPr>
          <w:vertAlign w:val="superscript"/>
          <w:lang w:val="es-CR"/>
        </w:rPr>
        <w:footnoteReference w:id="185"/>
      </w:r>
      <w:r w:rsidRPr="005F0BFF">
        <w:rPr>
          <w:rFonts w:ascii="Verdana" w:hAnsi="Verdana"/>
          <w:sz w:val="20"/>
          <w:szCs w:val="20"/>
          <w:lang w:val="es-CR"/>
        </w:rPr>
        <w:t xml:space="preserve">. </w:t>
      </w:r>
    </w:p>
    <w:p w14:paraId="120BEF27" w14:textId="77777777" w:rsidR="005F0BFF" w:rsidRDefault="005F0BFF" w:rsidP="005F0BFF">
      <w:pPr>
        <w:pStyle w:val="Prrafodelista"/>
        <w:autoSpaceDE w:val="0"/>
        <w:autoSpaceDN w:val="0"/>
        <w:adjustRightInd w:val="0"/>
        <w:spacing w:after="0" w:line="240" w:lineRule="auto"/>
        <w:ind w:left="0"/>
        <w:jc w:val="both"/>
        <w:rPr>
          <w:rFonts w:ascii="Verdana" w:hAnsi="Verdana"/>
          <w:sz w:val="20"/>
          <w:szCs w:val="20"/>
          <w:lang w:val="es-CR"/>
        </w:rPr>
      </w:pPr>
    </w:p>
    <w:p w14:paraId="6EE2689B" w14:textId="23D7DE00" w:rsidR="005F0BFF" w:rsidRDefault="00D969DA" w:rsidP="005F0BFF">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5F0BFF">
        <w:rPr>
          <w:rFonts w:ascii="Verdana" w:hAnsi="Verdana"/>
          <w:sz w:val="20"/>
          <w:szCs w:val="20"/>
          <w:lang w:val="es-CR"/>
        </w:rPr>
        <w:t>La reparación del daño ocasionado por la infracción de una obligación internacional requiere, siempre que sea posible, la plena restitución (</w:t>
      </w:r>
      <w:proofErr w:type="spellStart"/>
      <w:r w:rsidRPr="005F0BFF">
        <w:rPr>
          <w:rFonts w:ascii="Verdana" w:hAnsi="Verdana"/>
          <w:i/>
          <w:sz w:val="20"/>
          <w:szCs w:val="20"/>
          <w:lang w:val="es-CR"/>
        </w:rPr>
        <w:t>restitutio</w:t>
      </w:r>
      <w:proofErr w:type="spellEnd"/>
      <w:r w:rsidRPr="005F0BFF">
        <w:rPr>
          <w:rFonts w:ascii="Verdana" w:hAnsi="Verdana"/>
          <w:i/>
          <w:sz w:val="20"/>
          <w:szCs w:val="20"/>
          <w:lang w:val="es-CR"/>
        </w:rPr>
        <w:t xml:space="preserve"> in </w:t>
      </w:r>
      <w:proofErr w:type="spellStart"/>
      <w:r w:rsidRPr="005F0BFF">
        <w:rPr>
          <w:rFonts w:ascii="Verdana" w:hAnsi="Verdana"/>
          <w:i/>
          <w:sz w:val="20"/>
          <w:szCs w:val="20"/>
          <w:lang w:val="es-CR"/>
        </w:rPr>
        <w:t>integrum</w:t>
      </w:r>
      <w:proofErr w:type="spellEnd"/>
      <w:r w:rsidRPr="005F0BFF">
        <w:rPr>
          <w:rFonts w:ascii="Verdana" w:hAnsi="Verdana"/>
          <w:sz w:val="20"/>
          <w:szCs w:val="20"/>
          <w:lang w:val="es-CR"/>
        </w:rPr>
        <w:t>), que consiste en el restablecimiento de la situación anterior. De no ser esto factible, como ocurre en la mayoría de los casos de violaciones a derechos humanos, este Tribunal determinará medidas para garantizar los derechos conculcados y reparar las consecuencias que las infracciones produjeron</w:t>
      </w:r>
      <w:r w:rsidRPr="00016CE7">
        <w:rPr>
          <w:vertAlign w:val="superscript"/>
          <w:lang w:val="es-CR"/>
        </w:rPr>
        <w:footnoteReference w:id="186"/>
      </w:r>
      <w:r w:rsidRPr="005F0BFF">
        <w:rPr>
          <w:rFonts w:ascii="Verdana" w:hAnsi="Verdana"/>
          <w:sz w:val="20"/>
          <w:szCs w:val="20"/>
          <w:lang w:val="es-CR"/>
        </w:rPr>
        <w:t>. Por tanto, la Corte ha considerado la necesidad de otorgar diversas medidas de reparación, a fin de resarcir los daños de manera integral, por lo que además de las compensaciones pecuniarias, las medidas de restitución, rehabilitación, satisfacción y garantías de no repetición tienen especial relevancia por los daños ocasionados</w:t>
      </w:r>
      <w:r w:rsidRPr="00016CE7">
        <w:rPr>
          <w:vertAlign w:val="superscript"/>
          <w:lang w:val="es-CR"/>
        </w:rPr>
        <w:footnoteReference w:id="187"/>
      </w:r>
      <w:r w:rsidRPr="005F0BFF">
        <w:rPr>
          <w:rFonts w:ascii="Verdana" w:hAnsi="Verdana"/>
          <w:sz w:val="20"/>
          <w:szCs w:val="20"/>
          <w:lang w:val="es-CR"/>
        </w:rPr>
        <w:t xml:space="preserve">. </w:t>
      </w:r>
    </w:p>
    <w:p w14:paraId="7ED40069" w14:textId="77777777" w:rsidR="005F0BFF" w:rsidRPr="005F0BFF" w:rsidRDefault="005F0BFF" w:rsidP="005F0BFF">
      <w:pPr>
        <w:pStyle w:val="Prrafodelista"/>
        <w:rPr>
          <w:rFonts w:ascii="Verdana" w:hAnsi="Verdana"/>
          <w:sz w:val="20"/>
          <w:szCs w:val="20"/>
          <w:lang w:val="es-CR"/>
        </w:rPr>
      </w:pPr>
    </w:p>
    <w:p w14:paraId="2620B0F6" w14:textId="77777777" w:rsidR="005F0BFF" w:rsidRDefault="00D969DA" w:rsidP="005F0BFF">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5F0BFF">
        <w:rPr>
          <w:rFonts w:ascii="Verdana" w:hAnsi="Verdana"/>
          <w:sz w:val="20"/>
          <w:szCs w:val="20"/>
          <w:lang w:val="es-CR"/>
        </w:rPr>
        <w:t>Este Tribunal ha establecido que las reparaciones deben tener un nexo causal con los hechos del caso, las violaciones declaradas, los daños acreditados, así como las medidas solicitadas para reparar los daños respectivos. Por lo tanto, la Corte deberá observar dicha concurrencia para pronunciarse debidamente y conforme a derecho</w:t>
      </w:r>
      <w:r w:rsidRPr="00016CE7">
        <w:rPr>
          <w:vertAlign w:val="superscript"/>
          <w:lang w:val="es-CR"/>
        </w:rPr>
        <w:footnoteReference w:id="188"/>
      </w:r>
      <w:r w:rsidRPr="005F0BFF">
        <w:rPr>
          <w:rFonts w:ascii="Verdana" w:hAnsi="Verdana"/>
          <w:sz w:val="20"/>
          <w:szCs w:val="20"/>
          <w:lang w:val="es-CR"/>
        </w:rPr>
        <w:t>.</w:t>
      </w:r>
    </w:p>
    <w:p w14:paraId="4F3187BC" w14:textId="77777777" w:rsidR="005F0BFF" w:rsidRPr="005F0BFF" w:rsidRDefault="005F0BFF" w:rsidP="005F0BFF">
      <w:pPr>
        <w:pStyle w:val="Prrafodelista"/>
        <w:rPr>
          <w:rFonts w:ascii="Verdana" w:hAnsi="Verdana"/>
          <w:sz w:val="20"/>
          <w:szCs w:val="20"/>
          <w:lang w:val="es-CR"/>
        </w:rPr>
      </w:pPr>
    </w:p>
    <w:p w14:paraId="3A31243E" w14:textId="77777777" w:rsidR="005F0BFF" w:rsidRDefault="00D969DA" w:rsidP="005F0BFF">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5F0BFF">
        <w:rPr>
          <w:rFonts w:ascii="Verdana" w:hAnsi="Verdana"/>
          <w:sz w:val="20"/>
          <w:szCs w:val="20"/>
          <w:lang w:val="es-CR"/>
        </w:rPr>
        <w:t xml:space="preserve">En consideración de las violaciones declaradas en los capítulos anteriores, este Tribunal procederá a analizar las pretensiones presentadas por la Comisión y los representantes, así como los argumentos del Estado, a la luz de los criterios fijados en la jurisprudencia de la </w:t>
      </w:r>
      <w:r w:rsidRPr="005F0BFF">
        <w:rPr>
          <w:rFonts w:ascii="Verdana" w:hAnsi="Verdana"/>
          <w:sz w:val="20"/>
          <w:szCs w:val="20"/>
          <w:lang w:val="es-CR"/>
        </w:rPr>
        <w:lastRenderedPageBreak/>
        <w:t>Corte en relación con la naturaleza y alcance de la obligación de reparar, con el objeto de disponer las medidas dirigidas a reparar los daños ocasionados a las víctimas</w:t>
      </w:r>
      <w:r w:rsidRPr="00016CE7">
        <w:rPr>
          <w:vertAlign w:val="superscript"/>
          <w:lang w:val="es-CR"/>
        </w:rPr>
        <w:footnoteReference w:id="189"/>
      </w:r>
      <w:r w:rsidRPr="005F0BFF">
        <w:rPr>
          <w:rFonts w:ascii="Verdana" w:hAnsi="Verdana"/>
          <w:sz w:val="20"/>
          <w:szCs w:val="20"/>
          <w:lang w:val="es-CR"/>
        </w:rPr>
        <w:t xml:space="preserve">. </w:t>
      </w:r>
    </w:p>
    <w:p w14:paraId="0A483C6A" w14:textId="77777777" w:rsidR="005F0BFF" w:rsidRPr="005F0BFF" w:rsidRDefault="005F0BFF" w:rsidP="005F0BFF">
      <w:pPr>
        <w:pStyle w:val="Prrafodelista"/>
        <w:rPr>
          <w:rFonts w:ascii="Verdana" w:hAnsi="Verdana"/>
          <w:sz w:val="20"/>
          <w:szCs w:val="20"/>
          <w:lang w:val="es-CR"/>
        </w:rPr>
      </w:pPr>
    </w:p>
    <w:p w14:paraId="1042527A" w14:textId="77777777" w:rsidR="005F0BFF" w:rsidRDefault="00D969DA" w:rsidP="005F0BFF">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5F0BFF">
        <w:rPr>
          <w:rFonts w:ascii="Verdana" w:hAnsi="Verdana"/>
          <w:sz w:val="20"/>
          <w:szCs w:val="20"/>
          <w:lang w:val="es-CR"/>
        </w:rPr>
        <w:t>La jurisprudencia internacional y en particular de la Corte, ha establecido reiteradamente que la sentencia constituye por sí misma una forma de reparación</w:t>
      </w:r>
      <w:r w:rsidR="00717234">
        <w:rPr>
          <w:rStyle w:val="Refdenotaalpie"/>
          <w:rFonts w:ascii="Verdana" w:hAnsi="Verdana"/>
          <w:sz w:val="20"/>
          <w:szCs w:val="20"/>
          <w:lang w:val="es-CR"/>
        </w:rPr>
        <w:footnoteReference w:id="190"/>
      </w:r>
      <w:r w:rsidRPr="005F0BFF">
        <w:rPr>
          <w:rFonts w:ascii="Verdana" w:hAnsi="Verdana"/>
          <w:sz w:val="20"/>
          <w:szCs w:val="20"/>
          <w:lang w:val="es-CR"/>
        </w:rPr>
        <w:t>. No obstante, considerando las circunstancias del presente caso y las violaciones cometidas a la víctima, la Corte estima pertinente fijar otras medidas.</w:t>
      </w:r>
    </w:p>
    <w:p w14:paraId="5B62CCFD" w14:textId="77777777" w:rsidR="005F0BFF" w:rsidRPr="005F0BFF" w:rsidRDefault="005F0BFF" w:rsidP="005F0BFF">
      <w:pPr>
        <w:pStyle w:val="Prrafodelista"/>
        <w:autoSpaceDE w:val="0"/>
        <w:autoSpaceDN w:val="0"/>
        <w:adjustRightInd w:val="0"/>
        <w:spacing w:after="0" w:line="240" w:lineRule="auto"/>
        <w:ind w:left="0"/>
        <w:jc w:val="both"/>
        <w:rPr>
          <w:rFonts w:ascii="Verdana" w:hAnsi="Verdana"/>
          <w:sz w:val="20"/>
          <w:szCs w:val="20"/>
          <w:lang w:val="es-CR"/>
        </w:rPr>
      </w:pPr>
    </w:p>
    <w:p w14:paraId="785EE85D" w14:textId="77777777" w:rsidR="005F0BFF" w:rsidRPr="00016CE7" w:rsidRDefault="005F0BFF" w:rsidP="005F0BFF">
      <w:pPr>
        <w:pStyle w:val="Ttulo2"/>
        <w:spacing w:before="0"/>
        <w:rPr>
          <w:lang w:val="es-CR"/>
        </w:rPr>
      </w:pPr>
      <w:bookmarkStart w:id="75" w:name="_Toc25247785"/>
      <w:r w:rsidRPr="00016CE7">
        <w:rPr>
          <w:lang w:val="es-CR"/>
        </w:rPr>
        <w:t>A. Parte Lesionada</w:t>
      </w:r>
      <w:bookmarkEnd w:id="75"/>
      <w:r w:rsidRPr="00016CE7">
        <w:rPr>
          <w:lang w:val="es-CR"/>
        </w:rPr>
        <w:t xml:space="preserve"> </w:t>
      </w:r>
    </w:p>
    <w:p w14:paraId="6C052B8C" w14:textId="5FFC8F39" w:rsidR="005F0BFF" w:rsidRPr="005F0BFF" w:rsidRDefault="002C0A4E" w:rsidP="002C0A4E">
      <w:pPr>
        <w:pStyle w:val="Prrafodelista"/>
        <w:tabs>
          <w:tab w:val="left" w:pos="2085"/>
        </w:tabs>
        <w:rPr>
          <w:rFonts w:ascii="Verdana" w:hAnsi="Verdana"/>
          <w:sz w:val="20"/>
          <w:szCs w:val="20"/>
          <w:lang w:val="es-CR"/>
        </w:rPr>
      </w:pPr>
      <w:r>
        <w:rPr>
          <w:rFonts w:ascii="Verdana" w:hAnsi="Verdana"/>
          <w:sz w:val="20"/>
          <w:szCs w:val="20"/>
          <w:lang w:val="es-CR"/>
        </w:rPr>
        <w:tab/>
      </w:r>
    </w:p>
    <w:p w14:paraId="1D648C21" w14:textId="77777777" w:rsidR="005F0BFF" w:rsidRDefault="00D969DA" w:rsidP="002C0A4E">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5F0BFF">
        <w:rPr>
          <w:rFonts w:ascii="Verdana" w:hAnsi="Verdana"/>
          <w:sz w:val="20"/>
          <w:szCs w:val="20"/>
          <w:lang w:val="es-CR"/>
        </w:rPr>
        <w:t>Este Tribunal reitera que se considera parte lesionada, en los términos del artículo 63.1 de la Convención, a quien ha sido declarada víctima de la violación de algún derecho reconocido en la misma. Por lo tanto, esta Corte considera como “parte lesionada” al señor Tirso Román Valenzuela Ávila.</w:t>
      </w:r>
    </w:p>
    <w:p w14:paraId="3560819D" w14:textId="77777777" w:rsidR="005F0BFF" w:rsidRDefault="005F0BFF" w:rsidP="002C0A4E">
      <w:pPr>
        <w:pStyle w:val="Prrafodelista"/>
        <w:autoSpaceDE w:val="0"/>
        <w:autoSpaceDN w:val="0"/>
        <w:adjustRightInd w:val="0"/>
        <w:spacing w:after="0" w:line="240" w:lineRule="auto"/>
        <w:ind w:left="0"/>
        <w:jc w:val="both"/>
        <w:rPr>
          <w:rFonts w:ascii="Verdana" w:hAnsi="Verdana"/>
          <w:sz w:val="20"/>
          <w:szCs w:val="20"/>
          <w:lang w:val="es-CR"/>
        </w:rPr>
      </w:pPr>
    </w:p>
    <w:p w14:paraId="525943A5" w14:textId="77777777" w:rsidR="005F0BFF" w:rsidRDefault="005F0BFF" w:rsidP="002C0A4E">
      <w:pPr>
        <w:pStyle w:val="Ttulo2"/>
        <w:spacing w:before="0"/>
        <w:rPr>
          <w:lang w:val="es-CR"/>
        </w:rPr>
      </w:pPr>
      <w:bookmarkStart w:id="76" w:name="_Toc25247786"/>
      <w:r w:rsidRPr="00016CE7">
        <w:rPr>
          <w:lang w:val="es-CR"/>
        </w:rPr>
        <w:t>B. Obligación de investigar</w:t>
      </w:r>
      <w:bookmarkEnd w:id="76"/>
    </w:p>
    <w:p w14:paraId="4584E217" w14:textId="77777777" w:rsidR="005F0BFF" w:rsidRPr="0088639B" w:rsidRDefault="005F0BFF" w:rsidP="002C0A4E">
      <w:pPr>
        <w:spacing w:after="0"/>
        <w:rPr>
          <w:lang w:val="es-CR"/>
        </w:rPr>
      </w:pPr>
    </w:p>
    <w:p w14:paraId="15E25B55" w14:textId="735305CD" w:rsidR="005F0BFF" w:rsidRPr="00FF3FAE" w:rsidRDefault="005F0BFF" w:rsidP="002C0A4E">
      <w:pPr>
        <w:pStyle w:val="Ttulo3"/>
        <w:spacing w:before="0"/>
        <w:ind w:left="706"/>
        <w:rPr>
          <w:b w:val="0"/>
          <w:lang w:val="es-CR"/>
        </w:rPr>
      </w:pPr>
      <w:bookmarkStart w:id="77" w:name="_Toc25247787"/>
      <w:r w:rsidRPr="00FF3FAE">
        <w:rPr>
          <w:b w:val="0"/>
          <w:lang w:val="es-CR"/>
        </w:rPr>
        <w:t>B.1.</w:t>
      </w:r>
      <w:r w:rsidR="00953DA5">
        <w:rPr>
          <w:b w:val="0"/>
          <w:lang w:val="es-CR"/>
        </w:rPr>
        <w:t xml:space="preserve"> I</w:t>
      </w:r>
      <w:r w:rsidRPr="00FF3FAE">
        <w:rPr>
          <w:b w:val="0"/>
          <w:lang w:val="es-CR"/>
        </w:rPr>
        <w:t>nvestiga</w:t>
      </w:r>
      <w:r w:rsidR="00953DA5">
        <w:rPr>
          <w:b w:val="0"/>
          <w:lang w:val="es-CR"/>
        </w:rPr>
        <w:t>r</w:t>
      </w:r>
      <w:r w:rsidRPr="00FF3FAE">
        <w:rPr>
          <w:b w:val="0"/>
          <w:lang w:val="es-CR"/>
        </w:rPr>
        <w:t>, identifica</w:t>
      </w:r>
      <w:r w:rsidR="00953DA5">
        <w:rPr>
          <w:b w:val="0"/>
          <w:lang w:val="es-CR"/>
        </w:rPr>
        <w:t>r</w:t>
      </w:r>
      <w:r w:rsidRPr="00FF3FAE">
        <w:rPr>
          <w:b w:val="0"/>
          <w:lang w:val="es-CR"/>
        </w:rPr>
        <w:t xml:space="preserve"> y</w:t>
      </w:r>
      <w:r w:rsidR="00953DA5">
        <w:rPr>
          <w:b w:val="0"/>
          <w:lang w:val="es-CR"/>
        </w:rPr>
        <w:t>, en su caso,</w:t>
      </w:r>
      <w:r w:rsidRPr="00FF3FAE">
        <w:rPr>
          <w:b w:val="0"/>
          <w:lang w:val="es-CR"/>
        </w:rPr>
        <w:t xml:space="preserve"> sanci</w:t>
      </w:r>
      <w:r w:rsidR="00953DA5">
        <w:rPr>
          <w:b w:val="0"/>
          <w:lang w:val="es-CR"/>
        </w:rPr>
        <w:t>onar</w:t>
      </w:r>
      <w:r w:rsidRPr="00FF3FAE">
        <w:rPr>
          <w:b w:val="0"/>
          <w:lang w:val="es-CR"/>
        </w:rPr>
        <w:t xml:space="preserve"> </w:t>
      </w:r>
      <w:r w:rsidR="00953DA5">
        <w:rPr>
          <w:b w:val="0"/>
          <w:lang w:val="es-CR"/>
        </w:rPr>
        <w:t>a</w:t>
      </w:r>
      <w:r w:rsidRPr="00FF3FAE">
        <w:rPr>
          <w:b w:val="0"/>
          <w:lang w:val="es-CR"/>
        </w:rPr>
        <w:t xml:space="preserve"> los responsables de la muerte de Tirso Román Valenzuela Ávila.</w:t>
      </w:r>
      <w:bookmarkEnd w:id="77"/>
    </w:p>
    <w:p w14:paraId="27D69097" w14:textId="77777777" w:rsidR="005F0BFF" w:rsidRDefault="005F0BFF" w:rsidP="002C0A4E">
      <w:pPr>
        <w:pStyle w:val="Prrafodelista"/>
        <w:autoSpaceDE w:val="0"/>
        <w:autoSpaceDN w:val="0"/>
        <w:adjustRightInd w:val="0"/>
        <w:spacing w:after="0" w:line="240" w:lineRule="auto"/>
        <w:ind w:left="0"/>
        <w:jc w:val="both"/>
        <w:rPr>
          <w:rFonts w:ascii="Verdana" w:hAnsi="Verdana"/>
          <w:sz w:val="20"/>
          <w:szCs w:val="20"/>
          <w:lang w:val="es-CR"/>
        </w:rPr>
      </w:pPr>
    </w:p>
    <w:p w14:paraId="6D75B9FC" w14:textId="77777777" w:rsidR="005F0BFF" w:rsidRDefault="00D969DA" w:rsidP="002C0A4E">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5F0BFF">
        <w:rPr>
          <w:rFonts w:ascii="Verdana" w:hAnsi="Verdana"/>
          <w:sz w:val="20"/>
          <w:szCs w:val="20"/>
          <w:lang w:val="es-CR"/>
        </w:rPr>
        <w:t xml:space="preserve">La </w:t>
      </w:r>
      <w:r w:rsidRPr="005F0BFF">
        <w:rPr>
          <w:rFonts w:ascii="Verdana" w:hAnsi="Verdana"/>
          <w:b/>
          <w:i/>
          <w:sz w:val="20"/>
          <w:szCs w:val="20"/>
          <w:lang w:val="es-CR"/>
        </w:rPr>
        <w:t>Comisión</w:t>
      </w:r>
      <w:r w:rsidRPr="005F0BFF">
        <w:rPr>
          <w:rFonts w:ascii="Verdana" w:hAnsi="Verdana"/>
          <w:sz w:val="20"/>
          <w:szCs w:val="20"/>
          <w:lang w:val="es-CR"/>
        </w:rPr>
        <w:t xml:space="preserve"> solicitó a la Corte ordene al Estado investigar, de manera diligente, efectiva y en un plazo razonable, la “ejecución extrajudicial” sufrida por el señor Valenzuela Ávila con el objeto de esclarecer los hechos en forma completa, identificar a los autores e imponer las sanciones que corresponda. Por su parte, los </w:t>
      </w:r>
      <w:r w:rsidRPr="005F0BFF">
        <w:rPr>
          <w:rFonts w:ascii="Verdana" w:hAnsi="Verdana"/>
          <w:b/>
          <w:i/>
          <w:sz w:val="20"/>
          <w:szCs w:val="20"/>
          <w:lang w:val="es-CR"/>
        </w:rPr>
        <w:t xml:space="preserve">representantes </w:t>
      </w:r>
      <w:r w:rsidRPr="005F0BFF">
        <w:rPr>
          <w:rFonts w:ascii="Verdana" w:hAnsi="Verdana"/>
          <w:sz w:val="20"/>
          <w:szCs w:val="20"/>
          <w:lang w:val="es-CR"/>
        </w:rPr>
        <w:t xml:space="preserve">solicitaron a la Corte ordene al Estado investigar todos los hechos relacionados con las violaciones cometidas para que no permanezcan en la impunidad. </w:t>
      </w:r>
    </w:p>
    <w:p w14:paraId="586CDD2D" w14:textId="77777777" w:rsidR="005F0BFF" w:rsidRDefault="005F0BFF" w:rsidP="005F0BFF">
      <w:pPr>
        <w:pStyle w:val="Prrafodelista"/>
        <w:autoSpaceDE w:val="0"/>
        <w:autoSpaceDN w:val="0"/>
        <w:adjustRightInd w:val="0"/>
        <w:spacing w:after="0" w:line="240" w:lineRule="auto"/>
        <w:ind w:left="0"/>
        <w:jc w:val="both"/>
        <w:rPr>
          <w:rFonts w:ascii="Verdana" w:hAnsi="Verdana"/>
          <w:sz w:val="20"/>
          <w:szCs w:val="20"/>
          <w:lang w:val="es-CR"/>
        </w:rPr>
      </w:pPr>
    </w:p>
    <w:p w14:paraId="636DDF16" w14:textId="77777777" w:rsidR="005F0BFF" w:rsidRDefault="00D969DA" w:rsidP="005F0BFF">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5F0BFF">
        <w:rPr>
          <w:rFonts w:ascii="Verdana" w:hAnsi="Verdana"/>
          <w:sz w:val="20"/>
          <w:szCs w:val="20"/>
          <w:lang w:val="es-CR"/>
        </w:rPr>
        <w:t xml:space="preserve">El </w:t>
      </w:r>
      <w:r w:rsidRPr="005F0BFF">
        <w:rPr>
          <w:rFonts w:ascii="Verdana" w:hAnsi="Verdana"/>
          <w:b/>
          <w:i/>
          <w:sz w:val="20"/>
          <w:szCs w:val="20"/>
          <w:lang w:val="es-CR"/>
        </w:rPr>
        <w:t>Estado</w:t>
      </w:r>
      <w:r w:rsidRPr="005F0BFF">
        <w:rPr>
          <w:rFonts w:ascii="Verdana" w:hAnsi="Verdana"/>
          <w:sz w:val="20"/>
          <w:szCs w:val="20"/>
          <w:lang w:val="es-CR"/>
        </w:rPr>
        <w:t xml:space="preserve"> alegó que el proceso de investigación por la muerte del señor Valenzuela Ávila continúa abierto y que su caso no se encuentra en la impunidad, que la dilación de las diligencias se ha debido a la complejidad del asunto y que se han realizado todas aquellas que se consideran oportunas para dar con los responsables</w:t>
      </w:r>
      <w:r w:rsidR="000879DD">
        <w:rPr>
          <w:rFonts w:ascii="Verdana" w:hAnsi="Verdana"/>
          <w:sz w:val="20"/>
          <w:szCs w:val="20"/>
          <w:lang w:val="es-CR"/>
        </w:rPr>
        <w:t>.</w:t>
      </w:r>
      <w:r w:rsidRPr="005F0BFF">
        <w:rPr>
          <w:rFonts w:ascii="Verdana" w:hAnsi="Verdana"/>
          <w:sz w:val="20"/>
          <w:szCs w:val="20"/>
          <w:lang w:val="es-CR"/>
        </w:rPr>
        <w:t xml:space="preserve"> </w:t>
      </w:r>
    </w:p>
    <w:p w14:paraId="091443BC" w14:textId="77777777" w:rsidR="005F0BFF" w:rsidRPr="005F0BFF" w:rsidRDefault="005F0BFF" w:rsidP="005F0BFF">
      <w:pPr>
        <w:pStyle w:val="Prrafodelista"/>
        <w:rPr>
          <w:rFonts w:ascii="Verdana" w:hAnsi="Verdana"/>
          <w:sz w:val="20"/>
          <w:szCs w:val="20"/>
          <w:lang w:val="es-CR"/>
        </w:rPr>
      </w:pPr>
    </w:p>
    <w:p w14:paraId="6977369F" w14:textId="77777777" w:rsidR="005F0BFF" w:rsidRDefault="00D969DA" w:rsidP="005F0BFF">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5F0BFF">
        <w:rPr>
          <w:rFonts w:ascii="Verdana" w:hAnsi="Verdana"/>
          <w:sz w:val="20"/>
          <w:szCs w:val="20"/>
          <w:lang w:val="es-CR"/>
        </w:rPr>
        <w:t xml:space="preserve">La </w:t>
      </w:r>
      <w:r w:rsidRPr="005F0BFF">
        <w:rPr>
          <w:rFonts w:ascii="Verdana" w:hAnsi="Verdana"/>
          <w:b/>
          <w:i/>
          <w:sz w:val="20"/>
          <w:szCs w:val="20"/>
          <w:lang w:val="es-CR"/>
        </w:rPr>
        <w:t>Corte</w:t>
      </w:r>
      <w:r w:rsidRPr="005F0BFF">
        <w:rPr>
          <w:rFonts w:ascii="Verdana" w:hAnsi="Verdana"/>
          <w:sz w:val="20"/>
          <w:szCs w:val="20"/>
          <w:lang w:val="es-CR"/>
        </w:rPr>
        <w:t xml:space="preserve"> declaró en la presente Sentencia, </w:t>
      </w:r>
      <w:r w:rsidRPr="005F0BFF">
        <w:rPr>
          <w:rFonts w:ascii="Verdana" w:hAnsi="Verdana"/>
          <w:i/>
          <w:sz w:val="20"/>
          <w:szCs w:val="20"/>
          <w:lang w:val="es-CR"/>
        </w:rPr>
        <w:t>inter alia</w:t>
      </w:r>
      <w:r w:rsidRPr="005F0BFF">
        <w:rPr>
          <w:rFonts w:ascii="Verdana" w:hAnsi="Verdana"/>
          <w:sz w:val="20"/>
          <w:szCs w:val="20"/>
          <w:lang w:val="es-CR"/>
        </w:rPr>
        <w:t xml:space="preserve">, que las investigaciones llevadas a cabo no fueron diligentes ni efectivas, ni el Estado respetó la garantía del plazo razonable, para establecer lo ocurrido, identificar, procesar y, en su caso, sancionar a los responsables de los hechos ocurridos al señor Tirso Román Valenzuela Ávila. </w:t>
      </w:r>
    </w:p>
    <w:p w14:paraId="1D775BDD" w14:textId="77777777" w:rsidR="005F0BFF" w:rsidRPr="005F0BFF" w:rsidRDefault="005F0BFF" w:rsidP="005F0BFF">
      <w:pPr>
        <w:pStyle w:val="Prrafodelista"/>
        <w:rPr>
          <w:rFonts w:ascii="Verdana" w:hAnsi="Verdana"/>
          <w:sz w:val="20"/>
          <w:szCs w:val="20"/>
          <w:lang w:val="es-CR"/>
        </w:rPr>
      </w:pPr>
    </w:p>
    <w:p w14:paraId="070BE88F" w14:textId="3A88E51C" w:rsidR="005F0BFF" w:rsidRDefault="00D969DA" w:rsidP="005F0BFF">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5F0BFF">
        <w:rPr>
          <w:rFonts w:ascii="Verdana" w:hAnsi="Verdana"/>
          <w:sz w:val="20"/>
          <w:szCs w:val="20"/>
          <w:lang w:val="es-CR"/>
        </w:rPr>
        <w:t>Teniendo en cuenta que actualmente se encuentra abierto el proceso penal para esclarecer los hechos relacionados con la muerte del señor Tirso Román Valenzuela Ávila</w:t>
      </w:r>
      <w:r w:rsidR="00962F49">
        <w:rPr>
          <w:rFonts w:ascii="Verdana" w:hAnsi="Verdana"/>
          <w:sz w:val="20"/>
          <w:szCs w:val="20"/>
          <w:lang w:val="es-CR"/>
        </w:rPr>
        <w:t xml:space="preserve"> (</w:t>
      </w:r>
      <w:r w:rsidR="00962F49" w:rsidRPr="00962F49">
        <w:rPr>
          <w:rFonts w:ascii="Verdana" w:hAnsi="Verdana"/>
          <w:i/>
          <w:sz w:val="20"/>
          <w:szCs w:val="20"/>
          <w:lang w:val="es-CR"/>
        </w:rPr>
        <w:t>supra</w:t>
      </w:r>
      <w:r w:rsidR="005A4456">
        <w:rPr>
          <w:rFonts w:ascii="Verdana" w:hAnsi="Verdana"/>
          <w:sz w:val="20"/>
          <w:szCs w:val="20"/>
          <w:lang w:val="es-CR"/>
        </w:rPr>
        <w:t xml:space="preserve"> párr. 103</w:t>
      </w:r>
      <w:r w:rsidR="00962F49">
        <w:rPr>
          <w:rFonts w:ascii="Verdana" w:hAnsi="Verdana"/>
          <w:sz w:val="20"/>
          <w:szCs w:val="20"/>
          <w:lang w:val="es-CR"/>
        </w:rPr>
        <w:t>)</w:t>
      </w:r>
      <w:r w:rsidRPr="00C95C75">
        <w:rPr>
          <w:rFonts w:ascii="Verdana" w:hAnsi="Verdana"/>
          <w:sz w:val="20"/>
          <w:szCs w:val="20"/>
          <w:lang w:val="es-CR"/>
        </w:rPr>
        <w:t>,</w:t>
      </w:r>
      <w:r w:rsidRPr="005F0BFF">
        <w:rPr>
          <w:rFonts w:ascii="Verdana" w:hAnsi="Verdana"/>
          <w:sz w:val="20"/>
          <w:szCs w:val="20"/>
          <w:lang w:val="es-CR"/>
        </w:rPr>
        <w:t xml:space="preserve"> la Corte dispone que el Estado debe continuar con las investigaciones que sean necesarias para identificar, juzgar y, en su caso, sancionar </w:t>
      </w:r>
      <w:r w:rsidR="00665A5E" w:rsidRPr="005F0BFF">
        <w:rPr>
          <w:rFonts w:ascii="Verdana" w:hAnsi="Verdana"/>
          <w:sz w:val="20"/>
          <w:szCs w:val="20"/>
          <w:lang w:val="es-CR"/>
        </w:rPr>
        <w:t>a los responsables de su muerte, tomando en cuenta las hipótesis posibles de la causa de la muerte.</w:t>
      </w:r>
      <w:r w:rsidRPr="005F0BFF">
        <w:rPr>
          <w:rFonts w:ascii="Verdana" w:hAnsi="Verdana"/>
          <w:sz w:val="20"/>
          <w:szCs w:val="20"/>
          <w:lang w:val="es-CR"/>
        </w:rPr>
        <w:t xml:space="preserve"> Dicha obligación debe ser cumplida de acuerdo a los estándares establecidos por la jurisprudencia de esta </w:t>
      </w:r>
      <w:r w:rsidRPr="005F0BFF">
        <w:rPr>
          <w:rFonts w:ascii="Verdana" w:hAnsi="Verdana"/>
          <w:sz w:val="20"/>
          <w:szCs w:val="20"/>
          <w:lang w:val="es-CR"/>
        </w:rPr>
        <w:lastRenderedPageBreak/>
        <w:t>Corte</w:t>
      </w:r>
      <w:r w:rsidRPr="0060326C">
        <w:rPr>
          <w:rFonts w:ascii="Verdana" w:hAnsi="Verdana"/>
          <w:sz w:val="20"/>
          <w:szCs w:val="20"/>
          <w:vertAlign w:val="superscript"/>
          <w:lang w:val="es-CR"/>
        </w:rPr>
        <w:footnoteReference w:id="191"/>
      </w:r>
      <w:r w:rsidR="00342DCA" w:rsidRPr="005F0BFF">
        <w:rPr>
          <w:rFonts w:ascii="Verdana" w:hAnsi="Verdana"/>
          <w:sz w:val="20"/>
          <w:szCs w:val="20"/>
          <w:lang w:val="es-CR"/>
        </w:rPr>
        <w:t>,</w:t>
      </w:r>
      <w:r w:rsidRPr="005F0BFF">
        <w:rPr>
          <w:rFonts w:ascii="Verdana" w:hAnsi="Verdana"/>
          <w:sz w:val="20"/>
          <w:szCs w:val="20"/>
          <w:lang w:val="es-CR"/>
        </w:rPr>
        <w:t xml:space="preserve"> </w:t>
      </w:r>
      <w:r w:rsidR="00342DCA" w:rsidRPr="005F0BFF">
        <w:rPr>
          <w:rFonts w:ascii="Verdana" w:hAnsi="Verdana"/>
          <w:sz w:val="20"/>
          <w:szCs w:val="20"/>
        </w:rPr>
        <w:t>esto es, con la debida diligencia y en un plazo razonable</w:t>
      </w:r>
      <w:r w:rsidR="00342DCA" w:rsidRPr="002A1142">
        <w:rPr>
          <w:rStyle w:val="Refdenotaalpie"/>
          <w:rFonts w:ascii="Verdana" w:hAnsi="Verdana"/>
          <w:sz w:val="20"/>
          <w:szCs w:val="20"/>
        </w:rPr>
        <w:footnoteReference w:id="192"/>
      </w:r>
      <w:r w:rsidR="00342DCA" w:rsidRPr="005F0BFF">
        <w:rPr>
          <w:rFonts w:ascii="Verdana" w:hAnsi="Verdana"/>
          <w:sz w:val="20"/>
          <w:szCs w:val="20"/>
        </w:rPr>
        <w:t>. A tal fin, el Estado debe: a) asegurar que los distintos órganos del sistema de justicia involucrados en el caso cuenten con los recursos humanos y materiales necesarios para desempeñar sus tareas de manera adecuada, independiente e imparcial y que las personas que participen en la investigación, entre ellas víctimas, testigos y operadores de justicia, cuenten con las debidas garantías de seguridad</w:t>
      </w:r>
      <w:r w:rsidR="00342DCA" w:rsidRPr="002A1142">
        <w:rPr>
          <w:rFonts w:ascii="Verdana" w:hAnsi="Verdana"/>
          <w:sz w:val="20"/>
          <w:szCs w:val="20"/>
          <w:vertAlign w:val="superscript"/>
        </w:rPr>
        <w:footnoteReference w:id="193"/>
      </w:r>
      <w:r w:rsidR="00342DCA" w:rsidRPr="005F0BFF">
        <w:rPr>
          <w:rFonts w:ascii="Verdana" w:hAnsi="Verdana"/>
          <w:sz w:val="20"/>
          <w:szCs w:val="20"/>
        </w:rPr>
        <w:t xml:space="preserve">, y b) asegurar el pleno acceso y capacidad de actuar de los familiares del señor </w:t>
      </w:r>
      <w:r w:rsidR="000A79F0" w:rsidRPr="005F0BFF">
        <w:rPr>
          <w:rFonts w:ascii="Verdana" w:hAnsi="Verdana"/>
          <w:sz w:val="20"/>
          <w:szCs w:val="20"/>
        </w:rPr>
        <w:t xml:space="preserve">Valenzuela Ávila </w:t>
      </w:r>
      <w:r w:rsidR="00342DCA" w:rsidRPr="005F0BFF">
        <w:rPr>
          <w:rFonts w:ascii="Verdana" w:hAnsi="Verdana"/>
          <w:sz w:val="20"/>
          <w:szCs w:val="20"/>
        </w:rPr>
        <w:t>en todas las etapas de estas investigaciones, de acuerdo con la ley interna y las normas de la Convención Americana</w:t>
      </w:r>
      <w:r w:rsidR="002F63BA">
        <w:rPr>
          <w:rFonts w:ascii="Verdana" w:hAnsi="Verdana"/>
          <w:sz w:val="20"/>
          <w:szCs w:val="20"/>
        </w:rPr>
        <w:t xml:space="preserve">, </w:t>
      </w:r>
      <w:r w:rsidR="002F63BA">
        <w:rPr>
          <w:rFonts w:ascii="Verdana" w:hAnsi="Verdana"/>
          <w:sz w:val="20"/>
          <w:szCs w:val="20"/>
          <w:lang w:val="es-CR"/>
        </w:rPr>
        <w:t>c</w:t>
      </w:r>
      <w:r w:rsidRPr="005F0BFF">
        <w:rPr>
          <w:rFonts w:ascii="Verdana" w:hAnsi="Verdana"/>
          <w:sz w:val="20"/>
          <w:szCs w:val="20"/>
          <w:lang w:val="es-CR"/>
        </w:rPr>
        <w:t>onform</w:t>
      </w:r>
      <w:r w:rsidR="00606710">
        <w:rPr>
          <w:rFonts w:ascii="Verdana" w:hAnsi="Verdana"/>
          <w:sz w:val="20"/>
          <w:szCs w:val="20"/>
          <w:lang w:val="es-CR"/>
        </w:rPr>
        <w:t>e a la</w:t>
      </w:r>
      <w:r w:rsidR="002F63BA">
        <w:rPr>
          <w:rFonts w:ascii="Verdana" w:hAnsi="Verdana"/>
          <w:sz w:val="20"/>
          <w:szCs w:val="20"/>
          <w:lang w:val="es-CR"/>
        </w:rPr>
        <w:t xml:space="preserve"> jurisprudencia constante de</w:t>
      </w:r>
      <w:r w:rsidRPr="005F0BFF">
        <w:rPr>
          <w:rFonts w:ascii="Verdana" w:hAnsi="Verdana"/>
          <w:sz w:val="20"/>
          <w:szCs w:val="20"/>
          <w:lang w:val="es-CR"/>
        </w:rPr>
        <w:t xml:space="preserve"> la Corte</w:t>
      </w:r>
      <w:r w:rsidR="002F63BA" w:rsidRPr="002A1142">
        <w:rPr>
          <w:rFonts w:ascii="Verdana" w:hAnsi="Verdana"/>
          <w:sz w:val="20"/>
          <w:szCs w:val="20"/>
          <w:vertAlign w:val="superscript"/>
        </w:rPr>
        <w:footnoteReference w:id="194"/>
      </w:r>
      <w:r w:rsidRPr="005F0BFF">
        <w:rPr>
          <w:rFonts w:ascii="Verdana" w:hAnsi="Verdana"/>
          <w:sz w:val="20"/>
          <w:szCs w:val="20"/>
          <w:lang w:val="es-CR"/>
        </w:rPr>
        <w:t>. Dicha participación deberá tener como finalidad el acceso a la justicia y el conocimiento de la verdad de lo ocurrido.</w:t>
      </w:r>
    </w:p>
    <w:p w14:paraId="6EE55D0F" w14:textId="77777777" w:rsidR="005F0BFF" w:rsidRDefault="005F0BFF" w:rsidP="005F0BFF">
      <w:pPr>
        <w:pStyle w:val="Prrafodelista"/>
        <w:autoSpaceDE w:val="0"/>
        <w:autoSpaceDN w:val="0"/>
        <w:adjustRightInd w:val="0"/>
        <w:spacing w:after="0" w:line="240" w:lineRule="auto"/>
        <w:ind w:left="0"/>
        <w:jc w:val="both"/>
        <w:rPr>
          <w:rFonts w:ascii="Verdana" w:hAnsi="Verdana"/>
          <w:sz w:val="20"/>
          <w:szCs w:val="20"/>
          <w:lang w:val="es-CR"/>
        </w:rPr>
      </w:pPr>
    </w:p>
    <w:p w14:paraId="7030019B" w14:textId="2C3402BB" w:rsidR="005F0BFF" w:rsidRPr="00FF3FAE" w:rsidRDefault="005F0BFF" w:rsidP="005F0BFF">
      <w:pPr>
        <w:pStyle w:val="Ttulo3"/>
        <w:spacing w:before="0"/>
        <w:ind w:left="706"/>
        <w:rPr>
          <w:b w:val="0"/>
          <w:sz w:val="18"/>
          <w:lang w:val="es-CR"/>
        </w:rPr>
      </w:pPr>
      <w:bookmarkStart w:id="78" w:name="_Toc25247788"/>
      <w:r w:rsidRPr="00FF3FAE">
        <w:rPr>
          <w:b w:val="0"/>
          <w:lang w:val="es-CR"/>
        </w:rPr>
        <w:t xml:space="preserve">B.2. </w:t>
      </w:r>
      <w:r w:rsidR="00953DA5">
        <w:rPr>
          <w:b w:val="0"/>
          <w:lang w:val="es-CR"/>
        </w:rPr>
        <w:t>I</w:t>
      </w:r>
      <w:r w:rsidRPr="00FF3FAE">
        <w:rPr>
          <w:b w:val="0"/>
          <w:lang w:val="es-CR"/>
        </w:rPr>
        <w:t>nvestiga</w:t>
      </w:r>
      <w:r w:rsidR="00953DA5">
        <w:rPr>
          <w:b w:val="0"/>
          <w:lang w:val="es-CR"/>
        </w:rPr>
        <w:t>r</w:t>
      </w:r>
      <w:r w:rsidRPr="00FF3FAE">
        <w:rPr>
          <w:b w:val="0"/>
          <w:lang w:val="es-CR"/>
        </w:rPr>
        <w:t>, identifica</w:t>
      </w:r>
      <w:r w:rsidR="00953DA5">
        <w:rPr>
          <w:b w:val="0"/>
          <w:lang w:val="es-CR"/>
        </w:rPr>
        <w:t>r</w:t>
      </w:r>
      <w:r w:rsidRPr="00FF3FAE">
        <w:rPr>
          <w:b w:val="0"/>
          <w:lang w:val="es-CR"/>
        </w:rPr>
        <w:t xml:space="preserve"> y</w:t>
      </w:r>
      <w:r w:rsidR="00953DA5">
        <w:rPr>
          <w:b w:val="0"/>
          <w:lang w:val="es-CR"/>
        </w:rPr>
        <w:t>, en su caso,</w:t>
      </w:r>
      <w:r w:rsidRPr="00FF3FAE">
        <w:rPr>
          <w:b w:val="0"/>
          <w:lang w:val="es-CR"/>
        </w:rPr>
        <w:t xml:space="preserve"> sanci</w:t>
      </w:r>
      <w:r w:rsidR="00953DA5">
        <w:rPr>
          <w:b w:val="0"/>
          <w:lang w:val="es-CR"/>
        </w:rPr>
        <w:t>onar</w:t>
      </w:r>
      <w:r w:rsidRPr="00FF3FAE">
        <w:rPr>
          <w:b w:val="0"/>
          <w:lang w:val="es-CR"/>
        </w:rPr>
        <w:t xml:space="preserve"> </w:t>
      </w:r>
      <w:r w:rsidR="00953DA5">
        <w:rPr>
          <w:b w:val="0"/>
          <w:lang w:val="es-CR"/>
        </w:rPr>
        <w:t>a</w:t>
      </w:r>
      <w:r w:rsidRPr="00FF3FAE">
        <w:rPr>
          <w:b w:val="0"/>
          <w:lang w:val="es-CR"/>
        </w:rPr>
        <w:t xml:space="preserve"> los responsables de </w:t>
      </w:r>
      <w:r w:rsidRPr="00962F49">
        <w:rPr>
          <w:b w:val="0"/>
          <w:lang w:val="es-CR"/>
        </w:rPr>
        <w:t>la tortura que</w:t>
      </w:r>
      <w:r w:rsidRPr="00FF3FAE">
        <w:rPr>
          <w:b w:val="0"/>
          <w:lang w:val="es-CR"/>
        </w:rPr>
        <w:t xml:space="preserve"> sufrió Tirso Román Valenzuela Ávila.</w:t>
      </w:r>
      <w:bookmarkEnd w:id="78"/>
    </w:p>
    <w:p w14:paraId="7CBA8C91" w14:textId="77777777" w:rsidR="005F0BFF" w:rsidRDefault="005F0BFF" w:rsidP="005F0BFF">
      <w:pPr>
        <w:pStyle w:val="Prrafodelista"/>
        <w:autoSpaceDE w:val="0"/>
        <w:autoSpaceDN w:val="0"/>
        <w:adjustRightInd w:val="0"/>
        <w:spacing w:after="0" w:line="240" w:lineRule="auto"/>
        <w:ind w:left="0"/>
        <w:jc w:val="both"/>
        <w:rPr>
          <w:rFonts w:ascii="Verdana" w:hAnsi="Verdana"/>
          <w:sz w:val="20"/>
          <w:szCs w:val="20"/>
          <w:lang w:val="es-CR"/>
        </w:rPr>
      </w:pPr>
    </w:p>
    <w:p w14:paraId="1BAFA139" w14:textId="77777777" w:rsidR="005F0BFF" w:rsidRDefault="00D969DA" w:rsidP="005F0BFF">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5F0BFF">
        <w:rPr>
          <w:rFonts w:ascii="Verdana" w:hAnsi="Verdana"/>
          <w:sz w:val="20"/>
          <w:szCs w:val="20"/>
          <w:lang w:val="es-CR"/>
        </w:rPr>
        <w:t xml:space="preserve">La </w:t>
      </w:r>
      <w:r w:rsidRPr="005F0BFF">
        <w:rPr>
          <w:rFonts w:ascii="Verdana" w:hAnsi="Verdana"/>
          <w:b/>
          <w:i/>
          <w:sz w:val="20"/>
          <w:szCs w:val="20"/>
          <w:lang w:val="es-CR"/>
        </w:rPr>
        <w:t>Comisión</w:t>
      </w:r>
      <w:r w:rsidRPr="005F0BFF">
        <w:rPr>
          <w:rFonts w:ascii="Verdana" w:hAnsi="Verdana"/>
          <w:sz w:val="20"/>
          <w:szCs w:val="20"/>
          <w:lang w:val="es-CR"/>
        </w:rPr>
        <w:t xml:space="preserve"> solicitó que se ordene al Estado investigar los actos de tortura sufridos por el señor Valenzuela Ávila de manera diligente, efectiva y en un plazo razonable con el objeto de esclarecer los hechos en forma completa, identificar a los autores e imponer las sanciones que correspondan. Los </w:t>
      </w:r>
      <w:r w:rsidRPr="005F0BFF">
        <w:rPr>
          <w:rFonts w:ascii="Verdana" w:hAnsi="Verdana"/>
          <w:b/>
          <w:i/>
          <w:sz w:val="20"/>
          <w:szCs w:val="20"/>
          <w:lang w:val="es-CR"/>
        </w:rPr>
        <w:t>representantes</w:t>
      </w:r>
      <w:r w:rsidRPr="005F0BFF">
        <w:rPr>
          <w:rFonts w:ascii="Verdana" w:hAnsi="Verdana"/>
          <w:sz w:val="20"/>
          <w:szCs w:val="20"/>
          <w:lang w:val="es-CR"/>
        </w:rPr>
        <w:t xml:space="preserve"> alegaron que los hechos de tortura nunca fueron investigados, permaneciendo en la impunidad por lo que solicitaron a la Corte ordene al Estado investigar todos los hechos relacionados con las violaciones cometidas.</w:t>
      </w:r>
    </w:p>
    <w:p w14:paraId="3BC8B5A3" w14:textId="77777777" w:rsidR="005F0BFF" w:rsidRDefault="005F0BFF" w:rsidP="005F0BFF">
      <w:pPr>
        <w:pStyle w:val="Prrafodelista"/>
        <w:autoSpaceDE w:val="0"/>
        <w:autoSpaceDN w:val="0"/>
        <w:adjustRightInd w:val="0"/>
        <w:spacing w:after="0" w:line="240" w:lineRule="auto"/>
        <w:ind w:left="0"/>
        <w:jc w:val="both"/>
        <w:rPr>
          <w:rFonts w:ascii="Verdana" w:hAnsi="Verdana"/>
          <w:sz w:val="20"/>
          <w:szCs w:val="20"/>
          <w:lang w:val="es-CR"/>
        </w:rPr>
      </w:pPr>
    </w:p>
    <w:p w14:paraId="1DED1552" w14:textId="77777777" w:rsidR="005F0BFF" w:rsidRDefault="00D969DA" w:rsidP="005F0BFF">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5F0BFF">
        <w:rPr>
          <w:rFonts w:ascii="Verdana" w:hAnsi="Verdana"/>
          <w:sz w:val="20"/>
          <w:szCs w:val="20"/>
          <w:lang w:val="es-CR"/>
        </w:rPr>
        <w:t xml:space="preserve">El </w:t>
      </w:r>
      <w:r w:rsidRPr="005F0BFF">
        <w:rPr>
          <w:rFonts w:ascii="Verdana" w:hAnsi="Verdana"/>
          <w:b/>
          <w:i/>
          <w:sz w:val="20"/>
          <w:szCs w:val="20"/>
          <w:lang w:val="es-CR"/>
        </w:rPr>
        <w:t>Estado</w:t>
      </w:r>
      <w:r w:rsidRPr="005F0BFF">
        <w:rPr>
          <w:rFonts w:ascii="Verdana" w:hAnsi="Verdana"/>
          <w:sz w:val="20"/>
          <w:szCs w:val="20"/>
          <w:lang w:val="es-CR"/>
        </w:rPr>
        <w:t xml:space="preserve"> reconoció su responsabilidad internacional por la omisión a la obligación de investigar de oficio los actos de tortura, además ha aceptado la medida de reparación solicitada respecto a iniciar una investigación por estos hechos, en los términos ya señalados en </w:t>
      </w:r>
      <w:r w:rsidR="003324B7">
        <w:rPr>
          <w:rFonts w:ascii="Verdana" w:hAnsi="Verdana"/>
          <w:sz w:val="20"/>
          <w:szCs w:val="20"/>
          <w:lang w:val="es-CR"/>
        </w:rPr>
        <w:t>el párrafo 19</w:t>
      </w:r>
      <w:r w:rsidRPr="005F0BFF">
        <w:rPr>
          <w:rFonts w:ascii="Verdana" w:hAnsi="Verdana"/>
          <w:sz w:val="20"/>
          <w:szCs w:val="20"/>
          <w:lang w:val="es-CR"/>
        </w:rPr>
        <w:t xml:space="preserve"> de la presente Sentencia.</w:t>
      </w:r>
    </w:p>
    <w:p w14:paraId="2B579BDE" w14:textId="77777777" w:rsidR="003C46E1" w:rsidRPr="005924A6" w:rsidRDefault="003C46E1" w:rsidP="005924A6">
      <w:pPr>
        <w:pStyle w:val="Prrafodelista"/>
        <w:rPr>
          <w:rFonts w:ascii="Verdana" w:hAnsi="Verdana"/>
          <w:sz w:val="20"/>
          <w:szCs w:val="20"/>
          <w:lang w:val="es-CR"/>
        </w:rPr>
      </w:pPr>
    </w:p>
    <w:p w14:paraId="5B036C83" w14:textId="3C3BCB44" w:rsidR="005F0BFF" w:rsidRPr="005924A6" w:rsidRDefault="00D969DA" w:rsidP="005924A6">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5924A6">
        <w:rPr>
          <w:rFonts w:ascii="Verdana" w:hAnsi="Verdana"/>
          <w:sz w:val="20"/>
          <w:szCs w:val="20"/>
          <w:lang w:val="es-CR"/>
        </w:rPr>
        <w:t>En consideración del reconocimiento parcial de responsabilidad internacional del Estado por la omisión de investigar las alegadas torturas sufridas y que habría sufrido el señor Tirso Román Valenzuela Ávila, como se determinó en el apartado correspondiente de la presente Sentencia</w:t>
      </w:r>
      <w:r w:rsidR="00953DA5">
        <w:rPr>
          <w:rFonts w:ascii="Verdana" w:hAnsi="Verdana"/>
          <w:sz w:val="20"/>
          <w:szCs w:val="20"/>
          <w:lang w:val="es-CR"/>
        </w:rPr>
        <w:t xml:space="preserve"> (</w:t>
      </w:r>
      <w:r w:rsidR="00953DA5" w:rsidRPr="000E33CE">
        <w:rPr>
          <w:rFonts w:ascii="Verdana" w:hAnsi="Verdana"/>
          <w:i/>
          <w:sz w:val="20"/>
          <w:szCs w:val="20"/>
          <w:lang w:val="es-CR"/>
        </w:rPr>
        <w:t>supra</w:t>
      </w:r>
      <w:r w:rsidR="00953DA5">
        <w:rPr>
          <w:rFonts w:ascii="Verdana" w:hAnsi="Verdana"/>
          <w:sz w:val="20"/>
          <w:szCs w:val="20"/>
          <w:lang w:val="es-CR"/>
        </w:rPr>
        <w:t xml:space="preserve"> párrs. 22 y 147)</w:t>
      </w:r>
      <w:r w:rsidRPr="005924A6">
        <w:rPr>
          <w:rFonts w:ascii="Verdana" w:hAnsi="Verdana"/>
          <w:sz w:val="20"/>
          <w:szCs w:val="20"/>
          <w:lang w:val="es-CR"/>
        </w:rPr>
        <w:t xml:space="preserve">, la </w:t>
      </w:r>
      <w:r w:rsidRPr="005924A6">
        <w:rPr>
          <w:rFonts w:ascii="Verdana" w:hAnsi="Verdana"/>
          <w:b/>
          <w:i/>
          <w:sz w:val="20"/>
          <w:szCs w:val="20"/>
          <w:lang w:val="es-CR"/>
        </w:rPr>
        <w:t>Corte</w:t>
      </w:r>
      <w:r w:rsidRPr="005924A6">
        <w:rPr>
          <w:rFonts w:ascii="Verdana" w:hAnsi="Verdana"/>
          <w:sz w:val="20"/>
          <w:szCs w:val="20"/>
          <w:lang w:val="es-CR"/>
        </w:rPr>
        <w:t xml:space="preserve"> determina que el Estado debe iniciar, de acuerdo a lo previsto en la legislació</w:t>
      </w:r>
      <w:r w:rsidR="00F43519" w:rsidRPr="005924A6">
        <w:rPr>
          <w:rFonts w:ascii="Verdana" w:hAnsi="Verdana"/>
          <w:sz w:val="20"/>
          <w:szCs w:val="20"/>
          <w:lang w:val="es-CR"/>
        </w:rPr>
        <w:t>n interna, en un plazo no superior a seis meses</w:t>
      </w:r>
      <w:r w:rsidRPr="005924A6">
        <w:rPr>
          <w:rFonts w:ascii="Verdana" w:hAnsi="Verdana"/>
          <w:sz w:val="20"/>
          <w:szCs w:val="20"/>
          <w:lang w:val="es-CR"/>
        </w:rPr>
        <w:t xml:space="preserve">, la referida investigación para esclarecer los hechos alegados, con la debida diligencia y posibilitar la participación de los familiares de la víctima o por medio de sus representantes y el acceso a las actuaciones que se desarrollen. </w:t>
      </w:r>
      <w:r w:rsidR="00665A5E" w:rsidRPr="005924A6">
        <w:rPr>
          <w:rFonts w:ascii="Verdana" w:hAnsi="Verdana"/>
          <w:sz w:val="20"/>
          <w:szCs w:val="20"/>
          <w:lang w:val="es-CR"/>
        </w:rPr>
        <w:t>Este Tribunal recuerda que el Estado tiene la obligación de iniciar de oficio una investigación en todo caso que se tenga noticia de la posible ocurrencia de actos de tortura o tratos crueles, inhumanos o degradantes</w:t>
      </w:r>
      <w:r w:rsidR="00665A5E" w:rsidRPr="005924A6">
        <w:rPr>
          <w:rFonts w:ascii="Verdana" w:hAnsi="Verdana"/>
          <w:sz w:val="20"/>
          <w:szCs w:val="20"/>
          <w:vertAlign w:val="superscript"/>
          <w:lang w:val="es-CR"/>
        </w:rPr>
        <w:footnoteReference w:id="195"/>
      </w:r>
      <w:r w:rsidR="00ED2B13" w:rsidRPr="005924A6">
        <w:rPr>
          <w:rFonts w:ascii="Verdana" w:hAnsi="Verdana"/>
          <w:sz w:val="20"/>
          <w:szCs w:val="20"/>
          <w:lang w:val="es-CR"/>
        </w:rPr>
        <w:t>.</w:t>
      </w:r>
    </w:p>
    <w:p w14:paraId="2D66C7C4" w14:textId="77777777" w:rsidR="003C46E1" w:rsidRDefault="003C46E1" w:rsidP="000879DD">
      <w:pPr>
        <w:pStyle w:val="Prrafodelista"/>
        <w:autoSpaceDE w:val="0"/>
        <w:autoSpaceDN w:val="0"/>
        <w:adjustRightInd w:val="0"/>
        <w:spacing w:after="0" w:line="240" w:lineRule="auto"/>
        <w:ind w:left="0"/>
        <w:jc w:val="both"/>
        <w:rPr>
          <w:rFonts w:ascii="Verdana" w:hAnsi="Verdana"/>
          <w:sz w:val="20"/>
          <w:szCs w:val="20"/>
          <w:lang w:val="es-CR"/>
        </w:rPr>
      </w:pPr>
    </w:p>
    <w:p w14:paraId="39CFF7F5" w14:textId="77777777" w:rsidR="005E422B" w:rsidRDefault="005E422B" w:rsidP="000879DD">
      <w:pPr>
        <w:pStyle w:val="Prrafodelista"/>
        <w:autoSpaceDE w:val="0"/>
        <w:autoSpaceDN w:val="0"/>
        <w:adjustRightInd w:val="0"/>
        <w:spacing w:after="0" w:line="240" w:lineRule="auto"/>
        <w:ind w:left="0"/>
        <w:jc w:val="both"/>
        <w:rPr>
          <w:rFonts w:ascii="Verdana" w:hAnsi="Verdana"/>
          <w:sz w:val="20"/>
          <w:szCs w:val="20"/>
          <w:lang w:val="es-CR"/>
        </w:rPr>
      </w:pPr>
    </w:p>
    <w:p w14:paraId="7A683702" w14:textId="77777777" w:rsidR="005E422B" w:rsidRDefault="005E422B" w:rsidP="000879DD">
      <w:pPr>
        <w:pStyle w:val="Prrafodelista"/>
        <w:autoSpaceDE w:val="0"/>
        <w:autoSpaceDN w:val="0"/>
        <w:adjustRightInd w:val="0"/>
        <w:spacing w:after="0" w:line="240" w:lineRule="auto"/>
        <w:ind w:left="0"/>
        <w:jc w:val="both"/>
        <w:rPr>
          <w:rFonts w:ascii="Verdana" w:hAnsi="Verdana"/>
          <w:sz w:val="20"/>
          <w:szCs w:val="20"/>
          <w:lang w:val="es-CR"/>
        </w:rPr>
      </w:pPr>
    </w:p>
    <w:p w14:paraId="0B135319" w14:textId="77777777" w:rsidR="005E422B" w:rsidRDefault="005E422B" w:rsidP="000879DD">
      <w:pPr>
        <w:pStyle w:val="Prrafodelista"/>
        <w:autoSpaceDE w:val="0"/>
        <w:autoSpaceDN w:val="0"/>
        <w:adjustRightInd w:val="0"/>
        <w:spacing w:after="0" w:line="240" w:lineRule="auto"/>
        <w:ind w:left="0"/>
        <w:jc w:val="both"/>
        <w:rPr>
          <w:rFonts w:ascii="Verdana" w:hAnsi="Verdana"/>
          <w:sz w:val="20"/>
          <w:szCs w:val="20"/>
          <w:lang w:val="es-CR"/>
        </w:rPr>
      </w:pPr>
    </w:p>
    <w:p w14:paraId="7F6793DC" w14:textId="77777777" w:rsidR="005E422B" w:rsidRPr="00B74AAE" w:rsidRDefault="005E422B" w:rsidP="000879DD">
      <w:pPr>
        <w:pStyle w:val="Prrafodelista"/>
        <w:autoSpaceDE w:val="0"/>
        <w:autoSpaceDN w:val="0"/>
        <w:adjustRightInd w:val="0"/>
        <w:spacing w:after="0" w:line="240" w:lineRule="auto"/>
        <w:ind w:left="0"/>
        <w:jc w:val="both"/>
        <w:rPr>
          <w:rFonts w:ascii="Verdana" w:hAnsi="Verdana"/>
          <w:sz w:val="20"/>
          <w:szCs w:val="20"/>
          <w:lang w:val="es-CR"/>
        </w:rPr>
      </w:pPr>
    </w:p>
    <w:p w14:paraId="5B0A6C70" w14:textId="77777777" w:rsidR="005F0BFF" w:rsidRDefault="005F0BFF" w:rsidP="005F0BFF">
      <w:pPr>
        <w:pStyle w:val="Ttulo2"/>
        <w:spacing w:before="0"/>
        <w:rPr>
          <w:lang w:val="es-CR"/>
        </w:rPr>
      </w:pPr>
      <w:bookmarkStart w:id="79" w:name="_Toc25247789"/>
      <w:r w:rsidRPr="00E27DE4">
        <w:rPr>
          <w:lang w:val="es-CR"/>
        </w:rPr>
        <w:lastRenderedPageBreak/>
        <w:t>C. Medidas de satisfacción</w:t>
      </w:r>
      <w:bookmarkEnd w:id="79"/>
      <w:r w:rsidRPr="00E27DE4">
        <w:rPr>
          <w:lang w:val="es-CR"/>
        </w:rPr>
        <w:t xml:space="preserve"> </w:t>
      </w:r>
    </w:p>
    <w:p w14:paraId="39EEF468" w14:textId="77777777" w:rsidR="005F0BFF" w:rsidRPr="0088639B" w:rsidRDefault="005F0BFF" w:rsidP="005F0BFF">
      <w:pPr>
        <w:spacing w:after="0"/>
        <w:rPr>
          <w:lang w:val="es-CR"/>
        </w:rPr>
      </w:pPr>
    </w:p>
    <w:p w14:paraId="1F230CF4" w14:textId="77777777" w:rsidR="005F0BFF" w:rsidRPr="00FF3FAE" w:rsidRDefault="005F0BFF" w:rsidP="005F0BFF">
      <w:pPr>
        <w:pStyle w:val="Ttulo3"/>
        <w:spacing w:before="0"/>
        <w:ind w:left="706"/>
        <w:rPr>
          <w:b w:val="0"/>
          <w:lang w:val="es-CR"/>
        </w:rPr>
      </w:pPr>
      <w:bookmarkStart w:id="80" w:name="_Toc25247790"/>
      <w:r w:rsidRPr="00FF3FAE">
        <w:rPr>
          <w:b w:val="0"/>
          <w:lang w:val="es-CR"/>
        </w:rPr>
        <w:t>a) Publicación de la sentencia</w:t>
      </w:r>
      <w:bookmarkEnd w:id="80"/>
      <w:r w:rsidRPr="00FF3FAE">
        <w:rPr>
          <w:b w:val="0"/>
          <w:lang w:val="es-CR"/>
        </w:rPr>
        <w:t xml:space="preserve"> </w:t>
      </w:r>
    </w:p>
    <w:p w14:paraId="1EB4B7F2" w14:textId="77777777" w:rsidR="005F0BFF" w:rsidRPr="005F0BFF" w:rsidRDefault="005F0BFF" w:rsidP="005F0BFF">
      <w:pPr>
        <w:pStyle w:val="Prrafodelista"/>
        <w:rPr>
          <w:rFonts w:ascii="Verdana" w:hAnsi="Verdana"/>
          <w:sz w:val="20"/>
          <w:szCs w:val="20"/>
          <w:lang w:val="es-CR"/>
        </w:rPr>
      </w:pPr>
    </w:p>
    <w:p w14:paraId="16018773" w14:textId="13A58E6A" w:rsidR="005F0BFF" w:rsidRDefault="00D969DA" w:rsidP="005F0BFF">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5F0BFF">
        <w:rPr>
          <w:rFonts w:ascii="Verdana" w:hAnsi="Verdana"/>
          <w:sz w:val="20"/>
          <w:szCs w:val="20"/>
          <w:lang w:val="es-CR"/>
        </w:rPr>
        <w:t xml:space="preserve">Los </w:t>
      </w:r>
      <w:r w:rsidRPr="005F0BFF">
        <w:rPr>
          <w:rFonts w:ascii="Verdana" w:hAnsi="Verdana"/>
          <w:b/>
          <w:i/>
          <w:sz w:val="20"/>
          <w:szCs w:val="20"/>
          <w:lang w:val="es-CR"/>
        </w:rPr>
        <w:t>representantes</w:t>
      </w:r>
      <w:r w:rsidRPr="005F0BFF">
        <w:rPr>
          <w:rFonts w:ascii="Verdana" w:hAnsi="Verdana"/>
          <w:sz w:val="20"/>
          <w:szCs w:val="20"/>
          <w:lang w:val="es-CR"/>
        </w:rPr>
        <w:t xml:space="preserve"> solicitaron a la Corte que ordene al Estado: i) llevar a cabo un acto de reconocimiento de responsabilidad ante la familia de la víctima, en el cual acepte expresamente que el señor Tirso Román Valenzuela Ávila fue torturado y ejecutado por agentes del Estado en el marco de un plan criminal dirigido a la mal llamada “limpieza social selectiva”, este acto se realice por escrito, e incluya una petición de perdón a las familiares de la víctima, e </w:t>
      </w:r>
      <w:proofErr w:type="spellStart"/>
      <w:r w:rsidRPr="005F0BFF">
        <w:rPr>
          <w:rFonts w:ascii="Verdana" w:hAnsi="Verdana"/>
          <w:sz w:val="20"/>
          <w:szCs w:val="20"/>
          <w:lang w:val="es-CR"/>
        </w:rPr>
        <w:t>ii</w:t>
      </w:r>
      <w:proofErr w:type="spellEnd"/>
      <w:r w:rsidRPr="005F0BFF">
        <w:rPr>
          <w:rFonts w:ascii="Verdana" w:hAnsi="Verdana"/>
          <w:sz w:val="20"/>
          <w:szCs w:val="20"/>
          <w:lang w:val="es-CR"/>
        </w:rPr>
        <w:t>) inst</w:t>
      </w:r>
      <w:r w:rsidR="00953DA5">
        <w:rPr>
          <w:rFonts w:ascii="Verdana" w:hAnsi="Verdana"/>
          <w:sz w:val="20"/>
          <w:szCs w:val="20"/>
          <w:lang w:val="es-CR"/>
        </w:rPr>
        <w:t>ar</w:t>
      </w:r>
      <w:r w:rsidRPr="005F0BFF">
        <w:rPr>
          <w:rFonts w:ascii="Verdana" w:hAnsi="Verdana"/>
          <w:sz w:val="20"/>
          <w:szCs w:val="20"/>
          <w:lang w:val="es-CR"/>
        </w:rPr>
        <w:t xml:space="preserve"> al Estado a que garantice que la sentencia sea publicada en el diario de mayor circulación nacional, y el acceso a la misma quede disponible en la página web del Ministerio de Relaciones Exteriores de Guatemala, la Comisión Presidencial Coordinadora de la Política del Ejecutivo en Materia de Derechos Humanos (COPREDEH), de la Policía Nacional Civil, del Ministerio de Gobernaci</w:t>
      </w:r>
      <w:r w:rsidR="0006692D" w:rsidRPr="005F0BFF">
        <w:rPr>
          <w:rFonts w:ascii="Verdana" w:hAnsi="Verdana"/>
          <w:sz w:val="20"/>
          <w:szCs w:val="20"/>
          <w:lang w:val="es-CR"/>
        </w:rPr>
        <w:t>ón y del Sistema Penitenciario.</w:t>
      </w:r>
      <w:r w:rsidRPr="005F0BFF">
        <w:rPr>
          <w:rFonts w:ascii="Verdana" w:hAnsi="Verdana"/>
          <w:sz w:val="20"/>
          <w:szCs w:val="20"/>
          <w:lang w:val="es-CR"/>
        </w:rPr>
        <w:t xml:space="preserve"> La </w:t>
      </w:r>
      <w:r w:rsidRPr="00A2282C">
        <w:rPr>
          <w:rFonts w:ascii="Verdana" w:hAnsi="Verdana"/>
          <w:b/>
          <w:i/>
          <w:sz w:val="20"/>
          <w:szCs w:val="20"/>
          <w:lang w:val="es-CR"/>
        </w:rPr>
        <w:t>Comisión</w:t>
      </w:r>
      <w:r w:rsidRPr="005F0BFF">
        <w:rPr>
          <w:rFonts w:ascii="Verdana" w:hAnsi="Verdana"/>
          <w:sz w:val="20"/>
          <w:szCs w:val="20"/>
          <w:lang w:val="es-CR"/>
        </w:rPr>
        <w:t xml:space="preserve"> y el </w:t>
      </w:r>
      <w:r w:rsidRPr="00A2282C">
        <w:rPr>
          <w:rFonts w:ascii="Verdana" w:hAnsi="Verdana"/>
          <w:b/>
          <w:i/>
          <w:sz w:val="20"/>
          <w:szCs w:val="20"/>
          <w:lang w:val="es-CR"/>
        </w:rPr>
        <w:t>Estado</w:t>
      </w:r>
      <w:r w:rsidRPr="005F0BFF">
        <w:rPr>
          <w:rFonts w:ascii="Verdana" w:hAnsi="Verdana"/>
          <w:sz w:val="20"/>
          <w:szCs w:val="20"/>
          <w:lang w:val="es-CR"/>
        </w:rPr>
        <w:t xml:space="preserve"> no se han pronunciado sobre esta solicitud.</w:t>
      </w:r>
    </w:p>
    <w:p w14:paraId="53B5F3A9" w14:textId="77777777" w:rsidR="005F0BFF" w:rsidRDefault="005F0BFF" w:rsidP="005F0BFF">
      <w:pPr>
        <w:pStyle w:val="Prrafodelista"/>
        <w:autoSpaceDE w:val="0"/>
        <w:autoSpaceDN w:val="0"/>
        <w:adjustRightInd w:val="0"/>
        <w:spacing w:after="0" w:line="240" w:lineRule="auto"/>
        <w:ind w:left="0"/>
        <w:jc w:val="both"/>
        <w:rPr>
          <w:rFonts w:ascii="Verdana" w:hAnsi="Verdana"/>
          <w:sz w:val="20"/>
          <w:szCs w:val="20"/>
          <w:lang w:val="es-CR"/>
        </w:rPr>
      </w:pPr>
    </w:p>
    <w:p w14:paraId="06516CAB" w14:textId="1F88AFF8" w:rsidR="003324B7" w:rsidRDefault="00D969DA" w:rsidP="005F0BFF">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5F0BFF">
        <w:rPr>
          <w:rFonts w:ascii="Verdana" w:hAnsi="Verdana"/>
          <w:sz w:val="20"/>
          <w:szCs w:val="20"/>
          <w:lang w:val="es-CR"/>
        </w:rPr>
        <w:t xml:space="preserve">La </w:t>
      </w:r>
      <w:r w:rsidRPr="005F0BFF">
        <w:rPr>
          <w:rFonts w:ascii="Verdana" w:hAnsi="Verdana"/>
          <w:b/>
          <w:i/>
          <w:sz w:val="20"/>
          <w:szCs w:val="20"/>
          <w:lang w:val="es-CR"/>
        </w:rPr>
        <w:t xml:space="preserve">Corte </w:t>
      </w:r>
      <w:r w:rsidRPr="005F0BFF">
        <w:rPr>
          <w:rFonts w:ascii="Verdana" w:hAnsi="Verdana"/>
          <w:sz w:val="20"/>
          <w:szCs w:val="20"/>
          <w:lang w:val="es-CR"/>
        </w:rPr>
        <w:t>dispone, como lo ha hecho en otros casos</w:t>
      </w:r>
      <w:r w:rsidRPr="000D5C6D">
        <w:rPr>
          <w:rFonts w:ascii="Verdana" w:hAnsi="Verdana"/>
          <w:sz w:val="20"/>
          <w:szCs w:val="20"/>
          <w:vertAlign w:val="superscript"/>
          <w:lang w:val="es-CR"/>
        </w:rPr>
        <w:footnoteReference w:id="196"/>
      </w:r>
      <w:r w:rsidRPr="005F0BFF">
        <w:rPr>
          <w:rFonts w:ascii="Verdana" w:hAnsi="Verdana"/>
          <w:sz w:val="20"/>
          <w:szCs w:val="20"/>
          <w:lang w:val="es-CR"/>
        </w:rPr>
        <w:t xml:space="preserve">, que el Estado publique, en un plazo de seis meses, contado a partir de la notificación de la presente Sentencia: a) el resumen oficial de la presente Sentencia elaborado por la Corte, por una sola vez, en un diario de amplia circulación nacional y en el diario oficial en un tamaño de letra legible y adecuado, y b) la presente Sentencia en su integridad, disponible al menos por un período de un año, en el sitio </w:t>
      </w:r>
      <w:r w:rsidRPr="005F0BFF">
        <w:rPr>
          <w:rFonts w:ascii="Verdana" w:hAnsi="Verdana"/>
          <w:i/>
          <w:sz w:val="20"/>
          <w:szCs w:val="20"/>
          <w:lang w:val="es-CR"/>
        </w:rPr>
        <w:t>web</w:t>
      </w:r>
      <w:r w:rsidRPr="005F0BFF">
        <w:rPr>
          <w:rFonts w:ascii="Verdana" w:hAnsi="Verdana"/>
          <w:sz w:val="20"/>
          <w:szCs w:val="20"/>
          <w:lang w:val="es-CR"/>
        </w:rPr>
        <w:t xml:space="preserve"> oficial</w:t>
      </w:r>
      <w:r w:rsidR="00953DA5">
        <w:rPr>
          <w:rFonts w:ascii="Verdana" w:hAnsi="Verdana"/>
          <w:sz w:val="20"/>
          <w:szCs w:val="20"/>
          <w:lang w:val="es-CR"/>
        </w:rPr>
        <w:t>, de manera accesible al público</w:t>
      </w:r>
      <w:r w:rsidR="00953DA5" w:rsidRPr="005F0BFF">
        <w:rPr>
          <w:rFonts w:ascii="Verdana" w:hAnsi="Verdana"/>
          <w:sz w:val="20"/>
          <w:szCs w:val="20"/>
          <w:lang w:val="es-CR"/>
        </w:rPr>
        <w:t xml:space="preserve"> </w:t>
      </w:r>
    </w:p>
    <w:p w14:paraId="7CC2A087" w14:textId="77777777" w:rsidR="003324B7" w:rsidRPr="0060326C" w:rsidRDefault="003324B7" w:rsidP="0060326C">
      <w:pPr>
        <w:pStyle w:val="Prrafodelista"/>
        <w:rPr>
          <w:rFonts w:ascii="Verdana" w:hAnsi="Verdana"/>
          <w:sz w:val="20"/>
          <w:szCs w:val="20"/>
          <w:lang w:val="es-CR"/>
        </w:rPr>
      </w:pPr>
    </w:p>
    <w:p w14:paraId="51955507" w14:textId="732B325F" w:rsidR="005F0BFF" w:rsidRDefault="00D969DA" w:rsidP="005F0BFF">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5F0BFF">
        <w:rPr>
          <w:rFonts w:ascii="Verdana" w:hAnsi="Verdana"/>
          <w:sz w:val="20"/>
          <w:szCs w:val="20"/>
          <w:lang w:val="es-CR"/>
        </w:rPr>
        <w:t xml:space="preserve">El Estado deberá informar de forma inmediata a este Tribunal una vez que proceda a realizar cada una de las publicaciones dispuestas, independientemente del plazo de un año para presentar su primer informe dispuesto en el punto </w:t>
      </w:r>
      <w:r w:rsidRPr="005A4456">
        <w:rPr>
          <w:rFonts w:ascii="Verdana" w:hAnsi="Verdana"/>
          <w:sz w:val="20"/>
          <w:szCs w:val="20"/>
          <w:lang w:val="es-CR"/>
        </w:rPr>
        <w:t xml:space="preserve">resolutivo </w:t>
      </w:r>
      <w:r w:rsidR="007F46A5" w:rsidRPr="005A4456">
        <w:rPr>
          <w:rFonts w:ascii="Verdana" w:hAnsi="Verdana"/>
          <w:sz w:val="20"/>
          <w:szCs w:val="20"/>
          <w:lang w:val="es-CR"/>
        </w:rPr>
        <w:t>17</w:t>
      </w:r>
      <w:r w:rsidR="00E277F8" w:rsidRPr="005F0BFF">
        <w:rPr>
          <w:rFonts w:ascii="Verdana" w:hAnsi="Verdana"/>
          <w:sz w:val="20"/>
          <w:szCs w:val="20"/>
          <w:lang w:val="es-CR"/>
        </w:rPr>
        <w:t xml:space="preserve"> </w:t>
      </w:r>
      <w:r w:rsidRPr="005F0BFF">
        <w:rPr>
          <w:rFonts w:ascii="Verdana" w:hAnsi="Verdana"/>
          <w:sz w:val="20"/>
          <w:szCs w:val="20"/>
          <w:lang w:val="es-CR"/>
        </w:rPr>
        <w:t>de la presente Sentencia.</w:t>
      </w:r>
    </w:p>
    <w:p w14:paraId="68EBBC4A" w14:textId="77777777" w:rsidR="005F0BFF" w:rsidRPr="005F0BFF" w:rsidRDefault="005F0BFF" w:rsidP="00AB7444">
      <w:pPr>
        <w:pStyle w:val="Prrafodelista"/>
        <w:autoSpaceDE w:val="0"/>
        <w:autoSpaceDN w:val="0"/>
        <w:adjustRightInd w:val="0"/>
        <w:spacing w:after="0" w:line="240" w:lineRule="auto"/>
        <w:ind w:left="0"/>
        <w:jc w:val="center"/>
        <w:rPr>
          <w:rFonts w:ascii="Verdana" w:hAnsi="Verdana"/>
          <w:sz w:val="20"/>
          <w:szCs w:val="20"/>
          <w:lang w:val="es-CR"/>
        </w:rPr>
      </w:pPr>
    </w:p>
    <w:p w14:paraId="36A35F6A" w14:textId="77777777" w:rsidR="005F0BFF" w:rsidRPr="00FF3FAE" w:rsidRDefault="005F0BFF" w:rsidP="005F0BFF">
      <w:pPr>
        <w:pStyle w:val="Ttulo3"/>
        <w:spacing w:before="0"/>
        <w:ind w:left="706"/>
        <w:rPr>
          <w:b w:val="0"/>
          <w:lang w:val="es-CR"/>
        </w:rPr>
      </w:pPr>
      <w:bookmarkStart w:id="81" w:name="_Toc25247791"/>
      <w:r w:rsidRPr="00FF3FAE">
        <w:rPr>
          <w:b w:val="0"/>
          <w:lang w:val="es-CR"/>
        </w:rPr>
        <w:t>b) Traslado de los restos de Tirso Román Valenzuela Ávila al cementerio de la aldea Caballo Blanco, departamento de Retalhuleu.</w:t>
      </w:r>
      <w:bookmarkEnd w:id="81"/>
    </w:p>
    <w:p w14:paraId="34903B01" w14:textId="77777777" w:rsidR="005F0BFF" w:rsidRPr="005F0BFF" w:rsidRDefault="005F0BFF" w:rsidP="005F0BFF">
      <w:pPr>
        <w:pStyle w:val="Prrafodelista"/>
        <w:rPr>
          <w:rFonts w:ascii="Verdana" w:hAnsi="Verdana"/>
          <w:sz w:val="20"/>
          <w:szCs w:val="20"/>
          <w:lang w:val="es-CR"/>
        </w:rPr>
      </w:pPr>
    </w:p>
    <w:p w14:paraId="1C345282" w14:textId="77777777" w:rsidR="005F0BFF" w:rsidRPr="005F0BFF" w:rsidRDefault="00D969DA" w:rsidP="005F0BFF">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5F0BFF">
        <w:rPr>
          <w:rFonts w:ascii="Verdana" w:hAnsi="Verdana"/>
          <w:sz w:val="20"/>
          <w:szCs w:val="20"/>
          <w:lang w:val="es-CR"/>
        </w:rPr>
        <w:t>Los</w:t>
      </w:r>
      <w:r w:rsidRPr="005F0BFF">
        <w:rPr>
          <w:rFonts w:ascii="Verdana" w:hAnsi="Verdana"/>
          <w:i/>
          <w:sz w:val="20"/>
          <w:szCs w:val="20"/>
          <w:lang w:val="es-CR"/>
        </w:rPr>
        <w:t xml:space="preserve"> </w:t>
      </w:r>
      <w:r w:rsidRPr="005F0BFF">
        <w:rPr>
          <w:rFonts w:ascii="Verdana" w:hAnsi="Verdana"/>
          <w:b/>
          <w:i/>
          <w:sz w:val="20"/>
          <w:szCs w:val="20"/>
          <w:lang w:val="es-CR"/>
        </w:rPr>
        <w:t>representantes</w:t>
      </w:r>
      <w:r w:rsidRPr="005F0BFF">
        <w:rPr>
          <w:rFonts w:ascii="Verdana" w:hAnsi="Verdana"/>
          <w:b/>
          <w:sz w:val="20"/>
          <w:szCs w:val="20"/>
          <w:lang w:val="es-CR"/>
        </w:rPr>
        <w:t xml:space="preserve"> </w:t>
      </w:r>
      <w:r w:rsidRPr="005F0BFF">
        <w:rPr>
          <w:rFonts w:ascii="Verdana" w:hAnsi="Verdana"/>
          <w:sz w:val="20"/>
          <w:szCs w:val="20"/>
          <w:lang w:val="es-CR"/>
        </w:rPr>
        <w:t>solicitaron a la Corte que ordene al Estado el traslado de los restos de Tirso Román Valenzuela Ávila del cementerio de la Gomera, Escuintla al cementerio de la aldea de Caballo Blanco en el departamento de Retalhuleu, para que se puedan realizar las honras fúnebres, cuyos gastos deberán ser pagados por el Estado.</w:t>
      </w:r>
    </w:p>
    <w:p w14:paraId="1E4E0119" w14:textId="77777777" w:rsidR="005F0BFF" w:rsidRDefault="005F0BFF" w:rsidP="005F0BFF">
      <w:pPr>
        <w:pStyle w:val="Prrafodelista"/>
        <w:autoSpaceDE w:val="0"/>
        <w:autoSpaceDN w:val="0"/>
        <w:adjustRightInd w:val="0"/>
        <w:spacing w:after="0" w:line="240" w:lineRule="auto"/>
        <w:ind w:left="0"/>
        <w:jc w:val="both"/>
        <w:rPr>
          <w:rFonts w:ascii="Verdana" w:hAnsi="Verdana"/>
          <w:sz w:val="20"/>
          <w:szCs w:val="20"/>
          <w:lang w:val="es-CR"/>
        </w:rPr>
      </w:pPr>
    </w:p>
    <w:p w14:paraId="318CD494" w14:textId="0384D990" w:rsidR="005F0BFF" w:rsidRPr="00052CDB" w:rsidRDefault="00D969DA" w:rsidP="005F0BFF">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052CDB">
        <w:rPr>
          <w:rFonts w:ascii="Verdana" w:hAnsi="Verdana"/>
          <w:sz w:val="20"/>
          <w:szCs w:val="20"/>
          <w:lang w:val="es-CR"/>
        </w:rPr>
        <w:t xml:space="preserve">El </w:t>
      </w:r>
      <w:r w:rsidRPr="00052CDB">
        <w:rPr>
          <w:rFonts w:ascii="Verdana" w:hAnsi="Verdana"/>
          <w:b/>
          <w:i/>
          <w:sz w:val="20"/>
          <w:szCs w:val="20"/>
          <w:lang w:val="es-CR"/>
        </w:rPr>
        <w:t>Estado</w:t>
      </w:r>
      <w:r w:rsidRPr="00052CDB">
        <w:rPr>
          <w:rFonts w:ascii="Verdana" w:hAnsi="Verdana"/>
          <w:sz w:val="20"/>
          <w:szCs w:val="20"/>
          <w:lang w:val="es-CR"/>
        </w:rPr>
        <w:t xml:space="preserve"> en audiencia pública aceptó la solicitud de realizar las gestiones pertinentes para que los restos del señor Tirso Román Valenzuela Ávila puedan ser trasladados al lugar solicitado por sus familiares, y en los alegatos finales escritos, señal</w:t>
      </w:r>
      <w:r w:rsidR="00953DA5" w:rsidRPr="00052CDB">
        <w:rPr>
          <w:rFonts w:ascii="Verdana" w:hAnsi="Verdana"/>
          <w:sz w:val="20"/>
          <w:szCs w:val="20"/>
          <w:lang w:val="es-CR"/>
        </w:rPr>
        <w:t>ó</w:t>
      </w:r>
      <w:r w:rsidRPr="00052CDB">
        <w:rPr>
          <w:rFonts w:ascii="Verdana" w:hAnsi="Verdana"/>
          <w:sz w:val="20"/>
          <w:szCs w:val="20"/>
          <w:lang w:val="es-CR"/>
        </w:rPr>
        <w:t xml:space="preserve"> que “ha manifestado y reiterado en distintos momentos, su disponibilidad para colaborar con la familia del señor Tirso Román Valenzuela Ávila en la exhumación y traslado de sus restos, siempre que presenten una solicitud formal”. Lo anterior, según el Estado </w:t>
      </w:r>
      <w:r w:rsidR="00953DA5" w:rsidRPr="00E74A24">
        <w:rPr>
          <w:rFonts w:ascii="Verdana" w:hAnsi="Verdana"/>
          <w:sz w:val="20"/>
          <w:szCs w:val="20"/>
          <w:lang w:val="es-CR"/>
        </w:rPr>
        <w:t>“</w:t>
      </w:r>
      <w:r w:rsidR="00052CDB">
        <w:rPr>
          <w:rFonts w:ascii="Verdana" w:hAnsi="Verdana"/>
          <w:sz w:val="20"/>
          <w:szCs w:val="20"/>
          <w:lang w:val="es-CR"/>
        </w:rPr>
        <w:t xml:space="preserve">no les </w:t>
      </w:r>
      <w:r w:rsidRPr="00E74A24">
        <w:rPr>
          <w:rFonts w:ascii="Verdana" w:hAnsi="Verdana"/>
          <w:sz w:val="20"/>
          <w:szCs w:val="20"/>
          <w:lang w:val="es-CR"/>
        </w:rPr>
        <w:t xml:space="preserve">fue comunicado oportunamente </w:t>
      </w:r>
      <w:r w:rsidR="00052CDB">
        <w:rPr>
          <w:rFonts w:ascii="Verdana" w:hAnsi="Verdana"/>
          <w:sz w:val="20"/>
          <w:szCs w:val="20"/>
          <w:lang w:val="es-CR"/>
        </w:rPr>
        <w:t>por</w:t>
      </w:r>
      <w:r w:rsidR="00052CDB" w:rsidRPr="00E74A24">
        <w:rPr>
          <w:rFonts w:ascii="Verdana" w:hAnsi="Verdana"/>
          <w:sz w:val="20"/>
          <w:szCs w:val="20"/>
          <w:lang w:val="es-CR"/>
        </w:rPr>
        <w:t xml:space="preserve"> </w:t>
      </w:r>
      <w:r w:rsidRPr="00E74A24">
        <w:rPr>
          <w:rFonts w:ascii="Verdana" w:hAnsi="Verdana"/>
          <w:sz w:val="20"/>
          <w:szCs w:val="20"/>
          <w:lang w:val="es-CR"/>
        </w:rPr>
        <w:t xml:space="preserve">los representantes, provocando la innecesaria prolongación de una situación dolorosa que es, según lo establecido en </w:t>
      </w:r>
      <w:proofErr w:type="gramStart"/>
      <w:r w:rsidRPr="00E74A24">
        <w:rPr>
          <w:rFonts w:ascii="Verdana" w:hAnsi="Verdana"/>
          <w:sz w:val="20"/>
          <w:szCs w:val="20"/>
          <w:lang w:val="es-CR"/>
        </w:rPr>
        <w:t>la declaraciones rendidas</w:t>
      </w:r>
      <w:proofErr w:type="gramEnd"/>
      <w:r w:rsidRPr="00E74A24">
        <w:rPr>
          <w:rFonts w:ascii="Verdana" w:hAnsi="Verdana"/>
          <w:sz w:val="20"/>
          <w:szCs w:val="20"/>
          <w:lang w:val="es-CR"/>
        </w:rPr>
        <w:t xml:space="preserve"> por los mismos familiares del señor Valenzuela Ávila, uno de los motivos por los cuales </w:t>
      </w:r>
      <w:proofErr w:type="spellStart"/>
      <w:r w:rsidRPr="00E74A24">
        <w:rPr>
          <w:rFonts w:ascii="Verdana" w:hAnsi="Verdana"/>
          <w:sz w:val="20"/>
          <w:szCs w:val="20"/>
          <w:lang w:val="es-CR"/>
        </w:rPr>
        <w:t>acudi</w:t>
      </w:r>
      <w:proofErr w:type="spellEnd"/>
      <w:r w:rsidRPr="00E74A24">
        <w:rPr>
          <w:rFonts w:ascii="Verdana" w:hAnsi="Verdana"/>
          <w:sz w:val="20"/>
          <w:szCs w:val="20"/>
          <w:lang w:val="es-CR"/>
        </w:rPr>
        <w:t>[</w:t>
      </w:r>
      <w:proofErr w:type="spellStart"/>
      <w:r w:rsidRPr="00E74A24">
        <w:rPr>
          <w:rFonts w:ascii="Verdana" w:hAnsi="Verdana"/>
          <w:sz w:val="20"/>
          <w:szCs w:val="20"/>
          <w:lang w:val="es-CR"/>
        </w:rPr>
        <w:t>eron</w:t>
      </w:r>
      <w:proofErr w:type="spellEnd"/>
      <w:r w:rsidRPr="00E74A24">
        <w:rPr>
          <w:rFonts w:ascii="Verdana" w:hAnsi="Verdana"/>
          <w:sz w:val="20"/>
          <w:szCs w:val="20"/>
          <w:lang w:val="es-CR"/>
        </w:rPr>
        <w:t>] a la […] Corte</w:t>
      </w:r>
      <w:r w:rsidR="00953DA5" w:rsidRPr="00E74A24">
        <w:rPr>
          <w:rFonts w:ascii="Verdana" w:hAnsi="Verdana"/>
          <w:sz w:val="20"/>
          <w:szCs w:val="20"/>
          <w:lang w:val="es-CR"/>
        </w:rPr>
        <w:t>”</w:t>
      </w:r>
      <w:r w:rsidRPr="00E74A24">
        <w:rPr>
          <w:rFonts w:ascii="Verdana" w:hAnsi="Verdana"/>
          <w:sz w:val="20"/>
          <w:szCs w:val="20"/>
          <w:lang w:val="es-CR"/>
        </w:rPr>
        <w:t>.</w:t>
      </w:r>
      <w:r w:rsidRPr="00052CDB">
        <w:rPr>
          <w:rFonts w:ascii="Verdana" w:hAnsi="Verdana"/>
          <w:sz w:val="20"/>
          <w:szCs w:val="20"/>
          <w:lang w:val="es-CR"/>
        </w:rPr>
        <w:t xml:space="preserve"> </w:t>
      </w:r>
    </w:p>
    <w:p w14:paraId="02C409F6" w14:textId="77777777" w:rsidR="005F0BFF" w:rsidRPr="005F0BFF" w:rsidRDefault="005F0BFF" w:rsidP="005F0BFF">
      <w:pPr>
        <w:pStyle w:val="Prrafodelista"/>
        <w:rPr>
          <w:rFonts w:ascii="Verdana" w:hAnsi="Verdana"/>
          <w:sz w:val="20"/>
          <w:szCs w:val="20"/>
          <w:lang w:val="es-CR"/>
        </w:rPr>
      </w:pPr>
    </w:p>
    <w:p w14:paraId="35BECDD4" w14:textId="5929F57F" w:rsidR="005F0BFF" w:rsidRDefault="00D969DA" w:rsidP="005F0BFF">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5F0BFF">
        <w:rPr>
          <w:rFonts w:ascii="Verdana" w:hAnsi="Verdana"/>
          <w:sz w:val="20"/>
          <w:szCs w:val="20"/>
          <w:lang w:val="es-CR"/>
        </w:rPr>
        <w:t xml:space="preserve">La </w:t>
      </w:r>
      <w:r w:rsidRPr="005F0BFF">
        <w:rPr>
          <w:rFonts w:ascii="Verdana" w:hAnsi="Verdana"/>
          <w:b/>
          <w:i/>
          <w:sz w:val="20"/>
          <w:szCs w:val="20"/>
          <w:lang w:val="es-CR"/>
        </w:rPr>
        <w:t xml:space="preserve">Corte </w:t>
      </w:r>
      <w:r w:rsidRPr="005F0BFF">
        <w:rPr>
          <w:rFonts w:ascii="Verdana" w:hAnsi="Verdana"/>
          <w:sz w:val="20"/>
          <w:szCs w:val="20"/>
          <w:lang w:val="es-CR"/>
        </w:rPr>
        <w:t xml:space="preserve">valora positivamente que el Estado tenga su disponibilidad para exhumar y </w:t>
      </w:r>
      <w:proofErr w:type="gramStart"/>
      <w:r w:rsidR="00953DA5">
        <w:rPr>
          <w:rFonts w:ascii="Verdana" w:hAnsi="Verdana"/>
          <w:sz w:val="20"/>
          <w:szCs w:val="20"/>
          <w:lang w:val="es-CR"/>
        </w:rPr>
        <w:t xml:space="preserve">trasladar </w:t>
      </w:r>
      <w:r w:rsidRPr="005F0BFF">
        <w:rPr>
          <w:rFonts w:ascii="Verdana" w:hAnsi="Verdana"/>
          <w:sz w:val="20"/>
          <w:szCs w:val="20"/>
          <w:lang w:val="es-CR"/>
        </w:rPr>
        <w:t xml:space="preserve"> los</w:t>
      </w:r>
      <w:proofErr w:type="gramEnd"/>
      <w:r w:rsidRPr="005F0BFF">
        <w:rPr>
          <w:rFonts w:ascii="Verdana" w:hAnsi="Verdana"/>
          <w:sz w:val="20"/>
          <w:szCs w:val="20"/>
          <w:lang w:val="es-CR"/>
        </w:rPr>
        <w:t xml:space="preserve"> restos del señor Valenzuela Ávila. Por lo anterior, este Tribunal ordena al Estado que previa comprobación de identidad traslade los restos del señor Valenzuela Ávila del </w:t>
      </w:r>
      <w:r w:rsidRPr="005F0BFF">
        <w:rPr>
          <w:rFonts w:ascii="Verdana" w:hAnsi="Verdana"/>
          <w:sz w:val="20"/>
          <w:szCs w:val="20"/>
          <w:lang w:val="es-CR"/>
        </w:rPr>
        <w:lastRenderedPageBreak/>
        <w:t>cementerio de la Gomera, Escuintla al cementerio de la aldea de Caballo Blanco en el departamento de Retalhuleu,</w:t>
      </w:r>
      <w:r w:rsidR="008A2BCA" w:rsidRPr="005F0BFF">
        <w:rPr>
          <w:rFonts w:ascii="Verdana" w:hAnsi="Verdana"/>
          <w:sz w:val="20"/>
          <w:szCs w:val="20"/>
          <w:lang w:val="es-CR"/>
        </w:rPr>
        <w:t xml:space="preserve"> en un plazo de seis meses</w:t>
      </w:r>
      <w:r w:rsidRPr="005F0BFF">
        <w:rPr>
          <w:rFonts w:ascii="Verdana" w:hAnsi="Verdana"/>
          <w:sz w:val="20"/>
          <w:szCs w:val="20"/>
          <w:lang w:val="es-CR"/>
        </w:rPr>
        <w:t>, en coordinación con los familiares de la víctima o sus representantes. Además, el Estado deberá cubrir los gastos de la exhumación, traslado y de las honras fúnebres, de común acuerdo con sus familiares</w:t>
      </w:r>
      <w:r w:rsidR="007D67D7">
        <w:rPr>
          <w:rStyle w:val="Refdenotaalpie"/>
          <w:rFonts w:ascii="Verdana" w:hAnsi="Verdana"/>
          <w:sz w:val="20"/>
          <w:szCs w:val="20"/>
          <w:lang w:val="es-CR"/>
        </w:rPr>
        <w:footnoteReference w:id="197"/>
      </w:r>
      <w:r w:rsidRPr="005F0BFF">
        <w:rPr>
          <w:rFonts w:ascii="Verdana" w:hAnsi="Verdana"/>
          <w:sz w:val="20"/>
          <w:szCs w:val="20"/>
          <w:lang w:val="es-CR"/>
        </w:rPr>
        <w:t xml:space="preserve">. Para tal efecto los familiares de la víctima o sus presentantes deberán </w:t>
      </w:r>
      <w:r w:rsidRPr="005A4456">
        <w:rPr>
          <w:rFonts w:ascii="Verdana" w:hAnsi="Verdana"/>
          <w:sz w:val="20"/>
          <w:szCs w:val="20"/>
          <w:lang w:val="es-CR"/>
        </w:rPr>
        <w:t xml:space="preserve">apersonarse, </w:t>
      </w:r>
      <w:r w:rsidR="00421123" w:rsidRPr="005A4456">
        <w:rPr>
          <w:rFonts w:ascii="Verdana" w:hAnsi="Verdana"/>
          <w:sz w:val="20"/>
          <w:szCs w:val="20"/>
          <w:lang w:val="es-CR"/>
        </w:rPr>
        <w:t>a la mayor brevedad</w:t>
      </w:r>
      <w:r w:rsidRPr="005A4456">
        <w:rPr>
          <w:rFonts w:ascii="Verdana" w:hAnsi="Verdana"/>
          <w:sz w:val="20"/>
          <w:szCs w:val="20"/>
          <w:lang w:val="es-CR"/>
        </w:rPr>
        <w:t>, ante</w:t>
      </w:r>
      <w:r w:rsidRPr="005F0BFF">
        <w:rPr>
          <w:rFonts w:ascii="Verdana" w:hAnsi="Verdana"/>
          <w:sz w:val="20"/>
          <w:szCs w:val="20"/>
          <w:lang w:val="es-CR"/>
        </w:rPr>
        <w:t xml:space="preserve"> las autoridades pertinentes para coordinar dicha diligencia.</w:t>
      </w:r>
    </w:p>
    <w:p w14:paraId="73EAFEFA" w14:textId="77777777" w:rsidR="005F0BFF" w:rsidRPr="005F0BFF" w:rsidRDefault="005F0BFF" w:rsidP="005F0BFF">
      <w:pPr>
        <w:pStyle w:val="Prrafodelista"/>
        <w:autoSpaceDE w:val="0"/>
        <w:autoSpaceDN w:val="0"/>
        <w:adjustRightInd w:val="0"/>
        <w:spacing w:after="0" w:line="240" w:lineRule="auto"/>
        <w:ind w:left="0"/>
        <w:jc w:val="both"/>
        <w:rPr>
          <w:rFonts w:ascii="Verdana" w:hAnsi="Verdana"/>
          <w:sz w:val="20"/>
          <w:szCs w:val="20"/>
          <w:lang w:val="es-CR"/>
        </w:rPr>
      </w:pPr>
    </w:p>
    <w:p w14:paraId="1944C02C" w14:textId="77777777" w:rsidR="005F0BFF" w:rsidRDefault="005F0BFF" w:rsidP="005F0BFF">
      <w:pPr>
        <w:pStyle w:val="Ttulo2"/>
        <w:numPr>
          <w:ilvl w:val="0"/>
          <w:numId w:val="13"/>
        </w:numPr>
        <w:spacing w:before="0"/>
        <w:rPr>
          <w:lang w:val="es-CR"/>
        </w:rPr>
      </w:pPr>
      <w:bookmarkStart w:id="82" w:name="_Toc25247792"/>
      <w:r w:rsidRPr="003D7F88">
        <w:rPr>
          <w:lang w:val="es-CR"/>
        </w:rPr>
        <w:t>Medidas de no repetición</w:t>
      </w:r>
      <w:bookmarkEnd w:id="82"/>
      <w:r w:rsidRPr="003D7F88">
        <w:rPr>
          <w:lang w:val="es-CR"/>
        </w:rPr>
        <w:t xml:space="preserve"> </w:t>
      </w:r>
    </w:p>
    <w:p w14:paraId="7D8D1B7E" w14:textId="77777777" w:rsidR="005F0BFF" w:rsidRPr="008448A1" w:rsidRDefault="005F0BFF" w:rsidP="00AB7444">
      <w:pPr>
        <w:pStyle w:val="Prrafodelista"/>
        <w:spacing w:after="0"/>
        <w:ind w:left="360" w:firstLine="708"/>
        <w:rPr>
          <w:rFonts w:ascii="Verdana" w:hAnsi="Verdana"/>
          <w:sz w:val="20"/>
          <w:szCs w:val="20"/>
          <w:lang w:val="es-CR"/>
        </w:rPr>
      </w:pPr>
    </w:p>
    <w:p w14:paraId="2964A3DD" w14:textId="77777777" w:rsidR="008448A1" w:rsidRPr="008448A1" w:rsidRDefault="005F0BFF" w:rsidP="008448A1">
      <w:pPr>
        <w:pStyle w:val="Ttulo3"/>
        <w:spacing w:before="0"/>
        <w:ind w:left="706"/>
        <w:rPr>
          <w:b w:val="0"/>
          <w:lang w:val="es-CR"/>
        </w:rPr>
      </w:pPr>
      <w:bookmarkStart w:id="83" w:name="_Toc25247793"/>
      <w:r w:rsidRPr="00FF3FAE">
        <w:rPr>
          <w:b w:val="0"/>
          <w:lang w:val="es-CR"/>
        </w:rPr>
        <w:t xml:space="preserve">a) </w:t>
      </w:r>
      <w:r>
        <w:rPr>
          <w:b w:val="0"/>
          <w:lang w:val="es-CR"/>
        </w:rPr>
        <w:t xml:space="preserve"> </w:t>
      </w:r>
      <w:r>
        <w:rPr>
          <w:b w:val="0"/>
          <w:lang w:val="es-CR"/>
        </w:rPr>
        <w:tab/>
      </w:r>
      <w:r w:rsidRPr="00FF3FAE">
        <w:rPr>
          <w:b w:val="0"/>
          <w:lang w:val="es-CR"/>
        </w:rPr>
        <w:t>Adoptar legislación para tipificar adecuadamente el delito de tortura</w:t>
      </w:r>
      <w:bookmarkEnd w:id="83"/>
    </w:p>
    <w:p w14:paraId="14EF2F21" w14:textId="77777777" w:rsidR="008448A1" w:rsidRDefault="008448A1" w:rsidP="008448A1">
      <w:pPr>
        <w:pStyle w:val="Prrafodelista"/>
        <w:autoSpaceDE w:val="0"/>
        <w:autoSpaceDN w:val="0"/>
        <w:adjustRightInd w:val="0"/>
        <w:spacing w:after="0" w:line="240" w:lineRule="auto"/>
        <w:ind w:left="0"/>
        <w:jc w:val="both"/>
        <w:rPr>
          <w:rFonts w:ascii="Verdana" w:hAnsi="Verdana"/>
          <w:sz w:val="20"/>
          <w:szCs w:val="20"/>
          <w:lang w:val="es-CR"/>
        </w:rPr>
      </w:pPr>
    </w:p>
    <w:p w14:paraId="36EFB04C" w14:textId="393037E5" w:rsidR="005F0BFF" w:rsidRPr="005F0BFF" w:rsidRDefault="00911888" w:rsidP="008448A1">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5F0BFF">
        <w:rPr>
          <w:rFonts w:ascii="Verdana" w:hAnsi="Verdana"/>
          <w:sz w:val="20"/>
          <w:szCs w:val="20"/>
          <w:lang w:val="es-CR"/>
        </w:rPr>
        <w:t xml:space="preserve">Dado </w:t>
      </w:r>
      <w:r w:rsidR="00D969DA" w:rsidRPr="005F0BFF">
        <w:rPr>
          <w:rFonts w:ascii="Verdana" w:hAnsi="Verdana"/>
          <w:sz w:val="20"/>
          <w:szCs w:val="20"/>
          <w:lang w:val="es-CR"/>
        </w:rPr>
        <w:t xml:space="preserve">el reconocimiento parcial de responsabilidad </w:t>
      </w:r>
      <w:r w:rsidR="006A127A" w:rsidRPr="005F0BFF">
        <w:rPr>
          <w:rFonts w:ascii="Verdana" w:hAnsi="Verdana"/>
          <w:sz w:val="20"/>
          <w:szCs w:val="20"/>
          <w:lang w:val="es-CR"/>
        </w:rPr>
        <w:t xml:space="preserve">internacional </w:t>
      </w:r>
      <w:r w:rsidR="00D969DA" w:rsidRPr="005F0BFF">
        <w:rPr>
          <w:rFonts w:ascii="Verdana" w:hAnsi="Verdana"/>
          <w:sz w:val="20"/>
          <w:szCs w:val="20"/>
          <w:lang w:val="es-CR"/>
        </w:rPr>
        <w:t>efectuado por el Estado,</w:t>
      </w:r>
      <w:r w:rsidR="006A127A" w:rsidRPr="005F0BFF">
        <w:rPr>
          <w:rFonts w:ascii="Verdana" w:hAnsi="Verdana"/>
          <w:sz w:val="20"/>
          <w:szCs w:val="20"/>
          <w:lang w:val="es-CR"/>
        </w:rPr>
        <w:t xml:space="preserve"> en el sentido </w:t>
      </w:r>
      <w:r w:rsidR="001B392F" w:rsidRPr="005F0BFF">
        <w:rPr>
          <w:rFonts w:ascii="Verdana" w:hAnsi="Verdana"/>
          <w:sz w:val="20"/>
          <w:szCs w:val="20"/>
          <w:lang w:val="es-CR"/>
        </w:rPr>
        <w:t xml:space="preserve">de </w:t>
      </w:r>
      <w:r w:rsidR="006A127A" w:rsidRPr="005F0BFF">
        <w:rPr>
          <w:rFonts w:ascii="Verdana" w:hAnsi="Verdana"/>
          <w:sz w:val="20"/>
          <w:szCs w:val="20"/>
          <w:lang w:val="es-CR"/>
        </w:rPr>
        <w:t xml:space="preserve">que el artículo 201 bis del Código Penal </w:t>
      </w:r>
      <w:r w:rsidR="001B392F" w:rsidRPr="005F0BFF">
        <w:rPr>
          <w:rFonts w:ascii="Verdana" w:hAnsi="Verdana"/>
          <w:sz w:val="20"/>
          <w:szCs w:val="20"/>
          <w:lang w:val="es-CR"/>
        </w:rPr>
        <w:t xml:space="preserve">referente a </w:t>
      </w:r>
      <w:r w:rsidR="00E277F8">
        <w:rPr>
          <w:rFonts w:ascii="Verdana" w:hAnsi="Verdana"/>
          <w:sz w:val="20"/>
          <w:szCs w:val="20"/>
          <w:lang w:val="es-CR"/>
        </w:rPr>
        <w:t xml:space="preserve">que </w:t>
      </w:r>
      <w:r w:rsidR="001B392F" w:rsidRPr="005F0BFF">
        <w:rPr>
          <w:rFonts w:ascii="Verdana" w:hAnsi="Verdana"/>
          <w:sz w:val="20"/>
          <w:szCs w:val="20"/>
          <w:lang w:val="es-CR"/>
        </w:rPr>
        <w:t xml:space="preserve">la tipificación de la tortura </w:t>
      </w:r>
      <w:r w:rsidR="006A127A" w:rsidRPr="005F0BFF">
        <w:rPr>
          <w:rFonts w:ascii="Verdana" w:hAnsi="Verdana"/>
          <w:sz w:val="20"/>
          <w:szCs w:val="20"/>
          <w:lang w:val="es-CR"/>
        </w:rPr>
        <w:t>aún no se</w:t>
      </w:r>
      <w:r w:rsidR="001B392F" w:rsidRPr="005F0BFF">
        <w:rPr>
          <w:rFonts w:ascii="Verdana" w:hAnsi="Verdana"/>
          <w:sz w:val="20"/>
          <w:szCs w:val="20"/>
          <w:lang w:val="es-CR"/>
        </w:rPr>
        <w:t xml:space="preserve"> ha adecuado</w:t>
      </w:r>
      <w:r w:rsidR="006A127A" w:rsidRPr="005F0BFF">
        <w:rPr>
          <w:rFonts w:ascii="Verdana" w:hAnsi="Verdana"/>
          <w:sz w:val="20"/>
          <w:szCs w:val="20"/>
          <w:lang w:val="es-CR"/>
        </w:rPr>
        <w:t xml:space="preserve"> a los estándares inte</w:t>
      </w:r>
      <w:r w:rsidR="001B392F" w:rsidRPr="005F0BFF">
        <w:rPr>
          <w:rFonts w:ascii="Verdana" w:hAnsi="Verdana"/>
          <w:sz w:val="20"/>
          <w:szCs w:val="20"/>
          <w:lang w:val="es-CR"/>
        </w:rPr>
        <w:t xml:space="preserve">rnacionales de derechos humanos </w:t>
      </w:r>
      <w:r w:rsidR="001B392F" w:rsidRPr="00A2282C">
        <w:rPr>
          <w:rFonts w:ascii="Verdana" w:hAnsi="Verdana"/>
          <w:sz w:val="20"/>
          <w:szCs w:val="20"/>
          <w:lang w:val="es-CR"/>
        </w:rPr>
        <w:t xml:space="preserve">y que en </w:t>
      </w:r>
      <w:r w:rsidR="00953DA5">
        <w:rPr>
          <w:rFonts w:ascii="Verdana" w:hAnsi="Verdana"/>
          <w:sz w:val="20"/>
          <w:szCs w:val="20"/>
          <w:lang w:val="es-CR"/>
        </w:rPr>
        <w:t>la Sentencia del</w:t>
      </w:r>
      <w:r w:rsidR="00B278C6">
        <w:rPr>
          <w:rFonts w:ascii="Verdana" w:hAnsi="Verdana"/>
          <w:sz w:val="20"/>
          <w:szCs w:val="20"/>
          <w:lang w:val="es-CR"/>
        </w:rPr>
        <w:t xml:space="preserve"> </w:t>
      </w:r>
      <w:r w:rsidR="001B392F" w:rsidRPr="00A2282C">
        <w:rPr>
          <w:rFonts w:ascii="Verdana" w:hAnsi="Verdana"/>
          <w:sz w:val="20"/>
          <w:szCs w:val="20"/>
          <w:lang w:val="es-CR"/>
        </w:rPr>
        <w:t xml:space="preserve">caso </w:t>
      </w:r>
      <w:r w:rsidR="001B392F" w:rsidRPr="00A2282C">
        <w:rPr>
          <w:rFonts w:ascii="Verdana" w:hAnsi="Verdana"/>
          <w:i/>
          <w:sz w:val="20"/>
          <w:szCs w:val="20"/>
          <w:lang w:val="es-CR"/>
        </w:rPr>
        <w:t>Rui</w:t>
      </w:r>
      <w:r w:rsidRPr="00A2282C">
        <w:rPr>
          <w:rFonts w:ascii="Verdana" w:hAnsi="Verdana"/>
          <w:i/>
          <w:sz w:val="20"/>
          <w:szCs w:val="20"/>
          <w:lang w:val="es-CR"/>
        </w:rPr>
        <w:t>z Fuentes y otra Vs. Guatemala</w:t>
      </w:r>
      <w:r w:rsidRPr="00A2282C">
        <w:rPr>
          <w:rFonts w:ascii="Verdana" w:hAnsi="Verdana"/>
          <w:sz w:val="20"/>
          <w:szCs w:val="20"/>
          <w:lang w:val="es-CR"/>
        </w:rPr>
        <w:t xml:space="preserve"> </w:t>
      </w:r>
      <w:r w:rsidR="001F5D63">
        <w:rPr>
          <w:rFonts w:ascii="Verdana" w:hAnsi="Verdana"/>
          <w:sz w:val="20"/>
          <w:szCs w:val="20"/>
          <w:lang w:val="es-CR"/>
        </w:rPr>
        <w:t xml:space="preserve">en el </w:t>
      </w:r>
      <w:r w:rsidR="001F5D63" w:rsidRPr="00E74A24">
        <w:rPr>
          <w:rFonts w:ascii="Verdana" w:hAnsi="Verdana"/>
          <w:sz w:val="20"/>
          <w:szCs w:val="20"/>
          <w:lang w:val="es-CR"/>
        </w:rPr>
        <w:t xml:space="preserve">párrafo 225 </w:t>
      </w:r>
      <w:r w:rsidRPr="00E74A24">
        <w:rPr>
          <w:rFonts w:ascii="Verdana" w:hAnsi="Verdana"/>
          <w:sz w:val="20"/>
          <w:szCs w:val="20"/>
          <w:lang w:val="es-CR"/>
        </w:rPr>
        <w:t xml:space="preserve">se </w:t>
      </w:r>
      <w:r w:rsidRPr="00A2282C">
        <w:rPr>
          <w:rFonts w:ascii="Verdana" w:hAnsi="Verdana"/>
          <w:sz w:val="20"/>
          <w:szCs w:val="20"/>
          <w:lang w:val="es-CR"/>
        </w:rPr>
        <w:t xml:space="preserve">ordenó, </w:t>
      </w:r>
      <w:r w:rsidR="003324B7" w:rsidRPr="0060326C">
        <w:rPr>
          <w:rFonts w:ascii="Verdana" w:eastAsia="MS Mincho" w:hAnsi="Verdana"/>
          <w:sz w:val="20"/>
          <w:szCs w:val="20"/>
          <w:lang w:bidi="en-US"/>
        </w:rPr>
        <w:t>como una garantía de no repetición, que se adecúe en un plazo razonable la tipificación del delito de tortura contenida en el artículo 201 bis del actual Código Penal a los estándares internacionales de derechos humanos</w:t>
      </w:r>
      <w:r w:rsidRPr="0060326C">
        <w:rPr>
          <w:rFonts w:ascii="Verdana" w:eastAsia="MS Mincho" w:hAnsi="Verdana"/>
          <w:sz w:val="20"/>
          <w:szCs w:val="20"/>
          <w:lang w:bidi="en-US"/>
        </w:rPr>
        <w:t>.</w:t>
      </w:r>
      <w:r w:rsidR="001F5D63">
        <w:rPr>
          <w:rFonts w:ascii="Verdana" w:eastAsia="MS Mincho" w:hAnsi="Verdana"/>
          <w:sz w:val="20"/>
          <w:szCs w:val="20"/>
          <w:lang w:bidi="en-US"/>
        </w:rPr>
        <w:t xml:space="preserve"> </w:t>
      </w:r>
      <w:r w:rsidR="00BA6FD1">
        <w:rPr>
          <w:rFonts w:ascii="Verdana" w:eastAsia="MS Mincho" w:hAnsi="Verdana"/>
          <w:sz w:val="20"/>
          <w:szCs w:val="20"/>
          <w:lang w:bidi="en-US"/>
        </w:rPr>
        <w:t>P</w:t>
      </w:r>
      <w:r w:rsidR="001B392F" w:rsidRPr="00A2282C">
        <w:rPr>
          <w:rFonts w:ascii="Verdana" w:eastAsia="MS Mincho" w:hAnsi="Verdana"/>
          <w:sz w:val="20"/>
          <w:szCs w:val="20"/>
          <w:lang w:bidi="en-US"/>
        </w:rPr>
        <w:t xml:space="preserve">or tanto, </w:t>
      </w:r>
      <w:r w:rsidR="00BA6FD1">
        <w:rPr>
          <w:rFonts w:ascii="Verdana" w:eastAsia="MS Mincho" w:hAnsi="Verdana"/>
          <w:sz w:val="20"/>
          <w:szCs w:val="20"/>
          <w:lang w:bidi="en-US"/>
        </w:rPr>
        <w:t xml:space="preserve">la Corte considera </w:t>
      </w:r>
      <w:r w:rsidR="001B392F" w:rsidRPr="00A2282C">
        <w:rPr>
          <w:rFonts w:ascii="Verdana" w:eastAsia="MS Mincho" w:hAnsi="Verdana"/>
          <w:sz w:val="20"/>
          <w:szCs w:val="20"/>
          <w:lang w:bidi="en-US"/>
        </w:rPr>
        <w:t>que no es necesario reiterar a Guatemala medidas de reparación sobre la adecuación de sus disposiciones de derecho interno a la Convención Americana a este respecto, toda v</w:t>
      </w:r>
      <w:r w:rsidRPr="00A2282C">
        <w:rPr>
          <w:rFonts w:ascii="Verdana" w:eastAsia="MS Mincho" w:hAnsi="Verdana"/>
          <w:sz w:val="20"/>
          <w:szCs w:val="20"/>
          <w:lang w:bidi="en-US"/>
        </w:rPr>
        <w:t xml:space="preserve">ez que el cumplimiento de dicha medida será </w:t>
      </w:r>
      <w:r w:rsidR="001B392F" w:rsidRPr="00A2282C">
        <w:rPr>
          <w:rFonts w:ascii="Verdana" w:eastAsia="MS Mincho" w:hAnsi="Verdana"/>
          <w:sz w:val="20"/>
          <w:szCs w:val="20"/>
          <w:lang w:bidi="en-US"/>
        </w:rPr>
        <w:t>analizado por parte de la Corte en la etapa supervisión de cumplimento correspondiente</w:t>
      </w:r>
      <w:r w:rsidR="00F57653" w:rsidRPr="00A2282C">
        <w:rPr>
          <w:rFonts w:ascii="Verdana" w:eastAsia="MS Mincho" w:hAnsi="Verdana"/>
          <w:sz w:val="20"/>
          <w:szCs w:val="20"/>
          <w:lang w:bidi="en-US"/>
        </w:rPr>
        <w:t xml:space="preserve"> de dicho caso</w:t>
      </w:r>
      <w:r w:rsidR="001B392F" w:rsidRPr="00A2282C">
        <w:rPr>
          <w:rFonts w:ascii="Verdana" w:eastAsia="MS Mincho" w:hAnsi="Verdana"/>
          <w:sz w:val="20"/>
          <w:szCs w:val="20"/>
          <w:lang w:bidi="en-US"/>
        </w:rPr>
        <w:t>.</w:t>
      </w:r>
    </w:p>
    <w:p w14:paraId="244B2D00" w14:textId="64D7C6DF" w:rsidR="005F0BFF" w:rsidRDefault="000A70BC" w:rsidP="00AB7444">
      <w:pPr>
        <w:pStyle w:val="Prrafodelista"/>
        <w:tabs>
          <w:tab w:val="left" w:pos="3168"/>
        </w:tabs>
        <w:autoSpaceDE w:val="0"/>
        <w:autoSpaceDN w:val="0"/>
        <w:adjustRightInd w:val="0"/>
        <w:spacing w:after="0" w:line="240" w:lineRule="auto"/>
        <w:ind w:left="0"/>
        <w:jc w:val="both"/>
        <w:rPr>
          <w:rFonts w:ascii="Verdana" w:eastAsia="MS Mincho" w:hAnsi="Verdana"/>
          <w:b/>
          <w:sz w:val="20"/>
          <w:szCs w:val="20"/>
          <w:lang w:bidi="en-US"/>
        </w:rPr>
      </w:pPr>
      <w:r>
        <w:rPr>
          <w:rFonts w:ascii="Verdana" w:eastAsia="MS Mincho" w:hAnsi="Verdana"/>
          <w:b/>
          <w:sz w:val="20"/>
          <w:szCs w:val="20"/>
          <w:lang w:bidi="en-US"/>
        </w:rPr>
        <w:tab/>
      </w:r>
    </w:p>
    <w:p w14:paraId="730A2739" w14:textId="77777777" w:rsidR="005F0BFF" w:rsidRPr="00FF3FAE" w:rsidRDefault="005F0BFF" w:rsidP="005F0BFF">
      <w:pPr>
        <w:pStyle w:val="Ttulo3"/>
        <w:numPr>
          <w:ilvl w:val="0"/>
          <w:numId w:val="14"/>
        </w:numPr>
        <w:spacing w:before="0"/>
        <w:ind w:left="720" w:firstLine="0"/>
        <w:rPr>
          <w:b w:val="0"/>
          <w:szCs w:val="20"/>
          <w:lang w:val="es-CR"/>
        </w:rPr>
      </w:pPr>
      <w:bookmarkStart w:id="84" w:name="_Toc25247794"/>
      <w:r w:rsidRPr="00FF3FAE">
        <w:rPr>
          <w:b w:val="0"/>
          <w:szCs w:val="20"/>
          <w:lang w:val="es-CR"/>
        </w:rPr>
        <w:t>Prohibir la adopción de legislación regresiva en materia de pena de muerte</w:t>
      </w:r>
      <w:bookmarkEnd w:id="84"/>
      <w:r w:rsidRPr="00FF3FAE">
        <w:rPr>
          <w:b w:val="0"/>
          <w:szCs w:val="20"/>
          <w:lang w:val="es-CR"/>
        </w:rPr>
        <w:t xml:space="preserve"> </w:t>
      </w:r>
    </w:p>
    <w:p w14:paraId="678FA7D2" w14:textId="77777777" w:rsidR="005F0BFF" w:rsidRDefault="005F0BFF" w:rsidP="005F0BFF">
      <w:pPr>
        <w:pStyle w:val="Prrafodelista"/>
        <w:autoSpaceDE w:val="0"/>
        <w:autoSpaceDN w:val="0"/>
        <w:adjustRightInd w:val="0"/>
        <w:spacing w:after="0" w:line="240" w:lineRule="auto"/>
        <w:ind w:left="0"/>
        <w:jc w:val="both"/>
        <w:rPr>
          <w:rFonts w:ascii="Verdana" w:hAnsi="Verdana"/>
          <w:sz w:val="20"/>
          <w:szCs w:val="20"/>
          <w:lang w:val="es-CR"/>
        </w:rPr>
      </w:pPr>
    </w:p>
    <w:p w14:paraId="0D2615B5" w14:textId="38ABEEE3" w:rsidR="005F0BFF" w:rsidRDefault="008E3263" w:rsidP="005F0BFF">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5F0BFF">
        <w:rPr>
          <w:rFonts w:ascii="Verdana" w:hAnsi="Verdana"/>
          <w:sz w:val="20"/>
          <w:szCs w:val="20"/>
          <w:lang w:val="es-CR"/>
        </w:rPr>
        <w:t>S</w:t>
      </w:r>
      <w:r w:rsidR="00E07747" w:rsidRPr="005F0BFF">
        <w:rPr>
          <w:rFonts w:ascii="Verdana" w:hAnsi="Verdana"/>
          <w:sz w:val="20"/>
          <w:szCs w:val="20"/>
          <w:lang w:val="es-CR"/>
        </w:rPr>
        <w:t xml:space="preserve">obre este punto la </w:t>
      </w:r>
      <w:r w:rsidR="00E07747" w:rsidRPr="005F0BFF">
        <w:rPr>
          <w:rFonts w:ascii="Verdana" w:hAnsi="Verdana"/>
          <w:b/>
          <w:i/>
          <w:sz w:val="20"/>
          <w:szCs w:val="20"/>
          <w:lang w:val="es-CR"/>
        </w:rPr>
        <w:t>Corte</w:t>
      </w:r>
      <w:r w:rsidR="00E07747" w:rsidRPr="005F0BFF">
        <w:rPr>
          <w:rFonts w:ascii="Verdana" w:hAnsi="Verdana"/>
          <w:sz w:val="20"/>
          <w:szCs w:val="20"/>
          <w:lang w:val="es-CR"/>
        </w:rPr>
        <w:t xml:space="preserve"> </w:t>
      </w:r>
      <w:r w:rsidR="003324B7">
        <w:rPr>
          <w:rFonts w:ascii="Verdana" w:hAnsi="Verdana"/>
          <w:sz w:val="20"/>
          <w:szCs w:val="20"/>
          <w:lang w:val="es-CR"/>
        </w:rPr>
        <w:t xml:space="preserve">en el párrafo </w:t>
      </w:r>
      <w:r w:rsidR="003324B7" w:rsidRPr="005A4456">
        <w:rPr>
          <w:rFonts w:ascii="Verdana" w:hAnsi="Verdana"/>
          <w:sz w:val="20"/>
          <w:szCs w:val="20"/>
          <w:lang w:val="es-CR"/>
        </w:rPr>
        <w:t>15</w:t>
      </w:r>
      <w:r w:rsidR="005A4456" w:rsidRPr="005A4456">
        <w:rPr>
          <w:rFonts w:ascii="Verdana" w:hAnsi="Verdana"/>
          <w:sz w:val="20"/>
          <w:szCs w:val="20"/>
          <w:lang w:val="es-CR"/>
        </w:rPr>
        <w:t>1</w:t>
      </w:r>
      <w:r w:rsidR="003324B7">
        <w:rPr>
          <w:rFonts w:ascii="Verdana" w:hAnsi="Verdana"/>
          <w:sz w:val="20"/>
          <w:szCs w:val="20"/>
          <w:lang w:val="es-CR"/>
        </w:rPr>
        <w:t xml:space="preserve"> </w:t>
      </w:r>
      <w:r w:rsidR="00E07747" w:rsidRPr="005F0BFF">
        <w:rPr>
          <w:rFonts w:ascii="Verdana" w:hAnsi="Verdana"/>
          <w:sz w:val="20"/>
          <w:szCs w:val="20"/>
          <w:lang w:val="es-CR"/>
        </w:rPr>
        <w:t>de la presente Sentencia se refirió al régimen claramente restrictivo de la pena de muerte establecido en el artículo 4 de la Convención Americana y a la tendencia abolicionista recogida en</w:t>
      </w:r>
      <w:r w:rsidRPr="005F0BFF">
        <w:rPr>
          <w:rFonts w:ascii="Verdana" w:hAnsi="Verdana"/>
          <w:sz w:val="20"/>
          <w:szCs w:val="20"/>
          <w:lang w:val="es-CR"/>
        </w:rPr>
        <w:t xml:space="preserve"> el Protocolo a la Convención Americana sobre</w:t>
      </w:r>
      <w:r w:rsidR="00E07747" w:rsidRPr="005F0BFF">
        <w:rPr>
          <w:rFonts w:ascii="Verdana" w:hAnsi="Verdana"/>
          <w:sz w:val="20"/>
          <w:szCs w:val="20"/>
          <w:lang w:val="es-CR"/>
        </w:rPr>
        <w:t xml:space="preserve"> Derechos Humanos relativo a la Abolición de la Pena de Muerte, también imperante en el sistema universal, por lo que </w:t>
      </w:r>
      <w:r w:rsidR="00E277F8">
        <w:rPr>
          <w:rFonts w:ascii="Verdana" w:hAnsi="Verdana"/>
          <w:sz w:val="20"/>
          <w:szCs w:val="20"/>
          <w:lang w:val="es-CR"/>
        </w:rPr>
        <w:t xml:space="preserve">se </w:t>
      </w:r>
      <w:r w:rsidR="00E07747" w:rsidRPr="005F0BFF">
        <w:rPr>
          <w:rFonts w:ascii="Verdana" w:hAnsi="Verdana"/>
          <w:sz w:val="20"/>
          <w:szCs w:val="20"/>
          <w:lang w:val="es-CR"/>
        </w:rPr>
        <w:t xml:space="preserve">remite a lo ya señalado. </w:t>
      </w:r>
    </w:p>
    <w:p w14:paraId="091B823F" w14:textId="77777777" w:rsidR="005F0BFF" w:rsidRDefault="005F0BFF" w:rsidP="005F0BFF">
      <w:pPr>
        <w:pStyle w:val="Prrafodelista"/>
        <w:autoSpaceDE w:val="0"/>
        <w:autoSpaceDN w:val="0"/>
        <w:adjustRightInd w:val="0"/>
        <w:spacing w:after="0" w:line="240" w:lineRule="auto"/>
        <w:ind w:left="0"/>
        <w:jc w:val="both"/>
        <w:rPr>
          <w:rFonts w:ascii="Verdana" w:hAnsi="Verdana"/>
          <w:sz w:val="20"/>
          <w:szCs w:val="20"/>
          <w:lang w:val="es-CR"/>
        </w:rPr>
      </w:pPr>
    </w:p>
    <w:p w14:paraId="7F6054EB" w14:textId="77777777" w:rsidR="005F0BFF" w:rsidRPr="00FF3FAE" w:rsidRDefault="005F0BFF" w:rsidP="005F0BFF">
      <w:pPr>
        <w:pStyle w:val="Ttulo3"/>
        <w:spacing w:before="0"/>
        <w:rPr>
          <w:b w:val="0"/>
          <w:szCs w:val="20"/>
          <w:lang w:val="es-CR"/>
        </w:rPr>
      </w:pPr>
      <w:bookmarkStart w:id="85" w:name="_Toc25247795"/>
      <w:r w:rsidRPr="00FF3FAE">
        <w:rPr>
          <w:b w:val="0"/>
          <w:lang w:val="es-CR"/>
        </w:rPr>
        <w:t xml:space="preserve">c) </w:t>
      </w:r>
      <w:r>
        <w:rPr>
          <w:b w:val="0"/>
          <w:lang w:val="es-CR"/>
        </w:rPr>
        <w:t xml:space="preserve"> </w:t>
      </w:r>
      <w:r>
        <w:rPr>
          <w:b w:val="0"/>
          <w:lang w:val="es-CR"/>
        </w:rPr>
        <w:tab/>
      </w:r>
      <w:r w:rsidRPr="00FF3FAE">
        <w:rPr>
          <w:b w:val="0"/>
          <w:lang w:val="es-CR"/>
        </w:rPr>
        <w:t>Incluir cursos de capacitación en materia de prohibición de la tortura para la policía y funcionarios del sistema penal</w:t>
      </w:r>
      <w:bookmarkEnd w:id="85"/>
      <w:r w:rsidRPr="00FF3FAE">
        <w:rPr>
          <w:b w:val="0"/>
          <w:szCs w:val="20"/>
          <w:lang w:val="es-CR"/>
        </w:rPr>
        <w:t xml:space="preserve"> </w:t>
      </w:r>
    </w:p>
    <w:p w14:paraId="2DA6B7C1" w14:textId="77777777" w:rsidR="005F0BFF" w:rsidRDefault="005F0BFF" w:rsidP="005F0BFF">
      <w:pPr>
        <w:pStyle w:val="Prrafodelista"/>
        <w:autoSpaceDE w:val="0"/>
        <w:autoSpaceDN w:val="0"/>
        <w:adjustRightInd w:val="0"/>
        <w:spacing w:after="0" w:line="240" w:lineRule="auto"/>
        <w:ind w:left="0"/>
        <w:jc w:val="both"/>
        <w:rPr>
          <w:rFonts w:ascii="Verdana" w:hAnsi="Verdana"/>
          <w:sz w:val="20"/>
          <w:szCs w:val="20"/>
          <w:lang w:val="es-CR"/>
        </w:rPr>
      </w:pPr>
    </w:p>
    <w:p w14:paraId="6FE42EAB" w14:textId="035D3655" w:rsidR="005F0BFF" w:rsidRDefault="00E07747" w:rsidP="005F0BFF">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5F0BFF">
        <w:rPr>
          <w:rFonts w:ascii="Verdana" w:hAnsi="Verdana"/>
          <w:sz w:val="20"/>
          <w:szCs w:val="20"/>
          <w:lang w:val="es-CR"/>
        </w:rPr>
        <w:t xml:space="preserve">Los </w:t>
      </w:r>
      <w:r w:rsidRPr="005F0BFF">
        <w:rPr>
          <w:rFonts w:ascii="Verdana" w:hAnsi="Verdana"/>
          <w:b/>
          <w:i/>
          <w:sz w:val="20"/>
          <w:szCs w:val="20"/>
          <w:lang w:val="es-CR"/>
        </w:rPr>
        <w:t>representantes</w:t>
      </w:r>
      <w:r w:rsidRPr="005F0BFF">
        <w:rPr>
          <w:rFonts w:ascii="Verdana" w:hAnsi="Verdana"/>
          <w:sz w:val="20"/>
          <w:szCs w:val="20"/>
          <w:lang w:val="es-CR"/>
        </w:rPr>
        <w:t xml:space="preserve"> solicitaron a la Corte que ordene al Estado realizar una serie de medidas para incluir en la formación de los agentes de seguridad y autoridades encargadas de la investigación del delito y programas de capacitación</w:t>
      </w:r>
      <w:r w:rsidR="00882CCD" w:rsidRPr="005F0BFF">
        <w:rPr>
          <w:rFonts w:ascii="Verdana" w:hAnsi="Verdana"/>
          <w:sz w:val="20"/>
          <w:szCs w:val="20"/>
          <w:lang w:val="es-CR"/>
        </w:rPr>
        <w:t>.</w:t>
      </w:r>
      <w:r w:rsidR="00882CCD" w:rsidRPr="005F0BFF">
        <w:rPr>
          <w:rFonts w:ascii="Verdana" w:hAnsi="Verdana"/>
          <w:b/>
          <w:sz w:val="20"/>
          <w:szCs w:val="20"/>
          <w:lang w:val="es-CR"/>
        </w:rPr>
        <w:t xml:space="preserve"> </w:t>
      </w:r>
      <w:r w:rsidRPr="005F0BFF">
        <w:rPr>
          <w:rFonts w:ascii="Verdana" w:hAnsi="Verdana"/>
          <w:sz w:val="20"/>
          <w:szCs w:val="20"/>
          <w:lang w:val="es-CR"/>
        </w:rPr>
        <w:t xml:space="preserve">La </w:t>
      </w:r>
      <w:r w:rsidRPr="005F0BFF">
        <w:rPr>
          <w:rFonts w:ascii="Verdana" w:hAnsi="Verdana"/>
          <w:b/>
          <w:i/>
          <w:sz w:val="20"/>
          <w:szCs w:val="20"/>
          <w:lang w:val="es-CR"/>
        </w:rPr>
        <w:t>Comisión</w:t>
      </w:r>
      <w:r w:rsidRPr="005F0BFF">
        <w:rPr>
          <w:rFonts w:ascii="Verdana" w:hAnsi="Verdana"/>
          <w:sz w:val="20"/>
          <w:szCs w:val="20"/>
          <w:lang w:val="es-CR"/>
        </w:rPr>
        <w:t xml:space="preserve"> no se </w:t>
      </w:r>
      <w:r w:rsidR="00C90E59">
        <w:rPr>
          <w:rFonts w:ascii="Verdana" w:hAnsi="Verdana"/>
          <w:sz w:val="20"/>
          <w:szCs w:val="20"/>
          <w:lang w:val="es-CR"/>
        </w:rPr>
        <w:t>pronunció</w:t>
      </w:r>
      <w:r w:rsidR="00C90E59" w:rsidRPr="005F0BFF">
        <w:rPr>
          <w:rFonts w:ascii="Verdana" w:hAnsi="Verdana"/>
          <w:sz w:val="20"/>
          <w:szCs w:val="20"/>
          <w:lang w:val="es-CR"/>
        </w:rPr>
        <w:t xml:space="preserve"> </w:t>
      </w:r>
      <w:r w:rsidRPr="005F0BFF">
        <w:rPr>
          <w:rFonts w:ascii="Verdana" w:hAnsi="Verdana"/>
          <w:sz w:val="20"/>
          <w:szCs w:val="20"/>
          <w:lang w:val="es-CR"/>
        </w:rPr>
        <w:t xml:space="preserve">específicamente sobre estas solicitudes. El </w:t>
      </w:r>
      <w:r w:rsidRPr="005F0BFF">
        <w:rPr>
          <w:rFonts w:ascii="Verdana" w:hAnsi="Verdana"/>
          <w:b/>
          <w:i/>
          <w:sz w:val="20"/>
          <w:szCs w:val="20"/>
          <w:lang w:val="es-CR"/>
        </w:rPr>
        <w:t>Estado</w:t>
      </w:r>
      <w:r w:rsidRPr="005F0BFF">
        <w:rPr>
          <w:rFonts w:ascii="Verdana" w:hAnsi="Verdana"/>
          <w:sz w:val="20"/>
          <w:szCs w:val="20"/>
          <w:lang w:val="es-CR"/>
        </w:rPr>
        <w:t xml:space="preserve"> alegó que ha llevado a cabo una actualización en el programa de Estudios de la Escu</w:t>
      </w:r>
      <w:r w:rsidR="00B35F0F">
        <w:rPr>
          <w:rFonts w:ascii="Verdana" w:hAnsi="Verdana"/>
          <w:sz w:val="20"/>
          <w:szCs w:val="20"/>
          <w:lang w:val="es-CR"/>
        </w:rPr>
        <w:t>ela de la PNC</w:t>
      </w:r>
      <w:r w:rsidRPr="005F0BFF">
        <w:rPr>
          <w:rFonts w:ascii="Verdana" w:hAnsi="Verdana"/>
          <w:sz w:val="20"/>
          <w:szCs w:val="20"/>
          <w:lang w:val="es-CR"/>
        </w:rPr>
        <w:t xml:space="preserve"> que incluye una abundante formación en temas de derechos humanos y</w:t>
      </w:r>
      <w:r w:rsidR="00953DA5">
        <w:rPr>
          <w:rFonts w:ascii="Verdana" w:hAnsi="Verdana"/>
          <w:sz w:val="20"/>
          <w:szCs w:val="20"/>
          <w:lang w:val="es-CR"/>
        </w:rPr>
        <w:t>,</w:t>
      </w:r>
      <w:r w:rsidRPr="005F0BFF">
        <w:rPr>
          <w:rFonts w:ascii="Verdana" w:hAnsi="Verdana"/>
          <w:sz w:val="20"/>
          <w:szCs w:val="20"/>
          <w:lang w:val="es-CR"/>
        </w:rPr>
        <w:t xml:space="preserve"> en particular</w:t>
      </w:r>
      <w:r w:rsidR="00953DA5">
        <w:rPr>
          <w:rFonts w:ascii="Verdana" w:hAnsi="Verdana"/>
          <w:sz w:val="20"/>
          <w:szCs w:val="20"/>
          <w:lang w:val="es-CR"/>
        </w:rPr>
        <w:t>,</w:t>
      </w:r>
      <w:r w:rsidRPr="005F0BFF">
        <w:rPr>
          <w:rFonts w:ascii="Verdana" w:hAnsi="Verdana"/>
          <w:sz w:val="20"/>
          <w:szCs w:val="20"/>
          <w:lang w:val="es-CR"/>
        </w:rPr>
        <w:t xml:space="preserve"> respecto a la prevención de la tortura y las ejecuciones extrajudiciales</w:t>
      </w:r>
      <w:r w:rsidR="00756CF1">
        <w:rPr>
          <w:rFonts w:ascii="Verdana" w:hAnsi="Verdana"/>
          <w:sz w:val="20"/>
          <w:szCs w:val="20"/>
          <w:lang w:val="es-CR"/>
        </w:rPr>
        <w:t>.</w:t>
      </w:r>
      <w:r w:rsidRPr="005F0BFF">
        <w:rPr>
          <w:rFonts w:ascii="Verdana" w:hAnsi="Verdana"/>
          <w:sz w:val="20"/>
          <w:szCs w:val="20"/>
          <w:lang w:val="es-CR"/>
        </w:rPr>
        <w:t xml:space="preserve"> </w:t>
      </w:r>
    </w:p>
    <w:p w14:paraId="1FDF41DF" w14:textId="77777777" w:rsidR="005F0BFF" w:rsidRDefault="005F0BFF" w:rsidP="005F0BFF">
      <w:pPr>
        <w:pStyle w:val="Prrafodelista"/>
        <w:autoSpaceDE w:val="0"/>
        <w:autoSpaceDN w:val="0"/>
        <w:adjustRightInd w:val="0"/>
        <w:spacing w:after="0" w:line="240" w:lineRule="auto"/>
        <w:ind w:left="0"/>
        <w:jc w:val="both"/>
        <w:rPr>
          <w:rFonts w:ascii="Verdana" w:hAnsi="Verdana"/>
          <w:sz w:val="20"/>
          <w:szCs w:val="20"/>
          <w:lang w:val="es-CR"/>
        </w:rPr>
      </w:pPr>
    </w:p>
    <w:p w14:paraId="2A6C8536" w14:textId="70436B33" w:rsidR="00E21C19" w:rsidRPr="005C5A3F" w:rsidRDefault="00E07747" w:rsidP="00E21C19">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60326C">
        <w:rPr>
          <w:rFonts w:ascii="Verdana" w:hAnsi="Verdana"/>
          <w:sz w:val="20"/>
          <w:szCs w:val="20"/>
          <w:lang w:val="es-CR"/>
        </w:rPr>
        <w:t xml:space="preserve">Al respecto, una medida semejante se </w:t>
      </w:r>
      <w:r w:rsidRPr="00E74A24">
        <w:rPr>
          <w:rFonts w:ascii="Verdana" w:hAnsi="Verdana"/>
          <w:sz w:val="20"/>
          <w:szCs w:val="20"/>
          <w:lang w:val="es-CR"/>
        </w:rPr>
        <w:t xml:space="preserve">ha ordenado en la Sentencia </w:t>
      </w:r>
      <w:r w:rsidR="00882CCD" w:rsidRPr="00E74A24">
        <w:rPr>
          <w:rFonts w:ascii="Verdana" w:hAnsi="Verdana"/>
          <w:sz w:val="20"/>
          <w:szCs w:val="20"/>
          <w:lang w:val="es-CR"/>
        </w:rPr>
        <w:t xml:space="preserve">de la Corte en </w:t>
      </w:r>
      <w:r w:rsidRPr="00E74A24">
        <w:rPr>
          <w:rFonts w:ascii="Verdana" w:hAnsi="Verdana"/>
          <w:sz w:val="20"/>
          <w:szCs w:val="20"/>
          <w:lang w:val="es-CR"/>
        </w:rPr>
        <w:t xml:space="preserve">el caso </w:t>
      </w:r>
      <w:r w:rsidR="008E3263" w:rsidRPr="00E74A24">
        <w:rPr>
          <w:rFonts w:ascii="Verdana" w:hAnsi="Verdana"/>
          <w:i/>
          <w:sz w:val="20"/>
          <w:szCs w:val="20"/>
          <w:lang w:val="es-CR"/>
        </w:rPr>
        <w:t>Ruiz</w:t>
      </w:r>
      <w:r w:rsidR="00882CCD" w:rsidRPr="00E74A24">
        <w:rPr>
          <w:rFonts w:ascii="Verdana" w:hAnsi="Verdana"/>
          <w:i/>
          <w:sz w:val="20"/>
          <w:szCs w:val="20"/>
          <w:lang w:val="es-CR"/>
        </w:rPr>
        <w:t xml:space="preserve"> </w:t>
      </w:r>
      <w:r w:rsidR="008E3263" w:rsidRPr="00E74A24">
        <w:rPr>
          <w:rFonts w:ascii="Verdana" w:hAnsi="Verdana"/>
          <w:i/>
          <w:sz w:val="20"/>
          <w:szCs w:val="20"/>
          <w:lang w:val="es-CR"/>
        </w:rPr>
        <w:t xml:space="preserve">Fuentes </w:t>
      </w:r>
      <w:r w:rsidR="00F57653" w:rsidRPr="00E74A24">
        <w:rPr>
          <w:rFonts w:ascii="Verdana" w:hAnsi="Verdana"/>
          <w:i/>
          <w:sz w:val="20"/>
          <w:szCs w:val="20"/>
          <w:lang w:val="es-CR"/>
        </w:rPr>
        <w:t xml:space="preserve">y otra </w:t>
      </w:r>
      <w:r w:rsidR="00882CCD" w:rsidRPr="00E74A24">
        <w:rPr>
          <w:rFonts w:ascii="Verdana" w:hAnsi="Verdana"/>
          <w:i/>
          <w:sz w:val="20"/>
          <w:szCs w:val="20"/>
          <w:lang w:val="es-CR"/>
        </w:rPr>
        <w:t>Vs. Guatemala</w:t>
      </w:r>
      <w:r w:rsidR="00F57653" w:rsidRPr="00E74A24">
        <w:rPr>
          <w:rFonts w:ascii="Verdana" w:hAnsi="Verdana"/>
          <w:sz w:val="20"/>
          <w:szCs w:val="20"/>
          <w:lang w:val="es-CR"/>
        </w:rPr>
        <w:t xml:space="preserve">, </w:t>
      </w:r>
      <w:r w:rsidR="001F5D63" w:rsidRPr="00E74A24">
        <w:rPr>
          <w:rFonts w:ascii="Verdana" w:hAnsi="Verdana"/>
          <w:sz w:val="20"/>
          <w:szCs w:val="20"/>
          <w:lang w:val="es-CR"/>
        </w:rPr>
        <w:t xml:space="preserve">en el párrafo 228, </w:t>
      </w:r>
      <w:r w:rsidR="00F57653" w:rsidRPr="00E74A24">
        <w:rPr>
          <w:rFonts w:ascii="Verdana" w:hAnsi="Verdana"/>
          <w:sz w:val="20"/>
          <w:szCs w:val="20"/>
          <w:lang w:val="es-CR"/>
        </w:rPr>
        <w:t>que</w:t>
      </w:r>
      <w:r w:rsidR="00882CCD" w:rsidRPr="0060326C">
        <w:rPr>
          <w:rFonts w:ascii="Verdana" w:hAnsi="Verdana"/>
          <w:sz w:val="20"/>
          <w:szCs w:val="20"/>
          <w:lang w:val="es-CR"/>
        </w:rPr>
        <w:t xml:space="preserve"> </w:t>
      </w:r>
      <w:r w:rsidR="00F57653" w:rsidRPr="0060326C">
        <w:rPr>
          <w:rFonts w:ascii="Verdana" w:hAnsi="Verdana"/>
          <w:sz w:val="20"/>
          <w:szCs w:val="20"/>
        </w:rPr>
        <w:t>el Estado debe incluir, dentro de los cursos de formación de los miembros de la policía y organismos de seguridad, capacitación específica y cursos de carácter permanente sobre la prohibición absoluta de la tortura.</w:t>
      </w:r>
      <w:r w:rsidR="00F57653" w:rsidRPr="0060326C">
        <w:rPr>
          <w:sz w:val="20"/>
          <w:szCs w:val="20"/>
        </w:rPr>
        <w:t xml:space="preserve"> </w:t>
      </w:r>
      <w:r w:rsidR="00BA6FD1">
        <w:rPr>
          <w:rFonts w:ascii="Verdana" w:eastAsia="MS Mincho" w:hAnsi="Verdana"/>
          <w:sz w:val="20"/>
          <w:szCs w:val="20"/>
          <w:lang w:bidi="en-US"/>
        </w:rPr>
        <w:t>P</w:t>
      </w:r>
      <w:r w:rsidR="00F57653" w:rsidRPr="0060326C">
        <w:rPr>
          <w:rFonts w:ascii="Verdana" w:eastAsia="MS Mincho" w:hAnsi="Verdana"/>
          <w:sz w:val="20"/>
          <w:szCs w:val="20"/>
          <w:lang w:bidi="en-US"/>
        </w:rPr>
        <w:t xml:space="preserve">or tanto, </w:t>
      </w:r>
      <w:r w:rsidR="00BA6FD1">
        <w:rPr>
          <w:rFonts w:ascii="Verdana" w:eastAsia="MS Mincho" w:hAnsi="Verdana"/>
          <w:sz w:val="20"/>
          <w:szCs w:val="20"/>
          <w:lang w:bidi="en-US"/>
        </w:rPr>
        <w:t xml:space="preserve">la Corte considera </w:t>
      </w:r>
      <w:r w:rsidR="00F57653" w:rsidRPr="0060326C">
        <w:rPr>
          <w:rFonts w:ascii="Verdana" w:eastAsia="MS Mincho" w:hAnsi="Verdana"/>
          <w:sz w:val="20"/>
          <w:szCs w:val="20"/>
          <w:lang w:bidi="en-US"/>
        </w:rPr>
        <w:t>que no es necesario reiterar a Guatemala tal medida de capacitación, toda vez que el cumplimiento de dicha medida será analizado por parte de la Corte en la etapa supervisión de cumplimento correspondiente de dicho caso.</w:t>
      </w:r>
    </w:p>
    <w:p w14:paraId="2CC66EA2" w14:textId="77777777" w:rsidR="005F0BFF" w:rsidRPr="00653E4F" w:rsidRDefault="005F0BFF" w:rsidP="005F0BFF">
      <w:pPr>
        <w:pStyle w:val="Ttulo2"/>
        <w:numPr>
          <w:ilvl w:val="0"/>
          <w:numId w:val="13"/>
        </w:numPr>
        <w:rPr>
          <w:lang w:val="es-CR"/>
        </w:rPr>
      </w:pPr>
      <w:bookmarkStart w:id="86" w:name="_Toc25247796"/>
      <w:r w:rsidRPr="00653E4F">
        <w:rPr>
          <w:lang w:val="es-CR"/>
        </w:rPr>
        <w:lastRenderedPageBreak/>
        <w:t>Otras medidas</w:t>
      </w:r>
      <w:bookmarkEnd w:id="86"/>
    </w:p>
    <w:p w14:paraId="538F0FA5" w14:textId="77777777" w:rsidR="005F0BFF" w:rsidRPr="00653E4F" w:rsidRDefault="005F0BFF" w:rsidP="005F0BFF">
      <w:pPr>
        <w:pStyle w:val="Prrafodelista"/>
        <w:autoSpaceDE w:val="0"/>
        <w:autoSpaceDN w:val="0"/>
        <w:adjustRightInd w:val="0"/>
        <w:spacing w:after="0" w:line="240" w:lineRule="auto"/>
        <w:ind w:left="0"/>
        <w:jc w:val="both"/>
        <w:rPr>
          <w:rFonts w:ascii="Verdana" w:hAnsi="Verdana"/>
          <w:sz w:val="20"/>
          <w:szCs w:val="20"/>
          <w:lang w:val="es-CR"/>
        </w:rPr>
      </w:pPr>
    </w:p>
    <w:p w14:paraId="32582221" w14:textId="2C91D5C0" w:rsidR="005F0BFF" w:rsidRPr="00653E4F" w:rsidRDefault="00882CCD" w:rsidP="005F0BFF">
      <w:pPr>
        <w:pStyle w:val="Prrafodelista"/>
        <w:numPr>
          <w:ilvl w:val="3"/>
          <w:numId w:val="1"/>
        </w:numPr>
        <w:autoSpaceDE w:val="0"/>
        <w:autoSpaceDN w:val="0"/>
        <w:adjustRightInd w:val="0"/>
        <w:spacing w:after="0" w:line="240" w:lineRule="auto"/>
        <w:ind w:left="0" w:firstLine="0"/>
        <w:jc w:val="both"/>
        <w:rPr>
          <w:rFonts w:ascii="Verdana" w:hAnsi="Verdana"/>
          <w:sz w:val="20"/>
          <w:szCs w:val="20"/>
        </w:rPr>
      </w:pPr>
      <w:r w:rsidRPr="00653E4F">
        <w:rPr>
          <w:rFonts w:ascii="Verdana" w:hAnsi="Verdana"/>
          <w:sz w:val="20"/>
          <w:szCs w:val="20"/>
          <w:lang w:val="es-CR"/>
        </w:rPr>
        <w:t xml:space="preserve">Los </w:t>
      </w:r>
      <w:r w:rsidRPr="00653E4F">
        <w:rPr>
          <w:rFonts w:ascii="Verdana" w:hAnsi="Verdana"/>
          <w:b/>
          <w:i/>
          <w:sz w:val="20"/>
          <w:szCs w:val="20"/>
          <w:lang w:val="es-CR"/>
        </w:rPr>
        <w:t>representantes</w:t>
      </w:r>
      <w:r w:rsidRPr="00653E4F">
        <w:rPr>
          <w:rFonts w:ascii="Verdana" w:hAnsi="Verdana"/>
          <w:sz w:val="20"/>
          <w:szCs w:val="20"/>
          <w:lang w:val="es-CR"/>
        </w:rPr>
        <w:t xml:space="preserve"> </w:t>
      </w:r>
      <w:proofErr w:type="spellStart"/>
      <w:r w:rsidR="00841C2D" w:rsidRPr="00653E4F">
        <w:rPr>
          <w:rFonts w:ascii="Verdana" w:hAnsi="Verdana"/>
          <w:sz w:val="20"/>
          <w:szCs w:val="20"/>
        </w:rPr>
        <w:t>además</w:t>
      </w:r>
      <w:proofErr w:type="spellEnd"/>
      <w:r w:rsidR="00841C2D" w:rsidRPr="00653E4F">
        <w:rPr>
          <w:rFonts w:ascii="Verdana" w:hAnsi="Verdana"/>
          <w:sz w:val="20"/>
          <w:szCs w:val="20"/>
        </w:rPr>
        <w:t xml:space="preserve"> solicitaron que la Corte ordene a Guatemala las siguientes medidas de no </w:t>
      </w:r>
      <w:proofErr w:type="spellStart"/>
      <w:r w:rsidR="00841C2D" w:rsidRPr="00653E4F">
        <w:rPr>
          <w:rFonts w:ascii="Verdana" w:hAnsi="Verdana"/>
          <w:sz w:val="20"/>
          <w:szCs w:val="20"/>
        </w:rPr>
        <w:t>repetición</w:t>
      </w:r>
      <w:proofErr w:type="spellEnd"/>
      <w:r w:rsidR="00841C2D" w:rsidRPr="00653E4F">
        <w:rPr>
          <w:rFonts w:ascii="Verdana" w:hAnsi="Verdana"/>
          <w:sz w:val="20"/>
          <w:szCs w:val="20"/>
        </w:rPr>
        <w:t xml:space="preserve">: a) adoptar medidas legislativas para asegurar el acceso a un recurso de </w:t>
      </w:r>
      <w:proofErr w:type="spellStart"/>
      <w:r w:rsidR="00841C2D" w:rsidRPr="00653E4F">
        <w:rPr>
          <w:rFonts w:ascii="Verdana" w:hAnsi="Verdana"/>
          <w:sz w:val="20"/>
          <w:szCs w:val="20"/>
        </w:rPr>
        <w:t>apelación</w:t>
      </w:r>
      <w:proofErr w:type="spellEnd"/>
      <w:r w:rsidR="00841C2D" w:rsidRPr="00653E4F">
        <w:rPr>
          <w:rFonts w:ascii="Verdana" w:hAnsi="Verdana"/>
          <w:sz w:val="20"/>
          <w:szCs w:val="20"/>
        </w:rPr>
        <w:t xml:space="preserve"> adecuado; b) adoptar medidas para garantizar un control judicial adecuado, que garantice el respeto de las </w:t>
      </w:r>
      <w:proofErr w:type="spellStart"/>
      <w:r w:rsidR="00841C2D" w:rsidRPr="00653E4F">
        <w:rPr>
          <w:rFonts w:ascii="Verdana" w:hAnsi="Verdana"/>
          <w:sz w:val="20"/>
          <w:szCs w:val="20"/>
        </w:rPr>
        <w:t>garantías</w:t>
      </w:r>
      <w:proofErr w:type="spellEnd"/>
      <w:r w:rsidR="00841C2D" w:rsidRPr="00653E4F">
        <w:rPr>
          <w:rFonts w:ascii="Verdana" w:hAnsi="Verdana"/>
          <w:sz w:val="20"/>
          <w:szCs w:val="20"/>
        </w:rPr>
        <w:t xml:space="preserve"> judiciales de las personas imputadas; c) adoptar medidas para implementar la </w:t>
      </w:r>
      <w:proofErr w:type="spellStart"/>
      <w:r w:rsidR="00841C2D" w:rsidRPr="00653E4F">
        <w:rPr>
          <w:rFonts w:ascii="Verdana" w:hAnsi="Verdana"/>
          <w:sz w:val="20"/>
          <w:szCs w:val="20"/>
        </w:rPr>
        <w:t>Instrucción</w:t>
      </w:r>
      <w:proofErr w:type="spellEnd"/>
      <w:r w:rsidR="00841C2D" w:rsidRPr="00653E4F">
        <w:rPr>
          <w:rFonts w:ascii="Verdana" w:hAnsi="Verdana"/>
          <w:sz w:val="20"/>
          <w:szCs w:val="20"/>
        </w:rPr>
        <w:t xml:space="preserve"> General 13-2008 del Ministerio </w:t>
      </w:r>
      <w:proofErr w:type="spellStart"/>
      <w:r w:rsidR="00841C2D" w:rsidRPr="00653E4F">
        <w:rPr>
          <w:rFonts w:ascii="Verdana" w:hAnsi="Verdana"/>
          <w:sz w:val="20"/>
          <w:szCs w:val="20"/>
        </w:rPr>
        <w:t>Público</w:t>
      </w:r>
      <w:proofErr w:type="spellEnd"/>
      <w:r w:rsidR="00841C2D" w:rsidRPr="00653E4F">
        <w:rPr>
          <w:rFonts w:ascii="Verdana" w:hAnsi="Verdana"/>
          <w:sz w:val="20"/>
          <w:szCs w:val="20"/>
        </w:rPr>
        <w:t xml:space="preserve">; d) crear un sistema de control, el cual </w:t>
      </w:r>
      <w:proofErr w:type="spellStart"/>
      <w:r w:rsidR="00841C2D" w:rsidRPr="00653E4F">
        <w:rPr>
          <w:rFonts w:ascii="Verdana" w:hAnsi="Verdana"/>
          <w:sz w:val="20"/>
          <w:szCs w:val="20"/>
        </w:rPr>
        <w:t>servira</w:t>
      </w:r>
      <w:proofErr w:type="spellEnd"/>
      <w:r w:rsidR="00841C2D" w:rsidRPr="00653E4F">
        <w:rPr>
          <w:rFonts w:ascii="Verdana" w:hAnsi="Verdana"/>
          <w:sz w:val="20"/>
          <w:szCs w:val="20"/>
        </w:rPr>
        <w:t xml:space="preserve">́ de </w:t>
      </w:r>
      <w:proofErr w:type="spellStart"/>
      <w:r w:rsidR="00841C2D" w:rsidRPr="00653E4F">
        <w:rPr>
          <w:rFonts w:ascii="Verdana" w:hAnsi="Verdana"/>
          <w:sz w:val="20"/>
          <w:szCs w:val="20"/>
        </w:rPr>
        <w:t>órganos</w:t>
      </w:r>
      <w:proofErr w:type="spellEnd"/>
      <w:r w:rsidR="00841C2D" w:rsidRPr="00653E4F">
        <w:rPr>
          <w:rFonts w:ascii="Verdana" w:hAnsi="Verdana"/>
          <w:sz w:val="20"/>
          <w:szCs w:val="20"/>
        </w:rPr>
        <w:t xml:space="preserve"> externos de control policiaco para la PNC; e) implementar un proceso de </w:t>
      </w:r>
      <w:proofErr w:type="spellStart"/>
      <w:r w:rsidR="00841C2D" w:rsidRPr="00653E4F">
        <w:rPr>
          <w:rFonts w:ascii="Verdana" w:hAnsi="Verdana"/>
          <w:sz w:val="20"/>
          <w:szCs w:val="20"/>
        </w:rPr>
        <w:t>reestructuración</w:t>
      </w:r>
      <w:proofErr w:type="spellEnd"/>
      <w:r w:rsidR="00841C2D" w:rsidRPr="00653E4F">
        <w:rPr>
          <w:rFonts w:ascii="Verdana" w:hAnsi="Verdana"/>
          <w:sz w:val="20"/>
          <w:szCs w:val="20"/>
        </w:rPr>
        <w:t xml:space="preserve"> y </w:t>
      </w:r>
      <w:proofErr w:type="spellStart"/>
      <w:r w:rsidR="00841C2D" w:rsidRPr="00653E4F">
        <w:rPr>
          <w:rFonts w:ascii="Verdana" w:hAnsi="Verdana"/>
          <w:sz w:val="20"/>
          <w:szCs w:val="20"/>
        </w:rPr>
        <w:t>depuración</w:t>
      </w:r>
      <w:proofErr w:type="spellEnd"/>
      <w:r w:rsidR="00841C2D" w:rsidRPr="00653E4F">
        <w:rPr>
          <w:rFonts w:ascii="Verdana" w:hAnsi="Verdana"/>
          <w:sz w:val="20"/>
          <w:szCs w:val="20"/>
        </w:rPr>
        <w:t xml:space="preserve"> de la PNC; f) llevar a cabo procesos de </w:t>
      </w:r>
      <w:proofErr w:type="spellStart"/>
      <w:r w:rsidR="00841C2D" w:rsidRPr="00653E4F">
        <w:rPr>
          <w:rFonts w:ascii="Verdana" w:hAnsi="Verdana"/>
          <w:sz w:val="20"/>
          <w:szCs w:val="20"/>
        </w:rPr>
        <w:t>formación</w:t>
      </w:r>
      <w:proofErr w:type="spellEnd"/>
      <w:r w:rsidR="00841C2D" w:rsidRPr="00653E4F">
        <w:rPr>
          <w:rFonts w:ascii="Verdana" w:hAnsi="Verdana"/>
          <w:sz w:val="20"/>
          <w:szCs w:val="20"/>
        </w:rPr>
        <w:t xml:space="preserve"> y </w:t>
      </w:r>
      <w:proofErr w:type="spellStart"/>
      <w:r w:rsidR="00841C2D" w:rsidRPr="00653E4F">
        <w:rPr>
          <w:rFonts w:ascii="Verdana" w:hAnsi="Verdana"/>
          <w:sz w:val="20"/>
          <w:szCs w:val="20"/>
        </w:rPr>
        <w:t>capacitación</w:t>
      </w:r>
      <w:proofErr w:type="spellEnd"/>
      <w:r w:rsidR="00841C2D" w:rsidRPr="00653E4F">
        <w:rPr>
          <w:rFonts w:ascii="Verdana" w:hAnsi="Verdana"/>
          <w:sz w:val="20"/>
          <w:szCs w:val="20"/>
        </w:rPr>
        <w:t xml:space="preserve"> para regular el uso adecuado de la fuerza en los encargados de la seguridad; y g) otorgar una beca de estudios a los tres hijos de Tirso </w:t>
      </w:r>
      <w:proofErr w:type="spellStart"/>
      <w:r w:rsidR="00841C2D" w:rsidRPr="00653E4F">
        <w:rPr>
          <w:rFonts w:ascii="Verdana" w:hAnsi="Verdana"/>
          <w:sz w:val="20"/>
          <w:szCs w:val="20"/>
        </w:rPr>
        <w:t>Román</w:t>
      </w:r>
      <w:proofErr w:type="spellEnd"/>
      <w:r w:rsidR="00841C2D" w:rsidRPr="00653E4F">
        <w:rPr>
          <w:rFonts w:ascii="Verdana" w:hAnsi="Verdana"/>
          <w:sz w:val="20"/>
          <w:szCs w:val="20"/>
        </w:rPr>
        <w:t xml:space="preserve"> Valenzuela.</w:t>
      </w:r>
      <w:r w:rsidR="000F4976" w:rsidRPr="00653E4F">
        <w:rPr>
          <w:rFonts w:ascii="Verdana" w:hAnsi="Verdana"/>
          <w:sz w:val="20"/>
          <w:szCs w:val="20"/>
        </w:rPr>
        <w:t xml:space="preserve"> </w:t>
      </w:r>
    </w:p>
    <w:p w14:paraId="7A22291F" w14:textId="77777777" w:rsidR="005F0BFF" w:rsidRPr="00653E4F" w:rsidRDefault="005F0BFF" w:rsidP="005F0BFF">
      <w:pPr>
        <w:pStyle w:val="Prrafodelista"/>
        <w:autoSpaceDE w:val="0"/>
        <w:autoSpaceDN w:val="0"/>
        <w:adjustRightInd w:val="0"/>
        <w:spacing w:after="0" w:line="240" w:lineRule="auto"/>
        <w:ind w:left="0"/>
        <w:jc w:val="both"/>
        <w:rPr>
          <w:rFonts w:ascii="Verdana" w:hAnsi="Verdana"/>
          <w:sz w:val="20"/>
          <w:szCs w:val="20"/>
          <w:lang w:val="es-CR"/>
        </w:rPr>
      </w:pPr>
    </w:p>
    <w:p w14:paraId="0B908200" w14:textId="77777777" w:rsidR="005F0BFF" w:rsidRDefault="000F4976" w:rsidP="005F0BFF">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653E4F">
        <w:rPr>
          <w:rFonts w:ascii="Verdana" w:hAnsi="Verdana"/>
          <w:sz w:val="20"/>
          <w:szCs w:val="20"/>
        </w:rPr>
        <w:t xml:space="preserve">En cuanto a las referidas medidas de reparación solicitadas, </w:t>
      </w:r>
      <w:r w:rsidRPr="00653E4F">
        <w:rPr>
          <w:rFonts w:ascii="Verdana" w:hAnsi="Verdana"/>
          <w:sz w:val="20"/>
          <w:szCs w:val="20"/>
          <w:lang w:val="es-CR"/>
        </w:rPr>
        <w:t xml:space="preserve">la </w:t>
      </w:r>
      <w:r w:rsidRPr="00653E4F">
        <w:rPr>
          <w:rFonts w:ascii="Verdana" w:hAnsi="Verdana"/>
          <w:b/>
          <w:i/>
          <w:sz w:val="20"/>
          <w:szCs w:val="20"/>
          <w:lang w:val="es-CR"/>
        </w:rPr>
        <w:t>Corte</w:t>
      </w:r>
      <w:r w:rsidRPr="00653E4F">
        <w:rPr>
          <w:rFonts w:ascii="Verdana" w:hAnsi="Verdana"/>
          <w:sz w:val="20"/>
          <w:szCs w:val="20"/>
          <w:lang w:val="es-CR"/>
        </w:rPr>
        <w:t xml:space="preserve"> </w:t>
      </w:r>
      <w:r w:rsidRPr="00653E4F">
        <w:rPr>
          <w:rFonts w:ascii="Verdana" w:hAnsi="Verdana"/>
          <w:sz w:val="20"/>
          <w:szCs w:val="20"/>
        </w:rPr>
        <w:t>considera que la emisión de la presente Sentencia y las reparaciones ordenadas en este Ca</w:t>
      </w:r>
      <w:r w:rsidRPr="005F0BFF">
        <w:rPr>
          <w:rFonts w:ascii="Verdana" w:hAnsi="Verdana"/>
          <w:sz w:val="20"/>
          <w:szCs w:val="20"/>
        </w:rPr>
        <w:t xml:space="preserve">pítulo resultan suficientes y adecuadas para remediar las violaciones sufridas por la víctima y no estima necesario ordenar medidas adicionales. Además, cabe señalar que algunas de las medidas solicitadas no tienen un nexo causal con las violaciones declaradas en la presente sentencia, por lo que no encuentra necesario ordenarlas y otras ya han sido ordenadas al Estado en otro caso. </w:t>
      </w:r>
    </w:p>
    <w:p w14:paraId="41D7F7AB" w14:textId="77777777" w:rsidR="005F0BFF" w:rsidRPr="005F0BFF" w:rsidRDefault="005F0BFF" w:rsidP="005F0BFF">
      <w:pPr>
        <w:pStyle w:val="Prrafodelista"/>
        <w:rPr>
          <w:rFonts w:ascii="Verdana" w:hAnsi="Verdana"/>
          <w:sz w:val="20"/>
          <w:szCs w:val="20"/>
          <w:lang w:val="es-CR"/>
        </w:rPr>
      </w:pPr>
    </w:p>
    <w:p w14:paraId="181F54CC" w14:textId="4D099B02" w:rsidR="005F0BFF" w:rsidRPr="002403A4" w:rsidRDefault="000F4976" w:rsidP="002403A4">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5F0BFF">
        <w:rPr>
          <w:rFonts w:ascii="Verdana" w:hAnsi="Verdana"/>
          <w:sz w:val="20"/>
          <w:szCs w:val="20"/>
          <w:lang w:val="es-CR"/>
        </w:rPr>
        <w:t xml:space="preserve">Por otro lado, los </w:t>
      </w:r>
      <w:r w:rsidRPr="005F0BFF">
        <w:rPr>
          <w:rFonts w:ascii="Verdana" w:hAnsi="Verdana"/>
          <w:b/>
          <w:i/>
          <w:sz w:val="20"/>
          <w:szCs w:val="20"/>
          <w:lang w:val="es-CR"/>
        </w:rPr>
        <w:t>representantes</w:t>
      </w:r>
      <w:r w:rsidRPr="005F0BFF">
        <w:rPr>
          <w:rFonts w:ascii="Verdana" w:hAnsi="Verdana"/>
          <w:sz w:val="20"/>
          <w:szCs w:val="20"/>
          <w:lang w:val="es-CR"/>
        </w:rPr>
        <w:t xml:space="preserve"> en sus alegatos finales solicitaron por </w:t>
      </w:r>
      <w:r w:rsidR="00A922FC" w:rsidRPr="005F0BFF">
        <w:rPr>
          <w:rFonts w:ascii="Verdana" w:hAnsi="Verdana"/>
          <w:sz w:val="20"/>
          <w:szCs w:val="20"/>
          <w:lang w:val="es-CR"/>
        </w:rPr>
        <w:t>primera vez otras</w:t>
      </w:r>
      <w:r w:rsidRPr="005F0BFF">
        <w:rPr>
          <w:rFonts w:ascii="Verdana" w:hAnsi="Verdana"/>
          <w:sz w:val="20"/>
          <w:szCs w:val="20"/>
          <w:lang w:val="es-CR"/>
        </w:rPr>
        <w:t xml:space="preserve"> medidas</w:t>
      </w:r>
      <w:r w:rsidR="008E3263" w:rsidRPr="008E3263">
        <w:rPr>
          <w:rFonts w:ascii="Verdana" w:hAnsi="Verdana"/>
          <w:sz w:val="20"/>
          <w:szCs w:val="20"/>
          <w:vertAlign w:val="superscript"/>
          <w:lang w:val="es-CR"/>
        </w:rPr>
        <w:footnoteReference w:id="198"/>
      </w:r>
      <w:r w:rsidR="00083DAA">
        <w:rPr>
          <w:rFonts w:ascii="Verdana" w:hAnsi="Verdana"/>
          <w:sz w:val="20"/>
          <w:szCs w:val="20"/>
          <w:lang w:val="es-CR"/>
        </w:rPr>
        <w:t xml:space="preserve">. </w:t>
      </w:r>
      <w:r w:rsidRPr="005F0BFF">
        <w:rPr>
          <w:rFonts w:ascii="Verdana" w:hAnsi="Verdana"/>
          <w:sz w:val="20"/>
          <w:szCs w:val="20"/>
          <w:lang w:val="es-CR"/>
        </w:rPr>
        <w:t xml:space="preserve">La Corte considera que dichas solicitudes fueron presentadas extemporáneamente, por lo que </w:t>
      </w:r>
      <w:r w:rsidR="00A922FC" w:rsidRPr="005F0BFF">
        <w:rPr>
          <w:rFonts w:ascii="Verdana" w:hAnsi="Verdana"/>
          <w:sz w:val="20"/>
          <w:szCs w:val="20"/>
          <w:lang w:val="es-CR"/>
        </w:rPr>
        <w:t xml:space="preserve">no se </w:t>
      </w:r>
      <w:r w:rsidRPr="005F0BFF">
        <w:rPr>
          <w:rFonts w:ascii="Verdana" w:hAnsi="Verdana"/>
          <w:sz w:val="20"/>
          <w:szCs w:val="20"/>
          <w:lang w:val="es-CR"/>
        </w:rPr>
        <w:t>pronunciará al respecto.</w:t>
      </w:r>
    </w:p>
    <w:p w14:paraId="23DBAF7C" w14:textId="77777777" w:rsidR="008448A1" w:rsidRPr="008448A1" w:rsidRDefault="005F0BFF" w:rsidP="008448A1">
      <w:pPr>
        <w:pStyle w:val="Ttulo2"/>
        <w:numPr>
          <w:ilvl w:val="0"/>
          <w:numId w:val="13"/>
        </w:numPr>
        <w:rPr>
          <w:lang w:val="es-CR"/>
        </w:rPr>
      </w:pPr>
      <w:bookmarkStart w:id="87" w:name="_Toc25247797"/>
      <w:r w:rsidRPr="0008013B">
        <w:rPr>
          <w:lang w:val="es-CR"/>
        </w:rPr>
        <w:t>Indemnización compensatoria</w:t>
      </w:r>
      <w:bookmarkEnd w:id="87"/>
      <w:r w:rsidRPr="0008013B">
        <w:rPr>
          <w:lang w:val="es-CR"/>
        </w:rPr>
        <w:t xml:space="preserve"> </w:t>
      </w:r>
    </w:p>
    <w:p w14:paraId="3DE7F23A" w14:textId="77777777" w:rsidR="008448A1" w:rsidRDefault="008448A1" w:rsidP="008448A1">
      <w:pPr>
        <w:pStyle w:val="Ttulo3"/>
        <w:spacing w:before="0"/>
        <w:rPr>
          <w:b w:val="0"/>
          <w:lang w:val="es-CR"/>
        </w:rPr>
      </w:pPr>
    </w:p>
    <w:p w14:paraId="06446E2B" w14:textId="77777777" w:rsidR="00260B69" w:rsidRDefault="005F0BFF" w:rsidP="002A02D4">
      <w:pPr>
        <w:pStyle w:val="Ttulo3"/>
        <w:spacing w:before="0"/>
        <w:ind w:left="706"/>
        <w:rPr>
          <w:b w:val="0"/>
          <w:lang w:val="es-CR"/>
        </w:rPr>
      </w:pPr>
      <w:bookmarkStart w:id="88" w:name="_Toc25247798"/>
      <w:r w:rsidRPr="00FF3FAE">
        <w:rPr>
          <w:b w:val="0"/>
          <w:lang w:val="es-CR"/>
        </w:rPr>
        <w:t>F.1. Daño Material</w:t>
      </w:r>
      <w:bookmarkEnd w:id="88"/>
    </w:p>
    <w:p w14:paraId="75348377" w14:textId="77777777" w:rsidR="00AD7BE9" w:rsidRPr="00AD7BE9" w:rsidRDefault="00AD7BE9" w:rsidP="00AD7BE9">
      <w:pPr>
        <w:spacing w:after="0"/>
        <w:rPr>
          <w:lang w:val="es-CR"/>
        </w:rPr>
      </w:pPr>
    </w:p>
    <w:p w14:paraId="0A432BF6" w14:textId="77777777" w:rsidR="008448A1" w:rsidRPr="008448A1" w:rsidRDefault="005F0BFF" w:rsidP="00AD7BE9">
      <w:pPr>
        <w:pStyle w:val="Ttulo4"/>
        <w:spacing w:before="0" w:line="240" w:lineRule="auto"/>
        <w:ind w:left="1411"/>
        <w:rPr>
          <w:lang w:val="es-CR"/>
        </w:rPr>
      </w:pPr>
      <w:bookmarkStart w:id="89" w:name="_Toc25247799"/>
      <w:r>
        <w:rPr>
          <w:lang w:val="es-CR"/>
        </w:rPr>
        <w:t>F</w:t>
      </w:r>
      <w:r w:rsidRPr="00D57474">
        <w:rPr>
          <w:lang w:val="es-CR"/>
        </w:rPr>
        <w:t>.1.1. Daño Emergente</w:t>
      </w:r>
      <w:bookmarkEnd w:id="89"/>
    </w:p>
    <w:p w14:paraId="4DFA22A8" w14:textId="77777777" w:rsidR="008448A1" w:rsidRDefault="008448A1" w:rsidP="008448A1">
      <w:pPr>
        <w:pStyle w:val="Prrafodelista"/>
        <w:autoSpaceDE w:val="0"/>
        <w:autoSpaceDN w:val="0"/>
        <w:adjustRightInd w:val="0"/>
        <w:spacing w:after="0" w:line="240" w:lineRule="auto"/>
        <w:ind w:left="0"/>
        <w:jc w:val="both"/>
        <w:rPr>
          <w:rFonts w:ascii="Verdana" w:hAnsi="Verdana"/>
          <w:sz w:val="20"/>
          <w:szCs w:val="20"/>
          <w:lang w:val="es-CR"/>
        </w:rPr>
      </w:pPr>
    </w:p>
    <w:p w14:paraId="101059E8" w14:textId="68AD0E51" w:rsidR="005F0BFF" w:rsidRDefault="00D969DA" w:rsidP="005F0BFF">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5F0BFF">
        <w:rPr>
          <w:rFonts w:ascii="Verdana" w:hAnsi="Verdana"/>
          <w:sz w:val="20"/>
          <w:szCs w:val="20"/>
          <w:lang w:val="es-CR"/>
        </w:rPr>
        <w:t xml:space="preserve">Los </w:t>
      </w:r>
      <w:r w:rsidR="00953DA5">
        <w:rPr>
          <w:rFonts w:ascii="Verdana" w:hAnsi="Verdana"/>
          <w:b/>
          <w:i/>
          <w:sz w:val="20"/>
          <w:szCs w:val="20"/>
          <w:lang w:val="es-CR"/>
        </w:rPr>
        <w:t>r</w:t>
      </w:r>
      <w:r w:rsidRPr="005F0BFF">
        <w:rPr>
          <w:rFonts w:ascii="Verdana" w:hAnsi="Verdana"/>
          <w:b/>
          <w:i/>
          <w:sz w:val="20"/>
          <w:szCs w:val="20"/>
          <w:lang w:val="es-CR"/>
        </w:rPr>
        <w:t>epresentantes</w:t>
      </w:r>
      <w:r w:rsidRPr="005F0BFF">
        <w:rPr>
          <w:rFonts w:ascii="Verdana" w:hAnsi="Verdana"/>
          <w:sz w:val="20"/>
          <w:szCs w:val="20"/>
          <w:lang w:val="es-CR"/>
        </w:rPr>
        <w:t xml:space="preserve"> señalaron que corresponde a los gastos que los familiares del señor Valenzuela Ávila han tenido que realizar para trasladarse a visitarlo cuando estaba detenido, y después de su muerte en la búsqueda de justicia. Debido al transcurso del tiempo</w:t>
      </w:r>
      <w:r w:rsidR="0066681E">
        <w:rPr>
          <w:rFonts w:ascii="Verdana" w:hAnsi="Verdana"/>
          <w:sz w:val="20"/>
          <w:szCs w:val="20"/>
          <w:lang w:val="es-CR"/>
        </w:rPr>
        <w:t>.</w:t>
      </w:r>
      <w:r w:rsidRPr="005F0BFF">
        <w:rPr>
          <w:rFonts w:ascii="Verdana" w:hAnsi="Verdana"/>
          <w:sz w:val="20"/>
          <w:szCs w:val="20"/>
          <w:lang w:val="es-CR"/>
        </w:rPr>
        <w:t xml:space="preserve"> </w:t>
      </w:r>
      <w:r w:rsidR="0066681E">
        <w:rPr>
          <w:rFonts w:ascii="Verdana" w:hAnsi="Verdana"/>
          <w:sz w:val="20"/>
          <w:szCs w:val="20"/>
          <w:lang w:val="es-CR"/>
        </w:rPr>
        <w:t>L</w:t>
      </w:r>
      <w:r w:rsidRPr="005F0BFF">
        <w:rPr>
          <w:rFonts w:ascii="Verdana" w:hAnsi="Verdana"/>
          <w:sz w:val="20"/>
          <w:szCs w:val="20"/>
          <w:lang w:val="es-CR"/>
        </w:rPr>
        <w:t>os familiares de la víctima no cuentan con los comprobantes de los gastos antes mencionados. Por lo que solicitaron a la Corte que determine en equidad la cantidad correspondiente al daño material que deberá ser entregada a los familiares</w:t>
      </w:r>
      <w:r w:rsidR="00F564C9" w:rsidRPr="005F0BFF">
        <w:rPr>
          <w:rFonts w:ascii="Verdana" w:hAnsi="Verdana"/>
          <w:sz w:val="20"/>
          <w:szCs w:val="20"/>
          <w:lang w:val="es-CR"/>
        </w:rPr>
        <w:t>.</w:t>
      </w:r>
      <w:r w:rsidRPr="005F0BFF">
        <w:rPr>
          <w:rFonts w:ascii="Verdana" w:hAnsi="Verdana"/>
          <w:sz w:val="20"/>
          <w:szCs w:val="20"/>
          <w:lang w:val="es-CR"/>
        </w:rPr>
        <w:t xml:space="preserve"> La </w:t>
      </w:r>
      <w:r w:rsidRPr="005F0BFF">
        <w:rPr>
          <w:rFonts w:ascii="Verdana" w:hAnsi="Verdana"/>
          <w:b/>
          <w:i/>
          <w:sz w:val="20"/>
          <w:szCs w:val="20"/>
          <w:lang w:val="es-CR"/>
        </w:rPr>
        <w:t>Comisión</w:t>
      </w:r>
      <w:r w:rsidRPr="005F0BFF">
        <w:rPr>
          <w:rFonts w:ascii="Verdana" w:hAnsi="Verdana"/>
          <w:sz w:val="20"/>
          <w:szCs w:val="20"/>
          <w:lang w:val="es-CR"/>
        </w:rPr>
        <w:t xml:space="preserve"> solicitó repara</w:t>
      </w:r>
      <w:r w:rsidR="001F5D63">
        <w:rPr>
          <w:rFonts w:ascii="Verdana" w:hAnsi="Verdana"/>
          <w:sz w:val="20"/>
          <w:szCs w:val="20"/>
          <w:lang w:val="es-CR"/>
        </w:rPr>
        <w:t>r</w:t>
      </w:r>
      <w:r w:rsidRPr="005F0BFF">
        <w:rPr>
          <w:rFonts w:ascii="Verdana" w:hAnsi="Verdana"/>
          <w:sz w:val="20"/>
          <w:szCs w:val="20"/>
          <w:lang w:val="es-CR"/>
        </w:rPr>
        <w:t xml:space="preserve"> integralmente tanto en el aspecto material como inmaterial a los familiares del señor Valenzuela Ávila.</w:t>
      </w:r>
      <w:r w:rsidR="000F4976" w:rsidRPr="005F0BFF">
        <w:rPr>
          <w:rFonts w:ascii="Verdana" w:hAnsi="Verdana"/>
          <w:sz w:val="20"/>
          <w:szCs w:val="20"/>
          <w:lang w:val="es-CR"/>
        </w:rPr>
        <w:t xml:space="preserve"> </w:t>
      </w:r>
      <w:r w:rsidR="005C6A92" w:rsidRPr="005F0BFF">
        <w:rPr>
          <w:rFonts w:ascii="Verdana" w:hAnsi="Verdana"/>
          <w:sz w:val="20"/>
          <w:szCs w:val="20"/>
          <w:lang w:val="es-CR"/>
        </w:rPr>
        <w:t>E</w:t>
      </w:r>
      <w:r w:rsidRPr="005F0BFF">
        <w:rPr>
          <w:rFonts w:ascii="Verdana" w:hAnsi="Verdana"/>
          <w:sz w:val="20"/>
          <w:szCs w:val="20"/>
          <w:lang w:val="es-CR"/>
        </w:rPr>
        <w:t xml:space="preserve">l </w:t>
      </w:r>
      <w:r w:rsidRPr="005F0BFF">
        <w:rPr>
          <w:rFonts w:ascii="Verdana" w:hAnsi="Verdana"/>
          <w:b/>
          <w:i/>
          <w:sz w:val="20"/>
          <w:szCs w:val="20"/>
          <w:lang w:val="es-CR"/>
        </w:rPr>
        <w:t>Estado</w:t>
      </w:r>
      <w:r w:rsidRPr="005F0BFF">
        <w:rPr>
          <w:rFonts w:ascii="Verdana" w:hAnsi="Verdana"/>
          <w:sz w:val="20"/>
          <w:szCs w:val="20"/>
          <w:lang w:val="es-CR"/>
        </w:rPr>
        <w:t xml:space="preserve"> alegó que </w:t>
      </w:r>
      <w:r w:rsidR="005C6A92" w:rsidRPr="005F0BFF">
        <w:rPr>
          <w:rFonts w:ascii="Verdana" w:hAnsi="Verdana"/>
          <w:sz w:val="20"/>
          <w:szCs w:val="20"/>
          <w:lang w:val="es-CR"/>
        </w:rPr>
        <w:t xml:space="preserve">no </w:t>
      </w:r>
      <w:r w:rsidR="008C3901">
        <w:rPr>
          <w:rFonts w:ascii="Verdana" w:hAnsi="Verdana"/>
          <w:sz w:val="20"/>
          <w:szCs w:val="20"/>
          <w:lang w:val="es-CR"/>
        </w:rPr>
        <w:t xml:space="preserve">debe ser </w:t>
      </w:r>
      <w:r w:rsidRPr="005F0BFF">
        <w:rPr>
          <w:rFonts w:ascii="Verdana" w:hAnsi="Verdana"/>
          <w:sz w:val="20"/>
          <w:szCs w:val="20"/>
          <w:lang w:val="es-CR"/>
        </w:rPr>
        <w:t>condena</w:t>
      </w:r>
      <w:r w:rsidR="008C3901">
        <w:rPr>
          <w:rFonts w:ascii="Verdana" w:hAnsi="Verdana"/>
          <w:sz w:val="20"/>
          <w:szCs w:val="20"/>
          <w:lang w:val="es-CR"/>
        </w:rPr>
        <w:t>d</w:t>
      </w:r>
      <w:r w:rsidRPr="005F0BFF">
        <w:rPr>
          <w:rFonts w:ascii="Verdana" w:hAnsi="Verdana"/>
          <w:sz w:val="20"/>
          <w:szCs w:val="20"/>
          <w:lang w:val="es-CR"/>
        </w:rPr>
        <w:t>o a ningún tipo de reparación.</w:t>
      </w:r>
    </w:p>
    <w:p w14:paraId="4F59B379" w14:textId="77777777" w:rsidR="00AD7BE9" w:rsidRDefault="00AD7BE9" w:rsidP="00AD7BE9">
      <w:pPr>
        <w:pStyle w:val="Prrafodelista"/>
        <w:autoSpaceDE w:val="0"/>
        <w:autoSpaceDN w:val="0"/>
        <w:adjustRightInd w:val="0"/>
        <w:spacing w:after="0" w:line="240" w:lineRule="auto"/>
        <w:ind w:left="0"/>
        <w:jc w:val="both"/>
        <w:rPr>
          <w:rFonts w:ascii="Verdana" w:hAnsi="Verdana"/>
          <w:sz w:val="20"/>
          <w:szCs w:val="20"/>
          <w:lang w:val="es-CR"/>
        </w:rPr>
      </w:pPr>
    </w:p>
    <w:p w14:paraId="67BAF3EB" w14:textId="77777777" w:rsidR="00796BBA" w:rsidRPr="005F0BFF" w:rsidRDefault="00796BBA" w:rsidP="00AD7BE9">
      <w:pPr>
        <w:pStyle w:val="Prrafodelista"/>
        <w:autoSpaceDE w:val="0"/>
        <w:autoSpaceDN w:val="0"/>
        <w:adjustRightInd w:val="0"/>
        <w:spacing w:after="0" w:line="240" w:lineRule="auto"/>
        <w:ind w:left="0"/>
        <w:jc w:val="both"/>
        <w:rPr>
          <w:rFonts w:ascii="Verdana" w:hAnsi="Verdana"/>
          <w:sz w:val="20"/>
          <w:szCs w:val="20"/>
          <w:lang w:val="es-CR"/>
        </w:rPr>
      </w:pPr>
    </w:p>
    <w:p w14:paraId="5E55C8B6" w14:textId="77777777" w:rsidR="005F0BFF" w:rsidRDefault="005F0BFF" w:rsidP="002A02D4">
      <w:pPr>
        <w:pStyle w:val="Ttulo4"/>
        <w:spacing w:before="0"/>
        <w:ind w:left="1411"/>
        <w:rPr>
          <w:lang w:val="es-CR"/>
        </w:rPr>
      </w:pPr>
      <w:bookmarkStart w:id="90" w:name="_Toc25247800"/>
      <w:r>
        <w:rPr>
          <w:lang w:val="es-CR"/>
        </w:rPr>
        <w:t>F</w:t>
      </w:r>
      <w:r w:rsidRPr="00D57474">
        <w:rPr>
          <w:lang w:val="es-CR"/>
        </w:rPr>
        <w:t>.1.2. Pérdidas de Ingresos</w:t>
      </w:r>
      <w:bookmarkEnd w:id="90"/>
    </w:p>
    <w:p w14:paraId="1C01C722" w14:textId="77777777" w:rsidR="005F0BFF" w:rsidRDefault="005F0BFF" w:rsidP="005F0BFF">
      <w:pPr>
        <w:pStyle w:val="Prrafodelista"/>
        <w:autoSpaceDE w:val="0"/>
        <w:autoSpaceDN w:val="0"/>
        <w:adjustRightInd w:val="0"/>
        <w:spacing w:after="0" w:line="240" w:lineRule="auto"/>
        <w:ind w:left="0"/>
        <w:jc w:val="both"/>
        <w:rPr>
          <w:rFonts w:ascii="Verdana" w:hAnsi="Verdana"/>
          <w:sz w:val="20"/>
          <w:szCs w:val="20"/>
          <w:lang w:val="es-CR"/>
        </w:rPr>
      </w:pPr>
    </w:p>
    <w:p w14:paraId="0B41351A" w14:textId="77777777" w:rsidR="005F0BFF" w:rsidRPr="005F0BFF" w:rsidRDefault="00D969DA" w:rsidP="005F0BFF">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5F0BFF">
        <w:rPr>
          <w:rFonts w:ascii="Verdana" w:hAnsi="Verdana"/>
          <w:sz w:val="20"/>
          <w:szCs w:val="20"/>
          <w:lang w:val="es-CR"/>
        </w:rPr>
        <w:t xml:space="preserve">Los </w:t>
      </w:r>
      <w:r w:rsidRPr="005F0BFF">
        <w:rPr>
          <w:rFonts w:ascii="Verdana" w:hAnsi="Verdana"/>
          <w:b/>
          <w:i/>
          <w:sz w:val="20"/>
          <w:szCs w:val="20"/>
          <w:lang w:val="es-CR"/>
        </w:rPr>
        <w:t>representantes</w:t>
      </w:r>
      <w:r w:rsidRPr="005F0BFF">
        <w:rPr>
          <w:rFonts w:ascii="Verdana" w:hAnsi="Verdana"/>
          <w:sz w:val="20"/>
          <w:szCs w:val="20"/>
          <w:lang w:val="es-CR"/>
        </w:rPr>
        <w:t xml:space="preserve"> solicitaron que por concepto de lucro cesante se fije un monto en equidad, y se pueda reembolsar los salarios no devengados por la víctima desde el momento de su detención hasta la fecha. Alegaron que el señor Valenzuela Ávila “era mecánico automotriz, quien contaba con un taller propio ubicado en Flores Costa Cuca, Quetzaltenango”. </w:t>
      </w:r>
      <w:r w:rsidR="00491AF9" w:rsidRPr="005F0BFF">
        <w:rPr>
          <w:rFonts w:ascii="Verdana" w:hAnsi="Verdana"/>
          <w:sz w:val="18"/>
          <w:szCs w:val="20"/>
          <w:lang w:val="es-CR"/>
        </w:rPr>
        <w:t xml:space="preserve"> </w:t>
      </w:r>
      <w:r w:rsidRPr="005F0BFF">
        <w:rPr>
          <w:rFonts w:ascii="Verdana" w:hAnsi="Verdana"/>
          <w:sz w:val="20"/>
          <w:szCs w:val="20"/>
          <w:lang w:val="es-CR"/>
        </w:rPr>
        <w:t xml:space="preserve">La </w:t>
      </w:r>
      <w:r w:rsidRPr="005F0BFF">
        <w:rPr>
          <w:rFonts w:ascii="Verdana" w:hAnsi="Verdana"/>
          <w:b/>
          <w:i/>
          <w:sz w:val="20"/>
          <w:szCs w:val="20"/>
          <w:lang w:val="es-CR"/>
        </w:rPr>
        <w:t>Comisión</w:t>
      </w:r>
      <w:r w:rsidR="0050028C">
        <w:rPr>
          <w:rFonts w:ascii="Verdana" w:hAnsi="Verdana"/>
          <w:sz w:val="20"/>
          <w:szCs w:val="20"/>
          <w:lang w:val="es-CR"/>
        </w:rPr>
        <w:t xml:space="preserve"> </w:t>
      </w:r>
      <w:r w:rsidR="009A263C" w:rsidRPr="005F0BFF">
        <w:rPr>
          <w:rFonts w:ascii="Verdana" w:hAnsi="Verdana"/>
          <w:sz w:val="20"/>
          <w:szCs w:val="20"/>
          <w:lang w:val="es-CR"/>
        </w:rPr>
        <w:t xml:space="preserve">y el </w:t>
      </w:r>
      <w:r w:rsidR="009A263C" w:rsidRPr="005F0BFF">
        <w:rPr>
          <w:rFonts w:ascii="Verdana" w:hAnsi="Verdana"/>
          <w:b/>
          <w:i/>
          <w:sz w:val="20"/>
          <w:szCs w:val="20"/>
          <w:lang w:val="es-CR"/>
        </w:rPr>
        <w:t>Estado</w:t>
      </w:r>
      <w:r w:rsidR="009A263C" w:rsidRPr="005F0BFF">
        <w:rPr>
          <w:rFonts w:ascii="Verdana" w:hAnsi="Verdana"/>
          <w:sz w:val="20"/>
          <w:szCs w:val="20"/>
          <w:lang w:val="es-CR"/>
        </w:rPr>
        <w:t xml:space="preserve"> reiteraron, respectivamente sus</w:t>
      </w:r>
      <w:r w:rsidR="001F5D63">
        <w:rPr>
          <w:rFonts w:ascii="Verdana" w:hAnsi="Verdana"/>
          <w:sz w:val="20"/>
          <w:szCs w:val="20"/>
          <w:lang w:val="es-CR"/>
        </w:rPr>
        <w:t xml:space="preserve"> alegaciones</w:t>
      </w:r>
      <w:r w:rsidR="00B419FB" w:rsidRPr="005F0BFF">
        <w:rPr>
          <w:rFonts w:ascii="Verdana" w:hAnsi="Verdana"/>
          <w:sz w:val="20"/>
          <w:szCs w:val="20"/>
          <w:lang w:val="es-CR"/>
        </w:rPr>
        <w:t>.</w:t>
      </w:r>
    </w:p>
    <w:p w14:paraId="5F9EE070" w14:textId="77777777" w:rsidR="005F0BFF" w:rsidRPr="00FF3FAE" w:rsidRDefault="005F0BFF" w:rsidP="005F0BFF">
      <w:pPr>
        <w:pStyle w:val="Ttulo3"/>
        <w:rPr>
          <w:b w:val="0"/>
          <w:lang w:val="es-CR"/>
        </w:rPr>
      </w:pPr>
      <w:bookmarkStart w:id="91" w:name="_Toc25247801"/>
      <w:r w:rsidRPr="00FF3FAE">
        <w:rPr>
          <w:b w:val="0"/>
          <w:lang w:val="es-CR"/>
        </w:rPr>
        <w:lastRenderedPageBreak/>
        <w:t>F.2. Daño Inmaterial</w:t>
      </w:r>
      <w:bookmarkEnd w:id="91"/>
    </w:p>
    <w:p w14:paraId="6D151927" w14:textId="77777777" w:rsidR="005F0BFF" w:rsidRDefault="005F0BFF" w:rsidP="005F0BFF">
      <w:pPr>
        <w:pStyle w:val="Prrafodelista"/>
        <w:autoSpaceDE w:val="0"/>
        <w:autoSpaceDN w:val="0"/>
        <w:adjustRightInd w:val="0"/>
        <w:spacing w:after="0" w:line="240" w:lineRule="auto"/>
        <w:ind w:left="0"/>
        <w:jc w:val="both"/>
        <w:rPr>
          <w:rFonts w:ascii="Verdana" w:hAnsi="Verdana"/>
          <w:sz w:val="20"/>
          <w:szCs w:val="20"/>
          <w:lang w:val="es-CR"/>
        </w:rPr>
      </w:pPr>
    </w:p>
    <w:p w14:paraId="5D72DFA8" w14:textId="7092B5A7" w:rsidR="005F0BFF" w:rsidRDefault="00D969DA" w:rsidP="005F0BFF">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5F0BFF">
        <w:rPr>
          <w:rFonts w:ascii="Verdana" w:hAnsi="Verdana"/>
          <w:sz w:val="20"/>
          <w:szCs w:val="20"/>
          <w:lang w:val="es-CR"/>
        </w:rPr>
        <w:t xml:space="preserve">En cuanto al daño inmaterial, los </w:t>
      </w:r>
      <w:r w:rsidRPr="005F0BFF">
        <w:rPr>
          <w:rFonts w:ascii="Verdana" w:hAnsi="Verdana"/>
          <w:b/>
          <w:i/>
          <w:sz w:val="20"/>
          <w:szCs w:val="20"/>
          <w:lang w:val="es-CR"/>
        </w:rPr>
        <w:t>representantes</w:t>
      </w:r>
      <w:r w:rsidRPr="005F0BFF">
        <w:rPr>
          <w:rFonts w:ascii="Verdana" w:hAnsi="Verdana"/>
          <w:sz w:val="20"/>
          <w:szCs w:val="20"/>
          <w:lang w:val="es-CR"/>
        </w:rPr>
        <w:t xml:space="preserve"> en el </w:t>
      </w:r>
      <w:r w:rsidR="00953DA5">
        <w:rPr>
          <w:rFonts w:ascii="Verdana" w:hAnsi="Verdana"/>
          <w:sz w:val="20"/>
          <w:szCs w:val="20"/>
          <w:lang w:val="es-CR"/>
        </w:rPr>
        <w:t>escrito de solicitudes y argumentos</w:t>
      </w:r>
      <w:r w:rsidR="000E33CE">
        <w:rPr>
          <w:rFonts w:ascii="Verdana" w:hAnsi="Verdana"/>
          <w:sz w:val="20"/>
          <w:szCs w:val="20"/>
          <w:lang w:val="es-CR"/>
        </w:rPr>
        <w:t xml:space="preserve"> </w:t>
      </w:r>
      <w:r w:rsidRPr="005F0BFF">
        <w:rPr>
          <w:rFonts w:ascii="Verdana" w:hAnsi="Verdana"/>
          <w:sz w:val="20"/>
          <w:szCs w:val="20"/>
          <w:lang w:val="es-CR"/>
        </w:rPr>
        <w:t>solicitaron a la Corte que ordene al Estado el pago en térm</w:t>
      </w:r>
      <w:r w:rsidR="003B58CA" w:rsidRPr="005F0BFF">
        <w:rPr>
          <w:rFonts w:ascii="Verdana" w:hAnsi="Verdana"/>
          <w:sz w:val="20"/>
          <w:szCs w:val="20"/>
          <w:lang w:val="es-CR"/>
        </w:rPr>
        <w:t>inos de equidad</w:t>
      </w:r>
      <w:r w:rsidR="002A10DC">
        <w:rPr>
          <w:rFonts w:ascii="Verdana" w:hAnsi="Verdana"/>
          <w:sz w:val="20"/>
          <w:szCs w:val="20"/>
          <w:lang w:val="es-CR"/>
        </w:rPr>
        <w:t xml:space="preserve"> de</w:t>
      </w:r>
      <w:r w:rsidR="003B58CA" w:rsidRPr="005F0BFF">
        <w:rPr>
          <w:rFonts w:ascii="Verdana" w:hAnsi="Verdana"/>
          <w:sz w:val="20"/>
          <w:szCs w:val="20"/>
          <w:lang w:val="es-CR"/>
        </w:rPr>
        <w:t xml:space="preserve"> dicho concepto.</w:t>
      </w:r>
      <w:r w:rsidRPr="005F0BFF">
        <w:rPr>
          <w:rFonts w:ascii="Verdana" w:hAnsi="Verdana"/>
          <w:sz w:val="20"/>
          <w:szCs w:val="20"/>
          <w:lang w:val="es-CR"/>
        </w:rPr>
        <w:t xml:space="preserve"> Sin embargo en sus alegatos fi</w:t>
      </w:r>
      <w:r w:rsidR="00B117FE" w:rsidRPr="005F0BFF">
        <w:rPr>
          <w:rFonts w:ascii="Verdana" w:hAnsi="Verdana"/>
          <w:sz w:val="20"/>
          <w:szCs w:val="20"/>
          <w:lang w:val="es-CR"/>
        </w:rPr>
        <w:t xml:space="preserve">nales solicitaron el pago de </w:t>
      </w:r>
      <w:r w:rsidRPr="005F0BFF">
        <w:rPr>
          <w:rFonts w:ascii="Verdana" w:hAnsi="Verdana"/>
          <w:sz w:val="20"/>
          <w:szCs w:val="20"/>
          <w:lang w:val="es-CR"/>
        </w:rPr>
        <w:t>indemnizaciones</w:t>
      </w:r>
      <w:r w:rsidR="00B117FE" w:rsidRPr="005F0BFF">
        <w:rPr>
          <w:rFonts w:ascii="Verdana" w:hAnsi="Verdana"/>
          <w:sz w:val="20"/>
          <w:szCs w:val="20"/>
          <w:lang w:val="es-CR"/>
        </w:rPr>
        <w:t xml:space="preserve"> y pidieron para </w:t>
      </w:r>
      <w:r w:rsidR="001F5D63">
        <w:rPr>
          <w:rFonts w:ascii="Verdana" w:hAnsi="Verdana"/>
          <w:sz w:val="20"/>
          <w:szCs w:val="20"/>
          <w:lang w:val="es-CR"/>
        </w:rPr>
        <w:t xml:space="preserve">el señor </w:t>
      </w:r>
      <w:r w:rsidR="003B58CA" w:rsidRPr="005F0BFF">
        <w:rPr>
          <w:rFonts w:ascii="Verdana" w:hAnsi="Verdana"/>
          <w:sz w:val="20"/>
          <w:szCs w:val="20"/>
          <w:lang w:val="es-CR"/>
        </w:rPr>
        <w:t>Tirso Román Valenzuela Ávila la cantidad de US$100.000 (cien mil dólares de los Estados Unidos de América), monto que deberá entregarse directamente a sus herederos</w:t>
      </w:r>
      <w:r w:rsidR="000F4976" w:rsidRPr="005F0BFF">
        <w:rPr>
          <w:rFonts w:ascii="Verdana" w:hAnsi="Verdana"/>
          <w:sz w:val="20"/>
          <w:szCs w:val="20"/>
          <w:lang w:val="es-CR"/>
        </w:rPr>
        <w:t>.</w:t>
      </w:r>
    </w:p>
    <w:p w14:paraId="1AFB1EDA" w14:textId="77777777" w:rsidR="005F0BFF" w:rsidRDefault="005F0BFF" w:rsidP="005F0BFF">
      <w:pPr>
        <w:pStyle w:val="Prrafodelista"/>
        <w:autoSpaceDE w:val="0"/>
        <w:autoSpaceDN w:val="0"/>
        <w:adjustRightInd w:val="0"/>
        <w:spacing w:after="0" w:line="240" w:lineRule="auto"/>
        <w:ind w:left="0"/>
        <w:jc w:val="both"/>
        <w:rPr>
          <w:rFonts w:ascii="Verdana" w:hAnsi="Verdana"/>
          <w:sz w:val="20"/>
          <w:szCs w:val="20"/>
          <w:lang w:val="es-CR"/>
        </w:rPr>
      </w:pPr>
    </w:p>
    <w:p w14:paraId="2EDB5D79" w14:textId="77777777" w:rsidR="005F0BFF" w:rsidRDefault="00D969DA" w:rsidP="005F0BFF">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5F0BFF">
        <w:rPr>
          <w:rFonts w:ascii="Verdana" w:hAnsi="Verdana"/>
          <w:sz w:val="20"/>
          <w:szCs w:val="20"/>
          <w:lang w:val="es-CR"/>
        </w:rPr>
        <w:t xml:space="preserve">En el presente caso, la </w:t>
      </w:r>
      <w:r w:rsidRPr="005F0BFF">
        <w:rPr>
          <w:rFonts w:ascii="Verdana" w:hAnsi="Verdana"/>
          <w:b/>
          <w:i/>
          <w:sz w:val="20"/>
          <w:szCs w:val="20"/>
          <w:lang w:val="es-CR"/>
        </w:rPr>
        <w:t>Corte</w:t>
      </w:r>
      <w:r w:rsidRPr="005F0BFF">
        <w:rPr>
          <w:rFonts w:ascii="Verdana" w:hAnsi="Verdana"/>
          <w:sz w:val="20"/>
          <w:szCs w:val="20"/>
          <w:lang w:val="es-CR"/>
        </w:rPr>
        <w:t xml:space="preserve"> en consideración de las particularidades del caso y el nexo causal de las violaciones declaradas se pronunciará únicamente sobre el daño inmaterial. Esta Corte ha determinado que este concepto “puede comprender tanto los sufrimientos y las aflicciones causados a la víctima directa y a sus allegados, el menoscabo de valores muy significativos para las personas, así como las alteraciones, de carácter no pecuniario, en las condiciones de la existencia de la víctima o su familia”</w:t>
      </w:r>
      <w:r w:rsidRPr="003B58CA">
        <w:rPr>
          <w:vertAlign w:val="superscript"/>
          <w:lang w:val="es-CR"/>
        </w:rPr>
        <w:footnoteReference w:id="199"/>
      </w:r>
      <w:r w:rsidR="002C7903" w:rsidRPr="005F0BFF">
        <w:rPr>
          <w:rFonts w:ascii="Verdana" w:hAnsi="Verdana"/>
          <w:sz w:val="20"/>
          <w:szCs w:val="20"/>
          <w:lang w:val="es-CR"/>
        </w:rPr>
        <w:t>.</w:t>
      </w:r>
    </w:p>
    <w:p w14:paraId="309DC15A" w14:textId="77777777" w:rsidR="005F0BFF" w:rsidRPr="005F0BFF" w:rsidRDefault="005F0BFF" w:rsidP="005F0BFF">
      <w:pPr>
        <w:pStyle w:val="Prrafodelista"/>
        <w:rPr>
          <w:rFonts w:ascii="Verdana" w:hAnsi="Verdana"/>
          <w:sz w:val="20"/>
          <w:szCs w:val="20"/>
          <w:lang w:val="es-CR"/>
        </w:rPr>
      </w:pPr>
    </w:p>
    <w:p w14:paraId="2F0F5DBB" w14:textId="229AD48B" w:rsidR="005F0BFF" w:rsidRDefault="00D969DA" w:rsidP="005F0BFF">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5F0BFF">
        <w:rPr>
          <w:rFonts w:ascii="Verdana" w:hAnsi="Verdana"/>
          <w:sz w:val="20"/>
          <w:szCs w:val="20"/>
          <w:lang w:val="es-CR"/>
        </w:rPr>
        <w:t xml:space="preserve">En razón de que la Corte ha declarado la violación de los artículos </w:t>
      </w:r>
      <w:r w:rsidR="0066545C">
        <w:rPr>
          <w:rFonts w:ascii="Verdana" w:hAnsi="Verdana"/>
          <w:sz w:val="20"/>
          <w:szCs w:val="20"/>
          <w:lang w:val="es-CR"/>
        </w:rPr>
        <w:t xml:space="preserve"> </w:t>
      </w:r>
      <w:r w:rsidR="006C3807" w:rsidRPr="005F0BFF">
        <w:rPr>
          <w:rFonts w:ascii="Verdana" w:hAnsi="Verdana"/>
          <w:sz w:val="20"/>
          <w:szCs w:val="20"/>
          <w:lang w:val="es-CR"/>
        </w:rPr>
        <w:t>4.</w:t>
      </w:r>
      <w:r w:rsidR="001F5D63">
        <w:rPr>
          <w:rFonts w:ascii="Verdana" w:hAnsi="Verdana"/>
          <w:sz w:val="20"/>
          <w:szCs w:val="20"/>
          <w:lang w:val="es-CR"/>
        </w:rPr>
        <w:t>1, 4.2,</w:t>
      </w:r>
      <w:r w:rsidR="006C3807" w:rsidRPr="005F0BFF">
        <w:rPr>
          <w:rFonts w:ascii="Verdana" w:hAnsi="Verdana"/>
          <w:sz w:val="20"/>
          <w:szCs w:val="20"/>
          <w:lang w:val="es-CR"/>
        </w:rPr>
        <w:t xml:space="preserve"> </w:t>
      </w:r>
      <w:r w:rsidR="0066545C">
        <w:rPr>
          <w:rFonts w:ascii="Verdana" w:hAnsi="Verdana"/>
          <w:sz w:val="20"/>
          <w:szCs w:val="20"/>
          <w:lang w:val="es-CR"/>
        </w:rPr>
        <w:t xml:space="preserve">5.1, </w:t>
      </w:r>
      <w:r w:rsidR="009A263C" w:rsidRPr="005F0BFF">
        <w:rPr>
          <w:rFonts w:ascii="Verdana" w:hAnsi="Verdana"/>
          <w:sz w:val="20"/>
          <w:szCs w:val="20"/>
          <w:lang w:val="es-CR"/>
        </w:rPr>
        <w:t>5.2, 7.1</w:t>
      </w:r>
      <w:r w:rsidR="00912926" w:rsidRPr="005F0BFF">
        <w:rPr>
          <w:rFonts w:ascii="Verdana" w:hAnsi="Verdana"/>
          <w:sz w:val="20"/>
          <w:szCs w:val="20"/>
          <w:lang w:val="es-CR"/>
        </w:rPr>
        <w:t xml:space="preserve">, </w:t>
      </w:r>
      <w:r w:rsidR="000F4976" w:rsidRPr="005F0BFF">
        <w:rPr>
          <w:rFonts w:ascii="Verdana" w:hAnsi="Verdana"/>
          <w:sz w:val="20"/>
          <w:szCs w:val="20"/>
          <w:lang w:val="es-CR"/>
        </w:rPr>
        <w:t>7.2</w:t>
      </w:r>
      <w:r w:rsidR="001F5D63">
        <w:rPr>
          <w:rFonts w:ascii="Verdana" w:hAnsi="Verdana"/>
          <w:sz w:val="20"/>
          <w:szCs w:val="20"/>
          <w:lang w:val="es-CR"/>
        </w:rPr>
        <w:t xml:space="preserve">, </w:t>
      </w:r>
      <w:r w:rsidR="00912926" w:rsidRPr="005F0BFF">
        <w:rPr>
          <w:rFonts w:ascii="Verdana" w:hAnsi="Verdana"/>
          <w:sz w:val="20"/>
          <w:szCs w:val="20"/>
          <w:lang w:val="es-CR"/>
        </w:rPr>
        <w:t xml:space="preserve">7.5, </w:t>
      </w:r>
      <w:r w:rsidR="0066545C">
        <w:rPr>
          <w:rFonts w:ascii="Verdana" w:hAnsi="Verdana"/>
          <w:sz w:val="20"/>
          <w:szCs w:val="20"/>
          <w:lang w:val="es-CR"/>
        </w:rPr>
        <w:t xml:space="preserve">8.1, </w:t>
      </w:r>
      <w:r w:rsidR="006C3807" w:rsidRPr="005F0BFF">
        <w:rPr>
          <w:rFonts w:ascii="Verdana" w:hAnsi="Verdana"/>
          <w:sz w:val="20"/>
          <w:szCs w:val="20"/>
          <w:lang w:val="es-CR"/>
        </w:rPr>
        <w:t xml:space="preserve">8.2, </w:t>
      </w:r>
      <w:r w:rsidR="005C6A92" w:rsidRPr="005F0BFF">
        <w:rPr>
          <w:rFonts w:ascii="Verdana" w:hAnsi="Verdana"/>
          <w:sz w:val="20"/>
          <w:szCs w:val="20"/>
          <w:lang w:val="es-CR"/>
        </w:rPr>
        <w:t>8.2.g</w:t>
      </w:r>
      <w:r w:rsidR="000F4976" w:rsidRPr="005F0BFF">
        <w:rPr>
          <w:rFonts w:ascii="Verdana" w:hAnsi="Verdana"/>
          <w:sz w:val="20"/>
          <w:szCs w:val="20"/>
          <w:lang w:val="es-CR"/>
        </w:rPr>
        <w:t>)</w:t>
      </w:r>
      <w:r w:rsidR="001F5D63">
        <w:rPr>
          <w:rFonts w:ascii="Verdana" w:hAnsi="Verdana"/>
          <w:sz w:val="20"/>
          <w:szCs w:val="20"/>
          <w:lang w:val="es-CR"/>
        </w:rPr>
        <w:t>,</w:t>
      </w:r>
      <w:r w:rsidR="005C6A92" w:rsidRPr="005F0BFF">
        <w:rPr>
          <w:rFonts w:ascii="Verdana" w:hAnsi="Verdana"/>
          <w:sz w:val="20"/>
          <w:szCs w:val="20"/>
          <w:lang w:val="es-CR"/>
        </w:rPr>
        <w:t xml:space="preserve"> </w:t>
      </w:r>
      <w:r w:rsidR="000F4976" w:rsidRPr="005F0BFF">
        <w:rPr>
          <w:rFonts w:ascii="Verdana" w:hAnsi="Verdana"/>
          <w:sz w:val="20"/>
          <w:szCs w:val="20"/>
          <w:lang w:val="es-CR"/>
        </w:rPr>
        <w:t>8.2.h</w:t>
      </w:r>
      <w:r w:rsidR="00265FE6" w:rsidRPr="005F0BFF">
        <w:rPr>
          <w:rFonts w:ascii="Verdana" w:hAnsi="Verdana"/>
          <w:sz w:val="20"/>
          <w:szCs w:val="20"/>
          <w:lang w:val="es-CR"/>
        </w:rPr>
        <w:t>)</w:t>
      </w:r>
      <w:r w:rsidR="0066545C">
        <w:rPr>
          <w:rFonts w:ascii="Verdana" w:hAnsi="Verdana"/>
          <w:sz w:val="20"/>
          <w:szCs w:val="20"/>
          <w:lang w:val="es-CR"/>
        </w:rPr>
        <w:t xml:space="preserve">, 9, </w:t>
      </w:r>
      <w:r w:rsidR="001F5D63">
        <w:rPr>
          <w:rFonts w:ascii="Verdana" w:hAnsi="Verdana"/>
          <w:sz w:val="20"/>
          <w:szCs w:val="20"/>
          <w:lang w:val="es-CR"/>
        </w:rPr>
        <w:t>11.1</w:t>
      </w:r>
      <w:r w:rsidR="0066545C">
        <w:rPr>
          <w:rFonts w:ascii="Verdana" w:hAnsi="Verdana"/>
          <w:sz w:val="20"/>
          <w:szCs w:val="20"/>
          <w:lang w:val="es-CR"/>
        </w:rPr>
        <w:t xml:space="preserve"> y 25.1 de la Convención Americanas y los artículos 1, 6 y 8 de la CIPST</w:t>
      </w:r>
      <w:r w:rsidR="001F5D63">
        <w:rPr>
          <w:rFonts w:ascii="Verdana" w:hAnsi="Verdana"/>
          <w:sz w:val="20"/>
          <w:szCs w:val="20"/>
          <w:lang w:val="es-CR"/>
        </w:rPr>
        <w:t>,</w:t>
      </w:r>
      <w:r w:rsidRPr="005F0BFF">
        <w:rPr>
          <w:rFonts w:ascii="Verdana" w:hAnsi="Verdana"/>
          <w:sz w:val="20"/>
          <w:szCs w:val="20"/>
          <w:lang w:val="es-CR"/>
        </w:rPr>
        <w:t xml:space="preserve"> en perjuicio del señor Valenzuela Ávila en la presente sentencia y dadas las particularidades del presente caso, la Corte considera apropiado disponer una indemnización, e</w:t>
      </w:r>
      <w:r w:rsidR="00412967" w:rsidRPr="005F0BFF">
        <w:rPr>
          <w:rFonts w:ascii="Verdana" w:hAnsi="Verdana"/>
          <w:sz w:val="20"/>
          <w:szCs w:val="20"/>
          <w:lang w:val="es-CR"/>
        </w:rPr>
        <w:t>n equidad, por un monto de USD$60.000.00 (sesent</w:t>
      </w:r>
      <w:r w:rsidR="00116945" w:rsidRPr="005F0BFF">
        <w:rPr>
          <w:rFonts w:ascii="Verdana" w:hAnsi="Verdana"/>
          <w:sz w:val="20"/>
          <w:szCs w:val="20"/>
          <w:lang w:val="es-CR"/>
        </w:rPr>
        <w:t>a</w:t>
      </w:r>
      <w:r w:rsidRPr="005F0BFF">
        <w:rPr>
          <w:rFonts w:ascii="Verdana" w:hAnsi="Verdana"/>
          <w:sz w:val="20"/>
          <w:szCs w:val="20"/>
          <w:lang w:val="es-CR"/>
        </w:rPr>
        <w:t xml:space="preserve"> mil dólares de los Estados Unidos de América) a favor del señor Tirso Román Valenzuela Ávila. En consideración de la información aportada por los representantes respecto a los familiares directos del señor Tirso Román Valenzuela Ávila, la Corte considera que el referido monto deberá ser entregado a cada uno de sus familiares</w:t>
      </w:r>
      <w:r w:rsidR="00BC6737">
        <w:rPr>
          <w:rFonts w:ascii="Verdana" w:hAnsi="Verdana"/>
          <w:sz w:val="20"/>
          <w:szCs w:val="20"/>
          <w:lang w:val="es-CR"/>
        </w:rPr>
        <w:t xml:space="preserve">, de </w:t>
      </w:r>
      <w:r w:rsidR="000F4976" w:rsidRPr="005F0BFF">
        <w:rPr>
          <w:rFonts w:ascii="Verdana" w:hAnsi="Verdana"/>
          <w:sz w:val="20"/>
          <w:szCs w:val="20"/>
          <w:lang w:val="es-CR"/>
        </w:rPr>
        <w:t>acuerdo al siguiente criterio:</w:t>
      </w:r>
    </w:p>
    <w:p w14:paraId="7B8BA612" w14:textId="77777777" w:rsidR="005F0BFF" w:rsidRPr="00B51B48" w:rsidRDefault="005F0BFF" w:rsidP="005F0BFF">
      <w:pPr>
        <w:pStyle w:val="Prrafodelista"/>
        <w:autoSpaceDE w:val="0"/>
        <w:autoSpaceDN w:val="0"/>
        <w:adjustRightInd w:val="0"/>
        <w:spacing w:after="0" w:line="240" w:lineRule="auto"/>
        <w:ind w:left="0"/>
        <w:jc w:val="both"/>
        <w:rPr>
          <w:rFonts w:ascii="Verdana" w:hAnsi="Verdana"/>
          <w:sz w:val="20"/>
          <w:szCs w:val="20"/>
          <w:lang w:val="es-CR"/>
        </w:rPr>
      </w:pPr>
    </w:p>
    <w:p w14:paraId="376F0A42" w14:textId="4FE980A9" w:rsidR="005F0BFF" w:rsidRPr="00B51B48" w:rsidRDefault="005F0BFF" w:rsidP="005F0BFF">
      <w:pPr>
        <w:pStyle w:val="Prrafodelista"/>
        <w:numPr>
          <w:ilvl w:val="0"/>
          <w:numId w:val="4"/>
        </w:numPr>
        <w:autoSpaceDE w:val="0"/>
        <w:autoSpaceDN w:val="0"/>
        <w:adjustRightInd w:val="0"/>
        <w:spacing w:after="0" w:line="240" w:lineRule="auto"/>
        <w:ind w:firstLine="0"/>
        <w:jc w:val="both"/>
        <w:rPr>
          <w:rFonts w:ascii="Verdana" w:hAnsi="Verdana"/>
          <w:sz w:val="20"/>
          <w:szCs w:val="20"/>
          <w:lang w:val="es-CR"/>
        </w:rPr>
      </w:pPr>
      <w:r w:rsidRPr="00B51B48">
        <w:rPr>
          <w:rFonts w:ascii="Verdana" w:hAnsi="Verdana"/>
          <w:sz w:val="20"/>
          <w:szCs w:val="20"/>
          <w:lang w:val="es-CR"/>
        </w:rPr>
        <w:t xml:space="preserve">el cincuenta por ciento (50%) de la indemnización correspondiente a la víctima se repartirá, por partes iguales, entre los hijos de ésta, a saber: Jorge Luis, Luis Fernando y Tirso Román todos de apellido Valenzuela Ruiz </w:t>
      </w:r>
      <w:r w:rsidR="0004781A" w:rsidRPr="00B51B48">
        <w:rPr>
          <w:rFonts w:ascii="Verdana" w:hAnsi="Verdana"/>
          <w:sz w:val="20"/>
          <w:szCs w:val="20"/>
          <w:lang w:val="es-CR"/>
        </w:rPr>
        <w:t>y su hija e hijo procreados con Rosa María Mendoza López, cuya identidad se reserva por su seguridad (</w:t>
      </w:r>
      <w:r w:rsidR="0004781A" w:rsidRPr="00B51B48">
        <w:rPr>
          <w:rFonts w:ascii="Verdana" w:hAnsi="Verdana"/>
          <w:i/>
          <w:sz w:val="20"/>
          <w:szCs w:val="20"/>
          <w:lang w:val="es-CR"/>
        </w:rPr>
        <w:t>supra</w:t>
      </w:r>
      <w:r w:rsidR="0004781A" w:rsidRPr="00B51B48">
        <w:rPr>
          <w:rFonts w:ascii="Verdana" w:hAnsi="Verdana"/>
          <w:sz w:val="20"/>
          <w:szCs w:val="20"/>
          <w:lang w:val="es-CR"/>
        </w:rPr>
        <w:t xml:space="preserve"> párr.52)</w:t>
      </w:r>
      <w:r w:rsidRPr="00B51B48">
        <w:rPr>
          <w:rFonts w:ascii="Verdana" w:hAnsi="Verdana"/>
          <w:sz w:val="20"/>
          <w:szCs w:val="20"/>
          <w:lang w:val="es-CR"/>
        </w:rPr>
        <w:t xml:space="preserve">. Si uno o varios de los hijos hubieren fallecido ya, la parte que le o les corresponda acrecerá a la de los demás hijos de la misma víctima, y </w:t>
      </w:r>
    </w:p>
    <w:p w14:paraId="39E95A6C" w14:textId="5243AE30" w:rsidR="005F0BFF" w:rsidRPr="007E62B2" w:rsidRDefault="005F0BFF" w:rsidP="005F0BFF">
      <w:pPr>
        <w:pStyle w:val="Prrafodelista"/>
        <w:numPr>
          <w:ilvl w:val="0"/>
          <w:numId w:val="4"/>
        </w:numPr>
        <w:autoSpaceDE w:val="0"/>
        <w:autoSpaceDN w:val="0"/>
        <w:adjustRightInd w:val="0"/>
        <w:spacing w:after="0" w:line="240" w:lineRule="auto"/>
        <w:ind w:firstLine="0"/>
        <w:jc w:val="both"/>
        <w:rPr>
          <w:rFonts w:ascii="Verdana" w:hAnsi="Verdana"/>
          <w:sz w:val="20"/>
          <w:szCs w:val="20"/>
          <w:lang w:val="es-CR"/>
        </w:rPr>
      </w:pPr>
      <w:r w:rsidRPr="0005399D">
        <w:rPr>
          <w:rFonts w:ascii="Verdana" w:hAnsi="Verdana"/>
          <w:sz w:val="20"/>
          <w:szCs w:val="20"/>
          <w:lang w:val="es-CR"/>
        </w:rPr>
        <w:t>el otro cincuenta por ciento (50%) de la indemnización correspondiente</w:t>
      </w:r>
      <w:r w:rsidRPr="007E62B2">
        <w:rPr>
          <w:rFonts w:ascii="Verdana" w:hAnsi="Verdana"/>
          <w:sz w:val="20"/>
          <w:szCs w:val="20"/>
          <w:lang w:val="es-CR"/>
        </w:rPr>
        <w:t xml:space="preserve"> a la víctima se repartirá, por partes iguales, entre quien fuera cónyuge</w:t>
      </w:r>
      <w:r w:rsidR="00BC6737">
        <w:rPr>
          <w:rFonts w:ascii="Verdana" w:hAnsi="Verdana"/>
          <w:sz w:val="20"/>
          <w:szCs w:val="20"/>
          <w:lang w:val="es-CR"/>
        </w:rPr>
        <w:t>,</w:t>
      </w:r>
      <w:r w:rsidRPr="007E62B2">
        <w:rPr>
          <w:rFonts w:ascii="Verdana" w:hAnsi="Verdana"/>
          <w:sz w:val="20"/>
          <w:szCs w:val="20"/>
          <w:lang w:val="es-CR"/>
        </w:rPr>
        <w:t xml:space="preserve"> </w:t>
      </w:r>
      <w:proofErr w:type="spellStart"/>
      <w:r w:rsidR="00BC6737" w:rsidRPr="007E62B2">
        <w:rPr>
          <w:rFonts w:ascii="Verdana" w:hAnsi="Verdana"/>
          <w:sz w:val="20"/>
          <w:szCs w:val="20"/>
          <w:lang w:val="es-CR"/>
        </w:rPr>
        <w:t>Ludim</w:t>
      </w:r>
      <w:proofErr w:type="spellEnd"/>
      <w:r w:rsidR="00BC6737" w:rsidRPr="007E62B2">
        <w:rPr>
          <w:rFonts w:ascii="Verdana" w:hAnsi="Verdana"/>
          <w:sz w:val="20"/>
          <w:szCs w:val="20"/>
          <w:lang w:val="es-CR"/>
        </w:rPr>
        <w:t xml:space="preserve"> Azucena Ruiz López </w:t>
      </w:r>
      <w:r w:rsidRPr="007E62B2">
        <w:rPr>
          <w:rFonts w:ascii="Verdana" w:hAnsi="Verdana"/>
          <w:sz w:val="20"/>
          <w:szCs w:val="20"/>
          <w:lang w:val="es-CR"/>
        </w:rPr>
        <w:t>y</w:t>
      </w:r>
      <w:r w:rsidR="00BC6737">
        <w:rPr>
          <w:rFonts w:ascii="Verdana" w:hAnsi="Verdana"/>
          <w:sz w:val="20"/>
          <w:szCs w:val="20"/>
          <w:lang w:val="es-CR"/>
        </w:rPr>
        <w:t>,</w:t>
      </w:r>
      <w:r w:rsidRPr="007E62B2">
        <w:rPr>
          <w:rFonts w:ascii="Verdana" w:hAnsi="Verdana"/>
          <w:sz w:val="20"/>
          <w:szCs w:val="20"/>
          <w:lang w:val="es-CR"/>
        </w:rPr>
        <w:t xml:space="preserve"> </w:t>
      </w:r>
      <w:r w:rsidR="00953DA5">
        <w:rPr>
          <w:rFonts w:ascii="Verdana" w:hAnsi="Verdana"/>
          <w:sz w:val="20"/>
          <w:szCs w:val="20"/>
          <w:lang w:val="es-CR"/>
        </w:rPr>
        <w:t xml:space="preserve">quien fuera su </w:t>
      </w:r>
      <w:r w:rsidRPr="007E62B2">
        <w:rPr>
          <w:rFonts w:ascii="Verdana" w:hAnsi="Verdana"/>
          <w:sz w:val="20"/>
          <w:szCs w:val="20"/>
          <w:lang w:val="es-CR"/>
        </w:rPr>
        <w:t xml:space="preserve">compañera, </w:t>
      </w:r>
      <w:r w:rsidRPr="0060326C">
        <w:rPr>
          <w:rFonts w:ascii="Verdana" w:hAnsi="Verdana"/>
          <w:sz w:val="20"/>
          <w:szCs w:val="20"/>
          <w:lang w:val="es-CR"/>
        </w:rPr>
        <w:t>Rosa María Mendoza López</w:t>
      </w:r>
      <w:r w:rsidRPr="007E62B2">
        <w:rPr>
          <w:rFonts w:ascii="Verdana" w:hAnsi="Verdana"/>
          <w:sz w:val="20"/>
          <w:szCs w:val="20"/>
          <w:lang w:val="es-CR"/>
        </w:rPr>
        <w:t>.</w:t>
      </w:r>
    </w:p>
    <w:p w14:paraId="483EAFE9" w14:textId="77777777" w:rsidR="005F0BFF" w:rsidRPr="005F0BFF" w:rsidRDefault="005F0BFF" w:rsidP="005F0BFF">
      <w:pPr>
        <w:pStyle w:val="Ttulo2"/>
        <w:rPr>
          <w:lang w:val="es-CR"/>
        </w:rPr>
      </w:pPr>
      <w:bookmarkStart w:id="92" w:name="_Toc25247802"/>
      <w:r>
        <w:rPr>
          <w:lang w:val="es-CR"/>
        </w:rPr>
        <w:t>G</w:t>
      </w:r>
      <w:r w:rsidRPr="004C6C61">
        <w:rPr>
          <w:lang w:val="es-CR"/>
        </w:rPr>
        <w:t>. Costas y Gastos</w:t>
      </w:r>
      <w:bookmarkEnd w:id="92"/>
    </w:p>
    <w:p w14:paraId="27EF4CD8" w14:textId="77777777" w:rsidR="005F0BFF" w:rsidRDefault="005F0BFF" w:rsidP="005F0BFF">
      <w:pPr>
        <w:pStyle w:val="Prrafodelista"/>
        <w:autoSpaceDE w:val="0"/>
        <w:autoSpaceDN w:val="0"/>
        <w:adjustRightInd w:val="0"/>
        <w:spacing w:after="0" w:line="240" w:lineRule="auto"/>
        <w:ind w:left="0"/>
        <w:jc w:val="both"/>
        <w:rPr>
          <w:rFonts w:ascii="Verdana" w:hAnsi="Verdana"/>
          <w:sz w:val="20"/>
          <w:szCs w:val="20"/>
          <w:lang w:val="es-CR"/>
        </w:rPr>
      </w:pPr>
    </w:p>
    <w:p w14:paraId="2263D416" w14:textId="77777777" w:rsidR="005F0BFF" w:rsidRDefault="00D969DA" w:rsidP="005F0BFF">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5F0BFF">
        <w:rPr>
          <w:rFonts w:ascii="Verdana" w:hAnsi="Verdana"/>
          <w:sz w:val="20"/>
          <w:szCs w:val="20"/>
          <w:lang w:val="es-CR"/>
        </w:rPr>
        <w:t xml:space="preserve">Los </w:t>
      </w:r>
      <w:r w:rsidRPr="005F0BFF">
        <w:rPr>
          <w:rFonts w:ascii="Verdana" w:hAnsi="Verdana"/>
          <w:b/>
          <w:i/>
          <w:sz w:val="20"/>
          <w:szCs w:val="20"/>
          <w:lang w:val="es-CR"/>
        </w:rPr>
        <w:t>representantes</w:t>
      </w:r>
      <w:r w:rsidRPr="005F0BFF">
        <w:rPr>
          <w:rFonts w:ascii="Verdana" w:hAnsi="Verdana"/>
          <w:i/>
          <w:sz w:val="20"/>
          <w:szCs w:val="20"/>
          <w:lang w:val="es-CR"/>
        </w:rPr>
        <w:t xml:space="preserve"> </w:t>
      </w:r>
      <w:r w:rsidRPr="005F0BFF">
        <w:rPr>
          <w:rFonts w:ascii="Verdana" w:hAnsi="Verdana"/>
          <w:sz w:val="20"/>
          <w:szCs w:val="20"/>
          <w:lang w:val="es-CR"/>
        </w:rPr>
        <w:t xml:space="preserve">solicitaron:  </w:t>
      </w:r>
    </w:p>
    <w:p w14:paraId="6ACC0CC2" w14:textId="77777777" w:rsidR="005F0BFF" w:rsidRDefault="005F0BFF" w:rsidP="005F0BFF">
      <w:pPr>
        <w:pStyle w:val="Prrafodelista"/>
        <w:autoSpaceDE w:val="0"/>
        <w:autoSpaceDN w:val="0"/>
        <w:adjustRightInd w:val="0"/>
        <w:spacing w:after="0" w:line="240" w:lineRule="auto"/>
        <w:ind w:left="0"/>
        <w:jc w:val="both"/>
        <w:rPr>
          <w:rFonts w:ascii="Verdana" w:hAnsi="Verdana"/>
          <w:sz w:val="20"/>
          <w:szCs w:val="20"/>
          <w:lang w:val="es-CR"/>
        </w:rPr>
      </w:pPr>
    </w:p>
    <w:p w14:paraId="3112543B" w14:textId="1A186C94" w:rsidR="005F0BFF" w:rsidRDefault="005F0BFF" w:rsidP="005F0BFF">
      <w:pPr>
        <w:pStyle w:val="Prrafodelista"/>
        <w:numPr>
          <w:ilvl w:val="0"/>
          <w:numId w:val="5"/>
        </w:numPr>
        <w:spacing w:after="0" w:line="240" w:lineRule="auto"/>
        <w:ind w:firstLine="0"/>
        <w:jc w:val="both"/>
        <w:rPr>
          <w:rFonts w:ascii="Verdana" w:hAnsi="Verdana"/>
          <w:sz w:val="20"/>
          <w:szCs w:val="20"/>
          <w:lang w:val="es-CR"/>
        </w:rPr>
      </w:pPr>
      <w:r w:rsidRPr="00D57474">
        <w:rPr>
          <w:rFonts w:ascii="Verdana" w:hAnsi="Verdana"/>
          <w:sz w:val="20"/>
          <w:szCs w:val="20"/>
          <w:lang w:val="es-CR"/>
        </w:rPr>
        <w:t xml:space="preserve">Respecto al Instituto de Estudios Comparados en Ciencias Penales de Guatemala (ICCPG) en el </w:t>
      </w:r>
      <w:r w:rsidR="00953DA5">
        <w:rPr>
          <w:rFonts w:ascii="Verdana" w:hAnsi="Verdana"/>
          <w:sz w:val="20"/>
          <w:szCs w:val="20"/>
          <w:lang w:val="es-CR"/>
        </w:rPr>
        <w:t>escrito de solicitudes y argumentos</w:t>
      </w:r>
      <w:r w:rsidRPr="00D57474">
        <w:rPr>
          <w:rFonts w:ascii="Verdana" w:hAnsi="Verdana"/>
          <w:sz w:val="20"/>
          <w:szCs w:val="20"/>
          <w:lang w:val="es-CR"/>
        </w:rPr>
        <w:t xml:space="preserve"> solicitaron: i) el pago por los viajes realizados desde Ciudad de Guatemala a San José Costa Rica y a Washington DC, en los Estados Unidos, algunos de estos viajes no estuvieron exclusivamente vinculados con el presente caso, y </w:t>
      </w:r>
      <w:proofErr w:type="spellStart"/>
      <w:r w:rsidRPr="00D57474">
        <w:rPr>
          <w:rFonts w:ascii="Verdana" w:hAnsi="Verdana"/>
          <w:sz w:val="20"/>
          <w:szCs w:val="20"/>
          <w:lang w:val="es-CR"/>
        </w:rPr>
        <w:t>ii</w:t>
      </w:r>
      <w:proofErr w:type="spellEnd"/>
      <w:r w:rsidRPr="00D57474">
        <w:rPr>
          <w:rFonts w:ascii="Verdana" w:hAnsi="Verdana"/>
          <w:sz w:val="20"/>
          <w:szCs w:val="20"/>
          <w:lang w:val="es-CR"/>
        </w:rPr>
        <w:t xml:space="preserve">) gastos correspondientes al trabajo jurídico. En sus alegatos finales presentaron una tabla de honorarios para los abogados y asistentes que trabajaban en el caso, por pago por horas donde existió un desembolso por parte del ICCPG </w:t>
      </w:r>
      <w:r>
        <w:rPr>
          <w:rFonts w:ascii="Verdana" w:hAnsi="Verdana"/>
          <w:sz w:val="20"/>
          <w:szCs w:val="20"/>
          <w:lang w:val="es-CR"/>
        </w:rPr>
        <w:t>representando un monto de US</w:t>
      </w:r>
      <w:r w:rsidR="001F5D63">
        <w:rPr>
          <w:rFonts w:ascii="Verdana" w:hAnsi="Verdana"/>
          <w:sz w:val="20"/>
          <w:szCs w:val="20"/>
          <w:lang w:val="es-CR"/>
        </w:rPr>
        <w:t>D</w:t>
      </w:r>
      <w:r>
        <w:rPr>
          <w:rFonts w:ascii="Verdana" w:hAnsi="Verdana"/>
          <w:sz w:val="20"/>
          <w:szCs w:val="20"/>
          <w:lang w:val="es-CR"/>
        </w:rPr>
        <w:t>$76,</w:t>
      </w:r>
      <w:r w:rsidRPr="00D57474">
        <w:rPr>
          <w:rFonts w:ascii="Verdana" w:hAnsi="Verdana"/>
          <w:sz w:val="20"/>
          <w:szCs w:val="20"/>
          <w:lang w:val="es-CR"/>
        </w:rPr>
        <w:t>865.19 (setenta y seis mil ochocientos sesenta y cinco dólares de los Estados Unidos de América</w:t>
      </w:r>
      <w:r w:rsidR="00094901">
        <w:rPr>
          <w:rFonts w:ascii="Verdana" w:hAnsi="Verdana"/>
          <w:sz w:val="20"/>
          <w:szCs w:val="20"/>
          <w:lang w:val="es-CR"/>
        </w:rPr>
        <w:t xml:space="preserve"> con diecinueve centavos</w:t>
      </w:r>
      <w:r w:rsidRPr="00D57474">
        <w:rPr>
          <w:rFonts w:ascii="Verdana" w:hAnsi="Verdana"/>
          <w:sz w:val="20"/>
          <w:szCs w:val="20"/>
          <w:lang w:val="es-CR"/>
        </w:rPr>
        <w:t>). Finalmente, solicitaron como mo</w:t>
      </w:r>
      <w:r>
        <w:rPr>
          <w:rFonts w:ascii="Verdana" w:hAnsi="Verdana"/>
          <w:sz w:val="20"/>
          <w:szCs w:val="20"/>
          <w:lang w:val="es-CR"/>
        </w:rPr>
        <w:t>nto final la cantidad de US</w:t>
      </w:r>
      <w:r w:rsidR="001F5D63">
        <w:rPr>
          <w:rFonts w:ascii="Verdana" w:hAnsi="Verdana"/>
          <w:sz w:val="20"/>
          <w:szCs w:val="20"/>
          <w:lang w:val="es-CR"/>
        </w:rPr>
        <w:t>D</w:t>
      </w:r>
      <w:r>
        <w:rPr>
          <w:rFonts w:ascii="Verdana" w:hAnsi="Verdana"/>
          <w:sz w:val="20"/>
          <w:szCs w:val="20"/>
          <w:lang w:val="es-CR"/>
        </w:rPr>
        <w:t>$192,</w:t>
      </w:r>
      <w:r w:rsidRPr="00D57474">
        <w:rPr>
          <w:rFonts w:ascii="Verdana" w:hAnsi="Verdana"/>
          <w:sz w:val="20"/>
          <w:szCs w:val="20"/>
          <w:lang w:val="es-CR"/>
        </w:rPr>
        <w:t xml:space="preserve">000.00 (ciento </w:t>
      </w:r>
      <w:r w:rsidRPr="00D57474">
        <w:rPr>
          <w:rFonts w:ascii="Verdana" w:hAnsi="Verdana"/>
          <w:sz w:val="20"/>
          <w:szCs w:val="20"/>
          <w:lang w:val="es-CR"/>
        </w:rPr>
        <w:lastRenderedPageBreak/>
        <w:t xml:space="preserve">noventa y dos </w:t>
      </w:r>
      <w:r w:rsidR="00DC2517">
        <w:rPr>
          <w:rFonts w:ascii="Verdana" w:hAnsi="Verdana"/>
          <w:sz w:val="20"/>
          <w:szCs w:val="20"/>
          <w:lang w:val="es-CR"/>
        </w:rPr>
        <w:t xml:space="preserve">mil </w:t>
      </w:r>
      <w:r w:rsidRPr="00D57474">
        <w:rPr>
          <w:rFonts w:ascii="Verdana" w:hAnsi="Verdana"/>
          <w:sz w:val="20"/>
          <w:szCs w:val="20"/>
          <w:lang w:val="es-CR"/>
        </w:rPr>
        <w:t xml:space="preserve">dólares de los Estados Unidos de América), </w:t>
      </w:r>
      <w:r w:rsidR="00953DA5">
        <w:rPr>
          <w:rFonts w:ascii="Verdana" w:hAnsi="Verdana"/>
          <w:sz w:val="20"/>
          <w:szCs w:val="20"/>
          <w:lang w:val="es-CR"/>
        </w:rPr>
        <w:t xml:space="preserve">y que dichos </w:t>
      </w:r>
      <w:r w:rsidR="00DC2517">
        <w:rPr>
          <w:rFonts w:ascii="Verdana" w:hAnsi="Verdana"/>
          <w:sz w:val="20"/>
          <w:szCs w:val="20"/>
          <w:lang w:val="es-CR"/>
        </w:rPr>
        <w:t xml:space="preserve">montos </w:t>
      </w:r>
      <w:r w:rsidRPr="00D57474">
        <w:rPr>
          <w:rFonts w:ascii="Verdana" w:hAnsi="Verdana"/>
          <w:sz w:val="20"/>
          <w:szCs w:val="20"/>
          <w:lang w:val="es-CR"/>
        </w:rPr>
        <w:t>se reintegre</w:t>
      </w:r>
      <w:r w:rsidR="00DC2517">
        <w:rPr>
          <w:rFonts w:ascii="Verdana" w:hAnsi="Verdana"/>
          <w:sz w:val="20"/>
          <w:szCs w:val="20"/>
          <w:lang w:val="es-CR"/>
        </w:rPr>
        <w:t>n</w:t>
      </w:r>
      <w:r w:rsidRPr="00D57474">
        <w:rPr>
          <w:rFonts w:ascii="Verdana" w:hAnsi="Verdana"/>
          <w:sz w:val="20"/>
          <w:szCs w:val="20"/>
          <w:lang w:val="es-CR"/>
        </w:rPr>
        <w:t xml:space="preserve"> directamente al ICCPG</w:t>
      </w:r>
      <w:r w:rsidR="00756CF1">
        <w:rPr>
          <w:rFonts w:ascii="Verdana" w:hAnsi="Verdana"/>
          <w:sz w:val="20"/>
          <w:szCs w:val="20"/>
          <w:lang w:val="es-CR"/>
        </w:rPr>
        <w:t>.</w:t>
      </w:r>
      <w:r w:rsidRPr="00D57474">
        <w:rPr>
          <w:rFonts w:ascii="Verdana" w:hAnsi="Verdana"/>
          <w:sz w:val="20"/>
          <w:szCs w:val="20"/>
          <w:lang w:val="es-CR"/>
        </w:rPr>
        <w:t xml:space="preserve"> </w:t>
      </w:r>
    </w:p>
    <w:p w14:paraId="273628B0" w14:textId="77777777" w:rsidR="005F0BFF" w:rsidRPr="00D57474" w:rsidRDefault="005F0BFF" w:rsidP="005F0BFF">
      <w:pPr>
        <w:pStyle w:val="Prrafodelista"/>
        <w:spacing w:after="0" w:line="240" w:lineRule="auto"/>
        <w:jc w:val="both"/>
        <w:rPr>
          <w:rFonts w:ascii="Verdana" w:hAnsi="Verdana"/>
          <w:sz w:val="20"/>
          <w:szCs w:val="20"/>
          <w:lang w:val="es-CR"/>
        </w:rPr>
      </w:pPr>
    </w:p>
    <w:p w14:paraId="63C3A5D4" w14:textId="77777777" w:rsidR="005F0BFF" w:rsidRPr="00D57474" w:rsidRDefault="005F0BFF" w:rsidP="005F0BFF">
      <w:pPr>
        <w:pStyle w:val="Prrafodelista"/>
        <w:numPr>
          <w:ilvl w:val="0"/>
          <w:numId w:val="5"/>
        </w:numPr>
        <w:spacing w:after="0" w:line="240" w:lineRule="auto"/>
        <w:ind w:firstLine="0"/>
        <w:jc w:val="both"/>
        <w:rPr>
          <w:rFonts w:ascii="Verdana" w:hAnsi="Verdana"/>
          <w:sz w:val="20"/>
          <w:szCs w:val="20"/>
          <w:lang w:val="es-CR"/>
        </w:rPr>
      </w:pPr>
      <w:r w:rsidRPr="00D57474">
        <w:rPr>
          <w:rFonts w:ascii="Verdana" w:hAnsi="Verdana"/>
          <w:sz w:val="20"/>
          <w:szCs w:val="20"/>
          <w:lang w:val="es-CR"/>
        </w:rPr>
        <w:t>Respecto al IDPP, quien ha actuado como representante de las víctimas en el proceso internacional desde agosto del año 2011, incurriendo en gastos de viajes, alojamiento, trabajo jurídico, no solicitaron un monto específico</w:t>
      </w:r>
      <w:r w:rsidR="00756CF1">
        <w:rPr>
          <w:rFonts w:ascii="Verdana" w:hAnsi="Verdana"/>
          <w:sz w:val="20"/>
          <w:szCs w:val="20"/>
          <w:lang w:val="es-CR"/>
        </w:rPr>
        <w:t>.</w:t>
      </w:r>
      <w:r w:rsidRPr="00D57474">
        <w:rPr>
          <w:rFonts w:ascii="Verdana" w:hAnsi="Verdana"/>
          <w:sz w:val="20"/>
          <w:szCs w:val="20"/>
          <w:lang w:val="es-CR"/>
        </w:rPr>
        <w:t xml:space="preserve"> </w:t>
      </w:r>
    </w:p>
    <w:p w14:paraId="63BD9134" w14:textId="77777777" w:rsidR="005F0BFF" w:rsidRPr="002A1142" w:rsidRDefault="005F0BFF" w:rsidP="005F0BFF">
      <w:pPr>
        <w:spacing w:after="0" w:line="240" w:lineRule="auto"/>
        <w:ind w:left="720"/>
        <w:jc w:val="both"/>
        <w:rPr>
          <w:rFonts w:ascii="Verdana" w:hAnsi="Verdana"/>
          <w:sz w:val="20"/>
          <w:szCs w:val="20"/>
          <w:lang w:val="es-CR"/>
        </w:rPr>
      </w:pPr>
    </w:p>
    <w:p w14:paraId="7A7853E6" w14:textId="77777777" w:rsidR="005F0BFF" w:rsidRPr="00D57474" w:rsidRDefault="005F0BFF" w:rsidP="005F0BFF">
      <w:pPr>
        <w:pStyle w:val="Prrafodelista"/>
        <w:numPr>
          <w:ilvl w:val="0"/>
          <w:numId w:val="5"/>
        </w:numPr>
        <w:spacing w:after="0" w:line="240" w:lineRule="auto"/>
        <w:ind w:firstLine="0"/>
        <w:jc w:val="both"/>
        <w:rPr>
          <w:rFonts w:ascii="Verdana" w:hAnsi="Verdana"/>
          <w:sz w:val="20"/>
          <w:szCs w:val="20"/>
          <w:lang w:val="es-CR"/>
        </w:rPr>
      </w:pPr>
      <w:r w:rsidRPr="00D57474">
        <w:rPr>
          <w:rFonts w:ascii="Verdana" w:hAnsi="Verdana"/>
          <w:sz w:val="20"/>
          <w:szCs w:val="20"/>
          <w:lang w:val="es-CR"/>
        </w:rPr>
        <w:t xml:space="preserve">Respecto a los gastos futuros: solicitaron los gastos que demande la obtención de prueba futura y los demás en que se </w:t>
      </w:r>
      <w:r w:rsidR="00DC2517">
        <w:rPr>
          <w:rFonts w:ascii="Verdana" w:hAnsi="Verdana"/>
          <w:sz w:val="20"/>
          <w:szCs w:val="20"/>
          <w:lang w:val="es-CR"/>
        </w:rPr>
        <w:t>pudieran</w:t>
      </w:r>
      <w:r w:rsidR="00DC2517" w:rsidRPr="00D57474">
        <w:rPr>
          <w:rFonts w:ascii="Verdana" w:hAnsi="Verdana"/>
          <w:sz w:val="20"/>
          <w:szCs w:val="20"/>
          <w:lang w:val="es-CR"/>
        </w:rPr>
        <w:t xml:space="preserve"> </w:t>
      </w:r>
      <w:r w:rsidRPr="00D57474">
        <w:rPr>
          <w:rFonts w:ascii="Verdana" w:hAnsi="Verdana"/>
          <w:sz w:val="20"/>
          <w:szCs w:val="20"/>
          <w:lang w:val="es-CR"/>
        </w:rPr>
        <w:t>incurrir para la adecuada representación ante la Corte; además de considerarse la etapa de cumplimiento de sentencia tanto a nivel nacional como internacional</w:t>
      </w:r>
      <w:r w:rsidR="00756CF1">
        <w:rPr>
          <w:rFonts w:ascii="Verdana" w:hAnsi="Verdana"/>
          <w:sz w:val="20"/>
          <w:szCs w:val="20"/>
          <w:lang w:val="es-CR"/>
        </w:rPr>
        <w:t>.</w:t>
      </w:r>
      <w:r w:rsidRPr="00D57474">
        <w:rPr>
          <w:rFonts w:ascii="Verdana" w:hAnsi="Verdana"/>
          <w:sz w:val="20"/>
          <w:szCs w:val="20"/>
          <w:lang w:val="es-CR"/>
        </w:rPr>
        <w:t xml:space="preserve"> </w:t>
      </w:r>
    </w:p>
    <w:p w14:paraId="7537A0DA" w14:textId="77777777" w:rsidR="005F0BFF" w:rsidRDefault="005F0BFF" w:rsidP="005F0BFF">
      <w:pPr>
        <w:pStyle w:val="Prrafodelista"/>
        <w:autoSpaceDE w:val="0"/>
        <w:autoSpaceDN w:val="0"/>
        <w:adjustRightInd w:val="0"/>
        <w:spacing w:after="0" w:line="240" w:lineRule="auto"/>
        <w:ind w:left="0"/>
        <w:jc w:val="both"/>
        <w:rPr>
          <w:rFonts w:ascii="Verdana" w:hAnsi="Verdana"/>
          <w:sz w:val="20"/>
          <w:szCs w:val="20"/>
          <w:lang w:val="es-CR"/>
        </w:rPr>
      </w:pPr>
    </w:p>
    <w:p w14:paraId="7222C699" w14:textId="77777777" w:rsidR="005F0BFF" w:rsidRDefault="00D969DA" w:rsidP="005F0BFF">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5F0BFF">
        <w:rPr>
          <w:rFonts w:ascii="Verdana" w:hAnsi="Verdana"/>
          <w:sz w:val="20"/>
          <w:szCs w:val="20"/>
          <w:lang w:val="es-CR"/>
        </w:rPr>
        <w:t xml:space="preserve">El </w:t>
      </w:r>
      <w:r w:rsidRPr="005F0BFF">
        <w:rPr>
          <w:rFonts w:ascii="Verdana" w:hAnsi="Verdana"/>
          <w:b/>
          <w:i/>
          <w:sz w:val="20"/>
          <w:szCs w:val="20"/>
          <w:lang w:val="es-CR"/>
        </w:rPr>
        <w:t>Estado</w:t>
      </w:r>
      <w:r w:rsidRPr="005F0BFF">
        <w:rPr>
          <w:rFonts w:ascii="Verdana" w:hAnsi="Verdana"/>
          <w:sz w:val="20"/>
          <w:szCs w:val="20"/>
          <w:lang w:val="es-CR"/>
        </w:rPr>
        <w:t xml:space="preserve"> solicitó a la Corte que no se condene al Estado por gastos y costas procesales, debido a que lo solicitado por los representantes se encuentra por fuera de los parámetros que se han establecido</w:t>
      </w:r>
      <w:r w:rsidRPr="00412967">
        <w:rPr>
          <w:rFonts w:ascii="Verdana" w:hAnsi="Verdana"/>
          <w:sz w:val="20"/>
          <w:szCs w:val="20"/>
          <w:vertAlign w:val="superscript"/>
          <w:lang w:val="es-CR"/>
        </w:rPr>
        <w:footnoteReference w:id="200"/>
      </w:r>
      <w:r w:rsidR="00756CF1">
        <w:rPr>
          <w:rFonts w:ascii="Verdana" w:hAnsi="Verdana"/>
          <w:sz w:val="20"/>
          <w:szCs w:val="20"/>
          <w:lang w:val="es-CR"/>
        </w:rPr>
        <w:t>.</w:t>
      </w:r>
      <w:r w:rsidR="00D15783" w:rsidRPr="005F0BFF">
        <w:rPr>
          <w:rFonts w:ascii="Verdana" w:hAnsi="Verdana"/>
          <w:sz w:val="20"/>
          <w:szCs w:val="20"/>
          <w:vertAlign w:val="superscript"/>
          <w:lang w:val="es-CR"/>
        </w:rPr>
        <w:t xml:space="preserve"> </w:t>
      </w:r>
      <w:r w:rsidRPr="005F0BFF">
        <w:rPr>
          <w:rFonts w:ascii="Verdana" w:hAnsi="Verdana"/>
          <w:sz w:val="20"/>
          <w:szCs w:val="20"/>
          <w:lang w:val="es-CR"/>
        </w:rPr>
        <w:t>Además manifestó que cuando una organización de la sociedad civil recibe fondos de cualquier tipo de cooperación para diligenciar un caso ante el Sistema Interamericano en realidad no está incurriendo en ningún tipo de gastos o costas, toda vez que los fondos han sido otorgados con la condición que se utilicen para el efecto, así, existe una falta de legitimidad activa en la personalidad del representante para exigir el reintegro de las cantidades erogadas, ya que su patrimonio nunca fue lesionado</w:t>
      </w:r>
      <w:r w:rsidR="00756CF1">
        <w:rPr>
          <w:rFonts w:ascii="Verdana" w:hAnsi="Verdana"/>
          <w:sz w:val="20"/>
          <w:szCs w:val="20"/>
          <w:lang w:val="es-CR"/>
        </w:rPr>
        <w:t>.</w:t>
      </w:r>
      <w:r w:rsidRPr="005F0BFF">
        <w:rPr>
          <w:rFonts w:ascii="Verdana" w:hAnsi="Verdana"/>
          <w:sz w:val="20"/>
          <w:szCs w:val="20"/>
          <w:lang w:val="es-CR"/>
        </w:rPr>
        <w:t xml:space="preserve"> Alegó que recibir fondos para representar a las víctimas ante el Sistema Interamericano y después reclamar el reintegro de los mismos es una actitud injusta que atenta en contra del verdadero sentido de las reparaciones por violaciones a los derechos humanos y supone una disminución a los fondos que pueda llegar a invertir el Estad</w:t>
      </w:r>
      <w:r w:rsidR="00D26D5D" w:rsidRPr="005F0BFF">
        <w:rPr>
          <w:rFonts w:ascii="Verdana" w:hAnsi="Verdana"/>
          <w:sz w:val="20"/>
          <w:szCs w:val="20"/>
          <w:lang w:val="es-CR"/>
        </w:rPr>
        <w:t>o en otro tipo de reparaciones</w:t>
      </w:r>
      <w:r w:rsidR="00756CF1">
        <w:rPr>
          <w:rFonts w:ascii="Verdana" w:hAnsi="Verdana"/>
          <w:sz w:val="20"/>
          <w:szCs w:val="20"/>
          <w:lang w:val="es-CR"/>
        </w:rPr>
        <w:t>.</w:t>
      </w:r>
      <w:r w:rsidR="00D26D5D" w:rsidRPr="005F0BFF">
        <w:rPr>
          <w:rFonts w:ascii="Verdana" w:hAnsi="Verdana"/>
          <w:sz w:val="20"/>
          <w:szCs w:val="20"/>
          <w:lang w:val="es-CR"/>
        </w:rPr>
        <w:t xml:space="preserve"> </w:t>
      </w:r>
    </w:p>
    <w:p w14:paraId="3B29E214" w14:textId="77777777" w:rsidR="005F0BFF" w:rsidRDefault="005F0BFF" w:rsidP="005F0BFF">
      <w:pPr>
        <w:pStyle w:val="Prrafodelista"/>
        <w:autoSpaceDE w:val="0"/>
        <w:autoSpaceDN w:val="0"/>
        <w:adjustRightInd w:val="0"/>
        <w:spacing w:after="0" w:line="240" w:lineRule="auto"/>
        <w:ind w:left="0"/>
        <w:jc w:val="both"/>
        <w:rPr>
          <w:rFonts w:ascii="Verdana" w:hAnsi="Verdana"/>
          <w:sz w:val="20"/>
          <w:szCs w:val="20"/>
          <w:lang w:val="es-CR"/>
        </w:rPr>
      </w:pPr>
    </w:p>
    <w:p w14:paraId="50D2F4E7" w14:textId="77777777" w:rsidR="005F0BFF" w:rsidRDefault="00D969DA" w:rsidP="005F0BFF">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5F0BFF">
        <w:rPr>
          <w:rFonts w:ascii="Verdana" w:hAnsi="Verdana"/>
          <w:sz w:val="20"/>
          <w:szCs w:val="20"/>
          <w:lang w:val="es-CR"/>
        </w:rPr>
        <w:t xml:space="preserve">La </w:t>
      </w:r>
      <w:r w:rsidRPr="005F0BFF">
        <w:rPr>
          <w:rFonts w:ascii="Verdana" w:hAnsi="Verdana"/>
          <w:b/>
          <w:i/>
          <w:sz w:val="20"/>
          <w:szCs w:val="20"/>
          <w:lang w:val="es-CR"/>
        </w:rPr>
        <w:t>Corte</w:t>
      </w:r>
      <w:r w:rsidRPr="005F0BFF">
        <w:rPr>
          <w:rFonts w:ascii="Verdana" w:hAnsi="Verdana"/>
          <w:sz w:val="20"/>
          <w:szCs w:val="20"/>
          <w:lang w:val="es-CR"/>
        </w:rPr>
        <w:t xml:space="preserve"> reitera que, conforme a su jurisprudencia</w:t>
      </w:r>
      <w:r w:rsidR="00143445">
        <w:rPr>
          <w:rStyle w:val="Refdenotaalpie"/>
          <w:rFonts w:ascii="Verdana" w:hAnsi="Verdana"/>
          <w:sz w:val="20"/>
          <w:szCs w:val="20"/>
          <w:lang w:val="es-CR"/>
        </w:rPr>
        <w:footnoteReference w:id="201"/>
      </w:r>
      <w:r w:rsidRPr="005F0BFF">
        <w:rPr>
          <w:rFonts w:ascii="Verdana" w:hAnsi="Verdana"/>
          <w:sz w:val="20"/>
          <w:szCs w:val="20"/>
          <w:lang w:val="es-CR"/>
        </w:rPr>
        <w:t>, las costas y gastos hacen parte del concepto de reparación, toda vez que la actividad desplegada por las víctimas con el fin de obtener justicia, tanto a nivel nacional como internacional, implica erogaciones que deben ser compensadas cuando la responsabilidad internacional del Estado es declarada mediante una sentencia condenatoria. En cuanto al reembolso de las costas y gastos, corresponde al Tribunal apreciar prudentemente su alcance, el cual comprende los gastos generados ante las autoridades de la jurisdicción interna, así como los generados en el curso del proceso ante el sistema interamericano, teniendo en cuenta las circunstancias del caso concreto y la naturaleza de la jurisdicción internacional de protección de derechos humanos.</w:t>
      </w:r>
      <w:r w:rsidR="001F5D63">
        <w:rPr>
          <w:rFonts w:ascii="Verdana" w:hAnsi="Verdana"/>
          <w:sz w:val="20"/>
          <w:szCs w:val="20"/>
          <w:lang w:val="es-CR"/>
        </w:rPr>
        <w:t xml:space="preserve"> </w:t>
      </w:r>
      <w:r w:rsidRPr="005F0BFF">
        <w:rPr>
          <w:rFonts w:ascii="Verdana" w:hAnsi="Verdana"/>
          <w:sz w:val="20"/>
          <w:szCs w:val="20"/>
          <w:lang w:val="es-CR"/>
        </w:rPr>
        <w:t>Esta apreciación puede ser realizada con base en el principio de equidad y tomando en cuenta los gastos señalados por las partes, siempre que su quantum sea razonable</w:t>
      </w:r>
      <w:r w:rsidRPr="0060326C">
        <w:rPr>
          <w:rFonts w:ascii="Verdana" w:hAnsi="Verdana"/>
          <w:vertAlign w:val="superscript"/>
          <w:lang w:val="es-CR"/>
        </w:rPr>
        <w:footnoteReference w:id="202"/>
      </w:r>
      <w:r w:rsidRPr="005F0BFF">
        <w:rPr>
          <w:rFonts w:ascii="Verdana" w:hAnsi="Verdana"/>
          <w:sz w:val="20"/>
          <w:szCs w:val="20"/>
          <w:lang w:val="es-CR"/>
        </w:rPr>
        <w:t>. En consideración de lo señalado por el Estado respecto a que lo alegado por los representantes se encuentra por fuera de los parámetros que se han establecido</w:t>
      </w:r>
      <w:r w:rsidR="00DC2517">
        <w:rPr>
          <w:rFonts w:ascii="Verdana" w:hAnsi="Verdana"/>
          <w:sz w:val="20"/>
          <w:szCs w:val="20"/>
          <w:lang w:val="es-CR"/>
        </w:rPr>
        <w:t xml:space="preserve"> con relación a</w:t>
      </w:r>
      <w:r w:rsidRPr="005F0BFF">
        <w:rPr>
          <w:rFonts w:ascii="Verdana" w:hAnsi="Verdana"/>
          <w:sz w:val="20"/>
          <w:szCs w:val="20"/>
          <w:lang w:val="es-CR"/>
        </w:rPr>
        <w:t xml:space="preserve"> la acreditación de la suma adicional solicitada por los representantes por concepto de costas y gastos, este Tribunal ha comprobado que efectivamente algunos de los gastos señalados no son sujetos de reintegro, y que tampoco se ha</w:t>
      </w:r>
      <w:r w:rsidR="00DC2517">
        <w:rPr>
          <w:rFonts w:ascii="Verdana" w:hAnsi="Verdana"/>
          <w:sz w:val="20"/>
          <w:szCs w:val="20"/>
          <w:lang w:val="es-CR"/>
        </w:rPr>
        <w:t>n</w:t>
      </w:r>
      <w:r w:rsidRPr="005F0BFF">
        <w:rPr>
          <w:rFonts w:ascii="Verdana" w:hAnsi="Verdana"/>
          <w:sz w:val="20"/>
          <w:szCs w:val="20"/>
          <w:lang w:val="es-CR"/>
        </w:rPr>
        <w:t xml:space="preserve"> presentado los comprobantes.</w:t>
      </w:r>
    </w:p>
    <w:p w14:paraId="480A2160" w14:textId="77777777" w:rsidR="005F0BFF" w:rsidRDefault="005F0BFF" w:rsidP="005F0BFF">
      <w:pPr>
        <w:pStyle w:val="Prrafodelista"/>
        <w:autoSpaceDE w:val="0"/>
        <w:autoSpaceDN w:val="0"/>
        <w:adjustRightInd w:val="0"/>
        <w:spacing w:after="0" w:line="240" w:lineRule="auto"/>
        <w:ind w:left="0"/>
        <w:jc w:val="both"/>
        <w:rPr>
          <w:rFonts w:ascii="Verdana" w:hAnsi="Verdana"/>
          <w:sz w:val="20"/>
          <w:szCs w:val="20"/>
          <w:lang w:val="es-CR"/>
        </w:rPr>
      </w:pPr>
    </w:p>
    <w:p w14:paraId="47AF4973" w14:textId="77777777" w:rsidR="005F0BFF" w:rsidRPr="005F0BFF" w:rsidRDefault="00D969DA" w:rsidP="005F0BFF">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5F0BFF">
        <w:rPr>
          <w:rFonts w:ascii="Verdana" w:hAnsi="Verdana"/>
          <w:sz w:val="20"/>
          <w:szCs w:val="20"/>
          <w:lang w:val="es-CR"/>
        </w:rPr>
        <w:t>Teniendo en cuenta todo lo anterior, la Corte fija, en equidad, la cant</w:t>
      </w:r>
      <w:r w:rsidR="008E3263" w:rsidRPr="005F0BFF">
        <w:rPr>
          <w:rFonts w:ascii="Verdana" w:hAnsi="Verdana"/>
          <w:sz w:val="20"/>
          <w:szCs w:val="20"/>
          <w:lang w:val="es-CR"/>
        </w:rPr>
        <w:t>idad de</w:t>
      </w:r>
      <w:r w:rsidR="00412967" w:rsidRPr="005F0BFF">
        <w:rPr>
          <w:rFonts w:ascii="Verdana" w:hAnsi="Verdana"/>
          <w:sz w:val="20"/>
          <w:szCs w:val="20"/>
          <w:lang w:val="es-CR"/>
        </w:rPr>
        <w:t xml:space="preserve"> USD</w:t>
      </w:r>
      <w:r w:rsidR="001F5D63">
        <w:rPr>
          <w:rFonts w:ascii="Verdana" w:hAnsi="Verdana"/>
          <w:sz w:val="20"/>
          <w:szCs w:val="20"/>
          <w:lang w:val="es-CR"/>
        </w:rPr>
        <w:t>$</w:t>
      </w:r>
      <w:r w:rsidR="00412967" w:rsidRPr="005F0BFF">
        <w:rPr>
          <w:rFonts w:ascii="Verdana" w:hAnsi="Verdana"/>
          <w:sz w:val="20"/>
          <w:szCs w:val="20"/>
          <w:lang w:val="es-CR"/>
        </w:rPr>
        <w:t xml:space="preserve"> 20</w:t>
      </w:r>
      <w:r w:rsidR="008E3263" w:rsidRPr="005F0BFF">
        <w:rPr>
          <w:rFonts w:ascii="Verdana" w:hAnsi="Verdana"/>
          <w:sz w:val="20"/>
          <w:szCs w:val="20"/>
          <w:lang w:val="es-CR"/>
        </w:rPr>
        <w:t>,000.</w:t>
      </w:r>
      <w:r w:rsidRPr="005F0BFF">
        <w:rPr>
          <w:rFonts w:ascii="Verdana" w:hAnsi="Verdana"/>
          <w:sz w:val="20"/>
          <w:szCs w:val="20"/>
          <w:lang w:val="es-CR"/>
        </w:rPr>
        <w:t>00 (</w:t>
      </w:r>
      <w:r w:rsidR="00412967" w:rsidRPr="005F0BFF">
        <w:rPr>
          <w:rFonts w:ascii="Verdana" w:hAnsi="Verdana"/>
          <w:sz w:val="20"/>
          <w:szCs w:val="20"/>
          <w:lang w:val="es-CR"/>
        </w:rPr>
        <w:t xml:space="preserve">veinte </w:t>
      </w:r>
      <w:r w:rsidRPr="005F0BFF">
        <w:rPr>
          <w:rFonts w:ascii="Verdana" w:hAnsi="Verdana"/>
          <w:sz w:val="20"/>
          <w:szCs w:val="20"/>
          <w:lang w:val="es-CR"/>
        </w:rPr>
        <w:t xml:space="preserve">mil dólares de los Estados Unidos de América) por los gastos incurridos en la tramitación del proceso ante el sistema interamericano de derechos humanos. Dicho monto deberá ser entregado, dentro del plazo de un año contado a partir de la notificación del </w:t>
      </w:r>
      <w:r w:rsidRPr="005F0BFF">
        <w:rPr>
          <w:rFonts w:ascii="Verdana" w:hAnsi="Verdana"/>
          <w:sz w:val="20"/>
          <w:szCs w:val="20"/>
          <w:lang w:val="es-CR"/>
        </w:rPr>
        <w:lastRenderedPageBreak/>
        <w:t>presente Fallo, de la siguiente manera: al Instituto de Estudios Comparados en Ciencias Penales de Guatemala la suma de USD$</w:t>
      </w:r>
      <w:r w:rsidR="001F5D63">
        <w:rPr>
          <w:rFonts w:ascii="Verdana" w:hAnsi="Verdana"/>
          <w:sz w:val="20"/>
          <w:szCs w:val="20"/>
          <w:lang w:val="es-CR"/>
        </w:rPr>
        <w:t>10,000.</w:t>
      </w:r>
      <w:r w:rsidRPr="005F0BFF">
        <w:rPr>
          <w:rFonts w:ascii="Verdana" w:hAnsi="Verdana"/>
          <w:sz w:val="20"/>
          <w:szCs w:val="20"/>
          <w:lang w:val="es-CR"/>
        </w:rPr>
        <w:t>00 (</w:t>
      </w:r>
      <w:r w:rsidR="001F5D63">
        <w:rPr>
          <w:rFonts w:ascii="Verdana" w:hAnsi="Verdana"/>
          <w:sz w:val="20"/>
          <w:szCs w:val="20"/>
          <w:lang w:val="es-CR"/>
        </w:rPr>
        <w:t xml:space="preserve">diez mil </w:t>
      </w:r>
      <w:r w:rsidRPr="005F0BFF">
        <w:rPr>
          <w:rFonts w:ascii="Verdana" w:hAnsi="Verdana"/>
          <w:sz w:val="20"/>
          <w:szCs w:val="20"/>
          <w:lang w:val="es-CR"/>
        </w:rPr>
        <w:t>dólares de los Estados Unidos de América) y al Instituto de la Defensa Pública Penal la suma de USD</w:t>
      </w:r>
      <w:r w:rsidR="00412967" w:rsidRPr="005F0BFF">
        <w:rPr>
          <w:rFonts w:ascii="Verdana" w:hAnsi="Verdana"/>
          <w:sz w:val="20"/>
          <w:szCs w:val="20"/>
          <w:lang w:val="es-CR"/>
        </w:rPr>
        <w:t>$10,000.</w:t>
      </w:r>
      <w:r w:rsidRPr="005F0BFF">
        <w:rPr>
          <w:rFonts w:ascii="Verdana" w:hAnsi="Verdana"/>
          <w:sz w:val="20"/>
          <w:szCs w:val="20"/>
          <w:lang w:val="es-CR"/>
        </w:rPr>
        <w:t>00 (</w:t>
      </w:r>
      <w:r w:rsidR="00DC2517">
        <w:rPr>
          <w:rFonts w:ascii="Verdana" w:hAnsi="Verdana"/>
          <w:sz w:val="20"/>
          <w:szCs w:val="20"/>
          <w:lang w:val="es-CR"/>
        </w:rPr>
        <w:t>diez mil</w:t>
      </w:r>
      <w:r w:rsidR="00DC2517" w:rsidRPr="005F0BFF">
        <w:rPr>
          <w:rFonts w:ascii="Verdana" w:hAnsi="Verdana"/>
          <w:sz w:val="20"/>
          <w:szCs w:val="20"/>
          <w:lang w:val="es-CR"/>
        </w:rPr>
        <w:t xml:space="preserve"> </w:t>
      </w:r>
      <w:r w:rsidRPr="005F0BFF">
        <w:rPr>
          <w:rFonts w:ascii="Verdana" w:hAnsi="Verdana"/>
          <w:sz w:val="20"/>
          <w:szCs w:val="20"/>
          <w:lang w:val="es-CR"/>
        </w:rPr>
        <w:t>dólares de los Estados Unidos de América). En la etapa de supervisión de cumplimiento de la presente Sentencia, la Corte podrá disponer que el Estado reembolse a las víctimas o sus representantes los gastos razonables en que incurran en dicha etapa procesal.</w:t>
      </w:r>
    </w:p>
    <w:p w14:paraId="2AA197FF" w14:textId="77777777" w:rsidR="005F0BFF" w:rsidRPr="005F0BFF" w:rsidRDefault="005F0BFF" w:rsidP="005F0BFF">
      <w:pPr>
        <w:pStyle w:val="Ttulo2"/>
        <w:rPr>
          <w:lang w:val="es-CR"/>
        </w:rPr>
      </w:pPr>
      <w:bookmarkStart w:id="93" w:name="_Toc25247803"/>
      <w:r>
        <w:rPr>
          <w:lang w:val="es-CR"/>
        </w:rPr>
        <w:t>H</w:t>
      </w:r>
      <w:r w:rsidRPr="00475512">
        <w:rPr>
          <w:lang w:val="es-CR"/>
        </w:rPr>
        <w:t>. Acceso al fondo legal de asistencia a víctimas.</w:t>
      </w:r>
      <w:bookmarkEnd w:id="93"/>
      <w:r>
        <w:rPr>
          <w:lang w:val="es-CR"/>
        </w:rPr>
        <w:t xml:space="preserve"> </w:t>
      </w:r>
    </w:p>
    <w:p w14:paraId="1450D59A" w14:textId="77777777" w:rsidR="005F0BFF" w:rsidRDefault="005F0BFF" w:rsidP="005F0BFF">
      <w:pPr>
        <w:pStyle w:val="Prrafodelista"/>
        <w:autoSpaceDE w:val="0"/>
        <w:autoSpaceDN w:val="0"/>
        <w:adjustRightInd w:val="0"/>
        <w:spacing w:after="0" w:line="240" w:lineRule="auto"/>
        <w:ind w:left="0"/>
        <w:jc w:val="both"/>
        <w:rPr>
          <w:rFonts w:ascii="Verdana" w:hAnsi="Verdana"/>
          <w:sz w:val="20"/>
          <w:szCs w:val="20"/>
          <w:lang w:val="es-CR"/>
        </w:rPr>
      </w:pPr>
    </w:p>
    <w:p w14:paraId="7C1F1EC1" w14:textId="1E29510D" w:rsidR="005F0BFF" w:rsidRPr="003D64E6" w:rsidRDefault="00304515" w:rsidP="005F0BFF">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3D64E6">
        <w:rPr>
          <w:rFonts w:ascii="Verdana" w:hAnsi="Verdana"/>
          <w:sz w:val="20"/>
          <w:szCs w:val="20"/>
          <w:lang w:val="es-CR"/>
        </w:rPr>
        <w:t xml:space="preserve">En el presente caso se otorgó con cargo a dicho Fondo la asistencia económica necesaria para </w:t>
      </w:r>
      <w:r w:rsidRPr="003D64E6">
        <w:rPr>
          <w:rFonts w:ascii="Verdana" w:hAnsi="Verdana"/>
          <w:sz w:val="20"/>
          <w:szCs w:val="20"/>
        </w:rPr>
        <w:t>para cubrir los gastos de viaje, traslado, hospedaje y viáticos necesarios para las s</w:t>
      </w:r>
      <w:r w:rsidR="0006659E" w:rsidRPr="003D64E6">
        <w:rPr>
          <w:rFonts w:ascii="Verdana" w:hAnsi="Verdana"/>
          <w:sz w:val="20"/>
          <w:szCs w:val="20"/>
        </w:rPr>
        <w:t>eñoras Florinda López de López</w:t>
      </w:r>
      <w:r w:rsidRPr="003D64E6">
        <w:rPr>
          <w:rFonts w:ascii="Verdana" w:hAnsi="Verdana"/>
          <w:sz w:val="20"/>
          <w:szCs w:val="20"/>
        </w:rPr>
        <w:t xml:space="preserve"> y Olga Patricia Roldán Monterroso </w:t>
      </w:r>
      <w:r w:rsidR="0006659E" w:rsidRPr="003D64E6">
        <w:rPr>
          <w:rFonts w:ascii="Verdana" w:hAnsi="Verdana"/>
          <w:sz w:val="20"/>
          <w:szCs w:val="20"/>
        </w:rPr>
        <w:t>y el señor Edgardo Enríquez Cabrera</w:t>
      </w:r>
      <w:r w:rsidR="00993882" w:rsidRPr="003D64E6">
        <w:rPr>
          <w:rStyle w:val="Refdenotaalpie"/>
          <w:rFonts w:ascii="Verdana" w:hAnsi="Verdana"/>
          <w:sz w:val="20"/>
          <w:szCs w:val="20"/>
        </w:rPr>
        <w:footnoteReference w:id="203"/>
      </w:r>
      <w:r w:rsidR="0006659E" w:rsidRPr="003D64E6">
        <w:rPr>
          <w:rFonts w:ascii="Verdana" w:hAnsi="Verdana"/>
          <w:sz w:val="20"/>
          <w:szCs w:val="20"/>
        </w:rPr>
        <w:t xml:space="preserve"> </w:t>
      </w:r>
      <w:r w:rsidRPr="003D64E6">
        <w:rPr>
          <w:rFonts w:ascii="Verdana" w:hAnsi="Verdana"/>
          <w:sz w:val="20"/>
          <w:szCs w:val="20"/>
        </w:rPr>
        <w:t>comparezcan ante el Tribunal a rendir su declaración en la audiencia pública por celebrarse en el presente caso</w:t>
      </w:r>
      <w:r w:rsidR="007F46A5" w:rsidRPr="003D64E6">
        <w:rPr>
          <w:rFonts w:ascii="Verdana" w:hAnsi="Verdana"/>
          <w:sz w:val="20"/>
          <w:szCs w:val="20"/>
        </w:rPr>
        <w:t xml:space="preserve">. </w:t>
      </w:r>
    </w:p>
    <w:p w14:paraId="50EBB997" w14:textId="77777777" w:rsidR="005F0BFF" w:rsidRDefault="005F0BFF" w:rsidP="005F0BFF">
      <w:pPr>
        <w:pStyle w:val="Prrafodelista"/>
        <w:autoSpaceDE w:val="0"/>
        <w:autoSpaceDN w:val="0"/>
        <w:adjustRightInd w:val="0"/>
        <w:spacing w:after="0" w:line="240" w:lineRule="auto"/>
        <w:ind w:left="0"/>
        <w:jc w:val="both"/>
        <w:rPr>
          <w:rFonts w:ascii="Verdana" w:hAnsi="Verdana"/>
          <w:sz w:val="20"/>
          <w:szCs w:val="20"/>
          <w:lang w:val="es-CR"/>
        </w:rPr>
      </w:pPr>
    </w:p>
    <w:p w14:paraId="7E3BA9D9" w14:textId="77777777" w:rsidR="005F0BFF" w:rsidRDefault="00D969DA" w:rsidP="005F0BFF">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5F0BFF">
        <w:rPr>
          <w:rFonts w:ascii="Verdana" w:hAnsi="Verdana"/>
          <w:sz w:val="20"/>
          <w:szCs w:val="20"/>
          <w:lang w:val="es-CR"/>
        </w:rPr>
        <w:t xml:space="preserve">Mediante nota de Secretaría de la Corte de </w:t>
      </w:r>
      <w:r w:rsidR="00494B89" w:rsidRPr="005F0BFF">
        <w:rPr>
          <w:rFonts w:ascii="Verdana" w:hAnsi="Verdana"/>
          <w:sz w:val="20"/>
          <w:szCs w:val="20"/>
          <w:lang w:val="es-CR"/>
        </w:rPr>
        <w:t>11 de julio</w:t>
      </w:r>
      <w:r w:rsidRPr="005F0BFF">
        <w:rPr>
          <w:rFonts w:ascii="Verdana" w:hAnsi="Verdana"/>
          <w:sz w:val="20"/>
          <w:szCs w:val="20"/>
          <w:lang w:val="es-CR"/>
        </w:rPr>
        <w:t xml:space="preserve"> de 2019, se remitió un informe al Estado sobre las erogaciones efectuadas en aplicación del Fondo de Asistencia Legal de Víctimas en el presente caso, las cuale</w:t>
      </w:r>
      <w:r w:rsidR="00494B89" w:rsidRPr="005F0BFF">
        <w:rPr>
          <w:rFonts w:ascii="Verdana" w:hAnsi="Verdana"/>
          <w:sz w:val="20"/>
          <w:szCs w:val="20"/>
          <w:lang w:val="es-CR"/>
        </w:rPr>
        <w:t>s ascendieron a la suma de USD</w:t>
      </w:r>
      <w:r w:rsidR="00C171C4" w:rsidRPr="005F0BFF">
        <w:rPr>
          <w:rFonts w:ascii="Verdana" w:hAnsi="Verdana"/>
          <w:sz w:val="20"/>
          <w:szCs w:val="20"/>
          <w:lang w:val="es-CR"/>
        </w:rPr>
        <w:t>$</w:t>
      </w:r>
      <w:r w:rsidR="00494B89" w:rsidRPr="005F0BFF">
        <w:rPr>
          <w:rFonts w:ascii="Verdana" w:hAnsi="Verdana"/>
          <w:sz w:val="20"/>
          <w:szCs w:val="20"/>
          <w:lang w:val="es-CR"/>
        </w:rPr>
        <w:t>1,620.53 (mil seiscientos veinte</w:t>
      </w:r>
      <w:r w:rsidRPr="005F0BFF">
        <w:rPr>
          <w:rFonts w:ascii="Verdana" w:hAnsi="Verdana"/>
          <w:sz w:val="20"/>
          <w:szCs w:val="20"/>
          <w:lang w:val="es-CR"/>
        </w:rPr>
        <w:t xml:space="preserve"> dólares de los Estados Unidos de América</w:t>
      </w:r>
      <w:r w:rsidR="00494B89" w:rsidRPr="005F0BFF">
        <w:rPr>
          <w:rFonts w:ascii="Verdana" w:hAnsi="Verdana"/>
          <w:sz w:val="20"/>
          <w:szCs w:val="20"/>
          <w:lang w:val="es-CR"/>
        </w:rPr>
        <w:t xml:space="preserve"> con cincuenta y </w:t>
      </w:r>
      <w:r w:rsidR="00C171C4" w:rsidRPr="005F0BFF">
        <w:rPr>
          <w:rFonts w:ascii="Verdana" w:hAnsi="Verdana"/>
          <w:sz w:val="20"/>
          <w:szCs w:val="20"/>
          <w:lang w:val="es-CR"/>
        </w:rPr>
        <w:t>t</w:t>
      </w:r>
      <w:r w:rsidR="00494B89" w:rsidRPr="005F0BFF">
        <w:rPr>
          <w:rFonts w:ascii="Verdana" w:hAnsi="Verdana"/>
          <w:sz w:val="20"/>
          <w:szCs w:val="20"/>
          <w:lang w:val="es-CR"/>
        </w:rPr>
        <w:t>res centavos</w:t>
      </w:r>
      <w:r w:rsidRPr="005F0BFF">
        <w:rPr>
          <w:rFonts w:ascii="Verdana" w:hAnsi="Verdana"/>
          <w:sz w:val="20"/>
          <w:szCs w:val="20"/>
          <w:lang w:val="es-CR"/>
        </w:rPr>
        <w:t xml:space="preserve">) y, según lo dispuesto en el artículo 5 del Reglamento de la Corte sobre el Funcionamiento del referido Fondo, se otorgó un plazo para que Guatemala presentara las observaciones que estimara pertinentes. El Estado presentó sus observaciones el </w:t>
      </w:r>
      <w:r w:rsidR="00494B89" w:rsidRPr="005F0BFF">
        <w:rPr>
          <w:rFonts w:ascii="Verdana" w:hAnsi="Verdana"/>
          <w:sz w:val="20"/>
          <w:szCs w:val="20"/>
          <w:lang w:val="es-CR"/>
        </w:rPr>
        <w:t>23 de julio</w:t>
      </w:r>
      <w:r w:rsidRPr="005F0BFF">
        <w:rPr>
          <w:rFonts w:ascii="Verdana" w:hAnsi="Verdana"/>
          <w:sz w:val="20"/>
          <w:szCs w:val="20"/>
          <w:lang w:val="es-CR"/>
        </w:rPr>
        <w:t xml:space="preserve"> de 2019, en las cuales objetó el pago de la erogación</w:t>
      </w:r>
      <w:r w:rsidR="002C7903" w:rsidRPr="005F0BFF">
        <w:rPr>
          <w:rFonts w:ascii="Verdana" w:hAnsi="Verdana"/>
          <w:sz w:val="20"/>
          <w:szCs w:val="20"/>
          <w:lang w:val="es-CR"/>
        </w:rPr>
        <w:t xml:space="preserve"> porque</w:t>
      </w:r>
      <w:r w:rsidRPr="005F0BFF">
        <w:rPr>
          <w:rFonts w:ascii="Verdana" w:hAnsi="Verdana"/>
          <w:sz w:val="20"/>
          <w:szCs w:val="20"/>
          <w:lang w:val="es-CR"/>
        </w:rPr>
        <w:t xml:space="preserve"> </w:t>
      </w:r>
      <w:r w:rsidR="00C171C4" w:rsidRPr="005F0BFF">
        <w:rPr>
          <w:rFonts w:ascii="Verdana" w:hAnsi="Verdana"/>
          <w:sz w:val="20"/>
          <w:szCs w:val="20"/>
          <w:lang w:val="es-CR"/>
        </w:rPr>
        <w:t>las intervenciones de</w:t>
      </w:r>
      <w:r w:rsidR="00094901">
        <w:rPr>
          <w:rFonts w:ascii="Verdana" w:hAnsi="Verdana"/>
          <w:sz w:val="20"/>
          <w:szCs w:val="20"/>
          <w:lang w:val="es-CR"/>
        </w:rPr>
        <w:t xml:space="preserve"> </w:t>
      </w:r>
      <w:r w:rsidR="00C171C4" w:rsidRPr="005F0BFF">
        <w:rPr>
          <w:rFonts w:ascii="Verdana" w:hAnsi="Verdana"/>
          <w:sz w:val="20"/>
          <w:szCs w:val="20"/>
          <w:lang w:val="es-CR"/>
        </w:rPr>
        <w:t>l</w:t>
      </w:r>
      <w:r w:rsidR="00094901">
        <w:rPr>
          <w:rFonts w:ascii="Verdana" w:hAnsi="Verdana"/>
          <w:sz w:val="20"/>
          <w:szCs w:val="20"/>
          <w:lang w:val="es-CR"/>
        </w:rPr>
        <w:t>as</w:t>
      </w:r>
      <w:r w:rsidR="00C171C4" w:rsidRPr="005F0BFF">
        <w:rPr>
          <w:rFonts w:ascii="Verdana" w:hAnsi="Verdana"/>
          <w:sz w:val="20"/>
          <w:szCs w:val="20"/>
          <w:lang w:val="es-CR"/>
        </w:rPr>
        <w:t xml:space="preserve"> personas que asist</w:t>
      </w:r>
      <w:r w:rsidR="00094901">
        <w:rPr>
          <w:rFonts w:ascii="Verdana" w:hAnsi="Verdana"/>
          <w:sz w:val="20"/>
          <w:szCs w:val="20"/>
          <w:lang w:val="es-CR"/>
        </w:rPr>
        <w:t>ieron</w:t>
      </w:r>
      <w:r w:rsidR="00C171C4" w:rsidRPr="005F0BFF">
        <w:rPr>
          <w:rFonts w:ascii="Verdana" w:hAnsi="Verdana"/>
          <w:sz w:val="20"/>
          <w:szCs w:val="20"/>
          <w:lang w:val="es-CR"/>
        </w:rPr>
        <w:t xml:space="preserve"> a la audiencia no aporta</w:t>
      </w:r>
      <w:r w:rsidR="00094901">
        <w:rPr>
          <w:rFonts w:ascii="Verdana" w:hAnsi="Verdana"/>
          <w:sz w:val="20"/>
          <w:szCs w:val="20"/>
          <w:lang w:val="es-CR"/>
        </w:rPr>
        <w:t>ro</w:t>
      </w:r>
      <w:r w:rsidR="00C171C4" w:rsidRPr="005F0BFF">
        <w:rPr>
          <w:rFonts w:ascii="Verdana" w:hAnsi="Verdana"/>
          <w:sz w:val="20"/>
          <w:szCs w:val="20"/>
          <w:lang w:val="es-CR"/>
        </w:rPr>
        <w:t>n significativamente información que pudiera coadyuvar al presente caso y porque e</w:t>
      </w:r>
      <w:r w:rsidR="00094901">
        <w:rPr>
          <w:rFonts w:ascii="Verdana" w:hAnsi="Verdana"/>
          <w:sz w:val="20"/>
          <w:szCs w:val="20"/>
          <w:lang w:val="es-CR"/>
        </w:rPr>
        <w:t>ra</w:t>
      </w:r>
      <w:r w:rsidR="00C171C4" w:rsidRPr="005F0BFF">
        <w:rPr>
          <w:rFonts w:ascii="Verdana" w:hAnsi="Verdana"/>
          <w:sz w:val="20"/>
          <w:szCs w:val="20"/>
          <w:lang w:val="es-CR"/>
        </w:rPr>
        <w:t xml:space="preserve"> un costo muy elevado </w:t>
      </w:r>
      <w:r w:rsidR="00094901">
        <w:rPr>
          <w:rFonts w:ascii="Verdana" w:hAnsi="Verdana"/>
          <w:sz w:val="20"/>
          <w:szCs w:val="20"/>
          <w:lang w:val="es-CR"/>
        </w:rPr>
        <w:t>el relativo a</w:t>
      </w:r>
      <w:r w:rsidR="00C171C4" w:rsidRPr="005F0BFF">
        <w:rPr>
          <w:rFonts w:ascii="Verdana" w:hAnsi="Verdana"/>
          <w:sz w:val="20"/>
          <w:szCs w:val="20"/>
          <w:lang w:val="es-CR"/>
        </w:rPr>
        <w:t xml:space="preserve"> los rubros correspondientes a los boletos aéreos, gastos de hospedaje, gastos de alimentación e incidentales</w:t>
      </w:r>
      <w:r w:rsidR="00094901">
        <w:rPr>
          <w:rFonts w:ascii="Verdana" w:hAnsi="Verdana"/>
          <w:sz w:val="20"/>
          <w:szCs w:val="20"/>
          <w:lang w:val="es-CR"/>
        </w:rPr>
        <w:t>,</w:t>
      </w:r>
      <w:r w:rsidR="00C171C4" w:rsidRPr="005F0BFF">
        <w:rPr>
          <w:rFonts w:ascii="Verdana" w:hAnsi="Verdana"/>
          <w:sz w:val="20"/>
          <w:szCs w:val="20"/>
          <w:lang w:val="es-CR"/>
        </w:rPr>
        <w:t xml:space="preserve"> y gastos terminales. </w:t>
      </w:r>
    </w:p>
    <w:p w14:paraId="51EFDB6C" w14:textId="3DA5A103" w:rsidR="005F0BFF" w:rsidRPr="005F0BFF" w:rsidRDefault="00351B07" w:rsidP="00AB7444">
      <w:pPr>
        <w:pStyle w:val="Prrafodelista"/>
        <w:tabs>
          <w:tab w:val="left" w:pos="5576"/>
        </w:tabs>
        <w:rPr>
          <w:rFonts w:ascii="Verdana" w:hAnsi="Verdana"/>
          <w:sz w:val="20"/>
          <w:szCs w:val="20"/>
          <w:lang w:val="es-CR"/>
        </w:rPr>
      </w:pPr>
      <w:r>
        <w:rPr>
          <w:rFonts w:ascii="Verdana" w:hAnsi="Verdana"/>
          <w:sz w:val="20"/>
          <w:szCs w:val="20"/>
          <w:lang w:val="es-CR"/>
        </w:rPr>
        <w:tab/>
      </w:r>
    </w:p>
    <w:p w14:paraId="79C1A628" w14:textId="77777777" w:rsidR="005F0BFF" w:rsidRDefault="00D969DA" w:rsidP="005F0BFF">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5F0BFF">
        <w:rPr>
          <w:rFonts w:ascii="Verdana" w:hAnsi="Verdana"/>
          <w:sz w:val="20"/>
          <w:szCs w:val="20"/>
          <w:lang w:val="es-CR"/>
        </w:rPr>
        <w:t>A la luz del artículo 5 del Reglamento del Fondo, en razón de las violaciones declaradas en la presente Sentencia y que se cumplió con los requisitos para acogerse al Fondo, la Corte ordena al Estado el reintegro a dich</w:t>
      </w:r>
      <w:r w:rsidR="00116945" w:rsidRPr="005F0BFF">
        <w:rPr>
          <w:rFonts w:ascii="Verdana" w:hAnsi="Verdana"/>
          <w:sz w:val="20"/>
          <w:szCs w:val="20"/>
          <w:lang w:val="es-CR"/>
        </w:rPr>
        <w:t xml:space="preserve">o Fondo de la cantidad de </w:t>
      </w:r>
      <w:r w:rsidR="00C171C4" w:rsidRPr="005F0BFF">
        <w:rPr>
          <w:rFonts w:ascii="Verdana" w:hAnsi="Verdana"/>
          <w:sz w:val="20"/>
          <w:szCs w:val="20"/>
          <w:lang w:val="es-CR"/>
        </w:rPr>
        <w:t>USD</w:t>
      </w:r>
      <w:r w:rsidR="00C171C4" w:rsidRPr="00A07AF4">
        <w:rPr>
          <w:rFonts w:ascii="Verdana" w:hAnsi="Verdana"/>
          <w:sz w:val="20"/>
          <w:szCs w:val="20"/>
          <w:lang w:val="es-CR"/>
        </w:rPr>
        <w:t>$1,620.53 (</w:t>
      </w:r>
      <w:r w:rsidR="00C171C4" w:rsidRPr="005F0BFF">
        <w:rPr>
          <w:rFonts w:ascii="Verdana" w:hAnsi="Verdana"/>
          <w:sz w:val="20"/>
          <w:szCs w:val="20"/>
          <w:lang w:val="es-CR"/>
        </w:rPr>
        <w:t xml:space="preserve">mil seiscientos veinte dólares de los Estados Unidos de América con cincuenta y tres centavos) </w:t>
      </w:r>
      <w:r w:rsidRPr="005F0BFF">
        <w:rPr>
          <w:rFonts w:ascii="Verdana" w:hAnsi="Verdana"/>
          <w:sz w:val="20"/>
          <w:szCs w:val="20"/>
          <w:lang w:val="es-CR"/>
        </w:rPr>
        <w:t>por concepto de los gastos necesarios realizados. Dicha cantidad deberá ser reintegrada en el plazo de seis meses, contados a partir de la notificación del presente Fallo.</w:t>
      </w:r>
    </w:p>
    <w:p w14:paraId="15104A44" w14:textId="77777777" w:rsidR="005F0BFF" w:rsidRDefault="005F0BFF" w:rsidP="005F0BFF">
      <w:pPr>
        <w:pStyle w:val="Prrafodelista"/>
        <w:autoSpaceDE w:val="0"/>
        <w:autoSpaceDN w:val="0"/>
        <w:adjustRightInd w:val="0"/>
        <w:spacing w:after="0" w:line="240" w:lineRule="auto"/>
        <w:ind w:left="0"/>
        <w:jc w:val="both"/>
        <w:rPr>
          <w:rFonts w:ascii="Verdana" w:hAnsi="Verdana"/>
          <w:sz w:val="20"/>
          <w:szCs w:val="20"/>
          <w:lang w:val="es-CR"/>
        </w:rPr>
      </w:pPr>
    </w:p>
    <w:p w14:paraId="2CFDBE63" w14:textId="77777777" w:rsidR="005F0BFF" w:rsidRPr="00475512" w:rsidRDefault="005F0BFF" w:rsidP="005F0BFF">
      <w:pPr>
        <w:pStyle w:val="Ttulo2"/>
        <w:spacing w:before="0"/>
        <w:rPr>
          <w:lang w:val="es-CR"/>
        </w:rPr>
      </w:pPr>
      <w:bookmarkStart w:id="94" w:name="_Toc25247804"/>
      <w:r>
        <w:rPr>
          <w:lang w:val="es-CR"/>
        </w:rPr>
        <w:t>I</w:t>
      </w:r>
      <w:r w:rsidRPr="00475512">
        <w:rPr>
          <w:lang w:val="es-CR"/>
        </w:rPr>
        <w:t>. Modalidades de cumplimiento de los pagos ordenados</w:t>
      </w:r>
      <w:bookmarkEnd w:id="94"/>
    </w:p>
    <w:p w14:paraId="1D7DB1D6" w14:textId="77777777" w:rsidR="005F0BFF" w:rsidRPr="005F0BFF" w:rsidRDefault="005F0BFF" w:rsidP="005F0BFF">
      <w:pPr>
        <w:pStyle w:val="Prrafodelista"/>
        <w:rPr>
          <w:rFonts w:ascii="Verdana" w:hAnsi="Verdana"/>
          <w:sz w:val="20"/>
          <w:szCs w:val="20"/>
          <w:lang w:val="es-CR"/>
        </w:rPr>
      </w:pPr>
    </w:p>
    <w:p w14:paraId="7A1C185C" w14:textId="77777777" w:rsidR="005F0BFF" w:rsidRDefault="00D969DA" w:rsidP="005F0BFF">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5F0BFF">
        <w:rPr>
          <w:rFonts w:ascii="Verdana" w:hAnsi="Verdana"/>
          <w:sz w:val="20"/>
          <w:szCs w:val="20"/>
          <w:lang w:val="es-CR"/>
        </w:rPr>
        <w:t xml:space="preserve">El Estado deberá efectuar el pago de las indemnizaciones por concepto de daño inmaterial y el reintegro de costas y gastos establecidos en la presente Sentencia directamente a las personas y organizaciones indicadas en la misma, dentro del plazo de un año, contado a partir de la notificación del presente Fallo, en los términos de los siguientes párrafos. </w:t>
      </w:r>
    </w:p>
    <w:p w14:paraId="22DF756A" w14:textId="77777777" w:rsidR="005F0BFF" w:rsidRDefault="005F0BFF" w:rsidP="005F0BFF">
      <w:pPr>
        <w:pStyle w:val="Prrafodelista"/>
        <w:autoSpaceDE w:val="0"/>
        <w:autoSpaceDN w:val="0"/>
        <w:adjustRightInd w:val="0"/>
        <w:spacing w:after="0" w:line="240" w:lineRule="auto"/>
        <w:ind w:left="0"/>
        <w:jc w:val="both"/>
        <w:rPr>
          <w:rFonts w:ascii="Verdana" w:hAnsi="Verdana"/>
          <w:sz w:val="20"/>
          <w:szCs w:val="20"/>
          <w:lang w:val="es-CR"/>
        </w:rPr>
      </w:pPr>
    </w:p>
    <w:p w14:paraId="71A81DE0" w14:textId="14035DF7" w:rsidR="005F0BFF" w:rsidRDefault="00D969DA" w:rsidP="005F0BFF">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5F0BFF">
        <w:rPr>
          <w:rFonts w:ascii="Verdana" w:hAnsi="Verdana"/>
          <w:sz w:val="20"/>
          <w:szCs w:val="20"/>
          <w:lang w:val="es-CR"/>
        </w:rPr>
        <w:t>En caso de los que beneficiarios hayan fallecido o fallezcan antes de que les sea entregada la indemnización respectiva, ésta se efectuará directamente a sus derechohabientes, confor</w:t>
      </w:r>
      <w:r w:rsidR="00693EC2">
        <w:rPr>
          <w:rFonts w:ascii="Verdana" w:hAnsi="Verdana"/>
          <w:sz w:val="20"/>
          <w:szCs w:val="20"/>
          <w:lang w:val="es-CR"/>
        </w:rPr>
        <w:t>me al derecho interno aplicable</w:t>
      </w:r>
      <w:r w:rsidRPr="005F0BFF">
        <w:rPr>
          <w:rFonts w:ascii="Verdana" w:hAnsi="Verdana"/>
          <w:sz w:val="20"/>
          <w:szCs w:val="20"/>
          <w:lang w:val="es-CR"/>
        </w:rPr>
        <w:t xml:space="preserve">. </w:t>
      </w:r>
    </w:p>
    <w:p w14:paraId="598F0752" w14:textId="77777777" w:rsidR="005F0BFF" w:rsidRPr="005F0BFF" w:rsidRDefault="005F0BFF" w:rsidP="005F0BFF">
      <w:pPr>
        <w:pStyle w:val="Prrafodelista"/>
        <w:rPr>
          <w:rFonts w:ascii="Verdana" w:hAnsi="Verdana"/>
          <w:sz w:val="20"/>
          <w:szCs w:val="20"/>
          <w:lang w:val="es-CR"/>
        </w:rPr>
      </w:pPr>
    </w:p>
    <w:p w14:paraId="5F18B2D3" w14:textId="77777777" w:rsidR="005F0BFF" w:rsidRDefault="00D969DA" w:rsidP="005F0BFF">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5F0BFF">
        <w:rPr>
          <w:rFonts w:ascii="Verdana" w:hAnsi="Verdana"/>
          <w:sz w:val="20"/>
          <w:szCs w:val="20"/>
          <w:lang w:val="es-CR"/>
        </w:rPr>
        <w:t>El Estado debe cumplir sus obligaciones monetarias mediante el pago en dólares de los Estados Unidos de América o su equivalente en moneda nacional, utilizando para el cálculo respectivo el tipo de cambio que se encuentre vigente en la bolsa de Nueva York, Estados Unidos de América, el día anterior al pago.</w:t>
      </w:r>
    </w:p>
    <w:p w14:paraId="519120EB" w14:textId="77777777" w:rsidR="005F0BFF" w:rsidRPr="005F0BFF" w:rsidRDefault="005F0BFF" w:rsidP="005F0BFF">
      <w:pPr>
        <w:pStyle w:val="Prrafodelista"/>
        <w:rPr>
          <w:rFonts w:ascii="Verdana" w:hAnsi="Verdana"/>
          <w:sz w:val="20"/>
          <w:szCs w:val="20"/>
          <w:lang w:val="es-CR"/>
        </w:rPr>
      </w:pPr>
    </w:p>
    <w:p w14:paraId="47A8B029" w14:textId="77777777" w:rsidR="005F0BFF" w:rsidRDefault="00D969DA" w:rsidP="005F0BFF">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5F0BFF">
        <w:rPr>
          <w:rFonts w:ascii="Verdana" w:hAnsi="Verdana"/>
          <w:sz w:val="20"/>
          <w:szCs w:val="20"/>
          <w:lang w:val="es-CR"/>
        </w:rPr>
        <w:lastRenderedPageBreak/>
        <w:t xml:space="preserve">Si por causas atribuibles a los beneficiarios de las indemnizaciones o a sus derechohabientes no fuese posible el pago de las cantidades determinadas dentro del plazo indicado, el Estado consignará dichos montos a su favor en una cuenta o certificado de depósito en una institución financiera de Guatemala solvente, en dólares estadounidenses, y en las condiciones financieras más favorables que permitan la legislación y la práctica bancaria. Si no se reclama la indemnización correspondiente una vez transcurridos diez años, las cantidades serán devueltas al Estado con los intereses devengados. </w:t>
      </w:r>
    </w:p>
    <w:p w14:paraId="63DBAF23" w14:textId="77777777" w:rsidR="000E33CE" w:rsidRPr="000E33CE" w:rsidRDefault="000E33CE" w:rsidP="000E33CE">
      <w:pPr>
        <w:pStyle w:val="Prrafodelista"/>
        <w:rPr>
          <w:rFonts w:ascii="Verdana" w:hAnsi="Verdana"/>
          <w:sz w:val="20"/>
          <w:szCs w:val="20"/>
          <w:lang w:val="es-CR"/>
        </w:rPr>
      </w:pPr>
    </w:p>
    <w:p w14:paraId="49C80362" w14:textId="35A2CA4C" w:rsidR="005F0BFF" w:rsidRDefault="00D969DA" w:rsidP="00A07AF4">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0E33CE">
        <w:rPr>
          <w:rFonts w:ascii="Verdana" w:hAnsi="Verdana"/>
          <w:sz w:val="20"/>
          <w:szCs w:val="20"/>
          <w:lang w:val="es-CR"/>
        </w:rPr>
        <w:t>Las cantidades asignadas en la presente Sentencia como indemnización y como reintegro de costas y gastos deberán ser entregadas a las personas y organizaciones indicadas en forma íntegra, conforme a lo establecido en esta Sentencia, sin reducciones derivadas de eventuales cargas fiscales. En caso de que el Estado incurriera en mora, deberá pagar un interés sobre la cantidad adeudada correspondiente al interés bancario moratorio en la República de Guatemala.</w:t>
      </w:r>
    </w:p>
    <w:p w14:paraId="41379628" w14:textId="77777777" w:rsidR="00D539AC" w:rsidRPr="00D539AC" w:rsidRDefault="00D539AC" w:rsidP="00D539AC">
      <w:pPr>
        <w:pStyle w:val="Prrafodelista"/>
        <w:autoSpaceDE w:val="0"/>
        <w:autoSpaceDN w:val="0"/>
        <w:adjustRightInd w:val="0"/>
        <w:spacing w:after="0" w:line="240" w:lineRule="auto"/>
        <w:ind w:left="0"/>
        <w:jc w:val="both"/>
        <w:rPr>
          <w:rFonts w:ascii="Verdana" w:hAnsi="Verdana"/>
          <w:sz w:val="20"/>
          <w:szCs w:val="20"/>
          <w:lang w:val="es-CR"/>
        </w:rPr>
      </w:pPr>
    </w:p>
    <w:p w14:paraId="1936944E" w14:textId="77777777" w:rsidR="005F0BFF" w:rsidRPr="0060326C" w:rsidRDefault="005F0BFF" w:rsidP="00A07AF4">
      <w:pPr>
        <w:pStyle w:val="Ttulo1"/>
        <w:spacing w:before="0"/>
      </w:pPr>
      <w:bookmarkStart w:id="95" w:name="_Toc10019892"/>
      <w:bookmarkStart w:id="96" w:name="_Toc25247805"/>
      <w:r w:rsidRPr="00435ED2">
        <w:t>X</w:t>
      </w:r>
      <w:bookmarkStart w:id="97" w:name="_Toc532487621"/>
      <w:bookmarkStart w:id="98" w:name="_Toc536687814"/>
      <w:r w:rsidRPr="00435ED2">
        <w:t xml:space="preserve"> </w:t>
      </w:r>
      <w:r>
        <w:br/>
      </w:r>
      <w:r w:rsidRPr="00435ED2">
        <w:t>PUNTOS RESOLUTIVOS</w:t>
      </w:r>
      <w:bookmarkEnd w:id="95"/>
      <w:bookmarkEnd w:id="96"/>
      <w:bookmarkEnd w:id="97"/>
      <w:bookmarkEnd w:id="98"/>
    </w:p>
    <w:p w14:paraId="5DE435AC" w14:textId="77777777" w:rsidR="002B3F70" w:rsidRPr="005F0BFF" w:rsidRDefault="00D969DA" w:rsidP="005F0BFF">
      <w:pPr>
        <w:pStyle w:val="Prrafodelista"/>
        <w:numPr>
          <w:ilvl w:val="3"/>
          <w:numId w:val="1"/>
        </w:numPr>
        <w:autoSpaceDE w:val="0"/>
        <w:autoSpaceDN w:val="0"/>
        <w:adjustRightInd w:val="0"/>
        <w:spacing w:after="0" w:line="240" w:lineRule="auto"/>
        <w:ind w:left="0" w:firstLine="0"/>
        <w:jc w:val="both"/>
        <w:rPr>
          <w:rFonts w:ascii="Verdana" w:hAnsi="Verdana"/>
          <w:sz w:val="20"/>
          <w:szCs w:val="20"/>
          <w:lang w:val="es-CR"/>
        </w:rPr>
      </w:pPr>
      <w:r w:rsidRPr="005F0BFF">
        <w:rPr>
          <w:rFonts w:ascii="Verdana" w:hAnsi="Verdana"/>
          <w:sz w:val="20"/>
          <w:szCs w:val="20"/>
        </w:rPr>
        <w:t xml:space="preserve">Por tanto, </w:t>
      </w:r>
    </w:p>
    <w:p w14:paraId="16EBF050" w14:textId="77777777" w:rsidR="00D969DA" w:rsidRPr="00D57474" w:rsidRDefault="00D969DA" w:rsidP="00EC2F24">
      <w:pPr>
        <w:tabs>
          <w:tab w:val="left" w:pos="720"/>
        </w:tabs>
        <w:spacing w:after="0" w:line="240" w:lineRule="auto"/>
        <w:ind w:right="-90"/>
        <w:contextualSpacing/>
        <w:jc w:val="both"/>
        <w:rPr>
          <w:rFonts w:ascii="Verdana" w:hAnsi="Verdana"/>
          <w:sz w:val="20"/>
          <w:szCs w:val="20"/>
          <w:lang w:val="es-CR"/>
        </w:rPr>
      </w:pPr>
    </w:p>
    <w:p w14:paraId="746EE4F5" w14:textId="77777777" w:rsidR="00D969DA" w:rsidRPr="00173135" w:rsidRDefault="00D969DA" w:rsidP="00EC2F24">
      <w:pPr>
        <w:tabs>
          <w:tab w:val="left" w:pos="720"/>
        </w:tabs>
        <w:spacing w:after="0" w:line="240" w:lineRule="auto"/>
        <w:ind w:right="-90"/>
        <w:contextualSpacing/>
        <w:jc w:val="both"/>
        <w:rPr>
          <w:rFonts w:ascii="Verdana" w:hAnsi="Verdana"/>
          <w:b/>
          <w:sz w:val="20"/>
          <w:szCs w:val="20"/>
          <w:lang w:val="es-CR"/>
        </w:rPr>
      </w:pPr>
      <w:r w:rsidRPr="00173135">
        <w:rPr>
          <w:rFonts w:ascii="Verdana" w:hAnsi="Verdana"/>
          <w:b/>
          <w:sz w:val="20"/>
          <w:szCs w:val="20"/>
          <w:lang w:val="es-CR"/>
        </w:rPr>
        <w:t>LA CORTE,</w:t>
      </w:r>
    </w:p>
    <w:p w14:paraId="5D52782C" w14:textId="77777777" w:rsidR="00D969DA" w:rsidRPr="00173135" w:rsidRDefault="00D969DA" w:rsidP="00EC2F24">
      <w:pPr>
        <w:tabs>
          <w:tab w:val="left" w:pos="720"/>
        </w:tabs>
        <w:spacing w:after="0" w:line="240" w:lineRule="auto"/>
        <w:ind w:right="-90"/>
        <w:contextualSpacing/>
        <w:jc w:val="both"/>
        <w:rPr>
          <w:rFonts w:ascii="Verdana" w:hAnsi="Verdana"/>
          <w:b/>
          <w:sz w:val="20"/>
          <w:szCs w:val="20"/>
          <w:lang w:val="es-CR"/>
        </w:rPr>
      </w:pPr>
    </w:p>
    <w:p w14:paraId="3FD922DA" w14:textId="77777777" w:rsidR="00D969DA" w:rsidRPr="00D57474" w:rsidRDefault="00D969DA" w:rsidP="00EC2F24">
      <w:pPr>
        <w:tabs>
          <w:tab w:val="left" w:pos="720"/>
        </w:tabs>
        <w:spacing w:after="0" w:line="240" w:lineRule="auto"/>
        <w:ind w:right="-90"/>
        <w:contextualSpacing/>
        <w:jc w:val="both"/>
        <w:rPr>
          <w:rFonts w:ascii="Verdana" w:hAnsi="Verdana"/>
          <w:sz w:val="20"/>
          <w:szCs w:val="20"/>
          <w:lang w:val="es-CR"/>
        </w:rPr>
      </w:pPr>
      <w:r w:rsidRPr="00173135">
        <w:rPr>
          <w:rFonts w:ascii="Verdana" w:hAnsi="Verdana"/>
          <w:b/>
          <w:sz w:val="20"/>
          <w:szCs w:val="20"/>
          <w:lang w:val="es-CR"/>
        </w:rPr>
        <w:t>DECLARA</w:t>
      </w:r>
      <w:r w:rsidRPr="00D57474">
        <w:rPr>
          <w:rFonts w:ascii="Verdana" w:hAnsi="Verdana"/>
          <w:sz w:val="20"/>
          <w:szCs w:val="20"/>
          <w:lang w:val="es-CR"/>
        </w:rPr>
        <w:t>:</w:t>
      </w:r>
    </w:p>
    <w:p w14:paraId="081ACA22" w14:textId="77777777" w:rsidR="00D969DA" w:rsidRPr="00D57474" w:rsidRDefault="00D969DA" w:rsidP="00EC2F24">
      <w:pPr>
        <w:tabs>
          <w:tab w:val="left" w:pos="720"/>
        </w:tabs>
        <w:spacing w:after="0" w:line="240" w:lineRule="auto"/>
        <w:ind w:right="-90"/>
        <w:contextualSpacing/>
        <w:jc w:val="both"/>
        <w:rPr>
          <w:rFonts w:ascii="Verdana" w:hAnsi="Verdana"/>
          <w:sz w:val="20"/>
          <w:szCs w:val="20"/>
          <w:lang w:val="es-CR"/>
        </w:rPr>
      </w:pPr>
    </w:p>
    <w:p w14:paraId="06C93207" w14:textId="77777777" w:rsidR="00D969DA" w:rsidRPr="00D57474" w:rsidRDefault="006C3807" w:rsidP="00EC2F24">
      <w:pPr>
        <w:tabs>
          <w:tab w:val="left" w:pos="720"/>
        </w:tabs>
        <w:spacing w:after="0" w:line="240" w:lineRule="auto"/>
        <w:ind w:right="-90"/>
        <w:contextualSpacing/>
        <w:jc w:val="both"/>
        <w:rPr>
          <w:rFonts w:ascii="Verdana" w:hAnsi="Verdana"/>
          <w:sz w:val="20"/>
          <w:szCs w:val="20"/>
          <w:lang w:val="es-CR"/>
        </w:rPr>
      </w:pPr>
      <w:r>
        <w:rPr>
          <w:rFonts w:ascii="Verdana" w:hAnsi="Verdana"/>
          <w:sz w:val="20"/>
          <w:szCs w:val="20"/>
          <w:lang w:val="es-CR"/>
        </w:rPr>
        <w:t>Por unanimidad</w:t>
      </w:r>
      <w:r w:rsidR="00D969DA" w:rsidRPr="00D57474">
        <w:rPr>
          <w:rFonts w:ascii="Verdana" w:hAnsi="Verdana"/>
          <w:sz w:val="20"/>
          <w:szCs w:val="20"/>
          <w:lang w:val="es-CR"/>
        </w:rPr>
        <w:t>, que:</w:t>
      </w:r>
    </w:p>
    <w:p w14:paraId="6F90E871" w14:textId="77777777" w:rsidR="00D969DA" w:rsidRPr="00D57474" w:rsidRDefault="00D969DA" w:rsidP="00EC2F24">
      <w:pPr>
        <w:spacing w:after="0" w:line="240" w:lineRule="auto"/>
        <w:ind w:right="-90"/>
        <w:contextualSpacing/>
        <w:jc w:val="both"/>
        <w:rPr>
          <w:rFonts w:ascii="Verdana" w:hAnsi="Verdana"/>
          <w:sz w:val="20"/>
          <w:szCs w:val="20"/>
          <w:lang w:val="es-CR"/>
        </w:rPr>
      </w:pPr>
    </w:p>
    <w:p w14:paraId="25323635" w14:textId="4FDC83F4" w:rsidR="00532968" w:rsidRPr="003D64E6" w:rsidRDefault="00B11896" w:rsidP="00B11896">
      <w:pPr>
        <w:widowControl w:val="0"/>
        <w:numPr>
          <w:ilvl w:val="0"/>
          <w:numId w:val="6"/>
        </w:numPr>
        <w:tabs>
          <w:tab w:val="left" w:pos="720"/>
        </w:tabs>
        <w:adjustRightInd w:val="0"/>
        <w:spacing w:after="0" w:line="240" w:lineRule="auto"/>
        <w:ind w:right="-90"/>
        <w:contextualSpacing/>
        <w:jc w:val="both"/>
        <w:textAlignment w:val="baseline"/>
        <w:rPr>
          <w:rFonts w:ascii="Verdana" w:hAnsi="Verdana"/>
          <w:sz w:val="20"/>
          <w:szCs w:val="20"/>
          <w:lang w:val="es-CR"/>
        </w:rPr>
      </w:pPr>
      <w:r w:rsidRPr="00D57474">
        <w:rPr>
          <w:rFonts w:ascii="Verdana" w:hAnsi="Verdana"/>
          <w:sz w:val="20"/>
          <w:szCs w:val="20"/>
          <w:lang w:val="es-CR"/>
        </w:rPr>
        <w:t xml:space="preserve">El Estado es responsable por la violación del derecho a las garantías judiciales, consagrado en los artículos </w:t>
      </w:r>
      <w:r>
        <w:rPr>
          <w:rFonts w:ascii="Verdana" w:hAnsi="Verdana"/>
          <w:sz w:val="20"/>
          <w:szCs w:val="20"/>
          <w:lang w:val="es-CR"/>
        </w:rPr>
        <w:t>8.2,</w:t>
      </w:r>
      <w:r w:rsidRPr="00D57474">
        <w:rPr>
          <w:rFonts w:ascii="Verdana" w:hAnsi="Verdana"/>
          <w:sz w:val="20"/>
          <w:szCs w:val="20"/>
          <w:lang w:val="es-CR"/>
        </w:rPr>
        <w:t xml:space="preserve"> 8.2.g</w:t>
      </w:r>
      <w:r>
        <w:rPr>
          <w:rFonts w:ascii="Verdana" w:hAnsi="Verdana"/>
          <w:sz w:val="20"/>
          <w:szCs w:val="20"/>
          <w:lang w:val="es-CR"/>
        </w:rPr>
        <w:t xml:space="preserve">) y 8.2.h) </w:t>
      </w:r>
      <w:r w:rsidRPr="00D57474">
        <w:rPr>
          <w:rFonts w:ascii="Verdana" w:hAnsi="Verdana"/>
          <w:sz w:val="20"/>
          <w:szCs w:val="20"/>
          <w:lang w:val="es-CR"/>
        </w:rPr>
        <w:t>de la Convención Americana sobre Derechos Huma</w:t>
      </w:r>
      <w:r w:rsidRPr="00B65610">
        <w:rPr>
          <w:rFonts w:ascii="Verdana" w:hAnsi="Verdana"/>
          <w:sz w:val="20"/>
          <w:szCs w:val="20"/>
          <w:lang w:val="es-CR"/>
        </w:rPr>
        <w:t>nos, e</w:t>
      </w:r>
      <w:r w:rsidRPr="003D64E6">
        <w:rPr>
          <w:rFonts w:ascii="Verdana" w:hAnsi="Verdana"/>
          <w:sz w:val="20"/>
          <w:szCs w:val="20"/>
          <w:lang w:val="es-CR"/>
        </w:rPr>
        <w:t>n relación con la obligación de garantizar los derechos establecida en el artículo 1.1 de la Convención</w:t>
      </w:r>
      <w:r w:rsidR="007A79EE" w:rsidRPr="003D64E6">
        <w:rPr>
          <w:rFonts w:ascii="Verdana" w:hAnsi="Verdana"/>
          <w:sz w:val="20"/>
          <w:szCs w:val="20"/>
          <w:lang w:val="es-CR"/>
        </w:rPr>
        <w:t>, en el proceso que culminó con la pena de muerte</w:t>
      </w:r>
      <w:r w:rsidRPr="003D64E6">
        <w:rPr>
          <w:rFonts w:ascii="Verdana" w:hAnsi="Verdana"/>
          <w:sz w:val="20"/>
          <w:szCs w:val="20"/>
          <w:lang w:val="es-CR"/>
        </w:rPr>
        <w:t>, en los té</w:t>
      </w:r>
      <w:r w:rsidR="009D073B">
        <w:rPr>
          <w:rFonts w:ascii="Verdana" w:hAnsi="Verdana"/>
          <w:sz w:val="20"/>
          <w:szCs w:val="20"/>
          <w:lang w:val="es-CR"/>
        </w:rPr>
        <w:t>rminos de los párrafos 109</w:t>
      </w:r>
      <w:r w:rsidR="00ED6B7F" w:rsidRPr="003D64E6">
        <w:rPr>
          <w:rFonts w:ascii="Verdana" w:hAnsi="Verdana"/>
          <w:sz w:val="20"/>
          <w:szCs w:val="20"/>
          <w:lang w:val="es-CR"/>
        </w:rPr>
        <w:t xml:space="preserve"> a 115</w:t>
      </w:r>
      <w:r w:rsidR="003043FF">
        <w:rPr>
          <w:rFonts w:ascii="Verdana" w:hAnsi="Verdana"/>
          <w:sz w:val="20"/>
          <w:szCs w:val="20"/>
          <w:lang w:val="es-CR"/>
        </w:rPr>
        <w:t xml:space="preserve">, 118 a 126, </w:t>
      </w:r>
      <w:r w:rsidR="00ED6B7F" w:rsidRPr="003D64E6">
        <w:rPr>
          <w:rFonts w:ascii="Verdana" w:hAnsi="Verdana"/>
          <w:sz w:val="20"/>
          <w:szCs w:val="20"/>
          <w:lang w:val="es-CR"/>
        </w:rPr>
        <w:t>12</w:t>
      </w:r>
      <w:r w:rsidR="002F60A3" w:rsidRPr="003D64E6">
        <w:rPr>
          <w:rFonts w:ascii="Verdana" w:hAnsi="Verdana"/>
          <w:sz w:val="20"/>
          <w:szCs w:val="20"/>
          <w:lang w:val="es-CR"/>
        </w:rPr>
        <w:t>7</w:t>
      </w:r>
      <w:r w:rsidR="003043FF">
        <w:rPr>
          <w:rFonts w:ascii="Verdana" w:hAnsi="Verdana"/>
          <w:sz w:val="20"/>
          <w:szCs w:val="20"/>
          <w:lang w:val="es-CR"/>
        </w:rPr>
        <w:t>, 128 y 145</w:t>
      </w:r>
      <w:r w:rsidRPr="003D64E6">
        <w:rPr>
          <w:rFonts w:ascii="Verdana" w:hAnsi="Verdana"/>
          <w:sz w:val="20"/>
          <w:szCs w:val="20"/>
          <w:lang w:val="es-CR"/>
        </w:rPr>
        <w:t xml:space="preserve"> </w:t>
      </w:r>
      <w:r w:rsidR="00B65610" w:rsidRPr="003D64E6">
        <w:rPr>
          <w:rFonts w:ascii="Verdana" w:hAnsi="Verdana"/>
          <w:sz w:val="20"/>
          <w:szCs w:val="20"/>
          <w:lang w:val="es-CR"/>
        </w:rPr>
        <w:t>de la presente Sentencia.</w:t>
      </w:r>
    </w:p>
    <w:p w14:paraId="746EC8BD" w14:textId="77777777" w:rsidR="00B65610" w:rsidRPr="003D64E6" w:rsidRDefault="00B65610" w:rsidP="00B65610">
      <w:pPr>
        <w:widowControl w:val="0"/>
        <w:tabs>
          <w:tab w:val="left" w:pos="720"/>
        </w:tabs>
        <w:adjustRightInd w:val="0"/>
        <w:spacing w:after="0" w:line="240" w:lineRule="auto"/>
        <w:ind w:right="-90"/>
        <w:contextualSpacing/>
        <w:jc w:val="both"/>
        <w:textAlignment w:val="baseline"/>
        <w:rPr>
          <w:rFonts w:ascii="Verdana" w:hAnsi="Verdana"/>
          <w:sz w:val="20"/>
          <w:szCs w:val="20"/>
          <w:lang w:val="es-CR"/>
        </w:rPr>
      </w:pPr>
    </w:p>
    <w:p w14:paraId="47472153" w14:textId="5F9BD924" w:rsidR="005C5A3F" w:rsidRPr="003D64E6" w:rsidRDefault="00532968" w:rsidP="004C6078">
      <w:pPr>
        <w:widowControl w:val="0"/>
        <w:numPr>
          <w:ilvl w:val="0"/>
          <w:numId w:val="6"/>
        </w:numPr>
        <w:tabs>
          <w:tab w:val="left" w:pos="720"/>
        </w:tabs>
        <w:adjustRightInd w:val="0"/>
        <w:spacing w:after="0" w:line="240" w:lineRule="auto"/>
        <w:ind w:right="-90"/>
        <w:contextualSpacing/>
        <w:jc w:val="both"/>
        <w:textAlignment w:val="baseline"/>
        <w:rPr>
          <w:rFonts w:ascii="Verdana" w:hAnsi="Verdana"/>
          <w:sz w:val="20"/>
          <w:szCs w:val="20"/>
          <w:lang w:val="es-CR"/>
        </w:rPr>
      </w:pPr>
      <w:r w:rsidRPr="003D64E6">
        <w:rPr>
          <w:rFonts w:ascii="Verdana" w:hAnsi="Verdana"/>
          <w:sz w:val="20"/>
          <w:szCs w:val="20"/>
          <w:lang w:val="es-CR"/>
        </w:rPr>
        <w:t>E</w:t>
      </w:r>
      <w:r w:rsidR="00B11896" w:rsidRPr="003D64E6">
        <w:rPr>
          <w:rFonts w:ascii="Verdana" w:hAnsi="Verdana"/>
          <w:sz w:val="20"/>
          <w:szCs w:val="20"/>
          <w:lang w:val="es-CR"/>
        </w:rPr>
        <w:t xml:space="preserve">l Estado es responsable por la violación </w:t>
      </w:r>
      <w:r w:rsidR="00B11896" w:rsidRPr="003D64E6">
        <w:rPr>
          <w:rFonts w:ascii="Verdana" w:hAnsi="Verdana"/>
          <w:sz w:val="20"/>
          <w:szCs w:val="20"/>
        </w:rPr>
        <w:t xml:space="preserve">de las </w:t>
      </w:r>
      <w:proofErr w:type="gramStart"/>
      <w:r w:rsidR="00B11896" w:rsidRPr="003D64E6">
        <w:rPr>
          <w:rFonts w:ascii="Verdana" w:hAnsi="Verdana"/>
          <w:sz w:val="20"/>
          <w:szCs w:val="20"/>
        </w:rPr>
        <w:t>garantías judiciales y la protección judicial</w:t>
      </w:r>
      <w:proofErr w:type="gramEnd"/>
      <w:r w:rsidR="00B11896" w:rsidRPr="003D64E6">
        <w:rPr>
          <w:rFonts w:ascii="Verdana" w:hAnsi="Verdana"/>
          <w:sz w:val="20"/>
          <w:szCs w:val="20"/>
        </w:rPr>
        <w:t>, consagrados en los artículos 8.1 y 25.1 de la Convención Americana</w:t>
      </w:r>
      <w:r w:rsidR="00450B5E" w:rsidRPr="003D64E6">
        <w:rPr>
          <w:rFonts w:ascii="Verdana" w:hAnsi="Verdana"/>
          <w:sz w:val="20"/>
          <w:szCs w:val="20"/>
        </w:rPr>
        <w:t xml:space="preserve"> sobre Derechos Humanos</w:t>
      </w:r>
      <w:r w:rsidR="00B11896" w:rsidRPr="003D64E6">
        <w:rPr>
          <w:rFonts w:ascii="Verdana" w:hAnsi="Verdana"/>
          <w:sz w:val="20"/>
          <w:szCs w:val="20"/>
        </w:rPr>
        <w:t>, en relación con e</w:t>
      </w:r>
      <w:r w:rsidR="002F60A3" w:rsidRPr="003D64E6">
        <w:rPr>
          <w:rFonts w:ascii="Verdana" w:hAnsi="Verdana"/>
          <w:sz w:val="20"/>
          <w:szCs w:val="20"/>
        </w:rPr>
        <w:t>l artículo 1.1 de la misma Convención</w:t>
      </w:r>
      <w:r w:rsidR="007A79EE" w:rsidRPr="003D64E6">
        <w:rPr>
          <w:rFonts w:ascii="Verdana" w:hAnsi="Verdana"/>
          <w:sz w:val="20"/>
          <w:szCs w:val="20"/>
        </w:rPr>
        <w:t>, en perjuicio de Tirso Román Valenzuela Ávila por la falta de debida diligencia dentro de un plazo razonable en la investigación sobre su muerte,</w:t>
      </w:r>
      <w:r w:rsidR="00B11896" w:rsidRPr="003D64E6">
        <w:rPr>
          <w:rFonts w:ascii="Verdana" w:hAnsi="Verdana"/>
          <w:sz w:val="20"/>
          <w:szCs w:val="20"/>
        </w:rPr>
        <w:t xml:space="preserve"> en </w:t>
      </w:r>
      <w:r w:rsidR="009D073B">
        <w:rPr>
          <w:rFonts w:ascii="Verdana" w:hAnsi="Verdana"/>
          <w:sz w:val="20"/>
          <w:szCs w:val="20"/>
        </w:rPr>
        <w:t>los términos de los párrafos 129</w:t>
      </w:r>
      <w:r w:rsidR="00B11896" w:rsidRPr="003D64E6">
        <w:rPr>
          <w:rFonts w:ascii="Verdana" w:hAnsi="Verdana"/>
          <w:sz w:val="20"/>
          <w:szCs w:val="20"/>
        </w:rPr>
        <w:t xml:space="preserve"> a </w:t>
      </w:r>
      <w:r w:rsidR="003043FF">
        <w:rPr>
          <w:rFonts w:ascii="Verdana" w:hAnsi="Verdana"/>
          <w:sz w:val="20"/>
          <w:szCs w:val="20"/>
        </w:rPr>
        <w:t xml:space="preserve">143, </w:t>
      </w:r>
      <w:r w:rsidR="009D073B">
        <w:rPr>
          <w:rFonts w:ascii="Verdana" w:hAnsi="Verdana"/>
          <w:sz w:val="20"/>
          <w:szCs w:val="20"/>
        </w:rPr>
        <w:t xml:space="preserve">y </w:t>
      </w:r>
      <w:r w:rsidR="005A2F43" w:rsidRPr="003D64E6">
        <w:rPr>
          <w:rFonts w:ascii="Verdana" w:hAnsi="Verdana"/>
          <w:sz w:val="20"/>
          <w:szCs w:val="20"/>
        </w:rPr>
        <w:t>1</w:t>
      </w:r>
      <w:r w:rsidR="009D073B">
        <w:rPr>
          <w:rFonts w:ascii="Verdana" w:hAnsi="Verdana"/>
          <w:sz w:val="20"/>
          <w:szCs w:val="20"/>
        </w:rPr>
        <w:t>46</w:t>
      </w:r>
      <w:r w:rsidR="005C5A3F" w:rsidRPr="003D64E6">
        <w:rPr>
          <w:rFonts w:ascii="Verdana" w:hAnsi="Verdana"/>
          <w:sz w:val="20"/>
          <w:szCs w:val="20"/>
        </w:rPr>
        <w:t xml:space="preserve">. </w:t>
      </w:r>
    </w:p>
    <w:p w14:paraId="7F753295" w14:textId="77777777" w:rsidR="004C6078" w:rsidRPr="003D64E6" w:rsidRDefault="004C6078" w:rsidP="004C6078">
      <w:pPr>
        <w:widowControl w:val="0"/>
        <w:tabs>
          <w:tab w:val="left" w:pos="720"/>
        </w:tabs>
        <w:adjustRightInd w:val="0"/>
        <w:spacing w:after="0" w:line="240" w:lineRule="auto"/>
        <w:ind w:right="-90"/>
        <w:contextualSpacing/>
        <w:jc w:val="both"/>
        <w:textAlignment w:val="baseline"/>
        <w:rPr>
          <w:rFonts w:ascii="Verdana" w:hAnsi="Verdana"/>
          <w:sz w:val="20"/>
          <w:szCs w:val="20"/>
          <w:lang w:val="es-CR"/>
        </w:rPr>
      </w:pPr>
    </w:p>
    <w:p w14:paraId="12564C2C" w14:textId="0D6A65DB" w:rsidR="00B11896" w:rsidRPr="003D64E6" w:rsidRDefault="005C5A3F" w:rsidP="00002FD4">
      <w:pPr>
        <w:widowControl w:val="0"/>
        <w:numPr>
          <w:ilvl w:val="0"/>
          <w:numId w:val="6"/>
        </w:numPr>
        <w:tabs>
          <w:tab w:val="left" w:pos="720"/>
        </w:tabs>
        <w:adjustRightInd w:val="0"/>
        <w:spacing w:after="0" w:line="240" w:lineRule="auto"/>
        <w:ind w:right="-90"/>
        <w:contextualSpacing/>
        <w:jc w:val="both"/>
        <w:textAlignment w:val="baseline"/>
        <w:rPr>
          <w:rFonts w:ascii="Verdana" w:hAnsi="Verdana"/>
          <w:sz w:val="20"/>
          <w:szCs w:val="20"/>
          <w:lang w:val="es-CR"/>
        </w:rPr>
      </w:pPr>
      <w:r w:rsidRPr="003D64E6">
        <w:rPr>
          <w:rFonts w:ascii="Verdana" w:hAnsi="Verdana"/>
          <w:sz w:val="20"/>
          <w:szCs w:val="20"/>
          <w:lang w:val="es-CR"/>
        </w:rPr>
        <w:t xml:space="preserve">El Estado es responsable por la violación </w:t>
      </w:r>
      <w:r w:rsidRPr="003D64E6">
        <w:rPr>
          <w:rFonts w:ascii="Verdana" w:hAnsi="Verdana"/>
          <w:sz w:val="20"/>
          <w:szCs w:val="20"/>
        </w:rPr>
        <w:t>de las garantías judiciales y la protección judicial, consagrados en los artículos 8.1 y 25.1 de la Convención Americana sobre Derechos Humanos, en relación con el artículo 1.1 del mismo tratado</w:t>
      </w:r>
      <w:r w:rsidR="00532968" w:rsidRPr="003D64E6">
        <w:rPr>
          <w:rFonts w:ascii="Verdana" w:hAnsi="Verdana"/>
          <w:sz w:val="20"/>
          <w:szCs w:val="20"/>
        </w:rPr>
        <w:t xml:space="preserve"> y </w:t>
      </w:r>
      <w:r w:rsidR="00D474DE" w:rsidRPr="003D64E6">
        <w:rPr>
          <w:rFonts w:ascii="Verdana" w:hAnsi="Verdana"/>
          <w:sz w:val="20"/>
          <w:szCs w:val="20"/>
        </w:rPr>
        <w:t>en relación con los artículos 1, 6 y 8 de la Convención Interamericana para Prevenir y Sancionar la Tortura, en perjuicio del señor Tirso Román Valenzuela Ávila, por</w:t>
      </w:r>
      <w:r w:rsidR="00002FD4" w:rsidRPr="003D64E6">
        <w:rPr>
          <w:rFonts w:ascii="Verdana" w:hAnsi="Verdana"/>
          <w:sz w:val="20"/>
          <w:szCs w:val="20"/>
        </w:rPr>
        <w:t xml:space="preserve"> la </w:t>
      </w:r>
      <w:r w:rsidR="006528ED" w:rsidRPr="003D64E6">
        <w:rPr>
          <w:rFonts w:ascii="Verdana" w:hAnsi="Verdana"/>
          <w:sz w:val="20"/>
          <w:szCs w:val="20"/>
        </w:rPr>
        <w:t>falta de investiga</w:t>
      </w:r>
      <w:r w:rsidR="005E422B">
        <w:rPr>
          <w:rFonts w:ascii="Verdana" w:hAnsi="Verdana"/>
          <w:sz w:val="20"/>
          <w:szCs w:val="20"/>
        </w:rPr>
        <w:t xml:space="preserve">r </w:t>
      </w:r>
      <w:r w:rsidR="003D64E6">
        <w:rPr>
          <w:rFonts w:ascii="Verdana" w:hAnsi="Verdana"/>
          <w:sz w:val="20"/>
          <w:szCs w:val="20"/>
        </w:rPr>
        <w:t>la tortura que sufrió</w:t>
      </w:r>
      <w:r w:rsidR="00D474DE" w:rsidRPr="003D64E6">
        <w:rPr>
          <w:rFonts w:ascii="Verdana" w:hAnsi="Verdana"/>
          <w:sz w:val="20"/>
          <w:szCs w:val="20"/>
        </w:rPr>
        <w:t xml:space="preserve">, en </w:t>
      </w:r>
      <w:r w:rsidR="003043FF">
        <w:rPr>
          <w:rFonts w:ascii="Verdana" w:hAnsi="Verdana"/>
          <w:sz w:val="20"/>
          <w:szCs w:val="20"/>
        </w:rPr>
        <w:t>los términos de los párrafos 144 y 147</w:t>
      </w:r>
      <w:r w:rsidR="002F60A3" w:rsidRPr="003D64E6">
        <w:rPr>
          <w:rFonts w:ascii="Verdana" w:hAnsi="Verdana"/>
          <w:sz w:val="20"/>
          <w:szCs w:val="20"/>
        </w:rPr>
        <w:t xml:space="preserve"> </w:t>
      </w:r>
      <w:r w:rsidR="00532968" w:rsidRPr="003D64E6">
        <w:rPr>
          <w:rFonts w:ascii="Verdana" w:hAnsi="Verdana"/>
          <w:sz w:val="20"/>
          <w:szCs w:val="20"/>
        </w:rPr>
        <w:t>de la presente Sentencia</w:t>
      </w:r>
      <w:r w:rsidR="00D474DE" w:rsidRPr="003D64E6">
        <w:rPr>
          <w:rFonts w:ascii="Verdana" w:hAnsi="Verdana"/>
          <w:sz w:val="20"/>
          <w:szCs w:val="20"/>
        </w:rPr>
        <w:t>.</w:t>
      </w:r>
      <w:r w:rsidR="00532968" w:rsidRPr="003D64E6">
        <w:rPr>
          <w:rFonts w:ascii="Verdana" w:hAnsi="Verdana"/>
          <w:sz w:val="20"/>
          <w:szCs w:val="20"/>
        </w:rPr>
        <w:t xml:space="preserve"> </w:t>
      </w:r>
    </w:p>
    <w:p w14:paraId="13B50150" w14:textId="77777777" w:rsidR="00B11896" w:rsidRDefault="00B11896" w:rsidP="00B11896">
      <w:pPr>
        <w:widowControl w:val="0"/>
        <w:tabs>
          <w:tab w:val="left" w:pos="720"/>
        </w:tabs>
        <w:adjustRightInd w:val="0"/>
        <w:spacing w:after="0" w:line="240" w:lineRule="auto"/>
        <w:ind w:right="-90"/>
        <w:contextualSpacing/>
        <w:jc w:val="both"/>
        <w:textAlignment w:val="baseline"/>
        <w:rPr>
          <w:rFonts w:ascii="Verdana" w:hAnsi="Verdana"/>
          <w:sz w:val="20"/>
          <w:szCs w:val="20"/>
          <w:lang w:val="es-CR"/>
        </w:rPr>
      </w:pPr>
    </w:p>
    <w:p w14:paraId="22001EEC" w14:textId="217F3580" w:rsidR="00D969DA" w:rsidRDefault="00D969DA" w:rsidP="005406CA">
      <w:pPr>
        <w:widowControl w:val="0"/>
        <w:numPr>
          <w:ilvl w:val="0"/>
          <w:numId w:val="6"/>
        </w:numPr>
        <w:tabs>
          <w:tab w:val="left" w:pos="720"/>
        </w:tabs>
        <w:adjustRightInd w:val="0"/>
        <w:spacing w:after="0" w:line="240" w:lineRule="auto"/>
        <w:ind w:right="-90"/>
        <w:contextualSpacing/>
        <w:jc w:val="both"/>
        <w:textAlignment w:val="baseline"/>
        <w:rPr>
          <w:rFonts w:ascii="Verdana" w:hAnsi="Verdana"/>
          <w:sz w:val="20"/>
          <w:szCs w:val="20"/>
          <w:lang w:val="es-CR"/>
        </w:rPr>
      </w:pPr>
      <w:r w:rsidRPr="00D57474">
        <w:rPr>
          <w:rFonts w:ascii="Verdana" w:hAnsi="Verdana"/>
          <w:sz w:val="20"/>
          <w:szCs w:val="20"/>
          <w:lang w:val="es-CR"/>
        </w:rPr>
        <w:t>El Estado es responsable por la violación</w:t>
      </w:r>
      <w:r w:rsidR="00072430">
        <w:rPr>
          <w:rFonts w:ascii="Verdana" w:hAnsi="Verdana"/>
          <w:sz w:val="20"/>
          <w:szCs w:val="20"/>
          <w:lang w:val="es-CR"/>
        </w:rPr>
        <w:t xml:space="preserve"> </w:t>
      </w:r>
      <w:r w:rsidR="00F43519">
        <w:rPr>
          <w:rFonts w:ascii="Verdana" w:hAnsi="Verdana"/>
          <w:sz w:val="20"/>
          <w:szCs w:val="20"/>
          <w:lang w:val="es-CR"/>
        </w:rPr>
        <w:t>del derecho</w:t>
      </w:r>
      <w:r w:rsidR="00072430">
        <w:rPr>
          <w:rFonts w:ascii="Verdana" w:hAnsi="Verdana"/>
          <w:sz w:val="20"/>
          <w:szCs w:val="20"/>
          <w:lang w:val="es-CR"/>
        </w:rPr>
        <w:t xml:space="preserve"> a la vida </w:t>
      </w:r>
      <w:r w:rsidR="00F43519">
        <w:rPr>
          <w:rFonts w:ascii="Verdana" w:hAnsi="Verdana"/>
          <w:sz w:val="20"/>
          <w:szCs w:val="20"/>
          <w:lang w:val="es-CR"/>
        </w:rPr>
        <w:t xml:space="preserve">y </w:t>
      </w:r>
      <w:r w:rsidR="00F43519" w:rsidRPr="00D57474">
        <w:rPr>
          <w:rFonts w:ascii="Verdana" w:hAnsi="Verdana"/>
          <w:sz w:val="20"/>
          <w:szCs w:val="20"/>
          <w:lang w:val="es-CR"/>
        </w:rPr>
        <w:t xml:space="preserve">del principio de legalidad </w:t>
      </w:r>
      <w:r w:rsidRPr="00D57474">
        <w:rPr>
          <w:rFonts w:ascii="Verdana" w:hAnsi="Verdana"/>
          <w:sz w:val="20"/>
          <w:szCs w:val="20"/>
          <w:lang w:val="es-CR"/>
        </w:rPr>
        <w:t>consagrado</w:t>
      </w:r>
      <w:r w:rsidR="00072430">
        <w:rPr>
          <w:rFonts w:ascii="Verdana" w:hAnsi="Verdana"/>
          <w:sz w:val="20"/>
          <w:szCs w:val="20"/>
          <w:lang w:val="es-CR"/>
        </w:rPr>
        <w:t>s</w:t>
      </w:r>
      <w:r w:rsidRPr="00D57474">
        <w:rPr>
          <w:rFonts w:ascii="Verdana" w:hAnsi="Verdana"/>
          <w:sz w:val="20"/>
          <w:szCs w:val="20"/>
          <w:lang w:val="es-CR"/>
        </w:rPr>
        <w:t xml:space="preserve"> </w:t>
      </w:r>
      <w:r w:rsidRPr="00EC2F24">
        <w:rPr>
          <w:rFonts w:ascii="Verdana" w:hAnsi="Verdana"/>
          <w:sz w:val="20"/>
          <w:szCs w:val="20"/>
          <w:lang w:val="es-CR"/>
        </w:rPr>
        <w:t xml:space="preserve">en </w:t>
      </w:r>
      <w:r w:rsidR="00072430">
        <w:rPr>
          <w:rFonts w:ascii="Verdana" w:hAnsi="Verdana"/>
          <w:sz w:val="20"/>
          <w:szCs w:val="20"/>
          <w:lang w:val="es-CR"/>
        </w:rPr>
        <w:t>los</w:t>
      </w:r>
      <w:r w:rsidRPr="00EC2F24">
        <w:rPr>
          <w:rFonts w:ascii="Verdana" w:hAnsi="Verdana"/>
          <w:sz w:val="20"/>
          <w:szCs w:val="20"/>
          <w:lang w:val="es-CR"/>
        </w:rPr>
        <w:t xml:space="preserve"> artículo</w:t>
      </w:r>
      <w:r w:rsidR="00450B5E">
        <w:rPr>
          <w:rFonts w:ascii="Verdana" w:hAnsi="Verdana"/>
          <w:sz w:val="20"/>
          <w:szCs w:val="20"/>
          <w:lang w:val="es-CR"/>
        </w:rPr>
        <w:t>s</w:t>
      </w:r>
      <w:r w:rsidRPr="00EC2F24">
        <w:rPr>
          <w:rFonts w:ascii="Verdana" w:hAnsi="Verdana"/>
          <w:sz w:val="20"/>
          <w:szCs w:val="20"/>
          <w:lang w:val="es-CR"/>
        </w:rPr>
        <w:t xml:space="preserve"> </w:t>
      </w:r>
      <w:r w:rsidR="00F43519">
        <w:rPr>
          <w:rFonts w:ascii="Verdana" w:hAnsi="Verdana"/>
          <w:sz w:val="20"/>
          <w:szCs w:val="20"/>
          <w:lang w:val="es-CR"/>
        </w:rPr>
        <w:t>4.2</w:t>
      </w:r>
      <w:r w:rsidR="00F43519" w:rsidRPr="00EC2F24">
        <w:rPr>
          <w:rFonts w:ascii="Verdana" w:hAnsi="Verdana"/>
          <w:sz w:val="20"/>
          <w:szCs w:val="20"/>
          <w:lang w:val="es-CR"/>
        </w:rPr>
        <w:t xml:space="preserve"> </w:t>
      </w:r>
      <w:r w:rsidR="00F43519">
        <w:rPr>
          <w:rFonts w:ascii="Verdana" w:hAnsi="Verdana"/>
          <w:sz w:val="20"/>
          <w:szCs w:val="20"/>
          <w:lang w:val="es-CR"/>
        </w:rPr>
        <w:t xml:space="preserve">y </w:t>
      </w:r>
      <w:r w:rsidRPr="00EC2F24">
        <w:rPr>
          <w:rFonts w:ascii="Verdana" w:hAnsi="Verdana"/>
          <w:sz w:val="20"/>
          <w:szCs w:val="20"/>
          <w:lang w:val="es-CR"/>
        </w:rPr>
        <w:t>9</w:t>
      </w:r>
      <w:r w:rsidR="00072430">
        <w:rPr>
          <w:rFonts w:ascii="Verdana" w:hAnsi="Verdana"/>
          <w:sz w:val="20"/>
          <w:szCs w:val="20"/>
          <w:lang w:val="es-CR"/>
        </w:rPr>
        <w:t xml:space="preserve"> </w:t>
      </w:r>
      <w:r w:rsidRPr="00EC2F24">
        <w:rPr>
          <w:rFonts w:ascii="Verdana" w:hAnsi="Verdana"/>
          <w:sz w:val="20"/>
          <w:szCs w:val="20"/>
          <w:lang w:val="es-CR"/>
        </w:rPr>
        <w:t>de la Convención</w:t>
      </w:r>
      <w:r w:rsidRPr="00D57474">
        <w:rPr>
          <w:rFonts w:ascii="Verdana" w:hAnsi="Verdana"/>
          <w:sz w:val="20"/>
          <w:szCs w:val="20"/>
          <w:lang w:val="es-CR"/>
        </w:rPr>
        <w:t xml:space="preserve"> Americana sobre Derechos Humanos</w:t>
      </w:r>
      <w:r w:rsidRPr="00EC2F24">
        <w:rPr>
          <w:rFonts w:ascii="Verdana" w:hAnsi="Verdana"/>
          <w:sz w:val="20"/>
          <w:szCs w:val="20"/>
          <w:lang w:val="es-CR"/>
        </w:rPr>
        <w:t xml:space="preserve">, en relación </w:t>
      </w:r>
      <w:r w:rsidRPr="00D57474">
        <w:rPr>
          <w:rFonts w:ascii="Verdana" w:hAnsi="Verdana"/>
          <w:sz w:val="20"/>
          <w:szCs w:val="20"/>
          <w:lang w:val="es-CR"/>
        </w:rPr>
        <w:t>con la obligación de garantiz</w:t>
      </w:r>
      <w:r w:rsidR="009A263C" w:rsidRPr="00D57474">
        <w:rPr>
          <w:rFonts w:ascii="Verdana" w:hAnsi="Verdana"/>
          <w:sz w:val="20"/>
          <w:szCs w:val="20"/>
          <w:lang w:val="es-CR"/>
        </w:rPr>
        <w:t>ar los derechos establecida en los</w:t>
      </w:r>
      <w:r w:rsidRPr="00D57474">
        <w:rPr>
          <w:rFonts w:ascii="Verdana" w:hAnsi="Verdana"/>
          <w:sz w:val="20"/>
          <w:szCs w:val="20"/>
          <w:lang w:val="es-CR"/>
        </w:rPr>
        <w:t xml:space="preserve"> artículo</w:t>
      </w:r>
      <w:r w:rsidR="009A263C" w:rsidRPr="00D57474">
        <w:rPr>
          <w:rFonts w:ascii="Verdana" w:hAnsi="Verdana"/>
          <w:sz w:val="20"/>
          <w:szCs w:val="20"/>
          <w:lang w:val="es-CR"/>
        </w:rPr>
        <w:t>s</w:t>
      </w:r>
      <w:r w:rsidRPr="00D57474">
        <w:rPr>
          <w:rFonts w:ascii="Verdana" w:hAnsi="Verdana"/>
          <w:sz w:val="20"/>
          <w:szCs w:val="20"/>
          <w:lang w:val="es-CR"/>
        </w:rPr>
        <w:t xml:space="preserve"> 1.1 y 2 de la Convención, en perjuicio de</w:t>
      </w:r>
      <w:r w:rsidR="009A263C" w:rsidRPr="00D57474">
        <w:rPr>
          <w:rFonts w:ascii="Verdana" w:hAnsi="Verdana"/>
          <w:sz w:val="20"/>
          <w:szCs w:val="20"/>
          <w:lang w:val="es-CR"/>
        </w:rPr>
        <w:t xml:space="preserve"> Tirso Román Valenzuela Ávila</w:t>
      </w:r>
      <w:r w:rsidRPr="00D57474">
        <w:rPr>
          <w:rFonts w:ascii="Verdana" w:hAnsi="Verdana"/>
          <w:sz w:val="20"/>
          <w:szCs w:val="20"/>
          <w:lang w:val="es-CR"/>
        </w:rPr>
        <w:t xml:space="preserve">, </w:t>
      </w:r>
      <w:r w:rsidRPr="00EC2F24">
        <w:rPr>
          <w:rFonts w:ascii="Verdana" w:hAnsi="Verdana"/>
          <w:sz w:val="20"/>
          <w:szCs w:val="20"/>
          <w:lang w:val="es-CR"/>
        </w:rPr>
        <w:t>en</w:t>
      </w:r>
      <w:r w:rsidR="00CB5459">
        <w:rPr>
          <w:rFonts w:ascii="Verdana" w:hAnsi="Verdana"/>
          <w:sz w:val="20"/>
          <w:szCs w:val="20"/>
          <w:lang w:val="es-CR"/>
        </w:rPr>
        <w:t xml:space="preserve"> </w:t>
      </w:r>
      <w:r w:rsidR="003043FF">
        <w:rPr>
          <w:rFonts w:ascii="Verdana" w:hAnsi="Verdana"/>
          <w:sz w:val="20"/>
          <w:szCs w:val="20"/>
          <w:lang w:val="es-CR"/>
        </w:rPr>
        <w:t>los términos de los párrafos 151 a 156 y 158</w:t>
      </w:r>
      <w:r w:rsidR="00CB5459">
        <w:rPr>
          <w:rFonts w:ascii="Verdana" w:hAnsi="Verdana"/>
          <w:sz w:val="20"/>
          <w:szCs w:val="20"/>
          <w:lang w:val="es-CR"/>
        </w:rPr>
        <w:t xml:space="preserve"> </w:t>
      </w:r>
      <w:r w:rsidRPr="00EC2F24">
        <w:rPr>
          <w:rFonts w:ascii="Verdana" w:hAnsi="Verdana"/>
          <w:sz w:val="20"/>
          <w:szCs w:val="20"/>
          <w:lang w:val="es-CR"/>
        </w:rPr>
        <w:t>de la presente Sentencia.</w:t>
      </w:r>
      <w:r w:rsidR="009A263C" w:rsidRPr="00EC2F24">
        <w:rPr>
          <w:rFonts w:ascii="Verdana" w:hAnsi="Verdana"/>
          <w:sz w:val="20"/>
          <w:szCs w:val="20"/>
          <w:lang w:val="es-CR"/>
        </w:rPr>
        <w:t xml:space="preserve"> </w:t>
      </w:r>
    </w:p>
    <w:p w14:paraId="79AF1ACC" w14:textId="77777777" w:rsidR="00B41A26" w:rsidRDefault="00B41A26" w:rsidP="00B41A26">
      <w:pPr>
        <w:widowControl w:val="0"/>
        <w:tabs>
          <w:tab w:val="left" w:pos="720"/>
        </w:tabs>
        <w:adjustRightInd w:val="0"/>
        <w:spacing w:after="0" w:line="240" w:lineRule="auto"/>
        <w:ind w:right="-90"/>
        <w:contextualSpacing/>
        <w:jc w:val="both"/>
        <w:textAlignment w:val="baseline"/>
        <w:rPr>
          <w:rFonts w:ascii="Verdana" w:hAnsi="Verdana"/>
          <w:sz w:val="20"/>
          <w:szCs w:val="20"/>
          <w:lang w:val="es-CR"/>
        </w:rPr>
      </w:pPr>
    </w:p>
    <w:p w14:paraId="4DA406DC" w14:textId="14BF9D66" w:rsidR="00B41A26" w:rsidRPr="00EC2F24" w:rsidRDefault="00B41A26" w:rsidP="00B41A26">
      <w:pPr>
        <w:widowControl w:val="0"/>
        <w:numPr>
          <w:ilvl w:val="0"/>
          <w:numId w:val="6"/>
        </w:numPr>
        <w:tabs>
          <w:tab w:val="left" w:pos="720"/>
        </w:tabs>
        <w:adjustRightInd w:val="0"/>
        <w:spacing w:after="0" w:line="240" w:lineRule="auto"/>
        <w:ind w:right="-90"/>
        <w:contextualSpacing/>
        <w:jc w:val="both"/>
        <w:textAlignment w:val="baseline"/>
        <w:rPr>
          <w:rFonts w:ascii="Verdana" w:hAnsi="Verdana"/>
          <w:sz w:val="20"/>
          <w:szCs w:val="20"/>
          <w:lang w:val="es-CR"/>
        </w:rPr>
      </w:pPr>
      <w:r w:rsidRPr="00D57474">
        <w:rPr>
          <w:rFonts w:ascii="Verdana" w:hAnsi="Verdana"/>
          <w:sz w:val="20"/>
          <w:szCs w:val="20"/>
          <w:lang w:val="es-CR"/>
        </w:rPr>
        <w:t>El Estado es responsable por la violación</w:t>
      </w:r>
      <w:r>
        <w:rPr>
          <w:rFonts w:ascii="Verdana" w:hAnsi="Verdana"/>
          <w:sz w:val="20"/>
          <w:szCs w:val="20"/>
          <w:lang w:val="es-CR"/>
        </w:rPr>
        <w:t xml:space="preserve"> del derecho a la vida </w:t>
      </w:r>
      <w:r w:rsidRPr="00D57474">
        <w:rPr>
          <w:rFonts w:ascii="Verdana" w:hAnsi="Verdana"/>
          <w:sz w:val="20"/>
          <w:szCs w:val="20"/>
          <w:lang w:val="es-CR"/>
        </w:rPr>
        <w:t xml:space="preserve">consagrado </w:t>
      </w:r>
      <w:r w:rsidRPr="00EC2F24">
        <w:rPr>
          <w:rFonts w:ascii="Verdana" w:hAnsi="Verdana"/>
          <w:sz w:val="20"/>
          <w:szCs w:val="20"/>
          <w:lang w:val="es-CR"/>
        </w:rPr>
        <w:t xml:space="preserve">en </w:t>
      </w:r>
      <w:r>
        <w:rPr>
          <w:rFonts w:ascii="Verdana" w:hAnsi="Verdana"/>
          <w:sz w:val="20"/>
          <w:szCs w:val="20"/>
          <w:lang w:val="es-CR"/>
        </w:rPr>
        <w:t xml:space="preserve">el </w:t>
      </w:r>
      <w:r w:rsidRPr="00EC2F24">
        <w:rPr>
          <w:rFonts w:ascii="Verdana" w:hAnsi="Verdana"/>
          <w:sz w:val="20"/>
          <w:szCs w:val="20"/>
          <w:lang w:val="es-CR"/>
        </w:rPr>
        <w:t xml:space="preserve">artículo </w:t>
      </w:r>
      <w:r>
        <w:rPr>
          <w:rFonts w:ascii="Verdana" w:hAnsi="Verdana"/>
          <w:sz w:val="20"/>
          <w:szCs w:val="20"/>
          <w:lang w:val="es-CR"/>
        </w:rPr>
        <w:t xml:space="preserve">4.1 </w:t>
      </w:r>
      <w:r w:rsidRPr="00EC2F24">
        <w:rPr>
          <w:rFonts w:ascii="Verdana" w:hAnsi="Verdana"/>
          <w:sz w:val="20"/>
          <w:szCs w:val="20"/>
          <w:lang w:val="es-CR"/>
        </w:rPr>
        <w:t>de la Convención</w:t>
      </w:r>
      <w:r w:rsidRPr="00D57474">
        <w:rPr>
          <w:rFonts w:ascii="Verdana" w:hAnsi="Verdana"/>
          <w:sz w:val="20"/>
          <w:szCs w:val="20"/>
          <w:lang w:val="es-CR"/>
        </w:rPr>
        <w:t xml:space="preserve"> Americana sobre Derechos Humanos</w:t>
      </w:r>
      <w:r w:rsidRPr="00EC2F24">
        <w:rPr>
          <w:rFonts w:ascii="Verdana" w:hAnsi="Verdana"/>
          <w:sz w:val="20"/>
          <w:szCs w:val="20"/>
          <w:lang w:val="es-CR"/>
        </w:rPr>
        <w:t xml:space="preserve">, en relación </w:t>
      </w:r>
      <w:r w:rsidRPr="00D57474">
        <w:rPr>
          <w:rFonts w:ascii="Verdana" w:hAnsi="Verdana"/>
          <w:sz w:val="20"/>
          <w:szCs w:val="20"/>
          <w:lang w:val="es-CR"/>
        </w:rPr>
        <w:t>con la obligación de garantiz</w:t>
      </w:r>
      <w:r>
        <w:rPr>
          <w:rFonts w:ascii="Verdana" w:hAnsi="Verdana"/>
          <w:sz w:val="20"/>
          <w:szCs w:val="20"/>
          <w:lang w:val="es-CR"/>
        </w:rPr>
        <w:t>ar el derecho establecido en el</w:t>
      </w:r>
      <w:r w:rsidRPr="00D57474">
        <w:rPr>
          <w:rFonts w:ascii="Verdana" w:hAnsi="Verdana"/>
          <w:sz w:val="20"/>
          <w:szCs w:val="20"/>
          <w:lang w:val="es-CR"/>
        </w:rPr>
        <w:t xml:space="preserve"> artículo 1.1 de la Convención, en perjuicio de Tirso </w:t>
      </w:r>
      <w:r w:rsidRPr="00D57474">
        <w:rPr>
          <w:rFonts w:ascii="Verdana" w:hAnsi="Verdana"/>
          <w:sz w:val="20"/>
          <w:szCs w:val="20"/>
          <w:lang w:val="es-CR"/>
        </w:rPr>
        <w:lastRenderedPageBreak/>
        <w:t>Román Valenzuela Ávila,</w:t>
      </w:r>
      <w:r w:rsidR="006C3807">
        <w:rPr>
          <w:rFonts w:ascii="Verdana" w:hAnsi="Verdana"/>
          <w:sz w:val="20"/>
          <w:szCs w:val="20"/>
          <w:lang w:val="es-CR"/>
        </w:rPr>
        <w:t xml:space="preserve"> por su ejecución ext</w:t>
      </w:r>
      <w:r>
        <w:rPr>
          <w:rFonts w:ascii="Verdana" w:hAnsi="Verdana"/>
          <w:sz w:val="20"/>
          <w:szCs w:val="20"/>
          <w:lang w:val="es-CR"/>
        </w:rPr>
        <w:t>rajudicial,</w:t>
      </w:r>
      <w:r w:rsidRPr="00D57474">
        <w:rPr>
          <w:rFonts w:ascii="Verdana" w:hAnsi="Verdana"/>
          <w:sz w:val="20"/>
          <w:szCs w:val="20"/>
          <w:lang w:val="es-CR"/>
        </w:rPr>
        <w:t xml:space="preserve"> </w:t>
      </w:r>
      <w:r w:rsidRPr="00EC2F24">
        <w:rPr>
          <w:rFonts w:ascii="Verdana" w:hAnsi="Verdana"/>
          <w:sz w:val="20"/>
          <w:szCs w:val="20"/>
          <w:lang w:val="es-CR"/>
        </w:rPr>
        <w:t>en los t</w:t>
      </w:r>
      <w:r w:rsidR="009A4210">
        <w:rPr>
          <w:rFonts w:ascii="Verdana" w:hAnsi="Verdana"/>
          <w:sz w:val="20"/>
          <w:szCs w:val="20"/>
          <w:lang w:val="es-CR"/>
        </w:rPr>
        <w:t>érminos de los párrafos 16</w:t>
      </w:r>
      <w:r w:rsidR="003043FF">
        <w:rPr>
          <w:rFonts w:ascii="Verdana" w:hAnsi="Verdana"/>
          <w:sz w:val="20"/>
          <w:szCs w:val="20"/>
          <w:lang w:val="es-CR"/>
        </w:rPr>
        <w:t>2 a 176</w:t>
      </w:r>
      <w:r w:rsidR="009A4210">
        <w:rPr>
          <w:rFonts w:ascii="Verdana" w:hAnsi="Verdana"/>
          <w:sz w:val="20"/>
          <w:szCs w:val="20"/>
          <w:lang w:val="es-CR"/>
        </w:rPr>
        <w:t xml:space="preserve"> </w:t>
      </w:r>
      <w:r w:rsidRPr="00EC2F24">
        <w:rPr>
          <w:rFonts w:ascii="Verdana" w:hAnsi="Verdana"/>
          <w:sz w:val="20"/>
          <w:szCs w:val="20"/>
          <w:lang w:val="es-CR"/>
        </w:rPr>
        <w:t xml:space="preserve">de la presente Sentencia. </w:t>
      </w:r>
    </w:p>
    <w:p w14:paraId="28A7FE6A" w14:textId="77777777" w:rsidR="00B41A26" w:rsidRPr="00EC2F24" w:rsidRDefault="00B41A26" w:rsidP="00B41A26">
      <w:pPr>
        <w:widowControl w:val="0"/>
        <w:tabs>
          <w:tab w:val="left" w:pos="720"/>
        </w:tabs>
        <w:adjustRightInd w:val="0"/>
        <w:spacing w:after="0" w:line="240" w:lineRule="auto"/>
        <w:ind w:right="-90"/>
        <w:contextualSpacing/>
        <w:jc w:val="both"/>
        <w:textAlignment w:val="baseline"/>
        <w:rPr>
          <w:rFonts w:ascii="Verdana" w:hAnsi="Verdana"/>
          <w:sz w:val="20"/>
          <w:szCs w:val="20"/>
          <w:lang w:val="es-CR"/>
        </w:rPr>
      </w:pPr>
    </w:p>
    <w:p w14:paraId="4FD7EFD7" w14:textId="657E7E35" w:rsidR="00B41A26" w:rsidRPr="00B41A26" w:rsidRDefault="00B41A26" w:rsidP="00B41A26">
      <w:pPr>
        <w:widowControl w:val="0"/>
        <w:numPr>
          <w:ilvl w:val="0"/>
          <w:numId w:val="6"/>
        </w:numPr>
        <w:tabs>
          <w:tab w:val="left" w:pos="720"/>
        </w:tabs>
        <w:adjustRightInd w:val="0"/>
        <w:spacing w:after="0" w:line="240" w:lineRule="auto"/>
        <w:ind w:right="-90"/>
        <w:contextualSpacing/>
        <w:jc w:val="both"/>
        <w:textAlignment w:val="baseline"/>
        <w:rPr>
          <w:rFonts w:ascii="Verdana" w:hAnsi="Verdana"/>
          <w:sz w:val="20"/>
          <w:szCs w:val="20"/>
          <w:lang w:val="es-CR"/>
        </w:rPr>
      </w:pPr>
      <w:r w:rsidRPr="006577EE">
        <w:rPr>
          <w:rFonts w:ascii="Verdana" w:hAnsi="Verdana"/>
          <w:sz w:val="20"/>
          <w:szCs w:val="20"/>
          <w:lang w:val="es-CR"/>
        </w:rPr>
        <w:t>El Estado es responsable por la violación del derecho a la integridad personal</w:t>
      </w:r>
      <w:r w:rsidR="00450B5E">
        <w:rPr>
          <w:rFonts w:ascii="Verdana" w:hAnsi="Verdana"/>
          <w:sz w:val="20"/>
          <w:szCs w:val="20"/>
          <w:lang w:val="es-CR"/>
        </w:rPr>
        <w:t xml:space="preserve"> y a la dignidad y a la vida privada</w:t>
      </w:r>
      <w:r w:rsidRPr="006577EE">
        <w:rPr>
          <w:rFonts w:ascii="Verdana" w:hAnsi="Verdana"/>
          <w:sz w:val="20"/>
          <w:szCs w:val="20"/>
          <w:lang w:val="es-CR"/>
        </w:rPr>
        <w:t>, consagrado</w:t>
      </w:r>
      <w:r w:rsidR="00450B5E">
        <w:rPr>
          <w:rFonts w:ascii="Verdana" w:hAnsi="Verdana"/>
          <w:sz w:val="20"/>
          <w:szCs w:val="20"/>
          <w:lang w:val="es-CR"/>
        </w:rPr>
        <w:t>s</w:t>
      </w:r>
      <w:r w:rsidRPr="006577EE">
        <w:rPr>
          <w:rFonts w:ascii="Verdana" w:hAnsi="Verdana"/>
          <w:sz w:val="20"/>
          <w:szCs w:val="20"/>
          <w:lang w:val="es-CR"/>
        </w:rPr>
        <w:t xml:space="preserve"> en los artículos 5.1 y 5.2 y 11.1 de la Convención Americana sobre Derechos Humanos</w:t>
      </w:r>
      <w:r w:rsidR="000C709A">
        <w:rPr>
          <w:rFonts w:ascii="Verdana" w:hAnsi="Verdana"/>
          <w:sz w:val="20"/>
          <w:szCs w:val="20"/>
          <w:lang w:val="es-CR"/>
        </w:rPr>
        <w:t>,</w:t>
      </w:r>
      <w:r w:rsidR="00DF201D">
        <w:rPr>
          <w:rFonts w:ascii="Verdana" w:hAnsi="Verdana"/>
          <w:sz w:val="20"/>
          <w:szCs w:val="20"/>
          <w:lang w:val="es-CR"/>
        </w:rPr>
        <w:t xml:space="preserve"> </w:t>
      </w:r>
      <w:r w:rsidR="00DF201D" w:rsidRPr="00EC2F24">
        <w:rPr>
          <w:rFonts w:ascii="Verdana" w:hAnsi="Verdana"/>
          <w:sz w:val="20"/>
          <w:szCs w:val="20"/>
          <w:lang w:val="es-CR"/>
        </w:rPr>
        <w:t xml:space="preserve">en relación </w:t>
      </w:r>
      <w:r w:rsidR="00DF201D" w:rsidRPr="00D57474">
        <w:rPr>
          <w:rFonts w:ascii="Verdana" w:hAnsi="Verdana"/>
          <w:sz w:val="20"/>
          <w:szCs w:val="20"/>
          <w:lang w:val="es-CR"/>
        </w:rPr>
        <w:t>con la obligación de garantiz</w:t>
      </w:r>
      <w:r w:rsidR="00DF201D">
        <w:rPr>
          <w:rFonts w:ascii="Verdana" w:hAnsi="Verdana"/>
          <w:sz w:val="20"/>
          <w:szCs w:val="20"/>
          <w:lang w:val="es-CR"/>
        </w:rPr>
        <w:t>ar el derecho establecido en el</w:t>
      </w:r>
      <w:r w:rsidR="00DF201D" w:rsidRPr="00D57474">
        <w:rPr>
          <w:rFonts w:ascii="Verdana" w:hAnsi="Verdana"/>
          <w:sz w:val="20"/>
          <w:szCs w:val="20"/>
          <w:lang w:val="es-CR"/>
        </w:rPr>
        <w:t xml:space="preserve"> artículo 1.1 de la Convención</w:t>
      </w:r>
      <w:r w:rsidRPr="006577EE">
        <w:rPr>
          <w:rFonts w:ascii="Verdana" w:hAnsi="Verdana"/>
          <w:sz w:val="20"/>
          <w:szCs w:val="20"/>
          <w:lang w:val="es-CR"/>
        </w:rPr>
        <w:t xml:space="preserve"> </w:t>
      </w:r>
      <w:r w:rsidR="00DF201D">
        <w:rPr>
          <w:rFonts w:ascii="Verdana" w:hAnsi="Verdana"/>
          <w:sz w:val="20"/>
          <w:szCs w:val="20"/>
          <w:lang w:val="es-CR"/>
        </w:rPr>
        <w:t xml:space="preserve">y </w:t>
      </w:r>
      <w:r w:rsidRPr="006577EE">
        <w:rPr>
          <w:rFonts w:ascii="Verdana" w:hAnsi="Verdana"/>
          <w:sz w:val="20"/>
          <w:szCs w:val="20"/>
          <w:lang w:val="es-CR"/>
        </w:rPr>
        <w:t>en relación con los artículos 1, 6 y 8 de la Convención Interamericana para Prevenir y Sancionar la Tortura, en perjuicio de Tirso Román Valenzuela Ávila, en l</w:t>
      </w:r>
      <w:r w:rsidR="003043FF">
        <w:rPr>
          <w:rFonts w:ascii="Verdana" w:hAnsi="Verdana"/>
          <w:sz w:val="20"/>
          <w:szCs w:val="20"/>
          <w:lang w:val="es-CR"/>
        </w:rPr>
        <w:t>os términos de los párrafos 180 a 208</w:t>
      </w:r>
      <w:r w:rsidR="009A4210">
        <w:rPr>
          <w:rFonts w:ascii="Verdana" w:hAnsi="Verdana"/>
          <w:sz w:val="20"/>
          <w:szCs w:val="20"/>
          <w:lang w:val="es-CR"/>
        </w:rPr>
        <w:t xml:space="preserve"> </w:t>
      </w:r>
      <w:r w:rsidRPr="006577EE">
        <w:rPr>
          <w:rFonts w:ascii="Verdana" w:hAnsi="Verdana"/>
          <w:sz w:val="20"/>
          <w:szCs w:val="20"/>
          <w:lang w:val="es-CR"/>
        </w:rPr>
        <w:t xml:space="preserve">de la presente Sentencia. </w:t>
      </w:r>
    </w:p>
    <w:p w14:paraId="2A18E1F3" w14:textId="77777777" w:rsidR="00D969DA" w:rsidRPr="00EC2F24" w:rsidRDefault="00D969DA" w:rsidP="00EC2F24">
      <w:pPr>
        <w:widowControl w:val="0"/>
        <w:tabs>
          <w:tab w:val="left" w:pos="720"/>
        </w:tabs>
        <w:adjustRightInd w:val="0"/>
        <w:spacing w:after="0" w:line="240" w:lineRule="auto"/>
        <w:ind w:right="-90"/>
        <w:contextualSpacing/>
        <w:jc w:val="both"/>
        <w:textAlignment w:val="baseline"/>
        <w:rPr>
          <w:rFonts w:ascii="Verdana" w:hAnsi="Verdana"/>
          <w:sz w:val="20"/>
          <w:szCs w:val="20"/>
          <w:lang w:val="es-CR"/>
        </w:rPr>
      </w:pPr>
    </w:p>
    <w:p w14:paraId="17A0EEC3" w14:textId="6948EC6C" w:rsidR="00173135" w:rsidRPr="00CB5459" w:rsidRDefault="00D969DA" w:rsidP="00173135">
      <w:pPr>
        <w:widowControl w:val="0"/>
        <w:numPr>
          <w:ilvl w:val="0"/>
          <w:numId w:val="6"/>
        </w:numPr>
        <w:tabs>
          <w:tab w:val="left" w:pos="720"/>
        </w:tabs>
        <w:adjustRightInd w:val="0"/>
        <w:spacing w:after="0" w:line="240" w:lineRule="auto"/>
        <w:ind w:right="-90"/>
        <w:contextualSpacing/>
        <w:jc w:val="both"/>
        <w:textAlignment w:val="baseline"/>
        <w:rPr>
          <w:rFonts w:ascii="Verdana" w:hAnsi="Verdana"/>
          <w:sz w:val="20"/>
          <w:szCs w:val="20"/>
          <w:lang w:val="es-CR"/>
        </w:rPr>
      </w:pPr>
      <w:r w:rsidRPr="00D57474">
        <w:rPr>
          <w:rFonts w:ascii="Verdana" w:hAnsi="Verdana"/>
          <w:sz w:val="20"/>
          <w:szCs w:val="20"/>
          <w:lang w:val="es-CR"/>
        </w:rPr>
        <w:t>El Estado es responsable por</w:t>
      </w:r>
      <w:r w:rsidR="009A263C" w:rsidRPr="00D57474">
        <w:rPr>
          <w:rFonts w:ascii="Verdana" w:hAnsi="Verdana"/>
          <w:sz w:val="20"/>
          <w:szCs w:val="20"/>
          <w:lang w:val="es-CR"/>
        </w:rPr>
        <w:t xml:space="preserve"> la violación del derecho a la libertad p</w:t>
      </w:r>
      <w:r w:rsidRPr="00D57474">
        <w:rPr>
          <w:rFonts w:ascii="Verdana" w:hAnsi="Verdana"/>
          <w:sz w:val="20"/>
          <w:szCs w:val="20"/>
          <w:lang w:val="es-CR"/>
        </w:rPr>
        <w:t xml:space="preserve">ersonal, consagrado en los artículos </w:t>
      </w:r>
      <w:r w:rsidR="00C74440">
        <w:rPr>
          <w:rFonts w:ascii="Verdana" w:hAnsi="Verdana"/>
          <w:sz w:val="20"/>
          <w:szCs w:val="20"/>
          <w:lang w:val="es-CR"/>
        </w:rPr>
        <w:t xml:space="preserve">7.1, </w:t>
      </w:r>
      <w:r w:rsidR="00072430">
        <w:rPr>
          <w:rFonts w:ascii="Verdana" w:hAnsi="Verdana"/>
          <w:sz w:val="20"/>
          <w:szCs w:val="20"/>
          <w:lang w:val="es-CR"/>
        </w:rPr>
        <w:t xml:space="preserve">7.2 </w:t>
      </w:r>
      <w:r w:rsidR="00912926">
        <w:rPr>
          <w:rFonts w:ascii="Verdana" w:hAnsi="Verdana"/>
          <w:sz w:val="20"/>
          <w:szCs w:val="20"/>
          <w:lang w:val="es-CR"/>
        </w:rPr>
        <w:t xml:space="preserve">y </w:t>
      </w:r>
      <w:r w:rsidR="00912926" w:rsidRPr="002A1142">
        <w:rPr>
          <w:rFonts w:ascii="Verdana" w:hAnsi="Verdana"/>
          <w:sz w:val="20"/>
          <w:szCs w:val="20"/>
          <w:lang w:val="es-CR"/>
        </w:rPr>
        <w:t>7.5</w:t>
      </w:r>
      <w:r w:rsidRPr="00D57474">
        <w:rPr>
          <w:rFonts w:ascii="Verdana" w:hAnsi="Verdana"/>
          <w:sz w:val="20"/>
          <w:szCs w:val="20"/>
          <w:lang w:val="es-CR"/>
        </w:rPr>
        <w:t xml:space="preserve"> de la Convención Americana sobre Derechos Humanos</w:t>
      </w:r>
      <w:r w:rsidR="009A263C" w:rsidRPr="00D57474">
        <w:rPr>
          <w:rFonts w:ascii="Verdana" w:hAnsi="Verdana"/>
          <w:sz w:val="20"/>
          <w:szCs w:val="20"/>
          <w:lang w:val="es-CR"/>
        </w:rPr>
        <w:t xml:space="preserve">, </w:t>
      </w:r>
      <w:r w:rsidR="009A263C" w:rsidRPr="00EC2F24">
        <w:rPr>
          <w:rFonts w:ascii="Verdana" w:hAnsi="Verdana"/>
          <w:sz w:val="20"/>
          <w:szCs w:val="20"/>
          <w:lang w:val="es-CR"/>
        </w:rPr>
        <w:t xml:space="preserve">en relación </w:t>
      </w:r>
      <w:r w:rsidR="009A263C" w:rsidRPr="00D57474">
        <w:rPr>
          <w:rFonts w:ascii="Verdana" w:hAnsi="Verdana"/>
          <w:sz w:val="20"/>
          <w:szCs w:val="20"/>
          <w:lang w:val="es-CR"/>
        </w:rPr>
        <w:t>con la obligación de garantizar los derechos establecida en el artículo 1.1 de la Convención</w:t>
      </w:r>
      <w:r w:rsidRPr="00D57474">
        <w:rPr>
          <w:rFonts w:ascii="Verdana" w:hAnsi="Verdana"/>
          <w:sz w:val="20"/>
          <w:szCs w:val="20"/>
          <w:lang w:val="es-CR"/>
        </w:rPr>
        <w:t xml:space="preserve">, </w:t>
      </w:r>
      <w:r w:rsidRPr="00EC2F24">
        <w:rPr>
          <w:rFonts w:ascii="Verdana" w:hAnsi="Verdana"/>
          <w:sz w:val="20"/>
          <w:szCs w:val="20"/>
          <w:lang w:val="es-CR"/>
        </w:rPr>
        <w:t>en perjuicio</w:t>
      </w:r>
      <w:r w:rsidRPr="00D57474">
        <w:rPr>
          <w:rFonts w:ascii="Verdana" w:hAnsi="Verdana"/>
          <w:sz w:val="20"/>
          <w:szCs w:val="20"/>
          <w:lang w:val="es-CR"/>
        </w:rPr>
        <w:t xml:space="preserve"> de Tirso Román Valenzuela Ávila, </w:t>
      </w:r>
      <w:r w:rsidRPr="00EC2F24">
        <w:rPr>
          <w:rFonts w:ascii="Verdana" w:hAnsi="Verdana"/>
          <w:sz w:val="20"/>
          <w:szCs w:val="20"/>
          <w:lang w:val="es-CR"/>
        </w:rPr>
        <w:t>en los</w:t>
      </w:r>
      <w:r w:rsidR="0027575B">
        <w:rPr>
          <w:rFonts w:ascii="Verdana" w:hAnsi="Verdana"/>
          <w:sz w:val="20"/>
          <w:szCs w:val="20"/>
          <w:lang w:val="es-CR"/>
        </w:rPr>
        <w:t xml:space="preserve"> té</w:t>
      </w:r>
      <w:r w:rsidR="003043FF">
        <w:rPr>
          <w:rFonts w:ascii="Verdana" w:hAnsi="Verdana"/>
          <w:sz w:val="20"/>
          <w:szCs w:val="20"/>
          <w:lang w:val="es-CR"/>
        </w:rPr>
        <w:t>rminos de los párrafos 210 a</w:t>
      </w:r>
      <w:r w:rsidR="009A4210">
        <w:rPr>
          <w:rFonts w:ascii="Verdana" w:hAnsi="Verdana"/>
          <w:sz w:val="20"/>
          <w:szCs w:val="20"/>
          <w:lang w:val="es-CR"/>
        </w:rPr>
        <w:t xml:space="preserve"> </w:t>
      </w:r>
      <w:proofErr w:type="gramStart"/>
      <w:r w:rsidR="009A4210">
        <w:rPr>
          <w:rFonts w:ascii="Verdana" w:hAnsi="Verdana"/>
          <w:sz w:val="20"/>
          <w:szCs w:val="20"/>
          <w:lang w:val="es-CR"/>
        </w:rPr>
        <w:t>2</w:t>
      </w:r>
      <w:r w:rsidR="003043FF">
        <w:rPr>
          <w:rFonts w:ascii="Verdana" w:hAnsi="Verdana"/>
          <w:sz w:val="20"/>
          <w:szCs w:val="20"/>
          <w:lang w:val="es-CR"/>
        </w:rPr>
        <w:t>20</w:t>
      </w:r>
      <w:r w:rsidR="009A4210">
        <w:rPr>
          <w:rFonts w:ascii="Verdana" w:hAnsi="Verdana"/>
          <w:sz w:val="20"/>
          <w:szCs w:val="20"/>
          <w:lang w:val="es-CR"/>
        </w:rPr>
        <w:t xml:space="preserve"> </w:t>
      </w:r>
      <w:r w:rsidR="003043FF">
        <w:rPr>
          <w:rFonts w:ascii="Verdana" w:hAnsi="Verdana"/>
          <w:sz w:val="20"/>
          <w:szCs w:val="20"/>
          <w:lang w:val="es-CR"/>
        </w:rPr>
        <w:t xml:space="preserve"> y</w:t>
      </w:r>
      <w:proofErr w:type="gramEnd"/>
      <w:r w:rsidR="003043FF">
        <w:rPr>
          <w:rFonts w:ascii="Verdana" w:hAnsi="Verdana"/>
          <w:sz w:val="20"/>
          <w:szCs w:val="20"/>
          <w:lang w:val="es-CR"/>
        </w:rPr>
        <w:t xml:space="preserve"> 223 </w:t>
      </w:r>
      <w:r w:rsidRPr="00EC2F24">
        <w:rPr>
          <w:rFonts w:ascii="Verdana" w:hAnsi="Verdana"/>
          <w:sz w:val="20"/>
          <w:szCs w:val="20"/>
          <w:lang w:val="es-CR"/>
        </w:rPr>
        <w:t xml:space="preserve">de la presente Sentencia. </w:t>
      </w:r>
    </w:p>
    <w:p w14:paraId="13F46D42" w14:textId="77777777" w:rsidR="00D969DA" w:rsidRPr="00D57474" w:rsidRDefault="00D969DA" w:rsidP="00EC2F24">
      <w:pPr>
        <w:spacing w:after="0" w:line="240" w:lineRule="auto"/>
        <w:ind w:right="-90"/>
        <w:contextualSpacing/>
        <w:jc w:val="both"/>
        <w:rPr>
          <w:rFonts w:ascii="Verdana" w:hAnsi="Verdana"/>
          <w:sz w:val="20"/>
          <w:szCs w:val="20"/>
          <w:lang w:val="es-CR"/>
        </w:rPr>
      </w:pPr>
    </w:p>
    <w:p w14:paraId="23103C38" w14:textId="3BF40A8C" w:rsidR="00F43519" w:rsidRDefault="00D969DA" w:rsidP="00F43519">
      <w:pPr>
        <w:widowControl w:val="0"/>
        <w:numPr>
          <w:ilvl w:val="0"/>
          <w:numId w:val="6"/>
        </w:numPr>
        <w:tabs>
          <w:tab w:val="left" w:pos="720"/>
        </w:tabs>
        <w:adjustRightInd w:val="0"/>
        <w:spacing w:after="0" w:line="240" w:lineRule="auto"/>
        <w:ind w:right="-90"/>
        <w:contextualSpacing/>
        <w:jc w:val="both"/>
        <w:textAlignment w:val="baseline"/>
        <w:rPr>
          <w:rFonts w:ascii="Verdana" w:hAnsi="Verdana"/>
          <w:sz w:val="20"/>
          <w:szCs w:val="20"/>
          <w:lang w:val="es-CR"/>
        </w:rPr>
      </w:pPr>
      <w:r w:rsidRPr="00EC2F24">
        <w:rPr>
          <w:rFonts w:ascii="Verdana" w:hAnsi="Verdana"/>
          <w:sz w:val="20"/>
          <w:szCs w:val="20"/>
          <w:lang w:val="es-CR"/>
        </w:rPr>
        <w:t>El Estado no es responsable por la violación del dere</w:t>
      </w:r>
      <w:r w:rsidR="00B41A26">
        <w:rPr>
          <w:rFonts w:ascii="Verdana" w:hAnsi="Verdana"/>
          <w:sz w:val="20"/>
          <w:szCs w:val="20"/>
          <w:lang w:val="es-CR"/>
        </w:rPr>
        <w:t xml:space="preserve">cho a la vida establecido en los </w:t>
      </w:r>
      <w:r w:rsidRPr="00EC2F24">
        <w:rPr>
          <w:rFonts w:ascii="Verdana" w:hAnsi="Verdana"/>
          <w:sz w:val="20"/>
          <w:szCs w:val="20"/>
          <w:lang w:val="es-CR"/>
        </w:rPr>
        <w:t>artículo</w:t>
      </w:r>
      <w:r w:rsidR="00B41A26">
        <w:rPr>
          <w:rFonts w:ascii="Verdana" w:hAnsi="Verdana"/>
          <w:sz w:val="20"/>
          <w:szCs w:val="20"/>
          <w:lang w:val="es-CR"/>
        </w:rPr>
        <w:t>s</w:t>
      </w:r>
      <w:r w:rsidRPr="00EC2F24">
        <w:rPr>
          <w:rFonts w:ascii="Verdana" w:hAnsi="Verdana"/>
          <w:sz w:val="20"/>
          <w:szCs w:val="20"/>
          <w:lang w:val="es-CR"/>
        </w:rPr>
        <w:t xml:space="preserve"> </w:t>
      </w:r>
      <w:r w:rsidR="006D5C92" w:rsidRPr="00D57474">
        <w:rPr>
          <w:rFonts w:ascii="Verdana" w:hAnsi="Verdana"/>
          <w:sz w:val="20"/>
          <w:szCs w:val="20"/>
          <w:lang w:val="es-CR"/>
        </w:rPr>
        <w:t>4.1</w:t>
      </w:r>
      <w:r w:rsidR="00B41A26">
        <w:rPr>
          <w:rFonts w:ascii="Verdana" w:hAnsi="Verdana"/>
          <w:sz w:val="20"/>
          <w:szCs w:val="20"/>
          <w:lang w:val="es-CR"/>
        </w:rPr>
        <w:t xml:space="preserve">, </w:t>
      </w:r>
      <w:r w:rsidR="00B41A26" w:rsidRPr="006C3807">
        <w:rPr>
          <w:rFonts w:ascii="Verdana" w:hAnsi="Verdana"/>
          <w:sz w:val="20"/>
          <w:szCs w:val="20"/>
          <w:lang w:val="es-CR"/>
        </w:rPr>
        <w:t xml:space="preserve">en relación con la </w:t>
      </w:r>
      <w:r w:rsidR="006C3807" w:rsidRPr="006C3807">
        <w:rPr>
          <w:rFonts w:ascii="Verdana" w:hAnsi="Verdana"/>
          <w:sz w:val="20"/>
          <w:szCs w:val="20"/>
          <w:lang w:val="es-CR"/>
        </w:rPr>
        <w:t xml:space="preserve">ejecución </w:t>
      </w:r>
      <w:r w:rsidR="00B41A26" w:rsidRPr="006C3807">
        <w:rPr>
          <w:rFonts w:ascii="Verdana" w:hAnsi="Verdana"/>
          <w:sz w:val="20"/>
          <w:szCs w:val="20"/>
          <w:lang w:val="es-CR"/>
        </w:rPr>
        <w:t>de la pena de muerte</w:t>
      </w:r>
      <w:r w:rsidR="00B41A26" w:rsidRPr="009A4210">
        <w:rPr>
          <w:rFonts w:ascii="Verdana" w:hAnsi="Verdana"/>
          <w:sz w:val="20"/>
          <w:szCs w:val="20"/>
          <w:lang w:val="es-CR"/>
        </w:rPr>
        <w:t>,</w:t>
      </w:r>
      <w:r w:rsidR="00B41A26" w:rsidRPr="00D57474">
        <w:rPr>
          <w:rFonts w:ascii="Verdana" w:hAnsi="Verdana"/>
          <w:sz w:val="20"/>
          <w:szCs w:val="20"/>
          <w:lang w:val="es-CR"/>
        </w:rPr>
        <w:t xml:space="preserve"> </w:t>
      </w:r>
      <w:r w:rsidR="006D5C92" w:rsidRPr="00D57474">
        <w:rPr>
          <w:rFonts w:ascii="Verdana" w:hAnsi="Verdana"/>
          <w:sz w:val="20"/>
          <w:szCs w:val="20"/>
          <w:lang w:val="es-CR"/>
        </w:rPr>
        <w:t xml:space="preserve">y </w:t>
      </w:r>
      <w:r w:rsidRPr="00D57474">
        <w:rPr>
          <w:rFonts w:ascii="Verdana" w:hAnsi="Verdana"/>
          <w:sz w:val="20"/>
          <w:szCs w:val="20"/>
          <w:lang w:val="es-CR"/>
        </w:rPr>
        <w:t>4.6</w:t>
      </w:r>
      <w:r w:rsidRPr="00EC2F24">
        <w:rPr>
          <w:rFonts w:ascii="Verdana" w:hAnsi="Verdana"/>
          <w:sz w:val="20"/>
          <w:szCs w:val="20"/>
          <w:lang w:val="es-CR"/>
        </w:rPr>
        <w:t xml:space="preserve"> de la Convención Americana sobre Derechos Humanos, en perjuicio</w:t>
      </w:r>
      <w:r w:rsidRPr="00D57474">
        <w:rPr>
          <w:rFonts w:ascii="Verdana" w:hAnsi="Verdana"/>
          <w:sz w:val="20"/>
          <w:szCs w:val="20"/>
          <w:lang w:val="es-CR"/>
        </w:rPr>
        <w:t xml:space="preserve"> Tirso Román Valenzuela Ávila</w:t>
      </w:r>
      <w:r w:rsidR="00B41A26">
        <w:rPr>
          <w:rFonts w:ascii="Verdana" w:hAnsi="Verdana"/>
          <w:sz w:val="20"/>
          <w:szCs w:val="20"/>
          <w:lang w:val="es-CR"/>
        </w:rPr>
        <w:t xml:space="preserve">, </w:t>
      </w:r>
      <w:r w:rsidRPr="00EC2F24">
        <w:rPr>
          <w:rFonts w:ascii="Verdana" w:hAnsi="Verdana"/>
          <w:sz w:val="20"/>
          <w:szCs w:val="20"/>
          <w:lang w:val="es-CR"/>
        </w:rPr>
        <w:t>en l</w:t>
      </w:r>
      <w:r w:rsidR="00CB5459">
        <w:rPr>
          <w:rFonts w:ascii="Verdana" w:hAnsi="Verdana"/>
          <w:sz w:val="20"/>
          <w:szCs w:val="20"/>
          <w:lang w:val="es-CR"/>
        </w:rPr>
        <w:t>os</w:t>
      </w:r>
      <w:r w:rsidR="00ED68C0">
        <w:rPr>
          <w:rFonts w:ascii="Verdana" w:hAnsi="Verdana"/>
          <w:sz w:val="20"/>
          <w:szCs w:val="20"/>
          <w:lang w:val="es-CR"/>
        </w:rPr>
        <w:t xml:space="preserve"> términos de los pá</w:t>
      </w:r>
      <w:r w:rsidR="003043FF">
        <w:rPr>
          <w:rFonts w:ascii="Verdana" w:hAnsi="Verdana"/>
          <w:sz w:val="20"/>
          <w:szCs w:val="20"/>
          <w:lang w:val="es-CR"/>
        </w:rPr>
        <w:t>rrafos 157</w:t>
      </w:r>
      <w:r w:rsidR="0027575B">
        <w:rPr>
          <w:rFonts w:ascii="Verdana" w:hAnsi="Verdana"/>
          <w:sz w:val="20"/>
          <w:szCs w:val="20"/>
          <w:lang w:val="es-CR"/>
        </w:rPr>
        <w:t xml:space="preserve"> y</w:t>
      </w:r>
      <w:r w:rsidR="00ED68C0">
        <w:rPr>
          <w:rFonts w:ascii="Verdana" w:hAnsi="Verdana"/>
          <w:sz w:val="20"/>
          <w:szCs w:val="20"/>
          <w:lang w:val="es-CR"/>
        </w:rPr>
        <w:t xml:space="preserve"> </w:t>
      </w:r>
      <w:r w:rsidR="00CB5459">
        <w:rPr>
          <w:rFonts w:ascii="Verdana" w:hAnsi="Verdana"/>
          <w:sz w:val="20"/>
          <w:szCs w:val="20"/>
          <w:lang w:val="es-CR"/>
        </w:rPr>
        <w:t>1</w:t>
      </w:r>
      <w:r w:rsidR="003043FF">
        <w:rPr>
          <w:rFonts w:ascii="Verdana" w:hAnsi="Verdana"/>
          <w:sz w:val="20"/>
          <w:szCs w:val="20"/>
          <w:lang w:val="es-CR"/>
        </w:rPr>
        <w:t>58</w:t>
      </w:r>
      <w:r w:rsidR="0027575B">
        <w:rPr>
          <w:rFonts w:ascii="Verdana" w:hAnsi="Verdana"/>
          <w:sz w:val="20"/>
          <w:szCs w:val="20"/>
          <w:lang w:val="es-CR"/>
        </w:rPr>
        <w:t xml:space="preserve"> </w:t>
      </w:r>
      <w:r w:rsidRPr="00EC2F24">
        <w:rPr>
          <w:rFonts w:ascii="Verdana" w:hAnsi="Verdana"/>
          <w:sz w:val="20"/>
          <w:szCs w:val="20"/>
          <w:lang w:val="es-CR"/>
        </w:rPr>
        <w:t>de la presente Sentencia.</w:t>
      </w:r>
    </w:p>
    <w:p w14:paraId="40E2EF82" w14:textId="77777777" w:rsidR="00F43519" w:rsidRPr="00F43519" w:rsidRDefault="00F43519" w:rsidP="00F43519">
      <w:pPr>
        <w:widowControl w:val="0"/>
        <w:tabs>
          <w:tab w:val="left" w:pos="720"/>
        </w:tabs>
        <w:adjustRightInd w:val="0"/>
        <w:spacing w:after="0" w:line="240" w:lineRule="auto"/>
        <w:ind w:right="-90"/>
        <w:contextualSpacing/>
        <w:jc w:val="both"/>
        <w:textAlignment w:val="baseline"/>
        <w:rPr>
          <w:rFonts w:ascii="Verdana" w:hAnsi="Verdana"/>
          <w:sz w:val="20"/>
          <w:szCs w:val="20"/>
          <w:lang w:val="es-CR"/>
        </w:rPr>
      </w:pPr>
    </w:p>
    <w:p w14:paraId="5D0B2CC9" w14:textId="2E4C7532" w:rsidR="00F43519" w:rsidRPr="006E3280" w:rsidRDefault="00F43519" w:rsidP="00F43519">
      <w:pPr>
        <w:widowControl w:val="0"/>
        <w:numPr>
          <w:ilvl w:val="0"/>
          <w:numId w:val="6"/>
        </w:numPr>
        <w:tabs>
          <w:tab w:val="left" w:pos="720"/>
        </w:tabs>
        <w:adjustRightInd w:val="0"/>
        <w:spacing w:after="0" w:line="240" w:lineRule="auto"/>
        <w:ind w:right="-90"/>
        <w:contextualSpacing/>
        <w:jc w:val="both"/>
        <w:textAlignment w:val="baseline"/>
        <w:rPr>
          <w:rFonts w:ascii="Verdana" w:hAnsi="Verdana"/>
          <w:sz w:val="20"/>
          <w:szCs w:val="20"/>
          <w:lang w:val="es-CR"/>
        </w:rPr>
      </w:pPr>
      <w:r w:rsidRPr="006577EE">
        <w:rPr>
          <w:rFonts w:ascii="Verdana" w:hAnsi="Verdana"/>
          <w:sz w:val="20"/>
          <w:szCs w:val="20"/>
          <w:lang w:val="es-CR"/>
        </w:rPr>
        <w:t>El Estado no es responsable por la violación de los derechos a la libertad personal y protección judicial, consagrados en los artículos 7.6 y 25.1 de la Convención Americana sobre Derechos Humanos, en relación con la obligación de garantizar los derechos establecida en el artículo 1.1 de la Convención, en perjuicio de Tirso Román Valenzuela Ávila, en los</w:t>
      </w:r>
      <w:r w:rsidR="009A4210">
        <w:rPr>
          <w:rFonts w:ascii="Verdana" w:hAnsi="Verdana"/>
          <w:sz w:val="20"/>
          <w:szCs w:val="20"/>
          <w:lang w:val="es-CR"/>
        </w:rPr>
        <w:t xml:space="preserve"> términos </w:t>
      </w:r>
      <w:r w:rsidR="009A4210" w:rsidRPr="006E3280">
        <w:rPr>
          <w:rFonts w:ascii="Verdana" w:hAnsi="Verdana"/>
          <w:sz w:val="20"/>
          <w:szCs w:val="20"/>
          <w:lang w:val="es-CR"/>
        </w:rPr>
        <w:t>del párrafo 22</w:t>
      </w:r>
      <w:r w:rsidR="003043FF">
        <w:rPr>
          <w:rFonts w:ascii="Verdana" w:hAnsi="Verdana"/>
          <w:sz w:val="20"/>
          <w:szCs w:val="20"/>
          <w:lang w:val="es-CR"/>
        </w:rPr>
        <w:t>2</w:t>
      </w:r>
      <w:r w:rsidR="009A4210" w:rsidRPr="006E3280">
        <w:rPr>
          <w:rFonts w:ascii="Verdana" w:hAnsi="Verdana"/>
          <w:sz w:val="20"/>
          <w:szCs w:val="20"/>
          <w:lang w:val="es-CR"/>
        </w:rPr>
        <w:t xml:space="preserve"> </w:t>
      </w:r>
      <w:r w:rsidRPr="006E3280">
        <w:rPr>
          <w:rFonts w:ascii="Verdana" w:hAnsi="Verdana"/>
          <w:sz w:val="20"/>
          <w:szCs w:val="20"/>
          <w:lang w:val="es-CR"/>
        </w:rPr>
        <w:t xml:space="preserve">de la presente Sentencia. </w:t>
      </w:r>
    </w:p>
    <w:p w14:paraId="007D08B6" w14:textId="77777777" w:rsidR="00D969DA" w:rsidRPr="00EC2F24" w:rsidRDefault="00D969DA" w:rsidP="00EC2F24">
      <w:pPr>
        <w:tabs>
          <w:tab w:val="left" w:pos="720"/>
        </w:tabs>
        <w:spacing w:after="0" w:line="240" w:lineRule="auto"/>
        <w:ind w:right="-90"/>
        <w:contextualSpacing/>
        <w:jc w:val="both"/>
        <w:rPr>
          <w:rFonts w:ascii="Verdana" w:hAnsi="Verdana"/>
          <w:sz w:val="20"/>
          <w:szCs w:val="20"/>
          <w:lang w:val="es-CR"/>
        </w:rPr>
      </w:pPr>
    </w:p>
    <w:p w14:paraId="57C3DBE6" w14:textId="77777777" w:rsidR="00D969DA" w:rsidRPr="00D57474" w:rsidRDefault="00D969DA" w:rsidP="00EC2F24">
      <w:pPr>
        <w:tabs>
          <w:tab w:val="left" w:pos="720"/>
        </w:tabs>
        <w:spacing w:after="0" w:line="240" w:lineRule="auto"/>
        <w:ind w:right="-90"/>
        <w:contextualSpacing/>
        <w:jc w:val="both"/>
        <w:rPr>
          <w:rFonts w:ascii="Verdana" w:hAnsi="Verdana"/>
          <w:sz w:val="20"/>
          <w:szCs w:val="20"/>
          <w:lang w:val="es-CR"/>
        </w:rPr>
      </w:pPr>
      <w:r w:rsidRPr="00173135">
        <w:rPr>
          <w:rFonts w:ascii="Verdana" w:hAnsi="Verdana"/>
          <w:b/>
          <w:sz w:val="20"/>
          <w:szCs w:val="20"/>
          <w:lang w:val="es-CR"/>
        </w:rPr>
        <w:t>Y DISPONE</w:t>
      </w:r>
      <w:r w:rsidRPr="00D57474">
        <w:rPr>
          <w:rFonts w:ascii="Verdana" w:hAnsi="Verdana"/>
          <w:sz w:val="20"/>
          <w:szCs w:val="20"/>
          <w:lang w:val="es-CR"/>
        </w:rPr>
        <w:t>:</w:t>
      </w:r>
    </w:p>
    <w:p w14:paraId="0FD7DFB9" w14:textId="77777777" w:rsidR="00D969DA" w:rsidRPr="00D57474" w:rsidRDefault="00D969DA" w:rsidP="00EC2F24">
      <w:pPr>
        <w:tabs>
          <w:tab w:val="left" w:pos="720"/>
        </w:tabs>
        <w:spacing w:after="0" w:line="240" w:lineRule="auto"/>
        <w:ind w:right="-90"/>
        <w:contextualSpacing/>
        <w:jc w:val="both"/>
        <w:rPr>
          <w:rFonts w:ascii="Verdana" w:hAnsi="Verdana"/>
          <w:sz w:val="20"/>
          <w:szCs w:val="20"/>
          <w:lang w:val="es-CR"/>
        </w:rPr>
      </w:pPr>
    </w:p>
    <w:p w14:paraId="67AE80FD" w14:textId="77777777" w:rsidR="00D969DA" w:rsidRPr="00D57474" w:rsidRDefault="006C3807" w:rsidP="00EC2F24">
      <w:pPr>
        <w:tabs>
          <w:tab w:val="left" w:pos="720"/>
        </w:tabs>
        <w:spacing w:after="0" w:line="240" w:lineRule="auto"/>
        <w:ind w:right="-90"/>
        <w:contextualSpacing/>
        <w:jc w:val="both"/>
        <w:rPr>
          <w:rFonts w:ascii="Verdana" w:hAnsi="Verdana"/>
          <w:sz w:val="20"/>
          <w:szCs w:val="20"/>
          <w:lang w:val="es-CR"/>
        </w:rPr>
      </w:pPr>
      <w:r>
        <w:rPr>
          <w:rFonts w:ascii="Verdana" w:hAnsi="Verdana"/>
          <w:sz w:val="20"/>
          <w:szCs w:val="20"/>
          <w:lang w:val="es-CR"/>
        </w:rPr>
        <w:t>Por unanimidad</w:t>
      </w:r>
      <w:r w:rsidR="00D969DA" w:rsidRPr="00D57474">
        <w:rPr>
          <w:rFonts w:ascii="Verdana" w:hAnsi="Verdana"/>
          <w:sz w:val="20"/>
          <w:szCs w:val="20"/>
          <w:lang w:val="es-CR"/>
        </w:rPr>
        <w:t>, que:</w:t>
      </w:r>
    </w:p>
    <w:p w14:paraId="2C976060" w14:textId="77777777" w:rsidR="00D969DA" w:rsidRPr="00D57474" w:rsidRDefault="00D969DA" w:rsidP="00EC2F24">
      <w:pPr>
        <w:tabs>
          <w:tab w:val="left" w:pos="720"/>
        </w:tabs>
        <w:spacing w:after="0" w:line="240" w:lineRule="auto"/>
        <w:ind w:right="-90"/>
        <w:contextualSpacing/>
        <w:jc w:val="both"/>
        <w:rPr>
          <w:rFonts w:ascii="Verdana" w:hAnsi="Verdana"/>
          <w:sz w:val="20"/>
          <w:szCs w:val="20"/>
          <w:lang w:val="es-CR"/>
        </w:rPr>
      </w:pPr>
    </w:p>
    <w:p w14:paraId="4658FD05" w14:textId="77777777" w:rsidR="00D969DA" w:rsidRPr="00D57474" w:rsidRDefault="00D969DA" w:rsidP="005406CA">
      <w:pPr>
        <w:widowControl w:val="0"/>
        <w:numPr>
          <w:ilvl w:val="0"/>
          <w:numId w:val="6"/>
        </w:numPr>
        <w:tabs>
          <w:tab w:val="left" w:pos="720"/>
        </w:tabs>
        <w:adjustRightInd w:val="0"/>
        <w:spacing w:after="0" w:line="240" w:lineRule="auto"/>
        <w:ind w:right="-90"/>
        <w:contextualSpacing/>
        <w:jc w:val="both"/>
        <w:textAlignment w:val="baseline"/>
        <w:rPr>
          <w:rFonts w:ascii="Verdana" w:hAnsi="Verdana"/>
          <w:sz w:val="20"/>
          <w:szCs w:val="20"/>
          <w:lang w:val="es-CR"/>
        </w:rPr>
      </w:pPr>
      <w:r w:rsidRPr="00EC2F24">
        <w:rPr>
          <w:rFonts w:ascii="Verdana" w:hAnsi="Verdana"/>
          <w:sz w:val="20"/>
          <w:szCs w:val="20"/>
          <w:lang w:val="es-CR"/>
        </w:rPr>
        <w:t>Esta</w:t>
      </w:r>
      <w:r w:rsidRPr="00D57474">
        <w:rPr>
          <w:rFonts w:ascii="Verdana" w:hAnsi="Verdana"/>
          <w:sz w:val="20"/>
          <w:szCs w:val="20"/>
          <w:lang w:val="es-CR"/>
        </w:rPr>
        <w:t xml:space="preserve"> Sentencia constituye, por sí misma, una forma de reparación.</w:t>
      </w:r>
    </w:p>
    <w:p w14:paraId="5EEF80DB" w14:textId="77777777" w:rsidR="00D969DA" w:rsidRPr="00D57474" w:rsidRDefault="00D969DA" w:rsidP="00EC2F24">
      <w:pPr>
        <w:widowControl w:val="0"/>
        <w:tabs>
          <w:tab w:val="left" w:pos="720"/>
        </w:tabs>
        <w:adjustRightInd w:val="0"/>
        <w:spacing w:after="0" w:line="240" w:lineRule="auto"/>
        <w:ind w:right="-90"/>
        <w:contextualSpacing/>
        <w:jc w:val="both"/>
        <w:textAlignment w:val="baseline"/>
        <w:rPr>
          <w:rFonts w:ascii="Verdana" w:hAnsi="Verdana"/>
          <w:sz w:val="20"/>
          <w:szCs w:val="20"/>
          <w:lang w:val="es-CR"/>
        </w:rPr>
      </w:pPr>
    </w:p>
    <w:p w14:paraId="252F3BCF" w14:textId="0A2C981B" w:rsidR="008A0075" w:rsidRDefault="008A0075" w:rsidP="008A0075">
      <w:pPr>
        <w:widowControl w:val="0"/>
        <w:numPr>
          <w:ilvl w:val="0"/>
          <w:numId w:val="6"/>
        </w:numPr>
        <w:tabs>
          <w:tab w:val="left" w:pos="720"/>
        </w:tabs>
        <w:adjustRightInd w:val="0"/>
        <w:spacing w:after="0" w:line="240" w:lineRule="auto"/>
        <w:ind w:right="-90"/>
        <w:contextualSpacing/>
        <w:jc w:val="both"/>
        <w:textAlignment w:val="baseline"/>
        <w:rPr>
          <w:rFonts w:ascii="Verdana" w:hAnsi="Verdana"/>
          <w:sz w:val="20"/>
          <w:szCs w:val="20"/>
          <w:lang w:val="es-CR"/>
        </w:rPr>
      </w:pPr>
      <w:r w:rsidRPr="00EC417E">
        <w:rPr>
          <w:rFonts w:ascii="Verdana" w:hAnsi="Verdana"/>
          <w:sz w:val="20"/>
          <w:szCs w:val="20"/>
          <w:lang w:val="es-CR"/>
        </w:rPr>
        <w:t>El Estado continuará con la</w:t>
      </w:r>
      <w:r w:rsidR="0066545C">
        <w:rPr>
          <w:rFonts w:ascii="Verdana" w:hAnsi="Verdana"/>
          <w:sz w:val="20"/>
          <w:szCs w:val="20"/>
          <w:lang w:val="es-CR"/>
        </w:rPr>
        <w:t>s</w:t>
      </w:r>
      <w:r>
        <w:rPr>
          <w:rFonts w:ascii="Verdana" w:hAnsi="Verdana"/>
          <w:sz w:val="20"/>
          <w:szCs w:val="20"/>
          <w:lang w:val="es-CR"/>
        </w:rPr>
        <w:t xml:space="preserve"> investigaciones que sean necesarias para identificar, juzgar y, en su caso, sancionar a los responsables de la muerte del señor Tirso Román Valenzuela, </w:t>
      </w:r>
      <w:r w:rsidRPr="00EC2F24">
        <w:rPr>
          <w:rFonts w:ascii="Verdana" w:hAnsi="Verdana"/>
          <w:sz w:val="20"/>
          <w:szCs w:val="20"/>
          <w:lang w:val="es-CR"/>
        </w:rPr>
        <w:t>en lo</w:t>
      </w:r>
      <w:r w:rsidR="0066545C">
        <w:rPr>
          <w:rFonts w:ascii="Verdana" w:hAnsi="Verdana"/>
          <w:sz w:val="20"/>
          <w:szCs w:val="20"/>
          <w:lang w:val="es-CR"/>
        </w:rPr>
        <w:t>s términos del párrafo 2</w:t>
      </w:r>
      <w:r w:rsidR="003043FF">
        <w:rPr>
          <w:rFonts w:ascii="Verdana" w:hAnsi="Verdana"/>
          <w:sz w:val="20"/>
          <w:szCs w:val="20"/>
          <w:lang w:val="es-CR"/>
        </w:rPr>
        <w:t>33</w:t>
      </w:r>
      <w:r w:rsidR="0066545C">
        <w:rPr>
          <w:rFonts w:ascii="Verdana" w:hAnsi="Verdana"/>
          <w:sz w:val="20"/>
          <w:szCs w:val="20"/>
          <w:lang w:val="es-CR"/>
        </w:rPr>
        <w:t xml:space="preserve"> </w:t>
      </w:r>
      <w:r w:rsidRPr="00EC2F24">
        <w:rPr>
          <w:rFonts w:ascii="Verdana" w:hAnsi="Verdana"/>
          <w:sz w:val="20"/>
          <w:szCs w:val="20"/>
          <w:lang w:val="es-CR"/>
        </w:rPr>
        <w:t>de la presente Sentencia</w:t>
      </w:r>
      <w:r>
        <w:rPr>
          <w:rFonts w:ascii="Verdana" w:hAnsi="Verdana"/>
          <w:sz w:val="20"/>
          <w:szCs w:val="20"/>
          <w:lang w:val="es-CR"/>
        </w:rPr>
        <w:t>.</w:t>
      </w:r>
    </w:p>
    <w:p w14:paraId="20163D68" w14:textId="77777777" w:rsidR="008A0075" w:rsidRPr="00044A6F" w:rsidRDefault="008A0075" w:rsidP="008A0075">
      <w:pPr>
        <w:widowControl w:val="0"/>
        <w:tabs>
          <w:tab w:val="left" w:pos="720"/>
        </w:tabs>
        <w:adjustRightInd w:val="0"/>
        <w:spacing w:after="0" w:line="240" w:lineRule="auto"/>
        <w:ind w:right="-90"/>
        <w:contextualSpacing/>
        <w:jc w:val="both"/>
        <w:textAlignment w:val="baseline"/>
        <w:rPr>
          <w:rFonts w:ascii="Verdana" w:hAnsi="Verdana"/>
          <w:sz w:val="20"/>
          <w:szCs w:val="20"/>
          <w:lang w:val="es-CR"/>
        </w:rPr>
      </w:pPr>
    </w:p>
    <w:p w14:paraId="103E8405" w14:textId="3C60ED19" w:rsidR="008A0075" w:rsidRDefault="008A0075" w:rsidP="008A0075">
      <w:pPr>
        <w:widowControl w:val="0"/>
        <w:numPr>
          <w:ilvl w:val="0"/>
          <w:numId w:val="6"/>
        </w:numPr>
        <w:tabs>
          <w:tab w:val="left" w:pos="720"/>
        </w:tabs>
        <w:adjustRightInd w:val="0"/>
        <w:spacing w:after="0" w:line="240" w:lineRule="auto"/>
        <w:ind w:right="-90"/>
        <w:contextualSpacing/>
        <w:jc w:val="both"/>
        <w:textAlignment w:val="baseline"/>
        <w:rPr>
          <w:rFonts w:ascii="Verdana" w:hAnsi="Verdana"/>
          <w:sz w:val="20"/>
          <w:szCs w:val="20"/>
          <w:lang w:val="es-CR"/>
        </w:rPr>
      </w:pPr>
      <w:r w:rsidRPr="00EC417E">
        <w:rPr>
          <w:rFonts w:ascii="Verdana" w:hAnsi="Verdana"/>
          <w:sz w:val="20"/>
          <w:szCs w:val="20"/>
          <w:lang w:val="es-CR"/>
        </w:rPr>
        <w:t>El Estado iniciará, de acuerdo a lo previsto en la legislación interna, en un plazo no superior a seis meses, las investigaciones que sean necesarias para identificar, juzgar y, en su caso, sancionar a los responsables de las torturas sufridas y que habría sufrido el señor Tirso Román Valenzuela,</w:t>
      </w:r>
      <w:r w:rsidR="003043FF">
        <w:rPr>
          <w:rFonts w:ascii="Verdana" w:hAnsi="Verdana"/>
          <w:sz w:val="20"/>
          <w:szCs w:val="20"/>
          <w:lang w:val="es-CR"/>
        </w:rPr>
        <w:t xml:space="preserve"> en los términos del párrafo 236</w:t>
      </w:r>
      <w:r w:rsidR="0066545C">
        <w:rPr>
          <w:rFonts w:ascii="Verdana" w:hAnsi="Verdana"/>
          <w:sz w:val="20"/>
          <w:szCs w:val="20"/>
          <w:lang w:val="es-CR"/>
        </w:rPr>
        <w:t xml:space="preserve"> </w:t>
      </w:r>
      <w:r w:rsidRPr="00EC417E">
        <w:rPr>
          <w:rFonts w:ascii="Verdana" w:hAnsi="Verdana"/>
          <w:sz w:val="20"/>
          <w:szCs w:val="20"/>
          <w:lang w:val="es-CR"/>
        </w:rPr>
        <w:t>de la presente Sentencia.</w:t>
      </w:r>
    </w:p>
    <w:p w14:paraId="495B60FF" w14:textId="77777777" w:rsidR="008A0075" w:rsidRPr="00EC417E" w:rsidRDefault="008A0075" w:rsidP="008A0075">
      <w:pPr>
        <w:widowControl w:val="0"/>
        <w:tabs>
          <w:tab w:val="left" w:pos="720"/>
        </w:tabs>
        <w:adjustRightInd w:val="0"/>
        <w:spacing w:after="0" w:line="240" w:lineRule="auto"/>
        <w:ind w:right="-90"/>
        <w:contextualSpacing/>
        <w:jc w:val="both"/>
        <w:textAlignment w:val="baseline"/>
        <w:rPr>
          <w:rFonts w:ascii="Verdana" w:hAnsi="Verdana"/>
          <w:sz w:val="20"/>
          <w:szCs w:val="20"/>
          <w:lang w:val="es-CR"/>
        </w:rPr>
      </w:pPr>
    </w:p>
    <w:p w14:paraId="51A504C8" w14:textId="2F99CB2A" w:rsidR="00D969DA" w:rsidRPr="00EC417E" w:rsidRDefault="00F43519" w:rsidP="005406CA">
      <w:pPr>
        <w:widowControl w:val="0"/>
        <w:numPr>
          <w:ilvl w:val="0"/>
          <w:numId w:val="6"/>
        </w:numPr>
        <w:tabs>
          <w:tab w:val="left" w:pos="720"/>
        </w:tabs>
        <w:adjustRightInd w:val="0"/>
        <w:spacing w:after="0" w:line="240" w:lineRule="auto"/>
        <w:ind w:right="-90"/>
        <w:contextualSpacing/>
        <w:jc w:val="both"/>
        <w:textAlignment w:val="baseline"/>
        <w:rPr>
          <w:rFonts w:ascii="Verdana" w:hAnsi="Verdana"/>
          <w:sz w:val="20"/>
          <w:szCs w:val="20"/>
          <w:lang w:val="es-CR"/>
        </w:rPr>
      </w:pPr>
      <w:r>
        <w:rPr>
          <w:rFonts w:ascii="Verdana" w:hAnsi="Verdana"/>
          <w:sz w:val="20"/>
          <w:szCs w:val="20"/>
          <w:lang w:val="es-CR"/>
        </w:rPr>
        <w:t xml:space="preserve">El Estado </w:t>
      </w:r>
      <w:r w:rsidR="00D969DA" w:rsidRPr="00EC417E">
        <w:rPr>
          <w:rFonts w:ascii="Verdana" w:hAnsi="Verdana"/>
          <w:sz w:val="20"/>
          <w:szCs w:val="20"/>
          <w:lang w:val="es-CR"/>
        </w:rPr>
        <w:t>realizar</w:t>
      </w:r>
      <w:r w:rsidRPr="00EC417E">
        <w:rPr>
          <w:rFonts w:ascii="Verdana" w:hAnsi="Verdana"/>
          <w:sz w:val="20"/>
          <w:szCs w:val="20"/>
          <w:lang w:val="es-CR"/>
        </w:rPr>
        <w:t>á</w:t>
      </w:r>
      <w:r w:rsidR="00D969DA" w:rsidRPr="00EC417E">
        <w:rPr>
          <w:rFonts w:ascii="Verdana" w:hAnsi="Verdana"/>
          <w:sz w:val="20"/>
          <w:szCs w:val="20"/>
          <w:lang w:val="es-CR"/>
        </w:rPr>
        <w:t xml:space="preserve"> las publicac</w:t>
      </w:r>
      <w:r w:rsidR="008A0075">
        <w:rPr>
          <w:rFonts w:ascii="Verdana" w:hAnsi="Verdana"/>
          <w:sz w:val="20"/>
          <w:szCs w:val="20"/>
          <w:lang w:val="es-CR"/>
        </w:rPr>
        <w:t>iones indicadas en</w:t>
      </w:r>
      <w:r w:rsidR="003043FF">
        <w:rPr>
          <w:rFonts w:ascii="Verdana" w:hAnsi="Verdana"/>
          <w:sz w:val="20"/>
          <w:szCs w:val="20"/>
          <w:lang w:val="es-CR"/>
        </w:rPr>
        <w:t xml:space="preserve"> los</w:t>
      </w:r>
      <w:r w:rsidR="008A0075">
        <w:rPr>
          <w:rFonts w:ascii="Verdana" w:hAnsi="Verdana"/>
          <w:sz w:val="20"/>
          <w:szCs w:val="20"/>
          <w:lang w:val="es-CR"/>
        </w:rPr>
        <w:t xml:space="preserve"> párrafo</w:t>
      </w:r>
      <w:r w:rsidR="00450B5E">
        <w:rPr>
          <w:rFonts w:ascii="Verdana" w:hAnsi="Verdana"/>
          <w:sz w:val="20"/>
          <w:szCs w:val="20"/>
          <w:lang w:val="es-CR"/>
        </w:rPr>
        <w:t>s</w:t>
      </w:r>
      <w:r w:rsidR="003043FF">
        <w:rPr>
          <w:rFonts w:ascii="Verdana" w:hAnsi="Verdana"/>
          <w:sz w:val="20"/>
          <w:szCs w:val="20"/>
          <w:lang w:val="es-CR"/>
        </w:rPr>
        <w:t xml:space="preserve"> 238 y 239</w:t>
      </w:r>
      <w:r w:rsidR="00D969DA" w:rsidRPr="00EC417E">
        <w:rPr>
          <w:rFonts w:ascii="Verdana" w:hAnsi="Verdana"/>
          <w:sz w:val="20"/>
          <w:szCs w:val="20"/>
          <w:lang w:val="es-CR"/>
        </w:rPr>
        <w:t xml:space="preserve"> de la presente Sentencia.</w:t>
      </w:r>
    </w:p>
    <w:p w14:paraId="42B546F2" w14:textId="77777777" w:rsidR="008E3263" w:rsidRPr="00EC417E" w:rsidRDefault="008E3263" w:rsidP="008E3263">
      <w:pPr>
        <w:widowControl w:val="0"/>
        <w:tabs>
          <w:tab w:val="left" w:pos="720"/>
        </w:tabs>
        <w:adjustRightInd w:val="0"/>
        <w:spacing w:after="0" w:line="240" w:lineRule="auto"/>
        <w:ind w:right="-90"/>
        <w:contextualSpacing/>
        <w:jc w:val="both"/>
        <w:textAlignment w:val="baseline"/>
        <w:rPr>
          <w:rFonts w:ascii="Verdana" w:hAnsi="Verdana"/>
          <w:sz w:val="20"/>
          <w:szCs w:val="20"/>
          <w:lang w:val="es-CR"/>
        </w:rPr>
      </w:pPr>
    </w:p>
    <w:p w14:paraId="5305AD8B" w14:textId="28955F95" w:rsidR="0027575B" w:rsidRPr="003D64E6" w:rsidRDefault="00D06009" w:rsidP="00065EC9">
      <w:pPr>
        <w:widowControl w:val="0"/>
        <w:numPr>
          <w:ilvl w:val="0"/>
          <w:numId w:val="6"/>
        </w:numPr>
        <w:tabs>
          <w:tab w:val="left" w:pos="720"/>
        </w:tabs>
        <w:adjustRightInd w:val="0"/>
        <w:spacing w:after="0" w:line="240" w:lineRule="auto"/>
        <w:ind w:right="-90"/>
        <w:contextualSpacing/>
        <w:jc w:val="both"/>
        <w:textAlignment w:val="baseline"/>
        <w:rPr>
          <w:rFonts w:ascii="Verdana" w:hAnsi="Verdana"/>
          <w:bCs/>
          <w:sz w:val="20"/>
          <w:szCs w:val="20"/>
        </w:rPr>
      </w:pPr>
      <w:r w:rsidRPr="003D64E6">
        <w:rPr>
          <w:rFonts w:ascii="Verdana" w:hAnsi="Verdana"/>
          <w:sz w:val="20"/>
          <w:szCs w:val="20"/>
          <w:lang w:val="es-CR"/>
        </w:rPr>
        <w:t xml:space="preserve">El Estado realizará </w:t>
      </w:r>
      <w:r w:rsidR="0027575B" w:rsidRPr="003D64E6">
        <w:rPr>
          <w:rFonts w:ascii="Verdana" w:hAnsi="Verdana"/>
          <w:sz w:val="20"/>
          <w:szCs w:val="20"/>
          <w:lang w:val="es-CR"/>
        </w:rPr>
        <w:t xml:space="preserve">el traslado de los restos del señor Tirso Román Valenzuela Ávila </w:t>
      </w:r>
      <w:r w:rsidR="00E74A24" w:rsidRPr="003D64E6">
        <w:rPr>
          <w:rFonts w:ascii="Verdana" w:hAnsi="Verdana"/>
          <w:sz w:val="20"/>
          <w:szCs w:val="20"/>
          <w:lang w:val="es-CR"/>
        </w:rPr>
        <w:t xml:space="preserve">a otro </w:t>
      </w:r>
      <w:r w:rsidR="0027575B" w:rsidRPr="003D64E6">
        <w:rPr>
          <w:rFonts w:ascii="Verdana" w:hAnsi="Verdana"/>
          <w:sz w:val="20"/>
          <w:szCs w:val="20"/>
          <w:lang w:val="es-CR"/>
        </w:rPr>
        <w:t>cementerio</w:t>
      </w:r>
      <w:r w:rsidRPr="003D64E6">
        <w:rPr>
          <w:rFonts w:ascii="Verdana" w:hAnsi="Verdana"/>
          <w:sz w:val="20"/>
          <w:szCs w:val="20"/>
          <w:lang w:val="es-CR"/>
        </w:rPr>
        <w:t>, en un plazo de seis meses,</w:t>
      </w:r>
      <w:r w:rsidR="003043FF">
        <w:rPr>
          <w:rFonts w:ascii="Verdana" w:hAnsi="Verdana"/>
          <w:sz w:val="20"/>
          <w:szCs w:val="20"/>
          <w:lang w:val="es-CR"/>
        </w:rPr>
        <w:t xml:space="preserve"> en los términos del párrafo 242</w:t>
      </w:r>
      <w:r w:rsidR="0027575B" w:rsidRPr="003D64E6">
        <w:rPr>
          <w:rFonts w:ascii="Verdana" w:hAnsi="Verdana"/>
          <w:sz w:val="20"/>
          <w:szCs w:val="20"/>
          <w:lang w:val="es-CR"/>
        </w:rPr>
        <w:t xml:space="preserve"> de la presente Sentencia.</w:t>
      </w:r>
    </w:p>
    <w:p w14:paraId="37EC9261" w14:textId="77777777" w:rsidR="0027575B" w:rsidRPr="0027575B" w:rsidRDefault="0027575B" w:rsidP="0027575B">
      <w:pPr>
        <w:widowControl w:val="0"/>
        <w:tabs>
          <w:tab w:val="left" w:pos="720"/>
        </w:tabs>
        <w:adjustRightInd w:val="0"/>
        <w:spacing w:after="0" w:line="240" w:lineRule="auto"/>
        <w:ind w:right="-90"/>
        <w:contextualSpacing/>
        <w:jc w:val="both"/>
        <w:textAlignment w:val="baseline"/>
        <w:rPr>
          <w:rFonts w:ascii="Verdana" w:hAnsi="Verdana"/>
          <w:bCs/>
          <w:sz w:val="20"/>
          <w:szCs w:val="20"/>
        </w:rPr>
      </w:pPr>
    </w:p>
    <w:p w14:paraId="3F6F8708" w14:textId="45FB1EF3" w:rsidR="00D969DA" w:rsidRPr="0066545C" w:rsidRDefault="0066545C" w:rsidP="005406CA">
      <w:pPr>
        <w:widowControl w:val="0"/>
        <w:numPr>
          <w:ilvl w:val="0"/>
          <w:numId w:val="6"/>
        </w:numPr>
        <w:tabs>
          <w:tab w:val="left" w:pos="720"/>
        </w:tabs>
        <w:adjustRightInd w:val="0"/>
        <w:spacing w:after="0" w:line="240" w:lineRule="auto"/>
        <w:ind w:right="-90"/>
        <w:contextualSpacing/>
        <w:jc w:val="both"/>
        <w:textAlignment w:val="baseline"/>
        <w:rPr>
          <w:rFonts w:ascii="Verdana" w:hAnsi="Verdana"/>
          <w:sz w:val="20"/>
          <w:szCs w:val="20"/>
          <w:lang w:val="es-CR"/>
        </w:rPr>
      </w:pPr>
      <w:r w:rsidRPr="0066545C">
        <w:rPr>
          <w:rFonts w:ascii="Verdana" w:hAnsi="Verdana"/>
          <w:bCs/>
          <w:sz w:val="20"/>
          <w:szCs w:val="20"/>
        </w:rPr>
        <w:t>El Estado pagará las canti</w:t>
      </w:r>
      <w:r w:rsidR="00693EC2">
        <w:rPr>
          <w:rFonts w:ascii="Verdana" w:hAnsi="Verdana"/>
          <w:bCs/>
          <w:sz w:val="20"/>
          <w:szCs w:val="20"/>
        </w:rPr>
        <w:t>d</w:t>
      </w:r>
      <w:r w:rsidR="0027575B">
        <w:rPr>
          <w:rFonts w:ascii="Verdana" w:hAnsi="Verdana"/>
          <w:bCs/>
          <w:sz w:val="20"/>
          <w:szCs w:val="20"/>
        </w:rPr>
        <w:t>ades fijadas en los párrafos 254</w:t>
      </w:r>
      <w:r w:rsidR="00FC1C6F">
        <w:rPr>
          <w:rFonts w:ascii="Verdana" w:hAnsi="Verdana"/>
          <w:bCs/>
          <w:sz w:val="20"/>
          <w:szCs w:val="20"/>
        </w:rPr>
        <w:t xml:space="preserve"> </w:t>
      </w:r>
      <w:r w:rsidR="0027575B">
        <w:rPr>
          <w:rFonts w:ascii="Verdana" w:hAnsi="Verdana"/>
          <w:bCs/>
          <w:sz w:val="20"/>
          <w:szCs w:val="20"/>
        </w:rPr>
        <w:t>y 258</w:t>
      </w:r>
      <w:r w:rsidRPr="0066545C">
        <w:rPr>
          <w:rFonts w:ascii="Verdana" w:hAnsi="Verdana"/>
          <w:bCs/>
          <w:sz w:val="20"/>
          <w:szCs w:val="20"/>
        </w:rPr>
        <w:t xml:space="preserve"> de la presente Sentencia por concepto de indemnización por daño inmaterial y costas</w:t>
      </w:r>
      <w:r w:rsidR="0027575B">
        <w:rPr>
          <w:rFonts w:ascii="Verdana" w:hAnsi="Verdana"/>
          <w:bCs/>
          <w:sz w:val="20"/>
          <w:szCs w:val="20"/>
        </w:rPr>
        <w:t xml:space="preserve"> y gastos</w:t>
      </w:r>
      <w:r w:rsidR="00D969DA" w:rsidRPr="0066545C">
        <w:rPr>
          <w:rFonts w:ascii="Verdana" w:hAnsi="Verdana"/>
          <w:sz w:val="20"/>
          <w:szCs w:val="20"/>
          <w:lang w:val="es-CR"/>
        </w:rPr>
        <w:t>.</w:t>
      </w:r>
    </w:p>
    <w:p w14:paraId="349C24EF" w14:textId="77777777" w:rsidR="00D969DA" w:rsidRPr="00EC417E" w:rsidRDefault="00D969DA" w:rsidP="00EC2F24">
      <w:pPr>
        <w:widowControl w:val="0"/>
        <w:tabs>
          <w:tab w:val="left" w:pos="720"/>
        </w:tabs>
        <w:adjustRightInd w:val="0"/>
        <w:spacing w:after="0" w:line="240" w:lineRule="auto"/>
        <w:ind w:right="-90"/>
        <w:contextualSpacing/>
        <w:jc w:val="both"/>
        <w:textAlignment w:val="baseline"/>
        <w:rPr>
          <w:rFonts w:ascii="Verdana" w:hAnsi="Verdana"/>
          <w:sz w:val="20"/>
          <w:szCs w:val="20"/>
          <w:lang w:val="es-CR"/>
        </w:rPr>
      </w:pPr>
    </w:p>
    <w:p w14:paraId="6541B54C" w14:textId="334BC033" w:rsidR="00D969DA" w:rsidRPr="00EC417E" w:rsidRDefault="00F43519" w:rsidP="005406CA">
      <w:pPr>
        <w:widowControl w:val="0"/>
        <w:numPr>
          <w:ilvl w:val="0"/>
          <w:numId w:val="6"/>
        </w:numPr>
        <w:tabs>
          <w:tab w:val="left" w:pos="720"/>
        </w:tabs>
        <w:adjustRightInd w:val="0"/>
        <w:spacing w:after="0" w:line="240" w:lineRule="auto"/>
        <w:ind w:right="-90"/>
        <w:contextualSpacing/>
        <w:jc w:val="both"/>
        <w:textAlignment w:val="baseline"/>
        <w:rPr>
          <w:rFonts w:ascii="Verdana" w:hAnsi="Verdana"/>
          <w:sz w:val="20"/>
          <w:szCs w:val="20"/>
          <w:lang w:val="es-CR"/>
        </w:rPr>
      </w:pPr>
      <w:r w:rsidRPr="00EC417E">
        <w:rPr>
          <w:rFonts w:ascii="Verdana" w:hAnsi="Verdana"/>
          <w:sz w:val="20"/>
          <w:szCs w:val="20"/>
          <w:lang w:val="es-CR"/>
        </w:rPr>
        <w:t xml:space="preserve">El Estado </w:t>
      </w:r>
      <w:r w:rsidR="00D969DA" w:rsidRPr="00EC417E">
        <w:rPr>
          <w:rFonts w:ascii="Verdana" w:hAnsi="Verdana"/>
          <w:sz w:val="20"/>
          <w:szCs w:val="20"/>
          <w:lang w:val="es-CR"/>
        </w:rPr>
        <w:t>reintegrar</w:t>
      </w:r>
      <w:r w:rsidRPr="00EC417E">
        <w:rPr>
          <w:rFonts w:ascii="Verdana" w:hAnsi="Verdana"/>
          <w:sz w:val="20"/>
          <w:szCs w:val="20"/>
          <w:lang w:val="es-CR"/>
        </w:rPr>
        <w:t>á</w:t>
      </w:r>
      <w:r w:rsidR="00D969DA" w:rsidRPr="00EC417E">
        <w:rPr>
          <w:rFonts w:ascii="Verdana" w:hAnsi="Verdana"/>
          <w:sz w:val="20"/>
          <w:szCs w:val="20"/>
          <w:lang w:val="es-CR"/>
        </w:rPr>
        <w:t xml:space="preserve"> al Fondo de Asistencia Legal de Víctimas de la Corte </w:t>
      </w:r>
      <w:r w:rsidR="00D969DA" w:rsidRPr="00EC417E">
        <w:rPr>
          <w:rFonts w:ascii="Verdana" w:hAnsi="Verdana"/>
          <w:sz w:val="20"/>
          <w:szCs w:val="20"/>
          <w:lang w:val="es-CR"/>
        </w:rPr>
        <w:lastRenderedPageBreak/>
        <w:t>Interamericana de Derechos Humanos la cantidad erogada durante la tramitación del presente caso,</w:t>
      </w:r>
      <w:r w:rsidR="003043FF">
        <w:rPr>
          <w:rFonts w:ascii="Verdana" w:hAnsi="Verdana"/>
          <w:sz w:val="20"/>
          <w:szCs w:val="20"/>
          <w:lang w:val="es-CR"/>
        </w:rPr>
        <w:t xml:space="preserve"> en los términos del párrafo 261</w:t>
      </w:r>
      <w:r w:rsidR="00D969DA" w:rsidRPr="00EC417E">
        <w:rPr>
          <w:rFonts w:ascii="Verdana" w:hAnsi="Verdana"/>
          <w:sz w:val="20"/>
          <w:szCs w:val="20"/>
          <w:lang w:val="es-CR"/>
        </w:rPr>
        <w:t xml:space="preserve"> de esta Sentencia.</w:t>
      </w:r>
    </w:p>
    <w:p w14:paraId="24D50199" w14:textId="77777777" w:rsidR="006577EE" w:rsidRPr="00EC417E" w:rsidRDefault="006577EE" w:rsidP="006577EE">
      <w:pPr>
        <w:widowControl w:val="0"/>
        <w:tabs>
          <w:tab w:val="left" w:pos="720"/>
        </w:tabs>
        <w:adjustRightInd w:val="0"/>
        <w:spacing w:after="0" w:line="240" w:lineRule="auto"/>
        <w:ind w:right="-90"/>
        <w:contextualSpacing/>
        <w:jc w:val="both"/>
        <w:textAlignment w:val="baseline"/>
        <w:rPr>
          <w:rFonts w:ascii="Verdana" w:hAnsi="Verdana"/>
          <w:sz w:val="20"/>
          <w:szCs w:val="20"/>
          <w:lang w:val="es-CR"/>
        </w:rPr>
      </w:pPr>
    </w:p>
    <w:p w14:paraId="1AAB0E05" w14:textId="2953A504" w:rsidR="00D969DA" w:rsidRPr="00EC417E" w:rsidRDefault="00D969DA" w:rsidP="005406CA">
      <w:pPr>
        <w:widowControl w:val="0"/>
        <w:numPr>
          <w:ilvl w:val="0"/>
          <w:numId w:val="6"/>
        </w:numPr>
        <w:tabs>
          <w:tab w:val="left" w:pos="720"/>
        </w:tabs>
        <w:adjustRightInd w:val="0"/>
        <w:spacing w:after="0" w:line="240" w:lineRule="auto"/>
        <w:ind w:right="-90"/>
        <w:contextualSpacing/>
        <w:jc w:val="both"/>
        <w:textAlignment w:val="baseline"/>
        <w:rPr>
          <w:rFonts w:ascii="Verdana" w:hAnsi="Verdana"/>
          <w:sz w:val="20"/>
          <w:szCs w:val="20"/>
          <w:lang w:val="es-CR"/>
        </w:rPr>
      </w:pPr>
      <w:r w:rsidRPr="00EC417E">
        <w:rPr>
          <w:rFonts w:ascii="Verdana" w:hAnsi="Verdana"/>
          <w:sz w:val="20"/>
          <w:szCs w:val="20"/>
          <w:lang w:val="es-CR"/>
        </w:rPr>
        <w:t>El Estado, dentro del plazo de un año contado a partir de la notif</w:t>
      </w:r>
      <w:r w:rsidR="00F43519" w:rsidRPr="00EC417E">
        <w:rPr>
          <w:rFonts w:ascii="Verdana" w:hAnsi="Verdana"/>
          <w:sz w:val="20"/>
          <w:szCs w:val="20"/>
          <w:lang w:val="es-CR"/>
        </w:rPr>
        <w:t xml:space="preserve">icación de esta Sentencia, </w:t>
      </w:r>
      <w:r w:rsidRPr="00EC417E">
        <w:rPr>
          <w:rFonts w:ascii="Verdana" w:hAnsi="Verdana"/>
          <w:sz w:val="20"/>
          <w:szCs w:val="20"/>
          <w:lang w:val="es-CR"/>
        </w:rPr>
        <w:t>rendir</w:t>
      </w:r>
      <w:r w:rsidR="00F43519" w:rsidRPr="00EC417E">
        <w:rPr>
          <w:rFonts w:ascii="Verdana" w:hAnsi="Verdana"/>
          <w:sz w:val="20"/>
          <w:szCs w:val="20"/>
          <w:lang w:val="es-CR"/>
        </w:rPr>
        <w:t>á</w:t>
      </w:r>
      <w:r w:rsidRPr="00EC417E">
        <w:rPr>
          <w:rFonts w:ascii="Verdana" w:hAnsi="Verdana"/>
          <w:sz w:val="20"/>
          <w:szCs w:val="20"/>
          <w:lang w:val="es-CR"/>
        </w:rPr>
        <w:t xml:space="preserve"> al Tribunal un informe sobre las medidas adoptadas para cumplir con la misma, sin perjuicio de </w:t>
      </w:r>
      <w:r w:rsidR="003043FF">
        <w:rPr>
          <w:rFonts w:ascii="Verdana" w:hAnsi="Verdana"/>
          <w:sz w:val="20"/>
          <w:szCs w:val="20"/>
          <w:lang w:val="es-CR"/>
        </w:rPr>
        <w:t>lo establecido en el párrafo 239</w:t>
      </w:r>
      <w:r w:rsidRPr="00EC417E">
        <w:rPr>
          <w:rFonts w:ascii="Verdana" w:hAnsi="Verdana"/>
          <w:sz w:val="20"/>
          <w:szCs w:val="20"/>
          <w:lang w:val="es-CR"/>
        </w:rPr>
        <w:t xml:space="preserve"> de la presente Sentencia.</w:t>
      </w:r>
    </w:p>
    <w:p w14:paraId="2F459B93" w14:textId="77777777" w:rsidR="00D969DA" w:rsidRPr="00D57474" w:rsidRDefault="00D969DA" w:rsidP="00EC2F24">
      <w:pPr>
        <w:widowControl w:val="0"/>
        <w:tabs>
          <w:tab w:val="left" w:pos="720"/>
        </w:tabs>
        <w:adjustRightInd w:val="0"/>
        <w:spacing w:after="0" w:line="240" w:lineRule="auto"/>
        <w:ind w:right="-90"/>
        <w:contextualSpacing/>
        <w:jc w:val="both"/>
        <w:textAlignment w:val="baseline"/>
        <w:rPr>
          <w:rFonts w:ascii="Verdana" w:hAnsi="Verdana"/>
          <w:sz w:val="20"/>
          <w:szCs w:val="20"/>
          <w:lang w:val="es-CR"/>
        </w:rPr>
      </w:pPr>
    </w:p>
    <w:p w14:paraId="1C6E345D" w14:textId="77777777" w:rsidR="00D969DA" w:rsidRDefault="00D969DA" w:rsidP="005406CA">
      <w:pPr>
        <w:widowControl w:val="0"/>
        <w:numPr>
          <w:ilvl w:val="0"/>
          <w:numId w:val="6"/>
        </w:numPr>
        <w:tabs>
          <w:tab w:val="left" w:pos="720"/>
        </w:tabs>
        <w:adjustRightInd w:val="0"/>
        <w:spacing w:after="0" w:line="240" w:lineRule="auto"/>
        <w:ind w:right="-90"/>
        <w:contextualSpacing/>
        <w:jc w:val="both"/>
        <w:textAlignment w:val="baseline"/>
        <w:rPr>
          <w:rFonts w:ascii="Verdana" w:hAnsi="Verdana"/>
          <w:sz w:val="20"/>
          <w:szCs w:val="20"/>
          <w:lang w:val="es-CR"/>
        </w:rPr>
      </w:pPr>
      <w:r w:rsidRPr="00D57474">
        <w:rPr>
          <w:rFonts w:ascii="Verdana" w:hAnsi="Verdana"/>
          <w:sz w:val="20"/>
          <w:szCs w:val="20"/>
          <w:lang w:val="es-CR"/>
        </w:rPr>
        <w:t>La Corte supervisará el cumplimiento íntegro de esta Sentencia, en ejercicio de sus atribuciones y en cumplimiento de sus deberes conforme a la Convención Americana sobre Derechos Humanos, y dará por concluido el presente caso una vez que el Estado haya dado cabal cumplimiento a lo dispuesto en la misma.</w:t>
      </w:r>
    </w:p>
    <w:p w14:paraId="667BE549" w14:textId="20E01B11" w:rsidR="00AB0B7D" w:rsidRDefault="00AB0B7D" w:rsidP="00AB0B7D">
      <w:pPr>
        <w:rPr>
          <w:rFonts w:ascii="Verdana" w:hAnsi="Verdana"/>
          <w:sz w:val="20"/>
          <w:szCs w:val="20"/>
          <w:lang w:val="es-CR"/>
        </w:rPr>
      </w:pPr>
    </w:p>
    <w:p w14:paraId="507B0FDA" w14:textId="5C3E3B2F" w:rsidR="00AB0B7D" w:rsidRPr="00AB0B7D" w:rsidRDefault="00AB0B7D" w:rsidP="00AB0B7D">
      <w:pPr>
        <w:rPr>
          <w:rFonts w:ascii="Verdana" w:hAnsi="Verdana"/>
          <w:sz w:val="20"/>
          <w:szCs w:val="20"/>
          <w:lang w:val="es-CR"/>
        </w:rPr>
      </w:pPr>
      <w:r>
        <w:rPr>
          <w:rFonts w:ascii="Verdana" w:hAnsi="Verdana"/>
          <w:sz w:val="20"/>
          <w:szCs w:val="20"/>
          <w:lang w:val="es-CR"/>
        </w:rPr>
        <w:t>Redactada en español en San José, Costa Rica, el 11 de octubre de 2019.</w:t>
      </w:r>
    </w:p>
    <w:p w14:paraId="522145DC" w14:textId="77777777" w:rsidR="00F13278" w:rsidRDefault="00F13278" w:rsidP="00F13278">
      <w:pPr>
        <w:widowControl w:val="0"/>
        <w:tabs>
          <w:tab w:val="left" w:pos="720"/>
        </w:tabs>
        <w:adjustRightInd w:val="0"/>
        <w:spacing w:after="0" w:line="240" w:lineRule="auto"/>
        <w:ind w:right="-90"/>
        <w:contextualSpacing/>
        <w:jc w:val="both"/>
        <w:textAlignment w:val="baseline"/>
        <w:rPr>
          <w:rFonts w:ascii="Verdana" w:hAnsi="Verdana"/>
          <w:sz w:val="20"/>
          <w:szCs w:val="20"/>
          <w:lang w:val="es-CR"/>
        </w:rPr>
      </w:pPr>
    </w:p>
    <w:p w14:paraId="4F274189" w14:textId="77777777" w:rsidR="00F13278" w:rsidRDefault="00F13278" w:rsidP="00F13278">
      <w:pPr>
        <w:widowControl w:val="0"/>
        <w:tabs>
          <w:tab w:val="left" w:pos="720"/>
        </w:tabs>
        <w:adjustRightInd w:val="0"/>
        <w:spacing w:after="0" w:line="240" w:lineRule="auto"/>
        <w:ind w:right="-90"/>
        <w:contextualSpacing/>
        <w:jc w:val="both"/>
        <w:textAlignment w:val="baseline"/>
        <w:rPr>
          <w:rFonts w:ascii="Verdana" w:hAnsi="Verdana"/>
          <w:sz w:val="20"/>
          <w:szCs w:val="20"/>
          <w:lang w:val="es-CR"/>
        </w:rPr>
      </w:pPr>
    </w:p>
    <w:p w14:paraId="300A1277" w14:textId="77777777" w:rsidR="00F13278" w:rsidRDefault="00F13278" w:rsidP="00F13278">
      <w:pPr>
        <w:widowControl w:val="0"/>
        <w:tabs>
          <w:tab w:val="left" w:pos="720"/>
        </w:tabs>
        <w:adjustRightInd w:val="0"/>
        <w:spacing w:after="0" w:line="240" w:lineRule="auto"/>
        <w:ind w:right="-90"/>
        <w:contextualSpacing/>
        <w:jc w:val="both"/>
        <w:textAlignment w:val="baseline"/>
        <w:rPr>
          <w:rFonts w:ascii="Verdana" w:hAnsi="Verdana"/>
          <w:sz w:val="20"/>
          <w:szCs w:val="20"/>
          <w:lang w:val="es-CR"/>
        </w:rPr>
      </w:pPr>
    </w:p>
    <w:p w14:paraId="0D733613" w14:textId="77777777" w:rsidR="00F13278" w:rsidRDefault="00F13278" w:rsidP="00F13278">
      <w:pPr>
        <w:widowControl w:val="0"/>
        <w:tabs>
          <w:tab w:val="left" w:pos="720"/>
        </w:tabs>
        <w:adjustRightInd w:val="0"/>
        <w:spacing w:after="0" w:line="240" w:lineRule="auto"/>
        <w:ind w:right="-90"/>
        <w:contextualSpacing/>
        <w:jc w:val="both"/>
        <w:textAlignment w:val="baseline"/>
        <w:rPr>
          <w:rFonts w:ascii="Verdana" w:hAnsi="Verdana"/>
          <w:sz w:val="20"/>
          <w:szCs w:val="20"/>
          <w:lang w:val="es-CR"/>
        </w:rPr>
      </w:pPr>
    </w:p>
    <w:p w14:paraId="17EE3E63" w14:textId="77777777" w:rsidR="00F13278" w:rsidRDefault="00F13278" w:rsidP="00F13278">
      <w:pPr>
        <w:widowControl w:val="0"/>
        <w:tabs>
          <w:tab w:val="left" w:pos="720"/>
        </w:tabs>
        <w:adjustRightInd w:val="0"/>
        <w:spacing w:after="0" w:line="240" w:lineRule="auto"/>
        <w:ind w:right="-90"/>
        <w:contextualSpacing/>
        <w:jc w:val="both"/>
        <w:textAlignment w:val="baseline"/>
        <w:rPr>
          <w:rFonts w:ascii="Verdana" w:hAnsi="Verdana"/>
          <w:sz w:val="20"/>
          <w:szCs w:val="20"/>
          <w:lang w:val="es-CR"/>
        </w:rPr>
      </w:pPr>
    </w:p>
    <w:p w14:paraId="29DC1A62" w14:textId="77777777" w:rsidR="00F13278" w:rsidRDefault="00F13278" w:rsidP="00F13278">
      <w:pPr>
        <w:widowControl w:val="0"/>
        <w:tabs>
          <w:tab w:val="left" w:pos="720"/>
        </w:tabs>
        <w:adjustRightInd w:val="0"/>
        <w:spacing w:after="0" w:line="240" w:lineRule="auto"/>
        <w:ind w:right="-90"/>
        <w:contextualSpacing/>
        <w:jc w:val="both"/>
        <w:textAlignment w:val="baseline"/>
        <w:rPr>
          <w:rFonts w:ascii="Verdana" w:hAnsi="Verdana"/>
          <w:sz w:val="20"/>
          <w:szCs w:val="20"/>
          <w:lang w:val="es-CR"/>
        </w:rPr>
      </w:pPr>
    </w:p>
    <w:p w14:paraId="7BECE0D6" w14:textId="77777777" w:rsidR="00F13278" w:rsidRDefault="00F13278" w:rsidP="00F13278">
      <w:pPr>
        <w:widowControl w:val="0"/>
        <w:tabs>
          <w:tab w:val="left" w:pos="720"/>
        </w:tabs>
        <w:adjustRightInd w:val="0"/>
        <w:spacing w:after="0" w:line="240" w:lineRule="auto"/>
        <w:ind w:right="-90"/>
        <w:contextualSpacing/>
        <w:jc w:val="both"/>
        <w:textAlignment w:val="baseline"/>
        <w:rPr>
          <w:rFonts w:ascii="Verdana" w:hAnsi="Verdana"/>
          <w:sz w:val="20"/>
          <w:szCs w:val="20"/>
          <w:lang w:val="es-CR"/>
        </w:rPr>
      </w:pPr>
    </w:p>
    <w:p w14:paraId="497A7DA2" w14:textId="77777777" w:rsidR="00F13278" w:rsidRDefault="00F13278" w:rsidP="00F13278">
      <w:pPr>
        <w:widowControl w:val="0"/>
        <w:tabs>
          <w:tab w:val="left" w:pos="720"/>
        </w:tabs>
        <w:adjustRightInd w:val="0"/>
        <w:spacing w:after="0" w:line="240" w:lineRule="auto"/>
        <w:ind w:right="-90"/>
        <w:contextualSpacing/>
        <w:jc w:val="both"/>
        <w:textAlignment w:val="baseline"/>
        <w:rPr>
          <w:rFonts w:ascii="Verdana" w:hAnsi="Verdana"/>
          <w:sz w:val="20"/>
          <w:szCs w:val="20"/>
          <w:lang w:val="es-CR"/>
        </w:rPr>
      </w:pPr>
    </w:p>
    <w:p w14:paraId="7B328E7C" w14:textId="77777777" w:rsidR="00F13278" w:rsidRDefault="00F13278" w:rsidP="00F13278">
      <w:pPr>
        <w:widowControl w:val="0"/>
        <w:tabs>
          <w:tab w:val="left" w:pos="720"/>
        </w:tabs>
        <w:adjustRightInd w:val="0"/>
        <w:spacing w:after="0" w:line="240" w:lineRule="auto"/>
        <w:ind w:right="-90"/>
        <w:contextualSpacing/>
        <w:jc w:val="both"/>
        <w:textAlignment w:val="baseline"/>
        <w:rPr>
          <w:rFonts w:ascii="Verdana" w:hAnsi="Verdana"/>
          <w:sz w:val="20"/>
          <w:szCs w:val="20"/>
          <w:lang w:val="es-CR"/>
        </w:rPr>
      </w:pPr>
    </w:p>
    <w:p w14:paraId="5D9114B2" w14:textId="77777777" w:rsidR="00F13278" w:rsidRDefault="00F13278" w:rsidP="00F13278">
      <w:pPr>
        <w:widowControl w:val="0"/>
        <w:tabs>
          <w:tab w:val="left" w:pos="720"/>
        </w:tabs>
        <w:adjustRightInd w:val="0"/>
        <w:spacing w:after="0" w:line="240" w:lineRule="auto"/>
        <w:ind w:right="-90"/>
        <w:contextualSpacing/>
        <w:jc w:val="both"/>
        <w:textAlignment w:val="baseline"/>
        <w:rPr>
          <w:rFonts w:ascii="Verdana" w:hAnsi="Verdana"/>
          <w:sz w:val="20"/>
          <w:szCs w:val="20"/>
          <w:lang w:val="es-CR"/>
        </w:rPr>
      </w:pPr>
    </w:p>
    <w:p w14:paraId="21D3CF00" w14:textId="77777777" w:rsidR="00F13278" w:rsidRDefault="00F13278" w:rsidP="00F13278">
      <w:pPr>
        <w:widowControl w:val="0"/>
        <w:tabs>
          <w:tab w:val="left" w:pos="720"/>
        </w:tabs>
        <w:adjustRightInd w:val="0"/>
        <w:spacing w:after="0" w:line="240" w:lineRule="auto"/>
        <w:ind w:right="-90"/>
        <w:contextualSpacing/>
        <w:jc w:val="both"/>
        <w:textAlignment w:val="baseline"/>
        <w:rPr>
          <w:rFonts w:ascii="Verdana" w:hAnsi="Verdana"/>
          <w:sz w:val="20"/>
          <w:szCs w:val="20"/>
          <w:lang w:val="es-CR"/>
        </w:rPr>
      </w:pPr>
    </w:p>
    <w:p w14:paraId="55B900C6" w14:textId="77777777" w:rsidR="00F13278" w:rsidRDefault="00F13278" w:rsidP="00F13278">
      <w:pPr>
        <w:widowControl w:val="0"/>
        <w:tabs>
          <w:tab w:val="left" w:pos="720"/>
        </w:tabs>
        <w:adjustRightInd w:val="0"/>
        <w:spacing w:after="0" w:line="240" w:lineRule="auto"/>
        <w:ind w:right="-90"/>
        <w:contextualSpacing/>
        <w:jc w:val="both"/>
        <w:textAlignment w:val="baseline"/>
        <w:rPr>
          <w:rFonts w:ascii="Verdana" w:hAnsi="Verdana"/>
          <w:sz w:val="20"/>
          <w:szCs w:val="20"/>
          <w:lang w:val="es-CR"/>
        </w:rPr>
      </w:pPr>
    </w:p>
    <w:p w14:paraId="355F9A9A" w14:textId="77777777" w:rsidR="00F13278" w:rsidRDefault="00F13278" w:rsidP="00F13278">
      <w:pPr>
        <w:widowControl w:val="0"/>
        <w:tabs>
          <w:tab w:val="left" w:pos="720"/>
        </w:tabs>
        <w:adjustRightInd w:val="0"/>
        <w:spacing w:after="0" w:line="240" w:lineRule="auto"/>
        <w:ind w:right="-90"/>
        <w:contextualSpacing/>
        <w:jc w:val="both"/>
        <w:textAlignment w:val="baseline"/>
        <w:rPr>
          <w:rFonts w:ascii="Verdana" w:hAnsi="Verdana"/>
          <w:sz w:val="20"/>
          <w:szCs w:val="20"/>
          <w:lang w:val="es-CR"/>
        </w:rPr>
      </w:pPr>
    </w:p>
    <w:p w14:paraId="2FBAC449" w14:textId="77777777" w:rsidR="00F13278" w:rsidRDefault="00F13278" w:rsidP="00F13278">
      <w:pPr>
        <w:widowControl w:val="0"/>
        <w:tabs>
          <w:tab w:val="left" w:pos="720"/>
        </w:tabs>
        <w:adjustRightInd w:val="0"/>
        <w:spacing w:after="0" w:line="240" w:lineRule="auto"/>
        <w:ind w:right="-90"/>
        <w:contextualSpacing/>
        <w:jc w:val="both"/>
        <w:textAlignment w:val="baseline"/>
        <w:rPr>
          <w:rFonts w:ascii="Verdana" w:hAnsi="Verdana"/>
          <w:sz w:val="20"/>
          <w:szCs w:val="20"/>
          <w:lang w:val="es-CR"/>
        </w:rPr>
      </w:pPr>
    </w:p>
    <w:p w14:paraId="2B090328" w14:textId="77777777" w:rsidR="00F13278" w:rsidRDefault="00F13278" w:rsidP="00F13278">
      <w:pPr>
        <w:widowControl w:val="0"/>
        <w:tabs>
          <w:tab w:val="left" w:pos="720"/>
        </w:tabs>
        <w:adjustRightInd w:val="0"/>
        <w:spacing w:after="0" w:line="240" w:lineRule="auto"/>
        <w:ind w:right="-90"/>
        <w:contextualSpacing/>
        <w:jc w:val="both"/>
        <w:textAlignment w:val="baseline"/>
        <w:rPr>
          <w:rFonts w:ascii="Verdana" w:hAnsi="Verdana"/>
          <w:sz w:val="20"/>
          <w:szCs w:val="20"/>
          <w:lang w:val="es-CR"/>
        </w:rPr>
      </w:pPr>
    </w:p>
    <w:p w14:paraId="13CAD8D2" w14:textId="77777777" w:rsidR="00F13278" w:rsidRDefault="00F13278" w:rsidP="00F13278">
      <w:pPr>
        <w:widowControl w:val="0"/>
        <w:tabs>
          <w:tab w:val="left" w:pos="720"/>
        </w:tabs>
        <w:adjustRightInd w:val="0"/>
        <w:spacing w:after="0" w:line="240" w:lineRule="auto"/>
        <w:ind w:right="-90"/>
        <w:contextualSpacing/>
        <w:jc w:val="both"/>
        <w:textAlignment w:val="baseline"/>
        <w:rPr>
          <w:rFonts w:ascii="Verdana" w:hAnsi="Verdana"/>
          <w:sz w:val="20"/>
          <w:szCs w:val="20"/>
          <w:lang w:val="es-CR"/>
        </w:rPr>
      </w:pPr>
    </w:p>
    <w:p w14:paraId="67ECA81C" w14:textId="77777777" w:rsidR="00F13278" w:rsidRDefault="00F13278" w:rsidP="00F13278">
      <w:pPr>
        <w:widowControl w:val="0"/>
        <w:tabs>
          <w:tab w:val="left" w:pos="720"/>
        </w:tabs>
        <w:adjustRightInd w:val="0"/>
        <w:spacing w:after="0" w:line="240" w:lineRule="auto"/>
        <w:ind w:right="-90"/>
        <w:contextualSpacing/>
        <w:jc w:val="both"/>
        <w:textAlignment w:val="baseline"/>
        <w:rPr>
          <w:rFonts w:ascii="Verdana" w:hAnsi="Verdana"/>
          <w:sz w:val="20"/>
          <w:szCs w:val="20"/>
          <w:lang w:val="es-CR"/>
        </w:rPr>
      </w:pPr>
    </w:p>
    <w:p w14:paraId="7CFA205F" w14:textId="77777777" w:rsidR="00F13278" w:rsidRDefault="00F13278" w:rsidP="00F13278">
      <w:pPr>
        <w:widowControl w:val="0"/>
        <w:tabs>
          <w:tab w:val="left" w:pos="720"/>
        </w:tabs>
        <w:adjustRightInd w:val="0"/>
        <w:spacing w:after="0" w:line="240" w:lineRule="auto"/>
        <w:ind w:right="-90"/>
        <w:contextualSpacing/>
        <w:jc w:val="both"/>
        <w:textAlignment w:val="baseline"/>
        <w:rPr>
          <w:rFonts w:ascii="Verdana" w:hAnsi="Verdana"/>
          <w:sz w:val="20"/>
          <w:szCs w:val="20"/>
          <w:lang w:val="es-CR"/>
        </w:rPr>
      </w:pPr>
    </w:p>
    <w:p w14:paraId="22B8D36D" w14:textId="77777777" w:rsidR="00F13278" w:rsidRDefault="00F13278" w:rsidP="00F13278">
      <w:pPr>
        <w:widowControl w:val="0"/>
        <w:tabs>
          <w:tab w:val="left" w:pos="720"/>
        </w:tabs>
        <w:adjustRightInd w:val="0"/>
        <w:spacing w:after="0" w:line="240" w:lineRule="auto"/>
        <w:ind w:right="-90"/>
        <w:contextualSpacing/>
        <w:jc w:val="both"/>
        <w:textAlignment w:val="baseline"/>
        <w:rPr>
          <w:rFonts w:ascii="Verdana" w:hAnsi="Verdana"/>
          <w:sz w:val="20"/>
          <w:szCs w:val="20"/>
          <w:lang w:val="es-CR"/>
        </w:rPr>
      </w:pPr>
    </w:p>
    <w:p w14:paraId="2793BA44" w14:textId="77777777" w:rsidR="00F13278" w:rsidRDefault="00F13278" w:rsidP="00F13278">
      <w:pPr>
        <w:widowControl w:val="0"/>
        <w:tabs>
          <w:tab w:val="left" w:pos="720"/>
        </w:tabs>
        <w:adjustRightInd w:val="0"/>
        <w:spacing w:after="0" w:line="240" w:lineRule="auto"/>
        <w:ind w:right="-90"/>
        <w:contextualSpacing/>
        <w:jc w:val="both"/>
        <w:textAlignment w:val="baseline"/>
        <w:rPr>
          <w:rFonts w:ascii="Verdana" w:hAnsi="Verdana"/>
          <w:sz w:val="20"/>
          <w:szCs w:val="20"/>
          <w:lang w:val="es-CR"/>
        </w:rPr>
      </w:pPr>
    </w:p>
    <w:p w14:paraId="695D88FC" w14:textId="77777777" w:rsidR="00F13278" w:rsidRDefault="00F13278" w:rsidP="00F13278">
      <w:pPr>
        <w:widowControl w:val="0"/>
        <w:tabs>
          <w:tab w:val="left" w:pos="720"/>
        </w:tabs>
        <w:adjustRightInd w:val="0"/>
        <w:spacing w:after="0" w:line="240" w:lineRule="auto"/>
        <w:ind w:right="-90"/>
        <w:contextualSpacing/>
        <w:jc w:val="both"/>
        <w:textAlignment w:val="baseline"/>
        <w:rPr>
          <w:rFonts w:ascii="Verdana" w:hAnsi="Verdana"/>
          <w:sz w:val="20"/>
          <w:szCs w:val="20"/>
          <w:lang w:val="es-CR"/>
        </w:rPr>
      </w:pPr>
    </w:p>
    <w:p w14:paraId="445D13EC" w14:textId="77777777" w:rsidR="00F13278" w:rsidRDefault="00F13278" w:rsidP="00F13278">
      <w:pPr>
        <w:widowControl w:val="0"/>
        <w:tabs>
          <w:tab w:val="left" w:pos="720"/>
        </w:tabs>
        <w:adjustRightInd w:val="0"/>
        <w:spacing w:after="0" w:line="240" w:lineRule="auto"/>
        <w:ind w:right="-90"/>
        <w:contextualSpacing/>
        <w:jc w:val="both"/>
        <w:textAlignment w:val="baseline"/>
        <w:rPr>
          <w:rFonts w:ascii="Verdana" w:hAnsi="Verdana"/>
          <w:sz w:val="20"/>
          <w:szCs w:val="20"/>
          <w:lang w:val="es-CR"/>
        </w:rPr>
      </w:pPr>
    </w:p>
    <w:p w14:paraId="41D21F8C" w14:textId="77777777" w:rsidR="00F13278" w:rsidRDefault="00F13278" w:rsidP="00F13278">
      <w:pPr>
        <w:widowControl w:val="0"/>
        <w:tabs>
          <w:tab w:val="left" w:pos="720"/>
        </w:tabs>
        <w:adjustRightInd w:val="0"/>
        <w:spacing w:after="0" w:line="240" w:lineRule="auto"/>
        <w:ind w:right="-90"/>
        <w:contextualSpacing/>
        <w:jc w:val="both"/>
        <w:textAlignment w:val="baseline"/>
        <w:rPr>
          <w:rFonts w:ascii="Verdana" w:hAnsi="Verdana"/>
          <w:sz w:val="20"/>
          <w:szCs w:val="20"/>
          <w:lang w:val="es-CR"/>
        </w:rPr>
      </w:pPr>
    </w:p>
    <w:p w14:paraId="35111D65" w14:textId="77777777" w:rsidR="00F13278" w:rsidRDefault="00F13278" w:rsidP="00F13278">
      <w:pPr>
        <w:widowControl w:val="0"/>
        <w:tabs>
          <w:tab w:val="left" w:pos="720"/>
        </w:tabs>
        <w:adjustRightInd w:val="0"/>
        <w:spacing w:after="0" w:line="240" w:lineRule="auto"/>
        <w:ind w:right="-90"/>
        <w:contextualSpacing/>
        <w:jc w:val="both"/>
        <w:textAlignment w:val="baseline"/>
        <w:rPr>
          <w:rFonts w:ascii="Verdana" w:hAnsi="Verdana"/>
          <w:sz w:val="20"/>
          <w:szCs w:val="20"/>
          <w:lang w:val="es-CR"/>
        </w:rPr>
      </w:pPr>
    </w:p>
    <w:p w14:paraId="6CA175DE" w14:textId="77777777" w:rsidR="00F13278" w:rsidRDefault="00F13278" w:rsidP="00F13278">
      <w:pPr>
        <w:widowControl w:val="0"/>
        <w:tabs>
          <w:tab w:val="left" w:pos="720"/>
        </w:tabs>
        <w:adjustRightInd w:val="0"/>
        <w:spacing w:after="0" w:line="240" w:lineRule="auto"/>
        <w:ind w:right="-90"/>
        <w:contextualSpacing/>
        <w:jc w:val="both"/>
        <w:textAlignment w:val="baseline"/>
        <w:rPr>
          <w:rFonts w:ascii="Verdana" w:hAnsi="Verdana"/>
          <w:sz w:val="20"/>
          <w:szCs w:val="20"/>
          <w:lang w:val="es-CR"/>
        </w:rPr>
      </w:pPr>
    </w:p>
    <w:p w14:paraId="0933BF1C" w14:textId="77777777" w:rsidR="00F13278" w:rsidRDefault="00F13278" w:rsidP="00F13278">
      <w:pPr>
        <w:widowControl w:val="0"/>
        <w:tabs>
          <w:tab w:val="left" w:pos="720"/>
        </w:tabs>
        <w:adjustRightInd w:val="0"/>
        <w:spacing w:after="0" w:line="240" w:lineRule="auto"/>
        <w:ind w:right="-90"/>
        <w:contextualSpacing/>
        <w:jc w:val="both"/>
        <w:textAlignment w:val="baseline"/>
        <w:rPr>
          <w:rFonts w:ascii="Verdana" w:hAnsi="Verdana"/>
          <w:sz w:val="20"/>
          <w:szCs w:val="20"/>
          <w:lang w:val="es-CR"/>
        </w:rPr>
      </w:pPr>
    </w:p>
    <w:p w14:paraId="21375995" w14:textId="77777777" w:rsidR="00F13278" w:rsidRDefault="00F13278" w:rsidP="00F13278">
      <w:pPr>
        <w:widowControl w:val="0"/>
        <w:tabs>
          <w:tab w:val="left" w:pos="720"/>
        </w:tabs>
        <w:adjustRightInd w:val="0"/>
        <w:spacing w:after="0" w:line="240" w:lineRule="auto"/>
        <w:ind w:right="-90"/>
        <w:contextualSpacing/>
        <w:jc w:val="both"/>
        <w:textAlignment w:val="baseline"/>
        <w:rPr>
          <w:rFonts w:ascii="Verdana" w:hAnsi="Verdana"/>
          <w:sz w:val="20"/>
          <w:szCs w:val="20"/>
          <w:lang w:val="es-CR"/>
        </w:rPr>
      </w:pPr>
    </w:p>
    <w:p w14:paraId="63747CBF" w14:textId="77777777" w:rsidR="00F13278" w:rsidRDefault="00F13278" w:rsidP="00F13278">
      <w:pPr>
        <w:widowControl w:val="0"/>
        <w:tabs>
          <w:tab w:val="left" w:pos="720"/>
        </w:tabs>
        <w:adjustRightInd w:val="0"/>
        <w:spacing w:after="0" w:line="240" w:lineRule="auto"/>
        <w:ind w:right="-90"/>
        <w:contextualSpacing/>
        <w:jc w:val="both"/>
        <w:textAlignment w:val="baseline"/>
        <w:rPr>
          <w:rFonts w:ascii="Verdana" w:hAnsi="Verdana"/>
          <w:sz w:val="20"/>
          <w:szCs w:val="20"/>
          <w:lang w:val="es-CR"/>
        </w:rPr>
      </w:pPr>
    </w:p>
    <w:p w14:paraId="06E2A081" w14:textId="77777777" w:rsidR="00F13278" w:rsidRDefault="00F13278" w:rsidP="00F13278">
      <w:pPr>
        <w:widowControl w:val="0"/>
        <w:tabs>
          <w:tab w:val="left" w:pos="720"/>
        </w:tabs>
        <w:adjustRightInd w:val="0"/>
        <w:spacing w:after="0" w:line="240" w:lineRule="auto"/>
        <w:ind w:right="-90"/>
        <w:contextualSpacing/>
        <w:jc w:val="both"/>
        <w:textAlignment w:val="baseline"/>
        <w:rPr>
          <w:rFonts w:ascii="Verdana" w:hAnsi="Verdana"/>
          <w:sz w:val="20"/>
          <w:szCs w:val="20"/>
          <w:lang w:val="es-CR"/>
        </w:rPr>
      </w:pPr>
    </w:p>
    <w:p w14:paraId="3F3424AB" w14:textId="77777777" w:rsidR="00F13278" w:rsidRDefault="00F13278" w:rsidP="00F13278">
      <w:pPr>
        <w:widowControl w:val="0"/>
        <w:tabs>
          <w:tab w:val="left" w:pos="720"/>
        </w:tabs>
        <w:adjustRightInd w:val="0"/>
        <w:spacing w:after="0" w:line="240" w:lineRule="auto"/>
        <w:ind w:right="-90"/>
        <w:contextualSpacing/>
        <w:jc w:val="both"/>
        <w:textAlignment w:val="baseline"/>
        <w:rPr>
          <w:rFonts w:ascii="Verdana" w:hAnsi="Verdana"/>
          <w:sz w:val="20"/>
          <w:szCs w:val="20"/>
          <w:lang w:val="es-CR"/>
        </w:rPr>
      </w:pPr>
    </w:p>
    <w:p w14:paraId="4E6F899D" w14:textId="77777777" w:rsidR="00F13278" w:rsidRDefault="00F13278" w:rsidP="00F13278">
      <w:pPr>
        <w:widowControl w:val="0"/>
        <w:tabs>
          <w:tab w:val="left" w:pos="720"/>
        </w:tabs>
        <w:adjustRightInd w:val="0"/>
        <w:spacing w:after="0" w:line="240" w:lineRule="auto"/>
        <w:ind w:right="-90"/>
        <w:contextualSpacing/>
        <w:jc w:val="both"/>
        <w:textAlignment w:val="baseline"/>
        <w:rPr>
          <w:rFonts w:ascii="Verdana" w:hAnsi="Verdana"/>
          <w:sz w:val="20"/>
          <w:szCs w:val="20"/>
          <w:lang w:val="es-CR"/>
        </w:rPr>
      </w:pPr>
    </w:p>
    <w:p w14:paraId="27FF2F8B" w14:textId="77777777" w:rsidR="00F13278" w:rsidRDefault="00F13278" w:rsidP="00F13278">
      <w:pPr>
        <w:widowControl w:val="0"/>
        <w:tabs>
          <w:tab w:val="left" w:pos="720"/>
        </w:tabs>
        <w:adjustRightInd w:val="0"/>
        <w:spacing w:after="0" w:line="240" w:lineRule="auto"/>
        <w:ind w:right="-90"/>
        <w:contextualSpacing/>
        <w:jc w:val="both"/>
        <w:textAlignment w:val="baseline"/>
        <w:rPr>
          <w:rFonts w:ascii="Verdana" w:hAnsi="Verdana"/>
          <w:sz w:val="20"/>
          <w:szCs w:val="20"/>
          <w:lang w:val="es-CR"/>
        </w:rPr>
      </w:pPr>
    </w:p>
    <w:p w14:paraId="03CFA35E" w14:textId="77777777" w:rsidR="00F13278" w:rsidRDefault="00F13278" w:rsidP="00F13278">
      <w:pPr>
        <w:widowControl w:val="0"/>
        <w:tabs>
          <w:tab w:val="left" w:pos="720"/>
        </w:tabs>
        <w:adjustRightInd w:val="0"/>
        <w:spacing w:after="0" w:line="240" w:lineRule="auto"/>
        <w:ind w:right="-90"/>
        <w:contextualSpacing/>
        <w:jc w:val="both"/>
        <w:textAlignment w:val="baseline"/>
        <w:rPr>
          <w:rFonts w:ascii="Verdana" w:hAnsi="Verdana"/>
          <w:sz w:val="20"/>
          <w:szCs w:val="20"/>
          <w:lang w:val="es-CR"/>
        </w:rPr>
      </w:pPr>
    </w:p>
    <w:p w14:paraId="4FBB05A5" w14:textId="77777777" w:rsidR="00F13278" w:rsidRDefault="00F13278" w:rsidP="00F13278">
      <w:pPr>
        <w:widowControl w:val="0"/>
        <w:tabs>
          <w:tab w:val="left" w:pos="720"/>
        </w:tabs>
        <w:adjustRightInd w:val="0"/>
        <w:spacing w:after="0" w:line="240" w:lineRule="auto"/>
        <w:ind w:right="-90"/>
        <w:contextualSpacing/>
        <w:jc w:val="both"/>
        <w:textAlignment w:val="baseline"/>
        <w:rPr>
          <w:rFonts w:ascii="Verdana" w:hAnsi="Verdana"/>
          <w:sz w:val="20"/>
          <w:szCs w:val="20"/>
          <w:lang w:val="es-CR"/>
        </w:rPr>
      </w:pPr>
    </w:p>
    <w:p w14:paraId="54D46322" w14:textId="77777777" w:rsidR="00F13278" w:rsidRDefault="00F13278" w:rsidP="00F13278">
      <w:pPr>
        <w:widowControl w:val="0"/>
        <w:tabs>
          <w:tab w:val="left" w:pos="720"/>
        </w:tabs>
        <w:adjustRightInd w:val="0"/>
        <w:spacing w:after="0" w:line="240" w:lineRule="auto"/>
        <w:ind w:right="-90"/>
        <w:contextualSpacing/>
        <w:jc w:val="both"/>
        <w:textAlignment w:val="baseline"/>
        <w:rPr>
          <w:rFonts w:ascii="Verdana" w:hAnsi="Verdana"/>
          <w:sz w:val="20"/>
          <w:szCs w:val="20"/>
          <w:lang w:val="es-CR"/>
        </w:rPr>
      </w:pPr>
    </w:p>
    <w:p w14:paraId="72EBE12C" w14:textId="77777777" w:rsidR="00F13278" w:rsidRDefault="00F13278" w:rsidP="00F13278">
      <w:pPr>
        <w:widowControl w:val="0"/>
        <w:tabs>
          <w:tab w:val="left" w:pos="720"/>
        </w:tabs>
        <w:adjustRightInd w:val="0"/>
        <w:spacing w:after="0" w:line="240" w:lineRule="auto"/>
        <w:ind w:right="-90"/>
        <w:contextualSpacing/>
        <w:jc w:val="both"/>
        <w:textAlignment w:val="baseline"/>
        <w:rPr>
          <w:rFonts w:ascii="Verdana" w:hAnsi="Verdana"/>
          <w:sz w:val="20"/>
          <w:szCs w:val="20"/>
          <w:lang w:val="es-CR"/>
        </w:rPr>
      </w:pPr>
    </w:p>
    <w:p w14:paraId="5E2A3C4F" w14:textId="1E4498C5" w:rsidR="00AB0B7D" w:rsidRDefault="00AB0B7D">
      <w:pPr>
        <w:rPr>
          <w:rFonts w:ascii="Verdana" w:hAnsi="Verdana"/>
          <w:sz w:val="20"/>
          <w:szCs w:val="20"/>
          <w:lang w:val="es-CR"/>
        </w:rPr>
      </w:pPr>
      <w:r>
        <w:rPr>
          <w:rFonts w:ascii="Verdana" w:hAnsi="Verdana"/>
          <w:sz w:val="20"/>
          <w:szCs w:val="20"/>
          <w:lang w:val="es-CR"/>
        </w:rPr>
        <w:br w:type="page"/>
      </w:r>
    </w:p>
    <w:p w14:paraId="48A5887F" w14:textId="77777777" w:rsidR="00F13278" w:rsidRDefault="00F13278" w:rsidP="00F13278">
      <w:pPr>
        <w:widowControl w:val="0"/>
        <w:tabs>
          <w:tab w:val="left" w:pos="720"/>
        </w:tabs>
        <w:adjustRightInd w:val="0"/>
        <w:spacing w:after="0" w:line="240" w:lineRule="auto"/>
        <w:ind w:right="-90"/>
        <w:contextualSpacing/>
        <w:jc w:val="both"/>
        <w:textAlignment w:val="baseline"/>
        <w:rPr>
          <w:rFonts w:ascii="Verdana" w:hAnsi="Verdana"/>
          <w:sz w:val="20"/>
          <w:szCs w:val="20"/>
          <w:lang w:val="es-CR"/>
        </w:rPr>
      </w:pPr>
    </w:p>
    <w:p w14:paraId="39B44600" w14:textId="77777777" w:rsidR="00141E46" w:rsidRDefault="00141E46" w:rsidP="00141E46">
      <w:pPr>
        <w:spacing w:after="0"/>
        <w:jc w:val="both"/>
        <w:rPr>
          <w:rFonts w:ascii="Verdana" w:hAnsi="Verdana"/>
          <w:sz w:val="20"/>
          <w:lang w:val="es-ES"/>
        </w:rPr>
      </w:pPr>
    </w:p>
    <w:p w14:paraId="53EE2EF6" w14:textId="52C1808D" w:rsidR="00141E46" w:rsidRDefault="00141E46" w:rsidP="00141E46">
      <w:pPr>
        <w:spacing w:after="0"/>
        <w:jc w:val="both"/>
        <w:rPr>
          <w:rFonts w:ascii="Verdana" w:hAnsi="Verdana"/>
          <w:sz w:val="20"/>
          <w:lang w:val="es-ES"/>
        </w:rPr>
      </w:pPr>
      <w:r w:rsidRPr="00841C2D">
        <w:rPr>
          <w:rFonts w:ascii="Verdana" w:hAnsi="Verdana"/>
          <w:sz w:val="20"/>
          <w:lang w:val="pt-BR"/>
        </w:rPr>
        <w:t xml:space="preserve">Corte IDH. Caso </w:t>
      </w:r>
      <w:r w:rsidRPr="00841C2D">
        <w:rPr>
          <w:rFonts w:ascii="Verdana" w:hAnsi="Verdana"/>
          <w:i/>
          <w:sz w:val="20"/>
          <w:lang w:val="pt-BR"/>
        </w:rPr>
        <w:t xml:space="preserve">Valenzuela Ávila Vs. </w:t>
      </w:r>
      <w:r>
        <w:rPr>
          <w:rFonts w:ascii="Verdana" w:hAnsi="Verdana"/>
          <w:i/>
          <w:sz w:val="20"/>
          <w:lang w:val="es-ES"/>
        </w:rPr>
        <w:t>Guatemala</w:t>
      </w:r>
      <w:r>
        <w:rPr>
          <w:rFonts w:ascii="Verdana" w:hAnsi="Verdana"/>
          <w:sz w:val="20"/>
          <w:lang w:val="es-ES"/>
        </w:rPr>
        <w:t>. Fondo, Reparaciones y Costas. Sentencia de 11 de octubre de 2019.</w:t>
      </w:r>
      <w:r w:rsidR="00AB0B7D">
        <w:rPr>
          <w:rFonts w:ascii="Verdana" w:hAnsi="Verdana"/>
          <w:sz w:val="20"/>
          <w:lang w:val="es-ES"/>
        </w:rPr>
        <w:t xml:space="preserve"> Sentencia adoptada en San José, Costa Rica.</w:t>
      </w:r>
    </w:p>
    <w:p w14:paraId="738C7FB6" w14:textId="77777777" w:rsidR="00141E46" w:rsidRPr="00841C2D" w:rsidRDefault="00141E46" w:rsidP="00141E46">
      <w:pPr>
        <w:spacing w:after="0"/>
        <w:jc w:val="center"/>
        <w:rPr>
          <w:rFonts w:ascii="Verdana" w:hAnsi="Verdana"/>
          <w:sz w:val="20"/>
          <w:lang w:val="es-ES"/>
        </w:rPr>
      </w:pPr>
    </w:p>
    <w:p w14:paraId="700C5BFB" w14:textId="77777777" w:rsidR="00141E46" w:rsidRPr="00841C2D" w:rsidRDefault="00141E46" w:rsidP="00141E46">
      <w:pPr>
        <w:spacing w:after="0"/>
        <w:jc w:val="center"/>
        <w:rPr>
          <w:rFonts w:ascii="Verdana" w:hAnsi="Verdana"/>
          <w:sz w:val="20"/>
          <w:lang w:val="es-ES"/>
        </w:rPr>
      </w:pPr>
    </w:p>
    <w:p w14:paraId="2531978F" w14:textId="77777777" w:rsidR="00141E46" w:rsidRPr="00841C2D" w:rsidRDefault="00141E46" w:rsidP="00141E46">
      <w:pPr>
        <w:spacing w:after="0"/>
        <w:jc w:val="center"/>
        <w:rPr>
          <w:rFonts w:ascii="Verdana" w:hAnsi="Verdana"/>
          <w:sz w:val="20"/>
          <w:lang w:val="es-ES"/>
        </w:rPr>
      </w:pPr>
    </w:p>
    <w:p w14:paraId="0282DFE0" w14:textId="77777777" w:rsidR="00141E46" w:rsidRPr="00841C2D" w:rsidRDefault="00141E46" w:rsidP="00141E46">
      <w:pPr>
        <w:spacing w:after="0"/>
        <w:jc w:val="center"/>
        <w:rPr>
          <w:rFonts w:ascii="Verdana" w:hAnsi="Verdana"/>
          <w:sz w:val="20"/>
          <w:lang w:val="es-ES"/>
        </w:rPr>
      </w:pPr>
    </w:p>
    <w:p w14:paraId="71D3430D" w14:textId="77777777" w:rsidR="00141E46" w:rsidRPr="00841C2D" w:rsidRDefault="00141E46" w:rsidP="00141E46">
      <w:pPr>
        <w:spacing w:after="0"/>
        <w:jc w:val="center"/>
        <w:rPr>
          <w:rFonts w:ascii="Verdana" w:hAnsi="Verdana"/>
          <w:sz w:val="20"/>
          <w:lang w:val="es-ES"/>
        </w:rPr>
      </w:pPr>
    </w:p>
    <w:p w14:paraId="50C05025" w14:textId="77777777" w:rsidR="00141E46" w:rsidRPr="0019261A" w:rsidRDefault="00141E46" w:rsidP="00141E46">
      <w:pPr>
        <w:spacing w:after="0"/>
        <w:jc w:val="center"/>
        <w:rPr>
          <w:rFonts w:ascii="Verdana" w:hAnsi="Verdana"/>
          <w:sz w:val="20"/>
          <w:lang w:val="pt-BR"/>
        </w:rPr>
      </w:pPr>
      <w:r w:rsidRPr="0019261A">
        <w:rPr>
          <w:rFonts w:ascii="Verdana" w:hAnsi="Verdana"/>
          <w:sz w:val="20"/>
          <w:lang w:val="pt-BR"/>
        </w:rPr>
        <w:t>Eduardo Ferrer Mac-Gregor Poisot</w:t>
      </w:r>
    </w:p>
    <w:p w14:paraId="7CCF871C" w14:textId="77777777" w:rsidR="00141E46" w:rsidRDefault="00141E46" w:rsidP="00141E46">
      <w:pPr>
        <w:spacing w:after="0"/>
        <w:jc w:val="center"/>
        <w:rPr>
          <w:rFonts w:ascii="Verdana" w:hAnsi="Verdana"/>
          <w:sz w:val="20"/>
          <w:lang w:val="pt-BR"/>
        </w:rPr>
      </w:pPr>
      <w:r w:rsidRPr="0019261A">
        <w:rPr>
          <w:rFonts w:ascii="Verdana" w:hAnsi="Verdana"/>
          <w:sz w:val="20"/>
          <w:lang w:val="pt-BR"/>
        </w:rPr>
        <w:t xml:space="preserve">Presidente </w:t>
      </w:r>
    </w:p>
    <w:p w14:paraId="407F3E0D" w14:textId="77777777" w:rsidR="00141E46" w:rsidRDefault="00141E46" w:rsidP="00141E46">
      <w:pPr>
        <w:spacing w:after="0"/>
        <w:rPr>
          <w:rFonts w:ascii="Verdana" w:hAnsi="Verdana"/>
          <w:sz w:val="20"/>
          <w:lang w:val="pt-BR"/>
        </w:rPr>
      </w:pPr>
    </w:p>
    <w:p w14:paraId="6C7C3C61" w14:textId="77777777" w:rsidR="00141E46" w:rsidRDefault="00141E46" w:rsidP="00141E46">
      <w:pPr>
        <w:spacing w:after="0"/>
        <w:rPr>
          <w:rFonts w:ascii="Verdana" w:hAnsi="Verdana"/>
          <w:sz w:val="20"/>
          <w:lang w:val="pt-BR"/>
        </w:rPr>
      </w:pPr>
    </w:p>
    <w:p w14:paraId="346B4073" w14:textId="77777777" w:rsidR="00141E46" w:rsidRPr="0019261A" w:rsidRDefault="00141E46" w:rsidP="00141E46">
      <w:pPr>
        <w:spacing w:after="0"/>
        <w:rPr>
          <w:rFonts w:ascii="Verdana" w:hAnsi="Verdana"/>
          <w:sz w:val="20"/>
          <w:lang w:val="pt-BR"/>
        </w:rPr>
      </w:pPr>
    </w:p>
    <w:p w14:paraId="11945C37" w14:textId="77777777" w:rsidR="00141E46" w:rsidRPr="0019261A" w:rsidRDefault="00141E46" w:rsidP="00141E46">
      <w:pPr>
        <w:spacing w:after="0"/>
        <w:rPr>
          <w:rFonts w:ascii="Verdana" w:hAnsi="Verdana"/>
          <w:sz w:val="20"/>
          <w:lang w:val="pt-BR"/>
        </w:rPr>
      </w:pPr>
    </w:p>
    <w:p w14:paraId="03A254B2" w14:textId="77777777" w:rsidR="00141E46" w:rsidRDefault="00141E46" w:rsidP="00141E46">
      <w:pPr>
        <w:spacing w:after="0"/>
        <w:rPr>
          <w:rFonts w:ascii="Verdana" w:hAnsi="Verdana"/>
          <w:sz w:val="20"/>
          <w:lang w:val="pt-BR"/>
        </w:rPr>
      </w:pPr>
      <w:r w:rsidRPr="0019261A">
        <w:rPr>
          <w:rFonts w:ascii="Verdana" w:hAnsi="Verdana"/>
          <w:sz w:val="20"/>
          <w:lang w:val="pt-BR"/>
        </w:rPr>
        <w:t xml:space="preserve"> Eduardo Vio Grossi</w:t>
      </w:r>
      <w:r w:rsidRPr="0019261A">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t xml:space="preserve">    Humberto A. Sierra Porto</w:t>
      </w:r>
      <w:r w:rsidRPr="0019261A">
        <w:rPr>
          <w:rFonts w:ascii="Verdana" w:hAnsi="Verdana"/>
          <w:sz w:val="20"/>
          <w:lang w:val="pt-BR"/>
        </w:rPr>
        <w:tab/>
      </w:r>
    </w:p>
    <w:p w14:paraId="0597D250" w14:textId="77777777" w:rsidR="00141E46" w:rsidRDefault="00141E46" w:rsidP="00141E46">
      <w:pPr>
        <w:spacing w:after="0"/>
        <w:rPr>
          <w:rFonts w:ascii="Verdana" w:hAnsi="Verdana"/>
          <w:sz w:val="20"/>
          <w:lang w:val="pt-BR"/>
        </w:rPr>
      </w:pPr>
    </w:p>
    <w:p w14:paraId="42EACF29" w14:textId="77777777" w:rsidR="00141E46" w:rsidRDefault="00141E46" w:rsidP="00141E46">
      <w:pPr>
        <w:spacing w:after="0"/>
        <w:rPr>
          <w:rFonts w:ascii="Verdana" w:hAnsi="Verdana"/>
          <w:sz w:val="20"/>
          <w:lang w:val="pt-BR"/>
        </w:rPr>
      </w:pPr>
    </w:p>
    <w:p w14:paraId="451A400B" w14:textId="77777777" w:rsidR="00141E46" w:rsidRDefault="00141E46" w:rsidP="00141E46">
      <w:pPr>
        <w:spacing w:after="0"/>
        <w:rPr>
          <w:rFonts w:ascii="Verdana" w:hAnsi="Verdana"/>
          <w:sz w:val="20"/>
          <w:lang w:val="pt-BR"/>
        </w:rPr>
      </w:pPr>
    </w:p>
    <w:p w14:paraId="1B17D245" w14:textId="77777777" w:rsidR="00141E46" w:rsidRDefault="00141E46" w:rsidP="00141E46">
      <w:pPr>
        <w:spacing w:after="0"/>
        <w:rPr>
          <w:rFonts w:ascii="Verdana" w:hAnsi="Verdana"/>
          <w:sz w:val="20"/>
          <w:lang w:val="pt-BR"/>
        </w:rPr>
      </w:pPr>
    </w:p>
    <w:p w14:paraId="7BEA6699" w14:textId="77777777" w:rsidR="00141E46" w:rsidRDefault="00141E46" w:rsidP="00141E46">
      <w:pPr>
        <w:spacing w:after="0"/>
        <w:rPr>
          <w:rFonts w:ascii="Verdana" w:hAnsi="Verdana"/>
          <w:sz w:val="20"/>
          <w:lang w:val="pt-BR"/>
        </w:rPr>
      </w:pPr>
      <w:r w:rsidRPr="00DA00D0">
        <w:rPr>
          <w:rFonts w:ascii="Verdana" w:hAnsi="Verdana"/>
          <w:sz w:val="20"/>
          <w:lang w:val="pt-BR"/>
        </w:rPr>
        <w:t>Eli</w:t>
      </w:r>
      <w:r>
        <w:rPr>
          <w:rFonts w:ascii="Verdana" w:hAnsi="Verdana"/>
          <w:sz w:val="20"/>
          <w:lang w:val="pt-BR"/>
        </w:rPr>
        <w:t xml:space="preserve">zabeth Odio Benito </w:t>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t xml:space="preserve">    L. Patricio Pazmiño Frei</w:t>
      </w:r>
      <w:r w:rsidRPr="0019261A">
        <w:rPr>
          <w:rFonts w:ascii="Verdana" w:hAnsi="Verdana"/>
          <w:sz w:val="20"/>
          <w:lang w:val="pt-BR"/>
        </w:rPr>
        <w:t>re</w:t>
      </w:r>
    </w:p>
    <w:p w14:paraId="6A6EEB00" w14:textId="77777777" w:rsidR="00141E46" w:rsidRDefault="00141E46" w:rsidP="00141E46">
      <w:pPr>
        <w:spacing w:after="0"/>
        <w:rPr>
          <w:rFonts w:ascii="Verdana" w:hAnsi="Verdana"/>
          <w:sz w:val="20"/>
          <w:lang w:val="pt-BR"/>
        </w:rPr>
      </w:pPr>
    </w:p>
    <w:p w14:paraId="2138DB0E" w14:textId="77777777" w:rsidR="00141E46" w:rsidRDefault="00141E46" w:rsidP="00141E46">
      <w:pPr>
        <w:spacing w:after="0"/>
        <w:rPr>
          <w:rFonts w:ascii="Verdana" w:hAnsi="Verdana"/>
          <w:sz w:val="20"/>
          <w:lang w:val="pt-BR"/>
        </w:rPr>
      </w:pPr>
    </w:p>
    <w:p w14:paraId="1D386B00" w14:textId="77777777" w:rsidR="00141E46" w:rsidRDefault="00141E46" w:rsidP="00141E46">
      <w:pPr>
        <w:spacing w:after="0"/>
        <w:rPr>
          <w:rFonts w:ascii="Verdana" w:hAnsi="Verdana"/>
          <w:sz w:val="20"/>
          <w:lang w:val="pt-BR"/>
        </w:rPr>
      </w:pPr>
    </w:p>
    <w:p w14:paraId="186D9A59" w14:textId="77777777" w:rsidR="00141E46" w:rsidRDefault="00141E46" w:rsidP="00141E46">
      <w:pPr>
        <w:spacing w:after="0"/>
        <w:rPr>
          <w:rFonts w:ascii="Verdana" w:hAnsi="Verdana"/>
          <w:sz w:val="20"/>
          <w:lang w:val="pt-BR"/>
        </w:rPr>
      </w:pPr>
    </w:p>
    <w:p w14:paraId="3FC6F66A" w14:textId="77777777" w:rsidR="00141E46" w:rsidRPr="0019261A" w:rsidRDefault="00141E46" w:rsidP="00141E46">
      <w:pPr>
        <w:spacing w:after="0"/>
        <w:jc w:val="center"/>
        <w:rPr>
          <w:rFonts w:ascii="Verdana" w:hAnsi="Verdana"/>
          <w:sz w:val="20"/>
          <w:lang w:val="pt-BR"/>
        </w:rPr>
      </w:pPr>
      <w:r>
        <w:rPr>
          <w:rFonts w:ascii="Verdana" w:hAnsi="Verdana"/>
          <w:sz w:val="20"/>
          <w:lang w:val="pt-BR"/>
        </w:rPr>
        <w:t>Ricardo C. Pérez Manrique</w:t>
      </w:r>
    </w:p>
    <w:p w14:paraId="4EE80F2F" w14:textId="77777777" w:rsidR="00141E46" w:rsidRDefault="00141E46" w:rsidP="00141E46">
      <w:pPr>
        <w:spacing w:after="0"/>
        <w:jc w:val="both"/>
        <w:rPr>
          <w:rFonts w:ascii="Verdana" w:hAnsi="Verdana"/>
          <w:sz w:val="20"/>
          <w:lang w:val="pt-BR"/>
        </w:rPr>
      </w:pPr>
    </w:p>
    <w:p w14:paraId="2D3B9921" w14:textId="77777777" w:rsidR="00141E46" w:rsidRDefault="00141E46" w:rsidP="00141E46">
      <w:pPr>
        <w:spacing w:after="0"/>
        <w:jc w:val="both"/>
        <w:rPr>
          <w:rFonts w:ascii="Verdana" w:hAnsi="Verdana"/>
          <w:sz w:val="20"/>
          <w:lang w:val="pt-BR"/>
        </w:rPr>
      </w:pPr>
    </w:p>
    <w:p w14:paraId="626E4660" w14:textId="77777777" w:rsidR="00141E46" w:rsidRDefault="00141E46" w:rsidP="00141E46">
      <w:pPr>
        <w:spacing w:after="0"/>
        <w:jc w:val="both"/>
        <w:rPr>
          <w:rFonts w:ascii="Verdana" w:hAnsi="Verdana"/>
          <w:sz w:val="20"/>
          <w:lang w:val="pt-BR"/>
        </w:rPr>
      </w:pPr>
    </w:p>
    <w:p w14:paraId="3B8EC457" w14:textId="77777777" w:rsidR="00141E46" w:rsidRPr="0019261A" w:rsidRDefault="00141E46" w:rsidP="00141E46">
      <w:pPr>
        <w:spacing w:after="0"/>
        <w:jc w:val="both"/>
        <w:rPr>
          <w:rFonts w:ascii="Verdana" w:hAnsi="Verdana"/>
          <w:sz w:val="20"/>
          <w:lang w:val="pt-BR"/>
        </w:rPr>
      </w:pPr>
    </w:p>
    <w:p w14:paraId="6F0F13EC" w14:textId="77777777" w:rsidR="00141E46" w:rsidRPr="0019261A" w:rsidRDefault="00141E46" w:rsidP="00141E46">
      <w:pPr>
        <w:spacing w:after="0"/>
        <w:jc w:val="both"/>
        <w:rPr>
          <w:rFonts w:ascii="Verdana" w:hAnsi="Verdana"/>
          <w:sz w:val="20"/>
          <w:lang w:val="pt-BR"/>
        </w:rPr>
      </w:pPr>
    </w:p>
    <w:p w14:paraId="307C282A" w14:textId="77777777" w:rsidR="00141E46" w:rsidRPr="00FC4051" w:rsidRDefault="00141E46" w:rsidP="00141E46">
      <w:pPr>
        <w:spacing w:after="0"/>
        <w:jc w:val="center"/>
        <w:rPr>
          <w:rFonts w:ascii="Verdana" w:hAnsi="Verdana"/>
          <w:sz w:val="20"/>
          <w:lang w:val="pt-BR"/>
        </w:rPr>
      </w:pPr>
      <w:r w:rsidRPr="00FC4051">
        <w:rPr>
          <w:rFonts w:ascii="Verdana" w:hAnsi="Verdana"/>
          <w:sz w:val="20"/>
          <w:lang w:val="pt-BR"/>
        </w:rPr>
        <w:t>Pablo Saavedra Alessandri</w:t>
      </w:r>
    </w:p>
    <w:p w14:paraId="261DAE99" w14:textId="77777777" w:rsidR="00141E46" w:rsidRDefault="00141E46" w:rsidP="00141E46">
      <w:pPr>
        <w:spacing w:after="0"/>
        <w:jc w:val="center"/>
        <w:rPr>
          <w:rFonts w:ascii="Verdana" w:hAnsi="Verdana"/>
          <w:sz w:val="20"/>
          <w:lang w:val="pt-BR"/>
        </w:rPr>
      </w:pPr>
      <w:r w:rsidRPr="00FC4051">
        <w:rPr>
          <w:rFonts w:ascii="Verdana" w:hAnsi="Verdana"/>
          <w:sz w:val="20"/>
          <w:lang w:val="pt-BR"/>
        </w:rPr>
        <w:t>Secret</w:t>
      </w:r>
      <w:r>
        <w:rPr>
          <w:rFonts w:ascii="Verdana" w:hAnsi="Verdana"/>
          <w:sz w:val="20"/>
          <w:lang w:val="pt-BR"/>
        </w:rPr>
        <w:t>a</w:t>
      </w:r>
      <w:r w:rsidRPr="00FC4051">
        <w:rPr>
          <w:rFonts w:ascii="Verdana" w:hAnsi="Verdana"/>
          <w:sz w:val="20"/>
          <w:lang w:val="pt-BR"/>
        </w:rPr>
        <w:t>rio</w:t>
      </w:r>
    </w:p>
    <w:p w14:paraId="5BBFE72A" w14:textId="77777777" w:rsidR="00141E46" w:rsidRPr="00FC4051" w:rsidRDefault="00141E46" w:rsidP="00141E46">
      <w:pPr>
        <w:pStyle w:val="Textonotapie"/>
        <w:rPr>
          <w:rFonts w:ascii="Verdana" w:hAnsi="Verdana"/>
          <w:lang w:val="pt-BR"/>
        </w:rPr>
      </w:pPr>
    </w:p>
    <w:p w14:paraId="6C143050" w14:textId="77777777" w:rsidR="00141E46" w:rsidRPr="00FC4051" w:rsidRDefault="00141E46" w:rsidP="00141E46">
      <w:pPr>
        <w:pStyle w:val="Textonotapie"/>
        <w:rPr>
          <w:rFonts w:ascii="Verdana" w:hAnsi="Verdana"/>
          <w:lang w:val="pt-BR"/>
        </w:rPr>
      </w:pPr>
    </w:p>
    <w:p w14:paraId="5D8E6924" w14:textId="77777777" w:rsidR="00141E46" w:rsidRPr="00FC4051" w:rsidRDefault="00141E46" w:rsidP="00141E46">
      <w:pPr>
        <w:spacing w:after="0"/>
        <w:jc w:val="both"/>
        <w:rPr>
          <w:rFonts w:ascii="Verdana" w:hAnsi="Verdana"/>
          <w:sz w:val="20"/>
          <w:lang w:val="pt-BR"/>
        </w:rPr>
      </w:pPr>
      <w:r>
        <w:rPr>
          <w:rFonts w:ascii="Verdana" w:hAnsi="Verdana"/>
          <w:sz w:val="20"/>
          <w:lang w:val="pt-BR"/>
        </w:rPr>
        <w:t>Comuníquese y ejecútese</w:t>
      </w:r>
      <w:r w:rsidRPr="00FC4051">
        <w:rPr>
          <w:rFonts w:ascii="Verdana" w:hAnsi="Verdana"/>
          <w:sz w:val="20"/>
          <w:lang w:val="pt-BR"/>
        </w:rPr>
        <w:t>,</w:t>
      </w:r>
    </w:p>
    <w:p w14:paraId="19EECB48" w14:textId="77777777" w:rsidR="00141E46" w:rsidRPr="00FC4051" w:rsidRDefault="00141E46" w:rsidP="00141E46">
      <w:pPr>
        <w:spacing w:after="0"/>
        <w:rPr>
          <w:rFonts w:ascii="Verdana" w:hAnsi="Verdana"/>
          <w:sz w:val="20"/>
          <w:lang w:val="pt-BR"/>
        </w:rPr>
      </w:pPr>
    </w:p>
    <w:p w14:paraId="78F942C6" w14:textId="77777777" w:rsidR="00141E46" w:rsidRDefault="00141E46" w:rsidP="00141E46">
      <w:pPr>
        <w:spacing w:after="0"/>
        <w:jc w:val="center"/>
        <w:rPr>
          <w:rFonts w:ascii="Verdana" w:hAnsi="Verdana"/>
          <w:sz w:val="20"/>
          <w:lang w:val="pt-BR"/>
        </w:rPr>
      </w:pPr>
    </w:p>
    <w:p w14:paraId="0D8399EC" w14:textId="77777777" w:rsidR="00141E46" w:rsidRPr="00FC4051" w:rsidRDefault="00141E46" w:rsidP="00141E46">
      <w:pPr>
        <w:spacing w:after="0"/>
        <w:jc w:val="right"/>
        <w:rPr>
          <w:rFonts w:ascii="Verdana" w:hAnsi="Verdana"/>
          <w:sz w:val="20"/>
          <w:lang w:val="pt-BR"/>
        </w:rPr>
      </w:pPr>
    </w:p>
    <w:p w14:paraId="0CB4AD1B" w14:textId="77777777" w:rsidR="00141E46" w:rsidRPr="00FC4051" w:rsidRDefault="00141E46" w:rsidP="00141E46">
      <w:pPr>
        <w:spacing w:after="0"/>
        <w:jc w:val="center"/>
        <w:rPr>
          <w:rFonts w:ascii="Verdana" w:hAnsi="Verdana"/>
          <w:sz w:val="20"/>
          <w:lang w:val="pt-BR"/>
        </w:rPr>
      </w:pPr>
      <w:r>
        <w:rPr>
          <w:rFonts w:ascii="Verdana" w:hAnsi="Verdana"/>
          <w:sz w:val="20"/>
          <w:lang w:val="pt-BR"/>
        </w:rPr>
        <w:t xml:space="preserve">                                                                                    </w:t>
      </w:r>
      <w:r w:rsidRPr="0019261A">
        <w:rPr>
          <w:rFonts w:ascii="Verdana" w:hAnsi="Verdana"/>
          <w:sz w:val="20"/>
          <w:lang w:val="pt-BR"/>
        </w:rPr>
        <w:t>Eduardo Ferrer Mac-Gregor Poisot</w:t>
      </w:r>
    </w:p>
    <w:p w14:paraId="0A61AB65" w14:textId="02D2C7F7" w:rsidR="00141E46" w:rsidRDefault="00141E46" w:rsidP="00141E46">
      <w:pPr>
        <w:spacing w:after="0"/>
        <w:rPr>
          <w:rFonts w:ascii="Verdana" w:hAnsi="Verdana"/>
          <w:sz w:val="20"/>
          <w:lang w:val="pt-BR"/>
        </w:rPr>
      </w:pPr>
      <w:r>
        <w:rPr>
          <w:rFonts w:ascii="Verdana" w:hAnsi="Verdana"/>
          <w:sz w:val="20"/>
          <w:lang w:val="pt-BR"/>
        </w:rPr>
        <w:t xml:space="preserve">         </w:t>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sidRPr="0019261A">
        <w:rPr>
          <w:rFonts w:ascii="Verdana" w:hAnsi="Verdana"/>
          <w:sz w:val="20"/>
          <w:lang w:val="pt-BR"/>
        </w:rPr>
        <w:t xml:space="preserve">Presidente </w:t>
      </w:r>
    </w:p>
    <w:p w14:paraId="5FF8F936" w14:textId="77777777" w:rsidR="00141E46" w:rsidRPr="00FC4051" w:rsidRDefault="00141E46" w:rsidP="00141E46">
      <w:pPr>
        <w:spacing w:after="0"/>
        <w:jc w:val="both"/>
        <w:rPr>
          <w:rFonts w:ascii="Verdana" w:hAnsi="Verdana"/>
          <w:sz w:val="20"/>
          <w:lang w:val="pt-BR"/>
        </w:rPr>
      </w:pPr>
    </w:p>
    <w:p w14:paraId="6D7D7D4F" w14:textId="77777777" w:rsidR="00141E46" w:rsidRPr="00FC4051" w:rsidRDefault="00141E46" w:rsidP="00141E46">
      <w:pPr>
        <w:spacing w:after="0"/>
        <w:jc w:val="both"/>
        <w:rPr>
          <w:rFonts w:ascii="Verdana" w:hAnsi="Verdana"/>
          <w:sz w:val="20"/>
          <w:lang w:val="pt-BR"/>
        </w:rPr>
      </w:pPr>
    </w:p>
    <w:p w14:paraId="023D20BC" w14:textId="77777777" w:rsidR="00141E46" w:rsidRPr="00FC4051" w:rsidRDefault="00141E46" w:rsidP="00141E46">
      <w:pPr>
        <w:spacing w:after="0"/>
        <w:jc w:val="both"/>
        <w:rPr>
          <w:rFonts w:ascii="Verdana" w:hAnsi="Verdana"/>
          <w:sz w:val="20"/>
          <w:lang w:val="pt-BR"/>
        </w:rPr>
      </w:pPr>
      <w:r w:rsidRPr="00FC4051">
        <w:rPr>
          <w:rFonts w:ascii="Verdana" w:hAnsi="Verdana"/>
          <w:sz w:val="20"/>
          <w:lang w:val="pt-BR"/>
        </w:rPr>
        <w:t>Pablo Saavedra Alessandri</w:t>
      </w:r>
    </w:p>
    <w:p w14:paraId="7E1D8876" w14:textId="77777777" w:rsidR="00141E46" w:rsidRPr="007E10A8" w:rsidRDefault="00141E46" w:rsidP="00141E46">
      <w:pPr>
        <w:spacing w:after="0"/>
        <w:rPr>
          <w:lang w:val="es-ES"/>
        </w:rPr>
      </w:pPr>
      <w:r w:rsidRPr="00FC4051">
        <w:rPr>
          <w:rFonts w:ascii="Verdana" w:hAnsi="Verdana"/>
          <w:sz w:val="20"/>
          <w:lang w:val="pt-BR"/>
        </w:rPr>
        <w:tab/>
      </w:r>
      <w:r w:rsidRPr="0019261A">
        <w:rPr>
          <w:rFonts w:ascii="Verdana" w:hAnsi="Verdana"/>
          <w:sz w:val="20"/>
          <w:lang w:val="es-ES"/>
        </w:rPr>
        <w:t>Secret</w:t>
      </w:r>
      <w:r>
        <w:rPr>
          <w:rFonts w:ascii="Verdana" w:hAnsi="Verdana"/>
          <w:sz w:val="20"/>
          <w:lang w:val="es-ES"/>
        </w:rPr>
        <w:t>ario</w:t>
      </w:r>
    </w:p>
    <w:p w14:paraId="15588F20" w14:textId="77777777" w:rsidR="00F13278" w:rsidRDefault="00F13278" w:rsidP="00141E46">
      <w:pPr>
        <w:widowControl w:val="0"/>
        <w:tabs>
          <w:tab w:val="left" w:pos="720"/>
        </w:tabs>
        <w:adjustRightInd w:val="0"/>
        <w:spacing w:after="0" w:line="240" w:lineRule="auto"/>
        <w:contextualSpacing/>
        <w:jc w:val="both"/>
        <w:textAlignment w:val="baseline"/>
        <w:rPr>
          <w:rFonts w:ascii="Verdana" w:hAnsi="Verdana"/>
          <w:sz w:val="20"/>
          <w:szCs w:val="20"/>
          <w:lang w:val="es-CR"/>
        </w:rPr>
      </w:pPr>
    </w:p>
    <w:sectPr w:rsidR="00F13278" w:rsidSect="003349E0">
      <w:headerReference w:type="default" r:id="rId8"/>
      <w:footerReference w:type="default" r:id="rId9"/>
      <w:headerReference w:type="first" r:id="rId10"/>
      <w:pgSz w:w="12240" w:h="15840"/>
      <w:pgMar w:top="1411" w:right="1411" w:bottom="1411" w:left="1411"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5028B" w14:textId="77777777" w:rsidR="00E463F5" w:rsidRDefault="00E463F5" w:rsidP="00C87060">
      <w:pPr>
        <w:spacing w:after="0" w:line="240" w:lineRule="auto"/>
      </w:pPr>
      <w:r>
        <w:separator/>
      </w:r>
    </w:p>
  </w:endnote>
  <w:endnote w:type="continuationSeparator" w:id="0">
    <w:p w14:paraId="75A36B44" w14:textId="77777777" w:rsidR="00E463F5" w:rsidRDefault="00E463F5" w:rsidP="00C87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alatino-Italic">
    <w:altName w:val="Times New Roman"/>
    <w:charset w:val="00"/>
    <w:family w:val="auto"/>
    <w:pitch w:val="variable"/>
    <w:sig w:usb0="00000001" w:usb1="7800205A" w:usb2="14600000" w:usb3="00000000" w:csb0="00000193" w:csb1="00000000"/>
  </w:font>
  <w:font w:name="Helvetica Neue">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Verdana-Italic">
    <w:altName w:val="Verdana"/>
    <w:panose1 w:val="00000000000000000000"/>
    <w:charset w:val="4D"/>
    <w:family w:val="auto"/>
    <w:notTrueType/>
    <w:pitch w:val="default"/>
    <w:sig w:usb0="03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MT">
    <w:altName w:val="Arial"/>
    <w:panose1 w:val="00000000000000000000"/>
    <w:charset w:val="4D"/>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mnestyTradeGothic">
    <w:panose1 w:val="00000000000000000000"/>
    <w:charset w:val="00"/>
    <w:family w:val="swiss"/>
    <w:notTrueType/>
    <w:pitch w:val="default"/>
    <w:sig w:usb0="00000003" w:usb1="00000000" w:usb2="00000000" w:usb3="00000000" w:csb0="00000001" w:csb1="00000000"/>
  </w:font>
  <w:font w:name="AmnestyTradeGothic-Light">
    <w:panose1 w:val="00000000000000000000"/>
    <w:charset w:val="00"/>
    <w:family w:val="swiss"/>
    <w:notTrueType/>
    <w:pitch w:val="default"/>
    <w:sig w:usb0="00000003" w:usb1="00000000" w:usb2="00000000" w:usb3="00000000" w:csb0="00000001" w:csb1="00000000"/>
  </w:font>
  <w:font w:name="AmnestyTradeGothic-LightOb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572063"/>
      <w:docPartObj>
        <w:docPartGallery w:val="Page Numbers (Bottom of Page)"/>
        <w:docPartUnique/>
      </w:docPartObj>
    </w:sdtPr>
    <w:sdtEndPr>
      <w:rPr>
        <w:noProof/>
      </w:rPr>
    </w:sdtEndPr>
    <w:sdtContent>
      <w:p w14:paraId="4B032E93" w14:textId="77777777" w:rsidR="00A52322" w:rsidRDefault="00A52322">
        <w:pPr>
          <w:pStyle w:val="Piedepgina"/>
          <w:jc w:val="center"/>
        </w:pPr>
        <w:r>
          <w:fldChar w:fldCharType="begin"/>
        </w:r>
        <w:r>
          <w:instrText xml:space="preserve"> PAGE   \* MERGEFORMAT </w:instrText>
        </w:r>
        <w:r>
          <w:fldChar w:fldCharType="separate"/>
        </w:r>
        <w:r w:rsidR="00141E46">
          <w:rPr>
            <w:noProof/>
          </w:rPr>
          <w:t>57</w:t>
        </w:r>
        <w:r>
          <w:rPr>
            <w:noProof/>
          </w:rPr>
          <w:fldChar w:fldCharType="end"/>
        </w:r>
      </w:p>
    </w:sdtContent>
  </w:sdt>
  <w:p w14:paraId="541E9272" w14:textId="77777777" w:rsidR="00A52322" w:rsidRDefault="00A5232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91E32" w14:textId="77777777" w:rsidR="00E463F5" w:rsidRDefault="00E463F5" w:rsidP="00C87060">
      <w:pPr>
        <w:spacing w:after="0" w:line="240" w:lineRule="auto"/>
      </w:pPr>
      <w:r>
        <w:separator/>
      </w:r>
    </w:p>
  </w:footnote>
  <w:footnote w:type="continuationSeparator" w:id="0">
    <w:p w14:paraId="7701A135" w14:textId="77777777" w:rsidR="00E463F5" w:rsidRDefault="00E463F5" w:rsidP="00C87060">
      <w:pPr>
        <w:spacing w:after="0" w:line="240" w:lineRule="auto"/>
      </w:pPr>
      <w:r>
        <w:continuationSeparator/>
      </w:r>
    </w:p>
  </w:footnote>
  <w:footnote w:id="1">
    <w:p w14:paraId="7A337C69" w14:textId="77777777" w:rsidR="00A52322" w:rsidRPr="00A922FC" w:rsidRDefault="00A52322" w:rsidP="0041182E">
      <w:pPr>
        <w:pStyle w:val="Ttulo"/>
        <w:jc w:val="both"/>
        <w:rPr>
          <w:rFonts w:ascii="Verdana" w:hAnsi="Verdana"/>
          <w:color w:val="auto"/>
          <w:sz w:val="16"/>
          <w:szCs w:val="16"/>
          <w:lang w:val="es-CR"/>
        </w:rPr>
      </w:pPr>
      <w:r w:rsidRPr="00037F7F">
        <w:rPr>
          <w:rFonts w:ascii="Verdana" w:hAnsi="Verdana"/>
          <w:color w:val="auto"/>
          <w:sz w:val="16"/>
          <w:szCs w:val="16"/>
          <w:lang w:val="es-CR"/>
        </w:rPr>
        <w:t>*</w:t>
      </w:r>
      <w:r w:rsidRPr="00A922FC">
        <w:rPr>
          <w:rFonts w:ascii="Verdana" w:hAnsi="Verdana"/>
          <w:color w:val="auto"/>
          <w:sz w:val="16"/>
          <w:szCs w:val="16"/>
          <w:lang w:val="es-CR"/>
        </w:rPr>
        <w:t xml:space="preserve">  </w:t>
      </w:r>
      <w:r w:rsidRPr="00A922FC">
        <w:rPr>
          <w:rFonts w:ascii="Verdana" w:hAnsi="Verdana"/>
          <w:color w:val="auto"/>
          <w:sz w:val="16"/>
          <w:szCs w:val="16"/>
          <w:lang w:val="es-CR"/>
        </w:rPr>
        <w:tab/>
        <w:t>El Juez Eugenio Raúl Zaffaroni se excusó de participar en el presente caso, conforme a lo dispuesto en el artículo 21 de su Reglamento, lo cual fue aceptado por el Pleno de la Corte</w:t>
      </w:r>
      <w:r w:rsidRPr="00A922FC">
        <w:rPr>
          <w:rFonts w:ascii="Verdana" w:eastAsia="Calibri" w:hAnsi="Verdana" w:cs="Verdana"/>
          <w:color w:val="auto"/>
          <w:sz w:val="16"/>
          <w:szCs w:val="16"/>
          <w:lang w:val="es-CR"/>
        </w:rPr>
        <w:t>.</w:t>
      </w:r>
    </w:p>
  </w:footnote>
  <w:footnote w:id="2">
    <w:p w14:paraId="2438BF5C" w14:textId="77777777" w:rsidR="00A52322" w:rsidRPr="00A922FC" w:rsidRDefault="00A52322" w:rsidP="003C3EE6">
      <w:pPr>
        <w:pStyle w:val="Normal1"/>
        <w:jc w:val="both"/>
        <w:rPr>
          <w:rFonts w:ascii="Verdana" w:hAnsi="Verdana"/>
          <w:sz w:val="16"/>
          <w:szCs w:val="16"/>
        </w:rPr>
      </w:pPr>
      <w:r w:rsidRPr="00A922FC">
        <w:rPr>
          <w:rStyle w:val="Refdenotaalpie"/>
          <w:rFonts w:ascii="Verdana" w:hAnsi="Verdana"/>
          <w:sz w:val="16"/>
          <w:szCs w:val="16"/>
        </w:rPr>
        <w:footnoteRef/>
      </w:r>
      <w:r w:rsidRPr="00A922FC">
        <w:rPr>
          <w:rFonts w:ascii="Verdana" w:hAnsi="Verdana"/>
          <w:sz w:val="16"/>
          <w:szCs w:val="16"/>
        </w:rPr>
        <w:t xml:space="preserve"> </w:t>
      </w:r>
      <w:r w:rsidRPr="00A922FC">
        <w:rPr>
          <w:rFonts w:ascii="Verdana" w:hAnsi="Verdana"/>
          <w:sz w:val="16"/>
          <w:szCs w:val="16"/>
        </w:rPr>
        <w:tab/>
      </w:r>
      <w:r w:rsidRPr="00A922FC">
        <w:rPr>
          <w:rFonts w:ascii="Verdana" w:hAnsi="Verdana"/>
          <w:i/>
          <w:sz w:val="16"/>
          <w:szCs w:val="16"/>
        </w:rPr>
        <w:t>Cfr.</w:t>
      </w:r>
      <w:r w:rsidRPr="00A922FC">
        <w:rPr>
          <w:rFonts w:ascii="Verdana" w:hAnsi="Verdana"/>
          <w:sz w:val="16"/>
          <w:szCs w:val="16"/>
        </w:rPr>
        <w:t xml:space="preserve"> </w:t>
      </w:r>
      <w:r>
        <w:rPr>
          <w:rFonts w:ascii="Verdana" w:eastAsia="Verdana" w:hAnsi="Verdana" w:cs="Verdana"/>
          <w:sz w:val="16"/>
          <w:szCs w:val="16"/>
        </w:rPr>
        <w:t>Denuncia ante la Comisión</w:t>
      </w:r>
      <w:r w:rsidRPr="00A922FC">
        <w:rPr>
          <w:rFonts w:ascii="Verdana" w:eastAsia="Verdana" w:hAnsi="Verdana" w:cs="Verdana"/>
          <w:sz w:val="16"/>
          <w:szCs w:val="16"/>
        </w:rPr>
        <w:t xml:space="preserve"> de 3 de octubre de 2001 (ex</w:t>
      </w:r>
      <w:r>
        <w:rPr>
          <w:rFonts w:ascii="Verdana" w:eastAsia="Verdana" w:hAnsi="Verdana" w:cs="Verdana"/>
          <w:sz w:val="16"/>
          <w:szCs w:val="16"/>
        </w:rPr>
        <w:t>pediente de trámite ante la Comisión</w:t>
      </w:r>
      <w:r w:rsidRPr="00A922FC">
        <w:rPr>
          <w:rFonts w:ascii="Verdana" w:eastAsia="Verdana" w:hAnsi="Verdana" w:cs="Verdana"/>
          <w:sz w:val="16"/>
          <w:szCs w:val="16"/>
        </w:rPr>
        <w:t xml:space="preserve">, fs. 2587 a 2598). </w:t>
      </w:r>
    </w:p>
  </w:footnote>
  <w:footnote w:id="3">
    <w:p w14:paraId="3011DF99" w14:textId="7F4894C9" w:rsidR="00A52322" w:rsidRPr="00A922FC" w:rsidRDefault="00A52322" w:rsidP="003C3EE6">
      <w:pPr>
        <w:pStyle w:val="Textonotapie"/>
        <w:jc w:val="both"/>
        <w:rPr>
          <w:rFonts w:ascii="Verdana" w:hAnsi="Verdana"/>
          <w:sz w:val="16"/>
          <w:szCs w:val="16"/>
          <w:lang w:val="es-CR"/>
        </w:rPr>
      </w:pPr>
      <w:r w:rsidRPr="00A922FC">
        <w:rPr>
          <w:rStyle w:val="Refdenotaalpie"/>
          <w:rFonts w:ascii="Verdana" w:hAnsi="Verdana"/>
          <w:sz w:val="16"/>
          <w:szCs w:val="16"/>
        </w:rPr>
        <w:footnoteRef/>
      </w:r>
      <w:r w:rsidRPr="00A922FC">
        <w:rPr>
          <w:rFonts w:ascii="Verdana" w:hAnsi="Verdana"/>
          <w:sz w:val="16"/>
          <w:szCs w:val="16"/>
          <w:lang w:val="es-CR"/>
        </w:rPr>
        <w:t xml:space="preserve"> </w:t>
      </w:r>
      <w:r w:rsidRPr="00A922FC">
        <w:rPr>
          <w:rFonts w:ascii="Verdana" w:hAnsi="Verdana"/>
          <w:sz w:val="16"/>
          <w:szCs w:val="16"/>
          <w:lang w:val="es-CR"/>
        </w:rPr>
        <w:tab/>
        <w:t>La Comisión declaró admisible la petición en lo que respecta a las eventuales violaciones de los derechos consagrados en los artículos 1.1, 5, 8 y 25 de la Convención Americana, y los artículos 1, 8 y 9 de la Convención Interamericana para Prevenir y Sancionar la Tortura, en perjuicio del señor Tirso Román Valenzuela Ávila. Declaró inadmisibles los hechos referentes a las condiciones de detención de Tirso Román Valenzuela por falta de agotamiento de los recursos internos, en aplicación del artículo 47.a</w:t>
      </w:r>
      <w:r>
        <w:rPr>
          <w:rFonts w:ascii="Verdana" w:hAnsi="Verdana"/>
          <w:sz w:val="16"/>
          <w:szCs w:val="16"/>
          <w:lang w:val="es-CR"/>
        </w:rPr>
        <w:t>)</w:t>
      </w:r>
      <w:r w:rsidRPr="00A922FC">
        <w:rPr>
          <w:rFonts w:ascii="Verdana" w:hAnsi="Verdana"/>
          <w:sz w:val="16"/>
          <w:szCs w:val="16"/>
          <w:lang w:val="es-CR"/>
        </w:rPr>
        <w:t xml:space="preserve"> de la Convención Americana. En las consideraciones previas la Comisión señaló que “[a] pesar de que los peticionarios señalan que las denunciadas torturas fueron perpetradas para obtener una confesión, en ningún momento se ha alegado ante esta violaciones al debido proceso por tal hecho, a pesar de que dicha confesión habría sido utilizada en el proceso en el que se condenó a la pena de muerte a la presunta víctima. De hecho, los propios peticionarios indican que en relación a este aspecto no se encuentran aún agotados los recur</w:t>
      </w:r>
      <w:r>
        <w:rPr>
          <w:rFonts w:ascii="Verdana" w:hAnsi="Verdana"/>
          <w:sz w:val="16"/>
          <w:szCs w:val="16"/>
          <w:lang w:val="es-CR"/>
        </w:rPr>
        <w:t>sos de la jurisdicción interna”</w:t>
      </w:r>
      <w:r w:rsidRPr="00A922FC">
        <w:rPr>
          <w:rFonts w:ascii="Verdana" w:hAnsi="Verdana"/>
          <w:sz w:val="16"/>
          <w:szCs w:val="16"/>
          <w:lang w:val="es-CR"/>
        </w:rPr>
        <w:t xml:space="preserve"> (expediente de trámite ante la Comisión, fs. 3128 a 3137). </w:t>
      </w:r>
    </w:p>
  </w:footnote>
  <w:footnote w:id="4">
    <w:p w14:paraId="38BBCCBF" w14:textId="18D9022B" w:rsidR="00A52322" w:rsidRPr="00A922FC" w:rsidRDefault="00A52322" w:rsidP="003C3EE6">
      <w:pPr>
        <w:pStyle w:val="Textonotapie"/>
        <w:jc w:val="both"/>
        <w:rPr>
          <w:rFonts w:ascii="Verdana" w:hAnsi="Verdana"/>
          <w:sz w:val="16"/>
          <w:szCs w:val="16"/>
          <w:lang w:val="es-CR"/>
        </w:rPr>
      </w:pPr>
      <w:r w:rsidRPr="00A922FC">
        <w:rPr>
          <w:rStyle w:val="Refdenotaalpie"/>
          <w:rFonts w:ascii="Verdana" w:hAnsi="Verdana"/>
          <w:sz w:val="16"/>
          <w:szCs w:val="16"/>
        </w:rPr>
        <w:footnoteRef/>
      </w:r>
      <w:r w:rsidRPr="00A922FC">
        <w:rPr>
          <w:rFonts w:ascii="Verdana" w:hAnsi="Verdana"/>
          <w:sz w:val="16"/>
          <w:szCs w:val="16"/>
          <w:lang w:val="es-CR"/>
        </w:rPr>
        <w:t xml:space="preserve"> </w:t>
      </w:r>
      <w:r w:rsidRPr="00A922FC">
        <w:rPr>
          <w:rFonts w:ascii="Verdana" w:hAnsi="Verdana"/>
          <w:sz w:val="16"/>
          <w:szCs w:val="16"/>
          <w:lang w:val="es-CR"/>
        </w:rPr>
        <w:tab/>
        <w:t xml:space="preserve">Según </w:t>
      </w:r>
      <w:r>
        <w:rPr>
          <w:rFonts w:ascii="Verdana" w:hAnsi="Verdana"/>
          <w:sz w:val="16"/>
          <w:szCs w:val="16"/>
          <w:lang w:val="es-CR"/>
        </w:rPr>
        <w:t xml:space="preserve">el </w:t>
      </w:r>
      <w:r w:rsidRPr="00A922FC">
        <w:rPr>
          <w:rFonts w:ascii="Verdana" w:hAnsi="Verdana"/>
          <w:sz w:val="16"/>
          <w:szCs w:val="16"/>
          <w:lang w:val="es-CR"/>
        </w:rPr>
        <w:t>escrito de los entonces peticionar</w:t>
      </w:r>
      <w:r>
        <w:rPr>
          <w:rFonts w:ascii="Verdana" w:hAnsi="Verdana"/>
          <w:sz w:val="16"/>
          <w:szCs w:val="16"/>
          <w:lang w:val="es-CR"/>
        </w:rPr>
        <w:t xml:space="preserve">ios recibido en la Comisión el </w:t>
      </w:r>
      <w:r w:rsidRPr="00A922FC">
        <w:rPr>
          <w:rFonts w:ascii="Verdana" w:hAnsi="Verdana"/>
          <w:sz w:val="16"/>
          <w:szCs w:val="16"/>
          <w:lang w:val="es-CR"/>
        </w:rPr>
        <w:t>30 de marzo de 2007, en el cual informaron sobre la supuesta ejecución extrajudicial del señor Valenzuela (expediente de trámite ante la Comisión, fs. 2768 a 2778).</w:t>
      </w:r>
    </w:p>
  </w:footnote>
  <w:footnote w:id="5">
    <w:p w14:paraId="17AA7EE6" w14:textId="71C45A33" w:rsidR="00A52322" w:rsidRPr="00A922FC" w:rsidRDefault="00A52322" w:rsidP="003C3EE6">
      <w:pPr>
        <w:pStyle w:val="Textonotapie"/>
        <w:jc w:val="both"/>
        <w:rPr>
          <w:rFonts w:ascii="Verdana" w:hAnsi="Verdana"/>
          <w:sz w:val="16"/>
          <w:szCs w:val="16"/>
          <w:lang w:val="es-CR"/>
        </w:rPr>
      </w:pPr>
      <w:r w:rsidRPr="00A922FC">
        <w:rPr>
          <w:rStyle w:val="Refdenotaalpie"/>
          <w:rFonts w:ascii="Verdana" w:hAnsi="Verdana"/>
          <w:sz w:val="16"/>
          <w:szCs w:val="16"/>
        </w:rPr>
        <w:footnoteRef/>
      </w:r>
      <w:r w:rsidRPr="00A922FC">
        <w:rPr>
          <w:rFonts w:ascii="Verdana" w:hAnsi="Verdana"/>
          <w:sz w:val="16"/>
          <w:szCs w:val="16"/>
          <w:lang w:val="es-CR"/>
        </w:rPr>
        <w:t xml:space="preserve"> </w:t>
      </w:r>
      <w:r w:rsidRPr="00A922FC">
        <w:rPr>
          <w:rFonts w:ascii="Verdana" w:hAnsi="Verdana"/>
          <w:sz w:val="16"/>
          <w:szCs w:val="16"/>
          <w:lang w:val="es-CR"/>
        </w:rPr>
        <w:tab/>
        <w:t>La Comisión co</w:t>
      </w:r>
      <w:r>
        <w:rPr>
          <w:rFonts w:ascii="Verdana" w:hAnsi="Verdana"/>
          <w:sz w:val="16"/>
          <w:szCs w:val="16"/>
          <w:lang w:val="es-CR"/>
        </w:rPr>
        <w:t xml:space="preserve">ncluyó que </w:t>
      </w:r>
      <w:r w:rsidRPr="00A922FC">
        <w:rPr>
          <w:rFonts w:ascii="Verdana" w:hAnsi="Verdana"/>
          <w:sz w:val="16"/>
          <w:szCs w:val="16"/>
          <w:lang w:val="es-CR"/>
        </w:rPr>
        <w:t xml:space="preserve">Guatemala es responsable por la violación de los derechos a </w:t>
      </w:r>
      <w:r>
        <w:rPr>
          <w:rFonts w:ascii="Verdana" w:hAnsi="Verdana"/>
          <w:sz w:val="16"/>
          <w:szCs w:val="16"/>
          <w:lang w:val="es-CR"/>
        </w:rPr>
        <w:t>l</w:t>
      </w:r>
      <w:r w:rsidRPr="00A922FC">
        <w:rPr>
          <w:rFonts w:ascii="Verdana" w:hAnsi="Verdana"/>
          <w:sz w:val="16"/>
          <w:szCs w:val="16"/>
          <w:lang w:val="es-CR"/>
        </w:rPr>
        <w:t>a vida, a la integridad personal, a las garantías judiciales, al principio de legalidad y a la protección judicial establecidos en los artículos 4.1, 4.2, 5.1, 5.2, 8.1, 8.2.g), 8.2.h), 8.3, 9, 11 y 25.1 de la Convención Americana, en relación con las obligaciones establecidas en sus artículos 1.1 y 2 del mismo instrumento, en perjuicio Tirso Román Valenzuela Ávila. La Comisión también conc</w:t>
      </w:r>
      <w:r>
        <w:rPr>
          <w:rFonts w:ascii="Verdana" w:hAnsi="Verdana"/>
          <w:sz w:val="16"/>
          <w:szCs w:val="16"/>
          <w:lang w:val="es-CR"/>
        </w:rPr>
        <w:t xml:space="preserve">luyó que el Estado </w:t>
      </w:r>
      <w:r w:rsidRPr="00A922FC">
        <w:rPr>
          <w:rFonts w:ascii="Verdana" w:hAnsi="Verdana"/>
          <w:sz w:val="16"/>
          <w:szCs w:val="16"/>
          <w:lang w:val="es-CR"/>
        </w:rPr>
        <w:t>es responsable por la violación de los derechos a la integridad personal, a las garantías judiciales y a la protección judicial establecidos en los artículos 5.1, 8.1 y 25.1, en relación con las obligaciones establecidas en su artículo 1.1 del mismo instrumento, en perjuicio de los familiares Tirso Román Valenzuela Ávila. Finalmente</w:t>
      </w:r>
      <w:r>
        <w:rPr>
          <w:rFonts w:ascii="Verdana" w:hAnsi="Verdana"/>
          <w:sz w:val="16"/>
          <w:szCs w:val="16"/>
          <w:lang w:val="es-CR"/>
        </w:rPr>
        <w:t>, concluyó que</w:t>
      </w:r>
      <w:r w:rsidRPr="00A922FC">
        <w:rPr>
          <w:rFonts w:ascii="Verdana" w:hAnsi="Verdana"/>
          <w:sz w:val="16"/>
          <w:szCs w:val="16"/>
          <w:lang w:val="es-CR"/>
        </w:rPr>
        <w:t xml:space="preserve"> Guatemala es responsable por la violación de los artículos 1,</w:t>
      </w:r>
      <w:r>
        <w:rPr>
          <w:rFonts w:ascii="Verdana" w:hAnsi="Verdana"/>
          <w:sz w:val="16"/>
          <w:szCs w:val="16"/>
          <w:lang w:val="es-CR"/>
        </w:rPr>
        <w:t xml:space="preserve"> 6,</w:t>
      </w:r>
      <w:r w:rsidRPr="00A922FC">
        <w:rPr>
          <w:rFonts w:ascii="Verdana" w:hAnsi="Verdana"/>
          <w:sz w:val="16"/>
          <w:szCs w:val="16"/>
          <w:lang w:val="es-CR"/>
        </w:rPr>
        <w:t xml:space="preserve"> 8 y </w:t>
      </w:r>
      <w:r>
        <w:rPr>
          <w:rFonts w:ascii="Verdana" w:hAnsi="Verdana"/>
          <w:sz w:val="16"/>
          <w:szCs w:val="16"/>
          <w:lang w:val="es-CR"/>
        </w:rPr>
        <w:t>10</w:t>
      </w:r>
      <w:r w:rsidRPr="00A922FC">
        <w:rPr>
          <w:rFonts w:ascii="Verdana" w:hAnsi="Verdana"/>
          <w:sz w:val="16"/>
          <w:szCs w:val="16"/>
          <w:lang w:val="es-CR"/>
        </w:rPr>
        <w:t xml:space="preserve"> de la </w:t>
      </w:r>
      <w:r>
        <w:rPr>
          <w:rFonts w:ascii="Verdana" w:hAnsi="Verdana"/>
          <w:sz w:val="16"/>
          <w:szCs w:val="16"/>
          <w:lang w:val="es-CR"/>
        </w:rPr>
        <w:t xml:space="preserve">Convención Interamericana para </w:t>
      </w:r>
      <w:r w:rsidRPr="00A922FC">
        <w:rPr>
          <w:rFonts w:ascii="Verdana" w:hAnsi="Verdana"/>
          <w:sz w:val="16"/>
          <w:szCs w:val="16"/>
          <w:lang w:val="es-CR"/>
        </w:rPr>
        <w:t xml:space="preserve">Prevenir y Sancionar la Tortura. </w:t>
      </w:r>
    </w:p>
  </w:footnote>
  <w:footnote w:id="6">
    <w:p w14:paraId="02D30A49" w14:textId="77777777" w:rsidR="00A52322" w:rsidRPr="00A922FC" w:rsidRDefault="00A52322" w:rsidP="003C3EE6">
      <w:pPr>
        <w:pStyle w:val="Textonotapie"/>
        <w:jc w:val="both"/>
        <w:rPr>
          <w:rFonts w:ascii="Verdana" w:hAnsi="Verdana"/>
          <w:sz w:val="16"/>
          <w:szCs w:val="16"/>
          <w:lang w:val="es-CR"/>
        </w:rPr>
      </w:pPr>
      <w:r w:rsidRPr="00A922FC">
        <w:rPr>
          <w:rStyle w:val="Refdenotaalpie"/>
          <w:rFonts w:ascii="Verdana" w:hAnsi="Verdana"/>
          <w:sz w:val="16"/>
          <w:szCs w:val="16"/>
        </w:rPr>
        <w:footnoteRef/>
      </w:r>
      <w:r w:rsidRPr="00A922FC">
        <w:rPr>
          <w:rFonts w:ascii="Verdana" w:hAnsi="Verdana"/>
          <w:sz w:val="16"/>
          <w:szCs w:val="16"/>
          <w:lang w:val="es-CR"/>
        </w:rPr>
        <w:t xml:space="preserve"> </w:t>
      </w:r>
      <w:r w:rsidRPr="00A922FC">
        <w:rPr>
          <w:rFonts w:ascii="Verdana" w:hAnsi="Verdana"/>
          <w:sz w:val="16"/>
          <w:szCs w:val="16"/>
          <w:lang w:val="es-CR"/>
        </w:rPr>
        <w:tab/>
        <w:t>La Comisión designó para el presente caso como sus delegados a la señora Esmeralda Arosema de Troitiño, Primera Vice-Presidenta y al señor Paulo Abrão, Secretario Ejecutivo de la Comisión, y como asesoras a Elizabeth Abi-Mershed, Secretaria Ejecutiva Adjunta, Silvia Serrano Guzmán, abogada y al señor Christian González Chacón, abogado, de la Secretaría Ejecutiva de la Comisión.</w:t>
      </w:r>
    </w:p>
  </w:footnote>
  <w:footnote w:id="7">
    <w:p w14:paraId="753E45FE" w14:textId="77777777" w:rsidR="00A52322" w:rsidRPr="00A922FC" w:rsidRDefault="00A52322" w:rsidP="004F6269">
      <w:pPr>
        <w:pStyle w:val="Textonotapie"/>
        <w:jc w:val="both"/>
        <w:rPr>
          <w:rFonts w:ascii="Verdana" w:hAnsi="Verdana"/>
          <w:sz w:val="16"/>
          <w:szCs w:val="16"/>
          <w:lang w:val="es-CR"/>
        </w:rPr>
      </w:pPr>
      <w:r w:rsidRPr="00A922FC">
        <w:rPr>
          <w:rStyle w:val="Refdenotaalpie"/>
          <w:rFonts w:ascii="Verdana" w:hAnsi="Verdana"/>
          <w:sz w:val="16"/>
          <w:szCs w:val="16"/>
        </w:rPr>
        <w:footnoteRef/>
      </w:r>
      <w:r w:rsidRPr="00A922FC">
        <w:rPr>
          <w:rFonts w:ascii="Verdana" w:hAnsi="Verdana"/>
          <w:sz w:val="16"/>
          <w:szCs w:val="16"/>
          <w:lang w:val="es-CR"/>
        </w:rPr>
        <w:t xml:space="preserve"> </w:t>
      </w:r>
      <w:r w:rsidRPr="00A922FC">
        <w:rPr>
          <w:rFonts w:ascii="Verdana" w:hAnsi="Verdana"/>
          <w:sz w:val="16"/>
          <w:szCs w:val="16"/>
          <w:lang w:val="es-CR"/>
        </w:rPr>
        <w:tab/>
        <w:t>El Estado designó en su comunicación recibida el 11 de abril de 2018 como Agentes en el presente caso a los señores Jorge Luis Borrayo Reyes, Presidente de COPREDEH y Felipe Sánchez González, Director Ejecutivo de COPREDEH.</w:t>
      </w:r>
    </w:p>
  </w:footnote>
  <w:footnote w:id="8">
    <w:p w14:paraId="7110194F" w14:textId="1A42D215" w:rsidR="00A52322" w:rsidRPr="00A922FC" w:rsidRDefault="00A52322" w:rsidP="003C3EE6">
      <w:pPr>
        <w:pStyle w:val="Textonotapie"/>
        <w:jc w:val="both"/>
        <w:rPr>
          <w:rFonts w:ascii="Verdana" w:hAnsi="Verdana"/>
          <w:sz w:val="16"/>
          <w:szCs w:val="16"/>
          <w:lang w:val="es-CR"/>
        </w:rPr>
      </w:pPr>
      <w:r w:rsidRPr="00A922FC">
        <w:rPr>
          <w:rStyle w:val="Refdenotaalpie"/>
          <w:rFonts w:ascii="Verdana" w:hAnsi="Verdana"/>
          <w:sz w:val="16"/>
          <w:szCs w:val="16"/>
        </w:rPr>
        <w:footnoteRef/>
      </w:r>
      <w:r w:rsidRPr="00AB0B7D">
        <w:rPr>
          <w:rFonts w:ascii="Verdana" w:hAnsi="Verdana"/>
          <w:sz w:val="16"/>
          <w:szCs w:val="16"/>
          <w:lang w:val="pt-BR"/>
        </w:rPr>
        <w:t xml:space="preserve"> </w:t>
      </w:r>
      <w:r w:rsidRPr="00AB0B7D">
        <w:rPr>
          <w:rFonts w:ascii="Verdana" w:hAnsi="Verdana"/>
          <w:sz w:val="16"/>
          <w:szCs w:val="16"/>
          <w:lang w:val="pt-BR"/>
        </w:rPr>
        <w:tab/>
      </w:r>
      <w:r w:rsidRPr="00AB0B7D">
        <w:rPr>
          <w:rFonts w:ascii="Verdana" w:hAnsi="Verdana"/>
          <w:i/>
          <w:sz w:val="16"/>
          <w:szCs w:val="16"/>
          <w:lang w:val="pt-BR"/>
        </w:rPr>
        <w:t>Cfr</w:t>
      </w:r>
      <w:r w:rsidRPr="00AB0B7D">
        <w:rPr>
          <w:rFonts w:ascii="Verdana" w:hAnsi="Verdana"/>
          <w:sz w:val="16"/>
          <w:szCs w:val="16"/>
          <w:lang w:val="pt-BR"/>
        </w:rPr>
        <w:t xml:space="preserve">. </w:t>
      </w:r>
      <w:r w:rsidRPr="00AB0B7D">
        <w:rPr>
          <w:rFonts w:ascii="Verdana" w:hAnsi="Verdana"/>
          <w:i/>
          <w:sz w:val="16"/>
          <w:szCs w:val="16"/>
          <w:lang w:val="pt-BR"/>
        </w:rPr>
        <w:t>Caso</w:t>
      </w:r>
      <w:r w:rsidRPr="00AB0B7D">
        <w:rPr>
          <w:rFonts w:ascii="Verdana" w:hAnsi="Verdana"/>
          <w:sz w:val="16"/>
          <w:szCs w:val="16"/>
          <w:lang w:val="pt-BR"/>
        </w:rPr>
        <w:t xml:space="preserve"> </w:t>
      </w:r>
      <w:r w:rsidRPr="00AB0B7D">
        <w:rPr>
          <w:rFonts w:ascii="Verdana" w:hAnsi="Verdana"/>
          <w:i/>
          <w:sz w:val="16"/>
          <w:szCs w:val="16"/>
          <w:lang w:val="pt-BR"/>
        </w:rPr>
        <w:t xml:space="preserve">Valenzuela Ávila Vs. </w:t>
      </w:r>
      <w:r w:rsidRPr="00A922FC">
        <w:rPr>
          <w:rFonts w:ascii="Verdana" w:hAnsi="Verdana"/>
          <w:i/>
          <w:sz w:val="16"/>
          <w:szCs w:val="16"/>
          <w:lang w:val="es-CR"/>
        </w:rPr>
        <w:t>Guatemala</w:t>
      </w:r>
      <w:r w:rsidRPr="00A922FC">
        <w:rPr>
          <w:rFonts w:ascii="Verdana" w:hAnsi="Verdana"/>
          <w:sz w:val="16"/>
          <w:szCs w:val="16"/>
          <w:lang w:val="es-CR"/>
        </w:rPr>
        <w:t xml:space="preserve">. Resolución del Presidente de la Corte de 15 de febrero de 2019. Disponible en: </w:t>
      </w:r>
      <w:hyperlink r:id="rId1" w:history="1">
        <w:r w:rsidRPr="00A922FC">
          <w:rPr>
            <w:rStyle w:val="Hipervnculo"/>
            <w:rFonts w:ascii="Verdana" w:hAnsi="Verdana"/>
            <w:sz w:val="16"/>
            <w:szCs w:val="16"/>
            <w:lang w:val="es-CR"/>
          </w:rPr>
          <w:t>http://www.corteidh.or.cr/docs/asuntos/valenzuela_avila_15_02_19.pdf</w:t>
        </w:r>
      </w:hyperlink>
      <w:r>
        <w:rPr>
          <w:rStyle w:val="Hipervnculo"/>
          <w:rFonts w:ascii="Verdana" w:hAnsi="Verdana"/>
          <w:sz w:val="16"/>
          <w:szCs w:val="16"/>
          <w:lang w:val="es-CR"/>
        </w:rPr>
        <w:t xml:space="preserve"> .</w:t>
      </w:r>
      <w:r w:rsidRPr="00A922FC">
        <w:rPr>
          <w:rFonts w:ascii="Verdana" w:hAnsi="Verdana"/>
          <w:sz w:val="16"/>
          <w:szCs w:val="16"/>
          <w:lang w:val="es-PE"/>
        </w:rPr>
        <w:t>El 4 de</w:t>
      </w:r>
      <w:r w:rsidRPr="00A922FC">
        <w:rPr>
          <w:rFonts w:ascii="Verdana" w:hAnsi="Verdana"/>
          <w:sz w:val="16"/>
          <w:szCs w:val="16"/>
          <w:lang w:val="es-CR"/>
        </w:rPr>
        <w:t xml:space="preserve"> marzo de 2019 el Presidente de la Corte emitió una resolución en la cual se autorizó una solicitud de la Comisión sobre el cambio de modalidad del peritaje conjunto de los señores </w:t>
      </w:r>
      <w:r w:rsidRPr="00A922FC">
        <w:rPr>
          <w:rFonts w:ascii="Verdana" w:hAnsi="Verdana" w:cs="Verdana"/>
          <w:sz w:val="16"/>
          <w:szCs w:val="16"/>
          <w:lang w:val="es-CR"/>
        </w:rPr>
        <w:t>Parvais Jabbar y Edward Fitzgerald</w:t>
      </w:r>
      <w:r>
        <w:rPr>
          <w:rFonts w:ascii="Verdana" w:hAnsi="Verdana"/>
          <w:sz w:val="16"/>
          <w:szCs w:val="16"/>
          <w:lang w:val="es-CR"/>
        </w:rPr>
        <w:t>. Dicho peritaje se ofreció</w:t>
      </w:r>
      <w:r w:rsidRPr="00A922FC">
        <w:rPr>
          <w:rFonts w:ascii="Verdana" w:hAnsi="Verdana"/>
          <w:sz w:val="16"/>
          <w:szCs w:val="16"/>
          <w:lang w:val="es-CR"/>
        </w:rPr>
        <w:t xml:space="preserve"> en los</w:t>
      </w:r>
      <w:r w:rsidRPr="00A922FC">
        <w:rPr>
          <w:rFonts w:ascii="Verdana" w:hAnsi="Verdana"/>
          <w:i/>
          <w:sz w:val="16"/>
          <w:szCs w:val="16"/>
          <w:lang w:val="es-CR"/>
        </w:rPr>
        <w:t xml:space="preserve"> casos Girón y Castillo, Ruiz Fuentes, </w:t>
      </w:r>
      <w:r>
        <w:rPr>
          <w:rFonts w:ascii="Verdana" w:hAnsi="Verdana"/>
          <w:i/>
          <w:sz w:val="16"/>
          <w:szCs w:val="16"/>
          <w:lang w:val="es-CR"/>
        </w:rPr>
        <w:t>y</w:t>
      </w:r>
      <w:r w:rsidRPr="00A922FC">
        <w:rPr>
          <w:rFonts w:ascii="Verdana" w:hAnsi="Verdana"/>
          <w:i/>
          <w:sz w:val="16"/>
          <w:szCs w:val="16"/>
          <w:lang w:val="es-CR"/>
        </w:rPr>
        <w:t xml:space="preserve"> Martínez Coronado </w:t>
      </w:r>
      <w:r w:rsidRPr="00A922FC">
        <w:rPr>
          <w:rFonts w:ascii="Verdana" w:hAnsi="Verdana"/>
          <w:sz w:val="16"/>
          <w:szCs w:val="16"/>
          <w:lang w:val="es-CR"/>
        </w:rPr>
        <w:t>ambos contra</w:t>
      </w:r>
      <w:r w:rsidRPr="00A922FC">
        <w:rPr>
          <w:rFonts w:ascii="Verdana" w:hAnsi="Verdana"/>
          <w:i/>
          <w:sz w:val="16"/>
          <w:szCs w:val="16"/>
          <w:lang w:val="es-CR"/>
        </w:rPr>
        <w:t xml:space="preserve"> </w:t>
      </w:r>
      <w:r>
        <w:rPr>
          <w:rFonts w:ascii="Verdana" w:hAnsi="Verdana"/>
          <w:sz w:val="16"/>
          <w:szCs w:val="16"/>
          <w:lang w:val="es-CR"/>
        </w:rPr>
        <w:t>Guatemala, y se ordenó</w:t>
      </w:r>
      <w:r w:rsidRPr="00A922FC">
        <w:rPr>
          <w:rFonts w:ascii="Verdana" w:hAnsi="Verdana"/>
          <w:sz w:val="16"/>
          <w:szCs w:val="16"/>
          <w:lang w:val="es-CR"/>
        </w:rPr>
        <w:t xml:space="preserve"> trasladarse al presente caso. Por lo que</w:t>
      </w:r>
      <w:r w:rsidRPr="00A922FC">
        <w:rPr>
          <w:rFonts w:ascii="Verdana" w:hAnsi="Verdana"/>
          <w:i/>
          <w:sz w:val="16"/>
          <w:szCs w:val="16"/>
          <w:lang w:val="es-CR"/>
        </w:rPr>
        <w:t xml:space="preserve"> </w:t>
      </w:r>
      <w:r w:rsidRPr="00A922FC">
        <w:rPr>
          <w:rFonts w:ascii="Verdana" w:hAnsi="Verdana"/>
          <w:sz w:val="16"/>
          <w:szCs w:val="16"/>
          <w:lang w:val="es-CR"/>
        </w:rPr>
        <w:t>se amplió el plazo, al 18 de marzo de 2019, para su presentación mediante afidávit</w:t>
      </w:r>
      <w:r>
        <w:rPr>
          <w:rFonts w:ascii="Verdana" w:hAnsi="Verdana" w:cs="Verdana"/>
          <w:sz w:val="16"/>
          <w:szCs w:val="16"/>
          <w:lang w:val="es-CR"/>
        </w:rPr>
        <w:t xml:space="preserve">.  En la última fecha se </w:t>
      </w:r>
      <w:r>
        <w:rPr>
          <w:rFonts w:ascii="Verdana" w:hAnsi="Verdana"/>
          <w:sz w:val="16"/>
          <w:szCs w:val="16"/>
          <w:lang w:val="es-CR"/>
        </w:rPr>
        <w:t>presentó</w:t>
      </w:r>
      <w:r w:rsidRPr="00A922FC">
        <w:rPr>
          <w:rFonts w:ascii="Verdana" w:hAnsi="Verdana"/>
          <w:sz w:val="16"/>
          <w:szCs w:val="16"/>
          <w:lang w:val="es-CR"/>
        </w:rPr>
        <w:t xml:space="preserve"> el </w:t>
      </w:r>
      <w:r>
        <w:rPr>
          <w:rFonts w:ascii="Verdana" w:hAnsi="Verdana"/>
          <w:sz w:val="16"/>
          <w:szCs w:val="16"/>
          <w:lang w:val="es-CR"/>
        </w:rPr>
        <w:t>af</w:t>
      </w:r>
      <w:r w:rsidRPr="00A922FC">
        <w:rPr>
          <w:rFonts w:ascii="Verdana" w:hAnsi="Verdana"/>
          <w:sz w:val="16"/>
          <w:szCs w:val="16"/>
          <w:lang w:val="es-CR"/>
        </w:rPr>
        <w:t>idávit.</w:t>
      </w:r>
      <w:r w:rsidRPr="00A922FC">
        <w:rPr>
          <w:rFonts w:ascii="Verdana" w:hAnsi="Verdana" w:cs="Verdana"/>
          <w:sz w:val="16"/>
          <w:szCs w:val="16"/>
          <w:lang w:val="es-CR"/>
        </w:rPr>
        <w:t xml:space="preserve"> Disponible en: </w:t>
      </w:r>
      <w:hyperlink r:id="rId2" w:history="1">
        <w:r w:rsidRPr="00A922FC">
          <w:rPr>
            <w:rStyle w:val="Hipervnculo"/>
            <w:rFonts w:ascii="Verdana" w:hAnsi="Verdana" w:cs="Verdana"/>
            <w:sz w:val="16"/>
            <w:szCs w:val="16"/>
            <w:lang w:val="es-CR"/>
          </w:rPr>
          <w:t>http://www.corteidh.or.cr/docs/asuntos/ruizfuentes_mart%C3%ADnezcoronado_gir%C3%B3nyotro_valenzuela%C3%A1vila_rodr%C3%ADguezrevolorioyotros_04_03_19.pdf</w:t>
        </w:r>
      </w:hyperlink>
      <w:r w:rsidRPr="00A922FC">
        <w:rPr>
          <w:rFonts w:ascii="Verdana" w:hAnsi="Verdana" w:cs="Verdana"/>
          <w:sz w:val="16"/>
          <w:szCs w:val="16"/>
          <w:lang w:val="es-CR"/>
        </w:rPr>
        <w:t>.</w:t>
      </w:r>
    </w:p>
  </w:footnote>
  <w:footnote w:id="9">
    <w:p w14:paraId="11A7DC2B" w14:textId="2D84239B" w:rsidR="00A52322" w:rsidRPr="00A922FC" w:rsidRDefault="00A52322" w:rsidP="003C3EE6">
      <w:pPr>
        <w:pStyle w:val="Textonotapie"/>
        <w:jc w:val="both"/>
        <w:rPr>
          <w:rFonts w:ascii="Verdana" w:hAnsi="Verdana"/>
          <w:sz w:val="16"/>
          <w:szCs w:val="16"/>
          <w:lang w:val="es-CR"/>
        </w:rPr>
      </w:pPr>
      <w:r w:rsidRPr="00A922FC">
        <w:rPr>
          <w:rStyle w:val="Refdenotaalpie"/>
          <w:rFonts w:ascii="Verdana" w:hAnsi="Verdana"/>
          <w:sz w:val="16"/>
          <w:szCs w:val="16"/>
        </w:rPr>
        <w:footnoteRef/>
      </w:r>
      <w:r w:rsidRPr="00A922FC">
        <w:rPr>
          <w:rFonts w:ascii="Verdana" w:hAnsi="Verdana"/>
          <w:sz w:val="16"/>
          <w:szCs w:val="16"/>
          <w:lang w:val="es-CR"/>
        </w:rPr>
        <w:t xml:space="preserve"> </w:t>
      </w:r>
      <w:r w:rsidRPr="00A922FC">
        <w:rPr>
          <w:rFonts w:ascii="Verdana" w:hAnsi="Verdana"/>
          <w:sz w:val="16"/>
          <w:szCs w:val="16"/>
          <w:lang w:val="es-CR"/>
        </w:rPr>
        <w:tab/>
        <w:t>A esta audiencia comparecieron: a) por la Comisión Interamericana: Luis Ernesto Vargas Silva, Comisionado; Silvia Serrano Guzmán y Christian González Chacón, abogados de las Secretaría Ejecutiva de la Comisión; b) por los representantes: Alejandro Rodríguez Barillas y Elvyn Leonel Díaz Sánchez del ICCPG y Fidencia Orozco de Licardi del IDPP; c) por el Estado: Jorge Luis Borrayo  Reyes, Presidente de  COPREDEH; Felipe Sánchez González, Director de COPR</w:t>
      </w:r>
      <w:r>
        <w:rPr>
          <w:rFonts w:ascii="Verdana" w:hAnsi="Verdana"/>
          <w:sz w:val="16"/>
          <w:szCs w:val="16"/>
          <w:lang w:val="es-CR"/>
        </w:rPr>
        <w:t>E</w:t>
      </w:r>
      <w:r w:rsidRPr="00A922FC">
        <w:rPr>
          <w:rFonts w:ascii="Verdana" w:hAnsi="Verdana"/>
          <w:sz w:val="16"/>
          <w:szCs w:val="16"/>
          <w:lang w:val="es-CR"/>
        </w:rPr>
        <w:t>DEH; Carla Gabriela Morales, Directo</w:t>
      </w:r>
      <w:r>
        <w:rPr>
          <w:rFonts w:ascii="Verdana" w:hAnsi="Verdana"/>
          <w:sz w:val="16"/>
          <w:szCs w:val="16"/>
          <w:lang w:val="es-CR"/>
        </w:rPr>
        <w:t>r</w:t>
      </w:r>
      <w:r w:rsidRPr="00A922FC">
        <w:rPr>
          <w:rFonts w:ascii="Verdana" w:hAnsi="Verdana"/>
          <w:sz w:val="16"/>
          <w:szCs w:val="16"/>
          <w:lang w:val="es-CR"/>
        </w:rPr>
        <w:t xml:space="preserve"> de la Dirección de Mecanismos para Defensores de Derechos Humanos; y Steffany Rebeca Vásquez y Rafael Eduardo Bran, Asesores de la Dirección de Mecanismos para Defensores de Derechos Humanos, y Carlos Alberto De León Moreno, Fiscal del Ministerio Público. </w:t>
      </w:r>
    </w:p>
  </w:footnote>
  <w:footnote w:id="10">
    <w:p w14:paraId="6FB629D2" w14:textId="1D307BBF" w:rsidR="00A52322" w:rsidRPr="00A922FC" w:rsidRDefault="00A52322" w:rsidP="003C3EE6">
      <w:pPr>
        <w:pStyle w:val="Footnotes"/>
        <w:ind w:right="-94"/>
        <w:rPr>
          <w:rFonts w:eastAsiaTheme="majorEastAsia"/>
          <w:b/>
          <w:bCs/>
          <w:color w:val="000000"/>
          <w:shd w:val="clear" w:color="auto" w:fill="FFFFFF"/>
        </w:rPr>
      </w:pPr>
      <w:r w:rsidRPr="00A922FC">
        <w:rPr>
          <w:rStyle w:val="Refdenotaalpie"/>
          <w:rFonts w:eastAsiaTheme="majorEastAsia"/>
        </w:rPr>
        <w:footnoteRef/>
      </w:r>
      <w:r w:rsidRPr="00A922FC">
        <w:rPr>
          <w:rFonts w:cs="Times New Roman"/>
        </w:rPr>
        <w:tab/>
      </w:r>
      <w:r>
        <w:rPr>
          <w:rFonts w:cs="Times New Roman"/>
        </w:rPr>
        <w:tab/>
      </w:r>
      <w:r w:rsidRPr="00A922FC">
        <w:rPr>
          <w:i/>
        </w:rPr>
        <w:t>Cfr. Caso Kimel Vs. Argentina</w:t>
      </w:r>
      <w:r w:rsidRPr="00A922FC">
        <w:t xml:space="preserve">. </w:t>
      </w:r>
      <w:r w:rsidRPr="00A922FC">
        <w:rPr>
          <w:i/>
        </w:rPr>
        <w:t>Fondo, Reparaciones y Costas</w:t>
      </w:r>
      <w:r w:rsidRPr="00A922FC">
        <w:t>. Sentencia de 2 de mayo de 2008. Serie C No. 177, párr. 24,</w:t>
      </w:r>
      <w:r w:rsidRPr="00A922FC">
        <w:rPr>
          <w:rStyle w:val="Textoennegrita"/>
          <w:rFonts w:eastAsiaTheme="majorEastAsia"/>
          <w:b w:val="0"/>
          <w:i/>
          <w:color w:val="000000"/>
          <w:shd w:val="clear" w:color="auto" w:fill="FFFFFF"/>
        </w:rPr>
        <w:t xml:space="preserve"> </w:t>
      </w:r>
      <w:r w:rsidRPr="00A922FC">
        <w:rPr>
          <w:rStyle w:val="Textoennegrita"/>
          <w:rFonts w:eastAsiaTheme="majorEastAsia"/>
          <w:b w:val="0"/>
          <w:color w:val="000000"/>
          <w:shd w:val="clear" w:color="auto" w:fill="FFFFFF"/>
        </w:rPr>
        <w:t>y</w:t>
      </w:r>
      <w:r w:rsidRPr="00A922FC">
        <w:rPr>
          <w:rStyle w:val="Textoennegrita"/>
          <w:rFonts w:eastAsiaTheme="majorEastAsia"/>
          <w:b w:val="0"/>
          <w:i/>
          <w:color w:val="000000"/>
          <w:shd w:val="clear" w:color="auto" w:fill="FFFFFF"/>
        </w:rPr>
        <w:t xml:space="preserve"> Caso Órdenes Guerra y otros Vs. Chile. Fondo, Reparaciones y Costas. </w:t>
      </w:r>
      <w:r w:rsidRPr="00A922FC">
        <w:rPr>
          <w:rStyle w:val="Textoennegrita"/>
          <w:rFonts w:eastAsiaTheme="majorEastAsia"/>
          <w:b w:val="0"/>
          <w:color w:val="000000"/>
          <w:shd w:val="clear" w:color="auto" w:fill="FFFFFF"/>
        </w:rPr>
        <w:t>Sentencia de 29 de noviembre de 2018. Serie C No. 372, párr. 2</w:t>
      </w:r>
      <w:r>
        <w:rPr>
          <w:rStyle w:val="Textoennegrita"/>
          <w:rFonts w:eastAsiaTheme="majorEastAsia"/>
          <w:b w:val="0"/>
          <w:color w:val="000000"/>
          <w:shd w:val="clear" w:color="auto" w:fill="FFFFFF"/>
        </w:rPr>
        <w:t>5</w:t>
      </w:r>
      <w:r w:rsidRPr="00A922FC">
        <w:rPr>
          <w:rStyle w:val="Textoennegrita"/>
          <w:rFonts w:eastAsiaTheme="majorEastAsia"/>
          <w:b w:val="0"/>
          <w:color w:val="000000"/>
          <w:shd w:val="clear" w:color="auto" w:fill="FFFFFF"/>
        </w:rPr>
        <w:t>.</w:t>
      </w:r>
      <w:r w:rsidRPr="00A922FC">
        <w:rPr>
          <w:rStyle w:val="Textoennegrita"/>
          <w:rFonts w:eastAsiaTheme="majorEastAsia"/>
          <w:b w:val="0"/>
          <w:i/>
          <w:color w:val="000000"/>
          <w:shd w:val="clear" w:color="auto" w:fill="FFFFFF"/>
        </w:rPr>
        <w:t xml:space="preserve"> </w:t>
      </w:r>
      <w:r w:rsidRPr="00A922FC">
        <w:rPr>
          <w:rFonts w:eastAsiaTheme="majorEastAsia"/>
          <w:b/>
        </w:rPr>
        <w:t xml:space="preserve"> </w:t>
      </w:r>
    </w:p>
  </w:footnote>
  <w:footnote w:id="11">
    <w:p w14:paraId="3A6F5314" w14:textId="2841B5EA" w:rsidR="00A52322" w:rsidRPr="00A922FC" w:rsidRDefault="00A52322" w:rsidP="003C3EE6">
      <w:pPr>
        <w:pStyle w:val="Footnotes"/>
        <w:ind w:right="-94"/>
        <w:rPr>
          <w:rFonts w:eastAsiaTheme="majorEastAsia"/>
          <w:b/>
          <w:bCs/>
          <w:color w:val="000000"/>
          <w:shd w:val="clear" w:color="auto" w:fill="FFFFFF"/>
        </w:rPr>
      </w:pPr>
      <w:r w:rsidRPr="00A922FC">
        <w:rPr>
          <w:rStyle w:val="Refdenotaalpie"/>
          <w:rFonts w:eastAsiaTheme="majorEastAsia"/>
        </w:rPr>
        <w:footnoteRef/>
      </w:r>
      <w:r w:rsidRPr="00A922FC">
        <w:rPr>
          <w:vertAlign w:val="superscript"/>
        </w:rPr>
        <w:t xml:space="preserve"> </w:t>
      </w:r>
      <w:r w:rsidRPr="00A922FC">
        <w:tab/>
      </w:r>
      <w:r>
        <w:tab/>
      </w:r>
      <w:r w:rsidRPr="00A922FC">
        <w:rPr>
          <w:i/>
        </w:rPr>
        <w:t>Cfr. Caso Manuel Cepeda Vargas Vs. Colombia</w:t>
      </w:r>
      <w:r w:rsidRPr="00A922FC">
        <w:t xml:space="preserve">. </w:t>
      </w:r>
      <w:r w:rsidRPr="00A922FC">
        <w:rPr>
          <w:i/>
        </w:rPr>
        <w:t>Excepciones Preliminares, Fondo, Reparaciones y Costas</w:t>
      </w:r>
      <w:r w:rsidRPr="00A922FC">
        <w:t>. Sentencia de 26 de mayo de 2010. Serie C No. 213, párr. 17, y</w:t>
      </w:r>
      <w:r w:rsidRPr="00A922FC">
        <w:rPr>
          <w:b/>
          <w:i/>
        </w:rPr>
        <w:t xml:space="preserve"> </w:t>
      </w:r>
      <w:r w:rsidRPr="00D8523F">
        <w:rPr>
          <w:rStyle w:val="Textoennegrita"/>
          <w:rFonts w:eastAsiaTheme="majorEastAsia"/>
          <w:b w:val="0"/>
          <w:i/>
          <w:color w:val="000000"/>
          <w:shd w:val="clear" w:color="auto" w:fill="FFFFFF"/>
        </w:rPr>
        <w:t xml:space="preserve">Caso Omeara Carrascal y otros Vs. Colombia. Fondo, Reparaciones y Costas. </w:t>
      </w:r>
      <w:r w:rsidRPr="00796BBA">
        <w:rPr>
          <w:rStyle w:val="Textoennegrita"/>
          <w:rFonts w:eastAsiaTheme="majorEastAsia"/>
          <w:b w:val="0"/>
          <w:color w:val="000000"/>
          <w:shd w:val="clear" w:color="auto" w:fill="FFFFFF"/>
        </w:rPr>
        <w:t>Sentencia de 21 de noviembre de 2018. Serie C No. 36</w:t>
      </w:r>
      <w:r>
        <w:rPr>
          <w:rStyle w:val="Textoennegrita"/>
          <w:rFonts w:eastAsiaTheme="majorEastAsia"/>
          <w:b w:val="0"/>
          <w:color w:val="000000"/>
          <w:shd w:val="clear" w:color="auto" w:fill="FFFFFF"/>
        </w:rPr>
        <w:t>8</w:t>
      </w:r>
      <w:r w:rsidRPr="00A922FC">
        <w:rPr>
          <w:rStyle w:val="Textoennegrita"/>
          <w:rFonts w:eastAsiaTheme="majorEastAsia"/>
          <w:b w:val="0"/>
          <w:color w:val="000000"/>
          <w:shd w:val="clear" w:color="auto" w:fill="FFFFFF"/>
        </w:rPr>
        <w:t xml:space="preserve">, párr. </w:t>
      </w:r>
      <w:r>
        <w:rPr>
          <w:rStyle w:val="Textoennegrita"/>
          <w:rFonts w:eastAsiaTheme="majorEastAsia"/>
          <w:b w:val="0"/>
          <w:color w:val="000000"/>
          <w:shd w:val="clear" w:color="auto" w:fill="FFFFFF"/>
        </w:rPr>
        <w:t>28</w:t>
      </w:r>
      <w:r w:rsidRPr="00A922FC">
        <w:rPr>
          <w:rStyle w:val="Textoennegrita"/>
          <w:rFonts w:eastAsiaTheme="majorEastAsia"/>
          <w:b w:val="0"/>
          <w:color w:val="000000"/>
          <w:shd w:val="clear" w:color="auto" w:fill="FFFFFF"/>
        </w:rPr>
        <w:t>.</w:t>
      </w:r>
    </w:p>
  </w:footnote>
  <w:footnote w:id="12">
    <w:p w14:paraId="5BD2EE6C" w14:textId="77777777" w:rsidR="00A52322" w:rsidRPr="00A922FC" w:rsidRDefault="00A52322" w:rsidP="003C3EE6">
      <w:pPr>
        <w:pStyle w:val="Textonotapie"/>
        <w:jc w:val="both"/>
        <w:rPr>
          <w:rFonts w:ascii="Verdana" w:hAnsi="Verdana"/>
          <w:bCs/>
          <w:color w:val="000000"/>
          <w:sz w:val="16"/>
          <w:szCs w:val="16"/>
          <w:lang w:val="es-CR"/>
        </w:rPr>
      </w:pPr>
      <w:r w:rsidRPr="00A922FC">
        <w:rPr>
          <w:rStyle w:val="Refdenotaalpie"/>
          <w:rFonts w:ascii="Verdana" w:hAnsi="Verdana"/>
          <w:sz w:val="16"/>
          <w:szCs w:val="16"/>
        </w:rPr>
        <w:footnoteRef/>
      </w:r>
      <w:r w:rsidRPr="00A922FC">
        <w:rPr>
          <w:rFonts w:ascii="Verdana" w:hAnsi="Verdana"/>
          <w:sz w:val="16"/>
          <w:szCs w:val="16"/>
          <w:lang w:val="es-CR"/>
        </w:rPr>
        <w:t xml:space="preserve"> </w:t>
      </w:r>
      <w:r>
        <w:rPr>
          <w:rFonts w:ascii="Verdana" w:hAnsi="Verdana"/>
          <w:sz w:val="16"/>
          <w:szCs w:val="16"/>
          <w:lang w:val="es-CR"/>
        </w:rPr>
        <w:tab/>
      </w:r>
      <w:r w:rsidRPr="00A922FC">
        <w:rPr>
          <w:rFonts w:ascii="Verdana" w:hAnsi="Verdana"/>
          <w:i/>
          <w:sz w:val="16"/>
          <w:szCs w:val="16"/>
          <w:lang w:val="es-CR"/>
        </w:rPr>
        <w:t>Cfr.</w:t>
      </w:r>
      <w:r w:rsidRPr="00A922FC">
        <w:rPr>
          <w:rFonts w:ascii="Verdana" w:hAnsi="Verdana"/>
          <w:b/>
          <w:i/>
          <w:sz w:val="16"/>
          <w:szCs w:val="16"/>
          <w:lang w:val="es-CR"/>
        </w:rPr>
        <w:t xml:space="preserve"> </w:t>
      </w:r>
      <w:r w:rsidRPr="00A922FC">
        <w:rPr>
          <w:rStyle w:val="Textoennegrita"/>
          <w:rFonts w:ascii="Verdana" w:hAnsi="Verdana"/>
          <w:b w:val="0"/>
          <w:i/>
          <w:color w:val="000000"/>
          <w:sz w:val="16"/>
          <w:szCs w:val="16"/>
          <w:lang w:val="es-CR"/>
        </w:rPr>
        <w:t>Caso Rodríguez Vera y otros (Desaparecidos del Palacio de Justicia) Vs. Colombia. Excepciones Preliminares, Fondo, Reparaciones y Costas.</w:t>
      </w:r>
      <w:r w:rsidRPr="00A922FC">
        <w:rPr>
          <w:rStyle w:val="Textoennegrita"/>
          <w:rFonts w:ascii="Verdana" w:hAnsi="Verdana"/>
          <w:b w:val="0"/>
          <w:color w:val="000000"/>
          <w:sz w:val="16"/>
          <w:szCs w:val="16"/>
          <w:lang w:val="es-CR"/>
        </w:rPr>
        <w:t xml:space="preserve"> Sentencia de 14 de noviembre de 2014. Serie C No. 287, párr. 27, y </w:t>
      </w:r>
      <w:r w:rsidRPr="00A922FC">
        <w:rPr>
          <w:rStyle w:val="Textoennegrita"/>
          <w:rFonts w:ascii="Verdana" w:hAnsi="Verdana"/>
          <w:b w:val="0"/>
          <w:i/>
          <w:color w:val="000000"/>
          <w:sz w:val="16"/>
          <w:szCs w:val="16"/>
          <w:lang w:val="es-CR"/>
        </w:rPr>
        <w:t xml:space="preserve">Caso </w:t>
      </w:r>
      <w:r w:rsidRPr="00A922FC">
        <w:rPr>
          <w:rFonts w:ascii="Verdana" w:hAnsi="Verdana"/>
          <w:i/>
          <w:sz w:val="16"/>
          <w:szCs w:val="16"/>
        </w:rPr>
        <w:t>Mujeres víctimas de tortura sexual en Atenco Vs. México</w:t>
      </w:r>
      <w:r>
        <w:rPr>
          <w:rFonts w:ascii="Verdana" w:hAnsi="Verdana"/>
          <w:i/>
          <w:sz w:val="16"/>
          <w:szCs w:val="16"/>
        </w:rPr>
        <w:t xml:space="preserve">. </w:t>
      </w:r>
      <w:r w:rsidRPr="00A922FC">
        <w:rPr>
          <w:rFonts w:ascii="Verdana" w:hAnsi="Verdana"/>
          <w:i/>
          <w:sz w:val="16"/>
          <w:szCs w:val="16"/>
        </w:rPr>
        <w:t>Excepción Preliminar, Fondo, Reparaciones y Costas</w:t>
      </w:r>
      <w:r w:rsidRPr="00A922FC">
        <w:rPr>
          <w:rFonts w:ascii="Verdana" w:hAnsi="Verdana"/>
          <w:sz w:val="16"/>
          <w:szCs w:val="16"/>
        </w:rPr>
        <w:t>. Sentencia de 28 de noviembre de 2018. Serie C No. 371, párr. 40.</w:t>
      </w:r>
    </w:p>
  </w:footnote>
  <w:footnote w:id="13">
    <w:p w14:paraId="46117C00" w14:textId="77777777" w:rsidR="00A52322" w:rsidRPr="00A922FC" w:rsidRDefault="00A52322" w:rsidP="003C3EE6">
      <w:pPr>
        <w:pStyle w:val="Footnotes"/>
        <w:rPr>
          <w:rFonts w:eastAsia="Calibri"/>
          <w:bCs/>
          <w:color w:val="000000"/>
        </w:rPr>
      </w:pPr>
      <w:r w:rsidRPr="00A922FC">
        <w:rPr>
          <w:rStyle w:val="Refdenotaalpie"/>
          <w:rFonts w:eastAsia="Batang"/>
          <w:iCs w:val="0"/>
          <w:noProof/>
          <w:spacing w:val="0"/>
          <w:vertAlign w:val="subscript"/>
          <w:lang w:val="es-ES_tradnl" w:bidi="ar-SA"/>
        </w:rPr>
        <w:footnoteRef/>
      </w:r>
      <w:r w:rsidRPr="00A922FC">
        <w:rPr>
          <w:rStyle w:val="Refdenotaalpie"/>
          <w:rFonts w:eastAsia="Batang"/>
          <w:iCs w:val="0"/>
          <w:noProof/>
          <w:spacing w:val="0"/>
          <w:vertAlign w:val="subscript"/>
          <w:lang w:val="es-ES_tradnl" w:bidi="ar-SA"/>
        </w:rPr>
        <w:t xml:space="preserve"> </w:t>
      </w:r>
      <w:r w:rsidRPr="00A922FC">
        <w:rPr>
          <w:vertAlign w:val="subscript"/>
        </w:rPr>
        <w:tab/>
      </w:r>
      <w:r>
        <w:rPr>
          <w:vertAlign w:val="subscript"/>
        </w:rPr>
        <w:tab/>
      </w:r>
      <w:r w:rsidRPr="00A922FC">
        <w:rPr>
          <w:rStyle w:val="Textoennegrita"/>
          <w:rFonts w:eastAsia="Calibri"/>
          <w:b w:val="0"/>
          <w:i/>
          <w:iCs w:val="0"/>
          <w:color w:val="000000"/>
          <w:spacing w:val="0"/>
          <w:lang w:bidi="ar-SA"/>
        </w:rPr>
        <w:t>Cfr.</w:t>
      </w:r>
      <w:r w:rsidRPr="00A922FC">
        <w:rPr>
          <w:rStyle w:val="Textoennegrita"/>
          <w:rFonts w:eastAsia="Calibri"/>
          <w:i/>
          <w:iCs w:val="0"/>
          <w:color w:val="000000"/>
          <w:spacing w:val="0"/>
          <w:lang w:bidi="ar-SA"/>
        </w:rPr>
        <w:t xml:space="preserve"> </w:t>
      </w:r>
      <w:r w:rsidRPr="00A922FC">
        <w:rPr>
          <w:i/>
        </w:rPr>
        <w:t>Caso Benavides Cevallos Vs. Ecuador</w:t>
      </w:r>
      <w:r w:rsidRPr="00A922FC">
        <w:t xml:space="preserve">. </w:t>
      </w:r>
      <w:r w:rsidRPr="00A922FC">
        <w:rPr>
          <w:i/>
        </w:rPr>
        <w:t>Fondo, Reparaciones y Costas</w:t>
      </w:r>
      <w:r w:rsidRPr="00A922FC">
        <w:t>. Sentencia de 19 de junio de 1998. Serie C No. 38, párr. 57</w:t>
      </w:r>
      <w:r w:rsidRPr="00A922FC">
        <w:rPr>
          <w:rFonts w:eastAsiaTheme="majorEastAsia"/>
        </w:rPr>
        <w:t xml:space="preserve">, y </w:t>
      </w:r>
      <w:r w:rsidRPr="00A922FC">
        <w:rPr>
          <w:rFonts w:eastAsiaTheme="majorEastAsia"/>
          <w:i/>
        </w:rPr>
        <w:t>Caso</w:t>
      </w:r>
      <w:r w:rsidRPr="00A922FC">
        <w:rPr>
          <w:rFonts w:eastAsiaTheme="majorEastAsia"/>
        </w:rPr>
        <w:t xml:space="preserve"> </w:t>
      </w:r>
      <w:r w:rsidRPr="00A922FC">
        <w:rPr>
          <w:i/>
        </w:rPr>
        <w:t>Órdenes Guerra y otros Vs. Chile</w:t>
      </w:r>
      <w:r>
        <w:rPr>
          <w:i/>
        </w:rPr>
        <w:t>,</w:t>
      </w:r>
      <w:r w:rsidRPr="00A922FC">
        <w:t xml:space="preserve"> </w:t>
      </w:r>
      <w:r>
        <w:rPr>
          <w:i/>
        </w:rPr>
        <w:t>supra</w:t>
      </w:r>
      <w:r w:rsidRPr="00A922FC">
        <w:t xml:space="preserve">, párr. 25. </w:t>
      </w:r>
      <w:r w:rsidRPr="00A922FC" w:rsidDel="00954B97">
        <w:rPr>
          <w:rStyle w:val="Textoennegrita"/>
          <w:rFonts w:eastAsiaTheme="majorEastAsia"/>
          <w:b w:val="0"/>
          <w:i/>
          <w:color w:val="000000"/>
          <w:shd w:val="clear" w:color="auto" w:fill="FFFFFF"/>
        </w:rPr>
        <w:t xml:space="preserve"> </w:t>
      </w:r>
    </w:p>
  </w:footnote>
  <w:footnote w:id="14">
    <w:p w14:paraId="27CEF2E1" w14:textId="77777777" w:rsidR="00A52322" w:rsidRPr="00A922FC" w:rsidRDefault="00A52322" w:rsidP="003C3EE6">
      <w:pPr>
        <w:pStyle w:val="Footnotes"/>
        <w:rPr>
          <w:rFonts w:cs="Times New Roman"/>
        </w:rPr>
      </w:pPr>
      <w:r w:rsidRPr="00A922FC">
        <w:rPr>
          <w:rStyle w:val="Refdenotaalpie"/>
          <w:rFonts w:eastAsiaTheme="majorEastAsia"/>
        </w:rPr>
        <w:footnoteRef/>
      </w:r>
      <w:r w:rsidRPr="00A922FC">
        <w:t xml:space="preserve"> </w:t>
      </w:r>
      <w:r w:rsidRPr="00A922FC">
        <w:rPr>
          <w:rFonts w:cs="Times New Roman"/>
        </w:rPr>
        <w:tab/>
      </w:r>
      <w:r>
        <w:rPr>
          <w:rFonts w:cs="Times New Roman"/>
        </w:rPr>
        <w:tab/>
      </w:r>
      <w:r w:rsidRPr="001E3DB9">
        <w:rPr>
          <w:i/>
        </w:rPr>
        <w:t>Cfr. Caso Manuel Cepeda Vargas Vs. Colombia</w:t>
      </w:r>
      <w:r>
        <w:rPr>
          <w:i/>
        </w:rPr>
        <w:t>,</w:t>
      </w:r>
      <w:r w:rsidRPr="001E3DB9">
        <w:t xml:space="preserve"> </w:t>
      </w:r>
      <w:r>
        <w:rPr>
          <w:i/>
        </w:rPr>
        <w:t>supra</w:t>
      </w:r>
      <w:r w:rsidRPr="001E3DB9">
        <w:t xml:space="preserve">, párr. 18, y Caso </w:t>
      </w:r>
      <w:r w:rsidRPr="001E3DB9">
        <w:rPr>
          <w:i/>
        </w:rPr>
        <w:t>Órdenes Guerra y otros Vs. Chile</w:t>
      </w:r>
      <w:r>
        <w:rPr>
          <w:i/>
        </w:rPr>
        <w:t>, supra</w:t>
      </w:r>
      <w:r w:rsidRPr="001E3DB9">
        <w:t>, párr. 25.</w:t>
      </w:r>
    </w:p>
  </w:footnote>
  <w:footnote w:id="15">
    <w:p w14:paraId="49486446" w14:textId="3E4F41E2" w:rsidR="00A52322" w:rsidRPr="005179D0" w:rsidRDefault="00A52322" w:rsidP="0060326C">
      <w:pPr>
        <w:pStyle w:val="Textonotapie"/>
        <w:jc w:val="both"/>
        <w:rPr>
          <w:rFonts w:ascii="Verdana" w:hAnsi="Verdana"/>
          <w:sz w:val="16"/>
          <w:szCs w:val="16"/>
          <w:lang w:val="es-ES_tradnl"/>
        </w:rPr>
      </w:pPr>
      <w:r w:rsidRPr="00A922FC">
        <w:rPr>
          <w:rStyle w:val="Refdenotaalpie"/>
          <w:rFonts w:ascii="Verdana" w:hAnsi="Verdana"/>
          <w:sz w:val="16"/>
          <w:szCs w:val="16"/>
        </w:rPr>
        <w:footnoteRef/>
      </w:r>
      <w:r w:rsidRPr="00A922FC">
        <w:rPr>
          <w:rFonts w:ascii="Verdana" w:hAnsi="Verdana"/>
          <w:sz w:val="16"/>
          <w:szCs w:val="16"/>
        </w:rPr>
        <w:t xml:space="preserve"> </w:t>
      </w:r>
      <w:r w:rsidRPr="0060326C">
        <w:rPr>
          <w:rFonts w:ascii="Verdana" w:hAnsi="Verdana"/>
          <w:b/>
          <w:sz w:val="16"/>
          <w:szCs w:val="16"/>
        </w:rPr>
        <w:tab/>
      </w:r>
      <w:r w:rsidRPr="005179D0">
        <w:rPr>
          <w:rFonts w:ascii="Verdana" w:hAnsi="Verdana"/>
          <w:i/>
          <w:sz w:val="16"/>
          <w:szCs w:val="16"/>
        </w:rPr>
        <w:t>Cfr</w:t>
      </w:r>
      <w:r w:rsidRPr="005179D0">
        <w:rPr>
          <w:rFonts w:ascii="Verdana" w:hAnsi="Verdana"/>
          <w:sz w:val="16"/>
          <w:szCs w:val="16"/>
        </w:rPr>
        <w:t xml:space="preserve">. Sentencia de la Corte de Constitucionalidad de la República de Guatemala, de 17 de julio de 2012, expediente 1822-2011 </w:t>
      </w:r>
      <w:hyperlink r:id="rId3" w:history="1">
        <w:r w:rsidRPr="005179D0">
          <w:rPr>
            <w:rStyle w:val="Hipervnculo"/>
            <w:rFonts w:ascii="Verdana" w:hAnsi="Verdana"/>
            <w:color w:val="auto"/>
            <w:sz w:val="16"/>
            <w:szCs w:val="16"/>
            <w:u w:val="none"/>
          </w:rPr>
          <w:t>http://200.6.233.69/Sentencias/820216.1822-2011.pdf</w:t>
        </w:r>
      </w:hyperlink>
      <w:r>
        <w:rPr>
          <w:rStyle w:val="Hipervnculo"/>
          <w:rFonts w:ascii="Verdana" w:hAnsi="Verdana"/>
          <w:color w:val="auto"/>
          <w:sz w:val="16"/>
          <w:szCs w:val="16"/>
          <w:u w:val="none"/>
        </w:rPr>
        <w:t>,</w:t>
      </w:r>
      <w:r w:rsidRPr="005179D0">
        <w:rPr>
          <w:rFonts w:ascii="Verdana" w:hAnsi="Verdana"/>
          <w:sz w:val="16"/>
          <w:szCs w:val="16"/>
        </w:rPr>
        <w:t xml:space="preserve"> y </w:t>
      </w:r>
      <w:r w:rsidRPr="005179D0">
        <w:rPr>
          <w:rFonts w:ascii="Verdana" w:hAnsi="Verdana"/>
          <w:sz w:val="16"/>
          <w:szCs w:val="16"/>
          <w:lang w:val="es-CR"/>
        </w:rPr>
        <w:t>Escrito de solicitudes y argumentos de 27 de agosto de 2018 (Fondo Valenzuela Ávila, fs. 349 a 350)</w:t>
      </w:r>
      <w:r w:rsidRPr="005179D0">
        <w:rPr>
          <w:rFonts w:ascii="Verdana" w:hAnsi="Verdana"/>
          <w:sz w:val="16"/>
          <w:szCs w:val="16"/>
        </w:rPr>
        <w:t xml:space="preserve"> </w:t>
      </w:r>
    </w:p>
  </w:footnote>
  <w:footnote w:id="16">
    <w:p w14:paraId="793BB6A8" w14:textId="77777777" w:rsidR="00A52322" w:rsidRPr="005179D0" w:rsidRDefault="00A52322" w:rsidP="0060326C">
      <w:pPr>
        <w:pStyle w:val="Textonotapie"/>
        <w:jc w:val="both"/>
        <w:rPr>
          <w:rFonts w:ascii="Verdana" w:hAnsi="Verdana"/>
          <w:b/>
          <w:sz w:val="16"/>
          <w:szCs w:val="16"/>
        </w:rPr>
      </w:pPr>
      <w:r w:rsidRPr="005179D0">
        <w:rPr>
          <w:rStyle w:val="Refdenotaalpie"/>
          <w:rFonts w:ascii="Verdana" w:hAnsi="Verdana"/>
          <w:sz w:val="16"/>
          <w:szCs w:val="16"/>
        </w:rPr>
        <w:footnoteRef/>
      </w:r>
      <w:r w:rsidRPr="005179D0">
        <w:rPr>
          <w:rFonts w:ascii="Verdana" w:hAnsi="Verdana"/>
          <w:sz w:val="16"/>
          <w:szCs w:val="16"/>
        </w:rPr>
        <w:t xml:space="preserve"> </w:t>
      </w:r>
      <w:r w:rsidRPr="005179D0">
        <w:rPr>
          <w:rFonts w:ascii="Verdana" w:hAnsi="Verdana"/>
          <w:sz w:val="16"/>
          <w:szCs w:val="16"/>
        </w:rPr>
        <w:tab/>
      </w:r>
      <w:r w:rsidRPr="005179D0">
        <w:rPr>
          <w:rFonts w:ascii="Verdana" w:hAnsi="Verdana"/>
          <w:i/>
          <w:sz w:val="16"/>
          <w:szCs w:val="16"/>
        </w:rPr>
        <w:t>Cfr</w:t>
      </w:r>
      <w:r w:rsidRPr="005179D0">
        <w:rPr>
          <w:rFonts w:ascii="Verdana" w:hAnsi="Verdana"/>
          <w:sz w:val="16"/>
          <w:szCs w:val="16"/>
        </w:rPr>
        <w:t xml:space="preserve">. Sentencia de la Corte de Constitucionalidad de la República de Guatemala, de 17 de julio de 2012, </w:t>
      </w:r>
      <w:r w:rsidRPr="005179D0">
        <w:rPr>
          <w:rFonts w:ascii="Verdana" w:hAnsi="Verdana"/>
          <w:i/>
          <w:sz w:val="16"/>
          <w:szCs w:val="16"/>
        </w:rPr>
        <w:t>supra</w:t>
      </w:r>
      <w:r w:rsidRPr="005179D0">
        <w:rPr>
          <w:rFonts w:ascii="Verdana" w:hAnsi="Verdana"/>
          <w:sz w:val="16"/>
          <w:szCs w:val="16"/>
        </w:rPr>
        <w:t>.</w:t>
      </w:r>
    </w:p>
  </w:footnote>
  <w:footnote w:id="17">
    <w:p w14:paraId="02DB3416" w14:textId="56DCE0C0" w:rsidR="00A52322" w:rsidRPr="00460606" w:rsidRDefault="00A52322" w:rsidP="005010EB">
      <w:pPr>
        <w:spacing w:after="0" w:line="240" w:lineRule="auto"/>
        <w:jc w:val="both"/>
        <w:rPr>
          <w:rFonts w:ascii="Verdana" w:hAnsi="Verdana"/>
          <w:sz w:val="16"/>
          <w:szCs w:val="16"/>
        </w:rPr>
      </w:pPr>
      <w:r w:rsidRPr="00130D62">
        <w:rPr>
          <w:rStyle w:val="Refdenotaalpie"/>
          <w:rFonts w:ascii="Verdana" w:hAnsi="Verdana"/>
          <w:sz w:val="16"/>
          <w:szCs w:val="16"/>
        </w:rPr>
        <w:footnoteRef/>
      </w:r>
      <w:r w:rsidRPr="00130D62">
        <w:rPr>
          <w:rFonts w:ascii="Verdana" w:hAnsi="Verdana"/>
          <w:sz w:val="16"/>
          <w:szCs w:val="16"/>
        </w:rPr>
        <w:t xml:space="preserve"> </w:t>
      </w:r>
      <w:r w:rsidRPr="005179D0">
        <w:rPr>
          <w:rFonts w:ascii="Verdana" w:hAnsi="Verdana"/>
          <w:b/>
          <w:sz w:val="16"/>
          <w:szCs w:val="16"/>
          <w:lang w:val="es-CR"/>
        </w:rPr>
        <w:tab/>
        <w:t xml:space="preserve"> </w:t>
      </w:r>
      <w:r w:rsidRPr="005179D0">
        <w:rPr>
          <w:rFonts w:ascii="Verdana" w:hAnsi="Verdana"/>
          <w:sz w:val="16"/>
          <w:szCs w:val="16"/>
          <w:lang w:val="es-CR"/>
        </w:rPr>
        <w:t xml:space="preserve">Decreto No. 40-2010 de 6 de octubre de 2010, </w:t>
      </w:r>
      <w:r>
        <w:rPr>
          <w:rFonts w:ascii="Verdana" w:eastAsia="Times New Roman" w:hAnsi="Verdana" w:cs="Times New Roman"/>
          <w:sz w:val="16"/>
          <w:szCs w:val="16"/>
          <w:lang w:val="es-PE" w:eastAsia="es-CR"/>
        </w:rPr>
        <w:t>l</w:t>
      </w:r>
      <w:r w:rsidRPr="005179D0">
        <w:rPr>
          <w:rFonts w:ascii="Verdana" w:eastAsia="Times New Roman" w:hAnsi="Verdana" w:cs="Times New Roman"/>
          <w:sz w:val="16"/>
          <w:szCs w:val="16"/>
          <w:lang w:eastAsia="es-CR"/>
        </w:rPr>
        <w:t xml:space="preserve">a </w:t>
      </w:r>
      <w:r w:rsidRPr="005179D0">
        <w:rPr>
          <w:rFonts w:ascii="Verdana" w:hAnsi="Verdana"/>
          <w:sz w:val="16"/>
          <w:szCs w:val="16"/>
          <w:lang w:val="es-CR"/>
        </w:rPr>
        <w:t xml:space="preserve">“Ley del Mecanismo Nacional de Prevención de la Tortura y otros Tratos o Penas Crueles, Inhumanos o Degradantes”. Disponible en: </w:t>
      </w:r>
      <w:hyperlink r:id="rId4" w:history="1">
        <w:r w:rsidRPr="005179D0">
          <w:rPr>
            <w:rStyle w:val="Hipervnculo"/>
            <w:rFonts w:ascii="Verdana" w:hAnsi="Verdana"/>
            <w:sz w:val="16"/>
            <w:szCs w:val="16"/>
          </w:rPr>
          <w:t>http://www.mnp-opt.gob.gt/img/kcfinder/files/2010-Ley-del-MNP-Decreto-40.pdf</w:t>
        </w:r>
      </w:hyperlink>
      <w:r w:rsidRPr="005924A6" w:rsidDel="00466910">
        <w:rPr>
          <w:rFonts w:ascii="Verdana" w:hAnsi="Verdana"/>
          <w:color w:val="FF0000"/>
          <w:sz w:val="16"/>
          <w:szCs w:val="16"/>
          <w:u w:val="single"/>
        </w:rPr>
        <w:t xml:space="preserve"> </w:t>
      </w:r>
    </w:p>
  </w:footnote>
  <w:footnote w:id="18">
    <w:p w14:paraId="6B20AFE6" w14:textId="053CAB1A" w:rsidR="00A52322" w:rsidRPr="00401125" w:rsidRDefault="00A52322" w:rsidP="003C3EE6">
      <w:pPr>
        <w:pStyle w:val="Textonotapie"/>
        <w:jc w:val="both"/>
        <w:rPr>
          <w:rFonts w:ascii="Verdana" w:hAnsi="Verdana"/>
          <w:sz w:val="16"/>
          <w:szCs w:val="16"/>
        </w:rPr>
      </w:pPr>
      <w:r w:rsidRPr="00A922FC">
        <w:rPr>
          <w:rStyle w:val="Refdenotaalpie"/>
          <w:rFonts w:ascii="Verdana" w:hAnsi="Verdana"/>
          <w:sz w:val="16"/>
          <w:szCs w:val="16"/>
        </w:rPr>
        <w:footnoteRef/>
      </w:r>
      <w:r w:rsidRPr="00A922FC">
        <w:rPr>
          <w:rFonts w:ascii="Verdana" w:hAnsi="Verdana"/>
          <w:sz w:val="16"/>
          <w:szCs w:val="16"/>
          <w:lang w:val="es-CR"/>
        </w:rPr>
        <w:t xml:space="preserve"> </w:t>
      </w:r>
      <w:r w:rsidRPr="00A922FC">
        <w:rPr>
          <w:rFonts w:ascii="Verdana" w:hAnsi="Verdana"/>
          <w:sz w:val="16"/>
          <w:szCs w:val="16"/>
          <w:lang w:val="es-CR"/>
        </w:rPr>
        <w:tab/>
      </w:r>
      <w:r w:rsidRPr="00460606">
        <w:rPr>
          <w:rFonts w:ascii="Verdana" w:hAnsi="Verdana"/>
          <w:i/>
          <w:sz w:val="16"/>
          <w:szCs w:val="16"/>
        </w:rPr>
        <w:t>Cfr</w:t>
      </w:r>
      <w:r w:rsidRPr="00460606">
        <w:rPr>
          <w:rFonts w:ascii="Verdana" w:hAnsi="Verdana"/>
          <w:sz w:val="16"/>
          <w:szCs w:val="16"/>
        </w:rPr>
        <w:t xml:space="preserve">. </w:t>
      </w:r>
      <w:r w:rsidRPr="00460606">
        <w:rPr>
          <w:rFonts w:ascii="Verdana" w:hAnsi="Verdana"/>
          <w:i/>
          <w:sz w:val="16"/>
          <w:szCs w:val="16"/>
        </w:rPr>
        <w:t>Caso de la “Masacre de Mapiripán” Vs. Colombia. Fondo,</w:t>
      </w:r>
      <w:r w:rsidRPr="00A922FC">
        <w:rPr>
          <w:rFonts w:ascii="Verdana" w:hAnsi="Verdana"/>
          <w:i/>
          <w:sz w:val="16"/>
          <w:szCs w:val="16"/>
        </w:rPr>
        <w:t xml:space="preserve"> Reparaciones y Costas</w:t>
      </w:r>
      <w:r w:rsidRPr="00A922FC">
        <w:rPr>
          <w:rFonts w:ascii="Verdana" w:hAnsi="Verdana"/>
          <w:sz w:val="16"/>
          <w:szCs w:val="16"/>
        </w:rPr>
        <w:t>. Sentencia de 15 de septiembre de 2005. Serie C No. 134, párr. 58</w:t>
      </w:r>
      <w:r>
        <w:rPr>
          <w:rFonts w:ascii="Verdana" w:hAnsi="Verdana"/>
          <w:sz w:val="16"/>
          <w:szCs w:val="16"/>
        </w:rPr>
        <w:t>,</w:t>
      </w:r>
      <w:r w:rsidRPr="00A922FC">
        <w:rPr>
          <w:rFonts w:ascii="Verdana" w:hAnsi="Verdana"/>
          <w:sz w:val="16"/>
          <w:szCs w:val="16"/>
        </w:rPr>
        <w:t xml:space="preserve"> y</w:t>
      </w:r>
      <w:r w:rsidRPr="005E422B">
        <w:rPr>
          <w:rFonts w:ascii="Verdana" w:hAnsi="Verdana"/>
          <w:i/>
          <w:sz w:val="16"/>
          <w:szCs w:val="16"/>
        </w:rPr>
        <w:t xml:space="preserve"> </w:t>
      </w:r>
      <w:r w:rsidRPr="005E422B">
        <w:rPr>
          <w:rFonts w:ascii="Verdana" w:hAnsi="Verdana"/>
          <w:i/>
          <w:sz w:val="16"/>
          <w:szCs w:val="16"/>
          <w:lang w:val="es-CR"/>
        </w:rPr>
        <w:t>Caso</w:t>
      </w:r>
      <w:r w:rsidRPr="00A922FC">
        <w:rPr>
          <w:rFonts w:ascii="Verdana" w:hAnsi="Verdana"/>
          <w:sz w:val="16"/>
          <w:szCs w:val="16"/>
          <w:lang w:val="es-CR"/>
        </w:rPr>
        <w:t xml:space="preserve"> </w:t>
      </w:r>
      <w:r w:rsidRPr="00A922FC">
        <w:rPr>
          <w:rFonts w:ascii="Verdana" w:hAnsi="Verdana"/>
          <w:i/>
          <w:sz w:val="16"/>
          <w:szCs w:val="16"/>
        </w:rPr>
        <w:t>Mujeres víctimas de tortura sexual en Atenco V</w:t>
      </w:r>
      <w:r>
        <w:rPr>
          <w:rFonts w:ascii="Verdana" w:hAnsi="Verdana"/>
          <w:i/>
          <w:sz w:val="16"/>
          <w:szCs w:val="16"/>
        </w:rPr>
        <w:t>s</w:t>
      </w:r>
      <w:r w:rsidRPr="00A922FC">
        <w:rPr>
          <w:rFonts w:ascii="Verdana" w:hAnsi="Verdana"/>
          <w:i/>
          <w:sz w:val="16"/>
          <w:szCs w:val="16"/>
        </w:rPr>
        <w:t>. México</w:t>
      </w:r>
      <w:r>
        <w:rPr>
          <w:rFonts w:ascii="Verdana" w:hAnsi="Verdana"/>
          <w:i/>
          <w:sz w:val="16"/>
          <w:szCs w:val="16"/>
        </w:rPr>
        <w:t>, supra</w:t>
      </w:r>
      <w:r>
        <w:rPr>
          <w:rFonts w:ascii="Verdana" w:hAnsi="Verdana"/>
          <w:sz w:val="16"/>
          <w:szCs w:val="16"/>
        </w:rPr>
        <w:t>, p</w:t>
      </w:r>
      <w:r w:rsidRPr="00A922FC">
        <w:rPr>
          <w:rFonts w:ascii="Verdana" w:hAnsi="Verdana"/>
          <w:sz w:val="16"/>
          <w:szCs w:val="16"/>
        </w:rPr>
        <w:t>árr. 45.</w:t>
      </w:r>
      <w:r>
        <w:rPr>
          <w:rFonts w:ascii="Verdana" w:hAnsi="Verdana"/>
          <w:sz w:val="16"/>
          <w:szCs w:val="16"/>
        </w:rPr>
        <w:t xml:space="preserve"> </w:t>
      </w:r>
    </w:p>
  </w:footnote>
  <w:footnote w:id="19">
    <w:p w14:paraId="54AC94B5" w14:textId="1149F501" w:rsidR="00A52322" w:rsidRPr="00A922FC" w:rsidRDefault="00A52322" w:rsidP="003C3EE6">
      <w:pPr>
        <w:spacing w:after="0"/>
        <w:jc w:val="both"/>
        <w:rPr>
          <w:rFonts w:ascii="Verdana" w:hAnsi="Verdana"/>
          <w:sz w:val="16"/>
          <w:szCs w:val="16"/>
          <w:lang w:val="es-CR"/>
        </w:rPr>
      </w:pPr>
      <w:r w:rsidRPr="00BA09B6">
        <w:rPr>
          <w:rStyle w:val="Refdenotaalpie"/>
          <w:rFonts w:ascii="Verdana" w:hAnsi="Verdana"/>
          <w:sz w:val="16"/>
          <w:szCs w:val="16"/>
        </w:rPr>
        <w:footnoteRef/>
      </w:r>
      <w:r>
        <w:rPr>
          <w:rFonts w:ascii="Verdana" w:hAnsi="Verdana"/>
          <w:sz w:val="16"/>
          <w:szCs w:val="16"/>
          <w:lang w:val="es-CR"/>
        </w:rPr>
        <w:t xml:space="preserve"> </w:t>
      </w:r>
      <w:r>
        <w:rPr>
          <w:rFonts w:ascii="Verdana" w:hAnsi="Verdana"/>
          <w:sz w:val="16"/>
          <w:szCs w:val="16"/>
          <w:lang w:val="es-CR"/>
        </w:rPr>
        <w:tab/>
        <w:t>Los representantes en el escrito de solicitudes y argumentos</w:t>
      </w:r>
      <w:r w:rsidRPr="00BA09B6">
        <w:rPr>
          <w:rFonts w:ascii="Verdana" w:hAnsi="Verdana"/>
          <w:sz w:val="16"/>
          <w:szCs w:val="16"/>
          <w:lang w:val="es-CR"/>
        </w:rPr>
        <w:t xml:space="preserve"> mencionaron a la madre del señor Valenzuela Ávila como Lesbia Floridalma Ávila López o como Florinda López de López</w:t>
      </w:r>
      <w:r>
        <w:rPr>
          <w:rFonts w:ascii="Verdana" w:hAnsi="Verdana"/>
          <w:sz w:val="16"/>
          <w:szCs w:val="16"/>
          <w:lang w:val="es-CR"/>
        </w:rPr>
        <w:t>, y también en otros documentos aparece como Florinda Ávila</w:t>
      </w:r>
      <w:r w:rsidRPr="00A922FC">
        <w:rPr>
          <w:rFonts w:ascii="Verdana" w:hAnsi="Verdana"/>
          <w:sz w:val="16"/>
          <w:szCs w:val="16"/>
          <w:lang w:val="es-CR"/>
        </w:rPr>
        <w:t xml:space="preserve">. En los anexos </w:t>
      </w:r>
      <w:r>
        <w:rPr>
          <w:rFonts w:ascii="Verdana" w:hAnsi="Verdana"/>
          <w:sz w:val="16"/>
          <w:szCs w:val="16"/>
          <w:lang w:val="es-CR"/>
        </w:rPr>
        <w:t>al escrito de solicitudes y argumentos</w:t>
      </w:r>
      <w:r w:rsidRPr="00A922FC">
        <w:rPr>
          <w:rFonts w:ascii="Verdana" w:hAnsi="Verdana"/>
          <w:sz w:val="16"/>
          <w:szCs w:val="16"/>
          <w:lang w:val="es-CR"/>
        </w:rPr>
        <w:t xml:space="preserve"> se acompaña el certificado de nacimiento de </w:t>
      </w:r>
      <w:r w:rsidRPr="00BA09B6">
        <w:rPr>
          <w:rFonts w:ascii="Verdana" w:hAnsi="Verdana"/>
          <w:sz w:val="16"/>
          <w:szCs w:val="16"/>
          <w:lang w:val="es-CR"/>
        </w:rPr>
        <w:t xml:space="preserve">Florinda López de López y también su documento personal de identificación. En ambos documentos se establece que su nombre es Florinda López de López, así como en el pasaporte presentado al momento de rendir su declaración ante la Corte. En razón de que los representantes usan indistintamente dichos nombres, para efectos de la presente Sentencia, la Corte usará el nombre de Florinda López de López. </w:t>
      </w:r>
    </w:p>
  </w:footnote>
  <w:footnote w:id="20">
    <w:p w14:paraId="3332F976" w14:textId="3F30D9FA" w:rsidR="00A52322" w:rsidRPr="00894A11" w:rsidRDefault="00A52322" w:rsidP="00065EC9">
      <w:pPr>
        <w:pStyle w:val="Textonotapie"/>
        <w:jc w:val="both"/>
        <w:rPr>
          <w:rFonts w:ascii="Verdana" w:hAnsi="Verdana"/>
          <w:sz w:val="16"/>
          <w:szCs w:val="16"/>
        </w:rPr>
      </w:pPr>
      <w:r w:rsidRPr="00A922FC">
        <w:rPr>
          <w:rStyle w:val="Refdenotaalpie"/>
          <w:rFonts w:ascii="Verdana" w:hAnsi="Verdana"/>
          <w:sz w:val="16"/>
          <w:szCs w:val="16"/>
        </w:rPr>
        <w:footnoteRef/>
      </w:r>
      <w:r w:rsidRPr="00A922FC">
        <w:rPr>
          <w:rFonts w:ascii="Verdana" w:hAnsi="Verdana"/>
          <w:sz w:val="16"/>
          <w:szCs w:val="16"/>
          <w:lang w:val="es-CR"/>
        </w:rPr>
        <w:t xml:space="preserve"> </w:t>
      </w:r>
      <w:r w:rsidRPr="00A922FC">
        <w:rPr>
          <w:rFonts w:ascii="Verdana" w:hAnsi="Verdana"/>
          <w:sz w:val="16"/>
          <w:szCs w:val="16"/>
          <w:lang w:val="es-CR"/>
        </w:rPr>
        <w:tab/>
      </w:r>
      <w:r w:rsidRPr="00065EC9">
        <w:rPr>
          <w:rFonts w:ascii="Verdana" w:hAnsi="Verdana"/>
          <w:sz w:val="16"/>
          <w:szCs w:val="16"/>
          <w:lang w:val="es-CR"/>
        </w:rPr>
        <w:t>Los representantes en su escrito de alegatos finales escritos indicaron que aportarían sus partidas de nacimiento</w:t>
      </w:r>
      <w:r>
        <w:rPr>
          <w:rFonts w:ascii="Verdana" w:hAnsi="Verdana"/>
          <w:sz w:val="16"/>
          <w:szCs w:val="16"/>
          <w:lang w:val="es-CR"/>
        </w:rPr>
        <w:t>, las cuales no fueron presentadas</w:t>
      </w:r>
      <w:r w:rsidRPr="00065EC9">
        <w:rPr>
          <w:rFonts w:ascii="Verdana" w:hAnsi="Verdana"/>
          <w:sz w:val="16"/>
          <w:szCs w:val="16"/>
          <w:lang w:val="es-CR"/>
        </w:rPr>
        <w:t xml:space="preserve">. </w:t>
      </w:r>
    </w:p>
  </w:footnote>
  <w:footnote w:id="21">
    <w:p w14:paraId="398B5492" w14:textId="300A5898" w:rsidR="00A52322" w:rsidRPr="00A922FC" w:rsidRDefault="00A52322" w:rsidP="00143445">
      <w:pPr>
        <w:pStyle w:val="Textonotapie"/>
        <w:jc w:val="both"/>
        <w:rPr>
          <w:rFonts w:ascii="Verdana" w:hAnsi="Verdana"/>
          <w:sz w:val="16"/>
          <w:szCs w:val="16"/>
          <w:lang w:val="es-CR"/>
        </w:rPr>
      </w:pPr>
      <w:r w:rsidRPr="00A922FC">
        <w:rPr>
          <w:rStyle w:val="Refdenotaalpie"/>
          <w:rFonts w:ascii="Verdana" w:hAnsi="Verdana"/>
          <w:sz w:val="16"/>
          <w:szCs w:val="16"/>
        </w:rPr>
        <w:footnoteRef/>
      </w:r>
      <w:r w:rsidRPr="00A922FC">
        <w:rPr>
          <w:rFonts w:ascii="Verdana" w:hAnsi="Verdana"/>
          <w:sz w:val="16"/>
          <w:szCs w:val="16"/>
          <w:lang w:val="es-CR"/>
        </w:rPr>
        <w:t xml:space="preserve"> </w:t>
      </w:r>
      <w:r w:rsidRPr="00A922FC">
        <w:rPr>
          <w:rFonts w:ascii="Verdana" w:hAnsi="Verdana"/>
          <w:sz w:val="16"/>
          <w:szCs w:val="16"/>
          <w:lang w:val="es-CR"/>
        </w:rPr>
        <w:tab/>
      </w:r>
      <w:r w:rsidRPr="00A922FC">
        <w:rPr>
          <w:rFonts w:ascii="Verdana" w:hAnsi="Verdana" w:cs="Verdana-Italic"/>
          <w:i/>
          <w:iCs/>
          <w:sz w:val="16"/>
          <w:szCs w:val="16"/>
          <w:lang w:val="es-ES"/>
        </w:rPr>
        <w:t>Cfr. Caso de las Masacres de Ituango Vs. Colombia. Excepción Preliminar, Fondo, Reparaciones y Costas</w:t>
      </w:r>
      <w:r w:rsidRPr="00A922FC">
        <w:rPr>
          <w:rFonts w:ascii="Verdana" w:hAnsi="Verdana" w:cs="Verdana"/>
          <w:sz w:val="16"/>
          <w:szCs w:val="16"/>
          <w:lang w:val="es-ES"/>
        </w:rPr>
        <w:t xml:space="preserve">. Sentencia de 1 de julio de 2006. Serie C No. 148, párr. 98, y </w:t>
      </w:r>
      <w:r w:rsidRPr="00A369B1">
        <w:rPr>
          <w:rFonts w:ascii="Verdana" w:hAnsi="Verdana"/>
          <w:i/>
          <w:sz w:val="16"/>
          <w:szCs w:val="16"/>
        </w:rPr>
        <w:t>Caso Álvarez Ramos Vs. Venezuela. Excepción Preliminar, Fondo, Reparaciones y Costas</w:t>
      </w:r>
      <w:r w:rsidRPr="00796BBA">
        <w:rPr>
          <w:rFonts w:ascii="Verdana" w:hAnsi="Verdana"/>
          <w:sz w:val="16"/>
          <w:szCs w:val="16"/>
        </w:rPr>
        <w:t>. Sentencia de 30 de a</w:t>
      </w:r>
      <w:r>
        <w:rPr>
          <w:rFonts w:ascii="Verdana" w:hAnsi="Verdana"/>
          <w:sz w:val="16"/>
          <w:szCs w:val="16"/>
        </w:rPr>
        <w:t>gosto de 2019. Serie C No. 380,</w:t>
      </w:r>
      <w:r w:rsidRPr="00A922FC">
        <w:rPr>
          <w:rFonts w:ascii="Verdana" w:hAnsi="Verdana" w:cs="Verdana"/>
          <w:sz w:val="16"/>
          <w:szCs w:val="16"/>
          <w:lang w:val="es-ES"/>
        </w:rPr>
        <w:t xml:space="preserve"> párr. </w:t>
      </w:r>
      <w:r>
        <w:rPr>
          <w:rFonts w:ascii="Verdana" w:hAnsi="Verdana" w:cs="Verdana"/>
          <w:sz w:val="16"/>
          <w:szCs w:val="16"/>
          <w:lang w:val="es-ES"/>
        </w:rPr>
        <w:t>31</w:t>
      </w:r>
      <w:r w:rsidRPr="00A922FC">
        <w:rPr>
          <w:rFonts w:ascii="Verdana" w:hAnsi="Verdana" w:cs="Verdana"/>
          <w:sz w:val="16"/>
          <w:szCs w:val="16"/>
          <w:lang w:val="es-ES"/>
        </w:rPr>
        <w:t>.</w:t>
      </w:r>
    </w:p>
  </w:footnote>
  <w:footnote w:id="22">
    <w:p w14:paraId="31383C08" w14:textId="6ACFD1CD" w:rsidR="00A52322" w:rsidRPr="00A922FC" w:rsidRDefault="00A52322" w:rsidP="00143445">
      <w:pPr>
        <w:pStyle w:val="Textonotapie"/>
        <w:jc w:val="both"/>
        <w:rPr>
          <w:rFonts w:ascii="Verdana" w:hAnsi="Verdana"/>
          <w:sz w:val="16"/>
          <w:szCs w:val="16"/>
          <w:lang w:val="es-CR"/>
        </w:rPr>
      </w:pPr>
      <w:r w:rsidRPr="00A922FC">
        <w:rPr>
          <w:rStyle w:val="Refdenotaalpie"/>
          <w:rFonts w:ascii="Verdana" w:hAnsi="Verdana"/>
          <w:sz w:val="16"/>
          <w:szCs w:val="16"/>
        </w:rPr>
        <w:footnoteRef/>
      </w:r>
      <w:r w:rsidRPr="00A922FC">
        <w:rPr>
          <w:rFonts w:ascii="Verdana" w:hAnsi="Verdana"/>
          <w:sz w:val="16"/>
          <w:szCs w:val="16"/>
          <w:lang w:val="es-CR"/>
        </w:rPr>
        <w:t xml:space="preserve"> </w:t>
      </w:r>
      <w:r w:rsidRPr="00A922FC">
        <w:rPr>
          <w:rFonts w:ascii="Verdana" w:hAnsi="Verdana"/>
          <w:sz w:val="16"/>
          <w:szCs w:val="16"/>
          <w:lang w:val="es-CR"/>
        </w:rPr>
        <w:tab/>
      </w:r>
      <w:r w:rsidRPr="00A922FC">
        <w:rPr>
          <w:rFonts w:ascii="Verdana" w:hAnsi="Verdana"/>
          <w:i/>
          <w:sz w:val="16"/>
          <w:szCs w:val="16"/>
          <w:lang w:val="es-CR"/>
        </w:rPr>
        <w:t>Cfr</w:t>
      </w:r>
      <w:r w:rsidRPr="00A922FC">
        <w:rPr>
          <w:rFonts w:ascii="Verdana" w:hAnsi="Verdana"/>
          <w:sz w:val="16"/>
          <w:szCs w:val="16"/>
          <w:lang w:val="es-CR"/>
        </w:rPr>
        <w:t xml:space="preserve">. </w:t>
      </w:r>
      <w:r w:rsidRPr="00A922FC">
        <w:rPr>
          <w:rFonts w:ascii="Verdana" w:hAnsi="Verdana"/>
          <w:bCs/>
          <w:i/>
          <w:sz w:val="16"/>
          <w:szCs w:val="16"/>
          <w:lang w:val="es-ES"/>
        </w:rPr>
        <w:t>Caso Masacres de Río Negro Vs. Guatemala. Excepción Preliminar, Fondo, Reparaciones y Costas</w:t>
      </w:r>
      <w:r w:rsidRPr="00A922FC">
        <w:rPr>
          <w:rFonts w:ascii="Verdana" w:hAnsi="Verdana"/>
          <w:bCs/>
          <w:sz w:val="16"/>
          <w:szCs w:val="16"/>
          <w:lang w:val="es-ES"/>
        </w:rPr>
        <w:t>. Sentencia de 4 de septiembre de 2012. Serie C No. 250, párr. 48</w:t>
      </w:r>
      <w:r w:rsidRPr="00A922FC">
        <w:rPr>
          <w:rFonts w:ascii="Verdana" w:hAnsi="Verdana" w:cs="Verdana"/>
          <w:sz w:val="16"/>
          <w:szCs w:val="16"/>
          <w:lang w:val="es-ES"/>
        </w:rPr>
        <w:t xml:space="preserve">, y </w:t>
      </w:r>
      <w:r w:rsidRPr="00A369B1">
        <w:rPr>
          <w:rFonts w:ascii="Verdana" w:hAnsi="Verdana"/>
          <w:i/>
          <w:sz w:val="16"/>
          <w:szCs w:val="16"/>
        </w:rPr>
        <w:t>Caso Álvarez Ramos Vs. Venezuela</w:t>
      </w:r>
      <w:r>
        <w:rPr>
          <w:rFonts w:ascii="Verdana" w:hAnsi="Verdana"/>
          <w:i/>
          <w:sz w:val="16"/>
          <w:szCs w:val="16"/>
        </w:rPr>
        <w:t>, supra</w:t>
      </w:r>
      <w:r w:rsidRPr="00A922FC">
        <w:rPr>
          <w:rFonts w:ascii="Verdana" w:hAnsi="Verdana"/>
          <w:sz w:val="16"/>
          <w:szCs w:val="16"/>
        </w:rPr>
        <w:t>,</w:t>
      </w:r>
      <w:r w:rsidRPr="00A922FC">
        <w:rPr>
          <w:rFonts w:ascii="Verdana" w:hAnsi="Verdana" w:cs="Verdana"/>
          <w:sz w:val="16"/>
          <w:szCs w:val="16"/>
          <w:lang w:val="es-ES"/>
        </w:rPr>
        <w:t xml:space="preserve"> párr. </w:t>
      </w:r>
      <w:r>
        <w:rPr>
          <w:rFonts w:ascii="Verdana" w:hAnsi="Verdana" w:cs="Verdana"/>
          <w:sz w:val="16"/>
          <w:szCs w:val="16"/>
          <w:lang w:val="es-ES"/>
        </w:rPr>
        <w:t>31</w:t>
      </w:r>
      <w:r w:rsidRPr="00A922FC">
        <w:rPr>
          <w:rFonts w:ascii="Verdana" w:hAnsi="Verdana" w:cs="Verdana"/>
          <w:sz w:val="16"/>
          <w:szCs w:val="16"/>
          <w:lang w:val="es-ES"/>
        </w:rPr>
        <w:t>.</w:t>
      </w:r>
    </w:p>
  </w:footnote>
  <w:footnote w:id="23">
    <w:p w14:paraId="5563D453" w14:textId="2E83009D" w:rsidR="00A52322" w:rsidRPr="00A922FC" w:rsidRDefault="00A52322" w:rsidP="00711E39">
      <w:pPr>
        <w:pStyle w:val="Textonotapie"/>
        <w:jc w:val="both"/>
        <w:rPr>
          <w:rFonts w:ascii="Verdana" w:hAnsi="Verdana"/>
          <w:sz w:val="16"/>
          <w:szCs w:val="16"/>
        </w:rPr>
      </w:pPr>
      <w:r w:rsidRPr="00A922FC">
        <w:rPr>
          <w:rStyle w:val="Refdenotaalpie"/>
          <w:rFonts w:ascii="Verdana" w:hAnsi="Verdana"/>
          <w:sz w:val="16"/>
          <w:szCs w:val="16"/>
        </w:rPr>
        <w:footnoteRef/>
      </w:r>
      <w:r w:rsidRPr="00A922FC">
        <w:rPr>
          <w:rFonts w:ascii="Verdana" w:hAnsi="Verdana"/>
          <w:sz w:val="16"/>
          <w:szCs w:val="16"/>
        </w:rPr>
        <w:t xml:space="preserve">  </w:t>
      </w:r>
      <w:r w:rsidRPr="00A922FC">
        <w:rPr>
          <w:rFonts w:ascii="Verdana" w:hAnsi="Verdana"/>
          <w:sz w:val="16"/>
          <w:szCs w:val="16"/>
        </w:rPr>
        <w:tab/>
      </w:r>
      <w:r w:rsidRPr="00A922FC">
        <w:rPr>
          <w:rFonts w:ascii="Verdana" w:hAnsi="Verdana"/>
          <w:sz w:val="16"/>
          <w:szCs w:val="16"/>
          <w:lang w:val="es-CR"/>
        </w:rPr>
        <w:t xml:space="preserve">El 3 de mayo de 2019 la Secretaría de la Corte, siguiendo instrucciones del Presidente de la Corte, solicitó al Estado la presentación de varios documentos como prueba para mejor resolver, de conformidad con el artículo 58.b) del Reglamento de la Corte. El Estado </w:t>
      </w:r>
      <w:r w:rsidRPr="00A922FC">
        <w:rPr>
          <w:rFonts w:ascii="Verdana" w:eastAsia="Times" w:hAnsi="Verdana"/>
          <w:sz w:val="16"/>
          <w:szCs w:val="16"/>
          <w:lang w:val="es-ES_tradnl"/>
        </w:rPr>
        <w:t>en cuatro oportunidades solicitó una prórroga para la presentación de los referidos documentos, las cuales, siguiendo instrucciones del Presidente de la Corte, fueron concedidas mediante las comunicaciones de esta Secretaría de 15 y 28 de mayo de 2019,</w:t>
      </w:r>
      <w:r>
        <w:rPr>
          <w:rFonts w:ascii="Verdana" w:eastAsia="Times" w:hAnsi="Verdana"/>
          <w:sz w:val="16"/>
          <w:szCs w:val="16"/>
          <w:lang w:val="es-ES_tradnl"/>
        </w:rPr>
        <w:t xml:space="preserve"> y </w:t>
      </w:r>
      <w:r w:rsidRPr="00A922FC">
        <w:rPr>
          <w:rFonts w:ascii="Verdana" w:eastAsia="Times" w:hAnsi="Verdana"/>
          <w:sz w:val="16"/>
          <w:szCs w:val="16"/>
          <w:lang w:val="es-ES_tradnl"/>
        </w:rPr>
        <w:t>de 6 y de 21 de junio de 2019. En su última solicitud y dado lo anterior, siguiendo instrucciones del Presidente, se concedió al Estado un plazo improrrogable qu</w:t>
      </w:r>
      <w:r>
        <w:rPr>
          <w:rFonts w:ascii="Verdana" w:eastAsia="Times" w:hAnsi="Verdana"/>
          <w:sz w:val="16"/>
          <w:szCs w:val="16"/>
          <w:lang w:val="es-ES_tradnl"/>
        </w:rPr>
        <w:t>e vencía el 22 de julio de 2019</w:t>
      </w:r>
      <w:r w:rsidRPr="00A922FC">
        <w:rPr>
          <w:rFonts w:ascii="Verdana" w:eastAsia="Times" w:hAnsi="Verdana"/>
          <w:sz w:val="16"/>
          <w:szCs w:val="16"/>
          <w:lang w:val="es-ES_tradnl"/>
        </w:rPr>
        <w:t xml:space="preserve"> para que remitiera la referida documentación. Finalmente, el Estado no presentó la documentación solicitada</w:t>
      </w:r>
      <w:r w:rsidRPr="0010005F">
        <w:rPr>
          <w:rFonts w:ascii="Verdana" w:eastAsia="Times" w:hAnsi="Verdana"/>
          <w:sz w:val="16"/>
          <w:szCs w:val="16"/>
          <w:lang w:val="es-ES_tradnl"/>
        </w:rPr>
        <w:t>.</w:t>
      </w:r>
    </w:p>
  </w:footnote>
  <w:footnote w:id="24">
    <w:p w14:paraId="71D550B0" w14:textId="77777777" w:rsidR="00A52322" w:rsidRPr="00A922FC" w:rsidRDefault="00A52322" w:rsidP="003C3EE6">
      <w:pPr>
        <w:pStyle w:val="Textonotapie"/>
        <w:jc w:val="both"/>
        <w:rPr>
          <w:rFonts w:ascii="Verdana" w:hAnsi="Verdana"/>
          <w:sz w:val="16"/>
          <w:szCs w:val="16"/>
          <w:lang w:val="es-CR"/>
        </w:rPr>
      </w:pPr>
      <w:r w:rsidRPr="00A922FC">
        <w:rPr>
          <w:rStyle w:val="Refdenotaalpie"/>
          <w:rFonts w:ascii="Verdana" w:hAnsi="Verdana"/>
          <w:sz w:val="16"/>
          <w:szCs w:val="16"/>
        </w:rPr>
        <w:footnoteRef/>
      </w:r>
      <w:r w:rsidRPr="00A922FC">
        <w:rPr>
          <w:rFonts w:ascii="Verdana" w:hAnsi="Verdana"/>
          <w:sz w:val="16"/>
          <w:szCs w:val="16"/>
          <w:lang w:val="es-CR"/>
        </w:rPr>
        <w:t xml:space="preserve"> </w:t>
      </w:r>
      <w:r w:rsidRPr="00A922FC">
        <w:rPr>
          <w:rFonts w:ascii="Verdana" w:hAnsi="Verdana"/>
          <w:sz w:val="16"/>
          <w:szCs w:val="16"/>
          <w:lang w:val="es-CR"/>
        </w:rPr>
        <w:tab/>
      </w:r>
      <w:r w:rsidRPr="00A922FC">
        <w:rPr>
          <w:rFonts w:ascii="Verdana" w:hAnsi="Verdana"/>
          <w:i/>
          <w:sz w:val="16"/>
          <w:szCs w:val="16"/>
          <w:lang w:val="es-CR"/>
        </w:rPr>
        <w:t>Cfr. Caso Velásquez Rodríguez Vs. Honduras. Fondo</w:t>
      </w:r>
      <w:r w:rsidRPr="00A922FC">
        <w:rPr>
          <w:rFonts w:ascii="Verdana" w:hAnsi="Verdana"/>
          <w:sz w:val="16"/>
          <w:szCs w:val="16"/>
          <w:lang w:val="es-CR"/>
        </w:rPr>
        <w:t>. Sentencia de 29 de julio de 1988. Serie C No. 4, párr. 140</w:t>
      </w:r>
      <w:r w:rsidRPr="00E077A2">
        <w:rPr>
          <w:rFonts w:ascii="Verdana" w:hAnsi="Verdana"/>
          <w:sz w:val="16"/>
          <w:szCs w:val="16"/>
          <w:lang w:val="es-CR"/>
        </w:rPr>
        <w:t xml:space="preserve">, y </w:t>
      </w:r>
      <w:r w:rsidRPr="00A81B5C">
        <w:rPr>
          <w:rFonts w:ascii="Verdana" w:hAnsi="Verdana"/>
          <w:bCs/>
          <w:i/>
          <w:sz w:val="16"/>
          <w:szCs w:val="16"/>
        </w:rPr>
        <w:t>Caso Galindo Cárdenas y otros Vs. Perú. Excepciones Preliminares, Fondo, Reparaciones y Costas</w:t>
      </w:r>
      <w:r w:rsidRPr="00A81B5C">
        <w:rPr>
          <w:rFonts w:ascii="Verdana" w:hAnsi="Verdana"/>
          <w:bCs/>
          <w:sz w:val="16"/>
          <w:szCs w:val="16"/>
        </w:rPr>
        <w:t>. Sentencia de 2 de octubre de 2015. Serie C No. 301</w:t>
      </w:r>
      <w:r w:rsidRPr="00A81B5C">
        <w:rPr>
          <w:rFonts w:ascii="Verdana" w:hAnsi="Verdana"/>
          <w:sz w:val="16"/>
          <w:szCs w:val="16"/>
          <w:lang w:val="es-CR"/>
        </w:rPr>
        <w:t>, párr. 67.</w:t>
      </w:r>
    </w:p>
  </w:footnote>
  <w:footnote w:id="25">
    <w:p w14:paraId="1F85564B" w14:textId="77777777" w:rsidR="00A52322" w:rsidRPr="00A922FC" w:rsidRDefault="00A52322" w:rsidP="005E3FB8">
      <w:pPr>
        <w:pStyle w:val="Prrafodelista"/>
        <w:autoSpaceDE w:val="0"/>
        <w:autoSpaceDN w:val="0"/>
        <w:adjustRightInd w:val="0"/>
        <w:spacing w:after="0" w:line="240" w:lineRule="auto"/>
        <w:ind w:left="0"/>
        <w:jc w:val="both"/>
        <w:rPr>
          <w:rFonts w:ascii="Verdana" w:hAnsi="Verdana"/>
          <w:i/>
          <w:sz w:val="16"/>
          <w:szCs w:val="16"/>
          <w:lang w:val="es-CR"/>
        </w:rPr>
      </w:pPr>
      <w:r w:rsidRPr="00A922FC">
        <w:rPr>
          <w:rStyle w:val="Refdenotaalpie"/>
          <w:rFonts w:ascii="Verdana" w:hAnsi="Verdana"/>
          <w:sz w:val="16"/>
          <w:szCs w:val="16"/>
        </w:rPr>
        <w:footnoteRef/>
      </w:r>
      <w:r w:rsidRPr="00A922FC">
        <w:rPr>
          <w:rFonts w:ascii="Verdana" w:hAnsi="Verdana"/>
          <w:sz w:val="16"/>
          <w:szCs w:val="16"/>
        </w:rPr>
        <w:t xml:space="preserve">   </w:t>
      </w:r>
      <w:r w:rsidRPr="00A922FC">
        <w:rPr>
          <w:rFonts w:ascii="Verdana" w:hAnsi="Verdana"/>
          <w:sz w:val="16"/>
          <w:szCs w:val="16"/>
        </w:rPr>
        <w:tab/>
      </w:r>
      <w:r w:rsidRPr="00A922FC">
        <w:rPr>
          <w:rFonts w:ascii="Verdana" w:hAnsi="Verdana"/>
          <w:sz w:val="16"/>
          <w:szCs w:val="16"/>
          <w:lang w:val="es-CR"/>
        </w:rPr>
        <w:t xml:space="preserve">El 6 de marzo de 2019 se informó </w:t>
      </w:r>
      <w:r w:rsidRPr="00A922FC">
        <w:rPr>
          <w:rFonts w:ascii="Verdana" w:hAnsi="Verdana"/>
          <w:color w:val="212121"/>
          <w:sz w:val="16"/>
          <w:szCs w:val="16"/>
          <w:shd w:val="clear" w:color="auto" w:fill="FFFFFF"/>
          <w:lang w:val="es-CR"/>
        </w:rPr>
        <w:t>a los representantes que la admisibilidad de esta prueba ser</w:t>
      </w:r>
      <w:r>
        <w:rPr>
          <w:rFonts w:ascii="Verdana" w:hAnsi="Verdana"/>
          <w:color w:val="212121"/>
          <w:sz w:val="16"/>
          <w:szCs w:val="16"/>
          <w:shd w:val="clear" w:color="auto" w:fill="FFFFFF"/>
          <w:lang w:val="es-CR"/>
        </w:rPr>
        <w:t>ía</w:t>
      </w:r>
      <w:r w:rsidRPr="00A922FC">
        <w:rPr>
          <w:rFonts w:ascii="Verdana" w:hAnsi="Verdana"/>
          <w:color w:val="212121"/>
          <w:sz w:val="16"/>
          <w:szCs w:val="16"/>
          <w:shd w:val="clear" w:color="auto" w:fill="FFFFFF"/>
          <w:lang w:val="es-CR"/>
        </w:rPr>
        <w:t xml:space="preserve"> determinada por el Tribunal en el momento procesal oportuno, y </w:t>
      </w:r>
      <w:r w:rsidRPr="00A922FC">
        <w:rPr>
          <w:rFonts w:ascii="Verdana" w:hAnsi="Verdana"/>
          <w:sz w:val="16"/>
          <w:szCs w:val="16"/>
          <w:lang w:val="es-CR"/>
        </w:rPr>
        <w:t>siguiendo instrucciones del Presidente de la Corte, se concedió al Estado y a la Comisión un plazo hasta el 18 de marzo de 2019, para que present</w:t>
      </w:r>
      <w:r>
        <w:rPr>
          <w:rFonts w:ascii="Verdana" w:hAnsi="Verdana"/>
          <w:sz w:val="16"/>
          <w:szCs w:val="16"/>
          <w:lang w:val="es-CR"/>
        </w:rPr>
        <w:t>arán</w:t>
      </w:r>
      <w:r w:rsidRPr="00A922FC">
        <w:rPr>
          <w:rFonts w:ascii="Verdana" w:hAnsi="Verdana"/>
          <w:sz w:val="16"/>
          <w:szCs w:val="16"/>
          <w:lang w:val="es-CR"/>
        </w:rPr>
        <w:t xml:space="preserve"> las observaciones que estim</w:t>
      </w:r>
      <w:r>
        <w:rPr>
          <w:rFonts w:ascii="Verdana" w:hAnsi="Verdana"/>
          <w:sz w:val="16"/>
          <w:szCs w:val="16"/>
          <w:lang w:val="es-CR"/>
        </w:rPr>
        <w:t>aran</w:t>
      </w:r>
      <w:r w:rsidRPr="00A922FC">
        <w:rPr>
          <w:rFonts w:ascii="Verdana" w:hAnsi="Verdana"/>
          <w:sz w:val="16"/>
          <w:szCs w:val="16"/>
          <w:lang w:val="es-CR"/>
        </w:rPr>
        <w:t xml:space="preserve"> pertinentes respecto al material probatorio presentado los días 17 de enero de 2019 y 5 de marzo de 2019. </w:t>
      </w:r>
      <w:r w:rsidRPr="0060326C">
        <w:rPr>
          <w:rFonts w:ascii="Verdana" w:hAnsi="Verdana"/>
          <w:sz w:val="16"/>
          <w:szCs w:val="16"/>
          <w:lang w:val="es-CR"/>
        </w:rPr>
        <w:t>El 18</w:t>
      </w:r>
      <w:r>
        <w:rPr>
          <w:rFonts w:ascii="Verdana" w:hAnsi="Verdana"/>
          <w:b/>
          <w:sz w:val="16"/>
          <w:szCs w:val="16"/>
          <w:lang w:val="es-CR"/>
        </w:rPr>
        <w:t xml:space="preserve"> </w:t>
      </w:r>
      <w:r w:rsidRPr="00A922FC">
        <w:rPr>
          <w:rFonts w:ascii="Verdana" w:hAnsi="Verdana"/>
          <w:sz w:val="16"/>
          <w:szCs w:val="16"/>
          <w:lang w:val="es-CR"/>
        </w:rPr>
        <w:t>de marzo de 2019 la Comisión y el Estado, respectivamente, remitieron sus observaciones a la prueba superviniente presentada por los representantes.</w:t>
      </w:r>
      <w:r w:rsidRPr="00A922FC">
        <w:rPr>
          <w:rFonts w:ascii="Verdana" w:hAnsi="Verdana"/>
          <w:b/>
          <w:sz w:val="16"/>
          <w:szCs w:val="16"/>
          <w:lang w:val="es-CR"/>
        </w:rPr>
        <w:t xml:space="preserve"> </w:t>
      </w:r>
    </w:p>
  </w:footnote>
  <w:footnote w:id="26">
    <w:p w14:paraId="594C3384" w14:textId="77777777" w:rsidR="00A52322" w:rsidRPr="00A922FC" w:rsidRDefault="00A52322" w:rsidP="003C3EE6">
      <w:pPr>
        <w:pStyle w:val="Textonotapie"/>
        <w:jc w:val="both"/>
        <w:rPr>
          <w:rFonts w:ascii="Verdana" w:hAnsi="Verdana"/>
          <w:sz w:val="16"/>
          <w:szCs w:val="16"/>
          <w:lang w:val="es-CR"/>
        </w:rPr>
      </w:pPr>
      <w:r w:rsidRPr="00A922FC">
        <w:rPr>
          <w:rStyle w:val="Refdenotaalpie"/>
          <w:rFonts w:ascii="Verdana" w:hAnsi="Verdana"/>
          <w:sz w:val="16"/>
          <w:szCs w:val="16"/>
        </w:rPr>
        <w:footnoteRef/>
      </w:r>
      <w:r w:rsidRPr="00A922FC">
        <w:rPr>
          <w:rFonts w:ascii="Verdana" w:hAnsi="Verdana"/>
          <w:sz w:val="16"/>
          <w:szCs w:val="16"/>
          <w:lang w:val="es-CR"/>
        </w:rPr>
        <w:t xml:space="preserve"> </w:t>
      </w:r>
      <w:r w:rsidRPr="00A922FC">
        <w:rPr>
          <w:rFonts w:ascii="Verdana" w:hAnsi="Verdana"/>
          <w:sz w:val="16"/>
          <w:szCs w:val="16"/>
          <w:lang w:val="es-CR"/>
        </w:rPr>
        <w:tab/>
      </w:r>
      <w:r w:rsidRPr="00A81B5C">
        <w:rPr>
          <w:rFonts w:ascii="Verdana" w:hAnsi="Verdana"/>
          <w:sz w:val="16"/>
          <w:szCs w:val="16"/>
          <w:lang w:val="es-CR"/>
        </w:rPr>
        <w:t>Remitieron diversos vínculos disponibles en internet, relacionados con “Noticias Caso Vielmann” (nueve enlaces electrónicos); “Videos caso Vielmann” (diez enlaces electrónicos); “Noticias Expulsión de la CICIG” (cinco enlaces electrónicos), y “Videos relacionados con la Expulsión de la CICIG” (siete enlaces electrónicos).</w:t>
      </w:r>
    </w:p>
  </w:footnote>
  <w:footnote w:id="27">
    <w:p w14:paraId="5B61389A" w14:textId="77777777" w:rsidR="00A52322" w:rsidRPr="006D317C" w:rsidRDefault="00A52322" w:rsidP="00517DEC">
      <w:pPr>
        <w:pStyle w:val="Textonotapie"/>
        <w:jc w:val="both"/>
        <w:rPr>
          <w:rFonts w:ascii="Verdana" w:hAnsi="Verdana"/>
          <w:b/>
          <w:sz w:val="16"/>
          <w:szCs w:val="16"/>
          <w:lang w:val="es-CR"/>
        </w:rPr>
      </w:pPr>
      <w:r w:rsidRPr="00A922FC">
        <w:rPr>
          <w:rStyle w:val="Refdenotaalpie"/>
          <w:rFonts w:ascii="Verdana" w:hAnsi="Verdana"/>
          <w:sz w:val="16"/>
          <w:szCs w:val="16"/>
        </w:rPr>
        <w:footnoteRef/>
      </w:r>
      <w:r w:rsidRPr="00A922FC">
        <w:rPr>
          <w:rFonts w:ascii="Verdana" w:hAnsi="Verdana"/>
          <w:sz w:val="16"/>
          <w:szCs w:val="16"/>
          <w:lang w:val="es-CR"/>
        </w:rPr>
        <w:t xml:space="preserve"> </w:t>
      </w:r>
      <w:r w:rsidRPr="00A922FC">
        <w:rPr>
          <w:rFonts w:ascii="Verdana" w:hAnsi="Verdana"/>
          <w:sz w:val="16"/>
          <w:szCs w:val="16"/>
          <w:lang w:val="es-CR"/>
        </w:rPr>
        <w:tab/>
        <w:t xml:space="preserve">Aportaron los siguientes anexos: anexo 1, Power Point presentado por la CICIG el 29 de octubre de 2018; anexo 2, Tomo I del Expediente M3542-4338; anexo 3, Tomo II del Expediente M3542-4338; anexo 4, Audio 01- 01076-2010-00004 OFC 6TO 1ERA Declaración 13-11-2018.mp3; anexo 5, Audio 01- 01076-2010-00004 OFC 6TO 1ERA Declaración 15-11-2018.mp3; anexo 6, Audio 01- 01076-2010-00004 OFC 6TO 1ERA Declaración 16-11-2018.mp3; anexo 7, Audio 01076-2010-0004 OFC 6TO Resolución 1ERA Declaración 26-11-2018; anexo 8, Recurso de apelación presentado por FECI. Causa 01076-2010-00004; anexo 9, Comunicado de Prensa del Gobierno 040918; anexo 10, Discurso Jimmy Morales AG ONU; anexo 11, Comunicado del Gobierno de Guatemala de 25 de septiembre de 2018; anexo 12, Acuerdo Gubernativo 2-2019; anexo 13, Comunicado oficial de la familia Vielmann, 9 de noviembre de 2018, y anexo 14, Copia </w:t>
      </w:r>
      <w:r w:rsidRPr="00A922FC">
        <w:rPr>
          <w:rFonts w:ascii="Verdana" w:hAnsi="Verdana"/>
          <w:color w:val="212121"/>
          <w:sz w:val="16"/>
          <w:szCs w:val="16"/>
          <w:shd w:val="clear" w:color="auto" w:fill="FFFFFF"/>
          <w:lang w:val="es-CR"/>
        </w:rPr>
        <w:t xml:space="preserve">con firma </w:t>
      </w:r>
      <w:r w:rsidRPr="00A922FC">
        <w:rPr>
          <w:rFonts w:ascii="Verdana" w:hAnsi="Verdana"/>
          <w:sz w:val="16"/>
          <w:szCs w:val="16"/>
          <w:lang w:val="es-CR"/>
        </w:rPr>
        <w:t xml:space="preserve">de recibido de la Solicitud al MP del expediente M3542-4338-2005. </w:t>
      </w:r>
    </w:p>
  </w:footnote>
  <w:footnote w:id="28">
    <w:p w14:paraId="3BC54A21" w14:textId="61681E31" w:rsidR="00A52322" w:rsidRPr="00A922FC" w:rsidRDefault="00A52322" w:rsidP="003C3EE6">
      <w:pPr>
        <w:pStyle w:val="Textonotapie"/>
        <w:jc w:val="both"/>
        <w:rPr>
          <w:rFonts w:ascii="Verdana" w:hAnsi="Verdana"/>
          <w:sz w:val="16"/>
          <w:szCs w:val="16"/>
          <w:lang w:val="es-CR"/>
        </w:rPr>
      </w:pPr>
      <w:r w:rsidRPr="00A922FC">
        <w:rPr>
          <w:rStyle w:val="Refdenotaalpie"/>
          <w:rFonts w:ascii="Verdana" w:hAnsi="Verdana"/>
          <w:sz w:val="16"/>
          <w:szCs w:val="16"/>
        </w:rPr>
        <w:footnoteRef/>
      </w:r>
      <w:r w:rsidRPr="00A922FC">
        <w:rPr>
          <w:rFonts w:ascii="Verdana" w:hAnsi="Verdana"/>
          <w:sz w:val="16"/>
          <w:szCs w:val="16"/>
          <w:lang w:val="es-CR"/>
        </w:rPr>
        <w:t xml:space="preserve"> </w:t>
      </w:r>
      <w:r w:rsidRPr="00A922FC">
        <w:rPr>
          <w:rFonts w:ascii="Verdana" w:hAnsi="Verdana"/>
          <w:sz w:val="16"/>
          <w:szCs w:val="16"/>
          <w:lang w:val="es-CR"/>
        </w:rPr>
        <w:tab/>
        <w:t>Los doc</w:t>
      </w:r>
      <w:r>
        <w:rPr>
          <w:rFonts w:ascii="Verdana" w:hAnsi="Verdana"/>
          <w:sz w:val="16"/>
          <w:szCs w:val="16"/>
          <w:lang w:val="es-CR"/>
        </w:rPr>
        <w:t>umentos presentados son: anexo 1</w:t>
      </w:r>
      <w:r w:rsidRPr="00A922FC">
        <w:rPr>
          <w:rFonts w:ascii="Verdana" w:hAnsi="Verdana"/>
          <w:sz w:val="16"/>
          <w:szCs w:val="16"/>
          <w:lang w:val="es-CR"/>
        </w:rPr>
        <w:t xml:space="preserve">, Escrito de acusación de 26 de febrero </w:t>
      </w:r>
      <w:r>
        <w:rPr>
          <w:rFonts w:ascii="Verdana" w:hAnsi="Verdana"/>
          <w:sz w:val="16"/>
          <w:szCs w:val="16"/>
          <w:lang w:val="es-CR"/>
        </w:rPr>
        <w:t>de 2019 presentado por el fiscal C</w:t>
      </w:r>
      <w:r w:rsidRPr="00A922FC">
        <w:rPr>
          <w:rFonts w:ascii="Verdana" w:hAnsi="Verdana"/>
          <w:sz w:val="16"/>
          <w:szCs w:val="16"/>
          <w:lang w:val="es-CR"/>
        </w:rPr>
        <w:t>VN, de l</w:t>
      </w:r>
      <w:r>
        <w:rPr>
          <w:rFonts w:ascii="Verdana" w:hAnsi="Verdana"/>
          <w:sz w:val="16"/>
          <w:szCs w:val="16"/>
          <w:lang w:val="es-CR"/>
        </w:rPr>
        <w:t>a Fiscalía E</w:t>
      </w:r>
      <w:r w:rsidRPr="00A922FC">
        <w:rPr>
          <w:rFonts w:ascii="Verdana" w:hAnsi="Verdana"/>
          <w:sz w:val="16"/>
          <w:szCs w:val="16"/>
          <w:lang w:val="es-CR"/>
        </w:rPr>
        <w:t>special contra la impunidad del Ministerio Público ante el Juez del Juzgado Primero de Primera Instancia Penal, Narcoactividad y Delitos contra el Ambiente con competencia para conocer procesos de mayor riesgo, Grupo “A”, agencia 4, expediente MP: M3542-2005-4338,</w:t>
      </w:r>
      <w:r>
        <w:rPr>
          <w:rFonts w:ascii="Verdana" w:hAnsi="Verdana"/>
          <w:sz w:val="16"/>
          <w:szCs w:val="16"/>
          <w:lang w:val="es-CR"/>
        </w:rPr>
        <w:t xml:space="preserve"> Causa 01076-2010-00004; anexo 2</w:t>
      </w:r>
      <w:r w:rsidRPr="00A922FC">
        <w:rPr>
          <w:rFonts w:ascii="Verdana" w:hAnsi="Verdana"/>
          <w:sz w:val="16"/>
          <w:szCs w:val="16"/>
          <w:lang w:val="es-CR"/>
        </w:rPr>
        <w:t>, Waxennecker, H Redes ilícitas y crisis política: La REALIDAD DEL CONGRESO GUATEMALTECO, CICIG. Guat</w:t>
      </w:r>
      <w:r>
        <w:rPr>
          <w:rFonts w:ascii="Verdana" w:hAnsi="Verdana"/>
          <w:sz w:val="16"/>
          <w:szCs w:val="16"/>
          <w:lang w:val="es-CR"/>
        </w:rPr>
        <w:t>emala, 2019. Pág. 34. El anexo 3</w:t>
      </w:r>
      <w:r w:rsidRPr="00A922FC">
        <w:rPr>
          <w:rFonts w:ascii="Verdana" w:hAnsi="Verdana"/>
          <w:sz w:val="16"/>
          <w:szCs w:val="16"/>
          <w:lang w:val="es-CR"/>
        </w:rPr>
        <w:t xml:space="preserve">: carpeta con respaldos de gastos sobrevinientes, no fue presentado. </w:t>
      </w:r>
    </w:p>
  </w:footnote>
  <w:footnote w:id="29">
    <w:p w14:paraId="1AB9BA31" w14:textId="39C18D47" w:rsidR="00A52322" w:rsidRPr="002E5280" w:rsidRDefault="00A52322" w:rsidP="004F6269">
      <w:pPr>
        <w:spacing w:after="0" w:line="240" w:lineRule="auto"/>
        <w:jc w:val="both"/>
        <w:rPr>
          <w:sz w:val="16"/>
          <w:szCs w:val="16"/>
          <w:lang w:val="es-CR"/>
        </w:rPr>
      </w:pPr>
      <w:r w:rsidRPr="002E5280">
        <w:rPr>
          <w:rStyle w:val="Refdenotaalpie"/>
          <w:rFonts w:ascii="Verdana" w:hAnsi="Verdana"/>
          <w:sz w:val="16"/>
          <w:szCs w:val="16"/>
        </w:rPr>
        <w:footnoteRef/>
      </w:r>
      <w:r w:rsidRPr="002E5280">
        <w:rPr>
          <w:rFonts w:ascii="Verdana" w:hAnsi="Verdana"/>
          <w:sz w:val="16"/>
          <w:szCs w:val="16"/>
        </w:rPr>
        <w:t xml:space="preserve"> </w:t>
      </w:r>
      <w:r w:rsidRPr="002E5280">
        <w:rPr>
          <w:rFonts w:ascii="Verdana" w:hAnsi="Verdana"/>
          <w:sz w:val="16"/>
          <w:szCs w:val="16"/>
        </w:rPr>
        <w:tab/>
      </w:r>
      <w:r w:rsidRPr="006E0C5E">
        <w:rPr>
          <w:rFonts w:ascii="Verdana" w:eastAsia="Verdana" w:hAnsi="Verdana" w:cs="Verdana"/>
          <w:sz w:val="16"/>
          <w:szCs w:val="16"/>
        </w:rPr>
        <w:t xml:space="preserve">La Corte recibió la declaración mediante afidávit de </w:t>
      </w:r>
      <w:r w:rsidRPr="006E0C5E">
        <w:rPr>
          <w:rFonts w:ascii="Verdana" w:hAnsi="Verdana"/>
          <w:sz w:val="16"/>
          <w:szCs w:val="16"/>
          <w:lang w:val="es-CR"/>
        </w:rPr>
        <w:t>Luis Fernando Valenzuela Ruiz.</w:t>
      </w:r>
    </w:p>
  </w:footnote>
  <w:footnote w:id="30">
    <w:p w14:paraId="6228BA59" w14:textId="4E5973D3" w:rsidR="00A52322" w:rsidRPr="00A922FC" w:rsidRDefault="00A52322" w:rsidP="00143445">
      <w:pPr>
        <w:pStyle w:val="Textonotapie"/>
        <w:jc w:val="both"/>
        <w:rPr>
          <w:rFonts w:ascii="Verdana" w:hAnsi="Verdana"/>
          <w:sz w:val="16"/>
          <w:szCs w:val="16"/>
          <w:lang w:val="es-CR"/>
        </w:rPr>
      </w:pPr>
      <w:r w:rsidRPr="00A922FC">
        <w:rPr>
          <w:rStyle w:val="Refdenotaalpie"/>
          <w:rFonts w:ascii="Verdana" w:hAnsi="Verdana"/>
          <w:sz w:val="16"/>
          <w:szCs w:val="16"/>
        </w:rPr>
        <w:footnoteRef/>
      </w:r>
      <w:r w:rsidRPr="00A922FC">
        <w:rPr>
          <w:rFonts w:ascii="Verdana" w:hAnsi="Verdana"/>
          <w:sz w:val="16"/>
          <w:szCs w:val="16"/>
          <w:lang w:val="es-CR"/>
        </w:rPr>
        <w:t xml:space="preserve"> </w:t>
      </w:r>
      <w:r w:rsidRPr="00A922FC">
        <w:rPr>
          <w:rFonts w:ascii="Verdana" w:hAnsi="Verdana"/>
          <w:sz w:val="16"/>
          <w:szCs w:val="16"/>
          <w:lang w:val="es-CR"/>
        </w:rPr>
        <w:tab/>
        <w:t>En cuanto a las alusiones del Estado relacionadas con su condici</w:t>
      </w:r>
      <w:r>
        <w:rPr>
          <w:rFonts w:ascii="Verdana" w:hAnsi="Verdana"/>
          <w:sz w:val="16"/>
          <w:szCs w:val="16"/>
          <w:lang w:val="es-CR"/>
        </w:rPr>
        <w:t>ón de presuntas víctimas, este T</w:t>
      </w:r>
      <w:r w:rsidRPr="00A922FC">
        <w:rPr>
          <w:rFonts w:ascii="Verdana" w:hAnsi="Verdana"/>
          <w:sz w:val="16"/>
          <w:szCs w:val="16"/>
          <w:lang w:val="es-CR"/>
        </w:rPr>
        <w:t>ribunal se remite a lo ya resuelto (</w:t>
      </w:r>
      <w:r w:rsidRPr="00A922FC">
        <w:rPr>
          <w:rFonts w:ascii="Verdana" w:hAnsi="Verdana"/>
          <w:i/>
          <w:sz w:val="16"/>
          <w:szCs w:val="16"/>
          <w:lang w:val="es-CR"/>
        </w:rPr>
        <w:t>supra</w:t>
      </w:r>
      <w:r w:rsidRPr="00A922FC">
        <w:rPr>
          <w:rFonts w:ascii="Verdana" w:hAnsi="Verdana"/>
          <w:sz w:val="16"/>
          <w:szCs w:val="16"/>
          <w:lang w:val="es-CR"/>
        </w:rPr>
        <w:t xml:space="preserve"> párr. </w:t>
      </w:r>
      <w:r>
        <w:rPr>
          <w:rFonts w:ascii="Verdana" w:hAnsi="Verdana"/>
          <w:sz w:val="16"/>
          <w:szCs w:val="16"/>
          <w:lang w:val="es-CR"/>
        </w:rPr>
        <w:t>52</w:t>
      </w:r>
      <w:r w:rsidRPr="00A922FC">
        <w:rPr>
          <w:rFonts w:ascii="Verdana" w:hAnsi="Verdana"/>
          <w:sz w:val="16"/>
          <w:szCs w:val="16"/>
          <w:lang w:val="es-CR"/>
        </w:rPr>
        <w:t xml:space="preserve">). </w:t>
      </w:r>
    </w:p>
  </w:footnote>
  <w:footnote w:id="31">
    <w:p w14:paraId="4F81CC49" w14:textId="216D9D73" w:rsidR="00A52322" w:rsidRPr="00A922FC" w:rsidRDefault="00A52322" w:rsidP="00143445">
      <w:pPr>
        <w:pStyle w:val="Textonotapie"/>
        <w:jc w:val="both"/>
        <w:rPr>
          <w:rFonts w:ascii="Verdana" w:hAnsi="Verdana"/>
          <w:sz w:val="16"/>
          <w:szCs w:val="16"/>
          <w:lang w:val="es-CR"/>
        </w:rPr>
      </w:pPr>
      <w:r w:rsidRPr="00A922FC">
        <w:rPr>
          <w:rStyle w:val="Refdenotaalpie"/>
          <w:rFonts w:ascii="Verdana" w:hAnsi="Verdana"/>
          <w:sz w:val="16"/>
          <w:szCs w:val="16"/>
        </w:rPr>
        <w:footnoteRef/>
      </w:r>
      <w:r w:rsidRPr="00A922FC">
        <w:rPr>
          <w:rFonts w:ascii="Verdana" w:hAnsi="Verdana"/>
          <w:sz w:val="16"/>
          <w:szCs w:val="16"/>
          <w:lang w:val="es-CR"/>
        </w:rPr>
        <w:t xml:space="preserve"> </w:t>
      </w:r>
      <w:r w:rsidRPr="00A922FC">
        <w:rPr>
          <w:rFonts w:ascii="Verdana" w:hAnsi="Verdana"/>
          <w:sz w:val="16"/>
          <w:szCs w:val="16"/>
          <w:lang w:val="es-CR"/>
        </w:rPr>
        <w:tab/>
        <w:t xml:space="preserve">Constitución Política de la República de Guatemala decretada por la Asamblea Constituyente, </w:t>
      </w:r>
      <w:r>
        <w:rPr>
          <w:rFonts w:ascii="Verdana" w:hAnsi="Verdana"/>
          <w:sz w:val="16"/>
          <w:szCs w:val="16"/>
          <w:lang w:val="es-CR"/>
        </w:rPr>
        <w:t xml:space="preserve">de </w:t>
      </w:r>
      <w:r w:rsidRPr="00A922FC">
        <w:rPr>
          <w:rFonts w:ascii="Verdana" w:hAnsi="Verdana"/>
          <w:sz w:val="16"/>
          <w:szCs w:val="16"/>
          <w:lang w:val="es-CR"/>
        </w:rPr>
        <w:t>31 de mayo de 1985, Reformada por la Consulta Popular Acuerdo Legislativo 18-93</w:t>
      </w:r>
      <w:r>
        <w:rPr>
          <w:rFonts w:ascii="Verdana" w:hAnsi="Verdana"/>
          <w:sz w:val="16"/>
          <w:szCs w:val="16"/>
          <w:lang w:val="es-CR"/>
        </w:rPr>
        <w:t>.</w:t>
      </w:r>
    </w:p>
    <w:p w14:paraId="4186F233" w14:textId="77777777" w:rsidR="00A52322" w:rsidRPr="00A922FC" w:rsidRDefault="00A52322" w:rsidP="00143445">
      <w:pPr>
        <w:pStyle w:val="Textonotapie"/>
        <w:ind w:left="270"/>
        <w:jc w:val="both"/>
        <w:rPr>
          <w:rFonts w:ascii="Verdana" w:hAnsi="Verdana"/>
          <w:sz w:val="16"/>
          <w:szCs w:val="16"/>
          <w:lang w:val="es-PE"/>
        </w:rPr>
      </w:pPr>
      <w:r w:rsidRPr="00A922FC">
        <w:rPr>
          <w:rFonts w:ascii="Verdana" w:hAnsi="Verdana"/>
          <w:sz w:val="16"/>
          <w:szCs w:val="16"/>
          <w:lang w:val="es-CR"/>
        </w:rPr>
        <w:t xml:space="preserve">“Artículo 18. </w:t>
      </w:r>
      <w:r w:rsidRPr="00A922FC">
        <w:rPr>
          <w:rFonts w:ascii="Verdana" w:hAnsi="Verdana"/>
          <w:sz w:val="16"/>
          <w:szCs w:val="16"/>
          <w:lang w:val="es-PE"/>
        </w:rPr>
        <w:t>Pena de muerte. La pena de muerte no podrá imponerse en los siguientes casos:</w:t>
      </w:r>
    </w:p>
    <w:p w14:paraId="710654A8" w14:textId="77777777" w:rsidR="00A52322" w:rsidRPr="00A922FC" w:rsidRDefault="00A52322" w:rsidP="00143445">
      <w:pPr>
        <w:pStyle w:val="Textonotapie"/>
        <w:ind w:left="360"/>
        <w:jc w:val="both"/>
        <w:rPr>
          <w:rFonts w:ascii="Verdana" w:hAnsi="Verdana"/>
          <w:sz w:val="16"/>
          <w:szCs w:val="16"/>
          <w:lang w:val="es-PE"/>
        </w:rPr>
      </w:pPr>
      <w:r w:rsidRPr="00A922FC">
        <w:rPr>
          <w:rFonts w:ascii="Verdana" w:hAnsi="Verdana"/>
          <w:sz w:val="16"/>
          <w:szCs w:val="16"/>
          <w:lang w:val="es-PE"/>
        </w:rPr>
        <w:t>a. Con fundamento en presunciones;</w:t>
      </w:r>
    </w:p>
    <w:p w14:paraId="1AEAB1D6" w14:textId="77777777" w:rsidR="00A52322" w:rsidRPr="00A922FC" w:rsidRDefault="00A52322" w:rsidP="00143445">
      <w:pPr>
        <w:pStyle w:val="Textonotapie"/>
        <w:ind w:left="360"/>
        <w:jc w:val="both"/>
        <w:rPr>
          <w:rFonts w:ascii="Verdana" w:hAnsi="Verdana"/>
          <w:sz w:val="16"/>
          <w:szCs w:val="16"/>
          <w:lang w:val="es-PE"/>
        </w:rPr>
      </w:pPr>
      <w:r w:rsidRPr="00A922FC">
        <w:rPr>
          <w:rFonts w:ascii="Verdana" w:hAnsi="Verdana"/>
          <w:sz w:val="16"/>
          <w:szCs w:val="16"/>
          <w:lang w:val="es-PE"/>
        </w:rPr>
        <w:t>b. A las mujeres;</w:t>
      </w:r>
    </w:p>
    <w:p w14:paraId="38B51B83" w14:textId="77777777" w:rsidR="00A52322" w:rsidRPr="00A922FC" w:rsidRDefault="00A52322" w:rsidP="00143445">
      <w:pPr>
        <w:pStyle w:val="Textonotapie"/>
        <w:ind w:left="360"/>
        <w:jc w:val="both"/>
        <w:rPr>
          <w:rFonts w:ascii="Verdana" w:hAnsi="Verdana"/>
          <w:sz w:val="16"/>
          <w:szCs w:val="16"/>
          <w:lang w:val="es-PE"/>
        </w:rPr>
      </w:pPr>
      <w:r w:rsidRPr="00A922FC">
        <w:rPr>
          <w:rFonts w:ascii="Verdana" w:hAnsi="Verdana"/>
          <w:sz w:val="16"/>
          <w:szCs w:val="16"/>
          <w:lang w:val="es-PE"/>
        </w:rPr>
        <w:t>c. A los mayores de sesenta años;</w:t>
      </w:r>
    </w:p>
    <w:p w14:paraId="16ED2FFB" w14:textId="77777777" w:rsidR="00A52322" w:rsidRPr="00A922FC" w:rsidRDefault="00A52322" w:rsidP="00143445">
      <w:pPr>
        <w:pStyle w:val="Textonotapie"/>
        <w:ind w:left="360"/>
        <w:jc w:val="both"/>
        <w:rPr>
          <w:rFonts w:ascii="Verdana" w:hAnsi="Verdana"/>
          <w:sz w:val="16"/>
          <w:szCs w:val="16"/>
          <w:lang w:val="es-PE"/>
        </w:rPr>
      </w:pPr>
      <w:r w:rsidRPr="00A922FC">
        <w:rPr>
          <w:rFonts w:ascii="Verdana" w:hAnsi="Verdana"/>
          <w:sz w:val="16"/>
          <w:szCs w:val="16"/>
          <w:lang w:val="es-PE"/>
        </w:rPr>
        <w:t>d. A los reos de delitos políticos y comunes conexos con los políticos; y</w:t>
      </w:r>
    </w:p>
    <w:p w14:paraId="24567D49" w14:textId="77777777" w:rsidR="00A52322" w:rsidRPr="00A922FC" w:rsidRDefault="00A52322" w:rsidP="00143445">
      <w:pPr>
        <w:pStyle w:val="Textonotapie"/>
        <w:ind w:left="360"/>
        <w:jc w:val="both"/>
        <w:rPr>
          <w:rFonts w:ascii="Verdana" w:hAnsi="Verdana"/>
          <w:sz w:val="16"/>
          <w:szCs w:val="16"/>
          <w:lang w:val="es-PE"/>
        </w:rPr>
      </w:pPr>
      <w:r w:rsidRPr="00A922FC">
        <w:rPr>
          <w:rFonts w:ascii="Verdana" w:hAnsi="Verdana"/>
          <w:sz w:val="16"/>
          <w:szCs w:val="16"/>
          <w:lang w:val="es-PE"/>
        </w:rPr>
        <w:t xml:space="preserve">e. </w:t>
      </w:r>
      <w:r w:rsidRPr="00A922FC">
        <w:rPr>
          <w:rFonts w:ascii="Verdana" w:hAnsi="Verdana"/>
          <w:i/>
          <w:iCs/>
          <w:sz w:val="16"/>
          <w:szCs w:val="16"/>
          <w:lang w:val="es-PE"/>
        </w:rPr>
        <w:t xml:space="preserve">A </w:t>
      </w:r>
      <w:r w:rsidRPr="00A922FC">
        <w:rPr>
          <w:rFonts w:ascii="Verdana" w:hAnsi="Verdana"/>
          <w:sz w:val="16"/>
          <w:szCs w:val="16"/>
          <w:lang w:val="es-PE"/>
        </w:rPr>
        <w:t>reos cuya extradición haya sido concedida bajo esa condición.</w:t>
      </w:r>
    </w:p>
    <w:p w14:paraId="25112FD7" w14:textId="77777777" w:rsidR="00A52322" w:rsidRPr="00A922FC" w:rsidRDefault="00A52322" w:rsidP="00143445">
      <w:pPr>
        <w:pStyle w:val="Textonotapie"/>
        <w:ind w:left="360"/>
        <w:jc w:val="both"/>
        <w:rPr>
          <w:rFonts w:ascii="Verdana" w:hAnsi="Verdana"/>
          <w:sz w:val="16"/>
          <w:szCs w:val="16"/>
          <w:lang w:val="es-ES_tradnl"/>
        </w:rPr>
      </w:pPr>
      <w:r w:rsidRPr="00A922FC">
        <w:rPr>
          <w:rFonts w:ascii="Verdana" w:hAnsi="Verdana"/>
          <w:sz w:val="16"/>
          <w:szCs w:val="16"/>
          <w:lang w:val="es-PE"/>
        </w:rPr>
        <w:t>Contra la sentencia que imponga la pena de muerte, serán admisibles todos los recursos legales pertinentes, inclusive el de casación; éste siempre será admitido para su trámite. La pena se ejecutará después de agotarse todos los recursos. El Congreso de la República podrá abolir la pena de muerte”.</w:t>
      </w:r>
    </w:p>
  </w:footnote>
  <w:footnote w:id="32">
    <w:p w14:paraId="1F65082D" w14:textId="77777777" w:rsidR="00A52322" w:rsidRPr="00A922FC" w:rsidRDefault="00A52322" w:rsidP="00143445">
      <w:pPr>
        <w:pStyle w:val="Textonotapie"/>
        <w:jc w:val="both"/>
        <w:rPr>
          <w:rFonts w:ascii="Verdana" w:hAnsi="Verdana"/>
          <w:sz w:val="16"/>
          <w:szCs w:val="16"/>
          <w:lang w:val="es-ES_tradnl"/>
        </w:rPr>
      </w:pPr>
      <w:r w:rsidRPr="00A922FC">
        <w:rPr>
          <w:rStyle w:val="Refdenotaalpie"/>
          <w:rFonts w:ascii="Verdana" w:hAnsi="Verdana"/>
          <w:sz w:val="16"/>
          <w:szCs w:val="16"/>
        </w:rPr>
        <w:footnoteRef/>
      </w:r>
      <w:r w:rsidRPr="00A922FC">
        <w:rPr>
          <w:rFonts w:ascii="Verdana" w:hAnsi="Verdana"/>
          <w:sz w:val="16"/>
          <w:szCs w:val="16"/>
          <w:lang w:val="es-CR"/>
        </w:rPr>
        <w:t xml:space="preserve"> </w:t>
      </w:r>
      <w:r w:rsidRPr="00A922FC">
        <w:rPr>
          <w:rFonts w:ascii="Verdana" w:hAnsi="Verdana"/>
          <w:sz w:val="16"/>
          <w:szCs w:val="16"/>
          <w:lang w:val="es-CR"/>
        </w:rPr>
        <w:tab/>
      </w:r>
      <w:r w:rsidRPr="00A922FC">
        <w:rPr>
          <w:rFonts w:ascii="Verdana" w:hAnsi="Verdana"/>
          <w:sz w:val="16"/>
          <w:szCs w:val="16"/>
          <w:lang w:val="es-ES_tradnl"/>
        </w:rPr>
        <w:t xml:space="preserve">Código Penal, Decreto del Congreso de la República de Guatemala </w:t>
      </w:r>
      <w:r>
        <w:rPr>
          <w:rFonts w:ascii="Verdana" w:hAnsi="Verdana"/>
          <w:sz w:val="16"/>
          <w:szCs w:val="16"/>
          <w:lang w:val="es-ES_tradnl"/>
        </w:rPr>
        <w:t xml:space="preserve">Decreto </w:t>
      </w:r>
      <w:r w:rsidRPr="00A922FC">
        <w:rPr>
          <w:rFonts w:ascii="Verdana" w:hAnsi="Verdana"/>
          <w:sz w:val="16"/>
          <w:szCs w:val="16"/>
          <w:lang w:val="es-ES_tradnl"/>
        </w:rPr>
        <w:t>No. 17-73</w:t>
      </w:r>
      <w:r>
        <w:rPr>
          <w:rFonts w:ascii="Verdana" w:hAnsi="Verdana"/>
          <w:sz w:val="16"/>
          <w:szCs w:val="16"/>
          <w:lang w:val="es-ES_tradnl"/>
        </w:rPr>
        <w:t xml:space="preserve"> promulgado el 27 de julio de 1973.</w:t>
      </w:r>
    </w:p>
    <w:p w14:paraId="01F75B40" w14:textId="77777777" w:rsidR="00A52322" w:rsidRPr="00A922FC" w:rsidRDefault="00A52322" w:rsidP="00143445">
      <w:pPr>
        <w:pStyle w:val="Textonotapie"/>
        <w:ind w:left="360"/>
        <w:jc w:val="both"/>
        <w:rPr>
          <w:rFonts w:ascii="Verdana" w:hAnsi="Verdana"/>
          <w:sz w:val="16"/>
          <w:szCs w:val="16"/>
          <w:lang w:val="es-PE"/>
        </w:rPr>
      </w:pPr>
      <w:r w:rsidRPr="00A922FC">
        <w:rPr>
          <w:rFonts w:ascii="Verdana" w:hAnsi="Verdana"/>
          <w:sz w:val="16"/>
          <w:szCs w:val="16"/>
          <w:lang w:val="es-ES_tradnl"/>
        </w:rPr>
        <w:t xml:space="preserve">“Artículo 43. </w:t>
      </w:r>
      <w:r w:rsidRPr="00A922FC">
        <w:rPr>
          <w:rFonts w:ascii="Verdana" w:hAnsi="Verdana"/>
          <w:sz w:val="16"/>
          <w:szCs w:val="16"/>
          <w:lang w:val="es-PE"/>
        </w:rPr>
        <w:t>La pena de muerte, tiene carácter extraordinario y solo podrá aplicarse en los casos expresamente consignados en la ley y no se ejecutará, sino después de agotarse todos los recursos legales.</w:t>
      </w:r>
    </w:p>
    <w:p w14:paraId="097462DF" w14:textId="77777777" w:rsidR="00A52322" w:rsidRPr="00A922FC" w:rsidRDefault="00A52322" w:rsidP="00143445">
      <w:pPr>
        <w:pStyle w:val="Textonotapie"/>
        <w:ind w:left="360"/>
        <w:jc w:val="both"/>
        <w:rPr>
          <w:rFonts w:ascii="Verdana" w:hAnsi="Verdana"/>
          <w:sz w:val="16"/>
          <w:szCs w:val="16"/>
          <w:lang w:val="es-PE"/>
        </w:rPr>
      </w:pPr>
      <w:r w:rsidRPr="00A922FC">
        <w:rPr>
          <w:rFonts w:ascii="Verdana" w:hAnsi="Verdana"/>
          <w:sz w:val="16"/>
          <w:szCs w:val="16"/>
          <w:lang w:val="es-PE"/>
        </w:rPr>
        <w:t>No podrá imponerse la pena de muerte:</w:t>
      </w:r>
    </w:p>
    <w:p w14:paraId="5101B677" w14:textId="77777777" w:rsidR="00A52322" w:rsidRPr="00A922FC" w:rsidRDefault="00A52322" w:rsidP="00143445">
      <w:pPr>
        <w:pStyle w:val="Textonotapie"/>
        <w:ind w:left="360"/>
        <w:jc w:val="both"/>
        <w:rPr>
          <w:rFonts w:ascii="Verdana" w:hAnsi="Verdana"/>
          <w:sz w:val="16"/>
          <w:szCs w:val="16"/>
          <w:lang w:val="es-PE"/>
        </w:rPr>
      </w:pPr>
      <w:r w:rsidRPr="00A922FC">
        <w:rPr>
          <w:rFonts w:ascii="Verdana" w:hAnsi="Verdana"/>
          <w:sz w:val="16"/>
          <w:szCs w:val="16"/>
          <w:lang w:val="es-PE"/>
        </w:rPr>
        <w:t>1. Por delitos políticos</w:t>
      </w:r>
      <w:r>
        <w:rPr>
          <w:rFonts w:ascii="Verdana" w:hAnsi="Verdana"/>
          <w:sz w:val="16"/>
          <w:szCs w:val="16"/>
          <w:lang w:val="es-PE"/>
        </w:rPr>
        <w:t>.</w:t>
      </w:r>
    </w:p>
    <w:p w14:paraId="49C1DF91" w14:textId="77777777" w:rsidR="00A52322" w:rsidRPr="00A922FC" w:rsidRDefault="00A52322" w:rsidP="00143445">
      <w:pPr>
        <w:pStyle w:val="Textonotapie"/>
        <w:ind w:left="360"/>
        <w:jc w:val="both"/>
        <w:rPr>
          <w:rFonts w:ascii="Verdana" w:hAnsi="Verdana"/>
          <w:sz w:val="16"/>
          <w:szCs w:val="16"/>
          <w:lang w:val="es-PE"/>
        </w:rPr>
      </w:pPr>
      <w:r w:rsidRPr="00A922FC">
        <w:rPr>
          <w:rFonts w:ascii="Verdana" w:hAnsi="Verdana"/>
          <w:sz w:val="16"/>
          <w:szCs w:val="16"/>
          <w:lang w:val="es-PE"/>
        </w:rPr>
        <w:t>2. Cuando la condena se fundamente en presunciones</w:t>
      </w:r>
      <w:r>
        <w:rPr>
          <w:rFonts w:ascii="Verdana" w:hAnsi="Verdana"/>
          <w:sz w:val="16"/>
          <w:szCs w:val="16"/>
          <w:lang w:val="es-PE"/>
        </w:rPr>
        <w:t>.</w:t>
      </w:r>
    </w:p>
    <w:p w14:paraId="2DAAA142" w14:textId="77777777" w:rsidR="00A52322" w:rsidRPr="00A922FC" w:rsidRDefault="00A52322" w:rsidP="00143445">
      <w:pPr>
        <w:pStyle w:val="Textonotapie"/>
        <w:ind w:left="360"/>
        <w:jc w:val="both"/>
        <w:rPr>
          <w:rFonts w:ascii="Verdana" w:hAnsi="Verdana"/>
          <w:sz w:val="16"/>
          <w:szCs w:val="16"/>
          <w:lang w:val="es-PE"/>
        </w:rPr>
      </w:pPr>
      <w:r w:rsidRPr="00A922FC">
        <w:rPr>
          <w:rFonts w:ascii="Verdana" w:hAnsi="Verdana"/>
          <w:sz w:val="16"/>
          <w:szCs w:val="16"/>
          <w:lang w:val="es-PE"/>
        </w:rPr>
        <w:t xml:space="preserve">3. </w:t>
      </w:r>
      <w:r w:rsidRPr="00A922FC">
        <w:rPr>
          <w:rFonts w:ascii="Verdana" w:hAnsi="Verdana"/>
          <w:i/>
          <w:iCs/>
          <w:sz w:val="16"/>
          <w:szCs w:val="16"/>
          <w:lang w:val="es-PE"/>
        </w:rPr>
        <w:t xml:space="preserve">A </w:t>
      </w:r>
      <w:r w:rsidRPr="00A922FC">
        <w:rPr>
          <w:rFonts w:ascii="Verdana" w:hAnsi="Verdana"/>
          <w:sz w:val="16"/>
          <w:szCs w:val="16"/>
          <w:lang w:val="es-PE"/>
        </w:rPr>
        <w:t>mujeres</w:t>
      </w:r>
      <w:r>
        <w:rPr>
          <w:rFonts w:ascii="Verdana" w:hAnsi="Verdana"/>
          <w:sz w:val="16"/>
          <w:szCs w:val="16"/>
          <w:lang w:val="es-PE"/>
        </w:rPr>
        <w:t>.</w:t>
      </w:r>
    </w:p>
    <w:p w14:paraId="05F923D1" w14:textId="77777777" w:rsidR="00A52322" w:rsidRPr="00A922FC" w:rsidRDefault="00A52322" w:rsidP="00143445">
      <w:pPr>
        <w:pStyle w:val="Textonotapie"/>
        <w:ind w:left="360"/>
        <w:jc w:val="both"/>
        <w:rPr>
          <w:rFonts w:ascii="Verdana" w:hAnsi="Verdana"/>
          <w:sz w:val="16"/>
          <w:szCs w:val="16"/>
          <w:lang w:val="es-PE"/>
        </w:rPr>
      </w:pPr>
      <w:r w:rsidRPr="00A922FC">
        <w:rPr>
          <w:rFonts w:ascii="Verdana" w:hAnsi="Verdana"/>
          <w:sz w:val="16"/>
          <w:szCs w:val="16"/>
          <w:lang w:val="es-PE"/>
        </w:rPr>
        <w:t xml:space="preserve">4. </w:t>
      </w:r>
      <w:r w:rsidRPr="00A922FC">
        <w:rPr>
          <w:rFonts w:ascii="Verdana" w:hAnsi="Verdana"/>
          <w:i/>
          <w:iCs/>
          <w:sz w:val="16"/>
          <w:szCs w:val="16"/>
          <w:lang w:val="es-PE"/>
        </w:rPr>
        <w:t xml:space="preserve">A </w:t>
      </w:r>
      <w:r w:rsidRPr="00A922FC">
        <w:rPr>
          <w:rFonts w:ascii="Verdana" w:hAnsi="Verdana"/>
          <w:sz w:val="16"/>
          <w:szCs w:val="16"/>
          <w:lang w:val="es-PE"/>
        </w:rPr>
        <w:t>varones mayores de setenta años</w:t>
      </w:r>
      <w:r>
        <w:rPr>
          <w:rFonts w:ascii="Verdana" w:hAnsi="Verdana"/>
          <w:sz w:val="16"/>
          <w:szCs w:val="16"/>
          <w:lang w:val="es-PE"/>
        </w:rPr>
        <w:t>.</w:t>
      </w:r>
    </w:p>
    <w:p w14:paraId="41DFBD4D" w14:textId="77777777" w:rsidR="00A52322" w:rsidRPr="00A922FC" w:rsidRDefault="00A52322" w:rsidP="00143445">
      <w:pPr>
        <w:pStyle w:val="Textonotapie"/>
        <w:ind w:left="360"/>
        <w:jc w:val="both"/>
        <w:rPr>
          <w:rFonts w:ascii="Verdana" w:hAnsi="Verdana"/>
          <w:sz w:val="16"/>
          <w:szCs w:val="16"/>
          <w:lang w:val="es-PE"/>
        </w:rPr>
      </w:pPr>
      <w:r w:rsidRPr="00A922FC">
        <w:rPr>
          <w:rFonts w:ascii="Verdana" w:hAnsi="Verdana"/>
          <w:sz w:val="16"/>
          <w:szCs w:val="16"/>
          <w:lang w:val="es-PE"/>
        </w:rPr>
        <w:t xml:space="preserve">5. </w:t>
      </w:r>
      <w:r w:rsidRPr="00A922FC">
        <w:rPr>
          <w:rFonts w:ascii="Verdana" w:hAnsi="Verdana"/>
          <w:i/>
          <w:iCs/>
          <w:sz w:val="16"/>
          <w:szCs w:val="16"/>
          <w:lang w:val="es-PE"/>
        </w:rPr>
        <w:t xml:space="preserve">A </w:t>
      </w:r>
      <w:r w:rsidRPr="00A922FC">
        <w:rPr>
          <w:rFonts w:ascii="Verdana" w:hAnsi="Verdana"/>
          <w:sz w:val="16"/>
          <w:szCs w:val="16"/>
          <w:lang w:val="es-PE"/>
        </w:rPr>
        <w:t>personas cuya extradición haya sido concedida bajo esa condición.</w:t>
      </w:r>
    </w:p>
    <w:p w14:paraId="3F6E0B8A" w14:textId="77777777" w:rsidR="00A52322" w:rsidRPr="00A922FC" w:rsidRDefault="00A52322" w:rsidP="00143445">
      <w:pPr>
        <w:pStyle w:val="Textonotapie"/>
        <w:ind w:left="360"/>
        <w:jc w:val="both"/>
        <w:rPr>
          <w:rFonts w:ascii="Verdana" w:hAnsi="Verdana"/>
          <w:sz w:val="16"/>
          <w:szCs w:val="16"/>
          <w:lang w:val="es-PE"/>
        </w:rPr>
      </w:pPr>
      <w:r w:rsidRPr="00A922FC">
        <w:rPr>
          <w:rFonts w:ascii="Verdana" w:hAnsi="Verdana"/>
          <w:sz w:val="16"/>
          <w:szCs w:val="16"/>
          <w:lang w:val="es-PE"/>
        </w:rPr>
        <w:t>En estos casos y siempre que la pena de muerte fuere conmutada por la de privación de libertad, se le aplicará prisión en su límite máximo”</w:t>
      </w:r>
      <w:r>
        <w:rPr>
          <w:rFonts w:ascii="Verdana" w:hAnsi="Verdana"/>
          <w:sz w:val="16"/>
          <w:szCs w:val="16"/>
          <w:lang w:val="es-PE"/>
        </w:rPr>
        <w:t>.</w:t>
      </w:r>
    </w:p>
  </w:footnote>
  <w:footnote w:id="33">
    <w:p w14:paraId="7BBD7B6E" w14:textId="77777777" w:rsidR="00A52322" w:rsidRPr="00A922FC" w:rsidRDefault="00A52322" w:rsidP="00143445">
      <w:pPr>
        <w:pStyle w:val="Textonotapie"/>
        <w:jc w:val="both"/>
        <w:rPr>
          <w:rFonts w:ascii="Verdana" w:hAnsi="Verdana"/>
          <w:sz w:val="16"/>
          <w:szCs w:val="16"/>
          <w:lang w:val="es-ES_tradnl"/>
        </w:rPr>
      </w:pPr>
      <w:r w:rsidRPr="00A922FC">
        <w:rPr>
          <w:rStyle w:val="Refdenotaalpie"/>
          <w:rFonts w:ascii="Verdana" w:hAnsi="Verdana"/>
          <w:sz w:val="16"/>
          <w:szCs w:val="16"/>
        </w:rPr>
        <w:footnoteRef/>
      </w:r>
      <w:r w:rsidRPr="00A922FC">
        <w:rPr>
          <w:rFonts w:ascii="Verdana" w:hAnsi="Verdana"/>
          <w:sz w:val="16"/>
          <w:szCs w:val="16"/>
          <w:lang w:val="es-CR"/>
        </w:rPr>
        <w:t xml:space="preserve"> </w:t>
      </w:r>
      <w:r w:rsidRPr="00A922FC">
        <w:rPr>
          <w:rFonts w:ascii="Verdana" w:hAnsi="Verdana"/>
          <w:sz w:val="16"/>
          <w:szCs w:val="16"/>
          <w:lang w:val="es-CR"/>
        </w:rPr>
        <w:tab/>
      </w:r>
      <w:r w:rsidRPr="00A922FC">
        <w:rPr>
          <w:rFonts w:ascii="Verdana" w:hAnsi="Verdana"/>
          <w:sz w:val="16"/>
          <w:szCs w:val="16"/>
          <w:lang w:val="es-ES_tradnl"/>
        </w:rPr>
        <w:t>Código Penal, Decreto No. 17-73, artículo 132</w:t>
      </w:r>
      <w:r>
        <w:rPr>
          <w:rFonts w:ascii="Verdana" w:hAnsi="Verdana"/>
          <w:sz w:val="16"/>
          <w:szCs w:val="16"/>
          <w:lang w:val="es-ES_tradnl"/>
        </w:rPr>
        <w:t xml:space="preserve">, </w:t>
      </w:r>
      <w:r w:rsidRPr="0080372F">
        <w:rPr>
          <w:rFonts w:ascii="Verdana" w:hAnsi="Verdana"/>
          <w:i/>
          <w:sz w:val="16"/>
          <w:szCs w:val="16"/>
          <w:lang w:val="es-ES_tradnl"/>
        </w:rPr>
        <w:t>supra</w:t>
      </w:r>
      <w:r w:rsidRPr="00A922FC">
        <w:rPr>
          <w:rFonts w:ascii="Verdana" w:hAnsi="Verdana"/>
          <w:sz w:val="16"/>
          <w:szCs w:val="16"/>
          <w:lang w:val="es-ES_tradnl"/>
        </w:rPr>
        <w:t xml:space="preserve">. </w:t>
      </w:r>
    </w:p>
  </w:footnote>
  <w:footnote w:id="34">
    <w:p w14:paraId="2F35240C" w14:textId="77777777" w:rsidR="00A52322" w:rsidRPr="00A922FC" w:rsidRDefault="00A52322" w:rsidP="003C3EE6">
      <w:pPr>
        <w:pStyle w:val="Textonotapie"/>
        <w:jc w:val="both"/>
        <w:rPr>
          <w:rFonts w:ascii="Verdana" w:hAnsi="Verdana"/>
          <w:color w:val="C00000"/>
          <w:sz w:val="16"/>
          <w:szCs w:val="16"/>
          <w:lang w:val="es-PE"/>
        </w:rPr>
      </w:pPr>
      <w:r w:rsidRPr="00A922FC">
        <w:rPr>
          <w:rStyle w:val="Refdenotaalpie"/>
          <w:rFonts w:ascii="Verdana" w:hAnsi="Verdana"/>
          <w:sz w:val="16"/>
          <w:szCs w:val="16"/>
        </w:rPr>
        <w:footnoteRef/>
      </w:r>
      <w:r w:rsidRPr="00A922FC">
        <w:rPr>
          <w:rFonts w:ascii="Verdana" w:hAnsi="Verdana"/>
          <w:sz w:val="16"/>
          <w:szCs w:val="16"/>
          <w:lang w:val="es-PE"/>
        </w:rPr>
        <w:t xml:space="preserve"> </w:t>
      </w:r>
      <w:r w:rsidRPr="00A922FC">
        <w:rPr>
          <w:rFonts w:ascii="Verdana" w:hAnsi="Verdana"/>
          <w:sz w:val="16"/>
          <w:szCs w:val="16"/>
          <w:lang w:val="es-PE"/>
        </w:rPr>
        <w:tab/>
        <w:t xml:space="preserve">Amnistía Internacional, </w:t>
      </w:r>
      <w:r w:rsidRPr="00A922FC">
        <w:rPr>
          <w:rFonts w:ascii="Verdana" w:hAnsi="Verdana"/>
          <w:i/>
          <w:sz w:val="16"/>
          <w:szCs w:val="16"/>
          <w:lang w:val="es-PE"/>
        </w:rPr>
        <w:t>Guatemala, El retorno de la pena de muerte</w:t>
      </w:r>
      <w:r w:rsidRPr="00A922FC">
        <w:rPr>
          <w:rFonts w:ascii="Verdana" w:hAnsi="Verdana"/>
          <w:sz w:val="16"/>
          <w:szCs w:val="16"/>
          <w:lang w:val="es-PE"/>
        </w:rPr>
        <w:t xml:space="preserve">. Marzo de 1997, p. 3; CIDH, Informe Anual de la Comisión lnteramericana de Derechos Humanos, OEA/Ser.L/V/11.63 doc.10, 28 de septiembre de 1984, Guatemala, párr. 9. </w:t>
      </w:r>
    </w:p>
  </w:footnote>
  <w:footnote w:id="35">
    <w:p w14:paraId="24B4A838" w14:textId="77777777" w:rsidR="00A52322" w:rsidRPr="00A922FC" w:rsidRDefault="00A52322" w:rsidP="003C3EE6">
      <w:pPr>
        <w:pStyle w:val="Textonotapie"/>
        <w:jc w:val="both"/>
        <w:rPr>
          <w:rFonts w:ascii="Verdana" w:hAnsi="Verdana"/>
          <w:sz w:val="16"/>
          <w:szCs w:val="16"/>
          <w:lang w:val="es-PE"/>
        </w:rPr>
      </w:pPr>
      <w:r w:rsidRPr="00A922FC">
        <w:rPr>
          <w:rStyle w:val="Refdenotaalpie"/>
          <w:rFonts w:ascii="Verdana" w:hAnsi="Verdana"/>
          <w:sz w:val="16"/>
          <w:szCs w:val="16"/>
        </w:rPr>
        <w:footnoteRef/>
      </w:r>
      <w:r w:rsidRPr="00A922FC">
        <w:rPr>
          <w:rFonts w:ascii="Verdana" w:hAnsi="Verdana"/>
          <w:sz w:val="16"/>
          <w:szCs w:val="16"/>
          <w:lang w:val="es-PE"/>
        </w:rPr>
        <w:t xml:space="preserve"> </w:t>
      </w:r>
      <w:r w:rsidRPr="00A922FC">
        <w:rPr>
          <w:rFonts w:ascii="Verdana" w:hAnsi="Verdana"/>
          <w:sz w:val="16"/>
          <w:szCs w:val="16"/>
          <w:lang w:val="es-PE"/>
        </w:rPr>
        <w:tab/>
        <w:t>Decreto del Congreso de la República de Guatemala del 21 de mayo de 1946.</w:t>
      </w:r>
    </w:p>
  </w:footnote>
  <w:footnote w:id="36">
    <w:p w14:paraId="41A6273D" w14:textId="77777777" w:rsidR="00A52322" w:rsidRPr="00A922FC" w:rsidRDefault="00A52322" w:rsidP="003C3EE6">
      <w:pPr>
        <w:pStyle w:val="Textonotapie"/>
        <w:jc w:val="both"/>
        <w:rPr>
          <w:rFonts w:ascii="Verdana" w:hAnsi="Verdana"/>
          <w:sz w:val="16"/>
          <w:szCs w:val="16"/>
          <w:lang w:val="es-PE"/>
        </w:rPr>
      </w:pPr>
      <w:r w:rsidRPr="00A922FC">
        <w:rPr>
          <w:rStyle w:val="Refdenotaalpie"/>
          <w:rFonts w:ascii="Verdana" w:hAnsi="Verdana"/>
          <w:sz w:val="16"/>
          <w:szCs w:val="16"/>
        </w:rPr>
        <w:footnoteRef/>
      </w:r>
      <w:r w:rsidRPr="00A922FC">
        <w:rPr>
          <w:rFonts w:ascii="Verdana" w:hAnsi="Verdana"/>
          <w:sz w:val="16"/>
          <w:szCs w:val="16"/>
          <w:lang w:val="es-CR"/>
        </w:rPr>
        <w:t xml:space="preserve"> </w:t>
      </w:r>
      <w:r w:rsidRPr="00A922FC">
        <w:rPr>
          <w:rFonts w:ascii="Verdana" w:hAnsi="Verdana"/>
          <w:sz w:val="16"/>
          <w:szCs w:val="16"/>
          <w:lang w:val="es-CR"/>
        </w:rPr>
        <w:tab/>
      </w:r>
      <w:r w:rsidRPr="00A922FC">
        <w:rPr>
          <w:rFonts w:ascii="Verdana" w:hAnsi="Verdana"/>
          <w:sz w:val="16"/>
          <w:szCs w:val="16"/>
          <w:lang w:val="es-ES_tradnl"/>
        </w:rPr>
        <w:t>Ley que establece el procedimiento para la ejecución de la pena de muerte.</w:t>
      </w:r>
      <w:r w:rsidRPr="00A922FC">
        <w:rPr>
          <w:rFonts w:ascii="Verdana" w:hAnsi="Verdana"/>
          <w:sz w:val="16"/>
          <w:szCs w:val="16"/>
          <w:lang w:val="es-CR"/>
        </w:rPr>
        <w:t xml:space="preserve"> Decreto </w:t>
      </w:r>
      <w:r w:rsidRPr="00A922FC">
        <w:rPr>
          <w:rFonts w:ascii="Verdana" w:hAnsi="Verdana"/>
          <w:sz w:val="16"/>
          <w:szCs w:val="16"/>
          <w:lang w:val="es-PE"/>
        </w:rPr>
        <w:t xml:space="preserve">del Congreso de la República de Guatemala </w:t>
      </w:r>
      <w:r w:rsidRPr="00A922FC">
        <w:rPr>
          <w:rFonts w:ascii="Verdana" w:hAnsi="Verdana"/>
          <w:sz w:val="16"/>
          <w:szCs w:val="16"/>
          <w:lang w:val="es-CR"/>
        </w:rPr>
        <w:t>No. 100-96</w:t>
      </w:r>
      <w:r>
        <w:rPr>
          <w:rFonts w:ascii="Verdana" w:hAnsi="Verdana"/>
          <w:sz w:val="16"/>
          <w:szCs w:val="16"/>
          <w:lang w:val="es-CR"/>
        </w:rPr>
        <w:t>.</w:t>
      </w:r>
    </w:p>
    <w:p w14:paraId="1E3C2029" w14:textId="77777777" w:rsidR="00A52322" w:rsidRPr="00A922FC" w:rsidRDefault="00A52322" w:rsidP="003C3EE6">
      <w:pPr>
        <w:pStyle w:val="Textonotapie"/>
        <w:ind w:left="720"/>
        <w:jc w:val="both"/>
        <w:rPr>
          <w:rFonts w:ascii="Verdana" w:hAnsi="Verdana"/>
          <w:sz w:val="16"/>
          <w:szCs w:val="16"/>
          <w:lang w:val="es-ES_tradnl"/>
        </w:rPr>
      </w:pPr>
      <w:r w:rsidRPr="00A922FC">
        <w:rPr>
          <w:rFonts w:ascii="Verdana" w:hAnsi="Verdana"/>
          <w:sz w:val="16"/>
          <w:szCs w:val="16"/>
          <w:lang w:val="es-ES_tradnl"/>
        </w:rPr>
        <w:t xml:space="preserve">“Artículo 7. Después de la lectura de las resoluciones a que se refiere el artículo anterior, se procederá a ejecutar la pena de muerte mediante el procedimiento </w:t>
      </w:r>
      <w:r w:rsidRPr="00EB3591">
        <w:rPr>
          <w:rFonts w:ascii="Verdana" w:hAnsi="Verdana"/>
          <w:sz w:val="16"/>
          <w:szCs w:val="16"/>
          <w:lang w:val="es-ES_tradnl"/>
        </w:rPr>
        <w:t>de la inyección letal</w:t>
      </w:r>
      <w:r w:rsidRPr="00A922FC">
        <w:rPr>
          <w:rFonts w:ascii="Verdana" w:hAnsi="Verdana"/>
          <w:sz w:val="16"/>
          <w:szCs w:val="16"/>
          <w:lang w:val="es-ES_tradnl"/>
        </w:rPr>
        <w:t xml:space="preserve"> que se describe a continuación […]”.</w:t>
      </w:r>
    </w:p>
  </w:footnote>
  <w:footnote w:id="37">
    <w:p w14:paraId="03AA85F0" w14:textId="77777777" w:rsidR="00A52322" w:rsidRPr="0060326C" w:rsidRDefault="00A52322" w:rsidP="003C3EE6">
      <w:pPr>
        <w:pStyle w:val="Textonotapie"/>
        <w:jc w:val="both"/>
        <w:rPr>
          <w:rFonts w:ascii="Verdana" w:hAnsi="Verdana"/>
          <w:sz w:val="16"/>
          <w:szCs w:val="16"/>
          <w:lang w:val="es-CR"/>
        </w:rPr>
      </w:pPr>
      <w:r w:rsidRPr="00A922FC">
        <w:rPr>
          <w:rStyle w:val="Refdenotaalpie"/>
          <w:rFonts w:ascii="Verdana" w:hAnsi="Verdana"/>
          <w:sz w:val="16"/>
          <w:szCs w:val="16"/>
        </w:rPr>
        <w:footnoteRef/>
      </w:r>
      <w:r w:rsidRPr="00A922FC">
        <w:rPr>
          <w:rFonts w:ascii="Verdana" w:hAnsi="Verdana"/>
          <w:sz w:val="16"/>
          <w:szCs w:val="16"/>
          <w:lang w:val="es-CR"/>
        </w:rPr>
        <w:t xml:space="preserve"> </w:t>
      </w:r>
      <w:r w:rsidRPr="00A922FC">
        <w:rPr>
          <w:rFonts w:ascii="Verdana" w:hAnsi="Verdana"/>
          <w:sz w:val="16"/>
          <w:szCs w:val="16"/>
          <w:lang w:val="es-CR"/>
        </w:rPr>
        <w:tab/>
      </w:r>
      <w:r w:rsidRPr="0060326C">
        <w:rPr>
          <w:rFonts w:ascii="Verdana" w:hAnsi="Verdana"/>
          <w:sz w:val="16"/>
          <w:szCs w:val="16"/>
          <w:lang w:val="es-CR"/>
        </w:rPr>
        <w:t xml:space="preserve">Según se indica en la Sentencia </w:t>
      </w:r>
      <w:r w:rsidRPr="0060326C">
        <w:rPr>
          <w:rFonts w:ascii="Verdana" w:hAnsi="Verdana"/>
          <w:sz w:val="16"/>
          <w:szCs w:val="16"/>
          <w:lang w:val="es-PE"/>
        </w:rPr>
        <w:t>del Tribunal de Sentencia del Departamento de Quetzaltenango de 21 de octubre de 1999 (expediente de anexos al Informe de Fondo, anexo 15, fs. 258 a 395),</w:t>
      </w:r>
      <w:r w:rsidRPr="0060326C">
        <w:rPr>
          <w:rFonts w:ascii="Verdana" w:hAnsi="Verdana" w:cs="Times New Roman"/>
          <w:sz w:val="16"/>
          <w:szCs w:val="16"/>
          <w:lang w:val="es-PE"/>
        </w:rPr>
        <w:t xml:space="preserve"> </w:t>
      </w:r>
      <w:r w:rsidRPr="0060326C">
        <w:rPr>
          <w:rFonts w:ascii="Verdana" w:hAnsi="Verdana"/>
          <w:sz w:val="16"/>
          <w:szCs w:val="16"/>
          <w:lang w:val="es-CR"/>
        </w:rPr>
        <w:t>y oficio de 11 de mayo de 1999 del Juez Segundo de Primera Instancia del Tribunal de Sentencia Penal, Narcoactividad y Delitos contra el Ambiente (expediente de trámite ante la Comisión, anexo 1, f. 843).</w:t>
      </w:r>
    </w:p>
  </w:footnote>
  <w:footnote w:id="38">
    <w:p w14:paraId="3FE0EEC7" w14:textId="712E8C65" w:rsidR="00A52322" w:rsidRPr="0060326C" w:rsidRDefault="00A52322" w:rsidP="00143445">
      <w:pPr>
        <w:pStyle w:val="Textonotapie"/>
        <w:jc w:val="both"/>
        <w:rPr>
          <w:rFonts w:ascii="Verdana" w:hAnsi="Verdana"/>
          <w:b/>
          <w:sz w:val="16"/>
          <w:szCs w:val="16"/>
          <w:lang w:val="es-PE"/>
        </w:rPr>
      </w:pPr>
      <w:r w:rsidRPr="0060326C">
        <w:rPr>
          <w:rStyle w:val="Refdenotaalpie"/>
          <w:rFonts w:ascii="Verdana" w:hAnsi="Verdana"/>
          <w:sz w:val="16"/>
          <w:szCs w:val="16"/>
        </w:rPr>
        <w:footnoteRef/>
      </w:r>
      <w:r w:rsidRPr="0060326C">
        <w:rPr>
          <w:rFonts w:ascii="Verdana" w:hAnsi="Verdana"/>
          <w:sz w:val="16"/>
          <w:szCs w:val="16"/>
          <w:lang w:val="es-PE"/>
        </w:rPr>
        <w:t xml:space="preserve"> </w:t>
      </w:r>
      <w:r w:rsidRPr="0060326C">
        <w:rPr>
          <w:rFonts w:ascii="Verdana" w:hAnsi="Verdana"/>
          <w:sz w:val="16"/>
          <w:szCs w:val="16"/>
          <w:lang w:val="es-PE"/>
        </w:rPr>
        <w:tab/>
      </w:r>
      <w:r w:rsidRPr="0060326C">
        <w:rPr>
          <w:rFonts w:ascii="Verdana" w:hAnsi="Verdana"/>
          <w:i/>
          <w:sz w:val="16"/>
          <w:szCs w:val="16"/>
          <w:lang w:val="es-PE"/>
        </w:rPr>
        <w:t>Cfr</w:t>
      </w:r>
      <w:r>
        <w:rPr>
          <w:rFonts w:ascii="Verdana" w:hAnsi="Verdana"/>
          <w:sz w:val="16"/>
          <w:szCs w:val="16"/>
          <w:lang w:val="es-PE"/>
        </w:rPr>
        <w:t>. Acta de Juicio 38-9</w:t>
      </w:r>
      <w:r w:rsidRPr="0060326C">
        <w:rPr>
          <w:rFonts w:ascii="Verdana" w:hAnsi="Verdana"/>
          <w:sz w:val="16"/>
          <w:szCs w:val="16"/>
          <w:lang w:val="es-PE"/>
        </w:rPr>
        <w:t xml:space="preserve">9 de 11 de </w:t>
      </w:r>
      <w:r w:rsidRPr="0060326C">
        <w:rPr>
          <w:rFonts w:ascii="Verdana" w:hAnsi="Verdana"/>
          <w:sz w:val="16"/>
          <w:szCs w:val="16"/>
          <w:lang w:val="es-CR"/>
        </w:rPr>
        <w:t xml:space="preserve">octubre de 1999 </w:t>
      </w:r>
      <w:r w:rsidRPr="0060326C">
        <w:rPr>
          <w:rFonts w:ascii="Verdana" w:hAnsi="Verdana"/>
          <w:sz w:val="16"/>
          <w:szCs w:val="16"/>
          <w:lang w:val="es-PE"/>
        </w:rPr>
        <w:t>en la que consta la declaración de Tirso Román Valenzuela Ávila (expediente de anexos al Informe</w:t>
      </w:r>
      <w:r>
        <w:rPr>
          <w:rFonts w:ascii="Verdana" w:hAnsi="Verdana"/>
          <w:sz w:val="16"/>
          <w:szCs w:val="16"/>
          <w:lang w:val="es-PE"/>
        </w:rPr>
        <w:t xml:space="preserve"> de Fondo, anexo 1, fs. 5 a 113</w:t>
      </w:r>
      <w:r w:rsidRPr="0060326C">
        <w:rPr>
          <w:rFonts w:ascii="Verdana" w:hAnsi="Verdana"/>
          <w:sz w:val="16"/>
          <w:szCs w:val="16"/>
          <w:lang w:val="es-PE"/>
        </w:rPr>
        <w:t>), y peritaje psicológico rendido por Juan Cristóbal Aldana Alfaro (expediente de anexos al Informe de Fondo, anexo 12, fs. 191 a 208</w:t>
      </w:r>
      <w:r w:rsidRPr="0060326C">
        <w:rPr>
          <w:rFonts w:ascii="Verdana" w:hAnsi="Verdana"/>
          <w:sz w:val="16"/>
          <w:szCs w:val="16"/>
          <w:lang w:val="es-CR"/>
        </w:rPr>
        <w:t>).</w:t>
      </w:r>
      <w:r w:rsidRPr="0060326C">
        <w:rPr>
          <w:rFonts w:ascii="Verdana" w:hAnsi="Verdana"/>
          <w:b/>
          <w:sz w:val="16"/>
          <w:szCs w:val="16"/>
          <w:lang w:val="es-CR"/>
        </w:rPr>
        <w:t xml:space="preserve"> </w:t>
      </w:r>
    </w:p>
  </w:footnote>
  <w:footnote w:id="39">
    <w:p w14:paraId="333510AD" w14:textId="4D9848C0" w:rsidR="00A52322" w:rsidRPr="00A922FC" w:rsidRDefault="00A52322" w:rsidP="00143445">
      <w:pPr>
        <w:pStyle w:val="Textonotapie"/>
        <w:jc w:val="both"/>
        <w:rPr>
          <w:rFonts w:ascii="Verdana" w:hAnsi="Verdana"/>
          <w:sz w:val="16"/>
          <w:szCs w:val="16"/>
          <w:lang w:val="es-PE"/>
        </w:rPr>
      </w:pPr>
      <w:r w:rsidRPr="0060326C">
        <w:rPr>
          <w:rStyle w:val="Refdenotaalpie"/>
          <w:rFonts w:ascii="Verdana" w:hAnsi="Verdana"/>
          <w:sz w:val="16"/>
          <w:szCs w:val="16"/>
        </w:rPr>
        <w:footnoteRef/>
      </w:r>
      <w:r w:rsidRPr="0060326C">
        <w:rPr>
          <w:rFonts w:ascii="Verdana" w:hAnsi="Verdana"/>
          <w:sz w:val="16"/>
          <w:szCs w:val="16"/>
          <w:lang w:val="es-PE"/>
        </w:rPr>
        <w:t xml:space="preserve"> </w:t>
      </w:r>
      <w:r w:rsidRPr="0060326C">
        <w:rPr>
          <w:rFonts w:ascii="Verdana" w:hAnsi="Verdana"/>
          <w:sz w:val="16"/>
          <w:szCs w:val="16"/>
          <w:lang w:val="es-PE"/>
        </w:rPr>
        <w:tab/>
      </w:r>
      <w:r w:rsidRPr="0060326C">
        <w:rPr>
          <w:rFonts w:ascii="Verdana" w:hAnsi="Verdana"/>
          <w:i/>
          <w:sz w:val="16"/>
          <w:szCs w:val="16"/>
          <w:lang w:val="es-PE"/>
        </w:rPr>
        <w:t>Cfr</w:t>
      </w:r>
      <w:r>
        <w:rPr>
          <w:rFonts w:ascii="Verdana" w:hAnsi="Verdana"/>
          <w:sz w:val="16"/>
          <w:szCs w:val="16"/>
          <w:lang w:val="es-PE"/>
        </w:rPr>
        <w:t>. Acta de Juicio 38-9</w:t>
      </w:r>
      <w:r w:rsidRPr="0060326C">
        <w:rPr>
          <w:rFonts w:ascii="Verdana" w:hAnsi="Verdana"/>
          <w:sz w:val="16"/>
          <w:szCs w:val="16"/>
          <w:lang w:val="es-PE"/>
        </w:rPr>
        <w:t xml:space="preserve">9 de 11 de </w:t>
      </w:r>
      <w:r w:rsidRPr="0060326C">
        <w:rPr>
          <w:rFonts w:ascii="Verdana" w:hAnsi="Verdana"/>
          <w:sz w:val="16"/>
          <w:szCs w:val="16"/>
          <w:lang w:val="es-CR"/>
        </w:rPr>
        <w:t xml:space="preserve">octubre de 1999, </w:t>
      </w:r>
      <w:r w:rsidRPr="0060326C">
        <w:rPr>
          <w:rFonts w:ascii="Verdana" w:hAnsi="Verdana"/>
          <w:i/>
          <w:sz w:val="16"/>
          <w:szCs w:val="16"/>
          <w:lang w:val="es-CR"/>
        </w:rPr>
        <w:t>supra</w:t>
      </w:r>
      <w:r w:rsidRPr="0060326C">
        <w:rPr>
          <w:rFonts w:ascii="Verdana" w:hAnsi="Verdana"/>
          <w:sz w:val="16"/>
          <w:szCs w:val="16"/>
          <w:lang w:val="es-PE"/>
        </w:rPr>
        <w:t xml:space="preserve">; peritaje psicológico rendido por Juan Cristóbal Aldana Alfaro, </w:t>
      </w:r>
      <w:r w:rsidRPr="0060326C">
        <w:rPr>
          <w:rFonts w:ascii="Verdana" w:hAnsi="Verdana"/>
          <w:i/>
          <w:sz w:val="16"/>
          <w:szCs w:val="16"/>
          <w:lang w:val="es-PE"/>
        </w:rPr>
        <w:t>supra</w:t>
      </w:r>
      <w:r w:rsidRPr="0060326C">
        <w:rPr>
          <w:rFonts w:ascii="Verdana" w:hAnsi="Verdana"/>
          <w:sz w:val="16"/>
          <w:szCs w:val="16"/>
          <w:lang w:val="es-PE"/>
        </w:rPr>
        <w:t xml:space="preserve">, e </w:t>
      </w:r>
      <w:r w:rsidRPr="0060326C">
        <w:rPr>
          <w:rFonts w:ascii="Verdana" w:hAnsi="Verdana"/>
          <w:sz w:val="16"/>
          <w:szCs w:val="16"/>
          <w:lang w:val="es-CR"/>
        </w:rPr>
        <w:t>Informe del médico Edna Karina Vaquerano Martínez de 15 de junio de 2005 (expediente de anexos al Informe de Fondo, anexo 11, fs. 183 a 189).</w:t>
      </w:r>
    </w:p>
  </w:footnote>
  <w:footnote w:id="40">
    <w:p w14:paraId="15CD8229" w14:textId="36C92407" w:rsidR="00A52322" w:rsidRPr="00A922FC" w:rsidRDefault="00A52322" w:rsidP="006F6D58">
      <w:pPr>
        <w:autoSpaceDE w:val="0"/>
        <w:autoSpaceDN w:val="0"/>
        <w:spacing w:after="0" w:line="240" w:lineRule="auto"/>
        <w:jc w:val="both"/>
        <w:rPr>
          <w:rFonts w:ascii="Verdana" w:hAnsi="Verdana"/>
          <w:color w:val="1F497D"/>
          <w:sz w:val="16"/>
          <w:szCs w:val="16"/>
          <w:lang w:val="es-AR"/>
        </w:rPr>
      </w:pPr>
      <w:r w:rsidRPr="00A922FC">
        <w:rPr>
          <w:rStyle w:val="Refdenotaalpie"/>
          <w:rFonts w:ascii="Verdana" w:hAnsi="Verdana"/>
          <w:sz w:val="16"/>
          <w:szCs w:val="16"/>
        </w:rPr>
        <w:footnoteRef/>
      </w:r>
      <w:r w:rsidRPr="00A922FC">
        <w:rPr>
          <w:rFonts w:ascii="Verdana" w:hAnsi="Verdana"/>
          <w:color w:val="FF0000"/>
          <w:sz w:val="16"/>
          <w:szCs w:val="16"/>
          <w:lang w:val="es-AR"/>
        </w:rPr>
        <w:t xml:space="preserve"> </w:t>
      </w:r>
      <w:r w:rsidRPr="00A922FC">
        <w:rPr>
          <w:rFonts w:ascii="Verdana" w:hAnsi="Verdana"/>
          <w:color w:val="FF0000"/>
          <w:sz w:val="16"/>
          <w:szCs w:val="16"/>
          <w:lang w:val="es-AR"/>
        </w:rPr>
        <w:tab/>
      </w:r>
      <w:r w:rsidRPr="00A922FC">
        <w:rPr>
          <w:rFonts w:ascii="Verdana" w:hAnsi="Verdana" w:cs="Arial"/>
          <w:color w:val="0D0D0D"/>
          <w:sz w:val="16"/>
          <w:szCs w:val="16"/>
          <w:lang w:val="es-PE"/>
        </w:rPr>
        <w:t xml:space="preserve">La </w:t>
      </w:r>
      <w:r>
        <w:rPr>
          <w:rFonts w:ascii="Verdana" w:hAnsi="Verdana" w:cs="Arial"/>
          <w:color w:val="0D0D0D"/>
          <w:sz w:val="16"/>
          <w:szCs w:val="16"/>
          <w:lang w:val="es-PE"/>
        </w:rPr>
        <w:t xml:space="preserve">señora </w:t>
      </w:r>
      <w:r w:rsidRPr="00A922FC">
        <w:rPr>
          <w:rFonts w:ascii="Verdana" w:hAnsi="Verdana" w:cs="Arial"/>
          <w:color w:val="0D0D0D"/>
          <w:sz w:val="16"/>
          <w:szCs w:val="16"/>
          <w:lang w:val="es-PE"/>
        </w:rPr>
        <w:t>SJR era fiscal</w:t>
      </w:r>
      <w:r>
        <w:rPr>
          <w:rFonts w:ascii="Verdana" w:hAnsi="Verdana" w:cs="Arial"/>
          <w:color w:val="0D0D0D"/>
          <w:sz w:val="16"/>
          <w:szCs w:val="16"/>
          <w:lang w:val="es-PE"/>
        </w:rPr>
        <w:t>a</w:t>
      </w:r>
      <w:r w:rsidRPr="00A922FC">
        <w:rPr>
          <w:rFonts w:ascii="Verdana" w:hAnsi="Verdana" w:cs="Arial"/>
          <w:color w:val="0D0D0D"/>
          <w:sz w:val="16"/>
          <w:szCs w:val="16"/>
          <w:lang w:val="es-PE"/>
        </w:rPr>
        <w:t xml:space="preserve"> Distrital de Retalhuleu y tenía bajo su responsabilidad la investigación de varios casos de secuestro. Fue asesinada el 20 de mayo de 1998, a la altura del kilómetro doscientos diez y medio, carretera que conduce de la Ciudad de Quetzaltenango a la Costa Sur</w:t>
      </w:r>
      <w:r>
        <w:rPr>
          <w:rFonts w:ascii="Verdana" w:hAnsi="Verdana" w:cs="Arial"/>
          <w:color w:val="0D0D0D"/>
          <w:sz w:val="16"/>
          <w:szCs w:val="16"/>
          <w:lang w:val="es-PE"/>
        </w:rPr>
        <w:t>.</w:t>
      </w:r>
      <w:r w:rsidRPr="00A922FC">
        <w:rPr>
          <w:rFonts w:ascii="Verdana" w:hAnsi="Verdana" w:cs="Arial"/>
          <w:color w:val="0D0D0D"/>
          <w:sz w:val="16"/>
          <w:szCs w:val="16"/>
          <w:lang w:val="es-PE"/>
        </w:rPr>
        <w:t xml:space="preserve"> VGS manifestó que “con fecha veintisiete de mayo de mil novecientos noventa y ocho, particip[</w:t>
      </w:r>
      <w:r>
        <w:rPr>
          <w:rFonts w:ascii="Verdana" w:hAnsi="Verdana" w:cs="Arial"/>
          <w:color w:val="0D0D0D"/>
          <w:sz w:val="16"/>
          <w:szCs w:val="16"/>
          <w:lang w:val="es-PE"/>
        </w:rPr>
        <w:t>ó</w:t>
      </w:r>
      <w:r w:rsidRPr="00A922FC">
        <w:rPr>
          <w:rFonts w:ascii="Verdana" w:hAnsi="Verdana" w:cs="Arial"/>
          <w:color w:val="0D0D0D"/>
          <w:sz w:val="16"/>
          <w:szCs w:val="16"/>
          <w:lang w:val="es-PE"/>
        </w:rPr>
        <w:t xml:space="preserve">] en la detención del señor [Tirso Román Valenzuela Ávila] mediante orden de allanamiento ordenada por el Juez Segundo de Paz Penal  Local […] y a solicitud del Fiscal […] en base a que en el lugar habían (sic) armas, drogas y objetos robados”. </w:t>
      </w:r>
      <w:r w:rsidRPr="00A922FC">
        <w:rPr>
          <w:rFonts w:ascii="Verdana" w:hAnsi="Verdana" w:cs="Arial"/>
          <w:i/>
          <w:color w:val="0D0D0D"/>
          <w:sz w:val="16"/>
          <w:szCs w:val="16"/>
          <w:lang w:val="es-PE"/>
        </w:rPr>
        <w:t>Cfr.</w:t>
      </w:r>
      <w:r w:rsidRPr="00A922FC">
        <w:rPr>
          <w:rFonts w:ascii="Verdana" w:hAnsi="Verdana" w:cs="Arial"/>
          <w:color w:val="0D0D0D"/>
          <w:sz w:val="16"/>
          <w:szCs w:val="16"/>
          <w:lang w:val="es-PE"/>
        </w:rPr>
        <w:t xml:space="preserve"> Declaración del señor VGS, Oficial de la Policía Nacional Civil, ante el Ministerio Púbico Fiscal, de  28 de julio de 1998 (expediente de trámite ante la</w:t>
      </w:r>
      <w:r>
        <w:rPr>
          <w:rFonts w:ascii="Verdana" w:hAnsi="Verdana" w:cs="Arial"/>
          <w:color w:val="0D0D0D"/>
          <w:sz w:val="16"/>
          <w:szCs w:val="16"/>
          <w:lang w:val="es-PE"/>
        </w:rPr>
        <w:t xml:space="preserve"> Comisión, anexo 1, fs. 563 a 57</w:t>
      </w:r>
      <w:r w:rsidRPr="00A922FC">
        <w:rPr>
          <w:rFonts w:ascii="Verdana" w:hAnsi="Verdana" w:cs="Arial"/>
          <w:color w:val="0D0D0D"/>
          <w:sz w:val="16"/>
          <w:szCs w:val="16"/>
          <w:lang w:val="es-PE"/>
        </w:rPr>
        <w:t>6). No es un hecho controvertido la realización del allanamiento.</w:t>
      </w:r>
    </w:p>
  </w:footnote>
  <w:footnote w:id="41">
    <w:p w14:paraId="0807130C" w14:textId="29D08E23" w:rsidR="00A52322" w:rsidRPr="00A922FC" w:rsidRDefault="00A52322" w:rsidP="00143445">
      <w:pPr>
        <w:pStyle w:val="Prrafodelista"/>
        <w:spacing w:after="0" w:line="240" w:lineRule="auto"/>
        <w:ind w:left="0"/>
        <w:contextualSpacing w:val="0"/>
        <w:jc w:val="both"/>
        <w:rPr>
          <w:rFonts w:ascii="Verdana" w:hAnsi="Verdana"/>
          <w:sz w:val="16"/>
          <w:szCs w:val="16"/>
          <w:lang w:val="es-AR"/>
        </w:rPr>
      </w:pPr>
      <w:r w:rsidRPr="00143445">
        <w:rPr>
          <w:rStyle w:val="Refdenotaalpie"/>
          <w:rFonts w:ascii="Verdana" w:hAnsi="Verdana"/>
          <w:sz w:val="16"/>
          <w:szCs w:val="16"/>
        </w:rPr>
        <w:footnoteRef/>
      </w:r>
      <w:r w:rsidRPr="00143445">
        <w:rPr>
          <w:rFonts w:ascii="Verdana" w:hAnsi="Verdana"/>
          <w:sz w:val="16"/>
          <w:szCs w:val="16"/>
          <w:lang w:val="es-AR"/>
        </w:rPr>
        <w:t xml:space="preserve"> </w:t>
      </w:r>
      <w:r w:rsidRPr="00143445">
        <w:rPr>
          <w:rFonts w:ascii="Verdana" w:hAnsi="Verdana"/>
          <w:sz w:val="16"/>
          <w:szCs w:val="16"/>
          <w:lang w:val="es-AR"/>
        </w:rPr>
        <w:tab/>
      </w:r>
      <w:r w:rsidRPr="0069521B">
        <w:rPr>
          <w:rFonts w:ascii="Verdana" w:hAnsi="Verdana"/>
          <w:i/>
          <w:sz w:val="16"/>
          <w:szCs w:val="16"/>
          <w:lang w:val="es-AR"/>
        </w:rPr>
        <w:t>Cfr.</w:t>
      </w:r>
      <w:r w:rsidRPr="00143445">
        <w:rPr>
          <w:rFonts w:ascii="Verdana" w:hAnsi="Verdana"/>
          <w:sz w:val="16"/>
          <w:szCs w:val="16"/>
          <w:lang w:val="es-AR"/>
        </w:rPr>
        <w:t xml:space="preserve"> Oficios N</w:t>
      </w:r>
      <w:r>
        <w:rPr>
          <w:rFonts w:ascii="Verdana" w:hAnsi="Verdana"/>
          <w:sz w:val="16"/>
          <w:szCs w:val="16"/>
          <w:lang w:val="es-AR"/>
        </w:rPr>
        <w:t>° 1709-98 de 27 de mayo de 1998 y</w:t>
      </w:r>
      <w:r w:rsidRPr="00143445">
        <w:rPr>
          <w:rFonts w:ascii="Verdana" w:hAnsi="Verdana"/>
          <w:sz w:val="16"/>
          <w:szCs w:val="16"/>
          <w:lang w:val="es-AR"/>
        </w:rPr>
        <w:t xml:space="preserve"> 1714-98 de 28 de mayo de 1998 </w:t>
      </w:r>
      <w:r>
        <w:rPr>
          <w:rFonts w:ascii="Verdana" w:hAnsi="Verdana"/>
          <w:sz w:val="16"/>
          <w:szCs w:val="16"/>
          <w:lang w:val="es-AR"/>
        </w:rPr>
        <w:t xml:space="preserve">de la </w:t>
      </w:r>
      <w:r w:rsidRPr="00143445">
        <w:rPr>
          <w:rFonts w:ascii="Verdana" w:hAnsi="Verdana"/>
          <w:sz w:val="16"/>
          <w:szCs w:val="16"/>
          <w:lang w:val="es-AR"/>
        </w:rPr>
        <w:t xml:space="preserve">Jefatura Departamental de la Policía Nacional de Quetzaltenango </w:t>
      </w:r>
      <w:r w:rsidRPr="00143445">
        <w:rPr>
          <w:rFonts w:ascii="Verdana" w:hAnsi="Verdana" w:cs="Arial"/>
          <w:color w:val="0D0D0D"/>
          <w:sz w:val="16"/>
          <w:szCs w:val="16"/>
          <w:lang w:val="es-PE"/>
        </w:rPr>
        <w:t>(expediente de trámite ante la Comisión, anexo 5, fs. 3279 a 3280</w:t>
      </w:r>
      <w:r>
        <w:rPr>
          <w:rFonts w:ascii="Verdana" w:hAnsi="Verdana" w:cs="Arial"/>
          <w:color w:val="0D0D0D"/>
          <w:sz w:val="16"/>
          <w:szCs w:val="16"/>
          <w:lang w:val="es-PE"/>
        </w:rPr>
        <w:t>,</w:t>
      </w:r>
      <w:r w:rsidRPr="00143445">
        <w:rPr>
          <w:rFonts w:ascii="Verdana" w:hAnsi="Verdana" w:cs="Arial"/>
          <w:color w:val="0D0D0D"/>
          <w:sz w:val="16"/>
          <w:szCs w:val="16"/>
          <w:lang w:val="es-PE"/>
        </w:rPr>
        <w:t xml:space="preserve"> y 2070 a 2072). </w:t>
      </w:r>
      <w:r w:rsidRPr="00143445">
        <w:rPr>
          <w:rFonts w:ascii="Verdana" w:hAnsi="Verdana"/>
          <w:sz w:val="16"/>
          <w:szCs w:val="16"/>
          <w:lang w:val="es-AR"/>
        </w:rPr>
        <w:t>Se hace constar también que “en el trayecto de donde fue detenido el individuo Vásquez González</w:t>
      </w:r>
      <w:r>
        <w:rPr>
          <w:rFonts w:ascii="Verdana" w:hAnsi="Verdana"/>
          <w:sz w:val="16"/>
          <w:szCs w:val="16"/>
          <w:lang w:val="es-AR"/>
        </w:rPr>
        <w:t xml:space="preserve"> [(Valenzuela Ávila)]</w:t>
      </w:r>
      <w:r w:rsidRPr="00143445">
        <w:rPr>
          <w:rFonts w:ascii="Verdana" w:hAnsi="Verdana"/>
          <w:sz w:val="16"/>
          <w:szCs w:val="16"/>
          <w:lang w:val="es-AR"/>
        </w:rPr>
        <w:t>, a este cuerpo, voluntariamente manifestó ser responsable directo de la muerte de la Licenciada [S</w:t>
      </w:r>
      <w:r>
        <w:rPr>
          <w:rFonts w:ascii="Verdana" w:hAnsi="Verdana"/>
          <w:sz w:val="16"/>
          <w:szCs w:val="16"/>
          <w:lang w:val="es-AR"/>
        </w:rPr>
        <w:t>JR</w:t>
      </w:r>
      <w:r w:rsidRPr="00143445">
        <w:rPr>
          <w:rFonts w:ascii="Verdana" w:hAnsi="Verdana"/>
          <w:sz w:val="16"/>
          <w:szCs w:val="16"/>
          <w:lang w:val="es-AR"/>
        </w:rPr>
        <w:t>], Fiscal Distrital del Ministerio Público de Retalhuleu”. Lo cual también fue reiterado en la sent</w:t>
      </w:r>
      <w:r>
        <w:rPr>
          <w:rFonts w:ascii="Verdana" w:hAnsi="Verdana"/>
          <w:sz w:val="16"/>
          <w:szCs w:val="16"/>
          <w:lang w:val="es-AR"/>
        </w:rPr>
        <w:t>encia de 21 de octubre de 1999</w:t>
      </w:r>
      <w:r w:rsidRPr="00143445">
        <w:rPr>
          <w:rFonts w:ascii="Verdana" w:hAnsi="Verdana"/>
          <w:sz w:val="16"/>
          <w:szCs w:val="16"/>
          <w:lang w:val="es-AR"/>
        </w:rPr>
        <w:t>. Es controvertid</w:t>
      </w:r>
      <w:r>
        <w:rPr>
          <w:rFonts w:ascii="Verdana" w:hAnsi="Verdana"/>
          <w:sz w:val="16"/>
          <w:szCs w:val="16"/>
          <w:lang w:val="es-AR"/>
        </w:rPr>
        <w:t>a</w:t>
      </w:r>
      <w:r w:rsidRPr="00143445">
        <w:rPr>
          <w:rFonts w:ascii="Verdana" w:hAnsi="Verdana"/>
          <w:sz w:val="16"/>
          <w:szCs w:val="16"/>
          <w:lang w:val="es-AR"/>
        </w:rPr>
        <w:t xml:space="preserve"> la situación relativa a la incautación de armas y a la </w:t>
      </w:r>
      <w:r>
        <w:rPr>
          <w:rFonts w:ascii="Verdana" w:hAnsi="Verdana"/>
          <w:sz w:val="16"/>
          <w:szCs w:val="16"/>
          <w:lang w:val="es-AR"/>
        </w:rPr>
        <w:t xml:space="preserve">manifestación voluntaria </w:t>
      </w:r>
      <w:r w:rsidRPr="00143445">
        <w:rPr>
          <w:rFonts w:ascii="Verdana" w:hAnsi="Verdana"/>
          <w:sz w:val="16"/>
          <w:szCs w:val="16"/>
          <w:lang w:val="es-AR"/>
        </w:rPr>
        <w:t>del señor</w:t>
      </w:r>
      <w:r w:rsidRPr="00A922FC">
        <w:rPr>
          <w:rFonts w:ascii="Verdana" w:hAnsi="Verdana"/>
          <w:sz w:val="16"/>
          <w:szCs w:val="16"/>
          <w:lang w:val="es-AR"/>
        </w:rPr>
        <w:t xml:space="preserve"> Valenzuela, ya que la presunta víctima reiteradamente señala que aceptó los cargos </w:t>
      </w:r>
      <w:r>
        <w:rPr>
          <w:rFonts w:ascii="Verdana" w:hAnsi="Verdana"/>
          <w:sz w:val="16"/>
          <w:szCs w:val="16"/>
          <w:lang w:val="es-AR"/>
        </w:rPr>
        <w:t>debido a que</w:t>
      </w:r>
      <w:r w:rsidRPr="00A922FC">
        <w:rPr>
          <w:rFonts w:ascii="Verdana" w:hAnsi="Verdana"/>
          <w:sz w:val="16"/>
          <w:szCs w:val="16"/>
          <w:lang w:val="es-AR"/>
        </w:rPr>
        <w:t xml:space="preserve"> habría sido objeto de actos de violencia como tortura y violencia sexual.</w:t>
      </w:r>
      <w:r>
        <w:rPr>
          <w:rFonts w:ascii="Verdana" w:hAnsi="Verdana"/>
          <w:sz w:val="16"/>
          <w:szCs w:val="16"/>
          <w:lang w:val="es-AR"/>
        </w:rPr>
        <w:t xml:space="preserve"> </w:t>
      </w:r>
    </w:p>
  </w:footnote>
  <w:footnote w:id="42">
    <w:p w14:paraId="12727706" w14:textId="5BEE5643" w:rsidR="00A52322" w:rsidRPr="00A922FC" w:rsidRDefault="00A52322" w:rsidP="003C3EE6">
      <w:pPr>
        <w:pStyle w:val="Textonotapie"/>
        <w:jc w:val="both"/>
        <w:rPr>
          <w:rFonts w:ascii="Verdana" w:hAnsi="Verdana"/>
          <w:sz w:val="16"/>
          <w:szCs w:val="16"/>
          <w:lang w:val="es-CR"/>
        </w:rPr>
      </w:pPr>
      <w:r w:rsidRPr="00A922FC">
        <w:rPr>
          <w:rStyle w:val="Refdenotaalpie"/>
          <w:rFonts w:ascii="Verdana" w:hAnsi="Verdana"/>
          <w:sz w:val="16"/>
          <w:szCs w:val="16"/>
        </w:rPr>
        <w:footnoteRef/>
      </w:r>
      <w:r w:rsidRPr="00A922FC">
        <w:rPr>
          <w:rFonts w:ascii="Verdana" w:hAnsi="Verdana"/>
          <w:sz w:val="16"/>
          <w:szCs w:val="16"/>
          <w:lang w:val="es-CR"/>
        </w:rPr>
        <w:t xml:space="preserve"> </w:t>
      </w:r>
      <w:r w:rsidRPr="00A922FC">
        <w:rPr>
          <w:rFonts w:ascii="Verdana" w:hAnsi="Verdana"/>
          <w:sz w:val="16"/>
          <w:szCs w:val="16"/>
          <w:lang w:val="es-CR"/>
        </w:rPr>
        <w:tab/>
      </w:r>
      <w:r>
        <w:rPr>
          <w:rFonts w:ascii="Verdana" w:hAnsi="Verdana"/>
          <w:sz w:val="16"/>
          <w:szCs w:val="16"/>
          <w:lang w:val="es-PE"/>
        </w:rPr>
        <w:t>Acta de Juicio 38-99</w:t>
      </w:r>
      <w:r w:rsidRPr="00A922FC">
        <w:rPr>
          <w:rFonts w:ascii="Verdana" w:hAnsi="Verdana"/>
          <w:sz w:val="16"/>
          <w:szCs w:val="16"/>
          <w:lang w:val="es-PE"/>
        </w:rPr>
        <w:t xml:space="preserve"> de 11 de </w:t>
      </w:r>
      <w:r w:rsidRPr="00A922FC">
        <w:rPr>
          <w:rFonts w:ascii="Verdana" w:hAnsi="Verdana"/>
          <w:sz w:val="16"/>
          <w:szCs w:val="16"/>
          <w:lang w:val="es-CR"/>
        </w:rPr>
        <w:t>octubre de 1999</w:t>
      </w:r>
      <w:r>
        <w:rPr>
          <w:rFonts w:ascii="Verdana" w:hAnsi="Verdana"/>
          <w:sz w:val="16"/>
          <w:szCs w:val="16"/>
          <w:lang w:val="es-PE"/>
        </w:rPr>
        <w:t xml:space="preserve">, </w:t>
      </w:r>
      <w:r w:rsidRPr="0060326C">
        <w:rPr>
          <w:rFonts w:ascii="Verdana" w:hAnsi="Verdana"/>
          <w:i/>
          <w:sz w:val="16"/>
          <w:szCs w:val="16"/>
          <w:lang w:val="es-PE"/>
        </w:rPr>
        <w:t>supra</w:t>
      </w:r>
      <w:r>
        <w:rPr>
          <w:rFonts w:ascii="Verdana" w:hAnsi="Verdana"/>
          <w:sz w:val="16"/>
          <w:szCs w:val="16"/>
          <w:lang w:val="es-PE"/>
        </w:rPr>
        <w:t>.</w:t>
      </w:r>
      <w:r w:rsidRPr="007E1A0C">
        <w:rPr>
          <w:rFonts w:ascii="Verdana" w:hAnsi="Verdana"/>
          <w:sz w:val="16"/>
          <w:szCs w:val="16"/>
          <w:lang w:val="es-PE"/>
        </w:rPr>
        <w:t xml:space="preserve"> </w:t>
      </w:r>
    </w:p>
  </w:footnote>
  <w:footnote w:id="43">
    <w:p w14:paraId="4C4CD57B" w14:textId="264F0B36" w:rsidR="00A52322" w:rsidRPr="00A922FC" w:rsidRDefault="00A52322" w:rsidP="003C3EE6">
      <w:pPr>
        <w:pStyle w:val="Textonotapie"/>
        <w:jc w:val="both"/>
        <w:rPr>
          <w:rFonts w:ascii="Verdana" w:hAnsi="Verdana"/>
          <w:sz w:val="16"/>
          <w:szCs w:val="16"/>
          <w:lang w:val="es-AR"/>
        </w:rPr>
      </w:pPr>
      <w:r w:rsidRPr="00A922FC">
        <w:rPr>
          <w:rStyle w:val="Refdenotaalpie"/>
          <w:rFonts w:ascii="Verdana" w:hAnsi="Verdana"/>
          <w:sz w:val="16"/>
          <w:szCs w:val="16"/>
        </w:rPr>
        <w:footnoteRef/>
      </w:r>
      <w:r w:rsidRPr="00A922FC">
        <w:rPr>
          <w:rFonts w:ascii="Verdana" w:hAnsi="Verdana"/>
          <w:sz w:val="16"/>
          <w:szCs w:val="16"/>
          <w:lang w:val="es-AR"/>
        </w:rPr>
        <w:t xml:space="preserve"> </w:t>
      </w:r>
      <w:r w:rsidRPr="00A922FC">
        <w:rPr>
          <w:rFonts w:ascii="Verdana" w:hAnsi="Verdana"/>
          <w:sz w:val="16"/>
          <w:szCs w:val="16"/>
          <w:lang w:val="es-AR"/>
        </w:rPr>
        <w:tab/>
      </w:r>
      <w:r>
        <w:rPr>
          <w:rFonts w:ascii="Verdana" w:hAnsi="Verdana"/>
          <w:sz w:val="16"/>
          <w:szCs w:val="16"/>
          <w:lang w:val="es-PE"/>
        </w:rPr>
        <w:t>Acta de Juicio 38-99</w:t>
      </w:r>
      <w:r w:rsidRPr="00A922FC">
        <w:rPr>
          <w:rFonts w:ascii="Verdana" w:hAnsi="Verdana"/>
          <w:sz w:val="16"/>
          <w:szCs w:val="16"/>
          <w:lang w:val="es-PE"/>
        </w:rPr>
        <w:t xml:space="preserve"> de 11 de </w:t>
      </w:r>
      <w:r w:rsidRPr="00A922FC">
        <w:rPr>
          <w:rFonts w:ascii="Verdana" w:hAnsi="Verdana"/>
          <w:sz w:val="16"/>
          <w:szCs w:val="16"/>
          <w:lang w:val="es-CR"/>
        </w:rPr>
        <w:t>octubre de 1999</w:t>
      </w:r>
      <w:r>
        <w:rPr>
          <w:rFonts w:ascii="Verdana" w:hAnsi="Verdana"/>
          <w:sz w:val="16"/>
          <w:szCs w:val="16"/>
          <w:lang w:val="es-CR"/>
        </w:rPr>
        <w:t xml:space="preserve">, </w:t>
      </w:r>
      <w:r w:rsidRPr="0060326C">
        <w:rPr>
          <w:rFonts w:ascii="Verdana" w:hAnsi="Verdana"/>
          <w:i/>
          <w:sz w:val="16"/>
          <w:szCs w:val="16"/>
          <w:lang w:val="es-CR"/>
        </w:rPr>
        <w:t>supra</w:t>
      </w:r>
      <w:r>
        <w:rPr>
          <w:rFonts w:ascii="Verdana" w:hAnsi="Verdana"/>
          <w:sz w:val="16"/>
          <w:szCs w:val="16"/>
          <w:lang w:val="es-PE"/>
        </w:rPr>
        <w:t>.</w:t>
      </w:r>
      <w:r w:rsidRPr="001E3DB9">
        <w:rPr>
          <w:rFonts w:ascii="Verdana" w:hAnsi="Verdana"/>
          <w:sz w:val="16"/>
          <w:szCs w:val="16"/>
          <w:lang w:val="es-PE"/>
        </w:rPr>
        <w:t xml:space="preserve"> </w:t>
      </w:r>
    </w:p>
  </w:footnote>
  <w:footnote w:id="44">
    <w:p w14:paraId="3AA6A148" w14:textId="6F3DE25B" w:rsidR="00A52322" w:rsidRPr="00A922FC" w:rsidRDefault="00A52322" w:rsidP="003C3EE6">
      <w:pPr>
        <w:pStyle w:val="Textonotapie"/>
        <w:jc w:val="both"/>
        <w:rPr>
          <w:rFonts w:ascii="Verdana" w:hAnsi="Verdana"/>
          <w:sz w:val="16"/>
          <w:szCs w:val="16"/>
          <w:lang w:val="es-PE"/>
        </w:rPr>
      </w:pPr>
      <w:r w:rsidRPr="00A922FC">
        <w:rPr>
          <w:rStyle w:val="Refdenotaalpie"/>
          <w:rFonts w:ascii="Verdana" w:hAnsi="Verdana"/>
          <w:sz w:val="16"/>
          <w:szCs w:val="16"/>
        </w:rPr>
        <w:footnoteRef/>
      </w:r>
      <w:r w:rsidRPr="00A922FC">
        <w:rPr>
          <w:rFonts w:ascii="Verdana" w:hAnsi="Verdana"/>
          <w:sz w:val="16"/>
          <w:szCs w:val="16"/>
          <w:lang w:val="es-PE"/>
        </w:rPr>
        <w:t xml:space="preserve"> </w:t>
      </w:r>
      <w:r w:rsidRPr="00A922FC">
        <w:rPr>
          <w:rFonts w:ascii="Verdana" w:hAnsi="Verdana"/>
          <w:sz w:val="16"/>
          <w:szCs w:val="16"/>
          <w:lang w:val="es-PE"/>
        </w:rPr>
        <w:tab/>
      </w:r>
      <w:r w:rsidRPr="00A922FC">
        <w:rPr>
          <w:rFonts w:ascii="Verdana" w:hAnsi="Verdana"/>
          <w:i/>
          <w:sz w:val="16"/>
          <w:szCs w:val="16"/>
          <w:lang w:val="es-PE"/>
        </w:rPr>
        <w:t>Cfr</w:t>
      </w:r>
      <w:r w:rsidRPr="00A922FC">
        <w:rPr>
          <w:rFonts w:ascii="Verdana" w:hAnsi="Verdana"/>
          <w:sz w:val="16"/>
          <w:szCs w:val="16"/>
          <w:lang w:val="es-PE"/>
        </w:rPr>
        <w:t xml:space="preserve">. Escrito de acusación y formulación de apertura del juicio de </w:t>
      </w:r>
      <w:r>
        <w:rPr>
          <w:rFonts w:ascii="Verdana" w:hAnsi="Verdana"/>
          <w:sz w:val="16"/>
          <w:szCs w:val="16"/>
          <w:lang w:val="es-PE"/>
        </w:rPr>
        <w:t xml:space="preserve">fecha </w:t>
      </w:r>
      <w:r w:rsidRPr="00A922FC">
        <w:rPr>
          <w:rFonts w:ascii="Verdana" w:hAnsi="Verdana"/>
          <w:sz w:val="16"/>
          <w:szCs w:val="16"/>
          <w:lang w:val="es-PE"/>
        </w:rPr>
        <w:t>31 de mayo de 1999</w:t>
      </w:r>
      <w:r>
        <w:rPr>
          <w:rFonts w:ascii="Verdana" w:hAnsi="Verdana"/>
          <w:sz w:val="16"/>
          <w:szCs w:val="16"/>
          <w:lang w:val="es-PE"/>
        </w:rPr>
        <w:t xml:space="preserve"> </w:t>
      </w:r>
      <w:r w:rsidRPr="001E3DB9">
        <w:rPr>
          <w:rFonts w:ascii="Verdana" w:hAnsi="Verdana"/>
          <w:sz w:val="16"/>
          <w:szCs w:val="16"/>
          <w:lang w:val="es-PE"/>
        </w:rPr>
        <w:t>suscrito por el Ministerio Público dirigido al Juez Segundo de Primera Instancia Penal, Narcoactividad y Delitos Contra el Ambiente del Departamento de Quetzaltenango (expediente de anexos al Informe de Fondo, anexo 13, fs. 210 a 243)</w:t>
      </w:r>
      <w:r>
        <w:rPr>
          <w:rFonts w:ascii="Verdana" w:hAnsi="Verdana"/>
          <w:sz w:val="16"/>
          <w:szCs w:val="16"/>
          <w:lang w:val="es-PE"/>
        </w:rPr>
        <w:t>.</w:t>
      </w:r>
    </w:p>
  </w:footnote>
  <w:footnote w:id="45">
    <w:p w14:paraId="25861994" w14:textId="581EAC97" w:rsidR="00A52322" w:rsidRPr="00A922FC" w:rsidRDefault="00A52322" w:rsidP="003C3EE6">
      <w:pPr>
        <w:pStyle w:val="Textonotapie"/>
        <w:jc w:val="both"/>
        <w:rPr>
          <w:rFonts w:ascii="Verdana" w:hAnsi="Verdana"/>
          <w:sz w:val="16"/>
          <w:szCs w:val="16"/>
          <w:lang w:val="es-PE"/>
        </w:rPr>
      </w:pPr>
      <w:r w:rsidRPr="00A922FC">
        <w:rPr>
          <w:rStyle w:val="Refdenotaalpie"/>
          <w:rFonts w:ascii="Verdana" w:hAnsi="Verdana"/>
          <w:sz w:val="16"/>
          <w:szCs w:val="16"/>
        </w:rPr>
        <w:footnoteRef/>
      </w:r>
      <w:r w:rsidRPr="00A922FC">
        <w:rPr>
          <w:rFonts w:ascii="Verdana" w:hAnsi="Verdana"/>
          <w:sz w:val="16"/>
          <w:szCs w:val="16"/>
          <w:lang w:val="es-PE"/>
        </w:rPr>
        <w:t xml:space="preserve"> </w:t>
      </w:r>
      <w:r w:rsidRPr="00A922FC">
        <w:rPr>
          <w:rFonts w:ascii="Verdana" w:hAnsi="Verdana"/>
          <w:sz w:val="16"/>
          <w:szCs w:val="16"/>
          <w:lang w:val="es-PE"/>
        </w:rPr>
        <w:tab/>
      </w:r>
      <w:r w:rsidRPr="00A922FC">
        <w:rPr>
          <w:rFonts w:ascii="Verdana" w:hAnsi="Verdana"/>
          <w:i/>
          <w:sz w:val="16"/>
          <w:szCs w:val="16"/>
          <w:lang w:val="es-PE"/>
        </w:rPr>
        <w:t>Cfr</w:t>
      </w:r>
      <w:r w:rsidRPr="00A922FC">
        <w:rPr>
          <w:rFonts w:ascii="Verdana" w:hAnsi="Verdana"/>
          <w:sz w:val="16"/>
          <w:szCs w:val="16"/>
          <w:lang w:val="es-PE"/>
        </w:rPr>
        <w:t xml:space="preserve">. </w:t>
      </w:r>
      <w:r w:rsidRPr="00A922FC">
        <w:rPr>
          <w:rFonts w:ascii="Verdana" w:hAnsi="Verdana" w:cs="Arial"/>
          <w:color w:val="0D0D0D"/>
          <w:sz w:val="16"/>
          <w:szCs w:val="16"/>
          <w:lang w:val="es-PE"/>
        </w:rPr>
        <w:t xml:space="preserve">Resolución del Juzgado de Primera Instancia Penal, Narcoactividad y Delitos contra el Ambiente de Quetzaltenango de 2 de julio de 1999 </w:t>
      </w:r>
      <w:r w:rsidRPr="00A922FC">
        <w:rPr>
          <w:rFonts w:ascii="Verdana" w:hAnsi="Verdana"/>
          <w:sz w:val="16"/>
          <w:szCs w:val="16"/>
          <w:lang w:val="es-PE"/>
        </w:rPr>
        <w:t>(expediente de anexo</w:t>
      </w:r>
      <w:r>
        <w:rPr>
          <w:rFonts w:ascii="Verdana" w:hAnsi="Verdana"/>
          <w:sz w:val="16"/>
          <w:szCs w:val="16"/>
          <w:lang w:val="es-PE"/>
        </w:rPr>
        <w:t>s al Informe de Fondo</w:t>
      </w:r>
      <w:r w:rsidRPr="00A922FC">
        <w:rPr>
          <w:rFonts w:ascii="Verdana" w:hAnsi="Verdana"/>
          <w:sz w:val="16"/>
          <w:szCs w:val="16"/>
          <w:lang w:val="es-PE"/>
        </w:rPr>
        <w:t>, anexo 14, fs</w:t>
      </w:r>
      <w:r>
        <w:rPr>
          <w:rFonts w:ascii="Verdana" w:hAnsi="Verdana"/>
          <w:sz w:val="16"/>
          <w:szCs w:val="16"/>
          <w:lang w:val="es-PE"/>
        </w:rPr>
        <w:t>. 245</w:t>
      </w:r>
      <w:r w:rsidRPr="00A922FC">
        <w:rPr>
          <w:rFonts w:ascii="Verdana" w:hAnsi="Verdana"/>
          <w:sz w:val="16"/>
          <w:szCs w:val="16"/>
          <w:lang w:val="es-PE"/>
        </w:rPr>
        <w:t xml:space="preserve"> a  256).</w:t>
      </w:r>
    </w:p>
  </w:footnote>
  <w:footnote w:id="46">
    <w:p w14:paraId="2490151D" w14:textId="6696610C" w:rsidR="00A52322" w:rsidRPr="00A922FC" w:rsidRDefault="00A52322" w:rsidP="003C3EE6">
      <w:pPr>
        <w:pStyle w:val="Textonotapie"/>
        <w:jc w:val="both"/>
        <w:rPr>
          <w:rFonts w:ascii="Verdana" w:hAnsi="Verdana"/>
          <w:sz w:val="16"/>
          <w:szCs w:val="16"/>
          <w:lang w:val="es-PE"/>
        </w:rPr>
      </w:pPr>
      <w:r w:rsidRPr="00A922FC">
        <w:rPr>
          <w:rStyle w:val="Refdenotaalpie"/>
          <w:rFonts w:ascii="Verdana" w:hAnsi="Verdana"/>
          <w:sz w:val="16"/>
          <w:szCs w:val="16"/>
        </w:rPr>
        <w:footnoteRef/>
      </w:r>
      <w:r w:rsidRPr="00A922FC">
        <w:rPr>
          <w:rFonts w:ascii="Verdana" w:hAnsi="Verdana"/>
          <w:sz w:val="16"/>
          <w:szCs w:val="16"/>
          <w:lang w:val="es-PE"/>
        </w:rPr>
        <w:t xml:space="preserve"> </w:t>
      </w:r>
      <w:r w:rsidRPr="00A922FC">
        <w:rPr>
          <w:rFonts w:ascii="Verdana" w:hAnsi="Verdana"/>
          <w:sz w:val="16"/>
          <w:szCs w:val="16"/>
          <w:lang w:val="es-PE"/>
        </w:rPr>
        <w:tab/>
      </w:r>
      <w:r w:rsidRPr="00A922FC">
        <w:rPr>
          <w:rFonts w:ascii="Verdana" w:hAnsi="Verdana"/>
          <w:i/>
          <w:sz w:val="16"/>
          <w:szCs w:val="16"/>
          <w:lang w:val="es-PE"/>
        </w:rPr>
        <w:t>Cfr</w:t>
      </w:r>
      <w:r w:rsidRPr="00A922FC">
        <w:rPr>
          <w:rFonts w:ascii="Verdana" w:hAnsi="Verdana"/>
          <w:sz w:val="16"/>
          <w:szCs w:val="16"/>
          <w:lang w:val="es-PE"/>
        </w:rPr>
        <w:t>. Recurso de Reposición de 6 de julio de 1999 suscrito por el abogado defensor de T</w:t>
      </w:r>
      <w:r>
        <w:rPr>
          <w:rFonts w:ascii="Verdana" w:hAnsi="Verdana"/>
          <w:sz w:val="16"/>
          <w:szCs w:val="16"/>
          <w:lang w:val="es-PE"/>
        </w:rPr>
        <w:t>ir</w:t>
      </w:r>
      <w:r w:rsidRPr="00A922FC">
        <w:rPr>
          <w:rFonts w:ascii="Verdana" w:hAnsi="Verdana"/>
          <w:sz w:val="16"/>
          <w:szCs w:val="16"/>
          <w:lang w:val="es-PE"/>
        </w:rPr>
        <w:t xml:space="preserve">so Valenzuela Ávila (expediente de trámite ante la </w:t>
      </w:r>
      <w:r>
        <w:rPr>
          <w:rFonts w:ascii="Verdana" w:hAnsi="Verdana"/>
          <w:sz w:val="16"/>
          <w:szCs w:val="16"/>
          <w:lang w:val="es-PE"/>
        </w:rPr>
        <w:t>C</w:t>
      </w:r>
      <w:r w:rsidRPr="00A922FC">
        <w:rPr>
          <w:rFonts w:ascii="Verdana" w:hAnsi="Verdana"/>
          <w:sz w:val="16"/>
          <w:szCs w:val="16"/>
          <w:lang w:val="es-PE"/>
        </w:rPr>
        <w:t xml:space="preserve">omisión, </w:t>
      </w:r>
      <w:r>
        <w:rPr>
          <w:rFonts w:ascii="Verdana" w:hAnsi="Verdana"/>
          <w:sz w:val="16"/>
          <w:szCs w:val="16"/>
          <w:lang w:val="es-PE"/>
        </w:rPr>
        <w:t>a</w:t>
      </w:r>
      <w:r w:rsidRPr="00A922FC">
        <w:rPr>
          <w:rFonts w:ascii="Verdana" w:hAnsi="Verdana"/>
          <w:sz w:val="16"/>
          <w:szCs w:val="16"/>
          <w:lang w:val="es-PE"/>
        </w:rPr>
        <w:t>nexo 14, fs</w:t>
      </w:r>
      <w:r>
        <w:rPr>
          <w:rFonts w:ascii="Verdana" w:hAnsi="Verdana"/>
          <w:sz w:val="16"/>
          <w:szCs w:val="16"/>
          <w:lang w:val="es-PE"/>
        </w:rPr>
        <w:t>.</w:t>
      </w:r>
      <w:r w:rsidRPr="00A922FC">
        <w:rPr>
          <w:rFonts w:ascii="Verdana" w:hAnsi="Verdana"/>
          <w:sz w:val="16"/>
          <w:szCs w:val="16"/>
          <w:lang w:val="es-PE"/>
        </w:rPr>
        <w:t xml:space="preserve"> 1534 a 1536)</w:t>
      </w:r>
    </w:p>
  </w:footnote>
  <w:footnote w:id="47">
    <w:p w14:paraId="4686C4EA" w14:textId="77777777" w:rsidR="00A52322" w:rsidRPr="00A922FC" w:rsidRDefault="00A52322" w:rsidP="003C3EE6">
      <w:pPr>
        <w:pStyle w:val="Textonotapie"/>
        <w:jc w:val="both"/>
        <w:rPr>
          <w:rFonts w:ascii="Verdana" w:hAnsi="Verdana"/>
          <w:sz w:val="16"/>
          <w:szCs w:val="16"/>
          <w:lang w:val="es-PE"/>
        </w:rPr>
      </w:pPr>
      <w:r w:rsidRPr="00A922FC">
        <w:rPr>
          <w:rStyle w:val="Refdenotaalpie"/>
          <w:rFonts w:ascii="Verdana" w:hAnsi="Verdana"/>
          <w:sz w:val="16"/>
          <w:szCs w:val="16"/>
        </w:rPr>
        <w:footnoteRef/>
      </w:r>
      <w:r w:rsidRPr="00A922FC">
        <w:rPr>
          <w:rFonts w:ascii="Verdana" w:hAnsi="Verdana"/>
          <w:sz w:val="16"/>
          <w:szCs w:val="16"/>
          <w:lang w:val="es-PE"/>
        </w:rPr>
        <w:t xml:space="preserve"> </w:t>
      </w:r>
      <w:r w:rsidRPr="00A922FC">
        <w:rPr>
          <w:rFonts w:ascii="Verdana" w:hAnsi="Verdana"/>
          <w:sz w:val="16"/>
          <w:szCs w:val="16"/>
          <w:lang w:val="es-PE"/>
        </w:rPr>
        <w:tab/>
      </w:r>
      <w:r w:rsidRPr="00A922FC">
        <w:rPr>
          <w:rFonts w:ascii="Verdana" w:hAnsi="Verdana"/>
          <w:i/>
          <w:sz w:val="16"/>
          <w:szCs w:val="16"/>
          <w:lang w:val="es-PE"/>
        </w:rPr>
        <w:t>Cfr</w:t>
      </w:r>
      <w:r w:rsidRPr="00A922FC">
        <w:rPr>
          <w:rFonts w:ascii="Verdana" w:hAnsi="Verdana"/>
          <w:sz w:val="16"/>
          <w:szCs w:val="16"/>
          <w:lang w:val="es-PE"/>
        </w:rPr>
        <w:t xml:space="preserve">. Resolución del Juzgado de </w:t>
      </w:r>
      <w:r w:rsidRPr="00A922FC">
        <w:rPr>
          <w:rFonts w:ascii="Verdana" w:hAnsi="Verdana" w:cs="Arial"/>
          <w:sz w:val="16"/>
          <w:szCs w:val="16"/>
          <w:lang w:val="es-PE"/>
        </w:rPr>
        <w:t xml:space="preserve">Primera Instancia Penal, Narcoactividad y Delitos contra el Ambiente de Quetzaltenango de 8 de julio de 1999 </w:t>
      </w:r>
      <w:r>
        <w:rPr>
          <w:rFonts w:ascii="Verdana" w:hAnsi="Verdana"/>
          <w:sz w:val="16"/>
          <w:szCs w:val="16"/>
          <w:lang w:val="es-PE"/>
        </w:rPr>
        <w:t>(expediente de trámite ante la C</w:t>
      </w:r>
      <w:r w:rsidRPr="00A922FC">
        <w:rPr>
          <w:rFonts w:ascii="Verdana" w:hAnsi="Verdana"/>
          <w:sz w:val="16"/>
          <w:szCs w:val="16"/>
          <w:lang w:val="es-PE"/>
        </w:rPr>
        <w:t xml:space="preserve">omisión, </w:t>
      </w:r>
      <w:r>
        <w:rPr>
          <w:rFonts w:ascii="Verdana" w:hAnsi="Verdana"/>
          <w:sz w:val="16"/>
          <w:szCs w:val="16"/>
          <w:lang w:val="es-PE"/>
        </w:rPr>
        <w:t>a</w:t>
      </w:r>
      <w:r w:rsidRPr="00A922FC">
        <w:rPr>
          <w:rFonts w:ascii="Verdana" w:hAnsi="Verdana"/>
          <w:sz w:val="16"/>
          <w:szCs w:val="16"/>
          <w:lang w:val="es-PE"/>
        </w:rPr>
        <w:t>nexo 14, f</w:t>
      </w:r>
      <w:r>
        <w:rPr>
          <w:rFonts w:ascii="Verdana" w:hAnsi="Verdana"/>
          <w:sz w:val="16"/>
          <w:szCs w:val="16"/>
          <w:lang w:val="es-PE"/>
        </w:rPr>
        <w:t>.</w:t>
      </w:r>
      <w:r w:rsidRPr="00A922FC">
        <w:rPr>
          <w:rFonts w:ascii="Verdana" w:hAnsi="Verdana"/>
          <w:sz w:val="16"/>
          <w:szCs w:val="16"/>
          <w:lang w:val="es-PE"/>
        </w:rPr>
        <w:t xml:space="preserve"> 1537).</w:t>
      </w:r>
    </w:p>
  </w:footnote>
  <w:footnote w:id="48">
    <w:p w14:paraId="3B3D1482" w14:textId="77777777" w:rsidR="00A52322" w:rsidRPr="00A922FC" w:rsidRDefault="00A52322" w:rsidP="003C3EE6">
      <w:pPr>
        <w:pStyle w:val="Textonotapie"/>
        <w:jc w:val="both"/>
        <w:rPr>
          <w:rFonts w:ascii="Verdana" w:hAnsi="Verdana"/>
          <w:sz w:val="16"/>
          <w:szCs w:val="16"/>
          <w:lang w:val="es-PE"/>
        </w:rPr>
      </w:pPr>
      <w:r w:rsidRPr="00A922FC">
        <w:rPr>
          <w:rStyle w:val="Refdenotaalpie"/>
          <w:rFonts w:ascii="Verdana" w:hAnsi="Verdana"/>
          <w:sz w:val="16"/>
          <w:szCs w:val="16"/>
        </w:rPr>
        <w:footnoteRef/>
      </w:r>
      <w:r w:rsidRPr="00A922FC">
        <w:rPr>
          <w:rFonts w:ascii="Verdana" w:hAnsi="Verdana"/>
          <w:sz w:val="16"/>
          <w:szCs w:val="16"/>
          <w:lang w:val="es-PE"/>
        </w:rPr>
        <w:t xml:space="preserve"> </w:t>
      </w:r>
      <w:r w:rsidRPr="00A922FC">
        <w:rPr>
          <w:rFonts w:ascii="Verdana" w:hAnsi="Verdana"/>
          <w:sz w:val="16"/>
          <w:szCs w:val="16"/>
          <w:lang w:val="es-PE"/>
        </w:rPr>
        <w:tab/>
      </w:r>
      <w:r w:rsidRPr="00A922FC">
        <w:rPr>
          <w:rFonts w:ascii="Verdana" w:hAnsi="Verdana"/>
          <w:i/>
          <w:sz w:val="16"/>
          <w:szCs w:val="16"/>
          <w:lang w:val="es-PE"/>
        </w:rPr>
        <w:t>Cfr</w:t>
      </w:r>
      <w:r w:rsidRPr="00A922FC">
        <w:rPr>
          <w:rFonts w:ascii="Verdana" w:hAnsi="Verdana"/>
          <w:sz w:val="16"/>
          <w:szCs w:val="16"/>
          <w:lang w:val="es-PE"/>
        </w:rPr>
        <w:t>. Sentencia del Tribunal de Sentencia del Departamento de Quetzaltenango de 21 de octubre de 1999</w:t>
      </w:r>
      <w:r>
        <w:rPr>
          <w:rFonts w:ascii="Verdana" w:hAnsi="Verdana"/>
          <w:sz w:val="16"/>
          <w:szCs w:val="16"/>
          <w:lang w:val="es-PE"/>
        </w:rPr>
        <w:t xml:space="preserve">, </w:t>
      </w:r>
      <w:r w:rsidRPr="0060326C">
        <w:rPr>
          <w:rFonts w:ascii="Verdana" w:hAnsi="Verdana"/>
          <w:i/>
          <w:sz w:val="16"/>
          <w:szCs w:val="16"/>
          <w:lang w:val="es-PE"/>
        </w:rPr>
        <w:t>supra</w:t>
      </w:r>
      <w:r>
        <w:rPr>
          <w:rFonts w:ascii="Verdana" w:hAnsi="Verdana"/>
          <w:sz w:val="16"/>
          <w:szCs w:val="16"/>
          <w:lang w:val="es-PE"/>
        </w:rPr>
        <w:t xml:space="preserve">.   </w:t>
      </w:r>
    </w:p>
  </w:footnote>
  <w:footnote w:id="49">
    <w:p w14:paraId="31488E5A" w14:textId="77777777" w:rsidR="00A52322" w:rsidRPr="00A922FC" w:rsidRDefault="00A52322" w:rsidP="003C3EE6">
      <w:pPr>
        <w:pStyle w:val="Textonotapie"/>
        <w:jc w:val="both"/>
        <w:rPr>
          <w:rFonts w:ascii="Verdana" w:hAnsi="Verdana"/>
          <w:sz w:val="16"/>
          <w:szCs w:val="16"/>
          <w:lang w:val="es-PE"/>
        </w:rPr>
      </w:pPr>
      <w:r w:rsidRPr="00A922FC">
        <w:rPr>
          <w:rStyle w:val="Refdenotaalpie"/>
          <w:rFonts w:ascii="Verdana" w:hAnsi="Verdana"/>
          <w:sz w:val="16"/>
          <w:szCs w:val="16"/>
        </w:rPr>
        <w:footnoteRef/>
      </w:r>
      <w:r w:rsidRPr="00A922FC">
        <w:rPr>
          <w:rFonts w:ascii="Verdana" w:hAnsi="Verdana"/>
          <w:sz w:val="16"/>
          <w:szCs w:val="16"/>
          <w:lang w:val="es-PE"/>
        </w:rPr>
        <w:t xml:space="preserve"> </w:t>
      </w:r>
      <w:r w:rsidRPr="00A922FC">
        <w:rPr>
          <w:rFonts w:ascii="Verdana" w:hAnsi="Verdana"/>
          <w:sz w:val="16"/>
          <w:szCs w:val="16"/>
          <w:lang w:val="es-PE"/>
        </w:rPr>
        <w:tab/>
      </w:r>
      <w:r w:rsidRPr="00A922FC">
        <w:rPr>
          <w:rFonts w:ascii="Verdana" w:hAnsi="Verdana"/>
          <w:i/>
          <w:sz w:val="16"/>
          <w:szCs w:val="16"/>
          <w:lang w:val="es-PE"/>
        </w:rPr>
        <w:t>Cfr</w:t>
      </w:r>
      <w:r w:rsidRPr="00A922FC">
        <w:rPr>
          <w:rFonts w:ascii="Verdana" w:hAnsi="Verdana"/>
          <w:sz w:val="16"/>
          <w:szCs w:val="16"/>
          <w:lang w:val="es-PE"/>
        </w:rPr>
        <w:t>. Recurso de apelación especial interpuesto el 3 de noviembre de 1999 por Tirso Román Valenzuela Ávila contra la Sentencia del Tribunal de Sentencia del Departamento de Quetzaltenango de 21 de octubre de 1999 (expediente de anexos al Informe de Fondo, anexo 16, fs</w:t>
      </w:r>
      <w:r>
        <w:rPr>
          <w:rFonts w:ascii="Verdana" w:hAnsi="Verdana"/>
          <w:sz w:val="16"/>
          <w:szCs w:val="16"/>
          <w:lang w:val="es-PE"/>
        </w:rPr>
        <w:t>.</w:t>
      </w:r>
      <w:r w:rsidRPr="00A922FC">
        <w:rPr>
          <w:rFonts w:ascii="Verdana" w:hAnsi="Verdana"/>
          <w:sz w:val="16"/>
          <w:szCs w:val="16"/>
          <w:lang w:val="es-PE"/>
        </w:rPr>
        <w:t xml:space="preserve"> 397 a 433). </w:t>
      </w:r>
    </w:p>
  </w:footnote>
  <w:footnote w:id="50">
    <w:p w14:paraId="4789E557" w14:textId="580BDEC8" w:rsidR="00A52322" w:rsidRPr="00A922FC" w:rsidRDefault="00A52322" w:rsidP="003C3EE6">
      <w:pPr>
        <w:pStyle w:val="Textonotapie"/>
        <w:jc w:val="both"/>
        <w:rPr>
          <w:rFonts w:ascii="Verdana" w:hAnsi="Verdana"/>
          <w:sz w:val="16"/>
          <w:szCs w:val="16"/>
          <w:lang w:val="es-PE"/>
        </w:rPr>
      </w:pPr>
      <w:r w:rsidRPr="00A922FC">
        <w:rPr>
          <w:rStyle w:val="Refdenotaalpie"/>
          <w:rFonts w:ascii="Verdana" w:hAnsi="Verdana"/>
          <w:sz w:val="16"/>
          <w:szCs w:val="16"/>
        </w:rPr>
        <w:footnoteRef/>
      </w:r>
      <w:r w:rsidRPr="00A922FC">
        <w:rPr>
          <w:rFonts w:ascii="Verdana" w:hAnsi="Verdana"/>
          <w:sz w:val="16"/>
          <w:szCs w:val="16"/>
          <w:lang w:val="es-PE"/>
        </w:rPr>
        <w:t xml:space="preserve"> </w:t>
      </w:r>
      <w:r w:rsidRPr="00A922FC">
        <w:rPr>
          <w:rFonts w:ascii="Verdana" w:hAnsi="Verdana"/>
          <w:sz w:val="16"/>
          <w:szCs w:val="16"/>
          <w:lang w:val="es-PE"/>
        </w:rPr>
        <w:tab/>
      </w:r>
      <w:r w:rsidRPr="00A922FC">
        <w:rPr>
          <w:rFonts w:ascii="Verdana" w:hAnsi="Verdana"/>
          <w:i/>
          <w:sz w:val="16"/>
          <w:szCs w:val="16"/>
          <w:lang w:val="es-PE"/>
        </w:rPr>
        <w:t>Cfr</w:t>
      </w:r>
      <w:r w:rsidRPr="00A922FC">
        <w:rPr>
          <w:rFonts w:ascii="Verdana" w:hAnsi="Verdana"/>
          <w:sz w:val="16"/>
          <w:szCs w:val="16"/>
          <w:lang w:val="es-PE"/>
        </w:rPr>
        <w:t>. Resolución de la Sala Séptima de la Corte de Apelaciones de Quetzaltenango de 7 de agosto de 2000 (expediente de anexos al Informe de Fondo, anexo 17, fs</w:t>
      </w:r>
      <w:r>
        <w:rPr>
          <w:rFonts w:ascii="Verdana" w:hAnsi="Verdana"/>
          <w:sz w:val="16"/>
          <w:szCs w:val="16"/>
          <w:lang w:val="es-PE"/>
        </w:rPr>
        <w:t xml:space="preserve">. 435 a 494). </w:t>
      </w:r>
      <w:r w:rsidRPr="00A922FC">
        <w:rPr>
          <w:rFonts w:ascii="Verdana" w:hAnsi="Verdana"/>
          <w:sz w:val="16"/>
          <w:szCs w:val="16"/>
          <w:lang w:val="es-PE"/>
        </w:rPr>
        <w:t xml:space="preserve"> </w:t>
      </w:r>
    </w:p>
  </w:footnote>
  <w:footnote w:id="51">
    <w:p w14:paraId="103021DC" w14:textId="431CCC24" w:rsidR="00A52322" w:rsidRPr="00E13991" w:rsidRDefault="00A52322" w:rsidP="005054DD">
      <w:pPr>
        <w:pStyle w:val="Textonotapie"/>
        <w:jc w:val="both"/>
        <w:rPr>
          <w:rFonts w:ascii="Verdana" w:hAnsi="Verdana"/>
          <w:sz w:val="16"/>
          <w:szCs w:val="16"/>
          <w:lang w:val="es-AR"/>
        </w:rPr>
      </w:pPr>
      <w:r w:rsidRPr="00A922FC">
        <w:rPr>
          <w:rStyle w:val="Refdenotaalpie"/>
          <w:rFonts w:ascii="Verdana" w:hAnsi="Verdana"/>
          <w:sz w:val="16"/>
          <w:szCs w:val="16"/>
        </w:rPr>
        <w:footnoteRef/>
      </w:r>
      <w:r w:rsidRPr="00A922FC">
        <w:rPr>
          <w:rFonts w:ascii="Verdana" w:hAnsi="Verdana"/>
          <w:sz w:val="16"/>
          <w:szCs w:val="16"/>
          <w:lang w:val="es-AR"/>
        </w:rPr>
        <w:t xml:space="preserve"> </w:t>
      </w:r>
      <w:r w:rsidRPr="00A922FC">
        <w:rPr>
          <w:rFonts w:ascii="Verdana" w:hAnsi="Verdana"/>
          <w:sz w:val="16"/>
          <w:szCs w:val="16"/>
          <w:lang w:val="es-AR"/>
        </w:rPr>
        <w:tab/>
      </w:r>
      <w:r w:rsidRPr="00A922FC">
        <w:rPr>
          <w:rFonts w:ascii="Verdana" w:hAnsi="Verdana"/>
          <w:sz w:val="16"/>
          <w:szCs w:val="16"/>
          <w:lang w:val="es-PE"/>
        </w:rPr>
        <w:t xml:space="preserve">Resolución de la </w:t>
      </w:r>
      <w:r w:rsidRPr="00E13991">
        <w:rPr>
          <w:rFonts w:ascii="Verdana" w:hAnsi="Verdana"/>
          <w:sz w:val="16"/>
          <w:szCs w:val="16"/>
          <w:lang w:val="es-PE"/>
        </w:rPr>
        <w:t xml:space="preserve">Cámara Penal de la Corte Suprema de Justicia de 1 de diciembre de 2000 (expediente de anexos al Informe de Fondo, anexo 18, fs. </w:t>
      </w:r>
      <w:r>
        <w:rPr>
          <w:rFonts w:ascii="Verdana" w:hAnsi="Verdana"/>
          <w:sz w:val="16"/>
          <w:szCs w:val="16"/>
          <w:lang w:val="es-PE"/>
        </w:rPr>
        <w:t>496 a 530</w:t>
      </w:r>
      <w:r w:rsidRPr="00E13991">
        <w:rPr>
          <w:rFonts w:ascii="Verdana" w:hAnsi="Verdana"/>
          <w:sz w:val="16"/>
          <w:szCs w:val="16"/>
          <w:lang w:val="es-PE"/>
        </w:rPr>
        <w:t xml:space="preserve">).  </w:t>
      </w:r>
    </w:p>
  </w:footnote>
  <w:footnote w:id="52">
    <w:p w14:paraId="218FB3F0" w14:textId="77777777" w:rsidR="00A52322" w:rsidRPr="00A922FC" w:rsidRDefault="00A52322" w:rsidP="003C3EE6">
      <w:pPr>
        <w:pStyle w:val="Textonotapie"/>
        <w:jc w:val="both"/>
        <w:rPr>
          <w:rFonts w:ascii="Verdana" w:hAnsi="Verdana"/>
          <w:sz w:val="16"/>
          <w:szCs w:val="16"/>
          <w:lang w:val="es-PE"/>
        </w:rPr>
      </w:pPr>
      <w:r w:rsidRPr="00E13991">
        <w:rPr>
          <w:rStyle w:val="Refdenotaalpie"/>
          <w:rFonts w:ascii="Verdana" w:hAnsi="Verdana"/>
          <w:sz w:val="16"/>
          <w:szCs w:val="16"/>
        </w:rPr>
        <w:footnoteRef/>
      </w:r>
      <w:r w:rsidRPr="00E13991">
        <w:rPr>
          <w:rFonts w:ascii="Verdana" w:hAnsi="Verdana"/>
          <w:sz w:val="16"/>
          <w:szCs w:val="16"/>
          <w:lang w:val="es-PE"/>
        </w:rPr>
        <w:t xml:space="preserve"> </w:t>
      </w:r>
      <w:r w:rsidRPr="00E13991">
        <w:rPr>
          <w:rFonts w:ascii="Verdana" w:hAnsi="Verdana"/>
          <w:sz w:val="16"/>
          <w:szCs w:val="16"/>
          <w:lang w:val="es-PE"/>
        </w:rPr>
        <w:tab/>
      </w:r>
      <w:r w:rsidRPr="00E13991">
        <w:rPr>
          <w:rFonts w:ascii="Verdana" w:hAnsi="Verdana"/>
          <w:i/>
          <w:sz w:val="16"/>
          <w:szCs w:val="16"/>
          <w:lang w:val="es-PE"/>
        </w:rPr>
        <w:t>Cfr</w:t>
      </w:r>
      <w:r w:rsidRPr="00E13991">
        <w:rPr>
          <w:rFonts w:ascii="Verdana" w:hAnsi="Verdana"/>
          <w:sz w:val="16"/>
          <w:szCs w:val="16"/>
          <w:lang w:val="es-PE"/>
        </w:rPr>
        <w:t>. Resolución de la Cámara</w:t>
      </w:r>
      <w:r w:rsidRPr="00A922FC">
        <w:rPr>
          <w:rFonts w:ascii="Verdana" w:hAnsi="Verdana"/>
          <w:sz w:val="16"/>
          <w:szCs w:val="16"/>
          <w:lang w:val="es-PE"/>
        </w:rPr>
        <w:t xml:space="preserve"> Penal de la Corte Suprema de Justicia de 5 de julio de 2004 (expediente de anexos al Informe de Fondo, anexo 19, fs</w:t>
      </w:r>
      <w:r>
        <w:rPr>
          <w:rFonts w:ascii="Verdana" w:hAnsi="Verdana"/>
          <w:sz w:val="16"/>
          <w:szCs w:val="16"/>
          <w:lang w:val="es-PE"/>
        </w:rPr>
        <w:t>.</w:t>
      </w:r>
      <w:r w:rsidRPr="00A922FC">
        <w:rPr>
          <w:rFonts w:ascii="Verdana" w:hAnsi="Verdana"/>
          <w:sz w:val="16"/>
          <w:szCs w:val="16"/>
          <w:lang w:val="es-PE"/>
        </w:rPr>
        <w:t xml:space="preserve"> 532 a 541</w:t>
      </w:r>
      <w:r>
        <w:rPr>
          <w:rFonts w:ascii="Verdana" w:hAnsi="Verdana"/>
          <w:sz w:val="16"/>
          <w:szCs w:val="16"/>
          <w:lang w:val="es-PE"/>
        </w:rPr>
        <w:t xml:space="preserve">). </w:t>
      </w:r>
      <w:r w:rsidRPr="00A922FC">
        <w:rPr>
          <w:rFonts w:ascii="Verdana" w:hAnsi="Verdana"/>
          <w:sz w:val="16"/>
          <w:szCs w:val="16"/>
          <w:lang w:val="es-PE"/>
        </w:rPr>
        <w:t xml:space="preserve"> </w:t>
      </w:r>
    </w:p>
  </w:footnote>
  <w:footnote w:id="53">
    <w:p w14:paraId="20F6CED0" w14:textId="4482CA57" w:rsidR="00A52322" w:rsidRPr="00244A43" w:rsidRDefault="00A52322" w:rsidP="003C3EE6">
      <w:pPr>
        <w:pStyle w:val="Textonotapie"/>
        <w:jc w:val="both"/>
        <w:rPr>
          <w:rFonts w:ascii="Verdana" w:hAnsi="Verdana"/>
          <w:sz w:val="16"/>
          <w:szCs w:val="16"/>
          <w:lang w:val="es-PE"/>
        </w:rPr>
      </w:pPr>
      <w:r w:rsidRPr="00244A43">
        <w:rPr>
          <w:rStyle w:val="Refdenotaalpie"/>
          <w:rFonts w:ascii="Verdana" w:hAnsi="Verdana"/>
          <w:sz w:val="16"/>
          <w:szCs w:val="16"/>
        </w:rPr>
        <w:footnoteRef/>
      </w:r>
      <w:r w:rsidRPr="00244A43">
        <w:rPr>
          <w:rFonts w:ascii="Verdana" w:hAnsi="Verdana"/>
          <w:sz w:val="16"/>
          <w:szCs w:val="16"/>
          <w:lang w:val="es-PE"/>
        </w:rPr>
        <w:t xml:space="preserve"> </w:t>
      </w:r>
      <w:r w:rsidRPr="00244A43">
        <w:rPr>
          <w:rFonts w:ascii="Verdana" w:hAnsi="Verdana"/>
          <w:sz w:val="16"/>
          <w:szCs w:val="16"/>
          <w:lang w:val="es-PE"/>
        </w:rPr>
        <w:tab/>
      </w:r>
      <w:r w:rsidRPr="00244A43">
        <w:rPr>
          <w:rFonts w:ascii="Verdana" w:hAnsi="Verdana"/>
          <w:i/>
          <w:sz w:val="16"/>
          <w:szCs w:val="16"/>
          <w:lang w:val="es-PE"/>
        </w:rPr>
        <w:t>Cfr.</w:t>
      </w:r>
      <w:r>
        <w:rPr>
          <w:rFonts w:ascii="Verdana" w:hAnsi="Verdana"/>
          <w:sz w:val="16"/>
          <w:szCs w:val="16"/>
          <w:lang w:val="es-PE"/>
        </w:rPr>
        <w:t xml:space="preserve"> Acta de Juicio 38-9</w:t>
      </w:r>
      <w:r w:rsidRPr="00244A43">
        <w:rPr>
          <w:rFonts w:ascii="Verdana" w:hAnsi="Verdana"/>
          <w:sz w:val="16"/>
          <w:szCs w:val="16"/>
          <w:lang w:val="es-PE"/>
        </w:rPr>
        <w:t xml:space="preserve">9 de 11 de </w:t>
      </w:r>
      <w:r w:rsidRPr="00244A43">
        <w:rPr>
          <w:rFonts w:ascii="Verdana" w:hAnsi="Verdana"/>
          <w:sz w:val="16"/>
          <w:szCs w:val="16"/>
          <w:lang w:val="es-CR"/>
        </w:rPr>
        <w:t>octubre de 1999</w:t>
      </w:r>
      <w:r w:rsidRPr="00244A43">
        <w:rPr>
          <w:rFonts w:ascii="Verdana" w:hAnsi="Verdana"/>
          <w:sz w:val="16"/>
          <w:szCs w:val="16"/>
          <w:lang w:val="es-PE"/>
        </w:rPr>
        <w:t xml:space="preserve">, </w:t>
      </w:r>
      <w:r w:rsidRPr="00244A43">
        <w:rPr>
          <w:rFonts w:ascii="Verdana" w:hAnsi="Verdana"/>
          <w:i/>
          <w:sz w:val="16"/>
          <w:szCs w:val="16"/>
          <w:lang w:val="es-PE"/>
        </w:rPr>
        <w:t>supra</w:t>
      </w:r>
      <w:r w:rsidRPr="00244A43">
        <w:rPr>
          <w:rFonts w:ascii="Verdana" w:hAnsi="Verdana"/>
          <w:sz w:val="16"/>
          <w:szCs w:val="16"/>
          <w:lang w:val="es-PE"/>
        </w:rPr>
        <w:t>,</w:t>
      </w:r>
      <w:r w:rsidRPr="00244A43">
        <w:rPr>
          <w:rFonts w:ascii="Verdana" w:hAnsi="Verdana"/>
          <w:sz w:val="16"/>
          <w:szCs w:val="16"/>
          <w:lang w:val="es-CR"/>
        </w:rPr>
        <w:t xml:space="preserve"> </w:t>
      </w:r>
      <w:r w:rsidRPr="00244A43">
        <w:rPr>
          <w:rFonts w:ascii="Verdana" w:hAnsi="Verdana"/>
          <w:sz w:val="16"/>
          <w:szCs w:val="16"/>
          <w:lang w:val="es-PE"/>
        </w:rPr>
        <w:t>y peritaje psicológico rendido por Juan Cristóbal Aldana Alfar</w:t>
      </w:r>
      <w:r>
        <w:rPr>
          <w:rFonts w:ascii="Verdana" w:hAnsi="Verdana"/>
          <w:sz w:val="16"/>
          <w:szCs w:val="16"/>
          <w:lang w:val="es-PE"/>
        </w:rPr>
        <w:t>o</w:t>
      </w:r>
      <w:r w:rsidRPr="00244A43">
        <w:rPr>
          <w:rFonts w:ascii="Verdana" w:hAnsi="Verdana"/>
          <w:sz w:val="16"/>
          <w:szCs w:val="16"/>
          <w:lang w:val="es-PE"/>
        </w:rPr>
        <w:t xml:space="preserve">, </w:t>
      </w:r>
      <w:r w:rsidRPr="00244A43">
        <w:rPr>
          <w:rFonts w:ascii="Verdana" w:hAnsi="Verdana"/>
          <w:i/>
          <w:sz w:val="16"/>
          <w:szCs w:val="16"/>
          <w:lang w:val="es-PE"/>
        </w:rPr>
        <w:t>supra</w:t>
      </w:r>
      <w:r w:rsidRPr="00244A43">
        <w:rPr>
          <w:rFonts w:ascii="Verdana" w:hAnsi="Verdana"/>
          <w:sz w:val="16"/>
          <w:szCs w:val="16"/>
          <w:lang w:val="es-PE"/>
        </w:rPr>
        <w:t xml:space="preserve">, e </w:t>
      </w:r>
      <w:r w:rsidRPr="00244A43">
        <w:rPr>
          <w:rFonts w:ascii="Verdana" w:hAnsi="Verdana"/>
          <w:sz w:val="16"/>
          <w:szCs w:val="16"/>
          <w:lang w:val="es-CR"/>
        </w:rPr>
        <w:t xml:space="preserve">Informe del médico Edna Karina Vaquerano Martínez, </w:t>
      </w:r>
      <w:r w:rsidRPr="00244A43">
        <w:rPr>
          <w:rFonts w:ascii="Verdana" w:hAnsi="Verdana"/>
          <w:i/>
          <w:sz w:val="16"/>
          <w:szCs w:val="16"/>
          <w:lang w:val="es-CR"/>
        </w:rPr>
        <w:t>supra</w:t>
      </w:r>
      <w:r w:rsidRPr="00244A43">
        <w:rPr>
          <w:rFonts w:ascii="Verdana" w:hAnsi="Verdana"/>
          <w:sz w:val="16"/>
          <w:szCs w:val="16"/>
          <w:lang w:val="es-CR"/>
        </w:rPr>
        <w:t xml:space="preserve">.   </w:t>
      </w:r>
    </w:p>
  </w:footnote>
  <w:footnote w:id="54">
    <w:p w14:paraId="3768C61F" w14:textId="22223D9B" w:rsidR="00A52322" w:rsidRPr="00244A43" w:rsidRDefault="00A52322" w:rsidP="003C3EE6">
      <w:pPr>
        <w:pStyle w:val="Textonotapie"/>
        <w:jc w:val="both"/>
        <w:rPr>
          <w:rFonts w:ascii="Verdana" w:hAnsi="Verdana"/>
          <w:b/>
          <w:color w:val="00B050"/>
          <w:sz w:val="16"/>
          <w:szCs w:val="16"/>
          <w:lang w:val="es-CR"/>
        </w:rPr>
      </w:pPr>
      <w:r w:rsidRPr="00B65610">
        <w:rPr>
          <w:rStyle w:val="Refdenotaalpie"/>
          <w:rFonts w:ascii="Verdana" w:hAnsi="Verdana"/>
          <w:sz w:val="16"/>
          <w:szCs w:val="16"/>
        </w:rPr>
        <w:footnoteRef/>
      </w:r>
      <w:r w:rsidRPr="00B65610">
        <w:rPr>
          <w:rFonts w:ascii="Verdana" w:hAnsi="Verdana"/>
          <w:sz w:val="16"/>
          <w:szCs w:val="16"/>
          <w:lang w:val="es-CR"/>
        </w:rPr>
        <w:t xml:space="preserve"> </w:t>
      </w:r>
      <w:r w:rsidRPr="00244A43">
        <w:rPr>
          <w:rFonts w:ascii="Verdana" w:hAnsi="Verdana"/>
          <w:b/>
          <w:sz w:val="16"/>
          <w:szCs w:val="16"/>
          <w:lang w:val="es-CR"/>
        </w:rPr>
        <w:tab/>
      </w:r>
      <w:r w:rsidRPr="00244A43">
        <w:rPr>
          <w:rFonts w:ascii="Verdana" w:hAnsi="Verdana"/>
          <w:i/>
          <w:sz w:val="16"/>
          <w:szCs w:val="16"/>
          <w:lang w:val="es-PE"/>
        </w:rPr>
        <w:t>Cfr</w:t>
      </w:r>
      <w:r>
        <w:rPr>
          <w:rFonts w:ascii="Verdana" w:hAnsi="Verdana"/>
          <w:sz w:val="16"/>
          <w:szCs w:val="16"/>
          <w:lang w:val="es-PE"/>
        </w:rPr>
        <w:t>. Acta de Juicio 38-9</w:t>
      </w:r>
      <w:r w:rsidRPr="00244A43">
        <w:rPr>
          <w:rFonts w:ascii="Verdana" w:hAnsi="Verdana"/>
          <w:sz w:val="16"/>
          <w:szCs w:val="16"/>
          <w:lang w:val="es-PE"/>
        </w:rPr>
        <w:t xml:space="preserve">9 de 11 de </w:t>
      </w:r>
      <w:r w:rsidRPr="00244A43">
        <w:rPr>
          <w:rFonts w:ascii="Verdana" w:hAnsi="Verdana"/>
          <w:sz w:val="16"/>
          <w:szCs w:val="16"/>
          <w:lang w:val="es-CR"/>
        </w:rPr>
        <w:t xml:space="preserve">octubre de 1999, </w:t>
      </w:r>
      <w:r w:rsidRPr="00244A43">
        <w:rPr>
          <w:rFonts w:ascii="Verdana" w:hAnsi="Verdana"/>
          <w:i/>
          <w:sz w:val="16"/>
          <w:szCs w:val="16"/>
          <w:lang w:val="es-CR"/>
        </w:rPr>
        <w:t>supra</w:t>
      </w:r>
      <w:r w:rsidRPr="00244A43">
        <w:rPr>
          <w:rFonts w:ascii="Verdana" w:hAnsi="Verdana"/>
          <w:sz w:val="16"/>
          <w:szCs w:val="16"/>
          <w:lang w:val="es-PE"/>
        </w:rPr>
        <w:t>; declaración rendida por el señor SMR el 13 de julio de 2004 (expediente de anexos al Informe de Fondo, anexo 3, f.</w:t>
      </w:r>
      <w:r>
        <w:rPr>
          <w:rFonts w:ascii="Verdana" w:hAnsi="Verdana"/>
          <w:sz w:val="16"/>
          <w:szCs w:val="16"/>
          <w:lang w:val="es-PE"/>
        </w:rPr>
        <w:t xml:space="preserve"> 118</w:t>
      </w:r>
      <w:r w:rsidRPr="00244A43">
        <w:rPr>
          <w:rFonts w:ascii="Verdana" w:hAnsi="Verdana"/>
          <w:sz w:val="16"/>
          <w:szCs w:val="16"/>
          <w:lang w:val="es-PE"/>
        </w:rPr>
        <w:t>), y declaración rendida por el señor EMM sin fecha (expediente de anexos al Informe de Fondo, anexo 4, fs. 120 a 121).</w:t>
      </w:r>
      <w:r w:rsidRPr="00244A43">
        <w:rPr>
          <w:rFonts w:ascii="Verdana" w:hAnsi="Verdana"/>
          <w:b/>
          <w:sz w:val="16"/>
          <w:szCs w:val="16"/>
          <w:lang w:val="es-PE"/>
        </w:rPr>
        <w:t xml:space="preserve"> </w:t>
      </w:r>
    </w:p>
  </w:footnote>
  <w:footnote w:id="55">
    <w:p w14:paraId="498574D1" w14:textId="6836364E" w:rsidR="00A52322" w:rsidRPr="00244A43" w:rsidRDefault="00A52322" w:rsidP="003C3EE6">
      <w:pPr>
        <w:pStyle w:val="Textonotapie"/>
        <w:jc w:val="both"/>
        <w:rPr>
          <w:rFonts w:ascii="Verdana" w:hAnsi="Verdana"/>
          <w:sz w:val="16"/>
          <w:szCs w:val="16"/>
          <w:lang w:val="es-PE"/>
        </w:rPr>
      </w:pPr>
      <w:r w:rsidRPr="00244A43">
        <w:rPr>
          <w:rStyle w:val="Refdenotaalpie"/>
          <w:rFonts w:ascii="Verdana" w:hAnsi="Verdana"/>
          <w:sz w:val="16"/>
          <w:szCs w:val="16"/>
        </w:rPr>
        <w:footnoteRef/>
      </w:r>
      <w:r w:rsidRPr="00244A43">
        <w:rPr>
          <w:rFonts w:ascii="Verdana" w:hAnsi="Verdana"/>
          <w:sz w:val="16"/>
          <w:szCs w:val="16"/>
          <w:lang w:val="es-PE"/>
        </w:rPr>
        <w:t xml:space="preserve"> </w:t>
      </w:r>
      <w:r w:rsidRPr="00244A43">
        <w:rPr>
          <w:rFonts w:ascii="Verdana" w:hAnsi="Verdana"/>
          <w:sz w:val="16"/>
          <w:szCs w:val="16"/>
          <w:lang w:val="es-PE"/>
        </w:rPr>
        <w:tab/>
      </w:r>
      <w:r w:rsidRPr="00244A43">
        <w:rPr>
          <w:rFonts w:ascii="Verdana" w:hAnsi="Verdana"/>
          <w:i/>
          <w:sz w:val="16"/>
          <w:szCs w:val="16"/>
          <w:lang w:val="es-PE"/>
        </w:rPr>
        <w:t>Cfr</w:t>
      </w:r>
      <w:r>
        <w:rPr>
          <w:rFonts w:ascii="Verdana" w:hAnsi="Verdana"/>
          <w:sz w:val="16"/>
          <w:szCs w:val="16"/>
          <w:lang w:val="es-PE"/>
        </w:rPr>
        <w:t>. Acta de Juicio 38-9</w:t>
      </w:r>
      <w:r w:rsidRPr="00244A43">
        <w:rPr>
          <w:rFonts w:ascii="Verdana" w:hAnsi="Verdana"/>
          <w:sz w:val="16"/>
          <w:szCs w:val="16"/>
          <w:lang w:val="es-PE"/>
        </w:rPr>
        <w:t xml:space="preserve">9 de 11 de </w:t>
      </w:r>
      <w:r w:rsidRPr="00244A43">
        <w:rPr>
          <w:rFonts w:ascii="Verdana" w:hAnsi="Verdana"/>
          <w:sz w:val="16"/>
          <w:szCs w:val="16"/>
          <w:lang w:val="es-CR"/>
        </w:rPr>
        <w:t xml:space="preserve">octubre de 1999, supra, </w:t>
      </w:r>
      <w:r w:rsidRPr="00244A43">
        <w:rPr>
          <w:rFonts w:ascii="Verdana" w:hAnsi="Verdana"/>
          <w:sz w:val="16"/>
          <w:szCs w:val="16"/>
          <w:lang w:val="es-PE"/>
        </w:rPr>
        <w:t xml:space="preserve">y peritaje psicológico rendido por Juan Cristóbal Aldana Alfaro, </w:t>
      </w:r>
      <w:r w:rsidRPr="00244A43">
        <w:rPr>
          <w:rFonts w:ascii="Verdana" w:hAnsi="Verdana"/>
          <w:i/>
          <w:sz w:val="16"/>
          <w:szCs w:val="16"/>
          <w:lang w:val="es-PE"/>
        </w:rPr>
        <w:t>supra</w:t>
      </w:r>
      <w:r w:rsidRPr="00244A43">
        <w:rPr>
          <w:rFonts w:ascii="Verdana" w:hAnsi="Verdana"/>
          <w:sz w:val="16"/>
          <w:szCs w:val="16"/>
          <w:lang w:val="es-PE"/>
        </w:rPr>
        <w:t>, y oficio de 2 de agosto de 1999 de la Jueza de Primera Instancia Penal Interina, Narcoactividad y Delitos contra el Ambiente (expediente de trámite ante la Comisión, anexo 3, f. 1556).</w:t>
      </w:r>
    </w:p>
  </w:footnote>
  <w:footnote w:id="56">
    <w:p w14:paraId="1FDF62CD" w14:textId="77777777" w:rsidR="00A52322" w:rsidRPr="00244A43" w:rsidRDefault="00A52322" w:rsidP="003C3EE6">
      <w:pPr>
        <w:pStyle w:val="Textonotapie"/>
        <w:jc w:val="both"/>
        <w:rPr>
          <w:rFonts w:ascii="Verdana" w:hAnsi="Verdana"/>
          <w:sz w:val="16"/>
          <w:szCs w:val="16"/>
          <w:lang w:val="es-PE"/>
        </w:rPr>
      </w:pPr>
      <w:r w:rsidRPr="00244A43">
        <w:rPr>
          <w:rStyle w:val="Refdenotaalpie"/>
          <w:rFonts w:ascii="Verdana" w:hAnsi="Verdana"/>
          <w:sz w:val="16"/>
          <w:szCs w:val="16"/>
        </w:rPr>
        <w:footnoteRef/>
      </w:r>
      <w:r w:rsidRPr="00244A43">
        <w:rPr>
          <w:rFonts w:ascii="Verdana" w:hAnsi="Verdana"/>
          <w:sz w:val="16"/>
          <w:szCs w:val="16"/>
          <w:lang w:val="es-PE"/>
        </w:rPr>
        <w:t xml:space="preserve"> </w:t>
      </w:r>
      <w:r w:rsidRPr="00244A43">
        <w:rPr>
          <w:rFonts w:ascii="Verdana" w:hAnsi="Verdana"/>
          <w:sz w:val="16"/>
          <w:szCs w:val="16"/>
          <w:lang w:val="es-PE"/>
        </w:rPr>
        <w:tab/>
      </w:r>
      <w:r w:rsidRPr="00244A43">
        <w:rPr>
          <w:rFonts w:ascii="Verdana" w:hAnsi="Verdana"/>
          <w:i/>
          <w:sz w:val="16"/>
          <w:szCs w:val="16"/>
          <w:lang w:val="es-PE"/>
        </w:rPr>
        <w:t>Cfr</w:t>
      </w:r>
      <w:r w:rsidRPr="00244A43">
        <w:rPr>
          <w:rFonts w:ascii="Verdana" w:hAnsi="Verdana"/>
          <w:sz w:val="16"/>
          <w:szCs w:val="16"/>
          <w:lang w:val="es-PE"/>
        </w:rPr>
        <w:t xml:space="preserve">. Escrito de acusación y formulación de apertura del juicio de 31 de mayo de 1999, </w:t>
      </w:r>
      <w:r w:rsidRPr="00244A43">
        <w:rPr>
          <w:rFonts w:ascii="Verdana" w:hAnsi="Verdana"/>
          <w:i/>
          <w:sz w:val="16"/>
          <w:szCs w:val="16"/>
          <w:lang w:val="es-PE"/>
        </w:rPr>
        <w:t>supra</w:t>
      </w:r>
      <w:r w:rsidRPr="00244A43">
        <w:rPr>
          <w:rFonts w:ascii="Verdana" w:hAnsi="Verdana"/>
          <w:sz w:val="16"/>
          <w:szCs w:val="16"/>
          <w:lang w:val="es-PE"/>
        </w:rPr>
        <w:t>.</w:t>
      </w:r>
    </w:p>
  </w:footnote>
  <w:footnote w:id="57">
    <w:p w14:paraId="57DE0306" w14:textId="64FD9514" w:rsidR="00A52322" w:rsidRPr="00244A43" w:rsidRDefault="00A52322" w:rsidP="00D04BB7">
      <w:pPr>
        <w:pStyle w:val="Textonotapie"/>
        <w:jc w:val="both"/>
        <w:rPr>
          <w:rFonts w:ascii="Verdana" w:hAnsi="Verdana"/>
          <w:sz w:val="16"/>
          <w:szCs w:val="16"/>
          <w:lang w:val="es-ES"/>
        </w:rPr>
      </w:pPr>
      <w:r w:rsidRPr="00244A43">
        <w:rPr>
          <w:rStyle w:val="Refdenotaalpie"/>
          <w:rFonts w:ascii="Verdana" w:hAnsi="Verdana"/>
          <w:sz w:val="16"/>
          <w:szCs w:val="16"/>
        </w:rPr>
        <w:footnoteRef/>
      </w:r>
      <w:r w:rsidRPr="00244A43">
        <w:rPr>
          <w:rFonts w:ascii="Verdana" w:hAnsi="Verdana"/>
          <w:sz w:val="16"/>
          <w:szCs w:val="16"/>
        </w:rPr>
        <w:t xml:space="preserve">  </w:t>
      </w:r>
      <w:r w:rsidRPr="00244A43">
        <w:rPr>
          <w:rFonts w:ascii="Verdana" w:hAnsi="Verdana"/>
          <w:sz w:val="16"/>
          <w:szCs w:val="16"/>
        </w:rPr>
        <w:tab/>
      </w:r>
      <w:r w:rsidRPr="00BE7DBF">
        <w:rPr>
          <w:rFonts w:ascii="Verdana" w:hAnsi="Verdana"/>
          <w:i/>
          <w:sz w:val="16"/>
          <w:szCs w:val="16"/>
        </w:rPr>
        <w:t>Cfr.</w:t>
      </w:r>
      <w:r>
        <w:rPr>
          <w:rFonts w:ascii="Verdana" w:hAnsi="Verdana"/>
          <w:i/>
          <w:sz w:val="16"/>
          <w:szCs w:val="16"/>
        </w:rPr>
        <w:t xml:space="preserve"> </w:t>
      </w:r>
      <w:r>
        <w:rPr>
          <w:rFonts w:ascii="Verdana" w:hAnsi="Verdana"/>
          <w:sz w:val="16"/>
          <w:szCs w:val="16"/>
        </w:rPr>
        <w:t xml:space="preserve">Sentencia del Tribunal de Sentencia del Municipio de Coatepeque, Quetzaltenango de 10 de febrero de 2000 (expediente de trámite ante la Comisión, anexo 2, fs. 1346 a 1360); </w:t>
      </w:r>
      <w:r w:rsidRPr="00244A43">
        <w:rPr>
          <w:rFonts w:ascii="Verdana" w:hAnsi="Verdana"/>
          <w:sz w:val="16"/>
          <w:szCs w:val="16"/>
        </w:rPr>
        <w:t>Oficio de 15 de abril de 1999 del Director del Hospital Nacional “Juan José Ortega” de Coatepeque a médicos de urgencia del Hospital General San Juan de Dios, Guatemala (</w:t>
      </w:r>
      <w:r w:rsidRPr="00244A43">
        <w:rPr>
          <w:rFonts w:ascii="Verdana" w:hAnsi="Verdana"/>
          <w:sz w:val="16"/>
          <w:szCs w:val="16"/>
          <w:lang w:val="es-PE"/>
        </w:rPr>
        <w:t>expediente de trámite ante la Comisión, anexo 18, f. 2208), y Certificación del Director del Hospital Nacional “Juan José Ortega” de Coatepeque de 3 de mayo de 2005 (expediente de trámite ante la Comisión, anexo 3, f. 2205).</w:t>
      </w:r>
    </w:p>
  </w:footnote>
  <w:footnote w:id="58">
    <w:p w14:paraId="7B26F1FD" w14:textId="2FE85E9C" w:rsidR="00A52322" w:rsidRPr="00244A43" w:rsidRDefault="00A52322" w:rsidP="00D04BB7">
      <w:pPr>
        <w:pStyle w:val="Textonotapie"/>
        <w:jc w:val="both"/>
        <w:rPr>
          <w:rFonts w:ascii="Verdana" w:hAnsi="Verdana"/>
          <w:b/>
          <w:sz w:val="16"/>
          <w:szCs w:val="16"/>
          <w:lang w:val="es-PE"/>
        </w:rPr>
      </w:pPr>
      <w:r w:rsidRPr="0097244E">
        <w:rPr>
          <w:rStyle w:val="Refdenotaalpie"/>
          <w:rFonts w:ascii="Verdana" w:hAnsi="Verdana"/>
          <w:sz w:val="16"/>
          <w:szCs w:val="16"/>
        </w:rPr>
        <w:footnoteRef/>
      </w:r>
      <w:r w:rsidRPr="0097244E">
        <w:rPr>
          <w:rFonts w:ascii="Verdana" w:hAnsi="Verdana"/>
          <w:sz w:val="16"/>
          <w:szCs w:val="16"/>
          <w:lang w:val="es-PE"/>
        </w:rPr>
        <w:t xml:space="preserve"> </w:t>
      </w:r>
      <w:r w:rsidRPr="00244A43">
        <w:rPr>
          <w:rFonts w:ascii="Verdana" w:hAnsi="Verdana"/>
          <w:b/>
          <w:sz w:val="16"/>
          <w:szCs w:val="16"/>
          <w:lang w:val="es-PE"/>
        </w:rPr>
        <w:tab/>
      </w:r>
      <w:r w:rsidRPr="00244A43">
        <w:rPr>
          <w:rFonts w:ascii="Verdana" w:hAnsi="Verdana"/>
          <w:i/>
          <w:sz w:val="16"/>
          <w:szCs w:val="16"/>
          <w:lang w:val="es-PE"/>
        </w:rPr>
        <w:t>Cfr</w:t>
      </w:r>
      <w:r>
        <w:rPr>
          <w:rFonts w:ascii="Verdana" w:hAnsi="Verdana"/>
          <w:sz w:val="16"/>
          <w:szCs w:val="16"/>
          <w:lang w:val="es-PE"/>
        </w:rPr>
        <w:t>. Acta de Juicio 38-9</w:t>
      </w:r>
      <w:r w:rsidRPr="00244A43">
        <w:rPr>
          <w:rFonts w:ascii="Verdana" w:hAnsi="Verdana"/>
          <w:sz w:val="16"/>
          <w:szCs w:val="16"/>
          <w:lang w:val="es-PE"/>
        </w:rPr>
        <w:t xml:space="preserve">9 de 11 de </w:t>
      </w:r>
      <w:r w:rsidRPr="00244A43">
        <w:rPr>
          <w:rFonts w:ascii="Verdana" w:hAnsi="Verdana"/>
          <w:sz w:val="16"/>
          <w:szCs w:val="16"/>
          <w:lang w:val="es-CR"/>
        </w:rPr>
        <w:t xml:space="preserve">octubre de 1999, </w:t>
      </w:r>
      <w:r w:rsidRPr="00244A43">
        <w:rPr>
          <w:rFonts w:ascii="Verdana" w:hAnsi="Verdana"/>
          <w:i/>
          <w:sz w:val="16"/>
          <w:szCs w:val="16"/>
          <w:lang w:val="es-CR"/>
        </w:rPr>
        <w:t>supra</w:t>
      </w:r>
      <w:r w:rsidRPr="00244A43">
        <w:rPr>
          <w:rFonts w:ascii="Verdana" w:hAnsi="Verdana"/>
          <w:sz w:val="16"/>
          <w:szCs w:val="16"/>
          <w:lang w:val="es-CR"/>
        </w:rPr>
        <w:t xml:space="preserve">; </w:t>
      </w:r>
      <w:r w:rsidRPr="00244A43">
        <w:rPr>
          <w:rFonts w:ascii="Verdana" w:hAnsi="Verdana"/>
          <w:sz w:val="16"/>
          <w:szCs w:val="16"/>
          <w:lang w:val="es-PE"/>
        </w:rPr>
        <w:t xml:space="preserve">peritaje psicológico rendido por Juan Cristóbal Aldana Alfaro, </w:t>
      </w:r>
      <w:r w:rsidRPr="00244A43">
        <w:rPr>
          <w:rFonts w:ascii="Verdana" w:hAnsi="Verdana"/>
          <w:i/>
          <w:sz w:val="16"/>
          <w:szCs w:val="16"/>
          <w:lang w:val="es-PE"/>
        </w:rPr>
        <w:t>supra</w:t>
      </w:r>
      <w:r w:rsidRPr="00244A43">
        <w:rPr>
          <w:rFonts w:ascii="Verdana" w:hAnsi="Verdana"/>
          <w:sz w:val="16"/>
          <w:szCs w:val="16"/>
          <w:lang w:val="es-PE"/>
        </w:rPr>
        <w:t xml:space="preserve">, e </w:t>
      </w:r>
      <w:r w:rsidRPr="00244A43">
        <w:rPr>
          <w:rFonts w:ascii="Verdana" w:hAnsi="Verdana"/>
          <w:sz w:val="16"/>
          <w:szCs w:val="16"/>
          <w:lang w:val="es-CR"/>
        </w:rPr>
        <w:t xml:space="preserve">Informe del médico de Edna Karina Vaquerano Martínez, </w:t>
      </w:r>
      <w:r w:rsidRPr="00244A43">
        <w:rPr>
          <w:rFonts w:ascii="Verdana" w:hAnsi="Verdana"/>
          <w:i/>
          <w:sz w:val="16"/>
          <w:szCs w:val="16"/>
          <w:lang w:val="es-CR"/>
        </w:rPr>
        <w:t>supra</w:t>
      </w:r>
      <w:r w:rsidRPr="00244A43">
        <w:rPr>
          <w:rFonts w:ascii="Verdana" w:hAnsi="Verdana"/>
          <w:sz w:val="16"/>
          <w:szCs w:val="16"/>
          <w:lang w:val="es-CR"/>
        </w:rPr>
        <w:t>.</w:t>
      </w:r>
    </w:p>
  </w:footnote>
  <w:footnote w:id="59">
    <w:p w14:paraId="201E7DEF" w14:textId="77777777" w:rsidR="00A52322" w:rsidRPr="00244A43" w:rsidRDefault="00A52322" w:rsidP="00D04BB7">
      <w:pPr>
        <w:pStyle w:val="Textonotapie"/>
        <w:jc w:val="both"/>
        <w:rPr>
          <w:rFonts w:ascii="Verdana" w:hAnsi="Verdana"/>
          <w:sz w:val="16"/>
          <w:szCs w:val="16"/>
          <w:lang w:val="es-ES"/>
        </w:rPr>
      </w:pPr>
      <w:r w:rsidRPr="00244A43">
        <w:rPr>
          <w:rStyle w:val="Refdenotaalpie"/>
          <w:rFonts w:ascii="Verdana" w:hAnsi="Verdana"/>
          <w:sz w:val="16"/>
          <w:szCs w:val="16"/>
        </w:rPr>
        <w:footnoteRef/>
      </w:r>
      <w:r w:rsidRPr="00244A43">
        <w:rPr>
          <w:rFonts w:ascii="Verdana" w:hAnsi="Verdana"/>
          <w:sz w:val="16"/>
          <w:szCs w:val="16"/>
        </w:rPr>
        <w:t xml:space="preserve"> </w:t>
      </w:r>
      <w:r w:rsidRPr="00244A43">
        <w:rPr>
          <w:rFonts w:ascii="Verdana" w:hAnsi="Verdana"/>
          <w:sz w:val="16"/>
          <w:szCs w:val="16"/>
        </w:rPr>
        <w:tab/>
      </w:r>
      <w:r w:rsidRPr="00244A43">
        <w:rPr>
          <w:rFonts w:ascii="Verdana" w:hAnsi="Verdana"/>
          <w:sz w:val="16"/>
          <w:szCs w:val="16"/>
          <w:lang w:val="es-ES"/>
        </w:rPr>
        <w:t xml:space="preserve">Notificación No. 24-99. Of. 2º del Juez Presidente del Tribunal de Sentencia Penal del departamento de Quetzaltenango </w:t>
      </w:r>
      <w:r w:rsidRPr="00244A43">
        <w:rPr>
          <w:rFonts w:ascii="Verdana" w:hAnsi="Verdana"/>
          <w:sz w:val="16"/>
          <w:szCs w:val="16"/>
          <w:lang w:val="es-PE"/>
        </w:rPr>
        <w:t xml:space="preserve">(expediente de trámite ante la Comisión, anexo 1, </w:t>
      </w:r>
      <w:r w:rsidRPr="00244A43">
        <w:rPr>
          <w:rFonts w:ascii="Verdana" w:hAnsi="Verdana"/>
          <w:sz w:val="16"/>
          <w:szCs w:val="16"/>
          <w:lang w:val="es-ES"/>
        </w:rPr>
        <w:t>f. 937).</w:t>
      </w:r>
    </w:p>
  </w:footnote>
  <w:footnote w:id="60">
    <w:p w14:paraId="4CD1F996" w14:textId="7FB0097D" w:rsidR="00A52322" w:rsidRPr="000E2DF8" w:rsidRDefault="00A52322" w:rsidP="00BC2D41">
      <w:pPr>
        <w:pStyle w:val="Textonotapie"/>
        <w:jc w:val="both"/>
        <w:rPr>
          <w:rFonts w:ascii="Verdana" w:hAnsi="Verdana"/>
          <w:b/>
          <w:sz w:val="16"/>
          <w:szCs w:val="16"/>
          <w:lang w:val="es-AR"/>
        </w:rPr>
      </w:pPr>
      <w:r w:rsidRPr="00244A43">
        <w:rPr>
          <w:rStyle w:val="Refdenotaalpie"/>
          <w:rFonts w:ascii="Verdana" w:hAnsi="Verdana"/>
          <w:sz w:val="16"/>
          <w:szCs w:val="16"/>
        </w:rPr>
        <w:footnoteRef/>
      </w:r>
      <w:r w:rsidRPr="00244A43">
        <w:rPr>
          <w:rFonts w:ascii="Verdana" w:hAnsi="Verdana"/>
          <w:sz w:val="16"/>
          <w:szCs w:val="16"/>
          <w:lang w:val="es-AR"/>
        </w:rPr>
        <w:t xml:space="preserve"> </w:t>
      </w:r>
      <w:r w:rsidRPr="00244A43">
        <w:rPr>
          <w:rFonts w:ascii="Verdana" w:hAnsi="Verdana"/>
          <w:sz w:val="16"/>
          <w:szCs w:val="16"/>
          <w:lang w:val="es-AR"/>
        </w:rPr>
        <w:tab/>
      </w:r>
      <w:r w:rsidRPr="00252E25">
        <w:rPr>
          <w:rFonts w:ascii="Verdana" w:hAnsi="Verdana" w:cs="Arial"/>
          <w:i/>
          <w:color w:val="0D0D0D"/>
          <w:sz w:val="16"/>
          <w:szCs w:val="16"/>
          <w:lang w:val="es-CR"/>
        </w:rPr>
        <w:t>Cfr</w:t>
      </w:r>
      <w:r>
        <w:rPr>
          <w:rFonts w:ascii="Verdana" w:hAnsi="Verdana" w:cs="Arial"/>
          <w:color w:val="0D0D0D"/>
          <w:sz w:val="16"/>
          <w:szCs w:val="16"/>
          <w:lang w:val="es-CR"/>
        </w:rPr>
        <w:t>. P</w:t>
      </w:r>
      <w:r w:rsidRPr="00244A43">
        <w:rPr>
          <w:rFonts w:ascii="Verdana" w:hAnsi="Verdana"/>
          <w:sz w:val="16"/>
          <w:szCs w:val="16"/>
          <w:lang w:val="es-PE"/>
        </w:rPr>
        <w:t xml:space="preserve">eritaje psicológico rendido por Juan Cristóbal Aldana Alfaro, </w:t>
      </w:r>
      <w:r w:rsidRPr="00244A43">
        <w:rPr>
          <w:rFonts w:ascii="Verdana" w:hAnsi="Verdana"/>
          <w:i/>
          <w:sz w:val="16"/>
          <w:szCs w:val="16"/>
          <w:lang w:val="es-PE"/>
        </w:rPr>
        <w:t>supra</w:t>
      </w:r>
      <w:r>
        <w:rPr>
          <w:rFonts w:ascii="Verdana" w:hAnsi="Verdana"/>
          <w:sz w:val="16"/>
          <w:szCs w:val="16"/>
          <w:lang w:val="es-PE"/>
        </w:rPr>
        <w:t xml:space="preserve">; </w:t>
      </w:r>
      <w:r w:rsidRPr="00244A43">
        <w:rPr>
          <w:rFonts w:ascii="Verdana" w:hAnsi="Verdana"/>
          <w:sz w:val="16"/>
          <w:szCs w:val="16"/>
          <w:lang w:val="es-CR"/>
        </w:rPr>
        <w:t xml:space="preserve">Informe del médico de Edna Karina Vaquerano Martínez, </w:t>
      </w:r>
      <w:r w:rsidRPr="00244A43">
        <w:rPr>
          <w:rFonts w:ascii="Verdana" w:hAnsi="Verdana"/>
          <w:i/>
          <w:sz w:val="16"/>
          <w:szCs w:val="16"/>
          <w:lang w:val="es-PE"/>
        </w:rPr>
        <w:t>supra</w:t>
      </w:r>
      <w:r>
        <w:rPr>
          <w:rFonts w:ascii="Verdana" w:hAnsi="Verdana" w:cs="Arial"/>
          <w:color w:val="0D0D0D"/>
          <w:sz w:val="16"/>
          <w:szCs w:val="16"/>
          <w:lang w:val="es-PE"/>
        </w:rPr>
        <w:t xml:space="preserve">, y </w:t>
      </w:r>
      <w:r w:rsidRPr="0030520A">
        <w:rPr>
          <w:rFonts w:ascii="Verdana" w:hAnsi="Verdana" w:cs="Arial"/>
          <w:color w:val="0D0D0D"/>
          <w:sz w:val="16"/>
          <w:szCs w:val="16"/>
          <w:lang w:val="es-CR"/>
        </w:rPr>
        <w:t xml:space="preserve">Recurso de exhibición personal interpuesto por Tirso Román Valenzuela Ávila ante la </w:t>
      </w:r>
      <w:r w:rsidRPr="0030520A">
        <w:rPr>
          <w:rFonts w:ascii="Verdana" w:hAnsi="Verdana"/>
          <w:sz w:val="16"/>
          <w:szCs w:val="16"/>
          <w:lang w:val="es-CR"/>
        </w:rPr>
        <w:t xml:space="preserve">Sala Tercera de la Corte de Apelaciones de </w:t>
      </w:r>
      <w:r w:rsidRPr="0030520A">
        <w:rPr>
          <w:rFonts w:ascii="Verdana" w:hAnsi="Verdana" w:cs="Arial"/>
          <w:color w:val="0D0D0D"/>
          <w:sz w:val="16"/>
          <w:szCs w:val="16"/>
          <w:lang w:val="es-CR"/>
        </w:rPr>
        <w:t>11 de julio de 2001 (expediente de anexos al Informe de Fondo, anexo 7, fs. 160 a 163)</w:t>
      </w:r>
      <w:r>
        <w:rPr>
          <w:rFonts w:ascii="Verdana" w:hAnsi="Verdana" w:cs="Arial"/>
          <w:color w:val="0D0D0D"/>
          <w:sz w:val="16"/>
          <w:szCs w:val="16"/>
          <w:lang w:val="es-CR"/>
        </w:rPr>
        <w:t>.</w:t>
      </w:r>
      <w:r w:rsidRPr="0030520A">
        <w:rPr>
          <w:rFonts w:ascii="Verdana" w:hAnsi="Verdana" w:cs="Arial"/>
          <w:color w:val="0D0D0D"/>
          <w:sz w:val="16"/>
          <w:szCs w:val="16"/>
          <w:lang w:val="es-CR"/>
        </w:rPr>
        <w:t xml:space="preserve"> </w:t>
      </w:r>
      <w:r w:rsidRPr="000E2DF8" w:rsidDel="005054DD">
        <w:rPr>
          <w:rFonts w:ascii="Verdana" w:hAnsi="Verdana"/>
          <w:b/>
          <w:sz w:val="16"/>
          <w:szCs w:val="16"/>
          <w:lang w:val="es-CR"/>
        </w:rPr>
        <w:t xml:space="preserve"> </w:t>
      </w:r>
    </w:p>
  </w:footnote>
  <w:footnote w:id="61">
    <w:p w14:paraId="2E60DF70" w14:textId="77777777" w:rsidR="00A52322" w:rsidRPr="00A922FC" w:rsidRDefault="00A52322" w:rsidP="003C3EE6">
      <w:pPr>
        <w:pStyle w:val="Textonotapie"/>
        <w:jc w:val="both"/>
        <w:rPr>
          <w:rFonts w:ascii="Verdana" w:hAnsi="Verdana"/>
          <w:sz w:val="16"/>
          <w:szCs w:val="16"/>
          <w:lang w:val="es-PE"/>
        </w:rPr>
      </w:pPr>
      <w:r w:rsidRPr="00A922FC">
        <w:rPr>
          <w:rStyle w:val="Refdenotaalpie"/>
          <w:rFonts w:ascii="Verdana" w:hAnsi="Verdana"/>
          <w:sz w:val="16"/>
          <w:szCs w:val="16"/>
        </w:rPr>
        <w:footnoteRef/>
      </w:r>
      <w:r w:rsidRPr="00A922FC">
        <w:rPr>
          <w:rFonts w:ascii="Verdana" w:hAnsi="Verdana"/>
          <w:sz w:val="16"/>
          <w:szCs w:val="16"/>
          <w:lang w:val="es-PE"/>
        </w:rPr>
        <w:t xml:space="preserve"> </w:t>
      </w:r>
      <w:r w:rsidRPr="00A922FC">
        <w:rPr>
          <w:rFonts w:ascii="Verdana" w:hAnsi="Verdana"/>
          <w:sz w:val="16"/>
          <w:szCs w:val="16"/>
          <w:lang w:val="es-PE"/>
        </w:rPr>
        <w:tab/>
      </w:r>
      <w:r w:rsidRPr="00A922FC">
        <w:rPr>
          <w:rFonts w:ascii="Verdana" w:hAnsi="Verdana"/>
          <w:i/>
          <w:sz w:val="16"/>
          <w:szCs w:val="16"/>
          <w:lang w:val="es-PE"/>
        </w:rPr>
        <w:t>Cfr</w:t>
      </w:r>
      <w:r w:rsidRPr="00A922FC">
        <w:rPr>
          <w:rFonts w:ascii="Verdana" w:hAnsi="Verdana"/>
          <w:sz w:val="16"/>
          <w:szCs w:val="16"/>
          <w:lang w:val="es-PE"/>
        </w:rPr>
        <w:t>. Declaración rendida por el señor PRA sin fecha (expediente de anexos al Informe de Fondo, anexo 9, f</w:t>
      </w:r>
      <w:r>
        <w:rPr>
          <w:rFonts w:ascii="Verdana" w:hAnsi="Verdana"/>
          <w:sz w:val="16"/>
          <w:szCs w:val="16"/>
          <w:lang w:val="es-PE"/>
        </w:rPr>
        <w:t>.</w:t>
      </w:r>
      <w:r w:rsidRPr="00A922FC">
        <w:rPr>
          <w:rFonts w:ascii="Verdana" w:hAnsi="Verdana"/>
          <w:sz w:val="16"/>
          <w:szCs w:val="16"/>
          <w:lang w:val="es-PE"/>
        </w:rPr>
        <w:t xml:space="preserve"> 168).</w:t>
      </w:r>
      <w:r w:rsidRPr="00A922FC">
        <w:rPr>
          <w:rFonts w:ascii="Verdana" w:hAnsi="Verdana"/>
          <w:i/>
          <w:color w:val="00B050"/>
          <w:sz w:val="16"/>
          <w:szCs w:val="16"/>
          <w:lang w:val="es-PE"/>
        </w:rPr>
        <w:t xml:space="preserve"> </w:t>
      </w:r>
    </w:p>
  </w:footnote>
  <w:footnote w:id="62">
    <w:p w14:paraId="55688D66" w14:textId="57B72124" w:rsidR="00A52322" w:rsidRPr="000E2DF8" w:rsidRDefault="00A52322" w:rsidP="00143445">
      <w:pPr>
        <w:pStyle w:val="Textonotapie"/>
        <w:jc w:val="both"/>
        <w:rPr>
          <w:rFonts w:ascii="Verdana" w:hAnsi="Verdana"/>
          <w:color w:val="FF0000"/>
          <w:sz w:val="16"/>
          <w:szCs w:val="16"/>
        </w:rPr>
      </w:pPr>
      <w:r w:rsidRPr="00052CDB">
        <w:rPr>
          <w:rStyle w:val="Refdenotaalpie"/>
          <w:rFonts w:ascii="Verdana" w:hAnsi="Verdana"/>
          <w:sz w:val="16"/>
          <w:szCs w:val="16"/>
        </w:rPr>
        <w:footnoteRef/>
      </w:r>
      <w:r w:rsidRPr="00052CDB">
        <w:rPr>
          <w:rFonts w:ascii="Verdana" w:hAnsi="Verdana"/>
          <w:sz w:val="16"/>
          <w:szCs w:val="16"/>
        </w:rPr>
        <w:t xml:space="preserve"> </w:t>
      </w:r>
      <w:r w:rsidRPr="00052CDB">
        <w:rPr>
          <w:rFonts w:ascii="Verdana" w:hAnsi="Verdana"/>
          <w:sz w:val="16"/>
          <w:szCs w:val="16"/>
        </w:rPr>
        <w:tab/>
      </w:r>
      <w:r w:rsidRPr="00052CDB">
        <w:rPr>
          <w:rFonts w:ascii="Verdana" w:hAnsi="Verdana"/>
          <w:i/>
          <w:sz w:val="16"/>
          <w:szCs w:val="16"/>
        </w:rPr>
        <w:t>Cfr</w:t>
      </w:r>
      <w:r w:rsidRPr="00052CDB">
        <w:rPr>
          <w:rFonts w:ascii="Verdana" w:hAnsi="Verdana"/>
          <w:sz w:val="16"/>
          <w:szCs w:val="16"/>
        </w:rPr>
        <w:t xml:space="preserve">. Informe del Estado de Guatemala a la Comisión Interamericana de Derechos Humanos, en relación al caso Tirso Román Valenzuela </w:t>
      </w:r>
      <w:r>
        <w:rPr>
          <w:rFonts w:ascii="Verdana" w:hAnsi="Verdana"/>
          <w:sz w:val="16"/>
          <w:szCs w:val="16"/>
        </w:rPr>
        <w:t xml:space="preserve">Ávila </w:t>
      </w:r>
      <w:r w:rsidRPr="00052CDB">
        <w:rPr>
          <w:rFonts w:ascii="Verdana" w:hAnsi="Verdana"/>
          <w:sz w:val="16"/>
          <w:szCs w:val="16"/>
        </w:rPr>
        <w:t>de 27 de mayo de 200</w:t>
      </w:r>
      <w:r>
        <w:rPr>
          <w:rFonts w:ascii="Verdana" w:hAnsi="Verdana"/>
          <w:sz w:val="16"/>
          <w:szCs w:val="16"/>
        </w:rPr>
        <w:t>5</w:t>
      </w:r>
      <w:r w:rsidRPr="00052CDB">
        <w:rPr>
          <w:rFonts w:ascii="Verdana" w:hAnsi="Verdana"/>
          <w:sz w:val="16"/>
          <w:szCs w:val="16"/>
        </w:rPr>
        <w:t xml:space="preserve"> (expediente de tr</w:t>
      </w:r>
      <w:r>
        <w:rPr>
          <w:rFonts w:ascii="Verdana" w:hAnsi="Verdana"/>
          <w:sz w:val="16"/>
          <w:szCs w:val="16"/>
        </w:rPr>
        <w:t>ámite ante la Comisión, fs. 3074</w:t>
      </w:r>
      <w:r w:rsidRPr="00052CDB">
        <w:rPr>
          <w:rFonts w:ascii="Verdana" w:hAnsi="Verdana"/>
          <w:sz w:val="16"/>
          <w:szCs w:val="16"/>
        </w:rPr>
        <w:t xml:space="preserve"> a 3083)</w:t>
      </w:r>
      <w:r>
        <w:rPr>
          <w:rFonts w:ascii="Verdana" w:hAnsi="Verdana"/>
          <w:sz w:val="16"/>
          <w:szCs w:val="16"/>
        </w:rPr>
        <w:t>.</w:t>
      </w:r>
      <w:r w:rsidRPr="00052CDB">
        <w:rPr>
          <w:rFonts w:ascii="Verdana" w:hAnsi="Verdana"/>
          <w:sz w:val="16"/>
          <w:szCs w:val="16"/>
        </w:rPr>
        <w:t xml:space="preserve"> En dicho informe se indica que el señor Tirso Román Valenzuela Ávila rindió su declaración indagatoria el 8 de junio de 1998. Es un hecho no controvertido</w:t>
      </w:r>
      <w:r w:rsidRPr="00052CDB">
        <w:rPr>
          <w:rFonts w:ascii="Verdana" w:hAnsi="Verdana"/>
          <w:sz w:val="16"/>
          <w:szCs w:val="16"/>
          <w:lang w:val="es-PE"/>
        </w:rPr>
        <w:t>.</w:t>
      </w:r>
    </w:p>
  </w:footnote>
  <w:footnote w:id="63">
    <w:p w14:paraId="2705675C" w14:textId="3AC84DEF" w:rsidR="00A52322" w:rsidRPr="000E2DF8" w:rsidRDefault="00A52322" w:rsidP="00143445">
      <w:pPr>
        <w:pStyle w:val="Textonotapie"/>
        <w:jc w:val="both"/>
        <w:rPr>
          <w:rFonts w:ascii="Verdana" w:hAnsi="Verdana"/>
          <w:b/>
          <w:sz w:val="16"/>
          <w:szCs w:val="16"/>
          <w:lang w:val="es-AR"/>
        </w:rPr>
      </w:pPr>
      <w:r w:rsidRPr="00130D62">
        <w:rPr>
          <w:rStyle w:val="Refdenotaalpie"/>
          <w:rFonts w:ascii="Verdana" w:hAnsi="Verdana"/>
          <w:sz w:val="16"/>
          <w:szCs w:val="16"/>
        </w:rPr>
        <w:footnoteRef/>
      </w:r>
      <w:r w:rsidRPr="00130D62">
        <w:rPr>
          <w:rFonts w:ascii="Verdana" w:hAnsi="Verdana"/>
          <w:sz w:val="16"/>
          <w:szCs w:val="16"/>
          <w:lang w:val="es-AR"/>
        </w:rPr>
        <w:t xml:space="preserve"> </w:t>
      </w:r>
      <w:r w:rsidRPr="000E2DF8">
        <w:rPr>
          <w:rFonts w:ascii="Verdana" w:hAnsi="Verdana"/>
          <w:b/>
          <w:sz w:val="16"/>
          <w:szCs w:val="16"/>
          <w:lang w:val="es-AR"/>
        </w:rPr>
        <w:tab/>
      </w:r>
      <w:r w:rsidRPr="0060326C">
        <w:rPr>
          <w:rFonts w:ascii="Verdana" w:hAnsi="Verdana"/>
          <w:i/>
          <w:sz w:val="16"/>
          <w:szCs w:val="16"/>
          <w:lang w:val="es-AR"/>
        </w:rPr>
        <w:t>Cfr.</w:t>
      </w:r>
      <w:r w:rsidRPr="0060326C">
        <w:rPr>
          <w:rFonts w:ascii="Verdana" w:hAnsi="Verdana"/>
          <w:sz w:val="16"/>
          <w:szCs w:val="16"/>
          <w:lang w:val="es-AR"/>
        </w:rPr>
        <w:t xml:space="preserve"> </w:t>
      </w:r>
      <w:r>
        <w:rPr>
          <w:rFonts w:ascii="Verdana" w:hAnsi="Verdana"/>
          <w:sz w:val="16"/>
          <w:szCs w:val="16"/>
          <w:lang w:val="es-PE"/>
        </w:rPr>
        <w:t>Acta de Juicio 38-9</w:t>
      </w:r>
      <w:r w:rsidRPr="0060326C">
        <w:rPr>
          <w:rFonts w:ascii="Verdana" w:hAnsi="Verdana"/>
          <w:sz w:val="16"/>
          <w:szCs w:val="16"/>
          <w:lang w:val="es-PE"/>
        </w:rPr>
        <w:t xml:space="preserve">9 de 11 de </w:t>
      </w:r>
      <w:r w:rsidRPr="0060326C">
        <w:rPr>
          <w:rFonts w:ascii="Verdana" w:hAnsi="Verdana"/>
          <w:sz w:val="16"/>
          <w:szCs w:val="16"/>
          <w:lang w:val="es-CR"/>
        </w:rPr>
        <w:t>octubre de 1999</w:t>
      </w:r>
      <w:r w:rsidRPr="0060326C">
        <w:rPr>
          <w:rFonts w:ascii="Verdana" w:hAnsi="Verdana"/>
          <w:i/>
          <w:sz w:val="16"/>
          <w:szCs w:val="16"/>
          <w:lang w:val="es-CR"/>
        </w:rPr>
        <w:t>, supra</w:t>
      </w:r>
      <w:r w:rsidRPr="0060326C">
        <w:rPr>
          <w:rFonts w:ascii="Verdana" w:hAnsi="Verdana"/>
          <w:sz w:val="16"/>
          <w:szCs w:val="16"/>
          <w:lang w:val="es-CR"/>
        </w:rPr>
        <w:t>.</w:t>
      </w:r>
    </w:p>
  </w:footnote>
  <w:footnote w:id="64">
    <w:p w14:paraId="155AFE14" w14:textId="77777777" w:rsidR="00A52322" w:rsidRPr="00A922FC" w:rsidRDefault="00A52322" w:rsidP="00143445">
      <w:pPr>
        <w:pStyle w:val="Textonotapie"/>
        <w:jc w:val="both"/>
        <w:rPr>
          <w:rFonts w:ascii="Verdana" w:hAnsi="Verdana"/>
          <w:sz w:val="16"/>
          <w:szCs w:val="16"/>
          <w:lang w:val="es-AR"/>
        </w:rPr>
      </w:pPr>
      <w:r w:rsidRPr="00A922FC">
        <w:rPr>
          <w:rStyle w:val="Refdenotaalpie"/>
          <w:rFonts w:ascii="Verdana" w:hAnsi="Verdana"/>
          <w:sz w:val="16"/>
          <w:szCs w:val="16"/>
        </w:rPr>
        <w:footnoteRef/>
      </w:r>
      <w:r w:rsidRPr="00A922FC">
        <w:rPr>
          <w:rFonts w:ascii="Verdana" w:hAnsi="Verdana"/>
          <w:sz w:val="16"/>
          <w:szCs w:val="16"/>
          <w:lang w:val="es-AR"/>
        </w:rPr>
        <w:t xml:space="preserve"> </w:t>
      </w:r>
      <w:r w:rsidRPr="00A922FC">
        <w:rPr>
          <w:rFonts w:ascii="Verdana" w:hAnsi="Verdana"/>
          <w:sz w:val="16"/>
          <w:szCs w:val="16"/>
          <w:lang w:val="es-AR"/>
        </w:rPr>
        <w:tab/>
        <w:t>Recurso de apelación especial de 3 de noviembre de 1999</w:t>
      </w:r>
      <w:r>
        <w:rPr>
          <w:rFonts w:ascii="Verdana" w:hAnsi="Verdana"/>
          <w:sz w:val="16"/>
          <w:szCs w:val="16"/>
          <w:lang w:val="es-AR"/>
        </w:rPr>
        <w:t xml:space="preserve">, </w:t>
      </w:r>
      <w:r w:rsidRPr="0060326C">
        <w:rPr>
          <w:rFonts w:ascii="Verdana" w:hAnsi="Verdana"/>
          <w:i/>
          <w:sz w:val="16"/>
          <w:szCs w:val="16"/>
          <w:lang w:val="es-AR"/>
        </w:rPr>
        <w:t>supra</w:t>
      </w:r>
      <w:r>
        <w:rPr>
          <w:rFonts w:ascii="Verdana" w:hAnsi="Verdana"/>
          <w:sz w:val="16"/>
          <w:szCs w:val="16"/>
          <w:lang w:val="es-PE"/>
        </w:rPr>
        <w:t>.</w:t>
      </w:r>
      <w:r w:rsidRPr="00A922FC">
        <w:rPr>
          <w:rFonts w:ascii="Verdana" w:hAnsi="Verdana"/>
          <w:sz w:val="16"/>
          <w:szCs w:val="16"/>
          <w:lang w:val="es-PE"/>
        </w:rPr>
        <w:t xml:space="preserve"> </w:t>
      </w:r>
    </w:p>
  </w:footnote>
  <w:footnote w:id="65">
    <w:p w14:paraId="5ED20DF2" w14:textId="463D30DB" w:rsidR="00A52322" w:rsidRPr="00A922FC" w:rsidRDefault="00A52322" w:rsidP="00143445">
      <w:pPr>
        <w:pStyle w:val="Textonotapie"/>
        <w:jc w:val="both"/>
        <w:rPr>
          <w:rFonts w:ascii="Verdana" w:hAnsi="Verdana"/>
          <w:sz w:val="16"/>
          <w:szCs w:val="16"/>
          <w:lang w:val="es-PE"/>
        </w:rPr>
      </w:pPr>
      <w:r w:rsidRPr="00A922FC">
        <w:rPr>
          <w:rStyle w:val="Refdenotaalpie"/>
          <w:rFonts w:ascii="Verdana" w:hAnsi="Verdana"/>
          <w:sz w:val="16"/>
          <w:szCs w:val="16"/>
        </w:rPr>
        <w:footnoteRef/>
      </w:r>
      <w:r w:rsidRPr="00A922FC">
        <w:rPr>
          <w:rFonts w:ascii="Verdana" w:hAnsi="Verdana"/>
          <w:sz w:val="16"/>
          <w:szCs w:val="16"/>
          <w:lang w:val="es-PE"/>
        </w:rPr>
        <w:t xml:space="preserve"> </w:t>
      </w:r>
      <w:r w:rsidRPr="00A922FC">
        <w:rPr>
          <w:rFonts w:ascii="Verdana" w:hAnsi="Verdana"/>
          <w:sz w:val="16"/>
          <w:szCs w:val="16"/>
          <w:lang w:val="es-PE"/>
        </w:rPr>
        <w:tab/>
      </w:r>
      <w:r w:rsidRPr="00A922FC">
        <w:rPr>
          <w:rFonts w:ascii="Verdana" w:hAnsi="Verdana"/>
          <w:i/>
          <w:sz w:val="16"/>
          <w:szCs w:val="16"/>
          <w:lang w:val="es-PE"/>
        </w:rPr>
        <w:t xml:space="preserve">Cfr. </w:t>
      </w:r>
      <w:r w:rsidRPr="00A922FC">
        <w:rPr>
          <w:rFonts w:ascii="Verdana" w:hAnsi="Verdana"/>
          <w:sz w:val="16"/>
          <w:szCs w:val="16"/>
          <w:lang w:val="es-PE"/>
        </w:rPr>
        <w:t>Resolución de la Sala Tercera de la Corte de Apelaciones constituida en Tribunal de Exhibición Personal de 30 de julio de 2001 (expediente de anexo</w:t>
      </w:r>
      <w:r>
        <w:rPr>
          <w:rFonts w:ascii="Verdana" w:hAnsi="Verdana"/>
          <w:sz w:val="16"/>
          <w:szCs w:val="16"/>
          <w:lang w:val="es-PE"/>
        </w:rPr>
        <w:t>s al Informe de Fondo</w:t>
      </w:r>
      <w:r w:rsidRPr="00A922FC">
        <w:rPr>
          <w:rFonts w:ascii="Verdana" w:hAnsi="Verdana"/>
          <w:sz w:val="16"/>
          <w:szCs w:val="16"/>
          <w:lang w:val="es-PE"/>
        </w:rPr>
        <w:t>, anexo 8, fs</w:t>
      </w:r>
      <w:r>
        <w:rPr>
          <w:rFonts w:ascii="Verdana" w:hAnsi="Verdana"/>
          <w:sz w:val="16"/>
          <w:szCs w:val="16"/>
          <w:lang w:val="es-PE"/>
        </w:rPr>
        <w:t>.</w:t>
      </w:r>
      <w:r w:rsidRPr="00A922FC">
        <w:rPr>
          <w:rFonts w:ascii="Verdana" w:hAnsi="Verdana"/>
          <w:sz w:val="16"/>
          <w:szCs w:val="16"/>
          <w:lang w:val="es-PE"/>
        </w:rPr>
        <w:t xml:space="preserve"> 165 a 166). Ley de Amparo, Exhibición Personal y de Constitucionalidad, Decreto N° 1-86.</w:t>
      </w:r>
      <w:r>
        <w:rPr>
          <w:rFonts w:ascii="Verdana" w:hAnsi="Verdana"/>
          <w:sz w:val="16"/>
          <w:szCs w:val="16"/>
          <w:lang w:val="es-PE"/>
        </w:rPr>
        <w:t xml:space="preserve"> Según se establecía en el </w:t>
      </w:r>
      <w:r w:rsidRPr="00A922FC">
        <w:rPr>
          <w:rFonts w:ascii="Verdana" w:hAnsi="Verdana"/>
          <w:sz w:val="16"/>
          <w:szCs w:val="16"/>
          <w:lang w:val="es-PE"/>
        </w:rPr>
        <w:t>Artículo 82</w:t>
      </w:r>
      <w:r>
        <w:rPr>
          <w:rFonts w:ascii="Verdana" w:hAnsi="Verdana"/>
          <w:sz w:val="16"/>
          <w:szCs w:val="16"/>
          <w:lang w:val="es-PE"/>
        </w:rPr>
        <w:t>: “</w:t>
      </w:r>
      <w:r w:rsidRPr="00A922FC">
        <w:rPr>
          <w:rFonts w:ascii="Verdana" w:hAnsi="Verdana"/>
          <w:sz w:val="16"/>
          <w:szCs w:val="16"/>
          <w:lang w:val="es-PE"/>
        </w:rPr>
        <w:t>Derecho a la exhibición personal. Quien se encuentre ilegalmente preso, detenido o cohibido de cualquier otro modo en el goce de su libertad individual, amenazado de la pérdida de ella, o sufriere vejámenes, aun cuando su prisión o detención fuere fundada en ley, tiene derecho a pedir su inmediata exhibición ante los tribunales de justicia, ya sea con el fin de que se le restituya o garantice su libertad, se hagan cesar los vejámenes o termine la coacción a que estuviere sujeto</w:t>
      </w:r>
      <w:r>
        <w:rPr>
          <w:rFonts w:ascii="Verdana" w:hAnsi="Verdana"/>
          <w:sz w:val="16"/>
          <w:szCs w:val="16"/>
          <w:lang w:val="es-PE"/>
        </w:rPr>
        <w:t>”</w:t>
      </w:r>
      <w:r w:rsidRPr="00A922FC">
        <w:rPr>
          <w:rFonts w:ascii="Verdana" w:hAnsi="Verdana"/>
          <w:sz w:val="16"/>
          <w:szCs w:val="16"/>
          <w:lang w:val="es-PE"/>
        </w:rPr>
        <w:t xml:space="preserve">. </w:t>
      </w:r>
    </w:p>
  </w:footnote>
  <w:footnote w:id="66">
    <w:p w14:paraId="3B6DDE19" w14:textId="77777777" w:rsidR="00A52322" w:rsidRPr="00170E9E" w:rsidRDefault="00A52322" w:rsidP="00143445">
      <w:pPr>
        <w:pStyle w:val="Textonotapie"/>
        <w:jc w:val="both"/>
        <w:rPr>
          <w:rFonts w:ascii="Verdana" w:hAnsi="Verdana"/>
          <w:sz w:val="16"/>
          <w:szCs w:val="16"/>
          <w:lang w:val="es-CR"/>
        </w:rPr>
      </w:pPr>
      <w:r w:rsidRPr="00170E9E">
        <w:rPr>
          <w:rStyle w:val="Refdenotaalpie"/>
          <w:rFonts w:ascii="Verdana" w:hAnsi="Verdana"/>
          <w:sz w:val="16"/>
          <w:szCs w:val="16"/>
        </w:rPr>
        <w:footnoteRef/>
      </w:r>
      <w:r w:rsidRPr="00170E9E">
        <w:rPr>
          <w:rFonts w:ascii="Verdana" w:hAnsi="Verdana"/>
          <w:sz w:val="16"/>
          <w:szCs w:val="16"/>
          <w:lang w:val="es-CR"/>
        </w:rPr>
        <w:t xml:space="preserve"> </w:t>
      </w:r>
      <w:r w:rsidRPr="00170E9E">
        <w:rPr>
          <w:rFonts w:ascii="Verdana" w:hAnsi="Verdana"/>
          <w:sz w:val="16"/>
          <w:szCs w:val="16"/>
          <w:lang w:val="es-CR"/>
        </w:rPr>
        <w:tab/>
      </w:r>
      <w:r w:rsidRPr="0060326C">
        <w:rPr>
          <w:rFonts w:ascii="Verdana" w:hAnsi="Verdana"/>
          <w:i/>
          <w:sz w:val="16"/>
          <w:szCs w:val="16"/>
          <w:lang w:val="es-CR"/>
        </w:rPr>
        <w:t>Cfr.</w:t>
      </w:r>
      <w:r w:rsidRPr="0060326C">
        <w:rPr>
          <w:rFonts w:ascii="Verdana" w:hAnsi="Verdana"/>
          <w:sz w:val="16"/>
          <w:szCs w:val="16"/>
          <w:lang w:val="es-CR"/>
        </w:rPr>
        <w:t xml:space="preserve"> Informe del Estado a la Comisión de </w:t>
      </w:r>
      <w:r>
        <w:rPr>
          <w:rFonts w:ascii="Verdana" w:hAnsi="Verdana"/>
          <w:sz w:val="16"/>
          <w:szCs w:val="16"/>
          <w:lang w:val="es-CR"/>
        </w:rPr>
        <w:t>8</w:t>
      </w:r>
      <w:r w:rsidRPr="0060326C">
        <w:rPr>
          <w:rFonts w:ascii="Verdana" w:hAnsi="Verdana"/>
          <w:sz w:val="16"/>
          <w:szCs w:val="16"/>
          <w:lang w:val="es-CR"/>
        </w:rPr>
        <w:t xml:space="preserve"> de noviembre de 2005 (expediente de trámite ante la Comisión, anexo 5, fs. 2965 a 2966).</w:t>
      </w:r>
    </w:p>
  </w:footnote>
  <w:footnote w:id="67">
    <w:p w14:paraId="00EE2F1E" w14:textId="2DEEB34D" w:rsidR="00A52322" w:rsidRPr="00170E9E" w:rsidRDefault="00A52322" w:rsidP="00143445">
      <w:pPr>
        <w:pStyle w:val="Textonotapie"/>
        <w:jc w:val="both"/>
        <w:rPr>
          <w:rFonts w:ascii="Verdana" w:hAnsi="Verdana"/>
          <w:sz w:val="16"/>
          <w:szCs w:val="16"/>
          <w:lang w:val="es-CR"/>
        </w:rPr>
      </w:pPr>
      <w:r w:rsidRPr="00170E9E">
        <w:rPr>
          <w:rStyle w:val="Refdenotaalpie"/>
          <w:rFonts w:ascii="Verdana" w:hAnsi="Verdana"/>
          <w:sz w:val="16"/>
          <w:szCs w:val="16"/>
        </w:rPr>
        <w:footnoteRef/>
      </w:r>
      <w:r w:rsidRPr="00170E9E">
        <w:rPr>
          <w:rFonts w:ascii="Verdana" w:hAnsi="Verdana"/>
          <w:sz w:val="16"/>
          <w:szCs w:val="16"/>
          <w:lang w:val="es-CR"/>
        </w:rPr>
        <w:t xml:space="preserve"> </w:t>
      </w:r>
      <w:r w:rsidRPr="00170E9E">
        <w:rPr>
          <w:rFonts w:ascii="Verdana" w:hAnsi="Verdana"/>
          <w:sz w:val="16"/>
          <w:szCs w:val="16"/>
          <w:lang w:val="es-CR"/>
        </w:rPr>
        <w:tab/>
        <w:t>Plan de Acción Interno No. 002-2005 “Operación Gavilán” (expediente de anexos al</w:t>
      </w:r>
      <w:r>
        <w:rPr>
          <w:rFonts w:ascii="Verdana" w:hAnsi="Verdana"/>
          <w:sz w:val="16"/>
          <w:szCs w:val="16"/>
          <w:lang w:val="es-CR"/>
        </w:rPr>
        <w:t xml:space="preserve"> ESAP</w:t>
      </w:r>
      <w:r w:rsidRPr="00170E9E">
        <w:rPr>
          <w:rFonts w:ascii="Verdana" w:hAnsi="Verdana"/>
          <w:sz w:val="16"/>
          <w:szCs w:val="16"/>
          <w:lang w:val="es-CR"/>
        </w:rPr>
        <w:t xml:space="preserve">, </w:t>
      </w:r>
      <w:r>
        <w:rPr>
          <w:rFonts w:ascii="Verdana" w:hAnsi="Verdana"/>
          <w:sz w:val="16"/>
          <w:szCs w:val="16"/>
          <w:lang w:val="es-CR"/>
        </w:rPr>
        <w:t>a</w:t>
      </w:r>
      <w:r w:rsidRPr="00170E9E">
        <w:rPr>
          <w:rFonts w:ascii="Verdana" w:hAnsi="Verdana"/>
          <w:sz w:val="16"/>
          <w:szCs w:val="16"/>
          <w:lang w:val="es-CR"/>
        </w:rPr>
        <w:t xml:space="preserve">nexo 47, </w:t>
      </w:r>
      <w:r>
        <w:rPr>
          <w:rFonts w:ascii="Verdana" w:hAnsi="Verdana"/>
          <w:sz w:val="16"/>
          <w:szCs w:val="16"/>
          <w:lang w:val="es-CR"/>
        </w:rPr>
        <w:t>fs.</w:t>
      </w:r>
      <w:r w:rsidRPr="00170E9E">
        <w:rPr>
          <w:rFonts w:ascii="Verdana" w:hAnsi="Verdana"/>
          <w:sz w:val="16"/>
          <w:szCs w:val="16"/>
          <w:lang w:val="es-CR"/>
        </w:rPr>
        <w:t xml:space="preserve"> 12741</w:t>
      </w:r>
      <w:r>
        <w:rPr>
          <w:rFonts w:ascii="Verdana" w:hAnsi="Verdana"/>
          <w:sz w:val="16"/>
          <w:szCs w:val="16"/>
          <w:lang w:val="es-CR"/>
        </w:rPr>
        <w:t xml:space="preserve"> a 12745</w:t>
      </w:r>
      <w:r w:rsidRPr="00170E9E">
        <w:rPr>
          <w:rFonts w:ascii="Verdana" w:hAnsi="Verdana"/>
          <w:sz w:val="16"/>
          <w:szCs w:val="16"/>
          <w:lang w:val="es-CR"/>
        </w:rPr>
        <w:t>).</w:t>
      </w:r>
      <w:r>
        <w:rPr>
          <w:rFonts w:ascii="Verdana" w:hAnsi="Verdana"/>
          <w:sz w:val="16"/>
          <w:szCs w:val="16"/>
          <w:lang w:val="es-CR"/>
        </w:rPr>
        <w:t xml:space="preserve"> </w:t>
      </w:r>
    </w:p>
  </w:footnote>
  <w:footnote w:id="68">
    <w:p w14:paraId="4C9230B2" w14:textId="77777777" w:rsidR="00A52322" w:rsidRPr="00170E9E" w:rsidRDefault="00A52322" w:rsidP="00143445">
      <w:pPr>
        <w:pStyle w:val="Textonotapie"/>
        <w:jc w:val="both"/>
        <w:rPr>
          <w:rFonts w:ascii="Verdana" w:hAnsi="Verdana"/>
          <w:sz w:val="16"/>
          <w:szCs w:val="16"/>
          <w:lang w:val="es-CR"/>
        </w:rPr>
      </w:pPr>
      <w:r w:rsidRPr="00170E9E">
        <w:rPr>
          <w:rStyle w:val="Refdenotaalpie"/>
          <w:rFonts w:ascii="Verdana" w:hAnsi="Verdana"/>
          <w:sz w:val="16"/>
          <w:szCs w:val="16"/>
        </w:rPr>
        <w:footnoteRef/>
      </w:r>
      <w:r w:rsidRPr="00170E9E">
        <w:rPr>
          <w:rFonts w:ascii="Verdana" w:hAnsi="Verdana"/>
          <w:sz w:val="16"/>
          <w:szCs w:val="16"/>
          <w:lang w:val="es-CR"/>
        </w:rPr>
        <w:t xml:space="preserve"> </w:t>
      </w:r>
      <w:r w:rsidRPr="00170E9E">
        <w:rPr>
          <w:rFonts w:ascii="Verdana" w:hAnsi="Verdana"/>
          <w:sz w:val="16"/>
          <w:szCs w:val="16"/>
          <w:lang w:val="es-CR"/>
        </w:rPr>
        <w:tab/>
      </w:r>
      <w:r w:rsidRPr="00170E9E">
        <w:rPr>
          <w:rFonts w:ascii="Verdana" w:hAnsi="Verdana"/>
          <w:i/>
          <w:sz w:val="16"/>
          <w:szCs w:val="16"/>
          <w:lang w:val="es-CR"/>
        </w:rPr>
        <w:t>Cfr</w:t>
      </w:r>
      <w:r w:rsidRPr="00170E9E">
        <w:rPr>
          <w:rFonts w:ascii="Verdana" w:hAnsi="Verdana"/>
          <w:sz w:val="16"/>
          <w:szCs w:val="16"/>
          <w:lang w:val="es-CR"/>
        </w:rPr>
        <w:t>. Plan de Acción Interno No. 002-2005 “Operación Gavilán”</w:t>
      </w:r>
      <w:r>
        <w:rPr>
          <w:rFonts w:ascii="Verdana" w:hAnsi="Verdana"/>
          <w:sz w:val="16"/>
          <w:szCs w:val="16"/>
          <w:lang w:val="es-CR"/>
        </w:rPr>
        <w:t xml:space="preserve">, </w:t>
      </w:r>
      <w:r w:rsidRPr="0060326C">
        <w:rPr>
          <w:rFonts w:ascii="Verdana" w:hAnsi="Verdana"/>
          <w:i/>
          <w:sz w:val="16"/>
          <w:szCs w:val="16"/>
          <w:lang w:val="es-CR"/>
        </w:rPr>
        <w:t>supra</w:t>
      </w:r>
      <w:r w:rsidRPr="00170E9E">
        <w:rPr>
          <w:rFonts w:ascii="Verdana" w:hAnsi="Verdana"/>
          <w:sz w:val="16"/>
          <w:szCs w:val="16"/>
          <w:lang w:val="es-CR"/>
        </w:rPr>
        <w:t>.</w:t>
      </w:r>
    </w:p>
  </w:footnote>
  <w:footnote w:id="69">
    <w:p w14:paraId="1F62E93F" w14:textId="77777777" w:rsidR="00A52322" w:rsidRPr="00170E9E" w:rsidRDefault="00A52322" w:rsidP="00143445">
      <w:pPr>
        <w:pStyle w:val="Textonotapie"/>
        <w:jc w:val="both"/>
        <w:rPr>
          <w:rFonts w:ascii="Verdana" w:hAnsi="Verdana"/>
          <w:sz w:val="16"/>
          <w:szCs w:val="16"/>
          <w:lang w:val="es-CR"/>
        </w:rPr>
      </w:pPr>
      <w:r w:rsidRPr="00170E9E">
        <w:rPr>
          <w:rStyle w:val="Refdenotaalpie"/>
          <w:rFonts w:ascii="Verdana" w:hAnsi="Verdana"/>
          <w:sz w:val="16"/>
          <w:szCs w:val="16"/>
        </w:rPr>
        <w:footnoteRef/>
      </w:r>
      <w:r w:rsidRPr="00170E9E">
        <w:rPr>
          <w:rFonts w:ascii="Verdana" w:hAnsi="Verdana"/>
          <w:sz w:val="16"/>
          <w:szCs w:val="16"/>
          <w:lang w:val="es-CR"/>
        </w:rPr>
        <w:t xml:space="preserve"> </w:t>
      </w:r>
      <w:r w:rsidRPr="00170E9E">
        <w:rPr>
          <w:rFonts w:ascii="Verdana" w:hAnsi="Verdana"/>
          <w:sz w:val="16"/>
          <w:szCs w:val="16"/>
          <w:lang w:val="es-CR"/>
        </w:rPr>
        <w:tab/>
      </w:r>
      <w:r w:rsidRPr="00170E9E">
        <w:rPr>
          <w:rFonts w:ascii="Verdana" w:hAnsi="Verdana"/>
          <w:i/>
          <w:sz w:val="16"/>
          <w:szCs w:val="16"/>
          <w:lang w:val="es-CR"/>
        </w:rPr>
        <w:t>Cfr.</w:t>
      </w:r>
      <w:r w:rsidRPr="00170E9E">
        <w:rPr>
          <w:rFonts w:ascii="Verdana" w:hAnsi="Verdana"/>
          <w:sz w:val="16"/>
          <w:szCs w:val="16"/>
          <w:lang w:val="es-CR"/>
        </w:rPr>
        <w:t xml:space="preserve"> Plan de Acción Interno No. 002-2005 “Operación Gavilán”</w:t>
      </w:r>
      <w:r>
        <w:rPr>
          <w:rFonts w:ascii="Verdana" w:hAnsi="Verdana"/>
          <w:sz w:val="16"/>
          <w:szCs w:val="16"/>
          <w:lang w:val="es-CR"/>
        </w:rPr>
        <w:t xml:space="preserve">, </w:t>
      </w:r>
      <w:r w:rsidRPr="0060326C">
        <w:rPr>
          <w:rFonts w:ascii="Verdana" w:hAnsi="Verdana"/>
          <w:i/>
          <w:sz w:val="16"/>
          <w:szCs w:val="16"/>
          <w:lang w:val="es-CR"/>
        </w:rPr>
        <w:t>supra</w:t>
      </w:r>
      <w:r w:rsidRPr="00170E9E">
        <w:rPr>
          <w:rFonts w:ascii="Verdana" w:hAnsi="Verdana"/>
          <w:sz w:val="16"/>
          <w:szCs w:val="16"/>
          <w:lang w:val="es-CR"/>
        </w:rPr>
        <w:t>.</w:t>
      </w:r>
    </w:p>
  </w:footnote>
  <w:footnote w:id="70">
    <w:p w14:paraId="309AC6E4" w14:textId="604C738C" w:rsidR="00A52322" w:rsidRPr="00E369F3" w:rsidRDefault="00A52322" w:rsidP="00143445">
      <w:pPr>
        <w:pStyle w:val="Textonotapie"/>
        <w:jc w:val="both"/>
        <w:rPr>
          <w:rFonts w:ascii="Verdana" w:eastAsia="Verdana" w:hAnsi="Verdana" w:cs="Verdana"/>
          <w:b/>
          <w:sz w:val="16"/>
          <w:szCs w:val="16"/>
          <w:lang w:val="es-CR"/>
        </w:rPr>
      </w:pPr>
      <w:r w:rsidRPr="00170E9E">
        <w:rPr>
          <w:rStyle w:val="Refdenotaalpie"/>
          <w:rFonts w:ascii="Verdana" w:hAnsi="Verdana"/>
          <w:sz w:val="16"/>
          <w:szCs w:val="16"/>
        </w:rPr>
        <w:footnoteRef/>
      </w:r>
      <w:r w:rsidRPr="00170E9E">
        <w:rPr>
          <w:rFonts w:ascii="Verdana" w:hAnsi="Verdana"/>
          <w:sz w:val="16"/>
          <w:szCs w:val="16"/>
          <w:lang w:val="es-CR"/>
        </w:rPr>
        <w:t xml:space="preserve"> </w:t>
      </w:r>
      <w:r w:rsidRPr="00170E9E">
        <w:rPr>
          <w:rFonts w:ascii="Verdana" w:hAnsi="Verdana"/>
          <w:sz w:val="16"/>
          <w:szCs w:val="16"/>
          <w:lang w:val="es-CR"/>
        </w:rPr>
        <w:tab/>
      </w:r>
      <w:r w:rsidRPr="00E369F3">
        <w:rPr>
          <w:rFonts w:ascii="Verdana" w:hAnsi="Verdana"/>
          <w:i/>
          <w:sz w:val="16"/>
          <w:szCs w:val="16"/>
          <w:lang w:val="es-CR"/>
        </w:rPr>
        <w:t>Cfr.</w:t>
      </w:r>
      <w:r w:rsidRPr="00170E9E">
        <w:rPr>
          <w:rFonts w:ascii="Verdana" w:hAnsi="Verdana"/>
          <w:sz w:val="16"/>
          <w:szCs w:val="16"/>
          <w:lang w:val="es-CR"/>
        </w:rPr>
        <w:t xml:space="preserve"> Plan de Acción Interno No. 002-2005 “Operación Gavilán”</w:t>
      </w:r>
      <w:r>
        <w:rPr>
          <w:rFonts w:ascii="Verdana" w:hAnsi="Verdana"/>
          <w:sz w:val="16"/>
          <w:szCs w:val="16"/>
          <w:lang w:val="es-CR"/>
        </w:rPr>
        <w:t xml:space="preserve">, </w:t>
      </w:r>
      <w:r w:rsidRPr="0060326C">
        <w:rPr>
          <w:rFonts w:ascii="Verdana" w:hAnsi="Verdana"/>
          <w:i/>
          <w:sz w:val="16"/>
          <w:szCs w:val="16"/>
          <w:lang w:val="es-CR"/>
        </w:rPr>
        <w:t>supra</w:t>
      </w:r>
      <w:r w:rsidRPr="00170E9E">
        <w:rPr>
          <w:rFonts w:ascii="Verdana" w:hAnsi="Verdana"/>
          <w:sz w:val="16"/>
          <w:szCs w:val="16"/>
          <w:lang w:val="es-CR"/>
        </w:rPr>
        <w:t xml:space="preserve">. </w:t>
      </w:r>
      <w:r w:rsidRPr="0097244E">
        <w:rPr>
          <w:rFonts w:ascii="Verdana" w:eastAsia="Verdana" w:hAnsi="Verdana" w:cs="Verdana"/>
          <w:sz w:val="16"/>
          <w:szCs w:val="16"/>
          <w:lang w:val="es-CR"/>
        </w:rPr>
        <w:t xml:space="preserve">Cabe mencionar que </w:t>
      </w:r>
      <w:r>
        <w:rPr>
          <w:rFonts w:ascii="Verdana" w:eastAsia="Verdana" w:hAnsi="Verdana" w:cs="Verdana"/>
          <w:sz w:val="16"/>
          <w:szCs w:val="16"/>
          <w:lang w:val="es-CR"/>
        </w:rPr>
        <w:t>l</w:t>
      </w:r>
      <w:r w:rsidRPr="0097244E">
        <w:rPr>
          <w:rFonts w:ascii="Verdana" w:eastAsia="Verdana" w:hAnsi="Verdana" w:cs="Verdana"/>
          <w:sz w:val="16"/>
          <w:szCs w:val="16"/>
          <w:lang w:val="es-CR"/>
        </w:rPr>
        <w:t>a normativa citada no se refiere en detalle a la regulación de operaciones policiales como el “Plan Gavilán”, simplemente enuncian principios generales de la organización de la PNC.</w:t>
      </w:r>
    </w:p>
  </w:footnote>
  <w:footnote w:id="71">
    <w:p w14:paraId="3CCCEABA" w14:textId="77777777" w:rsidR="00A52322" w:rsidRPr="00170E9E" w:rsidRDefault="00A52322" w:rsidP="00143445">
      <w:pPr>
        <w:pStyle w:val="Textonotapie"/>
        <w:jc w:val="both"/>
        <w:rPr>
          <w:rFonts w:ascii="Verdana" w:hAnsi="Verdana"/>
          <w:sz w:val="16"/>
          <w:szCs w:val="16"/>
          <w:lang w:val="es-CR"/>
        </w:rPr>
      </w:pPr>
      <w:r w:rsidRPr="00170E9E">
        <w:rPr>
          <w:rStyle w:val="Refdenotaalpie"/>
          <w:rFonts w:ascii="Verdana" w:hAnsi="Verdana"/>
          <w:sz w:val="16"/>
          <w:szCs w:val="16"/>
        </w:rPr>
        <w:footnoteRef/>
      </w:r>
      <w:r w:rsidRPr="00170E9E">
        <w:rPr>
          <w:rFonts w:ascii="Verdana" w:hAnsi="Verdana"/>
          <w:sz w:val="16"/>
          <w:szCs w:val="16"/>
          <w:lang w:val="es-CR"/>
        </w:rPr>
        <w:t xml:space="preserve"> </w:t>
      </w:r>
      <w:r w:rsidRPr="00170E9E">
        <w:rPr>
          <w:rFonts w:ascii="Verdana" w:hAnsi="Verdana"/>
          <w:sz w:val="16"/>
          <w:szCs w:val="16"/>
          <w:lang w:val="es-CR"/>
        </w:rPr>
        <w:tab/>
      </w:r>
      <w:r w:rsidRPr="00170E9E">
        <w:rPr>
          <w:rFonts w:ascii="Verdana" w:hAnsi="Verdana"/>
          <w:i/>
          <w:sz w:val="16"/>
          <w:szCs w:val="16"/>
          <w:lang w:val="es-CR"/>
        </w:rPr>
        <w:t>Cfr.</w:t>
      </w:r>
      <w:r w:rsidRPr="00170E9E">
        <w:rPr>
          <w:rFonts w:ascii="Verdana" w:hAnsi="Verdana"/>
          <w:sz w:val="16"/>
          <w:szCs w:val="16"/>
          <w:lang w:val="es-CR"/>
        </w:rPr>
        <w:t xml:space="preserve"> Plan de Acción Interno No.</w:t>
      </w:r>
      <w:r>
        <w:rPr>
          <w:rFonts w:ascii="Verdana" w:hAnsi="Verdana"/>
          <w:sz w:val="16"/>
          <w:szCs w:val="16"/>
          <w:lang w:val="es-CR"/>
        </w:rPr>
        <w:t xml:space="preserve"> </w:t>
      </w:r>
      <w:r w:rsidRPr="00170E9E">
        <w:rPr>
          <w:rFonts w:ascii="Verdana" w:hAnsi="Verdana"/>
          <w:sz w:val="16"/>
          <w:szCs w:val="16"/>
          <w:lang w:val="es-CR"/>
        </w:rPr>
        <w:t>002-2005 “Operación Gavilán”</w:t>
      </w:r>
      <w:r>
        <w:rPr>
          <w:rFonts w:ascii="Verdana" w:hAnsi="Verdana"/>
          <w:sz w:val="16"/>
          <w:szCs w:val="16"/>
          <w:lang w:val="es-CR"/>
        </w:rPr>
        <w:t xml:space="preserve">, </w:t>
      </w:r>
      <w:r w:rsidRPr="0060326C">
        <w:rPr>
          <w:rFonts w:ascii="Verdana" w:hAnsi="Verdana"/>
          <w:i/>
          <w:sz w:val="16"/>
          <w:szCs w:val="16"/>
          <w:lang w:val="es-CR"/>
        </w:rPr>
        <w:t>supra</w:t>
      </w:r>
      <w:r w:rsidRPr="00170E9E">
        <w:rPr>
          <w:rFonts w:ascii="Verdana" w:hAnsi="Verdana"/>
          <w:sz w:val="16"/>
          <w:szCs w:val="16"/>
          <w:lang w:val="es-CR"/>
        </w:rPr>
        <w:t>.</w:t>
      </w:r>
    </w:p>
  </w:footnote>
  <w:footnote w:id="72">
    <w:p w14:paraId="1C55A981" w14:textId="0FCA7120" w:rsidR="00A52322" w:rsidRPr="00170E9E" w:rsidRDefault="00A52322" w:rsidP="00025C31">
      <w:pPr>
        <w:pStyle w:val="Textonotapie"/>
        <w:jc w:val="both"/>
        <w:rPr>
          <w:rFonts w:ascii="Verdana" w:hAnsi="Verdana"/>
          <w:sz w:val="16"/>
          <w:szCs w:val="16"/>
          <w:lang w:val="es-CR"/>
        </w:rPr>
      </w:pPr>
      <w:r w:rsidRPr="00052CDB">
        <w:rPr>
          <w:rStyle w:val="Refdenotaalpie"/>
          <w:rFonts w:ascii="Verdana" w:hAnsi="Verdana"/>
          <w:sz w:val="16"/>
          <w:szCs w:val="16"/>
        </w:rPr>
        <w:footnoteRef/>
      </w:r>
      <w:r w:rsidRPr="00052CDB">
        <w:rPr>
          <w:rFonts w:ascii="Verdana" w:hAnsi="Verdana"/>
          <w:sz w:val="16"/>
          <w:szCs w:val="16"/>
          <w:lang w:val="es-CR"/>
        </w:rPr>
        <w:t xml:space="preserve"> </w:t>
      </w:r>
      <w:r w:rsidRPr="00052CDB">
        <w:rPr>
          <w:rFonts w:ascii="Verdana" w:hAnsi="Verdana"/>
          <w:sz w:val="16"/>
          <w:szCs w:val="16"/>
          <w:lang w:val="es-CR"/>
        </w:rPr>
        <w:tab/>
      </w:r>
      <w:r w:rsidRPr="00052CDB">
        <w:rPr>
          <w:rFonts w:ascii="Verdana" w:hAnsi="Verdana"/>
          <w:i/>
          <w:sz w:val="16"/>
          <w:szCs w:val="16"/>
          <w:lang w:val="es-CR"/>
        </w:rPr>
        <w:t>Cfr</w:t>
      </w:r>
      <w:r w:rsidRPr="00052CDB">
        <w:rPr>
          <w:rFonts w:ascii="Verdana" w:hAnsi="Verdana"/>
          <w:sz w:val="16"/>
          <w:szCs w:val="16"/>
          <w:lang w:val="es-CR"/>
        </w:rPr>
        <w:t>. Declaración de la señora MFF como prueba anticipada, ofrecida en audiencia oral ante el Juzgado Primero de Primera Instancia Penal, Narcoactividad y Delitos contra el Ambiente de la ciudad de Guatemala de 15 de febrero de 2012, Juzgado Primero A de Mayor Riesgo de 18 de mayo de 2012, Causa C-01076-2010-004 (expediente de anexos al ESAP</w:t>
      </w:r>
      <w:r w:rsidRPr="00595B25">
        <w:rPr>
          <w:rFonts w:ascii="Verdana" w:hAnsi="Verdana"/>
          <w:sz w:val="16"/>
          <w:szCs w:val="16"/>
          <w:lang w:val="es-CR"/>
        </w:rPr>
        <w:t>, anexo 38).</w:t>
      </w:r>
    </w:p>
  </w:footnote>
  <w:footnote w:id="73">
    <w:p w14:paraId="1D547BBA" w14:textId="2213A681" w:rsidR="00A52322" w:rsidRPr="006A6BE9" w:rsidRDefault="00A52322" w:rsidP="00025C31">
      <w:pPr>
        <w:pStyle w:val="Textonotapie"/>
        <w:jc w:val="both"/>
        <w:rPr>
          <w:rFonts w:ascii="Verdana" w:hAnsi="Verdana"/>
          <w:sz w:val="16"/>
          <w:szCs w:val="16"/>
        </w:rPr>
      </w:pPr>
      <w:r w:rsidRPr="006A6BE9">
        <w:rPr>
          <w:rStyle w:val="Refdenotaalpie"/>
          <w:rFonts w:ascii="Verdana" w:hAnsi="Verdana"/>
          <w:sz w:val="16"/>
          <w:szCs w:val="16"/>
        </w:rPr>
        <w:footnoteRef/>
      </w:r>
      <w:r w:rsidRPr="006A6BE9">
        <w:rPr>
          <w:rFonts w:ascii="Verdana" w:hAnsi="Verdana"/>
          <w:sz w:val="16"/>
          <w:szCs w:val="16"/>
        </w:rPr>
        <w:t xml:space="preserve">  </w:t>
      </w:r>
      <w:r w:rsidRPr="006A6BE9">
        <w:rPr>
          <w:rFonts w:ascii="Verdana" w:hAnsi="Verdana"/>
          <w:sz w:val="16"/>
          <w:szCs w:val="16"/>
        </w:rPr>
        <w:tab/>
        <w:t>Declaraci</w:t>
      </w:r>
      <w:r>
        <w:rPr>
          <w:rFonts w:ascii="Verdana" w:hAnsi="Verdana"/>
          <w:sz w:val="16"/>
          <w:szCs w:val="16"/>
        </w:rPr>
        <w:t xml:space="preserve">ones testimoniales de: PMV </w:t>
      </w:r>
      <w:r w:rsidRPr="006A6BE9">
        <w:rPr>
          <w:rFonts w:ascii="Verdana" w:hAnsi="Verdana"/>
          <w:sz w:val="16"/>
          <w:szCs w:val="16"/>
        </w:rPr>
        <w:t>rendida ante Fiscalía Especial Contra la Impunidad de 23 de enero de 2019 (</w:t>
      </w:r>
      <w:r>
        <w:rPr>
          <w:rFonts w:ascii="Verdana" w:hAnsi="Verdana"/>
          <w:sz w:val="16"/>
          <w:szCs w:val="16"/>
        </w:rPr>
        <w:t xml:space="preserve">expediente de </w:t>
      </w:r>
      <w:r w:rsidRPr="006A6BE9">
        <w:rPr>
          <w:rFonts w:ascii="Verdana" w:hAnsi="Verdana"/>
          <w:sz w:val="16"/>
          <w:szCs w:val="16"/>
        </w:rPr>
        <w:t>prueba superviniente</w:t>
      </w:r>
      <w:r>
        <w:rPr>
          <w:rFonts w:ascii="Verdana" w:hAnsi="Verdana"/>
          <w:sz w:val="16"/>
          <w:szCs w:val="16"/>
        </w:rPr>
        <w:t xml:space="preserve"> de los</w:t>
      </w:r>
      <w:r w:rsidRPr="006A6BE9">
        <w:rPr>
          <w:rFonts w:ascii="Verdana" w:hAnsi="Verdana"/>
          <w:sz w:val="16"/>
          <w:szCs w:val="16"/>
        </w:rPr>
        <w:t xml:space="preserve"> representantes, anexo 3, fs. 13616 </w:t>
      </w:r>
      <w:r>
        <w:rPr>
          <w:rFonts w:ascii="Verdana" w:hAnsi="Verdana"/>
          <w:sz w:val="16"/>
          <w:szCs w:val="16"/>
        </w:rPr>
        <w:t>a</w:t>
      </w:r>
      <w:r w:rsidRPr="006A6BE9">
        <w:rPr>
          <w:rFonts w:ascii="Verdana" w:hAnsi="Verdana"/>
          <w:sz w:val="16"/>
          <w:szCs w:val="16"/>
        </w:rPr>
        <w:t xml:space="preserve"> 13618); </w:t>
      </w:r>
      <w:r>
        <w:rPr>
          <w:rFonts w:ascii="Verdana" w:hAnsi="Verdana"/>
          <w:sz w:val="16"/>
          <w:szCs w:val="16"/>
        </w:rPr>
        <w:t xml:space="preserve">SPG </w:t>
      </w:r>
      <w:r w:rsidRPr="006A6BE9">
        <w:rPr>
          <w:rFonts w:ascii="Verdana" w:hAnsi="Verdana"/>
          <w:sz w:val="16"/>
          <w:szCs w:val="16"/>
        </w:rPr>
        <w:t xml:space="preserve">rendida ante </w:t>
      </w:r>
      <w:r>
        <w:rPr>
          <w:rFonts w:ascii="Verdana" w:hAnsi="Verdana"/>
          <w:sz w:val="16"/>
          <w:szCs w:val="16"/>
        </w:rPr>
        <w:t xml:space="preserve">la </w:t>
      </w:r>
      <w:r w:rsidRPr="006A6BE9">
        <w:rPr>
          <w:rFonts w:ascii="Verdana" w:hAnsi="Verdana"/>
          <w:sz w:val="16"/>
          <w:szCs w:val="16"/>
        </w:rPr>
        <w:t>Fiscalía Especial Contra la Impunidad de 23 de noviembre de 2018 (</w:t>
      </w:r>
      <w:r>
        <w:rPr>
          <w:rFonts w:ascii="Verdana" w:hAnsi="Verdana"/>
          <w:sz w:val="16"/>
          <w:szCs w:val="16"/>
        </w:rPr>
        <w:t xml:space="preserve">expediente de </w:t>
      </w:r>
      <w:r w:rsidRPr="006A6BE9">
        <w:rPr>
          <w:rFonts w:ascii="Verdana" w:hAnsi="Verdana"/>
          <w:sz w:val="16"/>
          <w:szCs w:val="16"/>
        </w:rPr>
        <w:t>prueba superviniente</w:t>
      </w:r>
      <w:r>
        <w:rPr>
          <w:rFonts w:ascii="Verdana" w:hAnsi="Verdana"/>
          <w:sz w:val="16"/>
          <w:szCs w:val="16"/>
        </w:rPr>
        <w:t xml:space="preserve"> de los</w:t>
      </w:r>
      <w:r w:rsidRPr="006A6BE9">
        <w:rPr>
          <w:rFonts w:ascii="Verdana" w:hAnsi="Verdana"/>
          <w:sz w:val="16"/>
          <w:szCs w:val="16"/>
        </w:rPr>
        <w:t xml:space="preserve"> representantes, anexo 3, fs. 13687 </w:t>
      </w:r>
      <w:r w:rsidRPr="00763694">
        <w:rPr>
          <w:rFonts w:ascii="Verdana" w:hAnsi="Verdana"/>
          <w:sz w:val="16"/>
          <w:szCs w:val="16"/>
        </w:rPr>
        <w:t>a</w:t>
      </w:r>
      <w:r>
        <w:rPr>
          <w:rFonts w:ascii="Verdana" w:hAnsi="Verdana"/>
          <w:sz w:val="16"/>
          <w:szCs w:val="16"/>
        </w:rPr>
        <w:t xml:space="preserve"> </w:t>
      </w:r>
      <w:r w:rsidRPr="00763694">
        <w:rPr>
          <w:rFonts w:ascii="Verdana" w:hAnsi="Verdana"/>
          <w:sz w:val="16"/>
          <w:szCs w:val="16"/>
        </w:rPr>
        <w:t>13691);</w:t>
      </w:r>
      <w:r w:rsidRPr="00763694">
        <w:rPr>
          <w:rFonts w:ascii="Verdana" w:hAnsi="Verdana" w:cs="Calibri"/>
          <w:sz w:val="16"/>
          <w:szCs w:val="16"/>
          <w:lang w:val="es-CR"/>
        </w:rPr>
        <w:t xml:space="preserve"> JTS rendida ante la </w:t>
      </w:r>
      <w:r w:rsidRPr="00763694">
        <w:rPr>
          <w:rFonts w:ascii="Verdana" w:hAnsi="Verdana"/>
          <w:sz w:val="16"/>
          <w:szCs w:val="16"/>
        </w:rPr>
        <w:t>Sala de audiencia que ocupa el Juzgado Primero de Primera Instancia Penal de Mayor Riesgo “A”, del Municipio y Departamento de Guatemala</w:t>
      </w:r>
      <w:r w:rsidRPr="00763694">
        <w:rPr>
          <w:rFonts w:ascii="Verdana" w:hAnsi="Verdana" w:cs="Calibri"/>
          <w:sz w:val="16"/>
          <w:szCs w:val="16"/>
          <w:lang w:val="es-CR"/>
        </w:rPr>
        <w:t xml:space="preserve">  en la audiencia de primera declaración de 13 de noviembre de 2018 (</w:t>
      </w:r>
      <w:r>
        <w:rPr>
          <w:rFonts w:ascii="Verdana" w:hAnsi="Verdana"/>
          <w:sz w:val="16"/>
          <w:szCs w:val="16"/>
        </w:rPr>
        <w:t xml:space="preserve">expediente de </w:t>
      </w:r>
      <w:r w:rsidRPr="00763694">
        <w:rPr>
          <w:rFonts w:ascii="Verdana" w:hAnsi="Verdana" w:cs="Calibri"/>
          <w:sz w:val="16"/>
          <w:szCs w:val="16"/>
          <w:lang w:val="es-CR"/>
        </w:rPr>
        <w:t>prueba superviniente de los representantes, anexo 4).</w:t>
      </w:r>
    </w:p>
  </w:footnote>
  <w:footnote w:id="74">
    <w:p w14:paraId="4D1B5B72" w14:textId="312A149B" w:rsidR="00A52322" w:rsidRPr="003B2FA4" w:rsidRDefault="00A52322" w:rsidP="00025C31">
      <w:pPr>
        <w:autoSpaceDE w:val="0"/>
        <w:autoSpaceDN w:val="0"/>
        <w:adjustRightInd w:val="0"/>
        <w:spacing w:after="0" w:line="240" w:lineRule="auto"/>
        <w:jc w:val="both"/>
        <w:rPr>
          <w:rFonts w:ascii="Verdana" w:hAnsi="Verdana" w:cs="Calibri"/>
          <w:sz w:val="16"/>
          <w:szCs w:val="16"/>
          <w:lang w:val="es-CR"/>
        </w:rPr>
      </w:pPr>
      <w:r w:rsidRPr="00052CDB">
        <w:rPr>
          <w:rStyle w:val="Refdenotaalpie"/>
          <w:rFonts w:ascii="Verdana" w:hAnsi="Verdana"/>
          <w:sz w:val="16"/>
          <w:szCs w:val="16"/>
        </w:rPr>
        <w:footnoteRef/>
      </w:r>
      <w:r w:rsidRPr="00052CDB">
        <w:rPr>
          <w:rFonts w:ascii="Verdana" w:hAnsi="Verdana"/>
          <w:sz w:val="16"/>
          <w:szCs w:val="16"/>
          <w:lang w:val="es-CR"/>
        </w:rPr>
        <w:t xml:space="preserve"> </w:t>
      </w:r>
      <w:r w:rsidRPr="00052CDB">
        <w:rPr>
          <w:rFonts w:ascii="Verdana" w:hAnsi="Verdana"/>
          <w:sz w:val="16"/>
          <w:szCs w:val="16"/>
          <w:lang w:val="es-CR"/>
        </w:rPr>
        <w:tab/>
        <w:t xml:space="preserve">Sentencia del </w:t>
      </w:r>
      <w:r w:rsidRPr="00052CDB">
        <w:rPr>
          <w:rFonts w:ascii="Verdana" w:hAnsi="Verdana" w:cs="Calibri"/>
          <w:sz w:val="16"/>
          <w:szCs w:val="16"/>
          <w:lang w:val="es-CR"/>
        </w:rPr>
        <w:t xml:space="preserve">Tribunal Primero de Sentencia Penal, Narcoactividad y Delitos contra el Ambiente de Guatemala de 8 de agosto de 2013, </w:t>
      </w:r>
      <w:r w:rsidRPr="00052CDB">
        <w:rPr>
          <w:rFonts w:ascii="Verdana" w:hAnsi="Verdana"/>
          <w:sz w:val="16"/>
          <w:szCs w:val="16"/>
          <w:lang w:val="es-CR"/>
        </w:rPr>
        <w:t xml:space="preserve">de la causa C-01076-2006-17857 </w:t>
      </w:r>
      <w:r w:rsidRPr="00052CDB">
        <w:rPr>
          <w:rFonts w:ascii="Verdana" w:hAnsi="Verdana" w:cs="Calibri"/>
          <w:sz w:val="16"/>
          <w:szCs w:val="16"/>
          <w:lang w:val="es-CR"/>
        </w:rPr>
        <w:t>(expediente de anexos al ESAP</w:t>
      </w:r>
      <w:r w:rsidRPr="00D539AC">
        <w:rPr>
          <w:rFonts w:ascii="Verdana" w:hAnsi="Verdana" w:cs="Calibri"/>
          <w:sz w:val="16"/>
          <w:szCs w:val="16"/>
          <w:lang w:val="es-CR"/>
        </w:rPr>
        <w:t>, anexo 30, fs. 6950 a 7249)</w:t>
      </w:r>
      <w:r w:rsidRPr="00BE7DBF">
        <w:rPr>
          <w:rFonts w:ascii="Verdana" w:hAnsi="Verdana" w:cs="Calibri-Bold"/>
          <w:bCs/>
          <w:sz w:val="16"/>
          <w:szCs w:val="16"/>
          <w:lang w:val="es-CR"/>
        </w:rPr>
        <w:t>.</w:t>
      </w:r>
      <w:r w:rsidRPr="003B2FA4">
        <w:rPr>
          <w:rFonts w:ascii="Verdana" w:hAnsi="Verdana" w:cs="Calibri-Bold"/>
          <w:b/>
          <w:bCs/>
          <w:sz w:val="16"/>
          <w:szCs w:val="16"/>
          <w:lang w:val="es-CR"/>
        </w:rPr>
        <w:t xml:space="preserve"> </w:t>
      </w:r>
    </w:p>
  </w:footnote>
  <w:footnote w:id="75">
    <w:p w14:paraId="0A307D3C" w14:textId="77777777" w:rsidR="00A52322" w:rsidRPr="00170E9E" w:rsidRDefault="00A52322" w:rsidP="00143445">
      <w:pPr>
        <w:pStyle w:val="Textonotapie"/>
        <w:jc w:val="both"/>
        <w:rPr>
          <w:rFonts w:ascii="Verdana" w:hAnsi="Verdana"/>
          <w:sz w:val="16"/>
          <w:szCs w:val="16"/>
          <w:lang w:val="es-CR"/>
        </w:rPr>
      </w:pPr>
      <w:r w:rsidRPr="00170E9E">
        <w:rPr>
          <w:rStyle w:val="Refdenotaalpie"/>
          <w:rFonts w:ascii="Verdana" w:hAnsi="Verdana"/>
          <w:sz w:val="16"/>
          <w:szCs w:val="16"/>
        </w:rPr>
        <w:footnoteRef/>
      </w:r>
      <w:r w:rsidRPr="00170E9E">
        <w:rPr>
          <w:rFonts w:ascii="Verdana" w:hAnsi="Verdana"/>
          <w:sz w:val="16"/>
          <w:szCs w:val="16"/>
          <w:lang w:val="es-CR"/>
        </w:rPr>
        <w:t xml:space="preserve"> </w:t>
      </w:r>
      <w:r w:rsidRPr="00170E9E">
        <w:rPr>
          <w:rFonts w:ascii="Verdana" w:hAnsi="Verdana"/>
          <w:sz w:val="16"/>
          <w:szCs w:val="16"/>
          <w:lang w:val="es-CR"/>
        </w:rPr>
        <w:tab/>
      </w:r>
      <w:r w:rsidRPr="00170E9E">
        <w:rPr>
          <w:rFonts w:ascii="Verdana" w:hAnsi="Verdana"/>
          <w:i/>
          <w:sz w:val="16"/>
          <w:szCs w:val="16"/>
          <w:lang w:val="es-CR"/>
        </w:rPr>
        <w:t>Cfr.</w:t>
      </w:r>
      <w:r w:rsidRPr="00170E9E">
        <w:rPr>
          <w:rFonts w:ascii="Verdana" w:hAnsi="Verdana"/>
          <w:sz w:val="16"/>
          <w:szCs w:val="16"/>
          <w:lang w:val="es-CR"/>
        </w:rPr>
        <w:t xml:space="preserve"> </w:t>
      </w:r>
      <w:r>
        <w:rPr>
          <w:rFonts w:ascii="Verdana" w:hAnsi="Verdana"/>
          <w:sz w:val="16"/>
          <w:szCs w:val="16"/>
          <w:lang w:val="es-CR"/>
        </w:rPr>
        <w:t xml:space="preserve">Sentencia del </w:t>
      </w:r>
      <w:r w:rsidRPr="00170E9E">
        <w:rPr>
          <w:rFonts w:ascii="Verdana" w:hAnsi="Verdana"/>
          <w:sz w:val="16"/>
          <w:szCs w:val="16"/>
          <w:lang w:val="es-CR"/>
        </w:rPr>
        <w:t>Tribunal Primero de Sentencia Penal, Narcoactividad y Delitos contra el Ambiente de Guatemala</w:t>
      </w:r>
      <w:r>
        <w:rPr>
          <w:rFonts w:ascii="Verdana" w:hAnsi="Verdana"/>
          <w:sz w:val="16"/>
          <w:szCs w:val="16"/>
          <w:lang w:val="es-CR"/>
        </w:rPr>
        <w:t xml:space="preserve"> de</w:t>
      </w:r>
      <w:r w:rsidRPr="00170E9E">
        <w:rPr>
          <w:rFonts w:ascii="Verdana" w:hAnsi="Verdana"/>
          <w:sz w:val="16"/>
          <w:szCs w:val="16"/>
          <w:lang w:val="es-CR"/>
        </w:rPr>
        <w:t xml:space="preserve"> 8 de agosto de 2013</w:t>
      </w:r>
      <w:r>
        <w:rPr>
          <w:rFonts w:ascii="Verdana" w:hAnsi="Verdana"/>
          <w:sz w:val="16"/>
          <w:szCs w:val="16"/>
          <w:lang w:val="es-CR"/>
        </w:rPr>
        <w:t>,</w:t>
      </w:r>
      <w:r w:rsidRPr="005A2CE8">
        <w:rPr>
          <w:rFonts w:ascii="Verdana" w:hAnsi="Verdana"/>
          <w:i/>
          <w:sz w:val="16"/>
          <w:szCs w:val="16"/>
          <w:lang w:val="es-CR"/>
        </w:rPr>
        <w:t xml:space="preserve"> supra</w:t>
      </w:r>
      <w:r w:rsidRPr="00170E9E">
        <w:rPr>
          <w:rFonts w:ascii="Verdana" w:hAnsi="Verdana"/>
          <w:sz w:val="16"/>
          <w:szCs w:val="16"/>
          <w:lang w:val="es-CR"/>
        </w:rPr>
        <w:t xml:space="preserve">. </w:t>
      </w:r>
    </w:p>
  </w:footnote>
  <w:footnote w:id="76">
    <w:p w14:paraId="01411A94" w14:textId="045A730D" w:rsidR="00A52322" w:rsidRPr="003B1283" w:rsidRDefault="00A52322" w:rsidP="00710D57">
      <w:pPr>
        <w:spacing w:after="0" w:line="240" w:lineRule="auto"/>
        <w:jc w:val="both"/>
        <w:rPr>
          <w:rFonts w:ascii="Verdana" w:hAnsi="Verdana"/>
          <w:b/>
          <w:sz w:val="16"/>
          <w:szCs w:val="16"/>
        </w:rPr>
      </w:pPr>
      <w:r w:rsidRPr="003B1283">
        <w:rPr>
          <w:rStyle w:val="Refdenotaalpie"/>
          <w:rFonts w:ascii="Verdana" w:hAnsi="Verdana"/>
          <w:sz w:val="16"/>
          <w:szCs w:val="16"/>
        </w:rPr>
        <w:footnoteRef/>
      </w:r>
      <w:r w:rsidRPr="003B1283">
        <w:rPr>
          <w:rFonts w:ascii="Verdana" w:hAnsi="Verdana"/>
          <w:sz w:val="16"/>
          <w:szCs w:val="16"/>
        </w:rPr>
        <w:t xml:space="preserve">  </w:t>
      </w:r>
      <w:r w:rsidRPr="0097244E">
        <w:rPr>
          <w:rFonts w:ascii="Verdana" w:hAnsi="Verdana"/>
          <w:sz w:val="16"/>
          <w:szCs w:val="16"/>
        </w:rPr>
        <w:tab/>
      </w:r>
      <w:r w:rsidRPr="0097244E">
        <w:rPr>
          <w:rFonts w:ascii="Verdana" w:hAnsi="Verdana"/>
          <w:i/>
          <w:sz w:val="16"/>
          <w:szCs w:val="16"/>
        </w:rPr>
        <w:t>Cfr.</w:t>
      </w:r>
      <w:r w:rsidRPr="0097244E">
        <w:rPr>
          <w:rFonts w:ascii="Verdana" w:hAnsi="Verdana"/>
          <w:sz w:val="16"/>
          <w:szCs w:val="16"/>
        </w:rPr>
        <w:t xml:space="preserve"> </w:t>
      </w:r>
      <w:r w:rsidRPr="0097244E">
        <w:rPr>
          <w:rFonts w:ascii="Verdana" w:hAnsi="Verdana" w:cs="Calibri"/>
          <w:sz w:val="16"/>
          <w:szCs w:val="16"/>
          <w:lang w:val="es-CR"/>
        </w:rPr>
        <w:t>Declaraciones  testimoniales de:  PMV rendida ante la Fiscalía Especial Contra la Impunidad de 23 de enero de 2019</w:t>
      </w:r>
      <w:r>
        <w:rPr>
          <w:rFonts w:ascii="Verdana" w:hAnsi="Verdana" w:cs="Calibri"/>
          <w:sz w:val="16"/>
          <w:szCs w:val="16"/>
          <w:lang w:val="es-CR"/>
        </w:rPr>
        <w:t xml:space="preserve">, </w:t>
      </w:r>
      <w:r w:rsidRPr="00A632FD">
        <w:rPr>
          <w:rFonts w:ascii="Verdana" w:hAnsi="Verdana" w:cs="Calibri"/>
          <w:i/>
          <w:sz w:val="16"/>
          <w:szCs w:val="16"/>
          <w:lang w:val="es-CR"/>
        </w:rPr>
        <w:t>supra</w:t>
      </w:r>
      <w:r w:rsidRPr="0097244E">
        <w:rPr>
          <w:rFonts w:ascii="Verdana" w:hAnsi="Verdana" w:cs="Calibri"/>
          <w:sz w:val="16"/>
          <w:szCs w:val="16"/>
          <w:lang w:val="es-CR"/>
        </w:rPr>
        <w:t>; SPG rendida ante Fiscalía Especial Contra la Impunidad de 23 de noviembre de 2018</w:t>
      </w:r>
      <w:r>
        <w:rPr>
          <w:rFonts w:ascii="Verdana" w:hAnsi="Verdana" w:cs="Calibri"/>
          <w:sz w:val="16"/>
          <w:szCs w:val="16"/>
          <w:lang w:val="es-CR"/>
        </w:rPr>
        <w:t xml:space="preserve">, </w:t>
      </w:r>
      <w:r w:rsidRPr="005E422B">
        <w:rPr>
          <w:rFonts w:ascii="Verdana" w:hAnsi="Verdana" w:cs="Calibri"/>
          <w:i/>
          <w:sz w:val="16"/>
          <w:szCs w:val="16"/>
          <w:lang w:val="es-CR"/>
        </w:rPr>
        <w:t>supra</w:t>
      </w:r>
      <w:r w:rsidRPr="0097244E">
        <w:rPr>
          <w:rFonts w:ascii="Verdana" w:hAnsi="Verdana" w:cs="Calibri"/>
          <w:sz w:val="16"/>
          <w:szCs w:val="16"/>
          <w:lang w:val="es-CR"/>
        </w:rPr>
        <w:t>; de EJC rendida ante la Fiscalía Especial Contra la Impunidad de 22 de noviembre de 2018</w:t>
      </w:r>
      <w:r>
        <w:rPr>
          <w:rFonts w:ascii="Verdana" w:hAnsi="Verdana" w:cs="Calibri"/>
          <w:sz w:val="16"/>
          <w:szCs w:val="16"/>
          <w:lang w:val="es-CR"/>
        </w:rPr>
        <w:t xml:space="preserve">, </w:t>
      </w:r>
      <w:r w:rsidRPr="00A632FD">
        <w:rPr>
          <w:rFonts w:ascii="Verdana" w:hAnsi="Verdana" w:cs="Calibri"/>
          <w:i/>
          <w:sz w:val="16"/>
          <w:szCs w:val="16"/>
          <w:lang w:val="es-CR"/>
        </w:rPr>
        <w:t>supra</w:t>
      </w:r>
      <w:r w:rsidRPr="0097244E">
        <w:rPr>
          <w:rFonts w:ascii="Verdana" w:hAnsi="Verdana" w:cs="Calibri"/>
          <w:sz w:val="16"/>
          <w:szCs w:val="16"/>
          <w:lang w:val="es-CR"/>
        </w:rPr>
        <w:t xml:space="preserve">; JTS rendida ante la </w:t>
      </w:r>
      <w:r w:rsidRPr="0097244E">
        <w:rPr>
          <w:rFonts w:ascii="Verdana" w:hAnsi="Verdana"/>
          <w:sz w:val="16"/>
          <w:szCs w:val="16"/>
        </w:rPr>
        <w:t>Sala de audiencia que ocupa el Juzgado Primero de Primera Instancia Penal de Mayor Riesgo “A”, del Municipio y Departamento de Guatemala</w:t>
      </w:r>
      <w:r w:rsidRPr="0097244E">
        <w:rPr>
          <w:rFonts w:ascii="Verdana" w:hAnsi="Verdana" w:cs="Calibri"/>
          <w:sz w:val="16"/>
          <w:szCs w:val="16"/>
          <w:lang w:val="es-CR"/>
        </w:rPr>
        <w:t xml:space="preserve"> en la audiencia de primera declaración de 13 de noviembre de 2018</w:t>
      </w:r>
      <w:r w:rsidRPr="00A632FD">
        <w:rPr>
          <w:rFonts w:ascii="Verdana" w:hAnsi="Verdana" w:cs="Calibri"/>
          <w:i/>
          <w:sz w:val="16"/>
          <w:szCs w:val="16"/>
          <w:lang w:val="es-CR"/>
        </w:rPr>
        <w:t>, supra</w:t>
      </w:r>
      <w:r w:rsidRPr="0097244E">
        <w:rPr>
          <w:rFonts w:ascii="Verdana" w:hAnsi="Verdana" w:cs="Calibri"/>
          <w:sz w:val="16"/>
          <w:szCs w:val="16"/>
          <w:lang w:val="es-CR"/>
        </w:rPr>
        <w:t xml:space="preserve">; HOO ante la </w:t>
      </w:r>
      <w:r w:rsidRPr="0097244E">
        <w:rPr>
          <w:rFonts w:ascii="Verdana" w:hAnsi="Verdana"/>
          <w:sz w:val="16"/>
          <w:szCs w:val="16"/>
        </w:rPr>
        <w:t>Sala de audiencia que ocupa el Juzgado Primero de Primera Instancia Penal de Mayor Riesgo “A”, del Municipio y Departamento de Guatemala</w:t>
      </w:r>
      <w:r w:rsidRPr="0097244E">
        <w:rPr>
          <w:rFonts w:ascii="Verdana" w:hAnsi="Verdana" w:cs="Calibri"/>
          <w:sz w:val="16"/>
          <w:szCs w:val="16"/>
          <w:lang w:val="es-CR"/>
        </w:rPr>
        <w:t>, en la audiencia de primera declaración de 13 de noviembre de 2018 (</w:t>
      </w:r>
      <w:r w:rsidRPr="0097244E">
        <w:rPr>
          <w:rFonts w:ascii="Verdana" w:hAnsi="Verdana"/>
          <w:sz w:val="16"/>
          <w:szCs w:val="16"/>
        </w:rPr>
        <w:t xml:space="preserve">expediente de </w:t>
      </w:r>
      <w:r w:rsidRPr="0097244E">
        <w:rPr>
          <w:rFonts w:ascii="Verdana" w:hAnsi="Verdana" w:cs="Calibri"/>
          <w:sz w:val="16"/>
          <w:szCs w:val="16"/>
          <w:lang w:val="es-CR"/>
        </w:rPr>
        <w:t xml:space="preserve">prueba superviniente de los representantes, anexo 5); AVC rendida ante la </w:t>
      </w:r>
      <w:r w:rsidRPr="0097244E">
        <w:rPr>
          <w:rFonts w:ascii="Verdana" w:hAnsi="Verdana"/>
          <w:sz w:val="16"/>
          <w:szCs w:val="16"/>
        </w:rPr>
        <w:t>Sala de audiencia que ocupa el Juzgado Primero de Primera Instancia Penal de Mayor Riesgo “A”, del Municipio y Departamento de Guatemala</w:t>
      </w:r>
      <w:r w:rsidRPr="0097244E">
        <w:rPr>
          <w:rFonts w:ascii="Verdana" w:hAnsi="Verdana" w:cs="Calibri"/>
          <w:sz w:val="16"/>
          <w:szCs w:val="16"/>
          <w:lang w:val="es-CR"/>
        </w:rPr>
        <w:t>, en la audiencia de primera declaración de 13 de noviembre de 2018 (</w:t>
      </w:r>
      <w:r w:rsidRPr="0097244E">
        <w:rPr>
          <w:rFonts w:ascii="Verdana" w:hAnsi="Verdana"/>
          <w:sz w:val="16"/>
          <w:szCs w:val="16"/>
        </w:rPr>
        <w:t xml:space="preserve">expediente de </w:t>
      </w:r>
      <w:r w:rsidRPr="0097244E">
        <w:rPr>
          <w:rFonts w:ascii="Verdana" w:hAnsi="Verdana" w:cs="Calibri"/>
          <w:sz w:val="16"/>
          <w:szCs w:val="16"/>
          <w:lang w:val="es-CR"/>
        </w:rPr>
        <w:t xml:space="preserve">prueba superviniente de los representantes, anexo 5); JDM ante la </w:t>
      </w:r>
      <w:r w:rsidRPr="0097244E">
        <w:rPr>
          <w:rFonts w:ascii="Verdana" w:hAnsi="Verdana"/>
          <w:sz w:val="16"/>
          <w:szCs w:val="16"/>
        </w:rPr>
        <w:t xml:space="preserve">Sala de audiencia que ocupa el Juzgado Primero de Primera Instancia Penal de Mayor Riesgo “A”, del Municipio y Departamento de Guatemala </w:t>
      </w:r>
      <w:r w:rsidRPr="0097244E">
        <w:rPr>
          <w:rFonts w:ascii="Verdana" w:hAnsi="Verdana" w:cs="Calibri"/>
          <w:sz w:val="16"/>
          <w:szCs w:val="16"/>
          <w:lang w:val="es-CR"/>
        </w:rPr>
        <w:t>en la audiencia de primera declaración de 13 de noviembre de 2018 (</w:t>
      </w:r>
      <w:r w:rsidRPr="0097244E">
        <w:rPr>
          <w:rFonts w:ascii="Verdana" w:hAnsi="Verdana"/>
          <w:sz w:val="16"/>
          <w:szCs w:val="16"/>
        </w:rPr>
        <w:t xml:space="preserve">expediente de </w:t>
      </w:r>
      <w:r w:rsidRPr="0097244E">
        <w:rPr>
          <w:rFonts w:ascii="Verdana" w:hAnsi="Verdana" w:cs="Calibri"/>
          <w:sz w:val="16"/>
          <w:szCs w:val="16"/>
          <w:lang w:val="es-CR"/>
        </w:rPr>
        <w:t>prueba superviniente de los representantes, anexo 5).</w:t>
      </w:r>
    </w:p>
  </w:footnote>
  <w:footnote w:id="77">
    <w:p w14:paraId="39A54096" w14:textId="77777777" w:rsidR="00A52322" w:rsidRPr="00143445" w:rsidRDefault="00A52322" w:rsidP="006D047F">
      <w:pPr>
        <w:pStyle w:val="Textonotapie"/>
        <w:jc w:val="both"/>
        <w:rPr>
          <w:rFonts w:ascii="Verdana" w:hAnsi="Verdana"/>
          <w:sz w:val="16"/>
          <w:szCs w:val="16"/>
        </w:rPr>
      </w:pPr>
      <w:r w:rsidRPr="003B1283">
        <w:rPr>
          <w:rStyle w:val="Refdenotaalpie"/>
          <w:rFonts w:ascii="Verdana" w:hAnsi="Verdana"/>
          <w:sz w:val="16"/>
          <w:szCs w:val="16"/>
        </w:rPr>
        <w:footnoteRef/>
      </w:r>
      <w:r w:rsidRPr="003B1283">
        <w:rPr>
          <w:rFonts w:ascii="Verdana" w:hAnsi="Verdana"/>
          <w:sz w:val="16"/>
          <w:szCs w:val="16"/>
        </w:rPr>
        <w:t xml:space="preserve">  </w:t>
      </w:r>
      <w:r w:rsidRPr="003B1283">
        <w:rPr>
          <w:rFonts w:ascii="Verdana" w:hAnsi="Verdana"/>
          <w:sz w:val="16"/>
          <w:szCs w:val="16"/>
        </w:rPr>
        <w:tab/>
        <w:t xml:space="preserve">CICIG, Comunicado de prensa 041, Tribunal condena a responsables de ejecuciones extrajudiciales, 8 de agosto de 2013. Consultado en: </w:t>
      </w:r>
      <w:hyperlink r:id="rId5" w:history="1">
        <w:r w:rsidRPr="003B1283">
          <w:rPr>
            <w:rStyle w:val="Hipervnculo"/>
            <w:rFonts w:ascii="Verdana" w:hAnsi="Verdana"/>
            <w:sz w:val="16"/>
            <w:szCs w:val="16"/>
          </w:rPr>
          <w:t>https://www.cicig.org/casos/tribunal-condena-a-responsables-de-ejecuciones-extrajudiciales/</w:t>
        </w:r>
      </w:hyperlink>
      <w:r>
        <w:rPr>
          <w:rFonts w:ascii="Verdana" w:hAnsi="Verdana"/>
          <w:sz w:val="16"/>
          <w:szCs w:val="16"/>
        </w:rPr>
        <w:t>.</w:t>
      </w:r>
    </w:p>
  </w:footnote>
  <w:footnote w:id="78">
    <w:p w14:paraId="13AB8367" w14:textId="275D18F0" w:rsidR="00A52322" w:rsidRPr="000F4866" w:rsidRDefault="00A52322">
      <w:pPr>
        <w:pStyle w:val="Textonotapie"/>
      </w:pPr>
      <w:r w:rsidRPr="00BE7DBF">
        <w:rPr>
          <w:rStyle w:val="Refdenotaalpie"/>
          <w:rFonts w:ascii="Verdana" w:hAnsi="Verdana"/>
          <w:sz w:val="16"/>
          <w:szCs w:val="16"/>
        </w:rPr>
        <w:footnoteRef/>
      </w:r>
      <w:r w:rsidRPr="00BE7DBF">
        <w:rPr>
          <w:rFonts w:ascii="Verdana" w:hAnsi="Verdana"/>
          <w:sz w:val="16"/>
          <w:szCs w:val="16"/>
        </w:rPr>
        <w:t xml:space="preserve"> </w:t>
      </w:r>
      <w:r>
        <w:tab/>
      </w:r>
      <w:r w:rsidRPr="005924A6">
        <w:rPr>
          <w:rFonts w:ascii="Verdana" w:hAnsi="Verdana"/>
          <w:i/>
          <w:sz w:val="16"/>
          <w:szCs w:val="16"/>
        </w:rPr>
        <w:t xml:space="preserve">Cfr. </w:t>
      </w:r>
      <w:r w:rsidRPr="0060326C">
        <w:rPr>
          <w:rFonts w:ascii="Verdana" w:hAnsi="Verdana"/>
          <w:sz w:val="16"/>
          <w:szCs w:val="16"/>
        </w:rPr>
        <w:t xml:space="preserve">Informe de </w:t>
      </w:r>
      <w:r>
        <w:rPr>
          <w:rFonts w:ascii="Verdana" w:hAnsi="Verdana"/>
          <w:sz w:val="16"/>
          <w:szCs w:val="16"/>
        </w:rPr>
        <w:t xml:space="preserve">Admisibilidad y </w:t>
      </w:r>
      <w:r w:rsidRPr="0060326C">
        <w:rPr>
          <w:rFonts w:ascii="Verdana" w:hAnsi="Verdana"/>
          <w:sz w:val="16"/>
          <w:szCs w:val="16"/>
        </w:rPr>
        <w:t>Fondo</w:t>
      </w:r>
      <w:r>
        <w:rPr>
          <w:rFonts w:ascii="Verdana" w:hAnsi="Verdana"/>
          <w:sz w:val="16"/>
          <w:szCs w:val="16"/>
        </w:rPr>
        <w:t xml:space="preserve"> de la Comisión</w:t>
      </w:r>
      <w:r w:rsidRPr="005924A6">
        <w:rPr>
          <w:rFonts w:ascii="Verdana" w:hAnsi="Verdana"/>
          <w:i/>
          <w:sz w:val="16"/>
          <w:szCs w:val="16"/>
        </w:rPr>
        <w:t>, supra.</w:t>
      </w:r>
    </w:p>
  </w:footnote>
  <w:footnote w:id="79">
    <w:p w14:paraId="35DCBB3E" w14:textId="77777777" w:rsidR="00A52322" w:rsidRPr="0060326C" w:rsidRDefault="00A52322" w:rsidP="007C71CF">
      <w:pPr>
        <w:pStyle w:val="Textonotapie"/>
        <w:jc w:val="both"/>
        <w:rPr>
          <w:rFonts w:ascii="Verdana" w:hAnsi="Verdana"/>
          <w:sz w:val="16"/>
          <w:szCs w:val="16"/>
        </w:rPr>
      </w:pPr>
      <w:r w:rsidRPr="0060326C">
        <w:rPr>
          <w:rStyle w:val="Refdenotaalpie"/>
          <w:rFonts w:ascii="Verdana" w:hAnsi="Verdana"/>
          <w:sz w:val="16"/>
          <w:szCs w:val="16"/>
        </w:rPr>
        <w:footnoteRef/>
      </w:r>
      <w:r w:rsidRPr="0060326C">
        <w:rPr>
          <w:rFonts w:ascii="Verdana" w:hAnsi="Verdana"/>
          <w:sz w:val="16"/>
          <w:szCs w:val="16"/>
        </w:rPr>
        <w:t xml:space="preserve">  </w:t>
      </w:r>
      <w:r w:rsidRPr="0060326C">
        <w:rPr>
          <w:rFonts w:ascii="Verdana" w:hAnsi="Verdana"/>
          <w:sz w:val="16"/>
          <w:szCs w:val="16"/>
        </w:rPr>
        <w:tab/>
        <w:t xml:space="preserve">ONU, Consejo de Derechos Humanos, Informe del Relator Especial, Philip Alston, sobre las ejecuciones extrajudiciales, sumarias o arbitrarias, Misión Guatemala del 21 al 25 de agosto de 2006, A/HRC/4/20/Add.2, 19 de febrero de 2007, párrafos 19 y 21. </w:t>
      </w:r>
    </w:p>
  </w:footnote>
  <w:footnote w:id="80">
    <w:p w14:paraId="70081588" w14:textId="6277AFB8" w:rsidR="00A52322" w:rsidRPr="005A2CE8" w:rsidRDefault="00A52322" w:rsidP="00407B0D">
      <w:pPr>
        <w:pStyle w:val="Textonotapie"/>
        <w:jc w:val="both"/>
        <w:rPr>
          <w:rFonts w:ascii="Verdana" w:hAnsi="Verdana"/>
          <w:sz w:val="16"/>
          <w:szCs w:val="16"/>
          <w:lang w:val="es-AR"/>
        </w:rPr>
      </w:pPr>
      <w:r w:rsidRPr="005A2CE8">
        <w:rPr>
          <w:rStyle w:val="Refdenotaalpie"/>
          <w:rFonts w:ascii="Verdana" w:hAnsi="Verdana"/>
          <w:sz w:val="16"/>
          <w:szCs w:val="16"/>
        </w:rPr>
        <w:footnoteRef/>
      </w:r>
      <w:r w:rsidRPr="005A2CE8">
        <w:rPr>
          <w:rFonts w:ascii="Verdana" w:hAnsi="Verdana"/>
          <w:sz w:val="16"/>
          <w:szCs w:val="16"/>
          <w:lang w:val="es-AR"/>
        </w:rPr>
        <w:t xml:space="preserve"> </w:t>
      </w:r>
      <w:r w:rsidRPr="005A2CE8">
        <w:rPr>
          <w:rFonts w:ascii="Verdana" w:hAnsi="Verdana"/>
          <w:sz w:val="16"/>
          <w:szCs w:val="16"/>
          <w:lang w:val="es-AR"/>
        </w:rPr>
        <w:tab/>
        <w:t>Acta de Inspección</w:t>
      </w:r>
      <w:r>
        <w:rPr>
          <w:rFonts w:ascii="Verdana" w:hAnsi="Verdana"/>
          <w:sz w:val="16"/>
          <w:szCs w:val="16"/>
          <w:lang w:val="es-AR"/>
        </w:rPr>
        <w:t xml:space="preserve"> Ocular en la escena del crimen de 8 de diciembre de 2006 (expdiente de anexos al ESAP, anexo 40, fs. 12192 a 12197), y</w:t>
      </w:r>
      <w:r w:rsidRPr="005A2CE8">
        <w:rPr>
          <w:rFonts w:ascii="Verdana" w:hAnsi="Verdana"/>
          <w:sz w:val="16"/>
          <w:szCs w:val="16"/>
          <w:lang w:val="es-AR"/>
        </w:rPr>
        <w:t xml:space="preserve"> Certificación de Defunción de 21 de junio de 2007, Registro Civil de la Villa de la Gomera, del Departamento de Escuintla (expediente de anexos al ESAP, anexo 40, f. 12393).</w:t>
      </w:r>
    </w:p>
  </w:footnote>
  <w:footnote w:id="81">
    <w:p w14:paraId="012F04B6" w14:textId="77777777" w:rsidR="00A52322" w:rsidRPr="0060326C" w:rsidRDefault="00A52322" w:rsidP="003C3EE6">
      <w:pPr>
        <w:autoSpaceDE w:val="0"/>
        <w:autoSpaceDN w:val="0"/>
        <w:adjustRightInd w:val="0"/>
        <w:spacing w:after="0" w:line="240" w:lineRule="auto"/>
        <w:jc w:val="both"/>
        <w:rPr>
          <w:rFonts w:ascii="Verdana" w:hAnsi="Verdana"/>
          <w:sz w:val="16"/>
          <w:szCs w:val="16"/>
          <w:lang w:val="es-AR"/>
        </w:rPr>
      </w:pPr>
      <w:r w:rsidRPr="0060326C">
        <w:rPr>
          <w:rStyle w:val="Refdenotaalpie"/>
          <w:rFonts w:ascii="Verdana" w:hAnsi="Verdana"/>
          <w:sz w:val="16"/>
          <w:szCs w:val="16"/>
        </w:rPr>
        <w:footnoteRef/>
      </w:r>
      <w:r w:rsidRPr="0060326C">
        <w:rPr>
          <w:rFonts w:ascii="Verdana" w:hAnsi="Verdana"/>
          <w:sz w:val="16"/>
          <w:szCs w:val="16"/>
          <w:lang w:val="es-AR"/>
        </w:rPr>
        <w:t xml:space="preserve"> </w:t>
      </w:r>
      <w:r w:rsidRPr="0060326C">
        <w:rPr>
          <w:rFonts w:ascii="Verdana" w:hAnsi="Verdana"/>
          <w:sz w:val="16"/>
          <w:szCs w:val="16"/>
          <w:lang w:val="es-AR"/>
        </w:rPr>
        <w:tab/>
      </w:r>
      <w:r w:rsidRPr="0060326C">
        <w:rPr>
          <w:rFonts w:ascii="Verdana" w:hAnsi="Verdana"/>
          <w:i/>
          <w:sz w:val="16"/>
          <w:szCs w:val="16"/>
          <w:lang w:val="es-AR"/>
        </w:rPr>
        <w:t xml:space="preserve">Cfr. </w:t>
      </w:r>
      <w:r w:rsidRPr="0060326C">
        <w:rPr>
          <w:rFonts w:ascii="Verdana" w:hAnsi="Verdana"/>
          <w:sz w:val="16"/>
          <w:szCs w:val="16"/>
          <w:lang w:val="es-AR"/>
        </w:rPr>
        <w:t>Oficio N° 1050-06 de 8 de diciembre de 2006 de la PNC, Sub – Estación 31-44ª, La Gomera Escuintla (expedientes de anexos al ESAP, anexo 40, f. 12181).</w:t>
      </w:r>
    </w:p>
  </w:footnote>
  <w:footnote w:id="82">
    <w:p w14:paraId="03D468CD" w14:textId="77777777" w:rsidR="00A52322" w:rsidRPr="0060326C" w:rsidRDefault="00A52322" w:rsidP="003C3EE6">
      <w:pPr>
        <w:pStyle w:val="Textonotapie"/>
        <w:jc w:val="both"/>
        <w:rPr>
          <w:rFonts w:ascii="Verdana" w:hAnsi="Verdana"/>
          <w:sz w:val="16"/>
          <w:szCs w:val="16"/>
          <w:lang w:val="es-AR"/>
        </w:rPr>
      </w:pPr>
      <w:r w:rsidRPr="0060326C">
        <w:rPr>
          <w:rStyle w:val="Refdenotaalpie"/>
          <w:rFonts w:ascii="Verdana" w:hAnsi="Verdana"/>
          <w:sz w:val="16"/>
          <w:szCs w:val="16"/>
        </w:rPr>
        <w:footnoteRef/>
      </w:r>
      <w:r w:rsidRPr="0060326C">
        <w:rPr>
          <w:rFonts w:ascii="Verdana" w:hAnsi="Verdana"/>
          <w:sz w:val="16"/>
          <w:szCs w:val="16"/>
          <w:lang w:val="es-AR"/>
        </w:rPr>
        <w:t xml:space="preserve"> </w:t>
      </w:r>
      <w:r w:rsidRPr="0060326C">
        <w:rPr>
          <w:rFonts w:ascii="Verdana" w:hAnsi="Verdana"/>
          <w:sz w:val="16"/>
          <w:szCs w:val="16"/>
          <w:lang w:val="es-AR"/>
        </w:rPr>
        <w:tab/>
      </w:r>
      <w:r w:rsidRPr="0060326C">
        <w:rPr>
          <w:rFonts w:ascii="Verdana" w:hAnsi="Verdana"/>
          <w:i/>
          <w:sz w:val="16"/>
          <w:szCs w:val="16"/>
          <w:lang w:val="es-AR"/>
        </w:rPr>
        <w:t xml:space="preserve">Cfr. </w:t>
      </w:r>
      <w:r w:rsidRPr="0060326C">
        <w:rPr>
          <w:rFonts w:ascii="Verdana" w:hAnsi="Verdana"/>
          <w:sz w:val="16"/>
          <w:szCs w:val="16"/>
          <w:lang w:val="es-AR"/>
        </w:rPr>
        <w:t>Oficio N° 1051-06 de 8 de diciembre de 2006 de la PNC, Sub – Estación 31-44ª, La Gomera Escuintla (expedientes de anexos al ESAP, anexo 40, fs. 12184 a 12186).</w:t>
      </w:r>
    </w:p>
  </w:footnote>
  <w:footnote w:id="83">
    <w:p w14:paraId="06C53A2C" w14:textId="3ACF5749" w:rsidR="00A52322" w:rsidRPr="003C3B89" w:rsidRDefault="00A52322" w:rsidP="003C3EE6">
      <w:pPr>
        <w:pStyle w:val="Textonotapie"/>
        <w:jc w:val="both"/>
        <w:rPr>
          <w:rFonts w:ascii="Verdana" w:hAnsi="Verdana"/>
          <w:b/>
          <w:sz w:val="16"/>
          <w:szCs w:val="16"/>
          <w:lang w:val="es-AR"/>
        </w:rPr>
      </w:pPr>
      <w:r w:rsidRPr="0060326C">
        <w:rPr>
          <w:rStyle w:val="Refdenotaalpie"/>
          <w:rFonts w:ascii="Verdana" w:hAnsi="Verdana"/>
          <w:sz w:val="16"/>
          <w:szCs w:val="16"/>
        </w:rPr>
        <w:footnoteRef/>
      </w:r>
      <w:r w:rsidRPr="0060326C">
        <w:rPr>
          <w:rFonts w:ascii="Verdana" w:hAnsi="Verdana"/>
          <w:sz w:val="16"/>
          <w:szCs w:val="16"/>
          <w:lang w:val="es-AR"/>
        </w:rPr>
        <w:t xml:space="preserve"> </w:t>
      </w:r>
      <w:r w:rsidRPr="0060326C">
        <w:rPr>
          <w:rFonts w:ascii="Verdana" w:hAnsi="Verdana"/>
          <w:sz w:val="16"/>
          <w:szCs w:val="16"/>
          <w:lang w:val="es-AR"/>
        </w:rPr>
        <w:tab/>
        <w:t xml:space="preserve">Acta de Inspección Ocular de escena del crimen de 8 de diciembre de 2006, </w:t>
      </w:r>
      <w:r w:rsidRPr="0060326C">
        <w:rPr>
          <w:rFonts w:ascii="Verdana" w:hAnsi="Verdana"/>
          <w:i/>
          <w:sz w:val="16"/>
          <w:szCs w:val="16"/>
          <w:lang w:val="es-AR"/>
        </w:rPr>
        <w:t>supra</w:t>
      </w:r>
      <w:r w:rsidRPr="0060326C">
        <w:rPr>
          <w:rFonts w:ascii="Verdana" w:hAnsi="Verdana"/>
          <w:sz w:val="16"/>
          <w:szCs w:val="16"/>
          <w:lang w:val="es-AR"/>
        </w:rPr>
        <w:t xml:space="preserve">. Según el señor </w:t>
      </w:r>
      <w:r>
        <w:rPr>
          <w:rFonts w:ascii="Verdana" w:hAnsi="Verdana"/>
          <w:sz w:val="16"/>
          <w:szCs w:val="16"/>
          <w:lang w:val="es-AR"/>
        </w:rPr>
        <w:t>Saulo Daniel Ruiz López, cuñado</w:t>
      </w:r>
      <w:r w:rsidRPr="0060326C">
        <w:rPr>
          <w:rFonts w:ascii="Verdana" w:hAnsi="Verdana"/>
          <w:sz w:val="16"/>
          <w:szCs w:val="16"/>
          <w:lang w:val="es-AR"/>
        </w:rPr>
        <w:t xml:space="preserve"> del señor Valenzuela</w:t>
      </w:r>
      <w:r>
        <w:rPr>
          <w:rFonts w:ascii="Verdana" w:hAnsi="Verdana"/>
          <w:sz w:val="16"/>
          <w:szCs w:val="16"/>
          <w:lang w:val="es-AR"/>
        </w:rPr>
        <w:t>,</w:t>
      </w:r>
      <w:r w:rsidRPr="0060326C">
        <w:rPr>
          <w:rFonts w:ascii="Verdana" w:hAnsi="Verdana"/>
          <w:sz w:val="16"/>
          <w:szCs w:val="16"/>
          <w:lang w:val="es-AR"/>
        </w:rPr>
        <w:t xml:space="preserve"> reconoció el cadáver </w:t>
      </w:r>
      <w:r>
        <w:rPr>
          <w:rFonts w:ascii="Verdana" w:hAnsi="Verdana"/>
          <w:sz w:val="16"/>
          <w:szCs w:val="16"/>
          <w:lang w:val="es-AR"/>
        </w:rPr>
        <w:t xml:space="preserve">y </w:t>
      </w:r>
      <w:r w:rsidRPr="0060326C">
        <w:rPr>
          <w:rFonts w:ascii="Verdana" w:hAnsi="Verdana"/>
          <w:sz w:val="16"/>
          <w:szCs w:val="16"/>
          <w:lang w:val="es-AR"/>
        </w:rPr>
        <w:t>no se lo entrega</w:t>
      </w:r>
      <w:r>
        <w:rPr>
          <w:rFonts w:ascii="Verdana" w:hAnsi="Verdana"/>
          <w:sz w:val="16"/>
          <w:szCs w:val="16"/>
          <w:lang w:val="es-AR"/>
        </w:rPr>
        <w:t xml:space="preserve">ron. Acta de reconocimiento </w:t>
      </w:r>
      <w:r w:rsidRPr="0060326C">
        <w:rPr>
          <w:rFonts w:ascii="Verdana" w:hAnsi="Verdana"/>
          <w:sz w:val="16"/>
          <w:szCs w:val="16"/>
          <w:lang w:val="es-AR"/>
        </w:rPr>
        <w:t>ante la Fiscalía de Santa Lucía de Cotzumalguapa de 9 de diciembre de 2006 (expediente de anexos al ESAP, anexo 40, fs. 12203 a 12205)</w:t>
      </w:r>
      <w:r w:rsidRPr="0060326C">
        <w:rPr>
          <w:rFonts w:ascii="Verdana" w:hAnsi="Verdana"/>
          <w:bCs/>
          <w:sz w:val="16"/>
          <w:szCs w:val="16"/>
          <w:lang w:val="es-AR"/>
        </w:rPr>
        <w:t>.</w:t>
      </w:r>
    </w:p>
  </w:footnote>
  <w:footnote w:id="84">
    <w:p w14:paraId="575563B6" w14:textId="77777777" w:rsidR="00A52322" w:rsidRPr="00A922FC" w:rsidRDefault="00A52322" w:rsidP="00E17FB3">
      <w:pPr>
        <w:pStyle w:val="Textonotapie"/>
        <w:jc w:val="both"/>
        <w:rPr>
          <w:rFonts w:ascii="Verdana" w:hAnsi="Verdana"/>
          <w:sz w:val="16"/>
          <w:szCs w:val="16"/>
          <w:lang w:val="es-AR"/>
        </w:rPr>
      </w:pPr>
      <w:r w:rsidRPr="00A922FC">
        <w:rPr>
          <w:rStyle w:val="Refdenotaalpie"/>
          <w:rFonts w:ascii="Verdana" w:hAnsi="Verdana"/>
          <w:sz w:val="16"/>
          <w:szCs w:val="16"/>
        </w:rPr>
        <w:footnoteRef/>
      </w:r>
      <w:r w:rsidRPr="00A922FC">
        <w:rPr>
          <w:rFonts w:ascii="Verdana" w:hAnsi="Verdana"/>
          <w:sz w:val="16"/>
          <w:szCs w:val="16"/>
          <w:lang w:val="es-AR"/>
        </w:rPr>
        <w:t xml:space="preserve"> </w:t>
      </w:r>
      <w:r w:rsidRPr="00A922FC">
        <w:rPr>
          <w:rFonts w:ascii="Verdana" w:hAnsi="Verdana"/>
          <w:sz w:val="16"/>
          <w:szCs w:val="16"/>
          <w:lang w:val="es-AR"/>
        </w:rPr>
        <w:tab/>
        <w:t xml:space="preserve">Certificación Médica de Defunción de </w:t>
      </w:r>
      <w:r>
        <w:rPr>
          <w:rFonts w:ascii="Verdana" w:hAnsi="Verdana"/>
          <w:sz w:val="16"/>
          <w:szCs w:val="16"/>
          <w:lang w:val="es-AR"/>
        </w:rPr>
        <w:t>8</w:t>
      </w:r>
      <w:r w:rsidRPr="00A922FC">
        <w:rPr>
          <w:rFonts w:ascii="Verdana" w:hAnsi="Verdana"/>
          <w:sz w:val="16"/>
          <w:szCs w:val="16"/>
          <w:lang w:val="es-AR"/>
        </w:rPr>
        <w:t xml:space="preserve"> de diciembre de 2006 (expediente de anexos </w:t>
      </w:r>
      <w:r>
        <w:rPr>
          <w:rFonts w:ascii="Verdana" w:hAnsi="Verdana"/>
          <w:sz w:val="16"/>
          <w:szCs w:val="16"/>
          <w:lang w:val="es-AR"/>
        </w:rPr>
        <w:t>a</w:t>
      </w:r>
      <w:r w:rsidRPr="00A922FC">
        <w:rPr>
          <w:rFonts w:ascii="Verdana" w:hAnsi="Verdana"/>
          <w:sz w:val="16"/>
          <w:szCs w:val="16"/>
          <w:lang w:val="es-AR"/>
        </w:rPr>
        <w:t>l ESAP, anexo 40, f</w:t>
      </w:r>
      <w:r>
        <w:rPr>
          <w:rFonts w:ascii="Verdana" w:hAnsi="Verdana"/>
          <w:sz w:val="16"/>
          <w:szCs w:val="16"/>
          <w:lang w:val="es-AR"/>
        </w:rPr>
        <w:t>.</w:t>
      </w:r>
      <w:r w:rsidRPr="00A922FC">
        <w:rPr>
          <w:rFonts w:ascii="Verdana" w:hAnsi="Verdana"/>
          <w:sz w:val="16"/>
          <w:szCs w:val="16"/>
          <w:lang w:val="es-AR"/>
        </w:rPr>
        <w:t xml:space="preserve"> 1226</w:t>
      </w:r>
      <w:r>
        <w:rPr>
          <w:rFonts w:ascii="Verdana" w:hAnsi="Verdana"/>
          <w:sz w:val="16"/>
          <w:szCs w:val="16"/>
          <w:lang w:val="es-AR"/>
        </w:rPr>
        <w:t>4</w:t>
      </w:r>
      <w:r w:rsidRPr="00A922FC">
        <w:rPr>
          <w:rFonts w:ascii="Verdana" w:hAnsi="Verdana"/>
          <w:sz w:val="16"/>
          <w:szCs w:val="16"/>
          <w:lang w:val="es-AR"/>
        </w:rPr>
        <w:t>).</w:t>
      </w:r>
    </w:p>
  </w:footnote>
  <w:footnote w:id="85">
    <w:p w14:paraId="01DF20C2" w14:textId="77777777" w:rsidR="00A52322" w:rsidRPr="00A922FC" w:rsidRDefault="00A52322" w:rsidP="003C3EE6">
      <w:pPr>
        <w:pStyle w:val="Textonotapie"/>
        <w:jc w:val="both"/>
        <w:rPr>
          <w:rFonts w:ascii="Verdana" w:hAnsi="Verdana"/>
          <w:sz w:val="16"/>
          <w:szCs w:val="16"/>
          <w:lang w:val="es-AR"/>
        </w:rPr>
      </w:pPr>
      <w:r w:rsidRPr="00130D62">
        <w:rPr>
          <w:rStyle w:val="Refdenotaalpie"/>
          <w:rFonts w:ascii="Verdana" w:hAnsi="Verdana"/>
          <w:sz w:val="16"/>
          <w:szCs w:val="16"/>
        </w:rPr>
        <w:footnoteRef/>
      </w:r>
      <w:r w:rsidRPr="00130D62">
        <w:rPr>
          <w:rFonts w:ascii="Verdana" w:hAnsi="Verdana"/>
          <w:sz w:val="16"/>
          <w:szCs w:val="16"/>
          <w:lang w:val="es-AR"/>
        </w:rPr>
        <w:t xml:space="preserve"> </w:t>
      </w:r>
      <w:r w:rsidRPr="003C3B89">
        <w:rPr>
          <w:rFonts w:ascii="Verdana" w:hAnsi="Verdana"/>
          <w:b/>
          <w:sz w:val="16"/>
          <w:szCs w:val="16"/>
          <w:lang w:val="es-AR"/>
        </w:rPr>
        <w:tab/>
      </w:r>
      <w:r w:rsidRPr="0060326C">
        <w:rPr>
          <w:rFonts w:ascii="Verdana" w:hAnsi="Verdana"/>
          <w:sz w:val="16"/>
          <w:szCs w:val="16"/>
          <w:lang w:val="es-AR"/>
        </w:rPr>
        <w:t>Necropsia N° 234/06 de 10 de diciembre de 2006 (expediente de anexos al ESAP, anexo 40, f. 12259).</w:t>
      </w:r>
    </w:p>
  </w:footnote>
  <w:footnote w:id="86">
    <w:p w14:paraId="67F85DC8" w14:textId="78304140" w:rsidR="00A52322" w:rsidRPr="00A922FC" w:rsidRDefault="00A52322" w:rsidP="003C3EE6">
      <w:pPr>
        <w:pStyle w:val="Textonotapie"/>
        <w:jc w:val="both"/>
        <w:rPr>
          <w:rFonts w:ascii="Verdana" w:hAnsi="Verdana"/>
          <w:sz w:val="16"/>
          <w:szCs w:val="16"/>
          <w:lang w:val="es-AR"/>
        </w:rPr>
      </w:pPr>
      <w:r w:rsidRPr="00A922FC">
        <w:rPr>
          <w:rStyle w:val="Refdenotaalpie"/>
          <w:rFonts w:ascii="Verdana" w:hAnsi="Verdana"/>
          <w:sz w:val="16"/>
          <w:szCs w:val="16"/>
        </w:rPr>
        <w:footnoteRef/>
      </w:r>
      <w:r w:rsidRPr="00A922FC">
        <w:rPr>
          <w:rFonts w:ascii="Verdana" w:hAnsi="Verdana"/>
          <w:sz w:val="16"/>
          <w:szCs w:val="16"/>
          <w:lang w:val="es-AR"/>
        </w:rPr>
        <w:t xml:space="preserve"> </w:t>
      </w:r>
      <w:r w:rsidRPr="00A922FC">
        <w:rPr>
          <w:rFonts w:ascii="Verdana" w:hAnsi="Verdana"/>
          <w:sz w:val="16"/>
          <w:szCs w:val="16"/>
          <w:lang w:val="es-AR"/>
        </w:rPr>
        <w:tab/>
      </w:r>
      <w:r w:rsidRPr="00A922FC">
        <w:rPr>
          <w:rFonts w:ascii="Verdana" w:hAnsi="Verdana"/>
          <w:i/>
          <w:sz w:val="16"/>
          <w:szCs w:val="16"/>
          <w:lang w:val="es-AR"/>
        </w:rPr>
        <w:t xml:space="preserve">Cfr. </w:t>
      </w:r>
      <w:r w:rsidRPr="00A922FC">
        <w:rPr>
          <w:rFonts w:ascii="Verdana" w:hAnsi="Verdana"/>
          <w:sz w:val="16"/>
          <w:szCs w:val="16"/>
          <w:lang w:val="es-AR"/>
        </w:rPr>
        <w:t xml:space="preserve">Peritaje de huellas dactilares de 26 de diciembre de 2006 (expediente de anexos </w:t>
      </w:r>
      <w:r>
        <w:rPr>
          <w:rFonts w:ascii="Verdana" w:hAnsi="Verdana"/>
          <w:sz w:val="16"/>
          <w:szCs w:val="16"/>
          <w:lang w:val="es-AR"/>
        </w:rPr>
        <w:t>a</w:t>
      </w:r>
      <w:r w:rsidRPr="00A922FC">
        <w:rPr>
          <w:rFonts w:ascii="Verdana" w:hAnsi="Verdana"/>
          <w:sz w:val="16"/>
          <w:szCs w:val="16"/>
          <w:lang w:val="es-AR"/>
        </w:rPr>
        <w:t>l ESAP, anexo 40, f</w:t>
      </w:r>
      <w:r>
        <w:rPr>
          <w:rFonts w:ascii="Verdana" w:hAnsi="Verdana"/>
          <w:sz w:val="16"/>
          <w:szCs w:val="16"/>
          <w:lang w:val="es-AR"/>
        </w:rPr>
        <w:t>s.</w:t>
      </w:r>
      <w:r w:rsidRPr="00A922FC">
        <w:rPr>
          <w:rFonts w:ascii="Verdana" w:hAnsi="Verdana"/>
          <w:sz w:val="16"/>
          <w:szCs w:val="16"/>
          <w:lang w:val="es-AR"/>
        </w:rPr>
        <w:t xml:space="preserve"> 12288 a 12292).</w:t>
      </w:r>
    </w:p>
  </w:footnote>
  <w:footnote w:id="87">
    <w:p w14:paraId="3E32C169" w14:textId="77777777" w:rsidR="00A52322" w:rsidRPr="00A922FC" w:rsidRDefault="00A52322" w:rsidP="003C3EE6">
      <w:pPr>
        <w:pStyle w:val="Textonotapie"/>
        <w:jc w:val="both"/>
        <w:rPr>
          <w:rFonts w:ascii="Verdana" w:hAnsi="Verdana"/>
          <w:sz w:val="16"/>
          <w:szCs w:val="16"/>
          <w:lang w:val="es-AR"/>
        </w:rPr>
      </w:pPr>
      <w:r w:rsidRPr="00A922FC">
        <w:rPr>
          <w:rStyle w:val="Refdenotaalpie"/>
          <w:rFonts w:ascii="Verdana" w:hAnsi="Verdana"/>
          <w:sz w:val="16"/>
          <w:szCs w:val="16"/>
        </w:rPr>
        <w:footnoteRef/>
      </w:r>
      <w:r w:rsidRPr="00A922FC">
        <w:rPr>
          <w:rFonts w:ascii="Verdana" w:hAnsi="Verdana"/>
          <w:sz w:val="16"/>
          <w:szCs w:val="16"/>
          <w:lang w:val="es-AR"/>
        </w:rPr>
        <w:t xml:space="preserve"> </w:t>
      </w:r>
      <w:r w:rsidRPr="00A922FC">
        <w:rPr>
          <w:rFonts w:ascii="Verdana" w:hAnsi="Verdana"/>
          <w:sz w:val="16"/>
          <w:szCs w:val="16"/>
          <w:lang w:val="es-AR"/>
        </w:rPr>
        <w:tab/>
        <w:t xml:space="preserve">Certificación de Defunción expedido </w:t>
      </w:r>
      <w:r>
        <w:rPr>
          <w:rFonts w:ascii="Verdana" w:hAnsi="Verdana"/>
          <w:sz w:val="16"/>
          <w:szCs w:val="16"/>
          <w:lang w:val="es-AR"/>
        </w:rPr>
        <w:t>el</w:t>
      </w:r>
      <w:r w:rsidRPr="00A922FC">
        <w:rPr>
          <w:rFonts w:ascii="Verdana" w:hAnsi="Verdana"/>
          <w:sz w:val="16"/>
          <w:szCs w:val="16"/>
          <w:lang w:val="es-AR"/>
        </w:rPr>
        <w:t xml:space="preserve"> 21 de junio de 2007 por la Municipalidad de La Gomera departamento de Escuintla (expediente de anexos </w:t>
      </w:r>
      <w:r>
        <w:rPr>
          <w:rFonts w:ascii="Verdana" w:hAnsi="Verdana"/>
          <w:sz w:val="16"/>
          <w:szCs w:val="16"/>
          <w:lang w:val="es-AR"/>
        </w:rPr>
        <w:t>al</w:t>
      </w:r>
      <w:r w:rsidRPr="00A922FC">
        <w:rPr>
          <w:rFonts w:ascii="Verdana" w:hAnsi="Verdana"/>
          <w:sz w:val="16"/>
          <w:szCs w:val="16"/>
          <w:lang w:val="es-AR"/>
        </w:rPr>
        <w:t xml:space="preserve"> ESAP, anexo 40, f</w:t>
      </w:r>
      <w:r>
        <w:rPr>
          <w:rFonts w:ascii="Verdana" w:hAnsi="Verdana"/>
          <w:sz w:val="16"/>
          <w:szCs w:val="16"/>
          <w:lang w:val="es-AR"/>
        </w:rPr>
        <w:t>.</w:t>
      </w:r>
      <w:r w:rsidRPr="00A922FC">
        <w:rPr>
          <w:rFonts w:ascii="Verdana" w:hAnsi="Verdana"/>
          <w:sz w:val="16"/>
          <w:szCs w:val="16"/>
          <w:lang w:val="es-AR"/>
        </w:rPr>
        <w:t xml:space="preserve"> 12393). </w:t>
      </w:r>
    </w:p>
  </w:footnote>
  <w:footnote w:id="88">
    <w:p w14:paraId="3C32BE60" w14:textId="77777777" w:rsidR="00A52322" w:rsidRPr="00A922FC" w:rsidRDefault="00A52322" w:rsidP="003C3EE6">
      <w:pPr>
        <w:pStyle w:val="Textonotapie"/>
        <w:jc w:val="both"/>
        <w:rPr>
          <w:rFonts w:ascii="Verdana" w:hAnsi="Verdana"/>
          <w:sz w:val="16"/>
          <w:szCs w:val="16"/>
          <w:lang w:val="es-AR"/>
        </w:rPr>
      </w:pPr>
      <w:r w:rsidRPr="00A922FC">
        <w:rPr>
          <w:rStyle w:val="Refdenotaalpie"/>
          <w:rFonts w:ascii="Verdana" w:hAnsi="Verdana"/>
          <w:sz w:val="16"/>
          <w:szCs w:val="16"/>
        </w:rPr>
        <w:footnoteRef/>
      </w:r>
      <w:r w:rsidRPr="00A922FC">
        <w:rPr>
          <w:rFonts w:ascii="Verdana" w:hAnsi="Verdana"/>
          <w:sz w:val="16"/>
          <w:szCs w:val="16"/>
          <w:lang w:val="es-AR"/>
        </w:rPr>
        <w:t xml:space="preserve"> </w:t>
      </w:r>
      <w:r w:rsidRPr="00A922FC">
        <w:rPr>
          <w:rFonts w:ascii="Verdana" w:hAnsi="Verdana"/>
          <w:sz w:val="16"/>
          <w:szCs w:val="16"/>
          <w:lang w:val="es-AR"/>
        </w:rPr>
        <w:tab/>
        <w:t>Memorial de la Fiscalía de 1</w:t>
      </w:r>
      <w:r>
        <w:rPr>
          <w:rFonts w:ascii="Verdana" w:hAnsi="Verdana"/>
          <w:sz w:val="16"/>
          <w:szCs w:val="16"/>
          <w:lang w:val="es-AR"/>
        </w:rPr>
        <w:t>8</w:t>
      </w:r>
      <w:r w:rsidRPr="00A922FC">
        <w:rPr>
          <w:rFonts w:ascii="Verdana" w:hAnsi="Verdana"/>
          <w:sz w:val="16"/>
          <w:szCs w:val="16"/>
          <w:lang w:val="es-AR"/>
        </w:rPr>
        <w:t xml:space="preserve"> de septiembre de 2007 dirigido a la Jueza de Primera Instancia Civil del Municipio de Santa Lucía de Cotzumalguapa en la que se solicita rectificar la partida de defunción de Tirso Román Valenzuela Ávila (expediente de anexos </w:t>
      </w:r>
      <w:r>
        <w:rPr>
          <w:rFonts w:ascii="Verdana" w:hAnsi="Verdana"/>
          <w:sz w:val="16"/>
          <w:szCs w:val="16"/>
          <w:lang w:val="es-AR"/>
        </w:rPr>
        <w:t>a</w:t>
      </w:r>
      <w:r w:rsidRPr="00A922FC">
        <w:rPr>
          <w:rFonts w:ascii="Verdana" w:hAnsi="Verdana"/>
          <w:sz w:val="16"/>
          <w:szCs w:val="16"/>
          <w:lang w:val="es-AR"/>
        </w:rPr>
        <w:t>l ESAP, anexo 40, f</w:t>
      </w:r>
      <w:r>
        <w:rPr>
          <w:rFonts w:ascii="Verdana" w:hAnsi="Verdana"/>
          <w:sz w:val="16"/>
          <w:szCs w:val="16"/>
          <w:lang w:val="es-AR"/>
        </w:rPr>
        <w:t>s.</w:t>
      </w:r>
      <w:r w:rsidRPr="00A922FC">
        <w:rPr>
          <w:rFonts w:ascii="Verdana" w:hAnsi="Verdana"/>
          <w:sz w:val="16"/>
          <w:szCs w:val="16"/>
          <w:lang w:val="es-AR"/>
        </w:rPr>
        <w:t xml:space="preserve"> 12396 a 12400). </w:t>
      </w:r>
    </w:p>
  </w:footnote>
  <w:footnote w:id="89">
    <w:p w14:paraId="01BE2B91" w14:textId="77777777" w:rsidR="00A52322" w:rsidRPr="00A922FC" w:rsidRDefault="00A52322" w:rsidP="003C3EE6">
      <w:pPr>
        <w:pStyle w:val="Textonotapie"/>
        <w:jc w:val="both"/>
        <w:rPr>
          <w:rFonts w:ascii="Verdana" w:hAnsi="Verdana"/>
          <w:sz w:val="16"/>
          <w:szCs w:val="16"/>
          <w:lang w:val="es-AR"/>
        </w:rPr>
      </w:pPr>
      <w:r w:rsidRPr="00A922FC">
        <w:rPr>
          <w:rStyle w:val="Refdenotaalpie"/>
          <w:rFonts w:ascii="Verdana" w:hAnsi="Verdana"/>
          <w:sz w:val="16"/>
          <w:szCs w:val="16"/>
        </w:rPr>
        <w:footnoteRef/>
      </w:r>
      <w:r w:rsidRPr="00A922FC">
        <w:rPr>
          <w:rFonts w:ascii="Verdana" w:hAnsi="Verdana"/>
          <w:sz w:val="16"/>
          <w:szCs w:val="16"/>
          <w:lang w:val="es-AR"/>
        </w:rPr>
        <w:t xml:space="preserve"> </w:t>
      </w:r>
      <w:r w:rsidRPr="00A922FC">
        <w:rPr>
          <w:rFonts w:ascii="Verdana" w:hAnsi="Verdana"/>
          <w:sz w:val="16"/>
          <w:szCs w:val="16"/>
          <w:lang w:val="es-AR"/>
        </w:rPr>
        <w:tab/>
        <w:t>Certificación de Defunción de Tirso Román Valenzuela Ávila</w:t>
      </w:r>
      <w:r>
        <w:rPr>
          <w:rFonts w:ascii="Verdana" w:hAnsi="Verdana"/>
          <w:sz w:val="16"/>
          <w:szCs w:val="16"/>
          <w:lang w:val="es-AR"/>
        </w:rPr>
        <w:t xml:space="preserve"> </w:t>
      </w:r>
      <w:r w:rsidRPr="001E3DB9">
        <w:rPr>
          <w:rFonts w:ascii="Verdana" w:hAnsi="Verdana"/>
          <w:sz w:val="16"/>
          <w:szCs w:val="16"/>
          <w:lang w:val="es-AR"/>
        </w:rPr>
        <w:t xml:space="preserve">de 12 de diciembre de 2006 </w:t>
      </w:r>
      <w:r w:rsidRPr="00A922FC">
        <w:rPr>
          <w:rFonts w:ascii="Verdana" w:hAnsi="Verdana"/>
          <w:sz w:val="16"/>
          <w:szCs w:val="16"/>
          <w:lang w:val="es-AR"/>
        </w:rPr>
        <w:t xml:space="preserve">expedido por la Municipalidad de La Gomera, Escuintla (expediente de anexos </w:t>
      </w:r>
      <w:r>
        <w:rPr>
          <w:rFonts w:ascii="Verdana" w:hAnsi="Verdana"/>
          <w:sz w:val="16"/>
          <w:szCs w:val="16"/>
          <w:lang w:val="es-AR"/>
        </w:rPr>
        <w:t>al</w:t>
      </w:r>
      <w:r w:rsidRPr="00A922FC">
        <w:rPr>
          <w:rFonts w:ascii="Verdana" w:hAnsi="Verdana"/>
          <w:sz w:val="16"/>
          <w:szCs w:val="16"/>
          <w:lang w:val="es-AR"/>
        </w:rPr>
        <w:t xml:space="preserve"> ESAP, anexo 40, f</w:t>
      </w:r>
      <w:r>
        <w:rPr>
          <w:rFonts w:ascii="Verdana" w:hAnsi="Verdana"/>
          <w:sz w:val="16"/>
          <w:szCs w:val="16"/>
          <w:lang w:val="es-AR"/>
        </w:rPr>
        <w:t>.</w:t>
      </w:r>
      <w:r w:rsidRPr="00A922FC">
        <w:rPr>
          <w:rFonts w:ascii="Verdana" w:hAnsi="Verdana"/>
          <w:sz w:val="16"/>
          <w:szCs w:val="16"/>
          <w:lang w:val="es-AR"/>
        </w:rPr>
        <w:t xml:space="preserve"> 12407). </w:t>
      </w:r>
    </w:p>
  </w:footnote>
  <w:footnote w:id="90">
    <w:p w14:paraId="779A001C" w14:textId="493E3C3B" w:rsidR="00A52322" w:rsidRPr="00A922FC" w:rsidRDefault="00A52322" w:rsidP="003C3EE6">
      <w:pPr>
        <w:pStyle w:val="Textonotapie"/>
        <w:jc w:val="both"/>
        <w:rPr>
          <w:rFonts w:ascii="Verdana" w:hAnsi="Verdana"/>
          <w:sz w:val="16"/>
          <w:szCs w:val="16"/>
          <w:lang w:val="es-AR"/>
        </w:rPr>
      </w:pPr>
      <w:r w:rsidRPr="00A922FC">
        <w:rPr>
          <w:rStyle w:val="Refdenotaalpie"/>
          <w:rFonts w:ascii="Verdana" w:hAnsi="Verdana"/>
          <w:sz w:val="16"/>
          <w:szCs w:val="16"/>
        </w:rPr>
        <w:footnoteRef/>
      </w:r>
      <w:r w:rsidRPr="00A922FC">
        <w:rPr>
          <w:rFonts w:ascii="Verdana" w:hAnsi="Verdana"/>
          <w:sz w:val="16"/>
          <w:szCs w:val="16"/>
          <w:lang w:val="es-AR"/>
        </w:rPr>
        <w:t xml:space="preserve"> </w:t>
      </w:r>
      <w:r w:rsidRPr="00A922FC">
        <w:rPr>
          <w:rFonts w:ascii="Verdana" w:hAnsi="Verdana"/>
          <w:sz w:val="16"/>
          <w:szCs w:val="16"/>
          <w:lang w:val="es-AR"/>
        </w:rPr>
        <w:tab/>
      </w:r>
      <w:r w:rsidRPr="00A922FC">
        <w:rPr>
          <w:rFonts w:ascii="Verdana" w:hAnsi="Verdana"/>
          <w:i/>
          <w:sz w:val="16"/>
          <w:szCs w:val="16"/>
          <w:lang w:val="es-AR"/>
        </w:rPr>
        <w:t>Cfr.</w:t>
      </w:r>
      <w:r w:rsidRPr="00A922FC">
        <w:rPr>
          <w:rFonts w:ascii="Verdana" w:hAnsi="Verdana"/>
          <w:sz w:val="16"/>
          <w:szCs w:val="16"/>
          <w:lang w:val="es-AR"/>
        </w:rPr>
        <w:t xml:space="preserve"> Oficio N° 452-2009 d</w:t>
      </w:r>
      <w:r>
        <w:rPr>
          <w:rFonts w:ascii="Verdana" w:hAnsi="Verdana"/>
          <w:sz w:val="16"/>
          <w:szCs w:val="16"/>
          <w:lang w:val="es-AR"/>
        </w:rPr>
        <w:t xml:space="preserve">e 28 de septiembre de 2009 </w:t>
      </w:r>
      <w:r w:rsidRPr="00A922FC">
        <w:rPr>
          <w:rFonts w:ascii="Verdana" w:hAnsi="Verdana"/>
          <w:sz w:val="16"/>
          <w:szCs w:val="16"/>
          <w:lang w:val="es-AR"/>
        </w:rPr>
        <w:t xml:space="preserve">(expediente de anexos </w:t>
      </w:r>
      <w:r>
        <w:rPr>
          <w:rFonts w:ascii="Verdana" w:hAnsi="Verdana"/>
          <w:sz w:val="16"/>
          <w:szCs w:val="16"/>
          <w:lang w:val="es-AR"/>
        </w:rPr>
        <w:t>al</w:t>
      </w:r>
      <w:r w:rsidRPr="00A922FC">
        <w:rPr>
          <w:rFonts w:ascii="Verdana" w:hAnsi="Verdana"/>
          <w:sz w:val="16"/>
          <w:szCs w:val="16"/>
          <w:lang w:val="es-AR"/>
        </w:rPr>
        <w:t xml:space="preserve"> ESAP, anexo 40, f</w:t>
      </w:r>
      <w:r>
        <w:rPr>
          <w:rFonts w:ascii="Verdana" w:hAnsi="Verdana"/>
          <w:sz w:val="16"/>
          <w:szCs w:val="16"/>
          <w:lang w:val="es-AR"/>
        </w:rPr>
        <w:t>.</w:t>
      </w:r>
      <w:r w:rsidRPr="00A922FC">
        <w:rPr>
          <w:rFonts w:ascii="Verdana" w:hAnsi="Verdana"/>
          <w:sz w:val="16"/>
          <w:szCs w:val="16"/>
          <w:lang w:val="es-AR"/>
        </w:rPr>
        <w:t xml:space="preserve"> 12404). </w:t>
      </w:r>
    </w:p>
  </w:footnote>
  <w:footnote w:id="91">
    <w:p w14:paraId="6A033958" w14:textId="77777777" w:rsidR="00A52322" w:rsidRPr="00A922FC" w:rsidRDefault="00A52322" w:rsidP="003C3EE6">
      <w:pPr>
        <w:pStyle w:val="Textonotapie"/>
        <w:jc w:val="both"/>
        <w:rPr>
          <w:rFonts w:ascii="Verdana" w:hAnsi="Verdana"/>
          <w:sz w:val="16"/>
          <w:szCs w:val="16"/>
          <w:lang w:val="es-AR"/>
        </w:rPr>
      </w:pPr>
      <w:r w:rsidRPr="00A922FC">
        <w:rPr>
          <w:rStyle w:val="Refdenotaalpie"/>
          <w:rFonts w:ascii="Verdana" w:hAnsi="Verdana"/>
          <w:sz w:val="16"/>
          <w:szCs w:val="16"/>
        </w:rPr>
        <w:footnoteRef/>
      </w:r>
      <w:r w:rsidRPr="00A922FC">
        <w:rPr>
          <w:rFonts w:ascii="Verdana" w:hAnsi="Verdana"/>
          <w:sz w:val="16"/>
          <w:szCs w:val="16"/>
          <w:lang w:val="es-AR"/>
        </w:rPr>
        <w:t xml:space="preserve"> </w:t>
      </w:r>
      <w:r w:rsidRPr="00A922FC">
        <w:rPr>
          <w:rFonts w:ascii="Verdana" w:hAnsi="Verdana"/>
          <w:sz w:val="16"/>
          <w:szCs w:val="16"/>
          <w:lang w:val="es-AR"/>
        </w:rPr>
        <w:tab/>
      </w:r>
      <w:r>
        <w:rPr>
          <w:rFonts w:ascii="Verdana" w:hAnsi="Verdana"/>
          <w:sz w:val="16"/>
          <w:szCs w:val="16"/>
          <w:lang w:val="es-AR"/>
        </w:rPr>
        <w:t>Escrito</w:t>
      </w:r>
      <w:r w:rsidRPr="00A922FC">
        <w:rPr>
          <w:rFonts w:ascii="Verdana" w:hAnsi="Verdana"/>
          <w:sz w:val="16"/>
          <w:szCs w:val="16"/>
          <w:lang w:val="es-AR"/>
        </w:rPr>
        <w:t xml:space="preserve"> del Ministerio Público de Guatemala de</w:t>
      </w:r>
      <w:r>
        <w:rPr>
          <w:rFonts w:ascii="Verdana" w:hAnsi="Verdana"/>
          <w:sz w:val="16"/>
          <w:szCs w:val="16"/>
          <w:lang w:val="es-AR"/>
        </w:rPr>
        <w:t xml:space="preserve"> </w:t>
      </w:r>
      <w:r w:rsidRPr="00A922FC">
        <w:rPr>
          <w:rFonts w:ascii="Verdana" w:hAnsi="Verdana"/>
          <w:sz w:val="16"/>
          <w:szCs w:val="16"/>
          <w:lang w:val="es-AR"/>
        </w:rPr>
        <w:t xml:space="preserve">16 de junio de 2009, caso 674-05 SCT-MP EGDC/a.a (expediente de anexos </w:t>
      </w:r>
      <w:r>
        <w:rPr>
          <w:rFonts w:ascii="Verdana" w:hAnsi="Verdana"/>
          <w:sz w:val="16"/>
          <w:szCs w:val="16"/>
          <w:lang w:val="es-AR"/>
        </w:rPr>
        <w:t>al</w:t>
      </w:r>
      <w:r w:rsidRPr="00A922FC">
        <w:rPr>
          <w:rFonts w:ascii="Verdana" w:hAnsi="Verdana"/>
          <w:sz w:val="16"/>
          <w:szCs w:val="16"/>
          <w:lang w:val="es-AR"/>
        </w:rPr>
        <w:t xml:space="preserve"> ESAP, anexo 40, f</w:t>
      </w:r>
      <w:r>
        <w:rPr>
          <w:rFonts w:ascii="Verdana" w:hAnsi="Verdana"/>
          <w:sz w:val="16"/>
          <w:szCs w:val="16"/>
          <w:lang w:val="es-AR"/>
        </w:rPr>
        <w:t>.</w:t>
      </w:r>
      <w:r w:rsidRPr="00A922FC">
        <w:rPr>
          <w:rFonts w:ascii="Verdana" w:hAnsi="Verdana"/>
          <w:sz w:val="16"/>
          <w:szCs w:val="16"/>
          <w:lang w:val="es-AR"/>
        </w:rPr>
        <w:t xml:space="preserve"> 12423).</w:t>
      </w:r>
    </w:p>
  </w:footnote>
  <w:footnote w:id="92">
    <w:p w14:paraId="18BBC99A" w14:textId="77777777" w:rsidR="00A52322" w:rsidRPr="00A922FC" w:rsidRDefault="00A52322" w:rsidP="00D53E2F">
      <w:pPr>
        <w:pStyle w:val="Textonotapie"/>
        <w:jc w:val="both"/>
        <w:rPr>
          <w:rFonts w:ascii="Verdana" w:hAnsi="Verdana"/>
          <w:sz w:val="16"/>
          <w:szCs w:val="16"/>
          <w:lang w:val="es-AR"/>
        </w:rPr>
      </w:pPr>
      <w:r w:rsidRPr="00A922FC">
        <w:rPr>
          <w:rStyle w:val="Refdenotaalpie"/>
          <w:rFonts w:ascii="Verdana" w:hAnsi="Verdana"/>
          <w:sz w:val="16"/>
          <w:szCs w:val="16"/>
        </w:rPr>
        <w:footnoteRef/>
      </w:r>
      <w:r w:rsidRPr="00A922FC">
        <w:rPr>
          <w:rFonts w:ascii="Verdana" w:hAnsi="Verdana"/>
          <w:sz w:val="16"/>
          <w:szCs w:val="16"/>
          <w:lang w:val="es-AR"/>
        </w:rPr>
        <w:t xml:space="preserve"> </w:t>
      </w:r>
      <w:r w:rsidRPr="00A922FC">
        <w:rPr>
          <w:rFonts w:ascii="Verdana" w:hAnsi="Verdana"/>
          <w:sz w:val="16"/>
          <w:szCs w:val="16"/>
          <w:lang w:val="es-AR"/>
        </w:rPr>
        <w:tab/>
      </w:r>
      <w:r w:rsidRPr="00A922FC">
        <w:rPr>
          <w:rFonts w:ascii="Verdana" w:hAnsi="Verdana"/>
          <w:i/>
          <w:sz w:val="16"/>
          <w:szCs w:val="16"/>
          <w:lang w:val="es-AR"/>
        </w:rPr>
        <w:t xml:space="preserve">Cfr. </w:t>
      </w:r>
      <w:r w:rsidRPr="00A922FC">
        <w:rPr>
          <w:rFonts w:ascii="Verdana" w:hAnsi="Verdana"/>
          <w:sz w:val="16"/>
          <w:szCs w:val="16"/>
          <w:lang w:val="es-AR"/>
        </w:rPr>
        <w:t xml:space="preserve">Nota del Fiscal Distrital Adjunto de Santa Lucía </w:t>
      </w:r>
      <w:r>
        <w:rPr>
          <w:rFonts w:ascii="Verdana" w:hAnsi="Verdana"/>
          <w:sz w:val="16"/>
          <w:szCs w:val="16"/>
          <w:lang w:val="es-AR"/>
        </w:rPr>
        <w:t xml:space="preserve">de </w:t>
      </w:r>
      <w:r w:rsidRPr="00A922FC">
        <w:rPr>
          <w:rFonts w:ascii="Verdana" w:hAnsi="Verdana"/>
          <w:sz w:val="16"/>
          <w:szCs w:val="16"/>
          <w:lang w:val="es-AR"/>
        </w:rPr>
        <w:t xml:space="preserve">Cotzumalguapa, departamento de Escuintla de fecha 17 de junio de 2009 (expediente de anexos </w:t>
      </w:r>
      <w:r>
        <w:rPr>
          <w:rFonts w:ascii="Verdana" w:hAnsi="Verdana"/>
          <w:sz w:val="16"/>
          <w:szCs w:val="16"/>
          <w:lang w:val="es-AR"/>
        </w:rPr>
        <w:t>al</w:t>
      </w:r>
      <w:r w:rsidRPr="00A922FC">
        <w:rPr>
          <w:rFonts w:ascii="Verdana" w:hAnsi="Verdana"/>
          <w:sz w:val="16"/>
          <w:szCs w:val="16"/>
          <w:lang w:val="es-AR"/>
        </w:rPr>
        <w:t xml:space="preserve"> ESAP, anexo 40, f</w:t>
      </w:r>
      <w:r>
        <w:rPr>
          <w:rFonts w:ascii="Verdana" w:hAnsi="Verdana"/>
          <w:sz w:val="16"/>
          <w:szCs w:val="16"/>
          <w:lang w:val="es-AR"/>
        </w:rPr>
        <w:t>s.</w:t>
      </w:r>
      <w:r w:rsidRPr="00A922FC">
        <w:rPr>
          <w:rFonts w:ascii="Verdana" w:hAnsi="Verdana"/>
          <w:sz w:val="16"/>
          <w:szCs w:val="16"/>
          <w:lang w:val="es-AR"/>
        </w:rPr>
        <w:t xml:space="preserve"> 12424 a 12432). </w:t>
      </w:r>
    </w:p>
  </w:footnote>
  <w:footnote w:id="93">
    <w:p w14:paraId="7731CA3F" w14:textId="77777777" w:rsidR="00A52322" w:rsidRPr="00D539AC" w:rsidRDefault="00A52322" w:rsidP="003C3EE6">
      <w:pPr>
        <w:pStyle w:val="Textonotapie"/>
        <w:jc w:val="both"/>
        <w:rPr>
          <w:rFonts w:ascii="Verdana" w:hAnsi="Verdana"/>
          <w:sz w:val="16"/>
          <w:szCs w:val="16"/>
          <w:lang w:val="es-AR"/>
        </w:rPr>
      </w:pPr>
      <w:r w:rsidRPr="00A922FC">
        <w:rPr>
          <w:rStyle w:val="Refdenotaalpie"/>
          <w:rFonts w:ascii="Verdana" w:hAnsi="Verdana" w:cstheme="minorHAnsi"/>
          <w:sz w:val="16"/>
          <w:szCs w:val="16"/>
        </w:rPr>
        <w:footnoteRef/>
      </w:r>
      <w:r w:rsidRPr="00A922FC">
        <w:rPr>
          <w:rFonts w:ascii="Verdana" w:hAnsi="Verdana" w:cstheme="minorHAnsi"/>
          <w:sz w:val="16"/>
          <w:szCs w:val="16"/>
          <w:lang w:val="es-AR"/>
        </w:rPr>
        <w:t xml:space="preserve"> </w:t>
      </w:r>
      <w:r w:rsidRPr="00A922FC">
        <w:rPr>
          <w:rFonts w:ascii="Verdana" w:hAnsi="Verdana" w:cstheme="minorHAnsi"/>
          <w:sz w:val="16"/>
          <w:szCs w:val="16"/>
          <w:lang w:val="es-AR"/>
        </w:rPr>
        <w:tab/>
        <w:t xml:space="preserve">Informe de la Comisión Internacional contra la Impunidad en Guatemala </w:t>
      </w:r>
      <w:r>
        <w:rPr>
          <w:rFonts w:ascii="Verdana" w:hAnsi="Verdana" w:cstheme="minorHAnsi"/>
          <w:sz w:val="16"/>
          <w:szCs w:val="16"/>
          <w:lang w:val="es-AR"/>
        </w:rPr>
        <w:t>de</w:t>
      </w:r>
      <w:r w:rsidRPr="00A922FC">
        <w:rPr>
          <w:rFonts w:ascii="Verdana" w:hAnsi="Verdana" w:cstheme="minorHAnsi"/>
          <w:sz w:val="16"/>
          <w:szCs w:val="16"/>
          <w:lang w:val="es-AR"/>
        </w:rPr>
        <w:t xml:space="preserve"> 6 de diciembre de 2011 (</w:t>
      </w:r>
      <w:r w:rsidRPr="00D539AC">
        <w:rPr>
          <w:rFonts w:ascii="Verdana" w:hAnsi="Verdana" w:cstheme="minorHAnsi"/>
          <w:sz w:val="16"/>
          <w:szCs w:val="16"/>
          <w:lang w:val="es-AR"/>
        </w:rPr>
        <w:t xml:space="preserve">expediente </w:t>
      </w:r>
      <w:r w:rsidRPr="00D539AC">
        <w:rPr>
          <w:rFonts w:ascii="Verdana" w:hAnsi="Verdana"/>
          <w:sz w:val="16"/>
          <w:szCs w:val="16"/>
          <w:lang w:val="es-AR"/>
        </w:rPr>
        <w:t>de anexos al ESAP, anexo 40, fs. 12479 a 12482).</w:t>
      </w:r>
    </w:p>
  </w:footnote>
  <w:footnote w:id="94">
    <w:p w14:paraId="68F1338F" w14:textId="6B4373A1" w:rsidR="00A52322" w:rsidRDefault="00A52322" w:rsidP="00234DF5">
      <w:pPr>
        <w:pStyle w:val="Textonotapie"/>
        <w:jc w:val="both"/>
      </w:pPr>
      <w:r w:rsidRPr="00D539AC">
        <w:rPr>
          <w:rStyle w:val="Refdenotaalpie"/>
        </w:rPr>
        <w:footnoteRef/>
      </w:r>
      <w:r w:rsidRPr="00D539AC">
        <w:t xml:space="preserve">  </w:t>
      </w:r>
      <w:r w:rsidRPr="00D539AC">
        <w:rPr>
          <w:rFonts w:ascii="Verdana" w:hAnsi="Verdana"/>
          <w:sz w:val="16"/>
          <w:szCs w:val="16"/>
        </w:rPr>
        <w:tab/>
        <w:t>Oficio de la Fiscalía E</w:t>
      </w:r>
      <w:r>
        <w:rPr>
          <w:rFonts w:ascii="Verdana" w:hAnsi="Verdana"/>
          <w:sz w:val="16"/>
          <w:szCs w:val="16"/>
        </w:rPr>
        <w:t>special contra la Impunidad de 12</w:t>
      </w:r>
      <w:r w:rsidRPr="00D539AC">
        <w:rPr>
          <w:rFonts w:ascii="Verdana" w:hAnsi="Verdana"/>
          <w:sz w:val="16"/>
          <w:szCs w:val="16"/>
        </w:rPr>
        <w:t xml:space="preserve"> de diciembre de 2018 </w:t>
      </w:r>
      <w:r w:rsidRPr="00D539AC">
        <w:rPr>
          <w:rFonts w:ascii="Verdana" w:hAnsi="Verdana"/>
          <w:sz w:val="16"/>
          <w:szCs w:val="16"/>
          <w:lang w:val="es-CR"/>
        </w:rPr>
        <w:t>(expediente de anexos a la Contestación, anexo 5, fs. 13050 a 13052).</w:t>
      </w:r>
    </w:p>
  </w:footnote>
  <w:footnote w:id="95">
    <w:p w14:paraId="4C28C0A8" w14:textId="77777777" w:rsidR="00A52322" w:rsidRPr="00252E25" w:rsidRDefault="00A52322">
      <w:pPr>
        <w:pStyle w:val="Textonotapie"/>
        <w:rPr>
          <w:rFonts w:ascii="Verdana" w:hAnsi="Verdana"/>
          <w:sz w:val="16"/>
          <w:szCs w:val="16"/>
        </w:rPr>
      </w:pPr>
      <w:r w:rsidRPr="00252E25">
        <w:rPr>
          <w:rStyle w:val="Refdenotaalpie"/>
          <w:rFonts w:ascii="Verdana" w:hAnsi="Verdana"/>
          <w:sz w:val="16"/>
          <w:szCs w:val="16"/>
        </w:rPr>
        <w:footnoteRef/>
      </w:r>
      <w:r w:rsidRPr="00252E25">
        <w:rPr>
          <w:rFonts w:ascii="Verdana" w:hAnsi="Verdana"/>
          <w:sz w:val="16"/>
          <w:szCs w:val="16"/>
        </w:rPr>
        <w:t xml:space="preserve">  </w:t>
      </w:r>
      <w:r w:rsidRPr="00252E25">
        <w:rPr>
          <w:rFonts w:ascii="Verdana" w:hAnsi="Verdana"/>
          <w:sz w:val="16"/>
          <w:szCs w:val="16"/>
        </w:rPr>
        <w:tab/>
        <w:t>A</w:t>
      </w:r>
      <w:r w:rsidRPr="00252E25">
        <w:rPr>
          <w:rFonts w:ascii="Verdana" w:hAnsi="Verdana"/>
          <w:sz w:val="16"/>
          <w:szCs w:val="16"/>
          <w:lang w:val="es-CR"/>
        </w:rPr>
        <w:t>rtículos 8 y 25 de la Convención Americana.</w:t>
      </w:r>
    </w:p>
  </w:footnote>
  <w:footnote w:id="96">
    <w:p w14:paraId="5273CAEA" w14:textId="77777777" w:rsidR="00A52322" w:rsidRPr="00A922FC" w:rsidRDefault="00A52322" w:rsidP="00EC417E">
      <w:pPr>
        <w:spacing w:after="0" w:line="240" w:lineRule="auto"/>
        <w:jc w:val="both"/>
        <w:rPr>
          <w:rFonts w:ascii="Verdana" w:hAnsi="Verdana"/>
          <w:sz w:val="16"/>
          <w:szCs w:val="16"/>
          <w:lang w:val="es-CO"/>
        </w:rPr>
      </w:pPr>
      <w:r w:rsidRPr="00A922FC">
        <w:rPr>
          <w:rStyle w:val="Refdenotaalpie"/>
          <w:rFonts w:ascii="Verdana" w:hAnsi="Verdana"/>
          <w:sz w:val="16"/>
          <w:szCs w:val="16"/>
        </w:rPr>
        <w:footnoteRef/>
      </w:r>
      <w:r w:rsidRPr="00A922FC">
        <w:rPr>
          <w:rFonts w:ascii="Verdana" w:hAnsi="Verdana"/>
          <w:sz w:val="16"/>
          <w:szCs w:val="16"/>
          <w:lang w:val="es-CR"/>
        </w:rPr>
        <w:t xml:space="preserve"> </w:t>
      </w:r>
      <w:r w:rsidRPr="00A922FC">
        <w:rPr>
          <w:rFonts w:ascii="Verdana" w:hAnsi="Verdana"/>
          <w:sz w:val="16"/>
          <w:szCs w:val="16"/>
          <w:lang w:val="es-CR"/>
        </w:rPr>
        <w:tab/>
      </w:r>
      <w:r w:rsidRPr="001E3DB9">
        <w:rPr>
          <w:rFonts w:ascii="Verdana" w:hAnsi="Verdana"/>
          <w:i/>
          <w:sz w:val="16"/>
          <w:szCs w:val="16"/>
        </w:rPr>
        <w:t>Cfr. Excepciones al Agotamiento de los Recursos Internos (arts. 46.1, 46.2.a y 46.2.b, Convención Americana sobre Derechos Humanos).</w:t>
      </w:r>
      <w:r w:rsidRPr="001E3DB9">
        <w:rPr>
          <w:rFonts w:ascii="Verdana" w:hAnsi="Verdana"/>
          <w:sz w:val="16"/>
          <w:szCs w:val="16"/>
        </w:rPr>
        <w:t xml:space="preserve"> Opinión Consultiva OC-11/90 del 10 de agosto de 1990. Serie A No. 11, párr. 28,</w:t>
      </w:r>
      <w:r w:rsidRPr="001E3DB9" w:rsidDel="00733053">
        <w:rPr>
          <w:rFonts w:ascii="Verdana" w:hAnsi="Verdana"/>
          <w:bCs/>
          <w:i/>
          <w:sz w:val="16"/>
          <w:szCs w:val="16"/>
          <w:lang w:val="es-CL"/>
        </w:rPr>
        <w:t xml:space="preserve"> </w:t>
      </w:r>
      <w:r w:rsidRPr="001E3DB9">
        <w:rPr>
          <w:rFonts w:ascii="Verdana" w:hAnsi="Verdana"/>
          <w:bCs/>
          <w:i/>
          <w:sz w:val="16"/>
          <w:szCs w:val="16"/>
          <w:lang w:val="es-CL"/>
        </w:rPr>
        <w:t xml:space="preserve"> </w:t>
      </w:r>
      <w:r w:rsidRPr="0097244E">
        <w:rPr>
          <w:rFonts w:ascii="Verdana" w:hAnsi="Verdana"/>
          <w:bCs/>
          <w:sz w:val="16"/>
          <w:szCs w:val="16"/>
          <w:lang w:val="es-CL"/>
        </w:rPr>
        <w:t xml:space="preserve">y </w:t>
      </w:r>
      <w:r>
        <w:rPr>
          <w:rFonts w:ascii="Verdana" w:hAnsi="Verdana"/>
          <w:bCs/>
          <w:i/>
          <w:sz w:val="16"/>
          <w:szCs w:val="16"/>
          <w:lang w:val="es-CL"/>
        </w:rPr>
        <w:t xml:space="preserve"> </w:t>
      </w:r>
      <w:r w:rsidRPr="001E3DB9">
        <w:rPr>
          <w:rFonts w:ascii="Verdana" w:hAnsi="Verdana"/>
          <w:bCs/>
          <w:i/>
          <w:sz w:val="16"/>
          <w:szCs w:val="16"/>
          <w:lang w:val="es-CL"/>
        </w:rPr>
        <w:t xml:space="preserve">Caso </w:t>
      </w:r>
      <w:r w:rsidRPr="001E3DB9">
        <w:rPr>
          <w:rFonts w:ascii="Verdana" w:hAnsi="Verdana"/>
          <w:i/>
          <w:sz w:val="16"/>
          <w:szCs w:val="16"/>
        </w:rPr>
        <w:t>Colindres Schonenberg Vs. El Salvador. Fondo, Reparaciones y Costas.</w:t>
      </w:r>
      <w:r w:rsidRPr="001E3DB9">
        <w:rPr>
          <w:rFonts w:ascii="Verdana" w:hAnsi="Verdana"/>
          <w:sz w:val="16"/>
          <w:szCs w:val="16"/>
        </w:rPr>
        <w:t xml:space="preserve"> Sentencia de 4 de febrero de 2019. Serie C No. 373, párr. 63. </w:t>
      </w:r>
    </w:p>
  </w:footnote>
  <w:footnote w:id="97">
    <w:p w14:paraId="3F3C63B3" w14:textId="6BF85497" w:rsidR="00A52322" w:rsidRPr="00A922FC" w:rsidRDefault="00A52322" w:rsidP="00EC417E">
      <w:pPr>
        <w:pStyle w:val="Textonotapie"/>
        <w:jc w:val="both"/>
        <w:rPr>
          <w:rFonts w:ascii="Verdana" w:hAnsi="Verdana"/>
          <w:sz w:val="16"/>
          <w:szCs w:val="16"/>
          <w:lang w:val="es-CR"/>
        </w:rPr>
      </w:pPr>
      <w:r w:rsidRPr="00A922FC">
        <w:rPr>
          <w:rStyle w:val="Refdenotaalpie"/>
          <w:rFonts w:ascii="Verdana" w:hAnsi="Verdana"/>
          <w:sz w:val="16"/>
          <w:szCs w:val="16"/>
        </w:rPr>
        <w:footnoteRef/>
      </w:r>
      <w:r w:rsidRPr="00A922FC">
        <w:rPr>
          <w:rFonts w:ascii="Verdana" w:hAnsi="Verdana"/>
          <w:sz w:val="16"/>
          <w:szCs w:val="16"/>
          <w:lang w:val="es-CR"/>
        </w:rPr>
        <w:t xml:space="preserve"> </w:t>
      </w:r>
      <w:r w:rsidRPr="00A922FC">
        <w:rPr>
          <w:rFonts w:ascii="Verdana" w:hAnsi="Verdana"/>
          <w:sz w:val="16"/>
          <w:szCs w:val="16"/>
          <w:lang w:val="es-CR"/>
        </w:rPr>
        <w:tab/>
      </w:r>
      <w:r w:rsidRPr="001E3DB9">
        <w:rPr>
          <w:rFonts w:ascii="Verdana" w:hAnsi="Verdana"/>
          <w:i/>
          <w:sz w:val="16"/>
          <w:szCs w:val="16"/>
        </w:rPr>
        <w:t xml:space="preserve">Cfr. </w:t>
      </w:r>
      <w:r w:rsidRPr="00B016B5">
        <w:rPr>
          <w:rFonts w:ascii="Verdana" w:hAnsi="Verdana"/>
          <w:i/>
          <w:sz w:val="16"/>
          <w:szCs w:val="16"/>
        </w:rPr>
        <w:t xml:space="preserve">Caso Yatama Vs. Nicaragua. Excepciones Preliminares, Fondo, Reparaciones y Costas. </w:t>
      </w:r>
      <w:r w:rsidRPr="00796BBA">
        <w:rPr>
          <w:rFonts w:ascii="Verdana" w:hAnsi="Verdana"/>
          <w:sz w:val="16"/>
          <w:szCs w:val="16"/>
        </w:rPr>
        <w:t>Sentencia de 23 de junio de 2005. Serie C No. 127</w:t>
      </w:r>
      <w:r w:rsidRPr="001E3DB9">
        <w:rPr>
          <w:rFonts w:ascii="Verdana" w:hAnsi="Verdana"/>
          <w:sz w:val="16"/>
          <w:szCs w:val="16"/>
        </w:rPr>
        <w:t xml:space="preserve">, párr. </w:t>
      </w:r>
      <w:r>
        <w:rPr>
          <w:rFonts w:ascii="Verdana" w:hAnsi="Verdana"/>
          <w:sz w:val="16"/>
          <w:szCs w:val="16"/>
        </w:rPr>
        <w:t>148</w:t>
      </w:r>
      <w:r w:rsidRPr="001E3DB9">
        <w:rPr>
          <w:rFonts w:ascii="Verdana" w:hAnsi="Verdana"/>
          <w:sz w:val="16"/>
          <w:szCs w:val="16"/>
        </w:rPr>
        <w:t>,</w:t>
      </w:r>
      <w:r w:rsidRPr="005E422B">
        <w:rPr>
          <w:rFonts w:ascii="Verdana" w:hAnsi="Verdana"/>
          <w:sz w:val="16"/>
          <w:szCs w:val="16"/>
          <w:lang w:val="es-CR"/>
        </w:rPr>
        <w:t xml:space="preserve"> y</w:t>
      </w:r>
      <w:r w:rsidRPr="001E3DB9">
        <w:rPr>
          <w:rFonts w:ascii="Verdana" w:hAnsi="Verdana"/>
          <w:i/>
          <w:sz w:val="16"/>
          <w:szCs w:val="16"/>
          <w:lang w:val="es-CR"/>
        </w:rPr>
        <w:t xml:space="preserve"> </w:t>
      </w:r>
      <w:r w:rsidRPr="00B016B5">
        <w:rPr>
          <w:rFonts w:ascii="Verdana" w:hAnsi="Verdana"/>
          <w:bCs/>
          <w:i/>
          <w:sz w:val="16"/>
          <w:szCs w:val="16"/>
          <w:lang w:val="es-CL"/>
        </w:rPr>
        <w:t>Caso Rico Vs. Argentina. Excepción Preliminar y Fondo</w:t>
      </w:r>
      <w:r w:rsidRPr="00796BBA">
        <w:rPr>
          <w:rFonts w:ascii="Verdana" w:hAnsi="Verdana"/>
          <w:bCs/>
          <w:sz w:val="16"/>
          <w:szCs w:val="16"/>
          <w:lang w:val="es-CL"/>
        </w:rPr>
        <w:t>. Sentencia de 2 de septiembre de 2019. Serie C No. 383.</w:t>
      </w:r>
      <w:r w:rsidRPr="001E3DB9">
        <w:rPr>
          <w:rFonts w:ascii="Verdana" w:hAnsi="Verdana"/>
          <w:sz w:val="16"/>
          <w:szCs w:val="16"/>
        </w:rPr>
        <w:t xml:space="preserve">, párr. </w:t>
      </w:r>
      <w:r>
        <w:rPr>
          <w:rFonts w:ascii="Verdana" w:hAnsi="Verdana"/>
          <w:sz w:val="16"/>
          <w:szCs w:val="16"/>
        </w:rPr>
        <w:t>49</w:t>
      </w:r>
      <w:r w:rsidRPr="001E3DB9">
        <w:rPr>
          <w:rFonts w:ascii="Verdana" w:hAnsi="Verdana"/>
          <w:sz w:val="16"/>
          <w:szCs w:val="16"/>
        </w:rPr>
        <w:t xml:space="preserve">. </w:t>
      </w:r>
    </w:p>
  </w:footnote>
  <w:footnote w:id="98">
    <w:p w14:paraId="0AC9AB10" w14:textId="0E398D75" w:rsidR="00A52322" w:rsidRPr="00A922FC" w:rsidRDefault="00A52322" w:rsidP="00EC417E">
      <w:pPr>
        <w:pStyle w:val="Textonotapie"/>
        <w:jc w:val="both"/>
        <w:rPr>
          <w:rFonts w:ascii="Verdana" w:hAnsi="Verdana"/>
          <w:sz w:val="16"/>
          <w:szCs w:val="16"/>
          <w:lang w:val="es-CR"/>
        </w:rPr>
      </w:pPr>
      <w:r w:rsidRPr="00A922FC">
        <w:rPr>
          <w:rStyle w:val="Refdenotaalpie"/>
          <w:rFonts w:ascii="Verdana" w:hAnsi="Verdana"/>
          <w:sz w:val="16"/>
          <w:szCs w:val="16"/>
        </w:rPr>
        <w:footnoteRef/>
      </w:r>
      <w:r w:rsidRPr="00A922FC">
        <w:rPr>
          <w:rFonts w:ascii="Verdana" w:hAnsi="Verdana"/>
          <w:sz w:val="16"/>
          <w:szCs w:val="16"/>
          <w:lang w:val="es-CR"/>
        </w:rPr>
        <w:t xml:space="preserve"> </w:t>
      </w:r>
      <w:r w:rsidRPr="00A922FC">
        <w:rPr>
          <w:rFonts w:ascii="Verdana" w:hAnsi="Verdana"/>
          <w:sz w:val="16"/>
          <w:szCs w:val="16"/>
          <w:lang w:val="es-CR"/>
        </w:rPr>
        <w:tab/>
      </w:r>
      <w:r w:rsidRPr="001E3DB9">
        <w:rPr>
          <w:rFonts w:ascii="Verdana" w:hAnsi="Verdana"/>
          <w:i/>
          <w:sz w:val="16"/>
          <w:szCs w:val="16"/>
          <w:lang w:val="es-CR"/>
        </w:rPr>
        <w:t xml:space="preserve">Cfr. </w:t>
      </w:r>
      <w:r w:rsidRPr="001E3DB9">
        <w:rPr>
          <w:rFonts w:ascii="Verdana" w:hAnsi="Verdana"/>
          <w:i/>
          <w:sz w:val="16"/>
          <w:szCs w:val="16"/>
          <w:lang w:val="es-ES_tradnl"/>
        </w:rPr>
        <w:t>Caso Palamara Iribarne Vs. Chile. Fondo, Reparaciones y Costas</w:t>
      </w:r>
      <w:r w:rsidRPr="001E3DB9">
        <w:rPr>
          <w:rFonts w:ascii="Verdana" w:hAnsi="Verdana"/>
          <w:sz w:val="16"/>
          <w:szCs w:val="16"/>
          <w:lang w:val="es-ES_tradnl"/>
        </w:rPr>
        <w:t>. Sentencia de 22 de noviembre de 2005. Serie C No. 135</w:t>
      </w:r>
      <w:r w:rsidRPr="001E3DB9">
        <w:rPr>
          <w:rFonts w:ascii="Verdana" w:hAnsi="Verdana"/>
          <w:sz w:val="16"/>
          <w:szCs w:val="16"/>
          <w:lang w:val="es-CR"/>
        </w:rPr>
        <w:t>, párr. 174</w:t>
      </w:r>
      <w:r>
        <w:rPr>
          <w:rFonts w:ascii="Verdana" w:hAnsi="Verdana"/>
          <w:sz w:val="16"/>
          <w:szCs w:val="16"/>
          <w:lang w:val="es-CR"/>
        </w:rPr>
        <w:t xml:space="preserve">, y </w:t>
      </w:r>
      <w:r w:rsidRPr="00796BBA">
        <w:rPr>
          <w:rFonts w:ascii="Verdana" w:hAnsi="Verdana"/>
          <w:i/>
          <w:sz w:val="16"/>
          <w:szCs w:val="16"/>
          <w:lang w:val="es-CR"/>
        </w:rPr>
        <w:t>Caso Herrera Espinoza y otros Vs. Ecuador. Excepciones Preliminares, Fondo, Reparaciones y Costas.</w:t>
      </w:r>
      <w:r w:rsidRPr="00AB4D28">
        <w:rPr>
          <w:rFonts w:ascii="Verdana" w:hAnsi="Verdana"/>
          <w:sz w:val="16"/>
          <w:szCs w:val="16"/>
          <w:lang w:val="es-CR"/>
        </w:rPr>
        <w:t xml:space="preserve"> Sentencia de 1 de septiembre de 2016. Serie C No. 316</w:t>
      </w:r>
      <w:r>
        <w:rPr>
          <w:rFonts w:ascii="Verdana" w:hAnsi="Verdana"/>
          <w:sz w:val="16"/>
          <w:szCs w:val="16"/>
          <w:lang w:val="es-CR"/>
        </w:rPr>
        <w:t>, párr. 174</w:t>
      </w:r>
      <w:r w:rsidRPr="00AB4D28">
        <w:rPr>
          <w:rFonts w:ascii="Verdana" w:hAnsi="Verdana"/>
          <w:sz w:val="16"/>
          <w:szCs w:val="16"/>
          <w:lang w:val="es-CR"/>
        </w:rPr>
        <w:t>.</w:t>
      </w:r>
    </w:p>
  </w:footnote>
  <w:footnote w:id="99">
    <w:p w14:paraId="75B440E7" w14:textId="5A4FE8BA" w:rsidR="00A52322" w:rsidRPr="00796BBA" w:rsidRDefault="00A52322" w:rsidP="00EC417E">
      <w:pPr>
        <w:pStyle w:val="Textonotapie"/>
        <w:jc w:val="both"/>
        <w:rPr>
          <w:rFonts w:ascii="Verdana" w:hAnsi="Verdana"/>
          <w:sz w:val="16"/>
          <w:szCs w:val="16"/>
          <w:lang w:val="es-ES_tradnl"/>
        </w:rPr>
      </w:pPr>
      <w:r w:rsidRPr="00A922FC">
        <w:rPr>
          <w:rStyle w:val="Refdenotaalpie"/>
          <w:rFonts w:ascii="Verdana" w:hAnsi="Verdana"/>
          <w:sz w:val="16"/>
          <w:szCs w:val="16"/>
        </w:rPr>
        <w:footnoteRef/>
      </w:r>
      <w:r w:rsidRPr="00A922FC">
        <w:rPr>
          <w:rFonts w:ascii="Verdana" w:hAnsi="Verdana"/>
          <w:i/>
          <w:sz w:val="16"/>
          <w:szCs w:val="16"/>
          <w:lang w:val="es-CR"/>
        </w:rPr>
        <w:tab/>
      </w:r>
      <w:r w:rsidRPr="001E3DB9">
        <w:rPr>
          <w:rFonts w:ascii="Verdana" w:hAnsi="Verdana"/>
          <w:i/>
          <w:sz w:val="16"/>
          <w:szCs w:val="16"/>
          <w:lang w:val="es-CR"/>
        </w:rPr>
        <w:t>Cfr. Condición Jurídica y Derechos Humanos del Niño.</w:t>
      </w:r>
      <w:r w:rsidRPr="001E3DB9">
        <w:rPr>
          <w:rFonts w:ascii="Verdana" w:hAnsi="Verdana"/>
          <w:sz w:val="16"/>
          <w:szCs w:val="16"/>
          <w:lang w:val="es-CR"/>
        </w:rPr>
        <w:t xml:space="preserve"> Opinión Consultiva OC-17/02 de 28 de agosto de 2002. Serie A No. 17,</w:t>
      </w:r>
      <w:r w:rsidRPr="001E3DB9">
        <w:rPr>
          <w:rFonts w:ascii="Verdana" w:hAnsi="Verdana"/>
          <w:i/>
          <w:sz w:val="16"/>
          <w:szCs w:val="16"/>
          <w:lang w:val="es-CR"/>
        </w:rPr>
        <w:t xml:space="preserve"> </w:t>
      </w:r>
      <w:r w:rsidRPr="001E3DB9">
        <w:rPr>
          <w:rFonts w:ascii="Verdana" w:hAnsi="Verdana"/>
          <w:sz w:val="16"/>
          <w:szCs w:val="16"/>
          <w:lang w:val="es-CR"/>
        </w:rPr>
        <w:t xml:space="preserve">párr. 132, y </w:t>
      </w:r>
      <w:r w:rsidRPr="006B3E98">
        <w:rPr>
          <w:rFonts w:ascii="Verdana" w:hAnsi="Verdana"/>
          <w:i/>
          <w:sz w:val="16"/>
          <w:szCs w:val="16"/>
          <w:lang w:val="es-ES_tradnl"/>
        </w:rPr>
        <w:t xml:space="preserve">Caso Ruano Torres y otros Vs. El Salvador. Fondo, Reparaciones y Costas. </w:t>
      </w:r>
      <w:r w:rsidRPr="00796BBA">
        <w:rPr>
          <w:rFonts w:ascii="Verdana" w:hAnsi="Verdana"/>
          <w:sz w:val="16"/>
          <w:szCs w:val="16"/>
          <w:lang w:val="es-ES_tradnl"/>
        </w:rPr>
        <w:t>Sentencia de 5 de o</w:t>
      </w:r>
      <w:r>
        <w:rPr>
          <w:rFonts w:ascii="Verdana" w:hAnsi="Verdana"/>
          <w:sz w:val="16"/>
          <w:szCs w:val="16"/>
          <w:lang w:val="es-ES_tradnl"/>
        </w:rPr>
        <w:t>ctubre de 2015. Serie C No. 303</w:t>
      </w:r>
      <w:r w:rsidRPr="001E3DB9">
        <w:rPr>
          <w:rFonts w:ascii="Verdana" w:hAnsi="Verdana"/>
          <w:sz w:val="16"/>
          <w:szCs w:val="16"/>
          <w:lang w:val="es-CR"/>
        </w:rPr>
        <w:t xml:space="preserve">, párr. </w:t>
      </w:r>
      <w:r>
        <w:rPr>
          <w:rFonts w:ascii="Verdana" w:hAnsi="Verdana"/>
          <w:sz w:val="16"/>
          <w:szCs w:val="16"/>
          <w:lang w:val="es-CR"/>
        </w:rPr>
        <w:t>152.</w:t>
      </w:r>
    </w:p>
  </w:footnote>
  <w:footnote w:id="100">
    <w:p w14:paraId="1F2AD1AF" w14:textId="7FF29B36" w:rsidR="00A52322" w:rsidRPr="00A922FC" w:rsidRDefault="00A52322" w:rsidP="00EC417E">
      <w:pPr>
        <w:pStyle w:val="Textonotapie"/>
        <w:jc w:val="both"/>
        <w:rPr>
          <w:rFonts w:ascii="Verdana" w:hAnsi="Verdana"/>
          <w:b/>
          <w:sz w:val="16"/>
          <w:szCs w:val="16"/>
          <w:lang w:val="es-CR"/>
        </w:rPr>
      </w:pPr>
      <w:r w:rsidRPr="00A922FC">
        <w:rPr>
          <w:rStyle w:val="Refdenotaalpie"/>
          <w:rFonts w:ascii="Verdana" w:hAnsi="Verdana"/>
          <w:sz w:val="16"/>
          <w:szCs w:val="16"/>
        </w:rPr>
        <w:footnoteRef/>
      </w:r>
      <w:r w:rsidRPr="00A922FC">
        <w:rPr>
          <w:rFonts w:ascii="Verdana" w:hAnsi="Verdana"/>
          <w:sz w:val="16"/>
          <w:szCs w:val="16"/>
          <w:lang w:val="es-CR"/>
        </w:rPr>
        <w:t xml:space="preserve"> </w:t>
      </w:r>
      <w:r w:rsidRPr="00A922FC">
        <w:rPr>
          <w:rFonts w:ascii="Verdana" w:hAnsi="Verdana"/>
          <w:sz w:val="16"/>
          <w:szCs w:val="16"/>
          <w:lang w:val="es-CR"/>
        </w:rPr>
        <w:tab/>
      </w:r>
      <w:r w:rsidRPr="001E3DB9">
        <w:rPr>
          <w:rFonts w:ascii="Verdana" w:hAnsi="Verdana"/>
          <w:i/>
          <w:sz w:val="16"/>
          <w:szCs w:val="16"/>
          <w:lang w:val="es-CR"/>
        </w:rPr>
        <w:t xml:space="preserve">Cfr. Caso Barreto Leiva Vs. Venezuela. </w:t>
      </w:r>
      <w:r w:rsidRPr="001E3DB9">
        <w:rPr>
          <w:rFonts w:ascii="Verdana" w:hAnsi="Verdana"/>
          <w:i/>
          <w:sz w:val="16"/>
          <w:szCs w:val="16"/>
        </w:rPr>
        <w:t xml:space="preserve">Fondo, Reparaciones y Costas. </w:t>
      </w:r>
      <w:r w:rsidRPr="001E3DB9">
        <w:rPr>
          <w:rFonts w:ascii="Verdana" w:hAnsi="Verdana"/>
          <w:sz w:val="16"/>
          <w:szCs w:val="16"/>
        </w:rPr>
        <w:t xml:space="preserve">Sentencia de 17 de </w:t>
      </w:r>
      <w:r>
        <w:rPr>
          <w:rFonts w:ascii="Verdana" w:hAnsi="Verdana"/>
          <w:sz w:val="16"/>
          <w:szCs w:val="16"/>
        </w:rPr>
        <w:t>n</w:t>
      </w:r>
      <w:r w:rsidRPr="001E3DB9">
        <w:rPr>
          <w:rFonts w:ascii="Verdana" w:hAnsi="Verdana"/>
          <w:sz w:val="16"/>
          <w:szCs w:val="16"/>
        </w:rPr>
        <w:t xml:space="preserve">oviembre de 2009. Serie C. 205, </w:t>
      </w:r>
      <w:r w:rsidRPr="001E3DB9">
        <w:rPr>
          <w:rFonts w:ascii="Verdana" w:hAnsi="Verdana"/>
          <w:sz w:val="16"/>
          <w:szCs w:val="16"/>
          <w:lang w:val="es-CR"/>
        </w:rPr>
        <w:t>párr.</w:t>
      </w:r>
      <w:r>
        <w:rPr>
          <w:rFonts w:ascii="Verdana" w:hAnsi="Verdana"/>
          <w:sz w:val="16"/>
          <w:szCs w:val="16"/>
          <w:lang w:val="es-CR"/>
        </w:rPr>
        <w:t xml:space="preserve"> </w:t>
      </w:r>
      <w:r w:rsidRPr="001E3DB9">
        <w:rPr>
          <w:rFonts w:ascii="Verdana" w:hAnsi="Verdana"/>
          <w:sz w:val="16"/>
          <w:szCs w:val="16"/>
          <w:lang w:val="es-CR"/>
        </w:rPr>
        <w:t xml:space="preserve">61, y </w:t>
      </w:r>
      <w:r w:rsidRPr="006B3E98">
        <w:rPr>
          <w:rStyle w:val="Textoennegrita"/>
          <w:rFonts w:ascii="Verdana" w:hAnsi="Verdana"/>
          <w:b w:val="0"/>
          <w:i/>
          <w:sz w:val="16"/>
          <w:szCs w:val="16"/>
          <w:lang w:val="es-CR"/>
        </w:rPr>
        <w:t xml:space="preserve">Caso Maldonado Ordóñez Vs. Guatemala. Excepción Preliminar, Fondo, Reparaciones y Costas. </w:t>
      </w:r>
      <w:r w:rsidRPr="00796BBA">
        <w:rPr>
          <w:rStyle w:val="Textoennegrita"/>
          <w:rFonts w:ascii="Verdana" w:hAnsi="Verdana"/>
          <w:b w:val="0"/>
          <w:sz w:val="16"/>
          <w:szCs w:val="16"/>
          <w:lang w:val="es-CR"/>
        </w:rPr>
        <w:t>Sentencia de 3 de mayo de 2016. Serie C No. 311</w:t>
      </w:r>
      <w:r>
        <w:rPr>
          <w:rStyle w:val="Textoennegrita"/>
          <w:rFonts w:ascii="Verdana" w:hAnsi="Verdana"/>
          <w:b w:val="0"/>
          <w:i/>
          <w:sz w:val="16"/>
          <w:szCs w:val="16"/>
          <w:lang w:val="es-CR"/>
        </w:rPr>
        <w:t xml:space="preserve">, </w:t>
      </w:r>
      <w:r w:rsidRPr="001E3DB9">
        <w:rPr>
          <w:rStyle w:val="Textoennegrita"/>
          <w:rFonts w:ascii="Verdana" w:hAnsi="Verdana"/>
          <w:b w:val="0"/>
          <w:sz w:val="16"/>
          <w:szCs w:val="16"/>
          <w:lang w:val="es-CR"/>
        </w:rPr>
        <w:t xml:space="preserve">párr. </w:t>
      </w:r>
      <w:r>
        <w:rPr>
          <w:rStyle w:val="Textoennegrita"/>
          <w:rFonts w:ascii="Verdana" w:hAnsi="Verdana"/>
          <w:b w:val="0"/>
          <w:sz w:val="16"/>
          <w:szCs w:val="16"/>
          <w:lang w:val="es-CR"/>
        </w:rPr>
        <w:t>18</w:t>
      </w:r>
      <w:r w:rsidRPr="001E3DB9">
        <w:rPr>
          <w:rFonts w:ascii="Verdana" w:hAnsi="Verdana"/>
          <w:sz w:val="16"/>
          <w:szCs w:val="16"/>
          <w:lang w:val="es-CR"/>
        </w:rPr>
        <w:t>.</w:t>
      </w:r>
    </w:p>
  </w:footnote>
  <w:footnote w:id="101">
    <w:p w14:paraId="46F50C3C" w14:textId="077982AC" w:rsidR="00A52322" w:rsidRPr="006F6D58" w:rsidRDefault="00A52322" w:rsidP="00EC417E">
      <w:pPr>
        <w:pStyle w:val="Textonotapie"/>
        <w:jc w:val="both"/>
        <w:rPr>
          <w:rFonts w:ascii="Verdana" w:hAnsi="Verdana"/>
          <w:sz w:val="16"/>
          <w:szCs w:val="16"/>
          <w:lang w:val="es-CR"/>
        </w:rPr>
      </w:pPr>
      <w:r w:rsidRPr="006F6D58">
        <w:rPr>
          <w:rStyle w:val="Refdenotaalpie"/>
          <w:rFonts w:ascii="Verdana" w:eastAsia="Calibri" w:hAnsi="Verdana"/>
          <w:sz w:val="16"/>
          <w:szCs w:val="16"/>
        </w:rPr>
        <w:footnoteRef/>
      </w:r>
      <w:r w:rsidRPr="006F6D58">
        <w:rPr>
          <w:rFonts w:ascii="Verdana" w:hAnsi="Verdana"/>
          <w:sz w:val="16"/>
          <w:szCs w:val="16"/>
          <w:lang w:val="es-CR"/>
        </w:rPr>
        <w:t xml:space="preserve"> </w:t>
      </w:r>
      <w:r w:rsidRPr="006F6D58">
        <w:rPr>
          <w:rFonts w:ascii="Verdana" w:hAnsi="Verdana"/>
          <w:sz w:val="16"/>
          <w:szCs w:val="16"/>
          <w:lang w:val="es-CR"/>
        </w:rPr>
        <w:tab/>
      </w:r>
      <w:r w:rsidRPr="006F6D58">
        <w:rPr>
          <w:rFonts w:ascii="Verdana" w:hAnsi="Verdana"/>
          <w:i/>
          <w:sz w:val="16"/>
          <w:szCs w:val="16"/>
          <w:lang w:val="es-CR"/>
        </w:rPr>
        <w:t>Cfr.</w:t>
      </w:r>
      <w:r w:rsidRPr="006F6D58">
        <w:rPr>
          <w:rFonts w:ascii="Verdana" w:hAnsi="Verdana"/>
          <w:sz w:val="16"/>
          <w:szCs w:val="16"/>
          <w:lang w:val="es-CR"/>
        </w:rPr>
        <w:t xml:space="preserve"> </w:t>
      </w:r>
      <w:r w:rsidRPr="006F6D58">
        <w:rPr>
          <w:rFonts w:ascii="Verdana" w:hAnsi="Verdana"/>
          <w:i/>
          <w:sz w:val="16"/>
          <w:szCs w:val="16"/>
          <w:lang w:val="es-CR"/>
        </w:rPr>
        <w:t>Caso Ricardo Canese Vs. Paraguay. Fondo, Reparaciones y Costas.</w:t>
      </w:r>
      <w:r w:rsidRPr="006F6D58">
        <w:rPr>
          <w:rFonts w:ascii="Verdana" w:hAnsi="Verdana"/>
          <w:sz w:val="16"/>
          <w:szCs w:val="16"/>
          <w:lang w:val="es-CR"/>
        </w:rPr>
        <w:t xml:space="preserve"> Sentencia de 31 de agosto de 2004. Serie C No. 111, párr. 154, y </w:t>
      </w:r>
      <w:r w:rsidRPr="006F6D58">
        <w:rPr>
          <w:rFonts w:ascii="Verdana" w:hAnsi="Verdana"/>
          <w:i/>
          <w:sz w:val="16"/>
          <w:szCs w:val="16"/>
        </w:rPr>
        <w:t xml:space="preserve">Caso Zegarra Marín Vs. Perú. Excepciones Preliminares, Fondo, Reparaciones y Costas. </w:t>
      </w:r>
      <w:r w:rsidRPr="006F6D58">
        <w:rPr>
          <w:rFonts w:ascii="Verdana" w:hAnsi="Verdana"/>
          <w:sz w:val="16"/>
          <w:szCs w:val="16"/>
        </w:rPr>
        <w:t xml:space="preserve">Sentencia de 15 de </w:t>
      </w:r>
      <w:r>
        <w:rPr>
          <w:rFonts w:ascii="Verdana" w:hAnsi="Verdana"/>
          <w:sz w:val="16"/>
          <w:szCs w:val="16"/>
        </w:rPr>
        <w:t>f</w:t>
      </w:r>
      <w:r w:rsidRPr="006F6D58">
        <w:rPr>
          <w:rFonts w:ascii="Verdana" w:hAnsi="Verdana"/>
          <w:sz w:val="16"/>
          <w:szCs w:val="16"/>
        </w:rPr>
        <w:t xml:space="preserve">ebrero de 2017. Serie C No. 331, párr. 138. </w:t>
      </w:r>
    </w:p>
  </w:footnote>
  <w:footnote w:id="102">
    <w:p w14:paraId="41E33270" w14:textId="5AC55C3F" w:rsidR="00A52322" w:rsidRPr="00B65610" w:rsidRDefault="00A52322" w:rsidP="00EC417E">
      <w:pPr>
        <w:pStyle w:val="Textonotapie"/>
        <w:jc w:val="both"/>
        <w:rPr>
          <w:rFonts w:ascii="Verdana" w:hAnsi="Verdana"/>
          <w:sz w:val="16"/>
          <w:szCs w:val="16"/>
        </w:rPr>
      </w:pPr>
      <w:r w:rsidRPr="006F6D58">
        <w:rPr>
          <w:rStyle w:val="Refdenotaalpie"/>
          <w:rFonts w:ascii="Verdana" w:hAnsi="Verdana"/>
          <w:sz w:val="16"/>
          <w:szCs w:val="16"/>
        </w:rPr>
        <w:footnoteRef/>
      </w:r>
      <w:r w:rsidRPr="006F6D58">
        <w:rPr>
          <w:rFonts w:ascii="Verdana" w:hAnsi="Verdana"/>
          <w:sz w:val="16"/>
          <w:szCs w:val="16"/>
        </w:rPr>
        <w:t xml:space="preserve">  </w:t>
      </w:r>
      <w:r w:rsidRPr="006F6D58">
        <w:rPr>
          <w:rFonts w:ascii="Verdana" w:hAnsi="Verdana"/>
          <w:sz w:val="16"/>
          <w:szCs w:val="16"/>
        </w:rPr>
        <w:tab/>
      </w:r>
      <w:r w:rsidRPr="006F6D58">
        <w:rPr>
          <w:rFonts w:ascii="Verdana" w:hAnsi="Verdana"/>
          <w:i/>
          <w:sz w:val="16"/>
          <w:szCs w:val="16"/>
        </w:rPr>
        <w:t xml:space="preserve">Cfr. </w:t>
      </w:r>
      <w:r w:rsidRPr="001E3DB9">
        <w:rPr>
          <w:rFonts w:ascii="Verdana" w:hAnsi="Verdana"/>
          <w:i/>
          <w:sz w:val="16"/>
          <w:szCs w:val="16"/>
        </w:rPr>
        <w:t>Caso Cabrera García y Montiel Flores Vs. México. Excepción Preliminar, Fondo, Reparaciones y Costas.</w:t>
      </w:r>
      <w:r w:rsidRPr="001E3DB9">
        <w:rPr>
          <w:rFonts w:ascii="Verdana" w:hAnsi="Verdana"/>
          <w:sz w:val="16"/>
          <w:szCs w:val="16"/>
        </w:rPr>
        <w:t xml:space="preserve"> </w:t>
      </w:r>
      <w:r w:rsidRPr="006F6D58">
        <w:rPr>
          <w:rFonts w:ascii="Verdana" w:hAnsi="Verdana"/>
          <w:sz w:val="16"/>
          <w:szCs w:val="16"/>
        </w:rPr>
        <w:t xml:space="preserve">Sentencia de 26 de noviembre </w:t>
      </w:r>
      <w:r>
        <w:rPr>
          <w:rFonts w:ascii="Verdana" w:hAnsi="Verdana"/>
          <w:sz w:val="16"/>
          <w:szCs w:val="16"/>
        </w:rPr>
        <w:t>de 2010. Serie C No. 220, párr. 165, y</w:t>
      </w:r>
      <w:r w:rsidRPr="006F6D58">
        <w:rPr>
          <w:rFonts w:ascii="Verdana" w:hAnsi="Verdana"/>
          <w:sz w:val="16"/>
          <w:szCs w:val="16"/>
        </w:rPr>
        <w:t xml:space="preserve"> </w:t>
      </w:r>
      <w:r>
        <w:rPr>
          <w:rFonts w:ascii="Verdana" w:hAnsi="Verdana"/>
          <w:i/>
          <w:iCs/>
          <w:sz w:val="16"/>
          <w:szCs w:val="16"/>
          <w:lang w:val="es-PE"/>
        </w:rPr>
        <w:t xml:space="preserve">Caso Pollo Rivera y otros </w:t>
      </w:r>
      <w:r w:rsidRPr="006F6D58">
        <w:rPr>
          <w:rFonts w:ascii="Verdana" w:hAnsi="Verdana"/>
          <w:i/>
          <w:iCs/>
          <w:sz w:val="16"/>
          <w:szCs w:val="16"/>
          <w:lang w:val="es-PE"/>
        </w:rPr>
        <w:t>Vs. Perú. Fondo, Reparaciones y Costas</w:t>
      </w:r>
      <w:r w:rsidRPr="006F6D58">
        <w:rPr>
          <w:rFonts w:ascii="Verdana" w:hAnsi="Verdana"/>
          <w:sz w:val="16"/>
          <w:szCs w:val="16"/>
          <w:lang w:val="es-PE"/>
        </w:rPr>
        <w:t>. Sentencia de 21 de octubre de 2016. Serie C No. 319, párr. 176.</w:t>
      </w:r>
    </w:p>
  </w:footnote>
  <w:footnote w:id="103">
    <w:p w14:paraId="4412C7F5" w14:textId="3D771FA6" w:rsidR="00A52322" w:rsidRPr="006F6D58" w:rsidRDefault="00A52322" w:rsidP="00EC417E">
      <w:pPr>
        <w:pStyle w:val="Textonotapie"/>
        <w:jc w:val="both"/>
        <w:rPr>
          <w:rFonts w:ascii="Verdana" w:hAnsi="Verdana"/>
          <w:sz w:val="16"/>
          <w:szCs w:val="16"/>
        </w:rPr>
      </w:pPr>
      <w:r w:rsidRPr="006F6D58">
        <w:rPr>
          <w:rStyle w:val="Refdenotaalpie"/>
          <w:rFonts w:ascii="Verdana" w:hAnsi="Verdana"/>
          <w:sz w:val="16"/>
          <w:szCs w:val="16"/>
        </w:rPr>
        <w:footnoteRef/>
      </w:r>
      <w:r w:rsidRPr="006F6D58">
        <w:rPr>
          <w:rFonts w:ascii="Verdana" w:hAnsi="Verdana"/>
          <w:sz w:val="16"/>
          <w:szCs w:val="16"/>
        </w:rPr>
        <w:t xml:space="preserve">   </w:t>
      </w:r>
      <w:r w:rsidRPr="006F6D58">
        <w:rPr>
          <w:rFonts w:ascii="Verdana" w:hAnsi="Verdana"/>
          <w:sz w:val="16"/>
          <w:szCs w:val="16"/>
        </w:rPr>
        <w:tab/>
      </w:r>
      <w:r w:rsidRPr="006F6D58">
        <w:rPr>
          <w:rFonts w:ascii="Verdana" w:hAnsi="Verdana"/>
          <w:sz w:val="16"/>
          <w:szCs w:val="16"/>
          <w:lang w:val="es-CR"/>
        </w:rPr>
        <w:t xml:space="preserve">Este Tribunal hace notar que en lo pertinente, el oficio hace referencia </w:t>
      </w:r>
      <w:r w:rsidRPr="00D34C76">
        <w:rPr>
          <w:rFonts w:ascii="Verdana" w:hAnsi="Verdana"/>
          <w:sz w:val="16"/>
          <w:szCs w:val="16"/>
          <w:lang w:val="es-CR"/>
        </w:rPr>
        <w:t>a Víctor Manuel Vásquez González</w:t>
      </w:r>
      <w:r w:rsidRPr="006F6D58">
        <w:rPr>
          <w:rFonts w:ascii="Verdana" w:hAnsi="Verdana"/>
          <w:sz w:val="16"/>
          <w:szCs w:val="16"/>
          <w:lang w:val="es-CR"/>
        </w:rPr>
        <w:t xml:space="preserve">, sin embargo es un hecho no controvertido que el señor Valenzuela Ávila fue identificado para dicho allanamiento bajo ese nombre. </w:t>
      </w:r>
      <w:r w:rsidRPr="006F6D58">
        <w:rPr>
          <w:rFonts w:ascii="Verdana" w:hAnsi="Verdana"/>
          <w:i/>
          <w:sz w:val="16"/>
          <w:szCs w:val="16"/>
          <w:lang w:val="es-CR"/>
        </w:rPr>
        <w:t>Cfr</w:t>
      </w:r>
      <w:r>
        <w:rPr>
          <w:rFonts w:ascii="Verdana" w:hAnsi="Verdana"/>
          <w:sz w:val="16"/>
          <w:szCs w:val="16"/>
          <w:lang w:val="es-CR"/>
        </w:rPr>
        <w:t xml:space="preserve">. Oficio No. 1709-98, </w:t>
      </w:r>
      <w:r w:rsidRPr="00DB5E71">
        <w:rPr>
          <w:rFonts w:ascii="Verdana" w:hAnsi="Verdana"/>
          <w:i/>
          <w:sz w:val="16"/>
          <w:szCs w:val="16"/>
          <w:lang w:val="es-CR"/>
        </w:rPr>
        <w:t>supra</w:t>
      </w:r>
      <w:r w:rsidRPr="006F6D58">
        <w:rPr>
          <w:rFonts w:ascii="Verdana" w:hAnsi="Verdana"/>
          <w:sz w:val="16"/>
          <w:szCs w:val="16"/>
          <w:lang w:val="es-CR"/>
        </w:rPr>
        <w:t>.</w:t>
      </w:r>
      <w:r w:rsidRPr="006800B8">
        <w:rPr>
          <w:rFonts w:ascii="Verdana" w:hAnsi="Verdana"/>
          <w:sz w:val="16"/>
          <w:szCs w:val="16"/>
          <w:lang w:val="es-CR"/>
        </w:rPr>
        <w:t xml:space="preserve"> </w:t>
      </w:r>
    </w:p>
  </w:footnote>
  <w:footnote w:id="104">
    <w:p w14:paraId="1F8DD09B" w14:textId="77777777" w:rsidR="00A52322" w:rsidRPr="00213433" w:rsidRDefault="00A52322" w:rsidP="00DF743D">
      <w:pPr>
        <w:pStyle w:val="Textonotapie"/>
        <w:jc w:val="both"/>
        <w:rPr>
          <w:rFonts w:ascii="Verdana" w:hAnsi="Verdana"/>
          <w:sz w:val="16"/>
          <w:szCs w:val="16"/>
          <w:lang w:val="es-ES"/>
        </w:rPr>
      </w:pPr>
      <w:r w:rsidRPr="00213433">
        <w:rPr>
          <w:rStyle w:val="Refdenotaalpie"/>
          <w:rFonts w:ascii="Verdana" w:hAnsi="Verdana"/>
          <w:sz w:val="16"/>
          <w:szCs w:val="16"/>
        </w:rPr>
        <w:footnoteRef/>
      </w:r>
      <w:r w:rsidRPr="00213433">
        <w:rPr>
          <w:rFonts w:ascii="Verdana" w:hAnsi="Verdana"/>
          <w:sz w:val="16"/>
          <w:szCs w:val="16"/>
        </w:rPr>
        <w:t xml:space="preserve"> </w:t>
      </w:r>
      <w:r w:rsidRPr="00213433">
        <w:rPr>
          <w:rFonts w:ascii="Verdana" w:hAnsi="Verdana"/>
          <w:sz w:val="16"/>
          <w:szCs w:val="16"/>
        </w:rPr>
        <w:tab/>
      </w:r>
      <w:r w:rsidRPr="0097244E">
        <w:rPr>
          <w:rFonts w:ascii="Verdana" w:hAnsi="Verdana"/>
          <w:sz w:val="16"/>
          <w:szCs w:val="16"/>
        </w:rPr>
        <w:t xml:space="preserve">Pruebas testimoniales de: JLM; JAML; GAP; informe médico forense realizado por el médico ESC; informe rendido por el perito EMO; informe rendido por el perito AMO relativo al experticia balística y mecánica; informes rendidos por la perita MRR; informe del peritaje practicado por JSM y SZ álbum de fotografías y video cassette que contiene la filmación efectuada por la actividad pericial y el croquis de la escena del hecho que fue ratificado por los peritos; álbum fotográfico tomado por el experto SFS; informe rendido por el médico JNO; el acta relativa a la experticia mecánica y balística del vehículo Honda Civic en el que se conducía la víctima. </w:t>
      </w:r>
      <w:r w:rsidRPr="0097244E">
        <w:rPr>
          <w:rFonts w:ascii="Verdana" w:hAnsi="Verdana"/>
          <w:i/>
          <w:sz w:val="16"/>
          <w:szCs w:val="16"/>
        </w:rPr>
        <w:t>Cfr</w:t>
      </w:r>
      <w:r w:rsidRPr="0097244E">
        <w:rPr>
          <w:rFonts w:ascii="Verdana" w:hAnsi="Verdana"/>
          <w:sz w:val="16"/>
          <w:szCs w:val="16"/>
        </w:rPr>
        <w:t xml:space="preserve">. Tribunal de Sentencia del Departamento de Quetzaltenango. Sentencia de 21 de octubre de 1999, </w:t>
      </w:r>
      <w:r w:rsidRPr="0097244E">
        <w:rPr>
          <w:rFonts w:ascii="Verdana" w:hAnsi="Verdana"/>
          <w:i/>
          <w:sz w:val="16"/>
          <w:szCs w:val="16"/>
        </w:rPr>
        <w:t>supra</w:t>
      </w:r>
      <w:r w:rsidRPr="0097244E">
        <w:rPr>
          <w:rFonts w:ascii="Verdana" w:hAnsi="Verdana"/>
          <w:sz w:val="16"/>
          <w:szCs w:val="16"/>
        </w:rPr>
        <w:t>.</w:t>
      </w:r>
    </w:p>
  </w:footnote>
  <w:footnote w:id="105">
    <w:p w14:paraId="1E88928B" w14:textId="7D320DF1" w:rsidR="00A52322" w:rsidRPr="00A922FC" w:rsidRDefault="00A52322" w:rsidP="00EC417E">
      <w:pPr>
        <w:pStyle w:val="Textonotapie"/>
        <w:jc w:val="both"/>
        <w:rPr>
          <w:rFonts w:ascii="Verdana" w:hAnsi="Verdana"/>
          <w:b/>
          <w:sz w:val="16"/>
          <w:szCs w:val="16"/>
          <w:lang w:val="es-CR"/>
        </w:rPr>
      </w:pPr>
      <w:r w:rsidRPr="00A922FC">
        <w:rPr>
          <w:rStyle w:val="Refdenotaalpie"/>
          <w:rFonts w:ascii="Verdana" w:eastAsiaTheme="majorEastAsia" w:hAnsi="Verdana"/>
          <w:sz w:val="16"/>
          <w:szCs w:val="16"/>
        </w:rPr>
        <w:footnoteRef/>
      </w:r>
      <w:r w:rsidRPr="00A922FC">
        <w:rPr>
          <w:rFonts w:ascii="Verdana" w:hAnsi="Verdana"/>
          <w:sz w:val="16"/>
          <w:szCs w:val="16"/>
          <w:lang w:val="es-CR"/>
        </w:rPr>
        <w:t xml:space="preserve"> </w:t>
      </w:r>
      <w:r w:rsidRPr="00A922FC">
        <w:rPr>
          <w:rFonts w:ascii="Verdana" w:hAnsi="Verdana"/>
          <w:sz w:val="16"/>
          <w:szCs w:val="16"/>
          <w:lang w:val="es-CR"/>
        </w:rPr>
        <w:tab/>
      </w:r>
      <w:r w:rsidRPr="001E3DB9">
        <w:rPr>
          <w:rFonts w:ascii="Verdana" w:hAnsi="Verdana"/>
          <w:i/>
          <w:sz w:val="16"/>
          <w:szCs w:val="16"/>
          <w:lang w:val="es-CR"/>
        </w:rPr>
        <w:t>Cfr.</w:t>
      </w:r>
      <w:r w:rsidRPr="001E3DB9">
        <w:rPr>
          <w:rFonts w:ascii="Verdana" w:hAnsi="Verdana"/>
          <w:sz w:val="16"/>
          <w:szCs w:val="16"/>
          <w:lang w:val="es-CR"/>
        </w:rPr>
        <w:t xml:space="preserve"> </w:t>
      </w:r>
      <w:r w:rsidRPr="001E3DB9">
        <w:rPr>
          <w:rStyle w:val="Textoennegrita"/>
          <w:rFonts w:ascii="Verdana" w:hAnsi="Verdana"/>
          <w:b w:val="0"/>
          <w:i/>
          <w:color w:val="000000"/>
          <w:sz w:val="16"/>
          <w:szCs w:val="16"/>
          <w:shd w:val="clear" w:color="auto" w:fill="FFFFFF"/>
          <w:lang w:val="es-CR"/>
        </w:rPr>
        <w:t>Caso Herrera Ulloa Vs. Costa Rica. Excepciones Preliminares, Fondo, Reparaciones y Costas.</w:t>
      </w:r>
      <w:r w:rsidRPr="001E3DB9">
        <w:rPr>
          <w:rStyle w:val="Textoennegrita"/>
          <w:rFonts w:ascii="Verdana" w:hAnsi="Verdana"/>
          <w:b w:val="0"/>
          <w:color w:val="000000"/>
          <w:sz w:val="16"/>
          <w:szCs w:val="16"/>
          <w:shd w:val="clear" w:color="auto" w:fill="FFFFFF"/>
          <w:lang w:val="es-CR"/>
        </w:rPr>
        <w:t xml:space="preserve"> Sentencia de 2 de julio de 2004. Serie C No. 107</w:t>
      </w:r>
      <w:r w:rsidRPr="001E3DB9">
        <w:rPr>
          <w:rFonts w:ascii="Verdana" w:hAnsi="Verdana"/>
          <w:i/>
          <w:sz w:val="16"/>
          <w:szCs w:val="16"/>
          <w:lang w:val="es-CR"/>
        </w:rPr>
        <w:t>,</w:t>
      </w:r>
      <w:r w:rsidRPr="001E3DB9">
        <w:rPr>
          <w:rFonts w:ascii="Verdana" w:hAnsi="Verdana"/>
          <w:sz w:val="16"/>
          <w:szCs w:val="16"/>
          <w:lang w:val="es-CR"/>
        </w:rPr>
        <w:t xml:space="preserve"> párr. 158, y</w:t>
      </w:r>
      <w:r w:rsidRPr="001E3DB9">
        <w:rPr>
          <w:rFonts w:ascii="Verdana" w:hAnsi="Verdana"/>
          <w:b/>
          <w:i/>
          <w:sz w:val="16"/>
          <w:szCs w:val="16"/>
          <w:lang w:val="es-CR"/>
        </w:rPr>
        <w:t xml:space="preserve"> </w:t>
      </w:r>
      <w:r w:rsidRPr="001E3DB9">
        <w:rPr>
          <w:rStyle w:val="Textoennegrita"/>
          <w:rFonts w:ascii="Verdana" w:hAnsi="Verdana"/>
          <w:b w:val="0"/>
          <w:i/>
          <w:color w:val="000000"/>
          <w:sz w:val="16"/>
          <w:szCs w:val="16"/>
          <w:shd w:val="clear" w:color="auto" w:fill="FFFFFF"/>
          <w:lang w:val="es-CR"/>
        </w:rPr>
        <w:t xml:space="preserve">Caso </w:t>
      </w:r>
      <w:r w:rsidRPr="001E3DB9">
        <w:rPr>
          <w:rFonts w:ascii="Verdana" w:hAnsi="Verdana"/>
          <w:i/>
          <w:sz w:val="16"/>
          <w:szCs w:val="16"/>
        </w:rPr>
        <w:t>Gorigoitía Vs. Argentina</w:t>
      </w:r>
      <w:r w:rsidRPr="001E3DB9">
        <w:rPr>
          <w:rFonts w:ascii="Verdana" w:hAnsi="Verdana"/>
          <w:sz w:val="16"/>
          <w:szCs w:val="16"/>
        </w:rPr>
        <w:t xml:space="preserve">. </w:t>
      </w:r>
      <w:r w:rsidRPr="001E3DB9">
        <w:rPr>
          <w:rFonts w:ascii="Verdana" w:hAnsi="Verdana"/>
          <w:i/>
          <w:sz w:val="16"/>
          <w:szCs w:val="16"/>
        </w:rPr>
        <w:t>Excepción Preliminar, Fondo, Reparaciones y Costas</w:t>
      </w:r>
      <w:r w:rsidRPr="001E3DB9">
        <w:rPr>
          <w:rFonts w:ascii="Verdana" w:hAnsi="Verdana"/>
          <w:sz w:val="16"/>
          <w:szCs w:val="16"/>
        </w:rPr>
        <w:t xml:space="preserve">. Sentencia de 2 de </w:t>
      </w:r>
      <w:r>
        <w:rPr>
          <w:rFonts w:ascii="Verdana" w:hAnsi="Verdana"/>
          <w:sz w:val="16"/>
          <w:szCs w:val="16"/>
        </w:rPr>
        <w:t>s</w:t>
      </w:r>
      <w:r w:rsidRPr="001E3DB9">
        <w:rPr>
          <w:rFonts w:ascii="Verdana" w:hAnsi="Verdana"/>
          <w:sz w:val="16"/>
          <w:szCs w:val="16"/>
        </w:rPr>
        <w:t>eptiembre de 2019. Serie C No. 382, párr.</w:t>
      </w:r>
      <w:r>
        <w:rPr>
          <w:rFonts w:ascii="Verdana" w:hAnsi="Verdana"/>
          <w:sz w:val="16"/>
          <w:szCs w:val="16"/>
        </w:rPr>
        <w:t xml:space="preserve"> </w:t>
      </w:r>
      <w:r w:rsidRPr="001E3DB9">
        <w:rPr>
          <w:rFonts w:ascii="Verdana" w:hAnsi="Verdana"/>
          <w:sz w:val="16"/>
          <w:szCs w:val="16"/>
        </w:rPr>
        <w:t>47.</w:t>
      </w:r>
      <w:r w:rsidRPr="001E3DB9">
        <w:rPr>
          <w:rFonts w:ascii="Verdana" w:hAnsi="Verdana"/>
          <w:i/>
          <w:sz w:val="16"/>
          <w:szCs w:val="16"/>
        </w:rPr>
        <w:t xml:space="preserve"> </w:t>
      </w:r>
      <w:r w:rsidRPr="001E3DB9" w:rsidDel="00EA36BE">
        <w:rPr>
          <w:rStyle w:val="Textoennegrita"/>
          <w:rFonts w:ascii="Verdana" w:hAnsi="Verdana"/>
          <w:b w:val="0"/>
          <w:i/>
          <w:color w:val="000000"/>
          <w:sz w:val="16"/>
          <w:szCs w:val="16"/>
          <w:shd w:val="clear" w:color="auto" w:fill="FFFFFF"/>
          <w:lang w:val="es-CR"/>
        </w:rPr>
        <w:t xml:space="preserve"> </w:t>
      </w:r>
    </w:p>
  </w:footnote>
  <w:footnote w:id="106">
    <w:p w14:paraId="786A95DD" w14:textId="77777777" w:rsidR="00A52322" w:rsidRPr="00A922FC" w:rsidRDefault="00A52322" w:rsidP="00EC417E">
      <w:pPr>
        <w:pStyle w:val="Textonotapie"/>
        <w:jc w:val="both"/>
        <w:rPr>
          <w:rFonts w:ascii="Verdana" w:hAnsi="Verdana"/>
          <w:sz w:val="16"/>
          <w:szCs w:val="16"/>
          <w:lang w:val="es-CR"/>
        </w:rPr>
      </w:pPr>
      <w:r w:rsidRPr="00A922FC">
        <w:rPr>
          <w:rStyle w:val="Refdenotaalpie"/>
          <w:rFonts w:ascii="Verdana" w:eastAsiaTheme="majorEastAsia" w:hAnsi="Verdana"/>
          <w:sz w:val="16"/>
          <w:szCs w:val="16"/>
        </w:rPr>
        <w:footnoteRef/>
      </w:r>
      <w:r w:rsidRPr="00A922FC">
        <w:rPr>
          <w:rFonts w:ascii="Verdana" w:hAnsi="Verdana"/>
          <w:sz w:val="16"/>
          <w:szCs w:val="16"/>
          <w:lang w:val="es-CR"/>
        </w:rPr>
        <w:t xml:space="preserve"> </w:t>
      </w:r>
      <w:r w:rsidRPr="00A922FC">
        <w:rPr>
          <w:rFonts w:ascii="Verdana" w:hAnsi="Verdana"/>
          <w:sz w:val="16"/>
          <w:szCs w:val="16"/>
          <w:lang w:val="es-CR"/>
        </w:rPr>
        <w:tab/>
      </w:r>
      <w:r w:rsidRPr="001E3DB9">
        <w:rPr>
          <w:rFonts w:ascii="Verdana" w:hAnsi="Verdana"/>
          <w:i/>
          <w:sz w:val="16"/>
          <w:szCs w:val="16"/>
          <w:lang w:val="es-CR"/>
        </w:rPr>
        <w:t>Cfr.</w:t>
      </w:r>
      <w:r w:rsidRPr="001E3DB9">
        <w:rPr>
          <w:rFonts w:ascii="Verdana" w:hAnsi="Verdana"/>
          <w:sz w:val="16"/>
          <w:szCs w:val="16"/>
          <w:lang w:val="es-CR"/>
        </w:rPr>
        <w:t xml:space="preserve"> </w:t>
      </w:r>
      <w:r w:rsidRPr="001E3DB9">
        <w:rPr>
          <w:rFonts w:ascii="Verdana" w:hAnsi="Verdana"/>
          <w:i/>
          <w:sz w:val="16"/>
          <w:szCs w:val="16"/>
          <w:lang w:val="es-CR"/>
        </w:rPr>
        <w:t>Caso Mohamed Vs. Argentina. Excepción Preliminar, Fondo, Reparaciones y Costas</w:t>
      </w:r>
      <w:r w:rsidRPr="001E3DB9">
        <w:rPr>
          <w:rFonts w:ascii="Verdana" w:hAnsi="Verdana"/>
          <w:sz w:val="16"/>
          <w:szCs w:val="16"/>
          <w:lang w:val="es-CR"/>
        </w:rPr>
        <w:t xml:space="preserve">. Sentencia de 23 noviembre de 2012. Serie C No. 255, párrs. 92 y 93, y </w:t>
      </w:r>
      <w:r w:rsidRPr="001E3DB9">
        <w:rPr>
          <w:rStyle w:val="Textoennegrita"/>
          <w:rFonts w:ascii="Verdana" w:hAnsi="Verdana"/>
          <w:b w:val="0"/>
          <w:i/>
          <w:color w:val="000000"/>
          <w:sz w:val="16"/>
          <w:szCs w:val="16"/>
          <w:shd w:val="clear" w:color="auto" w:fill="FFFFFF"/>
          <w:lang w:val="es-CR"/>
        </w:rPr>
        <w:t xml:space="preserve">Caso </w:t>
      </w:r>
      <w:r w:rsidRPr="001E3DB9">
        <w:rPr>
          <w:rFonts w:ascii="Verdana" w:hAnsi="Verdana"/>
          <w:i/>
          <w:sz w:val="16"/>
          <w:szCs w:val="16"/>
        </w:rPr>
        <w:t>Gorigoitía Vs. Argentina</w:t>
      </w:r>
      <w:r>
        <w:rPr>
          <w:rFonts w:ascii="Verdana" w:hAnsi="Verdana"/>
          <w:i/>
          <w:sz w:val="16"/>
          <w:szCs w:val="16"/>
        </w:rPr>
        <w:t>, supra</w:t>
      </w:r>
      <w:r w:rsidRPr="001E3DB9">
        <w:rPr>
          <w:rFonts w:ascii="Verdana" w:hAnsi="Verdana"/>
          <w:sz w:val="16"/>
          <w:szCs w:val="16"/>
        </w:rPr>
        <w:t>, párr.</w:t>
      </w:r>
      <w:r>
        <w:rPr>
          <w:rFonts w:ascii="Verdana" w:hAnsi="Verdana"/>
          <w:sz w:val="16"/>
          <w:szCs w:val="16"/>
        </w:rPr>
        <w:t xml:space="preserve"> </w:t>
      </w:r>
      <w:r w:rsidRPr="001E3DB9">
        <w:rPr>
          <w:rFonts w:ascii="Verdana" w:hAnsi="Verdana"/>
          <w:sz w:val="16"/>
          <w:szCs w:val="16"/>
        </w:rPr>
        <w:t>47.</w:t>
      </w:r>
    </w:p>
  </w:footnote>
  <w:footnote w:id="107">
    <w:p w14:paraId="2C044868" w14:textId="77777777" w:rsidR="00A52322" w:rsidRPr="00A922FC" w:rsidRDefault="00A52322" w:rsidP="00EC417E">
      <w:pPr>
        <w:pStyle w:val="Textonotapie"/>
        <w:jc w:val="both"/>
        <w:rPr>
          <w:rFonts w:ascii="Verdana" w:hAnsi="Verdana"/>
          <w:b/>
          <w:sz w:val="16"/>
          <w:szCs w:val="16"/>
          <w:lang w:val="es-CR"/>
        </w:rPr>
      </w:pPr>
      <w:r w:rsidRPr="00A922FC">
        <w:rPr>
          <w:rStyle w:val="Refdenotaalpie"/>
          <w:rFonts w:ascii="Verdana" w:eastAsiaTheme="majorEastAsia" w:hAnsi="Verdana"/>
          <w:sz w:val="16"/>
          <w:szCs w:val="16"/>
        </w:rPr>
        <w:footnoteRef/>
      </w:r>
      <w:r w:rsidRPr="00A922FC">
        <w:rPr>
          <w:rFonts w:ascii="Verdana" w:hAnsi="Verdana"/>
          <w:sz w:val="16"/>
          <w:szCs w:val="16"/>
          <w:lang w:val="es-CR"/>
        </w:rPr>
        <w:t xml:space="preserve"> </w:t>
      </w:r>
      <w:r w:rsidRPr="00A922FC">
        <w:rPr>
          <w:rFonts w:ascii="Verdana" w:hAnsi="Verdana"/>
          <w:sz w:val="16"/>
          <w:szCs w:val="16"/>
          <w:lang w:val="es-CR"/>
        </w:rPr>
        <w:tab/>
      </w:r>
      <w:r w:rsidRPr="001E3DB9">
        <w:rPr>
          <w:rFonts w:ascii="Verdana" w:hAnsi="Verdana"/>
          <w:i/>
          <w:sz w:val="16"/>
          <w:szCs w:val="16"/>
          <w:lang w:val="es-CR"/>
        </w:rPr>
        <w:t>Cfr.</w:t>
      </w:r>
      <w:r w:rsidRPr="001E3DB9">
        <w:rPr>
          <w:rFonts w:ascii="Verdana" w:hAnsi="Verdana"/>
          <w:sz w:val="16"/>
          <w:szCs w:val="16"/>
          <w:lang w:val="es-CR"/>
        </w:rPr>
        <w:t xml:space="preserve"> </w:t>
      </w:r>
      <w:r w:rsidRPr="001E3DB9">
        <w:rPr>
          <w:rFonts w:ascii="Verdana" w:hAnsi="Verdana"/>
          <w:i/>
          <w:sz w:val="16"/>
          <w:szCs w:val="16"/>
          <w:lang w:val="es-CR"/>
        </w:rPr>
        <w:t xml:space="preserve">Caso Baena Ricardo y otros Vs. Panamá. Fondo, Reparaciones y Costas. </w:t>
      </w:r>
      <w:r w:rsidRPr="001E3DB9">
        <w:rPr>
          <w:rFonts w:ascii="Verdana" w:hAnsi="Verdana"/>
          <w:sz w:val="16"/>
          <w:szCs w:val="16"/>
          <w:lang w:val="es-CR"/>
        </w:rPr>
        <w:t xml:space="preserve">Sentencia de 2 de febrero de 2001. Serie C No. 72, párr. 107, y </w:t>
      </w:r>
      <w:r w:rsidRPr="001E3DB9">
        <w:rPr>
          <w:rStyle w:val="Textoennegrita"/>
          <w:rFonts w:ascii="Verdana" w:hAnsi="Verdana"/>
          <w:b w:val="0"/>
          <w:i/>
          <w:color w:val="000000"/>
          <w:sz w:val="16"/>
          <w:szCs w:val="16"/>
          <w:shd w:val="clear" w:color="auto" w:fill="FFFFFF"/>
          <w:lang w:val="es-CR"/>
        </w:rPr>
        <w:t xml:space="preserve">Caso </w:t>
      </w:r>
      <w:r w:rsidRPr="001E3DB9">
        <w:rPr>
          <w:rFonts w:ascii="Verdana" w:hAnsi="Verdana"/>
          <w:i/>
          <w:sz w:val="16"/>
          <w:szCs w:val="16"/>
        </w:rPr>
        <w:t>Gorigoitía Vs. Argentina</w:t>
      </w:r>
      <w:r>
        <w:rPr>
          <w:rFonts w:ascii="Verdana" w:hAnsi="Verdana"/>
          <w:sz w:val="16"/>
          <w:szCs w:val="16"/>
        </w:rPr>
        <w:t xml:space="preserve">, </w:t>
      </w:r>
      <w:r w:rsidRPr="0097244E">
        <w:rPr>
          <w:rFonts w:ascii="Verdana" w:hAnsi="Verdana"/>
          <w:i/>
          <w:sz w:val="16"/>
          <w:szCs w:val="16"/>
        </w:rPr>
        <w:t>supra</w:t>
      </w:r>
      <w:r w:rsidRPr="001E3DB9">
        <w:rPr>
          <w:rFonts w:ascii="Verdana" w:hAnsi="Verdana"/>
          <w:sz w:val="16"/>
          <w:szCs w:val="16"/>
        </w:rPr>
        <w:t>, párr.</w:t>
      </w:r>
      <w:r>
        <w:rPr>
          <w:rFonts w:ascii="Verdana" w:hAnsi="Verdana"/>
          <w:sz w:val="16"/>
          <w:szCs w:val="16"/>
        </w:rPr>
        <w:t xml:space="preserve"> </w:t>
      </w:r>
      <w:r w:rsidRPr="001E3DB9">
        <w:rPr>
          <w:rFonts w:ascii="Verdana" w:hAnsi="Verdana"/>
          <w:sz w:val="16"/>
          <w:szCs w:val="16"/>
        </w:rPr>
        <w:t>47</w:t>
      </w:r>
    </w:p>
  </w:footnote>
  <w:footnote w:id="108">
    <w:p w14:paraId="1A0DA7C0" w14:textId="77777777" w:rsidR="00A52322" w:rsidRPr="00AB0B7D" w:rsidRDefault="00A52322" w:rsidP="00EC417E">
      <w:pPr>
        <w:pStyle w:val="Textonotapie"/>
        <w:jc w:val="both"/>
        <w:rPr>
          <w:rFonts w:ascii="Verdana" w:hAnsi="Verdana"/>
          <w:sz w:val="16"/>
          <w:szCs w:val="16"/>
          <w:lang w:val="es-ES"/>
        </w:rPr>
      </w:pPr>
      <w:r w:rsidRPr="006800B8">
        <w:rPr>
          <w:rStyle w:val="Refdenotaalpie"/>
          <w:rFonts w:ascii="Verdana" w:eastAsiaTheme="majorEastAsia" w:hAnsi="Verdana"/>
          <w:spacing w:val="-4"/>
          <w:sz w:val="16"/>
          <w:szCs w:val="16"/>
        </w:rPr>
        <w:footnoteRef/>
      </w:r>
      <w:r w:rsidRPr="006800B8">
        <w:rPr>
          <w:rFonts w:ascii="Verdana" w:hAnsi="Verdana"/>
          <w:sz w:val="16"/>
          <w:szCs w:val="16"/>
          <w:lang w:val="es-CR"/>
        </w:rPr>
        <w:t xml:space="preserve"> </w:t>
      </w:r>
      <w:r w:rsidRPr="006800B8">
        <w:rPr>
          <w:rFonts w:ascii="Verdana" w:hAnsi="Verdana"/>
          <w:sz w:val="16"/>
          <w:szCs w:val="16"/>
          <w:lang w:val="es-CR"/>
        </w:rPr>
        <w:tab/>
      </w:r>
      <w:r w:rsidRPr="006800B8">
        <w:rPr>
          <w:rFonts w:ascii="Verdana" w:hAnsi="Verdana"/>
          <w:i/>
          <w:sz w:val="16"/>
          <w:szCs w:val="16"/>
          <w:lang w:val="es-CR"/>
        </w:rPr>
        <w:t>Cfr.</w:t>
      </w:r>
      <w:r w:rsidRPr="006800B8">
        <w:rPr>
          <w:rFonts w:ascii="Verdana" w:hAnsi="Verdana"/>
          <w:sz w:val="16"/>
          <w:szCs w:val="16"/>
          <w:lang w:val="es-CR"/>
        </w:rPr>
        <w:t xml:space="preserve"> </w:t>
      </w:r>
      <w:r w:rsidRPr="006800B8">
        <w:rPr>
          <w:rStyle w:val="Textoennegrita"/>
          <w:rFonts w:ascii="Verdana" w:hAnsi="Verdana"/>
          <w:b w:val="0"/>
          <w:i/>
          <w:color w:val="000000"/>
          <w:sz w:val="16"/>
          <w:szCs w:val="16"/>
          <w:shd w:val="clear" w:color="auto" w:fill="FFFFFF"/>
          <w:lang w:val="es-CR"/>
        </w:rPr>
        <w:t>Caso Herrera Ulloa Vs. Costa Rica</w:t>
      </w:r>
      <w:r>
        <w:rPr>
          <w:rStyle w:val="Textoennegrita"/>
          <w:rFonts w:ascii="Verdana" w:hAnsi="Verdana"/>
          <w:b w:val="0"/>
          <w:i/>
          <w:color w:val="000000"/>
          <w:sz w:val="16"/>
          <w:szCs w:val="16"/>
          <w:shd w:val="clear" w:color="auto" w:fill="FFFFFF"/>
          <w:lang w:val="es-CR"/>
        </w:rPr>
        <w:t>, supra</w:t>
      </w:r>
      <w:r w:rsidRPr="006800B8">
        <w:rPr>
          <w:rFonts w:ascii="Verdana" w:hAnsi="Verdana"/>
          <w:i/>
          <w:sz w:val="16"/>
          <w:szCs w:val="16"/>
          <w:lang w:val="es-CR"/>
        </w:rPr>
        <w:t>,</w:t>
      </w:r>
      <w:r w:rsidRPr="006800B8">
        <w:rPr>
          <w:rFonts w:ascii="Verdana" w:hAnsi="Verdana"/>
          <w:sz w:val="16"/>
          <w:szCs w:val="16"/>
          <w:lang w:val="es-CR"/>
        </w:rPr>
        <w:t xml:space="preserve"> párrs.</w:t>
      </w:r>
      <w:r w:rsidRPr="006800B8">
        <w:rPr>
          <w:rFonts w:ascii="Verdana" w:eastAsia="Times New Roman" w:hAnsi="Verdana"/>
          <w:sz w:val="16"/>
          <w:szCs w:val="16"/>
          <w:lang w:val="es-CR"/>
        </w:rPr>
        <w:t xml:space="preserve"> </w:t>
      </w:r>
      <w:r w:rsidRPr="006800B8">
        <w:rPr>
          <w:rFonts w:ascii="Verdana" w:hAnsi="Verdana"/>
          <w:sz w:val="16"/>
          <w:szCs w:val="16"/>
          <w:lang w:val="es-CR"/>
        </w:rPr>
        <w:t xml:space="preserve">161, 164 y 165, y </w:t>
      </w:r>
      <w:r w:rsidRPr="006800B8">
        <w:rPr>
          <w:rStyle w:val="Textoennegrita"/>
          <w:rFonts w:ascii="Verdana" w:hAnsi="Verdana"/>
          <w:b w:val="0"/>
          <w:i/>
          <w:color w:val="000000"/>
          <w:sz w:val="16"/>
          <w:szCs w:val="16"/>
          <w:shd w:val="clear" w:color="auto" w:fill="FFFFFF"/>
          <w:lang w:val="es-CR"/>
        </w:rPr>
        <w:t xml:space="preserve">Caso </w:t>
      </w:r>
      <w:r w:rsidRPr="006800B8">
        <w:rPr>
          <w:rFonts w:ascii="Verdana" w:hAnsi="Verdana"/>
          <w:i/>
          <w:sz w:val="16"/>
          <w:szCs w:val="16"/>
        </w:rPr>
        <w:t>Gorigoitía Vs. Argentina</w:t>
      </w:r>
      <w:r>
        <w:rPr>
          <w:rFonts w:ascii="Verdana" w:hAnsi="Verdana"/>
          <w:i/>
          <w:sz w:val="16"/>
          <w:szCs w:val="16"/>
        </w:rPr>
        <w:t>, supra</w:t>
      </w:r>
      <w:r w:rsidRPr="006800B8">
        <w:rPr>
          <w:rFonts w:ascii="Verdana" w:hAnsi="Verdana"/>
          <w:sz w:val="16"/>
          <w:szCs w:val="16"/>
        </w:rPr>
        <w:t>, párr.</w:t>
      </w:r>
      <w:r>
        <w:rPr>
          <w:rFonts w:ascii="Verdana" w:hAnsi="Verdana"/>
          <w:sz w:val="16"/>
          <w:szCs w:val="16"/>
        </w:rPr>
        <w:t xml:space="preserve"> </w:t>
      </w:r>
      <w:r w:rsidRPr="006800B8">
        <w:rPr>
          <w:rFonts w:ascii="Verdana" w:hAnsi="Verdana"/>
          <w:sz w:val="16"/>
          <w:szCs w:val="16"/>
        </w:rPr>
        <w:t>48.</w:t>
      </w:r>
      <w:r w:rsidRPr="006800B8">
        <w:rPr>
          <w:rFonts w:ascii="Verdana" w:hAnsi="Verdana"/>
          <w:i/>
          <w:sz w:val="16"/>
          <w:szCs w:val="16"/>
        </w:rPr>
        <w:t xml:space="preserve"> </w:t>
      </w:r>
      <w:r w:rsidRPr="006800B8" w:rsidDel="00EA36BE">
        <w:rPr>
          <w:rStyle w:val="Textoennegrita"/>
          <w:rFonts w:ascii="Verdana" w:hAnsi="Verdana"/>
          <w:b w:val="0"/>
          <w:i/>
          <w:color w:val="000000"/>
          <w:sz w:val="16"/>
          <w:szCs w:val="16"/>
          <w:shd w:val="clear" w:color="auto" w:fill="FFFFFF"/>
          <w:lang w:val="es-CR"/>
        </w:rPr>
        <w:t xml:space="preserve"> </w:t>
      </w:r>
    </w:p>
  </w:footnote>
  <w:footnote w:id="109">
    <w:p w14:paraId="18E93CF4" w14:textId="2B14CAAF" w:rsidR="00A52322" w:rsidRPr="006800B8" w:rsidRDefault="00A52322" w:rsidP="00EC417E">
      <w:pPr>
        <w:pStyle w:val="Textonotapie"/>
        <w:jc w:val="both"/>
        <w:rPr>
          <w:rFonts w:ascii="Verdana" w:hAnsi="Verdana"/>
          <w:sz w:val="16"/>
          <w:szCs w:val="16"/>
        </w:rPr>
      </w:pPr>
      <w:r w:rsidRPr="006800B8">
        <w:rPr>
          <w:rStyle w:val="Refdenotaalpie"/>
          <w:rFonts w:ascii="Verdana" w:hAnsi="Verdana"/>
          <w:sz w:val="16"/>
          <w:szCs w:val="16"/>
        </w:rPr>
        <w:footnoteRef/>
      </w:r>
      <w:r w:rsidRPr="006800B8">
        <w:rPr>
          <w:rFonts w:ascii="Verdana" w:hAnsi="Verdana"/>
          <w:sz w:val="16"/>
          <w:szCs w:val="16"/>
        </w:rPr>
        <w:t xml:space="preserve"> </w:t>
      </w:r>
      <w:r w:rsidRPr="006800B8">
        <w:rPr>
          <w:rFonts w:ascii="Verdana" w:hAnsi="Verdana"/>
          <w:sz w:val="16"/>
          <w:szCs w:val="16"/>
        </w:rPr>
        <w:tab/>
      </w:r>
      <w:r w:rsidRPr="006800B8">
        <w:rPr>
          <w:rFonts w:ascii="Verdana" w:hAnsi="Verdana"/>
          <w:sz w:val="16"/>
          <w:szCs w:val="16"/>
          <w:lang w:val="es-CR"/>
        </w:rPr>
        <w:t xml:space="preserve">El señor Valenzuela fundamentó su apelación alegando (i) Sub-motivo: inobservancia y errónea aplicación de ley. Violación del principio de inmediación; (ii) Sub-motivo: inobservancia y errónea aplicación de la Ley: Falta de fundamentación, debido a que la motivación no es completa porque el Tribunal omitió valorar en forma íntegra y completa la prueba legalmente introducida al debate; (iii) Sub-motivo: inobservancia y errónea aplicación de la ley. Ilegalidad de la obtención de los medios de prueba, debido a que el Tribunal de inobservó las normas estimadas violadas y a la vez las aplicó erróneamente, al tomar en cuenta para fundar su decisión los medios de pruebas obtenidos en forma ilegal y por consiguiente inadmisibles para su valoración; (iv) Sub-motivo: inobservancia y errónea aplicación de la ley. Vicios de la Sentencia; por lo que el Tribunal de Sentencia al momento de sentenciar, omitió consignar las decisiones expresas y precisas, con relación al nombre del procesado […]; (v) Sub-motivo: inobservancia y errónea aplicación de la Ley. Violación de las reglas de la sana crítica razonada en la valoración de las pruebas. </w:t>
      </w:r>
      <w:r w:rsidRPr="006800B8">
        <w:rPr>
          <w:rFonts w:ascii="Verdana" w:hAnsi="Verdana"/>
          <w:i/>
          <w:sz w:val="16"/>
          <w:szCs w:val="16"/>
          <w:lang w:val="es-CR"/>
        </w:rPr>
        <w:t>Cfr</w:t>
      </w:r>
      <w:r w:rsidRPr="006800B8">
        <w:rPr>
          <w:rFonts w:ascii="Verdana" w:hAnsi="Verdana"/>
          <w:sz w:val="16"/>
          <w:szCs w:val="16"/>
          <w:lang w:val="es-CR"/>
        </w:rPr>
        <w:t>. Recurso de Apelación Especial</w:t>
      </w:r>
      <w:r>
        <w:rPr>
          <w:rFonts w:ascii="Verdana" w:hAnsi="Verdana"/>
          <w:sz w:val="16"/>
          <w:szCs w:val="16"/>
          <w:lang w:val="es-CR"/>
        </w:rPr>
        <w:t xml:space="preserve">, </w:t>
      </w:r>
      <w:r w:rsidRPr="0060326C">
        <w:rPr>
          <w:rFonts w:ascii="Verdana" w:hAnsi="Verdana"/>
          <w:i/>
          <w:sz w:val="16"/>
          <w:szCs w:val="16"/>
          <w:lang w:val="es-CR"/>
        </w:rPr>
        <w:t>supra</w:t>
      </w:r>
      <w:r w:rsidRPr="006800B8">
        <w:rPr>
          <w:rFonts w:ascii="Verdana" w:hAnsi="Verdana"/>
          <w:sz w:val="16"/>
          <w:szCs w:val="16"/>
          <w:lang w:val="es-CR"/>
        </w:rPr>
        <w:t>.</w:t>
      </w:r>
    </w:p>
  </w:footnote>
  <w:footnote w:id="110">
    <w:p w14:paraId="54AB5055" w14:textId="7F583F12" w:rsidR="00A52322" w:rsidRPr="006800B8" w:rsidRDefault="00A52322" w:rsidP="00EC417E">
      <w:pPr>
        <w:pStyle w:val="Textonotapie"/>
        <w:jc w:val="both"/>
        <w:rPr>
          <w:rFonts w:ascii="Verdana" w:hAnsi="Verdana"/>
          <w:sz w:val="16"/>
          <w:szCs w:val="16"/>
        </w:rPr>
      </w:pPr>
      <w:r w:rsidRPr="006800B8">
        <w:rPr>
          <w:rStyle w:val="Refdenotaalpie"/>
          <w:rFonts w:ascii="Verdana" w:hAnsi="Verdana"/>
          <w:sz w:val="16"/>
          <w:szCs w:val="16"/>
        </w:rPr>
        <w:footnoteRef/>
      </w:r>
      <w:r w:rsidRPr="006800B8">
        <w:rPr>
          <w:rFonts w:ascii="Verdana" w:hAnsi="Verdana"/>
          <w:sz w:val="16"/>
          <w:szCs w:val="16"/>
        </w:rPr>
        <w:t xml:space="preserve"> </w:t>
      </w:r>
      <w:r w:rsidRPr="006800B8">
        <w:rPr>
          <w:rFonts w:ascii="Verdana" w:hAnsi="Verdana"/>
          <w:sz w:val="16"/>
          <w:szCs w:val="16"/>
        </w:rPr>
        <w:tab/>
      </w:r>
      <w:r w:rsidRPr="006800B8">
        <w:rPr>
          <w:rFonts w:ascii="Verdana" w:hAnsi="Verdana"/>
          <w:i/>
          <w:sz w:val="16"/>
          <w:szCs w:val="16"/>
        </w:rPr>
        <w:t>Cfr. Caso Juan Humberto Sánchez Vs. Honduras. Excepción Preliminar, Fondo, Reparaciones y Costas.</w:t>
      </w:r>
      <w:r w:rsidRPr="006800B8">
        <w:rPr>
          <w:rFonts w:ascii="Verdana" w:hAnsi="Verdana"/>
          <w:sz w:val="16"/>
          <w:szCs w:val="16"/>
        </w:rPr>
        <w:t xml:space="preserve"> Sentencia de 7 de junio de 2003. Serie C No. 99, párr. 127,</w:t>
      </w:r>
      <w:r w:rsidRPr="006800B8">
        <w:rPr>
          <w:rFonts w:ascii="Verdana" w:hAnsi="Verdana"/>
          <w:i/>
          <w:sz w:val="16"/>
          <w:szCs w:val="16"/>
        </w:rPr>
        <w:t xml:space="preserve"> </w:t>
      </w:r>
      <w:r w:rsidRPr="006800B8">
        <w:rPr>
          <w:rFonts w:ascii="Verdana" w:hAnsi="Verdana"/>
          <w:sz w:val="16"/>
          <w:szCs w:val="16"/>
        </w:rPr>
        <w:t>y</w:t>
      </w:r>
      <w:r>
        <w:rPr>
          <w:rFonts w:ascii="Verdana" w:hAnsi="Verdana"/>
          <w:i/>
          <w:sz w:val="16"/>
          <w:szCs w:val="16"/>
        </w:rPr>
        <w:t xml:space="preserve"> Caso Arrom Suhurt y o</w:t>
      </w:r>
      <w:r w:rsidRPr="006800B8">
        <w:rPr>
          <w:rFonts w:ascii="Verdana" w:hAnsi="Verdana"/>
          <w:i/>
          <w:sz w:val="16"/>
          <w:szCs w:val="16"/>
        </w:rPr>
        <w:t>tros Vs. Paraguay</w:t>
      </w:r>
      <w:r>
        <w:rPr>
          <w:rFonts w:ascii="Verdana" w:hAnsi="Verdana"/>
          <w:i/>
          <w:sz w:val="16"/>
          <w:szCs w:val="16"/>
        </w:rPr>
        <w:t xml:space="preserve">, supra, </w:t>
      </w:r>
      <w:r w:rsidRPr="006800B8">
        <w:rPr>
          <w:rFonts w:ascii="Verdana" w:hAnsi="Verdana"/>
          <w:sz w:val="16"/>
          <w:szCs w:val="16"/>
        </w:rPr>
        <w:t>párr. 142.</w:t>
      </w:r>
    </w:p>
  </w:footnote>
  <w:footnote w:id="111">
    <w:p w14:paraId="63D3D7D1" w14:textId="5B7B9902" w:rsidR="00A52322" w:rsidRPr="006800B8" w:rsidRDefault="00A52322" w:rsidP="00EC417E">
      <w:pPr>
        <w:pStyle w:val="Textonotapie"/>
        <w:jc w:val="both"/>
        <w:rPr>
          <w:rFonts w:ascii="Verdana" w:hAnsi="Verdana"/>
          <w:sz w:val="16"/>
          <w:szCs w:val="16"/>
        </w:rPr>
      </w:pPr>
      <w:r w:rsidRPr="006800B8">
        <w:rPr>
          <w:rStyle w:val="Refdenotaalpie"/>
          <w:rFonts w:ascii="Verdana" w:hAnsi="Verdana"/>
          <w:sz w:val="16"/>
          <w:szCs w:val="16"/>
        </w:rPr>
        <w:footnoteRef/>
      </w:r>
      <w:r w:rsidRPr="006800B8">
        <w:rPr>
          <w:rFonts w:ascii="Verdana" w:hAnsi="Verdana"/>
          <w:sz w:val="16"/>
          <w:szCs w:val="16"/>
        </w:rPr>
        <w:t xml:space="preserve"> </w:t>
      </w:r>
      <w:r w:rsidRPr="006800B8">
        <w:rPr>
          <w:rFonts w:ascii="Verdana" w:hAnsi="Verdana"/>
          <w:sz w:val="16"/>
          <w:szCs w:val="16"/>
        </w:rPr>
        <w:tab/>
      </w:r>
      <w:r w:rsidRPr="006800B8">
        <w:rPr>
          <w:rFonts w:ascii="Verdana" w:hAnsi="Verdana"/>
          <w:i/>
          <w:sz w:val="16"/>
          <w:szCs w:val="16"/>
        </w:rPr>
        <w:t xml:space="preserve">Cfr. Caso Bulacio Vs. Argentina. Fondo, Reparaciones y Costas. </w:t>
      </w:r>
      <w:r w:rsidRPr="006800B8">
        <w:rPr>
          <w:rFonts w:ascii="Verdana" w:hAnsi="Verdana"/>
          <w:sz w:val="16"/>
          <w:szCs w:val="16"/>
        </w:rPr>
        <w:t xml:space="preserve">Sentencia de 18 de </w:t>
      </w:r>
      <w:r>
        <w:rPr>
          <w:rFonts w:ascii="Verdana" w:hAnsi="Verdana"/>
          <w:sz w:val="16"/>
          <w:szCs w:val="16"/>
        </w:rPr>
        <w:t>s</w:t>
      </w:r>
      <w:r w:rsidRPr="006800B8">
        <w:rPr>
          <w:rFonts w:ascii="Verdana" w:hAnsi="Verdana"/>
          <w:sz w:val="16"/>
          <w:szCs w:val="16"/>
        </w:rPr>
        <w:t>eptiembre de 2003. Serie C No. 100, párr. 115,</w:t>
      </w:r>
      <w:r>
        <w:rPr>
          <w:rFonts w:ascii="Verdana" w:hAnsi="Verdana"/>
          <w:i/>
          <w:sz w:val="16"/>
          <w:szCs w:val="16"/>
        </w:rPr>
        <w:t xml:space="preserve"> y Caso Pacheco León y o</w:t>
      </w:r>
      <w:r w:rsidRPr="006800B8">
        <w:rPr>
          <w:rFonts w:ascii="Verdana" w:hAnsi="Verdana"/>
          <w:i/>
          <w:sz w:val="16"/>
          <w:szCs w:val="16"/>
        </w:rPr>
        <w:t>tros Vs. Honduras. Fondo, Reparaciones y Costas.</w:t>
      </w:r>
      <w:r w:rsidRPr="006800B8">
        <w:rPr>
          <w:rFonts w:ascii="Verdana" w:hAnsi="Verdana"/>
          <w:sz w:val="16"/>
          <w:szCs w:val="16"/>
        </w:rPr>
        <w:t xml:space="preserve"> Sentencia de 15 d</w:t>
      </w:r>
      <w:r>
        <w:rPr>
          <w:rFonts w:ascii="Verdana" w:hAnsi="Verdana"/>
          <w:sz w:val="16"/>
          <w:szCs w:val="16"/>
        </w:rPr>
        <w:t>e noviembre de 2017. Serie C No. 342,  párr. 74.</w:t>
      </w:r>
    </w:p>
  </w:footnote>
  <w:footnote w:id="112">
    <w:p w14:paraId="510B55D3" w14:textId="4C8A71E1" w:rsidR="00A52322" w:rsidRPr="00A922FC" w:rsidRDefault="00A52322" w:rsidP="00EC417E">
      <w:pPr>
        <w:pStyle w:val="Textonotapie"/>
        <w:jc w:val="both"/>
        <w:rPr>
          <w:rFonts w:ascii="Verdana" w:hAnsi="Verdana"/>
          <w:sz w:val="16"/>
          <w:szCs w:val="16"/>
        </w:rPr>
      </w:pPr>
      <w:r w:rsidRPr="006800B8">
        <w:rPr>
          <w:rStyle w:val="Refdenotaalpie"/>
          <w:rFonts w:ascii="Verdana" w:hAnsi="Verdana"/>
          <w:sz w:val="16"/>
          <w:szCs w:val="16"/>
        </w:rPr>
        <w:footnoteRef/>
      </w:r>
      <w:r w:rsidRPr="006800B8">
        <w:rPr>
          <w:rFonts w:ascii="Verdana" w:hAnsi="Verdana"/>
          <w:sz w:val="16"/>
          <w:szCs w:val="16"/>
        </w:rPr>
        <w:t xml:space="preserve"> </w:t>
      </w:r>
      <w:r w:rsidRPr="006800B8">
        <w:rPr>
          <w:rFonts w:ascii="Verdana" w:hAnsi="Verdana"/>
          <w:sz w:val="16"/>
          <w:szCs w:val="16"/>
        </w:rPr>
        <w:tab/>
      </w:r>
      <w:r w:rsidRPr="006800B8">
        <w:rPr>
          <w:rFonts w:ascii="Verdana" w:hAnsi="Verdana"/>
          <w:i/>
          <w:sz w:val="16"/>
          <w:szCs w:val="16"/>
        </w:rPr>
        <w:t>Cfr. Caso Juan Humberto Sánchez Vs. Honduras</w:t>
      </w:r>
      <w:r>
        <w:rPr>
          <w:rFonts w:ascii="Verdana" w:hAnsi="Verdana"/>
          <w:sz w:val="16"/>
          <w:szCs w:val="16"/>
        </w:rPr>
        <w:t>,</w:t>
      </w:r>
      <w:r w:rsidRPr="004432E0">
        <w:rPr>
          <w:rFonts w:ascii="Verdana" w:hAnsi="Verdana"/>
          <w:i/>
          <w:sz w:val="16"/>
          <w:szCs w:val="16"/>
        </w:rPr>
        <w:t xml:space="preserve"> supra</w:t>
      </w:r>
      <w:r w:rsidRPr="006800B8">
        <w:rPr>
          <w:rFonts w:ascii="Verdana" w:hAnsi="Verdana"/>
          <w:sz w:val="16"/>
          <w:szCs w:val="16"/>
        </w:rPr>
        <w:t>, párr. 127</w:t>
      </w:r>
      <w:r w:rsidRPr="006800B8">
        <w:rPr>
          <w:rFonts w:ascii="Verdana" w:hAnsi="Verdana"/>
          <w:i/>
          <w:sz w:val="16"/>
          <w:szCs w:val="16"/>
        </w:rPr>
        <w:t xml:space="preserve">, </w:t>
      </w:r>
      <w:r w:rsidRPr="006800B8">
        <w:rPr>
          <w:rFonts w:ascii="Verdana" w:hAnsi="Verdana"/>
          <w:sz w:val="16"/>
          <w:szCs w:val="16"/>
        </w:rPr>
        <w:t>y</w:t>
      </w:r>
      <w:r>
        <w:rPr>
          <w:rFonts w:ascii="Verdana" w:hAnsi="Verdana"/>
          <w:i/>
          <w:sz w:val="16"/>
          <w:szCs w:val="16"/>
        </w:rPr>
        <w:t xml:space="preserve"> </w:t>
      </w:r>
      <w:r w:rsidRPr="00872DE0">
        <w:rPr>
          <w:rFonts w:ascii="Verdana" w:hAnsi="Verdana"/>
          <w:i/>
          <w:sz w:val="16"/>
          <w:szCs w:val="16"/>
        </w:rPr>
        <w:t xml:space="preserve">Caso Villamizar Durán y otros Vs. Colombia. Excepción Preliminar, Fondo, Reparaciones y Costas. </w:t>
      </w:r>
      <w:r w:rsidRPr="00796BBA">
        <w:rPr>
          <w:rFonts w:ascii="Verdana" w:hAnsi="Verdana"/>
          <w:sz w:val="16"/>
          <w:szCs w:val="16"/>
        </w:rPr>
        <w:t>Sentencia de 20 de noviembre de 2018. Serie C No. 364</w:t>
      </w:r>
      <w:r>
        <w:rPr>
          <w:rFonts w:ascii="Verdana" w:hAnsi="Verdana"/>
          <w:sz w:val="16"/>
          <w:szCs w:val="16"/>
        </w:rPr>
        <w:t xml:space="preserve">, </w:t>
      </w:r>
      <w:r w:rsidRPr="006800B8">
        <w:rPr>
          <w:rFonts w:ascii="Verdana" w:hAnsi="Verdana"/>
          <w:sz w:val="16"/>
          <w:szCs w:val="16"/>
        </w:rPr>
        <w:t xml:space="preserve">párr. </w:t>
      </w:r>
      <w:r>
        <w:rPr>
          <w:rFonts w:ascii="Verdana" w:hAnsi="Verdana"/>
          <w:sz w:val="16"/>
          <w:szCs w:val="16"/>
        </w:rPr>
        <w:t>1</w:t>
      </w:r>
      <w:r w:rsidRPr="006800B8">
        <w:rPr>
          <w:rFonts w:ascii="Verdana" w:hAnsi="Verdana"/>
          <w:sz w:val="16"/>
          <w:szCs w:val="16"/>
        </w:rPr>
        <w:t>7</w:t>
      </w:r>
      <w:r>
        <w:rPr>
          <w:rFonts w:ascii="Verdana" w:hAnsi="Verdana"/>
          <w:sz w:val="16"/>
          <w:szCs w:val="16"/>
        </w:rPr>
        <w:t>5</w:t>
      </w:r>
      <w:r w:rsidRPr="006800B8">
        <w:rPr>
          <w:rFonts w:ascii="Verdana" w:hAnsi="Verdana"/>
          <w:sz w:val="16"/>
          <w:szCs w:val="16"/>
        </w:rPr>
        <w:t>.</w:t>
      </w:r>
    </w:p>
  </w:footnote>
  <w:footnote w:id="113">
    <w:p w14:paraId="3AE864E2" w14:textId="2FB8ECBF" w:rsidR="00A52322" w:rsidRPr="00A922FC" w:rsidRDefault="00A52322" w:rsidP="00EC417E">
      <w:pPr>
        <w:pStyle w:val="Textonotapie"/>
        <w:jc w:val="both"/>
        <w:rPr>
          <w:rFonts w:ascii="Verdana" w:hAnsi="Verdana"/>
          <w:sz w:val="16"/>
          <w:szCs w:val="16"/>
        </w:rPr>
      </w:pPr>
      <w:r w:rsidRPr="00A922FC">
        <w:rPr>
          <w:rStyle w:val="Refdenotaalpie"/>
          <w:rFonts w:ascii="Verdana" w:hAnsi="Verdana"/>
          <w:sz w:val="16"/>
          <w:szCs w:val="16"/>
        </w:rPr>
        <w:footnoteRef/>
      </w:r>
      <w:r w:rsidRPr="00A922FC">
        <w:rPr>
          <w:rFonts w:ascii="Verdana" w:hAnsi="Verdana"/>
          <w:sz w:val="16"/>
          <w:szCs w:val="16"/>
        </w:rPr>
        <w:t xml:space="preserve"> </w:t>
      </w:r>
      <w:r w:rsidRPr="00A922FC">
        <w:rPr>
          <w:rFonts w:ascii="Verdana" w:hAnsi="Verdana"/>
          <w:sz w:val="16"/>
          <w:szCs w:val="16"/>
        </w:rPr>
        <w:tab/>
      </w:r>
      <w:r>
        <w:rPr>
          <w:rFonts w:ascii="Verdana" w:hAnsi="Verdana"/>
          <w:sz w:val="16"/>
          <w:szCs w:val="16"/>
          <w:lang w:val="es-CR"/>
        </w:rPr>
        <w:t xml:space="preserve">En el </w:t>
      </w:r>
      <w:r w:rsidRPr="00A922FC">
        <w:rPr>
          <w:rFonts w:ascii="Verdana" w:hAnsi="Verdana"/>
          <w:sz w:val="16"/>
          <w:szCs w:val="16"/>
          <w:lang w:val="es-CR"/>
        </w:rPr>
        <w:t>acta policial del 8</w:t>
      </w:r>
      <w:r>
        <w:rPr>
          <w:rFonts w:ascii="Verdana" w:hAnsi="Verdana"/>
          <w:sz w:val="16"/>
          <w:szCs w:val="16"/>
          <w:lang w:val="es-CR"/>
        </w:rPr>
        <w:t xml:space="preserve"> de diciembre de 2006</w:t>
      </w:r>
      <w:r w:rsidRPr="00A922FC">
        <w:rPr>
          <w:rFonts w:ascii="Verdana" w:hAnsi="Verdana"/>
          <w:sz w:val="16"/>
          <w:szCs w:val="16"/>
          <w:lang w:val="es-CR"/>
        </w:rPr>
        <w:t xml:space="preserve"> se observa que fue encontrado el cadáver sin identificar, en la Ciudad de Gomera de Escuintla a las 18:30 horas</w:t>
      </w:r>
      <w:r>
        <w:rPr>
          <w:rFonts w:ascii="Verdana" w:hAnsi="Verdana"/>
          <w:sz w:val="16"/>
          <w:szCs w:val="16"/>
          <w:lang w:val="es-CR"/>
        </w:rPr>
        <w:t>.</w:t>
      </w:r>
      <w:r w:rsidRPr="00A922FC">
        <w:rPr>
          <w:rFonts w:ascii="Verdana" w:hAnsi="Verdana"/>
          <w:sz w:val="16"/>
          <w:szCs w:val="16"/>
          <w:lang w:val="es-CR"/>
        </w:rPr>
        <w:t xml:space="preserve"> Posteriormente se establece que no hay evidencia alguna, y se ordena realizar los traslados a la morgue de Santa Lucia Cotzumalguapa y la Necropsia legal </w:t>
      </w:r>
      <w:r w:rsidRPr="001E3DB9">
        <w:rPr>
          <w:rFonts w:ascii="Verdana" w:hAnsi="Verdana"/>
          <w:sz w:val="16"/>
          <w:szCs w:val="16"/>
          <w:lang w:val="es-CR"/>
        </w:rPr>
        <w:t>(</w:t>
      </w:r>
      <w:r>
        <w:rPr>
          <w:rFonts w:ascii="Verdana" w:hAnsi="Verdana"/>
          <w:sz w:val="16"/>
          <w:szCs w:val="16"/>
          <w:lang w:val="es-CR"/>
        </w:rPr>
        <w:t xml:space="preserve">expediente de </w:t>
      </w:r>
      <w:r w:rsidRPr="001E3DB9">
        <w:rPr>
          <w:rFonts w:ascii="Verdana" w:hAnsi="Verdana"/>
          <w:sz w:val="16"/>
          <w:szCs w:val="16"/>
          <w:lang w:val="es-CR"/>
        </w:rPr>
        <w:t xml:space="preserve">anexos </w:t>
      </w:r>
      <w:r>
        <w:rPr>
          <w:rFonts w:ascii="Verdana" w:hAnsi="Verdana"/>
          <w:sz w:val="16"/>
          <w:szCs w:val="16"/>
          <w:lang w:val="es-CR"/>
        </w:rPr>
        <w:t xml:space="preserve">al </w:t>
      </w:r>
      <w:r w:rsidRPr="001E3DB9">
        <w:rPr>
          <w:rFonts w:ascii="Verdana" w:hAnsi="Verdana"/>
          <w:sz w:val="16"/>
          <w:szCs w:val="16"/>
          <w:lang w:val="es-CR"/>
        </w:rPr>
        <w:t xml:space="preserve">ESAP, fs. 12192 </w:t>
      </w:r>
      <w:r>
        <w:rPr>
          <w:rFonts w:ascii="Verdana" w:hAnsi="Verdana"/>
          <w:sz w:val="16"/>
          <w:szCs w:val="16"/>
          <w:lang w:val="es-CR"/>
        </w:rPr>
        <w:t>a</w:t>
      </w:r>
      <w:r w:rsidRPr="001E3DB9">
        <w:rPr>
          <w:rFonts w:ascii="Verdana" w:hAnsi="Verdana"/>
          <w:sz w:val="16"/>
          <w:szCs w:val="16"/>
          <w:lang w:val="es-CR"/>
        </w:rPr>
        <w:t xml:space="preserve"> 12197</w:t>
      </w:r>
      <w:r w:rsidRPr="00A922FC">
        <w:rPr>
          <w:rFonts w:ascii="Verdana" w:hAnsi="Verdana"/>
          <w:sz w:val="16"/>
          <w:szCs w:val="16"/>
          <w:lang w:val="es-CR"/>
        </w:rPr>
        <w:t xml:space="preserve">). Según el acta policial y su ampliación por parte del Jefe de la sub-estación. De los hechos se desprende que el oficial reportó que se encontraban en la calzada principal Eufracia Tambito, dos personas del sexo masculino fallecidos, por múltiples heridas de proyectil de arma de fuego </w:t>
      </w:r>
      <w:r w:rsidRPr="001E3DB9">
        <w:rPr>
          <w:rFonts w:ascii="Verdana" w:hAnsi="Verdana"/>
          <w:sz w:val="16"/>
          <w:szCs w:val="16"/>
          <w:lang w:val="es-CR"/>
        </w:rPr>
        <w:t>(</w:t>
      </w:r>
      <w:r>
        <w:rPr>
          <w:rFonts w:ascii="Verdana" w:hAnsi="Verdana"/>
          <w:sz w:val="16"/>
          <w:szCs w:val="16"/>
          <w:lang w:val="es-CR"/>
        </w:rPr>
        <w:t xml:space="preserve">expediente de </w:t>
      </w:r>
      <w:r w:rsidRPr="001E3DB9">
        <w:rPr>
          <w:rFonts w:ascii="Verdana" w:hAnsi="Verdana"/>
          <w:sz w:val="16"/>
          <w:szCs w:val="16"/>
          <w:lang w:val="es-CR"/>
        </w:rPr>
        <w:t xml:space="preserve">anexos </w:t>
      </w:r>
      <w:r>
        <w:rPr>
          <w:rFonts w:ascii="Verdana" w:hAnsi="Verdana"/>
          <w:sz w:val="16"/>
          <w:szCs w:val="16"/>
          <w:lang w:val="es-CR"/>
        </w:rPr>
        <w:t xml:space="preserve">al </w:t>
      </w:r>
      <w:r w:rsidRPr="001E3DB9">
        <w:rPr>
          <w:rFonts w:ascii="Verdana" w:hAnsi="Verdana"/>
          <w:sz w:val="16"/>
          <w:szCs w:val="16"/>
          <w:lang w:val="es-CR"/>
        </w:rPr>
        <w:t>ESAP, f. 12181)</w:t>
      </w:r>
      <w:r>
        <w:rPr>
          <w:rFonts w:ascii="Verdana" w:hAnsi="Verdana"/>
          <w:sz w:val="16"/>
          <w:szCs w:val="16"/>
          <w:lang w:val="es-CR"/>
        </w:rPr>
        <w:t xml:space="preserve">. </w:t>
      </w:r>
      <w:r w:rsidRPr="00A922FC">
        <w:rPr>
          <w:rFonts w:ascii="Verdana" w:hAnsi="Verdana"/>
          <w:sz w:val="16"/>
          <w:szCs w:val="16"/>
          <w:lang w:val="es-CR"/>
        </w:rPr>
        <w:t xml:space="preserve">Posteriormente en la ampliación, se realizó la descripción de cada uno de los cadáveres </w:t>
      </w:r>
      <w:r w:rsidRPr="001E3DB9">
        <w:rPr>
          <w:rFonts w:ascii="Verdana" w:hAnsi="Verdana"/>
          <w:sz w:val="16"/>
          <w:szCs w:val="16"/>
          <w:lang w:val="es-CR"/>
        </w:rPr>
        <w:t>(</w:t>
      </w:r>
      <w:r>
        <w:rPr>
          <w:rFonts w:ascii="Verdana" w:hAnsi="Verdana"/>
          <w:sz w:val="16"/>
          <w:szCs w:val="16"/>
          <w:lang w:val="es-CR"/>
        </w:rPr>
        <w:t xml:space="preserve">expediente de </w:t>
      </w:r>
      <w:r w:rsidRPr="001E3DB9">
        <w:rPr>
          <w:rFonts w:ascii="Verdana" w:hAnsi="Verdana"/>
          <w:sz w:val="16"/>
          <w:szCs w:val="16"/>
          <w:lang w:val="es-CR"/>
        </w:rPr>
        <w:t xml:space="preserve">anexos </w:t>
      </w:r>
      <w:r>
        <w:rPr>
          <w:rFonts w:ascii="Verdana" w:hAnsi="Verdana"/>
          <w:sz w:val="16"/>
          <w:szCs w:val="16"/>
          <w:lang w:val="es-CR"/>
        </w:rPr>
        <w:t xml:space="preserve">al </w:t>
      </w:r>
      <w:r w:rsidRPr="001E3DB9">
        <w:rPr>
          <w:rFonts w:ascii="Verdana" w:hAnsi="Verdana"/>
          <w:sz w:val="16"/>
          <w:szCs w:val="16"/>
          <w:lang w:val="es-CR"/>
        </w:rPr>
        <w:t>ESAP, f. 12188).</w:t>
      </w:r>
    </w:p>
  </w:footnote>
  <w:footnote w:id="114">
    <w:p w14:paraId="0072F4CB" w14:textId="2DA13E5F" w:rsidR="00A52322" w:rsidRPr="00A922FC" w:rsidRDefault="00A52322" w:rsidP="00EC417E">
      <w:pPr>
        <w:pStyle w:val="Textonotapie"/>
        <w:jc w:val="both"/>
        <w:rPr>
          <w:rFonts w:ascii="Verdana" w:hAnsi="Verdana"/>
          <w:sz w:val="16"/>
          <w:szCs w:val="16"/>
        </w:rPr>
      </w:pPr>
      <w:r w:rsidRPr="00A922FC">
        <w:rPr>
          <w:rStyle w:val="Refdenotaalpie"/>
          <w:rFonts w:ascii="Verdana" w:hAnsi="Verdana"/>
          <w:sz w:val="16"/>
          <w:szCs w:val="16"/>
        </w:rPr>
        <w:footnoteRef/>
      </w:r>
      <w:r>
        <w:rPr>
          <w:rFonts w:ascii="Verdana" w:hAnsi="Verdana"/>
          <w:sz w:val="16"/>
          <w:szCs w:val="16"/>
        </w:rPr>
        <w:t xml:space="preserve"> </w:t>
      </w:r>
      <w:r>
        <w:rPr>
          <w:rFonts w:ascii="Verdana" w:hAnsi="Verdana"/>
          <w:sz w:val="16"/>
          <w:szCs w:val="16"/>
        </w:rPr>
        <w:tab/>
        <w:t xml:space="preserve">Ref. BTT/ch. </w:t>
      </w:r>
      <w:r>
        <w:rPr>
          <w:rFonts w:ascii="Verdana" w:hAnsi="Verdana"/>
          <w:sz w:val="16"/>
          <w:szCs w:val="16"/>
          <w:lang w:val="es-CR"/>
        </w:rPr>
        <w:t>Oficio No. 1050 – 2006, de 8 de diciembre de 2016</w:t>
      </w:r>
      <w:r w:rsidRPr="001E3DB9">
        <w:rPr>
          <w:rFonts w:ascii="Verdana" w:hAnsi="Verdana"/>
          <w:sz w:val="16"/>
          <w:szCs w:val="16"/>
          <w:lang w:val="es-CR"/>
        </w:rPr>
        <w:t xml:space="preserve"> (</w:t>
      </w:r>
      <w:r>
        <w:rPr>
          <w:rFonts w:ascii="Verdana" w:hAnsi="Verdana"/>
          <w:sz w:val="16"/>
          <w:szCs w:val="16"/>
          <w:lang w:val="es-CR"/>
        </w:rPr>
        <w:t xml:space="preserve">expediente de </w:t>
      </w:r>
      <w:r w:rsidRPr="00E33E3E">
        <w:rPr>
          <w:rFonts w:ascii="Verdana" w:hAnsi="Verdana"/>
          <w:sz w:val="16"/>
          <w:szCs w:val="16"/>
          <w:lang w:val="es-CR"/>
        </w:rPr>
        <w:t>anexos</w:t>
      </w:r>
      <w:r>
        <w:rPr>
          <w:rFonts w:ascii="Verdana" w:hAnsi="Verdana"/>
          <w:sz w:val="16"/>
          <w:szCs w:val="16"/>
          <w:lang w:val="es-CR"/>
        </w:rPr>
        <w:t xml:space="preserve"> al</w:t>
      </w:r>
      <w:r w:rsidRPr="00E33E3E">
        <w:rPr>
          <w:rFonts w:ascii="Verdana" w:hAnsi="Verdana"/>
          <w:sz w:val="16"/>
          <w:szCs w:val="16"/>
          <w:lang w:val="es-CR"/>
        </w:rPr>
        <w:t xml:space="preserve"> ESAP,</w:t>
      </w:r>
      <w:r w:rsidRPr="005D0329">
        <w:rPr>
          <w:rFonts w:ascii="Verdana" w:hAnsi="Verdana"/>
          <w:sz w:val="16"/>
          <w:szCs w:val="16"/>
          <w:lang w:val="es-CR"/>
        </w:rPr>
        <w:t xml:space="preserve"> anexo 40,</w:t>
      </w:r>
      <w:r w:rsidRPr="00E33E3E">
        <w:rPr>
          <w:rFonts w:ascii="Verdana" w:hAnsi="Verdana"/>
          <w:sz w:val="16"/>
          <w:szCs w:val="16"/>
          <w:lang w:val="es-CR"/>
        </w:rPr>
        <w:t xml:space="preserve"> f. 12188</w:t>
      </w:r>
      <w:r w:rsidRPr="001E3DB9">
        <w:rPr>
          <w:rFonts w:ascii="Verdana" w:hAnsi="Verdana"/>
          <w:sz w:val="16"/>
          <w:szCs w:val="16"/>
          <w:lang w:val="es-CR"/>
        </w:rPr>
        <w:t>).</w:t>
      </w:r>
    </w:p>
  </w:footnote>
  <w:footnote w:id="115">
    <w:p w14:paraId="5525B62F" w14:textId="77777777" w:rsidR="00A52322" w:rsidRPr="000874D0" w:rsidRDefault="00A52322" w:rsidP="00EC417E">
      <w:pPr>
        <w:pStyle w:val="Textonotapie"/>
        <w:jc w:val="both"/>
        <w:rPr>
          <w:rFonts w:ascii="Verdana" w:hAnsi="Verdana"/>
          <w:sz w:val="16"/>
          <w:szCs w:val="16"/>
        </w:rPr>
      </w:pPr>
      <w:r w:rsidRPr="000874D0">
        <w:rPr>
          <w:rStyle w:val="Refdenotaalpie"/>
          <w:rFonts w:ascii="Verdana" w:hAnsi="Verdana"/>
          <w:sz w:val="16"/>
          <w:szCs w:val="16"/>
        </w:rPr>
        <w:footnoteRef/>
      </w:r>
      <w:r w:rsidRPr="000874D0">
        <w:rPr>
          <w:rFonts w:ascii="Verdana" w:hAnsi="Verdana"/>
          <w:sz w:val="16"/>
          <w:szCs w:val="16"/>
        </w:rPr>
        <w:t xml:space="preserve">  </w:t>
      </w:r>
      <w:r w:rsidRPr="000874D0">
        <w:rPr>
          <w:rFonts w:ascii="Verdana" w:hAnsi="Verdana"/>
          <w:sz w:val="16"/>
          <w:szCs w:val="16"/>
        </w:rPr>
        <w:tab/>
      </w:r>
      <w:r w:rsidRPr="006800B8">
        <w:rPr>
          <w:rFonts w:ascii="Verdana" w:hAnsi="Verdana"/>
          <w:sz w:val="16"/>
          <w:szCs w:val="16"/>
          <w:lang w:val="es-AR"/>
        </w:rPr>
        <w:t>Necropsia N° 234/06 de 10 de diciembre de 2006</w:t>
      </w:r>
      <w:r>
        <w:rPr>
          <w:rFonts w:ascii="Verdana" w:hAnsi="Verdana"/>
          <w:sz w:val="16"/>
          <w:szCs w:val="16"/>
          <w:lang w:val="es-AR"/>
        </w:rPr>
        <w:t xml:space="preserve">, </w:t>
      </w:r>
      <w:r w:rsidRPr="0060326C">
        <w:rPr>
          <w:rFonts w:ascii="Verdana" w:hAnsi="Verdana"/>
          <w:i/>
          <w:sz w:val="16"/>
          <w:szCs w:val="16"/>
          <w:lang w:val="es-AR"/>
        </w:rPr>
        <w:t>supra</w:t>
      </w:r>
      <w:r w:rsidRPr="006800B8">
        <w:rPr>
          <w:rFonts w:ascii="Verdana" w:hAnsi="Verdana"/>
          <w:sz w:val="16"/>
          <w:szCs w:val="16"/>
          <w:lang w:val="es-AR"/>
        </w:rPr>
        <w:t>.</w:t>
      </w:r>
    </w:p>
  </w:footnote>
  <w:footnote w:id="116">
    <w:p w14:paraId="22CB09E3" w14:textId="77777777" w:rsidR="00A52322" w:rsidRPr="00912266" w:rsidRDefault="00A52322" w:rsidP="00213433">
      <w:pPr>
        <w:pStyle w:val="Textonotapie"/>
        <w:jc w:val="both"/>
        <w:rPr>
          <w:rFonts w:ascii="Verdana" w:hAnsi="Verdana"/>
          <w:sz w:val="16"/>
          <w:szCs w:val="16"/>
          <w:lang w:val="es-CR"/>
        </w:rPr>
      </w:pPr>
      <w:r w:rsidRPr="006800B8">
        <w:rPr>
          <w:rStyle w:val="Refdenotaalpie"/>
          <w:rFonts w:ascii="Verdana" w:hAnsi="Verdana"/>
          <w:sz w:val="16"/>
          <w:szCs w:val="16"/>
        </w:rPr>
        <w:footnoteRef/>
      </w:r>
      <w:r w:rsidRPr="006800B8">
        <w:rPr>
          <w:rFonts w:ascii="Verdana" w:hAnsi="Verdana"/>
          <w:sz w:val="16"/>
          <w:szCs w:val="16"/>
        </w:rPr>
        <w:t xml:space="preserve"> </w:t>
      </w:r>
      <w:r w:rsidRPr="006800B8">
        <w:rPr>
          <w:rFonts w:ascii="Verdana" w:hAnsi="Verdana"/>
          <w:sz w:val="16"/>
          <w:szCs w:val="16"/>
          <w:lang w:val="es-CR"/>
        </w:rPr>
        <w:t xml:space="preserve"> </w:t>
      </w:r>
      <w:r w:rsidRPr="006800B8">
        <w:rPr>
          <w:rFonts w:ascii="Verdana" w:hAnsi="Verdana"/>
          <w:sz w:val="16"/>
          <w:szCs w:val="16"/>
          <w:lang w:val="es-CR"/>
        </w:rPr>
        <w:tab/>
      </w:r>
      <w:r w:rsidRPr="00912266">
        <w:rPr>
          <w:rFonts w:ascii="Verdana" w:hAnsi="Verdana"/>
          <w:i/>
          <w:sz w:val="16"/>
          <w:szCs w:val="16"/>
          <w:lang w:val="es-CR"/>
        </w:rPr>
        <w:t>Cfr</w:t>
      </w:r>
      <w:r>
        <w:rPr>
          <w:rFonts w:ascii="Verdana" w:hAnsi="Verdana"/>
          <w:sz w:val="16"/>
          <w:szCs w:val="16"/>
          <w:lang w:val="es-CR"/>
        </w:rPr>
        <w:t>. Declaración</w:t>
      </w:r>
      <w:r w:rsidRPr="00912266">
        <w:rPr>
          <w:rFonts w:ascii="Verdana" w:hAnsi="Verdana"/>
          <w:sz w:val="16"/>
          <w:szCs w:val="16"/>
          <w:lang w:val="es-CR"/>
        </w:rPr>
        <w:t xml:space="preserve"> testimonial de Saulo Daniel Ruiz López</w:t>
      </w:r>
      <w:r>
        <w:rPr>
          <w:rFonts w:ascii="Verdana" w:hAnsi="Verdana"/>
          <w:sz w:val="16"/>
          <w:szCs w:val="16"/>
          <w:lang w:val="es-CR"/>
        </w:rPr>
        <w:t xml:space="preserve">, </w:t>
      </w:r>
      <w:r w:rsidRPr="0060326C">
        <w:rPr>
          <w:rFonts w:ascii="Verdana" w:hAnsi="Verdana"/>
          <w:i/>
          <w:sz w:val="16"/>
          <w:szCs w:val="16"/>
          <w:lang w:val="es-CR"/>
        </w:rPr>
        <w:t>supra</w:t>
      </w:r>
      <w:r>
        <w:rPr>
          <w:rFonts w:ascii="Verdana" w:hAnsi="Verdana"/>
          <w:sz w:val="16"/>
          <w:szCs w:val="16"/>
          <w:lang w:val="es-CR"/>
        </w:rPr>
        <w:t>.</w:t>
      </w:r>
    </w:p>
  </w:footnote>
  <w:footnote w:id="117">
    <w:p w14:paraId="6246FC1D" w14:textId="3EFAF2D7" w:rsidR="00A52322" w:rsidRPr="00912266" w:rsidRDefault="00A52322" w:rsidP="00912266">
      <w:pPr>
        <w:pStyle w:val="Textonotapie"/>
        <w:jc w:val="both"/>
        <w:rPr>
          <w:rFonts w:ascii="Verdana" w:hAnsi="Verdana"/>
          <w:sz w:val="16"/>
          <w:szCs w:val="16"/>
        </w:rPr>
      </w:pPr>
      <w:r w:rsidRPr="00213433">
        <w:rPr>
          <w:rStyle w:val="Refdenotaalpie"/>
          <w:rFonts w:ascii="Verdana" w:hAnsi="Verdana"/>
          <w:sz w:val="16"/>
          <w:szCs w:val="16"/>
        </w:rPr>
        <w:footnoteRef/>
      </w:r>
      <w:r w:rsidRPr="00912266">
        <w:rPr>
          <w:rFonts w:ascii="Verdana" w:hAnsi="Verdana"/>
          <w:sz w:val="16"/>
          <w:szCs w:val="16"/>
        </w:rPr>
        <w:t xml:space="preserve"> </w:t>
      </w:r>
      <w:r w:rsidRPr="00912266">
        <w:rPr>
          <w:rFonts w:ascii="Verdana" w:hAnsi="Verdana"/>
          <w:sz w:val="16"/>
          <w:szCs w:val="16"/>
        </w:rPr>
        <w:tab/>
      </w:r>
      <w:r w:rsidRPr="00912266">
        <w:rPr>
          <w:rFonts w:ascii="Verdana" w:hAnsi="Verdana"/>
          <w:i/>
          <w:sz w:val="16"/>
          <w:szCs w:val="16"/>
        </w:rPr>
        <w:t>Cfr.</w:t>
      </w:r>
      <w:r>
        <w:rPr>
          <w:rFonts w:ascii="Verdana" w:hAnsi="Verdana"/>
          <w:sz w:val="16"/>
          <w:szCs w:val="16"/>
        </w:rPr>
        <w:t xml:space="preserve"> </w:t>
      </w:r>
      <w:r>
        <w:rPr>
          <w:rFonts w:ascii="Verdana" w:hAnsi="Verdana"/>
          <w:sz w:val="16"/>
          <w:szCs w:val="16"/>
          <w:lang w:val="es-CR"/>
        </w:rPr>
        <w:t xml:space="preserve">Declaración </w:t>
      </w:r>
      <w:r w:rsidRPr="00912266">
        <w:rPr>
          <w:rFonts w:ascii="Verdana" w:hAnsi="Verdana"/>
          <w:sz w:val="16"/>
          <w:szCs w:val="16"/>
          <w:lang w:val="es-CR"/>
        </w:rPr>
        <w:t>testimonial de Florinda Ávila</w:t>
      </w:r>
      <w:r>
        <w:rPr>
          <w:rFonts w:ascii="Verdana" w:hAnsi="Verdana"/>
          <w:sz w:val="16"/>
          <w:szCs w:val="16"/>
          <w:lang w:val="es-CR"/>
        </w:rPr>
        <w:t xml:space="preserve"> (Florinda López de López), rendida</w:t>
      </w:r>
      <w:r w:rsidRPr="00213433">
        <w:rPr>
          <w:rFonts w:ascii="Verdana" w:hAnsi="Verdana"/>
          <w:sz w:val="16"/>
          <w:szCs w:val="16"/>
          <w:lang w:val="es-CR"/>
        </w:rPr>
        <w:t xml:space="preserve"> ante el Municipio de Cotzumalguapa el 2 de septiembre de 2009 </w:t>
      </w:r>
      <w:r w:rsidRPr="00912266">
        <w:rPr>
          <w:rFonts w:ascii="Verdana" w:hAnsi="Verdana"/>
          <w:sz w:val="16"/>
          <w:szCs w:val="16"/>
        </w:rPr>
        <w:t>(</w:t>
      </w:r>
      <w:r w:rsidRPr="00912266">
        <w:rPr>
          <w:rFonts w:ascii="Verdana" w:hAnsi="Verdana"/>
          <w:sz w:val="16"/>
          <w:szCs w:val="16"/>
          <w:lang w:val="es-CR"/>
        </w:rPr>
        <w:t>expediente de anexos al ESAP, anexo 40, fs. 12209 a 12211).</w:t>
      </w:r>
    </w:p>
  </w:footnote>
  <w:footnote w:id="118">
    <w:p w14:paraId="5842DCA5" w14:textId="77777777" w:rsidR="00A52322" w:rsidRPr="006800B8" w:rsidRDefault="00A52322" w:rsidP="00EC417E">
      <w:pPr>
        <w:pStyle w:val="Textonotapie"/>
        <w:jc w:val="both"/>
        <w:rPr>
          <w:rFonts w:ascii="Verdana" w:hAnsi="Verdana"/>
          <w:sz w:val="16"/>
          <w:szCs w:val="16"/>
          <w:lang w:val="es-AR"/>
        </w:rPr>
      </w:pPr>
      <w:r w:rsidRPr="006800B8">
        <w:rPr>
          <w:rStyle w:val="Refdenotaalpie"/>
          <w:rFonts w:ascii="Verdana" w:hAnsi="Verdana"/>
          <w:sz w:val="16"/>
          <w:szCs w:val="16"/>
        </w:rPr>
        <w:footnoteRef/>
      </w:r>
      <w:r w:rsidRPr="006800B8">
        <w:rPr>
          <w:rFonts w:ascii="Verdana" w:hAnsi="Verdana"/>
          <w:sz w:val="16"/>
          <w:szCs w:val="16"/>
          <w:lang w:val="es-AR"/>
        </w:rPr>
        <w:t xml:space="preserve"> </w:t>
      </w:r>
      <w:r w:rsidRPr="006800B8">
        <w:rPr>
          <w:rFonts w:ascii="Verdana" w:hAnsi="Verdana"/>
          <w:sz w:val="16"/>
          <w:szCs w:val="16"/>
          <w:lang w:val="es-AR"/>
        </w:rPr>
        <w:tab/>
      </w:r>
      <w:r w:rsidRPr="006800B8">
        <w:rPr>
          <w:rFonts w:ascii="Verdana" w:hAnsi="Verdana"/>
          <w:i/>
          <w:sz w:val="16"/>
          <w:szCs w:val="16"/>
          <w:lang w:val="es-AR"/>
        </w:rPr>
        <w:t xml:space="preserve">Cfr. </w:t>
      </w:r>
      <w:r w:rsidRPr="006800B8">
        <w:rPr>
          <w:rFonts w:ascii="Verdana" w:hAnsi="Verdana"/>
          <w:sz w:val="16"/>
          <w:szCs w:val="16"/>
          <w:lang w:val="es-AR"/>
        </w:rPr>
        <w:t>Peritaje de huellas dactilares de 26 de diciembre de 2006</w:t>
      </w:r>
      <w:r>
        <w:rPr>
          <w:rFonts w:ascii="Verdana" w:hAnsi="Verdana"/>
          <w:sz w:val="16"/>
          <w:szCs w:val="16"/>
          <w:lang w:val="es-AR"/>
        </w:rPr>
        <w:t xml:space="preserve">, </w:t>
      </w:r>
      <w:r w:rsidRPr="0060326C">
        <w:rPr>
          <w:rFonts w:ascii="Verdana" w:hAnsi="Verdana"/>
          <w:i/>
          <w:sz w:val="16"/>
          <w:szCs w:val="16"/>
          <w:lang w:val="es-AR"/>
        </w:rPr>
        <w:t>supra</w:t>
      </w:r>
      <w:r w:rsidRPr="006800B8">
        <w:rPr>
          <w:rFonts w:ascii="Verdana" w:hAnsi="Verdana"/>
          <w:sz w:val="16"/>
          <w:szCs w:val="16"/>
          <w:lang w:val="es-AR"/>
        </w:rPr>
        <w:t>.</w:t>
      </w:r>
    </w:p>
  </w:footnote>
  <w:footnote w:id="119">
    <w:p w14:paraId="1817864D" w14:textId="4D3452C1" w:rsidR="00A52322" w:rsidRPr="006800B8" w:rsidRDefault="00A52322" w:rsidP="00EC417E">
      <w:pPr>
        <w:pStyle w:val="Textonotapie"/>
        <w:jc w:val="both"/>
        <w:rPr>
          <w:rFonts w:ascii="Verdana" w:hAnsi="Verdana"/>
          <w:sz w:val="16"/>
          <w:szCs w:val="16"/>
          <w:lang w:val="es-AR"/>
        </w:rPr>
      </w:pPr>
      <w:r w:rsidRPr="006800B8">
        <w:rPr>
          <w:rStyle w:val="Refdenotaalpie"/>
          <w:rFonts w:ascii="Verdana" w:hAnsi="Verdana"/>
          <w:sz w:val="16"/>
          <w:szCs w:val="16"/>
        </w:rPr>
        <w:footnoteRef/>
      </w:r>
      <w:r w:rsidRPr="006800B8">
        <w:rPr>
          <w:rFonts w:ascii="Verdana" w:hAnsi="Verdana"/>
          <w:sz w:val="16"/>
          <w:szCs w:val="16"/>
          <w:lang w:val="es-AR"/>
        </w:rPr>
        <w:t xml:space="preserve"> </w:t>
      </w:r>
      <w:r w:rsidRPr="006800B8">
        <w:rPr>
          <w:rFonts w:ascii="Verdana" w:hAnsi="Verdana"/>
          <w:sz w:val="16"/>
          <w:szCs w:val="16"/>
          <w:lang w:val="es-AR"/>
        </w:rPr>
        <w:tab/>
      </w:r>
      <w:r>
        <w:rPr>
          <w:rFonts w:ascii="Verdana" w:hAnsi="Verdana"/>
          <w:sz w:val="16"/>
          <w:szCs w:val="16"/>
          <w:lang w:val="es-AR"/>
        </w:rPr>
        <w:t>Escrito</w:t>
      </w:r>
      <w:r w:rsidRPr="006800B8">
        <w:rPr>
          <w:rFonts w:ascii="Verdana" w:hAnsi="Verdana"/>
          <w:sz w:val="16"/>
          <w:szCs w:val="16"/>
          <w:lang w:val="es-AR"/>
        </w:rPr>
        <w:t xml:space="preserve"> </w:t>
      </w:r>
      <w:r>
        <w:rPr>
          <w:rFonts w:ascii="Verdana" w:hAnsi="Verdana"/>
          <w:sz w:val="16"/>
          <w:szCs w:val="16"/>
          <w:lang w:val="es-AR"/>
        </w:rPr>
        <w:t>de la Fiscalía de</w:t>
      </w:r>
      <w:r w:rsidRPr="006800B8">
        <w:rPr>
          <w:rFonts w:ascii="Verdana" w:hAnsi="Verdana"/>
          <w:sz w:val="16"/>
          <w:szCs w:val="16"/>
          <w:lang w:val="es-AR"/>
        </w:rPr>
        <w:t xml:space="preserve"> 1</w:t>
      </w:r>
      <w:r>
        <w:rPr>
          <w:rFonts w:ascii="Verdana" w:hAnsi="Verdana"/>
          <w:sz w:val="16"/>
          <w:szCs w:val="16"/>
          <w:lang w:val="es-AR"/>
        </w:rPr>
        <w:t>8</w:t>
      </w:r>
      <w:r w:rsidRPr="006800B8">
        <w:rPr>
          <w:rFonts w:ascii="Verdana" w:hAnsi="Verdana"/>
          <w:sz w:val="16"/>
          <w:szCs w:val="16"/>
          <w:lang w:val="es-AR"/>
        </w:rPr>
        <w:t xml:space="preserve"> de septiembre de 2007</w:t>
      </w:r>
      <w:r>
        <w:rPr>
          <w:rFonts w:ascii="Verdana" w:hAnsi="Verdana"/>
          <w:sz w:val="16"/>
          <w:szCs w:val="16"/>
          <w:lang w:val="es-AR"/>
        </w:rPr>
        <w:t xml:space="preserve">, </w:t>
      </w:r>
      <w:r w:rsidRPr="0097244E">
        <w:rPr>
          <w:rFonts w:ascii="Verdana" w:hAnsi="Verdana"/>
          <w:i/>
          <w:sz w:val="16"/>
          <w:szCs w:val="16"/>
          <w:lang w:val="es-AR"/>
        </w:rPr>
        <w:t>supra</w:t>
      </w:r>
      <w:r>
        <w:rPr>
          <w:rFonts w:ascii="Verdana" w:hAnsi="Verdana"/>
          <w:sz w:val="16"/>
          <w:szCs w:val="16"/>
          <w:lang w:val="es-AR"/>
        </w:rPr>
        <w:t>.</w:t>
      </w:r>
      <w:r w:rsidRPr="006800B8">
        <w:rPr>
          <w:rFonts w:ascii="Verdana" w:hAnsi="Verdana"/>
          <w:sz w:val="16"/>
          <w:szCs w:val="16"/>
          <w:lang w:val="es-AR"/>
        </w:rPr>
        <w:t xml:space="preserve"> </w:t>
      </w:r>
    </w:p>
  </w:footnote>
  <w:footnote w:id="120">
    <w:p w14:paraId="59880213" w14:textId="6E50845D" w:rsidR="00A52322" w:rsidRPr="00A922FC" w:rsidRDefault="00A52322" w:rsidP="00EC417E">
      <w:pPr>
        <w:pStyle w:val="Textonotapie"/>
        <w:jc w:val="both"/>
        <w:rPr>
          <w:rFonts w:ascii="Verdana" w:hAnsi="Verdana"/>
          <w:sz w:val="16"/>
          <w:szCs w:val="16"/>
          <w:lang w:val="es-CR"/>
        </w:rPr>
      </w:pPr>
      <w:r w:rsidRPr="006800B8">
        <w:rPr>
          <w:rStyle w:val="Refdenotaalpie"/>
          <w:rFonts w:ascii="Verdana" w:hAnsi="Verdana"/>
          <w:sz w:val="16"/>
          <w:szCs w:val="16"/>
        </w:rPr>
        <w:footnoteRef/>
      </w:r>
      <w:r w:rsidRPr="006800B8">
        <w:rPr>
          <w:rFonts w:ascii="Verdana" w:hAnsi="Verdana"/>
          <w:sz w:val="16"/>
          <w:szCs w:val="16"/>
        </w:rPr>
        <w:t xml:space="preserve"> </w:t>
      </w:r>
      <w:r w:rsidRPr="006800B8">
        <w:rPr>
          <w:rFonts w:ascii="Verdana" w:hAnsi="Verdana"/>
          <w:sz w:val="16"/>
          <w:szCs w:val="16"/>
        </w:rPr>
        <w:tab/>
      </w:r>
      <w:r w:rsidRPr="006800B8">
        <w:rPr>
          <w:rFonts w:ascii="Verdana" w:hAnsi="Verdana"/>
          <w:sz w:val="16"/>
          <w:szCs w:val="16"/>
          <w:lang w:val="es-CR"/>
        </w:rPr>
        <w:t>En ese sentido, en su declaración rendida en la  audiencia pública ante este Tribunal el 7 de marzo de 2019, la perit</w:t>
      </w:r>
      <w:r>
        <w:rPr>
          <w:rFonts w:ascii="Verdana" w:hAnsi="Verdana"/>
          <w:sz w:val="16"/>
          <w:szCs w:val="16"/>
          <w:lang w:val="es-CR"/>
        </w:rPr>
        <w:t>a Olga Patricia</w:t>
      </w:r>
      <w:r w:rsidRPr="006800B8">
        <w:rPr>
          <w:rFonts w:ascii="Verdana" w:hAnsi="Verdana"/>
          <w:sz w:val="16"/>
          <w:szCs w:val="16"/>
          <w:lang w:val="es-CR"/>
        </w:rPr>
        <w:t xml:space="preserve"> Roldán manifestó que:</w:t>
      </w:r>
      <w:r w:rsidRPr="000874D0">
        <w:rPr>
          <w:rFonts w:ascii="Verdana" w:hAnsi="Verdana"/>
          <w:sz w:val="16"/>
          <w:szCs w:val="16"/>
        </w:rPr>
        <w:t xml:space="preserve"> </w:t>
      </w:r>
      <w:r>
        <w:rPr>
          <w:rFonts w:ascii="Verdana" w:hAnsi="Verdana"/>
          <w:sz w:val="16"/>
          <w:szCs w:val="16"/>
        </w:rPr>
        <w:t>“[c]</w:t>
      </w:r>
      <w:r w:rsidRPr="001E3DB9">
        <w:rPr>
          <w:rFonts w:ascii="Verdana" w:hAnsi="Verdana"/>
          <w:sz w:val="16"/>
          <w:szCs w:val="16"/>
          <w:lang w:val="es-CR"/>
        </w:rPr>
        <w:t>uyos protocolos […] han seguido siendo los mismos por supuesto durante el tiempo se han mejorado, se han establecido estos protocolos obligando hacer todas las diligencia pertinentes pero en esa época ya se había establecido todas las diligencias sometidas que yo argumento en mi peritaje ya se hacía toxicología para muertes violentas, ya se hacían rayos X, ya se sabía que se necesitaban todas esas diligencias en estos caso</w:t>
      </w:r>
      <w:r w:rsidRPr="00902B12">
        <w:rPr>
          <w:rFonts w:ascii="Verdana" w:hAnsi="Verdana"/>
          <w:sz w:val="16"/>
          <w:szCs w:val="16"/>
          <w:lang w:val="es-CR"/>
        </w:rPr>
        <w:t>”. Además, la</w:t>
      </w:r>
      <w:r>
        <w:rPr>
          <w:rFonts w:ascii="Verdana" w:hAnsi="Verdana"/>
          <w:sz w:val="16"/>
          <w:szCs w:val="16"/>
          <w:lang w:val="es-CR"/>
        </w:rPr>
        <w:t xml:space="preserve"> perita señaló que</w:t>
      </w:r>
      <w:r w:rsidRPr="006800B8">
        <w:rPr>
          <w:rFonts w:ascii="Verdana" w:hAnsi="Verdana"/>
          <w:sz w:val="16"/>
          <w:szCs w:val="16"/>
          <w:lang w:val="es-CR"/>
        </w:rPr>
        <w:t xml:space="preserve"> “el procesamiento de la escena del crimen no fue realizado por el equipo de escena del crimen del Ministerio Público pese a que está a una hora del lugar, no se acordonó la escena del crimen, […] no existe el trazo de un croquis de la escena del crimen que esto era importante para localizar a las víctimas</w:t>
      </w:r>
      <w:r>
        <w:rPr>
          <w:rFonts w:ascii="Verdana" w:hAnsi="Verdana"/>
          <w:sz w:val="16"/>
          <w:szCs w:val="16"/>
          <w:lang w:val="es-CR"/>
        </w:rPr>
        <w:t>,</w:t>
      </w:r>
      <w:r w:rsidRPr="006800B8">
        <w:rPr>
          <w:rFonts w:ascii="Verdana" w:hAnsi="Verdana"/>
          <w:sz w:val="16"/>
          <w:szCs w:val="16"/>
          <w:lang w:val="es-CR"/>
        </w:rPr>
        <w:t xml:space="preserve"> no hay descripción de método utilizado para la recolección de los indicios […],</w:t>
      </w:r>
      <w:r>
        <w:rPr>
          <w:rFonts w:ascii="Verdana" w:hAnsi="Verdana"/>
          <w:sz w:val="16"/>
          <w:szCs w:val="16"/>
          <w:lang w:val="es-CR"/>
        </w:rPr>
        <w:t xml:space="preserve"> </w:t>
      </w:r>
      <w:r w:rsidRPr="006800B8">
        <w:rPr>
          <w:rFonts w:ascii="Verdana" w:hAnsi="Verdana"/>
          <w:sz w:val="16"/>
          <w:szCs w:val="16"/>
          <w:lang w:val="es-CR"/>
        </w:rPr>
        <w:t>ninguno de los elementos recolectados en la escena del crimen fue fijado fotografiado, marcado, numerado y embalado correctamente, los cadáveres no fueron individualizados y marcados, presenta una fotografía en donde lo incorrecto del embalaje si ustedes ven en la bolsa tiene el listado de los objetos contiene todos en una misma bolsa a la par están todos los objetos que contenían de diversos lugares de la escena del crimen […],</w:t>
      </w:r>
      <w:r>
        <w:rPr>
          <w:rFonts w:ascii="Verdana" w:hAnsi="Verdana"/>
          <w:sz w:val="16"/>
          <w:szCs w:val="16"/>
          <w:lang w:val="es-CR"/>
        </w:rPr>
        <w:t xml:space="preserve"> </w:t>
      </w:r>
      <w:r w:rsidRPr="006800B8">
        <w:rPr>
          <w:rFonts w:ascii="Verdana" w:hAnsi="Verdana"/>
          <w:sz w:val="16"/>
          <w:szCs w:val="16"/>
          <w:lang w:val="es-CR"/>
        </w:rPr>
        <w:t>dentro de los indicios de la escena se menciona un portafusil que nunca fue analizado, los indicios de balística muestran varios cartuchos casquillos</w:t>
      </w:r>
      <w:r w:rsidRPr="00A922FC">
        <w:rPr>
          <w:rFonts w:ascii="Verdana" w:hAnsi="Verdana"/>
          <w:sz w:val="16"/>
          <w:szCs w:val="16"/>
          <w:lang w:val="es-CR"/>
        </w:rPr>
        <w:t xml:space="preserve"> fragmentos de encamisados, fragmentos de proyectil de varios calibres, dentro de los cuales se documentaron de fusil que podían ser de AK-47, etc, todo esto es en base al informe de balística […]</w:t>
      </w:r>
      <w:r>
        <w:rPr>
          <w:rFonts w:ascii="Verdana" w:hAnsi="Verdana"/>
          <w:sz w:val="16"/>
          <w:szCs w:val="16"/>
          <w:lang w:val="es-CR"/>
        </w:rPr>
        <w:t xml:space="preserve"> </w:t>
      </w:r>
      <w:r w:rsidRPr="00A922FC">
        <w:rPr>
          <w:rFonts w:ascii="Verdana" w:hAnsi="Verdana"/>
          <w:sz w:val="16"/>
          <w:szCs w:val="16"/>
          <w:lang w:val="es-CR"/>
        </w:rPr>
        <w:t>no se documenta que la posición de una moto que se encontró en la escena del crimen tenga alguna relación con las víctimas o los victimarios</w:t>
      </w:r>
      <w:r>
        <w:rPr>
          <w:rFonts w:ascii="Verdana" w:hAnsi="Verdana"/>
          <w:sz w:val="16"/>
          <w:szCs w:val="16"/>
          <w:lang w:val="es-CR"/>
        </w:rPr>
        <w:t>”</w:t>
      </w:r>
      <w:r w:rsidRPr="00A922FC">
        <w:rPr>
          <w:rFonts w:ascii="Verdana" w:hAnsi="Verdana"/>
          <w:sz w:val="16"/>
          <w:szCs w:val="16"/>
          <w:lang w:val="es-CR"/>
        </w:rPr>
        <w:t>.</w:t>
      </w:r>
    </w:p>
  </w:footnote>
  <w:footnote w:id="121">
    <w:p w14:paraId="7B3E3C25" w14:textId="77777777" w:rsidR="00A52322" w:rsidRPr="00A922FC" w:rsidRDefault="00A52322" w:rsidP="00EC417E">
      <w:pPr>
        <w:pStyle w:val="Textonotapie"/>
        <w:jc w:val="both"/>
        <w:rPr>
          <w:rFonts w:ascii="Verdana" w:hAnsi="Verdana"/>
          <w:sz w:val="16"/>
          <w:szCs w:val="16"/>
          <w:lang w:val="es-CR"/>
        </w:rPr>
      </w:pPr>
      <w:r w:rsidRPr="00A922FC">
        <w:rPr>
          <w:rStyle w:val="Refdenotaalpie"/>
          <w:rFonts w:ascii="Verdana" w:hAnsi="Verdana"/>
          <w:sz w:val="16"/>
          <w:szCs w:val="16"/>
        </w:rPr>
        <w:footnoteRef/>
      </w:r>
      <w:r w:rsidRPr="00A922FC">
        <w:rPr>
          <w:rFonts w:ascii="Verdana" w:hAnsi="Verdana"/>
          <w:sz w:val="16"/>
          <w:szCs w:val="16"/>
          <w:lang w:val="es-CR"/>
        </w:rPr>
        <w:t xml:space="preserve"> </w:t>
      </w:r>
      <w:r w:rsidRPr="00A922FC">
        <w:rPr>
          <w:rFonts w:ascii="Verdana" w:hAnsi="Verdana"/>
          <w:sz w:val="16"/>
          <w:szCs w:val="16"/>
          <w:lang w:val="es-CR"/>
        </w:rPr>
        <w:tab/>
        <w:t>El mismo implicaría, a efectos de determinar si hubo razonabilidad en el tiempo transcurrido por las actuaciones, examinar en forma detenida distintos elementos del caso: a) complejidad del asunto; b) actividad procesal del interesado; c) conducta de las autoridades judiciales, y d) la afectación generada en la situación jurídica de la persona involucrada en el proceso (</w:t>
      </w:r>
      <w:r w:rsidRPr="00A922FC">
        <w:rPr>
          <w:rFonts w:ascii="Verdana" w:hAnsi="Verdana"/>
          <w:i/>
          <w:sz w:val="16"/>
          <w:szCs w:val="16"/>
          <w:lang w:val="es-ES"/>
        </w:rPr>
        <w:t xml:space="preserve">Cfr. </w:t>
      </w:r>
      <w:r w:rsidRPr="00A922FC">
        <w:rPr>
          <w:rFonts w:ascii="Verdana" w:hAnsi="Verdana"/>
          <w:i/>
          <w:sz w:val="16"/>
          <w:szCs w:val="16"/>
          <w:lang w:val="es-CR"/>
        </w:rPr>
        <w:t xml:space="preserve">Caso Valle Jaramillo y otros Vs. Colombia. Fondo, Reparaciones y Costas. </w:t>
      </w:r>
      <w:r w:rsidRPr="00A922FC">
        <w:rPr>
          <w:rFonts w:ascii="Verdana" w:hAnsi="Verdana"/>
          <w:sz w:val="16"/>
          <w:szCs w:val="16"/>
          <w:lang w:val="es-CR"/>
        </w:rPr>
        <w:t xml:space="preserve">Sentencia de 27 de noviembre de 2008. Serie C No. 192, párr. 155, y </w:t>
      </w:r>
      <w:r w:rsidRPr="00167871">
        <w:rPr>
          <w:rFonts w:ascii="Verdana" w:hAnsi="Verdana"/>
          <w:i/>
          <w:sz w:val="16"/>
          <w:szCs w:val="16"/>
          <w:lang w:val="es-CR"/>
        </w:rPr>
        <w:t>Caso Terrones Silva y otros Vs. Perú</w:t>
      </w:r>
      <w:r w:rsidRPr="00167871">
        <w:rPr>
          <w:rStyle w:val="Textoennegrita"/>
          <w:rFonts w:ascii="Verdana" w:hAnsi="Verdana"/>
          <w:b w:val="0"/>
          <w:i/>
          <w:sz w:val="16"/>
          <w:szCs w:val="16"/>
          <w:lang w:val="es-CR"/>
        </w:rPr>
        <w:t xml:space="preserve">. Excepciones Preliminares, Fondo, Reparaciones y Costas. </w:t>
      </w:r>
      <w:r w:rsidRPr="00167871">
        <w:rPr>
          <w:rFonts w:ascii="Verdana" w:hAnsi="Verdana"/>
          <w:sz w:val="16"/>
          <w:szCs w:val="16"/>
        </w:rPr>
        <w:t>Sentencia de 26 de Septiembre de 2018. Serie C No. 360</w:t>
      </w:r>
      <w:r w:rsidRPr="001E3DB9">
        <w:rPr>
          <w:rStyle w:val="Textoennegrita"/>
          <w:rFonts w:ascii="Verdana" w:hAnsi="Verdana"/>
          <w:b w:val="0"/>
          <w:color w:val="000000"/>
          <w:sz w:val="16"/>
          <w:szCs w:val="16"/>
          <w:shd w:val="clear" w:color="auto" w:fill="FFFFFF"/>
          <w:lang w:val="es-CR"/>
        </w:rPr>
        <w:t>, párr. 193.</w:t>
      </w:r>
      <w:r>
        <w:rPr>
          <w:rStyle w:val="Textoennegrita"/>
          <w:rFonts w:ascii="Verdana" w:hAnsi="Verdana"/>
          <w:b w:val="0"/>
          <w:color w:val="000000"/>
          <w:sz w:val="16"/>
          <w:szCs w:val="16"/>
          <w:shd w:val="clear" w:color="auto" w:fill="FFFFFF"/>
          <w:lang w:val="es-CR"/>
        </w:rPr>
        <w:t>)</w:t>
      </w:r>
    </w:p>
  </w:footnote>
  <w:footnote w:id="122">
    <w:p w14:paraId="29A4DE2C" w14:textId="64655901" w:rsidR="00A52322" w:rsidRPr="00A922FC" w:rsidRDefault="00A52322" w:rsidP="00EC417E">
      <w:pPr>
        <w:pStyle w:val="Textonotapie"/>
        <w:jc w:val="both"/>
        <w:rPr>
          <w:rFonts w:ascii="Verdana" w:hAnsi="Verdana"/>
          <w:i/>
          <w:sz w:val="16"/>
          <w:szCs w:val="16"/>
        </w:rPr>
      </w:pPr>
      <w:r w:rsidRPr="004432E0">
        <w:rPr>
          <w:rStyle w:val="Refdenotaalpie"/>
          <w:rFonts w:ascii="Verdana" w:hAnsi="Verdana"/>
          <w:sz w:val="16"/>
          <w:szCs w:val="16"/>
        </w:rPr>
        <w:footnoteRef/>
      </w:r>
      <w:r w:rsidRPr="004432E0">
        <w:rPr>
          <w:rFonts w:ascii="Verdana" w:hAnsi="Verdana"/>
          <w:sz w:val="16"/>
          <w:szCs w:val="16"/>
        </w:rPr>
        <w:t xml:space="preserve"> </w:t>
      </w:r>
      <w:r w:rsidRPr="00A922FC">
        <w:rPr>
          <w:rFonts w:ascii="Verdana" w:hAnsi="Verdana"/>
          <w:i/>
          <w:sz w:val="16"/>
          <w:szCs w:val="16"/>
        </w:rPr>
        <w:tab/>
      </w:r>
      <w:r w:rsidRPr="001E3DB9">
        <w:rPr>
          <w:rFonts w:ascii="Verdana" w:hAnsi="Verdana"/>
          <w:i/>
          <w:sz w:val="16"/>
          <w:szCs w:val="16"/>
        </w:rPr>
        <w:t xml:space="preserve">Cfr. </w:t>
      </w:r>
      <w:r w:rsidRPr="005D0329">
        <w:rPr>
          <w:rFonts w:ascii="Verdana" w:hAnsi="Verdana"/>
          <w:i/>
          <w:sz w:val="16"/>
          <w:szCs w:val="16"/>
        </w:rPr>
        <w:t>Velásquez Rodríguez Vs. Honduras</w:t>
      </w:r>
      <w:r>
        <w:rPr>
          <w:rFonts w:ascii="Verdana" w:hAnsi="Verdana"/>
          <w:i/>
          <w:sz w:val="16"/>
          <w:szCs w:val="16"/>
        </w:rPr>
        <w:t>, supra</w:t>
      </w:r>
      <w:r w:rsidRPr="001E3DB9">
        <w:rPr>
          <w:rFonts w:ascii="Verdana" w:hAnsi="Verdana"/>
          <w:sz w:val="16"/>
          <w:szCs w:val="16"/>
        </w:rPr>
        <w:t>,</w:t>
      </w:r>
      <w:r w:rsidRPr="005D0329">
        <w:rPr>
          <w:rFonts w:ascii="Verdana" w:hAnsi="Verdana"/>
          <w:sz w:val="16"/>
          <w:szCs w:val="16"/>
        </w:rPr>
        <w:t xml:space="preserve"> párr. 174, y</w:t>
      </w:r>
      <w:r>
        <w:rPr>
          <w:rFonts w:ascii="Verdana" w:hAnsi="Verdana"/>
          <w:i/>
          <w:sz w:val="16"/>
          <w:szCs w:val="16"/>
        </w:rPr>
        <w:t xml:space="preserve"> Caso Omeara Carrascal y o</w:t>
      </w:r>
      <w:r w:rsidRPr="001E3DB9">
        <w:rPr>
          <w:rFonts w:ascii="Verdana" w:hAnsi="Verdana"/>
          <w:i/>
          <w:sz w:val="16"/>
          <w:szCs w:val="16"/>
        </w:rPr>
        <w:t>tros Vs. Colombia</w:t>
      </w:r>
      <w:r>
        <w:rPr>
          <w:rFonts w:ascii="Verdana" w:hAnsi="Verdana"/>
          <w:i/>
          <w:sz w:val="16"/>
          <w:szCs w:val="16"/>
        </w:rPr>
        <w:t>, supra</w:t>
      </w:r>
      <w:r w:rsidRPr="001E3DB9">
        <w:rPr>
          <w:rFonts w:ascii="Verdana" w:hAnsi="Verdana"/>
          <w:sz w:val="16"/>
          <w:szCs w:val="16"/>
        </w:rPr>
        <w:t>, párr. 263</w:t>
      </w:r>
      <w:r w:rsidRPr="001E3DB9">
        <w:rPr>
          <w:rFonts w:ascii="Verdana" w:hAnsi="Verdana"/>
          <w:i/>
          <w:sz w:val="16"/>
          <w:szCs w:val="16"/>
        </w:rPr>
        <w:t>.</w:t>
      </w:r>
    </w:p>
  </w:footnote>
  <w:footnote w:id="123">
    <w:p w14:paraId="34EC0FF5" w14:textId="77777777" w:rsidR="00A52322" w:rsidRPr="00EB1703" w:rsidRDefault="00A52322">
      <w:pPr>
        <w:pStyle w:val="Textonotapie"/>
        <w:rPr>
          <w:rFonts w:ascii="Verdana" w:hAnsi="Verdana"/>
          <w:sz w:val="16"/>
          <w:szCs w:val="16"/>
        </w:rPr>
      </w:pPr>
      <w:r w:rsidRPr="00EB1703">
        <w:rPr>
          <w:rStyle w:val="Refdenotaalpie"/>
          <w:rFonts w:ascii="Verdana" w:hAnsi="Verdana"/>
          <w:sz w:val="16"/>
          <w:szCs w:val="16"/>
        </w:rPr>
        <w:footnoteRef/>
      </w:r>
      <w:r w:rsidRPr="00EB1703">
        <w:rPr>
          <w:rFonts w:ascii="Verdana" w:hAnsi="Verdana"/>
          <w:sz w:val="16"/>
          <w:szCs w:val="16"/>
        </w:rPr>
        <w:t xml:space="preserve"> </w:t>
      </w:r>
      <w:r w:rsidRPr="00EB1703">
        <w:rPr>
          <w:rFonts w:ascii="Verdana" w:hAnsi="Verdana"/>
          <w:sz w:val="16"/>
          <w:szCs w:val="16"/>
        </w:rPr>
        <w:tab/>
        <w:t>A</w:t>
      </w:r>
      <w:r w:rsidRPr="00EB1703">
        <w:rPr>
          <w:rFonts w:ascii="Verdana" w:hAnsi="Verdana"/>
          <w:sz w:val="16"/>
          <w:szCs w:val="16"/>
          <w:lang w:val="es-CR"/>
        </w:rPr>
        <w:t>rtículos 4.2 y 9 de la Convención Americana.</w:t>
      </w:r>
    </w:p>
  </w:footnote>
  <w:footnote w:id="124">
    <w:p w14:paraId="5F2CF8E7" w14:textId="0BF27893" w:rsidR="00A52322" w:rsidRPr="003C3B89" w:rsidRDefault="00A52322" w:rsidP="00AD1ACF">
      <w:pPr>
        <w:pStyle w:val="Textonotapie"/>
      </w:pPr>
      <w:r w:rsidRPr="00273F38">
        <w:rPr>
          <w:rStyle w:val="Refdenotaalpie"/>
          <w:rFonts w:ascii="Verdana" w:hAnsi="Verdana"/>
          <w:sz w:val="16"/>
          <w:szCs w:val="16"/>
        </w:rPr>
        <w:footnoteRef/>
      </w:r>
      <w:r>
        <w:t xml:space="preserve">  </w:t>
      </w:r>
      <w:r>
        <w:tab/>
      </w:r>
      <w:r w:rsidRPr="003C3B89">
        <w:rPr>
          <w:rFonts w:ascii="Verdana" w:hAnsi="Verdana"/>
          <w:i/>
          <w:sz w:val="16"/>
          <w:szCs w:val="16"/>
        </w:rPr>
        <w:t xml:space="preserve">Cfr. </w:t>
      </w:r>
      <w:r w:rsidRPr="00143445">
        <w:rPr>
          <w:rFonts w:ascii="Verdana" w:hAnsi="Verdana"/>
          <w:i/>
          <w:sz w:val="16"/>
          <w:szCs w:val="16"/>
          <w:lang w:val="es-CR"/>
        </w:rPr>
        <w:t>Caso Martínez Coronado Vs. Guatemala</w:t>
      </w:r>
      <w:r w:rsidRPr="00143445">
        <w:rPr>
          <w:rFonts w:ascii="Verdana" w:hAnsi="Verdana"/>
          <w:sz w:val="16"/>
          <w:szCs w:val="16"/>
          <w:lang w:val="es-CR"/>
        </w:rPr>
        <w:t xml:space="preserve">. </w:t>
      </w:r>
      <w:r w:rsidRPr="00143445">
        <w:rPr>
          <w:rFonts w:ascii="Verdana" w:hAnsi="Verdana"/>
          <w:i/>
          <w:sz w:val="16"/>
          <w:szCs w:val="16"/>
          <w:lang w:val="es-CR"/>
        </w:rPr>
        <w:t>Fondo, Reparaciones y Costas.</w:t>
      </w:r>
      <w:r w:rsidRPr="00143445">
        <w:rPr>
          <w:rFonts w:ascii="Verdana" w:hAnsi="Verdana"/>
          <w:sz w:val="16"/>
          <w:szCs w:val="16"/>
          <w:lang w:val="es-CR"/>
        </w:rPr>
        <w:t xml:space="preserve"> Sentencia de 10 de mayo de 2019. Serie C No. 376, </w:t>
      </w:r>
      <w:r>
        <w:rPr>
          <w:rFonts w:ascii="Verdana" w:hAnsi="Verdana"/>
          <w:sz w:val="16"/>
          <w:szCs w:val="16"/>
          <w:lang w:val="es-CR"/>
        </w:rPr>
        <w:t>párrs. 62 a 67.</w:t>
      </w:r>
    </w:p>
  </w:footnote>
  <w:footnote w:id="125">
    <w:p w14:paraId="5B559A05" w14:textId="77777777" w:rsidR="00A52322" w:rsidRPr="003C3B89" w:rsidRDefault="00A52322" w:rsidP="003C3B89">
      <w:pPr>
        <w:pStyle w:val="Textonotapie"/>
        <w:jc w:val="both"/>
        <w:rPr>
          <w:rFonts w:ascii="Verdana" w:hAnsi="Verdana"/>
          <w:sz w:val="16"/>
          <w:szCs w:val="16"/>
          <w:lang w:val="es-CR"/>
        </w:rPr>
      </w:pPr>
      <w:r w:rsidRPr="003C3B89">
        <w:rPr>
          <w:rStyle w:val="Refdenotaalpie"/>
          <w:rFonts w:ascii="Verdana" w:hAnsi="Verdana"/>
          <w:sz w:val="16"/>
          <w:szCs w:val="16"/>
        </w:rPr>
        <w:footnoteRef/>
      </w:r>
      <w:r w:rsidRPr="003C3B89">
        <w:rPr>
          <w:rFonts w:ascii="Verdana" w:hAnsi="Verdana"/>
          <w:sz w:val="16"/>
          <w:szCs w:val="16"/>
        </w:rPr>
        <w:t xml:space="preserve"> </w:t>
      </w:r>
      <w:r w:rsidRPr="003C3B89">
        <w:rPr>
          <w:rFonts w:ascii="Verdana" w:hAnsi="Verdana"/>
          <w:sz w:val="16"/>
          <w:szCs w:val="16"/>
        </w:rPr>
        <w:tab/>
      </w:r>
      <w:r w:rsidRPr="00143445">
        <w:rPr>
          <w:rFonts w:ascii="Verdana" w:hAnsi="Verdana"/>
          <w:i/>
          <w:sz w:val="16"/>
          <w:szCs w:val="16"/>
          <w:lang w:val="es-CR"/>
        </w:rPr>
        <w:t xml:space="preserve">Cfr. Caso Fermín Ramírez Vs. Guatemala. Fondo, Reparaciones y Costas. </w:t>
      </w:r>
      <w:r w:rsidRPr="00143445">
        <w:rPr>
          <w:rFonts w:ascii="Verdana" w:hAnsi="Verdana"/>
          <w:sz w:val="16"/>
          <w:szCs w:val="16"/>
          <w:lang w:val="es-CR"/>
        </w:rPr>
        <w:t>Sentencia de 20 de junio de 2005. Serie C No. 126, párr. 95,</w:t>
      </w:r>
      <w:r w:rsidRPr="00143445">
        <w:rPr>
          <w:rFonts w:ascii="Verdana" w:hAnsi="Verdana"/>
          <w:i/>
          <w:sz w:val="16"/>
          <w:szCs w:val="16"/>
          <w:lang w:val="es-CR"/>
        </w:rPr>
        <w:t xml:space="preserve"> </w:t>
      </w:r>
      <w:r w:rsidRPr="00143445">
        <w:rPr>
          <w:rFonts w:ascii="Verdana" w:hAnsi="Verdana"/>
          <w:sz w:val="16"/>
          <w:szCs w:val="16"/>
          <w:lang w:val="es-CR"/>
        </w:rPr>
        <w:t>y</w:t>
      </w:r>
      <w:r w:rsidRPr="00143445">
        <w:rPr>
          <w:rFonts w:ascii="Verdana" w:hAnsi="Verdana"/>
          <w:i/>
          <w:sz w:val="16"/>
          <w:szCs w:val="16"/>
          <w:lang w:val="es-CR"/>
        </w:rPr>
        <w:t xml:space="preserve"> Caso Martínez Coronado Vs. Guatemala</w:t>
      </w:r>
      <w:r>
        <w:rPr>
          <w:rFonts w:ascii="Verdana" w:hAnsi="Verdana"/>
          <w:sz w:val="16"/>
          <w:szCs w:val="16"/>
          <w:lang w:val="es-CR"/>
        </w:rPr>
        <w:t xml:space="preserve">, </w:t>
      </w:r>
      <w:r w:rsidRPr="005924A6">
        <w:rPr>
          <w:rFonts w:ascii="Verdana" w:hAnsi="Verdana"/>
          <w:i/>
          <w:sz w:val="16"/>
          <w:szCs w:val="16"/>
          <w:lang w:val="es-CR"/>
        </w:rPr>
        <w:t>supra,</w:t>
      </w:r>
      <w:r w:rsidRPr="00143445">
        <w:rPr>
          <w:rFonts w:ascii="Verdana" w:hAnsi="Verdana"/>
          <w:sz w:val="16"/>
          <w:szCs w:val="16"/>
          <w:lang w:val="es-CR"/>
        </w:rPr>
        <w:t xml:space="preserve"> párr. 70.</w:t>
      </w:r>
    </w:p>
  </w:footnote>
  <w:footnote w:id="126">
    <w:p w14:paraId="7E02A56D" w14:textId="77777777" w:rsidR="00A52322" w:rsidRPr="00143445" w:rsidRDefault="00A52322" w:rsidP="00143445">
      <w:pPr>
        <w:pStyle w:val="Textonotapie"/>
        <w:jc w:val="both"/>
        <w:rPr>
          <w:rFonts w:ascii="Verdana" w:hAnsi="Verdana"/>
          <w:sz w:val="16"/>
          <w:szCs w:val="16"/>
          <w:lang w:val="es-CR"/>
        </w:rPr>
      </w:pPr>
      <w:r w:rsidRPr="00143445">
        <w:rPr>
          <w:rStyle w:val="Refdenotaalpie"/>
          <w:rFonts w:ascii="Verdana" w:hAnsi="Verdana"/>
          <w:sz w:val="16"/>
          <w:szCs w:val="16"/>
        </w:rPr>
        <w:footnoteRef/>
      </w:r>
      <w:r w:rsidRPr="00143445">
        <w:rPr>
          <w:rFonts w:ascii="Verdana" w:hAnsi="Verdana"/>
          <w:sz w:val="16"/>
          <w:szCs w:val="16"/>
          <w:lang w:val="es-CR"/>
        </w:rPr>
        <w:t xml:space="preserve">  </w:t>
      </w:r>
      <w:r w:rsidRPr="00143445">
        <w:rPr>
          <w:rFonts w:ascii="Verdana" w:hAnsi="Verdana"/>
          <w:sz w:val="16"/>
          <w:szCs w:val="16"/>
          <w:lang w:val="es-CR"/>
        </w:rPr>
        <w:tab/>
      </w:r>
      <w:r w:rsidRPr="00143445">
        <w:rPr>
          <w:rFonts w:ascii="Verdana" w:hAnsi="Verdana"/>
          <w:i/>
          <w:sz w:val="16"/>
          <w:szCs w:val="16"/>
          <w:lang w:val="es-CR"/>
        </w:rPr>
        <w:t>Cfr. Caso Fermín Ramírez Vs. Guatemala</w:t>
      </w:r>
      <w:r>
        <w:rPr>
          <w:rFonts w:ascii="Verdana" w:hAnsi="Verdana"/>
          <w:i/>
          <w:sz w:val="16"/>
          <w:szCs w:val="16"/>
          <w:lang w:val="es-CR"/>
        </w:rPr>
        <w:t>, supra</w:t>
      </w:r>
      <w:r w:rsidRPr="00143445">
        <w:rPr>
          <w:rFonts w:ascii="Verdana" w:hAnsi="Verdana"/>
          <w:sz w:val="16"/>
          <w:szCs w:val="16"/>
          <w:lang w:val="es-CR"/>
        </w:rPr>
        <w:t>, párrs. 90, 93 a 98</w:t>
      </w:r>
      <w:r w:rsidRPr="00143445">
        <w:rPr>
          <w:rFonts w:ascii="Verdana" w:hAnsi="Verdana"/>
          <w:i/>
          <w:sz w:val="16"/>
          <w:szCs w:val="16"/>
          <w:lang w:val="es-CR"/>
        </w:rPr>
        <w:t xml:space="preserve">, </w:t>
      </w:r>
      <w:r w:rsidRPr="00143445">
        <w:rPr>
          <w:rFonts w:ascii="Verdana" w:hAnsi="Verdana"/>
          <w:sz w:val="16"/>
          <w:szCs w:val="16"/>
          <w:lang w:val="es-CR"/>
        </w:rPr>
        <w:t xml:space="preserve">y </w:t>
      </w:r>
      <w:r w:rsidRPr="00143445">
        <w:rPr>
          <w:rFonts w:ascii="Verdana" w:hAnsi="Verdana"/>
          <w:i/>
          <w:sz w:val="16"/>
          <w:szCs w:val="16"/>
          <w:lang w:val="es-CR"/>
        </w:rPr>
        <w:t>Caso Martínez Coronado Vs. Guatemala</w:t>
      </w:r>
      <w:r>
        <w:rPr>
          <w:rFonts w:ascii="Verdana" w:hAnsi="Verdana"/>
          <w:sz w:val="16"/>
          <w:szCs w:val="16"/>
          <w:lang w:val="es-CR"/>
        </w:rPr>
        <w:t xml:space="preserve">, </w:t>
      </w:r>
      <w:r w:rsidRPr="005924A6">
        <w:rPr>
          <w:rFonts w:ascii="Verdana" w:hAnsi="Verdana"/>
          <w:i/>
          <w:sz w:val="16"/>
          <w:szCs w:val="16"/>
          <w:lang w:val="es-CR"/>
        </w:rPr>
        <w:t xml:space="preserve">supra, </w:t>
      </w:r>
      <w:r w:rsidRPr="00ED265F">
        <w:rPr>
          <w:rFonts w:ascii="Verdana" w:hAnsi="Verdana"/>
          <w:sz w:val="16"/>
          <w:szCs w:val="16"/>
          <w:lang w:val="es-CR"/>
        </w:rPr>
        <w:t>párr.</w:t>
      </w:r>
      <w:r w:rsidRPr="00143445">
        <w:rPr>
          <w:rFonts w:ascii="Verdana" w:hAnsi="Verdana"/>
          <w:sz w:val="16"/>
          <w:szCs w:val="16"/>
          <w:lang w:val="es-CR"/>
        </w:rPr>
        <w:t xml:space="preserve"> 69.</w:t>
      </w:r>
    </w:p>
  </w:footnote>
  <w:footnote w:id="127">
    <w:p w14:paraId="4FE58651" w14:textId="77777777" w:rsidR="00A52322" w:rsidRPr="009D0D31" w:rsidRDefault="00A52322">
      <w:pPr>
        <w:pStyle w:val="Textonotapie"/>
        <w:rPr>
          <w:rFonts w:ascii="Verdana" w:hAnsi="Verdana"/>
          <w:sz w:val="16"/>
          <w:szCs w:val="16"/>
        </w:rPr>
      </w:pPr>
      <w:r w:rsidRPr="009D0D31">
        <w:rPr>
          <w:rStyle w:val="Refdenotaalpie"/>
          <w:rFonts w:ascii="Verdana" w:hAnsi="Verdana"/>
          <w:sz w:val="16"/>
          <w:szCs w:val="16"/>
        </w:rPr>
        <w:footnoteRef/>
      </w:r>
      <w:r w:rsidRPr="009D0D31">
        <w:rPr>
          <w:rFonts w:ascii="Verdana" w:hAnsi="Verdana"/>
          <w:sz w:val="16"/>
          <w:szCs w:val="16"/>
        </w:rPr>
        <w:t xml:space="preserve"> </w:t>
      </w:r>
      <w:r w:rsidRPr="009D0D31">
        <w:rPr>
          <w:rFonts w:ascii="Verdana" w:hAnsi="Verdana"/>
          <w:sz w:val="16"/>
          <w:szCs w:val="16"/>
        </w:rPr>
        <w:tab/>
      </w:r>
      <w:r w:rsidRPr="00DF5CC8">
        <w:rPr>
          <w:rFonts w:ascii="Verdana" w:hAnsi="Verdana"/>
          <w:sz w:val="16"/>
          <w:szCs w:val="16"/>
        </w:rPr>
        <w:t>A</w:t>
      </w:r>
      <w:r w:rsidRPr="00252E25">
        <w:rPr>
          <w:rFonts w:ascii="Verdana" w:hAnsi="Verdana"/>
          <w:sz w:val="16"/>
          <w:szCs w:val="16"/>
          <w:lang w:val="es-CR"/>
        </w:rPr>
        <w:t>rtículo 4 de la Convención Americana.</w:t>
      </w:r>
    </w:p>
  </w:footnote>
  <w:footnote w:id="128">
    <w:p w14:paraId="335EBB60" w14:textId="77777777" w:rsidR="00A52322" w:rsidRPr="00A922FC" w:rsidRDefault="00A52322" w:rsidP="003C3EE6">
      <w:pPr>
        <w:pStyle w:val="Textonotapie"/>
        <w:jc w:val="both"/>
        <w:rPr>
          <w:rFonts w:ascii="Verdana" w:hAnsi="Verdana"/>
          <w:sz w:val="16"/>
          <w:szCs w:val="16"/>
          <w:lang w:val="es-CR"/>
        </w:rPr>
      </w:pPr>
      <w:r w:rsidRPr="00A922FC">
        <w:rPr>
          <w:rStyle w:val="Refdenotaalpie"/>
          <w:rFonts w:ascii="Verdana" w:eastAsia="Verdana" w:hAnsi="Verdana" w:cs="Verdana"/>
          <w:sz w:val="16"/>
          <w:szCs w:val="16"/>
          <w:lang w:val="es-ES_tradnl"/>
        </w:rPr>
        <w:footnoteRef/>
      </w:r>
      <w:r w:rsidRPr="00A922FC">
        <w:rPr>
          <w:rFonts w:ascii="Verdana" w:hAnsi="Verdana"/>
          <w:sz w:val="16"/>
          <w:szCs w:val="16"/>
          <w:lang w:val="es-ES_tradnl"/>
        </w:rPr>
        <w:t xml:space="preserve"> </w:t>
      </w:r>
      <w:r w:rsidRPr="00A922FC">
        <w:rPr>
          <w:rFonts w:ascii="Verdana" w:eastAsia="Verdana" w:hAnsi="Verdana" w:cs="Verdana"/>
          <w:sz w:val="16"/>
          <w:szCs w:val="16"/>
          <w:lang w:val="es-ES_tradnl"/>
        </w:rPr>
        <w:tab/>
      </w:r>
      <w:r w:rsidRPr="001E3DB9">
        <w:rPr>
          <w:rFonts w:ascii="Verdana" w:hAnsi="Verdana"/>
          <w:i/>
          <w:iCs/>
          <w:sz w:val="16"/>
          <w:szCs w:val="16"/>
          <w:lang w:val="es-ES_tradnl"/>
        </w:rPr>
        <w:t>Cfr. Caso Velásquez Rodríguez Vs. Honduras</w:t>
      </w:r>
      <w:r>
        <w:rPr>
          <w:rFonts w:ascii="Verdana" w:hAnsi="Verdana"/>
          <w:i/>
          <w:iCs/>
          <w:sz w:val="16"/>
          <w:szCs w:val="16"/>
          <w:lang w:val="es-ES_tradnl"/>
        </w:rPr>
        <w:t>, supra</w:t>
      </w:r>
      <w:r w:rsidRPr="001E3DB9">
        <w:rPr>
          <w:rFonts w:ascii="Verdana" w:hAnsi="Verdana"/>
          <w:sz w:val="16"/>
          <w:szCs w:val="16"/>
          <w:lang w:val="es-ES_tradnl"/>
        </w:rPr>
        <w:t>, párrs. 130 y 131, y C</w:t>
      </w:r>
      <w:r w:rsidRPr="001E3DB9">
        <w:rPr>
          <w:rFonts w:ascii="Verdana" w:hAnsi="Verdana"/>
          <w:i/>
          <w:iCs/>
          <w:sz w:val="16"/>
          <w:szCs w:val="16"/>
          <w:lang w:val="es-ES_tradnl"/>
        </w:rPr>
        <w:t>aso</w:t>
      </w:r>
      <w:r>
        <w:rPr>
          <w:rFonts w:ascii="Verdana" w:hAnsi="Verdana"/>
          <w:i/>
          <w:iCs/>
          <w:sz w:val="16"/>
          <w:szCs w:val="16"/>
          <w:lang w:val="es-ES_tradnl"/>
        </w:rPr>
        <w:t xml:space="preserve"> </w:t>
      </w:r>
      <w:r w:rsidRPr="001E3DB9">
        <w:rPr>
          <w:rFonts w:ascii="Verdana" w:hAnsi="Verdana"/>
          <w:i/>
          <w:iCs/>
          <w:sz w:val="16"/>
          <w:szCs w:val="16"/>
          <w:lang w:val="es-ES_tradnl"/>
        </w:rPr>
        <w:t>Arrom Suhurt y otros Vs. Paraguay</w:t>
      </w:r>
      <w:r>
        <w:rPr>
          <w:rFonts w:ascii="Verdana" w:hAnsi="Verdana"/>
          <w:i/>
          <w:iCs/>
          <w:sz w:val="16"/>
          <w:szCs w:val="16"/>
          <w:lang w:val="es-CR"/>
        </w:rPr>
        <w:t>, supra</w:t>
      </w:r>
      <w:r w:rsidRPr="001E3DB9">
        <w:rPr>
          <w:rFonts w:ascii="Verdana" w:hAnsi="Verdana"/>
          <w:iCs/>
          <w:sz w:val="16"/>
          <w:szCs w:val="16"/>
          <w:lang w:val="es-CR"/>
        </w:rPr>
        <w:t>,</w:t>
      </w:r>
      <w:r w:rsidRPr="001E3DB9">
        <w:rPr>
          <w:rFonts w:ascii="Verdana" w:hAnsi="Verdana"/>
          <w:i/>
          <w:iCs/>
          <w:sz w:val="16"/>
          <w:szCs w:val="16"/>
          <w:lang w:val="es-CR"/>
        </w:rPr>
        <w:t xml:space="preserve"> </w:t>
      </w:r>
      <w:r w:rsidRPr="001E3DB9">
        <w:rPr>
          <w:rFonts w:ascii="Verdana" w:hAnsi="Verdana"/>
          <w:sz w:val="16"/>
          <w:szCs w:val="16"/>
          <w:lang w:val="es-ES_tradnl"/>
        </w:rPr>
        <w:t>párr. 95.</w:t>
      </w:r>
    </w:p>
  </w:footnote>
  <w:footnote w:id="129">
    <w:p w14:paraId="54472592" w14:textId="77777777" w:rsidR="00A52322" w:rsidRPr="006F6D58" w:rsidRDefault="00A52322" w:rsidP="003C3EE6">
      <w:pPr>
        <w:pStyle w:val="Textonotapie"/>
        <w:jc w:val="both"/>
        <w:rPr>
          <w:rFonts w:ascii="Verdana" w:hAnsi="Verdana"/>
          <w:i/>
          <w:iCs/>
          <w:sz w:val="16"/>
          <w:szCs w:val="16"/>
          <w:lang w:val="es-ES_tradnl"/>
        </w:rPr>
      </w:pPr>
      <w:r w:rsidRPr="0060326C">
        <w:rPr>
          <w:rStyle w:val="Refdenotaalpie"/>
          <w:rFonts w:ascii="Verdana" w:eastAsia="Verdana" w:hAnsi="Verdana" w:cs="Verdana"/>
          <w:iCs/>
          <w:sz w:val="16"/>
          <w:szCs w:val="16"/>
          <w:lang w:val="es-ES_tradnl"/>
        </w:rPr>
        <w:footnoteRef/>
      </w:r>
      <w:r w:rsidRPr="00A922FC">
        <w:rPr>
          <w:rFonts w:ascii="Verdana" w:hAnsi="Verdana"/>
          <w:i/>
          <w:iCs/>
          <w:sz w:val="16"/>
          <w:szCs w:val="16"/>
          <w:lang w:val="es-ES_tradnl"/>
        </w:rPr>
        <w:t xml:space="preserve"> </w:t>
      </w:r>
      <w:r w:rsidRPr="00A922FC">
        <w:rPr>
          <w:rFonts w:ascii="Verdana" w:eastAsia="Verdana" w:hAnsi="Verdana" w:cs="Verdana"/>
          <w:i/>
          <w:iCs/>
          <w:sz w:val="16"/>
          <w:szCs w:val="16"/>
          <w:lang w:val="es-ES_tradnl"/>
        </w:rPr>
        <w:tab/>
      </w:r>
      <w:r w:rsidRPr="001E3DB9">
        <w:rPr>
          <w:rFonts w:ascii="Verdana" w:hAnsi="Verdana"/>
          <w:i/>
          <w:iCs/>
          <w:sz w:val="16"/>
          <w:szCs w:val="16"/>
          <w:lang w:val="es-ES_tradnl"/>
        </w:rPr>
        <w:t>Cfr. Caso Velásquez Rodríguez Vs. Honduras</w:t>
      </w:r>
      <w:r>
        <w:rPr>
          <w:rFonts w:ascii="Verdana" w:hAnsi="Verdana"/>
          <w:i/>
          <w:iCs/>
          <w:sz w:val="16"/>
          <w:szCs w:val="16"/>
          <w:lang w:val="es-ES_tradnl"/>
        </w:rPr>
        <w:t>, supra</w:t>
      </w:r>
      <w:r w:rsidRPr="001E3DB9">
        <w:rPr>
          <w:rFonts w:ascii="Verdana" w:hAnsi="Verdana"/>
          <w:sz w:val="16"/>
          <w:szCs w:val="16"/>
          <w:lang w:val="es-ES_tradnl"/>
        </w:rPr>
        <w:t>, párr. 135,</w:t>
      </w:r>
      <w:r w:rsidRPr="001E3DB9">
        <w:rPr>
          <w:rFonts w:ascii="Verdana" w:hAnsi="Verdana"/>
          <w:sz w:val="16"/>
          <w:szCs w:val="16"/>
          <w:lang w:val="es-CR"/>
        </w:rPr>
        <w:t xml:space="preserve"> y </w:t>
      </w:r>
      <w:r w:rsidRPr="001E3DB9">
        <w:rPr>
          <w:rFonts w:ascii="Verdana" w:hAnsi="Verdana"/>
          <w:i/>
          <w:sz w:val="16"/>
          <w:szCs w:val="16"/>
          <w:lang w:val="es-CR"/>
        </w:rPr>
        <w:t xml:space="preserve">Caso </w:t>
      </w:r>
      <w:r w:rsidRPr="001E3DB9">
        <w:rPr>
          <w:rFonts w:ascii="Verdana" w:hAnsi="Verdana"/>
          <w:i/>
          <w:iCs/>
          <w:sz w:val="16"/>
          <w:szCs w:val="16"/>
          <w:lang w:val="es-ES_tradnl"/>
        </w:rPr>
        <w:t>Arrom Suhurt y otros Vs. Paraguay</w:t>
      </w:r>
      <w:r>
        <w:rPr>
          <w:rFonts w:ascii="Verdana" w:hAnsi="Verdana"/>
          <w:i/>
          <w:iCs/>
          <w:sz w:val="16"/>
          <w:szCs w:val="16"/>
          <w:lang w:val="es-CR"/>
        </w:rPr>
        <w:t>, supra</w:t>
      </w:r>
      <w:r w:rsidRPr="001E3DB9">
        <w:rPr>
          <w:rFonts w:ascii="Verdana" w:hAnsi="Verdana"/>
          <w:iCs/>
          <w:sz w:val="16"/>
          <w:szCs w:val="16"/>
          <w:lang w:val="es-CR"/>
        </w:rPr>
        <w:t>,</w:t>
      </w:r>
      <w:r w:rsidRPr="001E3DB9">
        <w:rPr>
          <w:rFonts w:ascii="Verdana" w:hAnsi="Verdana"/>
          <w:i/>
          <w:iCs/>
          <w:sz w:val="16"/>
          <w:szCs w:val="16"/>
          <w:lang w:val="es-CR"/>
        </w:rPr>
        <w:t xml:space="preserve"> </w:t>
      </w:r>
      <w:r w:rsidRPr="001E3DB9">
        <w:rPr>
          <w:rFonts w:ascii="Verdana" w:hAnsi="Verdana"/>
          <w:sz w:val="16"/>
          <w:szCs w:val="16"/>
          <w:lang w:val="es-ES_tradnl"/>
        </w:rPr>
        <w:t>párr.</w:t>
      </w:r>
      <w:r w:rsidRPr="001E3DB9">
        <w:rPr>
          <w:rFonts w:ascii="Verdana" w:hAnsi="Verdana"/>
          <w:iCs/>
          <w:sz w:val="16"/>
          <w:szCs w:val="16"/>
          <w:lang w:val="es-ES_tradnl"/>
        </w:rPr>
        <w:t xml:space="preserve"> 95.</w:t>
      </w:r>
      <w:r>
        <w:rPr>
          <w:rFonts w:ascii="Verdana" w:hAnsi="Verdana"/>
          <w:i/>
          <w:iCs/>
          <w:sz w:val="16"/>
          <w:szCs w:val="16"/>
          <w:lang w:val="es-ES_tradnl"/>
        </w:rPr>
        <w:t xml:space="preserve"> </w:t>
      </w:r>
    </w:p>
  </w:footnote>
  <w:footnote w:id="130">
    <w:p w14:paraId="487927C2" w14:textId="77777777" w:rsidR="00A52322" w:rsidRPr="001B490B" w:rsidRDefault="00A52322" w:rsidP="00CC229B">
      <w:pPr>
        <w:pStyle w:val="Textonotapie"/>
        <w:jc w:val="both"/>
        <w:rPr>
          <w:rFonts w:ascii="Verdana" w:hAnsi="Verdana"/>
          <w:strike/>
          <w:sz w:val="16"/>
          <w:szCs w:val="16"/>
        </w:rPr>
      </w:pPr>
      <w:r w:rsidRPr="00A922FC">
        <w:rPr>
          <w:rStyle w:val="Refdenotaalpie"/>
          <w:rFonts w:ascii="Verdana" w:hAnsi="Verdana"/>
          <w:sz w:val="16"/>
          <w:szCs w:val="16"/>
        </w:rPr>
        <w:footnoteRef/>
      </w:r>
      <w:r w:rsidRPr="00A922FC">
        <w:rPr>
          <w:rFonts w:ascii="Verdana" w:hAnsi="Verdana"/>
          <w:sz w:val="16"/>
          <w:szCs w:val="16"/>
        </w:rPr>
        <w:t xml:space="preserve"> </w:t>
      </w:r>
      <w:r w:rsidRPr="00A922FC">
        <w:rPr>
          <w:rFonts w:ascii="Verdana" w:hAnsi="Verdana"/>
          <w:sz w:val="16"/>
          <w:szCs w:val="16"/>
        </w:rPr>
        <w:tab/>
      </w:r>
      <w:r w:rsidRPr="00A922FC">
        <w:rPr>
          <w:rFonts w:ascii="Verdana" w:hAnsi="Verdana"/>
          <w:sz w:val="16"/>
          <w:szCs w:val="16"/>
          <w:lang w:val="es-CR"/>
        </w:rPr>
        <w:t xml:space="preserve">Tales como: a) que una oficial de policía, que participó en la “Operación Gavilán”, declaró que en el marco de esta operación se les había dado la orden directa de que “los que estaban por delitos de impacto […] no tenían que regresar nuevamente a la cárcel”; b) a nivel interno al menos tres agentes que participaron en el </w:t>
      </w:r>
      <w:r>
        <w:rPr>
          <w:rFonts w:ascii="Verdana" w:hAnsi="Verdana"/>
          <w:sz w:val="16"/>
          <w:szCs w:val="16"/>
          <w:lang w:val="es-CR"/>
        </w:rPr>
        <w:t>“</w:t>
      </w:r>
      <w:r w:rsidRPr="00A922FC">
        <w:rPr>
          <w:rFonts w:ascii="Verdana" w:hAnsi="Verdana"/>
          <w:sz w:val="16"/>
          <w:szCs w:val="16"/>
          <w:lang w:val="es-CR"/>
        </w:rPr>
        <w:t>Plan Gavilán</w:t>
      </w:r>
      <w:r>
        <w:rPr>
          <w:rFonts w:ascii="Verdana" w:hAnsi="Verdana"/>
          <w:sz w:val="16"/>
          <w:szCs w:val="16"/>
          <w:lang w:val="es-CR"/>
        </w:rPr>
        <w:t>”</w:t>
      </w:r>
      <w:r w:rsidRPr="00A922FC">
        <w:rPr>
          <w:rFonts w:ascii="Verdana" w:hAnsi="Verdana"/>
          <w:sz w:val="16"/>
          <w:szCs w:val="16"/>
          <w:lang w:val="es-CR"/>
        </w:rPr>
        <w:t xml:space="preserve">, fueron condenados por cometer ejecuciones extrajudiciales en el marco del mismo. Así por ejemplo, el 8 de agosto de 2013 fue condenado el ex jefe de Investigación Criminal de la Policía Nacional Civil, por el delito de ejecución extrajudicial de siete privados de libertad de </w:t>
      </w:r>
      <w:r w:rsidRPr="00A922FC">
        <w:rPr>
          <w:rFonts w:ascii="Verdana" w:hAnsi="Verdana" w:cs="Calibri"/>
          <w:sz w:val="16"/>
          <w:szCs w:val="16"/>
          <w:lang w:val="es-CR"/>
        </w:rPr>
        <w:t xml:space="preserve">la Granja Penal de Pavón </w:t>
      </w:r>
      <w:r w:rsidRPr="00A922FC">
        <w:rPr>
          <w:rFonts w:ascii="Verdana" w:hAnsi="Verdana"/>
          <w:sz w:val="16"/>
          <w:szCs w:val="16"/>
          <w:lang w:val="es-CR"/>
        </w:rPr>
        <w:t>y tres privados de libertad de la cárcel de máxima seguridad “El Infiernito” ocurridos entre el año 2005 y 2006. “Según la CICIG en [dicha] sentencia […] el [t]ribunal consideró ‘evidente la injerencia que hubo de las autoridades en las acciones realizadas para la ejecución extrajudicial de los prófugos’”</w:t>
      </w:r>
      <w:r>
        <w:rPr>
          <w:rFonts w:ascii="Verdana" w:hAnsi="Verdana"/>
          <w:sz w:val="16"/>
          <w:szCs w:val="16"/>
          <w:lang w:val="es-CR"/>
        </w:rPr>
        <w:t>.</w:t>
      </w:r>
      <w:r w:rsidRPr="00A922FC">
        <w:rPr>
          <w:rFonts w:ascii="Verdana" w:hAnsi="Verdana"/>
          <w:sz w:val="16"/>
          <w:szCs w:val="16"/>
          <w:lang w:val="es-CR"/>
        </w:rPr>
        <w:t xml:space="preserve"> Además, la Comisión y los representantes alegaron que existen indicios de un posible encubrimiento por parte del Estado, al no haber sido entregado el cadáver del señor Valenzuela a sus familiares, ya que según señalaron agentes estatales, ello era debido por su actuar delictivo y que era necesario efectuar investigaciones. </w:t>
      </w:r>
    </w:p>
  </w:footnote>
  <w:footnote w:id="131">
    <w:p w14:paraId="6AF70F85" w14:textId="174B7C43" w:rsidR="00A52322" w:rsidRPr="000E33CE" w:rsidRDefault="00A52322" w:rsidP="00DB1C8D">
      <w:pPr>
        <w:autoSpaceDE w:val="0"/>
        <w:autoSpaceDN w:val="0"/>
        <w:adjustRightInd w:val="0"/>
        <w:spacing w:after="0" w:line="240" w:lineRule="auto"/>
        <w:jc w:val="both"/>
        <w:rPr>
          <w:rFonts w:ascii="Verdana" w:hAnsi="Verdana" w:cs="Calibri"/>
          <w:sz w:val="16"/>
          <w:szCs w:val="16"/>
        </w:rPr>
      </w:pPr>
      <w:r w:rsidRPr="00DB1C8D">
        <w:rPr>
          <w:rStyle w:val="Refdenotaalpie"/>
          <w:rFonts w:ascii="Verdana" w:hAnsi="Verdana"/>
          <w:sz w:val="16"/>
          <w:szCs w:val="16"/>
        </w:rPr>
        <w:footnoteRef/>
      </w:r>
      <w:r w:rsidRPr="00DB1C8D">
        <w:rPr>
          <w:rFonts w:ascii="Verdana" w:hAnsi="Verdana"/>
          <w:sz w:val="16"/>
          <w:szCs w:val="16"/>
        </w:rPr>
        <w:t xml:space="preserve"> </w:t>
      </w:r>
      <w:r w:rsidRPr="000E33CE">
        <w:rPr>
          <w:rFonts w:ascii="Verdana" w:hAnsi="Verdana"/>
          <w:sz w:val="16"/>
          <w:szCs w:val="16"/>
        </w:rPr>
        <w:tab/>
        <w:t>La señora Florinda López de López, madre del señor Valenzuela, en su declaración rendida ante el Municipio de Santa Lucía de Cotzumalguapa, el 2 de septiembre de 2009, señaló que ella tomó conocimiento de la muerte de su hijo el 8 de diciembre de 2006 por medio de una noticia. Entonces el domingo 10 de diciembre de 2006 se acercó al lugar donde pudo reconocer su cadáver. Asimismo, indicó que pidió “al encargado de dicha morgue que [l]e entregara el cuerpo de […su] hijo […], [pero no se lo entregaron,] porque no llevaba cédula donde podía identificar[arlo], as[im]ismo […precisó que]  […fue] al Ministerio Público [a] ped[ir] que [le] dieran el cuerpo de [su] hijo para poderlo trasladar al parcelamiento Caballo Blanco lugar donde viv[ió], pero [le] negaron el traslado, argumentando que tenían órdenes de no entregar el cadáver” (</w:t>
      </w:r>
      <w:r>
        <w:rPr>
          <w:rFonts w:ascii="Verdana" w:hAnsi="Verdana"/>
          <w:sz w:val="16"/>
          <w:szCs w:val="16"/>
          <w:lang w:val="es-CR"/>
        </w:rPr>
        <w:t xml:space="preserve">Declaración </w:t>
      </w:r>
      <w:r w:rsidRPr="00912266">
        <w:rPr>
          <w:rFonts w:ascii="Verdana" w:hAnsi="Verdana"/>
          <w:sz w:val="16"/>
          <w:szCs w:val="16"/>
          <w:lang w:val="es-CR"/>
        </w:rPr>
        <w:t>testimonial de Florinda Ávila</w:t>
      </w:r>
      <w:r>
        <w:rPr>
          <w:rFonts w:ascii="Verdana" w:hAnsi="Verdana"/>
          <w:sz w:val="16"/>
          <w:szCs w:val="16"/>
          <w:lang w:val="es-CR"/>
        </w:rPr>
        <w:t xml:space="preserve"> (Florinda López de López), </w:t>
      </w:r>
      <w:r w:rsidRPr="00273F38">
        <w:rPr>
          <w:rFonts w:ascii="Verdana" w:hAnsi="Verdana"/>
          <w:i/>
          <w:sz w:val="16"/>
          <w:szCs w:val="16"/>
          <w:lang w:val="es-CR"/>
        </w:rPr>
        <w:t>supra</w:t>
      </w:r>
      <w:r w:rsidRPr="000E33CE">
        <w:rPr>
          <w:rFonts w:ascii="Verdana" w:hAnsi="Verdana"/>
          <w:sz w:val="16"/>
          <w:szCs w:val="16"/>
        </w:rPr>
        <w:t>. Al respecto, la Corte nota que las aseveraciones realizadas por la madre del señor Valenzuela son concordantes con su declaración brindada ante este Tribunal en audiencia pública de 7 de marzo de 2019. En ese sentido, también el señor Saulo Daniel Ruiz, cuñado del señor Valenzuela, en</w:t>
      </w:r>
      <w:r>
        <w:rPr>
          <w:rFonts w:ascii="Verdana" w:hAnsi="Verdana"/>
          <w:sz w:val="16"/>
          <w:szCs w:val="16"/>
        </w:rPr>
        <w:t xml:space="preserve"> </w:t>
      </w:r>
      <w:r w:rsidRPr="000E33CE">
        <w:rPr>
          <w:rFonts w:ascii="Verdana" w:hAnsi="Verdana"/>
          <w:sz w:val="16"/>
          <w:szCs w:val="16"/>
        </w:rPr>
        <w:t>su declaración rendida ante el Municipio de Santa Lucía, Cotzumalguapa el 9 de dic</w:t>
      </w:r>
      <w:r>
        <w:rPr>
          <w:rFonts w:ascii="Verdana" w:hAnsi="Verdana"/>
          <w:sz w:val="16"/>
          <w:szCs w:val="16"/>
        </w:rPr>
        <w:t xml:space="preserve">iembre de 2006 reconoció físicamente </w:t>
      </w:r>
      <w:r w:rsidRPr="000E33CE">
        <w:rPr>
          <w:rFonts w:ascii="Verdana" w:hAnsi="Verdana"/>
          <w:sz w:val="16"/>
          <w:szCs w:val="16"/>
        </w:rPr>
        <w:t>el cadáver del señor Valenzuela (</w:t>
      </w:r>
      <w:r w:rsidRPr="000E33CE">
        <w:rPr>
          <w:rFonts w:ascii="Verdana" w:hAnsi="Verdana"/>
          <w:i/>
          <w:sz w:val="16"/>
          <w:szCs w:val="16"/>
        </w:rPr>
        <w:t>Cfr.</w:t>
      </w:r>
      <w:r w:rsidRPr="000E33CE">
        <w:rPr>
          <w:rFonts w:ascii="Verdana" w:hAnsi="Verdana"/>
          <w:sz w:val="16"/>
          <w:szCs w:val="16"/>
        </w:rPr>
        <w:t xml:space="preserve"> Declaración de Saulo Daniel Ruiz, </w:t>
      </w:r>
      <w:r w:rsidRPr="000E33CE">
        <w:rPr>
          <w:rFonts w:ascii="Verdana" w:hAnsi="Verdana"/>
          <w:i/>
          <w:sz w:val="16"/>
          <w:szCs w:val="16"/>
        </w:rPr>
        <w:t>supra</w:t>
      </w:r>
      <w:r w:rsidRPr="000E33CE">
        <w:rPr>
          <w:rFonts w:ascii="Verdana" w:hAnsi="Verdana"/>
          <w:sz w:val="16"/>
          <w:szCs w:val="16"/>
        </w:rPr>
        <w:t>. Además, a través de un medio de prensa, el 10 de diciembre de 2006, se informó que “[u]n grupo de desconocidos asesinó a tiros a Tirso Román Valenzuela.” (</w:t>
      </w:r>
      <w:r w:rsidRPr="000E33CE">
        <w:rPr>
          <w:rFonts w:ascii="Verdana" w:hAnsi="Verdana"/>
          <w:i/>
          <w:sz w:val="16"/>
          <w:szCs w:val="16"/>
        </w:rPr>
        <w:t>Cfr</w:t>
      </w:r>
      <w:r w:rsidRPr="000E33CE">
        <w:rPr>
          <w:rFonts w:ascii="Verdana" w:hAnsi="Verdana"/>
          <w:sz w:val="16"/>
          <w:szCs w:val="16"/>
        </w:rPr>
        <w:t>. http://www.radiolaprimerisima.com/noticias/7234/asesinan-a-uno-de-los-principales-criminales-en-guatemala/).</w:t>
      </w:r>
    </w:p>
  </w:footnote>
  <w:footnote w:id="132">
    <w:p w14:paraId="6BE0A3FD" w14:textId="77777777" w:rsidR="00A52322" w:rsidRPr="00316EB1" w:rsidRDefault="00A52322" w:rsidP="00316EB1">
      <w:pPr>
        <w:pStyle w:val="Textonotapie"/>
        <w:jc w:val="both"/>
        <w:rPr>
          <w:rFonts w:ascii="Verdana" w:hAnsi="Verdana"/>
          <w:sz w:val="16"/>
          <w:szCs w:val="16"/>
        </w:rPr>
      </w:pPr>
      <w:r w:rsidRPr="000E33CE">
        <w:rPr>
          <w:rStyle w:val="Refdenotaalpie"/>
          <w:rFonts w:ascii="Verdana" w:hAnsi="Verdana"/>
          <w:sz w:val="16"/>
          <w:szCs w:val="16"/>
        </w:rPr>
        <w:footnoteRef/>
      </w:r>
      <w:r w:rsidRPr="000E33CE">
        <w:rPr>
          <w:rFonts w:ascii="Verdana" w:hAnsi="Verdana"/>
          <w:sz w:val="16"/>
          <w:szCs w:val="16"/>
        </w:rPr>
        <w:t xml:space="preserve">  </w:t>
      </w:r>
      <w:r w:rsidRPr="000E33CE">
        <w:rPr>
          <w:rFonts w:ascii="Verdana" w:hAnsi="Verdana"/>
          <w:sz w:val="16"/>
          <w:szCs w:val="16"/>
        </w:rPr>
        <w:tab/>
        <w:t xml:space="preserve">Declaraciones testimoniales de: PMV rendida ante Fiscalía Especial Contra la Impunidad de 23 de enero de 2019, </w:t>
      </w:r>
      <w:r w:rsidRPr="000E33CE">
        <w:rPr>
          <w:rFonts w:ascii="Verdana" w:hAnsi="Verdana"/>
          <w:i/>
          <w:sz w:val="16"/>
          <w:szCs w:val="16"/>
        </w:rPr>
        <w:t>supra</w:t>
      </w:r>
      <w:r w:rsidRPr="000E33CE">
        <w:rPr>
          <w:rFonts w:ascii="Verdana" w:hAnsi="Verdana"/>
          <w:sz w:val="16"/>
          <w:szCs w:val="16"/>
        </w:rPr>
        <w:t xml:space="preserve">; SPG rendida ante Fiscalía Especial Contra la Impunidad el 23 de noviembre de 2018, </w:t>
      </w:r>
      <w:r w:rsidRPr="000E33CE">
        <w:rPr>
          <w:rFonts w:ascii="Verdana" w:hAnsi="Verdana"/>
          <w:i/>
          <w:sz w:val="16"/>
          <w:szCs w:val="16"/>
        </w:rPr>
        <w:t>supra;</w:t>
      </w:r>
      <w:r w:rsidRPr="000E33CE">
        <w:rPr>
          <w:rFonts w:ascii="Verdana" w:hAnsi="Verdana"/>
          <w:sz w:val="16"/>
          <w:szCs w:val="16"/>
        </w:rPr>
        <w:t xml:space="preserve"> </w:t>
      </w:r>
      <w:r w:rsidRPr="000E33CE">
        <w:rPr>
          <w:rFonts w:ascii="Verdana" w:hAnsi="Verdana" w:cs="Calibri"/>
          <w:sz w:val="16"/>
          <w:szCs w:val="16"/>
          <w:lang w:val="es-CR"/>
        </w:rPr>
        <w:t xml:space="preserve">JTS ante la </w:t>
      </w:r>
      <w:r w:rsidRPr="000E33CE">
        <w:rPr>
          <w:rFonts w:ascii="Verdana" w:hAnsi="Verdana"/>
          <w:sz w:val="16"/>
          <w:szCs w:val="16"/>
        </w:rPr>
        <w:t>Sala de audiencia que ocupa el Juzgado Primero de Primera Instancia Penal de Mayor Riesgo “A”, del Municipio y Departamento de Guatemala</w:t>
      </w:r>
      <w:r w:rsidRPr="000E33CE">
        <w:rPr>
          <w:rFonts w:ascii="Verdana" w:hAnsi="Verdana" w:cs="Calibri"/>
          <w:sz w:val="16"/>
          <w:szCs w:val="16"/>
          <w:lang w:val="es-CR"/>
        </w:rPr>
        <w:t xml:space="preserve"> en la audiencia de primera declaración de 13 de noviembre de 2018, </w:t>
      </w:r>
      <w:r w:rsidRPr="000E33CE">
        <w:rPr>
          <w:rFonts w:ascii="Verdana" w:hAnsi="Verdana" w:cs="Calibri"/>
          <w:i/>
          <w:sz w:val="16"/>
          <w:szCs w:val="16"/>
          <w:lang w:val="es-CR"/>
        </w:rPr>
        <w:t>supra</w:t>
      </w:r>
      <w:r w:rsidRPr="000E33CE">
        <w:rPr>
          <w:rFonts w:ascii="Verdana" w:hAnsi="Verdana" w:cs="Calibri"/>
          <w:sz w:val="16"/>
          <w:szCs w:val="16"/>
          <w:lang w:val="es-CR"/>
        </w:rPr>
        <w:t>.</w:t>
      </w:r>
    </w:p>
  </w:footnote>
  <w:footnote w:id="133">
    <w:p w14:paraId="34454462" w14:textId="77777777" w:rsidR="00A52322" w:rsidRPr="00951FBA" w:rsidRDefault="00A52322" w:rsidP="00DC128C">
      <w:pPr>
        <w:autoSpaceDE w:val="0"/>
        <w:autoSpaceDN w:val="0"/>
        <w:adjustRightInd w:val="0"/>
        <w:spacing w:after="0" w:line="240" w:lineRule="auto"/>
        <w:jc w:val="both"/>
        <w:rPr>
          <w:rFonts w:ascii="Verdana" w:hAnsi="Verdana" w:cs="Calibri"/>
          <w:sz w:val="16"/>
          <w:szCs w:val="16"/>
          <w:lang w:val="es-CR"/>
        </w:rPr>
      </w:pPr>
      <w:r w:rsidRPr="00143445">
        <w:rPr>
          <w:rStyle w:val="Refdenotaalpie"/>
          <w:rFonts w:ascii="Verdana" w:hAnsi="Verdana"/>
          <w:sz w:val="16"/>
          <w:szCs w:val="16"/>
        </w:rPr>
        <w:footnoteRef/>
      </w:r>
      <w:r w:rsidRPr="00143445">
        <w:rPr>
          <w:rFonts w:ascii="Verdana" w:hAnsi="Verdana"/>
          <w:sz w:val="16"/>
          <w:szCs w:val="16"/>
          <w:lang w:val="es-CR"/>
        </w:rPr>
        <w:t xml:space="preserve"> </w:t>
      </w:r>
      <w:r w:rsidRPr="00143445">
        <w:rPr>
          <w:rFonts w:ascii="Verdana" w:hAnsi="Verdana"/>
          <w:sz w:val="16"/>
          <w:szCs w:val="16"/>
          <w:lang w:val="es-CR"/>
        </w:rPr>
        <w:tab/>
      </w:r>
      <w:r>
        <w:rPr>
          <w:rFonts w:ascii="Verdana" w:hAnsi="Verdana"/>
          <w:sz w:val="16"/>
          <w:szCs w:val="16"/>
          <w:lang w:val="es-CR"/>
        </w:rPr>
        <w:t xml:space="preserve">Sentencia del </w:t>
      </w:r>
      <w:r w:rsidRPr="00143445">
        <w:rPr>
          <w:rFonts w:ascii="Verdana" w:hAnsi="Verdana" w:cs="Calibri"/>
          <w:sz w:val="16"/>
          <w:szCs w:val="16"/>
          <w:lang w:val="es-CR"/>
        </w:rPr>
        <w:t xml:space="preserve">Tribunal Primero de Sentencia Penal, Narcoactividad y Delitos contra el Ambiente de Guatemala </w:t>
      </w:r>
      <w:r>
        <w:rPr>
          <w:rFonts w:ascii="Verdana" w:hAnsi="Verdana" w:cs="Calibri"/>
          <w:sz w:val="16"/>
          <w:szCs w:val="16"/>
          <w:lang w:val="es-CR"/>
        </w:rPr>
        <w:t>de</w:t>
      </w:r>
      <w:r w:rsidRPr="00143445">
        <w:rPr>
          <w:rFonts w:ascii="Verdana" w:hAnsi="Verdana" w:cs="Calibri"/>
          <w:sz w:val="16"/>
          <w:szCs w:val="16"/>
          <w:lang w:val="es-CR"/>
        </w:rPr>
        <w:t xml:space="preserve"> 8 de agosto de 2013</w:t>
      </w:r>
      <w:r>
        <w:rPr>
          <w:rFonts w:ascii="Verdana" w:hAnsi="Verdana" w:cs="Calibri"/>
          <w:sz w:val="16"/>
          <w:szCs w:val="16"/>
          <w:lang w:val="es-CR"/>
        </w:rPr>
        <w:t xml:space="preserve">, </w:t>
      </w:r>
      <w:r w:rsidRPr="0060326C">
        <w:rPr>
          <w:rFonts w:ascii="Verdana" w:hAnsi="Verdana" w:cs="Calibri"/>
          <w:i/>
          <w:sz w:val="16"/>
          <w:szCs w:val="16"/>
          <w:lang w:val="es-CR"/>
        </w:rPr>
        <w:t>supra</w:t>
      </w:r>
      <w:r w:rsidRPr="00B33DF0">
        <w:rPr>
          <w:rFonts w:ascii="Verdana" w:hAnsi="Verdana" w:cs="Calibri-Bold"/>
          <w:bCs/>
          <w:sz w:val="16"/>
          <w:szCs w:val="16"/>
          <w:lang w:val="es-CR"/>
        </w:rPr>
        <w:t>.</w:t>
      </w:r>
    </w:p>
  </w:footnote>
  <w:footnote w:id="134">
    <w:p w14:paraId="605D38DE" w14:textId="77777777" w:rsidR="00A52322" w:rsidRPr="0060326C" w:rsidRDefault="00A52322" w:rsidP="009D0D31">
      <w:pPr>
        <w:pStyle w:val="Textonotapie"/>
        <w:jc w:val="both"/>
      </w:pPr>
      <w:r>
        <w:rPr>
          <w:rStyle w:val="Refdenotaalpie"/>
        </w:rPr>
        <w:footnoteRef/>
      </w:r>
      <w:r>
        <w:t xml:space="preserve"> </w:t>
      </w:r>
      <w:r>
        <w:tab/>
      </w:r>
      <w:r w:rsidRPr="009D0D31">
        <w:rPr>
          <w:rFonts w:ascii="Verdana" w:hAnsi="Verdana"/>
          <w:sz w:val="16"/>
          <w:szCs w:val="16"/>
        </w:rPr>
        <w:t>Dictamen pericial del Instituto Nacional de Ciencias Forenses, Sección de Balística de 19 de noviembre de 2009 (expediente de anexos al ESAP, anexo 40, fs. 12237 a 12240)</w:t>
      </w:r>
      <w:r>
        <w:rPr>
          <w:rFonts w:ascii="Verdana" w:hAnsi="Verdana"/>
          <w:sz w:val="16"/>
          <w:szCs w:val="16"/>
        </w:rPr>
        <w:t>.</w:t>
      </w:r>
    </w:p>
  </w:footnote>
  <w:footnote w:id="135">
    <w:p w14:paraId="1AEDFC45" w14:textId="2ADF6C2C" w:rsidR="00A52322" w:rsidRPr="00EE5DE8" w:rsidRDefault="00A52322" w:rsidP="00143445">
      <w:pPr>
        <w:autoSpaceDE w:val="0"/>
        <w:autoSpaceDN w:val="0"/>
        <w:adjustRightInd w:val="0"/>
        <w:spacing w:after="0" w:line="240" w:lineRule="auto"/>
        <w:jc w:val="both"/>
        <w:rPr>
          <w:rFonts w:ascii="Verdana" w:hAnsi="Verdana"/>
          <w:sz w:val="16"/>
          <w:szCs w:val="16"/>
          <w:lang w:val="es-CR"/>
        </w:rPr>
      </w:pPr>
      <w:r w:rsidRPr="00B33DF0">
        <w:rPr>
          <w:rStyle w:val="Refdenotaalpie"/>
          <w:rFonts w:ascii="Verdana" w:hAnsi="Verdana"/>
          <w:sz w:val="16"/>
          <w:szCs w:val="16"/>
        </w:rPr>
        <w:footnoteRef/>
      </w:r>
      <w:r w:rsidRPr="00B33DF0">
        <w:rPr>
          <w:rFonts w:ascii="Verdana" w:hAnsi="Verdana"/>
          <w:sz w:val="16"/>
          <w:szCs w:val="16"/>
          <w:lang w:val="es-CR"/>
        </w:rPr>
        <w:t xml:space="preserve"> </w:t>
      </w:r>
      <w:r w:rsidRPr="00B33DF0">
        <w:rPr>
          <w:rFonts w:ascii="Verdana" w:hAnsi="Verdana"/>
          <w:sz w:val="16"/>
          <w:szCs w:val="16"/>
          <w:lang w:val="es-CR"/>
        </w:rPr>
        <w:tab/>
      </w:r>
      <w:r w:rsidRPr="00143445">
        <w:rPr>
          <w:rFonts w:ascii="Verdana" w:hAnsi="Verdana"/>
          <w:sz w:val="16"/>
          <w:szCs w:val="16"/>
          <w:lang w:val="es-CR"/>
        </w:rPr>
        <w:t xml:space="preserve">Tales como: no se acordonó la escena del crimen, no existe el trazo de un croquis de la escena; no hay descripción de método utilizado para la recolección de los indicios; no hubo cadena de custodia de los elementos recolectados; los cadáveres no fueron individualizados y marcados; deficiencias en la recolección de los indicios de balística, no se documenta que la posición de una moto que se encontró en la escena del crimen; las fotografías </w:t>
      </w:r>
      <w:r w:rsidRPr="00453123">
        <w:rPr>
          <w:rFonts w:ascii="Verdana" w:hAnsi="Verdana"/>
          <w:sz w:val="16"/>
          <w:szCs w:val="16"/>
          <w:lang w:val="es-CR"/>
        </w:rPr>
        <w:t>presentadas por el Ministerio Público en las que se toman en la morgue del Organismo Judicial presentan algunas deficiencias como que las fotografías numeradas no tienen un orden lógico, y fueron tomadas sin técnicas forenses,</w:t>
      </w:r>
      <w:r>
        <w:rPr>
          <w:rFonts w:ascii="Verdana" w:hAnsi="Verdana"/>
          <w:sz w:val="16"/>
          <w:szCs w:val="16"/>
          <w:lang w:val="es-CR"/>
        </w:rPr>
        <w:t xml:space="preserve"> no se embalaron las ropas;</w:t>
      </w:r>
      <w:r w:rsidRPr="00453123">
        <w:rPr>
          <w:rFonts w:ascii="Verdana" w:hAnsi="Verdana"/>
          <w:sz w:val="16"/>
          <w:szCs w:val="16"/>
          <w:lang w:val="es-CR"/>
        </w:rPr>
        <w:t xml:space="preserve"> hay una inadecuada descripción de las heridas, no se fotografiaron la necropsia ni video, no se tomaron muestras de sangre, ni de vísceras para los exámenes de toxicología que se deb</w:t>
      </w:r>
      <w:r>
        <w:rPr>
          <w:rFonts w:ascii="Verdana" w:hAnsi="Verdana"/>
          <w:sz w:val="16"/>
          <w:szCs w:val="16"/>
          <w:lang w:val="es-CR"/>
        </w:rPr>
        <w:t>e de hacer en muertes violentas;</w:t>
      </w:r>
      <w:r w:rsidRPr="00453123">
        <w:rPr>
          <w:rFonts w:ascii="Verdana" w:hAnsi="Verdana"/>
          <w:sz w:val="16"/>
          <w:szCs w:val="16"/>
          <w:lang w:val="es-CR"/>
        </w:rPr>
        <w:t xml:space="preserve"> en las conclusiones del protocolo de necropsias no vemos los objetivos principales de un protocolo que son la causa de la muerte, la data de la muerte, la identificación y de la manera de la muerte; no se realizó en la inspección ocular las técnicas forenses que son la fotografía el video y las tomas panorámicas, intermedia y de acercamiento, los indicios recabados en la escena del crimen como no existe esa fijación con las fotografías, el video y la planimetría no se pue</w:t>
      </w:r>
      <w:r>
        <w:rPr>
          <w:rFonts w:ascii="Verdana" w:hAnsi="Verdana"/>
          <w:sz w:val="16"/>
          <w:szCs w:val="16"/>
          <w:lang w:val="es-CR"/>
        </w:rPr>
        <w:t>de identificar su procedencia</w:t>
      </w:r>
      <w:r w:rsidRPr="00453123">
        <w:rPr>
          <w:rFonts w:ascii="Verdana" w:hAnsi="Verdana"/>
          <w:sz w:val="16"/>
          <w:szCs w:val="16"/>
          <w:lang w:val="es-CR"/>
        </w:rPr>
        <w:t>.</w:t>
      </w:r>
    </w:p>
  </w:footnote>
  <w:footnote w:id="136">
    <w:p w14:paraId="36F39A70" w14:textId="77777777" w:rsidR="00A52322" w:rsidRPr="00092AAF" w:rsidRDefault="00A52322">
      <w:pPr>
        <w:pStyle w:val="Textonotapie"/>
        <w:rPr>
          <w:rFonts w:ascii="Verdana" w:hAnsi="Verdana"/>
          <w:sz w:val="16"/>
          <w:szCs w:val="16"/>
        </w:rPr>
      </w:pPr>
      <w:r w:rsidRPr="00092AAF">
        <w:rPr>
          <w:rStyle w:val="Refdenotaalpie"/>
          <w:rFonts w:ascii="Verdana" w:hAnsi="Verdana"/>
          <w:sz w:val="16"/>
          <w:szCs w:val="16"/>
        </w:rPr>
        <w:footnoteRef/>
      </w:r>
      <w:r w:rsidRPr="00092AAF">
        <w:rPr>
          <w:rFonts w:ascii="Verdana" w:hAnsi="Verdana"/>
          <w:sz w:val="16"/>
          <w:szCs w:val="16"/>
        </w:rPr>
        <w:t xml:space="preserve">  </w:t>
      </w:r>
      <w:r>
        <w:rPr>
          <w:rFonts w:ascii="Verdana" w:hAnsi="Verdana"/>
          <w:sz w:val="16"/>
          <w:szCs w:val="16"/>
        </w:rPr>
        <w:tab/>
      </w:r>
      <w:r w:rsidRPr="00092AAF">
        <w:rPr>
          <w:rFonts w:ascii="Verdana" w:hAnsi="Verdana"/>
          <w:sz w:val="16"/>
          <w:szCs w:val="16"/>
        </w:rPr>
        <w:t>A</w:t>
      </w:r>
      <w:r w:rsidRPr="00092AAF">
        <w:rPr>
          <w:rFonts w:ascii="Verdana" w:hAnsi="Verdana"/>
          <w:sz w:val="16"/>
          <w:szCs w:val="16"/>
          <w:lang w:val="es-CR"/>
        </w:rPr>
        <w:t>rtículos 5 y 11.2 de la Convención Americana.</w:t>
      </w:r>
    </w:p>
  </w:footnote>
  <w:footnote w:id="137">
    <w:p w14:paraId="3A789D72" w14:textId="3B6BA7C7" w:rsidR="00A52322" w:rsidRPr="00A922FC" w:rsidRDefault="00A52322" w:rsidP="007B2344">
      <w:pPr>
        <w:tabs>
          <w:tab w:val="left" w:pos="567"/>
        </w:tabs>
        <w:spacing w:after="0" w:line="240" w:lineRule="auto"/>
        <w:jc w:val="both"/>
        <w:rPr>
          <w:rFonts w:ascii="Verdana" w:hAnsi="Verdana"/>
          <w:i/>
          <w:sz w:val="16"/>
          <w:szCs w:val="16"/>
        </w:rPr>
      </w:pPr>
      <w:r w:rsidRPr="00A922FC">
        <w:rPr>
          <w:rStyle w:val="Refdenotaalpie"/>
          <w:rFonts w:ascii="Verdana" w:hAnsi="Verdana"/>
          <w:sz w:val="16"/>
          <w:szCs w:val="16"/>
        </w:rPr>
        <w:footnoteRef/>
      </w:r>
      <w:r w:rsidRPr="00AB0B7D">
        <w:rPr>
          <w:rFonts w:ascii="Verdana" w:hAnsi="Verdana"/>
          <w:sz w:val="16"/>
          <w:szCs w:val="16"/>
          <w:lang w:val="pt-BR"/>
        </w:rPr>
        <w:t xml:space="preserve"> </w:t>
      </w:r>
      <w:r w:rsidRPr="00AB0B7D">
        <w:rPr>
          <w:rFonts w:ascii="Verdana" w:hAnsi="Verdana"/>
          <w:sz w:val="16"/>
          <w:szCs w:val="16"/>
          <w:lang w:val="pt-BR"/>
        </w:rPr>
        <w:tab/>
      </w:r>
      <w:r w:rsidRPr="00AB0B7D">
        <w:rPr>
          <w:rFonts w:ascii="Verdana" w:hAnsi="Verdana"/>
          <w:sz w:val="16"/>
          <w:szCs w:val="16"/>
          <w:lang w:val="pt-BR"/>
        </w:rPr>
        <w:tab/>
      </w:r>
      <w:r w:rsidRPr="00AB0B7D">
        <w:rPr>
          <w:rFonts w:ascii="Verdana" w:hAnsi="Verdana"/>
          <w:i/>
          <w:sz w:val="16"/>
          <w:szCs w:val="16"/>
          <w:lang w:val="pt-BR"/>
        </w:rPr>
        <w:t xml:space="preserve">Cfr. Caso Maritza Urrutia Vs. </w:t>
      </w:r>
      <w:r w:rsidRPr="00E64367">
        <w:rPr>
          <w:rFonts w:ascii="Verdana" w:hAnsi="Verdana"/>
          <w:i/>
          <w:sz w:val="16"/>
          <w:szCs w:val="16"/>
        </w:rPr>
        <w:t>Guatemala. Fondo, Reparaciones y Costas.</w:t>
      </w:r>
      <w:r w:rsidRPr="00E64367">
        <w:rPr>
          <w:rFonts w:ascii="Verdana" w:hAnsi="Verdana"/>
          <w:sz w:val="16"/>
          <w:szCs w:val="16"/>
        </w:rPr>
        <w:t xml:space="preserve"> Sentencia de 27 de noviembre de 2003. Serie C No. 103, párr. 92, y </w:t>
      </w:r>
      <w:r w:rsidRPr="00E64367">
        <w:rPr>
          <w:rFonts w:ascii="Verdana" w:hAnsi="Verdana"/>
          <w:i/>
          <w:sz w:val="16"/>
          <w:szCs w:val="16"/>
        </w:rPr>
        <w:t>Caso Mujeres Víctimas de Tortura Sexual en Atenco Vs. México</w:t>
      </w:r>
      <w:r>
        <w:rPr>
          <w:rFonts w:ascii="Verdana" w:hAnsi="Verdana"/>
          <w:i/>
          <w:sz w:val="16"/>
          <w:szCs w:val="16"/>
        </w:rPr>
        <w:t>, supra</w:t>
      </w:r>
      <w:r w:rsidRPr="00E64367">
        <w:rPr>
          <w:rFonts w:ascii="Verdana" w:hAnsi="Verdana"/>
          <w:sz w:val="16"/>
          <w:szCs w:val="16"/>
        </w:rPr>
        <w:t>, párr.</w:t>
      </w:r>
      <w:r>
        <w:rPr>
          <w:rFonts w:ascii="Verdana" w:hAnsi="Verdana"/>
          <w:sz w:val="16"/>
          <w:szCs w:val="16"/>
        </w:rPr>
        <w:t xml:space="preserve"> </w:t>
      </w:r>
      <w:r w:rsidRPr="00E64367">
        <w:rPr>
          <w:rFonts w:ascii="Verdana" w:hAnsi="Verdana"/>
          <w:sz w:val="16"/>
          <w:szCs w:val="16"/>
        </w:rPr>
        <w:t>178.</w:t>
      </w:r>
    </w:p>
  </w:footnote>
  <w:footnote w:id="138">
    <w:p w14:paraId="403CE153" w14:textId="1F1466F7" w:rsidR="00A52322" w:rsidRPr="00A922FC" w:rsidRDefault="00A52322" w:rsidP="00143445">
      <w:pPr>
        <w:spacing w:after="0" w:line="240" w:lineRule="auto"/>
        <w:jc w:val="both"/>
        <w:rPr>
          <w:rFonts w:ascii="Verdana" w:hAnsi="Verdana"/>
          <w:sz w:val="16"/>
          <w:szCs w:val="16"/>
          <w:lang w:val="es-CR"/>
        </w:rPr>
      </w:pPr>
      <w:r w:rsidRPr="00A922FC">
        <w:rPr>
          <w:rStyle w:val="Refdenotaalpie"/>
          <w:rFonts w:ascii="Verdana" w:hAnsi="Verdana"/>
          <w:sz w:val="16"/>
          <w:szCs w:val="16"/>
        </w:rPr>
        <w:footnoteRef/>
      </w:r>
      <w:r w:rsidRPr="00A922FC">
        <w:rPr>
          <w:rFonts w:ascii="Verdana" w:hAnsi="Verdana"/>
          <w:sz w:val="16"/>
          <w:szCs w:val="16"/>
          <w:lang w:val="es-CR"/>
        </w:rPr>
        <w:t xml:space="preserve"> </w:t>
      </w:r>
      <w:r w:rsidRPr="00A922FC">
        <w:rPr>
          <w:rFonts w:ascii="Verdana" w:hAnsi="Verdana"/>
          <w:sz w:val="16"/>
          <w:szCs w:val="16"/>
          <w:lang w:val="es-CR"/>
        </w:rPr>
        <w:tab/>
      </w:r>
      <w:r w:rsidRPr="00E64367">
        <w:rPr>
          <w:rFonts w:ascii="Verdana" w:hAnsi="Verdana"/>
          <w:i/>
          <w:sz w:val="16"/>
          <w:szCs w:val="16"/>
        </w:rPr>
        <w:t>Caso Maritza Urrutia Vs. Guatemala</w:t>
      </w:r>
      <w:r>
        <w:rPr>
          <w:rFonts w:ascii="Verdana" w:hAnsi="Verdana"/>
          <w:i/>
          <w:sz w:val="16"/>
          <w:szCs w:val="16"/>
        </w:rPr>
        <w:t>,</w:t>
      </w:r>
      <w:r w:rsidRPr="00E64367">
        <w:rPr>
          <w:rFonts w:ascii="Verdana" w:hAnsi="Verdana"/>
          <w:sz w:val="16"/>
          <w:szCs w:val="16"/>
        </w:rPr>
        <w:t xml:space="preserve"> párr. </w:t>
      </w:r>
      <w:r>
        <w:rPr>
          <w:rFonts w:ascii="Verdana" w:hAnsi="Verdana"/>
          <w:sz w:val="16"/>
          <w:szCs w:val="16"/>
        </w:rPr>
        <w:t>93</w:t>
      </w:r>
      <w:r w:rsidRPr="00E64367">
        <w:rPr>
          <w:rFonts w:ascii="Verdana" w:hAnsi="Verdana"/>
          <w:sz w:val="16"/>
          <w:szCs w:val="16"/>
        </w:rPr>
        <w:t xml:space="preserve">, y </w:t>
      </w:r>
      <w:r w:rsidRPr="001E3DB9">
        <w:rPr>
          <w:rFonts w:ascii="Verdana" w:hAnsi="Verdana"/>
          <w:i/>
          <w:sz w:val="16"/>
          <w:szCs w:val="16"/>
        </w:rPr>
        <w:t>Caso Bueno Alves Vs. Argentina. Fondo, Reparaciones y Costas</w:t>
      </w:r>
      <w:r w:rsidRPr="001E3DB9">
        <w:rPr>
          <w:rFonts w:ascii="Verdana" w:hAnsi="Verdana"/>
          <w:sz w:val="16"/>
          <w:szCs w:val="16"/>
        </w:rPr>
        <w:t>. Sentencia de 11 de mayo de 2007. Serie C No. 164, párr.</w:t>
      </w:r>
      <w:r>
        <w:rPr>
          <w:rFonts w:ascii="Verdana" w:hAnsi="Verdana"/>
          <w:sz w:val="16"/>
          <w:szCs w:val="16"/>
        </w:rPr>
        <w:t xml:space="preserve"> 75.</w:t>
      </w:r>
    </w:p>
  </w:footnote>
  <w:footnote w:id="139">
    <w:p w14:paraId="7A9D0EDB" w14:textId="77777777" w:rsidR="00A52322" w:rsidRPr="00A922FC" w:rsidRDefault="00A52322" w:rsidP="00B33DF0">
      <w:pPr>
        <w:tabs>
          <w:tab w:val="left" w:pos="567"/>
        </w:tabs>
        <w:spacing w:after="0" w:line="240" w:lineRule="auto"/>
        <w:jc w:val="both"/>
        <w:rPr>
          <w:rFonts w:ascii="Verdana" w:hAnsi="Verdana"/>
          <w:i/>
          <w:sz w:val="16"/>
          <w:szCs w:val="16"/>
        </w:rPr>
      </w:pPr>
      <w:r w:rsidRPr="00A922FC">
        <w:rPr>
          <w:rStyle w:val="Refdenotaalpie"/>
          <w:rFonts w:ascii="Verdana" w:eastAsia="Calibri" w:hAnsi="Verdana"/>
          <w:sz w:val="16"/>
          <w:szCs w:val="16"/>
        </w:rPr>
        <w:footnoteRef/>
      </w:r>
      <w:r w:rsidRPr="00A922FC">
        <w:rPr>
          <w:rFonts w:ascii="Verdana" w:hAnsi="Verdana"/>
          <w:sz w:val="16"/>
          <w:szCs w:val="16"/>
        </w:rPr>
        <w:t xml:space="preserve"> </w:t>
      </w:r>
      <w:r w:rsidRPr="00A922FC">
        <w:rPr>
          <w:rFonts w:ascii="Verdana" w:hAnsi="Verdana"/>
          <w:sz w:val="16"/>
          <w:szCs w:val="16"/>
        </w:rPr>
        <w:tab/>
      </w:r>
      <w:r>
        <w:rPr>
          <w:rFonts w:ascii="Verdana" w:hAnsi="Verdana"/>
          <w:sz w:val="16"/>
          <w:szCs w:val="16"/>
        </w:rPr>
        <w:tab/>
      </w:r>
      <w:r w:rsidRPr="001E3DB9">
        <w:rPr>
          <w:rFonts w:ascii="Verdana" w:hAnsi="Verdana"/>
          <w:i/>
          <w:sz w:val="16"/>
          <w:szCs w:val="16"/>
        </w:rPr>
        <w:t xml:space="preserve">Cfr. Caso Loayza Tamayo Vs. Perú. Fondo. </w:t>
      </w:r>
      <w:r w:rsidRPr="001E3DB9">
        <w:rPr>
          <w:rFonts w:ascii="Verdana" w:hAnsi="Verdana"/>
          <w:sz w:val="16"/>
          <w:szCs w:val="16"/>
        </w:rPr>
        <w:t xml:space="preserve">Sentencia de 17 de septiembre de 1997. Serie C No. 33, párr. 57, y </w:t>
      </w:r>
      <w:r w:rsidRPr="005D0329">
        <w:rPr>
          <w:rFonts w:ascii="Verdana" w:hAnsi="Verdana"/>
          <w:i/>
          <w:sz w:val="16"/>
          <w:szCs w:val="16"/>
        </w:rPr>
        <w:t>Caso Mujeres Víctimas de Tortura Sexual en Atenco Vs. México</w:t>
      </w:r>
      <w:r>
        <w:rPr>
          <w:rFonts w:ascii="Verdana" w:hAnsi="Verdana"/>
          <w:i/>
          <w:sz w:val="16"/>
          <w:szCs w:val="16"/>
        </w:rPr>
        <w:t>, supra</w:t>
      </w:r>
      <w:r w:rsidRPr="005D0329">
        <w:rPr>
          <w:rFonts w:ascii="Verdana" w:hAnsi="Verdana"/>
          <w:sz w:val="16"/>
          <w:szCs w:val="16"/>
        </w:rPr>
        <w:t>, párr. 177</w:t>
      </w:r>
      <w:r w:rsidRPr="001E3DB9">
        <w:rPr>
          <w:rFonts w:ascii="Verdana" w:hAnsi="Verdana"/>
          <w:sz w:val="16"/>
          <w:szCs w:val="16"/>
        </w:rPr>
        <w:t>.</w:t>
      </w:r>
    </w:p>
  </w:footnote>
  <w:footnote w:id="140">
    <w:p w14:paraId="764FE25D" w14:textId="4574FCF8" w:rsidR="00A52322" w:rsidRPr="00A922FC" w:rsidRDefault="00A52322" w:rsidP="00B33DF0">
      <w:pPr>
        <w:tabs>
          <w:tab w:val="left" w:pos="567"/>
        </w:tabs>
        <w:spacing w:after="0" w:line="240" w:lineRule="auto"/>
        <w:jc w:val="both"/>
        <w:rPr>
          <w:rFonts w:ascii="Verdana" w:hAnsi="Verdana"/>
          <w:sz w:val="16"/>
          <w:szCs w:val="16"/>
        </w:rPr>
      </w:pPr>
      <w:r w:rsidRPr="00A922FC">
        <w:rPr>
          <w:rStyle w:val="Refdenotaalpie"/>
          <w:rFonts w:ascii="Verdana" w:eastAsia="Calibri" w:hAnsi="Verdana"/>
          <w:sz w:val="16"/>
          <w:szCs w:val="16"/>
        </w:rPr>
        <w:footnoteRef/>
      </w:r>
      <w:r w:rsidRPr="00A922FC">
        <w:rPr>
          <w:rFonts w:ascii="Verdana" w:hAnsi="Verdana"/>
          <w:sz w:val="16"/>
          <w:szCs w:val="16"/>
        </w:rPr>
        <w:t xml:space="preserve"> </w:t>
      </w:r>
      <w:r w:rsidRPr="00A922FC">
        <w:rPr>
          <w:rFonts w:ascii="Verdana" w:hAnsi="Verdana"/>
          <w:sz w:val="16"/>
          <w:szCs w:val="16"/>
        </w:rPr>
        <w:tab/>
      </w:r>
      <w:r>
        <w:rPr>
          <w:rFonts w:ascii="Verdana" w:hAnsi="Verdana"/>
          <w:sz w:val="16"/>
          <w:szCs w:val="16"/>
        </w:rPr>
        <w:tab/>
      </w:r>
      <w:r w:rsidRPr="001E3DB9">
        <w:rPr>
          <w:rFonts w:ascii="Verdana" w:hAnsi="Verdana"/>
          <w:i/>
          <w:sz w:val="16"/>
          <w:szCs w:val="16"/>
        </w:rPr>
        <w:t xml:space="preserve">Cfr. Caso Ximenes López Vs. Brasil. </w:t>
      </w:r>
      <w:r w:rsidRPr="001E3DB9">
        <w:rPr>
          <w:rFonts w:ascii="Verdana" w:hAnsi="Verdana"/>
          <w:sz w:val="16"/>
          <w:szCs w:val="16"/>
        </w:rPr>
        <w:t>Sentencia de 4 de julio de 2006</w:t>
      </w:r>
      <w:r w:rsidRPr="001E3DB9">
        <w:rPr>
          <w:rFonts w:ascii="Verdana" w:hAnsi="Verdana"/>
          <w:i/>
          <w:sz w:val="16"/>
          <w:szCs w:val="16"/>
        </w:rPr>
        <w:t xml:space="preserve">. </w:t>
      </w:r>
      <w:r w:rsidRPr="001E3DB9">
        <w:rPr>
          <w:rFonts w:ascii="Verdana" w:hAnsi="Verdana"/>
          <w:sz w:val="16"/>
          <w:szCs w:val="16"/>
        </w:rPr>
        <w:t>Serie C No. 149, párr. 127, y</w:t>
      </w:r>
      <w:r>
        <w:rPr>
          <w:rFonts w:ascii="Verdana" w:hAnsi="Verdana" w:cs="Courier New"/>
          <w:sz w:val="16"/>
          <w:szCs w:val="16"/>
        </w:rPr>
        <w:t xml:space="preserve"> </w:t>
      </w:r>
      <w:r w:rsidRPr="00291D54">
        <w:rPr>
          <w:rFonts w:ascii="Verdana" w:hAnsi="Verdana" w:cs="Courier New"/>
          <w:i/>
          <w:iCs/>
          <w:sz w:val="16"/>
          <w:szCs w:val="16"/>
        </w:rPr>
        <w:t>Caso Omeara Carrascal y otros Vs. Colombia, supra</w:t>
      </w:r>
      <w:r w:rsidRPr="00291D54">
        <w:rPr>
          <w:rFonts w:ascii="Verdana" w:hAnsi="Verdana" w:cs="Courier New"/>
          <w:sz w:val="16"/>
          <w:szCs w:val="16"/>
        </w:rPr>
        <w:t>, párr. 193.</w:t>
      </w:r>
    </w:p>
  </w:footnote>
  <w:footnote w:id="141">
    <w:p w14:paraId="71ABFEE5" w14:textId="77777777" w:rsidR="00A52322" w:rsidRPr="00A922FC" w:rsidRDefault="00A52322" w:rsidP="00143445">
      <w:pPr>
        <w:pStyle w:val="Textonotapie"/>
        <w:jc w:val="both"/>
        <w:rPr>
          <w:rFonts w:ascii="Verdana" w:hAnsi="Verdana"/>
          <w:spacing w:val="-4"/>
          <w:sz w:val="16"/>
          <w:szCs w:val="16"/>
          <w:lang w:val="es-PR"/>
        </w:rPr>
      </w:pPr>
      <w:r w:rsidRPr="00A922FC">
        <w:rPr>
          <w:rStyle w:val="Refdenotaalpie"/>
          <w:rFonts w:ascii="Verdana" w:eastAsia="Calibri" w:hAnsi="Verdana"/>
          <w:spacing w:val="-4"/>
          <w:sz w:val="16"/>
          <w:szCs w:val="16"/>
          <w:lang w:val="es-PR"/>
        </w:rPr>
        <w:footnoteRef/>
      </w:r>
      <w:r w:rsidRPr="00A922FC">
        <w:rPr>
          <w:rFonts w:ascii="Verdana" w:hAnsi="Verdana"/>
          <w:spacing w:val="-4"/>
          <w:sz w:val="16"/>
          <w:szCs w:val="16"/>
          <w:lang w:val="es-PR"/>
        </w:rPr>
        <w:t xml:space="preserve"> </w:t>
      </w:r>
      <w:r w:rsidRPr="00A922FC">
        <w:rPr>
          <w:rFonts w:ascii="Verdana" w:hAnsi="Verdana"/>
          <w:spacing w:val="-4"/>
          <w:sz w:val="16"/>
          <w:szCs w:val="16"/>
          <w:lang w:val="es-PR"/>
        </w:rPr>
        <w:tab/>
      </w:r>
      <w:r w:rsidRPr="001E3DB9">
        <w:rPr>
          <w:rFonts w:ascii="Verdana" w:hAnsi="Verdana"/>
          <w:i/>
          <w:spacing w:val="-4"/>
          <w:sz w:val="16"/>
          <w:szCs w:val="16"/>
          <w:lang w:val="es-PR"/>
        </w:rPr>
        <w:t>Cfr. Caso Fernández Ortega y otros Vs. México. Excepción Preliminar, Fondo, Reparaciones y Costas.</w:t>
      </w:r>
      <w:r w:rsidRPr="00B33DF0">
        <w:rPr>
          <w:rFonts w:ascii="Verdana" w:hAnsi="Verdana"/>
          <w:spacing w:val="-4"/>
          <w:sz w:val="16"/>
          <w:szCs w:val="16"/>
          <w:lang w:val="es-PR"/>
        </w:rPr>
        <w:t xml:space="preserve"> Sentencia de 30 de agosto de 2010.</w:t>
      </w:r>
      <w:r w:rsidRPr="001E3DB9">
        <w:rPr>
          <w:rFonts w:ascii="Verdana" w:hAnsi="Verdana"/>
          <w:spacing w:val="-4"/>
          <w:sz w:val="16"/>
          <w:szCs w:val="16"/>
          <w:lang w:val="es-PR"/>
        </w:rPr>
        <w:t xml:space="preserve"> Serie C No. 215, párr. 100, y </w:t>
      </w:r>
      <w:r w:rsidRPr="005D0329">
        <w:rPr>
          <w:rFonts w:ascii="Verdana" w:hAnsi="Verdana"/>
          <w:i/>
          <w:sz w:val="16"/>
          <w:szCs w:val="16"/>
        </w:rPr>
        <w:t>Caso Mujeres Víctimas de Tortura Sexual en Atenco Vs. México</w:t>
      </w:r>
      <w:r>
        <w:rPr>
          <w:rFonts w:ascii="Verdana" w:hAnsi="Verdana"/>
          <w:i/>
          <w:sz w:val="16"/>
          <w:szCs w:val="16"/>
        </w:rPr>
        <w:t>, supra</w:t>
      </w:r>
      <w:r w:rsidRPr="005D0329">
        <w:rPr>
          <w:rFonts w:ascii="Verdana" w:hAnsi="Verdana"/>
          <w:sz w:val="16"/>
          <w:szCs w:val="16"/>
        </w:rPr>
        <w:t>, párr. 315.</w:t>
      </w:r>
    </w:p>
  </w:footnote>
  <w:footnote w:id="142">
    <w:p w14:paraId="6E5E93CB" w14:textId="77777777" w:rsidR="00A52322" w:rsidRPr="00A922FC" w:rsidRDefault="00A52322" w:rsidP="00143445">
      <w:pPr>
        <w:pStyle w:val="Textonotapie"/>
        <w:tabs>
          <w:tab w:val="left" w:pos="720"/>
        </w:tabs>
        <w:contextualSpacing/>
        <w:jc w:val="both"/>
        <w:rPr>
          <w:rFonts w:ascii="Verdana" w:hAnsi="Verdana"/>
          <w:spacing w:val="-4"/>
          <w:sz w:val="16"/>
          <w:szCs w:val="16"/>
          <w:lang w:val="es-PR"/>
        </w:rPr>
      </w:pPr>
      <w:r w:rsidRPr="00A922FC">
        <w:rPr>
          <w:rStyle w:val="Refdenotaalpie"/>
          <w:rFonts w:ascii="Verdana" w:eastAsia="Calibri" w:hAnsi="Verdana"/>
          <w:spacing w:val="-4"/>
          <w:sz w:val="16"/>
          <w:szCs w:val="16"/>
          <w:lang w:val="es-PR"/>
        </w:rPr>
        <w:footnoteRef/>
      </w:r>
      <w:r w:rsidRPr="00A922FC">
        <w:rPr>
          <w:rFonts w:ascii="Verdana" w:hAnsi="Verdana"/>
          <w:spacing w:val="-4"/>
          <w:sz w:val="16"/>
          <w:szCs w:val="16"/>
          <w:lang w:val="es-PR"/>
        </w:rPr>
        <w:t xml:space="preserve"> </w:t>
      </w:r>
      <w:r w:rsidRPr="00A922FC">
        <w:rPr>
          <w:rFonts w:ascii="Verdana" w:hAnsi="Verdana"/>
          <w:spacing w:val="-4"/>
          <w:sz w:val="16"/>
          <w:szCs w:val="16"/>
          <w:lang w:val="es-PR"/>
        </w:rPr>
        <w:tab/>
      </w:r>
      <w:r w:rsidRPr="001E3DB9">
        <w:rPr>
          <w:rFonts w:ascii="Verdana" w:hAnsi="Verdana"/>
          <w:i/>
          <w:iCs/>
          <w:spacing w:val="-4"/>
          <w:sz w:val="16"/>
          <w:szCs w:val="16"/>
          <w:lang w:val="es-PR"/>
        </w:rPr>
        <w:t xml:space="preserve">Cfr. Caso J. Vs. Perú. </w:t>
      </w:r>
      <w:r w:rsidRPr="001E3DB9">
        <w:rPr>
          <w:rFonts w:ascii="Verdana" w:hAnsi="Verdana"/>
          <w:iCs/>
          <w:spacing w:val="-4"/>
          <w:sz w:val="16"/>
          <w:szCs w:val="16"/>
          <w:lang w:val="es-PR"/>
        </w:rPr>
        <w:t xml:space="preserve"> </w:t>
      </w:r>
      <w:r w:rsidRPr="001E3DB9">
        <w:rPr>
          <w:rFonts w:ascii="Verdana" w:hAnsi="Verdana"/>
          <w:i/>
          <w:iCs/>
          <w:spacing w:val="-4"/>
          <w:sz w:val="16"/>
          <w:szCs w:val="16"/>
          <w:lang w:val="es-PR"/>
        </w:rPr>
        <w:t>Excepción Preliminar, Fondo, Reparaciones y Costas</w:t>
      </w:r>
      <w:r w:rsidRPr="001E3DB9">
        <w:rPr>
          <w:rFonts w:ascii="Verdana" w:hAnsi="Verdana"/>
          <w:iCs/>
          <w:spacing w:val="-4"/>
          <w:sz w:val="16"/>
          <w:szCs w:val="16"/>
          <w:lang w:val="es-PR"/>
        </w:rPr>
        <w:t xml:space="preserve">. </w:t>
      </w:r>
      <w:r w:rsidRPr="001E3DB9">
        <w:rPr>
          <w:rFonts w:ascii="Verdana" w:hAnsi="Verdana"/>
          <w:sz w:val="16"/>
          <w:szCs w:val="16"/>
        </w:rPr>
        <w:t>Sentencia de 27 de noviembre de 2013. Serie C No. 275,</w:t>
      </w:r>
      <w:r w:rsidRPr="001E3DB9">
        <w:rPr>
          <w:rFonts w:ascii="Verdana" w:hAnsi="Verdana"/>
          <w:iCs/>
          <w:spacing w:val="-4"/>
          <w:sz w:val="16"/>
          <w:szCs w:val="16"/>
          <w:lang w:val="es-PR"/>
        </w:rPr>
        <w:t xml:space="preserve"> párr. 333</w:t>
      </w:r>
      <w:r w:rsidRPr="001E3DB9">
        <w:rPr>
          <w:rFonts w:ascii="Verdana" w:hAnsi="Verdana"/>
          <w:spacing w:val="-4"/>
          <w:sz w:val="16"/>
          <w:szCs w:val="16"/>
          <w:lang w:val="es-PR"/>
        </w:rPr>
        <w:t xml:space="preserve">, y </w:t>
      </w:r>
      <w:r w:rsidRPr="005D0329">
        <w:rPr>
          <w:rFonts w:ascii="Verdana" w:hAnsi="Verdana"/>
          <w:i/>
          <w:sz w:val="16"/>
          <w:szCs w:val="16"/>
        </w:rPr>
        <w:t>Caso Mujeres Víctimas de Tortura Sexual en Atenco Vs. México</w:t>
      </w:r>
      <w:r>
        <w:rPr>
          <w:rFonts w:ascii="Verdana" w:hAnsi="Verdana"/>
          <w:i/>
          <w:sz w:val="16"/>
          <w:szCs w:val="16"/>
        </w:rPr>
        <w:t>, supra</w:t>
      </w:r>
      <w:r w:rsidRPr="005D0329">
        <w:rPr>
          <w:rFonts w:ascii="Verdana" w:hAnsi="Verdana"/>
          <w:sz w:val="16"/>
          <w:szCs w:val="16"/>
        </w:rPr>
        <w:t>, párr. 315.</w:t>
      </w:r>
    </w:p>
  </w:footnote>
  <w:footnote w:id="143">
    <w:p w14:paraId="3D58D5A5" w14:textId="77777777" w:rsidR="00A52322" w:rsidRPr="00A922FC" w:rsidRDefault="00A52322" w:rsidP="003C3EE6">
      <w:pPr>
        <w:pStyle w:val="Textonotapie"/>
        <w:tabs>
          <w:tab w:val="left" w:pos="720"/>
        </w:tabs>
        <w:contextualSpacing/>
        <w:jc w:val="both"/>
        <w:rPr>
          <w:rFonts w:ascii="Verdana" w:hAnsi="Verdana"/>
          <w:spacing w:val="-4"/>
          <w:sz w:val="16"/>
          <w:szCs w:val="16"/>
          <w:lang w:val="es-PR"/>
        </w:rPr>
      </w:pPr>
      <w:r w:rsidRPr="00A922FC">
        <w:rPr>
          <w:rStyle w:val="Refdenotaalpie"/>
          <w:rFonts w:ascii="Verdana" w:eastAsia="Calibri" w:hAnsi="Verdana"/>
          <w:spacing w:val="-4"/>
          <w:sz w:val="16"/>
          <w:szCs w:val="16"/>
          <w:lang w:val="es-PR"/>
        </w:rPr>
        <w:footnoteRef/>
      </w:r>
      <w:r w:rsidRPr="00A922FC">
        <w:rPr>
          <w:rFonts w:ascii="Verdana" w:hAnsi="Verdana"/>
          <w:spacing w:val="-4"/>
          <w:sz w:val="16"/>
          <w:szCs w:val="16"/>
          <w:lang w:val="es-PR"/>
        </w:rPr>
        <w:t xml:space="preserve"> </w:t>
      </w:r>
      <w:r w:rsidRPr="00A922FC">
        <w:rPr>
          <w:rFonts w:ascii="Verdana" w:hAnsi="Verdana"/>
          <w:spacing w:val="-4"/>
          <w:sz w:val="16"/>
          <w:szCs w:val="16"/>
          <w:lang w:val="es-PR"/>
        </w:rPr>
        <w:tab/>
      </w:r>
      <w:r w:rsidRPr="001E3DB9">
        <w:rPr>
          <w:rFonts w:ascii="Verdana" w:hAnsi="Verdana"/>
          <w:i/>
          <w:spacing w:val="-4"/>
          <w:sz w:val="16"/>
          <w:szCs w:val="16"/>
          <w:lang w:val="es-PR"/>
        </w:rPr>
        <w:t>Cfr. Caso J. Vs. Perú</w:t>
      </w:r>
      <w:r>
        <w:rPr>
          <w:rFonts w:ascii="Verdana" w:hAnsi="Verdana"/>
          <w:i/>
          <w:spacing w:val="-4"/>
          <w:sz w:val="16"/>
          <w:szCs w:val="16"/>
          <w:lang w:val="es-PR"/>
        </w:rPr>
        <w:t>, supra</w:t>
      </w:r>
      <w:r w:rsidRPr="001E3DB9">
        <w:rPr>
          <w:rFonts w:ascii="Verdana" w:hAnsi="Verdana"/>
          <w:i/>
          <w:spacing w:val="-4"/>
          <w:sz w:val="16"/>
          <w:szCs w:val="16"/>
          <w:lang w:val="es-PR"/>
        </w:rPr>
        <w:t xml:space="preserve">, </w:t>
      </w:r>
      <w:r w:rsidRPr="001E3DB9">
        <w:rPr>
          <w:rFonts w:ascii="Verdana" w:hAnsi="Verdana"/>
          <w:iCs/>
          <w:spacing w:val="-4"/>
          <w:sz w:val="16"/>
          <w:szCs w:val="16"/>
          <w:lang w:val="es-PR"/>
        </w:rPr>
        <w:t>párr. 333</w:t>
      </w:r>
      <w:r w:rsidRPr="001E3DB9">
        <w:rPr>
          <w:rFonts w:ascii="Verdana" w:hAnsi="Verdana"/>
          <w:spacing w:val="-4"/>
          <w:sz w:val="16"/>
          <w:szCs w:val="16"/>
          <w:lang w:val="es-PR"/>
        </w:rPr>
        <w:t xml:space="preserve">, y </w:t>
      </w:r>
      <w:r w:rsidRPr="005D0329">
        <w:rPr>
          <w:rFonts w:ascii="Verdana" w:hAnsi="Verdana"/>
          <w:i/>
          <w:spacing w:val="-4"/>
          <w:sz w:val="16"/>
          <w:szCs w:val="16"/>
          <w:lang w:val="es-PR"/>
        </w:rPr>
        <w:t xml:space="preserve">Caso Espinoza González. </w:t>
      </w:r>
      <w:r w:rsidRPr="005D0329">
        <w:rPr>
          <w:rFonts w:ascii="Verdana" w:hAnsi="Verdana"/>
          <w:i/>
          <w:sz w:val="16"/>
          <w:szCs w:val="16"/>
        </w:rPr>
        <w:t>Excepciones Preliminares, Fondo, Reparaciones y Costas</w:t>
      </w:r>
      <w:r w:rsidRPr="001E3DB9">
        <w:rPr>
          <w:rFonts w:ascii="Verdana" w:hAnsi="Verdana"/>
          <w:spacing w:val="-4"/>
          <w:sz w:val="16"/>
          <w:szCs w:val="16"/>
          <w:lang w:val="es-PR"/>
        </w:rPr>
        <w:t>.</w:t>
      </w:r>
      <w:r w:rsidRPr="005D0329">
        <w:rPr>
          <w:rFonts w:ascii="Verdana" w:hAnsi="Verdana"/>
          <w:sz w:val="16"/>
          <w:szCs w:val="16"/>
        </w:rPr>
        <w:t xml:space="preserve"> Sentencia de 20 de noviembre de 2014. Serie C No. 289,</w:t>
      </w:r>
      <w:r w:rsidRPr="001E3DB9">
        <w:rPr>
          <w:rFonts w:ascii="Verdana" w:hAnsi="Verdana"/>
          <w:spacing w:val="-4"/>
          <w:sz w:val="16"/>
          <w:szCs w:val="16"/>
          <w:lang w:val="es-PR"/>
        </w:rPr>
        <w:t xml:space="preserve"> párr. 151.</w:t>
      </w:r>
    </w:p>
  </w:footnote>
  <w:footnote w:id="144">
    <w:p w14:paraId="1409015F" w14:textId="77777777" w:rsidR="00A52322" w:rsidRPr="005A2F43" w:rsidRDefault="00A52322" w:rsidP="003C3EE6">
      <w:pPr>
        <w:pStyle w:val="Textonotapie"/>
        <w:tabs>
          <w:tab w:val="left" w:pos="720"/>
        </w:tabs>
        <w:contextualSpacing/>
        <w:jc w:val="both"/>
        <w:rPr>
          <w:rFonts w:ascii="Verdana" w:hAnsi="Verdana"/>
          <w:spacing w:val="-4"/>
          <w:sz w:val="16"/>
          <w:szCs w:val="16"/>
          <w:lang w:val="es-PR"/>
        </w:rPr>
      </w:pPr>
      <w:r w:rsidRPr="00DF5CC8">
        <w:rPr>
          <w:rStyle w:val="Refdenotaalpie"/>
          <w:rFonts w:ascii="Verdana" w:eastAsia="Calibri" w:hAnsi="Verdana"/>
          <w:spacing w:val="-4"/>
          <w:sz w:val="16"/>
          <w:szCs w:val="16"/>
          <w:lang w:val="es-PR"/>
        </w:rPr>
        <w:footnoteRef/>
      </w:r>
      <w:r w:rsidRPr="00252E25">
        <w:rPr>
          <w:rFonts w:ascii="Verdana" w:hAnsi="Verdana"/>
          <w:spacing w:val="-4"/>
          <w:sz w:val="16"/>
          <w:szCs w:val="16"/>
          <w:lang w:val="es-PR"/>
        </w:rPr>
        <w:t xml:space="preserve"> </w:t>
      </w:r>
      <w:r w:rsidRPr="00252E25">
        <w:rPr>
          <w:rFonts w:ascii="Verdana" w:hAnsi="Verdana"/>
          <w:spacing w:val="-4"/>
          <w:sz w:val="16"/>
          <w:szCs w:val="16"/>
          <w:lang w:val="es-PR"/>
        </w:rPr>
        <w:tab/>
      </w:r>
      <w:r w:rsidRPr="00252E25">
        <w:rPr>
          <w:rFonts w:ascii="Verdana" w:hAnsi="Verdana"/>
          <w:i/>
          <w:spacing w:val="-4"/>
          <w:sz w:val="16"/>
          <w:szCs w:val="16"/>
          <w:lang w:val="es-PR"/>
        </w:rPr>
        <w:t>Cfr. Caso Bayarri Vs. Argentina.</w:t>
      </w:r>
      <w:r w:rsidRPr="00252E25">
        <w:rPr>
          <w:rFonts w:ascii="Verdana" w:hAnsi="Verdana"/>
          <w:sz w:val="16"/>
          <w:szCs w:val="16"/>
        </w:rPr>
        <w:t xml:space="preserve"> </w:t>
      </w:r>
      <w:r w:rsidRPr="00252E25">
        <w:rPr>
          <w:rFonts w:ascii="Verdana" w:hAnsi="Verdana"/>
          <w:i/>
          <w:spacing w:val="-4"/>
          <w:sz w:val="16"/>
          <w:szCs w:val="16"/>
          <w:lang w:val="es-PR"/>
        </w:rPr>
        <w:t>Exc</w:t>
      </w:r>
      <w:r w:rsidRPr="00EB1703">
        <w:rPr>
          <w:rFonts w:ascii="Verdana" w:hAnsi="Verdana"/>
          <w:i/>
          <w:spacing w:val="-4"/>
          <w:sz w:val="16"/>
          <w:szCs w:val="16"/>
          <w:lang w:val="es-PR"/>
        </w:rPr>
        <w:t>epción Preliminar, Fondo, Reparaciones y Costas.</w:t>
      </w:r>
      <w:r w:rsidRPr="00EB1703">
        <w:rPr>
          <w:rFonts w:ascii="Verdana" w:hAnsi="Verdana"/>
          <w:spacing w:val="-4"/>
          <w:sz w:val="16"/>
          <w:szCs w:val="16"/>
          <w:lang w:val="es-PR"/>
        </w:rPr>
        <w:t xml:space="preserve"> Sentencia de 30 de octubre de 2008. Serie C No. 187, párr. 92, y </w:t>
      </w:r>
      <w:r w:rsidRPr="009D0D31">
        <w:rPr>
          <w:rFonts w:ascii="Verdana" w:hAnsi="Verdana"/>
          <w:i/>
          <w:iCs/>
          <w:spacing w:val="-4"/>
          <w:sz w:val="16"/>
          <w:szCs w:val="16"/>
          <w:lang w:val="es-PR"/>
        </w:rPr>
        <w:t>Caso Favela Nova Brasilia Vs. Brasil. Excepciones Preliminares, Fondo, Reparaciones y Costas.</w:t>
      </w:r>
      <w:r w:rsidRPr="009D0D31">
        <w:rPr>
          <w:rFonts w:ascii="Verdana" w:hAnsi="Verdana"/>
          <w:spacing w:val="-4"/>
          <w:sz w:val="16"/>
          <w:szCs w:val="16"/>
          <w:lang w:val="es-PR"/>
        </w:rPr>
        <w:t xml:space="preserve"> Sentencia de 16 de febrero de 2017. Serie C No. </w:t>
      </w:r>
      <w:r w:rsidRPr="005A2F43">
        <w:rPr>
          <w:rFonts w:ascii="Verdana" w:hAnsi="Verdana"/>
          <w:spacing w:val="-4"/>
          <w:sz w:val="16"/>
          <w:szCs w:val="16"/>
          <w:lang w:val="es-PR"/>
        </w:rPr>
        <w:t>333, párr. 253.</w:t>
      </w:r>
    </w:p>
  </w:footnote>
  <w:footnote w:id="145">
    <w:p w14:paraId="3886589A" w14:textId="77777777" w:rsidR="00A52322" w:rsidRPr="009D0D31" w:rsidRDefault="00A52322" w:rsidP="003C3EE6">
      <w:pPr>
        <w:pStyle w:val="Textonotapie"/>
        <w:tabs>
          <w:tab w:val="left" w:pos="720"/>
        </w:tabs>
        <w:contextualSpacing/>
        <w:jc w:val="both"/>
        <w:rPr>
          <w:rFonts w:ascii="Verdana" w:hAnsi="Verdana"/>
          <w:i/>
          <w:spacing w:val="-4"/>
          <w:sz w:val="16"/>
          <w:szCs w:val="16"/>
          <w:lang w:val="es-PR"/>
        </w:rPr>
      </w:pPr>
      <w:r w:rsidRPr="00252E25">
        <w:rPr>
          <w:rStyle w:val="Refdenotaalpie"/>
          <w:rFonts w:ascii="Verdana" w:eastAsia="Calibri" w:hAnsi="Verdana"/>
          <w:spacing w:val="-4"/>
          <w:sz w:val="16"/>
          <w:szCs w:val="16"/>
          <w:lang w:val="es-PR"/>
        </w:rPr>
        <w:footnoteRef/>
      </w:r>
      <w:r w:rsidRPr="00252E25">
        <w:rPr>
          <w:rFonts w:ascii="Verdana" w:hAnsi="Verdana"/>
          <w:spacing w:val="-4"/>
          <w:sz w:val="16"/>
          <w:szCs w:val="16"/>
          <w:lang w:val="es-PR"/>
        </w:rPr>
        <w:t xml:space="preserve"> </w:t>
      </w:r>
      <w:r w:rsidRPr="00252E25">
        <w:rPr>
          <w:rFonts w:ascii="Verdana" w:hAnsi="Verdana"/>
          <w:spacing w:val="-4"/>
          <w:sz w:val="16"/>
          <w:szCs w:val="16"/>
          <w:lang w:val="es-PR"/>
        </w:rPr>
        <w:tab/>
      </w:r>
      <w:r w:rsidRPr="00252E25">
        <w:rPr>
          <w:rFonts w:ascii="Verdana" w:hAnsi="Verdana"/>
          <w:i/>
          <w:spacing w:val="-4"/>
          <w:sz w:val="16"/>
          <w:szCs w:val="16"/>
          <w:lang w:val="es-PR"/>
        </w:rPr>
        <w:t>Cfr. Caso Bueno Alves Vs. Argentina, supra</w:t>
      </w:r>
      <w:r w:rsidRPr="00252E25">
        <w:rPr>
          <w:rFonts w:ascii="Verdana" w:hAnsi="Verdana"/>
          <w:spacing w:val="-4"/>
          <w:sz w:val="16"/>
          <w:szCs w:val="16"/>
          <w:lang w:val="es-PR"/>
        </w:rPr>
        <w:t xml:space="preserve">, párr. 111, y </w:t>
      </w:r>
      <w:r w:rsidRPr="00252E25">
        <w:rPr>
          <w:rFonts w:ascii="Verdana" w:hAnsi="Verdana"/>
          <w:i/>
          <w:spacing w:val="-4"/>
          <w:sz w:val="16"/>
          <w:szCs w:val="16"/>
          <w:lang w:val="es-PR"/>
        </w:rPr>
        <w:t>Caso Espinoza González Vs. Argentina, supra</w:t>
      </w:r>
      <w:r w:rsidRPr="00EB1703">
        <w:rPr>
          <w:rFonts w:ascii="Verdana" w:hAnsi="Verdana"/>
          <w:sz w:val="16"/>
          <w:szCs w:val="16"/>
        </w:rPr>
        <w:t>,</w:t>
      </w:r>
      <w:r w:rsidRPr="00EB1703">
        <w:rPr>
          <w:rFonts w:ascii="Verdana" w:hAnsi="Verdana"/>
          <w:spacing w:val="-4"/>
          <w:sz w:val="16"/>
          <w:szCs w:val="16"/>
          <w:lang w:val="es-PR"/>
        </w:rPr>
        <w:t xml:space="preserve"> párr. 152.</w:t>
      </w:r>
    </w:p>
  </w:footnote>
  <w:footnote w:id="146">
    <w:p w14:paraId="1501E38A" w14:textId="77777777" w:rsidR="00A52322" w:rsidRPr="009D0D31" w:rsidRDefault="00A52322" w:rsidP="003C3EE6">
      <w:pPr>
        <w:pStyle w:val="Textonotapie"/>
        <w:tabs>
          <w:tab w:val="left" w:pos="720"/>
        </w:tabs>
        <w:contextualSpacing/>
        <w:jc w:val="both"/>
        <w:rPr>
          <w:rFonts w:ascii="Verdana" w:hAnsi="Verdana"/>
          <w:spacing w:val="-4"/>
          <w:sz w:val="16"/>
          <w:szCs w:val="16"/>
          <w:lang w:val="es-PR"/>
        </w:rPr>
      </w:pPr>
      <w:r w:rsidRPr="00252E25">
        <w:rPr>
          <w:rStyle w:val="Refdenotaalpie"/>
          <w:rFonts w:ascii="Verdana" w:eastAsia="Calibri" w:hAnsi="Verdana"/>
          <w:spacing w:val="-4"/>
          <w:sz w:val="16"/>
          <w:szCs w:val="16"/>
          <w:lang w:val="es-PR"/>
        </w:rPr>
        <w:footnoteRef/>
      </w:r>
      <w:r w:rsidRPr="00252E25">
        <w:rPr>
          <w:rFonts w:ascii="Verdana" w:hAnsi="Verdana"/>
          <w:spacing w:val="-4"/>
          <w:sz w:val="16"/>
          <w:szCs w:val="16"/>
          <w:lang w:val="es-PR"/>
        </w:rPr>
        <w:t xml:space="preserve"> </w:t>
      </w:r>
      <w:r w:rsidRPr="00252E25">
        <w:rPr>
          <w:rFonts w:ascii="Verdana" w:hAnsi="Verdana"/>
          <w:spacing w:val="-4"/>
          <w:sz w:val="16"/>
          <w:szCs w:val="16"/>
          <w:lang w:val="es-PR"/>
        </w:rPr>
        <w:tab/>
      </w:r>
      <w:r w:rsidRPr="00252E25">
        <w:rPr>
          <w:rFonts w:ascii="Verdana" w:hAnsi="Verdana"/>
          <w:i/>
          <w:iCs/>
          <w:spacing w:val="-4"/>
          <w:sz w:val="16"/>
          <w:szCs w:val="16"/>
          <w:lang w:val="es-PR"/>
        </w:rPr>
        <w:t>Cfr. Caso J. Vs. Perú, supra</w:t>
      </w:r>
      <w:r w:rsidRPr="00252E25">
        <w:rPr>
          <w:rFonts w:ascii="Verdana" w:hAnsi="Verdana"/>
          <w:sz w:val="16"/>
          <w:szCs w:val="16"/>
        </w:rPr>
        <w:t xml:space="preserve">, párr. </w:t>
      </w:r>
      <w:r w:rsidRPr="00252E25">
        <w:rPr>
          <w:rFonts w:ascii="Verdana" w:hAnsi="Verdana"/>
          <w:iCs/>
          <w:spacing w:val="-4"/>
          <w:sz w:val="16"/>
          <w:szCs w:val="16"/>
          <w:lang w:val="es-PR"/>
        </w:rPr>
        <w:t>333</w:t>
      </w:r>
      <w:r w:rsidRPr="00EB1703">
        <w:rPr>
          <w:rFonts w:ascii="Verdana" w:hAnsi="Verdana"/>
          <w:spacing w:val="-4"/>
          <w:sz w:val="16"/>
          <w:szCs w:val="16"/>
          <w:lang w:val="es-PR"/>
        </w:rPr>
        <w:t>,</w:t>
      </w:r>
      <w:r w:rsidRPr="00EB1703">
        <w:rPr>
          <w:rFonts w:ascii="Verdana" w:hAnsi="Verdana"/>
          <w:i/>
          <w:spacing w:val="-4"/>
          <w:sz w:val="16"/>
          <w:szCs w:val="16"/>
          <w:lang w:val="es-PR"/>
        </w:rPr>
        <w:t xml:space="preserve"> </w:t>
      </w:r>
      <w:r w:rsidRPr="009D0D31">
        <w:rPr>
          <w:rFonts w:ascii="Verdana" w:hAnsi="Verdana"/>
          <w:spacing w:val="-4"/>
          <w:sz w:val="16"/>
          <w:szCs w:val="16"/>
          <w:lang w:val="es-PR"/>
        </w:rPr>
        <w:t>y</w:t>
      </w:r>
      <w:r w:rsidRPr="009D0D31">
        <w:rPr>
          <w:rFonts w:ascii="Verdana" w:hAnsi="Verdana"/>
          <w:i/>
          <w:spacing w:val="-4"/>
          <w:sz w:val="16"/>
          <w:szCs w:val="16"/>
          <w:lang w:val="es-PR"/>
        </w:rPr>
        <w:t xml:space="preserve"> Caso Espinoza González Vs. Argentina, supra</w:t>
      </w:r>
      <w:r w:rsidRPr="009D0D31">
        <w:rPr>
          <w:rFonts w:ascii="Verdana" w:hAnsi="Verdana"/>
          <w:sz w:val="16"/>
          <w:szCs w:val="16"/>
        </w:rPr>
        <w:t>,</w:t>
      </w:r>
      <w:r w:rsidRPr="009D0D31">
        <w:rPr>
          <w:rFonts w:ascii="Verdana" w:hAnsi="Verdana"/>
          <w:spacing w:val="-4"/>
          <w:sz w:val="16"/>
          <w:szCs w:val="16"/>
          <w:lang w:val="es-PR"/>
        </w:rPr>
        <w:t xml:space="preserve"> párr. 153.</w:t>
      </w:r>
    </w:p>
  </w:footnote>
  <w:footnote w:id="147">
    <w:p w14:paraId="0482E593" w14:textId="77777777" w:rsidR="00A52322" w:rsidRPr="009D0D31" w:rsidRDefault="00A52322" w:rsidP="003C3EE6">
      <w:pPr>
        <w:tabs>
          <w:tab w:val="left" w:pos="720"/>
        </w:tabs>
        <w:spacing w:after="0" w:line="240" w:lineRule="auto"/>
        <w:contextualSpacing/>
        <w:jc w:val="both"/>
        <w:rPr>
          <w:rFonts w:ascii="Verdana" w:hAnsi="Verdana"/>
          <w:i/>
          <w:spacing w:val="-4"/>
          <w:sz w:val="16"/>
          <w:szCs w:val="16"/>
          <w:lang w:val="es-PR"/>
        </w:rPr>
      </w:pPr>
      <w:r w:rsidRPr="00DF5CC8">
        <w:rPr>
          <w:rStyle w:val="Refdenotaalpie"/>
          <w:rFonts w:ascii="Verdana" w:eastAsia="Calibri" w:hAnsi="Verdana"/>
          <w:spacing w:val="-4"/>
          <w:sz w:val="16"/>
          <w:szCs w:val="16"/>
          <w:lang w:val="es-PR"/>
        </w:rPr>
        <w:footnoteRef/>
      </w:r>
      <w:r w:rsidRPr="00DF5CC8">
        <w:rPr>
          <w:rFonts w:ascii="Verdana" w:hAnsi="Verdana"/>
          <w:spacing w:val="-4"/>
          <w:sz w:val="16"/>
          <w:szCs w:val="16"/>
          <w:lang w:val="es-PR"/>
        </w:rPr>
        <w:t xml:space="preserve"> </w:t>
      </w:r>
      <w:r w:rsidRPr="00DF5CC8">
        <w:rPr>
          <w:rFonts w:ascii="Verdana" w:hAnsi="Verdana"/>
          <w:spacing w:val="-4"/>
          <w:sz w:val="16"/>
          <w:szCs w:val="16"/>
          <w:lang w:val="es-PR"/>
        </w:rPr>
        <w:tab/>
      </w:r>
      <w:r w:rsidRPr="00252E25">
        <w:rPr>
          <w:rFonts w:ascii="Verdana" w:hAnsi="Verdana"/>
          <w:i/>
          <w:spacing w:val="-4"/>
          <w:sz w:val="16"/>
          <w:szCs w:val="16"/>
          <w:lang w:val="es-PR"/>
        </w:rPr>
        <w:t>Cfr. Caso Fernández Ortega y otros Vs. México</w:t>
      </w:r>
      <w:r w:rsidRPr="00252E25">
        <w:rPr>
          <w:rFonts w:ascii="Verdana" w:hAnsi="Verdana"/>
          <w:spacing w:val="-4"/>
          <w:sz w:val="16"/>
          <w:szCs w:val="16"/>
          <w:lang w:val="es-PR"/>
        </w:rPr>
        <w:t>,</w:t>
      </w:r>
      <w:r w:rsidRPr="00252E25">
        <w:rPr>
          <w:rFonts w:ascii="Verdana" w:hAnsi="Verdana"/>
          <w:i/>
          <w:spacing w:val="-4"/>
          <w:sz w:val="16"/>
          <w:szCs w:val="16"/>
          <w:lang w:val="es-PR"/>
        </w:rPr>
        <w:t xml:space="preserve"> supra</w:t>
      </w:r>
      <w:r w:rsidRPr="00EB1703">
        <w:rPr>
          <w:rFonts w:ascii="Verdana" w:hAnsi="Verdana"/>
          <w:spacing w:val="-4"/>
          <w:sz w:val="16"/>
          <w:szCs w:val="16"/>
          <w:lang w:val="es-PR"/>
        </w:rPr>
        <w:t xml:space="preserve">, párr. </w:t>
      </w:r>
      <w:r w:rsidRPr="00EB1703">
        <w:rPr>
          <w:rFonts w:ascii="Verdana" w:hAnsi="Verdana"/>
          <w:bCs/>
          <w:spacing w:val="-4"/>
          <w:sz w:val="16"/>
          <w:szCs w:val="16"/>
          <w:lang w:val="es-PR"/>
        </w:rPr>
        <w:t xml:space="preserve">124, </w:t>
      </w:r>
      <w:r w:rsidRPr="009D0D31">
        <w:rPr>
          <w:rFonts w:ascii="Verdana" w:hAnsi="Verdana"/>
          <w:spacing w:val="-4"/>
          <w:sz w:val="16"/>
          <w:szCs w:val="16"/>
          <w:lang w:val="es-PR"/>
        </w:rPr>
        <w:t xml:space="preserve">y </w:t>
      </w:r>
      <w:r w:rsidRPr="009D0D31">
        <w:rPr>
          <w:rFonts w:ascii="Verdana" w:hAnsi="Verdana"/>
          <w:i/>
          <w:spacing w:val="-4"/>
          <w:sz w:val="16"/>
          <w:szCs w:val="16"/>
          <w:lang w:val="es-PR"/>
        </w:rPr>
        <w:t>Caso Espinoza González Vs. Argentina, supra</w:t>
      </w:r>
      <w:r w:rsidRPr="009D0D31">
        <w:rPr>
          <w:rFonts w:ascii="Verdana" w:hAnsi="Verdana"/>
          <w:sz w:val="16"/>
          <w:szCs w:val="16"/>
        </w:rPr>
        <w:t>,</w:t>
      </w:r>
      <w:r w:rsidRPr="009D0D31">
        <w:rPr>
          <w:rFonts w:ascii="Verdana" w:hAnsi="Verdana"/>
          <w:spacing w:val="-4"/>
          <w:sz w:val="16"/>
          <w:szCs w:val="16"/>
          <w:lang w:val="es-PR"/>
        </w:rPr>
        <w:t xml:space="preserve"> párr. 153.</w:t>
      </w:r>
    </w:p>
  </w:footnote>
  <w:footnote w:id="148">
    <w:p w14:paraId="2CADF3F9" w14:textId="60BE926F" w:rsidR="00A52322" w:rsidRPr="00252E25" w:rsidRDefault="00A52322" w:rsidP="00143445">
      <w:pPr>
        <w:pStyle w:val="Textonotapie"/>
        <w:tabs>
          <w:tab w:val="left" w:pos="720"/>
        </w:tabs>
        <w:contextualSpacing/>
        <w:jc w:val="both"/>
        <w:rPr>
          <w:rFonts w:ascii="Verdana" w:hAnsi="Verdana"/>
          <w:sz w:val="16"/>
          <w:szCs w:val="16"/>
        </w:rPr>
      </w:pPr>
      <w:r w:rsidRPr="00252E25">
        <w:rPr>
          <w:rStyle w:val="Refdenotaalpie"/>
          <w:rFonts w:ascii="Verdana" w:hAnsi="Verdana"/>
          <w:sz w:val="16"/>
          <w:szCs w:val="16"/>
        </w:rPr>
        <w:footnoteRef/>
      </w:r>
      <w:r w:rsidRPr="00252E25">
        <w:rPr>
          <w:rFonts w:ascii="Verdana" w:hAnsi="Verdana"/>
          <w:sz w:val="16"/>
          <w:szCs w:val="16"/>
        </w:rPr>
        <w:t xml:space="preserve"> </w:t>
      </w:r>
      <w:r w:rsidRPr="00252E25">
        <w:rPr>
          <w:rFonts w:ascii="Verdana" w:hAnsi="Verdana"/>
          <w:sz w:val="16"/>
          <w:szCs w:val="16"/>
        </w:rPr>
        <w:tab/>
        <w:t xml:space="preserve">No se referirá a la alegada detención ocurrida con anterioridad al allanamiento de su vivienda por las razones expuestas en relación con el artículo 7 de la Convención  </w:t>
      </w:r>
      <w:r w:rsidRPr="005A2F43">
        <w:rPr>
          <w:rFonts w:ascii="Verdana" w:hAnsi="Verdana"/>
          <w:sz w:val="16"/>
          <w:szCs w:val="16"/>
        </w:rPr>
        <w:t>(</w:t>
      </w:r>
      <w:r w:rsidRPr="00DF5CC8">
        <w:rPr>
          <w:rFonts w:ascii="Verdana" w:hAnsi="Verdana"/>
          <w:i/>
          <w:sz w:val="16"/>
          <w:szCs w:val="16"/>
        </w:rPr>
        <w:t>infra</w:t>
      </w:r>
      <w:r>
        <w:rPr>
          <w:rFonts w:ascii="Verdana" w:hAnsi="Verdana"/>
          <w:sz w:val="16"/>
          <w:szCs w:val="16"/>
        </w:rPr>
        <w:t xml:space="preserve"> párr. 216 y 217</w:t>
      </w:r>
      <w:r w:rsidRPr="00252E25">
        <w:rPr>
          <w:rFonts w:ascii="Verdana" w:hAnsi="Verdana"/>
          <w:sz w:val="16"/>
          <w:szCs w:val="16"/>
        </w:rPr>
        <w:t>).</w:t>
      </w:r>
    </w:p>
  </w:footnote>
  <w:footnote w:id="149">
    <w:p w14:paraId="28755A72" w14:textId="6FBA8FF4" w:rsidR="00A52322" w:rsidRPr="00A922FC" w:rsidRDefault="00A52322" w:rsidP="005E422B">
      <w:pPr>
        <w:pStyle w:val="Textonotapie"/>
        <w:ind w:right="778"/>
        <w:jc w:val="both"/>
        <w:rPr>
          <w:rFonts w:ascii="Verdana" w:hAnsi="Verdana"/>
          <w:sz w:val="16"/>
          <w:szCs w:val="16"/>
          <w:lang w:val="es-CR"/>
        </w:rPr>
      </w:pPr>
      <w:r w:rsidRPr="00252E25">
        <w:rPr>
          <w:rStyle w:val="Refdenotaalpie"/>
          <w:rFonts w:ascii="Verdana" w:hAnsi="Verdana"/>
          <w:sz w:val="16"/>
          <w:szCs w:val="16"/>
        </w:rPr>
        <w:footnoteRef/>
      </w:r>
      <w:r w:rsidRPr="004056DB">
        <w:rPr>
          <w:rFonts w:ascii="Verdana" w:hAnsi="Verdana"/>
          <w:sz w:val="16"/>
          <w:szCs w:val="16"/>
          <w:lang w:val="es-CR"/>
        </w:rPr>
        <w:t xml:space="preserve"> </w:t>
      </w:r>
      <w:r w:rsidRPr="004056DB">
        <w:rPr>
          <w:rFonts w:ascii="Verdana" w:hAnsi="Verdana"/>
          <w:sz w:val="16"/>
          <w:szCs w:val="16"/>
          <w:lang w:val="es-CR"/>
        </w:rPr>
        <w:tab/>
      </w:r>
      <w:r>
        <w:rPr>
          <w:rFonts w:ascii="Verdana" w:hAnsi="Verdana"/>
          <w:sz w:val="16"/>
          <w:szCs w:val="16"/>
          <w:lang w:val="es-PE"/>
        </w:rPr>
        <w:t>Acta de Juicio 38-9</w:t>
      </w:r>
      <w:r w:rsidRPr="004056DB">
        <w:rPr>
          <w:rFonts w:ascii="Verdana" w:hAnsi="Verdana"/>
          <w:sz w:val="16"/>
          <w:szCs w:val="16"/>
          <w:lang w:val="es-PE"/>
        </w:rPr>
        <w:t xml:space="preserve">9 de 11 de </w:t>
      </w:r>
      <w:r w:rsidRPr="004056DB">
        <w:rPr>
          <w:rFonts w:ascii="Verdana" w:hAnsi="Verdana"/>
          <w:sz w:val="16"/>
          <w:szCs w:val="16"/>
          <w:lang w:val="es-CR"/>
        </w:rPr>
        <w:t>octubre de 1999</w:t>
      </w:r>
      <w:r>
        <w:rPr>
          <w:rFonts w:ascii="Verdana" w:hAnsi="Verdana"/>
          <w:sz w:val="16"/>
          <w:szCs w:val="16"/>
          <w:lang w:val="es-CR"/>
        </w:rPr>
        <w:t xml:space="preserve">, </w:t>
      </w:r>
      <w:r w:rsidRPr="0060326C">
        <w:rPr>
          <w:rFonts w:ascii="Verdana" w:hAnsi="Verdana"/>
          <w:i/>
          <w:sz w:val="16"/>
          <w:szCs w:val="16"/>
          <w:lang w:val="es-CR"/>
        </w:rPr>
        <w:t>supra</w:t>
      </w:r>
      <w:r>
        <w:rPr>
          <w:rFonts w:ascii="Verdana" w:hAnsi="Verdana"/>
          <w:sz w:val="16"/>
          <w:szCs w:val="16"/>
          <w:lang w:val="es-CR"/>
        </w:rPr>
        <w:t>.</w:t>
      </w:r>
    </w:p>
    <w:p w14:paraId="391B89BA" w14:textId="77777777" w:rsidR="00A52322" w:rsidRPr="00A922FC" w:rsidRDefault="00A52322" w:rsidP="005E422B">
      <w:pPr>
        <w:pStyle w:val="Textonotapie"/>
        <w:ind w:left="720" w:right="778"/>
        <w:jc w:val="both"/>
        <w:rPr>
          <w:rFonts w:ascii="Verdana" w:hAnsi="Verdana"/>
          <w:sz w:val="16"/>
          <w:szCs w:val="16"/>
          <w:lang w:val="es-CR"/>
        </w:rPr>
      </w:pPr>
      <w:r w:rsidRPr="00A922FC">
        <w:rPr>
          <w:rFonts w:ascii="Verdana" w:hAnsi="Verdana"/>
          <w:sz w:val="16"/>
          <w:szCs w:val="16"/>
          <w:lang w:val="es-CR"/>
        </w:rPr>
        <w:t>[…] lo que quiero que me digas mira hijo de la gran puta conmigo te va llebar (sic) la gran puta de una bolsa negra saco un baston negro […] vas hablar me bajaron mi patalon (sic) y el calzoncillo, encima de la rampa para quedar incado (sic) uno de ellos me empezó a sobar el baston el ano queres hablar, no tengo nada que hacer y me puse a llorar y no le conteste ninguna pregunta. Fue en ese momento en que me introdujo en el ano aproximadamente como quince segundos el baston con grasa, pero para mí fue una eternidad y lo mobia (sic) y lo saco por favor no me vallan (sic) a matar tengo hijos perdóneme la vida, si lo único que hago es puyarte el culo pero si no me decís si te voy a matar, empezó a quererme introducírmelo otra vez empeze (sic) a retorcerme como el basto (sic) estaba manchado de graza (sic) no pudo meterlo por los movimientos, se cayó el bastón y me lastimó el testículo derecho yo grite en ese momento el pidió a otro agente de particular con la pieza de hule anda trae la capucha y le tapas la boca […].</w:t>
      </w:r>
    </w:p>
  </w:footnote>
  <w:footnote w:id="150">
    <w:p w14:paraId="72AACA46" w14:textId="77777777" w:rsidR="00A52322" w:rsidRPr="00A922FC" w:rsidRDefault="00A52322" w:rsidP="00143445">
      <w:pPr>
        <w:pStyle w:val="Textonotapie"/>
        <w:jc w:val="both"/>
        <w:rPr>
          <w:rFonts w:ascii="Verdana" w:hAnsi="Verdana"/>
          <w:sz w:val="16"/>
          <w:szCs w:val="16"/>
          <w:lang w:val="es-CR"/>
        </w:rPr>
      </w:pPr>
      <w:r w:rsidRPr="00A922FC">
        <w:rPr>
          <w:rStyle w:val="Refdenotaalpie"/>
          <w:rFonts w:ascii="Verdana" w:hAnsi="Verdana"/>
          <w:sz w:val="16"/>
          <w:szCs w:val="16"/>
        </w:rPr>
        <w:footnoteRef/>
      </w:r>
      <w:r w:rsidRPr="00A922FC">
        <w:rPr>
          <w:rFonts w:ascii="Verdana" w:hAnsi="Verdana"/>
          <w:sz w:val="16"/>
          <w:szCs w:val="16"/>
          <w:lang w:val="es-CR"/>
        </w:rPr>
        <w:t xml:space="preserve"> </w:t>
      </w:r>
      <w:r w:rsidRPr="00A922FC">
        <w:rPr>
          <w:rFonts w:ascii="Verdana" w:hAnsi="Verdana"/>
          <w:sz w:val="16"/>
          <w:szCs w:val="16"/>
          <w:lang w:val="es-CR"/>
        </w:rPr>
        <w:tab/>
        <w:t xml:space="preserve">Declaración rendida por la señora Rosa María Mendoza López el 22 de mayo de 2004 </w:t>
      </w:r>
      <w:r w:rsidRPr="001E3DB9">
        <w:rPr>
          <w:rFonts w:ascii="Verdana" w:hAnsi="Verdana"/>
          <w:sz w:val="16"/>
          <w:szCs w:val="16"/>
          <w:lang w:val="es-CR"/>
        </w:rPr>
        <w:t>(expediente de anexos al Informe de Fondo, anexo 2, fs. 115 a 116)</w:t>
      </w:r>
      <w:r>
        <w:rPr>
          <w:rFonts w:ascii="Verdana" w:hAnsi="Verdana"/>
          <w:sz w:val="16"/>
          <w:szCs w:val="16"/>
          <w:lang w:val="es-CR"/>
        </w:rPr>
        <w:t>.</w:t>
      </w:r>
    </w:p>
  </w:footnote>
  <w:footnote w:id="151">
    <w:p w14:paraId="1D1ED1C6" w14:textId="77777777" w:rsidR="00A52322" w:rsidRPr="00B33DF0" w:rsidRDefault="00A52322" w:rsidP="00143445">
      <w:pPr>
        <w:pStyle w:val="Textoindependiente"/>
        <w:jc w:val="both"/>
        <w:rPr>
          <w:rFonts w:ascii="Verdana" w:hAnsi="Verdana"/>
          <w:b w:val="0"/>
          <w:color w:val="FF0000"/>
          <w:sz w:val="16"/>
          <w:szCs w:val="16"/>
          <w:lang w:val="es-CR"/>
        </w:rPr>
      </w:pPr>
      <w:r w:rsidRPr="00A922FC">
        <w:rPr>
          <w:rStyle w:val="Refdenotaalpie"/>
          <w:rFonts w:ascii="Verdana" w:hAnsi="Verdana"/>
          <w:b w:val="0"/>
          <w:sz w:val="16"/>
          <w:szCs w:val="16"/>
        </w:rPr>
        <w:footnoteRef/>
      </w:r>
      <w:r w:rsidRPr="00A922FC">
        <w:rPr>
          <w:rFonts w:ascii="Verdana" w:hAnsi="Verdana"/>
          <w:b w:val="0"/>
          <w:sz w:val="16"/>
          <w:szCs w:val="16"/>
          <w:lang w:val="es-CR"/>
        </w:rPr>
        <w:t xml:space="preserve"> </w:t>
      </w:r>
      <w:r w:rsidRPr="00A922FC">
        <w:rPr>
          <w:rFonts w:ascii="Verdana" w:hAnsi="Verdana"/>
          <w:b w:val="0"/>
          <w:sz w:val="16"/>
          <w:szCs w:val="16"/>
          <w:lang w:val="es-CR"/>
        </w:rPr>
        <w:tab/>
      </w:r>
      <w:r w:rsidRPr="009D0D31">
        <w:rPr>
          <w:rFonts w:ascii="Verdana" w:hAnsi="Verdana"/>
          <w:b w:val="0"/>
          <w:sz w:val="16"/>
          <w:szCs w:val="16"/>
          <w:lang w:val="es-CR"/>
        </w:rPr>
        <w:t xml:space="preserve">Declaración rendida por la señora </w:t>
      </w:r>
      <w:r w:rsidRPr="00DF5CC8">
        <w:rPr>
          <w:rFonts w:ascii="Verdana" w:hAnsi="Verdana"/>
          <w:b w:val="0"/>
          <w:sz w:val="16"/>
          <w:szCs w:val="16"/>
          <w:lang w:val="es-CR"/>
        </w:rPr>
        <w:t>Florinda L</w:t>
      </w:r>
      <w:r w:rsidRPr="00252E25">
        <w:rPr>
          <w:rFonts w:ascii="Verdana" w:hAnsi="Verdana"/>
          <w:b w:val="0"/>
          <w:sz w:val="16"/>
          <w:szCs w:val="16"/>
          <w:lang w:val="es-CR"/>
        </w:rPr>
        <w:t xml:space="preserve">ópez de López </w:t>
      </w:r>
      <w:r w:rsidRPr="009D0D31">
        <w:rPr>
          <w:rFonts w:ascii="Verdana" w:hAnsi="Verdana"/>
          <w:b w:val="0"/>
          <w:sz w:val="16"/>
          <w:szCs w:val="16"/>
          <w:lang w:val="es-CR"/>
        </w:rPr>
        <w:t xml:space="preserve">en la audiencia pública ante la Corte el </w:t>
      </w:r>
      <w:r w:rsidRPr="009D0D31">
        <w:rPr>
          <w:rFonts w:ascii="Verdana" w:hAnsi="Verdana"/>
          <w:b w:val="0"/>
          <w:sz w:val="16"/>
          <w:szCs w:val="16"/>
          <w:lang w:val="es-DO"/>
        </w:rPr>
        <w:t xml:space="preserve">7 de marzo de 2019.  </w:t>
      </w:r>
    </w:p>
  </w:footnote>
  <w:footnote w:id="152">
    <w:p w14:paraId="42625399" w14:textId="31B85208" w:rsidR="00A52322" w:rsidRPr="0060326C" w:rsidRDefault="00A52322" w:rsidP="00143445">
      <w:pPr>
        <w:pStyle w:val="Textonotapie"/>
        <w:jc w:val="both"/>
        <w:rPr>
          <w:rFonts w:ascii="Verdana" w:hAnsi="Verdana"/>
          <w:sz w:val="16"/>
          <w:szCs w:val="16"/>
          <w:lang w:val="es-CR"/>
        </w:rPr>
      </w:pPr>
      <w:r w:rsidRPr="00A922FC">
        <w:rPr>
          <w:rStyle w:val="Refdenotaalpie"/>
          <w:rFonts w:ascii="Verdana" w:hAnsi="Verdana"/>
          <w:sz w:val="16"/>
          <w:szCs w:val="16"/>
        </w:rPr>
        <w:footnoteRef/>
      </w:r>
      <w:r w:rsidRPr="00A922FC">
        <w:rPr>
          <w:rFonts w:ascii="Verdana" w:hAnsi="Verdana"/>
          <w:sz w:val="16"/>
          <w:szCs w:val="16"/>
          <w:lang w:val="es-CR"/>
        </w:rPr>
        <w:t xml:space="preserve"> </w:t>
      </w:r>
      <w:r w:rsidRPr="00A922FC">
        <w:rPr>
          <w:rFonts w:ascii="Verdana" w:hAnsi="Verdana"/>
          <w:sz w:val="16"/>
          <w:szCs w:val="16"/>
          <w:lang w:val="es-CR"/>
        </w:rPr>
        <w:tab/>
      </w:r>
      <w:r w:rsidRPr="0060326C">
        <w:rPr>
          <w:rFonts w:ascii="Verdana" w:hAnsi="Verdana"/>
          <w:sz w:val="16"/>
          <w:szCs w:val="16"/>
          <w:lang w:val="es-CR"/>
        </w:rPr>
        <w:t xml:space="preserve">Informe del médico de Edna Karina Vaquerano Martínez, </w:t>
      </w:r>
      <w:r w:rsidRPr="0060326C">
        <w:rPr>
          <w:rFonts w:ascii="Verdana" w:hAnsi="Verdana"/>
          <w:i/>
          <w:sz w:val="16"/>
          <w:szCs w:val="16"/>
          <w:lang w:val="es-CR"/>
        </w:rPr>
        <w:t>supra</w:t>
      </w:r>
      <w:r w:rsidRPr="0060326C">
        <w:rPr>
          <w:rFonts w:ascii="Verdana" w:hAnsi="Verdana"/>
          <w:sz w:val="16"/>
          <w:szCs w:val="16"/>
          <w:lang w:val="es-CR"/>
        </w:rPr>
        <w:t xml:space="preserve">. </w:t>
      </w:r>
    </w:p>
  </w:footnote>
  <w:footnote w:id="153">
    <w:p w14:paraId="512DF709" w14:textId="77777777" w:rsidR="00A52322" w:rsidRPr="0060326C" w:rsidRDefault="00A52322" w:rsidP="00143445">
      <w:pPr>
        <w:pStyle w:val="Textonotapie"/>
        <w:jc w:val="both"/>
        <w:rPr>
          <w:rFonts w:ascii="Verdana" w:hAnsi="Verdana"/>
          <w:sz w:val="16"/>
          <w:szCs w:val="16"/>
          <w:lang w:val="es-CR"/>
        </w:rPr>
      </w:pPr>
      <w:r w:rsidRPr="0060326C">
        <w:rPr>
          <w:rStyle w:val="Refdenotaalpie"/>
          <w:rFonts w:ascii="Verdana" w:hAnsi="Verdana"/>
          <w:sz w:val="16"/>
          <w:szCs w:val="16"/>
        </w:rPr>
        <w:footnoteRef/>
      </w:r>
      <w:r w:rsidRPr="0060326C">
        <w:rPr>
          <w:rFonts w:ascii="Verdana" w:hAnsi="Verdana"/>
          <w:sz w:val="16"/>
          <w:szCs w:val="16"/>
          <w:lang w:val="es-CR"/>
        </w:rPr>
        <w:t xml:space="preserve"> </w:t>
      </w:r>
      <w:r w:rsidRPr="0060326C">
        <w:rPr>
          <w:rFonts w:ascii="Verdana" w:hAnsi="Verdana"/>
          <w:sz w:val="16"/>
          <w:szCs w:val="16"/>
          <w:lang w:val="es-CR"/>
        </w:rPr>
        <w:tab/>
        <w:t xml:space="preserve">Peritaje psicológico </w:t>
      </w:r>
      <w:r>
        <w:rPr>
          <w:rFonts w:ascii="Verdana" w:hAnsi="Verdana"/>
          <w:sz w:val="16"/>
          <w:szCs w:val="16"/>
          <w:lang w:val="es-CR"/>
        </w:rPr>
        <w:t xml:space="preserve">rendido por </w:t>
      </w:r>
      <w:r w:rsidRPr="0060326C">
        <w:rPr>
          <w:rFonts w:ascii="Verdana" w:hAnsi="Verdana"/>
          <w:sz w:val="16"/>
          <w:szCs w:val="16"/>
          <w:lang w:val="es-CR"/>
        </w:rPr>
        <w:t xml:space="preserve">Juan Cristóbal Aldana Alfaro, </w:t>
      </w:r>
      <w:r w:rsidRPr="0060326C">
        <w:rPr>
          <w:rFonts w:ascii="Verdana" w:hAnsi="Verdana"/>
          <w:i/>
          <w:sz w:val="16"/>
          <w:szCs w:val="16"/>
          <w:lang w:val="es-CR"/>
        </w:rPr>
        <w:t>supra.</w:t>
      </w:r>
      <w:r w:rsidRPr="0060326C">
        <w:rPr>
          <w:rFonts w:ascii="Verdana" w:hAnsi="Verdana"/>
          <w:sz w:val="16"/>
          <w:szCs w:val="16"/>
          <w:lang w:val="es-CR"/>
        </w:rPr>
        <w:t xml:space="preserve"> </w:t>
      </w:r>
    </w:p>
  </w:footnote>
  <w:footnote w:id="154">
    <w:p w14:paraId="6B6B0808" w14:textId="422826FA" w:rsidR="00A52322" w:rsidRPr="00A922FC" w:rsidRDefault="00A52322" w:rsidP="00143445">
      <w:pPr>
        <w:pStyle w:val="Textonotapie"/>
        <w:jc w:val="both"/>
        <w:rPr>
          <w:rFonts w:ascii="Verdana" w:hAnsi="Verdana"/>
          <w:sz w:val="16"/>
          <w:szCs w:val="16"/>
          <w:lang w:val="es-CR"/>
        </w:rPr>
      </w:pPr>
      <w:r w:rsidRPr="0060326C">
        <w:rPr>
          <w:rStyle w:val="Refdenotaalpie"/>
          <w:rFonts w:ascii="Verdana" w:hAnsi="Verdana"/>
          <w:sz w:val="16"/>
          <w:szCs w:val="16"/>
        </w:rPr>
        <w:footnoteRef/>
      </w:r>
      <w:r w:rsidRPr="0060326C">
        <w:rPr>
          <w:rFonts w:ascii="Verdana" w:hAnsi="Verdana"/>
          <w:sz w:val="16"/>
          <w:szCs w:val="16"/>
          <w:lang w:val="es-CR"/>
        </w:rPr>
        <w:t xml:space="preserve"> </w:t>
      </w:r>
      <w:r w:rsidRPr="0060326C">
        <w:rPr>
          <w:rFonts w:ascii="Verdana" w:hAnsi="Verdana"/>
          <w:sz w:val="16"/>
          <w:szCs w:val="16"/>
          <w:lang w:val="es-CR"/>
        </w:rPr>
        <w:tab/>
        <w:t xml:space="preserve">Oficio del médico Carlos Guillermo Quijada Sandoval a la Directora General del Sistema penitenciarios de Guatemala de 28 de febrero de 2005 (expediente de </w:t>
      </w:r>
      <w:r w:rsidRPr="0060326C">
        <w:rPr>
          <w:rFonts w:ascii="Verdana" w:hAnsi="Verdana"/>
          <w:sz w:val="16"/>
          <w:szCs w:val="16"/>
          <w:lang w:val="es-PE"/>
        </w:rPr>
        <w:t>anexos al Informe de Fondo</w:t>
      </w:r>
      <w:r w:rsidRPr="0060326C">
        <w:rPr>
          <w:rFonts w:ascii="Verdana" w:hAnsi="Verdana"/>
          <w:sz w:val="16"/>
          <w:szCs w:val="16"/>
          <w:lang w:val="es-CR"/>
        </w:rPr>
        <w:t>, anexo 10, fs. 170 a 173)</w:t>
      </w:r>
      <w:r>
        <w:rPr>
          <w:rFonts w:ascii="Verdana" w:hAnsi="Verdana"/>
          <w:sz w:val="16"/>
          <w:szCs w:val="16"/>
          <w:lang w:val="es-CR"/>
        </w:rPr>
        <w:t>.</w:t>
      </w:r>
      <w:r>
        <w:rPr>
          <w:rFonts w:ascii="Verdana" w:hAnsi="Verdana"/>
          <w:b/>
          <w:sz w:val="16"/>
          <w:szCs w:val="16"/>
          <w:lang w:val="es-CR"/>
        </w:rPr>
        <w:t xml:space="preserve"> </w:t>
      </w:r>
    </w:p>
  </w:footnote>
  <w:footnote w:id="155">
    <w:p w14:paraId="04200D1A" w14:textId="77777777" w:rsidR="00A52322" w:rsidRPr="00A922FC" w:rsidRDefault="00A52322" w:rsidP="00143445">
      <w:pPr>
        <w:pStyle w:val="Textonotapie"/>
        <w:tabs>
          <w:tab w:val="left" w:pos="720"/>
        </w:tabs>
        <w:contextualSpacing/>
        <w:jc w:val="both"/>
        <w:rPr>
          <w:rFonts w:ascii="Verdana" w:hAnsi="Verdana"/>
          <w:spacing w:val="-4"/>
          <w:sz w:val="16"/>
          <w:szCs w:val="16"/>
          <w:lang w:val="es-PR"/>
        </w:rPr>
      </w:pPr>
      <w:r w:rsidRPr="00A922FC">
        <w:rPr>
          <w:rStyle w:val="Refdenotaalpie"/>
          <w:rFonts w:ascii="Verdana" w:eastAsia="Calibri" w:hAnsi="Verdana"/>
          <w:spacing w:val="-4"/>
          <w:sz w:val="16"/>
          <w:szCs w:val="16"/>
          <w:lang w:val="es-PR"/>
        </w:rPr>
        <w:footnoteRef/>
      </w:r>
      <w:r w:rsidRPr="00AB0B7D">
        <w:rPr>
          <w:rFonts w:ascii="Verdana" w:hAnsi="Verdana"/>
          <w:spacing w:val="-4"/>
          <w:sz w:val="16"/>
          <w:szCs w:val="16"/>
          <w:lang w:val="pt-BR"/>
        </w:rPr>
        <w:t xml:space="preserve"> </w:t>
      </w:r>
      <w:r w:rsidRPr="00AB0B7D">
        <w:rPr>
          <w:rFonts w:ascii="Verdana" w:hAnsi="Verdana"/>
          <w:spacing w:val="-4"/>
          <w:sz w:val="16"/>
          <w:szCs w:val="16"/>
          <w:lang w:val="pt-BR"/>
        </w:rPr>
        <w:tab/>
      </w:r>
      <w:r w:rsidRPr="00AB0B7D">
        <w:rPr>
          <w:rFonts w:ascii="Verdana" w:hAnsi="Verdana"/>
          <w:i/>
          <w:iCs/>
          <w:spacing w:val="-4"/>
          <w:sz w:val="16"/>
          <w:szCs w:val="16"/>
          <w:lang w:val="pt-BR"/>
        </w:rPr>
        <w:t>Cfr. Caso J. Vs. Perú, supra</w:t>
      </w:r>
      <w:r w:rsidRPr="00AB0B7D">
        <w:rPr>
          <w:rFonts w:ascii="Verdana" w:hAnsi="Verdana"/>
          <w:sz w:val="16"/>
          <w:szCs w:val="16"/>
          <w:lang w:val="pt-BR"/>
        </w:rPr>
        <w:t xml:space="preserve">, </w:t>
      </w:r>
      <w:r w:rsidRPr="00AB0B7D">
        <w:rPr>
          <w:rFonts w:ascii="Verdana" w:hAnsi="Verdana"/>
          <w:bCs/>
          <w:spacing w:val="-4"/>
          <w:sz w:val="16"/>
          <w:szCs w:val="16"/>
          <w:lang w:val="pt-BR"/>
        </w:rPr>
        <w:t xml:space="preserve">párr. 329, </w:t>
      </w:r>
      <w:r w:rsidRPr="00AB0B7D">
        <w:rPr>
          <w:rFonts w:ascii="Verdana" w:hAnsi="Verdana"/>
          <w:spacing w:val="-4"/>
          <w:sz w:val="16"/>
          <w:szCs w:val="16"/>
          <w:lang w:val="pt-BR"/>
        </w:rPr>
        <w:t xml:space="preserve">y </w:t>
      </w:r>
      <w:r w:rsidRPr="00AB0B7D">
        <w:rPr>
          <w:rFonts w:ascii="Verdana" w:hAnsi="Verdana"/>
          <w:i/>
          <w:spacing w:val="-4"/>
          <w:sz w:val="16"/>
          <w:szCs w:val="16"/>
          <w:lang w:val="pt-BR"/>
        </w:rPr>
        <w:t>Caso Favela Nova Brasilia Vs. Brasil, supra</w:t>
      </w:r>
      <w:r w:rsidRPr="00AB0B7D">
        <w:rPr>
          <w:rFonts w:ascii="Verdana" w:hAnsi="Verdana"/>
          <w:spacing w:val="-4"/>
          <w:sz w:val="16"/>
          <w:szCs w:val="16"/>
          <w:lang w:val="pt-BR"/>
        </w:rPr>
        <w:t xml:space="preserve">, párr. </w:t>
      </w:r>
      <w:r w:rsidRPr="001E3DB9">
        <w:rPr>
          <w:rFonts w:ascii="Verdana" w:hAnsi="Verdana"/>
          <w:spacing w:val="-4"/>
          <w:sz w:val="16"/>
          <w:szCs w:val="16"/>
          <w:lang w:val="es-PR"/>
        </w:rPr>
        <w:t>249.</w:t>
      </w:r>
    </w:p>
  </w:footnote>
  <w:footnote w:id="156">
    <w:p w14:paraId="5CA34B07" w14:textId="196C209C" w:rsidR="00A52322" w:rsidRPr="00A922FC" w:rsidRDefault="00A52322" w:rsidP="00143445">
      <w:pPr>
        <w:spacing w:after="0" w:line="240" w:lineRule="auto"/>
        <w:jc w:val="both"/>
        <w:rPr>
          <w:rFonts w:ascii="Verdana" w:hAnsi="Verdana"/>
          <w:sz w:val="16"/>
          <w:szCs w:val="16"/>
          <w:lang w:val="es-CR"/>
        </w:rPr>
      </w:pPr>
      <w:r w:rsidRPr="00A922FC">
        <w:rPr>
          <w:rStyle w:val="Refdenotaalpie"/>
          <w:rFonts w:ascii="Verdana" w:hAnsi="Verdana"/>
          <w:sz w:val="16"/>
          <w:szCs w:val="16"/>
        </w:rPr>
        <w:footnoteRef/>
      </w:r>
      <w:r w:rsidRPr="00A922FC">
        <w:rPr>
          <w:rFonts w:ascii="Verdana" w:hAnsi="Verdana"/>
          <w:sz w:val="16"/>
          <w:szCs w:val="16"/>
          <w:lang w:val="es-CR"/>
        </w:rPr>
        <w:t xml:space="preserve"> </w:t>
      </w:r>
      <w:r w:rsidRPr="00A922FC">
        <w:rPr>
          <w:rFonts w:ascii="Verdana" w:hAnsi="Verdana"/>
          <w:sz w:val="16"/>
          <w:szCs w:val="16"/>
          <w:lang w:val="es-CR"/>
        </w:rPr>
        <w:tab/>
      </w:r>
      <w:r w:rsidRPr="00E64367">
        <w:rPr>
          <w:rFonts w:ascii="Verdana" w:hAnsi="Verdana"/>
          <w:i/>
          <w:sz w:val="16"/>
          <w:szCs w:val="16"/>
          <w:lang w:val="es-CR"/>
        </w:rPr>
        <w:t>Cfr.</w:t>
      </w:r>
      <w:r w:rsidRPr="001E3DB9">
        <w:rPr>
          <w:rFonts w:ascii="Verdana" w:hAnsi="Verdana"/>
          <w:sz w:val="16"/>
          <w:szCs w:val="16"/>
          <w:lang w:val="es-CR"/>
        </w:rPr>
        <w:t xml:space="preserve"> </w:t>
      </w:r>
      <w:r w:rsidRPr="001E3DB9">
        <w:rPr>
          <w:rFonts w:ascii="Verdana" w:hAnsi="Verdana"/>
          <w:i/>
          <w:sz w:val="16"/>
          <w:szCs w:val="16"/>
          <w:lang w:val="es-CR"/>
        </w:rPr>
        <w:t>Caso Bueno Alves vs. Argentina</w:t>
      </w:r>
      <w:r>
        <w:rPr>
          <w:rFonts w:ascii="Verdana" w:hAnsi="Verdana"/>
          <w:sz w:val="16"/>
          <w:szCs w:val="16"/>
          <w:lang w:val="es-CR"/>
        </w:rPr>
        <w:t xml:space="preserve">, </w:t>
      </w:r>
      <w:r w:rsidRPr="005924A6">
        <w:rPr>
          <w:rFonts w:ascii="Verdana" w:hAnsi="Verdana"/>
          <w:i/>
          <w:sz w:val="16"/>
          <w:szCs w:val="16"/>
          <w:lang w:val="es-CR"/>
        </w:rPr>
        <w:t>supra</w:t>
      </w:r>
      <w:r w:rsidRPr="001E3DB9">
        <w:rPr>
          <w:rFonts w:ascii="Verdana" w:hAnsi="Verdana"/>
          <w:sz w:val="16"/>
          <w:szCs w:val="16"/>
          <w:lang w:val="es-CR"/>
        </w:rPr>
        <w:t>, párr. 79</w:t>
      </w:r>
      <w:r>
        <w:rPr>
          <w:rFonts w:ascii="Verdana" w:hAnsi="Verdana"/>
          <w:sz w:val="16"/>
          <w:szCs w:val="16"/>
          <w:lang w:val="es-CR"/>
        </w:rPr>
        <w:t xml:space="preserve">, y </w:t>
      </w:r>
      <w:r w:rsidRPr="00E64367">
        <w:rPr>
          <w:rFonts w:ascii="Verdana" w:hAnsi="Verdana"/>
          <w:i/>
          <w:sz w:val="16"/>
          <w:szCs w:val="16"/>
        </w:rPr>
        <w:t>Caso Mujeres Víctimas de Tortura Sexual en Atenco Vs. México</w:t>
      </w:r>
      <w:r>
        <w:rPr>
          <w:rFonts w:ascii="Verdana" w:hAnsi="Verdana"/>
          <w:i/>
          <w:sz w:val="16"/>
          <w:szCs w:val="16"/>
        </w:rPr>
        <w:t>, supra</w:t>
      </w:r>
      <w:r w:rsidRPr="001E3DB9">
        <w:rPr>
          <w:rFonts w:ascii="Verdana" w:hAnsi="Verdana"/>
          <w:sz w:val="16"/>
          <w:szCs w:val="16"/>
          <w:lang w:val="es-CR"/>
        </w:rPr>
        <w:t>, párr. 19</w:t>
      </w:r>
      <w:r>
        <w:rPr>
          <w:rFonts w:ascii="Verdana" w:hAnsi="Verdana"/>
          <w:sz w:val="16"/>
          <w:szCs w:val="16"/>
          <w:lang w:val="es-CR"/>
        </w:rPr>
        <w:t>4</w:t>
      </w:r>
      <w:r w:rsidRPr="001E3DB9">
        <w:rPr>
          <w:rFonts w:ascii="Verdana" w:hAnsi="Verdana"/>
          <w:sz w:val="16"/>
          <w:szCs w:val="16"/>
          <w:lang w:val="es-CR"/>
        </w:rPr>
        <w:t>.</w:t>
      </w:r>
    </w:p>
  </w:footnote>
  <w:footnote w:id="157">
    <w:p w14:paraId="7F82284D" w14:textId="74902B8D" w:rsidR="00A52322" w:rsidRPr="00A922FC" w:rsidRDefault="00A52322" w:rsidP="005924A6">
      <w:pPr>
        <w:tabs>
          <w:tab w:val="left" w:pos="720"/>
        </w:tabs>
        <w:spacing w:after="0" w:line="240" w:lineRule="auto"/>
        <w:ind w:right="58"/>
        <w:jc w:val="both"/>
        <w:rPr>
          <w:rFonts w:ascii="Verdana" w:hAnsi="Verdana"/>
          <w:sz w:val="16"/>
          <w:szCs w:val="16"/>
        </w:rPr>
      </w:pPr>
      <w:r w:rsidRPr="00A922FC">
        <w:rPr>
          <w:rStyle w:val="Refdenotaalpie"/>
          <w:rFonts w:ascii="Verdana" w:hAnsi="Verdana"/>
          <w:sz w:val="16"/>
          <w:szCs w:val="16"/>
        </w:rPr>
        <w:footnoteRef/>
      </w:r>
      <w:r w:rsidRPr="00A922FC">
        <w:rPr>
          <w:rFonts w:ascii="Verdana" w:hAnsi="Verdana"/>
          <w:sz w:val="16"/>
          <w:szCs w:val="16"/>
          <w:lang w:val="es-CR"/>
        </w:rPr>
        <w:t xml:space="preserve"> </w:t>
      </w:r>
      <w:r w:rsidRPr="00A922FC">
        <w:rPr>
          <w:rFonts w:ascii="Verdana" w:hAnsi="Verdana"/>
          <w:sz w:val="16"/>
          <w:szCs w:val="16"/>
          <w:lang w:val="es-CR"/>
        </w:rPr>
        <w:tab/>
        <w:t>Al respecto, este Tribunal recuerda que</w:t>
      </w:r>
      <w:r w:rsidRPr="00A922FC">
        <w:rPr>
          <w:rFonts w:ascii="Verdana" w:hAnsi="Verdana"/>
          <w:sz w:val="16"/>
          <w:szCs w:val="16"/>
        </w:rPr>
        <w:t xml:space="preserve"> por “violación sexual […] debe entenderse actos de penetración vaginales o anales, sin consentimiento de la víctima, mediante la utilización de otras partes del cuerpo del agresor u objetos, así como la penetración bucal mediante el miembro viril. </w:t>
      </w:r>
      <w:r w:rsidRPr="00A922FC">
        <w:rPr>
          <w:rFonts w:ascii="Verdana" w:hAnsi="Verdana"/>
          <w:i/>
          <w:sz w:val="16"/>
          <w:szCs w:val="16"/>
          <w:lang w:val="es-CR"/>
        </w:rPr>
        <w:t xml:space="preserve">Caso </w:t>
      </w:r>
      <w:r>
        <w:rPr>
          <w:rFonts w:ascii="Verdana" w:hAnsi="Verdana"/>
          <w:i/>
          <w:sz w:val="16"/>
          <w:szCs w:val="16"/>
          <w:lang w:val="es-CR"/>
        </w:rPr>
        <w:t xml:space="preserve">del </w:t>
      </w:r>
      <w:r w:rsidRPr="00A922FC">
        <w:rPr>
          <w:rFonts w:ascii="Verdana" w:hAnsi="Verdana"/>
          <w:i/>
          <w:sz w:val="16"/>
          <w:szCs w:val="16"/>
          <w:lang w:val="es-CR"/>
        </w:rPr>
        <w:t>Pe</w:t>
      </w:r>
      <w:r>
        <w:rPr>
          <w:rFonts w:ascii="Verdana" w:hAnsi="Verdana"/>
          <w:i/>
          <w:sz w:val="16"/>
          <w:szCs w:val="16"/>
          <w:lang w:val="es-CR"/>
        </w:rPr>
        <w:t>nal Miguel Castro Castro V</w:t>
      </w:r>
      <w:r w:rsidRPr="00A922FC">
        <w:rPr>
          <w:rFonts w:ascii="Verdana" w:hAnsi="Verdana"/>
          <w:i/>
          <w:sz w:val="16"/>
          <w:szCs w:val="16"/>
          <w:lang w:val="es-CR"/>
        </w:rPr>
        <w:t>s. Perú. Fondo, Reparaciones y Costas. Sentencia</w:t>
      </w:r>
      <w:r w:rsidRPr="00A922FC">
        <w:rPr>
          <w:rFonts w:ascii="Verdana" w:hAnsi="Verdana"/>
          <w:sz w:val="16"/>
          <w:szCs w:val="16"/>
          <w:lang w:val="es-CR"/>
        </w:rPr>
        <w:t xml:space="preserve"> de 25 de noviembre de 2006</w:t>
      </w:r>
      <w:r>
        <w:rPr>
          <w:rFonts w:ascii="Verdana" w:hAnsi="Verdana"/>
          <w:sz w:val="16"/>
          <w:szCs w:val="16"/>
          <w:lang w:val="es-CR"/>
        </w:rPr>
        <w:t>. Serie C No. 160</w:t>
      </w:r>
      <w:r w:rsidRPr="00A922FC">
        <w:rPr>
          <w:rFonts w:ascii="Verdana" w:hAnsi="Verdana"/>
          <w:sz w:val="16"/>
          <w:szCs w:val="16"/>
          <w:lang w:val="es-CR"/>
        </w:rPr>
        <w:t>, párr. 310.</w:t>
      </w:r>
      <w:r w:rsidRPr="00A922FC">
        <w:rPr>
          <w:rFonts w:ascii="Verdana" w:hAnsi="Verdana"/>
          <w:i/>
          <w:sz w:val="16"/>
          <w:szCs w:val="16"/>
          <w:lang w:val="es-CR"/>
        </w:rPr>
        <w:t xml:space="preserve"> </w:t>
      </w:r>
    </w:p>
  </w:footnote>
  <w:footnote w:id="158">
    <w:p w14:paraId="3F510D3B" w14:textId="77777777" w:rsidR="00A52322" w:rsidRPr="00A922FC" w:rsidRDefault="00A52322" w:rsidP="00C836AC">
      <w:pPr>
        <w:spacing w:after="0"/>
        <w:ind w:right="58"/>
        <w:jc w:val="both"/>
        <w:rPr>
          <w:rFonts w:ascii="Verdana" w:hAnsi="Verdana"/>
          <w:sz w:val="16"/>
          <w:szCs w:val="16"/>
        </w:rPr>
      </w:pPr>
      <w:r w:rsidRPr="00A922FC">
        <w:rPr>
          <w:rStyle w:val="Refdenotaalpie"/>
          <w:rFonts w:ascii="Verdana" w:hAnsi="Verdana"/>
          <w:sz w:val="16"/>
          <w:szCs w:val="16"/>
        </w:rPr>
        <w:footnoteRef/>
      </w:r>
      <w:r w:rsidRPr="00A922FC">
        <w:rPr>
          <w:rFonts w:ascii="Verdana" w:hAnsi="Verdana"/>
          <w:sz w:val="16"/>
          <w:szCs w:val="16"/>
        </w:rPr>
        <w:t xml:space="preserve">  </w:t>
      </w:r>
      <w:r w:rsidRPr="00A922FC">
        <w:rPr>
          <w:rFonts w:ascii="Verdana" w:hAnsi="Verdana"/>
          <w:sz w:val="16"/>
          <w:szCs w:val="16"/>
        </w:rPr>
        <w:tab/>
      </w:r>
      <w:r w:rsidRPr="00E64367">
        <w:rPr>
          <w:rFonts w:ascii="Verdana" w:hAnsi="Verdana"/>
          <w:i/>
          <w:iCs/>
          <w:sz w:val="16"/>
          <w:szCs w:val="16"/>
        </w:rPr>
        <w:t>Cfr. Caso Fernández Ortega y otros Vs. México</w:t>
      </w:r>
      <w:r>
        <w:rPr>
          <w:rFonts w:ascii="Verdana" w:hAnsi="Verdana"/>
          <w:i/>
          <w:iCs/>
          <w:sz w:val="16"/>
          <w:szCs w:val="16"/>
        </w:rPr>
        <w:t>, supra</w:t>
      </w:r>
      <w:r w:rsidRPr="00E64367">
        <w:rPr>
          <w:rFonts w:ascii="Verdana" w:hAnsi="Verdana"/>
          <w:iCs/>
          <w:sz w:val="16"/>
          <w:szCs w:val="16"/>
        </w:rPr>
        <w:t xml:space="preserve">, </w:t>
      </w:r>
      <w:r>
        <w:rPr>
          <w:rFonts w:ascii="Verdana" w:hAnsi="Verdana"/>
          <w:sz w:val="16"/>
          <w:szCs w:val="16"/>
        </w:rPr>
        <w:t>párr. 124</w:t>
      </w:r>
      <w:r w:rsidRPr="001E3DB9">
        <w:rPr>
          <w:rFonts w:ascii="Verdana" w:hAnsi="Verdana"/>
          <w:sz w:val="16"/>
          <w:szCs w:val="16"/>
        </w:rPr>
        <w:t xml:space="preserve">, y </w:t>
      </w:r>
      <w:r w:rsidRPr="00E64367">
        <w:rPr>
          <w:rFonts w:ascii="Verdana" w:hAnsi="Verdana"/>
          <w:i/>
          <w:sz w:val="16"/>
          <w:szCs w:val="16"/>
        </w:rPr>
        <w:t>Caso Mujeres Víctimas de Tortura Sexual en Atenco Vs. México</w:t>
      </w:r>
      <w:r>
        <w:rPr>
          <w:rFonts w:ascii="Verdana" w:hAnsi="Verdana"/>
          <w:i/>
          <w:sz w:val="16"/>
          <w:szCs w:val="16"/>
        </w:rPr>
        <w:t>, supra</w:t>
      </w:r>
      <w:r w:rsidRPr="001E3DB9">
        <w:rPr>
          <w:rFonts w:ascii="Verdana" w:hAnsi="Verdana"/>
          <w:sz w:val="16"/>
          <w:szCs w:val="16"/>
          <w:lang w:val="es-CR"/>
        </w:rPr>
        <w:t>, párr. 192.</w:t>
      </w:r>
    </w:p>
  </w:footnote>
  <w:footnote w:id="159">
    <w:p w14:paraId="237562A2" w14:textId="77777777" w:rsidR="00A52322" w:rsidRPr="00A922FC" w:rsidRDefault="00A52322" w:rsidP="00C836AC">
      <w:pPr>
        <w:pStyle w:val="Textonotapie"/>
        <w:tabs>
          <w:tab w:val="left" w:pos="709"/>
        </w:tabs>
        <w:ind w:right="58"/>
        <w:jc w:val="both"/>
        <w:rPr>
          <w:rFonts w:ascii="Verdana" w:hAnsi="Verdana"/>
          <w:sz w:val="16"/>
          <w:szCs w:val="16"/>
        </w:rPr>
      </w:pPr>
      <w:r w:rsidRPr="00A922FC">
        <w:rPr>
          <w:rStyle w:val="Refdenotaalpie"/>
          <w:rFonts w:ascii="Verdana" w:hAnsi="Verdana"/>
          <w:sz w:val="16"/>
          <w:szCs w:val="16"/>
        </w:rPr>
        <w:footnoteRef/>
      </w:r>
      <w:r w:rsidRPr="00A922FC">
        <w:rPr>
          <w:rFonts w:ascii="Verdana" w:hAnsi="Verdana"/>
          <w:sz w:val="16"/>
          <w:szCs w:val="16"/>
          <w:lang w:val="es-ES"/>
        </w:rPr>
        <w:t xml:space="preserve"> </w:t>
      </w:r>
      <w:r w:rsidRPr="00A922FC">
        <w:rPr>
          <w:rFonts w:ascii="Verdana" w:hAnsi="Verdana"/>
          <w:sz w:val="16"/>
          <w:szCs w:val="16"/>
          <w:lang w:val="es-ES"/>
        </w:rPr>
        <w:tab/>
      </w:r>
      <w:r w:rsidRPr="001E3DB9">
        <w:rPr>
          <w:rFonts w:ascii="Verdana" w:hAnsi="Verdana"/>
          <w:i/>
          <w:sz w:val="16"/>
          <w:szCs w:val="16"/>
          <w:lang w:val="es-ES"/>
        </w:rPr>
        <w:t>Cfr</w:t>
      </w:r>
      <w:r w:rsidRPr="001E3DB9">
        <w:rPr>
          <w:rFonts w:ascii="Verdana" w:hAnsi="Verdana"/>
          <w:sz w:val="16"/>
          <w:szCs w:val="16"/>
          <w:lang w:val="es-ES"/>
        </w:rPr>
        <w:t xml:space="preserve">. </w:t>
      </w:r>
      <w:r w:rsidRPr="00C836AC">
        <w:rPr>
          <w:rFonts w:ascii="Verdana" w:hAnsi="Verdana"/>
          <w:i/>
          <w:sz w:val="16"/>
          <w:szCs w:val="16"/>
          <w:lang w:val="es-ES"/>
        </w:rPr>
        <w:t>Caso Fernández Ortega y otros Vs. México</w:t>
      </w:r>
      <w:r>
        <w:rPr>
          <w:rFonts w:ascii="Verdana" w:hAnsi="Verdana"/>
          <w:sz w:val="16"/>
          <w:szCs w:val="16"/>
          <w:lang w:val="es-ES"/>
        </w:rPr>
        <w:t xml:space="preserve">, </w:t>
      </w:r>
      <w:r w:rsidRPr="005924A6">
        <w:rPr>
          <w:rFonts w:ascii="Verdana" w:hAnsi="Verdana"/>
          <w:i/>
          <w:sz w:val="16"/>
          <w:szCs w:val="16"/>
          <w:lang w:val="es-ES"/>
        </w:rPr>
        <w:t>supra,</w:t>
      </w:r>
      <w:r>
        <w:rPr>
          <w:rFonts w:ascii="Verdana" w:hAnsi="Verdana"/>
          <w:sz w:val="16"/>
          <w:szCs w:val="16"/>
          <w:lang w:val="es-ES"/>
        </w:rPr>
        <w:t xml:space="preserve"> párr. 128, y </w:t>
      </w:r>
      <w:r w:rsidRPr="001E3DB9">
        <w:rPr>
          <w:rFonts w:ascii="Verdana" w:hAnsi="Verdana"/>
          <w:i/>
          <w:sz w:val="16"/>
          <w:szCs w:val="16"/>
          <w:lang w:val="es-CR"/>
        </w:rPr>
        <w:t xml:space="preserve">Caso Rosendo Cantú y Otras vs. México. </w:t>
      </w:r>
      <w:r w:rsidRPr="00E64367">
        <w:rPr>
          <w:rFonts w:ascii="Verdana" w:hAnsi="Verdana"/>
          <w:i/>
          <w:sz w:val="16"/>
          <w:szCs w:val="16"/>
        </w:rPr>
        <w:t>Excepción Preliminar, Fondo, Reparaciones y Costas</w:t>
      </w:r>
      <w:r w:rsidRPr="001E3DB9">
        <w:rPr>
          <w:rFonts w:ascii="Verdana" w:hAnsi="Verdana"/>
          <w:sz w:val="16"/>
          <w:szCs w:val="16"/>
        </w:rPr>
        <w:t>.</w:t>
      </w:r>
      <w:r w:rsidRPr="001E3DB9">
        <w:rPr>
          <w:rFonts w:ascii="Verdana" w:hAnsi="Verdana"/>
          <w:i/>
          <w:sz w:val="16"/>
          <w:szCs w:val="16"/>
          <w:lang w:val="es-CR"/>
        </w:rPr>
        <w:t xml:space="preserve"> </w:t>
      </w:r>
      <w:r w:rsidRPr="00E64367">
        <w:rPr>
          <w:rFonts w:ascii="Verdana" w:hAnsi="Verdana"/>
          <w:sz w:val="16"/>
          <w:szCs w:val="16"/>
          <w:lang w:val="es-CR"/>
        </w:rPr>
        <w:t>Sentencia</w:t>
      </w:r>
      <w:r w:rsidRPr="001E3DB9">
        <w:rPr>
          <w:rFonts w:ascii="Verdana" w:hAnsi="Verdana"/>
          <w:i/>
          <w:sz w:val="16"/>
          <w:szCs w:val="16"/>
          <w:lang w:val="es-CR"/>
        </w:rPr>
        <w:t xml:space="preserve"> </w:t>
      </w:r>
      <w:r w:rsidRPr="00E64367">
        <w:rPr>
          <w:rFonts w:ascii="Verdana" w:hAnsi="Verdana"/>
          <w:sz w:val="16"/>
          <w:szCs w:val="16"/>
          <w:lang w:val="es-CR"/>
        </w:rPr>
        <w:t>de 31 de agosto de 2010</w:t>
      </w:r>
      <w:r w:rsidRPr="001E3DB9">
        <w:rPr>
          <w:rFonts w:ascii="Verdana" w:hAnsi="Verdana"/>
          <w:sz w:val="16"/>
          <w:szCs w:val="16"/>
          <w:lang w:val="es-CR"/>
        </w:rPr>
        <w:t>. Serie C No. 216</w:t>
      </w:r>
      <w:r>
        <w:rPr>
          <w:rFonts w:ascii="Verdana" w:hAnsi="Verdana"/>
          <w:sz w:val="16"/>
          <w:szCs w:val="16"/>
          <w:lang w:val="es-CR"/>
        </w:rPr>
        <w:t>,</w:t>
      </w:r>
      <w:r w:rsidRPr="001E3DB9">
        <w:rPr>
          <w:rFonts w:ascii="Verdana" w:hAnsi="Verdana"/>
          <w:sz w:val="16"/>
          <w:szCs w:val="16"/>
          <w:lang w:val="es-CR"/>
        </w:rPr>
        <w:t xml:space="preserve"> párr. 118</w:t>
      </w:r>
      <w:r>
        <w:rPr>
          <w:rFonts w:ascii="Verdana" w:hAnsi="Verdana"/>
          <w:sz w:val="16"/>
          <w:szCs w:val="16"/>
          <w:lang w:val="es-CR"/>
        </w:rPr>
        <w:t>.</w:t>
      </w:r>
    </w:p>
  </w:footnote>
  <w:footnote w:id="160">
    <w:p w14:paraId="69559E4A" w14:textId="77777777" w:rsidR="00A52322" w:rsidRPr="00A922FC" w:rsidRDefault="00A52322" w:rsidP="00C836AC">
      <w:pPr>
        <w:pStyle w:val="Textonotapie"/>
        <w:ind w:right="58"/>
        <w:jc w:val="both"/>
        <w:rPr>
          <w:rFonts w:ascii="Verdana" w:hAnsi="Verdana"/>
          <w:sz w:val="16"/>
          <w:szCs w:val="16"/>
          <w:lang w:val="es-CR"/>
        </w:rPr>
      </w:pPr>
      <w:r w:rsidRPr="00A922FC">
        <w:rPr>
          <w:rStyle w:val="Refdenotaalpie"/>
          <w:rFonts w:ascii="Verdana" w:hAnsi="Verdana"/>
          <w:sz w:val="16"/>
          <w:szCs w:val="16"/>
        </w:rPr>
        <w:footnoteRef/>
      </w:r>
      <w:r w:rsidRPr="00A922FC">
        <w:rPr>
          <w:rFonts w:ascii="Verdana" w:hAnsi="Verdana"/>
          <w:sz w:val="16"/>
          <w:szCs w:val="16"/>
        </w:rPr>
        <w:t xml:space="preserve"> </w:t>
      </w:r>
      <w:r w:rsidRPr="00A922FC">
        <w:rPr>
          <w:rFonts w:ascii="Verdana" w:hAnsi="Verdana"/>
          <w:sz w:val="16"/>
          <w:szCs w:val="16"/>
        </w:rPr>
        <w:tab/>
      </w:r>
      <w:r w:rsidRPr="005D0329">
        <w:rPr>
          <w:rFonts w:ascii="Verdana" w:hAnsi="Verdana"/>
          <w:i/>
          <w:sz w:val="16"/>
          <w:szCs w:val="16"/>
        </w:rPr>
        <w:t>Cfr. Caso Fernández Ortega y otros Vs. México</w:t>
      </w:r>
      <w:r>
        <w:rPr>
          <w:rFonts w:ascii="Verdana" w:hAnsi="Verdana"/>
          <w:i/>
          <w:sz w:val="16"/>
          <w:szCs w:val="16"/>
        </w:rPr>
        <w:t>, supra</w:t>
      </w:r>
      <w:r w:rsidRPr="005D0329">
        <w:rPr>
          <w:rFonts w:ascii="Verdana" w:hAnsi="Verdana"/>
          <w:sz w:val="16"/>
          <w:szCs w:val="16"/>
        </w:rPr>
        <w:t xml:space="preserve">, párr. 129, y </w:t>
      </w:r>
      <w:r w:rsidRPr="005D0329">
        <w:rPr>
          <w:rFonts w:ascii="Verdana" w:hAnsi="Verdana"/>
          <w:i/>
          <w:sz w:val="16"/>
          <w:szCs w:val="16"/>
        </w:rPr>
        <w:t>Caso Mujeres Víctimas de Tortura Sexual en Atenco Vs. México</w:t>
      </w:r>
      <w:r>
        <w:rPr>
          <w:rFonts w:ascii="Verdana" w:hAnsi="Verdana"/>
          <w:i/>
          <w:sz w:val="16"/>
          <w:szCs w:val="16"/>
        </w:rPr>
        <w:t>, supra</w:t>
      </w:r>
      <w:r w:rsidRPr="001E3DB9">
        <w:rPr>
          <w:rFonts w:ascii="Verdana" w:hAnsi="Verdana"/>
          <w:sz w:val="16"/>
          <w:szCs w:val="16"/>
          <w:lang w:val="es-CR"/>
        </w:rPr>
        <w:t>, párr. 179.</w:t>
      </w:r>
    </w:p>
  </w:footnote>
  <w:footnote w:id="161">
    <w:p w14:paraId="14A67AFD" w14:textId="77777777" w:rsidR="00A52322" w:rsidRPr="00A922FC" w:rsidRDefault="00A52322" w:rsidP="00C836AC">
      <w:pPr>
        <w:pStyle w:val="Textonotapie"/>
        <w:ind w:right="58"/>
        <w:jc w:val="both"/>
        <w:rPr>
          <w:rFonts w:ascii="Verdana" w:hAnsi="Verdana"/>
          <w:sz w:val="16"/>
          <w:szCs w:val="16"/>
        </w:rPr>
      </w:pPr>
      <w:r w:rsidRPr="00A922FC">
        <w:rPr>
          <w:rStyle w:val="Refdenotaalpie"/>
          <w:rFonts w:ascii="Verdana" w:hAnsi="Verdana"/>
          <w:sz w:val="16"/>
          <w:szCs w:val="16"/>
        </w:rPr>
        <w:footnoteRef/>
      </w:r>
      <w:r w:rsidRPr="00A922FC">
        <w:rPr>
          <w:rFonts w:ascii="Verdana" w:hAnsi="Verdana"/>
          <w:sz w:val="16"/>
          <w:szCs w:val="16"/>
          <w:lang w:val="es-CR"/>
        </w:rPr>
        <w:t xml:space="preserve"> </w:t>
      </w:r>
      <w:r w:rsidRPr="00A922FC">
        <w:rPr>
          <w:rFonts w:ascii="Verdana" w:hAnsi="Verdana"/>
          <w:sz w:val="16"/>
          <w:szCs w:val="16"/>
          <w:lang w:val="es-CR"/>
        </w:rPr>
        <w:tab/>
      </w:r>
      <w:r w:rsidRPr="005D0329">
        <w:rPr>
          <w:rFonts w:ascii="Verdana" w:hAnsi="Verdana"/>
          <w:i/>
          <w:sz w:val="16"/>
          <w:szCs w:val="16"/>
        </w:rPr>
        <w:t>Cfr. Caso Fernández Ortega y otros Vs. México</w:t>
      </w:r>
      <w:r>
        <w:rPr>
          <w:rFonts w:ascii="Verdana" w:hAnsi="Verdana"/>
          <w:i/>
          <w:sz w:val="16"/>
          <w:szCs w:val="16"/>
        </w:rPr>
        <w:t>, supra</w:t>
      </w:r>
      <w:r w:rsidRPr="005D0329">
        <w:rPr>
          <w:rFonts w:ascii="Verdana" w:hAnsi="Verdana"/>
          <w:sz w:val="16"/>
          <w:szCs w:val="16"/>
        </w:rPr>
        <w:t xml:space="preserve">, párr. 129, y </w:t>
      </w:r>
      <w:r w:rsidRPr="005D0329">
        <w:rPr>
          <w:rFonts w:ascii="Verdana" w:hAnsi="Verdana"/>
          <w:i/>
          <w:sz w:val="16"/>
          <w:szCs w:val="16"/>
        </w:rPr>
        <w:t>Caso Mujeres Víctimas de Tortura Sexual en Atenco Vs. México</w:t>
      </w:r>
      <w:r>
        <w:rPr>
          <w:rFonts w:ascii="Verdana" w:hAnsi="Verdana"/>
          <w:i/>
          <w:sz w:val="16"/>
          <w:szCs w:val="16"/>
        </w:rPr>
        <w:t>, supra</w:t>
      </w:r>
      <w:r w:rsidRPr="001E3DB9">
        <w:rPr>
          <w:rFonts w:ascii="Verdana" w:hAnsi="Verdana"/>
          <w:sz w:val="16"/>
          <w:szCs w:val="16"/>
          <w:lang w:val="es-CR"/>
        </w:rPr>
        <w:t>, párr. 179.</w:t>
      </w:r>
    </w:p>
  </w:footnote>
  <w:footnote w:id="162">
    <w:p w14:paraId="51C90A49" w14:textId="77777777" w:rsidR="00A52322" w:rsidRPr="00A922FC" w:rsidRDefault="00A52322" w:rsidP="00C836AC">
      <w:pPr>
        <w:pStyle w:val="Textonotapie"/>
        <w:ind w:right="58"/>
        <w:jc w:val="both"/>
        <w:rPr>
          <w:rFonts w:ascii="Verdana" w:hAnsi="Verdana"/>
          <w:sz w:val="16"/>
          <w:szCs w:val="16"/>
          <w:lang w:val="es-CR"/>
        </w:rPr>
      </w:pPr>
      <w:r w:rsidRPr="00A922FC">
        <w:rPr>
          <w:rStyle w:val="Refdenotaalpie"/>
          <w:rFonts w:ascii="Verdana" w:hAnsi="Verdana"/>
          <w:sz w:val="16"/>
          <w:szCs w:val="16"/>
        </w:rPr>
        <w:footnoteRef/>
      </w:r>
      <w:r w:rsidRPr="00A922FC">
        <w:rPr>
          <w:rFonts w:ascii="Verdana" w:hAnsi="Verdana"/>
          <w:sz w:val="16"/>
          <w:szCs w:val="16"/>
        </w:rPr>
        <w:t xml:space="preserve"> </w:t>
      </w:r>
      <w:r w:rsidRPr="00A922FC">
        <w:rPr>
          <w:rFonts w:ascii="Verdana" w:hAnsi="Verdana"/>
          <w:sz w:val="16"/>
          <w:szCs w:val="16"/>
        </w:rPr>
        <w:tab/>
      </w:r>
      <w:r w:rsidRPr="001E3DB9">
        <w:rPr>
          <w:rFonts w:ascii="Verdana" w:hAnsi="Verdana"/>
          <w:i/>
          <w:iCs/>
          <w:spacing w:val="-4"/>
          <w:sz w:val="16"/>
          <w:szCs w:val="16"/>
          <w:lang w:val="es-PR"/>
        </w:rPr>
        <w:t>Cfr. Caso J. Vs. Perú</w:t>
      </w:r>
      <w:r>
        <w:rPr>
          <w:rFonts w:ascii="Verdana" w:hAnsi="Verdana"/>
          <w:i/>
          <w:iCs/>
          <w:spacing w:val="-4"/>
          <w:sz w:val="16"/>
          <w:szCs w:val="16"/>
          <w:lang w:val="es-PR"/>
        </w:rPr>
        <w:t>, supra</w:t>
      </w:r>
      <w:r w:rsidRPr="001E3DB9">
        <w:rPr>
          <w:rFonts w:ascii="Verdana" w:hAnsi="Verdana"/>
          <w:sz w:val="16"/>
          <w:szCs w:val="16"/>
        </w:rPr>
        <w:t xml:space="preserve">, </w:t>
      </w:r>
      <w:r w:rsidRPr="001E3DB9">
        <w:rPr>
          <w:rFonts w:ascii="Verdana" w:hAnsi="Verdana"/>
          <w:sz w:val="16"/>
          <w:szCs w:val="16"/>
          <w:lang w:val="es-CR"/>
        </w:rPr>
        <w:t xml:space="preserve">párr. 367, y </w:t>
      </w:r>
      <w:r w:rsidRPr="005D0329">
        <w:rPr>
          <w:rFonts w:ascii="Verdana" w:hAnsi="Verdana"/>
          <w:i/>
          <w:sz w:val="16"/>
          <w:szCs w:val="16"/>
        </w:rPr>
        <w:t>Caso Mujeres Víctimas de Tortura Sexual en Atenco Vs. México</w:t>
      </w:r>
      <w:r>
        <w:rPr>
          <w:rFonts w:ascii="Verdana" w:hAnsi="Verdana"/>
          <w:i/>
          <w:sz w:val="16"/>
          <w:szCs w:val="16"/>
        </w:rPr>
        <w:t>, supra</w:t>
      </w:r>
      <w:r w:rsidRPr="001E3DB9">
        <w:rPr>
          <w:rFonts w:ascii="Verdana" w:hAnsi="Verdana"/>
          <w:sz w:val="16"/>
          <w:szCs w:val="16"/>
          <w:lang w:val="es-CR"/>
        </w:rPr>
        <w:t>, párr. 179.</w:t>
      </w:r>
    </w:p>
  </w:footnote>
  <w:footnote w:id="163">
    <w:p w14:paraId="289C6C36" w14:textId="71B50DC5" w:rsidR="00A52322" w:rsidRPr="00A922FC" w:rsidRDefault="00A52322">
      <w:pPr>
        <w:pStyle w:val="Textonotapie"/>
        <w:jc w:val="both"/>
        <w:rPr>
          <w:rFonts w:ascii="Verdana" w:hAnsi="Verdana"/>
          <w:sz w:val="16"/>
          <w:szCs w:val="16"/>
          <w:lang w:val="es-CR"/>
        </w:rPr>
      </w:pPr>
      <w:r w:rsidRPr="00A922FC">
        <w:rPr>
          <w:rStyle w:val="Refdenotaalpie"/>
          <w:rFonts w:ascii="Verdana" w:hAnsi="Verdana"/>
          <w:sz w:val="16"/>
          <w:szCs w:val="16"/>
        </w:rPr>
        <w:footnoteRef/>
      </w:r>
      <w:r w:rsidRPr="00A922FC">
        <w:rPr>
          <w:rFonts w:ascii="Verdana" w:hAnsi="Verdana"/>
          <w:sz w:val="16"/>
          <w:szCs w:val="16"/>
          <w:lang w:val="es-CR"/>
        </w:rPr>
        <w:t xml:space="preserve"> </w:t>
      </w:r>
      <w:r w:rsidRPr="00A922FC">
        <w:rPr>
          <w:rFonts w:ascii="Verdana" w:hAnsi="Verdana"/>
          <w:sz w:val="16"/>
          <w:szCs w:val="16"/>
          <w:lang w:val="es-CR"/>
        </w:rPr>
        <w:tab/>
      </w:r>
      <w:r w:rsidRPr="00A922FC">
        <w:rPr>
          <w:rFonts w:ascii="Verdana" w:hAnsi="Verdana"/>
          <w:i/>
          <w:sz w:val="16"/>
          <w:szCs w:val="16"/>
          <w:lang w:val="es-CR"/>
        </w:rPr>
        <w:t>C</w:t>
      </w:r>
      <w:r>
        <w:rPr>
          <w:rFonts w:ascii="Verdana" w:hAnsi="Verdana"/>
          <w:i/>
          <w:sz w:val="16"/>
          <w:szCs w:val="16"/>
          <w:lang w:val="es-CR"/>
        </w:rPr>
        <w:t xml:space="preserve">fr. </w:t>
      </w:r>
      <w:r w:rsidRPr="008477AC">
        <w:rPr>
          <w:rFonts w:ascii="Verdana" w:hAnsi="Verdana"/>
          <w:i/>
          <w:sz w:val="16"/>
          <w:szCs w:val="16"/>
          <w:lang w:val="es-CR"/>
        </w:rPr>
        <w:t xml:space="preserve">Caso "Instituto de Reeducación del Menor" Vs. Paraguay. Excepciones Preliminares, Fondo, Reparaciones y Costas. </w:t>
      </w:r>
      <w:r w:rsidRPr="00796BBA">
        <w:rPr>
          <w:rFonts w:ascii="Verdana" w:hAnsi="Verdana"/>
          <w:sz w:val="16"/>
          <w:szCs w:val="16"/>
          <w:lang w:val="es-CR"/>
        </w:rPr>
        <w:t>Sentencia de 2 de septiembre de 2004. Serie C No. 112, párr, 159</w:t>
      </w:r>
      <w:r>
        <w:rPr>
          <w:rFonts w:ascii="Verdana" w:hAnsi="Verdana"/>
          <w:i/>
          <w:sz w:val="16"/>
          <w:szCs w:val="16"/>
          <w:lang w:val="es-CR"/>
        </w:rPr>
        <w:t>.</w:t>
      </w:r>
    </w:p>
  </w:footnote>
  <w:footnote w:id="164">
    <w:p w14:paraId="13F0175B" w14:textId="01E4CF89" w:rsidR="00A52322" w:rsidRPr="00A922FC" w:rsidRDefault="00A52322" w:rsidP="003C3EE6">
      <w:pPr>
        <w:pStyle w:val="Textonotapie"/>
        <w:jc w:val="both"/>
        <w:rPr>
          <w:rFonts w:ascii="Verdana" w:hAnsi="Verdana"/>
          <w:sz w:val="16"/>
          <w:szCs w:val="16"/>
          <w:lang w:val="es-CR"/>
        </w:rPr>
      </w:pPr>
      <w:r w:rsidRPr="00A922FC">
        <w:rPr>
          <w:rStyle w:val="Refdenotaalpie"/>
          <w:rFonts w:ascii="Verdana" w:hAnsi="Verdana"/>
          <w:sz w:val="16"/>
          <w:szCs w:val="16"/>
        </w:rPr>
        <w:footnoteRef/>
      </w:r>
      <w:r w:rsidRPr="00A922FC">
        <w:rPr>
          <w:rFonts w:ascii="Verdana" w:hAnsi="Verdana"/>
          <w:sz w:val="16"/>
          <w:szCs w:val="16"/>
          <w:lang w:val="es-CR"/>
        </w:rPr>
        <w:t xml:space="preserve"> </w:t>
      </w:r>
      <w:r w:rsidRPr="00A922FC">
        <w:rPr>
          <w:rFonts w:ascii="Verdana" w:hAnsi="Verdana"/>
          <w:sz w:val="16"/>
          <w:szCs w:val="16"/>
          <w:lang w:val="es-CR"/>
        </w:rPr>
        <w:tab/>
      </w:r>
      <w:r w:rsidRPr="00C836AC">
        <w:rPr>
          <w:rFonts w:ascii="Verdana" w:hAnsi="Verdana"/>
          <w:i/>
          <w:sz w:val="16"/>
          <w:szCs w:val="16"/>
          <w:lang w:val="es-CR"/>
        </w:rPr>
        <w:t>Cfr</w:t>
      </w:r>
      <w:r w:rsidRPr="001E3DB9">
        <w:rPr>
          <w:rFonts w:ascii="Verdana" w:hAnsi="Verdana"/>
          <w:sz w:val="16"/>
          <w:szCs w:val="16"/>
          <w:lang w:val="es-CR"/>
        </w:rPr>
        <w:t xml:space="preserve">. </w:t>
      </w:r>
      <w:r w:rsidRPr="001E3DB9">
        <w:rPr>
          <w:rFonts w:ascii="Verdana" w:hAnsi="Verdana"/>
          <w:i/>
          <w:sz w:val="16"/>
          <w:szCs w:val="16"/>
          <w:lang w:val="es-CR"/>
        </w:rPr>
        <w:t>Caso Tibi Vs. Ecuador.</w:t>
      </w:r>
      <w:r w:rsidRPr="00776B92">
        <w:rPr>
          <w:rFonts w:ascii="Verdana" w:hAnsi="Verdana"/>
          <w:sz w:val="16"/>
          <w:szCs w:val="16"/>
        </w:rPr>
        <w:t xml:space="preserve"> </w:t>
      </w:r>
      <w:r w:rsidRPr="00776B92">
        <w:rPr>
          <w:rFonts w:ascii="Verdana" w:hAnsi="Verdana"/>
          <w:i/>
          <w:sz w:val="16"/>
          <w:szCs w:val="16"/>
        </w:rPr>
        <w:t>Excepciones Preliminares, Fondo, Reparaciones y Costas</w:t>
      </w:r>
      <w:r w:rsidRPr="00776B92">
        <w:rPr>
          <w:rFonts w:ascii="Verdana" w:hAnsi="Verdana"/>
          <w:i/>
          <w:sz w:val="16"/>
          <w:szCs w:val="16"/>
          <w:lang w:val="es-CR"/>
        </w:rPr>
        <w:t>.</w:t>
      </w:r>
      <w:r w:rsidRPr="001E3DB9">
        <w:rPr>
          <w:rFonts w:ascii="Verdana" w:hAnsi="Verdana"/>
          <w:sz w:val="16"/>
          <w:szCs w:val="16"/>
          <w:lang w:val="es-CR"/>
        </w:rPr>
        <w:t xml:space="preserve"> </w:t>
      </w:r>
      <w:r w:rsidRPr="00776B92">
        <w:rPr>
          <w:rFonts w:ascii="Verdana" w:hAnsi="Verdana"/>
          <w:sz w:val="16"/>
          <w:szCs w:val="16"/>
        </w:rPr>
        <w:t>Sentencia de 07 de septiembre de 2004. Serie C No. 114,</w:t>
      </w:r>
      <w:r w:rsidRPr="001E3DB9">
        <w:rPr>
          <w:rFonts w:ascii="Verdana" w:hAnsi="Verdana"/>
          <w:sz w:val="16"/>
          <w:szCs w:val="16"/>
          <w:lang w:val="es-CR"/>
        </w:rPr>
        <w:t xml:space="preserve"> párr. 156, y </w:t>
      </w:r>
      <w:r w:rsidRPr="00FB030C">
        <w:rPr>
          <w:rFonts w:ascii="Verdana" w:hAnsi="Verdana"/>
          <w:i/>
          <w:sz w:val="16"/>
          <w:szCs w:val="16"/>
          <w:lang w:val="es-CR"/>
        </w:rPr>
        <w:t>Caso Chinchilla Sandoval y otros Vs. Guatemala. Excepción Preliminar, Fondo, Reparaciones y Costas</w:t>
      </w:r>
      <w:r w:rsidRPr="00796BBA">
        <w:rPr>
          <w:rFonts w:ascii="Verdana" w:hAnsi="Verdana"/>
          <w:sz w:val="16"/>
          <w:szCs w:val="16"/>
          <w:lang w:val="es-CR"/>
        </w:rPr>
        <w:t>. Sentencia de 29 de f</w:t>
      </w:r>
      <w:r>
        <w:rPr>
          <w:rFonts w:ascii="Verdana" w:hAnsi="Verdana"/>
          <w:sz w:val="16"/>
          <w:szCs w:val="16"/>
          <w:lang w:val="es-CR"/>
        </w:rPr>
        <w:t xml:space="preserve">ebrero de 2016. Serie C No. 312, párr. 28. </w:t>
      </w:r>
    </w:p>
  </w:footnote>
  <w:footnote w:id="165">
    <w:p w14:paraId="7CBCB953" w14:textId="77777777" w:rsidR="00A52322" w:rsidRPr="00A922FC" w:rsidRDefault="00A52322" w:rsidP="003C3EE6">
      <w:pPr>
        <w:pStyle w:val="Textonotapie"/>
        <w:jc w:val="both"/>
        <w:rPr>
          <w:rFonts w:ascii="Verdana" w:hAnsi="Verdana"/>
          <w:sz w:val="16"/>
          <w:szCs w:val="16"/>
          <w:lang w:val="es-CR"/>
        </w:rPr>
      </w:pPr>
      <w:r w:rsidRPr="00A922FC">
        <w:rPr>
          <w:rStyle w:val="Refdenotaalpie"/>
          <w:rFonts w:ascii="Verdana" w:hAnsi="Verdana"/>
          <w:sz w:val="16"/>
          <w:szCs w:val="16"/>
        </w:rPr>
        <w:footnoteRef/>
      </w:r>
      <w:r w:rsidRPr="00A922FC">
        <w:rPr>
          <w:rFonts w:ascii="Verdana" w:hAnsi="Verdana"/>
          <w:sz w:val="16"/>
          <w:szCs w:val="16"/>
          <w:lang w:val="es-CR"/>
        </w:rPr>
        <w:t xml:space="preserve"> </w:t>
      </w:r>
      <w:r w:rsidRPr="00A922FC">
        <w:rPr>
          <w:rFonts w:ascii="Verdana" w:hAnsi="Verdana"/>
          <w:sz w:val="16"/>
          <w:szCs w:val="16"/>
          <w:lang w:val="es-CR"/>
        </w:rPr>
        <w:tab/>
      </w:r>
      <w:r w:rsidRPr="00CF75EC">
        <w:rPr>
          <w:rFonts w:ascii="Verdana" w:hAnsi="Verdana"/>
          <w:i/>
          <w:sz w:val="16"/>
          <w:szCs w:val="16"/>
          <w:lang w:val="es-CR"/>
        </w:rPr>
        <w:t>Caso Tibi Vs. Ecuador</w:t>
      </w:r>
      <w:r>
        <w:rPr>
          <w:rFonts w:ascii="Verdana" w:hAnsi="Verdana"/>
          <w:i/>
          <w:sz w:val="16"/>
          <w:szCs w:val="16"/>
          <w:lang w:val="es-CR"/>
        </w:rPr>
        <w:t>, supra</w:t>
      </w:r>
      <w:r w:rsidRPr="00CF75EC">
        <w:rPr>
          <w:rFonts w:ascii="Verdana" w:hAnsi="Verdana"/>
          <w:sz w:val="16"/>
          <w:szCs w:val="16"/>
          <w:lang w:val="es-CR"/>
        </w:rPr>
        <w:t xml:space="preserve">, </w:t>
      </w:r>
      <w:r w:rsidRPr="00C8036F">
        <w:rPr>
          <w:rFonts w:ascii="Verdana" w:hAnsi="Verdana"/>
          <w:sz w:val="16"/>
          <w:szCs w:val="16"/>
          <w:lang w:val="es-CR"/>
        </w:rPr>
        <w:t>párr. 157.</w:t>
      </w:r>
    </w:p>
  </w:footnote>
  <w:footnote w:id="166">
    <w:p w14:paraId="0263D380" w14:textId="377C3017" w:rsidR="00A52322" w:rsidRPr="00D539AC" w:rsidRDefault="00A52322" w:rsidP="00D539AC">
      <w:pPr>
        <w:spacing w:after="0"/>
        <w:jc w:val="both"/>
        <w:rPr>
          <w:lang w:val="es-CR"/>
        </w:rPr>
      </w:pPr>
      <w:r>
        <w:rPr>
          <w:rStyle w:val="Refdenotaalpie"/>
        </w:rPr>
        <w:footnoteRef/>
      </w:r>
      <w:r>
        <w:t xml:space="preserve">  </w:t>
      </w:r>
      <w:r>
        <w:tab/>
      </w:r>
      <w:r w:rsidRPr="00D539AC">
        <w:rPr>
          <w:rFonts w:ascii="Verdana" w:hAnsi="Verdana"/>
          <w:sz w:val="16"/>
          <w:szCs w:val="16"/>
        </w:rPr>
        <w:t xml:space="preserve"> </w:t>
      </w:r>
      <w:r w:rsidRPr="00D539AC">
        <w:rPr>
          <w:rFonts w:ascii="Verdana" w:hAnsi="Verdana"/>
          <w:sz w:val="16"/>
          <w:szCs w:val="16"/>
          <w:lang w:val="es-CR"/>
        </w:rPr>
        <w:t>Escrito Ref. C-698-98. Of 2°. del abogado defensor del señor Valenzuela ante el Juez de Primera Instancia Penal, Narcoactividad y Delitos contra el Medio Ambiente de 11 de julio de 2001 (expediente de anexos al Informe de Fondo, anexo 7, fs. 123 y 124); Ejecutoria No. 300-2001; Of. 6°, del Juzgado Segundo de Ejecución de 7 de mayo de 2003 (expediente de trámite ante</w:t>
      </w:r>
      <w:r>
        <w:rPr>
          <w:rFonts w:ascii="Verdana" w:hAnsi="Verdana"/>
          <w:sz w:val="16"/>
          <w:szCs w:val="16"/>
          <w:lang w:val="es-CR"/>
        </w:rPr>
        <w:t xml:space="preserve"> la Comisión, anexo 2, f. 1296), y</w:t>
      </w:r>
      <w:r w:rsidRPr="00D539AC">
        <w:rPr>
          <w:rFonts w:ascii="Verdana" w:hAnsi="Verdana"/>
          <w:sz w:val="16"/>
          <w:szCs w:val="16"/>
          <w:lang w:val="es-CR"/>
        </w:rPr>
        <w:t xml:space="preserve"> Oficio de la trabajadora social ALLS dirigido al Juez del Juzgado Segundo de Ejecución de 13 de mayo de 2003 (expediente de trámite ante la Comisión, anexo 2, f. 1306).</w:t>
      </w:r>
    </w:p>
  </w:footnote>
  <w:footnote w:id="167">
    <w:p w14:paraId="6F1E98FD" w14:textId="1E23AFFD" w:rsidR="00A52322" w:rsidRPr="007C45D8" w:rsidRDefault="00A52322" w:rsidP="00792505">
      <w:pPr>
        <w:tabs>
          <w:tab w:val="left" w:pos="567"/>
        </w:tabs>
        <w:spacing w:after="0" w:line="240" w:lineRule="auto"/>
        <w:jc w:val="both"/>
        <w:rPr>
          <w:rFonts w:ascii="Verdana" w:hAnsi="Verdana"/>
          <w:b/>
          <w:sz w:val="16"/>
          <w:szCs w:val="16"/>
          <w:lang w:val="es-CR"/>
        </w:rPr>
      </w:pPr>
      <w:r w:rsidRPr="00584E70">
        <w:rPr>
          <w:rStyle w:val="Refdenotaalpie"/>
          <w:rFonts w:ascii="Verdana" w:hAnsi="Verdana"/>
          <w:sz w:val="16"/>
          <w:szCs w:val="16"/>
        </w:rPr>
        <w:footnoteRef/>
      </w:r>
      <w:r w:rsidRPr="00584E70">
        <w:rPr>
          <w:rFonts w:ascii="Verdana" w:hAnsi="Verdana"/>
          <w:sz w:val="16"/>
          <w:szCs w:val="16"/>
          <w:lang w:val="es-CR"/>
        </w:rPr>
        <w:t xml:space="preserve"> </w:t>
      </w:r>
      <w:r w:rsidRPr="00584E70">
        <w:rPr>
          <w:rFonts w:ascii="Verdana" w:hAnsi="Verdana"/>
          <w:sz w:val="16"/>
          <w:szCs w:val="16"/>
          <w:lang w:val="es-CR"/>
        </w:rPr>
        <w:tab/>
      </w:r>
      <w:r w:rsidRPr="00584E70">
        <w:rPr>
          <w:rFonts w:ascii="Verdana" w:hAnsi="Verdana"/>
          <w:i/>
          <w:sz w:val="16"/>
          <w:szCs w:val="16"/>
          <w:lang w:val="es-CR"/>
        </w:rPr>
        <w:t xml:space="preserve">Cfr. </w:t>
      </w:r>
      <w:r w:rsidRPr="00584E70">
        <w:rPr>
          <w:rFonts w:ascii="Verdana" w:hAnsi="Verdana"/>
          <w:bCs/>
          <w:i/>
          <w:sz w:val="16"/>
          <w:szCs w:val="16"/>
          <w:lang w:val="es-CR"/>
        </w:rPr>
        <w:t xml:space="preserve">Caso Hilaire, Constantine y Benjamin y otros Vs. </w:t>
      </w:r>
      <w:r w:rsidRPr="00915819">
        <w:rPr>
          <w:rFonts w:ascii="Verdana" w:hAnsi="Verdana"/>
          <w:bCs/>
          <w:i/>
          <w:sz w:val="16"/>
          <w:szCs w:val="16"/>
          <w:lang w:val="es-CR"/>
        </w:rPr>
        <w:t>Trinidad y Tobago</w:t>
      </w:r>
      <w:r>
        <w:rPr>
          <w:rFonts w:ascii="Verdana" w:hAnsi="Verdana"/>
          <w:bCs/>
          <w:sz w:val="16"/>
          <w:szCs w:val="16"/>
          <w:lang w:val="es-CR"/>
        </w:rPr>
        <w:t xml:space="preserve">. </w:t>
      </w:r>
      <w:r w:rsidRPr="001E3DB9">
        <w:rPr>
          <w:rFonts w:ascii="Verdana" w:hAnsi="Verdana"/>
          <w:bCs/>
          <w:i/>
          <w:color w:val="000000"/>
          <w:sz w:val="16"/>
          <w:szCs w:val="16"/>
          <w:lang w:val="es-CR"/>
        </w:rPr>
        <w:t xml:space="preserve">Fondo, Reparaciones y Costas. </w:t>
      </w:r>
      <w:r w:rsidRPr="001E3DB9">
        <w:rPr>
          <w:rFonts w:ascii="Verdana" w:hAnsi="Verdana"/>
          <w:bCs/>
          <w:color w:val="000000"/>
          <w:sz w:val="16"/>
          <w:szCs w:val="16"/>
          <w:lang w:val="es-CR"/>
        </w:rPr>
        <w:t>Sentencia de 21 de junio de 2002. Serie C No.</w:t>
      </w:r>
      <w:r w:rsidRPr="001E3DB9">
        <w:rPr>
          <w:rFonts w:ascii="Verdana" w:hAnsi="Verdana"/>
          <w:sz w:val="16"/>
          <w:szCs w:val="16"/>
          <w:lang w:val="es-CR"/>
        </w:rPr>
        <w:t xml:space="preserve"> 94, </w:t>
      </w:r>
      <w:r w:rsidRPr="00584E70">
        <w:rPr>
          <w:rFonts w:ascii="Verdana" w:hAnsi="Verdana"/>
          <w:bCs/>
          <w:sz w:val="16"/>
          <w:szCs w:val="16"/>
          <w:lang w:val="es-CR"/>
        </w:rPr>
        <w:t>párrs. 167 a 172, y</w:t>
      </w:r>
      <w:r w:rsidRPr="0050028C">
        <w:rPr>
          <w:rFonts w:ascii="Verdana" w:hAnsi="Verdana"/>
          <w:bCs/>
          <w:sz w:val="16"/>
          <w:szCs w:val="16"/>
          <w:lang w:val="es-CR"/>
        </w:rPr>
        <w:t xml:space="preserve"> </w:t>
      </w:r>
      <w:r w:rsidRPr="00A2282C">
        <w:rPr>
          <w:rStyle w:val="Textoennegrita"/>
          <w:rFonts w:ascii="Verdana" w:hAnsi="Verdana"/>
          <w:b w:val="0"/>
          <w:i/>
          <w:sz w:val="16"/>
          <w:szCs w:val="16"/>
          <w:lang w:val="es-CR"/>
        </w:rPr>
        <w:t>Caso Raxcacó Reyes Vs. Guatemala</w:t>
      </w:r>
      <w:r>
        <w:t>.</w:t>
      </w:r>
      <w:r w:rsidRPr="0043496F">
        <w:rPr>
          <w:rStyle w:val="Textoennegrita"/>
          <w:rFonts w:ascii="Verdana" w:hAnsi="Verdana"/>
          <w:b w:val="0"/>
          <w:i/>
          <w:sz w:val="16"/>
          <w:szCs w:val="16"/>
          <w:lang w:val="es-CR"/>
        </w:rPr>
        <w:t xml:space="preserve"> Fondo, Reparaciones y Costas. </w:t>
      </w:r>
      <w:r w:rsidRPr="005924A6">
        <w:rPr>
          <w:rStyle w:val="Textoennegrita"/>
          <w:rFonts w:ascii="Verdana" w:hAnsi="Verdana"/>
          <w:b w:val="0"/>
          <w:sz w:val="16"/>
          <w:szCs w:val="16"/>
          <w:lang w:val="es-CR"/>
        </w:rPr>
        <w:t>Sentencia de 15 de septiembre de 2005. Serie C No. 133,</w:t>
      </w:r>
      <w:r>
        <w:rPr>
          <w:rStyle w:val="Textoennegrita"/>
          <w:rFonts w:ascii="Verdana" w:hAnsi="Verdana"/>
          <w:b w:val="0"/>
          <w:sz w:val="16"/>
          <w:szCs w:val="16"/>
          <w:lang w:val="es-CR"/>
        </w:rPr>
        <w:t xml:space="preserve"> </w:t>
      </w:r>
      <w:r w:rsidRPr="00AE38E5">
        <w:rPr>
          <w:rStyle w:val="Textoennegrita"/>
          <w:rFonts w:ascii="Verdana" w:hAnsi="Verdana"/>
          <w:b w:val="0"/>
          <w:sz w:val="16"/>
          <w:szCs w:val="16"/>
          <w:lang w:val="es-CR"/>
        </w:rPr>
        <w:t>párrs. 97 a 102.</w:t>
      </w:r>
    </w:p>
  </w:footnote>
  <w:footnote w:id="168">
    <w:p w14:paraId="03E01B39" w14:textId="77777777" w:rsidR="00A52322" w:rsidRPr="0097560C" w:rsidRDefault="00A52322" w:rsidP="00792505">
      <w:pPr>
        <w:tabs>
          <w:tab w:val="left" w:pos="567"/>
        </w:tabs>
        <w:spacing w:after="0" w:line="240" w:lineRule="auto"/>
        <w:jc w:val="both"/>
        <w:rPr>
          <w:rFonts w:ascii="Verdana" w:hAnsi="Verdana" w:cs="AmnestyTradeGothic-Light"/>
          <w:color w:val="000000"/>
          <w:sz w:val="16"/>
          <w:szCs w:val="16"/>
          <w:lang w:val="es-CR"/>
        </w:rPr>
      </w:pPr>
      <w:r w:rsidRPr="00D658AF">
        <w:rPr>
          <w:rStyle w:val="Refdenotaalpie"/>
          <w:sz w:val="16"/>
          <w:szCs w:val="16"/>
        </w:rPr>
        <w:footnoteRef/>
      </w:r>
      <w:r w:rsidRPr="00C62653">
        <w:rPr>
          <w:sz w:val="16"/>
          <w:szCs w:val="16"/>
          <w:lang w:val="es-CR"/>
        </w:rPr>
        <w:t xml:space="preserve"> </w:t>
      </w:r>
      <w:r w:rsidRPr="00C62653">
        <w:rPr>
          <w:rFonts w:ascii="Verdana" w:hAnsi="Verdana"/>
          <w:sz w:val="16"/>
          <w:szCs w:val="16"/>
          <w:lang w:val="es-CR"/>
        </w:rPr>
        <w:tab/>
      </w:r>
      <w:r w:rsidRPr="007C45D8">
        <w:rPr>
          <w:rFonts w:ascii="Verdana" w:hAnsi="Verdana"/>
          <w:i/>
          <w:sz w:val="16"/>
          <w:szCs w:val="16"/>
          <w:lang w:val="es-CR"/>
        </w:rPr>
        <w:t>Cfr</w:t>
      </w:r>
      <w:r w:rsidRPr="007C45D8">
        <w:rPr>
          <w:rFonts w:ascii="Verdana" w:hAnsi="Verdana"/>
          <w:sz w:val="16"/>
          <w:szCs w:val="16"/>
          <w:lang w:val="es-CR"/>
        </w:rPr>
        <w:t xml:space="preserve">. </w:t>
      </w:r>
      <w:r w:rsidRPr="00C62653">
        <w:rPr>
          <w:rFonts w:ascii="Verdana" w:hAnsi="Verdana"/>
          <w:sz w:val="16"/>
          <w:szCs w:val="16"/>
          <w:lang w:val="es-CR"/>
        </w:rPr>
        <w:t>TEDH</w:t>
      </w:r>
      <w:r w:rsidRPr="007C45D8">
        <w:rPr>
          <w:rFonts w:ascii="Verdana" w:hAnsi="Verdana"/>
          <w:sz w:val="16"/>
          <w:szCs w:val="16"/>
          <w:lang w:val="es-CR"/>
        </w:rPr>
        <w:t>.</w:t>
      </w:r>
      <w:r w:rsidRPr="00C62653">
        <w:rPr>
          <w:rFonts w:ascii="Verdana" w:hAnsi="Verdana"/>
          <w:sz w:val="16"/>
          <w:szCs w:val="16"/>
          <w:lang w:val="es-CR"/>
        </w:rPr>
        <w:t xml:space="preserve"> </w:t>
      </w:r>
      <w:r w:rsidRPr="00C62653">
        <w:rPr>
          <w:rFonts w:ascii="Verdana" w:hAnsi="Verdana" w:cs="AmnestyTradeGothic-LightObl"/>
          <w:i/>
          <w:iCs/>
          <w:sz w:val="16"/>
          <w:szCs w:val="16"/>
          <w:lang w:val="es-CR"/>
        </w:rPr>
        <w:t xml:space="preserve">Öcalan v. Turkey </w:t>
      </w:r>
      <w:r w:rsidRPr="007C45D8">
        <w:rPr>
          <w:rFonts w:ascii="Verdana" w:hAnsi="Verdana" w:cs="AmnestyTradeGothic-LightObl"/>
          <w:iCs/>
          <w:sz w:val="16"/>
          <w:szCs w:val="16"/>
          <w:lang w:val="es-CR"/>
        </w:rPr>
        <w:t>[GS], no.</w:t>
      </w:r>
      <w:r w:rsidRPr="007C45D8">
        <w:rPr>
          <w:rFonts w:ascii="Verdana" w:hAnsi="Verdana" w:cs="AmnestyTradeGothic-Light"/>
          <w:sz w:val="16"/>
          <w:szCs w:val="16"/>
          <w:lang w:val="es-CR"/>
        </w:rPr>
        <w:t xml:space="preserve"> </w:t>
      </w:r>
      <w:r w:rsidRPr="008A0946">
        <w:rPr>
          <w:rFonts w:ascii="Verdana" w:hAnsi="Verdana" w:cs="AmnestyTradeGothic-Light"/>
          <w:sz w:val="16"/>
          <w:szCs w:val="16"/>
          <w:lang w:val="es-CR"/>
        </w:rPr>
        <w:t>46221/99</w:t>
      </w:r>
      <w:r w:rsidRPr="007C45D8">
        <w:rPr>
          <w:rFonts w:ascii="Verdana" w:hAnsi="Verdana" w:cs="AmnestyTradeGothic-Light"/>
          <w:sz w:val="16"/>
          <w:szCs w:val="16"/>
          <w:lang w:val="es-CR"/>
        </w:rPr>
        <w:t xml:space="preserve">, </w:t>
      </w:r>
      <w:r>
        <w:rPr>
          <w:rFonts w:ascii="Verdana" w:hAnsi="Verdana" w:cs="AmnestyTradeGothic-Light"/>
          <w:sz w:val="16"/>
          <w:szCs w:val="16"/>
          <w:lang w:val="es-CR"/>
        </w:rPr>
        <w:t xml:space="preserve">Sentencia de 12 de mayo de 2005, </w:t>
      </w:r>
      <w:r w:rsidRPr="00D91203">
        <w:rPr>
          <w:rFonts w:ascii="Verdana" w:hAnsi="Verdana" w:cs="AmnestyTradeGothic-Light"/>
          <w:sz w:val="16"/>
          <w:szCs w:val="16"/>
          <w:lang w:val="es-CR"/>
        </w:rPr>
        <w:t>p</w:t>
      </w:r>
      <w:r w:rsidRPr="008A0946">
        <w:rPr>
          <w:rFonts w:ascii="Verdana" w:hAnsi="Verdana" w:cs="AmnestyTradeGothic-Light"/>
          <w:sz w:val="16"/>
          <w:szCs w:val="16"/>
          <w:lang w:val="es-CR"/>
        </w:rPr>
        <w:t xml:space="preserve">árrs. </w:t>
      </w:r>
      <w:r w:rsidRPr="007C45D8">
        <w:rPr>
          <w:rFonts w:ascii="Verdana" w:hAnsi="Verdana" w:cs="AmnestyTradeGothic-Light"/>
          <w:sz w:val="16"/>
          <w:szCs w:val="16"/>
          <w:lang w:val="es-CR"/>
        </w:rPr>
        <w:t>166</w:t>
      </w:r>
      <w:r>
        <w:rPr>
          <w:rFonts w:ascii="Verdana" w:hAnsi="Verdana" w:cs="AmnestyTradeGothic-Light"/>
          <w:sz w:val="16"/>
          <w:szCs w:val="16"/>
          <w:lang w:val="es-CR"/>
        </w:rPr>
        <w:t xml:space="preserve"> a 169, y</w:t>
      </w:r>
      <w:r w:rsidRPr="007C45D8">
        <w:rPr>
          <w:rFonts w:ascii="Verdana" w:hAnsi="Verdana" w:cs="AmnestyTradeGothic-Light"/>
          <w:sz w:val="16"/>
          <w:szCs w:val="16"/>
          <w:lang w:val="es-CR"/>
        </w:rPr>
        <w:t xml:space="preserve"> </w:t>
      </w:r>
      <w:r w:rsidRPr="007C45D8">
        <w:rPr>
          <w:rFonts w:ascii="Verdana" w:hAnsi="Verdana" w:cs="AmnestyTradeGothic-LightObl"/>
          <w:i/>
          <w:iCs/>
          <w:sz w:val="16"/>
          <w:szCs w:val="16"/>
          <w:lang w:val="es-CR"/>
        </w:rPr>
        <w:t xml:space="preserve">Bader and Kanbor v. Sweden, </w:t>
      </w:r>
      <w:r w:rsidRPr="007C45D8">
        <w:rPr>
          <w:rFonts w:ascii="Verdana" w:hAnsi="Verdana" w:cs="AmnestyTradeGothic-LightObl"/>
          <w:iCs/>
          <w:sz w:val="16"/>
          <w:szCs w:val="16"/>
          <w:lang w:val="es-CR"/>
        </w:rPr>
        <w:t>no.</w:t>
      </w:r>
      <w:r w:rsidRPr="007C45D8">
        <w:rPr>
          <w:rFonts w:ascii="Verdana" w:hAnsi="Verdana" w:cs="AmnestyTradeGothic-Light"/>
          <w:sz w:val="16"/>
          <w:szCs w:val="16"/>
          <w:lang w:val="es-CR"/>
        </w:rPr>
        <w:t xml:space="preserve"> 13284/04,</w:t>
      </w:r>
      <w:r w:rsidRPr="008A0946">
        <w:rPr>
          <w:rFonts w:ascii="Verdana" w:hAnsi="Verdana" w:cs="AmnestyTradeGothic-Light"/>
          <w:sz w:val="16"/>
          <w:szCs w:val="16"/>
          <w:lang w:val="es-CR"/>
        </w:rPr>
        <w:t xml:space="preserve"> </w:t>
      </w:r>
      <w:r w:rsidRPr="00801B4D">
        <w:rPr>
          <w:rFonts w:ascii="Verdana" w:hAnsi="Verdana" w:cs="AmnestyTradeGothic-Light"/>
          <w:sz w:val="16"/>
          <w:szCs w:val="16"/>
          <w:lang w:val="es-CR"/>
        </w:rPr>
        <w:t>Sentencia de</w:t>
      </w:r>
      <w:r>
        <w:rPr>
          <w:rFonts w:ascii="Verdana" w:hAnsi="Verdana" w:cs="AmnestyTradeGothic-Light"/>
          <w:sz w:val="16"/>
          <w:szCs w:val="16"/>
          <w:lang w:val="es-CR"/>
        </w:rPr>
        <w:t xml:space="preserve"> 8 de noviembre de 2005</w:t>
      </w:r>
      <w:r w:rsidRPr="007C45D8">
        <w:rPr>
          <w:rFonts w:ascii="Verdana" w:hAnsi="Verdana" w:cs="AmnestyTradeGothic-Light"/>
          <w:sz w:val="16"/>
          <w:szCs w:val="16"/>
          <w:lang w:val="es-CR"/>
        </w:rPr>
        <w:t xml:space="preserve">, párrs. </w:t>
      </w:r>
      <w:r w:rsidRPr="0097560C">
        <w:rPr>
          <w:rFonts w:ascii="Verdana" w:hAnsi="Verdana" w:cs="AmnestyTradeGothic-Light"/>
          <w:sz w:val="16"/>
          <w:szCs w:val="16"/>
          <w:lang w:val="es-CR"/>
        </w:rPr>
        <w:t>42</w:t>
      </w:r>
      <w:r w:rsidRPr="007C45D8">
        <w:rPr>
          <w:rFonts w:ascii="Verdana" w:hAnsi="Verdana" w:cs="AmnestyTradeGothic-Light"/>
          <w:sz w:val="16"/>
          <w:szCs w:val="16"/>
          <w:lang w:val="es-CR"/>
        </w:rPr>
        <w:t xml:space="preserve"> a </w:t>
      </w:r>
      <w:r w:rsidRPr="0097560C">
        <w:rPr>
          <w:rFonts w:ascii="Verdana" w:hAnsi="Verdana" w:cs="AmnestyTradeGothic-Light"/>
          <w:sz w:val="16"/>
          <w:szCs w:val="16"/>
          <w:lang w:val="es-CR"/>
        </w:rPr>
        <w:t>48.</w:t>
      </w:r>
    </w:p>
  </w:footnote>
  <w:footnote w:id="169">
    <w:p w14:paraId="4781102E" w14:textId="77777777" w:rsidR="00A52322" w:rsidRPr="00A2282C" w:rsidRDefault="00A52322" w:rsidP="00792505">
      <w:pPr>
        <w:tabs>
          <w:tab w:val="left" w:pos="567"/>
        </w:tabs>
        <w:spacing w:after="0" w:line="240" w:lineRule="auto"/>
        <w:jc w:val="both"/>
        <w:rPr>
          <w:rFonts w:ascii="Verdana" w:hAnsi="Verdana"/>
          <w:sz w:val="16"/>
          <w:szCs w:val="16"/>
          <w:lang w:val="en-US"/>
        </w:rPr>
      </w:pPr>
      <w:r w:rsidRPr="004A5455">
        <w:rPr>
          <w:rStyle w:val="Refdenotaalpie"/>
          <w:rFonts w:ascii="Verdana" w:hAnsi="Verdana"/>
          <w:sz w:val="16"/>
          <w:szCs w:val="16"/>
        </w:rPr>
        <w:footnoteRef/>
      </w:r>
      <w:r w:rsidRPr="004A5455">
        <w:rPr>
          <w:rFonts w:ascii="Verdana" w:hAnsi="Verdana"/>
          <w:sz w:val="16"/>
          <w:szCs w:val="16"/>
          <w:lang w:val="es-CR"/>
        </w:rPr>
        <w:t xml:space="preserve"> </w:t>
      </w:r>
      <w:r w:rsidRPr="004A5455">
        <w:rPr>
          <w:rFonts w:ascii="Verdana" w:hAnsi="Verdana"/>
          <w:sz w:val="16"/>
          <w:szCs w:val="16"/>
          <w:lang w:val="es-CR"/>
        </w:rPr>
        <w:tab/>
      </w:r>
      <w:r w:rsidRPr="007C45D8">
        <w:rPr>
          <w:rFonts w:ascii="Verdana" w:hAnsi="Verdana"/>
          <w:i/>
          <w:sz w:val="16"/>
          <w:szCs w:val="16"/>
          <w:lang w:val="es-CR"/>
        </w:rPr>
        <w:t>Cfr</w:t>
      </w:r>
      <w:r>
        <w:rPr>
          <w:rFonts w:ascii="Verdana" w:hAnsi="Verdana"/>
          <w:sz w:val="16"/>
          <w:szCs w:val="16"/>
          <w:lang w:val="es-CR"/>
        </w:rPr>
        <w:t xml:space="preserve">. </w:t>
      </w:r>
      <w:r w:rsidRPr="004A5455">
        <w:rPr>
          <w:rFonts w:ascii="Verdana" w:hAnsi="Verdana"/>
          <w:sz w:val="16"/>
          <w:szCs w:val="16"/>
          <w:lang w:val="es-CR"/>
        </w:rPr>
        <w:t>Naciones Unidas. Informe del Relator Especial sobre la tortura y otros tratos o penas crueles, inhumanos o degradantes</w:t>
      </w:r>
      <w:r>
        <w:rPr>
          <w:rFonts w:ascii="Verdana" w:hAnsi="Verdana"/>
          <w:sz w:val="16"/>
          <w:szCs w:val="16"/>
          <w:lang w:val="es-CR"/>
        </w:rPr>
        <w:t xml:space="preserve">, </w:t>
      </w:r>
      <w:r w:rsidRPr="004A5455">
        <w:rPr>
          <w:rFonts w:ascii="Verdana" w:hAnsi="Verdana"/>
          <w:sz w:val="16"/>
          <w:szCs w:val="16"/>
          <w:lang w:val="es-CR"/>
        </w:rPr>
        <w:t xml:space="preserve"> A/67/279,</w:t>
      </w:r>
      <w:r>
        <w:rPr>
          <w:rFonts w:ascii="Verdana" w:hAnsi="Verdana"/>
          <w:sz w:val="16"/>
          <w:szCs w:val="16"/>
          <w:lang w:val="es-CR"/>
        </w:rPr>
        <w:t xml:space="preserve"> (2012),</w:t>
      </w:r>
      <w:r w:rsidRPr="004A5455">
        <w:rPr>
          <w:rFonts w:ascii="Verdana" w:hAnsi="Verdana"/>
          <w:sz w:val="16"/>
          <w:szCs w:val="16"/>
          <w:lang w:val="es-CR"/>
        </w:rPr>
        <w:t xml:space="preserve"> </w:t>
      </w:r>
      <w:r>
        <w:rPr>
          <w:rFonts w:ascii="Verdana" w:hAnsi="Verdana"/>
          <w:sz w:val="16"/>
          <w:szCs w:val="16"/>
          <w:lang w:val="es-CR"/>
        </w:rPr>
        <w:t>p</w:t>
      </w:r>
      <w:r w:rsidRPr="004A5455">
        <w:rPr>
          <w:rFonts w:ascii="Verdana" w:hAnsi="Verdana"/>
          <w:sz w:val="16"/>
          <w:szCs w:val="16"/>
          <w:lang w:val="es-CR"/>
        </w:rPr>
        <w:t>árr. 42. Se define al fenómeno de</w:t>
      </w:r>
      <w:r>
        <w:rPr>
          <w:rFonts w:ascii="Verdana" w:hAnsi="Verdana"/>
          <w:sz w:val="16"/>
          <w:szCs w:val="16"/>
          <w:lang w:val="es-CR"/>
        </w:rPr>
        <w:t>l corredor de la muerte como: “</w:t>
      </w:r>
      <w:r w:rsidRPr="004A5455">
        <w:rPr>
          <w:rFonts w:ascii="Verdana" w:hAnsi="Verdana"/>
          <w:sz w:val="16"/>
          <w:szCs w:val="16"/>
          <w:lang w:val="es-CR"/>
        </w:rPr>
        <w:t>Consiste en una combinación de circunstancias que producen graves traumas mentales y deterioro físico en los presos sentenciados a muerte. Entre esas circunstancias figuran la prolongada y ansiosa espera de resultados plenos de incertidumbre, el aislamiento, el contacto humano drásticamente reducido e incluso las condiciones físicas en que están alojados algunos reclusos. Con frecuencia, las condiciones del pabellón de los condenados a muerte son peores que las que afectan al resto de la población carcelaria y se deniegan a los presos alojados en ese pabellón muchas cuestiones básic</w:t>
      </w:r>
      <w:r>
        <w:rPr>
          <w:rFonts w:ascii="Verdana" w:hAnsi="Verdana"/>
          <w:sz w:val="16"/>
          <w:szCs w:val="16"/>
          <w:lang w:val="es-CR"/>
        </w:rPr>
        <w:t>as y de primera necesidad […]</w:t>
      </w:r>
      <w:r w:rsidRPr="004A5455">
        <w:rPr>
          <w:rFonts w:ascii="Verdana" w:hAnsi="Verdana"/>
          <w:sz w:val="16"/>
          <w:szCs w:val="16"/>
          <w:lang w:val="es-CR"/>
        </w:rPr>
        <w:t xml:space="preserve">”. Véase también, </w:t>
      </w:r>
      <w:r>
        <w:rPr>
          <w:rFonts w:ascii="Verdana" w:hAnsi="Verdana" w:cs="AmnestyTradeGothic-Light"/>
          <w:sz w:val="16"/>
          <w:szCs w:val="16"/>
          <w:lang w:val="es-CR"/>
        </w:rPr>
        <w:t>Comité de Derechos Humanos</w:t>
      </w:r>
      <w:r w:rsidRPr="004A5455">
        <w:rPr>
          <w:rFonts w:ascii="Verdana" w:hAnsi="Verdana" w:cs="AmnestyTradeGothic-Light"/>
          <w:sz w:val="16"/>
          <w:szCs w:val="16"/>
          <w:lang w:val="es-CR"/>
        </w:rPr>
        <w:t xml:space="preserve">, </w:t>
      </w:r>
      <w:r w:rsidRPr="004A5455">
        <w:rPr>
          <w:rFonts w:ascii="Verdana" w:hAnsi="Verdana" w:cs="AmnestyTradeGothic-LightObl"/>
          <w:i/>
          <w:iCs/>
          <w:sz w:val="16"/>
          <w:szCs w:val="16"/>
          <w:lang w:val="es-CR"/>
        </w:rPr>
        <w:t>Larrañaga vs. Filipinas</w:t>
      </w:r>
      <w:r w:rsidRPr="004A5455">
        <w:rPr>
          <w:rFonts w:ascii="Verdana" w:hAnsi="Verdana" w:cs="AmnestyTradeGothic-Light"/>
          <w:sz w:val="16"/>
          <w:szCs w:val="16"/>
          <w:lang w:val="es-CR"/>
        </w:rPr>
        <w:t xml:space="preserve">, CCPR/C/87/D/1421/2005 (2006), párr. </w:t>
      </w:r>
      <w:r w:rsidRPr="00A2282C">
        <w:rPr>
          <w:rFonts w:ascii="Verdana" w:hAnsi="Verdana" w:cs="AmnestyTradeGothic-Light"/>
          <w:sz w:val="16"/>
          <w:szCs w:val="16"/>
          <w:lang w:val="en-US"/>
        </w:rPr>
        <w:t xml:space="preserve">7.11, y </w:t>
      </w:r>
      <w:r w:rsidRPr="00A2282C">
        <w:rPr>
          <w:rFonts w:ascii="Verdana" w:hAnsi="Verdana" w:cs="AmnestyTradeGothic-LightObl"/>
          <w:i/>
          <w:iCs/>
          <w:sz w:val="16"/>
          <w:szCs w:val="16"/>
          <w:lang w:val="en-US"/>
        </w:rPr>
        <w:t>Mwamba vs. Zambia</w:t>
      </w:r>
      <w:r w:rsidRPr="00A2282C">
        <w:rPr>
          <w:rFonts w:ascii="Verdana" w:hAnsi="Verdana" w:cs="AmnestyTradeGothic-Light"/>
          <w:sz w:val="16"/>
          <w:szCs w:val="16"/>
          <w:lang w:val="en-US"/>
        </w:rPr>
        <w:t>, CCPR/C/98/D/1520/2006 (2010), párr. 6.8.</w:t>
      </w:r>
    </w:p>
  </w:footnote>
  <w:footnote w:id="170">
    <w:p w14:paraId="3D569093" w14:textId="77777777" w:rsidR="00A52322" w:rsidRPr="00AB0B7D" w:rsidRDefault="00A52322" w:rsidP="00792505">
      <w:pPr>
        <w:tabs>
          <w:tab w:val="left" w:pos="567"/>
        </w:tabs>
        <w:spacing w:after="0" w:line="240" w:lineRule="auto"/>
        <w:jc w:val="both"/>
        <w:rPr>
          <w:rFonts w:ascii="Verdana" w:hAnsi="Verdana"/>
          <w:sz w:val="16"/>
          <w:szCs w:val="16"/>
          <w:lang w:val="en-US"/>
        </w:rPr>
      </w:pPr>
      <w:r w:rsidRPr="004A5455">
        <w:rPr>
          <w:rStyle w:val="Refdenotaalpie"/>
          <w:rFonts w:ascii="Verdana" w:hAnsi="Verdana"/>
          <w:sz w:val="16"/>
          <w:szCs w:val="16"/>
        </w:rPr>
        <w:footnoteRef/>
      </w:r>
      <w:r w:rsidRPr="00A2282C">
        <w:rPr>
          <w:rFonts w:ascii="Verdana" w:hAnsi="Verdana"/>
          <w:sz w:val="16"/>
          <w:szCs w:val="16"/>
          <w:lang w:val="en-US"/>
        </w:rPr>
        <w:t xml:space="preserve"> </w:t>
      </w:r>
      <w:r w:rsidRPr="00A2282C">
        <w:rPr>
          <w:rFonts w:ascii="Verdana" w:hAnsi="Verdana"/>
          <w:sz w:val="16"/>
          <w:szCs w:val="16"/>
          <w:lang w:val="en-US"/>
        </w:rPr>
        <w:tab/>
      </w:r>
      <w:r w:rsidRPr="00A2282C">
        <w:rPr>
          <w:rFonts w:ascii="Verdana" w:hAnsi="Verdana"/>
          <w:i/>
          <w:sz w:val="16"/>
          <w:szCs w:val="16"/>
          <w:lang w:val="en-US"/>
        </w:rPr>
        <w:t>Cfr</w:t>
      </w:r>
      <w:r w:rsidRPr="00A2282C">
        <w:rPr>
          <w:rFonts w:ascii="Verdana" w:hAnsi="Verdana"/>
          <w:sz w:val="16"/>
          <w:szCs w:val="16"/>
          <w:lang w:val="en-US"/>
        </w:rPr>
        <w:t xml:space="preserve">. </w:t>
      </w:r>
      <w:r w:rsidRPr="00A2282C">
        <w:rPr>
          <w:rFonts w:ascii="Verdana" w:hAnsi="Verdana"/>
          <w:i/>
          <w:sz w:val="16"/>
          <w:szCs w:val="16"/>
          <w:lang w:val="en-US"/>
        </w:rPr>
        <w:t xml:space="preserve">Judgment of the Supreme Court of Zimbabwe </w:t>
      </w:r>
      <w:r w:rsidRPr="00A2282C">
        <w:rPr>
          <w:rFonts w:ascii="Verdana" w:hAnsi="Verdana"/>
          <w:sz w:val="16"/>
          <w:szCs w:val="16"/>
          <w:lang w:val="en-US"/>
        </w:rPr>
        <w:t xml:space="preserve">of 24 June 1993 in Catholic Commissioner for Justice and Peace in Zimbabwe v. Attorney General (4) SA 239 (ZS); </w:t>
      </w:r>
      <w:r w:rsidRPr="00A2282C">
        <w:rPr>
          <w:rFonts w:ascii="Verdana" w:hAnsi="Verdana"/>
          <w:i/>
          <w:sz w:val="16"/>
          <w:szCs w:val="16"/>
          <w:lang w:val="en-US"/>
        </w:rPr>
        <w:t>Supreme Court of Uganda in Attorney General v. Susan Kigula</w:t>
      </w:r>
      <w:r w:rsidRPr="00A2282C">
        <w:rPr>
          <w:rFonts w:ascii="Verdana" w:hAnsi="Verdana"/>
          <w:sz w:val="16"/>
          <w:szCs w:val="16"/>
          <w:lang w:val="en-US"/>
        </w:rPr>
        <w:t xml:space="preserve"> and 417 others (Constitutional Appeal No. 3 of 2006), 2009, y </w:t>
      </w:r>
      <w:r w:rsidRPr="00A2282C">
        <w:rPr>
          <w:rFonts w:ascii="Verdana" w:hAnsi="Verdana"/>
          <w:i/>
          <w:sz w:val="16"/>
          <w:szCs w:val="16"/>
          <w:lang w:val="en-US"/>
        </w:rPr>
        <w:t>Godfrey Mutiso v. Republic, Tribunal de Apelación de Kenia</w:t>
      </w:r>
      <w:r w:rsidRPr="00A2282C">
        <w:rPr>
          <w:rFonts w:ascii="Verdana" w:hAnsi="Verdana"/>
          <w:sz w:val="16"/>
          <w:szCs w:val="16"/>
          <w:lang w:val="en-US"/>
        </w:rPr>
        <w:t xml:space="preserve"> (2010). </w:t>
      </w:r>
      <w:r w:rsidRPr="00AB0B7D">
        <w:rPr>
          <w:rFonts w:ascii="Verdana" w:hAnsi="Verdana"/>
          <w:sz w:val="16"/>
          <w:szCs w:val="16"/>
          <w:lang w:val="en-US"/>
        </w:rPr>
        <w:t xml:space="preserve">Véase también </w:t>
      </w:r>
      <w:r w:rsidRPr="00AB0B7D">
        <w:rPr>
          <w:rFonts w:ascii="Verdana" w:hAnsi="Verdana"/>
          <w:i/>
          <w:sz w:val="16"/>
          <w:szCs w:val="16"/>
          <w:lang w:val="en-US"/>
        </w:rPr>
        <w:t xml:space="preserve">US v. Burns, </w:t>
      </w:r>
      <w:r w:rsidRPr="00AB0B7D">
        <w:rPr>
          <w:rFonts w:ascii="Verdana" w:hAnsi="Verdana"/>
          <w:sz w:val="16"/>
          <w:szCs w:val="16"/>
          <w:lang w:val="en-US"/>
        </w:rPr>
        <w:t>Tribunal Supremo de Canadá, 2001 SCC 7, párrs. 118-123.</w:t>
      </w:r>
    </w:p>
  </w:footnote>
  <w:footnote w:id="171">
    <w:p w14:paraId="3CF52567" w14:textId="77777777" w:rsidR="00A52322" w:rsidRPr="004A5455" w:rsidRDefault="00A52322" w:rsidP="00792505">
      <w:pPr>
        <w:tabs>
          <w:tab w:val="left" w:pos="567"/>
        </w:tabs>
        <w:spacing w:after="0" w:line="240" w:lineRule="auto"/>
        <w:jc w:val="both"/>
        <w:rPr>
          <w:rFonts w:ascii="Verdana" w:hAnsi="Verdana"/>
          <w:sz w:val="16"/>
          <w:szCs w:val="16"/>
          <w:lang w:val="es-CR"/>
        </w:rPr>
      </w:pPr>
      <w:r w:rsidRPr="00FD6B5C">
        <w:rPr>
          <w:rStyle w:val="Refdenotaalpie"/>
          <w:rFonts w:ascii="Verdana" w:hAnsi="Verdana"/>
          <w:sz w:val="16"/>
          <w:szCs w:val="16"/>
        </w:rPr>
        <w:footnoteRef/>
      </w:r>
      <w:r w:rsidRPr="00AB0B7D">
        <w:rPr>
          <w:rFonts w:ascii="Verdana" w:hAnsi="Verdana"/>
          <w:sz w:val="16"/>
          <w:szCs w:val="16"/>
          <w:lang w:val="en-US"/>
        </w:rPr>
        <w:t xml:space="preserve"> </w:t>
      </w:r>
      <w:r w:rsidRPr="00AB0B7D">
        <w:rPr>
          <w:rFonts w:ascii="Verdana" w:hAnsi="Verdana"/>
          <w:sz w:val="16"/>
          <w:szCs w:val="16"/>
          <w:lang w:val="en-US"/>
        </w:rPr>
        <w:tab/>
      </w:r>
      <w:r w:rsidRPr="00AB0B7D">
        <w:rPr>
          <w:rFonts w:ascii="Verdana" w:hAnsi="Verdana"/>
          <w:i/>
          <w:sz w:val="16"/>
          <w:szCs w:val="16"/>
          <w:lang w:val="en-US"/>
        </w:rPr>
        <w:t>Cfr</w:t>
      </w:r>
      <w:r w:rsidRPr="00AB0B7D">
        <w:rPr>
          <w:rFonts w:ascii="Verdana" w:hAnsi="Verdana"/>
          <w:sz w:val="16"/>
          <w:szCs w:val="16"/>
          <w:lang w:val="en-US"/>
        </w:rPr>
        <w:t>. TEDH.</w:t>
      </w:r>
      <w:r w:rsidRPr="00AB0B7D">
        <w:rPr>
          <w:rFonts w:ascii="Verdana" w:hAnsi="Verdana"/>
          <w:i/>
          <w:sz w:val="16"/>
          <w:szCs w:val="16"/>
          <w:lang w:val="en-US"/>
        </w:rPr>
        <w:t xml:space="preserve"> Soering v. The United Kingdom,</w:t>
      </w:r>
      <w:r w:rsidRPr="00AB0B7D">
        <w:rPr>
          <w:rFonts w:ascii="Verdana" w:hAnsi="Verdana"/>
          <w:sz w:val="16"/>
          <w:szCs w:val="16"/>
          <w:lang w:val="en-US"/>
        </w:rPr>
        <w:t xml:space="preserve"> no. 14038/88, Sentencia de 7 de julio de 1989, párrs. </w:t>
      </w:r>
      <w:r w:rsidRPr="00FD6B5C">
        <w:rPr>
          <w:rFonts w:ascii="Verdana" w:hAnsi="Verdana"/>
          <w:sz w:val="16"/>
          <w:szCs w:val="16"/>
          <w:lang w:val="es-CR"/>
        </w:rPr>
        <w:t>56, 81 y 111</w:t>
      </w:r>
      <w:r>
        <w:rPr>
          <w:rFonts w:ascii="Verdana" w:hAnsi="Verdana"/>
          <w:sz w:val="16"/>
          <w:szCs w:val="16"/>
          <w:lang w:val="es-CR"/>
        </w:rPr>
        <w:t>.</w:t>
      </w:r>
      <w:r w:rsidRPr="00FD6B5C">
        <w:rPr>
          <w:rFonts w:ascii="Verdana" w:hAnsi="Verdana"/>
          <w:sz w:val="16"/>
          <w:szCs w:val="16"/>
          <w:lang w:val="es-CR"/>
        </w:rPr>
        <w:t xml:space="preserve"> </w:t>
      </w:r>
    </w:p>
  </w:footnote>
  <w:footnote w:id="172">
    <w:p w14:paraId="23A8BDA1" w14:textId="77777777" w:rsidR="00A52322" w:rsidRPr="00A326C2" w:rsidRDefault="00A52322" w:rsidP="00792505">
      <w:pPr>
        <w:tabs>
          <w:tab w:val="left" w:pos="567"/>
        </w:tabs>
        <w:spacing w:after="0" w:line="240" w:lineRule="auto"/>
        <w:jc w:val="both"/>
        <w:rPr>
          <w:sz w:val="16"/>
          <w:szCs w:val="16"/>
          <w:lang w:val="es-CR"/>
        </w:rPr>
      </w:pPr>
      <w:r w:rsidRPr="00584E70">
        <w:rPr>
          <w:rStyle w:val="Refdenotaalpie"/>
          <w:rFonts w:ascii="Verdana" w:hAnsi="Verdana"/>
          <w:sz w:val="16"/>
          <w:szCs w:val="16"/>
        </w:rPr>
        <w:footnoteRef/>
      </w:r>
      <w:r w:rsidRPr="00584E70">
        <w:rPr>
          <w:rFonts w:ascii="Verdana" w:hAnsi="Verdana"/>
          <w:sz w:val="16"/>
          <w:szCs w:val="16"/>
          <w:lang w:val="es-CR"/>
        </w:rPr>
        <w:t xml:space="preserve"> </w:t>
      </w:r>
      <w:r w:rsidRPr="00584E70">
        <w:rPr>
          <w:rFonts w:ascii="Verdana" w:hAnsi="Verdana"/>
          <w:sz w:val="16"/>
          <w:szCs w:val="16"/>
          <w:lang w:val="es-CR"/>
        </w:rPr>
        <w:tab/>
      </w:r>
      <w:r w:rsidRPr="007C45D8">
        <w:rPr>
          <w:rFonts w:ascii="Verdana" w:hAnsi="Verdana"/>
          <w:i/>
          <w:sz w:val="16"/>
          <w:szCs w:val="16"/>
          <w:lang w:val="es-ES_tradnl"/>
        </w:rPr>
        <w:t xml:space="preserve">Cfr. </w:t>
      </w:r>
      <w:r w:rsidRPr="00836A4A">
        <w:rPr>
          <w:rFonts w:ascii="Verdana" w:hAnsi="Verdana"/>
          <w:sz w:val="16"/>
          <w:szCs w:val="16"/>
          <w:lang w:val="es-ES_tradnl"/>
        </w:rPr>
        <w:t xml:space="preserve">TEDH, </w:t>
      </w:r>
      <w:r w:rsidRPr="00836A4A">
        <w:rPr>
          <w:rFonts w:ascii="Verdana" w:hAnsi="Verdana"/>
          <w:i/>
          <w:sz w:val="16"/>
          <w:szCs w:val="16"/>
          <w:lang w:val="es-ES_tradnl"/>
        </w:rPr>
        <w:t>Case of Ireland v. the United Kingdom</w:t>
      </w:r>
      <w:r w:rsidRPr="00836A4A">
        <w:rPr>
          <w:rFonts w:ascii="Verdana" w:hAnsi="Verdana"/>
          <w:sz w:val="16"/>
          <w:szCs w:val="16"/>
          <w:lang w:val="es-ES_tradnl"/>
        </w:rPr>
        <w:t xml:space="preserve">, no. 5310/71, Sentencia de 18 de enero de 1978, párr. 162; </w:t>
      </w:r>
      <w:r w:rsidRPr="00836A4A">
        <w:rPr>
          <w:rFonts w:ascii="Verdana" w:hAnsi="Verdana"/>
          <w:i/>
          <w:sz w:val="16"/>
          <w:szCs w:val="16"/>
          <w:lang w:val="es-ES_tradnl"/>
        </w:rPr>
        <w:t>Case of Jalloh v. Germany</w:t>
      </w:r>
      <w:r w:rsidRPr="00836A4A">
        <w:rPr>
          <w:rFonts w:ascii="Verdana" w:hAnsi="Verdana"/>
          <w:sz w:val="16"/>
          <w:szCs w:val="16"/>
          <w:lang w:val="es-ES_tradnl"/>
        </w:rPr>
        <w:t xml:space="preserve"> [GS], no. 5</w:t>
      </w:r>
      <w:r w:rsidRPr="00836A4A">
        <w:rPr>
          <w:rFonts w:ascii="Verdana" w:hAnsi="Verdana"/>
          <w:sz w:val="16"/>
          <w:szCs w:val="16"/>
          <w:lang w:val="es-CR"/>
        </w:rPr>
        <w:t>4810/00, Sentencia de 11 de julio de 2006, párr. 67</w:t>
      </w:r>
      <w:r w:rsidRPr="00836A4A">
        <w:rPr>
          <w:rFonts w:ascii="Verdana" w:hAnsi="Verdana"/>
          <w:sz w:val="16"/>
          <w:szCs w:val="16"/>
          <w:lang w:val="es-ES_tradnl"/>
        </w:rPr>
        <w:t xml:space="preserve"> </w:t>
      </w:r>
      <w:r w:rsidRPr="00836A4A">
        <w:rPr>
          <w:rFonts w:ascii="Verdana" w:hAnsi="Verdana"/>
          <w:sz w:val="16"/>
          <w:szCs w:val="16"/>
          <w:lang w:val="es-CR"/>
        </w:rPr>
        <w:t xml:space="preserve">y </w:t>
      </w:r>
      <w:r w:rsidRPr="00836A4A">
        <w:rPr>
          <w:rFonts w:ascii="Verdana" w:hAnsi="Verdana" w:cs="Arial"/>
          <w:i/>
          <w:sz w:val="16"/>
          <w:szCs w:val="16"/>
          <w:lang w:val="es-CR"/>
        </w:rPr>
        <w:t xml:space="preserve">Case of Bouyid v. Belgium </w:t>
      </w:r>
      <w:r w:rsidRPr="00836A4A">
        <w:rPr>
          <w:rFonts w:ascii="Verdana" w:hAnsi="Verdana" w:cs="Arial"/>
          <w:sz w:val="16"/>
          <w:szCs w:val="16"/>
          <w:lang w:val="es-CR"/>
        </w:rPr>
        <w:t>[GS], no. 23380/09/03, Sentencia de 28 de septiembre de 2015, párr. 86.</w:t>
      </w:r>
    </w:p>
  </w:footnote>
  <w:footnote w:id="173">
    <w:p w14:paraId="1B7FA1D5" w14:textId="77777777" w:rsidR="00A52322" w:rsidRPr="00D16781" w:rsidRDefault="00A52322" w:rsidP="004E3380">
      <w:pPr>
        <w:tabs>
          <w:tab w:val="left" w:pos="567"/>
        </w:tabs>
        <w:spacing w:after="0" w:line="240" w:lineRule="auto"/>
        <w:jc w:val="both"/>
        <w:rPr>
          <w:rFonts w:ascii="Verdana" w:hAnsi="Verdana"/>
          <w:sz w:val="16"/>
          <w:szCs w:val="16"/>
        </w:rPr>
      </w:pPr>
      <w:r w:rsidRPr="00D16781">
        <w:rPr>
          <w:rStyle w:val="Refdenotaalpie"/>
          <w:rFonts w:ascii="Verdana" w:hAnsi="Verdana"/>
          <w:sz w:val="16"/>
          <w:szCs w:val="16"/>
        </w:rPr>
        <w:footnoteRef/>
      </w:r>
      <w:r w:rsidRPr="00D16781">
        <w:rPr>
          <w:rFonts w:ascii="Verdana" w:hAnsi="Verdana"/>
          <w:sz w:val="16"/>
          <w:szCs w:val="16"/>
        </w:rPr>
        <w:t xml:space="preserve"> </w:t>
      </w:r>
      <w:r w:rsidRPr="00D16781">
        <w:rPr>
          <w:rFonts w:ascii="Verdana" w:hAnsi="Verdana"/>
          <w:sz w:val="16"/>
          <w:szCs w:val="16"/>
        </w:rPr>
        <w:tab/>
      </w:r>
      <w:r>
        <w:rPr>
          <w:rFonts w:ascii="Verdana" w:hAnsi="Verdana"/>
          <w:sz w:val="16"/>
          <w:szCs w:val="16"/>
        </w:rPr>
        <w:tab/>
      </w:r>
      <w:r w:rsidRPr="0060326C">
        <w:rPr>
          <w:rFonts w:ascii="Verdana" w:hAnsi="Verdana"/>
          <w:i/>
          <w:sz w:val="16"/>
          <w:szCs w:val="16"/>
        </w:rPr>
        <w:t>Cfr.</w:t>
      </w:r>
      <w:r w:rsidRPr="0060326C">
        <w:rPr>
          <w:rFonts w:ascii="Verdana" w:hAnsi="Verdana"/>
          <w:sz w:val="16"/>
          <w:szCs w:val="16"/>
        </w:rPr>
        <w:t xml:space="preserve"> Peritaje </w:t>
      </w:r>
      <w:r w:rsidRPr="0060326C">
        <w:rPr>
          <w:rFonts w:ascii="Verdana" w:hAnsi="Verdana" w:cs="Arial"/>
          <w:bCs/>
          <w:color w:val="000000"/>
          <w:sz w:val="16"/>
          <w:szCs w:val="16"/>
        </w:rPr>
        <w:t xml:space="preserve">psicológico rendido por Juan Cristóbal Aldana Alfaro, </w:t>
      </w:r>
      <w:r w:rsidRPr="0060326C">
        <w:rPr>
          <w:rFonts w:ascii="Verdana" w:hAnsi="Verdana" w:cs="Arial"/>
          <w:bCs/>
          <w:i/>
          <w:color w:val="000000"/>
          <w:sz w:val="16"/>
          <w:szCs w:val="16"/>
        </w:rPr>
        <w:t>supra</w:t>
      </w:r>
      <w:r w:rsidRPr="0060326C">
        <w:rPr>
          <w:rFonts w:ascii="Verdana" w:hAnsi="Verdana" w:cs="Arial"/>
          <w:bCs/>
          <w:color w:val="000000"/>
          <w:sz w:val="16"/>
          <w:szCs w:val="16"/>
        </w:rPr>
        <w:t>.</w:t>
      </w:r>
      <w:r w:rsidRPr="0060326C">
        <w:rPr>
          <w:rFonts w:ascii="Verdana" w:hAnsi="Verdana" w:cs="Arial"/>
          <w:b/>
          <w:bCs/>
          <w:color w:val="000000"/>
          <w:sz w:val="16"/>
          <w:szCs w:val="16"/>
        </w:rPr>
        <w:t xml:space="preserve"> </w:t>
      </w:r>
    </w:p>
  </w:footnote>
  <w:footnote w:id="174">
    <w:p w14:paraId="0A7021C7" w14:textId="77777777" w:rsidR="00A52322" w:rsidRPr="00D16781" w:rsidRDefault="00A52322" w:rsidP="009D37CE">
      <w:pPr>
        <w:tabs>
          <w:tab w:val="left" w:pos="567"/>
        </w:tabs>
        <w:spacing w:after="0" w:line="240" w:lineRule="auto"/>
        <w:jc w:val="both"/>
        <w:rPr>
          <w:rFonts w:ascii="Verdana" w:hAnsi="Verdana"/>
          <w:sz w:val="16"/>
          <w:szCs w:val="16"/>
          <w:lang w:val="es-ES"/>
        </w:rPr>
      </w:pPr>
      <w:r w:rsidRPr="00D16781">
        <w:rPr>
          <w:rStyle w:val="Refdenotaalpie"/>
          <w:rFonts w:ascii="Verdana" w:hAnsi="Verdana"/>
          <w:sz w:val="16"/>
          <w:szCs w:val="16"/>
        </w:rPr>
        <w:footnoteRef/>
      </w:r>
      <w:r w:rsidRPr="00D16781">
        <w:rPr>
          <w:rFonts w:ascii="Verdana" w:hAnsi="Verdana"/>
          <w:sz w:val="16"/>
          <w:szCs w:val="16"/>
          <w:lang w:val="es-ES"/>
        </w:rPr>
        <w:t xml:space="preserve"> </w:t>
      </w:r>
      <w:r w:rsidRPr="00D16781">
        <w:rPr>
          <w:rFonts w:ascii="Verdana" w:hAnsi="Verdana"/>
          <w:sz w:val="16"/>
          <w:szCs w:val="16"/>
          <w:lang w:val="es-ES"/>
        </w:rPr>
        <w:tab/>
      </w:r>
      <w:r>
        <w:rPr>
          <w:rFonts w:ascii="Verdana" w:hAnsi="Verdana"/>
          <w:sz w:val="16"/>
          <w:szCs w:val="16"/>
          <w:lang w:val="es-ES"/>
        </w:rPr>
        <w:tab/>
      </w:r>
      <w:r w:rsidRPr="00D16781">
        <w:rPr>
          <w:rFonts w:ascii="Verdana" w:hAnsi="Verdana"/>
          <w:i/>
          <w:iCs/>
          <w:sz w:val="16"/>
          <w:szCs w:val="16"/>
          <w:lang w:val="es-ES"/>
        </w:rPr>
        <w:t>Cfr</w:t>
      </w:r>
      <w:r w:rsidRPr="00D16781">
        <w:rPr>
          <w:rFonts w:ascii="Verdana" w:hAnsi="Verdana"/>
          <w:sz w:val="16"/>
          <w:szCs w:val="16"/>
          <w:lang w:val="es-ES"/>
        </w:rPr>
        <w:t xml:space="preserve">. TEDH, </w:t>
      </w:r>
      <w:r w:rsidRPr="0060326C">
        <w:rPr>
          <w:rFonts w:ascii="Verdana" w:hAnsi="Verdana"/>
          <w:i/>
          <w:iCs/>
          <w:sz w:val="16"/>
          <w:szCs w:val="16"/>
          <w:lang w:val="es-ES"/>
        </w:rPr>
        <w:t>Soering Vs.Reino Unido</w:t>
      </w:r>
      <w:r w:rsidRPr="0060326C">
        <w:rPr>
          <w:rFonts w:ascii="Verdana" w:hAnsi="Verdana"/>
          <w:sz w:val="16"/>
          <w:szCs w:val="16"/>
          <w:lang w:val="es-ES"/>
        </w:rPr>
        <w:t xml:space="preserve">, </w:t>
      </w:r>
      <w:r w:rsidRPr="0060326C">
        <w:rPr>
          <w:rFonts w:ascii="Verdana" w:hAnsi="Verdana"/>
          <w:i/>
          <w:sz w:val="16"/>
          <w:szCs w:val="16"/>
          <w:lang w:val="es-ES"/>
        </w:rPr>
        <w:t>supra</w:t>
      </w:r>
      <w:r w:rsidRPr="0060326C">
        <w:rPr>
          <w:rFonts w:ascii="Verdana" w:hAnsi="Verdana"/>
          <w:sz w:val="16"/>
          <w:szCs w:val="16"/>
          <w:lang w:val="es-ES"/>
        </w:rPr>
        <w:t>, párr. 106,</w:t>
      </w:r>
      <w:r w:rsidRPr="00D16781">
        <w:rPr>
          <w:rFonts w:ascii="Verdana" w:hAnsi="Verdana"/>
          <w:sz w:val="16"/>
          <w:szCs w:val="16"/>
          <w:lang w:val="es-ES"/>
        </w:rPr>
        <w:t xml:space="preserve"> y </w:t>
      </w:r>
      <w:r w:rsidRPr="00D16781">
        <w:rPr>
          <w:rFonts w:ascii="Verdana" w:hAnsi="Verdana"/>
          <w:i/>
          <w:iCs/>
          <w:sz w:val="16"/>
          <w:szCs w:val="16"/>
          <w:lang w:val="es-ES"/>
        </w:rPr>
        <w:t xml:space="preserve">Shamayev y otros </w:t>
      </w:r>
      <w:r>
        <w:rPr>
          <w:rFonts w:ascii="Verdana" w:hAnsi="Verdana"/>
          <w:i/>
          <w:iCs/>
          <w:sz w:val="16"/>
          <w:szCs w:val="16"/>
          <w:lang w:val="es-ES"/>
        </w:rPr>
        <w:t>Vs</w:t>
      </w:r>
      <w:r w:rsidRPr="00D16781">
        <w:rPr>
          <w:rFonts w:ascii="Verdana" w:hAnsi="Verdana"/>
          <w:i/>
          <w:iCs/>
          <w:sz w:val="16"/>
          <w:szCs w:val="16"/>
          <w:lang w:val="es-ES"/>
        </w:rPr>
        <w:t>. Georgia y Rusia</w:t>
      </w:r>
      <w:r w:rsidRPr="00D16781">
        <w:rPr>
          <w:rFonts w:ascii="Verdana" w:hAnsi="Verdana"/>
          <w:sz w:val="16"/>
          <w:szCs w:val="16"/>
          <w:lang w:val="es-ES"/>
        </w:rPr>
        <w:t>, no. 36378/02,</w:t>
      </w:r>
      <w:r>
        <w:rPr>
          <w:rFonts w:ascii="Verdana" w:hAnsi="Verdana"/>
          <w:sz w:val="16"/>
          <w:szCs w:val="16"/>
          <w:lang w:val="es-ES"/>
        </w:rPr>
        <w:t xml:space="preserve"> 12 de abril de 2005,</w:t>
      </w:r>
      <w:r w:rsidRPr="00D16781">
        <w:rPr>
          <w:rFonts w:ascii="Verdana" w:hAnsi="Verdana"/>
          <w:sz w:val="16"/>
          <w:szCs w:val="16"/>
          <w:lang w:val="es-ES"/>
        </w:rPr>
        <w:t xml:space="preserve"> párr. 333.</w:t>
      </w:r>
    </w:p>
  </w:footnote>
  <w:footnote w:id="175">
    <w:p w14:paraId="0ACC8804" w14:textId="77777777" w:rsidR="00A52322" w:rsidRPr="003D3989" w:rsidRDefault="00A52322" w:rsidP="007E62B2">
      <w:pPr>
        <w:pStyle w:val="Textonotapie"/>
        <w:jc w:val="both"/>
      </w:pPr>
      <w:r>
        <w:rPr>
          <w:rStyle w:val="Refdenotaalpie"/>
        </w:rPr>
        <w:footnoteRef/>
      </w:r>
      <w:r>
        <w:t xml:space="preserve">   </w:t>
      </w:r>
      <w:r>
        <w:tab/>
      </w:r>
      <w:r w:rsidRPr="008B37EB">
        <w:rPr>
          <w:rFonts w:ascii="Verdana" w:hAnsi="Verdana"/>
          <w:sz w:val="16"/>
          <w:szCs w:val="16"/>
        </w:rPr>
        <w:t xml:space="preserve">Peritaje psicológico </w:t>
      </w:r>
      <w:r>
        <w:rPr>
          <w:rFonts w:ascii="Verdana" w:hAnsi="Verdana"/>
          <w:sz w:val="16"/>
          <w:szCs w:val="16"/>
        </w:rPr>
        <w:t xml:space="preserve">rendido por </w:t>
      </w:r>
      <w:r w:rsidRPr="008B37EB">
        <w:rPr>
          <w:rFonts w:ascii="Verdana" w:hAnsi="Verdana"/>
          <w:sz w:val="16"/>
          <w:szCs w:val="16"/>
        </w:rPr>
        <w:t>Juan</w:t>
      </w:r>
      <w:r>
        <w:rPr>
          <w:rFonts w:ascii="Verdana" w:hAnsi="Verdana"/>
          <w:sz w:val="16"/>
          <w:szCs w:val="16"/>
        </w:rPr>
        <w:t xml:space="preserve"> Cristobal</w:t>
      </w:r>
      <w:r w:rsidRPr="008B37EB">
        <w:rPr>
          <w:rFonts w:ascii="Verdana" w:hAnsi="Verdana"/>
          <w:sz w:val="16"/>
          <w:szCs w:val="16"/>
        </w:rPr>
        <w:t xml:space="preserve"> Aldana Alfaro</w:t>
      </w:r>
      <w:r>
        <w:rPr>
          <w:rFonts w:ascii="Verdana" w:hAnsi="Verdana"/>
          <w:sz w:val="16"/>
          <w:szCs w:val="16"/>
        </w:rPr>
        <w:t xml:space="preserve">, </w:t>
      </w:r>
      <w:r w:rsidRPr="0060326C">
        <w:rPr>
          <w:rFonts w:ascii="Verdana" w:hAnsi="Verdana"/>
          <w:i/>
          <w:sz w:val="16"/>
          <w:szCs w:val="16"/>
        </w:rPr>
        <w:t>supra</w:t>
      </w:r>
      <w:r>
        <w:rPr>
          <w:rFonts w:ascii="Verdana" w:hAnsi="Verdana"/>
          <w:sz w:val="16"/>
          <w:szCs w:val="16"/>
        </w:rPr>
        <w:t>.</w:t>
      </w:r>
    </w:p>
  </w:footnote>
  <w:footnote w:id="176">
    <w:p w14:paraId="638AC82F" w14:textId="77777777" w:rsidR="00A52322" w:rsidRPr="00092AAF" w:rsidRDefault="00A52322">
      <w:pPr>
        <w:pStyle w:val="Textonotapie"/>
        <w:rPr>
          <w:rFonts w:ascii="Verdana" w:hAnsi="Verdana"/>
          <w:sz w:val="16"/>
          <w:szCs w:val="16"/>
        </w:rPr>
      </w:pPr>
      <w:r w:rsidRPr="00092AAF">
        <w:rPr>
          <w:rStyle w:val="Refdenotaalpie"/>
          <w:rFonts w:ascii="Verdana" w:hAnsi="Verdana"/>
          <w:sz w:val="16"/>
          <w:szCs w:val="16"/>
        </w:rPr>
        <w:footnoteRef/>
      </w:r>
      <w:r w:rsidRPr="00092AAF">
        <w:rPr>
          <w:rFonts w:ascii="Verdana" w:hAnsi="Verdana"/>
          <w:sz w:val="16"/>
          <w:szCs w:val="16"/>
        </w:rPr>
        <w:t xml:space="preserve">  </w:t>
      </w:r>
      <w:r w:rsidRPr="00092AAF">
        <w:rPr>
          <w:rFonts w:ascii="Verdana" w:hAnsi="Verdana"/>
          <w:sz w:val="16"/>
          <w:szCs w:val="16"/>
        </w:rPr>
        <w:tab/>
        <w:t>A</w:t>
      </w:r>
      <w:r w:rsidRPr="00092AAF">
        <w:rPr>
          <w:rFonts w:ascii="Verdana" w:hAnsi="Verdana"/>
          <w:sz w:val="16"/>
          <w:szCs w:val="16"/>
          <w:lang w:val="es-CR"/>
        </w:rPr>
        <w:t>rtículo 7 de la Convención Americana.</w:t>
      </w:r>
    </w:p>
  </w:footnote>
  <w:footnote w:id="177">
    <w:p w14:paraId="5E2E9EE5" w14:textId="7DF9C1BB" w:rsidR="00A52322" w:rsidRPr="00A922FC" w:rsidRDefault="00A52322" w:rsidP="002C33C9">
      <w:pPr>
        <w:pStyle w:val="Footnotes"/>
        <w:tabs>
          <w:tab w:val="left" w:pos="426"/>
        </w:tabs>
        <w:rPr>
          <w:spacing w:val="-12"/>
        </w:rPr>
      </w:pPr>
      <w:r w:rsidRPr="00A922FC">
        <w:rPr>
          <w:rStyle w:val="Refdenotaalpie"/>
          <w:spacing w:val="-12"/>
          <w:lang w:val="es-CR"/>
        </w:rPr>
        <w:footnoteRef/>
      </w:r>
      <w:r w:rsidRPr="00A922FC">
        <w:rPr>
          <w:spacing w:val="-12"/>
        </w:rPr>
        <w:t xml:space="preserve"> </w:t>
      </w:r>
      <w:r w:rsidRPr="00A922FC">
        <w:rPr>
          <w:spacing w:val="-12"/>
        </w:rPr>
        <w:tab/>
      </w:r>
      <w:r>
        <w:rPr>
          <w:spacing w:val="-12"/>
        </w:rPr>
        <w:t xml:space="preserve"> </w:t>
      </w:r>
      <w:r>
        <w:rPr>
          <w:spacing w:val="-12"/>
        </w:rPr>
        <w:tab/>
      </w:r>
      <w:r>
        <w:rPr>
          <w:spacing w:val="-12"/>
        </w:rPr>
        <w:tab/>
      </w:r>
      <w:r w:rsidRPr="001E3DB9">
        <w:rPr>
          <w:i/>
        </w:rPr>
        <w:t>Cfr. Caso Cinco Pensionistas Vs. Perú. Fondo, Reparaciones y Costas.</w:t>
      </w:r>
      <w:r w:rsidRPr="001E3DB9">
        <w:t xml:space="preserve"> Sentencia de 28 de f</w:t>
      </w:r>
      <w:r>
        <w:t>ebrero de 2003. Serie C No. 98,</w:t>
      </w:r>
      <w:r w:rsidRPr="001E3DB9">
        <w:t xml:space="preserve"> párr. 155</w:t>
      </w:r>
      <w:r w:rsidRPr="001E3DB9">
        <w:rPr>
          <w:rFonts w:cs="Times New Roman"/>
          <w:iCs w:val="0"/>
          <w:spacing w:val="-12"/>
          <w:lang w:val="es-MX"/>
        </w:rPr>
        <w:t xml:space="preserve">, y </w:t>
      </w:r>
      <w:r w:rsidRPr="000F75B5">
        <w:rPr>
          <w:rStyle w:val="Textoennegrita"/>
          <w:b w:val="0"/>
          <w:i/>
          <w:color w:val="000000"/>
          <w:shd w:val="clear" w:color="auto" w:fill="FFFFFF"/>
        </w:rPr>
        <w:t xml:space="preserve">Caso Coc Max y otros (Masacre de Xamán) Vs. Guatemala. Fondo, Reparaciones y Costas. </w:t>
      </w:r>
      <w:r w:rsidRPr="00796BBA">
        <w:rPr>
          <w:rStyle w:val="Textoennegrita"/>
          <w:b w:val="0"/>
          <w:color w:val="000000"/>
          <w:shd w:val="clear" w:color="auto" w:fill="FFFFFF"/>
        </w:rPr>
        <w:t>Sentencia de 22 de agosto de 2018. Serie C No. 356</w:t>
      </w:r>
      <w:r>
        <w:rPr>
          <w:rStyle w:val="Textoennegrita"/>
          <w:b w:val="0"/>
          <w:color w:val="000000"/>
          <w:shd w:val="clear" w:color="auto" w:fill="FFFFFF"/>
        </w:rPr>
        <w:t>, párr. 133.</w:t>
      </w:r>
    </w:p>
  </w:footnote>
  <w:footnote w:id="178">
    <w:p w14:paraId="3D929FA4" w14:textId="77777777" w:rsidR="00A52322" w:rsidRPr="00A922FC" w:rsidRDefault="00A52322" w:rsidP="003C3EE6">
      <w:pPr>
        <w:pStyle w:val="Textonotapie"/>
        <w:jc w:val="both"/>
        <w:rPr>
          <w:rFonts w:ascii="Verdana" w:hAnsi="Verdana"/>
          <w:sz w:val="16"/>
          <w:szCs w:val="16"/>
          <w:lang w:val="es-CR"/>
        </w:rPr>
      </w:pPr>
      <w:r w:rsidRPr="00A922FC">
        <w:rPr>
          <w:rStyle w:val="Refdenotaalpie"/>
          <w:rFonts w:ascii="Verdana" w:hAnsi="Verdana"/>
          <w:sz w:val="16"/>
          <w:szCs w:val="16"/>
        </w:rPr>
        <w:footnoteRef/>
      </w:r>
      <w:r w:rsidRPr="00A922FC">
        <w:rPr>
          <w:rFonts w:ascii="Verdana" w:hAnsi="Verdana"/>
          <w:sz w:val="16"/>
          <w:szCs w:val="16"/>
          <w:lang w:val="es-CR"/>
        </w:rPr>
        <w:t xml:space="preserve"> </w:t>
      </w:r>
      <w:r w:rsidRPr="00A922FC">
        <w:rPr>
          <w:rFonts w:ascii="Verdana" w:hAnsi="Verdana"/>
          <w:sz w:val="16"/>
          <w:szCs w:val="16"/>
          <w:lang w:val="es-CR"/>
        </w:rPr>
        <w:tab/>
      </w:r>
      <w:r>
        <w:rPr>
          <w:rFonts w:ascii="Verdana" w:hAnsi="Verdana"/>
          <w:i/>
          <w:sz w:val="16"/>
          <w:szCs w:val="16"/>
        </w:rPr>
        <w:t xml:space="preserve">Cfr. </w:t>
      </w:r>
      <w:r w:rsidRPr="001E3DB9">
        <w:rPr>
          <w:rFonts w:ascii="Verdana" w:hAnsi="Verdana"/>
          <w:i/>
          <w:sz w:val="16"/>
          <w:szCs w:val="16"/>
        </w:rPr>
        <w:t>Caso "Instituto de Reeducación del Menor" Vs. Paraguay. Excepciones Preliminares, Fondo, Reparaciones y Costas</w:t>
      </w:r>
      <w:r w:rsidRPr="001E3DB9">
        <w:rPr>
          <w:rFonts w:ascii="Verdana" w:hAnsi="Verdana"/>
          <w:sz w:val="16"/>
          <w:szCs w:val="16"/>
        </w:rPr>
        <w:t>. Sentencia de 2 de septiembre de 2004. Serie C No. 112, párr. 223</w:t>
      </w:r>
      <w:r w:rsidRPr="001E3DB9">
        <w:rPr>
          <w:rFonts w:ascii="Verdana" w:hAnsi="Verdana"/>
          <w:sz w:val="16"/>
          <w:szCs w:val="16"/>
          <w:lang w:val="es-PE"/>
        </w:rPr>
        <w:t xml:space="preserve">, y </w:t>
      </w:r>
      <w:r w:rsidRPr="008B37EB">
        <w:rPr>
          <w:rFonts w:ascii="Verdana" w:hAnsi="Verdana"/>
          <w:i/>
          <w:sz w:val="16"/>
          <w:szCs w:val="16"/>
          <w:lang w:val="es-PE"/>
        </w:rPr>
        <w:t>Caso Amrhein y otros Vs. Costa Rica</w:t>
      </w:r>
      <w:r>
        <w:rPr>
          <w:rFonts w:ascii="Verdana" w:hAnsi="Verdana"/>
          <w:i/>
          <w:sz w:val="16"/>
          <w:szCs w:val="16"/>
          <w:lang w:val="es-PE"/>
        </w:rPr>
        <w:t>, supra</w:t>
      </w:r>
      <w:r>
        <w:rPr>
          <w:rFonts w:ascii="Verdana" w:hAnsi="Verdana"/>
          <w:sz w:val="16"/>
          <w:szCs w:val="16"/>
          <w:lang w:val="es-PE"/>
        </w:rPr>
        <w:t>, párr. 351</w:t>
      </w:r>
      <w:r w:rsidRPr="008C383C">
        <w:rPr>
          <w:rFonts w:ascii="Verdana" w:hAnsi="Verdana"/>
          <w:sz w:val="16"/>
          <w:szCs w:val="16"/>
          <w:lang w:val="es-PE"/>
        </w:rPr>
        <w:t>.</w:t>
      </w:r>
    </w:p>
  </w:footnote>
  <w:footnote w:id="179">
    <w:p w14:paraId="3D03385C" w14:textId="77777777" w:rsidR="00A52322" w:rsidRPr="00A922FC" w:rsidRDefault="00A52322" w:rsidP="003C3EE6">
      <w:pPr>
        <w:pStyle w:val="Textonotapie"/>
        <w:jc w:val="both"/>
        <w:rPr>
          <w:rFonts w:ascii="Verdana" w:hAnsi="Verdana"/>
          <w:sz w:val="16"/>
          <w:szCs w:val="16"/>
          <w:lang w:val="es-CR"/>
        </w:rPr>
      </w:pPr>
      <w:r w:rsidRPr="00A922FC">
        <w:rPr>
          <w:rStyle w:val="Refdenotaalpie"/>
          <w:rFonts w:ascii="Verdana" w:eastAsia="Verdana" w:hAnsi="Verdana" w:cs="Verdana"/>
          <w:sz w:val="16"/>
          <w:szCs w:val="16"/>
          <w:lang w:val="es-ES_tradnl"/>
        </w:rPr>
        <w:footnoteRef/>
      </w:r>
      <w:r w:rsidRPr="00A922FC">
        <w:rPr>
          <w:rFonts w:ascii="Verdana" w:hAnsi="Verdana"/>
          <w:sz w:val="16"/>
          <w:szCs w:val="16"/>
          <w:lang w:val="es-ES_tradnl"/>
        </w:rPr>
        <w:t xml:space="preserve"> </w:t>
      </w:r>
      <w:r w:rsidRPr="00A922FC">
        <w:rPr>
          <w:rFonts w:ascii="Verdana" w:eastAsia="Verdana" w:hAnsi="Verdana" w:cs="Verdana"/>
          <w:sz w:val="16"/>
          <w:szCs w:val="16"/>
          <w:lang w:val="es-ES_tradnl"/>
        </w:rPr>
        <w:tab/>
      </w:r>
      <w:r w:rsidRPr="00A922FC">
        <w:rPr>
          <w:rFonts w:ascii="Verdana" w:hAnsi="Verdana"/>
          <w:i/>
          <w:iCs/>
          <w:sz w:val="16"/>
          <w:szCs w:val="16"/>
          <w:lang w:val="es-ES_tradnl"/>
        </w:rPr>
        <w:t>Cfr. Caso Chaparro Álvarez y Lapo Iñiguez Vs. Ecuador</w:t>
      </w:r>
      <w:r w:rsidRPr="00A922FC">
        <w:rPr>
          <w:rFonts w:ascii="Verdana" w:hAnsi="Verdana"/>
          <w:i/>
          <w:iCs/>
          <w:sz w:val="16"/>
          <w:szCs w:val="16"/>
          <w:lang w:val="es-CR"/>
        </w:rPr>
        <w:t xml:space="preserve">. Excepciones Preliminares, Fondo, Reparaciones y Costas. </w:t>
      </w:r>
      <w:r w:rsidRPr="00A922FC">
        <w:rPr>
          <w:rFonts w:ascii="Verdana" w:hAnsi="Verdana"/>
          <w:sz w:val="16"/>
          <w:szCs w:val="16"/>
          <w:lang w:val="es-ES_tradnl"/>
        </w:rPr>
        <w:t xml:space="preserve">Sentencia de 21 de noviembre de 2007. Serie C No. 170, párr. 51, y </w:t>
      </w:r>
      <w:r w:rsidRPr="00A922FC">
        <w:rPr>
          <w:rFonts w:ascii="Verdana" w:hAnsi="Verdana"/>
          <w:i/>
          <w:iCs/>
          <w:sz w:val="16"/>
          <w:szCs w:val="16"/>
          <w:lang w:val="es-ES_tradnl"/>
        </w:rPr>
        <w:t>Caso Amrhein y otros Vs. Costa Rica</w:t>
      </w:r>
      <w:r>
        <w:rPr>
          <w:rFonts w:ascii="Verdana" w:hAnsi="Verdana"/>
          <w:i/>
          <w:iCs/>
          <w:sz w:val="16"/>
          <w:szCs w:val="16"/>
          <w:lang w:val="es-ES_tradnl"/>
        </w:rPr>
        <w:t>, supra</w:t>
      </w:r>
      <w:r w:rsidRPr="00A922FC">
        <w:rPr>
          <w:rFonts w:ascii="Verdana" w:hAnsi="Verdana"/>
          <w:sz w:val="16"/>
          <w:szCs w:val="16"/>
          <w:lang w:val="es-ES_tradnl"/>
        </w:rPr>
        <w:t>, párr. 35</w:t>
      </w:r>
      <w:r>
        <w:rPr>
          <w:rFonts w:ascii="Verdana" w:hAnsi="Verdana"/>
          <w:sz w:val="16"/>
          <w:szCs w:val="16"/>
          <w:lang w:val="es-ES_tradnl"/>
        </w:rPr>
        <w:t>2</w:t>
      </w:r>
      <w:r w:rsidRPr="00A922FC">
        <w:rPr>
          <w:rFonts w:ascii="Verdana" w:hAnsi="Verdana"/>
          <w:sz w:val="16"/>
          <w:szCs w:val="16"/>
          <w:lang w:val="es-ES_tradnl"/>
        </w:rPr>
        <w:t xml:space="preserve">. </w:t>
      </w:r>
    </w:p>
  </w:footnote>
  <w:footnote w:id="180">
    <w:p w14:paraId="3F95FCD6" w14:textId="77777777" w:rsidR="00A52322" w:rsidRPr="00A922FC" w:rsidRDefault="00A52322" w:rsidP="00537E2D">
      <w:pPr>
        <w:pStyle w:val="Textonotapie"/>
        <w:jc w:val="both"/>
        <w:rPr>
          <w:rFonts w:ascii="Verdana" w:hAnsi="Verdana"/>
          <w:sz w:val="16"/>
          <w:szCs w:val="16"/>
          <w:lang w:val="es-PE"/>
        </w:rPr>
      </w:pPr>
      <w:r w:rsidRPr="00A922FC">
        <w:rPr>
          <w:rStyle w:val="Refdenotaalpie"/>
          <w:rFonts w:ascii="Verdana" w:hAnsi="Verdana"/>
          <w:sz w:val="16"/>
          <w:szCs w:val="16"/>
        </w:rPr>
        <w:footnoteRef/>
      </w:r>
      <w:r w:rsidRPr="00A922FC">
        <w:rPr>
          <w:rFonts w:ascii="Verdana" w:hAnsi="Verdana"/>
          <w:sz w:val="16"/>
          <w:szCs w:val="16"/>
          <w:lang w:val="es-CR"/>
        </w:rPr>
        <w:t xml:space="preserve"> </w:t>
      </w:r>
      <w:r w:rsidRPr="00A922FC">
        <w:rPr>
          <w:rFonts w:ascii="Verdana" w:hAnsi="Verdana"/>
          <w:sz w:val="16"/>
          <w:szCs w:val="16"/>
          <w:lang w:val="es-CR"/>
        </w:rPr>
        <w:tab/>
      </w:r>
      <w:r w:rsidRPr="001E3DB9">
        <w:rPr>
          <w:rFonts w:ascii="Verdana" w:hAnsi="Verdana"/>
          <w:i/>
          <w:sz w:val="16"/>
          <w:szCs w:val="16"/>
        </w:rPr>
        <w:t>Cfr. Caso "Insti</w:t>
      </w:r>
      <w:r>
        <w:rPr>
          <w:rFonts w:ascii="Verdana" w:hAnsi="Verdana"/>
          <w:i/>
          <w:sz w:val="16"/>
          <w:szCs w:val="16"/>
        </w:rPr>
        <w:t>tuto de Reeducación del Menor" V</w:t>
      </w:r>
      <w:r w:rsidRPr="001E3DB9">
        <w:rPr>
          <w:rFonts w:ascii="Verdana" w:hAnsi="Verdana"/>
          <w:i/>
          <w:sz w:val="16"/>
          <w:szCs w:val="16"/>
        </w:rPr>
        <w:t>s. Paraguay</w:t>
      </w:r>
      <w:r>
        <w:rPr>
          <w:rFonts w:ascii="Verdana" w:hAnsi="Verdana"/>
          <w:i/>
          <w:sz w:val="16"/>
          <w:szCs w:val="16"/>
        </w:rPr>
        <w:t>, supra</w:t>
      </w:r>
      <w:r w:rsidRPr="001E3DB9">
        <w:rPr>
          <w:rFonts w:ascii="Verdana" w:hAnsi="Verdana"/>
          <w:sz w:val="16"/>
          <w:szCs w:val="16"/>
        </w:rPr>
        <w:t xml:space="preserve">, párr. 228, y </w:t>
      </w:r>
      <w:r>
        <w:rPr>
          <w:rFonts w:ascii="Verdana" w:hAnsi="Verdana"/>
          <w:i/>
          <w:sz w:val="16"/>
          <w:szCs w:val="16"/>
        </w:rPr>
        <w:t>Caso Norín Catrimán y o</w:t>
      </w:r>
      <w:r w:rsidRPr="001E3DB9">
        <w:rPr>
          <w:rFonts w:ascii="Verdana" w:hAnsi="Verdana"/>
          <w:i/>
          <w:sz w:val="16"/>
          <w:szCs w:val="16"/>
        </w:rPr>
        <w:t>tros. Fondo, Reparaciones y Costas.</w:t>
      </w:r>
      <w:r w:rsidRPr="001E3DB9">
        <w:rPr>
          <w:rFonts w:ascii="Verdana" w:hAnsi="Verdana"/>
          <w:sz w:val="16"/>
          <w:szCs w:val="16"/>
        </w:rPr>
        <w:t xml:space="preserve"> Sentencia de 29 de </w:t>
      </w:r>
      <w:r>
        <w:rPr>
          <w:rFonts w:ascii="Verdana" w:hAnsi="Verdana"/>
          <w:sz w:val="16"/>
          <w:szCs w:val="16"/>
        </w:rPr>
        <w:t>m</w:t>
      </w:r>
      <w:r w:rsidRPr="001E3DB9">
        <w:rPr>
          <w:rFonts w:ascii="Verdana" w:hAnsi="Verdana"/>
          <w:sz w:val="16"/>
          <w:szCs w:val="16"/>
        </w:rPr>
        <w:t>ayo de 2014. Serie C No. 279, párr. 310.</w:t>
      </w:r>
    </w:p>
  </w:footnote>
  <w:footnote w:id="181">
    <w:p w14:paraId="7811684B" w14:textId="7F1835C8" w:rsidR="00A52322" w:rsidRPr="00A922FC" w:rsidRDefault="00A52322" w:rsidP="006800B8">
      <w:pPr>
        <w:pStyle w:val="Textonotapie"/>
        <w:jc w:val="both"/>
        <w:rPr>
          <w:rFonts w:ascii="Verdana" w:hAnsi="Verdana"/>
          <w:sz w:val="16"/>
          <w:szCs w:val="16"/>
        </w:rPr>
      </w:pPr>
      <w:r w:rsidRPr="00A922FC">
        <w:rPr>
          <w:rStyle w:val="Refdenotaalpie"/>
          <w:rFonts w:ascii="Verdana" w:hAnsi="Verdana"/>
          <w:sz w:val="16"/>
          <w:szCs w:val="16"/>
        </w:rPr>
        <w:footnoteRef/>
      </w:r>
      <w:r w:rsidRPr="00A922FC">
        <w:rPr>
          <w:rFonts w:ascii="Verdana" w:hAnsi="Verdana"/>
          <w:sz w:val="16"/>
          <w:szCs w:val="16"/>
        </w:rPr>
        <w:t xml:space="preserve"> </w:t>
      </w:r>
      <w:r w:rsidRPr="00A922FC">
        <w:rPr>
          <w:rFonts w:ascii="Verdana" w:hAnsi="Verdana"/>
          <w:sz w:val="16"/>
          <w:szCs w:val="16"/>
        </w:rPr>
        <w:tab/>
      </w:r>
      <w:r w:rsidRPr="00A922FC">
        <w:rPr>
          <w:rFonts w:ascii="Verdana" w:eastAsia="Calibri" w:hAnsi="Verdana" w:cs="Calibri"/>
          <w:sz w:val="16"/>
          <w:szCs w:val="16"/>
        </w:rPr>
        <w:t>E</w:t>
      </w:r>
      <w:r w:rsidRPr="00A922FC">
        <w:rPr>
          <w:rFonts w:ascii="Verdana" w:eastAsia="Calibri" w:hAnsi="Verdana" w:cs="Calibri"/>
          <w:sz w:val="16"/>
          <w:szCs w:val="16"/>
          <w:lang w:val="es-CR"/>
        </w:rPr>
        <w:t xml:space="preserve">n reiteradas oportunidades la Corte solicitó al Estado la remisión de prueba </w:t>
      </w:r>
      <w:r>
        <w:rPr>
          <w:rFonts w:ascii="Verdana" w:eastAsia="Calibri" w:hAnsi="Verdana" w:cs="Calibri"/>
          <w:sz w:val="16"/>
          <w:szCs w:val="16"/>
          <w:lang w:val="es-CR"/>
        </w:rPr>
        <w:t xml:space="preserve">para </w:t>
      </w:r>
      <w:r w:rsidRPr="00A922FC">
        <w:rPr>
          <w:rFonts w:ascii="Verdana" w:eastAsia="Calibri" w:hAnsi="Verdana" w:cs="Calibri"/>
          <w:sz w:val="16"/>
          <w:szCs w:val="16"/>
          <w:lang w:val="es-CR"/>
        </w:rPr>
        <w:t>mejor resolver “</w:t>
      </w:r>
      <w:r w:rsidRPr="00A922FC">
        <w:rPr>
          <w:rFonts w:ascii="Verdana" w:hAnsi="Verdana"/>
          <w:sz w:val="16"/>
          <w:szCs w:val="16"/>
          <w:lang w:val="es-CR"/>
        </w:rPr>
        <w:t>documentos relacionados con la orden de detención [de la víctima] y todas las diligencias que se emitieron” al respecto no fueron presentados (</w:t>
      </w:r>
      <w:r w:rsidRPr="00A922FC">
        <w:rPr>
          <w:rFonts w:ascii="Verdana" w:hAnsi="Verdana"/>
          <w:i/>
          <w:sz w:val="16"/>
          <w:szCs w:val="16"/>
          <w:lang w:val="es-CR"/>
        </w:rPr>
        <w:t>supra</w:t>
      </w:r>
      <w:r w:rsidRPr="00A922FC">
        <w:rPr>
          <w:rFonts w:ascii="Verdana" w:hAnsi="Verdana"/>
          <w:sz w:val="16"/>
          <w:szCs w:val="16"/>
          <w:lang w:val="es-CR"/>
        </w:rPr>
        <w:t xml:space="preserve"> </w:t>
      </w:r>
      <w:r>
        <w:rPr>
          <w:rFonts w:ascii="Verdana" w:hAnsi="Verdana"/>
          <w:sz w:val="16"/>
          <w:szCs w:val="16"/>
          <w:lang w:val="es-CR"/>
        </w:rPr>
        <w:t>cita a pie de página 22</w:t>
      </w:r>
      <w:r w:rsidRPr="00A922FC">
        <w:rPr>
          <w:rFonts w:ascii="Verdana" w:hAnsi="Verdana"/>
          <w:sz w:val="16"/>
          <w:szCs w:val="16"/>
          <w:lang w:val="es-CR"/>
        </w:rPr>
        <w:t>).</w:t>
      </w:r>
    </w:p>
  </w:footnote>
  <w:footnote w:id="182">
    <w:p w14:paraId="4EDAFB2F" w14:textId="77777777" w:rsidR="00A52322" w:rsidRPr="00A922FC" w:rsidRDefault="00A52322" w:rsidP="006800B8">
      <w:pPr>
        <w:pStyle w:val="Textonotapie"/>
        <w:jc w:val="both"/>
        <w:rPr>
          <w:rFonts w:ascii="Verdana" w:hAnsi="Verdana"/>
          <w:sz w:val="16"/>
          <w:szCs w:val="16"/>
          <w:lang w:val="es-CR"/>
        </w:rPr>
      </w:pPr>
      <w:r w:rsidRPr="00A922FC">
        <w:rPr>
          <w:rStyle w:val="Refdenotaalpie"/>
          <w:rFonts w:ascii="Verdana" w:eastAsia="Verdana" w:hAnsi="Verdana" w:cs="Verdana"/>
          <w:sz w:val="16"/>
          <w:szCs w:val="16"/>
          <w:lang w:val="es-ES_tradnl"/>
        </w:rPr>
        <w:footnoteRef/>
      </w:r>
      <w:r w:rsidRPr="00A922FC">
        <w:rPr>
          <w:rFonts w:ascii="Verdana" w:hAnsi="Verdana"/>
          <w:sz w:val="16"/>
          <w:szCs w:val="16"/>
          <w:lang w:val="es-ES_tradnl"/>
        </w:rPr>
        <w:t xml:space="preserve"> </w:t>
      </w:r>
      <w:r w:rsidRPr="00A922FC">
        <w:rPr>
          <w:rFonts w:ascii="Verdana" w:eastAsia="Verdana" w:hAnsi="Verdana" w:cs="Verdana"/>
          <w:sz w:val="16"/>
          <w:szCs w:val="16"/>
          <w:lang w:val="es-ES_tradnl"/>
        </w:rPr>
        <w:tab/>
      </w:r>
      <w:r w:rsidRPr="00A922FC">
        <w:rPr>
          <w:rFonts w:ascii="Verdana" w:hAnsi="Verdana"/>
          <w:sz w:val="16"/>
          <w:szCs w:val="16"/>
          <w:lang w:val="es-CR"/>
        </w:rPr>
        <w:t xml:space="preserve">Para que se configure una violación a la Convención Americana es necesario que los actos u omisiones que produjeron dicha violación sean atribuibles al Estado demandado. Estos actos u omisiones pueden ser de cualquier poder u órgano del Estado, independientemente de su jerarquía. </w:t>
      </w:r>
      <w:r w:rsidRPr="00A922FC">
        <w:rPr>
          <w:rFonts w:ascii="Verdana" w:hAnsi="Verdana"/>
          <w:i/>
          <w:iCs/>
          <w:sz w:val="16"/>
          <w:szCs w:val="16"/>
          <w:lang w:val="es-ES_tradnl"/>
        </w:rPr>
        <w:t>Cfr. Caso Cantoral Huamaní y García Santa Cruz Vs. Perú. Excepción Preliminar, Fondo, Reparaciones y Costas.</w:t>
      </w:r>
      <w:r w:rsidRPr="00A922FC">
        <w:rPr>
          <w:rFonts w:ascii="Verdana" w:hAnsi="Verdana"/>
          <w:sz w:val="16"/>
          <w:szCs w:val="16"/>
          <w:lang w:val="es-ES_tradnl"/>
        </w:rPr>
        <w:t xml:space="preserve"> Sentencia de 10 de julio de 2007. Serie C No. 167, párr. 79, y C</w:t>
      </w:r>
      <w:r w:rsidRPr="00A922FC">
        <w:rPr>
          <w:rFonts w:ascii="Verdana" w:hAnsi="Verdana"/>
          <w:i/>
          <w:iCs/>
          <w:sz w:val="16"/>
          <w:szCs w:val="16"/>
          <w:lang w:val="es-ES_tradnl"/>
        </w:rPr>
        <w:t>aso Arrom Suhurt y otros Vs. Paraguay</w:t>
      </w:r>
      <w:r>
        <w:rPr>
          <w:rFonts w:ascii="Verdana" w:hAnsi="Verdana"/>
          <w:i/>
          <w:iCs/>
          <w:sz w:val="16"/>
          <w:szCs w:val="16"/>
          <w:lang w:val="es-ES_tradnl"/>
        </w:rPr>
        <w:t>, supra</w:t>
      </w:r>
      <w:r w:rsidRPr="00A922FC">
        <w:rPr>
          <w:rFonts w:ascii="Verdana" w:hAnsi="Verdana"/>
          <w:sz w:val="16"/>
          <w:szCs w:val="16"/>
          <w:lang w:val="es-ES_tradnl"/>
        </w:rPr>
        <w:t xml:space="preserve">, párr. 94. </w:t>
      </w:r>
    </w:p>
  </w:footnote>
  <w:footnote w:id="183">
    <w:p w14:paraId="3EF5CFE3" w14:textId="51F9F3A6" w:rsidR="00A52322" w:rsidRPr="00A922FC" w:rsidRDefault="00A52322" w:rsidP="002B5448">
      <w:pPr>
        <w:spacing w:after="0" w:line="240" w:lineRule="auto"/>
        <w:jc w:val="both"/>
        <w:rPr>
          <w:rFonts w:ascii="Verdana" w:hAnsi="Verdana"/>
          <w:sz w:val="16"/>
          <w:szCs w:val="16"/>
          <w:lang w:val="es-CR"/>
        </w:rPr>
      </w:pPr>
      <w:r w:rsidRPr="00052CDB">
        <w:rPr>
          <w:rFonts w:ascii="Verdana" w:hAnsi="Verdana"/>
          <w:sz w:val="16"/>
          <w:szCs w:val="16"/>
          <w:vertAlign w:val="superscript"/>
        </w:rPr>
        <w:footnoteRef/>
      </w:r>
      <w:r w:rsidRPr="00052CDB">
        <w:rPr>
          <w:rFonts w:ascii="Verdana" w:hAnsi="Verdana"/>
          <w:sz w:val="16"/>
          <w:szCs w:val="16"/>
          <w:vertAlign w:val="superscript"/>
        </w:rPr>
        <w:t xml:space="preserve"> </w:t>
      </w:r>
      <w:r w:rsidRPr="00052CDB">
        <w:rPr>
          <w:rFonts w:ascii="Verdana" w:hAnsi="Verdana"/>
          <w:sz w:val="16"/>
          <w:szCs w:val="16"/>
        </w:rPr>
        <w:tab/>
        <w:t xml:space="preserve">Cabe destacar que en dicha diligencia, el señor Valenzuela se abstuvo a declarar. </w:t>
      </w:r>
      <w:r w:rsidRPr="00112F00">
        <w:rPr>
          <w:rFonts w:ascii="Verdana" w:hAnsi="Verdana"/>
          <w:i/>
          <w:sz w:val="16"/>
          <w:szCs w:val="16"/>
        </w:rPr>
        <w:t>Cfr</w:t>
      </w:r>
      <w:r w:rsidRPr="00112F00">
        <w:rPr>
          <w:rFonts w:ascii="Verdana" w:hAnsi="Verdana"/>
          <w:sz w:val="16"/>
          <w:szCs w:val="16"/>
        </w:rPr>
        <w:t>. Informe del Estado de Guatemala a la Comisión Interamericana de Derechos Humanos</w:t>
      </w:r>
      <w:r>
        <w:rPr>
          <w:rFonts w:ascii="Verdana" w:hAnsi="Verdana"/>
          <w:sz w:val="16"/>
          <w:szCs w:val="16"/>
        </w:rPr>
        <w:t xml:space="preserve">, </w:t>
      </w:r>
      <w:r w:rsidRPr="00112F00">
        <w:rPr>
          <w:rFonts w:ascii="Verdana" w:hAnsi="Verdana"/>
          <w:i/>
          <w:sz w:val="16"/>
          <w:szCs w:val="16"/>
        </w:rPr>
        <w:t>supra</w:t>
      </w:r>
      <w:r>
        <w:rPr>
          <w:rFonts w:ascii="Verdana" w:hAnsi="Verdana"/>
          <w:i/>
          <w:sz w:val="16"/>
          <w:szCs w:val="16"/>
        </w:rPr>
        <w:t>.</w:t>
      </w:r>
      <w:r w:rsidRPr="00112F00">
        <w:rPr>
          <w:rFonts w:ascii="Verdana" w:hAnsi="Verdana"/>
          <w:sz w:val="16"/>
          <w:szCs w:val="16"/>
        </w:rPr>
        <w:t xml:space="preserve"> </w:t>
      </w:r>
    </w:p>
  </w:footnote>
  <w:footnote w:id="184">
    <w:p w14:paraId="773516D8" w14:textId="77777777" w:rsidR="00A52322" w:rsidRPr="00EB415C" w:rsidRDefault="00A52322">
      <w:pPr>
        <w:pStyle w:val="Textonotapie"/>
        <w:rPr>
          <w:rFonts w:ascii="Verdana" w:hAnsi="Verdana"/>
          <w:sz w:val="16"/>
          <w:szCs w:val="16"/>
        </w:rPr>
      </w:pPr>
      <w:r w:rsidRPr="00EB415C">
        <w:rPr>
          <w:rStyle w:val="Refdenotaalpie"/>
          <w:rFonts w:ascii="Verdana" w:hAnsi="Verdana"/>
          <w:sz w:val="16"/>
          <w:szCs w:val="16"/>
        </w:rPr>
        <w:footnoteRef/>
      </w:r>
      <w:r w:rsidRPr="00EB415C">
        <w:rPr>
          <w:rFonts w:ascii="Verdana" w:hAnsi="Verdana"/>
          <w:sz w:val="16"/>
          <w:szCs w:val="16"/>
        </w:rPr>
        <w:t xml:space="preserve"> </w:t>
      </w:r>
      <w:r w:rsidRPr="00EB415C">
        <w:rPr>
          <w:rFonts w:ascii="Verdana" w:hAnsi="Verdana"/>
          <w:sz w:val="16"/>
          <w:szCs w:val="16"/>
        </w:rPr>
        <w:tab/>
        <w:t>A</w:t>
      </w:r>
      <w:r w:rsidRPr="00EB415C">
        <w:rPr>
          <w:rFonts w:ascii="Verdana" w:hAnsi="Verdana"/>
          <w:sz w:val="16"/>
          <w:szCs w:val="16"/>
          <w:lang w:val="es-CR"/>
        </w:rPr>
        <w:t>rtículo 63 de la Convención Americana.</w:t>
      </w:r>
    </w:p>
  </w:footnote>
  <w:footnote w:id="185">
    <w:p w14:paraId="4ABA6570" w14:textId="77777777" w:rsidR="00A52322" w:rsidRPr="00A922FC" w:rsidRDefault="00A52322" w:rsidP="003C3EE6">
      <w:pPr>
        <w:pStyle w:val="Textonotapie"/>
        <w:jc w:val="both"/>
        <w:rPr>
          <w:rFonts w:ascii="Verdana" w:hAnsi="Verdana"/>
          <w:sz w:val="16"/>
          <w:szCs w:val="16"/>
          <w:lang w:val="es-PE"/>
        </w:rPr>
      </w:pPr>
      <w:r w:rsidRPr="00A922FC">
        <w:rPr>
          <w:rStyle w:val="Refdenotaalpie"/>
          <w:rFonts w:ascii="Verdana" w:hAnsi="Verdana"/>
          <w:sz w:val="16"/>
          <w:szCs w:val="16"/>
        </w:rPr>
        <w:footnoteRef/>
      </w:r>
      <w:r w:rsidRPr="00A922FC">
        <w:rPr>
          <w:rFonts w:ascii="Verdana" w:hAnsi="Verdana"/>
          <w:sz w:val="16"/>
          <w:szCs w:val="16"/>
          <w:lang w:val="es-PE"/>
        </w:rPr>
        <w:t xml:space="preserve"> </w:t>
      </w:r>
      <w:r w:rsidRPr="00A922FC">
        <w:rPr>
          <w:rFonts w:ascii="Verdana" w:hAnsi="Verdana"/>
          <w:sz w:val="16"/>
          <w:szCs w:val="16"/>
          <w:lang w:val="es-PE"/>
        </w:rPr>
        <w:tab/>
      </w:r>
      <w:r w:rsidRPr="001E3DB9">
        <w:rPr>
          <w:rFonts w:ascii="Verdana" w:hAnsi="Verdana"/>
          <w:i/>
          <w:sz w:val="16"/>
          <w:szCs w:val="16"/>
          <w:lang w:val="es-PE"/>
        </w:rPr>
        <w:t>Cfr. Caso Velásquez Rodríguez Vs. Honduras. Reparaciones y Costas</w:t>
      </w:r>
      <w:r w:rsidRPr="001E3DB9">
        <w:rPr>
          <w:rFonts w:ascii="Verdana" w:hAnsi="Verdana"/>
          <w:sz w:val="16"/>
          <w:szCs w:val="16"/>
          <w:lang w:val="es-PE"/>
        </w:rPr>
        <w:t xml:space="preserve">. Sentencia de 21 de julio de 1989. Serie C No. 7, párr. 25, y </w:t>
      </w:r>
      <w:r w:rsidRPr="005D0329">
        <w:rPr>
          <w:rFonts w:ascii="Verdana" w:hAnsi="Verdana"/>
          <w:i/>
          <w:sz w:val="16"/>
          <w:szCs w:val="16"/>
        </w:rPr>
        <w:t>Caso Gorigoitía Vs. Argentina</w:t>
      </w:r>
      <w:r>
        <w:rPr>
          <w:rFonts w:ascii="Verdana" w:hAnsi="Verdana"/>
          <w:i/>
          <w:sz w:val="16"/>
          <w:szCs w:val="16"/>
        </w:rPr>
        <w:t>, supra</w:t>
      </w:r>
      <w:r w:rsidRPr="005D0329">
        <w:rPr>
          <w:rFonts w:ascii="Verdana" w:hAnsi="Verdana"/>
          <w:sz w:val="16"/>
          <w:szCs w:val="16"/>
        </w:rPr>
        <w:t xml:space="preserve">, párr. 59. </w:t>
      </w:r>
    </w:p>
  </w:footnote>
  <w:footnote w:id="186">
    <w:p w14:paraId="7F14B120" w14:textId="77777777" w:rsidR="00A52322" w:rsidRPr="00A922FC" w:rsidRDefault="00A52322" w:rsidP="003C3EE6">
      <w:pPr>
        <w:pStyle w:val="Textonotapie"/>
        <w:jc w:val="both"/>
        <w:rPr>
          <w:rFonts w:ascii="Verdana" w:hAnsi="Verdana"/>
          <w:sz w:val="16"/>
          <w:szCs w:val="16"/>
          <w:lang w:val="es-PE"/>
        </w:rPr>
      </w:pPr>
      <w:r w:rsidRPr="00A922FC">
        <w:rPr>
          <w:rStyle w:val="Refdenotaalpie"/>
          <w:rFonts w:ascii="Verdana" w:hAnsi="Verdana"/>
          <w:sz w:val="16"/>
          <w:szCs w:val="16"/>
        </w:rPr>
        <w:footnoteRef/>
      </w:r>
      <w:r w:rsidRPr="00A922FC">
        <w:rPr>
          <w:rFonts w:ascii="Verdana" w:hAnsi="Verdana"/>
          <w:sz w:val="16"/>
          <w:szCs w:val="16"/>
          <w:lang w:val="es-PE"/>
        </w:rPr>
        <w:t xml:space="preserve"> </w:t>
      </w:r>
      <w:r w:rsidRPr="00A922FC">
        <w:rPr>
          <w:rFonts w:ascii="Verdana" w:hAnsi="Verdana"/>
          <w:sz w:val="16"/>
          <w:szCs w:val="16"/>
          <w:lang w:val="es-PE"/>
        </w:rPr>
        <w:tab/>
      </w:r>
      <w:r w:rsidRPr="001E3DB9">
        <w:rPr>
          <w:rFonts w:ascii="Verdana" w:hAnsi="Verdana"/>
          <w:i/>
          <w:sz w:val="16"/>
          <w:szCs w:val="16"/>
          <w:lang w:val="es-PE"/>
        </w:rPr>
        <w:t>Cfr. Caso Velásquez Rodríguez Vs. Honduras</w:t>
      </w:r>
      <w:r>
        <w:rPr>
          <w:rFonts w:ascii="Verdana" w:hAnsi="Verdana"/>
          <w:sz w:val="16"/>
          <w:szCs w:val="16"/>
          <w:lang w:val="es-PE"/>
        </w:rPr>
        <w:t xml:space="preserve">, </w:t>
      </w:r>
      <w:r w:rsidRPr="0060326C">
        <w:rPr>
          <w:rFonts w:ascii="Verdana" w:hAnsi="Verdana"/>
          <w:i/>
          <w:sz w:val="16"/>
          <w:szCs w:val="16"/>
          <w:lang w:val="es-PE"/>
        </w:rPr>
        <w:t>supra</w:t>
      </w:r>
      <w:r w:rsidRPr="001E3DB9">
        <w:rPr>
          <w:rFonts w:ascii="Verdana" w:hAnsi="Verdana"/>
          <w:sz w:val="16"/>
          <w:szCs w:val="16"/>
          <w:lang w:val="es-PE"/>
        </w:rPr>
        <w:t xml:space="preserve">, párr. 26, y </w:t>
      </w:r>
      <w:r w:rsidRPr="001E3DB9">
        <w:rPr>
          <w:rFonts w:ascii="Verdana" w:hAnsi="Verdana"/>
          <w:i/>
          <w:sz w:val="16"/>
          <w:szCs w:val="16"/>
        </w:rPr>
        <w:t>Caso Gorigoitía Vs. Argentina</w:t>
      </w:r>
      <w:r>
        <w:rPr>
          <w:rFonts w:ascii="Verdana" w:hAnsi="Verdana"/>
          <w:i/>
          <w:sz w:val="16"/>
          <w:szCs w:val="16"/>
        </w:rPr>
        <w:t>, supra</w:t>
      </w:r>
      <w:r w:rsidRPr="001E3DB9">
        <w:rPr>
          <w:rFonts w:ascii="Verdana" w:hAnsi="Verdana"/>
          <w:sz w:val="16"/>
          <w:szCs w:val="16"/>
        </w:rPr>
        <w:t>, párr. 60.</w:t>
      </w:r>
    </w:p>
  </w:footnote>
  <w:footnote w:id="187">
    <w:p w14:paraId="57DC12D5" w14:textId="77777777" w:rsidR="00A52322" w:rsidRPr="00A922FC" w:rsidRDefault="00A52322" w:rsidP="003C3EE6">
      <w:pPr>
        <w:pStyle w:val="Textonotapie"/>
        <w:jc w:val="both"/>
        <w:rPr>
          <w:rFonts w:ascii="Verdana" w:hAnsi="Verdana"/>
          <w:sz w:val="16"/>
          <w:szCs w:val="16"/>
          <w:lang w:val="es-PE"/>
        </w:rPr>
      </w:pPr>
      <w:r w:rsidRPr="00A922FC">
        <w:rPr>
          <w:rStyle w:val="Refdenotaalpie"/>
          <w:rFonts w:ascii="Verdana" w:hAnsi="Verdana"/>
          <w:sz w:val="16"/>
          <w:szCs w:val="16"/>
        </w:rPr>
        <w:footnoteRef/>
      </w:r>
      <w:r w:rsidRPr="00A922FC">
        <w:rPr>
          <w:rFonts w:ascii="Verdana" w:hAnsi="Verdana"/>
          <w:sz w:val="16"/>
          <w:szCs w:val="16"/>
          <w:lang w:val="es-PE"/>
        </w:rPr>
        <w:t xml:space="preserve"> </w:t>
      </w:r>
      <w:r w:rsidRPr="00A922FC">
        <w:rPr>
          <w:rFonts w:ascii="Verdana" w:hAnsi="Verdana"/>
          <w:sz w:val="16"/>
          <w:szCs w:val="16"/>
          <w:lang w:val="es-PE"/>
        </w:rPr>
        <w:tab/>
      </w:r>
      <w:r w:rsidRPr="001E3DB9">
        <w:rPr>
          <w:rFonts w:ascii="Verdana" w:hAnsi="Verdana"/>
          <w:i/>
          <w:sz w:val="16"/>
          <w:szCs w:val="16"/>
          <w:lang w:val="es-PE"/>
        </w:rPr>
        <w:t>Cfr. Caso Cantoral Benavides Vs. Perú. Reparaciones y Costas</w:t>
      </w:r>
      <w:r w:rsidRPr="001E3DB9">
        <w:rPr>
          <w:rFonts w:ascii="Verdana" w:hAnsi="Verdana"/>
          <w:sz w:val="16"/>
          <w:szCs w:val="16"/>
          <w:lang w:val="es-PE"/>
        </w:rPr>
        <w:t xml:space="preserve">. Sentencia de 3 de diciembre de 2001. Serie C No. 88, párrs. 79 a 81, y </w:t>
      </w:r>
      <w:r w:rsidRPr="001E3DB9">
        <w:rPr>
          <w:rFonts w:ascii="Verdana" w:hAnsi="Verdana"/>
          <w:i/>
          <w:sz w:val="16"/>
          <w:szCs w:val="16"/>
        </w:rPr>
        <w:t>Caso Gorigoitía Vs. Argentina</w:t>
      </w:r>
      <w:r>
        <w:rPr>
          <w:rFonts w:ascii="Verdana" w:hAnsi="Verdana"/>
          <w:i/>
          <w:sz w:val="16"/>
          <w:szCs w:val="16"/>
        </w:rPr>
        <w:t>, supra</w:t>
      </w:r>
      <w:r w:rsidRPr="001E3DB9">
        <w:rPr>
          <w:rFonts w:ascii="Verdana" w:hAnsi="Verdana"/>
          <w:sz w:val="16"/>
          <w:szCs w:val="16"/>
        </w:rPr>
        <w:t>, párr. 60</w:t>
      </w:r>
      <w:r>
        <w:rPr>
          <w:rFonts w:ascii="Verdana" w:hAnsi="Verdana"/>
          <w:sz w:val="16"/>
          <w:szCs w:val="16"/>
        </w:rPr>
        <w:t>.</w:t>
      </w:r>
    </w:p>
  </w:footnote>
  <w:footnote w:id="188">
    <w:p w14:paraId="30CB591C" w14:textId="382DFAFC" w:rsidR="00A52322" w:rsidRPr="00A922FC" w:rsidRDefault="00A52322" w:rsidP="003C3EE6">
      <w:pPr>
        <w:pStyle w:val="Textonotapie"/>
        <w:jc w:val="both"/>
        <w:rPr>
          <w:rFonts w:ascii="Verdana" w:hAnsi="Verdana"/>
          <w:sz w:val="16"/>
          <w:szCs w:val="16"/>
          <w:lang w:val="es-PE"/>
        </w:rPr>
      </w:pPr>
      <w:r w:rsidRPr="00A922FC">
        <w:rPr>
          <w:rStyle w:val="Refdenotaalpie"/>
          <w:rFonts w:ascii="Verdana" w:hAnsi="Verdana"/>
          <w:sz w:val="16"/>
          <w:szCs w:val="16"/>
        </w:rPr>
        <w:footnoteRef/>
      </w:r>
      <w:r w:rsidRPr="00A922FC">
        <w:rPr>
          <w:rFonts w:ascii="Verdana" w:hAnsi="Verdana"/>
          <w:sz w:val="16"/>
          <w:szCs w:val="16"/>
          <w:lang w:val="es-PE"/>
        </w:rPr>
        <w:t xml:space="preserve"> </w:t>
      </w:r>
      <w:r w:rsidRPr="00A922FC">
        <w:rPr>
          <w:rFonts w:ascii="Verdana" w:hAnsi="Verdana"/>
          <w:sz w:val="16"/>
          <w:szCs w:val="16"/>
          <w:lang w:val="es-PE"/>
        </w:rPr>
        <w:tab/>
      </w:r>
      <w:r w:rsidRPr="001E3DB9">
        <w:rPr>
          <w:rFonts w:ascii="Verdana" w:hAnsi="Verdana"/>
          <w:i/>
          <w:sz w:val="16"/>
          <w:szCs w:val="16"/>
          <w:lang w:val="es-PE"/>
        </w:rPr>
        <w:t>Cfr. Caso Ticona Estrada y otros Vs. Bolivia</w:t>
      </w:r>
      <w:r>
        <w:rPr>
          <w:rFonts w:ascii="Verdana" w:hAnsi="Verdana"/>
          <w:i/>
          <w:sz w:val="16"/>
          <w:szCs w:val="16"/>
          <w:lang w:val="es-PE"/>
        </w:rPr>
        <w:t xml:space="preserve">. Fondo, Reparaciones y Costas. </w:t>
      </w:r>
      <w:r w:rsidRPr="005A4456">
        <w:rPr>
          <w:rFonts w:ascii="Verdana" w:hAnsi="Verdana"/>
          <w:sz w:val="16"/>
          <w:szCs w:val="16"/>
          <w:lang w:val="es-PE"/>
        </w:rPr>
        <w:t>Sentencia de 27 de noviembre 2008. Serie No. 191</w:t>
      </w:r>
      <w:r>
        <w:rPr>
          <w:rFonts w:ascii="Verdana" w:hAnsi="Verdana"/>
          <w:i/>
          <w:sz w:val="16"/>
          <w:szCs w:val="16"/>
          <w:lang w:val="es-PE"/>
        </w:rPr>
        <w:t>,</w:t>
      </w:r>
      <w:r w:rsidRPr="001E3DB9">
        <w:rPr>
          <w:rFonts w:ascii="Verdana" w:hAnsi="Verdana"/>
          <w:sz w:val="16"/>
          <w:szCs w:val="16"/>
          <w:lang w:val="es-PE"/>
        </w:rPr>
        <w:t xml:space="preserve"> párr. 110, y </w:t>
      </w:r>
      <w:r w:rsidRPr="001E3DB9">
        <w:rPr>
          <w:rFonts w:ascii="Verdana" w:hAnsi="Verdana"/>
          <w:i/>
          <w:sz w:val="16"/>
          <w:szCs w:val="16"/>
        </w:rPr>
        <w:t>Caso Gorigoitía Vs. Argentina</w:t>
      </w:r>
      <w:r>
        <w:rPr>
          <w:rFonts w:ascii="Verdana" w:hAnsi="Verdana"/>
          <w:i/>
          <w:sz w:val="16"/>
          <w:szCs w:val="16"/>
        </w:rPr>
        <w:t>, supra</w:t>
      </w:r>
      <w:r w:rsidRPr="001E3DB9">
        <w:rPr>
          <w:rFonts w:ascii="Verdana" w:hAnsi="Verdana"/>
          <w:sz w:val="16"/>
          <w:szCs w:val="16"/>
        </w:rPr>
        <w:t>, párr. 61.</w:t>
      </w:r>
    </w:p>
  </w:footnote>
  <w:footnote w:id="189">
    <w:p w14:paraId="042657F3" w14:textId="77777777" w:rsidR="00A52322" w:rsidRPr="00A922FC" w:rsidRDefault="00A52322" w:rsidP="003C3EE6">
      <w:pPr>
        <w:pStyle w:val="Textonotapie"/>
        <w:jc w:val="both"/>
        <w:rPr>
          <w:rFonts w:ascii="Verdana" w:hAnsi="Verdana"/>
          <w:sz w:val="16"/>
          <w:szCs w:val="16"/>
          <w:lang w:val="es-PE"/>
        </w:rPr>
      </w:pPr>
      <w:r w:rsidRPr="009D0FD1">
        <w:rPr>
          <w:rStyle w:val="Refdenotaalpie"/>
          <w:rFonts w:ascii="Verdana" w:hAnsi="Verdana"/>
          <w:sz w:val="16"/>
          <w:szCs w:val="16"/>
        </w:rPr>
        <w:footnoteRef/>
      </w:r>
      <w:r w:rsidRPr="009D0FD1">
        <w:rPr>
          <w:rFonts w:ascii="Verdana" w:hAnsi="Verdana"/>
          <w:sz w:val="16"/>
          <w:szCs w:val="16"/>
          <w:lang w:val="es-PE"/>
        </w:rPr>
        <w:t xml:space="preserve">  </w:t>
      </w:r>
      <w:r w:rsidRPr="00A922FC">
        <w:rPr>
          <w:rFonts w:ascii="Verdana" w:hAnsi="Verdana"/>
          <w:i/>
          <w:sz w:val="16"/>
          <w:szCs w:val="16"/>
          <w:lang w:val="es-PE"/>
        </w:rPr>
        <w:t xml:space="preserve">     </w:t>
      </w:r>
      <w:r w:rsidRPr="001E3DB9">
        <w:rPr>
          <w:rFonts w:ascii="Verdana" w:hAnsi="Verdana"/>
          <w:i/>
          <w:sz w:val="16"/>
          <w:szCs w:val="16"/>
          <w:lang w:val="es-PE"/>
        </w:rPr>
        <w:t>Cfr. Caso Andrade Salmón Vs. Bolivia. Fondo, Reparaciones y Costas</w:t>
      </w:r>
      <w:r w:rsidRPr="001E3DB9">
        <w:rPr>
          <w:rFonts w:ascii="Verdana" w:hAnsi="Verdana"/>
          <w:sz w:val="16"/>
          <w:szCs w:val="16"/>
          <w:lang w:val="es-PE"/>
        </w:rPr>
        <w:t xml:space="preserve">. Sentencia de 1 de diciembre de 2016. Serie C No. 330, párr. 189, y </w:t>
      </w:r>
      <w:r w:rsidRPr="001E3DB9">
        <w:rPr>
          <w:rFonts w:ascii="Verdana" w:hAnsi="Verdana"/>
          <w:i/>
          <w:sz w:val="16"/>
          <w:szCs w:val="16"/>
        </w:rPr>
        <w:t>Caso Gorigoitía Vs. Argentina</w:t>
      </w:r>
      <w:r>
        <w:rPr>
          <w:rFonts w:ascii="Verdana" w:hAnsi="Verdana"/>
          <w:i/>
          <w:sz w:val="16"/>
          <w:szCs w:val="16"/>
        </w:rPr>
        <w:t>, supra</w:t>
      </w:r>
      <w:r w:rsidRPr="001E3DB9">
        <w:rPr>
          <w:rFonts w:ascii="Verdana" w:hAnsi="Verdana"/>
          <w:sz w:val="16"/>
          <w:szCs w:val="16"/>
        </w:rPr>
        <w:t>, párr. 62.</w:t>
      </w:r>
    </w:p>
  </w:footnote>
  <w:footnote w:id="190">
    <w:p w14:paraId="4E08B169" w14:textId="77777777" w:rsidR="00A52322" w:rsidRPr="00A2282C" w:rsidRDefault="00A52322" w:rsidP="005924A6">
      <w:pPr>
        <w:pStyle w:val="Textonotapie"/>
        <w:jc w:val="both"/>
        <w:rPr>
          <w:lang w:val="es-CR"/>
        </w:rPr>
      </w:pPr>
      <w:r>
        <w:rPr>
          <w:rStyle w:val="Refdenotaalpie"/>
        </w:rPr>
        <w:footnoteRef/>
      </w:r>
      <w:r>
        <w:t xml:space="preserve"> </w:t>
      </w:r>
      <w:r>
        <w:tab/>
      </w:r>
      <w:r w:rsidRPr="001E3DB9">
        <w:rPr>
          <w:rFonts w:ascii="Verdana" w:hAnsi="Verdana"/>
          <w:i/>
          <w:sz w:val="16"/>
          <w:szCs w:val="16"/>
          <w:lang w:val="es-PE"/>
        </w:rPr>
        <w:t>Cfr. Caso Neira Alegría y otros Vs. Perú. Reparaciones y Costas</w:t>
      </w:r>
      <w:r w:rsidRPr="001E3DB9">
        <w:rPr>
          <w:rFonts w:ascii="Verdana" w:hAnsi="Verdana"/>
          <w:sz w:val="16"/>
          <w:szCs w:val="16"/>
          <w:lang w:val="es-PE"/>
        </w:rPr>
        <w:t xml:space="preserve">. Sentencia de 19 de septiembre de 1996. Serie C No. 29, párr. 56, y </w:t>
      </w:r>
      <w:r w:rsidRPr="001E3DB9">
        <w:rPr>
          <w:rFonts w:ascii="Verdana" w:hAnsi="Verdana"/>
          <w:i/>
          <w:sz w:val="16"/>
          <w:szCs w:val="16"/>
        </w:rPr>
        <w:t>Caso Gorigoitía Vs. Argentina</w:t>
      </w:r>
      <w:r>
        <w:rPr>
          <w:rFonts w:ascii="Verdana" w:hAnsi="Verdana"/>
          <w:i/>
          <w:sz w:val="16"/>
          <w:szCs w:val="16"/>
        </w:rPr>
        <w:t>, supra</w:t>
      </w:r>
      <w:r w:rsidRPr="001E3DB9">
        <w:rPr>
          <w:rFonts w:ascii="Verdana" w:hAnsi="Verdana"/>
          <w:sz w:val="16"/>
          <w:szCs w:val="16"/>
        </w:rPr>
        <w:t>, párr. 63</w:t>
      </w:r>
      <w:r>
        <w:rPr>
          <w:rFonts w:ascii="Verdana" w:hAnsi="Verdana"/>
          <w:sz w:val="16"/>
          <w:szCs w:val="16"/>
        </w:rPr>
        <w:t>.</w:t>
      </w:r>
    </w:p>
  </w:footnote>
  <w:footnote w:id="191">
    <w:p w14:paraId="3E8AE276" w14:textId="0E5C7D2F" w:rsidR="00A52322" w:rsidRPr="00A922FC" w:rsidRDefault="00A52322" w:rsidP="00AE38E5">
      <w:pPr>
        <w:pStyle w:val="Textonotapie"/>
        <w:tabs>
          <w:tab w:val="left" w:pos="426"/>
          <w:tab w:val="left" w:pos="567"/>
        </w:tabs>
        <w:jc w:val="both"/>
        <w:rPr>
          <w:rFonts w:ascii="Verdana" w:hAnsi="Verdana"/>
          <w:b/>
          <w:sz w:val="16"/>
          <w:szCs w:val="16"/>
          <w:lang w:val="es-CR"/>
        </w:rPr>
      </w:pPr>
      <w:r w:rsidRPr="00A922FC">
        <w:rPr>
          <w:rStyle w:val="Refdenotaalpie"/>
          <w:rFonts w:ascii="Verdana" w:hAnsi="Verdana"/>
          <w:sz w:val="16"/>
          <w:szCs w:val="16"/>
        </w:rPr>
        <w:footnoteRef/>
      </w:r>
      <w:r w:rsidRPr="00A922FC">
        <w:rPr>
          <w:rFonts w:ascii="Verdana" w:hAnsi="Verdana"/>
          <w:sz w:val="16"/>
          <w:szCs w:val="16"/>
          <w:lang w:val="es-CR"/>
        </w:rPr>
        <w:t xml:space="preserve"> </w:t>
      </w:r>
      <w:r w:rsidRPr="00A922FC">
        <w:rPr>
          <w:rFonts w:ascii="Verdana" w:hAnsi="Verdana"/>
          <w:sz w:val="16"/>
          <w:szCs w:val="16"/>
          <w:lang w:val="es-CR"/>
        </w:rPr>
        <w:tab/>
      </w:r>
      <w:r w:rsidRPr="00A922FC">
        <w:rPr>
          <w:rFonts w:ascii="Verdana" w:hAnsi="Verdana"/>
          <w:sz w:val="16"/>
          <w:szCs w:val="16"/>
          <w:lang w:val="es-CR"/>
        </w:rPr>
        <w:tab/>
      </w:r>
      <w:r>
        <w:rPr>
          <w:rFonts w:ascii="Verdana" w:hAnsi="Verdana"/>
          <w:sz w:val="16"/>
          <w:szCs w:val="16"/>
          <w:lang w:val="es-CR"/>
        </w:rPr>
        <w:tab/>
      </w:r>
      <w:r w:rsidRPr="001E3DB9">
        <w:rPr>
          <w:rFonts w:ascii="Verdana" w:hAnsi="Verdana"/>
          <w:i/>
          <w:sz w:val="16"/>
          <w:szCs w:val="16"/>
          <w:lang w:val="es-CR"/>
        </w:rPr>
        <w:t xml:space="preserve">Cfr. </w:t>
      </w:r>
      <w:r w:rsidRPr="001E3DB9">
        <w:rPr>
          <w:rStyle w:val="Textoennegrita"/>
          <w:rFonts w:ascii="Verdana" w:hAnsi="Verdana"/>
          <w:b w:val="0"/>
          <w:i/>
          <w:sz w:val="16"/>
          <w:szCs w:val="16"/>
          <w:shd w:val="clear" w:color="auto" w:fill="FFFFFF"/>
          <w:lang w:val="es-CR"/>
        </w:rPr>
        <w:t>Caso Defensor de Derechos Humanos y otros Vs. Guatemala. Excepciones Preliminares, Fondo, Reparaciones y Costas.</w:t>
      </w:r>
      <w:r w:rsidRPr="001E3DB9">
        <w:rPr>
          <w:rStyle w:val="Textoennegrita"/>
          <w:rFonts w:ascii="Verdana" w:hAnsi="Verdana"/>
          <w:b w:val="0"/>
          <w:sz w:val="16"/>
          <w:szCs w:val="16"/>
          <w:shd w:val="clear" w:color="auto" w:fill="FFFFFF"/>
          <w:lang w:val="es-CR"/>
        </w:rPr>
        <w:t xml:space="preserve"> Sentencia de 28 de agosto de 2014. Serie C No. 283, párr. 252</w:t>
      </w:r>
      <w:r>
        <w:rPr>
          <w:rStyle w:val="Textoennegrita"/>
          <w:rFonts w:ascii="Verdana" w:hAnsi="Verdana"/>
          <w:b w:val="0"/>
          <w:sz w:val="16"/>
          <w:szCs w:val="16"/>
          <w:shd w:val="clear" w:color="auto" w:fill="FFFFFF"/>
          <w:lang w:val="es-CR"/>
        </w:rPr>
        <w:t xml:space="preserve">, y </w:t>
      </w:r>
      <w:r w:rsidRPr="00796BBA">
        <w:rPr>
          <w:rStyle w:val="Textoennegrita"/>
          <w:rFonts w:ascii="Verdana" w:hAnsi="Verdana"/>
          <w:b w:val="0"/>
          <w:i/>
          <w:sz w:val="16"/>
          <w:szCs w:val="16"/>
          <w:shd w:val="clear" w:color="auto" w:fill="FFFFFF"/>
          <w:lang w:val="es-CR"/>
        </w:rPr>
        <w:t>Caso Munárriz Escobar y otros Vs. Perú, supra</w:t>
      </w:r>
      <w:r w:rsidRPr="00E43529">
        <w:rPr>
          <w:rStyle w:val="Textoennegrita"/>
          <w:rFonts w:ascii="Verdana" w:hAnsi="Verdana"/>
          <w:b w:val="0"/>
          <w:sz w:val="16"/>
          <w:szCs w:val="16"/>
          <w:shd w:val="clear" w:color="auto" w:fill="FFFFFF"/>
          <w:lang w:val="es-CR"/>
        </w:rPr>
        <w:t>, párr. 122.</w:t>
      </w:r>
      <w:r w:rsidRPr="00E43529" w:rsidDel="00E43529">
        <w:rPr>
          <w:rStyle w:val="Textoennegrita"/>
          <w:rFonts w:ascii="Verdana" w:hAnsi="Verdana"/>
          <w:b w:val="0"/>
          <w:sz w:val="16"/>
          <w:szCs w:val="16"/>
          <w:shd w:val="clear" w:color="auto" w:fill="FFFFFF"/>
          <w:lang w:val="es-CR"/>
        </w:rPr>
        <w:t xml:space="preserve"> </w:t>
      </w:r>
    </w:p>
  </w:footnote>
  <w:footnote w:id="192">
    <w:p w14:paraId="711E901F" w14:textId="77777777" w:rsidR="00A52322" w:rsidRPr="00902B12" w:rsidRDefault="00A52322" w:rsidP="00AE38E5">
      <w:pPr>
        <w:pStyle w:val="Textonotapie"/>
        <w:tabs>
          <w:tab w:val="left" w:pos="426"/>
          <w:tab w:val="left" w:pos="567"/>
        </w:tabs>
        <w:jc w:val="both"/>
        <w:rPr>
          <w:rFonts w:ascii="Verdana" w:hAnsi="Verdana"/>
          <w:i/>
          <w:sz w:val="16"/>
          <w:szCs w:val="16"/>
          <w:lang w:val="es-CR"/>
        </w:rPr>
      </w:pPr>
      <w:r w:rsidRPr="00A922FC">
        <w:rPr>
          <w:rStyle w:val="Refdenotaalpie"/>
          <w:rFonts w:ascii="Verdana" w:hAnsi="Verdana"/>
          <w:sz w:val="16"/>
          <w:szCs w:val="16"/>
        </w:rPr>
        <w:footnoteRef/>
      </w:r>
      <w:r w:rsidRPr="00A922FC">
        <w:rPr>
          <w:rFonts w:ascii="Verdana" w:hAnsi="Verdana"/>
          <w:sz w:val="16"/>
          <w:szCs w:val="16"/>
          <w:lang w:val="es-CR"/>
        </w:rPr>
        <w:t xml:space="preserve"> </w:t>
      </w:r>
      <w:r w:rsidRPr="00A922FC">
        <w:rPr>
          <w:rFonts w:ascii="Verdana" w:hAnsi="Verdana"/>
          <w:sz w:val="16"/>
          <w:szCs w:val="16"/>
          <w:lang w:val="es-CR"/>
        </w:rPr>
        <w:tab/>
      </w:r>
      <w:r w:rsidRPr="00A922FC">
        <w:rPr>
          <w:rFonts w:ascii="Verdana" w:hAnsi="Verdana"/>
          <w:sz w:val="16"/>
          <w:szCs w:val="16"/>
          <w:lang w:val="es-CR"/>
        </w:rPr>
        <w:tab/>
      </w:r>
      <w:r>
        <w:rPr>
          <w:rFonts w:ascii="Verdana" w:hAnsi="Verdana"/>
          <w:i/>
          <w:sz w:val="16"/>
          <w:szCs w:val="16"/>
          <w:lang w:val="es-CR"/>
        </w:rPr>
        <w:tab/>
      </w:r>
      <w:r w:rsidRPr="001E3DB9">
        <w:rPr>
          <w:rFonts w:ascii="Verdana" w:hAnsi="Verdana"/>
          <w:i/>
          <w:sz w:val="16"/>
          <w:szCs w:val="16"/>
          <w:lang w:val="es-CR"/>
        </w:rPr>
        <w:t xml:space="preserve">Cfr. </w:t>
      </w:r>
      <w:r w:rsidRPr="001E3DB9">
        <w:rPr>
          <w:rStyle w:val="Textoennegrita"/>
          <w:rFonts w:ascii="Verdana" w:hAnsi="Verdana"/>
          <w:b w:val="0"/>
          <w:i/>
          <w:sz w:val="16"/>
          <w:szCs w:val="16"/>
          <w:shd w:val="clear" w:color="auto" w:fill="FFFFFF"/>
          <w:lang w:val="es-CR"/>
        </w:rPr>
        <w:t>Caso Defensor de Derechos Humanos y otros Vs. Guatemala</w:t>
      </w:r>
      <w:r>
        <w:rPr>
          <w:rStyle w:val="Textoennegrita"/>
          <w:rFonts w:ascii="Verdana" w:hAnsi="Verdana"/>
          <w:b w:val="0"/>
          <w:i/>
          <w:sz w:val="16"/>
          <w:szCs w:val="16"/>
          <w:shd w:val="clear" w:color="auto" w:fill="FFFFFF"/>
          <w:lang w:val="es-CR"/>
        </w:rPr>
        <w:t>, supra</w:t>
      </w:r>
      <w:r w:rsidRPr="001E3DB9">
        <w:rPr>
          <w:rStyle w:val="Textoennegrita"/>
          <w:rFonts w:ascii="Verdana" w:hAnsi="Verdana"/>
          <w:b w:val="0"/>
          <w:sz w:val="16"/>
          <w:szCs w:val="16"/>
          <w:shd w:val="clear" w:color="auto" w:fill="FFFFFF"/>
          <w:lang w:val="es-CR"/>
        </w:rPr>
        <w:t>, párr. 252</w:t>
      </w:r>
      <w:r>
        <w:rPr>
          <w:rStyle w:val="Textoennegrita"/>
          <w:rFonts w:ascii="Verdana" w:hAnsi="Verdana"/>
          <w:b w:val="0"/>
          <w:sz w:val="16"/>
          <w:szCs w:val="16"/>
          <w:shd w:val="clear" w:color="auto" w:fill="FFFFFF"/>
          <w:lang w:val="es-CR"/>
        </w:rPr>
        <w:t>, y</w:t>
      </w:r>
      <w:r w:rsidRPr="001E3DB9">
        <w:rPr>
          <w:rStyle w:val="Textoennegrita"/>
          <w:rFonts w:ascii="Verdana" w:hAnsi="Verdana"/>
          <w:b w:val="0"/>
          <w:sz w:val="16"/>
          <w:szCs w:val="16"/>
          <w:shd w:val="clear" w:color="auto" w:fill="FFFFFF"/>
          <w:lang w:val="es-CR"/>
        </w:rPr>
        <w:t xml:space="preserve"> </w:t>
      </w:r>
      <w:r w:rsidRPr="001E3DB9">
        <w:rPr>
          <w:rStyle w:val="Textoennegrita"/>
          <w:rFonts w:ascii="Verdana" w:hAnsi="Verdana"/>
          <w:b w:val="0"/>
          <w:i/>
          <w:sz w:val="16"/>
          <w:szCs w:val="16"/>
          <w:shd w:val="clear" w:color="auto" w:fill="FFFFFF"/>
          <w:lang w:val="es-CR"/>
        </w:rPr>
        <w:t xml:space="preserve">Caso </w:t>
      </w:r>
      <w:r>
        <w:rPr>
          <w:rFonts w:ascii="Verdana" w:hAnsi="Verdana"/>
          <w:i/>
          <w:iCs/>
          <w:spacing w:val="-4"/>
          <w:sz w:val="16"/>
          <w:szCs w:val="16"/>
          <w:lang w:val="es-CO"/>
        </w:rPr>
        <w:t>Omera Carrascal, supra</w:t>
      </w:r>
      <w:r w:rsidRPr="00A2282C">
        <w:rPr>
          <w:rFonts w:ascii="Verdana" w:hAnsi="Verdana"/>
          <w:iCs/>
          <w:spacing w:val="-4"/>
          <w:sz w:val="16"/>
          <w:szCs w:val="16"/>
          <w:lang w:val="es-CO"/>
        </w:rPr>
        <w:t>, párr. 293</w:t>
      </w:r>
      <w:r>
        <w:rPr>
          <w:rStyle w:val="Textoennegrita"/>
          <w:rFonts w:ascii="Verdana" w:hAnsi="Verdana"/>
          <w:b w:val="0"/>
          <w:sz w:val="16"/>
          <w:szCs w:val="16"/>
          <w:shd w:val="clear" w:color="auto" w:fill="FFFFFF"/>
          <w:lang w:val="es-CR"/>
        </w:rPr>
        <w:t>.</w:t>
      </w:r>
    </w:p>
  </w:footnote>
  <w:footnote w:id="193">
    <w:p w14:paraId="3C8BEB80" w14:textId="072FD6F9" w:rsidR="00A52322" w:rsidRPr="00A922FC" w:rsidRDefault="00A52322" w:rsidP="002A1142">
      <w:pPr>
        <w:pStyle w:val="Textonotapie"/>
        <w:tabs>
          <w:tab w:val="left" w:pos="567"/>
        </w:tabs>
        <w:jc w:val="both"/>
        <w:rPr>
          <w:rFonts w:ascii="Verdana" w:hAnsi="Verdana"/>
          <w:spacing w:val="-4"/>
          <w:sz w:val="16"/>
          <w:szCs w:val="16"/>
        </w:rPr>
      </w:pPr>
      <w:r w:rsidRPr="00A922FC">
        <w:rPr>
          <w:rStyle w:val="Refdenotaalpie"/>
          <w:rFonts w:ascii="Verdana" w:eastAsia="Calibri" w:hAnsi="Verdana"/>
          <w:spacing w:val="-4"/>
          <w:sz w:val="16"/>
          <w:szCs w:val="16"/>
        </w:rPr>
        <w:footnoteRef/>
      </w:r>
      <w:r w:rsidRPr="00AB0B7D">
        <w:rPr>
          <w:rFonts w:ascii="Verdana" w:hAnsi="Verdana"/>
          <w:spacing w:val="-4"/>
          <w:sz w:val="16"/>
          <w:szCs w:val="16"/>
          <w:lang w:val="es-ES"/>
        </w:rPr>
        <w:tab/>
      </w:r>
      <w:r w:rsidRPr="00AB0B7D">
        <w:rPr>
          <w:rFonts w:ascii="Verdana" w:hAnsi="Verdana"/>
          <w:spacing w:val="-4"/>
          <w:sz w:val="16"/>
          <w:szCs w:val="16"/>
          <w:lang w:val="es-ES"/>
        </w:rPr>
        <w:tab/>
      </w:r>
      <w:r w:rsidRPr="00AB0B7D">
        <w:rPr>
          <w:rFonts w:ascii="Verdana" w:hAnsi="Verdana"/>
          <w:i/>
          <w:iCs/>
          <w:spacing w:val="-4"/>
          <w:sz w:val="16"/>
          <w:szCs w:val="16"/>
          <w:lang w:val="es-ES"/>
        </w:rPr>
        <w:t xml:space="preserve">Cfr. </w:t>
      </w:r>
      <w:r w:rsidRPr="001E3DB9">
        <w:rPr>
          <w:rFonts w:ascii="Verdana" w:hAnsi="Verdana"/>
          <w:i/>
          <w:iCs/>
          <w:spacing w:val="-4"/>
          <w:sz w:val="16"/>
          <w:szCs w:val="16"/>
          <w:lang w:val="es-CR"/>
        </w:rPr>
        <w:t>Caso De la Masacre de las Dos Erres Vs. Guatemala</w:t>
      </w:r>
      <w:r>
        <w:rPr>
          <w:rFonts w:ascii="Verdana" w:hAnsi="Verdana"/>
          <w:i/>
          <w:iCs/>
          <w:spacing w:val="-4"/>
          <w:sz w:val="16"/>
          <w:szCs w:val="16"/>
          <w:lang w:val="es-CR"/>
        </w:rPr>
        <w:t xml:space="preserve">. Excepción Preliminar, Fondo, Reparaciones y Costas. </w:t>
      </w:r>
      <w:r w:rsidRPr="00C8036F">
        <w:rPr>
          <w:rFonts w:ascii="Verdana" w:hAnsi="Verdana"/>
          <w:spacing w:val="-4"/>
          <w:sz w:val="16"/>
          <w:szCs w:val="16"/>
          <w:lang w:val="es-CR"/>
        </w:rPr>
        <w:t>Sentencia de 24 de noviembre de 2009. Serie C No. 211,</w:t>
      </w:r>
      <w:r w:rsidRPr="001E3DB9">
        <w:rPr>
          <w:rFonts w:ascii="Verdana" w:hAnsi="Verdana"/>
          <w:i/>
          <w:iCs/>
          <w:spacing w:val="-4"/>
          <w:sz w:val="16"/>
          <w:szCs w:val="16"/>
          <w:lang w:val="es-CR"/>
        </w:rPr>
        <w:t xml:space="preserve"> </w:t>
      </w:r>
      <w:r w:rsidRPr="001E3DB9">
        <w:rPr>
          <w:rFonts w:ascii="Verdana" w:hAnsi="Verdana"/>
          <w:iCs/>
          <w:spacing w:val="-4"/>
          <w:sz w:val="16"/>
          <w:szCs w:val="16"/>
          <w:lang w:val="es-CO"/>
        </w:rPr>
        <w:t>párr.</w:t>
      </w:r>
      <w:r w:rsidRPr="001E3DB9">
        <w:rPr>
          <w:rFonts w:ascii="Verdana" w:hAnsi="Verdana"/>
          <w:iCs/>
          <w:spacing w:val="-4"/>
          <w:sz w:val="16"/>
          <w:szCs w:val="16"/>
          <w:lang w:val="es-CR"/>
        </w:rPr>
        <w:t xml:space="preserve"> 23</w:t>
      </w:r>
      <w:r>
        <w:rPr>
          <w:rFonts w:ascii="Verdana" w:hAnsi="Verdana"/>
          <w:iCs/>
          <w:spacing w:val="-4"/>
          <w:sz w:val="16"/>
          <w:szCs w:val="16"/>
          <w:lang w:val="es-CR"/>
        </w:rPr>
        <w:t>3,</w:t>
      </w:r>
      <w:r w:rsidRPr="001E3DB9">
        <w:rPr>
          <w:rFonts w:ascii="Verdana" w:hAnsi="Verdana"/>
          <w:iCs/>
          <w:spacing w:val="-4"/>
          <w:sz w:val="16"/>
          <w:szCs w:val="16"/>
          <w:lang w:val="es-CR"/>
        </w:rPr>
        <w:t xml:space="preserve"> y</w:t>
      </w:r>
      <w:r w:rsidRPr="001E3DB9">
        <w:rPr>
          <w:rFonts w:ascii="Verdana" w:hAnsi="Verdana"/>
          <w:i/>
          <w:iCs/>
          <w:spacing w:val="-4"/>
          <w:sz w:val="16"/>
          <w:szCs w:val="16"/>
          <w:lang w:val="es-CR"/>
        </w:rPr>
        <w:t xml:space="preserve"> </w:t>
      </w:r>
      <w:r w:rsidRPr="001E3DB9">
        <w:rPr>
          <w:rFonts w:ascii="Verdana" w:hAnsi="Verdana"/>
          <w:i/>
          <w:iCs/>
          <w:spacing w:val="-4"/>
          <w:sz w:val="16"/>
          <w:szCs w:val="16"/>
          <w:lang w:val="es-CO"/>
        </w:rPr>
        <w:t>Caso</w:t>
      </w:r>
      <w:r>
        <w:rPr>
          <w:rFonts w:ascii="Verdana" w:hAnsi="Verdana"/>
          <w:i/>
          <w:iCs/>
          <w:spacing w:val="-4"/>
          <w:sz w:val="16"/>
          <w:szCs w:val="16"/>
          <w:lang w:val="es-CO"/>
        </w:rPr>
        <w:t xml:space="preserve"> Omeara Carrascal y otros Vs. Colombia, supra</w:t>
      </w:r>
      <w:r w:rsidRPr="00A2282C">
        <w:rPr>
          <w:rFonts w:ascii="Verdana" w:hAnsi="Verdana"/>
          <w:iCs/>
          <w:spacing w:val="-4"/>
          <w:sz w:val="16"/>
          <w:szCs w:val="16"/>
          <w:lang w:val="es-CO"/>
        </w:rPr>
        <w:t>, párr. 293.</w:t>
      </w:r>
    </w:p>
  </w:footnote>
  <w:footnote w:id="194">
    <w:p w14:paraId="0CEE45EC" w14:textId="349EAF62" w:rsidR="00A52322" w:rsidRPr="00A922FC" w:rsidRDefault="00A52322" w:rsidP="002F63BA">
      <w:pPr>
        <w:tabs>
          <w:tab w:val="left" w:pos="567"/>
        </w:tabs>
        <w:spacing w:after="0" w:line="240" w:lineRule="auto"/>
        <w:jc w:val="both"/>
        <w:rPr>
          <w:rFonts w:ascii="Verdana" w:hAnsi="Verdana"/>
          <w:spacing w:val="-4"/>
          <w:sz w:val="16"/>
          <w:szCs w:val="16"/>
        </w:rPr>
      </w:pPr>
      <w:r w:rsidRPr="00A922FC">
        <w:rPr>
          <w:rStyle w:val="Refdenotaalpie"/>
          <w:rFonts w:ascii="Verdana" w:hAnsi="Verdana"/>
          <w:spacing w:val="-4"/>
          <w:sz w:val="16"/>
          <w:szCs w:val="16"/>
        </w:rPr>
        <w:footnoteRef/>
      </w:r>
      <w:r w:rsidRPr="00A922FC">
        <w:rPr>
          <w:rFonts w:ascii="Verdana" w:hAnsi="Verdana"/>
          <w:spacing w:val="-4"/>
          <w:sz w:val="16"/>
          <w:szCs w:val="16"/>
        </w:rPr>
        <w:t xml:space="preserve"> </w:t>
      </w:r>
      <w:r w:rsidRPr="00A922FC">
        <w:rPr>
          <w:rFonts w:ascii="Verdana" w:hAnsi="Verdana"/>
          <w:spacing w:val="-4"/>
          <w:sz w:val="16"/>
          <w:szCs w:val="16"/>
        </w:rPr>
        <w:tab/>
      </w:r>
      <w:r w:rsidRPr="00796BBA">
        <w:rPr>
          <w:rFonts w:ascii="Verdana" w:hAnsi="Verdana"/>
          <w:i/>
          <w:sz w:val="16"/>
          <w:szCs w:val="16"/>
        </w:rPr>
        <w:t xml:space="preserve">Cfr. Caso Del Caracazo Vs. Venezuela. Reparaciones y Costas. </w:t>
      </w:r>
      <w:r w:rsidRPr="00796BBA">
        <w:rPr>
          <w:rFonts w:ascii="Verdana" w:hAnsi="Verdana"/>
          <w:sz w:val="16"/>
          <w:szCs w:val="16"/>
        </w:rPr>
        <w:t>Sentencia de 29 de agosto de 2002. Serie C No. 95, párr. 118</w:t>
      </w:r>
      <w:r w:rsidRPr="00A827C2" w:rsidDel="00A827C2">
        <w:rPr>
          <w:rFonts w:ascii="Verdana" w:hAnsi="Verdana"/>
          <w:i/>
          <w:iCs/>
          <w:spacing w:val="-4"/>
          <w:sz w:val="16"/>
          <w:szCs w:val="16"/>
        </w:rPr>
        <w:t xml:space="preserve"> </w:t>
      </w:r>
      <w:r>
        <w:rPr>
          <w:rFonts w:ascii="Verdana" w:eastAsia="Times New Roman" w:hAnsi="Verdana" w:cs="Times New Roman"/>
          <w:sz w:val="16"/>
          <w:szCs w:val="16"/>
          <w:lang w:eastAsia="zh-CN"/>
        </w:rPr>
        <w:t>,</w:t>
      </w:r>
      <w:r w:rsidRPr="00C8036F">
        <w:rPr>
          <w:rFonts w:ascii="Verdana" w:eastAsia="Times New Roman" w:hAnsi="Verdana" w:cs="Times New Roman"/>
          <w:sz w:val="16"/>
          <w:szCs w:val="16"/>
          <w:lang w:eastAsia="zh-CN"/>
        </w:rPr>
        <w:t xml:space="preserve"> y </w:t>
      </w:r>
      <w:r w:rsidRPr="00C8036F">
        <w:rPr>
          <w:rFonts w:ascii="Verdana" w:hAnsi="Verdana"/>
          <w:i/>
          <w:iCs/>
          <w:spacing w:val="-4"/>
          <w:sz w:val="16"/>
          <w:szCs w:val="16"/>
          <w:lang w:val="es-CO"/>
        </w:rPr>
        <w:t>Caso</w:t>
      </w:r>
      <w:r w:rsidRPr="00C8036F">
        <w:rPr>
          <w:rFonts w:ascii="Verdana" w:hAnsi="Verdana"/>
          <w:iCs/>
          <w:spacing w:val="-4"/>
          <w:sz w:val="16"/>
          <w:szCs w:val="16"/>
          <w:lang w:val="es-CO"/>
        </w:rPr>
        <w:t xml:space="preserve"> </w:t>
      </w:r>
      <w:r>
        <w:rPr>
          <w:rFonts w:ascii="Verdana" w:hAnsi="Verdana"/>
          <w:i/>
          <w:iCs/>
          <w:spacing w:val="-4"/>
          <w:sz w:val="16"/>
          <w:szCs w:val="16"/>
          <w:lang w:val="es-CO"/>
        </w:rPr>
        <w:t xml:space="preserve">Mujeres Víctimas de Tortura Sexual en Atenco Vs. México, supra, </w:t>
      </w:r>
      <w:r>
        <w:rPr>
          <w:rFonts w:ascii="Verdana" w:hAnsi="Verdana"/>
          <w:iCs/>
          <w:spacing w:val="-4"/>
          <w:sz w:val="16"/>
          <w:szCs w:val="16"/>
        </w:rPr>
        <w:t>párr. 339.</w:t>
      </w:r>
      <w:r w:rsidRPr="00A922FC">
        <w:rPr>
          <w:rFonts w:ascii="Verdana" w:hAnsi="Verdana"/>
          <w:iCs/>
          <w:spacing w:val="-4"/>
          <w:sz w:val="16"/>
          <w:szCs w:val="16"/>
        </w:rPr>
        <w:t xml:space="preserve"> </w:t>
      </w:r>
    </w:p>
  </w:footnote>
  <w:footnote w:id="195">
    <w:p w14:paraId="602ADE97" w14:textId="31EAFCFE" w:rsidR="00A52322" w:rsidRPr="00A2282C" w:rsidRDefault="00A52322" w:rsidP="00ED2B13">
      <w:pPr>
        <w:pStyle w:val="Textonotapie"/>
        <w:jc w:val="both"/>
        <w:rPr>
          <w:rFonts w:ascii="Verdana" w:hAnsi="Verdana"/>
          <w:i/>
          <w:iCs/>
          <w:sz w:val="16"/>
          <w:szCs w:val="16"/>
          <w:lang w:val="es-CR"/>
        </w:rPr>
      </w:pPr>
      <w:r w:rsidRPr="00A922FC">
        <w:rPr>
          <w:rStyle w:val="Refdenotaalpie"/>
          <w:rFonts w:ascii="Verdana" w:eastAsia="Verdana" w:hAnsi="Verdana" w:cs="Verdana"/>
          <w:sz w:val="16"/>
          <w:szCs w:val="16"/>
          <w:lang w:val="es-ES_tradnl"/>
        </w:rPr>
        <w:footnoteRef/>
      </w:r>
      <w:r w:rsidRPr="00A922FC">
        <w:rPr>
          <w:rFonts w:ascii="Verdana" w:eastAsia="Verdana" w:hAnsi="Verdana" w:cs="Verdana"/>
          <w:sz w:val="16"/>
          <w:szCs w:val="16"/>
          <w:lang w:val="es-ES_tradnl"/>
        </w:rPr>
        <w:tab/>
      </w:r>
      <w:r w:rsidRPr="00ED2B13">
        <w:rPr>
          <w:rFonts w:ascii="Verdana" w:hAnsi="Verdana"/>
          <w:i/>
          <w:iCs/>
          <w:sz w:val="16"/>
          <w:szCs w:val="16"/>
          <w:lang w:val="es-CR"/>
        </w:rPr>
        <w:t xml:space="preserve">Cfr. </w:t>
      </w:r>
      <w:r w:rsidRPr="004E2321">
        <w:rPr>
          <w:rFonts w:ascii="Verdana" w:hAnsi="Verdana"/>
          <w:i/>
          <w:iCs/>
          <w:sz w:val="16"/>
          <w:szCs w:val="16"/>
          <w:lang w:val="es-CR"/>
        </w:rPr>
        <w:t>Caso J. Vs. Perú. Excepción Preliminar, Fondo, Reparaciones y Costas.</w:t>
      </w:r>
      <w:r>
        <w:rPr>
          <w:rFonts w:ascii="Verdana" w:hAnsi="Verdana"/>
          <w:i/>
          <w:iCs/>
          <w:sz w:val="16"/>
          <w:szCs w:val="16"/>
          <w:lang w:val="es-CR"/>
        </w:rPr>
        <w:t xml:space="preserve"> </w:t>
      </w:r>
      <w:r w:rsidRPr="00796BBA">
        <w:rPr>
          <w:rFonts w:ascii="Verdana" w:hAnsi="Verdana"/>
          <w:iCs/>
          <w:sz w:val="16"/>
          <w:szCs w:val="16"/>
          <w:lang w:val="es-CR"/>
        </w:rPr>
        <w:t>Sentencia de 27 de noviembre de 2013. Serie C No. 275</w:t>
      </w:r>
      <w:r>
        <w:rPr>
          <w:rFonts w:ascii="Verdana" w:hAnsi="Verdana"/>
          <w:i/>
          <w:iCs/>
          <w:sz w:val="16"/>
          <w:szCs w:val="16"/>
          <w:lang w:val="es-CR"/>
        </w:rPr>
        <w:t xml:space="preserve">, </w:t>
      </w:r>
      <w:r w:rsidRPr="00796BBA">
        <w:rPr>
          <w:rFonts w:ascii="Verdana" w:hAnsi="Verdana"/>
          <w:iCs/>
          <w:sz w:val="16"/>
          <w:szCs w:val="16"/>
          <w:lang w:val="es-CR"/>
        </w:rPr>
        <w:t>párr</w:t>
      </w:r>
      <w:r>
        <w:rPr>
          <w:rFonts w:ascii="Verdana" w:hAnsi="Verdana"/>
          <w:i/>
          <w:iCs/>
          <w:sz w:val="16"/>
          <w:szCs w:val="16"/>
          <w:lang w:val="es-CR"/>
        </w:rPr>
        <w:t xml:space="preserve">. </w:t>
      </w:r>
      <w:r w:rsidRPr="00796BBA">
        <w:rPr>
          <w:rFonts w:ascii="Verdana" w:hAnsi="Verdana"/>
          <w:iCs/>
          <w:sz w:val="16"/>
          <w:szCs w:val="16"/>
          <w:lang w:val="es-CR"/>
        </w:rPr>
        <w:t>375</w:t>
      </w:r>
      <w:r>
        <w:rPr>
          <w:rFonts w:ascii="Verdana" w:hAnsi="Verdana"/>
          <w:iCs/>
          <w:sz w:val="16"/>
          <w:szCs w:val="16"/>
          <w:lang w:val="es-CR"/>
        </w:rPr>
        <w:t>,</w:t>
      </w:r>
      <w:r>
        <w:rPr>
          <w:rFonts w:ascii="Verdana" w:hAnsi="Verdana"/>
          <w:sz w:val="16"/>
          <w:szCs w:val="16"/>
          <w:lang w:val="es-ES_tradnl"/>
        </w:rPr>
        <w:t xml:space="preserve"> y </w:t>
      </w:r>
      <w:r w:rsidRPr="00A2282C">
        <w:rPr>
          <w:rFonts w:ascii="Verdana" w:hAnsi="Verdana"/>
          <w:i/>
          <w:sz w:val="16"/>
          <w:szCs w:val="16"/>
          <w:lang w:val="es-ES_tradnl"/>
        </w:rPr>
        <w:t>Caso Mujeres Víctimas de Tortura Sexual en Atenco Vs. México</w:t>
      </w:r>
      <w:r>
        <w:rPr>
          <w:rFonts w:ascii="Verdana" w:hAnsi="Verdana"/>
          <w:i/>
          <w:sz w:val="16"/>
          <w:szCs w:val="16"/>
          <w:lang w:val="es-ES_tradnl"/>
        </w:rPr>
        <w:t>, supra</w:t>
      </w:r>
      <w:r>
        <w:rPr>
          <w:rFonts w:ascii="Verdana" w:hAnsi="Verdana"/>
          <w:sz w:val="16"/>
          <w:szCs w:val="16"/>
          <w:lang w:val="es-ES_tradnl"/>
        </w:rPr>
        <w:t>, párr. 270.</w:t>
      </w:r>
    </w:p>
  </w:footnote>
  <w:footnote w:id="196">
    <w:p w14:paraId="67AA27BC" w14:textId="34EA159E" w:rsidR="00A52322" w:rsidRPr="00A922FC" w:rsidRDefault="00A52322" w:rsidP="003C3EE6">
      <w:pPr>
        <w:pStyle w:val="Textonotapie"/>
        <w:jc w:val="both"/>
        <w:rPr>
          <w:rFonts w:ascii="Verdana" w:hAnsi="Verdana"/>
          <w:sz w:val="16"/>
          <w:szCs w:val="16"/>
          <w:lang w:val="es-PE"/>
        </w:rPr>
      </w:pPr>
      <w:r w:rsidRPr="00A922FC">
        <w:rPr>
          <w:rStyle w:val="Refdenotaalpie"/>
          <w:rFonts w:ascii="Verdana" w:hAnsi="Verdana"/>
          <w:sz w:val="16"/>
          <w:szCs w:val="16"/>
        </w:rPr>
        <w:footnoteRef/>
      </w:r>
      <w:r w:rsidRPr="00A922FC">
        <w:rPr>
          <w:rFonts w:ascii="Verdana" w:hAnsi="Verdana"/>
          <w:sz w:val="16"/>
          <w:szCs w:val="16"/>
          <w:lang w:val="es-PE"/>
        </w:rPr>
        <w:t xml:space="preserve"> </w:t>
      </w:r>
      <w:r w:rsidRPr="00A922FC">
        <w:rPr>
          <w:rFonts w:ascii="Verdana" w:hAnsi="Verdana"/>
          <w:sz w:val="16"/>
          <w:szCs w:val="16"/>
          <w:lang w:val="es-PE"/>
        </w:rPr>
        <w:tab/>
      </w:r>
      <w:r w:rsidRPr="001E3DB9">
        <w:rPr>
          <w:rFonts w:ascii="Verdana" w:hAnsi="Verdana"/>
          <w:i/>
          <w:sz w:val="16"/>
          <w:szCs w:val="16"/>
          <w:lang w:val="es-PE"/>
        </w:rPr>
        <w:t>Cfr. Caso Cantoral Benavides Vs. Perú</w:t>
      </w:r>
      <w:r>
        <w:rPr>
          <w:rFonts w:ascii="Verdana" w:hAnsi="Verdana"/>
          <w:i/>
          <w:sz w:val="16"/>
          <w:szCs w:val="16"/>
          <w:lang w:val="es-PE"/>
        </w:rPr>
        <w:t>.</w:t>
      </w:r>
      <w:r w:rsidRPr="004D3B41">
        <w:rPr>
          <w:rFonts w:ascii="Verdana" w:hAnsi="Verdana"/>
          <w:i/>
          <w:sz w:val="16"/>
          <w:szCs w:val="16"/>
          <w:lang w:val="es-PE"/>
        </w:rPr>
        <w:t xml:space="preserve"> </w:t>
      </w:r>
      <w:r w:rsidRPr="00796BBA">
        <w:rPr>
          <w:rFonts w:ascii="Verdana" w:hAnsi="Verdana"/>
          <w:i/>
          <w:sz w:val="16"/>
          <w:szCs w:val="16"/>
          <w:lang w:val="es-PE"/>
        </w:rPr>
        <w:t>Reparaciones y Costas</w:t>
      </w:r>
      <w:r>
        <w:rPr>
          <w:rFonts w:ascii="Verdana" w:hAnsi="Verdana"/>
          <w:i/>
          <w:sz w:val="16"/>
          <w:szCs w:val="16"/>
          <w:lang w:val="es-PE"/>
        </w:rPr>
        <w:t xml:space="preserve">. </w:t>
      </w:r>
      <w:r>
        <w:t>Sentencia de 3 de diciembre de 2001. Serie C No. 88,</w:t>
      </w:r>
      <w:r>
        <w:rPr>
          <w:rFonts w:ascii="Verdana" w:hAnsi="Verdana"/>
          <w:sz w:val="16"/>
          <w:szCs w:val="16"/>
          <w:lang w:val="es-PE"/>
        </w:rPr>
        <w:t>,</w:t>
      </w:r>
      <w:r>
        <w:rPr>
          <w:rFonts w:ascii="Verdana" w:hAnsi="Verdana"/>
          <w:i/>
          <w:sz w:val="16"/>
          <w:szCs w:val="16"/>
        </w:rPr>
        <w:t xml:space="preserve"> </w:t>
      </w:r>
      <w:r w:rsidRPr="001E3DB9">
        <w:rPr>
          <w:rFonts w:ascii="Verdana" w:hAnsi="Verdana"/>
          <w:sz w:val="16"/>
          <w:szCs w:val="16"/>
          <w:lang w:val="es-PE"/>
        </w:rPr>
        <w:t xml:space="preserve"> párr. 79</w:t>
      </w:r>
      <w:r>
        <w:rPr>
          <w:rFonts w:ascii="Verdana" w:hAnsi="Verdana"/>
          <w:sz w:val="16"/>
          <w:szCs w:val="16"/>
          <w:lang w:val="es-PE"/>
        </w:rPr>
        <w:t xml:space="preserve">, </w:t>
      </w:r>
      <w:r w:rsidRPr="001E3DB9">
        <w:rPr>
          <w:rFonts w:ascii="Verdana" w:hAnsi="Verdana"/>
          <w:sz w:val="16"/>
          <w:szCs w:val="16"/>
          <w:lang w:val="es-PE"/>
        </w:rPr>
        <w:t xml:space="preserve">y </w:t>
      </w:r>
      <w:r w:rsidRPr="004D3B41">
        <w:rPr>
          <w:rFonts w:ascii="Verdana" w:hAnsi="Verdana"/>
          <w:i/>
          <w:sz w:val="16"/>
          <w:szCs w:val="16"/>
          <w:lang w:val="es-PE"/>
        </w:rPr>
        <w:t xml:space="preserve">Caso Perrone y Preckel Vs. Argentina. Excepciones Preliminares, Fondo, Reparaciones y Costas. </w:t>
      </w:r>
      <w:r w:rsidRPr="00796BBA">
        <w:rPr>
          <w:rFonts w:ascii="Verdana" w:hAnsi="Verdana"/>
          <w:sz w:val="16"/>
          <w:szCs w:val="16"/>
          <w:lang w:val="es-PE"/>
        </w:rPr>
        <w:t>Sentencia de 8 de octubre de 2019. Serie C No. 384</w:t>
      </w:r>
      <w:r>
        <w:rPr>
          <w:rFonts w:ascii="Verdana" w:hAnsi="Verdana"/>
          <w:i/>
          <w:sz w:val="16"/>
          <w:szCs w:val="16"/>
          <w:lang w:val="es-PE"/>
        </w:rPr>
        <w:t xml:space="preserve">, </w:t>
      </w:r>
      <w:r w:rsidRPr="00796BBA">
        <w:rPr>
          <w:rFonts w:ascii="Verdana" w:hAnsi="Verdana"/>
          <w:sz w:val="16"/>
          <w:szCs w:val="16"/>
          <w:lang w:val="es-PE"/>
        </w:rPr>
        <w:t>párr. 163</w:t>
      </w:r>
      <w:r>
        <w:rPr>
          <w:rFonts w:ascii="Verdana" w:hAnsi="Verdana"/>
          <w:i/>
          <w:sz w:val="16"/>
          <w:szCs w:val="16"/>
          <w:lang w:val="es-PE"/>
        </w:rPr>
        <w:t>.</w:t>
      </w:r>
      <w:r w:rsidRPr="00ED2B13" w:rsidDel="00ED2B13">
        <w:rPr>
          <w:rFonts w:ascii="Verdana" w:hAnsi="Verdana"/>
          <w:sz w:val="16"/>
          <w:szCs w:val="16"/>
          <w:lang w:val="es-PE"/>
        </w:rPr>
        <w:t xml:space="preserve"> </w:t>
      </w:r>
    </w:p>
  </w:footnote>
  <w:footnote w:id="197">
    <w:p w14:paraId="05C3522F" w14:textId="087A51FB" w:rsidR="00A52322" w:rsidRPr="006F6D58" w:rsidRDefault="00A52322" w:rsidP="00902B12">
      <w:pPr>
        <w:pStyle w:val="Textonotapie"/>
        <w:jc w:val="both"/>
        <w:rPr>
          <w:rFonts w:ascii="Verdana" w:hAnsi="Verdana"/>
          <w:sz w:val="16"/>
          <w:szCs w:val="16"/>
          <w:lang w:val="es-CR"/>
        </w:rPr>
      </w:pPr>
      <w:r w:rsidRPr="00902B12">
        <w:rPr>
          <w:rStyle w:val="Refdenotaalpie"/>
          <w:rFonts w:ascii="Verdana" w:hAnsi="Verdana"/>
          <w:sz w:val="16"/>
          <w:szCs w:val="16"/>
        </w:rPr>
        <w:footnoteRef/>
      </w:r>
      <w:r w:rsidRPr="00902B12">
        <w:rPr>
          <w:rFonts w:ascii="Verdana" w:hAnsi="Verdana"/>
          <w:sz w:val="16"/>
          <w:szCs w:val="16"/>
        </w:rPr>
        <w:t xml:space="preserve">  </w:t>
      </w:r>
      <w:r w:rsidRPr="00902B12">
        <w:rPr>
          <w:rFonts w:ascii="Verdana" w:hAnsi="Verdana"/>
          <w:sz w:val="16"/>
          <w:szCs w:val="16"/>
        </w:rPr>
        <w:tab/>
      </w:r>
      <w:r w:rsidRPr="006800B8">
        <w:rPr>
          <w:rFonts w:ascii="Verdana" w:hAnsi="Verdana"/>
          <w:i/>
          <w:sz w:val="16"/>
          <w:szCs w:val="16"/>
          <w:lang w:val="es-ES"/>
        </w:rPr>
        <w:t>Cfr. Caso del Caracazo Vs. Venezuela. Reparaciones y Costas</w:t>
      </w:r>
      <w:r w:rsidRPr="006800B8">
        <w:rPr>
          <w:rFonts w:ascii="Verdana" w:hAnsi="Verdana"/>
          <w:iCs/>
          <w:sz w:val="16"/>
          <w:szCs w:val="16"/>
          <w:lang w:val="es-ES"/>
        </w:rPr>
        <w:t>. Sentencia de 29 de agosto de 2002. Serie C No. 95</w:t>
      </w:r>
      <w:r w:rsidRPr="006800B8">
        <w:rPr>
          <w:rFonts w:ascii="Verdana" w:hAnsi="Verdana"/>
          <w:sz w:val="16"/>
          <w:szCs w:val="16"/>
          <w:lang w:val="es-ES"/>
        </w:rPr>
        <w:t>, párrs. 122 a 124</w:t>
      </w:r>
      <w:r>
        <w:rPr>
          <w:rFonts w:ascii="Verdana" w:hAnsi="Verdana"/>
          <w:sz w:val="16"/>
          <w:szCs w:val="16"/>
          <w:lang w:val="es-ES"/>
        </w:rPr>
        <w:t>,</w:t>
      </w:r>
      <w:r w:rsidRPr="006800B8">
        <w:rPr>
          <w:rFonts w:ascii="Verdana" w:hAnsi="Verdana"/>
          <w:sz w:val="16"/>
          <w:szCs w:val="16"/>
          <w:lang w:val="es-ES"/>
        </w:rPr>
        <w:t xml:space="preserve"> </w:t>
      </w:r>
      <w:r w:rsidRPr="006800B8">
        <w:rPr>
          <w:rStyle w:val="Textoennegrita"/>
          <w:rFonts w:ascii="Verdana" w:hAnsi="Verdana"/>
          <w:b w:val="0"/>
          <w:color w:val="000000"/>
          <w:sz w:val="16"/>
          <w:szCs w:val="16"/>
          <w:shd w:val="clear" w:color="auto" w:fill="FFFFFF"/>
          <w:lang w:val="es-CR"/>
        </w:rPr>
        <w:t>y</w:t>
      </w:r>
      <w:r w:rsidRPr="006800B8">
        <w:rPr>
          <w:rStyle w:val="Textoennegrita"/>
          <w:rFonts w:ascii="Verdana" w:hAnsi="Verdana"/>
          <w:b w:val="0"/>
          <w:i/>
          <w:color w:val="000000"/>
          <w:sz w:val="16"/>
          <w:szCs w:val="16"/>
          <w:shd w:val="clear" w:color="auto" w:fill="FFFFFF"/>
          <w:lang w:val="es-CR"/>
        </w:rPr>
        <w:t xml:space="preserve"> Caso Alvarado Espinoza y otros Vs. México</w:t>
      </w:r>
      <w:r>
        <w:rPr>
          <w:rStyle w:val="Textoennegrita"/>
          <w:rFonts w:ascii="Verdana" w:hAnsi="Verdana"/>
          <w:b w:val="0"/>
          <w:i/>
          <w:color w:val="000000"/>
          <w:sz w:val="16"/>
          <w:szCs w:val="16"/>
          <w:shd w:val="clear" w:color="auto" w:fill="FFFFFF"/>
          <w:lang w:val="es-CR"/>
        </w:rPr>
        <w:t>, supra</w:t>
      </w:r>
      <w:r w:rsidRPr="006800B8">
        <w:rPr>
          <w:rStyle w:val="Textoennegrita"/>
          <w:rFonts w:ascii="Verdana" w:hAnsi="Verdana"/>
          <w:b w:val="0"/>
          <w:iCs/>
          <w:color w:val="000000"/>
          <w:sz w:val="16"/>
          <w:szCs w:val="16"/>
          <w:shd w:val="clear" w:color="auto" w:fill="FFFFFF"/>
          <w:lang w:val="es-CR"/>
        </w:rPr>
        <w:t>, párr. 300.</w:t>
      </w:r>
    </w:p>
  </w:footnote>
  <w:footnote w:id="198">
    <w:p w14:paraId="3134845B" w14:textId="77777777" w:rsidR="00A52322" w:rsidRPr="00A922FC" w:rsidRDefault="00A52322" w:rsidP="008E3263">
      <w:pPr>
        <w:autoSpaceDE w:val="0"/>
        <w:autoSpaceDN w:val="0"/>
        <w:adjustRightInd w:val="0"/>
        <w:spacing w:after="0"/>
        <w:jc w:val="both"/>
        <w:rPr>
          <w:rFonts w:ascii="Verdana" w:hAnsi="Verdana" w:cs="Arial"/>
          <w:b/>
          <w:sz w:val="16"/>
          <w:szCs w:val="16"/>
          <w:lang w:val="es-PE"/>
        </w:rPr>
      </w:pPr>
      <w:r w:rsidRPr="00A922FC">
        <w:rPr>
          <w:rStyle w:val="Refdenotaalpie"/>
          <w:rFonts w:ascii="Verdana" w:hAnsi="Verdana"/>
          <w:sz w:val="16"/>
          <w:szCs w:val="16"/>
        </w:rPr>
        <w:footnoteRef/>
      </w:r>
      <w:r w:rsidRPr="00A922FC">
        <w:rPr>
          <w:rFonts w:ascii="Verdana" w:hAnsi="Verdana"/>
          <w:sz w:val="16"/>
          <w:szCs w:val="16"/>
          <w:lang w:val="es-CR"/>
        </w:rPr>
        <w:t xml:space="preserve"> </w:t>
      </w:r>
      <w:r w:rsidRPr="00A922FC">
        <w:rPr>
          <w:rFonts w:ascii="Verdana" w:hAnsi="Verdana"/>
          <w:sz w:val="16"/>
          <w:szCs w:val="16"/>
          <w:lang w:val="es-CR"/>
        </w:rPr>
        <w:tab/>
      </w:r>
      <w:r w:rsidRPr="00A922FC">
        <w:rPr>
          <w:rFonts w:ascii="Verdana" w:hAnsi="Verdana" w:cs="Arial"/>
          <w:bCs/>
          <w:sz w:val="16"/>
          <w:szCs w:val="16"/>
          <w:lang w:val="es-PE"/>
        </w:rPr>
        <w:t>Las medidas solicitadas fueron: a) medidas de rehabilitación; b) mejorar la formación de la capacitación en la academia de la Policía Nacional Civil, y c) crear un órgano contralor para verificar que efectivamente los capacitadores llenen requisitos de especialidad y experiencia</w:t>
      </w:r>
      <w:r>
        <w:rPr>
          <w:rFonts w:ascii="Verdana" w:hAnsi="Verdana" w:cs="Arial"/>
          <w:bCs/>
          <w:sz w:val="16"/>
          <w:szCs w:val="16"/>
          <w:lang w:val="es-PE"/>
        </w:rPr>
        <w:t>.</w:t>
      </w:r>
      <w:r w:rsidRPr="00A922FC">
        <w:rPr>
          <w:rFonts w:ascii="Verdana" w:hAnsi="Verdana" w:cs="Arial"/>
          <w:bCs/>
          <w:sz w:val="16"/>
          <w:szCs w:val="16"/>
          <w:lang w:val="es-PE"/>
        </w:rPr>
        <w:t xml:space="preserve"> </w:t>
      </w:r>
    </w:p>
  </w:footnote>
  <w:footnote w:id="199">
    <w:p w14:paraId="43AFB2B4" w14:textId="2AD68792" w:rsidR="00A52322" w:rsidRPr="00796BBA" w:rsidRDefault="00A52322" w:rsidP="003C3EE6">
      <w:pPr>
        <w:pStyle w:val="Textonotapie"/>
        <w:jc w:val="both"/>
        <w:rPr>
          <w:rFonts w:ascii="Verdana" w:hAnsi="Verdana"/>
          <w:sz w:val="16"/>
          <w:szCs w:val="16"/>
          <w:lang w:val="es-PE"/>
        </w:rPr>
      </w:pPr>
      <w:r w:rsidRPr="00796BBA">
        <w:rPr>
          <w:rStyle w:val="Refdenotaalpie"/>
          <w:rFonts w:ascii="Verdana" w:hAnsi="Verdana"/>
          <w:sz w:val="16"/>
          <w:szCs w:val="16"/>
        </w:rPr>
        <w:footnoteRef/>
      </w:r>
      <w:r w:rsidRPr="00796BBA">
        <w:rPr>
          <w:rFonts w:ascii="Verdana" w:hAnsi="Verdana"/>
          <w:sz w:val="16"/>
          <w:szCs w:val="16"/>
          <w:lang w:val="es-PE"/>
        </w:rPr>
        <w:t xml:space="preserve"> </w:t>
      </w:r>
      <w:r w:rsidRPr="00796BBA">
        <w:rPr>
          <w:rFonts w:ascii="Verdana" w:hAnsi="Verdana"/>
          <w:sz w:val="16"/>
          <w:szCs w:val="16"/>
          <w:lang w:val="es-PE"/>
        </w:rPr>
        <w:tab/>
        <w:t xml:space="preserve"> </w:t>
      </w:r>
      <w:r w:rsidRPr="00796BBA">
        <w:rPr>
          <w:rFonts w:ascii="Verdana" w:hAnsi="Verdana"/>
          <w:i/>
          <w:sz w:val="16"/>
          <w:szCs w:val="16"/>
          <w:lang w:val="es-PE"/>
        </w:rPr>
        <w:t>Cfr. Caso de los “Niños de la Calle” (Villagrán Morales y otros) Vs. Guatemala. Reparaciones y Costas.</w:t>
      </w:r>
      <w:r w:rsidRPr="00796BBA">
        <w:rPr>
          <w:rFonts w:ascii="Verdana" w:hAnsi="Verdana"/>
          <w:sz w:val="16"/>
          <w:szCs w:val="16"/>
          <w:lang w:val="es-PE"/>
        </w:rPr>
        <w:t xml:space="preserve"> Sentencia de 26 de mayo de 2001. Serie C No. 77, párr. 84, y</w:t>
      </w:r>
      <w:r w:rsidRPr="00796BBA">
        <w:rPr>
          <w:rFonts w:ascii="Verdana" w:hAnsi="Verdana"/>
          <w:i/>
          <w:sz w:val="16"/>
          <w:szCs w:val="16"/>
          <w:lang w:val="es-PE"/>
        </w:rPr>
        <w:t xml:space="preserve"> </w:t>
      </w:r>
      <w:r w:rsidRPr="00796BBA">
        <w:rPr>
          <w:rFonts w:ascii="Verdana" w:hAnsi="Verdana"/>
          <w:i/>
          <w:sz w:val="16"/>
          <w:szCs w:val="16"/>
        </w:rPr>
        <w:t xml:space="preserve">Caso Gorigoitía Vs. Argentina, supra, </w:t>
      </w:r>
      <w:r w:rsidRPr="00796BBA">
        <w:rPr>
          <w:rFonts w:ascii="Verdana" w:hAnsi="Verdana"/>
          <w:sz w:val="16"/>
          <w:szCs w:val="16"/>
        </w:rPr>
        <w:t>párr. 82.</w:t>
      </w:r>
      <w:r w:rsidRPr="00796BBA" w:rsidDel="00351B07">
        <w:rPr>
          <w:rFonts w:ascii="Verdana" w:hAnsi="Verdana"/>
          <w:i/>
          <w:sz w:val="16"/>
          <w:szCs w:val="16"/>
          <w:lang w:val="es-PE"/>
        </w:rPr>
        <w:t xml:space="preserve"> </w:t>
      </w:r>
    </w:p>
  </w:footnote>
  <w:footnote w:id="200">
    <w:p w14:paraId="46678300" w14:textId="77777777" w:rsidR="00A52322" w:rsidRPr="006800B8" w:rsidRDefault="00A52322" w:rsidP="006800B8">
      <w:pPr>
        <w:pStyle w:val="Textonotapie"/>
        <w:jc w:val="both"/>
        <w:rPr>
          <w:rFonts w:ascii="Verdana" w:hAnsi="Verdana"/>
          <w:sz w:val="16"/>
          <w:szCs w:val="16"/>
          <w:lang w:val="es-PE"/>
        </w:rPr>
      </w:pPr>
      <w:r w:rsidRPr="006800B8">
        <w:rPr>
          <w:rStyle w:val="Refdenotaalpie"/>
          <w:rFonts w:ascii="Verdana" w:hAnsi="Verdana"/>
          <w:sz w:val="16"/>
          <w:szCs w:val="16"/>
        </w:rPr>
        <w:footnoteRef/>
      </w:r>
      <w:r w:rsidRPr="006800B8">
        <w:rPr>
          <w:rFonts w:ascii="Verdana" w:hAnsi="Verdana"/>
          <w:sz w:val="16"/>
          <w:szCs w:val="16"/>
          <w:lang w:val="es-PE"/>
        </w:rPr>
        <w:t xml:space="preserve">        Al respecto, señaló que los representantes solicitaron un reembolso por el viaje de una persona a San José, Costa Rica para realizar una </w:t>
      </w:r>
      <w:r w:rsidRPr="00A07AF4">
        <w:rPr>
          <w:rFonts w:ascii="Verdana" w:hAnsi="Verdana"/>
          <w:sz w:val="16"/>
          <w:szCs w:val="16"/>
          <w:lang w:val="es-PE"/>
        </w:rPr>
        <w:t>pasantía en “CEJIL” por US</w:t>
      </w:r>
      <w:r w:rsidRPr="006800B8">
        <w:rPr>
          <w:rFonts w:ascii="Verdana" w:hAnsi="Verdana"/>
          <w:sz w:val="16"/>
          <w:szCs w:val="16"/>
          <w:lang w:val="es-PE"/>
        </w:rPr>
        <w:t xml:space="preserve">$1000,04, que por ningún concepto puede considerarse este gasto como posible de ser reconocido como una medida de reparación. </w:t>
      </w:r>
    </w:p>
  </w:footnote>
  <w:footnote w:id="201">
    <w:p w14:paraId="0C196827" w14:textId="77777777" w:rsidR="00A52322" w:rsidRPr="00EC417E" w:rsidRDefault="00A52322" w:rsidP="00EC417E">
      <w:pPr>
        <w:pStyle w:val="Textonotapie"/>
        <w:jc w:val="both"/>
        <w:rPr>
          <w:rFonts w:ascii="Verdana" w:hAnsi="Verdana"/>
          <w:sz w:val="16"/>
          <w:szCs w:val="16"/>
          <w:lang w:val="es-CR"/>
        </w:rPr>
      </w:pPr>
      <w:r w:rsidRPr="00EC417E">
        <w:rPr>
          <w:rStyle w:val="Refdenotaalpie"/>
          <w:rFonts w:ascii="Verdana" w:hAnsi="Verdana"/>
          <w:sz w:val="16"/>
          <w:szCs w:val="16"/>
        </w:rPr>
        <w:footnoteRef/>
      </w:r>
      <w:r w:rsidRPr="00EC417E">
        <w:rPr>
          <w:rFonts w:ascii="Verdana" w:hAnsi="Verdana"/>
          <w:sz w:val="16"/>
          <w:szCs w:val="16"/>
        </w:rPr>
        <w:t xml:space="preserve"> </w:t>
      </w:r>
      <w:r>
        <w:rPr>
          <w:rFonts w:ascii="Verdana" w:hAnsi="Verdana"/>
          <w:sz w:val="16"/>
          <w:szCs w:val="16"/>
        </w:rPr>
        <w:t xml:space="preserve"> </w:t>
      </w:r>
      <w:r>
        <w:rPr>
          <w:rFonts w:ascii="Verdana" w:hAnsi="Verdana"/>
          <w:sz w:val="16"/>
          <w:szCs w:val="16"/>
        </w:rPr>
        <w:tab/>
      </w:r>
      <w:r w:rsidRPr="006800B8">
        <w:rPr>
          <w:rFonts w:ascii="Verdana" w:hAnsi="Verdana"/>
          <w:i/>
          <w:sz w:val="16"/>
          <w:szCs w:val="16"/>
          <w:lang w:val="es-PE"/>
        </w:rPr>
        <w:t>Cfr. Caso Garrido y Baigorria Vs. Argentina. Reparaciones y Costas</w:t>
      </w:r>
      <w:r w:rsidRPr="006800B8">
        <w:rPr>
          <w:rFonts w:ascii="Verdana" w:hAnsi="Verdana"/>
          <w:sz w:val="16"/>
          <w:szCs w:val="16"/>
          <w:lang w:val="es-PE"/>
        </w:rPr>
        <w:t xml:space="preserve">. Sentencia de 27 de agosto de 1998. Serie C No. 39, párr. 79, y </w:t>
      </w:r>
      <w:r w:rsidRPr="006800B8">
        <w:rPr>
          <w:rFonts w:ascii="Verdana" w:hAnsi="Verdana"/>
          <w:i/>
          <w:iCs/>
          <w:sz w:val="16"/>
          <w:szCs w:val="16"/>
          <w:lang w:val="es-PE"/>
        </w:rPr>
        <w:t>Caso Gorigoitía Vs. Argentina</w:t>
      </w:r>
      <w:r>
        <w:rPr>
          <w:rFonts w:ascii="Verdana" w:hAnsi="Verdana"/>
          <w:i/>
          <w:iCs/>
          <w:sz w:val="16"/>
          <w:szCs w:val="16"/>
          <w:lang w:val="es-PE"/>
        </w:rPr>
        <w:t>, supra</w:t>
      </w:r>
      <w:r w:rsidRPr="006800B8">
        <w:rPr>
          <w:rFonts w:ascii="Verdana" w:hAnsi="Verdana"/>
          <w:sz w:val="16"/>
          <w:szCs w:val="16"/>
          <w:lang w:val="es-PE"/>
        </w:rPr>
        <w:t>, párr. 84.</w:t>
      </w:r>
    </w:p>
  </w:footnote>
  <w:footnote w:id="202">
    <w:p w14:paraId="45BD48C7" w14:textId="77777777" w:rsidR="00A52322" w:rsidRPr="003C3EE6" w:rsidRDefault="00A52322" w:rsidP="006800B8">
      <w:pPr>
        <w:pStyle w:val="Textonotapie"/>
        <w:jc w:val="both"/>
        <w:rPr>
          <w:rFonts w:ascii="Verdana" w:hAnsi="Verdana"/>
          <w:sz w:val="16"/>
          <w:szCs w:val="16"/>
          <w:lang w:val="es-PE"/>
        </w:rPr>
      </w:pPr>
      <w:r w:rsidRPr="006800B8">
        <w:rPr>
          <w:rStyle w:val="Refdenotaalpie"/>
          <w:rFonts w:ascii="Verdana" w:hAnsi="Verdana"/>
          <w:sz w:val="16"/>
          <w:szCs w:val="16"/>
        </w:rPr>
        <w:footnoteRef/>
      </w:r>
      <w:r w:rsidRPr="006800B8">
        <w:rPr>
          <w:rFonts w:ascii="Verdana" w:hAnsi="Verdana"/>
          <w:sz w:val="16"/>
          <w:szCs w:val="16"/>
          <w:lang w:val="es-PE"/>
        </w:rPr>
        <w:t xml:space="preserve">  </w:t>
      </w:r>
      <w:r w:rsidRPr="006800B8">
        <w:rPr>
          <w:rFonts w:ascii="Verdana" w:hAnsi="Verdana"/>
          <w:sz w:val="16"/>
          <w:szCs w:val="16"/>
          <w:lang w:val="es-PE"/>
        </w:rPr>
        <w:tab/>
      </w:r>
      <w:r w:rsidRPr="006800B8">
        <w:rPr>
          <w:rFonts w:ascii="Verdana" w:hAnsi="Verdana"/>
          <w:i/>
          <w:sz w:val="16"/>
          <w:szCs w:val="16"/>
          <w:lang w:val="es-PE"/>
        </w:rPr>
        <w:t>Cfr. Caso Garrido y Baigorria Vs. Argentina. Reparaciones y Costas, supra</w:t>
      </w:r>
      <w:r w:rsidRPr="006800B8">
        <w:rPr>
          <w:rFonts w:ascii="Verdana" w:hAnsi="Verdana"/>
          <w:sz w:val="16"/>
          <w:szCs w:val="16"/>
          <w:lang w:val="es-PE"/>
        </w:rPr>
        <w:t xml:space="preserve">, párr. 82, y </w:t>
      </w:r>
      <w:r w:rsidRPr="006800B8">
        <w:rPr>
          <w:rFonts w:ascii="Verdana" w:hAnsi="Verdana"/>
          <w:i/>
          <w:iCs/>
          <w:sz w:val="16"/>
          <w:szCs w:val="16"/>
          <w:lang w:val="es-PE"/>
        </w:rPr>
        <w:t>Caso Gorigoitía Vs. Argentina</w:t>
      </w:r>
      <w:r>
        <w:rPr>
          <w:rFonts w:ascii="Verdana" w:hAnsi="Verdana"/>
          <w:i/>
          <w:iCs/>
          <w:sz w:val="16"/>
          <w:szCs w:val="16"/>
          <w:lang w:val="es-PE"/>
        </w:rPr>
        <w:t>, supra</w:t>
      </w:r>
      <w:r w:rsidRPr="006800B8">
        <w:rPr>
          <w:rFonts w:ascii="Verdana" w:hAnsi="Verdana"/>
          <w:sz w:val="16"/>
          <w:szCs w:val="16"/>
          <w:lang w:val="es-PE"/>
        </w:rPr>
        <w:t>, párr. 84</w:t>
      </w:r>
    </w:p>
  </w:footnote>
  <w:footnote w:id="203">
    <w:p w14:paraId="321710E0" w14:textId="1B8F4047" w:rsidR="00A52322" w:rsidRPr="009D0FD1" w:rsidRDefault="00A52322">
      <w:pPr>
        <w:pStyle w:val="Textonotapie"/>
        <w:rPr>
          <w:rFonts w:ascii="Verdana" w:hAnsi="Verdana"/>
          <w:sz w:val="16"/>
          <w:szCs w:val="16"/>
          <w:lang w:val="es-CR"/>
        </w:rPr>
      </w:pPr>
      <w:r w:rsidRPr="009D0FD1">
        <w:rPr>
          <w:rStyle w:val="Refdenotaalpie"/>
          <w:rFonts w:ascii="Verdana" w:hAnsi="Verdana"/>
          <w:sz w:val="16"/>
          <w:szCs w:val="16"/>
        </w:rPr>
        <w:footnoteRef/>
      </w:r>
      <w:r w:rsidRPr="009D0FD1">
        <w:rPr>
          <w:rFonts w:ascii="Verdana" w:hAnsi="Verdana"/>
          <w:sz w:val="16"/>
          <w:szCs w:val="16"/>
        </w:rPr>
        <w:t xml:space="preserve"> </w:t>
      </w:r>
      <w:r w:rsidRPr="009D0FD1">
        <w:rPr>
          <w:rFonts w:ascii="Verdana" w:hAnsi="Verdana"/>
          <w:sz w:val="16"/>
          <w:szCs w:val="16"/>
          <w:lang w:val="es-CR"/>
        </w:rPr>
        <w:tab/>
        <w:t>El señor Enríquez Cabrera no compareció a la audiencia pública.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603568"/>
      <w:docPartObj>
        <w:docPartGallery w:val="Page Numbers (Top of Page)"/>
        <w:docPartUnique/>
      </w:docPartObj>
    </w:sdtPr>
    <w:sdtEndPr/>
    <w:sdtContent>
      <w:p w14:paraId="48AC0290" w14:textId="77777777" w:rsidR="00A52322" w:rsidRPr="00901CAC" w:rsidRDefault="00A52322" w:rsidP="00EB415C">
        <w:pPr>
          <w:pStyle w:val="Encabezado"/>
          <w:rPr>
            <w:i/>
            <w:sz w:val="16"/>
            <w:szCs w:val="16"/>
            <w:lang w:val="es-CR"/>
          </w:rPr>
        </w:pPr>
      </w:p>
      <w:p w14:paraId="09EB230F" w14:textId="77777777" w:rsidR="00A52322" w:rsidRPr="00AA15BB" w:rsidRDefault="00A52322" w:rsidP="00C00E88">
        <w:pPr>
          <w:pStyle w:val="Encabezado"/>
          <w:tabs>
            <w:tab w:val="center" w:pos="4680"/>
            <w:tab w:val="right" w:pos="9360"/>
          </w:tabs>
          <w:jc w:val="center"/>
          <w:rPr>
            <w:lang w:val="es-CR"/>
          </w:rPr>
        </w:pPr>
      </w:p>
      <w:p w14:paraId="1CACBAA3" w14:textId="264F09B6" w:rsidR="00A52322" w:rsidRDefault="00A52322" w:rsidP="00AB7444">
        <w:pPr>
          <w:pStyle w:val="Encabezado"/>
          <w:tabs>
            <w:tab w:val="left" w:pos="3206"/>
            <w:tab w:val="center" w:pos="4680"/>
            <w:tab w:val="center" w:pos="4709"/>
            <w:tab w:val="right" w:pos="9360"/>
          </w:tabs>
        </w:pPr>
        <w:r>
          <w:tab/>
        </w:r>
        <w:r>
          <w:tab/>
        </w:r>
        <w:r>
          <w:tab/>
        </w:r>
        <w:r>
          <w:tab/>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372701"/>
      <w:docPartObj>
        <w:docPartGallery w:val="Page Numbers (Top of Page)"/>
        <w:docPartUnique/>
      </w:docPartObj>
    </w:sdtPr>
    <w:sdtEndPr/>
    <w:sdtContent>
      <w:p w14:paraId="7329998C" w14:textId="77777777" w:rsidR="00A52322" w:rsidRPr="00901CAC" w:rsidRDefault="00A52322" w:rsidP="00A2282C">
        <w:pPr>
          <w:pStyle w:val="Encabezado"/>
          <w:rPr>
            <w:i/>
            <w:sz w:val="16"/>
            <w:szCs w:val="16"/>
            <w:lang w:val="es-CR"/>
          </w:rPr>
        </w:pPr>
        <w:r>
          <w:rPr>
            <w:i/>
            <w:sz w:val="16"/>
            <w:szCs w:val="16"/>
            <w:lang w:val="es-CR"/>
          </w:rPr>
          <w:tab/>
        </w:r>
        <w:r>
          <w:rPr>
            <w:i/>
            <w:sz w:val="16"/>
            <w:szCs w:val="16"/>
            <w:lang w:val="es-CR"/>
          </w:rPr>
          <w:tab/>
        </w:r>
      </w:p>
      <w:p w14:paraId="1DF492D6" w14:textId="77777777" w:rsidR="00A52322" w:rsidRDefault="00990216" w:rsidP="00C00E88">
        <w:pPr>
          <w:pStyle w:val="Encabezado"/>
          <w:tabs>
            <w:tab w:val="center" w:pos="4680"/>
            <w:tab w:val="right" w:pos="9360"/>
          </w:tabs>
          <w:jc w:val="center"/>
        </w:pPr>
      </w:p>
    </w:sdtContent>
  </w:sdt>
  <w:p w14:paraId="4AB1E2B3" w14:textId="77777777" w:rsidR="00A52322" w:rsidRDefault="00A5232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9B1"/>
    <w:multiLevelType w:val="hybridMultilevel"/>
    <w:tmpl w:val="0218C614"/>
    <w:lvl w:ilvl="0" w:tplc="64E05D72">
      <w:start w:val="87"/>
      <w:numFmt w:val="decimal"/>
      <w:lvlText w:val="%1."/>
      <w:lvlJc w:val="left"/>
      <w:pPr>
        <w:ind w:left="450" w:hanging="360"/>
      </w:pPr>
      <w:rPr>
        <w:rFonts w:ascii="Verdana" w:hAnsi="Verdana" w:hint="default"/>
        <w:b w:val="0"/>
        <w:i w:val="0"/>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F6B66"/>
    <w:multiLevelType w:val="hybridMultilevel"/>
    <w:tmpl w:val="C25E3460"/>
    <w:lvl w:ilvl="0" w:tplc="E42E6DE8">
      <w:start w:val="2"/>
      <w:numFmt w:val="decimal"/>
      <w:pStyle w:val="PrrafodeSentencia"/>
      <w:lvlText w:val="%1."/>
      <w:lvlJc w:val="left"/>
      <w:pPr>
        <w:ind w:left="8730" w:hanging="360"/>
      </w:pPr>
      <w:rPr>
        <w:rFonts w:ascii="Verdana" w:hAnsi="Verdana" w:hint="default"/>
        <w:b w:val="0"/>
        <w:i w:val="0"/>
        <w:strike w:val="0"/>
        <w:color w:val="auto"/>
        <w:sz w:val="20"/>
        <w:szCs w:val="20"/>
        <w:vertAlign w:val="baseline"/>
        <w:lang w:val="es-CR"/>
      </w:rPr>
    </w:lvl>
    <w:lvl w:ilvl="1" w:tplc="140A0019" w:tentative="1">
      <w:start w:val="1"/>
      <w:numFmt w:val="lowerLetter"/>
      <w:lvlText w:val="%2."/>
      <w:lvlJc w:val="left"/>
      <w:pPr>
        <w:ind w:left="1854" w:hanging="360"/>
      </w:pPr>
    </w:lvl>
    <w:lvl w:ilvl="2" w:tplc="140A001B" w:tentative="1">
      <w:start w:val="1"/>
      <w:numFmt w:val="lowerRoman"/>
      <w:lvlText w:val="%3."/>
      <w:lvlJc w:val="right"/>
      <w:pPr>
        <w:ind w:left="2574" w:hanging="180"/>
      </w:pPr>
    </w:lvl>
    <w:lvl w:ilvl="3" w:tplc="140A000F" w:tentative="1">
      <w:start w:val="1"/>
      <w:numFmt w:val="decimal"/>
      <w:lvlText w:val="%4."/>
      <w:lvlJc w:val="left"/>
      <w:pPr>
        <w:ind w:left="3294" w:hanging="360"/>
      </w:pPr>
    </w:lvl>
    <w:lvl w:ilvl="4" w:tplc="140A0019" w:tentative="1">
      <w:start w:val="1"/>
      <w:numFmt w:val="lowerLetter"/>
      <w:lvlText w:val="%5."/>
      <w:lvlJc w:val="left"/>
      <w:pPr>
        <w:ind w:left="4014" w:hanging="360"/>
      </w:pPr>
    </w:lvl>
    <w:lvl w:ilvl="5" w:tplc="140A001B" w:tentative="1">
      <w:start w:val="1"/>
      <w:numFmt w:val="lowerRoman"/>
      <w:lvlText w:val="%6."/>
      <w:lvlJc w:val="right"/>
      <w:pPr>
        <w:ind w:left="4734" w:hanging="180"/>
      </w:pPr>
    </w:lvl>
    <w:lvl w:ilvl="6" w:tplc="140A000F" w:tentative="1">
      <w:start w:val="1"/>
      <w:numFmt w:val="decimal"/>
      <w:lvlText w:val="%7."/>
      <w:lvlJc w:val="left"/>
      <w:pPr>
        <w:ind w:left="5454" w:hanging="360"/>
      </w:pPr>
    </w:lvl>
    <w:lvl w:ilvl="7" w:tplc="140A0019" w:tentative="1">
      <w:start w:val="1"/>
      <w:numFmt w:val="lowerLetter"/>
      <w:lvlText w:val="%8."/>
      <w:lvlJc w:val="left"/>
      <w:pPr>
        <w:ind w:left="6174" w:hanging="360"/>
      </w:pPr>
    </w:lvl>
    <w:lvl w:ilvl="8" w:tplc="140A001B" w:tentative="1">
      <w:start w:val="1"/>
      <w:numFmt w:val="lowerRoman"/>
      <w:lvlText w:val="%9."/>
      <w:lvlJc w:val="right"/>
      <w:pPr>
        <w:ind w:left="6894" w:hanging="180"/>
      </w:pPr>
    </w:lvl>
  </w:abstractNum>
  <w:abstractNum w:abstractNumId="2" w15:restartNumberingAfterBreak="0">
    <w:nsid w:val="10FC4AE8"/>
    <w:multiLevelType w:val="hybridMultilevel"/>
    <w:tmpl w:val="08E6A288"/>
    <w:lvl w:ilvl="0" w:tplc="7AA0DE0C">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D9A0C28">
      <w:start w:val="1"/>
      <w:numFmt w:val="decimal"/>
      <w:lvlText w:val="%4."/>
      <w:lvlJc w:val="left"/>
      <w:pPr>
        <w:ind w:left="360" w:hanging="360"/>
      </w:pPr>
      <w:rPr>
        <w:rFonts w:ascii="Verdana" w:hAnsi="Verdana" w:hint="default"/>
        <w:b w:val="0"/>
        <w:i w:val="0"/>
        <w:strike w:val="0"/>
        <w:sz w:val="20"/>
        <w:szCs w:val="20"/>
      </w:rPr>
    </w:lvl>
    <w:lvl w:ilvl="4" w:tplc="04090019">
      <w:start w:val="1"/>
      <w:numFmt w:val="lowerLetter"/>
      <w:lvlText w:val="%5."/>
      <w:lvlJc w:val="left"/>
      <w:pPr>
        <w:ind w:left="644" w:hanging="360"/>
      </w:pPr>
      <w:rPr>
        <w:rFonts w:hint="default"/>
      </w:rPr>
    </w:lvl>
    <w:lvl w:ilvl="5" w:tplc="B0DC9D8C">
      <w:start w:val="5"/>
      <w:numFmt w:val="lowerLetter"/>
      <w:lvlText w:val="%6-"/>
      <w:lvlJc w:val="left"/>
      <w:pPr>
        <w:ind w:left="4500" w:hanging="360"/>
      </w:pPr>
      <w:rPr>
        <w:rFonts w:hint="default"/>
        <w:b/>
      </w:rPr>
    </w:lvl>
    <w:lvl w:ilvl="6" w:tplc="4B4E7C54">
      <w:start w:val="1"/>
      <w:numFmt w:val="lowerLetter"/>
      <w:lvlText w:val="%7)"/>
      <w:lvlJc w:val="left"/>
      <w:pPr>
        <w:ind w:left="5040" w:hanging="360"/>
      </w:pPr>
      <w:rPr>
        <w:rFonts w:hint="default"/>
        <w:i w:val="0"/>
      </w:rPr>
    </w:lvl>
    <w:lvl w:ilvl="7" w:tplc="0D421738">
      <w:start w:val="31"/>
      <w:numFmt w:val="decimal"/>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3" w15:restartNumberingAfterBreak="0">
    <w:nsid w:val="1C7744E3"/>
    <w:multiLevelType w:val="hybridMultilevel"/>
    <w:tmpl w:val="D42E7FC8"/>
    <w:lvl w:ilvl="0" w:tplc="AB381FA2">
      <w:start w:val="2"/>
      <w:numFmt w:val="lowerLetter"/>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 w15:restartNumberingAfterBreak="0">
    <w:nsid w:val="2B90613B"/>
    <w:multiLevelType w:val="hybridMultilevel"/>
    <w:tmpl w:val="F2761C8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3366414"/>
    <w:multiLevelType w:val="hybridMultilevel"/>
    <w:tmpl w:val="7DB85914"/>
    <w:lvl w:ilvl="0" w:tplc="EFEAA542">
      <w:start w:val="61"/>
      <w:numFmt w:val="decimal"/>
      <w:lvlText w:val="%1."/>
      <w:lvlJc w:val="left"/>
      <w:pPr>
        <w:ind w:left="630" w:hanging="360"/>
      </w:pPr>
      <w:rPr>
        <w:rFonts w:hint="default"/>
        <w:b w:val="0"/>
        <w:i w:val="0"/>
        <w:strike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72841"/>
    <w:multiLevelType w:val="hybridMultilevel"/>
    <w:tmpl w:val="821CF16E"/>
    <w:lvl w:ilvl="0" w:tplc="9B48B906">
      <w:start w:val="9"/>
      <w:numFmt w:val="lowerLetter"/>
      <w:pStyle w:val="Ttulo5"/>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7" w15:restartNumberingAfterBreak="0">
    <w:nsid w:val="3AB6207B"/>
    <w:multiLevelType w:val="hybridMultilevel"/>
    <w:tmpl w:val="A0E86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BD3698"/>
    <w:multiLevelType w:val="hybridMultilevel"/>
    <w:tmpl w:val="63CAA408"/>
    <w:lvl w:ilvl="0" w:tplc="CA98DD2C">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A44C05"/>
    <w:multiLevelType w:val="hybridMultilevel"/>
    <w:tmpl w:val="23FCDE72"/>
    <w:styleLink w:val="ImportedStyle1"/>
    <w:lvl w:ilvl="0" w:tplc="663461B6">
      <w:start w:val="1"/>
      <w:numFmt w:val="decimal"/>
      <w:lvlText w:val="%1."/>
      <w:lvlJc w:val="left"/>
      <w:pPr>
        <w:ind w:left="540" w:hanging="54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E480D8">
      <w:start w:val="1"/>
      <w:numFmt w:val="lowerLetter"/>
      <w:lvlText w:val="%2."/>
      <w:lvlJc w:val="left"/>
      <w:pPr>
        <w:ind w:left="720" w:hanging="72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5AE274">
      <w:start w:val="1"/>
      <w:numFmt w:val="lowerRoman"/>
      <w:lvlText w:val="%3."/>
      <w:lvlJc w:val="left"/>
      <w:pPr>
        <w:tabs>
          <w:tab w:val="left" w:pos="540"/>
        </w:tabs>
        <w:ind w:left="1440" w:hanging="682"/>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FA0C22">
      <w:start w:val="1"/>
      <w:numFmt w:val="decimal"/>
      <w:lvlText w:val="%4."/>
      <w:lvlJc w:val="left"/>
      <w:pPr>
        <w:tabs>
          <w:tab w:val="left" w:pos="540"/>
        </w:tabs>
        <w:ind w:left="2160" w:hanging="72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AA430CE">
      <w:start w:val="1"/>
      <w:numFmt w:val="lowerLetter"/>
      <w:lvlText w:val="%5."/>
      <w:lvlJc w:val="left"/>
      <w:pPr>
        <w:tabs>
          <w:tab w:val="left" w:pos="540"/>
        </w:tabs>
        <w:ind w:left="2880" w:hanging="72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6348524">
      <w:start w:val="1"/>
      <w:numFmt w:val="lowerRoman"/>
      <w:lvlText w:val="%6."/>
      <w:lvlJc w:val="left"/>
      <w:pPr>
        <w:tabs>
          <w:tab w:val="left" w:pos="540"/>
        </w:tabs>
        <w:ind w:left="3600" w:hanging="682"/>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003F70">
      <w:start w:val="1"/>
      <w:numFmt w:val="decimal"/>
      <w:lvlText w:val="%7."/>
      <w:lvlJc w:val="left"/>
      <w:pPr>
        <w:tabs>
          <w:tab w:val="left" w:pos="540"/>
        </w:tabs>
        <w:ind w:left="4320" w:hanging="72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88CE436">
      <w:start w:val="1"/>
      <w:numFmt w:val="lowerLetter"/>
      <w:lvlText w:val="%8."/>
      <w:lvlJc w:val="left"/>
      <w:pPr>
        <w:tabs>
          <w:tab w:val="left" w:pos="540"/>
        </w:tabs>
        <w:ind w:left="5040" w:hanging="72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BE8C4A">
      <w:start w:val="1"/>
      <w:numFmt w:val="lowerRoman"/>
      <w:lvlText w:val="%9."/>
      <w:lvlJc w:val="left"/>
      <w:pPr>
        <w:tabs>
          <w:tab w:val="left" w:pos="540"/>
        </w:tabs>
        <w:ind w:left="5760" w:hanging="682"/>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0106FEB"/>
    <w:multiLevelType w:val="hybridMultilevel"/>
    <w:tmpl w:val="84785800"/>
    <w:lvl w:ilvl="0" w:tplc="8C4A704C">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AF0071"/>
    <w:multiLevelType w:val="hybridMultilevel"/>
    <w:tmpl w:val="CD2E07FA"/>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5469CD"/>
    <w:multiLevelType w:val="hybridMultilevel"/>
    <w:tmpl w:val="D7FED382"/>
    <w:lvl w:ilvl="0" w:tplc="264CB88E">
      <w:start w:val="1"/>
      <w:numFmt w:val="decimal"/>
      <w:lvlText w:val="%1."/>
      <w:lvlJc w:val="left"/>
      <w:pPr>
        <w:ind w:left="720" w:hanging="360"/>
      </w:pPr>
      <w:rPr>
        <w:rFonts w:ascii="Verdana" w:eastAsia="Calibri" w:hAnsi="Verdana" w:cs="Times New Roman" w:hint="default"/>
        <w:b w:val="0"/>
        <w:i w:val="0"/>
        <w:strike w:val="0"/>
        <w:color w:val="auto"/>
        <w:sz w:val="20"/>
        <w:szCs w:val="20"/>
      </w:rPr>
    </w:lvl>
    <w:lvl w:ilvl="1" w:tplc="9B3E45F0">
      <w:start w:val="1"/>
      <w:numFmt w:val="lowerLetter"/>
      <w:pStyle w:val="Estilo4"/>
      <w:lvlText w:val="%2)"/>
      <w:lvlJc w:val="left"/>
      <w:pPr>
        <w:ind w:left="1440" w:hanging="360"/>
      </w:pPr>
      <w:rPr>
        <w:rFonts w:ascii="Verdana" w:hAnsi="Verdana" w:cs="Times New Roman" w:hint="default"/>
        <w:b w:val="0"/>
        <w:i/>
        <w:caps w:val="0"/>
        <w:strike w:val="0"/>
        <w:dstrike w:val="0"/>
        <w:vanish w:val="0"/>
        <w:color w:val="auto"/>
        <w:sz w:val="20"/>
        <w:vertAlign w:val="base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E7621B"/>
    <w:multiLevelType w:val="hybridMultilevel"/>
    <w:tmpl w:val="44225AAA"/>
    <w:lvl w:ilvl="0" w:tplc="09ECF312">
      <w:start w:val="9"/>
      <w:numFmt w:val="lowerLetter"/>
      <w:lvlText w:val="%1."/>
      <w:lvlJc w:val="left"/>
      <w:pPr>
        <w:ind w:left="540" w:hanging="360"/>
      </w:pPr>
      <w:rPr>
        <w:rFonts w:hint="default"/>
        <w:b/>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C93EFE5E">
      <w:start w:val="1"/>
      <w:numFmt w:val="decimal"/>
      <w:lvlText w:val="%4."/>
      <w:lvlJc w:val="left"/>
      <w:pPr>
        <w:ind w:left="630" w:hanging="360"/>
      </w:pPr>
      <w:rPr>
        <w:b w:val="0"/>
        <w:i w:val="0"/>
        <w:sz w:val="20"/>
        <w:szCs w:val="20"/>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53E06E32"/>
    <w:multiLevelType w:val="hybridMultilevel"/>
    <w:tmpl w:val="FABE0216"/>
    <w:lvl w:ilvl="0" w:tplc="6F323408">
      <w:start w:val="1"/>
      <w:numFmt w:val="decimal"/>
      <w:lvlText w:val="%1."/>
      <w:lvlJc w:val="left"/>
      <w:pPr>
        <w:tabs>
          <w:tab w:val="num" w:pos="5057"/>
        </w:tabs>
      </w:pPr>
      <w:rPr>
        <w:rFonts w:ascii="Verdana" w:eastAsia="Times New Roman" w:hAnsi="Verdana" w:cs="Times New Roman" w:hint="default"/>
        <w:b w:val="0"/>
        <w:i w:val="0"/>
        <w:strike w:val="0"/>
        <w:color w:val="auto"/>
        <w:sz w:val="20"/>
        <w:lang w:val="es-ES"/>
      </w:rPr>
    </w:lvl>
    <w:lvl w:ilvl="1" w:tplc="91ECB87E">
      <w:start w:val="1"/>
      <w:numFmt w:val="lowerLetter"/>
      <w:lvlText w:val="%2)"/>
      <w:lvlJc w:val="left"/>
      <w:pPr>
        <w:tabs>
          <w:tab w:val="num" w:pos="1080"/>
        </w:tabs>
        <w:ind w:left="1080" w:hanging="360"/>
      </w:pPr>
      <w:rPr>
        <w:rFonts w:cs="Times New Roman" w:hint="default"/>
        <w:b w:val="0"/>
        <w:i w:val="0"/>
        <w:sz w:val="20"/>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15" w15:restartNumberingAfterBreak="0">
    <w:nsid w:val="5CD36414"/>
    <w:multiLevelType w:val="hybridMultilevel"/>
    <w:tmpl w:val="C548FDB4"/>
    <w:lvl w:ilvl="0" w:tplc="5E5C667E">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07A65BC"/>
    <w:multiLevelType w:val="hybridMultilevel"/>
    <w:tmpl w:val="53C03DF2"/>
    <w:lvl w:ilvl="0" w:tplc="E9C6E63E">
      <w:start w:val="1"/>
      <w:numFmt w:val="upperLetter"/>
      <w:lvlText w:val="%1."/>
      <w:lvlJc w:val="left"/>
      <w:pPr>
        <w:ind w:left="580" w:hanging="360"/>
      </w:pPr>
      <w:rPr>
        <w:rFonts w:eastAsiaTheme="minorHAnsi" w:cstheme="minorHAnsi" w:hint="default"/>
        <w:color w:val="0000FF"/>
        <w:u w:val="single"/>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7" w15:restartNumberingAfterBreak="0">
    <w:nsid w:val="67172C9C"/>
    <w:multiLevelType w:val="hybridMultilevel"/>
    <w:tmpl w:val="CF3A5EF6"/>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F50A7A"/>
    <w:multiLevelType w:val="hybridMultilevel"/>
    <w:tmpl w:val="9BD604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354707"/>
    <w:multiLevelType w:val="hybridMultilevel"/>
    <w:tmpl w:val="D3482DF2"/>
    <w:lvl w:ilvl="0" w:tplc="E878CDC4">
      <w:start w:val="1"/>
      <w:numFmt w:val="decimal"/>
      <w:lvlText w:val="%1."/>
      <w:lvlJc w:val="left"/>
      <w:pPr>
        <w:ind w:left="7305" w:hanging="825"/>
      </w:pPr>
      <w:rPr>
        <w:rFonts w:ascii="Verdana" w:eastAsia="Verdana" w:hAnsi="Verdana" w:cs="Verdana" w:hint="default"/>
        <w:b w:val="0"/>
        <w:i w:val="0"/>
        <w:color w:val="auto"/>
        <w:sz w:val="20"/>
        <w:szCs w:val="20"/>
        <w:lang w:val="es-ES"/>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0" w15:restartNumberingAfterBreak="0">
    <w:nsid w:val="7CE64D32"/>
    <w:multiLevelType w:val="hybridMultilevel"/>
    <w:tmpl w:val="E0AE220A"/>
    <w:lvl w:ilvl="0" w:tplc="F0DE35F8">
      <w:start w:val="1"/>
      <w:numFmt w:val="decimal"/>
      <w:pStyle w:val="Estilo1"/>
      <w:lvlText w:val="%1."/>
      <w:lvlJc w:val="left"/>
      <w:pPr>
        <w:tabs>
          <w:tab w:val="num" w:pos="16392"/>
        </w:tabs>
      </w:pPr>
      <w:rPr>
        <w:rFonts w:ascii="Verdana" w:eastAsia="Times New Roman" w:hAnsi="Verdana" w:cs="Times New Roman" w:hint="default"/>
        <w:b w:val="0"/>
        <w:i w:val="0"/>
        <w:strike w:val="0"/>
        <w:color w:val="auto"/>
        <w:sz w:val="20"/>
        <w:lang w:val="es-CR"/>
      </w:rPr>
    </w:lvl>
    <w:lvl w:ilvl="1" w:tplc="8D765A30">
      <w:start w:val="1"/>
      <w:numFmt w:val="lowerLetter"/>
      <w:pStyle w:val="Estilo2"/>
      <w:lvlText w:val="%2)"/>
      <w:lvlJc w:val="left"/>
      <w:pPr>
        <w:tabs>
          <w:tab w:val="num" w:pos="4767"/>
        </w:tabs>
        <w:ind w:left="4767" w:hanging="360"/>
      </w:pPr>
      <w:rPr>
        <w:rFonts w:cs="Times New Roman" w:hint="default"/>
        <w:b w:val="0"/>
        <w:i w:val="0"/>
        <w:sz w:val="20"/>
      </w:rPr>
    </w:lvl>
    <w:lvl w:ilvl="2" w:tplc="FED61C0C">
      <w:start w:val="1"/>
      <w:numFmt w:val="lowerRoman"/>
      <w:lvlText w:val="%3."/>
      <w:lvlJc w:val="right"/>
      <w:pPr>
        <w:tabs>
          <w:tab w:val="num" w:pos="890"/>
        </w:tabs>
        <w:ind w:left="890" w:hanging="180"/>
      </w:pPr>
      <w:rPr>
        <w:rFonts w:cs="Times New Roman"/>
        <w:i/>
      </w:rPr>
    </w:lvl>
    <w:lvl w:ilvl="3" w:tplc="0C0A000F">
      <w:start w:val="1"/>
      <w:numFmt w:val="decimal"/>
      <w:lvlText w:val="%4."/>
      <w:lvlJc w:val="left"/>
      <w:pPr>
        <w:tabs>
          <w:tab w:val="num" w:pos="6567"/>
        </w:tabs>
        <w:ind w:left="6567" w:hanging="360"/>
      </w:pPr>
      <w:rPr>
        <w:rFonts w:cs="Times New Roman"/>
      </w:rPr>
    </w:lvl>
    <w:lvl w:ilvl="4" w:tplc="0C0A0019">
      <w:start w:val="1"/>
      <w:numFmt w:val="lowerLetter"/>
      <w:lvlText w:val="%5."/>
      <w:lvlJc w:val="left"/>
      <w:pPr>
        <w:tabs>
          <w:tab w:val="num" w:pos="7287"/>
        </w:tabs>
        <w:ind w:left="7287" w:hanging="360"/>
      </w:pPr>
      <w:rPr>
        <w:rFonts w:cs="Times New Roman"/>
      </w:rPr>
    </w:lvl>
    <w:lvl w:ilvl="5" w:tplc="0C0A001B">
      <w:start w:val="1"/>
      <w:numFmt w:val="lowerRoman"/>
      <w:lvlText w:val="%6."/>
      <w:lvlJc w:val="right"/>
      <w:pPr>
        <w:tabs>
          <w:tab w:val="num" w:pos="8007"/>
        </w:tabs>
        <w:ind w:left="8007" w:hanging="180"/>
      </w:pPr>
      <w:rPr>
        <w:rFonts w:cs="Times New Roman"/>
      </w:rPr>
    </w:lvl>
    <w:lvl w:ilvl="6" w:tplc="0C0A000F">
      <w:start w:val="1"/>
      <w:numFmt w:val="decimal"/>
      <w:lvlText w:val="%7."/>
      <w:lvlJc w:val="left"/>
      <w:pPr>
        <w:tabs>
          <w:tab w:val="num" w:pos="8727"/>
        </w:tabs>
        <w:ind w:left="8727" w:hanging="360"/>
      </w:pPr>
      <w:rPr>
        <w:rFonts w:cs="Times New Roman"/>
      </w:rPr>
    </w:lvl>
    <w:lvl w:ilvl="7" w:tplc="0C0A0019">
      <w:start w:val="1"/>
      <w:numFmt w:val="lowerLetter"/>
      <w:lvlText w:val="%8."/>
      <w:lvlJc w:val="left"/>
      <w:pPr>
        <w:tabs>
          <w:tab w:val="num" w:pos="9447"/>
        </w:tabs>
        <w:ind w:left="9447" w:hanging="360"/>
      </w:pPr>
      <w:rPr>
        <w:rFonts w:cs="Times New Roman"/>
      </w:rPr>
    </w:lvl>
    <w:lvl w:ilvl="8" w:tplc="0C0A001B">
      <w:start w:val="1"/>
      <w:numFmt w:val="lowerRoman"/>
      <w:lvlText w:val="%9."/>
      <w:lvlJc w:val="right"/>
      <w:pPr>
        <w:tabs>
          <w:tab w:val="num" w:pos="10167"/>
        </w:tabs>
        <w:ind w:left="10167" w:hanging="180"/>
      </w:pPr>
      <w:rPr>
        <w:rFonts w:cs="Times New Roman"/>
      </w:rPr>
    </w:lvl>
  </w:abstractNum>
  <w:abstractNum w:abstractNumId="21" w15:restartNumberingAfterBreak="0">
    <w:nsid w:val="7ED21B12"/>
    <w:multiLevelType w:val="hybridMultilevel"/>
    <w:tmpl w:val="8B363210"/>
    <w:lvl w:ilvl="0" w:tplc="FF2AB168">
      <w:start w:val="1"/>
      <w:numFmt w:val="lowerLetter"/>
      <w:lvlText w:val="%1)"/>
      <w:lvlJc w:val="left"/>
      <w:pPr>
        <w:ind w:left="720" w:hanging="360"/>
      </w:pPr>
      <w:rPr>
        <w:rFonts w:ascii="Verdana" w:hAnsi="Verdana" w:cstheme="minorBid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9584852">
    <w:abstractNumId w:val="2"/>
  </w:num>
  <w:num w:numId="2" w16cid:durableId="965351046">
    <w:abstractNumId w:val="15"/>
  </w:num>
  <w:num w:numId="3" w16cid:durableId="1010720071">
    <w:abstractNumId w:val="20"/>
  </w:num>
  <w:num w:numId="4" w16cid:durableId="1385912091">
    <w:abstractNumId w:val="21"/>
  </w:num>
  <w:num w:numId="5" w16cid:durableId="495655284">
    <w:abstractNumId w:val="17"/>
  </w:num>
  <w:num w:numId="6" w16cid:durableId="2023580064">
    <w:abstractNumId w:val="14"/>
  </w:num>
  <w:num w:numId="7" w16cid:durableId="1614744767">
    <w:abstractNumId w:val="9"/>
  </w:num>
  <w:num w:numId="8" w16cid:durableId="1424716986">
    <w:abstractNumId w:val="1"/>
  </w:num>
  <w:num w:numId="9" w16cid:durableId="673454892">
    <w:abstractNumId w:val="12"/>
  </w:num>
  <w:num w:numId="10" w16cid:durableId="1567180565">
    <w:abstractNumId w:val="7"/>
  </w:num>
  <w:num w:numId="11" w16cid:durableId="1949506428">
    <w:abstractNumId w:val="18"/>
  </w:num>
  <w:num w:numId="12" w16cid:durableId="449907197">
    <w:abstractNumId w:val="6"/>
  </w:num>
  <w:num w:numId="13" w16cid:durableId="407725812">
    <w:abstractNumId w:val="8"/>
  </w:num>
  <w:num w:numId="14" w16cid:durableId="603801444">
    <w:abstractNumId w:val="3"/>
  </w:num>
  <w:num w:numId="15" w16cid:durableId="1521820568">
    <w:abstractNumId w:val="6"/>
    <w:lvlOverride w:ilvl="0">
      <w:startOverride w:val="2"/>
    </w:lvlOverride>
  </w:num>
  <w:num w:numId="16" w16cid:durableId="1455097468">
    <w:abstractNumId w:val="13"/>
  </w:num>
  <w:num w:numId="17" w16cid:durableId="237980286">
    <w:abstractNumId w:val="11"/>
  </w:num>
  <w:num w:numId="18" w16cid:durableId="966080157">
    <w:abstractNumId w:val="10"/>
  </w:num>
  <w:num w:numId="19" w16cid:durableId="1856263720">
    <w:abstractNumId w:val="4"/>
  </w:num>
  <w:num w:numId="20" w16cid:durableId="566916466">
    <w:abstractNumId w:val="0"/>
  </w:num>
  <w:num w:numId="21" w16cid:durableId="634023128">
    <w:abstractNumId w:val="19"/>
  </w:num>
  <w:num w:numId="22" w16cid:durableId="2132245033">
    <w:abstractNumId w:val="5"/>
  </w:num>
  <w:num w:numId="23" w16cid:durableId="461773252">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activeWritingStyle w:appName="MSWord" w:lang="pt-BR" w:vendorID="64" w:dllVersion="6" w:nlCheck="1" w:checkStyle="0"/>
  <w:activeWritingStyle w:appName="MSWord" w:lang="es-CR" w:vendorID="64" w:dllVersion="6" w:nlCheck="1" w:checkStyle="1"/>
  <w:activeWritingStyle w:appName="MSWord" w:lang="es-AR" w:vendorID="64" w:dllVersion="6" w:nlCheck="1" w:checkStyle="1"/>
  <w:activeWritingStyle w:appName="MSWord" w:lang="es-ES_tradnl" w:vendorID="64" w:dllVersion="6" w:nlCheck="1" w:checkStyle="1"/>
  <w:activeWritingStyle w:appName="MSWord" w:lang="es-PR" w:vendorID="64" w:dllVersion="6" w:nlCheck="1" w:checkStyle="1"/>
  <w:activeWritingStyle w:appName="MSWord" w:lang="es-ES" w:vendorID="64" w:dllVersion="6" w:nlCheck="1" w:checkStyle="1"/>
  <w:activeWritingStyle w:appName="MSWord" w:lang="es-DO" w:vendorID="64" w:dllVersion="6" w:nlCheck="1" w:checkStyle="1"/>
  <w:activeWritingStyle w:appName="MSWord" w:lang="es-MX" w:vendorID="64" w:dllVersion="6" w:nlCheck="1" w:checkStyle="1"/>
  <w:activeWritingStyle w:appName="MSWord" w:lang="es-PE" w:vendorID="64" w:dllVersion="6" w:nlCheck="1" w:checkStyle="1"/>
  <w:activeWritingStyle w:appName="MSWord" w:lang="es-CL" w:vendorID="64" w:dllVersion="6" w:nlCheck="1" w:checkStyle="1"/>
  <w:activeWritingStyle w:appName="MSWord" w:lang="es-CO" w:vendorID="64" w:dllVersion="6" w:nlCheck="1" w:checkStyle="1"/>
  <w:activeWritingStyle w:appName="MSWord" w:lang="es-GT" w:vendorID="64" w:dllVersion="6" w:nlCheck="1" w:checkStyle="1"/>
  <w:activeWritingStyle w:appName="MSWord" w:lang="en-US" w:vendorID="64" w:dllVersion="6" w:nlCheck="1" w:checkStyle="1"/>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CR" w:vendorID="64" w:dllVersion="4096" w:nlCheck="1" w:checkStyle="0"/>
  <w:activeWritingStyle w:appName="MSWord" w:lang="es-AR" w:vendorID="64" w:dllVersion="4096" w:nlCheck="1" w:checkStyle="0"/>
  <w:activeWritingStyle w:appName="MSWord" w:lang="es-MX" w:vendorID="64" w:dllVersion="4096" w:nlCheck="1" w:checkStyle="0"/>
  <w:activeWritingStyle w:appName="MSWord" w:lang="es-PE" w:vendorID="64" w:dllVersion="4096" w:nlCheck="1" w:checkStyle="0"/>
  <w:activeWritingStyle w:appName="MSWord" w:lang="es-CR" w:vendorID="64" w:dllVersion="0" w:nlCheck="1" w:checkStyle="0"/>
  <w:activeWritingStyle w:appName="MSWord" w:lang="pt-BR" w:vendorID="64" w:dllVersion="0" w:nlCheck="1" w:checkStyle="0"/>
  <w:activeWritingStyle w:appName="MSWord" w:lang="es-MX" w:vendorID="64" w:dllVersion="0" w:nlCheck="1" w:checkStyle="0"/>
  <w:activeWritingStyle w:appName="MSWord" w:lang="es-CO" w:vendorID="64" w:dllVersion="0" w:nlCheck="1" w:checkStyle="0"/>
  <w:activeWritingStyle w:appName="MSWord" w:lang="es-AR" w:vendorID="64" w:dllVersion="0" w:nlCheck="1" w:checkStyle="0"/>
  <w:activeWritingStyle w:appName="MSWord" w:lang="es-PE" w:vendorID="64" w:dllVersion="0" w:nlCheck="1" w:checkStyle="0"/>
  <w:activeWritingStyle w:appName="MSWord" w:lang="es-ES" w:vendorID="64" w:dllVersion="0" w:nlCheck="1" w:checkStyle="0"/>
  <w:activeWritingStyle w:appName="MSWord" w:lang="es-ES_tradnl"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060"/>
    <w:rsid w:val="0000049A"/>
    <w:rsid w:val="000004B8"/>
    <w:rsid w:val="000004EF"/>
    <w:rsid w:val="00000FEF"/>
    <w:rsid w:val="00001174"/>
    <w:rsid w:val="000011C1"/>
    <w:rsid w:val="00002BB6"/>
    <w:rsid w:val="00002FD4"/>
    <w:rsid w:val="00003BA7"/>
    <w:rsid w:val="0000453D"/>
    <w:rsid w:val="00004913"/>
    <w:rsid w:val="000057BF"/>
    <w:rsid w:val="00005AE8"/>
    <w:rsid w:val="00006D72"/>
    <w:rsid w:val="00007A73"/>
    <w:rsid w:val="000147E8"/>
    <w:rsid w:val="00014980"/>
    <w:rsid w:val="0001583A"/>
    <w:rsid w:val="000160E7"/>
    <w:rsid w:val="00016CE3"/>
    <w:rsid w:val="00016CE7"/>
    <w:rsid w:val="000170BE"/>
    <w:rsid w:val="000207EE"/>
    <w:rsid w:val="00022F76"/>
    <w:rsid w:val="00024DEC"/>
    <w:rsid w:val="00024E88"/>
    <w:rsid w:val="00025A93"/>
    <w:rsid w:val="00025C31"/>
    <w:rsid w:val="00026242"/>
    <w:rsid w:val="000263C1"/>
    <w:rsid w:val="000263FE"/>
    <w:rsid w:val="00026818"/>
    <w:rsid w:val="00027EC1"/>
    <w:rsid w:val="000304FA"/>
    <w:rsid w:val="00030E6C"/>
    <w:rsid w:val="00030EF5"/>
    <w:rsid w:val="00031704"/>
    <w:rsid w:val="000344FB"/>
    <w:rsid w:val="00034DDB"/>
    <w:rsid w:val="0003566E"/>
    <w:rsid w:val="000356EF"/>
    <w:rsid w:val="00037829"/>
    <w:rsid w:val="00037A26"/>
    <w:rsid w:val="00037F7F"/>
    <w:rsid w:val="00040EE5"/>
    <w:rsid w:val="00041DBA"/>
    <w:rsid w:val="00044A6F"/>
    <w:rsid w:val="000458F4"/>
    <w:rsid w:val="00045C25"/>
    <w:rsid w:val="000474FD"/>
    <w:rsid w:val="0004781A"/>
    <w:rsid w:val="00051493"/>
    <w:rsid w:val="00051913"/>
    <w:rsid w:val="00051DCC"/>
    <w:rsid w:val="00052154"/>
    <w:rsid w:val="0005215C"/>
    <w:rsid w:val="00052CDB"/>
    <w:rsid w:val="00052E0F"/>
    <w:rsid w:val="000530CA"/>
    <w:rsid w:val="0005399D"/>
    <w:rsid w:val="000561DD"/>
    <w:rsid w:val="00056FA5"/>
    <w:rsid w:val="000570B3"/>
    <w:rsid w:val="00063112"/>
    <w:rsid w:val="000641C3"/>
    <w:rsid w:val="00064569"/>
    <w:rsid w:val="000649CF"/>
    <w:rsid w:val="00065EC2"/>
    <w:rsid w:val="00065EC9"/>
    <w:rsid w:val="0006659E"/>
    <w:rsid w:val="0006692D"/>
    <w:rsid w:val="000673D3"/>
    <w:rsid w:val="00070453"/>
    <w:rsid w:val="00072430"/>
    <w:rsid w:val="00072885"/>
    <w:rsid w:val="00073323"/>
    <w:rsid w:val="00074B5B"/>
    <w:rsid w:val="000763C1"/>
    <w:rsid w:val="0007659A"/>
    <w:rsid w:val="00076AD0"/>
    <w:rsid w:val="0008013B"/>
    <w:rsid w:val="000818FF"/>
    <w:rsid w:val="00081B26"/>
    <w:rsid w:val="00082049"/>
    <w:rsid w:val="00083DAA"/>
    <w:rsid w:val="00084C68"/>
    <w:rsid w:val="0008547A"/>
    <w:rsid w:val="000854E8"/>
    <w:rsid w:val="00086E3C"/>
    <w:rsid w:val="000874D0"/>
    <w:rsid w:val="000879DD"/>
    <w:rsid w:val="00090F17"/>
    <w:rsid w:val="000913BC"/>
    <w:rsid w:val="00091A01"/>
    <w:rsid w:val="00091ECA"/>
    <w:rsid w:val="00092543"/>
    <w:rsid w:val="00092AAF"/>
    <w:rsid w:val="00094901"/>
    <w:rsid w:val="00094B85"/>
    <w:rsid w:val="00094C9C"/>
    <w:rsid w:val="0009585C"/>
    <w:rsid w:val="00095B70"/>
    <w:rsid w:val="00095C67"/>
    <w:rsid w:val="00095D04"/>
    <w:rsid w:val="00097A1B"/>
    <w:rsid w:val="00097B91"/>
    <w:rsid w:val="000A0109"/>
    <w:rsid w:val="000A129A"/>
    <w:rsid w:val="000A1952"/>
    <w:rsid w:val="000A2111"/>
    <w:rsid w:val="000A3C3F"/>
    <w:rsid w:val="000A4018"/>
    <w:rsid w:val="000A70BC"/>
    <w:rsid w:val="000A7393"/>
    <w:rsid w:val="000A7944"/>
    <w:rsid w:val="000A79F0"/>
    <w:rsid w:val="000B1937"/>
    <w:rsid w:val="000B5517"/>
    <w:rsid w:val="000B5EF6"/>
    <w:rsid w:val="000B6289"/>
    <w:rsid w:val="000B62E0"/>
    <w:rsid w:val="000B6345"/>
    <w:rsid w:val="000B6B20"/>
    <w:rsid w:val="000B6E16"/>
    <w:rsid w:val="000B762C"/>
    <w:rsid w:val="000B770B"/>
    <w:rsid w:val="000B7E55"/>
    <w:rsid w:val="000C00CA"/>
    <w:rsid w:val="000C039C"/>
    <w:rsid w:val="000C0691"/>
    <w:rsid w:val="000C18E1"/>
    <w:rsid w:val="000C24D8"/>
    <w:rsid w:val="000C2FA1"/>
    <w:rsid w:val="000C356F"/>
    <w:rsid w:val="000C3586"/>
    <w:rsid w:val="000C411A"/>
    <w:rsid w:val="000C452A"/>
    <w:rsid w:val="000C523C"/>
    <w:rsid w:val="000C5D68"/>
    <w:rsid w:val="000C6574"/>
    <w:rsid w:val="000C709A"/>
    <w:rsid w:val="000C759B"/>
    <w:rsid w:val="000C77D8"/>
    <w:rsid w:val="000C77EB"/>
    <w:rsid w:val="000C7E12"/>
    <w:rsid w:val="000D02ED"/>
    <w:rsid w:val="000D051C"/>
    <w:rsid w:val="000D1165"/>
    <w:rsid w:val="000D1463"/>
    <w:rsid w:val="000D2FA9"/>
    <w:rsid w:val="000D3152"/>
    <w:rsid w:val="000D474C"/>
    <w:rsid w:val="000D4931"/>
    <w:rsid w:val="000D4FF7"/>
    <w:rsid w:val="000D59D5"/>
    <w:rsid w:val="000D5AD6"/>
    <w:rsid w:val="000D5C6D"/>
    <w:rsid w:val="000D687A"/>
    <w:rsid w:val="000D6CE4"/>
    <w:rsid w:val="000E092C"/>
    <w:rsid w:val="000E1152"/>
    <w:rsid w:val="000E1FB8"/>
    <w:rsid w:val="000E2259"/>
    <w:rsid w:val="000E2829"/>
    <w:rsid w:val="000E2901"/>
    <w:rsid w:val="000E2DF8"/>
    <w:rsid w:val="000E33CE"/>
    <w:rsid w:val="000E418E"/>
    <w:rsid w:val="000E4D81"/>
    <w:rsid w:val="000E542A"/>
    <w:rsid w:val="000E54F2"/>
    <w:rsid w:val="000E590E"/>
    <w:rsid w:val="000E605A"/>
    <w:rsid w:val="000E6503"/>
    <w:rsid w:val="000E65A1"/>
    <w:rsid w:val="000E6F75"/>
    <w:rsid w:val="000E6FC3"/>
    <w:rsid w:val="000E7463"/>
    <w:rsid w:val="000E75A0"/>
    <w:rsid w:val="000E7712"/>
    <w:rsid w:val="000F08F9"/>
    <w:rsid w:val="000F09E2"/>
    <w:rsid w:val="000F18B8"/>
    <w:rsid w:val="000F4866"/>
    <w:rsid w:val="000F4976"/>
    <w:rsid w:val="000F4DD4"/>
    <w:rsid w:val="000F52D8"/>
    <w:rsid w:val="000F74AB"/>
    <w:rsid w:val="000F75A8"/>
    <w:rsid w:val="000F75B5"/>
    <w:rsid w:val="000F78BE"/>
    <w:rsid w:val="0010005F"/>
    <w:rsid w:val="001016CE"/>
    <w:rsid w:val="00102B0E"/>
    <w:rsid w:val="0010367F"/>
    <w:rsid w:val="00103E4F"/>
    <w:rsid w:val="001049AA"/>
    <w:rsid w:val="00104AF5"/>
    <w:rsid w:val="001051CE"/>
    <w:rsid w:val="001066EF"/>
    <w:rsid w:val="00110582"/>
    <w:rsid w:val="001107C9"/>
    <w:rsid w:val="00112F00"/>
    <w:rsid w:val="00113F03"/>
    <w:rsid w:val="00114DF2"/>
    <w:rsid w:val="00115FF6"/>
    <w:rsid w:val="00116945"/>
    <w:rsid w:val="00122686"/>
    <w:rsid w:val="001226E4"/>
    <w:rsid w:val="00123F27"/>
    <w:rsid w:val="00123F37"/>
    <w:rsid w:val="00124018"/>
    <w:rsid w:val="00124656"/>
    <w:rsid w:val="001266F6"/>
    <w:rsid w:val="0012766B"/>
    <w:rsid w:val="0012770C"/>
    <w:rsid w:val="00130809"/>
    <w:rsid w:val="00130D62"/>
    <w:rsid w:val="00133023"/>
    <w:rsid w:val="00133FCA"/>
    <w:rsid w:val="00134003"/>
    <w:rsid w:val="00134568"/>
    <w:rsid w:val="001346C8"/>
    <w:rsid w:val="00134D76"/>
    <w:rsid w:val="00134DEF"/>
    <w:rsid w:val="00135D12"/>
    <w:rsid w:val="00135D6C"/>
    <w:rsid w:val="00135E57"/>
    <w:rsid w:val="00136A35"/>
    <w:rsid w:val="001406ED"/>
    <w:rsid w:val="00141E46"/>
    <w:rsid w:val="00143445"/>
    <w:rsid w:val="0014373E"/>
    <w:rsid w:val="00145903"/>
    <w:rsid w:val="0014675D"/>
    <w:rsid w:val="00146A46"/>
    <w:rsid w:val="00150979"/>
    <w:rsid w:val="00150F18"/>
    <w:rsid w:val="00151085"/>
    <w:rsid w:val="001514E9"/>
    <w:rsid w:val="00151EEE"/>
    <w:rsid w:val="00153C74"/>
    <w:rsid w:val="00154DEE"/>
    <w:rsid w:val="00155419"/>
    <w:rsid w:val="001575C5"/>
    <w:rsid w:val="001621A5"/>
    <w:rsid w:val="00163E83"/>
    <w:rsid w:val="0016415B"/>
    <w:rsid w:val="00164317"/>
    <w:rsid w:val="00165AB3"/>
    <w:rsid w:val="0016613D"/>
    <w:rsid w:val="001667CC"/>
    <w:rsid w:val="00166DEA"/>
    <w:rsid w:val="00167102"/>
    <w:rsid w:val="00170690"/>
    <w:rsid w:val="00170DF8"/>
    <w:rsid w:val="00171E85"/>
    <w:rsid w:val="001722D2"/>
    <w:rsid w:val="00172463"/>
    <w:rsid w:val="00172759"/>
    <w:rsid w:val="00173135"/>
    <w:rsid w:val="00173FA3"/>
    <w:rsid w:val="0017573B"/>
    <w:rsid w:val="001767BC"/>
    <w:rsid w:val="00177461"/>
    <w:rsid w:val="00180408"/>
    <w:rsid w:val="00180D84"/>
    <w:rsid w:val="00181716"/>
    <w:rsid w:val="001821D3"/>
    <w:rsid w:val="00183773"/>
    <w:rsid w:val="00183BB4"/>
    <w:rsid w:val="00183D09"/>
    <w:rsid w:val="0018466C"/>
    <w:rsid w:val="00184803"/>
    <w:rsid w:val="00185D5C"/>
    <w:rsid w:val="00185E84"/>
    <w:rsid w:val="00186965"/>
    <w:rsid w:val="00187EBF"/>
    <w:rsid w:val="00187FB0"/>
    <w:rsid w:val="00190A48"/>
    <w:rsid w:val="00192A66"/>
    <w:rsid w:val="0019323F"/>
    <w:rsid w:val="00193BDD"/>
    <w:rsid w:val="00193F92"/>
    <w:rsid w:val="00194596"/>
    <w:rsid w:val="00196291"/>
    <w:rsid w:val="00196FC4"/>
    <w:rsid w:val="001A1A6A"/>
    <w:rsid w:val="001A2686"/>
    <w:rsid w:val="001A2E75"/>
    <w:rsid w:val="001A3C89"/>
    <w:rsid w:val="001A3CBF"/>
    <w:rsid w:val="001A5C1D"/>
    <w:rsid w:val="001A5DF4"/>
    <w:rsid w:val="001A5ED5"/>
    <w:rsid w:val="001A6A6D"/>
    <w:rsid w:val="001A6C4F"/>
    <w:rsid w:val="001A788C"/>
    <w:rsid w:val="001A7D3D"/>
    <w:rsid w:val="001B0941"/>
    <w:rsid w:val="001B12F0"/>
    <w:rsid w:val="001B23EA"/>
    <w:rsid w:val="001B392F"/>
    <w:rsid w:val="001B3930"/>
    <w:rsid w:val="001B490B"/>
    <w:rsid w:val="001B4EC6"/>
    <w:rsid w:val="001B5942"/>
    <w:rsid w:val="001C0947"/>
    <w:rsid w:val="001C18CD"/>
    <w:rsid w:val="001C3AC2"/>
    <w:rsid w:val="001C3D2F"/>
    <w:rsid w:val="001C4702"/>
    <w:rsid w:val="001C48A8"/>
    <w:rsid w:val="001C588D"/>
    <w:rsid w:val="001C65D9"/>
    <w:rsid w:val="001C6773"/>
    <w:rsid w:val="001C7D79"/>
    <w:rsid w:val="001D001E"/>
    <w:rsid w:val="001D01CB"/>
    <w:rsid w:val="001D0457"/>
    <w:rsid w:val="001D1DB1"/>
    <w:rsid w:val="001D305F"/>
    <w:rsid w:val="001D5B89"/>
    <w:rsid w:val="001D7672"/>
    <w:rsid w:val="001E0F2E"/>
    <w:rsid w:val="001E2509"/>
    <w:rsid w:val="001E2897"/>
    <w:rsid w:val="001E4B6E"/>
    <w:rsid w:val="001E5677"/>
    <w:rsid w:val="001E5DC3"/>
    <w:rsid w:val="001E71ED"/>
    <w:rsid w:val="001F087C"/>
    <w:rsid w:val="001F0EE6"/>
    <w:rsid w:val="001F1591"/>
    <w:rsid w:val="001F2621"/>
    <w:rsid w:val="001F2FBD"/>
    <w:rsid w:val="001F3A82"/>
    <w:rsid w:val="001F43B8"/>
    <w:rsid w:val="001F51BD"/>
    <w:rsid w:val="001F5732"/>
    <w:rsid w:val="001F57BE"/>
    <w:rsid w:val="001F5D63"/>
    <w:rsid w:val="001F62F8"/>
    <w:rsid w:val="001F7869"/>
    <w:rsid w:val="001F7DDB"/>
    <w:rsid w:val="001F7F2B"/>
    <w:rsid w:val="00202CA9"/>
    <w:rsid w:val="00202CEB"/>
    <w:rsid w:val="00203B47"/>
    <w:rsid w:val="00204E65"/>
    <w:rsid w:val="002051AE"/>
    <w:rsid w:val="0020624B"/>
    <w:rsid w:val="00206ADA"/>
    <w:rsid w:val="00210816"/>
    <w:rsid w:val="00211FA2"/>
    <w:rsid w:val="00212178"/>
    <w:rsid w:val="002124E6"/>
    <w:rsid w:val="0021334A"/>
    <w:rsid w:val="00213433"/>
    <w:rsid w:val="00213B1E"/>
    <w:rsid w:val="00215228"/>
    <w:rsid w:val="00216C78"/>
    <w:rsid w:val="002171A9"/>
    <w:rsid w:val="00222828"/>
    <w:rsid w:val="00224232"/>
    <w:rsid w:val="00224C4B"/>
    <w:rsid w:val="00225EB2"/>
    <w:rsid w:val="0023051C"/>
    <w:rsid w:val="00230BBC"/>
    <w:rsid w:val="0023169D"/>
    <w:rsid w:val="00232CEC"/>
    <w:rsid w:val="00233458"/>
    <w:rsid w:val="002335A7"/>
    <w:rsid w:val="0023416D"/>
    <w:rsid w:val="00234DF5"/>
    <w:rsid w:val="0023591D"/>
    <w:rsid w:val="002375E8"/>
    <w:rsid w:val="002376FB"/>
    <w:rsid w:val="002403A4"/>
    <w:rsid w:val="002403A7"/>
    <w:rsid w:val="00240B9C"/>
    <w:rsid w:val="00241516"/>
    <w:rsid w:val="00244A43"/>
    <w:rsid w:val="00244FA2"/>
    <w:rsid w:val="002457CC"/>
    <w:rsid w:val="00245914"/>
    <w:rsid w:val="00245A7F"/>
    <w:rsid w:val="00245FE9"/>
    <w:rsid w:val="0024649A"/>
    <w:rsid w:val="00246CC2"/>
    <w:rsid w:val="002474E1"/>
    <w:rsid w:val="00247996"/>
    <w:rsid w:val="00247E2D"/>
    <w:rsid w:val="00251AD0"/>
    <w:rsid w:val="00251E3C"/>
    <w:rsid w:val="0025243C"/>
    <w:rsid w:val="00252DED"/>
    <w:rsid w:val="00252E25"/>
    <w:rsid w:val="00252F54"/>
    <w:rsid w:val="002538AA"/>
    <w:rsid w:val="00254424"/>
    <w:rsid w:val="002549EE"/>
    <w:rsid w:val="00254DC9"/>
    <w:rsid w:val="002560CF"/>
    <w:rsid w:val="00256E78"/>
    <w:rsid w:val="002570CF"/>
    <w:rsid w:val="0026014B"/>
    <w:rsid w:val="002602AB"/>
    <w:rsid w:val="00260B69"/>
    <w:rsid w:val="002615B8"/>
    <w:rsid w:val="00261637"/>
    <w:rsid w:val="00261746"/>
    <w:rsid w:val="00265B24"/>
    <w:rsid w:val="00265F81"/>
    <w:rsid w:val="00265FE6"/>
    <w:rsid w:val="00267BEA"/>
    <w:rsid w:val="00267D4C"/>
    <w:rsid w:val="0027018D"/>
    <w:rsid w:val="00271A09"/>
    <w:rsid w:val="0027240E"/>
    <w:rsid w:val="00272697"/>
    <w:rsid w:val="00272DCF"/>
    <w:rsid w:val="00273376"/>
    <w:rsid w:val="00273F38"/>
    <w:rsid w:val="0027485F"/>
    <w:rsid w:val="00274B41"/>
    <w:rsid w:val="002754FD"/>
    <w:rsid w:val="0027575B"/>
    <w:rsid w:val="0027577E"/>
    <w:rsid w:val="0028041F"/>
    <w:rsid w:val="002823EC"/>
    <w:rsid w:val="002855C0"/>
    <w:rsid w:val="00287151"/>
    <w:rsid w:val="00291C0D"/>
    <w:rsid w:val="00291D54"/>
    <w:rsid w:val="00292197"/>
    <w:rsid w:val="00292209"/>
    <w:rsid w:val="002924A9"/>
    <w:rsid w:val="0029399D"/>
    <w:rsid w:val="00295526"/>
    <w:rsid w:val="00296837"/>
    <w:rsid w:val="0029703B"/>
    <w:rsid w:val="00297347"/>
    <w:rsid w:val="002A02D4"/>
    <w:rsid w:val="002A10DC"/>
    <w:rsid w:val="002A1142"/>
    <w:rsid w:val="002A1396"/>
    <w:rsid w:val="002A20D3"/>
    <w:rsid w:val="002A4538"/>
    <w:rsid w:val="002A4740"/>
    <w:rsid w:val="002A4B4C"/>
    <w:rsid w:val="002A55B5"/>
    <w:rsid w:val="002A570E"/>
    <w:rsid w:val="002A5CEE"/>
    <w:rsid w:val="002A5F75"/>
    <w:rsid w:val="002A64DD"/>
    <w:rsid w:val="002B0BB4"/>
    <w:rsid w:val="002B1F60"/>
    <w:rsid w:val="002B23F8"/>
    <w:rsid w:val="002B2C08"/>
    <w:rsid w:val="002B3A55"/>
    <w:rsid w:val="002B3F70"/>
    <w:rsid w:val="002B491B"/>
    <w:rsid w:val="002B5448"/>
    <w:rsid w:val="002C0A4E"/>
    <w:rsid w:val="002C0FC1"/>
    <w:rsid w:val="002C24D2"/>
    <w:rsid w:val="002C31B8"/>
    <w:rsid w:val="002C33C9"/>
    <w:rsid w:val="002C3A52"/>
    <w:rsid w:val="002C4B6E"/>
    <w:rsid w:val="002C4E8B"/>
    <w:rsid w:val="002C5CD9"/>
    <w:rsid w:val="002C7903"/>
    <w:rsid w:val="002D12AC"/>
    <w:rsid w:val="002D22DF"/>
    <w:rsid w:val="002D292C"/>
    <w:rsid w:val="002D36AC"/>
    <w:rsid w:val="002D492E"/>
    <w:rsid w:val="002D53C3"/>
    <w:rsid w:val="002D5572"/>
    <w:rsid w:val="002D7487"/>
    <w:rsid w:val="002D7659"/>
    <w:rsid w:val="002D7CCA"/>
    <w:rsid w:val="002D7D96"/>
    <w:rsid w:val="002E0786"/>
    <w:rsid w:val="002E1359"/>
    <w:rsid w:val="002E368A"/>
    <w:rsid w:val="002E3EE4"/>
    <w:rsid w:val="002E4000"/>
    <w:rsid w:val="002E5280"/>
    <w:rsid w:val="002E639C"/>
    <w:rsid w:val="002E6CA2"/>
    <w:rsid w:val="002E6DC6"/>
    <w:rsid w:val="002F0227"/>
    <w:rsid w:val="002F0A75"/>
    <w:rsid w:val="002F1362"/>
    <w:rsid w:val="002F233E"/>
    <w:rsid w:val="002F2396"/>
    <w:rsid w:val="002F2EBF"/>
    <w:rsid w:val="002F3C51"/>
    <w:rsid w:val="002F43BE"/>
    <w:rsid w:val="002F49E8"/>
    <w:rsid w:val="002F4C59"/>
    <w:rsid w:val="002F5455"/>
    <w:rsid w:val="002F60A3"/>
    <w:rsid w:val="002F63BA"/>
    <w:rsid w:val="002F71F9"/>
    <w:rsid w:val="002F7F71"/>
    <w:rsid w:val="003008CB"/>
    <w:rsid w:val="003008D7"/>
    <w:rsid w:val="00301462"/>
    <w:rsid w:val="003014C9"/>
    <w:rsid w:val="00302A16"/>
    <w:rsid w:val="00302E7D"/>
    <w:rsid w:val="00302ECB"/>
    <w:rsid w:val="00303C56"/>
    <w:rsid w:val="003043FF"/>
    <w:rsid w:val="00304515"/>
    <w:rsid w:val="003046F7"/>
    <w:rsid w:val="00307254"/>
    <w:rsid w:val="00307313"/>
    <w:rsid w:val="003074CA"/>
    <w:rsid w:val="003102C9"/>
    <w:rsid w:val="003105D9"/>
    <w:rsid w:val="00310B4C"/>
    <w:rsid w:val="00310B9D"/>
    <w:rsid w:val="00311C83"/>
    <w:rsid w:val="00312196"/>
    <w:rsid w:val="0031342A"/>
    <w:rsid w:val="00315BCC"/>
    <w:rsid w:val="00316086"/>
    <w:rsid w:val="003161BE"/>
    <w:rsid w:val="00316BD2"/>
    <w:rsid w:val="00316EB1"/>
    <w:rsid w:val="00320658"/>
    <w:rsid w:val="003212BA"/>
    <w:rsid w:val="00321BBC"/>
    <w:rsid w:val="00322539"/>
    <w:rsid w:val="00322864"/>
    <w:rsid w:val="00323F27"/>
    <w:rsid w:val="00324599"/>
    <w:rsid w:val="0032565E"/>
    <w:rsid w:val="00327788"/>
    <w:rsid w:val="00331EC5"/>
    <w:rsid w:val="00331F43"/>
    <w:rsid w:val="003324B7"/>
    <w:rsid w:val="00332C4B"/>
    <w:rsid w:val="003349E0"/>
    <w:rsid w:val="00335861"/>
    <w:rsid w:val="00336307"/>
    <w:rsid w:val="00336543"/>
    <w:rsid w:val="00337BF3"/>
    <w:rsid w:val="00340F20"/>
    <w:rsid w:val="00341D8C"/>
    <w:rsid w:val="00342DCA"/>
    <w:rsid w:val="003441A5"/>
    <w:rsid w:val="00346F0D"/>
    <w:rsid w:val="003470D4"/>
    <w:rsid w:val="00351B07"/>
    <w:rsid w:val="0035346E"/>
    <w:rsid w:val="00353F0E"/>
    <w:rsid w:val="003546D0"/>
    <w:rsid w:val="003560F0"/>
    <w:rsid w:val="00357E9C"/>
    <w:rsid w:val="0036083A"/>
    <w:rsid w:val="003610BF"/>
    <w:rsid w:val="0036376C"/>
    <w:rsid w:val="0036516E"/>
    <w:rsid w:val="0036533F"/>
    <w:rsid w:val="00365899"/>
    <w:rsid w:val="00366D38"/>
    <w:rsid w:val="00367F6B"/>
    <w:rsid w:val="0037016E"/>
    <w:rsid w:val="00373C22"/>
    <w:rsid w:val="00375549"/>
    <w:rsid w:val="00380A09"/>
    <w:rsid w:val="00380B60"/>
    <w:rsid w:val="00381DE5"/>
    <w:rsid w:val="00382C0C"/>
    <w:rsid w:val="003831AA"/>
    <w:rsid w:val="003840E6"/>
    <w:rsid w:val="003846CF"/>
    <w:rsid w:val="00384E00"/>
    <w:rsid w:val="00384FE9"/>
    <w:rsid w:val="00385807"/>
    <w:rsid w:val="00386342"/>
    <w:rsid w:val="0038785F"/>
    <w:rsid w:val="0039164B"/>
    <w:rsid w:val="00393723"/>
    <w:rsid w:val="00394A23"/>
    <w:rsid w:val="00395CAD"/>
    <w:rsid w:val="00395FDF"/>
    <w:rsid w:val="003A0888"/>
    <w:rsid w:val="003A0DEB"/>
    <w:rsid w:val="003A109F"/>
    <w:rsid w:val="003A19A2"/>
    <w:rsid w:val="003A19BF"/>
    <w:rsid w:val="003A1DDF"/>
    <w:rsid w:val="003B1052"/>
    <w:rsid w:val="003B1283"/>
    <w:rsid w:val="003B28B5"/>
    <w:rsid w:val="003B2FA4"/>
    <w:rsid w:val="003B317F"/>
    <w:rsid w:val="003B4468"/>
    <w:rsid w:val="003B4894"/>
    <w:rsid w:val="003B4918"/>
    <w:rsid w:val="003B4CE2"/>
    <w:rsid w:val="003B58CA"/>
    <w:rsid w:val="003B613F"/>
    <w:rsid w:val="003B6269"/>
    <w:rsid w:val="003B68C1"/>
    <w:rsid w:val="003B72AA"/>
    <w:rsid w:val="003C1B3F"/>
    <w:rsid w:val="003C1D1C"/>
    <w:rsid w:val="003C3B89"/>
    <w:rsid w:val="003C3EE6"/>
    <w:rsid w:val="003C46E1"/>
    <w:rsid w:val="003C5A72"/>
    <w:rsid w:val="003C69C2"/>
    <w:rsid w:val="003C7ED8"/>
    <w:rsid w:val="003D3989"/>
    <w:rsid w:val="003D45FE"/>
    <w:rsid w:val="003D64E6"/>
    <w:rsid w:val="003D7E1A"/>
    <w:rsid w:val="003D7F88"/>
    <w:rsid w:val="003E02BA"/>
    <w:rsid w:val="003E1E08"/>
    <w:rsid w:val="003E3E85"/>
    <w:rsid w:val="003E5E33"/>
    <w:rsid w:val="003E77AD"/>
    <w:rsid w:val="003E7960"/>
    <w:rsid w:val="003F0784"/>
    <w:rsid w:val="003F1934"/>
    <w:rsid w:val="003F1DC7"/>
    <w:rsid w:val="003F3981"/>
    <w:rsid w:val="003F59FC"/>
    <w:rsid w:val="003F64D3"/>
    <w:rsid w:val="003F6C96"/>
    <w:rsid w:val="00400742"/>
    <w:rsid w:val="00401125"/>
    <w:rsid w:val="004014CB"/>
    <w:rsid w:val="00403734"/>
    <w:rsid w:val="004041D6"/>
    <w:rsid w:val="00404265"/>
    <w:rsid w:val="004042EF"/>
    <w:rsid w:val="00404326"/>
    <w:rsid w:val="00404BD4"/>
    <w:rsid w:val="004052C5"/>
    <w:rsid w:val="004052C6"/>
    <w:rsid w:val="004056DB"/>
    <w:rsid w:val="00407B0D"/>
    <w:rsid w:val="00410589"/>
    <w:rsid w:val="0041151B"/>
    <w:rsid w:val="0041182E"/>
    <w:rsid w:val="00412442"/>
    <w:rsid w:val="00412967"/>
    <w:rsid w:val="00415575"/>
    <w:rsid w:val="00417DF5"/>
    <w:rsid w:val="00417E94"/>
    <w:rsid w:val="00421123"/>
    <w:rsid w:val="0042114F"/>
    <w:rsid w:val="0042228E"/>
    <w:rsid w:val="00424B1A"/>
    <w:rsid w:val="00424E8E"/>
    <w:rsid w:val="00424EE0"/>
    <w:rsid w:val="00425317"/>
    <w:rsid w:val="004253A8"/>
    <w:rsid w:val="00426903"/>
    <w:rsid w:val="00427051"/>
    <w:rsid w:val="00427E3E"/>
    <w:rsid w:val="00432158"/>
    <w:rsid w:val="00432E78"/>
    <w:rsid w:val="0043496F"/>
    <w:rsid w:val="00435397"/>
    <w:rsid w:val="00435ED2"/>
    <w:rsid w:val="00436D5F"/>
    <w:rsid w:val="004372A3"/>
    <w:rsid w:val="00437DAB"/>
    <w:rsid w:val="0044240B"/>
    <w:rsid w:val="004432E0"/>
    <w:rsid w:val="004436C6"/>
    <w:rsid w:val="00444054"/>
    <w:rsid w:val="00444BFA"/>
    <w:rsid w:val="004457B7"/>
    <w:rsid w:val="0044602F"/>
    <w:rsid w:val="00446209"/>
    <w:rsid w:val="00447C9D"/>
    <w:rsid w:val="004500BF"/>
    <w:rsid w:val="00450852"/>
    <w:rsid w:val="00450B5E"/>
    <w:rsid w:val="00452292"/>
    <w:rsid w:val="00452CDB"/>
    <w:rsid w:val="00453123"/>
    <w:rsid w:val="00455802"/>
    <w:rsid w:val="00455E63"/>
    <w:rsid w:val="0045605A"/>
    <w:rsid w:val="00457443"/>
    <w:rsid w:val="004577A4"/>
    <w:rsid w:val="00460606"/>
    <w:rsid w:val="00461707"/>
    <w:rsid w:val="004618B1"/>
    <w:rsid w:val="00462761"/>
    <w:rsid w:val="00462C92"/>
    <w:rsid w:val="0046311F"/>
    <w:rsid w:val="00463C6B"/>
    <w:rsid w:val="00465B61"/>
    <w:rsid w:val="00465F39"/>
    <w:rsid w:val="0046684C"/>
    <w:rsid w:val="00466910"/>
    <w:rsid w:val="004674B2"/>
    <w:rsid w:val="004704D6"/>
    <w:rsid w:val="004723C9"/>
    <w:rsid w:val="004726C7"/>
    <w:rsid w:val="0047367F"/>
    <w:rsid w:val="00473E67"/>
    <w:rsid w:val="004740E0"/>
    <w:rsid w:val="00474361"/>
    <w:rsid w:val="00474F6C"/>
    <w:rsid w:val="00475512"/>
    <w:rsid w:val="00476A0A"/>
    <w:rsid w:val="00477BB3"/>
    <w:rsid w:val="0048009E"/>
    <w:rsid w:val="004805C1"/>
    <w:rsid w:val="0048261C"/>
    <w:rsid w:val="00483B0E"/>
    <w:rsid w:val="00484329"/>
    <w:rsid w:val="00485AF8"/>
    <w:rsid w:val="00485E43"/>
    <w:rsid w:val="004863A6"/>
    <w:rsid w:val="004877B6"/>
    <w:rsid w:val="00490B80"/>
    <w:rsid w:val="00491AF9"/>
    <w:rsid w:val="0049233B"/>
    <w:rsid w:val="0049299C"/>
    <w:rsid w:val="00494B89"/>
    <w:rsid w:val="00495076"/>
    <w:rsid w:val="0049621D"/>
    <w:rsid w:val="004962B7"/>
    <w:rsid w:val="00496A8D"/>
    <w:rsid w:val="00497AC2"/>
    <w:rsid w:val="004A4BE5"/>
    <w:rsid w:val="004A59DC"/>
    <w:rsid w:val="004A67DA"/>
    <w:rsid w:val="004A7374"/>
    <w:rsid w:val="004B0F6D"/>
    <w:rsid w:val="004B3556"/>
    <w:rsid w:val="004B4758"/>
    <w:rsid w:val="004B59A2"/>
    <w:rsid w:val="004B5BF7"/>
    <w:rsid w:val="004B67C3"/>
    <w:rsid w:val="004B6F0C"/>
    <w:rsid w:val="004B7925"/>
    <w:rsid w:val="004C0798"/>
    <w:rsid w:val="004C0EBB"/>
    <w:rsid w:val="004C155B"/>
    <w:rsid w:val="004C3E0D"/>
    <w:rsid w:val="004C3E86"/>
    <w:rsid w:val="004C43C4"/>
    <w:rsid w:val="004C4DA9"/>
    <w:rsid w:val="004C4E66"/>
    <w:rsid w:val="004C5962"/>
    <w:rsid w:val="004C5AB9"/>
    <w:rsid w:val="004C5B4C"/>
    <w:rsid w:val="004C5DAD"/>
    <w:rsid w:val="004C6078"/>
    <w:rsid w:val="004C6C61"/>
    <w:rsid w:val="004C7E4F"/>
    <w:rsid w:val="004D10AB"/>
    <w:rsid w:val="004D1633"/>
    <w:rsid w:val="004D2A6D"/>
    <w:rsid w:val="004D33FE"/>
    <w:rsid w:val="004D364E"/>
    <w:rsid w:val="004D38D2"/>
    <w:rsid w:val="004D3B41"/>
    <w:rsid w:val="004D4077"/>
    <w:rsid w:val="004D466D"/>
    <w:rsid w:val="004D4B26"/>
    <w:rsid w:val="004D5DBA"/>
    <w:rsid w:val="004D5E9A"/>
    <w:rsid w:val="004D671F"/>
    <w:rsid w:val="004D6EC1"/>
    <w:rsid w:val="004D6FA3"/>
    <w:rsid w:val="004D75A4"/>
    <w:rsid w:val="004D7DBA"/>
    <w:rsid w:val="004E04D7"/>
    <w:rsid w:val="004E2199"/>
    <w:rsid w:val="004E2321"/>
    <w:rsid w:val="004E3380"/>
    <w:rsid w:val="004E52A6"/>
    <w:rsid w:val="004E567D"/>
    <w:rsid w:val="004F068D"/>
    <w:rsid w:val="004F0838"/>
    <w:rsid w:val="004F1F6C"/>
    <w:rsid w:val="004F2C85"/>
    <w:rsid w:val="004F2CBE"/>
    <w:rsid w:val="004F5B77"/>
    <w:rsid w:val="004F5CB0"/>
    <w:rsid w:val="004F6269"/>
    <w:rsid w:val="0050028C"/>
    <w:rsid w:val="005010EB"/>
    <w:rsid w:val="00501FA5"/>
    <w:rsid w:val="0050323E"/>
    <w:rsid w:val="00503B62"/>
    <w:rsid w:val="005054DD"/>
    <w:rsid w:val="005065B5"/>
    <w:rsid w:val="00510018"/>
    <w:rsid w:val="00511398"/>
    <w:rsid w:val="005116F4"/>
    <w:rsid w:val="0051242B"/>
    <w:rsid w:val="005137D4"/>
    <w:rsid w:val="00513836"/>
    <w:rsid w:val="00513DBA"/>
    <w:rsid w:val="005179D0"/>
    <w:rsid w:val="00517DEC"/>
    <w:rsid w:val="00520B41"/>
    <w:rsid w:val="00521162"/>
    <w:rsid w:val="005227F1"/>
    <w:rsid w:val="005238D7"/>
    <w:rsid w:val="0052436D"/>
    <w:rsid w:val="00524843"/>
    <w:rsid w:val="00525125"/>
    <w:rsid w:val="005265AF"/>
    <w:rsid w:val="005266CF"/>
    <w:rsid w:val="00526EBD"/>
    <w:rsid w:val="00531AF3"/>
    <w:rsid w:val="005327DE"/>
    <w:rsid w:val="00532968"/>
    <w:rsid w:val="005343DD"/>
    <w:rsid w:val="00534B75"/>
    <w:rsid w:val="005352B8"/>
    <w:rsid w:val="00535D99"/>
    <w:rsid w:val="00535DF6"/>
    <w:rsid w:val="00536891"/>
    <w:rsid w:val="00537290"/>
    <w:rsid w:val="0053737D"/>
    <w:rsid w:val="00537E2D"/>
    <w:rsid w:val="005406CA"/>
    <w:rsid w:val="00541244"/>
    <w:rsid w:val="00541513"/>
    <w:rsid w:val="0054242C"/>
    <w:rsid w:val="00543D4A"/>
    <w:rsid w:val="005463F8"/>
    <w:rsid w:val="00546F7B"/>
    <w:rsid w:val="00550D06"/>
    <w:rsid w:val="00552E87"/>
    <w:rsid w:val="00554AA6"/>
    <w:rsid w:val="00556BEF"/>
    <w:rsid w:val="00560720"/>
    <w:rsid w:val="00562EAE"/>
    <w:rsid w:val="00564133"/>
    <w:rsid w:val="00564670"/>
    <w:rsid w:val="0056492A"/>
    <w:rsid w:val="005665F0"/>
    <w:rsid w:val="00566D46"/>
    <w:rsid w:val="00567793"/>
    <w:rsid w:val="00570889"/>
    <w:rsid w:val="0057167B"/>
    <w:rsid w:val="00571867"/>
    <w:rsid w:val="00572C63"/>
    <w:rsid w:val="00573767"/>
    <w:rsid w:val="00574BB2"/>
    <w:rsid w:val="0057547F"/>
    <w:rsid w:val="005758E2"/>
    <w:rsid w:val="00575A22"/>
    <w:rsid w:val="00575F2D"/>
    <w:rsid w:val="00576801"/>
    <w:rsid w:val="00576AB0"/>
    <w:rsid w:val="00576D99"/>
    <w:rsid w:val="0058029C"/>
    <w:rsid w:val="00580570"/>
    <w:rsid w:val="00581E47"/>
    <w:rsid w:val="00583934"/>
    <w:rsid w:val="00584353"/>
    <w:rsid w:val="00584800"/>
    <w:rsid w:val="005854D5"/>
    <w:rsid w:val="00586918"/>
    <w:rsid w:val="00587542"/>
    <w:rsid w:val="00587818"/>
    <w:rsid w:val="005911EA"/>
    <w:rsid w:val="00591D95"/>
    <w:rsid w:val="00592077"/>
    <w:rsid w:val="0059213C"/>
    <w:rsid w:val="005924A6"/>
    <w:rsid w:val="00593B83"/>
    <w:rsid w:val="00594116"/>
    <w:rsid w:val="00595B25"/>
    <w:rsid w:val="00596678"/>
    <w:rsid w:val="005A0D28"/>
    <w:rsid w:val="005A0E38"/>
    <w:rsid w:val="005A1EDB"/>
    <w:rsid w:val="005A2731"/>
    <w:rsid w:val="005A2F43"/>
    <w:rsid w:val="005A3F15"/>
    <w:rsid w:val="005A4456"/>
    <w:rsid w:val="005A638D"/>
    <w:rsid w:val="005A6AC5"/>
    <w:rsid w:val="005A756B"/>
    <w:rsid w:val="005B092C"/>
    <w:rsid w:val="005B0E9E"/>
    <w:rsid w:val="005B49E1"/>
    <w:rsid w:val="005B4A2F"/>
    <w:rsid w:val="005B53F5"/>
    <w:rsid w:val="005B65FA"/>
    <w:rsid w:val="005B6720"/>
    <w:rsid w:val="005B6969"/>
    <w:rsid w:val="005C01D6"/>
    <w:rsid w:val="005C0D47"/>
    <w:rsid w:val="005C1686"/>
    <w:rsid w:val="005C364F"/>
    <w:rsid w:val="005C3850"/>
    <w:rsid w:val="005C3EA1"/>
    <w:rsid w:val="005C46E5"/>
    <w:rsid w:val="005C4C0A"/>
    <w:rsid w:val="005C50C9"/>
    <w:rsid w:val="005C5A3F"/>
    <w:rsid w:val="005C6A92"/>
    <w:rsid w:val="005D0584"/>
    <w:rsid w:val="005D097D"/>
    <w:rsid w:val="005D1038"/>
    <w:rsid w:val="005D1465"/>
    <w:rsid w:val="005D3CA6"/>
    <w:rsid w:val="005D541C"/>
    <w:rsid w:val="005D65F7"/>
    <w:rsid w:val="005D740E"/>
    <w:rsid w:val="005D7CDF"/>
    <w:rsid w:val="005E0F4E"/>
    <w:rsid w:val="005E1D40"/>
    <w:rsid w:val="005E21B2"/>
    <w:rsid w:val="005E2A26"/>
    <w:rsid w:val="005E2B01"/>
    <w:rsid w:val="005E3FB8"/>
    <w:rsid w:val="005E422B"/>
    <w:rsid w:val="005E4887"/>
    <w:rsid w:val="005E51FE"/>
    <w:rsid w:val="005E551E"/>
    <w:rsid w:val="005E6757"/>
    <w:rsid w:val="005E6AF3"/>
    <w:rsid w:val="005E6DFC"/>
    <w:rsid w:val="005F0786"/>
    <w:rsid w:val="005F0BFF"/>
    <w:rsid w:val="005F2585"/>
    <w:rsid w:val="005F262D"/>
    <w:rsid w:val="005F27CC"/>
    <w:rsid w:val="005F476A"/>
    <w:rsid w:val="005F4776"/>
    <w:rsid w:val="005F536E"/>
    <w:rsid w:val="005F57F6"/>
    <w:rsid w:val="005F6AF4"/>
    <w:rsid w:val="005F709D"/>
    <w:rsid w:val="006011F4"/>
    <w:rsid w:val="0060326C"/>
    <w:rsid w:val="0060457D"/>
    <w:rsid w:val="0060619C"/>
    <w:rsid w:val="00606710"/>
    <w:rsid w:val="00606F31"/>
    <w:rsid w:val="00607BDC"/>
    <w:rsid w:val="00610354"/>
    <w:rsid w:val="00610BC9"/>
    <w:rsid w:val="00612331"/>
    <w:rsid w:val="00612819"/>
    <w:rsid w:val="0061378E"/>
    <w:rsid w:val="006168B7"/>
    <w:rsid w:val="00616904"/>
    <w:rsid w:val="00617740"/>
    <w:rsid w:val="00617DB7"/>
    <w:rsid w:val="00620061"/>
    <w:rsid w:val="00620DAE"/>
    <w:rsid w:val="00621DDD"/>
    <w:rsid w:val="006223BA"/>
    <w:rsid w:val="006248F9"/>
    <w:rsid w:val="00624F87"/>
    <w:rsid w:val="00625DA1"/>
    <w:rsid w:val="00626135"/>
    <w:rsid w:val="006276AC"/>
    <w:rsid w:val="006278DC"/>
    <w:rsid w:val="00630721"/>
    <w:rsid w:val="00631047"/>
    <w:rsid w:val="006313F5"/>
    <w:rsid w:val="006317D6"/>
    <w:rsid w:val="0063288A"/>
    <w:rsid w:val="006328E9"/>
    <w:rsid w:val="00635576"/>
    <w:rsid w:val="0063625D"/>
    <w:rsid w:val="00636E89"/>
    <w:rsid w:val="00637C80"/>
    <w:rsid w:val="00642288"/>
    <w:rsid w:val="0064236A"/>
    <w:rsid w:val="00644A9B"/>
    <w:rsid w:val="00644E65"/>
    <w:rsid w:val="00646247"/>
    <w:rsid w:val="00647020"/>
    <w:rsid w:val="006473A9"/>
    <w:rsid w:val="00647B5A"/>
    <w:rsid w:val="00651E93"/>
    <w:rsid w:val="006528ED"/>
    <w:rsid w:val="00653E4F"/>
    <w:rsid w:val="00656330"/>
    <w:rsid w:val="006567D2"/>
    <w:rsid w:val="006577EE"/>
    <w:rsid w:val="006610AC"/>
    <w:rsid w:val="0066195F"/>
    <w:rsid w:val="00662873"/>
    <w:rsid w:val="00662AA6"/>
    <w:rsid w:val="00662BDE"/>
    <w:rsid w:val="00663903"/>
    <w:rsid w:val="0066545C"/>
    <w:rsid w:val="00665A5E"/>
    <w:rsid w:val="0066681E"/>
    <w:rsid w:val="00667AD1"/>
    <w:rsid w:val="00667B7F"/>
    <w:rsid w:val="00670005"/>
    <w:rsid w:val="00670C7E"/>
    <w:rsid w:val="00672B9B"/>
    <w:rsid w:val="006739B4"/>
    <w:rsid w:val="006749BA"/>
    <w:rsid w:val="006755C4"/>
    <w:rsid w:val="0067591B"/>
    <w:rsid w:val="00677A97"/>
    <w:rsid w:val="006800B8"/>
    <w:rsid w:val="00680676"/>
    <w:rsid w:val="00680E34"/>
    <w:rsid w:val="00682CA0"/>
    <w:rsid w:val="00683E93"/>
    <w:rsid w:val="00683EAB"/>
    <w:rsid w:val="00684467"/>
    <w:rsid w:val="00684D38"/>
    <w:rsid w:val="00685DE7"/>
    <w:rsid w:val="006863F4"/>
    <w:rsid w:val="0068688D"/>
    <w:rsid w:val="00690FBC"/>
    <w:rsid w:val="00692E6F"/>
    <w:rsid w:val="006934E6"/>
    <w:rsid w:val="00693EC2"/>
    <w:rsid w:val="006943A6"/>
    <w:rsid w:val="0069521B"/>
    <w:rsid w:val="00696FC4"/>
    <w:rsid w:val="006A02F1"/>
    <w:rsid w:val="006A06DC"/>
    <w:rsid w:val="006A127A"/>
    <w:rsid w:val="006A1BE0"/>
    <w:rsid w:val="006A255B"/>
    <w:rsid w:val="006A3093"/>
    <w:rsid w:val="006A5AEF"/>
    <w:rsid w:val="006A603E"/>
    <w:rsid w:val="006A7509"/>
    <w:rsid w:val="006B186A"/>
    <w:rsid w:val="006B1B0F"/>
    <w:rsid w:val="006B1E79"/>
    <w:rsid w:val="006B3E98"/>
    <w:rsid w:val="006B3FAD"/>
    <w:rsid w:val="006B44F6"/>
    <w:rsid w:val="006B4D0F"/>
    <w:rsid w:val="006B5F0F"/>
    <w:rsid w:val="006B62C4"/>
    <w:rsid w:val="006B6623"/>
    <w:rsid w:val="006B6C4D"/>
    <w:rsid w:val="006C0205"/>
    <w:rsid w:val="006C1394"/>
    <w:rsid w:val="006C1932"/>
    <w:rsid w:val="006C2B32"/>
    <w:rsid w:val="006C2E53"/>
    <w:rsid w:val="006C303E"/>
    <w:rsid w:val="006C353E"/>
    <w:rsid w:val="006C3807"/>
    <w:rsid w:val="006C4808"/>
    <w:rsid w:val="006C78CF"/>
    <w:rsid w:val="006D047F"/>
    <w:rsid w:val="006D0DD1"/>
    <w:rsid w:val="006D10EC"/>
    <w:rsid w:val="006D1593"/>
    <w:rsid w:val="006D317C"/>
    <w:rsid w:val="006D5320"/>
    <w:rsid w:val="006D5930"/>
    <w:rsid w:val="006D5964"/>
    <w:rsid w:val="006D5C92"/>
    <w:rsid w:val="006D7B7F"/>
    <w:rsid w:val="006D7EBB"/>
    <w:rsid w:val="006E0C5E"/>
    <w:rsid w:val="006E0ECD"/>
    <w:rsid w:val="006E1DA0"/>
    <w:rsid w:val="006E2EF9"/>
    <w:rsid w:val="006E3280"/>
    <w:rsid w:val="006E3D87"/>
    <w:rsid w:val="006E45C7"/>
    <w:rsid w:val="006E79AE"/>
    <w:rsid w:val="006F047F"/>
    <w:rsid w:val="006F05B3"/>
    <w:rsid w:val="006F1356"/>
    <w:rsid w:val="006F1A7B"/>
    <w:rsid w:val="006F1E3C"/>
    <w:rsid w:val="006F39D2"/>
    <w:rsid w:val="006F57D8"/>
    <w:rsid w:val="006F5BD8"/>
    <w:rsid w:val="006F6D58"/>
    <w:rsid w:val="006F76BF"/>
    <w:rsid w:val="0070050F"/>
    <w:rsid w:val="00703BB4"/>
    <w:rsid w:val="00704371"/>
    <w:rsid w:val="00706921"/>
    <w:rsid w:val="007105ED"/>
    <w:rsid w:val="00710D57"/>
    <w:rsid w:val="00711E39"/>
    <w:rsid w:val="00712DCF"/>
    <w:rsid w:val="007133D7"/>
    <w:rsid w:val="0071347E"/>
    <w:rsid w:val="00716444"/>
    <w:rsid w:val="007168A7"/>
    <w:rsid w:val="00716AC3"/>
    <w:rsid w:val="00716B08"/>
    <w:rsid w:val="00717234"/>
    <w:rsid w:val="00717D95"/>
    <w:rsid w:val="00721241"/>
    <w:rsid w:val="007243F6"/>
    <w:rsid w:val="007262FB"/>
    <w:rsid w:val="00727DF4"/>
    <w:rsid w:val="00731B71"/>
    <w:rsid w:val="00731C5B"/>
    <w:rsid w:val="00732970"/>
    <w:rsid w:val="007330F9"/>
    <w:rsid w:val="00734557"/>
    <w:rsid w:val="007359C4"/>
    <w:rsid w:val="00736088"/>
    <w:rsid w:val="00741388"/>
    <w:rsid w:val="00744218"/>
    <w:rsid w:val="00744F59"/>
    <w:rsid w:val="00745CFD"/>
    <w:rsid w:val="0074644E"/>
    <w:rsid w:val="00747445"/>
    <w:rsid w:val="00747CC2"/>
    <w:rsid w:val="0075275E"/>
    <w:rsid w:val="00753F1B"/>
    <w:rsid w:val="00755341"/>
    <w:rsid w:val="00756CF1"/>
    <w:rsid w:val="00760F45"/>
    <w:rsid w:val="00760F8C"/>
    <w:rsid w:val="00761862"/>
    <w:rsid w:val="007618D7"/>
    <w:rsid w:val="00762A7C"/>
    <w:rsid w:val="00763694"/>
    <w:rsid w:val="00763CB1"/>
    <w:rsid w:val="00764113"/>
    <w:rsid w:val="007647CD"/>
    <w:rsid w:val="00770BD8"/>
    <w:rsid w:val="00770EC6"/>
    <w:rsid w:val="00771A25"/>
    <w:rsid w:val="007742BF"/>
    <w:rsid w:val="00774D48"/>
    <w:rsid w:val="00774F40"/>
    <w:rsid w:val="007761E0"/>
    <w:rsid w:val="00776E25"/>
    <w:rsid w:val="007829F4"/>
    <w:rsid w:val="0078473D"/>
    <w:rsid w:val="007847BE"/>
    <w:rsid w:val="00784A89"/>
    <w:rsid w:val="00785A5C"/>
    <w:rsid w:val="00786067"/>
    <w:rsid w:val="007863A0"/>
    <w:rsid w:val="00786BB3"/>
    <w:rsid w:val="00786DAE"/>
    <w:rsid w:val="007872D3"/>
    <w:rsid w:val="00787A70"/>
    <w:rsid w:val="00791D01"/>
    <w:rsid w:val="00792505"/>
    <w:rsid w:val="00792E33"/>
    <w:rsid w:val="00793765"/>
    <w:rsid w:val="007937DA"/>
    <w:rsid w:val="00794587"/>
    <w:rsid w:val="0079531D"/>
    <w:rsid w:val="00795FAD"/>
    <w:rsid w:val="00796907"/>
    <w:rsid w:val="00796BBA"/>
    <w:rsid w:val="00796CDA"/>
    <w:rsid w:val="00796E9E"/>
    <w:rsid w:val="0079718D"/>
    <w:rsid w:val="007973FD"/>
    <w:rsid w:val="0079767A"/>
    <w:rsid w:val="007A2F7A"/>
    <w:rsid w:val="007A6338"/>
    <w:rsid w:val="007A661C"/>
    <w:rsid w:val="007A6B6A"/>
    <w:rsid w:val="007A79EE"/>
    <w:rsid w:val="007B0023"/>
    <w:rsid w:val="007B0254"/>
    <w:rsid w:val="007B0DC2"/>
    <w:rsid w:val="007B2344"/>
    <w:rsid w:val="007B24B9"/>
    <w:rsid w:val="007B3B36"/>
    <w:rsid w:val="007B4BF7"/>
    <w:rsid w:val="007B5427"/>
    <w:rsid w:val="007B6ACD"/>
    <w:rsid w:val="007B6C4A"/>
    <w:rsid w:val="007C042F"/>
    <w:rsid w:val="007C25D0"/>
    <w:rsid w:val="007C4A35"/>
    <w:rsid w:val="007C717D"/>
    <w:rsid w:val="007C71CF"/>
    <w:rsid w:val="007C741C"/>
    <w:rsid w:val="007C7BC0"/>
    <w:rsid w:val="007D101D"/>
    <w:rsid w:val="007D1CC9"/>
    <w:rsid w:val="007D1D0F"/>
    <w:rsid w:val="007D210B"/>
    <w:rsid w:val="007D2326"/>
    <w:rsid w:val="007D26C3"/>
    <w:rsid w:val="007D27B3"/>
    <w:rsid w:val="007D374B"/>
    <w:rsid w:val="007D4195"/>
    <w:rsid w:val="007D5D49"/>
    <w:rsid w:val="007D66BF"/>
    <w:rsid w:val="007D67D7"/>
    <w:rsid w:val="007E1A0C"/>
    <w:rsid w:val="007E1DD8"/>
    <w:rsid w:val="007E453A"/>
    <w:rsid w:val="007E4B07"/>
    <w:rsid w:val="007E4BE7"/>
    <w:rsid w:val="007E62B2"/>
    <w:rsid w:val="007E6857"/>
    <w:rsid w:val="007E6B2D"/>
    <w:rsid w:val="007E7CAC"/>
    <w:rsid w:val="007F0101"/>
    <w:rsid w:val="007F1885"/>
    <w:rsid w:val="007F2D91"/>
    <w:rsid w:val="007F46A5"/>
    <w:rsid w:val="007F4C08"/>
    <w:rsid w:val="007F6B19"/>
    <w:rsid w:val="007F7C77"/>
    <w:rsid w:val="00800341"/>
    <w:rsid w:val="0080116B"/>
    <w:rsid w:val="0080372F"/>
    <w:rsid w:val="00805A36"/>
    <w:rsid w:val="00805F0E"/>
    <w:rsid w:val="00806DD7"/>
    <w:rsid w:val="00810CD2"/>
    <w:rsid w:val="00816D09"/>
    <w:rsid w:val="008172D7"/>
    <w:rsid w:val="00817430"/>
    <w:rsid w:val="00820E8E"/>
    <w:rsid w:val="00820ECF"/>
    <w:rsid w:val="008245A7"/>
    <w:rsid w:val="008248E9"/>
    <w:rsid w:val="008320A5"/>
    <w:rsid w:val="008329A5"/>
    <w:rsid w:val="00834D30"/>
    <w:rsid w:val="00835639"/>
    <w:rsid w:val="008357E1"/>
    <w:rsid w:val="008374F1"/>
    <w:rsid w:val="0084020D"/>
    <w:rsid w:val="00840580"/>
    <w:rsid w:val="008407B4"/>
    <w:rsid w:val="00840B0C"/>
    <w:rsid w:val="00841C2D"/>
    <w:rsid w:val="00843AE8"/>
    <w:rsid w:val="00844131"/>
    <w:rsid w:val="008446C3"/>
    <w:rsid w:val="008448A1"/>
    <w:rsid w:val="00845378"/>
    <w:rsid w:val="00845451"/>
    <w:rsid w:val="00845C91"/>
    <w:rsid w:val="00845F18"/>
    <w:rsid w:val="00846003"/>
    <w:rsid w:val="008477AC"/>
    <w:rsid w:val="00851DD4"/>
    <w:rsid w:val="00851E6D"/>
    <w:rsid w:val="00853481"/>
    <w:rsid w:val="00855042"/>
    <w:rsid w:val="00856BDC"/>
    <w:rsid w:val="00857E9D"/>
    <w:rsid w:val="008600A0"/>
    <w:rsid w:val="00860797"/>
    <w:rsid w:val="00860A3A"/>
    <w:rsid w:val="00863EFE"/>
    <w:rsid w:val="008649A0"/>
    <w:rsid w:val="00866241"/>
    <w:rsid w:val="0086673A"/>
    <w:rsid w:val="00866D03"/>
    <w:rsid w:val="0086710B"/>
    <w:rsid w:val="00870146"/>
    <w:rsid w:val="008718BC"/>
    <w:rsid w:val="00872274"/>
    <w:rsid w:val="00872DE0"/>
    <w:rsid w:val="00872F17"/>
    <w:rsid w:val="008739AA"/>
    <w:rsid w:val="00874B29"/>
    <w:rsid w:val="00876BB6"/>
    <w:rsid w:val="008778C1"/>
    <w:rsid w:val="00880037"/>
    <w:rsid w:val="00880086"/>
    <w:rsid w:val="00882CCD"/>
    <w:rsid w:val="00883212"/>
    <w:rsid w:val="008836E7"/>
    <w:rsid w:val="00883EAE"/>
    <w:rsid w:val="00884254"/>
    <w:rsid w:val="00884300"/>
    <w:rsid w:val="008843DA"/>
    <w:rsid w:val="0088639B"/>
    <w:rsid w:val="0089059F"/>
    <w:rsid w:val="008908E9"/>
    <w:rsid w:val="008918C1"/>
    <w:rsid w:val="00893121"/>
    <w:rsid w:val="0089347D"/>
    <w:rsid w:val="00893E32"/>
    <w:rsid w:val="00894A11"/>
    <w:rsid w:val="00895B3C"/>
    <w:rsid w:val="008A0075"/>
    <w:rsid w:val="008A09E3"/>
    <w:rsid w:val="008A1709"/>
    <w:rsid w:val="008A1A0F"/>
    <w:rsid w:val="008A1BC9"/>
    <w:rsid w:val="008A20D9"/>
    <w:rsid w:val="008A2BCA"/>
    <w:rsid w:val="008A2ED3"/>
    <w:rsid w:val="008A3724"/>
    <w:rsid w:val="008A398C"/>
    <w:rsid w:val="008A3F02"/>
    <w:rsid w:val="008A4941"/>
    <w:rsid w:val="008A5F1D"/>
    <w:rsid w:val="008A6FC1"/>
    <w:rsid w:val="008A7989"/>
    <w:rsid w:val="008A7E48"/>
    <w:rsid w:val="008A7E7D"/>
    <w:rsid w:val="008B29AC"/>
    <w:rsid w:val="008B37EB"/>
    <w:rsid w:val="008C1712"/>
    <w:rsid w:val="008C1B0A"/>
    <w:rsid w:val="008C36C5"/>
    <w:rsid w:val="008C383C"/>
    <w:rsid w:val="008C3901"/>
    <w:rsid w:val="008C5BEA"/>
    <w:rsid w:val="008C5D42"/>
    <w:rsid w:val="008C725D"/>
    <w:rsid w:val="008C75F5"/>
    <w:rsid w:val="008D16D6"/>
    <w:rsid w:val="008D1782"/>
    <w:rsid w:val="008D17E6"/>
    <w:rsid w:val="008D1AB8"/>
    <w:rsid w:val="008D1EFA"/>
    <w:rsid w:val="008D24A3"/>
    <w:rsid w:val="008D2CAF"/>
    <w:rsid w:val="008D422F"/>
    <w:rsid w:val="008D4462"/>
    <w:rsid w:val="008D52CA"/>
    <w:rsid w:val="008D5A9B"/>
    <w:rsid w:val="008E180A"/>
    <w:rsid w:val="008E248B"/>
    <w:rsid w:val="008E3263"/>
    <w:rsid w:val="008E4835"/>
    <w:rsid w:val="008E556E"/>
    <w:rsid w:val="008E68BF"/>
    <w:rsid w:val="008E7B12"/>
    <w:rsid w:val="008E7F75"/>
    <w:rsid w:val="008F01F2"/>
    <w:rsid w:val="008F1FA1"/>
    <w:rsid w:val="008F246D"/>
    <w:rsid w:val="008F2984"/>
    <w:rsid w:val="008F2C1C"/>
    <w:rsid w:val="008F2DB0"/>
    <w:rsid w:val="008F3ED2"/>
    <w:rsid w:val="008F5F07"/>
    <w:rsid w:val="008F6E59"/>
    <w:rsid w:val="008F720D"/>
    <w:rsid w:val="008F7572"/>
    <w:rsid w:val="00900251"/>
    <w:rsid w:val="0090293D"/>
    <w:rsid w:val="00902B12"/>
    <w:rsid w:val="00903521"/>
    <w:rsid w:val="00903B25"/>
    <w:rsid w:val="009047D0"/>
    <w:rsid w:val="00905E15"/>
    <w:rsid w:val="009069FA"/>
    <w:rsid w:val="00906F60"/>
    <w:rsid w:val="009071D3"/>
    <w:rsid w:val="00907FBB"/>
    <w:rsid w:val="00910CDA"/>
    <w:rsid w:val="00910F55"/>
    <w:rsid w:val="00911888"/>
    <w:rsid w:val="00911D2D"/>
    <w:rsid w:val="00912266"/>
    <w:rsid w:val="0091235C"/>
    <w:rsid w:val="00912926"/>
    <w:rsid w:val="00912DDA"/>
    <w:rsid w:val="00913CE0"/>
    <w:rsid w:val="00913E12"/>
    <w:rsid w:val="00914647"/>
    <w:rsid w:val="0091736F"/>
    <w:rsid w:val="009203C5"/>
    <w:rsid w:val="00922261"/>
    <w:rsid w:val="009224AE"/>
    <w:rsid w:val="009227DA"/>
    <w:rsid w:val="009235E7"/>
    <w:rsid w:val="009241FB"/>
    <w:rsid w:val="00926A84"/>
    <w:rsid w:val="009270FB"/>
    <w:rsid w:val="009315C5"/>
    <w:rsid w:val="00932304"/>
    <w:rsid w:val="0093380F"/>
    <w:rsid w:val="009349E9"/>
    <w:rsid w:val="00935075"/>
    <w:rsid w:val="00935098"/>
    <w:rsid w:val="00935FA3"/>
    <w:rsid w:val="00940B56"/>
    <w:rsid w:val="00940F62"/>
    <w:rsid w:val="009423C3"/>
    <w:rsid w:val="0094355D"/>
    <w:rsid w:val="00945F20"/>
    <w:rsid w:val="0094665D"/>
    <w:rsid w:val="0094741A"/>
    <w:rsid w:val="00947C7B"/>
    <w:rsid w:val="0095034F"/>
    <w:rsid w:val="00951404"/>
    <w:rsid w:val="009519E8"/>
    <w:rsid w:val="009529A4"/>
    <w:rsid w:val="00952ABB"/>
    <w:rsid w:val="00952D81"/>
    <w:rsid w:val="009535BA"/>
    <w:rsid w:val="0095392D"/>
    <w:rsid w:val="00953DA5"/>
    <w:rsid w:val="00954DAD"/>
    <w:rsid w:val="009553EB"/>
    <w:rsid w:val="009553ED"/>
    <w:rsid w:val="00960A30"/>
    <w:rsid w:val="00961196"/>
    <w:rsid w:val="00962F49"/>
    <w:rsid w:val="0096331A"/>
    <w:rsid w:val="00963A3D"/>
    <w:rsid w:val="0096585A"/>
    <w:rsid w:val="00967F41"/>
    <w:rsid w:val="009713DD"/>
    <w:rsid w:val="00971E41"/>
    <w:rsid w:val="0097244E"/>
    <w:rsid w:val="009730F7"/>
    <w:rsid w:val="0097322A"/>
    <w:rsid w:val="009743A0"/>
    <w:rsid w:val="00974AF2"/>
    <w:rsid w:val="00975DA3"/>
    <w:rsid w:val="009772CA"/>
    <w:rsid w:val="009832E9"/>
    <w:rsid w:val="00983539"/>
    <w:rsid w:val="00984AC6"/>
    <w:rsid w:val="00985E1A"/>
    <w:rsid w:val="00987672"/>
    <w:rsid w:val="00990216"/>
    <w:rsid w:val="0099100D"/>
    <w:rsid w:val="0099280E"/>
    <w:rsid w:val="00992C61"/>
    <w:rsid w:val="00993882"/>
    <w:rsid w:val="00994158"/>
    <w:rsid w:val="00994EC7"/>
    <w:rsid w:val="009954ED"/>
    <w:rsid w:val="009957CF"/>
    <w:rsid w:val="009961BA"/>
    <w:rsid w:val="00996DF2"/>
    <w:rsid w:val="009A0708"/>
    <w:rsid w:val="009A181F"/>
    <w:rsid w:val="009A263C"/>
    <w:rsid w:val="009A3433"/>
    <w:rsid w:val="009A35BB"/>
    <w:rsid w:val="009A4210"/>
    <w:rsid w:val="009A5805"/>
    <w:rsid w:val="009A6B20"/>
    <w:rsid w:val="009B0316"/>
    <w:rsid w:val="009B0C5B"/>
    <w:rsid w:val="009B0CD2"/>
    <w:rsid w:val="009B0EE7"/>
    <w:rsid w:val="009B1A83"/>
    <w:rsid w:val="009B31B8"/>
    <w:rsid w:val="009B3203"/>
    <w:rsid w:val="009B3356"/>
    <w:rsid w:val="009B3B04"/>
    <w:rsid w:val="009B571A"/>
    <w:rsid w:val="009B7ACB"/>
    <w:rsid w:val="009B7B13"/>
    <w:rsid w:val="009C0CCB"/>
    <w:rsid w:val="009C30CA"/>
    <w:rsid w:val="009C42CB"/>
    <w:rsid w:val="009C7DC5"/>
    <w:rsid w:val="009D06F6"/>
    <w:rsid w:val="009D073B"/>
    <w:rsid w:val="009D07C0"/>
    <w:rsid w:val="009D0D31"/>
    <w:rsid w:val="009D0FD1"/>
    <w:rsid w:val="009D17C8"/>
    <w:rsid w:val="009D1A7D"/>
    <w:rsid w:val="009D2931"/>
    <w:rsid w:val="009D348B"/>
    <w:rsid w:val="009D37CE"/>
    <w:rsid w:val="009D5F17"/>
    <w:rsid w:val="009D65EB"/>
    <w:rsid w:val="009E05D3"/>
    <w:rsid w:val="009E0C1F"/>
    <w:rsid w:val="009E1E39"/>
    <w:rsid w:val="009E4B74"/>
    <w:rsid w:val="009E623F"/>
    <w:rsid w:val="009E6379"/>
    <w:rsid w:val="009E65AF"/>
    <w:rsid w:val="009E753E"/>
    <w:rsid w:val="009F1DA9"/>
    <w:rsid w:val="009F4361"/>
    <w:rsid w:val="009F48BF"/>
    <w:rsid w:val="009F7B3D"/>
    <w:rsid w:val="009F7C07"/>
    <w:rsid w:val="00A02286"/>
    <w:rsid w:val="00A02BAF"/>
    <w:rsid w:val="00A03445"/>
    <w:rsid w:val="00A0439D"/>
    <w:rsid w:val="00A0548E"/>
    <w:rsid w:val="00A056E6"/>
    <w:rsid w:val="00A05EED"/>
    <w:rsid w:val="00A07AF4"/>
    <w:rsid w:val="00A11811"/>
    <w:rsid w:val="00A1198B"/>
    <w:rsid w:val="00A12DFB"/>
    <w:rsid w:val="00A13752"/>
    <w:rsid w:val="00A1405F"/>
    <w:rsid w:val="00A15387"/>
    <w:rsid w:val="00A15873"/>
    <w:rsid w:val="00A17F10"/>
    <w:rsid w:val="00A20840"/>
    <w:rsid w:val="00A21579"/>
    <w:rsid w:val="00A221D6"/>
    <w:rsid w:val="00A2282C"/>
    <w:rsid w:val="00A248B2"/>
    <w:rsid w:val="00A24C33"/>
    <w:rsid w:val="00A24D0A"/>
    <w:rsid w:val="00A2652B"/>
    <w:rsid w:val="00A274FD"/>
    <w:rsid w:val="00A27E73"/>
    <w:rsid w:val="00A30E5B"/>
    <w:rsid w:val="00A33770"/>
    <w:rsid w:val="00A34A9F"/>
    <w:rsid w:val="00A35C54"/>
    <w:rsid w:val="00A36740"/>
    <w:rsid w:val="00A369B1"/>
    <w:rsid w:val="00A37E7E"/>
    <w:rsid w:val="00A400EE"/>
    <w:rsid w:val="00A40C8D"/>
    <w:rsid w:val="00A41819"/>
    <w:rsid w:val="00A42249"/>
    <w:rsid w:val="00A42C67"/>
    <w:rsid w:val="00A45EA7"/>
    <w:rsid w:val="00A45F3B"/>
    <w:rsid w:val="00A46D48"/>
    <w:rsid w:val="00A52322"/>
    <w:rsid w:val="00A52857"/>
    <w:rsid w:val="00A52DA5"/>
    <w:rsid w:val="00A53A89"/>
    <w:rsid w:val="00A54135"/>
    <w:rsid w:val="00A5464A"/>
    <w:rsid w:val="00A55271"/>
    <w:rsid w:val="00A55417"/>
    <w:rsid w:val="00A601B6"/>
    <w:rsid w:val="00A60AEA"/>
    <w:rsid w:val="00A60B41"/>
    <w:rsid w:val="00A616D1"/>
    <w:rsid w:val="00A632FD"/>
    <w:rsid w:val="00A6502F"/>
    <w:rsid w:val="00A65660"/>
    <w:rsid w:val="00A6641B"/>
    <w:rsid w:val="00A66A3D"/>
    <w:rsid w:val="00A71268"/>
    <w:rsid w:val="00A724A0"/>
    <w:rsid w:val="00A7251C"/>
    <w:rsid w:val="00A72DB9"/>
    <w:rsid w:val="00A77579"/>
    <w:rsid w:val="00A77836"/>
    <w:rsid w:val="00A81B5C"/>
    <w:rsid w:val="00A81C7D"/>
    <w:rsid w:val="00A827C2"/>
    <w:rsid w:val="00A82AB2"/>
    <w:rsid w:val="00A84257"/>
    <w:rsid w:val="00A842A0"/>
    <w:rsid w:val="00A84E7A"/>
    <w:rsid w:val="00A85E7C"/>
    <w:rsid w:val="00A873DE"/>
    <w:rsid w:val="00A9013F"/>
    <w:rsid w:val="00A90F6C"/>
    <w:rsid w:val="00A9169B"/>
    <w:rsid w:val="00A91B90"/>
    <w:rsid w:val="00A91DFD"/>
    <w:rsid w:val="00A922FC"/>
    <w:rsid w:val="00A94B6A"/>
    <w:rsid w:val="00A95417"/>
    <w:rsid w:val="00A96F16"/>
    <w:rsid w:val="00A97E80"/>
    <w:rsid w:val="00AA11AA"/>
    <w:rsid w:val="00AA1581"/>
    <w:rsid w:val="00AA15BB"/>
    <w:rsid w:val="00AA210C"/>
    <w:rsid w:val="00AA507C"/>
    <w:rsid w:val="00AA7382"/>
    <w:rsid w:val="00AB0B7D"/>
    <w:rsid w:val="00AB0BA7"/>
    <w:rsid w:val="00AB1FFF"/>
    <w:rsid w:val="00AB2B45"/>
    <w:rsid w:val="00AB3849"/>
    <w:rsid w:val="00AB45DB"/>
    <w:rsid w:val="00AB4B1D"/>
    <w:rsid w:val="00AB4C18"/>
    <w:rsid w:val="00AB4D28"/>
    <w:rsid w:val="00AB5E16"/>
    <w:rsid w:val="00AB7444"/>
    <w:rsid w:val="00AB750D"/>
    <w:rsid w:val="00AB7990"/>
    <w:rsid w:val="00AC0265"/>
    <w:rsid w:val="00AC12BC"/>
    <w:rsid w:val="00AC1711"/>
    <w:rsid w:val="00AC3FB4"/>
    <w:rsid w:val="00AC564D"/>
    <w:rsid w:val="00AC6EA1"/>
    <w:rsid w:val="00AC7D27"/>
    <w:rsid w:val="00AC7F08"/>
    <w:rsid w:val="00AD057E"/>
    <w:rsid w:val="00AD09DB"/>
    <w:rsid w:val="00AD0BB4"/>
    <w:rsid w:val="00AD1618"/>
    <w:rsid w:val="00AD1ACF"/>
    <w:rsid w:val="00AD39EF"/>
    <w:rsid w:val="00AD4265"/>
    <w:rsid w:val="00AD583F"/>
    <w:rsid w:val="00AD5B88"/>
    <w:rsid w:val="00AD5F33"/>
    <w:rsid w:val="00AD657C"/>
    <w:rsid w:val="00AD70B7"/>
    <w:rsid w:val="00AD73C2"/>
    <w:rsid w:val="00AD7BE9"/>
    <w:rsid w:val="00AE309D"/>
    <w:rsid w:val="00AE38E5"/>
    <w:rsid w:val="00AE4AF7"/>
    <w:rsid w:val="00AE5059"/>
    <w:rsid w:val="00AE51A0"/>
    <w:rsid w:val="00AF0C1E"/>
    <w:rsid w:val="00AF3867"/>
    <w:rsid w:val="00AF4244"/>
    <w:rsid w:val="00AF6E34"/>
    <w:rsid w:val="00AF79E2"/>
    <w:rsid w:val="00AF7D65"/>
    <w:rsid w:val="00B0014C"/>
    <w:rsid w:val="00B016B5"/>
    <w:rsid w:val="00B01B05"/>
    <w:rsid w:val="00B033BD"/>
    <w:rsid w:val="00B038B7"/>
    <w:rsid w:val="00B03B1B"/>
    <w:rsid w:val="00B047F7"/>
    <w:rsid w:val="00B04CF8"/>
    <w:rsid w:val="00B0583C"/>
    <w:rsid w:val="00B07214"/>
    <w:rsid w:val="00B117F0"/>
    <w:rsid w:val="00B117FE"/>
    <w:rsid w:val="00B11896"/>
    <w:rsid w:val="00B128FA"/>
    <w:rsid w:val="00B13506"/>
    <w:rsid w:val="00B13A65"/>
    <w:rsid w:val="00B14127"/>
    <w:rsid w:val="00B141A6"/>
    <w:rsid w:val="00B14E15"/>
    <w:rsid w:val="00B14E75"/>
    <w:rsid w:val="00B15762"/>
    <w:rsid w:val="00B16C22"/>
    <w:rsid w:val="00B16EF6"/>
    <w:rsid w:val="00B17BA6"/>
    <w:rsid w:val="00B21031"/>
    <w:rsid w:val="00B21472"/>
    <w:rsid w:val="00B21744"/>
    <w:rsid w:val="00B2180F"/>
    <w:rsid w:val="00B242E8"/>
    <w:rsid w:val="00B25AD4"/>
    <w:rsid w:val="00B269C6"/>
    <w:rsid w:val="00B278C6"/>
    <w:rsid w:val="00B30243"/>
    <w:rsid w:val="00B30CBB"/>
    <w:rsid w:val="00B32A69"/>
    <w:rsid w:val="00B33DF0"/>
    <w:rsid w:val="00B35F0F"/>
    <w:rsid w:val="00B363C4"/>
    <w:rsid w:val="00B371C2"/>
    <w:rsid w:val="00B40529"/>
    <w:rsid w:val="00B4129A"/>
    <w:rsid w:val="00B419FB"/>
    <w:rsid w:val="00B41A26"/>
    <w:rsid w:val="00B41E47"/>
    <w:rsid w:val="00B42DC9"/>
    <w:rsid w:val="00B432D9"/>
    <w:rsid w:val="00B4450E"/>
    <w:rsid w:val="00B46F04"/>
    <w:rsid w:val="00B47D14"/>
    <w:rsid w:val="00B51B48"/>
    <w:rsid w:val="00B529D4"/>
    <w:rsid w:val="00B554FB"/>
    <w:rsid w:val="00B57183"/>
    <w:rsid w:val="00B57E35"/>
    <w:rsid w:val="00B62F99"/>
    <w:rsid w:val="00B64006"/>
    <w:rsid w:val="00B654A5"/>
    <w:rsid w:val="00B65610"/>
    <w:rsid w:val="00B65884"/>
    <w:rsid w:val="00B65A50"/>
    <w:rsid w:val="00B66DC0"/>
    <w:rsid w:val="00B67AE2"/>
    <w:rsid w:val="00B7171D"/>
    <w:rsid w:val="00B74AAE"/>
    <w:rsid w:val="00B74F8C"/>
    <w:rsid w:val="00B75050"/>
    <w:rsid w:val="00B7549F"/>
    <w:rsid w:val="00B76F3A"/>
    <w:rsid w:val="00B82C60"/>
    <w:rsid w:val="00B838ED"/>
    <w:rsid w:val="00B83F0D"/>
    <w:rsid w:val="00B84C6E"/>
    <w:rsid w:val="00B8553D"/>
    <w:rsid w:val="00B855BA"/>
    <w:rsid w:val="00B85E6A"/>
    <w:rsid w:val="00B85F6F"/>
    <w:rsid w:val="00B86718"/>
    <w:rsid w:val="00B87F07"/>
    <w:rsid w:val="00B9095B"/>
    <w:rsid w:val="00B90F17"/>
    <w:rsid w:val="00B91352"/>
    <w:rsid w:val="00B91395"/>
    <w:rsid w:val="00B92178"/>
    <w:rsid w:val="00B9319A"/>
    <w:rsid w:val="00B931DE"/>
    <w:rsid w:val="00B93BF8"/>
    <w:rsid w:val="00B944A1"/>
    <w:rsid w:val="00B948E4"/>
    <w:rsid w:val="00B95CAE"/>
    <w:rsid w:val="00B963F6"/>
    <w:rsid w:val="00BA09B6"/>
    <w:rsid w:val="00BA09FC"/>
    <w:rsid w:val="00BA0BF2"/>
    <w:rsid w:val="00BA16D9"/>
    <w:rsid w:val="00BA2A7D"/>
    <w:rsid w:val="00BA4EA1"/>
    <w:rsid w:val="00BA6FD1"/>
    <w:rsid w:val="00BA79CB"/>
    <w:rsid w:val="00BA7F92"/>
    <w:rsid w:val="00BB1081"/>
    <w:rsid w:val="00BB2A98"/>
    <w:rsid w:val="00BB36E7"/>
    <w:rsid w:val="00BB3CC7"/>
    <w:rsid w:val="00BB3F26"/>
    <w:rsid w:val="00BB5417"/>
    <w:rsid w:val="00BB58F9"/>
    <w:rsid w:val="00BB697F"/>
    <w:rsid w:val="00BB6F31"/>
    <w:rsid w:val="00BC145C"/>
    <w:rsid w:val="00BC2734"/>
    <w:rsid w:val="00BC2D41"/>
    <w:rsid w:val="00BC406F"/>
    <w:rsid w:val="00BC4A0C"/>
    <w:rsid w:val="00BC4E34"/>
    <w:rsid w:val="00BC5544"/>
    <w:rsid w:val="00BC6737"/>
    <w:rsid w:val="00BC6B5D"/>
    <w:rsid w:val="00BD04A4"/>
    <w:rsid w:val="00BD04EA"/>
    <w:rsid w:val="00BD0DA8"/>
    <w:rsid w:val="00BD1FFB"/>
    <w:rsid w:val="00BD2F36"/>
    <w:rsid w:val="00BD46CB"/>
    <w:rsid w:val="00BD4F4B"/>
    <w:rsid w:val="00BD6AB4"/>
    <w:rsid w:val="00BD7E7E"/>
    <w:rsid w:val="00BE193B"/>
    <w:rsid w:val="00BE2604"/>
    <w:rsid w:val="00BE42CE"/>
    <w:rsid w:val="00BE4BB5"/>
    <w:rsid w:val="00BE5CF4"/>
    <w:rsid w:val="00BE6795"/>
    <w:rsid w:val="00BE698E"/>
    <w:rsid w:val="00BE7DBF"/>
    <w:rsid w:val="00BE7E19"/>
    <w:rsid w:val="00BE7E92"/>
    <w:rsid w:val="00BF10F5"/>
    <w:rsid w:val="00BF11A7"/>
    <w:rsid w:val="00BF1CD9"/>
    <w:rsid w:val="00BF2146"/>
    <w:rsid w:val="00BF407C"/>
    <w:rsid w:val="00BF4563"/>
    <w:rsid w:val="00BF50F1"/>
    <w:rsid w:val="00C00594"/>
    <w:rsid w:val="00C00E88"/>
    <w:rsid w:val="00C02DF6"/>
    <w:rsid w:val="00C03C6B"/>
    <w:rsid w:val="00C03ED9"/>
    <w:rsid w:val="00C07EC5"/>
    <w:rsid w:val="00C10FBF"/>
    <w:rsid w:val="00C11089"/>
    <w:rsid w:val="00C11883"/>
    <w:rsid w:val="00C11CC6"/>
    <w:rsid w:val="00C13094"/>
    <w:rsid w:val="00C1363B"/>
    <w:rsid w:val="00C16096"/>
    <w:rsid w:val="00C171C4"/>
    <w:rsid w:val="00C1738C"/>
    <w:rsid w:val="00C173AB"/>
    <w:rsid w:val="00C17564"/>
    <w:rsid w:val="00C20AC7"/>
    <w:rsid w:val="00C2110F"/>
    <w:rsid w:val="00C21C42"/>
    <w:rsid w:val="00C22D08"/>
    <w:rsid w:val="00C2350C"/>
    <w:rsid w:val="00C304F4"/>
    <w:rsid w:val="00C359BC"/>
    <w:rsid w:val="00C35AC1"/>
    <w:rsid w:val="00C35AEA"/>
    <w:rsid w:val="00C35B53"/>
    <w:rsid w:val="00C3707E"/>
    <w:rsid w:val="00C3728D"/>
    <w:rsid w:val="00C37F83"/>
    <w:rsid w:val="00C40C34"/>
    <w:rsid w:val="00C40E8E"/>
    <w:rsid w:val="00C4128A"/>
    <w:rsid w:val="00C416ED"/>
    <w:rsid w:val="00C43511"/>
    <w:rsid w:val="00C4469F"/>
    <w:rsid w:val="00C50F0F"/>
    <w:rsid w:val="00C50FAE"/>
    <w:rsid w:val="00C52239"/>
    <w:rsid w:val="00C54425"/>
    <w:rsid w:val="00C5519F"/>
    <w:rsid w:val="00C61629"/>
    <w:rsid w:val="00C61794"/>
    <w:rsid w:val="00C6190C"/>
    <w:rsid w:val="00C62ED5"/>
    <w:rsid w:val="00C6339E"/>
    <w:rsid w:val="00C636B0"/>
    <w:rsid w:val="00C649E5"/>
    <w:rsid w:val="00C661F1"/>
    <w:rsid w:val="00C6649C"/>
    <w:rsid w:val="00C66904"/>
    <w:rsid w:val="00C67232"/>
    <w:rsid w:val="00C67384"/>
    <w:rsid w:val="00C709A3"/>
    <w:rsid w:val="00C714C6"/>
    <w:rsid w:val="00C735D0"/>
    <w:rsid w:val="00C73725"/>
    <w:rsid w:val="00C74440"/>
    <w:rsid w:val="00C7641D"/>
    <w:rsid w:val="00C80465"/>
    <w:rsid w:val="00C806EB"/>
    <w:rsid w:val="00C836AC"/>
    <w:rsid w:val="00C8446C"/>
    <w:rsid w:val="00C86B17"/>
    <w:rsid w:val="00C87060"/>
    <w:rsid w:val="00C874D6"/>
    <w:rsid w:val="00C87672"/>
    <w:rsid w:val="00C87686"/>
    <w:rsid w:val="00C903F8"/>
    <w:rsid w:val="00C90E59"/>
    <w:rsid w:val="00C9134E"/>
    <w:rsid w:val="00C91930"/>
    <w:rsid w:val="00C92E20"/>
    <w:rsid w:val="00C9367A"/>
    <w:rsid w:val="00C93B84"/>
    <w:rsid w:val="00C94825"/>
    <w:rsid w:val="00C95C75"/>
    <w:rsid w:val="00C9727F"/>
    <w:rsid w:val="00C97DF5"/>
    <w:rsid w:val="00CA0891"/>
    <w:rsid w:val="00CA0933"/>
    <w:rsid w:val="00CA1317"/>
    <w:rsid w:val="00CA3D29"/>
    <w:rsid w:val="00CA4FB5"/>
    <w:rsid w:val="00CA6AB6"/>
    <w:rsid w:val="00CA7264"/>
    <w:rsid w:val="00CA75D5"/>
    <w:rsid w:val="00CB03C0"/>
    <w:rsid w:val="00CB0B6E"/>
    <w:rsid w:val="00CB2727"/>
    <w:rsid w:val="00CB2F05"/>
    <w:rsid w:val="00CB533F"/>
    <w:rsid w:val="00CB5459"/>
    <w:rsid w:val="00CB556A"/>
    <w:rsid w:val="00CB562F"/>
    <w:rsid w:val="00CC03F7"/>
    <w:rsid w:val="00CC0A1A"/>
    <w:rsid w:val="00CC1C0D"/>
    <w:rsid w:val="00CC229B"/>
    <w:rsid w:val="00CC289A"/>
    <w:rsid w:val="00CC3351"/>
    <w:rsid w:val="00CC3953"/>
    <w:rsid w:val="00CC3ECB"/>
    <w:rsid w:val="00CC5529"/>
    <w:rsid w:val="00CC6307"/>
    <w:rsid w:val="00CC7A5A"/>
    <w:rsid w:val="00CD0695"/>
    <w:rsid w:val="00CD0FE1"/>
    <w:rsid w:val="00CD1855"/>
    <w:rsid w:val="00CD22EB"/>
    <w:rsid w:val="00CD26F6"/>
    <w:rsid w:val="00CD2D77"/>
    <w:rsid w:val="00CD55A9"/>
    <w:rsid w:val="00CD74F0"/>
    <w:rsid w:val="00CE055F"/>
    <w:rsid w:val="00CE16C9"/>
    <w:rsid w:val="00CE40CC"/>
    <w:rsid w:val="00CE557E"/>
    <w:rsid w:val="00CE6755"/>
    <w:rsid w:val="00CE6D0B"/>
    <w:rsid w:val="00CE7529"/>
    <w:rsid w:val="00CF08B6"/>
    <w:rsid w:val="00CF101E"/>
    <w:rsid w:val="00CF150A"/>
    <w:rsid w:val="00CF23DA"/>
    <w:rsid w:val="00CF2D56"/>
    <w:rsid w:val="00CF3B4F"/>
    <w:rsid w:val="00CF414C"/>
    <w:rsid w:val="00CF4402"/>
    <w:rsid w:val="00CF4A7D"/>
    <w:rsid w:val="00CF4D85"/>
    <w:rsid w:val="00CF6591"/>
    <w:rsid w:val="00CF6E87"/>
    <w:rsid w:val="00CF7D82"/>
    <w:rsid w:val="00D00BD9"/>
    <w:rsid w:val="00D01118"/>
    <w:rsid w:val="00D0123F"/>
    <w:rsid w:val="00D0140F"/>
    <w:rsid w:val="00D021F8"/>
    <w:rsid w:val="00D03566"/>
    <w:rsid w:val="00D0365E"/>
    <w:rsid w:val="00D03B23"/>
    <w:rsid w:val="00D04102"/>
    <w:rsid w:val="00D04136"/>
    <w:rsid w:val="00D042FA"/>
    <w:rsid w:val="00D04BB7"/>
    <w:rsid w:val="00D04FAC"/>
    <w:rsid w:val="00D06009"/>
    <w:rsid w:val="00D10646"/>
    <w:rsid w:val="00D10FAB"/>
    <w:rsid w:val="00D11FE7"/>
    <w:rsid w:val="00D12CD2"/>
    <w:rsid w:val="00D131F4"/>
    <w:rsid w:val="00D14CA7"/>
    <w:rsid w:val="00D1536A"/>
    <w:rsid w:val="00D1571B"/>
    <w:rsid w:val="00D15783"/>
    <w:rsid w:val="00D16781"/>
    <w:rsid w:val="00D169A2"/>
    <w:rsid w:val="00D17339"/>
    <w:rsid w:val="00D20545"/>
    <w:rsid w:val="00D20A63"/>
    <w:rsid w:val="00D2111F"/>
    <w:rsid w:val="00D2235A"/>
    <w:rsid w:val="00D2452A"/>
    <w:rsid w:val="00D24BDB"/>
    <w:rsid w:val="00D24CFD"/>
    <w:rsid w:val="00D2641D"/>
    <w:rsid w:val="00D269CD"/>
    <w:rsid w:val="00D26D5D"/>
    <w:rsid w:val="00D2783E"/>
    <w:rsid w:val="00D279B1"/>
    <w:rsid w:val="00D30396"/>
    <w:rsid w:val="00D31903"/>
    <w:rsid w:val="00D31F83"/>
    <w:rsid w:val="00D34C76"/>
    <w:rsid w:val="00D352D0"/>
    <w:rsid w:val="00D352D9"/>
    <w:rsid w:val="00D35623"/>
    <w:rsid w:val="00D35B26"/>
    <w:rsid w:val="00D36319"/>
    <w:rsid w:val="00D37112"/>
    <w:rsid w:val="00D37939"/>
    <w:rsid w:val="00D401E2"/>
    <w:rsid w:val="00D4084F"/>
    <w:rsid w:val="00D40D05"/>
    <w:rsid w:val="00D41EB2"/>
    <w:rsid w:val="00D42601"/>
    <w:rsid w:val="00D42B6E"/>
    <w:rsid w:val="00D436E7"/>
    <w:rsid w:val="00D45BA6"/>
    <w:rsid w:val="00D47227"/>
    <w:rsid w:val="00D474DE"/>
    <w:rsid w:val="00D47CE1"/>
    <w:rsid w:val="00D50500"/>
    <w:rsid w:val="00D50E97"/>
    <w:rsid w:val="00D539AC"/>
    <w:rsid w:val="00D53E2F"/>
    <w:rsid w:val="00D56FF2"/>
    <w:rsid w:val="00D57474"/>
    <w:rsid w:val="00D576B3"/>
    <w:rsid w:val="00D6022C"/>
    <w:rsid w:val="00D60369"/>
    <w:rsid w:val="00D60653"/>
    <w:rsid w:val="00D60EA1"/>
    <w:rsid w:val="00D65035"/>
    <w:rsid w:val="00D65062"/>
    <w:rsid w:val="00D65B8C"/>
    <w:rsid w:val="00D65FF4"/>
    <w:rsid w:val="00D661E4"/>
    <w:rsid w:val="00D666C8"/>
    <w:rsid w:val="00D66965"/>
    <w:rsid w:val="00D66DEC"/>
    <w:rsid w:val="00D66E3C"/>
    <w:rsid w:val="00D73982"/>
    <w:rsid w:val="00D7468B"/>
    <w:rsid w:val="00D757DA"/>
    <w:rsid w:val="00D75905"/>
    <w:rsid w:val="00D764BB"/>
    <w:rsid w:val="00D76EDD"/>
    <w:rsid w:val="00D808E4"/>
    <w:rsid w:val="00D80C4B"/>
    <w:rsid w:val="00D81F16"/>
    <w:rsid w:val="00D820E7"/>
    <w:rsid w:val="00D83DBE"/>
    <w:rsid w:val="00D84A5F"/>
    <w:rsid w:val="00D8502B"/>
    <w:rsid w:val="00D8523F"/>
    <w:rsid w:val="00D860B2"/>
    <w:rsid w:val="00D87AB9"/>
    <w:rsid w:val="00D90E86"/>
    <w:rsid w:val="00D9138F"/>
    <w:rsid w:val="00D91EE2"/>
    <w:rsid w:val="00D938E1"/>
    <w:rsid w:val="00D94328"/>
    <w:rsid w:val="00D9440F"/>
    <w:rsid w:val="00D950F7"/>
    <w:rsid w:val="00D969DA"/>
    <w:rsid w:val="00D97A28"/>
    <w:rsid w:val="00DA2B72"/>
    <w:rsid w:val="00DA3E0A"/>
    <w:rsid w:val="00DA42D4"/>
    <w:rsid w:val="00DA4E7F"/>
    <w:rsid w:val="00DA5338"/>
    <w:rsid w:val="00DA5C6A"/>
    <w:rsid w:val="00DA616B"/>
    <w:rsid w:val="00DB1C8D"/>
    <w:rsid w:val="00DB2804"/>
    <w:rsid w:val="00DB4F87"/>
    <w:rsid w:val="00DB535F"/>
    <w:rsid w:val="00DB5E71"/>
    <w:rsid w:val="00DB7C24"/>
    <w:rsid w:val="00DC100C"/>
    <w:rsid w:val="00DC128C"/>
    <w:rsid w:val="00DC1FD2"/>
    <w:rsid w:val="00DC23FF"/>
    <w:rsid w:val="00DC2517"/>
    <w:rsid w:val="00DC37A6"/>
    <w:rsid w:val="00DC39D1"/>
    <w:rsid w:val="00DC4E33"/>
    <w:rsid w:val="00DC6AF7"/>
    <w:rsid w:val="00DC793C"/>
    <w:rsid w:val="00DD06C4"/>
    <w:rsid w:val="00DD0C9A"/>
    <w:rsid w:val="00DD3190"/>
    <w:rsid w:val="00DD640B"/>
    <w:rsid w:val="00DD6AA7"/>
    <w:rsid w:val="00DE02BC"/>
    <w:rsid w:val="00DE1DB7"/>
    <w:rsid w:val="00DE25D8"/>
    <w:rsid w:val="00DE36F9"/>
    <w:rsid w:val="00DE4014"/>
    <w:rsid w:val="00DE4656"/>
    <w:rsid w:val="00DE54E5"/>
    <w:rsid w:val="00DE6655"/>
    <w:rsid w:val="00DE6846"/>
    <w:rsid w:val="00DE6FE8"/>
    <w:rsid w:val="00DE76F1"/>
    <w:rsid w:val="00DE784E"/>
    <w:rsid w:val="00DE7932"/>
    <w:rsid w:val="00DF00BC"/>
    <w:rsid w:val="00DF108B"/>
    <w:rsid w:val="00DF10B1"/>
    <w:rsid w:val="00DF1681"/>
    <w:rsid w:val="00DF1721"/>
    <w:rsid w:val="00DF1959"/>
    <w:rsid w:val="00DF1978"/>
    <w:rsid w:val="00DF201D"/>
    <w:rsid w:val="00DF2ACC"/>
    <w:rsid w:val="00DF39CA"/>
    <w:rsid w:val="00DF3C63"/>
    <w:rsid w:val="00DF4642"/>
    <w:rsid w:val="00DF5CC8"/>
    <w:rsid w:val="00DF6303"/>
    <w:rsid w:val="00DF639C"/>
    <w:rsid w:val="00DF743D"/>
    <w:rsid w:val="00DF7BEA"/>
    <w:rsid w:val="00E00381"/>
    <w:rsid w:val="00E003BE"/>
    <w:rsid w:val="00E00B3B"/>
    <w:rsid w:val="00E00C02"/>
    <w:rsid w:val="00E00CD4"/>
    <w:rsid w:val="00E0418E"/>
    <w:rsid w:val="00E04EED"/>
    <w:rsid w:val="00E07747"/>
    <w:rsid w:val="00E077A2"/>
    <w:rsid w:val="00E078C9"/>
    <w:rsid w:val="00E1011F"/>
    <w:rsid w:val="00E1021D"/>
    <w:rsid w:val="00E10306"/>
    <w:rsid w:val="00E130E0"/>
    <w:rsid w:val="00E13311"/>
    <w:rsid w:val="00E13991"/>
    <w:rsid w:val="00E13E9E"/>
    <w:rsid w:val="00E146D7"/>
    <w:rsid w:val="00E14EAC"/>
    <w:rsid w:val="00E15202"/>
    <w:rsid w:val="00E17CFC"/>
    <w:rsid w:val="00E17EE2"/>
    <w:rsid w:val="00E17FB3"/>
    <w:rsid w:val="00E20A50"/>
    <w:rsid w:val="00E20E80"/>
    <w:rsid w:val="00E21639"/>
    <w:rsid w:val="00E21C19"/>
    <w:rsid w:val="00E232B7"/>
    <w:rsid w:val="00E2587A"/>
    <w:rsid w:val="00E25E5A"/>
    <w:rsid w:val="00E2627A"/>
    <w:rsid w:val="00E277F8"/>
    <w:rsid w:val="00E27DE4"/>
    <w:rsid w:val="00E303D9"/>
    <w:rsid w:val="00E3171A"/>
    <w:rsid w:val="00E31D67"/>
    <w:rsid w:val="00E32041"/>
    <w:rsid w:val="00E322AE"/>
    <w:rsid w:val="00E339A6"/>
    <w:rsid w:val="00E367E0"/>
    <w:rsid w:val="00E369F3"/>
    <w:rsid w:val="00E36F0E"/>
    <w:rsid w:val="00E37E02"/>
    <w:rsid w:val="00E40F10"/>
    <w:rsid w:val="00E42AAF"/>
    <w:rsid w:val="00E431B5"/>
    <w:rsid w:val="00E434D3"/>
    <w:rsid w:val="00E43529"/>
    <w:rsid w:val="00E44D37"/>
    <w:rsid w:val="00E44EA7"/>
    <w:rsid w:val="00E452E3"/>
    <w:rsid w:val="00E45C58"/>
    <w:rsid w:val="00E463F5"/>
    <w:rsid w:val="00E50D65"/>
    <w:rsid w:val="00E51C60"/>
    <w:rsid w:val="00E531E6"/>
    <w:rsid w:val="00E53F8C"/>
    <w:rsid w:val="00E54F55"/>
    <w:rsid w:val="00E567A6"/>
    <w:rsid w:val="00E607C9"/>
    <w:rsid w:val="00E60939"/>
    <w:rsid w:val="00E6144B"/>
    <w:rsid w:val="00E63F91"/>
    <w:rsid w:val="00E641E7"/>
    <w:rsid w:val="00E64674"/>
    <w:rsid w:val="00E65D97"/>
    <w:rsid w:val="00E665B8"/>
    <w:rsid w:val="00E67384"/>
    <w:rsid w:val="00E6745B"/>
    <w:rsid w:val="00E67F13"/>
    <w:rsid w:val="00E70B65"/>
    <w:rsid w:val="00E72CB1"/>
    <w:rsid w:val="00E73061"/>
    <w:rsid w:val="00E74A24"/>
    <w:rsid w:val="00E82BBB"/>
    <w:rsid w:val="00E83862"/>
    <w:rsid w:val="00E83FFB"/>
    <w:rsid w:val="00E860E7"/>
    <w:rsid w:val="00E877C6"/>
    <w:rsid w:val="00E87866"/>
    <w:rsid w:val="00E9047E"/>
    <w:rsid w:val="00E90484"/>
    <w:rsid w:val="00E94DBC"/>
    <w:rsid w:val="00E951F9"/>
    <w:rsid w:val="00E95441"/>
    <w:rsid w:val="00E96FA5"/>
    <w:rsid w:val="00EA0931"/>
    <w:rsid w:val="00EA112F"/>
    <w:rsid w:val="00EA3CF5"/>
    <w:rsid w:val="00EA6BDF"/>
    <w:rsid w:val="00EB1017"/>
    <w:rsid w:val="00EB1703"/>
    <w:rsid w:val="00EB1E2B"/>
    <w:rsid w:val="00EB1EAB"/>
    <w:rsid w:val="00EB3133"/>
    <w:rsid w:val="00EB3591"/>
    <w:rsid w:val="00EB415C"/>
    <w:rsid w:val="00EB49BF"/>
    <w:rsid w:val="00EB5CAE"/>
    <w:rsid w:val="00EB6662"/>
    <w:rsid w:val="00EB7D03"/>
    <w:rsid w:val="00EC12AA"/>
    <w:rsid w:val="00EC26D1"/>
    <w:rsid w:val="00EC2F24"/>
    <w:rsid w:val="00EC334C"/>
    <w:rsid w:val="00EC3578"/>
    <w:rsid w:val="00EC36B3"/>
    <w:rsid w:val="00EC3726"/>
    <w:rsid w:val="00EC417E"/>
    <w:rsid w:val="00EC4993"/>
    <w:rsid w:val="00EC557E"/>
    <w:rsid w:val="00EC6A8A"/>
    <w:rsid w:val="00EC717C"/>
    <w:rsid w:val="00EC73E0"/>
    <w:rsid w:val="00EC7A51"/>
    <w:rsid w:val="00ED0120"/>
    <w:rsid w:val="00ED0CBB"/>
    <w:rsid w:val="00ED1803"/>
    <w:rsid w:val="00ED265F"/>
    <w:rsid w:val="00ED2B13"/>
    <w:rsid w:val="00ED37FB"/>
    <w:rsid w:val="00ED5C6B"/>
    <w:rsid w:val="00ED615F"/>
    <w:rsid w:val="00ED651D"/>
    <w:rsid w:val="00ED68C0"/>
    <w:rsid w:val="00ED6B7F"/>
    <w:rsid w:val="00ED7061"/>
    <w:rsid w:val="00ED7111"/>
    <w:rsid w:val="00EE0021"/>
    <w:rsid w:val="00EE0323"/>
    <w:rsid w:val="00EE0406"/>
    <w:rsid w:val="00EE13D0"/>
    <w:rsid w:val="00EE1A6D"/>
    <w:rsid w:val="00EE4FB5"/>
    <w:rsid w:val="00EE59D0"/>
    <w:rsid w:val="00EE5C55"/>
    <w:rsid w:val="00EE6244"/>
    <w:rsid w:val="00EE6F14"/>
    <w:rsid w:val="00EF2177"/>
    <w:rsid w:val="00EF31DC"/>
    <w:rsid w:val="00EF4042"/>
    <w:rsid w:val="00EF40B8"/>
    <w:rsid w:val="00EF4AB6"/>
    <w:rsid w:val="00EF58BC"/>
    <w:rsid w:val="00EF797A"/>
    <w:rsid w:val="00EF7D75"/>
    <w:rsid w:val="00EF7F52"/>
    <w:rsid w:val="00F01FFD"/>
    <w:rsid w:val="00F035FF"/>
    <w:rsid w:val="00F057B8"/>
    <w:rsid w:val="00F0643E"/>
    <w:rsid w:val="00F07084"/>
    <w:rsid w:val="00F11A79"/>
    <w:rsid w:val="00F1237D"/>
    <w:rsid w:val="00F12942"/>
    <w:rsid w:val="00F13278"/>
    <w:rsid w:val="00F15055"/>
    <w:rsid w:val="00F157F5"/>
    <w:rsid w:val="00F15889"/>
    <w:rsid w:val="00F165D5"/>
    <w:rsid w:val="00F22069"/>
    <w:rsid w:val="00F2239D"/>
    <w:rsid w:val="00F23A7C"/>
    <w:rsid w:val="00F24DE7"/>
    <w:rsid w:val="00F24F2B"/>
    <w:rsid w:val="00F34F96"/>
    <w:rsid w:val="00F359AA"/>
    <w:rsid w:val="00F36837"/>
    <w:rsid w:val="00F36C14"/>
    <w:rsid w:val="00F373C6"/>
    <w:rsid w:val="00F40494"/>
    <w:rsid w:val="00F42DB6"/>
    <w:rsid w:val="00F430E1"/>
    <w:rsid w:val="00F43519"/>
    <w:rsid w:val="00F44468"/>
    <w:rsid w:val="00F453CC"/>
    <w:rsid w:val="00F47065"/>
    <w:rsid w:val="00F50045"/>
    <w:rsid w:val="00F51963"/>
    <w:rsid w:val="00F533D7"/>
    <w:rsid w:val="00F54F76"/>
    <w:rsid w:val="00F550FF"/>
    <w:rsid w:val="00F564C9"/>
    <w:rsid w:val="00F5694D"/>
    <w:rsid w:val="00F57653"/>
    <w:rsid w:val="00F577DF"/>
    <w:rsid w:val="00F57BB5"/>
    <w:rsid w:val="00F60F73"/>
    <w:rsid w:val="00F612C0"/>
    <w:rsid w:val="00F61947"/>
    <w:rsid w:val="00F62680"/>
    <w:rsid w:val="00F66BE7"/>
    <w:rsid w:val="00F70331"/>
    <w:rsid w:val="00F71B19"/>
    <w:rsid w:val="00F71F2D"/>
    <w:rsid w:val="00F723F2"/>
    <w:rsid w:val="00F72443"/>
    <w:rsid w:val="00F72F91"/>
    <w:rsid w:val="00F73117"/>
    <w:rsid w:val="00F7396A"/>
    <w:rsid w:val="00F80902"/>
    <w:rsid w:val="00F817E2"/>
    <w:rsid w:val="00F832C5"/>
    <w:rsid w:val="00F8363A"/>
    <w:rsid w:val="00F8370A"/>
    <w:rsid w:val="00F85ECD"/>
    <w:rsid w:val="00F87759"/>
    <w:rsid w:val="00F87B40"/>
    <w:rsid w:val="00F93F94"/>
    <w:rsid w:val="00F9635C"/>
    <w:rsid w:val="00F96469"/>
    <w:rsid w:val="00F96658"/>
    <w:rsid w:val="00F96E23"/>
    <w:rsid w:val="00FA1334"/>
    <w:rsid w:val="00FA1563"/>
    <w:rsid w:val="00FA33F7"/>
    <w:rsid w:val="00FA3B9C"/>
    <w:rsid w:val="00FA41A4"/>
    <w:rsid w:val="00FA583B"/>
    <w:rsid w:val="00FA643F"/>
    <w:rsid w:val="00FA6998"/>
    <w:rsid w:val="00FA6D61"/>
    <w:rsid w:val="00FA7547"/>
    <w:rsid w:val="00FA7F7D"/>
    <w:rsid w:val="00FB0250"/>
    <w:rsid w:val="00FB030C"/>
    <w:rsid w:val="00FB0521"/>
    <w:rsid w:val="00FB0EF5"/>
    <w:rsid w:val="00FB1115"/>
    <w:rsid w:val="00FB1634"/>
    <w:rsid w:val="00FB2FDA"/>
    <w:rsid w:val="00FB45AC"/>
    <w:rsid w:val="00FB7400"/>
    <w:rsid w:val="00FC04D9"/>
    <w:rsid w:val="00FC1C6F"/>
    <w:rsid w:val="00FC3C87"/>
    <w:rsid w:val="00FC4AA0"/>
    <w:rsid w:val="00FD0DB0"/>
    <w:rsid w:val="00FD13F5"/>
    <w:rsid w:val="00FD323A"/>
    <w:rsid w:val="00FD40CD"/>
    <w:rsid w:val="00FD4F6D"/>
    <w:rsid w:val="00FD62AB"/>
    <w:rsid w:val="00FD7307"/>
    <w:rsid w:val="00FD73C1"/>
    <w:rsid w:val="00FD7F11"/>
    <w:rsid w:val="00FE014D"/>
    <w:rsid w:val="00FE1B7E"/>
    <w:rsid w:val="00FE25BA"/>
    <w:rsid w:val="00FE28B7"/>
    <w:rsid w:val="00FE674B"/>
    <w:rsid w:val="00FE7D13"/>
    <w:rsid w:val="00FF0D4A"/>
    <w:rsid w:val="00FF137F"/>
    <w:rsid w:val="00FF18BC"/>
    <w:rsid w:val="00FF370E"/>
    <w:rsid w:val="00FF3FAE"/>
    <w:rsid w:val="00FF4A55"/>
    <w:rsid w:val="00FF556E"/>
    <w:rsid w:val="00FF7812"/>
  </w:rsids>
  <m:mathPr>
    <m:mathFont m:val="Cambria Math"/>
    <m:brkBin m:val="before"/>
    <m:brkBinSub m:val="--"/>
    <m:smallFrac m:val="0"/>
    <m:dispDef/>
    <m:lMargin m:val="0"/>
    <m:rMargin m:val="0"/>
    <m:defJc m:val="centerGroup"/>
    <m:wrapIndent m:val="1440"/>
    <m:intLim m:val="subSup"/>
    <m:naryLim m:val="undOvr"/>
  </m:mathPr>
  <w:themeFontLang w:val="es-C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FE586B"/>
  <w15:docId w15:val="{D7DF4900-6844-4D82-8FA0-E994A5845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060"/>
    <w:rPr>
      <w:lang w:val="es-MX"/>
    </w:rPr>
  </w:style>
  <w:style w:type="paragraph" w:styleId="Ttulo1">
    <w:name w:val="heading 1"/>
    <w:basedOn w:val="Normal"/>
    <w:next w:val="Normal"/>
    <w:link w:val="Ttulo1Car"/>
    <w:uiPriority w:val="9"/>
    <w:qFormat/>
    <w:rsid w:val="00BC145C"/>
    <w:pPr>
      <w:keepNext/>
      <w:keepLines/>
      <w:spacing w:before="240" w:after="0" w:line="240" w:lineRule="auto"/>
      <w:jc w:val="center"/>
      <w:outlineLvl w:val="0"/>
    </w:pPr>
    <w:rPr>
      <w:rFonts w:ascii="Verdana" w:eastAsiaTheme="majorEastAsia" w:hAnsi="Verdana" w:cstheme="majorBidi"/>
      <w:b/>
      <w:color w:val="000000" w:themeColor="text1"/>
      <w:sz w:val="20"/>
      <w:szCs w:val="32"/>
    </w:rPr>
  </w:style>
  <w:style w:type="paragraph" w:styleId="Ttulo2">
    <w:name w:val="heading 2"/>
    <w:basedOn w:val="Normal"/>
    <w:next w:val="Normal"/>
    <w:link w:val="Ttulo2Car"/>
    <w:uiPriority w:val="9"/>
    <w:unhideWhenUsed/>
    <w:qFormat/>
    <w:rsid w:val="00BC145C"/>
    <w:pPr>
      <w:keepNext/>
      <w:keepLines/>
      <w:spacing w:before="200" w:after="0" w:line="240" w:lineRule="auto"/>
      <w:jc w:val="both"/>
      <w:outlineLvl w:val="1"/>
    </w:pPr>
    <w:rPr>
      <w:rFonts w:ascii="Verdana" w:eastAsiaTheme="majorEastAsia" w:hAnsi="Verdana" w:cstheme="majorBidi"/>
      <w:b/>
      <w:bCs/>
      <w:sz w:val="20"/>
      <w:szCs w:val="26"/>
    </w:rPr>
  </w:style>
  <w:style w:type="paragraph" w:styleId="Ttulo3">
    <w:name w:val="heading 3"/>
    <w:basedOn w:val="Normal"/>
    <w:next w:val="Normal"/>
    <w:link w:val="Ttulo3Car"/>
    <w:uiPriority w:val="9"/>
    <w:unhideWhenUsed/>
    <w:qFormat/>
    <w:rsid w:val="00D14CA7"/>
    <w:pPr>
      <w:keepNext/>
      <w:keepLines/>
      <w:spacing w:before="200" w:after="0" w:line="240" w:lineRule="auto"/>
      <w:ind w:left="708"/>
      <w:jc w:val="both"/>
      <w:outlineLvl w:val="2"/>
    </w:pPr>
    <w:rPr>
      <w:rFonts w:ascii="Verdana" w:eastAsiaTheme="majorEastAsia" w:hAnsi="Verdana" w:cstheme="majorBidi"/>
      <w:b/>
      <w:bCs/>
      <w:i/>
      <w:color w:val="000000" w:themeColor="text1"/>
      <w:sz w:val="20"/>
    </w:rPr>
  </w:style>
  <w:style w:type="paragraph" w:styleId="Ttulo4">
    <w:name w:val="heading 4"/>
    <w:basedOn w:val="Normal"/>
    <w:next w:val="Normal"/>
    <w:link w:val="Ttulo4Car"/>
    <w:uiPriority w:val="9"/>
    <w:unhideWhenUsed/>
    <w:qFormat/>
    <w:rsid w:val="00C03C6B"/>
    <w:pPr>
      <w:keepNext/>
      <w:keepLines/>
      <w:spacing w:before="200" w:after="0"/>
      <w:ind w:left="1416"/>
      <w:jc w:val="both"/>
      <w:outlineLvl w:val="3"/>
    </w:pPr>
    <w:rPr>
      <w:rFonts w:ascii="Verdana" w:eastAsiaTheme="majorEastAsia" w:hAnsi="Verdana" w:cstheme="majorBidi"/>
      <w:bCs/>
      <w:i/>
      <w:iCs/>
      <w:sz w:val="20"/>
    </w:rPr>
  </w:style>
  <w:style w:type="paragraph" w:styleId="Ttulo5">
    <w:name w:val="heading 5"/>
    <w:basedOn w:val="Normal1"/>
    <w:next w:val="Normal"/>
    <w:link w:val="Ttulo5Car"/>
    <w:uiPriority w:val="9"/>
    <w:unhideWhenUsed/>
    <w:qFormat/>
    <w:rsid w:val="00996DF2"/>
    <w:pPr>
      <w:widowControl/>
      <w:numPr>
        <w:numId w:val="12"/>
      </w:numPr>
      <w:contextualSpacing/>
      <w:jc w:val="both"/>
      <w:outlineLvl w:val="4"/>
    </w:pPr>
    <w:rPr>
      <w:rFonts w:ascii="Verdana" w:eastAsiaTheme="minorHAnsi" w:hAnsi="Verdana" w:cstheme="minorBidi"/>
      <w:i/>
      <w:sz w:val="20"/>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C87060"/>
    <w:pPr>
      <w:widowControl w:val="0"/>
      <w:spacing w:after="0" w:line="240" w:lineRule="auto"/>
    </w:pPr>
    <w:rPr>
      <w:rFonts w:ascii="Times New Roman" w:eastAsia="Times New Roman" w:hAnsi="Times New Roman" w:cs="Times New Roman"/>
      <w:sz w:val="24"/>
      <w:szCs w:val="24"/>
    </w:rPr>
  </w:style>
  <w:style w:type="paragraph" w:styleId="Prrafodelista">
    <w:name w:val="List Paragraph"/>
    <w:aliases w:val="Párrafo de lista1,List Paragraph1,Colorful List - Accent 11,List Paragraph2,Lista vistosa - Énfasis 11,Subtle Emphasis1,Footnote1,Parrafos,List Paragraph11"/>
    <w:basedOn w:val="Normal"/>
    <w:link w:val="PrrafodelistaCar"/>
    <w:uiPriority w:val="34"/>
    <w:qFormat/>
    <w:rsid w:val="00C87060"/>
    <w:pPr>
      <w:ind w:left="720"/>
      <w:contextualSpacing/>
    </w:pPr>
  </w:style>
  <w:style w:type="character" w:customStyle="1" w:styleId="PrrafodelistaCar">
    <w:name w:val="Párrafo de lista Car"/>
    <w:aliases w:val="Párrafo de lista1 Car,List Paragraph1 Car,Colorful List - Accent 11 Car,List Paragraph2 Car,Lista vistosa - Énfasis 11 Car,Subtle Emphasis1 Car,Footnote1 Car,Parrafos Car,List Paragraph11 Car"/>
    <w:link w:val="Prrafodelista"/>
    <w:uiPriority w:val="34"/>
    <w:rsid w:val="00C87060"/>
    <w:rPr>
      <w:lang w:val="en-US"/>
    </w:rPr>
  </w:style>
  <w:style w:type="character" w:styleId="Refdenotaalpie">
    <w:name w:val="footnote reference"/>
    <w:aliases w:val="Footnotes refss,Texto de nota al pie,Appel note de bas de page,Footnote number,referencia nota al pie,BVI fnr,f,Ref. de nota al pie.,4_G,16 Point,Superscript 6 Point,Footnote symbol,Footnote,Texto nota al pie,Footnote Reference Char3"/>
    <w:basedOn w:val="Fuentedeprrafopredeter"/>
    <w:link w:val="4GChar"/>
    <w:uiPriority w:val="99"/>
    <w:unhideWhenUsed/>
    <w:qFormat/>
    <w:rsid w:val="00C87060"/>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C87060"/>
    <w:pPr>
      <w:spacing w:after="0" w:line="240" w:lineRule="auto"/>
      <w:jc w:val="both"/>
    </w:pPr>
    <w:rPr>
      <w:vertAlign w:val="superscript"/>
      <w:lang w:val="es-CR"/>
    </w:rPr>
  </w:style>
  <w:style w:type="paragraph" w:styleId="Textonotapie">
    <w:name w:val="footnote text"/>
    <w:aliases w:val="2. Footnote Text,Footnote Tesina,Footnote Text Char Char Char Char Char,Footnote Text Char Char Char Char,Footnote reference,FA Fu,Footnote Text Char Char Char,Footnote Text Cha,FA Fußnotentext,FA Fuﬂnotentext,Footnote Text Char Char,Ca,C"/>
    <w:basedOn w:val="Normal"/>
    <w:link w:val="TextonotapieCar"/>
    <w:unhideWhenUsed/>
    <w:qFormat/>
    <w:rsid w:val="00295526"/>
    <w:pPr>
      <w:spacing w:after="0" w:line="240" w:lineRule="auto"/>
    </w:pPr>
    <w:rPr>
      <w:sz w:val="20"/>
      <w:szCs w:val="20"/>
    </w:rPr>
  </w:style>
  <w:style w:type="character" w:customStyle="1" w:styleId="TextonotapieCar">
    <w:name w:val="Texto nota pie Car"/>
    <w:aliases w:val="2. Footnote Text Car,Footnote Tesina Car,Footnote Text Char Char Char Char Char Car,Footnote Text Char Char Char Char Car,Footnote reference Car,FA Fu Car,Footnote Text Char Char Char Car,Footnote Text Cha Car,FA Fußnotentext Car"/>
    <w:basedOn w:val="Fuentedeprrafopredeter"/>
    <w:link w:val="Textonotapie"/>
    <w:qFormat/>
    <w:rsid w:val="00295526"/>
    <w:rPr>
      <w:sz w:val="20"/>
      <w:szCs w:val="20"/>
      <w:lang w:val="en-US"/>
    </w:rPr>
  </w:style>
  <w:style w:type="character" w:styleId="Hipervnculo">
    <w:name w:val="Hyperlink"/>
    <w:basedOn w:val="Fuentedeprrafopredeter"/>
    <w:uiPriority w:val="99"/>
    <w:unhideWhenUsed/>
    <w:rsid w:val="009C42CB"/>
    <w:rPr>
      <w:color w:val="0000FF"/>
      <w:u w:val="single"/>
    </w:rPr>
  </w:style>
  <w:style w:type="paragraph" w:styleId="Encabezado">
    <w:name w:val="header"/>
    <w:basedOn w:val="Normal"/>
    <w:link w:val="EncabezadoCar"/>
    <w:uiPriority w:val="99"/>
    <w:unhideWhenUsed/>
    <w:rsid w:val="00971E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1E41"/>
    <w:rPr>
      <w:lang w:val="en-US"/>
    </w:rPr>
  </w:style>
  <w:style w:type="paragraph" w:styleId="Piedepgina">
    <w:name w:val="footer"/>
    <w:basedOn w:val="Normal"/>
    <w:link w:val="PiedepginaCar"/>
    <w:uiPriority w:val="99"/>
    <w:unhideWhenUsed/>
    <w:rsid w:val="00971E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1E41"/>
    <w:rPr>
      <w:lang w:val="en-US"/>
    </w:rPr>
  </w:style>
  <w:style w:type="character" w:styleId="Refdecomentario">
    <w:name w:val="annotation reference"/>
    <w:basedOn w:val="Fuentedeprrafopredeter"/>
    <w:uiPriority w:val="99"/>
    <w:semiHidden/>
    <w:unhideWhenUsed/>
    <w:rsid w:val="00D2641D"/>
    <w:rPr>
      <w:sz w:val="16"/>
      <w:szCs w:val="16"/>
    </w:rPr>
  </w:style>
  <w:style w:type="paragraph" w:styleId="Textocomentario">
    <w:name w:val="annotation text"/>
    <w:basedOn w:val="Normal"/>
    <w:link w:val="TextocomentarioCar"/>
    <w:uiPriority w:val="99"/>
    <w:unhideWhenUsed/>
    <w:rsid w:val="00D2641D"/>
    <w:pPr>
      <w:spacing w:line="240" w:lineRule="auto"/>
    </w:pPr>
    <w:rPr>
      <w:sz w:val="20"/>
      <w:szCs w:val="20"/>
    </w:rPr>
  </w:style>
  <w:style w:type="character" w:customStyle="1" w:styleId="TextocomentarioCar">
    <w:name w:val="Texto comentario Car"/>
    <w:basedOn w:val="Fuentedeprrafopredeter"/>
    <w:link w:val="Textocomentario"/>
    <w:uiPriority w:val="99"/>
    <w:rsid w:val="00D2641D"/>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D2641D"/>
    <w:rPr>
      <w:b/>
      <w:bCs/>
    </w:rPr>
  </w:style>
  <w:style w:type="character" w:customStyle="1" w:styleId="AsuntodelcomentarioCar">
    <w:name w:val="Asunto del comentario Car"/>
    <w:basedOn w:val="TextocomentarioCar"/>
    <w:link w:val="Asuntodelcomentario"/>
    <w:uiPriority w:val="99"/>
    <w:semiHidden/>
    <w:rsid w:val="00D2641D"/>
    <w:rPr>
      <w:b/>
      <w:bCs/>
      <w:sz w:val="20"/>
      <w:szCs w:val="20"/>
      <w:lang w:val="en-US"/>
    </w:rPr>
  </w:style>
  <w:style w:type="paragraph" w:styleId="Textodeglobo">
    <w:name w:val="Balloon Text"/>
    <w:basedOn w:val="Normal"/>
    <w:link w:val="TextodegloboCar"/>
    <w:uiPriority w:val="99"/>
    <w:semiHidden/>
    <w:unhideWhenUsed/>
    <w:rsid w:val="00D264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641D"/>
    <w:rPr>
      <w:rFonts w:ascii="Tahoma" w:hAnsi="Tahoma" w:cs="Tahoma"/>
      <w:sz w:val="16"/>
      <w:szCs w:val="16"/>
      <w:lang w:val="en-US"/>
    </w:rPr>
  </w:style>
  <w:style w:type="character" w:customStyle="1" w:styleId="Ttulo2Car">
    <w:name w:val="Título 2 Car"/>
    <w:basedOn w:val="Fuentedeprrafopredeter"/>
    <w:link w:val="Ttulo2"/>
    <w:uiPriority w:val="9"/>
    <w:rsid w:val="00BC145C"/>
    <w:rPr>
      <w:rFonts w:ascii="Verdana" w:eastAsiaTheme="majorEastAsia" w:hAnsi="Verdana" w:cstheme="majorBidi"/>
      <w:b/>
      <w:bCs/>
      <w:sz w:val="20"/>
      <w:szCs w:val="26"/>
      <w:lang w:val="es-MX"/>
    </w:rPr>
  </w:style>
  <w:style w:type="character" w:styleId="Textoennegrita">
    <w:name w:val="Strong"/>
    <w:aliases w:val="Heading 2.1"/>
    <w:basedOn w:val="Fuentedeprrafopredeter"/>
    <w:uiPriority w:val="22"/>
    <w:qFormat/>
    <w:rsid w:val="00166DEA"/>
    <w:rPr>
      <w:b/>
      <w:bCs/>
    </w:rPr>
  </w:style>
  <w:style w:type="paragraph" w:customStyle="1" w:styleId="Footnotes">
    <w:name w:val="**. Footnotes"/>
    <w:basedOn w:val="Textonotapie"/>
    <w:link w:val="FootnotesChar"/>
    <w:qFormat/>
    <w:rsid w:val="00166DEA"/>
    <w:pPr>
      <w:tabs>
        <w:tab w:val="left" w:pos="567"/>
      </w:tabs>
      <w:jc w:val="both"/>
    </w:pPr>
    <w:rPr>
      <w:rFonts w:ascii="Verdana" w:eastAsia="Times New Roman" w:hAnsi="Verdana" w:cs="Palatino-Italic"/>
      <w:iCs/>
      <w:spacing w:val="-4"/>
      <w:sz w:val="16"/>
      <w:szCs w:val="16"/>
      <w:lang w:val="es-ES" w:bidi="en-US"/>
    </w:rPr>
  </w:style>
  <w:style w:type="character" w:customStyle="1" w:styleId="FootnotesChar">
    <w:name w:val="**. Footnotes Char"/>
    <w:basedOn w:val="Fuentedeprrafopredeter"/>
    <w:link w:val="Footnotes"/>
    <w:rsid w:val="00166DEA"/>
    <w:rPr>
      <w:rFonts w:ascii="Verdana" w:eastAsia="Times New Roman" w:hAnsi="Verdana" w:cs="Palatino-Italic"/>
      <w:iCs/>
      <w:spacing w:val="-4"/>
      <w:sz w:val="16"/>
      <w:szCs w:val="16"/>
      <w:lang w:val="es-ES" w:bidi="en-US"/>
    </w:rPr>
  </w:style>
  <w:style w:type="paragraph" w:customStyle="1" w:styleId="Estilo1">
    <w:name w:val="Estilo1"/>
    <w:basedOn w:val="Normal"/>
    <w:link w:val="Estilo1Car"/>
    <w:qFormat/>
    <w:rsid w:val="008248E9"/>
    <w:pPr>
      <w:numPr>
        <w:numId w:val="3"/>
      </w:numPr>
      <w:tabs>
        <w:tab w:val="left" w:pos="567"/>
        <w:tab w:val="left" w:pos="1134"/>
      </w:tabs>
      <w:spacing w:after="120" w:line="240" w:lineRule="auto"/>
      <w:jc w:val="both"/>
    </w:pPr>
    <w:rPr>
      <w:rFonts w:ascii="Verdana" w:eastAsia="Calibri" w:hAnsi="Verdana" w:cs="Times New Roman"/>
      <w:sz w:val="20"/>
      <w:szCs w:val="20"/>
      <w:lang w:val="es-ES"/>
    </w:rPr>
  </w:style>
  <w:style w:type="character" w:customStyle="1" w:styleId="Estilo1Car">
    <w:name w:val="Estilo1 Car"/>
    <w:link w:val="Estilo1"/>
    <w:rsid w:val="008248E9"/>
    <w:rPr>
      <w:rFonts w:ascii="Verdana" w:eastAsia="Calibri" w:hAnsi="Verdana" w:cs="Times New Roman"/>
      <w:sz w:val="20"/>
      <w:szCs w:val="20"/>
      <w:lang w:val="es-ES"/>
    </w:rPr>
  </w:style>
  <w:style w:type="paragraph" w:customStyle="1" w:styleId="Estilo2">
    <w:name w:val="Estilo2"/>
    <w:basedOn w:val="Normal"/>
    <w:qFormat/>
    <w:rsid w:val="008248E9"/>
    <w:pPr>
      <w:numPr>
        <w:ilvl w:val="1"/>
        <w:numId w:val="3"/>
      </w:numPr>
      <w:tabs>
        <w:tab w:val="left" w:pos="567"/>
        <w:tab w:val="left" w:pos="1134"/>
      </w:tabs>
      <w:spacing w:after="120" w:line="240" w:lineRule="auto"/>
      <w:ind w:left="0" w:firstLine="357"/>
      <w:jc w:val="both"/>
    </w:pPr>
    <w:rPr>
      <w:rFonts w:ascii="Verdana" w:eastAsia="Calibri" w:hAnsi="Verdana" w:cs="Times New Roman"/>
      <w:sz w:val="20"/>
      <w:szCs w:val="20"/>
      <w:lang w:val="es-ES"/>
    </w:rPr>
  </w:style>
  <w:style w:type="character" w:customStyle="1" w:styleId="Ttulo1Car">
    <w:name w:val="Título 1 Car"/>
    <w:basedOn w:val="Fuentedeprrafopredeter"/>
    <w:link w:val="Ttulo1"/>
    <w:uiPriority w:val="9"/>
    <w:rsid w:val="00BC145C"/>
    <w:rPr>
      <w:rFonts w:ascii="Verdana" w:eastAsiaTheme="majorEastAsia" w:hAnsi="Verdana" w:cstheme="majorBidi"/>
      <w:b/>
      <w:color w:val="000000" w:themeColor="text1"/>
      <w:sz w:val="20"/>
      <w:szCs w:val="32"/>
      <w:lang w:val="es-MX"/>
    </w:rPr>
  </w:style>
  <w:style w:type="character" w:customStyle="1" w:styleId="Estilo1Char">
    <w:name w:val="Estilo1 Char"/>
    <w:rsid w:val="00D969DA"/>
    <w:rPr>
      <w:rFonts w:ascii="Verdana" w:eastAsia="Calibri" w:hAnsi="Verdana" w:cs="Times New Roman"/>
      <w:sz w:val="20"/>
      <w:szCs w:val="20"/>
      <w:lang w:val="es-ES"/>
    </w:rPr>
  </w:style>
  <w:style w:type="character" w:customStyle="1" w:styleId="Smbolodenotaalpie">
    <w:name w:val="Símbolo de nota al pie"/>
    <w:rsid w:val="00D969DA"/>
    <w:rPr>
      <w:rFonts w:cs="Times New Roman"/>
      <w:szCs w:val="20"/>
      <w:vertAlign w:val="superscript"/>
    </w:rPr>
  </w:style>
  <w:style w:type="paragraph" w:customStyle="1" w:styleId="Body">
    <w:name w:val="Body"/>
    <w:rsid w:val="00D969DA"/>
    <w:pPr>
      <w:pBdr>
        <w:top w:val="nil"/>
        <w:left w:val="nil"/>
        <w:bottom w:val="nil"/>
        <w:right w:val="nil"/>
        <w:between w:val="nil"/>
        <w:bar w:val="nil"/>
      </w:pBdr>
    </w:pPr>
    <w:rPr>
      <w:rFonts w:ascii="Calibri" w:eastAsia="Calibri" w:hAnsi="Calibri" w:cs="Calibri"/>
      <w:color w:val="000000"/>
      <w:u w:color="000000"/>
      <w:bdr w:val="nil"/>
      <w:lang w:val="es-ES_tradnl"/>
    </w:rPr>
  </w:style>
  <w:style w:type="numbering" w:customStyle="1" w:styleId="ImportedStyle1">
    <w:name w:val="Imported Style 1"/>
    <w:rsid w:val="00D969DA"/>
    <w:pPr>
      <w:numPr>
        <w:numId w:val="7"/>
      </w:numPr>
    </w:pPr>
  </w:style>
  <w:style w:type="paragraph" w:customStyle="1" w:styleId="Default">
    <w:name w:val="Default"/>
    <w:rsid w:val="00D969DA"/>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US"/>
    </w:rPr>
  </w:style>
  <w:style w:type="paragraph" w:styleId="Textoindependiente">
    <w:name w:val="Body Text"/>
    <w:aliases w:val="Body Text Char Car Car Car Car Car Car Car Car Car Car Car Car Car,Body Text Char Car Car Car Car Car Car Car Car Car Car Car Car"/>
    <w:basedOn w:val="Normal"/>
    <w:link w:val="TextoindependienteCar"/>
    <w:rsid w:val="00A9169B"/>
    <w:pPr>
      <w:spacing w:after="0" w:line="240" w:lineRule="auto"/>
      <w:ind w:right="12"/>
      <w:jc w:val="center"/>
    </w:pPr>
    <w:rPr>
      <w:rFonts w:ascii="Garamond" w:eastAsia="Times New Roman" w:hAnsi="Garamond" w:cs="Times New Roman"/>
      <w:b/>
      <w:sz w:val="24"/>
      <w:szCs w:val="20"/>
    </w:rPr>
  </w:style>
  <w:style w:type="character" w:customStyle="1" w:styleId="BodyTextChar">
    <w:name w:val="Body Text Char"/>
    <w:basedOn w:val="Fuentedeprrafopredeter"/>
    <w:uiPriority w:val="99"/>
    <w:semiHidden/>
    <w:rsid w:val="00A9169B"/>
    <w:rPr>
      <w:lang w:val="en-US"/>
    </w:rPr>
  </w:style>
  <w:style w:type="character" w:customStyle="1" w:styleId="TextoindependienteCar">
    <w:name w:val="Texto independiente Car"/>
    <w:aliases w:val="Body Text Char Car Car Car Car Car Car Car Car Car Car Car Car Car Car,Body Text Char Car Car Car Car Car Car Car Car Car Car Car Car Car1"/>
    <w:basedOn w:val="Fuentedeprrafopredeter"/>
    <w:link w:val="Textoindependiente"/>
    <w:rsid w:val="00A9169B"/>
    <w:rPr>
      <w:rFonts w:ascii="Garamond" w:eastAsia="Times New Roman" w:hAnsi="Garamond" w:cs="Times New Roman"/>
      <w:b/>
      <w:sz w:val="24"/>
      <w:szCs w:val="20"/>
      <w:lang w:val="en-US"/>
    </w:rPr>
  </w:style>
  <w:style w:type="paragraph" w:customStyle="1" w:styleId="PrrafodeSentencia">
    <w:name w:val="*. Párrafo de Sentencia"/>
    <w:basedOn w:val="Normal"/>
    <w:next w:val="Normal"/>
    <w:link w:val="PrrafodeSentenciaChar"/>
    <w:qFormat/>
    <w:rsid w:val="000E6FC3"/>
    <w:pPr>
      <w:numPr>
        <w:numId w:val="8"/>
      </w:numPr>
      <w:tabs>
        <w:tab w:val="left" w:pos="567"/>
      </w:tabs>
      <w:spacing w:after="0" w:line="240" w:lineRule="auto"/>
      <w:jc w:val="both"/>
    </w:pPr>
    <w:rPr>
      <w:rFonts w:ascii="Verdana" w:eastAsia="Batang" w:hAnsi="Verdana" w:cs="Times New Roman"/>
      <w:spacing w:val="-4"/>
      <w:sz w:val="20"/>
      <w:lang w:val="es-CR" w:eastAsia="es-MX"/>
    </w:rPr>
  </w:style>
  <w:style w:type="character" w:customStyle="1" w:styleId="PrrafodeSentenciaChar">
    <w:name w:val="*. Párrafo de Sentencia Char"/>
    <w:basedOn w:val="Fuentedeprrafopredeter"/>
    <w:link w:val="PrrafodeSentencia"/>
    <w:rsid w:val="000E6FC3"/>
    <w:rPr>
      <w:rFonts w:ascii="Verdana" w:eastAsia="Batang" w:hAnsi="Verdana" w:cs="Times New Roman"/>
      <w:spacing w:val="-4"/>
      <w:sz w:val="20"/>
      <w:lang w:eastAsia="es-MX"/>
    </w:rPr>
  </w:style>
  <w:style w:type="paragraph" w:customStyle="1" w:styleId="Estilo4">
    <w:name w:val="Estilo4"/>
    <w:basedOn w:val="Prrafodelista"/>
    <w:qFormat/>
    <w:rsid w:val="005E6757"/>
    <w:pPr>
      <w:numPr>
        <w:ilvl w:val="1"/>
        <w:numId w:val="9"/>
      </w:numPr>
      <w:spacing w:after="120" w:line="240" w:lineRule="auto"/>
      <w:ind w:left="0" w:firstLine="357"/>
      <w:contextualSpacing w:val="0"/>
      <w:jc w:val="both"/>
    </w:pPr>
    <w:rPr>
      <w:rFonts w:ascii="Verdana" w:eastAsia="Times New Roman" w:hAnsi="Verdana" w:cs="Times New Roman"/>
      <w:spacing w:val="-2"/>
      <w:sz w:val="20"/>
      <w:szCs w:val="20"/>
      <w:lang w:val="es-CR"/>
    </w:rPr>
  </w:style>
  <w:style w:type="character" w:customStyle="1" w:styleId="Ttulo3Car">
    <w:name w:val="Título 3 Car"/>
    <w:basedOn w:val="Fuentedeprrafopredeter"/>
    <w:link w:val="Ttulo3"/>
    <w:uiPriority w:val="9"/>
    <w:rsid w:val="00D14CA7"/>
    <w:rPr>
      <w:rFonts w:ascii="Verdana" w:eastAsiaTheme="majorEastAsia" w:hAnsi="Verdana" w:cstheme="majorBidi"/>
      <w:b/>
      <w:bCs/>
      <w:i/>
      <w:color w:val="000000" w:themeColor="text1"/>
      <w:sz w:val="20"/>
      <w:lang w:val="es-MX"/>
    </w:rPr>
  </w:style>
  <w:style w:type="paragraph" w:styleId="Ttulo">
    <w:name w:val="Title"/>
    <w:basedOn w:val="Normal"/>
    <w:next w:val="Normal"/>
    <w:link w:val="TtuloCar"/>
    <w:uiPriority w:val="10"/>
    <w:qFormat/>
    <w:rsid w:val="00CD18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CD1855"/>
    <w:rPr>
      <w:rFonts w:asciiTheme="majorHAnsi" w:eastAsiaTheme="majorEastAsia" w:hAnsiTheme="majorHAnsi" w:cstheme="majorBidi"/>
      <w:color w:val="17365D" w:themeColor="text2" w:themeShade="BF"/>
      <w:spacing w:val="5"/>
      <w:kern w:val="28"/>
      <w:sz w:val="52"/>
      <w:szCs w:val="52"/>
      <w:lang w:val="en-US"/>
    </w:rPr>
  </w:style>
  <w:style w:type="paragraph" w:styleId="TtuloTDC">
    <w:name w:val="TOC Heading"/>
    <w:basedOn w:val="Ttulo1"/>
    <w:next w:val="Normal"/>
    <w:uiPriority w:val="39"/>
    <w:unhideWhenUsed/>
    <w:qFormat/>
    <w:rsid w:val="00BC145C"/>
    <w:pPr>
      <w:spacing w:before="480"/>
      <w:outlineLvl w:val="9"/>
    </w:pPr>
    <w:rPr>
      <w:b w:val="0"/>
      <w:bCs/>
      <w:sz w:val="28"/>
      <w:szCs w:val="28"/>
      <w:lang w:val="en-US" w:eastAsia="ja-JP"/>
    </w:rPr>
  </w:style>
  <w:style w:type="paragraph" w:styleId="TDC2">
    <w:name w:val="toc 2"/>
    <w:basedOn w:val="Normal"/>
    <w:next w:val="Normal"/>
    <w:autoRedefine/>
    <w:uiPriority w:val="39"/>
    <w:unhideWhenUsed/>
    <w:rsid w:val="006B1B0F"/>
    <w:pPr>
      <w:tabs>
        <w:tab w:val="left" w:pos="880"/>
        <w:tab w:val="right" w:leader="dot" w:pos="9408"/>
      </w:tabs>
      <w:spacing w:after="0" w:line="240" w:lineRule="auto"/>
      <w:ind w:left="220"/>
    </w:pPr>
    <w:rPr>
      <w:rFonts w:ascii="Verdana" w:hAnsi="Verdana" w:cs="Arial"/>
      <w:smallCaps/>
      <w:noProof/>
      <w:sz w:val="18"/>
      <w:szCs w:val="18"/>
      <w:lang w:val="es-CR"/>
    </w:rPr>
  </w:style>
  <w:style w:type="paragraph" w:styleId="TDC1">
    <w:name w:val="toc 1"/>
    <w:basedOn w:val="Normal"/>
    <w:next w:val="Normal"/>
    <w:autoRedefine/>
    <w:uiPriority w:val="39"/>
    <w:unhideWhenUsed/>
    <w:rsid w:val="00FA33F7"/>
    <w:pPr>
      <w:spacing w:before="120" w:after="120"/>
    </w:pPr>
    <w:rPr>
      <w:rFonts w:cstheme="minorHAnsi"/>
      <w:b/>
      <w:bCs/>
      <w:caps/>
      <w:sz w:val="20"/>
      <w:szCs w:val="20"/>
    </w:rPr>
  </w:style>
  <w:style w:type="paragraph" w:styleId="TDC3">
    <w:name w:val="toc 3"/>
    <w:basedOn w:val="Normal"/>
    <w:next w:val="Normal"/>
    <w:autoRedefine/>
    <w:uiPriority w:val="39"/>
    <w:unhideWhenUsed/>
    <w:rsid w:val="002560CF"/>
    <w:pPr>
      <w:spacing w:after="0"/>
      <w:ind w:left="440"/>
    </w:pPr>
    <w:rPr>
      <w:rFonts w:cstheme="minorHAnsi"/>
      <w:i/>
      <w:iCs/>
      <w:sz w:val="20"/>
      <w:szCs w:val="20"/>
    </w:rPr>
  </w:style>
  <w:style w:type="character" w:customStyle="1" w:styleId="Ttulo4Car">
    <w:name w:val="Título 4 Car"/>
    <w:basedOn w:val="Fuentedeprrafopredeter"/>
    <w:link w:val="Ttulo4"/>
    <w:uiPriority w:val="9"/>
    <w:rsid w:val="00C03C6B"/>
    <w:rPr>
      <w:rFonts w:ascii="Verdana" w:eastAsiaTheme="majorEastAsia" w:hAnsi="Verdana" w:cstheme="majorBidi"/>
      <w:bCs/>
      <w:i/>
      <w:iCs/>
      <w:sz w:val="20"/>
      <w:lang w:val="es-MX"/>
    </w:rPr>
  </w:style>
  <w:style w:type="character" w:customStyle="1" w:styleId="Ttulo5Car">
    <w:name w:val="Título 5 Car"/>
    <w:basedOn w:val="Fuentedeprrafopredeter"/>
    <w:link w:val="Ttulo5"/>
    <w:uiPriority w:val="9"/>
    <w:rsid w:val="00996DF2"/>
    <w:rPr>
      <w:rFonts w:ascii="Verdana" w:hAnsi="Verdana"/>
      <w:i/>
      <w:sz w:val="20"/>
      <w:szCs w:val="20"/>
      <w:u w:val="single"/>
    </w:rPr>
  </w:style>
  <w:style w:type="character" w:styleId="Nmerodelnea">
    <w:name w:val="line number"/>
    <w:basedOn w:val="Fuentedeprrafopredeter"/>
    <w:uiPriority w:val="99"/>
    <w:semiHidden/>
    <w:unhideWhenUsed/>
    <w:rsid w:val="00612819"/>
  </w:style>
  <w:style w:type="paragraph" w:styleId="TDC4">
    <w:name w:val="toc 4"/>
    <w:basedOn w:val="Normal"/>
    <w:next w:val="Normal"/>
    <w:autoRedefine/>
    <w:uiPriority w:val="39"/>
    <w:unhideWhenUsed/>
    <w:rsid w:val="00960A30"/>
    <w:pPr>
      <w:spacing w:after="0"/>
      <w:ind w:left="660"/>
    </w:pPr>
    <w:rPr>
      <w:rFonts w:cstheme="minorHAnsi"/>
      <w:sz w:val="18"/>
      <w:szCs w:val="18"/>
    </w:rPr>
  </w:style>
  <w:style w:type="paragraph" w:styleId="TDC5">
    <w:name w:val="toc 5"/>
    <w:basedOn w:val="Normal"/>
    <w:next w:val="Normal"/>
    <w:autoRedefine/>
    <w:uiPriority w:val="39"/>
    <w:unhideWhenUsed/>
    <w:rsid w:val="00960A30"/>
    <w:pPr>
      <w:spacing w:after="0"/>
      <w:ind w:left="880"/>
    </w:pPr>
    <w:rPr>
      <w:rFonts w:cstheme="minorHAnsi"/>
      <w:sz w:val="18"/>
      <w:szCs w:val="18"/>
    </w:rPr>
  </w:style>
  <w:style w:type="paragraph" w:styleId="TDC6">
    <w:name w:val="toc 6"/>
    <w:basedOn w:val="Normal"/>
    <w:next w:val="Normal"/>
    <w:autoRedefine/>
    <w:uiPriority w:val="39"/>
    <w:unhideWhenUsed/>
    <w:rsid w:val="00960A30"/>
    <w:pPr>
      <w:spacing w:after="0"/>
      <w:ind w:left="1100"/>
    </w:pPr>
    <w:rPr>
      <w:rFonts w:cstheme="minorHAnsi"/>
      <w:sz w:val="18"/>
      <w:szCs w:val="18"/>
    </w:rPr>
  </w:style>
  <w:style w:type="paragraph" w:styleId="TDC7">
    <w:name w:val="toc 7"/>
    <w:basedOn w:val="Normal"/>
    <w:next w:val="Normal"/>
    <w:autoRedefine/>
    <w:uiPriority w:val="39"/>
    <w:unhideWhenUsed/>
    <w:rsid w:val="00960A30"/>
    <w:pPr>
      <w:spacing w:after="0"/>
      <w:ind w:left="1320"/>
    </w:pPr>
    <w:rPr>
      <w:rFonts w:cstheme="minorHAnsi"/>
      <w:sz w:val="18"/>
      <w:szCs w:val="18"/>
    </w:rPr>
  </w:style>
  <w:style w:type="paragraph" w:styleId="TDC8">
    <w:name w:val="toc 8"/>
    <w:basedOn w:val="Normal"/>
    <w:next w:val="Normal"/>
    <w:autoRedefine/>
    <w:uiPriority w:val="39"/>
    <w:unhideWhenUsed/>
    <w:rsid w:val="00960A30"/>
    <w:pPr>
      <w:spacing w:after="0"/>
      <w:ind w:left="1540"/>
    </w:pPr>
    <w:rPr>
      <w:rFonts w:cstheme="minorHAnsi"/>
      <w:sz w:val="18"/>
      <w:szCs w:val="18"/>
    </w:rPr>
  </w:style>
  <w:style w:type="paragraph" w:styleId="TDC9">
    <w:name w:val="toc 9"/>
    <w:basedOn w:val="Normal"/>
    <w:next w:val="Normal"/>
    <w:autoRedefine/>
    <w:uiPriority w:val="39"/>
    <w:unhideWhenUsed/>
    <w:rsid w:val="00960A30"/>
    <w:pPr>
      <w:spacing w:after="0"/>
      <w:ind w:left="1760"/>
    </w:pPr>
    <w:rPr>
      <w:rFonts w:cstheme="minorHAnsi"/>
      <w:sz w:val="18"/>
      <w:szCs w:val="18"/>
    </w:rPr>
  </w:style>
  <w:style w:type="paragraph" w:styleId="Revisin">
    <w:name w:val="Revision"/>
    <w:hidden/>
    <w:uiPriority w:val="99"/>
    <w:semiHidden/>
    <w:rsid w:val="00793765"/>
    <w:pPr>
      <w:spacing w:after="0" w:line="240" w:lineRule="auto"/>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06915">
      <w:bodyDiv w:val="1"/>
      <w:marLeft w:val="0"/>
      <w:marRight w:val="0"/>
      <w:marTop w:val="0"/>
      <w:marBottom w:val="0"/>
      <w:divBdr>
        <w:top w:val="none" w:sz="0" w:space="0" w:color="auto"/>
        <w:left w:val="none" w:sz="0" w:space="0" w:color="auto"/>
        <w:bottom w:val="none" w:sz="0" w:space="0" w:color="auto"/>
        <w:right w:val="none" w:sz="0" w:space="0" w:color="auto"/>
      </w:divBdr>
    </w:div>
    <w:div w:id="275017034">
      <w:bodyDiv w:val="1"/>
      <w:marLeft w:val="0"/>
      <w:marRight w:val="0"/>
      <w:marTop w:val="0"/>
      <w:marBottom w:val="0"/>
      <w:divBdr>
        <w:top w:val="none" w:sz="0" w:space="0" w:color="auto"/>
        <w:left w:val="none" w:sz="0" w:space="0" w:color="auto"/>
        <w:bottom w:val="none" w:sz="0" w:space="0" w:color="auto"/>
        <w:right w:val="none" w:sz="0" w:space="0" w:color="auto"/>
      </w:divBdr>
    </w:div>
    <w:div w:id="405038188">
      <w:bodyDiv w:val="1"/>
      <w:marLeft w:val="0"/>
      <w:marRight w:val="0"/>
      <w:marTop w:val="0"/>
      <w:marBottom w:val="0"/>
      <w:divBdr>
        <w:top w:val="none" w:sz="0" w:space="0" w:color="auto"/>
        <w:left w:val="none" w:sz="0" w:space="0" w:color="auto"/>
        <w:bottom w:val="none" w:sz="0" w:space="0" w:color="auto"/>
        <w:right w:val="none" w:sz="0" w:space="0" w:color="auto"/>
      </w:divBdr>
    </w:div>
    <w:div w:id="406734136">
      <w:bodyDiv w:val="1"/>
      <w:marLeft w:val="0"/>
      <w:marRight w:val="0"/>
      <w:marTop w:val="0"/>
      <w:marBottom w:val="0"/>
      <w:divBdr>
        <w:top w:val="none" w:sz="0" w:space="0" w:color="auto"/>
        <w:left w:val="none" w:sz="0" w:space="0" w:color="auto"/>
        <w:bottom w:val="none" w:sz="0" w:space="0" w:color="auto"/>
        <w:right w:val="none" w:sz="0" w:space="0" w:color="auto"/>
      </w:divBdr>
    </w:div>
    <w:div w:id="558053341">
      <w:bodyDiv w:val="1"/>
      <w:marLeft w:val="0"/>
      <w:marRight w:val="0"/>
      <w:marTop w:val="0"/>
      <w:marBottom w:val="0"/>
      <w:divBdr>
        <w:top w:val="none" w:sz="0" w:space="0" w:color="auto"/>
        <w:left w:val="none" w:sz="0" w:space="0" w:color="auto"/>
        <w:bottom w:val="none" w:sz="0" w:space="0" w:color="auto"/>
        <w:right w:val="none" w:sz="0" w:space="0" w:color="auto"/>
      </w:divBdr>
    </w:div>
    <w:div w:id="577061970">
      <w:bodyDiv w:val="1"/>
      <w:marLeft w:val="0"/>
      <w:marRight w:val="0"/>
      <w:marTop w:val="0"/>
      <w:marBottom w:val="0"/>
      <w:divBdr>
        <w:top w:val="none" w:sz="0" w:space="0" w:color="auto"/>
        <w:left w:val="none" w:sz="0" w:space="0" w:color="auto"/>
        <w:bottom w:val="none" w:sz="0" w:space="0" w:color="auto"/>
        <w:right w:val="none" w:sz="0" w:space="0" w:color="auto"/>
      </w:divBdr>
    </w:div>
    <w:div w:id="998729271">
      <w:bodyDiv w:val="1"/>
      <w:marLeft w:val="0"/>
      <w:marRight w:val="0"/>
      <w:marTop w:val="0"/>
      <w:marBottom w:val="0"/>
      <w:divBdr>
        <w:top w:val="none" w:sz="0" w:space="0" w:color="auto"/>
        <w:left w:val="none" w:sz="0" w:space="0" w:color="auto"/>
        <w:bottom w:val="none" w:sz="0" w:space="0" w:color="auto"/>
        <w:right w:val="none" w:sz="0" w:space="0" w:color="auto"/>
      </w:divBdr>
    </w:div>
    <w:div w:id="1367564089">
      <w:bodyDiv w:val="1"/>
      <w:marLeft w:val="0"/>
      <w:marRight w:val="0"/>
      <w:marTop w:val="0"/>
      <w:marBottom w:val="0"/>
      <w:divBdr>
        <w:top w:val="none" w:sz="0" w:space="0" w:color="auto"/>
        <w:left w:val="none" w:sz="0" w:space="0" w:color="auto"/>
        <w:bottom w:val="none" w:sz="0" w:space="0" w:color="auto"/>
        <w:right w:val="none" w:sz="0" w:space="0" w:color="auto"/>
      </w:divBdr>
    </w:div>
    <w:div w:id="1387342008">
      <w:bodyDiv w:val="1"/>
      <w:marLeft w:val="0"/>
      <w:marRight w:val="0"/>
      <w:marTop w:val="0"/>
      <w:marBottom w:val="0"/>
      <w:divBdr>
        <w:top w:val="none" w:sz="0" w:space="0" w:color="auto"/>
        <w:left w:val="none" w:sz="0" w:space="0" w:color="auto"/>
        <w:bottom w:val="none" w:sz="0" w:space="0" w:color="auto"/>
        <w:right w:val="none" w:sz="0" w:space="0" w:color="auto"/>
      </w:divBdr>
    </w:div>
    <w:div w:id="1509446864">
      <w:bodyDiv w:val="1"/>
      <w:marLeft w:val="0"/>
      <w:marRight w:val="0"/>
      <w:marTop w:val="0"/>
      <w:marBottom w:val="0"/>
      <w:divBdr>
        <w:top w:val="none" w:sz="0" w:space="0" w:color="auto"/>
        <w:left w:val="none" w:sz="0" w:space="0" w:color="auto"/>
        <w:bottom w:val="none" w:sz="0" w:space="0" w:color="auto"/>
        <w:right w:val="none" w:sz="0" w:space="0" w:color="auto"/>
      </w:divBdr>
    </w:div>
    <w:div w:id="1730610089">
      <w:bodyDiv w:val="1"/>
      <w:marLeft w:val="0"/>
      <w:marRight w:val="0"/>
      <w:marTop w:val="0"/>
      <w:marBottom w:val="0"/>
      <w:divBdr>
        <w:top w:val="none" w:sz="0" w:space="0" w:color="auto"/>
        <w:left w:val="none" w:sz="0" w:space="0" w:color="auto"/>
        <w:bottom w:val="none" w:sz="0" w:space="0" w:color="auto"/>
        <w:right w:val="none" w:sz="0" w:space="0" w:color="auto"/>
      </w:divBdr>
    </w:div>
    <w:div w:id="1738355426">
      <w:bodyDiv w:val="1"/>
      <w:marLeft w:val="0"/>
      <w:marRight w:val="0"/>
      <w:marTop w:val="0"/>
      <w:marBottom w:val="0"/>
      <w:divBdr>
        <w:top w:val="none" w:sz="0" w:space="0" w:color="auto"/>
        <w:left w:val="none" w:sz="0" w:space="0" w:color="auto"/>
        <w:bottom w:val="none" w:sz="0" w:space="0" w:color="auto"/>
        <w:right w:val="none" w:sz="0" w:space="0" w:color="auto"/>
      </w:divBdr>
    </w:div>
    <w:div w:id="1789011388">
      <w:bodyDiv w:val="1"/>
      <w:marLeft w:val="0"/>
      <w:marRight w:val="0"/>
      <w:marTop w:val="0"/>
      <w:marBottom w:val="0"/>
      <w:divBdr>
        <w:top w:val="none" w:sz="0" w:space="0" w:color="auto"/>
        <w:left w:val="none" w:sz="0" w:space="0" w:color="auto"/>
        <w:bottom w:val="none" w:sz="0" w:space="0" w:color="auto"/>
        <w:right w:val="none" w:sz="0" w:space="0" w:color="auto"/>
      </w:divBdr>
    </w:div>
    <w:div w:id="1867672127">
      <w:bodyDiv w:val="1"/>
      <w:marLeft w:val="0"/>
      <w:marRight w:val="0"/>
      <w:marTop w:val="0"/>
      <w:marBottom w:val="0"/>
      <w:divBdr>
        <w:top w:val="none" w:sz="0" w:space="0" w:color="auto"/>
        <w:left w:val="none" w:sz="0" w:space="0" w:color="auto"/>
        <w:bottom w:val="none" w:sz="0" w:space="0" w:color="auto"/>
        <w:right w:val="none" w:sz="0" w:space="0" w:color="auto"/>
      </w:divBdr>
    </w:div>
    <w:div w:id="1909268262">
      <w:bodyDiv w:val="1"/>
      <w:marLeft w:val="0"/>
      <w:marRight w:val="0"/>
      <w:marTop w:val="0"/>
      <w:marBottom w:val="0"/>
      <w:divBdr>
        <w:top w:val="none" w:sz="0" w:space="0" w:color="auto"/>
        <w:left w:val="none" w:sz="0" w:space="0" w:color="auto"/>
        <w:bottom w:val="none" w:sz="0" w:space="0" w:color="auto"/>
        <w:right w:val="none" w:sz="0" w:space="0" w:color="auto"/>
      </w:divBdr>
    </w:div>
    <w:div w:id="196361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200.6.233.69/Sentencias/820216.1822-2011.pdf" TargetMode="External"/><Relationship Id="rId2" Type="http://schemas.openxmlformats.org/officeDocument/2006/relationships/hyperlink" Target="http://www.corteidh.or.cr/docs/asuntos/ruizfuentes_mart%C3%ADnezcoronado_gir%C3%B3nyotro_valenzuela%C3%A1vila_rodr%C3%ADguezrevolorioyotros_04_03_19.pdf" TargetMode="External"/><Relationship Id="rId1" Type="http://schemas.openxmlformats.org/officeDocument/2006/relationships/hyperlink" Target="http://www.corteidh.or.cr/docs/asuntos/valenzuela_avila_15_02_19.pdf" TargetMode="External"/><Relationship Id="rId5" Type="http://schemas.openxmlformats.org/officeDocument/2006/relationships/hyperlink" Target="https://www.cicig.org/casos/tribunal-condena-a-responsables-de-ejecuciones-extrajudiciales/" TargetMode="External"/><Relationship Id="rId4" Type="http://schemas.openxmlformats.org/officeDocument/2006/relationships/hyperlink" Target="http://www.mnp-opt.gob.gt/img/kcfinder/files/2010-Ley-del-MNP-Decreto-4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6E531-3D9C-4C59-B44E-5E1C0DDC2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68</Pages>
  <Words>31086</Words>
  <Characters>170976</Characters>
  <Application>Microsoft Office Word</Application>
  <DocSecurity>0</DocSecurity>
  <Lines>1424</Lines>
  <Paragraphs>403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201659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Isaac Valerin</cp:lastModifiedBy>
  <cp:revision>6</cp:revision>
  <cp:lastPrinted>2022-12-19T18:26:00Z</cp:lastPrinted>
  <dcterms:created xsi:type="dcterms:W3CDTF">2022-12-15T21:57:00Z</dcterms:created>
  <dcterms:modified xsi:type="dcterms:W3CDTF">2022-12-19T18:26:00Z</dcterms:modified>
</cp:coreProperties>
</file>