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6B5B7" w14:textId="77777777" w:rsidR="001C05D8" w:rsidRPr="00E25884" w:rsidRDefault="001C05D8" w:rsidP="00EB774C">
      <w:pPr>
        <w:pStyle w:val="2Footnotes"/>
        <w:spacing w:after="0"/>
        <w:rPr>
          <w:sz w:val="20"/>
          <w:szCs w:val="20"/>
        </w:rPr>
      </w:pPr>
    </w:p>
    <w:p w14:paraId="53B5F4E3" w14:textId="77777777" w:rsidR="001C05D8" w:rsidRPr="00E25884" w:rsidRDefault="001C05D8" w:rsidP="00EB774C">
      <w:pPr>
        <w:widowControl w:val="0"/>
        <w:adjustRightInd w:val="0"/>
        <w:spacing w:before="120" w:after="0" w:line="240" w:lineRule="auto"/>
        <w:jc w:val="center"/>
        <w:textAlignment w:val="baseline"/>
        <w:rPr>
          <w:rFonts w:ascii="Verdana" w:eastAsia="Calibri" w:hAnsi="Verdana" w:cs="Calibri"/>
          <w:b/>
          <w:sz w:val="20"/>
          <w:szCs w:val="20"/>
          <w:lang w:val="es-CR" w:eastAsia="es-CR"/>
        </w:rPr>
      </w:pPr>
    </w:p>
    <w:p w14:paraId="068091C8" w14:textId="77777777" w:rsidR="001C05D8" w:rsidRPr="00E25884" w:rsidRDefault="001C05D8" w:rsidP="00EB774C">
      <w:pPr>
        <w:widowControl w:val="0"/>
        <w:adjustRightInd w:val="0"/>
        <w:spacing w:before="120" w:after="0" w:line="240" w:lineRule="auto"/>
        <w:jc w:val="center"/>
        <w:textAlignment w:val="baseline"/>
        <w:rPr>
          <w:rFonts w:ascii="Verdana" w:eastAsia="Calibri" w:hAnsi="Verdana" w:cs="Calibri"/>
          <w:b/>
          <w:sz w:val="20"/>
          <w:szCs w:val="20"/>
          <w:lang w:val="es-ES" w:eastAsia="es-CR"/>
        </w:rPr>
      </w:pPr>
      <w:r w:rsidRPr="00E25884">
        <w:rPr>
          <w:rFonts w:ascii="Verdana" w:eastAsia="Calibri" w:hAnsi="Verdana" w:cs="Calibri"/>
          <w:b/>
          <w:sz w:val="20"/>
          <w:szCs w:val="20"/>
          <w:lang w:val="es-ES" w:eastAsia="es-CR"/>
        </w:rPr>
        <w:t>CORTE INTERAMERICANA DE DERECHOS HUMANOS</w:t>
      </w:r>
    </w:p>
    <w:p w14:paraId="0D655145" w14:textId="77777777" w:rsidR="001C05D8" w:rsidRPr="00E25884" w:rsidRDefault="001C05D8" w:rsidP="00EB774C">
      <w:pPr>
        <w:widowControl w:val="0"/>
        <w:tabs>
          <w:tab w:val="left" w:pos="720"/>
        </w:tabs>
        <w:adjustRightInd w:val="0"/>
        <w:spacing w:before="120" w:after="0" w:line="240" w:lineRule="auto"/>
        <w:jc w:val="center"/>
        <w:textAlignment w:val="baseline"/>
        <w:rPr>
          <w:rFonts w:ascii="Verdana" w:eastAsia="Calibri" w:hAnsi="Verdana" w:cs="Verdana"/>
          <w:b/>
          <w:bCs/>
          <w:caps/>
          <w:snapToGrid w:val="0"/>
          <w:sz w:val="20"/>
          <w:szCs w:val="20"/>
          <w:lang w:val="es-ES" w:eastAsia="es-ES"/>
        </w:rPr>
      </w:pPr>
    </w:p>
    <w:p w14:paraId="02EB6C9B" w14:textId="77777777" w:rsidR="001C05D8" w:rsidRPr="00E25884" w:rsidRDefault="001C05D8" w:rsidP="00EB774C">
      <w:pPr>
        <w:spacing w:before="120" w:after="0" w:line="240" w:lineRule="auto"/>
        <w:jc w:val="center"/>
        <w:rPr>
          <w:rFonts w:ascii="Verdana" w:eastAsia="Calibri" w:hAnsi="Verdana" w:cs="Calibri"/>
          <w:b/>
          <w:sz w:val="20"/>
          <w:szCs w:val="20"/>
          <w:lang w:val="es-CR" w:eastAsia="es-CR"/>
        </w:rPr>
      </w:pPr>
      <w:r w:rsidRPr="00E25884">
        <w:rPr>
          <w:rFonts w:ascii="Verdana" w:eastAsia="Calibri" w:hAnsi="Verdana" w:cs="Calibri"/>
          <w:b/>
          <w:sz w:val="20"/>
          <w:szCs w:val="20"/>
          <w:lang w:val="es-CR" w:eastAsia="es-CR"/>
        </w:rPr>
        <w:t xml:space="preserve">CASO </w:t>
      </w:r>
      <w:r w:rsidR="007D3C55" w:rsidRPr="00E25884">
        <w:rPr>
          <w:rFonts w:ascii="Verdana" w:eastAsia="Calibri" w:hAnsi="Verdana" w:cs="Calibri"/>
          <w:b/>
          <w:sz w:val="20"/>
          <w:szCs w:val="20"/>
          <w:lang w:val="es-CR" w:eastAsia="es-CR"/>
        </w:rPr>
        <w:t>HERNÁNDEZ</w:t>
      </w:r>
      <w:r w:rsidRPr="00E25884">
        <w:rPr>
          <w:rFonts w:ascii="Verdana" w:eastAsia="Calibri" w:hAnsi="Verdana" w:cs="Calibri"/>
          <w:b/>
          <w:sz w:val="20"/>
          <w:szCs w:val="20"/>
          <w:lang w:val="es-CR" w:eastAsia="es-CR"/>
        </w:rPr>
        <w:t xml:space="preserve"> </w:t>
      </w:r>
      <w:r w:rsidRPr="00E25884">
        <w:rPr>
          <w:rFonts w:ascii="Verdana" w:eastAsia="Calibri" w:hAnsi="Verdana" w:cs="Calibri"/>
          <w:b/>
          <w:i/>
          <w:sz w:val="20"/>
          <w:szCs w:val="20"/>
          <w:lang w:val="es-CR" w:eastAsia="es-CR"/>
        </w:rPr>
        <w:t>VS.</w:t>
      </w:r>
      <w:r w:rsidRPr="00E25884">
        <w:rPr>
          <w:rFonts w:ascii="Verdana" w:eastAsia="Calibri" w:hAnsi="Verdana" w:cs="Calibri"/>
          <w:b/>
          <w:sz w:val="20"/>
          <w:szCs w:val="20"/>
          <w:lang w:val="es-CR" w:eastAsia="es-CR"/>
        </w:rPr>
        <w:t xml:space="preserve"> ARGENTINA</w:t>
      </w:r>
    </w:p>
    <w:p w14:paraId="1CB2340D" w14:textId="77777777" w:rsidR="001C05D8" w:rsidRPr="00487C80" w:rsidRDefault="001C05D8" w:rsidP="00EB774C">
      <w:pPr>
        <w:widowControl w:val="0"/>
        <w:tabs>
          <w:tab w:val="left" w:pos="720"/>
        </w:tabs>
        <w:adjustRightInd w:val="0"/>
        <w:spacing w:before="120" w:after="0" w:line="240" w:lineRule="auto"/>
        <w:jc w:val="center"/>
        <w:textAlignment w:val="baseline"/>
        <w:rPr>
          <w:rFonts w:ascii="Verdana" w:eastAsia="Calibri" w:hAnsi="Verdana" w:cs="Verdana"/>
          <w:b/>
          <w:bCs/>
          <w:caps/>
          <w:snapToGrid w:val="0"/>
          <w:sz w:val="20"/>
          <w:szCs w:val="20"/>
          <w:lang w:val="es-CR" w:eastAsia="es-ES"/>
        </w:rPr>
      </w:pPr>
    </w:p>
    <w:p w14:paraId="7B83A3F9" w14:textId="08EA3F6D" w:rsidR="001C05D8" w:rsidRPr="00E25884" w:rsidRDefault="001C05D8" w:rsidP="00EB774C">
      <w:pPr>
        <w:widowControl w:val="0"/>
        <w:tabs>
          <w:tab w:val="left" w:pos="720"/>
        </w:tabs>
        <w:adjustRightInd w:val="0"/>
        <w:spacing w:before="120" w:after="0" w:line="240" w:lineRule="auto"/>
        <w:jc w:val="center"/>
        <w:textAlignment w:val="baseline"/>
        <w:rPr>
          <w:rFonts w:ascii="Verdana" w:eastAsia="Calibri" w:hAnsi="Verdana" w:cs="Verdana"/>
          <w:b/>
          <w:bCs/>
          <w:snapToGrid w:val="0"/>
          <w:sz w:val="20"/>
          <w:szCs w:val="20"/>
          <w:lang w:val="es-ES" w:eastAsia="es-ES"/>
        </w:rPr>
      </w:pPr>
      <w:r w:rsidRPr="00E25884">
        <w:rPr>
          <w:rFonts w:ascii="Verdana" w:eastAsia="Calibri" w:hAnsi="Verdana" w:cs="Verdana"/>
          <w:b/>
          <w:bCs/>
          <w:snapToGrid w:val="0"/>
          <w:sz w:val="20"/>
          <w:szCs w:val="20"/>
          <w:lang w:val="es-ES" w:eastAsia="es-ES"/>
        </w:rPr>
        <w:t xml:space="preserve">SENTENCIA DE </w:t>
      </w:r>
      <w:r w:rsidR="00230D8B">
        <w:rPr>
          <w:rFonts w:ascii="Verdana" w:eastAsia="Calibri" w:hAnsi="Verdana" w:cs="Verdana"/>
          <w:b/>
          <w:bCs/>
          <w:snapToGrid w:val="0"/>
          <w:sz w:val="20"/>
          <w:szCs w:val="20"/>
          <w:lang w:val="es-ES" w:eastAsia="es-ES"/>
        </w:rPr>
        <w:t>22</w:t>
      </w:r>
      <w:r w:rsidRPr="00E25884">
        <w:rPr>
          <w:rFonts w:ascii="Verdana" w:eastAsia="Calibri" w:hAnsi="Verdana" w:cs="Verdana"/>
          <w:b/>
          <w:bCs/>
          <w:snapToGrid w:val="0"/>
          <w:sz w:val="20"/>
          <w:szCs w:val="20"/>
          <w:lang w:val="es-ES" w:eastAsia="es-ES"/>
        </w:rPr>
        <w:t xml:space="preserve"> DE </w:t>
      </w:r>
      <w:r w:rsidR="003024F9">
        <w:rPr>
          <w:rFonts w:ascii="Verdana" w:eastAsia="Calibri" w:hAnsi="Verdana" w:cs="Verdana"/>
          <w:b/>
          <w:bCs/>
          <w:snapToGrid w:val="0"/>
          <w:sz w:val="20"/>
          <w:szCs w:val="20"/>
          <w:lang w:val="es-ES" w:eastAsia="es-ES"/>
        </w:rPr>
        <w:t>NOVIEMBRE</w:t>
      </w:r>
      <w:r w:rsidRPr="00E25884">
        <w:rPr>
          <w:rFonts w:ascii="Verdana" w:eastAsia="Calibri" w:hAnsi="Verdana" w:cs="Verdana"/>
          <w:b/>
          <w:bCs/>
          <w:snapToGrid w:val="0"/>
          <w:sz w:val="20"/>
          <w:szCs w:val="20"/>
          <w:lang w:val="es-ES" w:eastAsia="es-ES"/>
        </w:rPr>
        <w:t xml:space="preserve"> DE 2019</w:t>
      </w:r>
    </w:p>
    <w:p w14:paraId="043682B8" w14:textId="77777777" w:rsidR="001C05D8" w:rsidRPr="00E25884" w:rsidRDefault="001C05D8" w:rsidP="00EB774C">
      <w:pPr>
        <w:widowControl w:val="0"/>
        <w:tabs>
          <w:tab w:val="left" w:pos="720"/>
        </w:tabs>
        <w:adjustRightInd w:val="0"/>
        <w:spacing w:before="120" w:after="0" w:line="240" w:lineRule="auto"/>
        <w:jc w:val="center"/>
        <w:textAlignment w:val="baseline"/>
        <w:rPr>
          <w:rFonts w:ascii="Verdana" w:eastAsia="Calibri" w:hAnsi="Verdana" w:cs="Verdana"/>
          <w:b/>
          <w:bCs/>
          <w:caps/>
          <w:snapToGrid w:val="0"/>
          <w:sz w:val="20"/>
          <w:szCs w:val="20"/>
          <w:lang w:val="es-ES" w:eastAsia="es-ES"/>
        </w:rPr>
      </w:pPr>
    </w:p>
    <w:p w14:paraId="3A4178AD" w14:textId="77777777" w:rsidR="001C05D8" w:rsidRPr="00E25884" w:rsidRDefault="001C05D8" w:rsidP="00EB774C">
      <w:pPr>
        <w:widowControl w:val="0"/>
        <w:tabs>
          <w:tab w:val="left" w:pos="720"/>
        </w:tabs>
        <w:adjustRightInd w:val="0"/>
        <w:spacing w:before="120" w:after="0" w:line="240" w:lineRule="auto"/>
        <w:jc w:val="center"/>
        <w:textAlignment w:val="baseline"/>
        <w:rPr>
          <w:rFonts w:ascii="Verdana" w:eastAsia="Calibri" w:hAnsi="Verdana" w:cs="Verdana"/>
          <w:b/>
          <w:bCs/>
          <w:i/>
          <w:iCs/>
          <w:snapToGrid w:val="0"/>
          <w:sz w:val="20"/>
          <w:szCs w:val="20"/>
          <w:lang w:val="es-ES" w:eastAsia="es-ES"/>
        </w:rPr>
      </w:pPr>
      <w:r w:rsidRPr="00E25884">
        <w:rPr>
          <w:rFonts w:ascii="Verdana" w:eastAsia="Calibri" w:hAnsi="Verdana" w:cs="Verdana"/>
          <w:b/>
          <w:bCs/>
          <w:i/>
          <w:iCs/>
          <w:snapToGrid w:val="0"/>
          <w:sz w:val="20"/>
          <w:szCs w:val="20"/>
          <w:lang w:val="es-ES" w:eastAsia="es-ES"/>
        </w:rPr>
        <w:t>(</w:t>
      </w:r>
      <w:r w:rsidR="00977ACB" w:rsidRPr="00E25884">
        <w:rPr>
          <w:rFonts w:ascii="Verdana" w:eastAsia="Calibri" w:hAnsi="Verdana" w:cs="Verdana"/>
          <w:b/>
          <w:bCs/>
          <w:i/>
          <w:iCs/>
          <w:snapToGrid w:val="0"/>
          <w:sz w:val="20"/>
          <w:szCs w:val="20"/>
          <w:lang w:val="es-ES" w:eastAsia="es-ES"/>
        </w:rPr>
        <w:t>Excepción Preliminar, Fondo, Reparaciones y Costas</w:t>
      </w:r>
      <w:r w:rsidRPr="00E25884">
        <w:rPr>
          <w:rFonts w:ascii="Verdana" w:eastAsia="Calibri" w:hAnsi="Verdana" w:cs="Verdana"/>
          <w:b/>
          <w:bCs/>
          <w:i/>
          <w:iCs/>
          <w:snapToGrid w:val="0"/>
          <w:sz w:val="20"/>
          <w:szCs w:val="20"/>
          <w:lang w:val="es-ES" w:eastAsia="es-ES"/>
        </w:rPr>
        <w:t>)</w:t>
      </w:r>
    </w:p>
    <w:p w14:paraId="7CBF68A6" w14:textId="77777777" w:rsidR="001C05D8" w:rsidRPr="00E25884" w:rsidRDefault="001C05D8" w:rsidP="00EB774C">
      <w:pPr>
        <w:widowControl w:val="0"/>
        <w:tabs>
          <w:tab w:val="left" w:pos="720"/>
        </w:tabs>
        <w:adjustRightInd w:val="0"/>
        <w:spacing w:before="120" w:after="0" w:line="240" w:lineRule="auto"/>
        <w:jc w:val="both"/>
        <w:textAlignment w:val="baseline"/>
        <w:rPr>
          <w:rFonts w:ascii="Verdana" w:eastAsia="Calibri" w:hAnsi="Verdana" w:cs="Verdana"/>
          <w:b/>
          <w:bCs/>
          <w:caps/>
          <w:snapToGrid w:val="0"/>
          <w:sz w:val="20"/>
          <w:szCs w:val="20"/>
          <w:lang w:val="es-ES" w:eastAsia="es-ES"/>
        </w:rPr>
      </w:pPr>
    </w:p>
    <w:p w14:paraId="561EA668" w14:textId="77777777" w:rsidR="001C05D8" w:rsidRPr="00E25884" w:rsidRDefault="001C05D8" w:rsidP="00EB774C">
      <w:pPr>
        <w:widowControl w:val="0"/>
        <w:adjustRightInd w:val="0"/>
        <w:spacing w:before="120" w:after="0" w:line="240" w:lineRule="auto"/>
        <w:jc w:val="both"/>
        <w:textAlignment w:val="baseline"/>
        <w:rPr>
          <w:rFonts w:ascii="Verdana" w:eastAsia="Calibri" w:hAnsi="Verdana" w:cs="Times New Roman"/>
          <w:sz w:val="20"/>
          <w:szCs w:val="20"/>
          <w:lang w:val="es-ES" w:eastAsia="es-CR"/>
        </w:rPr>
      </w:pPr>
    </w:p>
    <w:p w14:paraId="70E2D897" w14:textId="77777777" w:rsidR="001C05D8" w:rsidRPr="00E25884" w:rsidRDefault="001C05D8" w:rsidP="00EB774C">
      <w:pPr>
        <w:widowControl w:val="0"/>
        <w:tabs>
          <w:tab w:val="left" w:pos="720"/>
        </w:tabs>
        <w:adjustRightInd w:val="0"/>
        <w:spacing w:before="120" w:after="0" w:line="240" w:lineRule="auto"/>
        <w:jc w:val="both"/>
        <w:textAlignment w:val="baseline"/>
        <w:rPr>
          <w:rFonts w:ascii="Verdana" w:eastAsia="Verdana" w:hAnsi="Verdana" w:cs="Verdana"/>
          <w:sz w:val="20"/>
          <w:szCs w:val="20"/>
          <w:lang w:val="es-ES" w:eastAsia="es-CR"/>
        </w:rPr>
      </w:pPr>
      <w:r w:rsidRPr="00E25884">
        <w:rPr>
          <w:rFonts w:ascii="Verdana" w:eastAsia="Verdana" w:hAnsi="Verdana" w:cs="Verdana"/>
          <w:sz w:val="20"/>
          <w:szCs w:val="20"/>
          <w:lang w:val="es-ES" w:eastAsia="es-CR"/>
        </w:rPr>
        <w:t xml:space="preserve">En el caso </w:t>
      </w:r>
      <w:r w:rsidR="00B2704E">
        <w:rPr>
          <w:rFonts w:ascii="Verdana" w:eastAsia="Verdana" w:hAnsi="Verdana" w:cs="Verdana"/>
          <w:i/>
          <w:sz w:val="20"/>
          <w:szCs w:val="20"/>
          <w:lang w:val="es-ES" w:eastAsia="es-CR"/>
        </w:rPr>
        <w:t>Hernández</w:t>
      </w:r>
      <w:r w:rsidR="000965F4" w:rsidRPr="00E25884">
        <w:rPr>
          <w:rFonts w:ascii="Verdana" w:eastAsia="Verdana" w:hAnsi="Verdana" w:cs="Verdana"/>
          <w:i/>
          <w:sz w:val="20"/>
          <w:szCs w:val="20"/>
          <w:lang w:val="es-ES" w:eastAsia="es-CR"/>
        </w:rPr>
        <w:t xml:space="preserve"> Vs. Argentina</w:t>
      </w:r>
      <w:r w:rsidRPr="00E25884">
        <w:rPr>
          <w:rFonts w:ascii="Verdana" w:eastAsia="Verdana" w:hAnsi="Verdana" w:cs="Verdana"/>
          <w:sz w:val="20"/>
          <w:szCs w:val="20"/>
          <w:lang w:val="es-ES" w:eastAsia="es-CR"/>
        </w:rPr>
        <w:t>,</w:t>
      </w:r>
    </w:p>
    <w:p w14:paraId="499C1FE0" w14:textId="77777777" w:rsidR="001C05D8" w:rsidRPr="00E25884" w:rsidRDefault="001C05D8" w:rsidP="00EB774C">
      <w:pPr>
        <w:widowControl w:val="0"/>
        <w:adjustRightInd w:val="0"/>
        <w:spacing w:before="120" w:after="0" w:line="240" w:lineRule="auto"/>
        <w:jc w:val="both"/>
        <w:textAlignment w:val="baseline"/>
        <w:rPr>
          <w:rFonts w:ascii="Verdana" w:eastAsia="Calibri" w:hAnsi="Verdana" w:cs="Times New Roman"/>
          <w:sz w:val="20"/>
          <w:szCs w:val="20"/>
          <w:lang w:val="es-ES" w:eastAsia="es-CR"/>
        </w:rPr>
      </w:pPr>
    </w:p>
    <w:p w14:paraId="057FBA82" w14:textId="77777777" w:rsidR="001C05D8" w:rsidRPr="00E25884" w:rsidRDefault="001C05D8" w:rsidP="00EB774C">
      <w:pPr>
        <w:widowControl w:val="0"/>
        <w:adjustRightInd w:val="0"/>
        <w:spacing w:before="120" w:after="0" w:line="240" w:lineRule="auto"/>
        <w:jc w:val="both"/>
        <w:textAlignment w:val="baseline"/>
        <w:rPr>
          <w:rFonts w:ascii="Verdana" w:eastAsiaTheme="minorHAnsi" w:hAnsi="Verdana" w:cs="Times New Roman"/>
          <w:sz w:val="20"/>
          <w:szCs w:val="20"/>
          <w:lang w:val="es-CR" w:eastAsia="es-CR"/>
        </w:rPr>
      </w:pPr>
      <w:r w:rsidRPr="00E25884">
        <w:rPr>
          <w:rFonts w:ascii="Verdana" w:eastAsia="Calibri" w:hAnsi="Verdana" w:cs="Verdana"/>
          <w:sz w:val="20"/>
          <w:szCs w:val="20"/>
          <w:lang w:val="es-ES" w:eastAsia="es-CR"/>
        </w:rPr>
        <w:t>la Corte Interamericana de Derechos Humanos (en adelante “la Corte Interamericana”, “la Corte” o “este Tribunal”), integrada por los siguientes jueces</w:t>
      </w:r>
      <w:r w:rsidRPr="00E25884">
        <w:rPr>
          <w:rFonts w:ascii="Verdana" w:eastAsia="Times New Roman" w:hAnsi="Verdana" w:cs="Times New Roman"/>
          <w:sz w:val="20"/>
          <w:szCs w:val="20"/>
          <w:lang w:val="es-CR" w:eastAsia="es-CR"/>
        </w:rPr>
        <w:footnoteReference w:customMarkFollows="1" w:id="2"/>
        <w:t>*</w:t>
      </w:r>
      <w:r w:rsidRPr="00E25884">
        <w:rPr>
          <w:rFonts w:ascii="Verdana" w:eastAsia="Calibri" w:hAnsi="Verdana" w:cs="Verdana"/>
          <w:sz w:val="20"/>
          <w:szCs w:val="20"/>
          <w:lang w:val="es-ES" w:eastAsia="es-CR"/>
        </w:rPr>
        <w:t>:</w:t>
      </w:r>
    </w:p>
    <w:p w14:paraId="1022B072" w14:textId="77777777" w:rsidR="001C05D8" w:rsidRPr="00E25884" w:rsidRDefault="001C05D8" w:rsidP="00EB774C">
      <w:pPr>
        <w:widowControl w:val="0"/>
        <w:adjustRightInd w:val="0"/>
        <w:spacing w:before="120" w:after="0" w:line="240" w:lineRule="auto"/>
        <w:jc w:val="both"/>
        <w:textAlignment w:val="baseline"/>
        <w:rPr>
          <w:rFonts w:ascii="Verdana" w:eastAsia="Calibri" w:hAnsi="Verdana" w:cs="Verdana"/>
          <w:sz w:val="20"/>
          <w:szCs w:val="20"/>
          <w:lang w:val="es-ES" w:eastAsia="es-CR"/>
        </w:rPr>
      </w:pPr>
    </w:p>
    <w:p w14:paraId="1DD7C721" w14:textId="77777777" w:rsidR="001C05D8" w:rsidRPr="002D6147" w:rsidRDefault="001C05D8" w:rsidP="00EB774C">
      <w:pPr>
        <w:widowControl w:val="0"/>
        <w:tabs>
          <w:tab w:val="left" w:pos="720"/>
        </w:tabs>
        <w:adjustRightInd w:val="0"/>
        <w:spacing w:after="0" w:line="240" w:lineRule="auto"/>
        <w:jc w:val="both"/>
        <w:textAlignment w:val="baseline"/>
        <w:rPr>
          <w:rFonts w:ascii="Verdana" w:eastAsia="Calibri" w:hAnsi="Verdana" w:cs="Verdana"/>
          <w:sz w:val="20"/>
          <w:szCs w:val="20"/>
          <w:lang w:val="pt-BR" w:eastAsia="es-CR"/>
        </w:rPr>
      </w:pPr>
      <w:r w:rsidRPr="002D6147">
        <w:rPr>
          <w:rFonts w:ascii="Verdana" w:eastAsia="Calibri" w:hAnsi="Verdana" w:cs="Verdana"/>
          <w:sz w:val="20"/>
          <w:szCs w:val="20"/>
          <w:lang w:val="pt-BR" w:eastAsia="es-CR"/>
        </w:rPr>
        <w:t xml:space="preserve">Eduardo Ferrer </w:t>
      </w:r>
      <w:proofErr w:type="spellStart"/>
      <w:r w:rsidRPr="002D6147">
        <w:rPr>
          <w:rFonts w:ascii="Verdana" w:eastAsia="Calibri" w:hAnsi="Verdana" w:cs="Verdana"/>
          <w:sz w:val="20"/>
          <w:szCs w:val="20"/>
          <w:lang w:val="pt-BR" w:eastAsia="es-CR"/>
        </w:rPr>
        <w:t>Mac-Gregor</w:t>
      </w:r>
      <w:proofErr w:type="spellEnd"/>
      <w:r w:rsidRPr="002D6147">
        <w:rPr>
          <w:rFonts w:ascii="Verdana" w:eastAsia="Calibri" w:hAnsi="Verdana" w:cs="Verdana"/>
          <w:sz w:val="20"/>
          <w:szCs w:val="20"/>
          <w:lang w:val="pt-BR" w:eastAsia="es-CR"/>
        </w:rPr>
        <w:t xml:space="preserve"> </w:t>
      </w:r>
      <w:proofErr w:type="spellStart"/>
      <w:r w:rsidRPr="002D6147">
        <w:rPr>
          <w:rFonts w:ascii="Verdana" w:eastAsia="Calibri" w:hAnsi="Verdana" w:cs="Verdana"/>
          <w:sz w:val="20"/>
          <w:szCs w:val="20"/>
          <w:lang w:val="pt-BR" w:eastAsia="es-CR"/>
        </w:rPr>
        <w:t>Poisot</w:t>
      </w:r>
      <w:proofErr w:type="spellEnd"/>
      <w:r w:rsidRPr="002D6147">
        <w:rPr>
          <w:rFonts w:ascii="Verdana" w:eastAsia="Calibri" w:hAnsi="Verdana" w:cs="Verdana"/>
          <w:sz w:val="20"/>
          <w:szCs w:val="20"/>
          <w:lang w:val="pt-BR" w:eastAsia="es-CR"/>
        </w:rPr>
        <w:t>, Presidente;</w:t>
      </w:r>
    </w:p>
    <w:p w14:paraId="79FEFBED" w14:textId="0C75BD27" w:rsidR="001C05D8" w:rsidRPr="002D6147" w:rsidRDefault="001C05D8" w:rsidP="00EB774C">
      <w:pPr>
        <w:widowControl w:val="0"/>
        <w:tabs>
          <w:tab w:val="left" w:pos="720"/>
        </w:tabs>
        <w:adjustRightInd w:val="0"/>
        <w:spacing w:after="0" w:line="240" w:lineRule="auto"/>
        <w:jc w:val="both"/>
        <w:textAlignment w:val="baseline"/>
        <w:rPr>
          <w:rFonts w:ascii="Verdana" w:eastAsia="Calibri" w:hAnsi="Verdana" w:cs="Verdana"/>
          <w:sz w:val="20"/>
          <w:szCs w:val="20"/>
          <w:lang w:val="pt-BR" w:eastAsia="es-CR"/>
        </w:rPr>
      </w:pPr>
      <w:r w:rsidRPr="002D6147">
        <w:rPr>
          <w:rFonts w:ascii="Verdana" w:eastAsia="Calibri" w:hAnsi="Verdana" w:cs="Verdana"/>
          <w:sz w:val="20"/>
          <w:szCs w:val="20"/>
          <w:lang w:val="pt-BR" w:eastAsia="es-CR"/>
        </w:rPr>
        <w:t xml:space="preserve">Eduardo </w:t>
      </w:r>
      <w:proofErr w:type="spellStart"/>
      <w:r w:rsidRPr="002D6147">
        <w:rPr>
          <w:rFonts w:ascii="Verdana" w:eastAsia="Calibri" w:hAnsi="Verdana" w:cs="Verdana"/>
          <w:sz w:val="20"/>
          <w:szCs w:val="20"/>
          <w:lang w:val="pt-BR" w:eastAsia="es-CR"/>
        </w:rPr>
        <w:t>Vio</w:t>
      </w:r>
      <w:proofErr w:type="spellEnd"/>
      <w:r w:rsidRPr="002D6147">
        <w:rPr>
          <w:rFonts w:ascii="Verdana" w:eastAsia="Calibri" w:hAnsi="Verdana" w:cs="Verdana"/>
          <w:sz w:val="20"/>
          <w:szCs w:val="20"/>
          <w:lang w:val="pt-BR" w:eastAsia="es-CR"/>
        </w:rPr>
        <w:t xml:space="preserve"> Grossi, </w:t>
      </w:r>
      <w:proofErr w:type="spellStart"/>
      <w:r w:rsidRPr="002D6147">
        <w:rPr>
          <w:rFonts w:ascii="Verdana" w:eastAsia="Calibri" w:hAnsi="Verdana" w:cs="Verdana"/>
          <w:sz w:val="20"/>
          <w:szCs w:val="20"/>
          <w:lang w:val="pt-BR" w:eastAsia="es-CR"/>
        </w:rPr>
        <w:t>Vice</w:t>
      </w:r>
      <w:r w:rsidR="00E416C9" w:rsidRPr="002D6147">
        <w:rPr>
          <w:rFonts w:ascii="Verdana" w:eastAsia="Calibri" w:hAnsi="Verdana" w:cs="Verdana"/>
          <w:sz w:val="20"/>
          <w:szCs w:val="20"/>
          <w:lang w:val="pt-BR" w:eastAsia="es-CR"/>
        </w:rPr>
        <w:t>p</w:t>
      </w:r>
      <w:r w:rsidRPr="002D6147">
        <w:rPr>
          <w:rFonts w:ascii="Verdana" w:eastAsia="Calibri" w:hAnsi="Verdana" w:cs="Verdana"/>
          <w:sz w:val="20"/>
          <w:szCs w:val="20"/>
          <w:lang w:val="pt-BR" w:eastAsia="es-CR"/>
        </w:rPr>
        <w:t>residente</w:t>
      </w:r>
      <w:proofErr w:type="spellEnd"/>
      <w:r w:rsidRPr="002D6147">
        <w:rPr>
          <w:rFonts w:ascii="Verdana" w:eastAsia="Calibri" w:hAnsi="Verdana" w:cs="Verdana"/>
          <w:sz w:val="20"/>
          <w:szCs w:val="20"/>
          <w:lang w:val="pt-BR" w:eastAsia="es-CR"/>
        </w:rPr>
        <w:t>;</w:t>
      </w:r>
    </w:p>
    <w:p w14:paraId="4613A31E" w14:textId="77777777" w:rsidR="001C05D8" w:rsidRPr="002D6147" w:rsidRDefault="001C05D8" w:rsidP="00EB774C">
      <w:pPr>
        <w:widowControl w:val="0"/>
        <w:tabs>
          <w:tab w:val="left" w:pos="720"/>
        </w:tabs>
        <w:adjustRightInd w:val="0"/>
        <w:spacing w:after="0" w:line="240" w:lineRule="auto"/>
        <w:jc w:val="both"/>
        <w:textAlignment w:val="baseline"/>
        <w:rPr>
          <w:rFonts w:ascii="Verdana" w:eastAsia="Calibri" w:hAnsi="Verdana" w:cs="Verdana"/>
          <w:sz w:val="20"/>
          <w:szCs w:val="20"/>
          <w:lang w:val="pt-BR" w:eastAsia="es-CR"/>
        </w:rPr>
      </w:pPr>
      <w:r w:rsidRPr="002D6147">
        <w:rPr>
          <w:rFonts w:ascii="Verdana" w:eastAsia="Calibri" w:hAnsi="Verdana" w:cs="Verdana"/>
          <w:sz w:val="20"/>
          <w:szCs w:val="20"/>
          <w:lang w:val="pt-BR" w:eastAsia="es-CR"/>
        </w:rPr>
        <w:t xml:space="preserve">Humberto </w:t>
      </w:r>
      <w:proofErr w:type="spellStart"/>
      <w:r w:rsidRPr="002D6147">
        <w:rPr>
          <w:rFonts w:ascii="Verdana" w:eastAsia="Calibri" w:hAnsi="Verdana" w:cs="Verdana"/>
          <w:sz w:val="20"/>
          <w:szCs w:val="20"/>
          <w:lang w:val="pt-BR" w:eastAsia="es-CR"/>
        </w:rPr>
        <w:t>Antonio</w:t>
      </w:r>
      <w:proofErr w:type="spellEnd"/>
      <w:r w:rsidRPr="002D6147">
        <w:rPr>
          <w:rFonts w:ascii="Verdana" w:eastAsia="Calibri" w:hAnsi="Verdana" w:cs="Verdana"/>
          <w:sz w:val="20"/>
          <w:szCs w:val="20"/>
          <w:lang w:val="pt-BR" w:eastAsia="es-CR"/>
        </w:rPr>
        <w:t xml:space="preserve"> </w:t>
      </w:r>
      <w:proofErr w:type="spellStart"/>
      <w:r w:rsidRPr="002D6147">
        <w:rPr>
          <w:rFonts w:ascii="Verdana" w:eastAsia="Calibri" w:hAnsi="Verdana" w:cs="Verdana"/>
          <w:sz w:val="20"/>
          <w:szCs w:val="20"/>
          <w:lang w:val="pt-BR" w:eastAsia="es-CR"/>
        </w:rPr>
        <w:t>Sierra</w:t>
      </w:r>
      <w:proofErr w:type="spellEnd"/>
      <w:r w:rsidRPr="002D6147">
        <w:rPr>
          <w:rFonts w:ascii="Verdana" w:eastAsia="Calibri" w:hAnsi="Verdana" w:cs="Verdana"/>
          <w:sz w:val="20"/>
          <w:szCs w:val="20"/>
          <w:lang w:val="pt-BR" w:eastAsia="es-CR"/>
        </w:rPr>
        <w:t xml:space="preserve"> Porto</w:t>
      </w:r>
      <w:r w:rsidR="00067313" w:rsidRPr="002D6147">
        <w:rPr>
          <w:rFonts w:ascii="Verdana" w:eastAsia="Calibri" w:hAnsi="Verdana" w:cs="Verdana"/>
          <w:sz w:val="20"/>
          <w:szCs w:val="20"/>
          <w:lang w:val="pt-BR" w:eastAsia="es-CR"/>
        </w:rPr>
        <w:t xml:space="preserve">, </w:t>
      </w:r>
      <w:proofErr w:type="spellStart"/>
      <w:r w:rsidR="00067313" w:rsidRPr="002D6147">
        <w:rPr>
          <w:rFonts w:ascii="Verdana" w:eastAsia="Calibri" w:hAnsi="Verdana" w:cs="Verdana"/>
          <w:sz w:val="20"/>
          <w:szCs w:val="20"/>
          <w:lang w:val="pt-BR" w:eastAsia="es-CR"/>
        </w:rPr>
        <w:t>Juez</w:t>
      </w:r>
      <w:proofErr w:type="spellEnd"/>
      <w:r w:rsidRPr="002D6147">
        <w:rPr>
          <w:rFonts w:ascii="Verdana" w:eastAsia="Calibri" w:hAnsi="Verdana" w:cs="Verdana"/>
          <w:sz w:val="20"/>
          <w:szCs w:val="20"/>
          <w:lang w:val="pt-BR" w:eastAsia="es-CR"/>
        </w:rPr>
        <w:t>;</w:t>
      </w:r>
    </w:p>
    <w:p w14:paraId="7A657EA7" w14:textId="77777777" w:rsidR="001C05D8" w:rsidRPr="002D6147" w:rsidRDefault="001C05D8" w:rsidP="00EB774C">
      <w:pPr>
        <w:widowControl w:val="0"/>
        <w:tabs>
          <w:tab w:val="left" w:pos="720"/>
        </w:tabs>
        <w:adjustRightInd w:val="0"/>
        <w:spacing w:after="0" w:line="240" w:lineRule="auto"/>
        <w:jc w:val="both"/>
        <w:textAlignment w:val="baseline"/>
        <w:rPr>
          <w:rFonts w:ascii="Verdana" w:eastAsia="Calibri" w:hAnsi="Verdana" w:cs="Verdana"/>
          <w:sz w:val="20"/>
          <w:szCs w:val="20"/>
          <w:lang w:val="pt-BR" w:eastAsia="es-CR"/>
        </w:rPr>
      </w:pPr>
      <w:r w:rsidRPr="002D6147">
        <w:rPr>
          <w:rFonts w:ascii="Verdana" w:eastAsia="Calibri" w:hAnsi="Verdana" w:cs="Verdana"/>
          <w:sz w:val="20"/>
          <w:szCs w:val="20"/>
          <w:lang w:val="pt-BR" w:eastAsia="es-CR"/>
        </w:rPr>
        <w:t xml:space="preserve">Elizabeth </w:t>
      </w:r>
      <w:proofErr w:type="spellStart"/>
      <w:r w:rsidRPr="002D6147">
        <w:rPr>
          <w:rFonts w:ascii="Verdana" w:eastAsia="Calibri" w:hAnsi="Verdana" w:cs="Verdana"/>
          <w:sz w:val="20"/>
          <w:szCs w:val="20"/>
          <w:lang w:val="pt-BR" w:eastAsia="es-CR"/>
        </w:rPr>
        <w:t>Odio</w:t>
      </w:r>
      <w:proofErr w:type="spellEnd"/>
      <w:r w:rsidRPr="002D6147">
        <w:rPr>
          <w:rFonts w:ascii="Verdana" w:eastAsia="Calibri" w:hAnsi="Verdana" w:cs="Verdana"/>
          <w:sz w:val="20"/>
          <w:szCs w:val="20"/>
          <w:lang w:val="pt-BR" w:eastAsia="es-CR"/>
        </w:rPr>
        <w:t xml:space="preserve"> Benito, </w:t>
      </w:r>
      <w:proofErr w:type="spellStart"/>
      <w:r w:rsidRPr="002D6147">
        <w:rPr>
          <w:rFonts w:ascii="Verdana" w:eastAsia="Calibri" w:hAnsi="Verdana" w:cs="Verdana"/>
          <w:sz w:val="20"/>
          <w:szCs w:val="20"/>
          <w:lang w:val="pt-BR" w:eastAsia="es-CR"/>
        </w:rPr>
        <w:t>Jueza</w:t>
      </w:r>
      <w:proofErr w:type="spellEnd"/>
      <w:r w:rsidRPr="002D6147">
        <w:rPr>
          <w:rFonts w:ascii="Verdana" w:eastAsia="Calibri" w:hAnsi="Verdana" w:cs="Verdana"/>
          <w:sz w:val="20"/>
          <w:szCs w:val="20"/>
          <w:lang w:val="pt-BR" w:eastAsia="es-CR"/>
        </w:rPr>
        <w:t>;</w:t>
      </w:r>
    </w:p>
    <w:p w14:paraId="22B8B4D2" w14:textId="77777777" w:rsidR="001C05D8" w:rsidRPr="002D6147" w:rsidRDefault="001C05D8" w:rsidP="00EB774C">
      <w:pPr>
        <w:widowControl w:val="0"/>
        <w:tabs>
          <w:tab w:val="left" w:pos="720"/>
        </w:tabs>
        <w:adjustRightInd w:val="0"/>
        <w:spacing w:after="0" w:line="240" w:lineRule="auto"/>
        <w:jc w:val="both"/>
        <w:textAlignment w:val="baseline"/>
        <w:rPr>
          <w:rFonts w:ascii="Verdana" w:eastAsia="Calibri" w:hAnsi="Verdana" w:cs="Verdana"/>
          <w:sz w:val="20"/>
          <w:szCs w:val="20"/>
          <w:lang w:val="pt-BR" w:eastAsia="es-CR"/>
        </w:rPr>
      </w:pPr>
      <w:r w:rsidRPr="002D6147">
        <w:rPr>
          <w:rFonts w:ascii="Verdana" w:eastAsia="Calibri" w:hAnsi="Verdana" w:cs="Verdana"/>
          <w:sz w:val="20"/>
          <w:szCs w:val="20"/>
          <w:lang w:val="pt-BR" w:eastAsia="es-CR"/>
        </w:rPr>
        <w:t xml:space="preserve">L. Patricio Pazmiño Freire, </w:t>
      </w:r>
      <w:proofErr w:type="spellStart"/>
      <w:r w:rsidRPr="002D6147">
        <w:rPr>
          <w:rFonts w:ascii="Verdana" w:eastAsia="Calibri" w:hAnsi="Verdana" w:cs="Verdana"/>
          <w:sz w:val="20"/>
          <w:szCs w:val="20"/>
          <w:lang w:val="pt-BR" w:eastAsia="es-CR"/>
        </w:rPr>
        <w:t>Juez</w:t>
      </w:r>
      <w:proofErr w:type="spellEnd"/>
      <w:r w:rsidRPr="002D6147">
        <w:rPr>
          <w:rFonts w:ascii="Verdana" w:eastAsia="Calibri" w:hAnsi="Verdana" w:cs="Verdana"/>
          <w:sz w:val="20"/>
          <w:szCs w:val="20"/>
          <w:lang w:val="pt-BR" w:eastAsia="es-CR"/>
        </w:rPr>
        <w:t>, y</w:t>
      </w:r>
    </w:p>
    <w:p w14:paraId="22FDA259" w14:textId="77777777" w:rsidR="001C05D8" w:rsidRPr="002D6147" w:rsidRDefault="00067313" w:rsidP="00EB774C">
      <w:pPr>
        <w:widowControl w:val="0"/>
        <w:tabs>
          <w:tab w:val="left" w:pos="720"/>
        </w:tabs>
        <w:adjustRightInd w:val="0"/>
        <w:spacing w:after="0" w:line="240" w:lineRule="auto"/>
        <w:jc w:val="both"/>
        <w:textAlignment w:val="baseline"/>
        <w:rPr>
          <w:rFonts w:ascii="Verdana" w:eastAsia="Calibri" w:hAnsi="Verdana" w:cs="Verdana"/>
          <w:sz w:val="20"/>
          <w:szCs w:val="20"/>
          <w:lang w:val="pt-BR" w:eastAsia="es-CR"/>
        </w:rPr>
      </w:pPr>
      <w:r w:rsidRPr="002D6147">
        <w:rPr>
          <w:rFonts w:ascii="Verdana" w:eastAsia="Calibri" w:hAnsi="Verdana" w:cs="Verdana"/>
          <w:sz w:val="20"/>
          <w:szCs w:val="20"/>
          <w:lang w:val="pt-BR" w:eastAsia="es-CR"/>
        </w:rPr>
        <w:t xml:space="preserve">Ricardo Pérez Manrique, </w:t>
      </w:r>
      <w:proofErr w:type="spellStart"/>
      <w:r w:rsidRPr="002D6147">
        <w:rPr>
          <w:rFonts w:ascii="Verdana" w:eastAsia="Calibri" w:hAnsi="Verdana" w:cs="Verdana"/>
          <w:sz w:val="20"/>
          <w:szCs w:val="20"/>
          <w:lang w:val="pt-BR" w:eastAsia="es-CR"/>
        </w:rPr>
        <w:t>Juez</w:t>
      </w:r>
      <w:proofErr w:type="spellEnd"/>
      <w:r w:rsidR="001C05D8" w:rsidRPr="002D6147">
        <w:rPr>
          <w:rFonts w:ascii="Verdana" w:eastAsia="Calibri" w:hAnsi="Verdana" w:cs="Verdana"/>
          <w:sz w:val="20"/>
          <w:szCs w:val="20"/>
          <w:lang w:val="pt-BR" w:eastAsia="es-CR"/>
        </w:rPr>
        <w:t xml:space="preserve"> </w:t>
      </w:r>
    </w:p>
    <w:p w14:paraId="774A03CD" w14:textId="77777777" w:rsidR="001C05D8" w:rsidRPr="002D6147" w:rsidRDefault="001C05D8" w:rsidP="00EB774C">
      <w:pPr>
        <w:widowControl w:val="0"/>
        <w:tabs>
          <w:tab w:val="left" w:pos="720"/>
        </w:tabs>
        <w:adjustRightInd w:val="0"/>
        <w:spacing w:before="120" w:after="0" w:line="240" w:lineRule="auto"/>
        <w:jc w:val="both"/>
        <w:textAlignment w:val="baseline"/>
        <w:rPr>
          <w:rFonts w:ascii="Verdana" w:eastAsia="Calibri" w:hAnsi="Verdana" w:cs="Verdana"/>
          <w:sz w:val="20"/>
          <w:szCs w:val="20"/>
          <w:lang w:val="pt-BR" w:eastAsia="es-CR"/>
        </w:rPr>
      </w:pPr>
    </w:p>
    <w:p w14:paraId="6D80B6A5" w14:textId="77777777" w:rsidR="001C05D8" w:rsidRPr="00E25884" w:rsidRDefault="0006055E" w:rsidP="00EB774C">
      <w:pPr>
        <w:widowControl w:val="0"/>
        <w:tabs>
          <w:tab w:val="left" w:pos="720"/>
        </w:tabs>
        <w:adjustRightInd w:val="0"/>
        <w:spacing w:before="120" w:after="0" w:line="240" w:lineRule="auto"/>
        <w:jc w:val="both"/>
        <w:textAlignment w:val="baseline"/>
        <w:rPr>
          <w:rFonts w:ascii="Verdana" w:eastAsia="Calibri" w:hAnsi="Verdana" w:cs="Verdana"/>
          <w:sz w:val="20"/>
          <w:szCs w:val="20"/>
          <w:lang w:val="es-ES" w:eastAsia="es-CR"/>
        </w:rPr>
      </w:pPr>
      <w:proofErr w:type="gramStart"/>
      <w:r w:rsidRPr="00E25884">
        <w:rPr>
          <w:rFonts w:ascii="Verdana" w:eastAsia="Calibri" w:hAnsi="Verdana" w:cs="Verdana"/>
          <w:sz w:val="20"/>
          <w:szCs w:val="20"/>
          <w:lang w:val="es-ES" w:eastAsia="es-CR"/>
        </w:rPr>
        <w:t>presente</w:t>
      </w:r>
      <w:proofErr w:type="gramEnd"/>
      <w:r w:rsidR="001C05D8" w:rsidRPr="00E25884">
        <w:rPr>
          <w:rFonts w:ascii="Verdana" w:eastAsia="Calibri" w:hAnsi="Verdana" w:cs="Verdana"/>
          <w:sz w:val="20"/>
          <w:szCs w:val="20"/>
          <w:lang w:val="es-ES" w:eastAsia="es-CR"/>
        </w:rPr>
        <w:t xml:space="preserve"> además,</w:t>
      </w:r>
    </w:p>
    <w:p w14:paraId="7DEBDCC9" w14:textId="77777777" w:rsidR="001C05D8" w:rsidRPr="00E25884" w:rsidRDefault="001C05D8" w:rsidP="00EB774C">
      <w:pPr>
        <w:widowControl w:val="0"/>
        <w:tabs>
          <w:tab w:val="left" w:pos="720"/>
        </w:tabs>
        <w:adjustRightInd w:val="0"/>
        <w:spacing w:before="120" w:after="0" w:line="240" w:lineRule="auto"/>
        <w:jc w:val="both"/>
        <w:textAlignment w:val="baseline"/>
        <w:rPr>
          <w:rFonts w:ascii="Verdana" w:eastAsia="Calibri" w:hAnsi="Verdana" w:cs="Verdana"/>
          <w:sz w:val="20"/>
          <w:szCs w:val="20"/>
          <w:lang w:val="es-ES" w:eastAsia="es-CR"/>
        </w:rPr>
      </w:pPr>
    </w:p>
    <w:p w14:paraId="5C820D2B" w14:textId="77777777" w:rsidR="001C05D8" w:rsidRPr="00E25884" w:rsidRDefault="001C05D8" w:rsidP="00EB774C">
      <w:pPr>
        <w:widowControl w:val="0"/>
        <w:tabs>
          <w:tab w:val="left" w:pos="720"/>
        </w:tabs>
        <w:adjustRightInd w:val="0"/>
        <w:spacing w:before="120" w:after="0" w:line="240" w:lineRule="auto"/>
        <w:jc w:val="both"/>
        <w:textAlignment w:val="baseline"/>
        <w:rPr>
          <w:rFonts w:ascii="Verdana" w:eastAsia="Calibri" w:hAnsi="Verdana" w:cs="Verdana"/>
          <w:sz w:val="20"/>
          <w:szCs w:val="20"/>
          <w:lang w:val="es-ES" w:eastAsia="es-CR"/>
        </w:rPr>
      </w:pPr>
      <w:r w:rsidRPr="00E25884">
        <w:rPr>
          <w:rFonts w:ascii="Verdana" w:eastAsia="Calibri" w:hAnsi="Verdana" w:cs="Verdana"/>
          <w:sz w:val="20"/>
          <w:szCs w:val="20"/>
          <w:lang w:val="es-ES" w:eastAsia="es-CR"/>
        </w:rPr>
        <w:t xml:space="preserve">Pablo </w:t>
      </w:r>
      <w:r w:rsidR="0006055E" w:rsidRPr="00E25884">
        <w:rPr>
          <w:rFonts w:ascii="Verdana" w:eastAsia="Calibri" w:hAnsi="Verdana" w:cs="Verdana"/>
          <w:sz w:val="20"/>
          <w:szCs w:val="20"/>
          <w:lang w:val="es-ES" w:eastAsia="es-CR"/>
        </w:rPr>
        <w:t xml:space="preserve">Saavedra Alessandri, </w:t>
      </w:r>
      <w:proofErr w:type="gramStart"/>
      <w:r w:rsidR="0006055E" w:rsidRPr="00E25884">
        <w:rPr>
          <w:rFonts w:ascii="Verdana" w:eastAsia="Calibri" w:hAnsi="Verdana" w:cs="Verdana"/>
          <w:sz w:val="20"/>
          <w:szCs w:val="20"/>
          <w:lang w:val="es-ES" w:eastAsia="es-CR"/>
        </w:rPr>
        <w:t>Secretario</w:t>
      </w:r>
      <w:proofErr w:type="gramEnd"/>
      <w:r w:rsidR="0006055E" w:rsidRPr="00E25884">
        <w:rPr>
          <w:rFonts w:ascii="Verdana" w:eastAsia="Calibri" w:hAnsi="Verdana" w:cs="Verdana"/>
          <w:sz w:val="20"/>
          <w:szCs w:val="20"/>
          <w:lang w:val="es-ES" w:eastAsia="es-CR"/>
        </w:rPr>
        <w:t>,</w:t>
      </w:r>
    </w:p>
    <w:p w14:paraId="04401818" w14:textId="77777777" w:rsidR="008379B6" w:rsidRPr="00E25884" w:rsidRDefault="008379B6" w:rsidP="00EB774C">
      <w:pPr>
        <w:widowControl w:val="0"/>
        <w:tabs>
          <w:tab w:val="left" w:pos="720"/>
        </w:tabs>
        <w:adjustRightInd w:val="0"/>
        <w:spacing w:before="120" w:after="0" w:line="240" w:lineRule="auto"/>
        <w:jc w:val="both"/>
        <w:textAlignment w:val="baseline"/>
        <w:rPr>
          <w:rFonts w:ascii="Verdana" w:eastAsia="Calibri" w:hAnsi="Verdana" w:cs="Verdana"/>
          <w:sz w:val="20"/>
          <w:szCs w:val="20"/>
          <w:lang w:val="es-ES" w:eastAsia="es-CR"/>
        </w:rPr>
      </w:pPr>
    </w:p>
    <w:p w14:paraId="29E912A8" w14:textId="77777777" w:rsidR="001C05D8" w:rsidRPr="00E25884" w:rsidRDefault="0006055E" w:rsidP="00EB774C">
      <w:pPr>
        <w:widowControl w:val="0"/>
        <w:tabs>
          <w:tab w:val="left" w:pos="720"/>
        </w:tabs>
        <w:adjustRightInd w:val="0"/>
        <w:spacing w:before="120" w:after="0" w:line="240" w:lineRule="auto"/>
        <w:jc w:val="both"/>
        <w:textAlignment w:val="baseline"/>
        <w:rPr>
          <w:rFonts w:ascii="Verdana" w:eastAsia="Calibri" w:hAnsi="Verdana" w:cs="Verdana"/>
          <w:sz w:val="20"/>
          <w:szCs w:val="20"/>
          <w:lang w:val="es-ES" w:eastAsia="es-CR"/>
        </w:rPr>
      </w:pPr>
      <w:r w:rsidRPr="00E25884">
        <w:rPr>
          <w:rFonts w:ascii="Verdana" w:eastAsia="Calibri" w:hAnsi="Verdana" w:cs="Verdana"/>
          <w:sz w:val="20"/>
          <w:szCs w:val="20"/>
          <w:lang w:val="es-ES" w:eastAsia="es-CR"/>
        </w:rPr>
        <w:t>De</w:t>
      </w:r>
      <w:r w:rsidR="001C05D8" w:rsidRPr="00E25884">
        <w:rPr>
          <w:rFonts w:ascii="Verdana" w:eastAsia="Calibri" w:hAnsi="Verdana" w:cs="Verdana"/>
          <w:sz w:val="20"/>
          <w:szCs w:val="20"/>
          <w:lang w:val="es-ES" w:eastAsia="es-CR"/>
        </w:rPr>
        <w:t xml:space="preserve"> conformidad con los artículos 62.3 y 63.1 de la Convención Americana sobre Derechos Humanos (en adelante “la Convención Americana” o “la Convención”) y con los artículos 31, 32,</w:t>
      </w:r>
      <w:r w:rsidR="00713E16" w:rsidRPr="00E25884">
        <w:rPr>
          <w:rFonts w:ascii="Verdana" w:eastAsia="Calibri" w:hAnsi="Verdana" w:cs="Verdana"/>
          <w:sz w:val="20"/>
          <w:szCs w:val="20"/>
          <w:lang w:val="es-ES" w:eastAsia="es-CR"/>
        </w:rPr>
        <w:t xml:space="preserve"> 42,</w:t>
      </w:r>
      <w:r w:rsidR="001C05D8" w:rsidRPr="00E25884">
        <w:rPr>
          <w:rFonts w:ascii="Verdana" w:eastAsia="Calibri" w:hAnsi="Verdana" w:cs="Verdana"/>
          <w:sz w:val="20"/>
          <w:szCs w:val="20"/>
          <w:lang w:val="es-ES" w:eastAsia="es-CR"/>
        </w:rPr>
        <w:t xml:space="preserve"> 65 y 67 del Reglamento de la Corte (en adelante “el Reglamento” o “Reglamento de la Corte”), dicta la presente Sentencia, que se estructura en el siguiente orden:</w:t>
      </w:r>
    </w:p>
    <w:p w14:paraId="6D7D8AE0" w14:textId="77777777" w:rsidR="001C05D8" w:rsidRPr="00E25884" w:rsidRDefault="001C05D8" w:rsidP="00EB774C">
      <w:pPr>
        <w:widowControl w:val="0"/>
        <w:adjustRightInd w:val="0"/>
        <w:spacing w:before="120" w:after="0" w:line="240" w:lineRule="auto"/>
        <w:ind w:left="100" w:right="-1085"/>
        <w:jc w:val="both"/>
        <w:textAlignment w:val="baseline"/>
        <w:rPr>
          <w:rFonts w:ascii="Verdana" w:eastAsia="Verdana" w:hAnsi="Verdana" w:cs="Verdana"/>
          <w:position w:val="-1"/>
          <w:sz w:val="20"/>
          <w:szCs w:val="20"/>
          <w:lang w:val="es-ES" w:eastAsia="es-CR"/>
        </w:rPr>
      </w:pPr>
    </w:p>
    <w:p w14:paraId="04459709" w14:textId="77777777" w:rsidR="001C05D8" w:rsidRPr="00E25884" w:rsidRDefault="001C05D8" w:rsidP="00EB774C">
      <w:pPr>
        <w:widowControl w:val="0"/>
        <w:adjustRightInd w:val="0"/>
        <w:spacing w:before="120" w:after="0" w:line="240" w:lineRule="auto"/>
        <w:jc w:val="both"/>
        <w:textAlignment w:val="baseline"/>
        <w:rPr>
          <w:rFonts w:ascii="Verdana" w:eastAsia="Verdana" w:hAnsi="Verdana" w:cs="Verdana"/>
          <w:position w:val="-1"/>
          <w:sz w:val="20"/>
          <w:szCs w:val="20"/>
          <w:lang w:val="es-ES" w:eastAsia="es-CR"/>
        </w:rPr>
      </w:pPr>
      <w:r w:rsidRPr="00E25884">
        <w:rPr>
          <w:rFonts w:ascii="Verdana" w:eastAsia="Verdana" w:hAnsi="Verdana" w:cs="Verdana"/>
          <w:position w:val="-1"/>
          <w:sz w:val="20"/>
          <w:szCs w:val="20"/>
          <w:lang w:val="es-ES" w:eastAsia="es-CR"/>
        </w:rPr>
        <w:br w:type="page"/>
      </w:r>
    </w:p>
    <w:p w14:paraId="7CBFD7DB" w14:textId="77777777" w:rsidR="001C05D8" w:rsidRPr="00E25884" w:rsidRDefault="001C05D8" w:rsidP="00EB774C">
      <w:pPr>
        <w:tabs>
          <w:tab w:val="left" w:pos="1683"/>
          <w:tab w:val="center" w:pos="4816"/>
        </w:tabs>
        <w:spacing w:before="120" w:after="0" w:line="240" w:lineRule="auto"/>
        <w:jc w:val="both"/>
        <w:rPr>
          <w:rFonts w:ascii="Verdana" w:eastAsia="Calibri" w:hAnsi="Verdana" w:cs="Times New Roman"/>
          <w:b/>
          <w:sz w:val="20"/>
          <w:szCs w:val="20"/>
          <w:lang w:val="es-ES_tradnl"/>
        </w:rPr>
      </w:pPr>
    </w:p>
    <w:bookmarkStart w:id="0" w:name="_Toc390328152" w:displacedByCustomXml="next"/>
    <w:sdt>
      <w:sdtPr>
        <w:rPr>
          <w:rFonts w:asciiTheme="minorHAnsi" w:hAnsiTheme="minorHAnsi"/>
          <w:b w:val="0"/>
          <w:sz w:val="24"/>
          <w:szCs w:val="24"/>
          <w:lang w:val="es-ES" w:eastAsia="en-US"/>
        </w:rPr>
        <w:id w:val="-856343512"/>
        <w:docPartObj>
          <w:docPartGallery w:val="Table of Contents"/>
          <w:docPartUnique/>
        </w:docPartObj>
      </w:sdtPr>
      <w:sdtEndPr>
        <w:rPr>
          <w:bCs/>
          <w:sz w:val="18"/>
          <w:szCs w:val="18"/>
        </w:rPr>
      </w:sdtEndPr>
      <w:sdtContent>
        <w:p w14:paraId="66C8F779" w14:textId="5B8B81B3" w:rsidR="00F47F22" w:rsidRPr="00D6067E" w:rsidRDefault="00F47F22" w:rsidP="001A24A9">
          <w:pPr>
            <w:pStyle w:val="TtuloTDC"/>
            <w:spacing w:line="240" w:lineRule="auto"/>
            <w:rPr>
              <w:sz w:val="24"/>
              <w:szCs w:val="24"/>
              <w:lang w:val="es-ES"/>
            </w:rPr>
          </w:pPr>
        </w:p>
        <w:p w14:paraId="46CAD42B" w14:textId="77777777" w:rsidR="00A357EB" w:rsidRPr="00626FF4" w:rsidRDefault="00A357EB" w:rsidP="00A357EB">
          <w:pPr>
            <w:spacing w:after="0" w:line="240" w:lineRule="auto"/>
            <w:rPr>
              <w:rFonts w:ascii="Verdana" w:hAnsi="Verdana"/>
              <w:sz w:val="18"/>
              <w:szCs w:val="18"/>
              <w:lang w:val="es-ES" w:eastAsia="ja-JP"/>
            </w:rPr>
          </w:pPr>
        </w:p>
        <w:p w14:paraId="277D0F3F" w14:textId="058CACFF" w:rsidR="00626FF4" w:rsidRDefault="00F47F22">
          <w:pPr>
            <w:pStyle w:val="TDC1"/>
            <w:rPr>
              <w:rFonts w:asciiTheme="minorHAnsi" w:eastAsiaTheme="minorEastAsia" w:hAnsiTheme="minorHAnsi" w:cstheme="minorBidi"/>
              <w:b w:val="0"/>
              <w:bCs w:val="0"/>
              <w:caps w:val="0"/>
              <w:snapToGrid/>
              <w:sz w:val="22"/>
              <w:szCs w:val="22"/>
              <w:lang w:val="es-CR" w:eastAsia="es-CR"/>
            </w:rPr>
          </w:pPr>
          <w:r w:rsidRPr="00230D8B">
            <w:rPr>
              <w:b w:val="0"/>
              <w:lang w:val="es-ES"/>
            </w:rPr>
            <w:fldChar w:fldCharType="begin"/>
          </w:r>
          <w:r w:rsidRPr="00230D8B">
            <w:rPr>
              <w:b w:val="0"/>
              <w:lang w:val="es-ES"/>
            </w:rPr>
            <w:instrText xml:space="preserve"> TOC \o "1-3" \h \z \u </w:instrText>
          </w:r>
          <w:r w:rsidRPr="00230D8B">
            <w:rPr>
              <w:b w:val="0"/>
              <w:lang w:val="es-ES"/>
            </w:rPr>
            <w:fldChar w:fldCharType="separate"/>
          </w:r>
          <w:hyperlink w:anchor="_Toc27509152" w:history="1">
            <w:r w:rsidR="00626FF4" w:rsidRPr="005E3955">
              <w:rPr>
                <w:rStyle w:val="Hipervnculo"/>
              </w:rPr>
              <w:t>I INTRODUCCIÓN DE LA CAUSA Y OBJETO DE LA CONTROVERSIA</w:t>
            </w:r>
            <w:r w:rsidR="00626FF4">
              <w:rPr>
                <w:webHidden/>
              </w:rPr>
              <w:tab/>
            </w:r>
            <w:r w:rsidR="00626FF4">
              <w:rPr>
                <w:webHidden/>
              </w:rPr>
              <w:fldChar w:fldCharType="begin"/>
            </w:r>
            <w:r w:rsidR="00626FF4">
              <w:rPr>
                <w:webHidden/>
              </w:rPr>
              <w:instrText xml:space="preserve"> PAGEREF _Toc27509152 \h </w:instrText>
            </w:r>
            <w:r w:rsidR="00626FF4">
              <w:rPr>
                <w:webHidden/>
              </w:rPr>
            </w:r>
            <w:r w:rsidR="00626FF4">
              <w:rPr>
                <w:webHidden/>
              </w:rPr>
              <w:fldChar w:fldCharType="separate"/>
            </w:r>
            <w:r w:rsidR="00F11983">
              <w:rPr>
                <w:webHidden/>
              </w:rPr>
              <w:t>3</w:t>
            </w:r>
            <w:r w:rsidR="00626FF4">
              <w:rPr>
                <w:webHidden/>
              </w:rPr>
              <w:fldChar w:fldCharType="end"/>
            </w:r>
          </w:hyperlink>
        </w:p>
        <w:p w14:paraId="03BEB377" w14:textId="53626957" w:rsidR="00626FF4" w:rsidRDefault="00BE2A68">
          <w:pPr>
            <w:pStyle w:val="TDC1"/>
            <w:rPr>
              <w:rFonts w:asciiTheme="minorHAnsi" w:eastAsiaTheme="minorEastAsia" w:hAnsiTheme="minorHAnsi" w:cstheme="minorBidi"/>
              <w:b w:val="0"/>
              <w:bCs w:val="0"/>
              <w:caps w:val="0"/>
              <w:snapToGrid/>
              <w:sz w:val="22"/>
              <w:szCs w:val="22"/>
              <w:lang w:val="es-CR" w:eastAsia="es-CR"/>
            </w:rPr>
          </w:pPr>
          <w:hyperlink w:anchor="_Toc27509153" w:history="1">
            <w:r w:rsidR="00626FF4" w:rsidRPr="005E3955">
              <w:rPr>
                <w:rStyle w:val="Hipervnculo"/>
              </w:rPr>
              <w:t>II PROCEDIMIENTO ANTE LA CORTE</w:t>
            </w:r>
            <w:r w:rsidR="00626FF4">
              <w:rPr>
                <w:webHidden/>
              </w:rPr>
              <w:tab/>
            </w:r>
            <w:r w:rsidR="00626FF4">
              <w:rPr>
                <w:webHidden/>
              </w:rPr>
              <w:fldChar w:fldCharType="begin"/>
            </w:r>
            <w:r w:rsidR="00626FF4">
              <w:rPr>
                <w:webHidden/>
              </w:rPr>
              <w:instrText xml:space="preserve"> PAGEREF _Toc27509153 \h </w:instrText>
            </w:r>
            <w:r w:rsidR="00626FF4">
              <w:rPr>
                <w:webHidden/>
              </w:rPr>
            </w:r>
            <w:r w:rsidR="00626FF4">
              <w:rPr>
                <w:webHidden/>
              </w:rPr>
              <w:fldChar w:fldCharType="separate"/>
            </w:r>
            <w:r w:rsidR="00F11983">
              <w:rPr>
                <w:webHidden/>
              </w:rPr>
              <w:t>4</w:t>
            </w:r>
            <w:r w:rsidR="00626FF4">
              <w:rPr>
                <w:webHidden/>
              </w:rPr>
              <w:fldChar w:fldCharType="end"/>
            </w:r>
          </w:hyperlink>
        </w:p>
        <w:p w14:paraId="45F78BF6" w14:textId="4100FA99" w:rsidR="00626FF4" w:rsidRDefault="00BE2A68">
          <w:pPr>
            <w:pStyle w:val="TDC1"/>
            <w:rPr>
              <w:rFonts w:asciiTheme="minorHAnsi" w:eastAsiaTheme="minorEastAsia" w:hAnsiTheme="minorHAnsi" w:cstheme="minorBidi"/>
              <w:b w:val="0"/>
              <w:bCs w:val="0"/>
              <w:caps w:val="0"/>
              <w:snapToGrid/>
              <w:sz w:val="22"/>
              <w:szCs w:val="22"/>
              <w:lang w:val="es-CR" w:eastAsia="es-CR"/>
            </w:rPr>
          </w:pPr>
          <w:hyperlink w:anchor="_Toc27509154" w:history="1">
            <w:r w:rsidR="00626FF4" w:rsidRPr="005E3955">
              <w:rPr>
                <w:rStyle w:val="Hipervnculo"/>
              </w:rPr>
              <w:t>III COMPETENCIA</w:t>
            </w:r>
            <w:r w:rsidR="00626FF4">
              <w:rPr>
                <w:webHidden/>
              </w:rPr>
              <w:tab/>
            </w:r>
            <w:r w:rsidR="00626FF4">
              <w:rPr>
                <w:webHidden/>
              </w:rPr>
              <w:fldChar w:fldCharType="begin"/>
            </w:r>
            <w:r w:rsidR="00626FF4">
              <w:rPr>
                <w:webHidden/>
              </w:rPr>
              <w:instrText xml:space="preserve"> PAGEREF _Toc27509154 \h </w:instrText>
            </w:r>
            <w:r w:rsidR="00626FF4">
              <w:rPr>
                <w:webHidden/>
              </w:rPr>
            </w:r>
            <w:r w:rsidR="00626FF4">
              <w:rPr>
                <w:webHidden/>
              </w:rPr>
              <w:fldChar w:fldCharType="separate"/>
            </w:r>
            <w:r w:rsidR="00F11983">
              <w:rPr>
                <w:webHidden/>
              </w:rPr>
              <w:t>5</w:t>
            </w:r>
            <w:r w:rsidR="00626FF4">
              <w:rPr>
                <w:webHidden/>
              </w:rPr>
              <w:fldChar w:fldCharType="end"/>
            </w:r>
          </w:hyperlink>
        </w:p>
        <w:p w14:paraId="44C12AE4" w14:textId="0C649F3F" w:rsidR="00626FF4" w:rsidRDefault="00BE2A68">
          <w:pPr>
            <w:pStyle w:val="TDC1"/>
            <w:rPr>
              <w:rFonts w:asciiTheme="minorHAnsi" w:eastAsiaTheme="minorEastAsia" w:hAnsiTheme="minorHAnsi" w:cstheme="minorBidi"/>
              <w:b w:val="0"/>
              <w:bCs w:val="0"/>
              <w:caps w:val="0"/>
              <w:snapToGrid/>
              <w:sz w:val="22"/>
              <w:szCs w:val="22"/>
              <w:lang w:val="es-CR" w:eastAsia="es-CR"/>
            </w:rPr>
          </w:pPr>
          <w:hyperlink w:anchor="_Toc27509155" w:history="1">
            <w:r w:rsidR="00626FF4" w:rsidRPr="005E3955">
              <w:rPr>
                <w:rStyle w:val="Hipervnculo"/>
              </w:rPr>
              <w:t xml:space="preserve">IV </w:t>
            </w:r>
            <w:r w:rsidR="00626FF4" w:rsidRPr="005E3955">
              <w:rPr>
                <w:rStyle w:val="Hipervnculo"/>
                <w:rFonts w:cs="Times New Roman"/>
              </w:rPr>
              <w:t>EXCEPCIón PRELIMINAR</w:t>
            </w:r>
            <w:r w:rsidR="00626FF4">
              <w:rPr>
                <w:webHidden/>
              </w:rPr>
              <w:tab/>
            </w:r>
            <w:r w:rsidR="00626FF4">
              <w:rPr>
                <w:webHidden/>
              </w:rPr>
              <w:fldChar w:fldCharType="begin"/>
            </w:r>
            <w:r w:rsidR="00626FF4">
              <w:rPr>
                <w:webHidden/>
              </w:rPr>
              <w:instrText xml:space="preserve"> PAGEREF _Toc27509155 \h </w:instrText>
            </w:r>
            <w:r w:rsidR="00626FF4">
              <w:rPr>
                <w:webHidden/>
              </w:rPr>
            </w:r>
            <w:r w:rsidR="00626FF4">
              <w:rPr>
                <w:webHidden/>
              </w:rPr>
              <w:fldChar w:fldCharType="separate"/>
            </w:r>
            <w:r w:rsidR="00F11983">
              <w:rPr>
                <w:webHidden/>
              </w:rPr>
              <w:t>5</w:t>
            </w:r>
            <w:r w:rsidR="00626FF4">
              <w:rPr>
                <w:webHidden/>
              </w:rPr>
              <w:fldChar w:fldCharType="end"/>
            </w:r>
          </w:hyperlink>
        </w:p>
        <w:p w14:paraId="41975474" w14:textId="644B8524" w:rsidR="00626FF4" w:rsidRPr="00626FF4" w:rsidRDefault="00BE2A68">
          <w:pPr>
            <w:pStyle w:val="TDC2"/>
            <w:rPr>
              <w:rFonts w:asciiTheme="minorHAnsi" w:eastAsiaTheme="minorEastAsia" w:hAnsiTheme="minorHAnsi" w:cstheme="minorBidi"/>
              <w:b w:val="0"/>
              <w:bCs w:val="0"/>
              <w:i w:val="0"/>
              <w:smallCaps w:val="0"/>
              <w:sz w:val="22"/>
              <w:szCs w:val="22"/>
              <w:lang w:val="es-CR"/>
            </w:rPr>
          </w:pPr>
          <w:hyperlink w:anchor="_Toc27509156" w:history="1">
            <w:r w:rsidR="00626FF4" w:rsidRPr="00626FF4">
              <w:rPr>
                <w:rStyle w:val="Hipervnculo"/>
                <w:b w:val="0"/>
              </w:rPr>
              <w:t>A.</w:t>
            </w:r>
            <w:r w:rsidR="00626FF4" w:rsidRPr="00626FF4">
              <w:rPr>
                <w:rFonts w:asciiTheme="minorHAnsi" w:eastAsiaTheme="minorEastAsia" w:hAnsiTheme="minorHAnsi" w:cstheme="minorBidi"/>
                <w:b w:val="0"/>
                <w:bCs w:val="0"/>
                <w:i w:val="0"/>
                <w:smallCaps w:val="0"/>
                <w:sz w:val="22"/>
                <w:szCs w:val="22"/>
                <w:lang w:val="es-CR"/>
              </w:rPr>
              <w:tab/>
            </w:r>
            <w:r w:rsidR="00626FF4" w:rsidRPr="00626FF4">
              <w:rPr>
                <w:rStyle w:val="Hipervnculo"/>
                <w:b w:val="0"/>
              </w:rPr>
              <w:t>Excepción por falta de agotamiento de los recursos internos</w:t>
            </w:r>
            <w:r w:rsidR="00626FF4" w:rsidRPr="00626FF4">
              <w:rPr>
                <w:b w:val="0"/>
                <w:webHidden/>
              </w:rPr>
              <w:tab/>
            </w:r>
            <w:r w:rsidR="00626FF4" w:rsidRPr="00626FF4">
              <w:rPr>
                <w:b w:val="0"/>
                <w:webHidden/>
              </w:rPr>
              <w:fldChar w:fldCharType="begin"/>
            </w:r>
            <w:r w:rsidR="00626FF4" w:rsidRPr="00626FF4">
              <w:rPr>
                <w:b w:val="0"/>
                <w:webHidden/>
              </w:rPr>
              <w:instrText xml:space="preserve"> PAGEREF _Toc27509156 \h </w:instrText>
            </w:r>
            <w:r w:rsidR="00626FF4" w:rsidRPr="00626FF4">
              <w:rPr>
                <w:b w:val="0"/>
                <w:webHidden/>
              </w:rPr>
            </w:r>
            <w:r w:rsidR="00626FF4" w:rsidRPr="00626FF4">
              <w:rPr>
                <w:b w:val="0"/>
                <w:webHidden/>
              </w:rPr>
              <w:fldChar w:fldCharType="separate"/>
            </w:r>
            <w:r w:rsidR="00F11983">
              <w:rPr>
                <w:b w:val="0"/>
                <w:webHidden/>
              </w:rPr>
              <w:t>5</w:t>
            </w:r>
            <w:r w:rsidR="00626FF4" w:rsidRPr="00626FF4">
              <w:rPr>
                <w:b w:val="0"/>
                <w:webHidden/>
              </w:rPr>
              <w:fldChar w:fldCharType="end"/>
            </w:r>
          </w:hyperlink>
        </w:p>
        <w:p w14:paraId="658FC7FF" w14:textId="6369A60E" w:rsidR="00626FF4" w:rsidRPr="00626FF4" w:rsidRDefault="00CE4648" w:rsidP="00CE4648">
          <w:pPr>
            <w:pStyle w:val="TDC3"/>
            <w:tabs>
              <w:tab w:val="clear" w:pos="1100"/>
              <w:tab w:val="left" w:pos="993"/>
            </w:tabs>
            <w:rPr>
              <w:rFonts w:asciiTheme="minorHAnsi" w:eastAsiaTheme="minorEastAsia" w:hAnsiTheme="minorHAnsi"/>
              <w:b w:val="0"/>
              <w:i w:val="0"/>
              <w:iCs w:val="0"/>
              <w:sz w:val="22"/>
              <w:szCs w:val="22"/>
              <w:lang w:val="es-CR" w:eastAsia="es-CR"/>
            </w:rPr>
          </w:pPr>
          <w:r w:rsidRPr="00CE4648">
            <w:rPr>
              <w:rStyle w:val="Hipervnculo"/>
              <w:b w:val="0"/>
              <w:u w:val="none"/>
            </w:rPr>
            <w:tab/>
          </w:r>
          <w:hyperlink w:anchor="_Toc27509157" w:history="1">
            <w:r w:rsidR="00626FF4" w:rsidRPr="00626FF4">
              <w:rPr>
                <w:rStyle w:val="Hipervnculo"/>
                <w:b w:val="0"/>
              </w:rPr>
              <w:t xml:space="preserve">A.1. </w:t>
            </w:r>
            <w:r>
              <w:rPr>
                <w:rStyle w:val="Hipervnculo"/>
                <w:b w:val="0"/>
              </w:rPr>
              <w:t>Argumentos</w:t>
            </w:r>
            <w:r w:rsidR="00626FF4" w:rsidRPr="00626FF4">
              <w:rPr>
                <w:rStyle w:val="Hipervnculo"/>
                <w:b w:val="0"/>
              </w:rPr>
              <w:t xml:space="preserve"> del Estado y observaciones de la Comisión y de los representantes</w:t>
            </w:r>
            <w:r w:rsidR="00626FF4" w:rsidRPr="00626FF4">
              <w:rPr>
                <w:b w:val="0"/>
                <w:webHidden/>
              </w:rPr>
              <w:tab/>
            </w:r>
            <w:r w:rsidR="00626FF4" w:rsidRPr="00626FF4">
              <w:rPr>
                <w:b w:val="0"/>
                <w:webHidden/>
              </w:rPr>
              <w:fldChar w:fldCharType="begin"/>
            </w:r>
            <w:r w:rsidR="00626FF4" w:rsidRPr="00626FF4">
              <w:rPr>
                <w:b w:val="0"/>
                <w:webHidden/>
              </w:rPr>
              <w:instrText xml:space="preserve"> PAGEREF _Toc27509157 \h </w:instrText>
            </w:r>
            <w:r w:rsidR="00626FF4" w:rsidRPr="00626FF4">
              <w:rPr>
                <w:b w:val="0"/>
                <w:webHidden/>
              </w:rPr>
            </w:r>
            <w:r w:rsidR="00626FF4" w:rsidRPr="00626FF4">
              <w:rPr>
                <w:b w:val="0"/>
                <w:webHidden/>
              </w:rPr>
              <w:fldChar w:fldCharType="separate"/>
            </w:r>
            <w:r w:rsidR="00F11983">
              <w:rPr>
                <w:b w:val="0"/>
                <w:webHidden/>
              </w:rPr>
              <w:t>5</w:t>
            </w:r>
            <w:r w:rsidR="00626FF4" w:rsidRPr="00626FF4">
              <w:rPr>
                <w:b w:val="0"/>
                <w:webHidden/>
              </w:rPr>
              <w:fldChar w:fldCharType="end"/>
            </w:r>
          </w:hyperlink>
        </w:p>
        <w:p w14:paraId="57F86404" w14:textId="1338E5AA" w:rsidR="00626FF4" w:rsidRPr="00626FF4" w:rsidRDefault="00CE4648" w:rsidP="00CE4648">
          <w:pPr>
            <w:pStyle w:val="TDC3"/>
            <w:tabs>
              <w:tab w:val="clear" w:pos="1100"/>
              <w:tab w:val="left" w:pos="993"/>
            </w:tabs>
            <w:rPr>
              <w:rFonts w:asciiTheme="minorHAnsi" w:eastAsiaTheme="minorEastAsia" w:hAnsiTheme="minorHAnsi"/>
              <w:b w:val="0"/>
              <w:i w:val="0"/>
              <w:iCs w:val="0"/>
              <w:sz w:val="22"/>
              <w:szCs w:val="22"/>
              <w:lang w:val="es-CR" w:eastAsia="es-CR"/>
            </w:rPr>
          </w:pPr>
          <w:r w:rsidRPr="00CE4648">
            <w:rPr>
              <w:rStyle w:val="Hipervnculo"/>
              <w:b w:val="0"/>
              <w:u w:val="none"/>
            </w:rPr>
            <w:tab/>
          </w:r>
          <w:hyperlink w:anchor="_Toc27509158" w:history="1">
            <w:r w:rsidR="00626FF4" w:rsidRPr="00626FF4">
              <w:rPr>
                <w:rStyle w:val="Hipervnculo"/>
                <w:b w:val="0"/>
              </w:rPr>
              <w:t>A.2. Consideraciones de la Corte</w:t>
            </w:r>
            <w:r w:rsidR="00626FF4" w:rsidRPr="00626FF4">
              <w:rPr>
                <w:b w:val="0"/>
                <w:webHidden/>
              </w:rPr>
              <w:tab/>
            </w:r>
            <w:r w:rsidR="00626FF4" w:rsidRPr="00626FF4">
              <w:rPr>
                <w:b w:val="0"/>
                <w:webHidden/>
              </w:rPr>
              <w:fldChar w:fldCharType="begin"/>
            </w:r>
            <w:r w:rsidR="00626FF4" w:rsidRPr="00626FF4">
              <w:rPr>
                <w:b w:val="0"/>
                <w:webHidden/>
              </w:rPr>
              <w:instrText xml:space="preserve"> PAGEREF _Toc27509158 \h </w:instrText>
            </w:r>
            <w:r w:rsidR="00626FF4" w:rsidRPr="00626FF4">
              <w:rPr>
                <w:b w:val="0"/>
                <w:webHidden/>
              </w:rPr>
            </w:r>
            <w:r w:rsidR="00626FF4" w:rsidRPr="00626FF4">
              <w:rPr>
                <w:b w:val="0"/>
                <w:webHidden/>
              </w:rPr>
              <w:fldChar w:fldCharType="separate"/>
            </w:r>
            <w:r w:rsidR="00F11983">
              <w:rPr>
                <w:b w:val="0"/>
                <w:webHidden/>
              </w:rPr>
              <w:t>6</w:t>
            </w:r>
            <w:r w:rsidR="00626FF4" w:rsidRPr="00626FF4">
              <w:rPr>
                <w:b w:val="0"/>
                <w:webHidden/>
              </w:rPr>
              <w:fldChar w:fldCharType="end"/>
            </w:r>
          </w:hyperlink>
        </w:p>
        <w:p w14:paraId="6F21DA3F" w14:textId="168733A9" w:rsidR="00626FF4" w:rsidRDefault="00BE2A68">
          <w:pPr>
            <w:pStyle w:val="TDC1"/>
            <w:rPr>
              <w:rFonts w:asciiTheme="minorHAnsi" w:eastAsiaTheme="minorEastAsia" w:hAnsiTheme="minorHAnsi" w:cstheme="minorBidi"/>
              <w:b w:val="0"/>
              <w:bCs w:val="0"/>
              <w:caps w:val="0"/>
              <w:snapToGrid/>
              <w:sz w:val="22"/>
              <w:szCs w:val="22"/>
              <w:lang w:val="es-CR" w:eastAsia="es-CR"/>
            </w:rPr>
          </w:pPr>
          <w:hyperlink w:anchor="_Toc27509159" w:history="1">
            <w:r w:rsidR="00626FF4" w:rsidRPr="005E3955">
              <w:rPr>
                <w:rStyle w:val="Hipervnculo"/>
              </w:rPr>
              <w:t>V PRUEBA</w:t>
            </w:r>
            <w:r w:rsidR="00626FF4">
              <w:rPr>
                <w:webHidden/>
              </w:rPr>
              <w:tab/>
            </w:r>
            <w:r w:rsidR="00626FF4">
              <w:rPr>
                <w:webHidden/>
              </w:rPr>
              <w:fldChar w:fldCharType="begin"/>
            </w:r>
            <w:r w:rsidR="00626FF4">
              <w:rPr>
                <w:webHidden/>
              </w:rPr>
              <w:instrText xml:space="preserve"> PAGEREF _Toc27509159 \h </w:instrText>
            </w:r>
            <w:r w:rsidR="00626FF4">
              <w:rPr>
                <w:webHidden/>
              </w:rPr>
            </w:r>
            <w:r w:rsidR="00626FF4">
              <w:rPr>
                <w:webHidden/>
              </w:rPr>
              <w:fldChar w:fldCharType="separate"/>
            </w:r>
            <w:r w:rsidR="00F11983">
              <w:rPr>
                <w:webHidden/>
              </w:rPr>
              <w:t>8</w:t>
            </w:r>
            <w:r w:rsidR="00626FF4">
              <w:rPr>
                <w:webHidden/>
              </w:rPr>
              <w:fldChar w:fldCharType="end"/>
            </w:r>
          </w:hyperlink>
        </w:p>
        <w:p w14:paraId="00BE9934" w14:textId="2D79559D" w:rsidR="00626FF4" w:rsidRPr="00626FF4" w:rsidRDefault="00BE2A68">
          <w:pPr>
            <w:pStyle w:val="TDC2"/>
            <w:rPr>
              <w:rFonts w:asciiTheme="minorHAnsi" w:eastAsiaTheme="minorEastAsia" w:hAnsiTheme="minorHAnsi" w:cstheme="minorBidi"/>
              <w:b w:val="0"/>
              <w:bCs w:val="0"/>
              <w:i w:val="0"/>
              <w:smallCaps w:val="0"/>
              <w:sz w:val="22"/>
              <w:szCs w:val="22"/>
              <w:lang w:val="es-CR"/>
            </w:rPr>
          </w:pPr>
          <w:hyperlink w:anchor="_Toc27509160" w:history="1">
            <w:r w:rsidR="00626FF4" w:rsidRPr="00626FF4">
              <w:rPr>
                <w:rStyle w:val="Hipervnculo"/>
                <w:b w:val="0"/>
              </w:rPr>
              <w:t>A.</w:t>
            </w:r>
            <w:r w:rsidR="00626FF4" w:rsidRPr="00626FF4">
              <w:rPr>
                <w:rFonts w:asciiTheme="minorHAnsi" w:eastAsiaTheme="minorEastAsia" w:hAnsiTheme="minorHAnsi" w:cstheme="minorBidi"/>
                <w:b w:val="0"/>
                <w:bCs w:val="0"/>
                <w:i w:val="0"/>
                <w:smallCaps w:val="0"/>
                <w:sz w:val="22"/>
                <w:szCs w:val="22"/>
                <w:lang w:val="es-CR"/>
              </w:rPr>
              <w:tab/>
            </w:r>
            <w:r w:rsidR="00626FF4" w:rsidRPr="00626FF4">
              <w:rPr>
                <w:rStyle w:val="Hipervnculo"/>
                <w:b w:val="0"/>
              </w:rPr>
              <w:t>Admisibilidad de la prueba documental</w:t>
            </w:r>
            <w:r w:rsidR="00626FF4" w:rsidRPr="00626FF4">
              <w:rPr>
                <w:b w:val="0"/>
                <w:webHidden/>
              </w:rPr>
              <w:tab/>
            </w:r>
            <w:r w:rsidR="00626FF4" w:rsidRPr="00626FF4">
              <w:rPr>
                <w:b w:val="0"/>
                <w:webHidden/>
              </w:rPr>
              <w:fldChar w:fldCharType="begin"/>
            </w:r>
            <w:r w:rsidR="00626FF4" w:rsidRPr="00626FF4">
              <w:rPr>
                <w:b w:val="0"/>
                <w:webHidden/>
              </w:rPr>
              <w:instrText xml:space="preserve"> PAGEREF _Toc27509160 \h </w:instrText>
            </w:r>
            <w:r w:rsidR="00626FF4" w:rsidRPr="00626FF4">
              <w:rPr>
                <w:b w:val="0"/>
                <w:webHidden/>
              </w:rPr>
            </w:r>
            <w:r w:rsidR="00626FF4" w:rsidRPr="00626FF4">
              <w:rPr>
                <w:b w:val="0"/>
                <w:webHidden/>
              </w:rPr>
              <w:fldChar w:fldCharType="separate"/>
            </w:r>
            <w:r w:rsidR="00F11983">
              <w:rPr>
                <w:b w:val="0"/>
                <w:webHidden/>
              </w:rPr>
              <w:t>8</w:t>
            </w:r>
            <w:r w:rsidR="00626FF4" w:rsidRPr="00626FF4">
              <w:rPr>
                <w:b w:val="0"/>
                <w:webHidden/>
              </w:rPr>
              <w:fldChar w:fldCharType="end"/>
            </w:r>
          </w:hyperlink>
        </w:p>
        <w:p w14:paraId="2B080C2D" w14:textId="0CE9EB3F" w:rsidR="00626FF4" w:rsidRPr="00626FF4" w:rsidRDefault="00BE2A68">
          <w:pPr>
            <w:pStyle w:val="TDC2"/>
            <w:rPr>
              <w:rFonts w:asciiTheme="minorHAnsi" w:eastAsiaTheme="minorEastAsia" w:hAnsiTheme="minorHAnsi" w:cstheme="minorBidi"/>
              <w:b w:val="0"/>
              <w:bCs w:val="0"/>
              <w:i w:val="0"/>
              <w:smallCaps w:val="0"/>
              <w:sz w:val="22"/>
              <w:szCs w:val="22"/>
              <w:lang w:val="es-CR"/>
            </w:rPr>
          </w:pPr>
          <w:hyperlink w:anchor="_Toc27509161" w:history="1">
            <w:r w:rsidR="00626FF4" w:rsidRPr="00626FF4">
              <w:rPr>
                <w:rStyle w:val="Hipervnculo"/>
                <w:b w:val="0"/>
              </w:rPr>
              <w:t>B.</w:t>
            </w:r>
            <w:r w:rsidR="00626FF4" w:rsidRPr="00626FF4">
              <w:rPr>
                <w:rFonts w:asciiTheme="minorHAnsi" w:eastAsiaTheme="minorEastAsia" w:hAnsiTheme="minorHAnsi" w:cstheme="minorBidi"/>
                <w:b w:val="0"/>
                <w:bCs w:val="0"/>
                <w:i w:val="0"/>
                <w:smallCaps w:val="0"/>
                <w:sz w:val="22"/>
                <w:szCs w:val="22"/>
                <w:lang w:val="es-CR"/>
              </w:rPr>
              <w:tab/>
            </w:r>
            <w:r w:rsidR="00626FF4" w:rsidRPr="00626FF4">
              <w:rPr>
                <w:rStyle w:val="Hipervnculo"/>
                <w:b w:val="0"/>
              </w:rPr>
              <w:t>Admisibilidad de la prueba testimonial y pericial</w:t>
            </w:r>
            <w:r w:rsidR="00626FF4" w:rsidRPr="00626FF4">
              <w:rPr>
                <w:b w:val="0"/>
                <w:webHidden/>
              </w:rPr>
              <w:tab/>
            </w:r>
            <w:r w:rsidR="00626FF4" w:rsidRPr="00626FF4">
              <w:rPr>
                <w:b w:val="0"/>
                <w:webHidden/>
              </w:rPr>
              <w:fldChar w:fldCharType="begin"/>
            </w:r>
            <w:r w:rsidR="00626FF4" w:rsidRPr="00626FF4">
              <w:rPr>
                <w:b w:val="0"/>
                <w:webHidden/>
              </w:rPr>
              <w:instrText xml:space="preserve"> PAGEREF _Toc27509161 \h </w:instrText>
            </w:r>
            <w:r w:rsidR="00626FF4" w:rsidRPr="00626FF4">
              <w:rPr>
                <w:b w:val="0"/>
                <w:webHidden/>
              </w:rPr>
            </w:r>
            <w:r w:rsidR="00626FF4" w:rsidRPr="00626FF4">
              <w:rPr>
                <w:b w:val="0"/>
                <w:webHidden/>
              </w:rPr>
              <w:fldChar w:fldCharType="separate"/>
            </w:r>
            <w:r w:rsidR="00F11983">
              <w:rPr>
                <w:b w:val="0"/>
                <w:webHidden/>
              </w:rPr>
              <w:t>9</w:t>
            </w:r>
            <w:r w:rsidR="00626FF4" w:rsidRPr="00626FF4">
              <w:rPr>
                <w:b w:val="0"/>
                <w:webHidden/>
              </w:rPr>
              <w:fldChar w:fldCharType="end"/>
            </w:r>
          </w:hyperlink>
        </w:p>
        <w:p w14:paraId="6EC7DB3C" w14:textId="65E2E140" w:rsidR="00626FF4" w:rsidRDefault="00BE2A68">
          <w:pPr>
            <w:pStyle w:val="TDC1"/>
            <w:rPr>
              <w:rFonts w:asciiTheme="minorHAnsi" w:eastAsiaTheme="minorEastAsia" w:hAnsiTheme="minorHAnsi" w:cstheme="minorBidi"/>
              <w:b w:val="0"/>
              <w:bCs w:val="0"/>
              <w:caps w:val="0"/>
              <w:snapToGrid/>
              <w:sz w:val="22"/>
              <w:szCs w:val="22"/>
              <w:lang w:val="es-CR" w:eastAsia="es-CR"/>
            </w:rPr>
          </w:pPr>
          <w:hyperlink w:anchor="_Toc27509162" w:history="1">
            <w:r w:rsidR="00626FF4" w:rsidRPr="005E3955">
              <w:rPr>
                <w:rStyle w:val="Hipervnculo"/>
              </w:rPr>
              <w:t>VI hechos</w:t>
            </w:r>
            <w:r w:rsidR="00626FF4">
              <w:rPr>
                <w:webHidden/>
              </w:rPr>
              <w:tab/>
            </w:r>
            <w:r w:rsidR="00626FF4">
              <w:rPr>
                <w:webHidden/>
              </w:rPr>
              <w:fldChar w:fldCharType="begin"/>
            </w:r>
            <w:r w:rsidR="00626FF4">
              <w:rPr>
                <w:webHidden/>
              </w:rPr>
              <w:instrText xml:space="preserve"> PAGEREF _Toc27509162 \h </w:instrText>
            </w:r>
            <w:r w:rsidR="00626FF4">
              <w:rPr>
                <w:webHidden/>
              </w:rPr>
            </w:r>
            <w:r w:rsidR="00626FF4">
              <w:rPr>
                <w:webHidden/>
              </w:rPr>
              <w:fldChar w:fldCharType="separate"/>
            </w:r>
            <w:r w:rsidR="00F11983">
              <w:rPr>
                <w:webHidden/>
              </w:rPr>
              <w:t>9</w:t>
            </w:r>
            <w:r w:rsidR="00626FF4">
              <w:rPr>
                <w:webHidden/>
              </w:rPr>
              <w:fldChar w:fldCharType="end"/>
            </w:r>
          </w:hyperlink>
        </w:p>
        <w:p w14:paraId="04327DAE" w14:textId="26EC26A1" w:rsidR="00626FF4" w:rsidRPr="00CE4648" w:rsidRDefault="00BE2A68">
          <w:pPr>
            <w:pStyle w:val="TDC2"/>
            <w:rPr>
              <w:rFonts w:asciiTheme="minorHAnsi" w:eastAsiaTheme="minorEastAsia" w:hAnsiTheme="minorHAnsi" w:cstheme="minorBidi"/>
              <w:b w:val="0"/>
              <w:bCs w:val="0"/>
              <w:i w:val="0"/>
              <w:smallCaps w:val="0"/>
              <w:sz w:val="22"/>
              <w:szCs w:val="22"/>
              <w:lang w:val="es-CR"/>
            </w:rPr>
          </w:pPr>
          <w:hyperlink w:anchor="_Toc27509163" w:history="1">
            <w:r w:rsidR="00626FF4" w:rsidRPr="00CE4648">
              <w:rPr>
                <w:rStyle w:val="Hipervnculo"/>
                <w:b w:val="0"/>
              </w:rPr>
              <w:t>A.</w:t>
            </w:r>
            <w:r w:rsidR="00626FF4" w:rsidRPr="00CE4648">
              <w:rPr>
                <w:rFonts w:asciiTheme="minorHAnsi" w:eastAsiaTheme="minorEastAsia" w:hAnsiTheme="minorHAnsi" w:cstheme="minorBidi"/>
                <w:b w:val="0"/>
                <w:bCs w:val="0"/>
                <w:i w:val="0"/>
                <w:smallCaps w:val="0"/>
                <w:sz w:val="22"/>
                <w:szCs w:val="22"/>
                <w:lang w:val="es-CR"/>
              </w:rPr>
              <w:tab/>
            </w:r>
            <w:r w:rsidR="00626FF4" w:rsidRPr="00CE4648">
              <w:rPr>
                <w:rStyle w:val="Hipervnculo"/>
                <w:b w:val="0"/>
              </w:rPr>
              <w:t>Detención y condena de José Luis Hernández</w:t>
            </w:r>
            <w:r w:rsidR="00626FF4" w:rsidRPr="00CE4648">
              <w:rPr>
                <w:b w:val="0"/>
                <w:webHidden/>
              </w:rPr>
              <w:tab/>
            </w:r>
            <w:r w:rsidR="00626FF4" w:rsidRPr="00CE4648">
              <w:rPr>
                <w:b w:val="0"/>
                <w:webHidden/>
              </w:rPr>
              <w:fldChar w:fldCharType="begin"/>
            </w:r>
            <w:r w:rsidR="00626FF4" w:rsidRPr="00CE4648">
              <w:rPr>
                <w:b w:val="0"/>
                <w:webHidden/>
              </w:rPr>
              <w:instrText xml:space="preserve"> PAGEREF _Toc27509163 \h </w:instrText>
            </w:r>
            <w:r w:rsidR="00626FF4" w:rsidRPr="00CE4648">
              <w:rPr>
                <w:b w:val="0"/>
                <w:webHidden/>
              </w:rPr>
            </w:r>
            <w:r w:rsidR="00626FF4" w:rsidRPr="00CE4648">
              <w:rPr>
                <w:b w:val="0"/>
                <w:webHidden/>
              </w:rPr>
              <w:fldChar w:fldCharType="separate"/>
            </w:r>
            <w:r w:rsidR="00F11983">
              <w:rPr>
                <w:b w:val="0"/>
                <w:webHidden/>
              </w:rPr>
              <w:t>9</w:t>
            </w:r>
            <w:r w:rsidR="00626FF4" w:rsidRPr="00CE4648">
              <w:rPr>
                <w:b w:val="0"/>
                <w:webHidden/>
              </w:rPr>
              <w:fldChar w:fldCharType="end"/>
            </w:r>
          </w:hyperlink>
        </w:p>
        <w:p w14:paraId="200C353C" w14:textId="35641877" w:rsidR="00626FF4" w:rsidRPr="00CE4648" w:rsidRDefault="00BE2A68">
          <w:pPr>
            <w:pStyle w:val="TDC2"/>
            <w:rPr>
              <w:rFonts w:asciiTheme="minorHAnsi" w:eastAsiaTheme="minorEastAsia" w:hAnsiTheme="minorHAnsi" w:cstheme="minorBidi"/>
              <w:b w:val="0"/>
              <w:bCs w:val="0"/>
              <w:i w:val="0"/>
              <w:smallCaps w:val="0"/>
              <w:sz w:val="22"/>
              <w:szCs w:val="22"/>
              <w:lang w:val="es-CR"/>
            </w:rPr>
          </w:pPr>
          <w:hyperlink w:anchor="_Toc27509164" w:history="1">
            <w:r w:rsidR="00626FF4" w:rsidRPr="00CE4648">
              <w:rPr>
                <w:rStyle w:val="Hipervnculo"/>
                <w:b w:val="0"/>
                <w:lang w:val="es-CO" w:eastAsia="es-MX"/>
              </w:rPr>
              <w:t>B.</w:t>
            </w:r>
            <w:r w:rsidR="00626FF4" w:rsidRPr="00CE4648">
              <w:rPr>
                <w:rFonts w:asciiTheme="minorHAnsi" w:eastAsiaTheme="minorEastAsia" w:hAnsiTheme="minorHAnsi" w:cstheme="minorBidi"/>
                <w:b w:val="0"/>
                <w:bCs w:val="0"/>
                <w:i w:val="0"/>
                <w:smallCaps w:val="0"/>
                <w:sz w:val="22"/>
                <w:szCs w:val="22"/>
                <w:lang w:val="es-CR"/>
              </w:rPr>
              <w:tab/>
            </w:r>
            <w:r w:rsidR="00626FF4" w:rsidRPr="00CE4648">
              <w:rPr>
                <w:rStyle w:val="Hipervnculo"/>
                <w:b w:val="0"/>
              </w:rPr>
              <w:t>Condiciones de la detención de José Luis Hernández y denuncias sobre su estado de salud</w:t>
            </w:r>
            <w:r w:rsidR="00626FF4" w:rsidRPr="00CE4648">
              <w:rPr>
                <w:b w:val="0"/>
                <w:webHidden/>
              </w:rPr>
              <w:tab/>
            </w:r>
            <w:r w:rsidR="00626FF4" w:rsidRPr="00CE4648">
              <w:rPr>
                <w:b w:val="0"/>
                <w:webHidden/>
              </w:rPr>
              <w:fldChar w:fldCharType="begin"/>
            </w:r>
            <w:r w:rsidR="00626FF4" w:rsidRPr="00CE4648">
              <w:rPr>
                <w:b w:val="0"/>
                <w:webHidden/>
              </w:rPr>
              <w:instrText xml:space="preserve"> PAGEREF _Toc27509164 \h </w:instrText>
            </w:r>
            <w:r w:rsidR="00626FF4" w:rsidRPr="00CE4648">
              <w:rPr>
                <w:b w:val="0"/>
                <w:webHidden/>
              </w:rPr>
            </w:r>
            <w:r w:rsidR="00626FF4" w:rsidRPr="00CE4648">
              <w:rPr>
                <w:b w:val="0"/>
                <w:webHidden/>
              </w:rPr>
              <w:fldChar w:fldCharType="separate"/>
            </w:r>
            <w:r w:rsidR="00F11983">
              <w:rPr>
                <w:b w:val="0"/>
                <w:webHidden/>
              </w:rPr>
              <w:t>10</w:t>
            </w:r>
            <w:r w:rsidR="00626FF4" w:rsidRPr="00CE4648">
              <w:rPr>
                <w:b w:val="0"/>
                <w:webHidden/>
              </w:rPr>
              <w:fldChar w:fldCharType="end"/>
            </w:r>
          </w:hyperlink>
        </w:p>
        <w:p w14:paraId="0F62FB0B" w14:textId="3BB4B844" w:rsidR="00626FF4" w:rsidRPr="00CE4648" w:rsidRDefault="00BE2A68">
          <w:pPr>
            <w:pStyle w:val="TDC2"/>
            <w:rPr>
              <w:rFonts w:asciiTheme="minorHAnsi" w:eastAsiaTheme="minorEastAsia" w:hAnsiTheme="minorHAnsi" w:cstheme="minorBidi"/>
              <w:b w:val="0"/>
              <w:bCs w:val="0"/>
              <w:i w:val="0"/>
              <w:smallCaps w:val="0"/>
              <w:sz w:val="22"/>
              <w:szCs w:val="22"/>
              <w:lang w:val="es-CR"/>
            </w:rPr>
          </w:pPr>
          <w:hyperlink w:anchor="_Toc27509165" w:history="1">
            <w:r w:rsidR="00626FF4" w:rsidRPr="00CE4648">
              <w:rPr>
                <w:rStyle w:val="Hipervnculo"/>
                <w:b w:val="0"/>
              </w:rPr>
              <w:t>C.</w:t>
            </w:r>
            <w:r w:rsidR="00626FF4" w:rsidRPr="00CE4648">
              <w:rPr>
                <w:rFonts w:asciiTheme="minorHAnsi" w:eastAsiaTheme="minorEastAsia" w:hAnsiTheme="minorHAnsi" w:cstheme="minorBidi"/>
                <w:b w:val="0"/>
                <w:bCs w:val="0"/>
                <w:i w:val="0"/>
                <w:smallCaps w:val="0"/>
                <w:sz w:val="22"/>
                <w:szCs w:val="22"/>
                <w:lang w:val="es-CR"/>
              </w:rPr>
              <w:tab/>
            </w:r>
            <w:r w:rsidR="00626FF4" w:rsidRPr="00CE4648">
              <w:rPr>
                <w:rStyle w:val="Hipervnculo"/>
                <w:b w:val="0"/>
              </w:rPr>
              <w:t>Demanda civil de daños y perjuicios</w:t>
            </w:r>
            <w:r w:rsidR="00626FF4" w:rsidRPr="00CE4648">
              <w:rPr>
                <w:b w:val="0"/>
                <w:webHidden/>
              </w:rPr>
              <w:tab/>
            </w:r>
            <w:r w:rsidR="00626FF4" w:rsidRPr="00CE4648">
              <w:rPr>
                <w:b w:val="0"/>
                <w:webHidden/>
              </w:rPr>
              <w:fldChar w:fldCharType="begin"/>
            </w:r>
            <w:r w:rsidR="00626FF4" w:rsidRPr="00CE4648">
              <w:rPr>
                <w:b w:val="0"/>
                <w:webHidden/>
              </w:rPr>
              <w:instrText xml:space="preserve"> PAGEREF _Toc27509165 \h </w:instrText>
            </w:r>
            <w:r w:rsidR="00626FF4" w:rsidRPr="00CE4648">
              <w:rPr>
                <w:b w:val="0"/>
                <w:webHidden/>
              </w:rPr>
            </w:r>
            <w:r w:rsidR="00626FF4" w:rsidRPr="00CE4648">
              <w:rPr>
                <w:b w:val="0"/>
                <w:webHidden/>
              </w:rPr>
              <w:fldChar w:fldCharType="separate"/>
            </w:r>
            <w:r w:rsidR="00F11983">
              <w:rPr>
                <w:b w:val="0"/>
                <w:webHidden/>
              </w:rPr>
              <w:t>16</w:t>
            </w:r>
            <w:r w:rsidR="00626FF4" w:rsidRPr="00CE4648">
              <w:rPr>
                <w:b w:val="0"/>
                <w:webHidden/>
              </w:rPr>
              <w:fldChar w:fldCharType="end"/>
            </w:r>
          </w:hyperlink>
        </w:p>
        <w:p w14:paraId="634589F8" w14:textId="6FE460C1" w:rsidR="00626FF4" w:rsidRDefault="00BE2A68">
          <w:pPr>
            <w:pStyle w:val="TDC1"/>
            <w:rPr>
              <w:rFonts w:asciiTheme="minorHAnsi" w:eastAsiaTheme="minorEastAsia" w:hAnsiTheme="minorHAnsi" w:cstheme="minorBidi"/>
              <w:b w:val="0"/>
              <w:bCs w:val="0"/>
              <w:caps w:val="0"/>
              <w:snapToGrid/>
              <w:sz w:val="22"/>
              <w:szCs w:val="22"/>
              <w:lang w:val="es-CR" w:eastAsia="es-CR"/>
            </w:rPr>
          </w:pPr>
          <w:hyperlink w:anchor="_Toc27509166" w:history="1">
            <w:r w:rsidR="00626FF4" w:rsidRPr="005E3955">
              <w:rPr>
                <w:rStyle w:val="Hipervnculo"/>
              </w:rPr>
              <w:t>VII Fondo</w:t>
            </w:r>
            <w:r w:rsidR="00626FF4">
              <w:rPr>
                <w:webHidden/>
              </w:rPr>
              <w:tab/>
            </w:r>
            <w:r w:rsidR="00626FF4">
              <w:rPr>
                <w:webHidden/>
              </w:rPr>
              <w:fldChar w:fldCharType="begin"/>
            </w:r>
            <w:r w:rsidR="00626FF4">
              <w:rPr>
                <w:webHidden/>
              </w:rPr>
              <w:instrText xml:space="preserve"> PAGEREF _Toc27509166 \h </w:instrText>
            </w:r>
            <w:r w:rsidR="00626FF4">
              <w:rPr>
                <w:webHidden/>
              </w:rPr>
            </w:r>
            <w:r w:rsidR="00626FF4">
              <w:rPr>
                <w:webHidden/>
              </w:rPr>
              <w:fldChar w:fldCharType="separate"/>
            </w:r>
            <w:r w:rsidR="00F11983">
              <w:rPr>
                <w:webHidden/>
              </w:rPr>
              <w:t>17</w:t>
            </w:r>
            <w:r w:rsidR="00626FF4">
              <w:rPr>
                <w:webHidden/>
              </w:rPr>
              <w:fldChar w:fldCharType="end"/>
            </w:r>
          </w:hyperlink>
        </w:p>
        <w:p w14:paraId="7DCAD90A" w14:textId="47E14D4B" w:rsidR="00626FF4" w:rsidRDefault="00BE2A68">
          <w:pPr>
            <w:pStyle w:val="TDC2"/>
            <w:rPr>
              <w:rFonts w:asciiTheme="minorHAnsi" w:eastAsiaTheme="minorEastAsia" w:hAnsiTheme="minorHAnsi" w:cstheme="minorBidi"/>
              <w:b w:val="0"/>
              <w:bCs w:val="0"/>
              <w:i w:val="0"/>
              <w:smallCaps w:val="0"/>
              <w:sz w:val="22"/>
              <w:szCs w:val="22"/>
              <w:lang w:val="es-CR"/>
            </w:rPr>
          </w:pPr>
          <w:hyperlink w:anchor="_Toc27509167" w:history="1">
            <w:r w:rsidR="00626FF4" w:rsidRPr="005E3955">
              <w:rPr>
                <w:rStyle w:val="Hipervnculo"/>
                <w:rFonts w:eastAsia="Times New Roman" w:cs="Verdana"/>
                <w:caps/>
                <w:snapToGrid w:val="0"/>
                <w:lang w:val="es-ES_tradnl"/>
              </w:rPr>
              <w:t xml:space="preserve">VII-1 </w:t>
            </w:r>
            <w:r w:rsidR="00626FF4" w:rsidRPr="005E3955">
              <w:rPr>
                <w:rStyle w:val="Hipervnculo"/>
              </w:rPr>
              <w:t>DERECHO A LA INTEGRIDAD PERSONAL Y</w:t>
            </w:r>
            <w:r w:rsidR="00CE6C26">
              <w:rPr>
                <w:rStyle w:val="Hipervnculo"/>
              </w:rPr>
              <w:t xml:space="preserve"> DERECHO A</w:t>
            </w:r>
            <w:r w:rsidR="00626FF4" w:rsidRPr="005E3955">
              <w:rPr>
                <w:rStyle w:val="Hipervnculo"/>
              </w:rPr>
              <w:t xml:space="preserve"> LA SALUD</w:t>
            </w:r>
            <w:r w:rsidR="00626FF4">
              <w:rPr>
                <w:webHidden/>
              </w:rPr>
              <w:tab/>
            </w:r>
            <w:r w:rsidR="00626FF4">
              <w:rPr>
                <w:webHidden/>
              </w:rPr>
              <w:fldChar w:fldCharType="begin"/>
            </w:r>
            <w:r w:rsidR="00626FF4">
              <w:rPr>
                <w:webHidden/>
              </w:rPr>
              <w:instrText xml:space="preserve"> PAGEREF _Toc27509167 \h </w:instrText>
            </w:r>
            <w:r w:rsidR="00626FF4">
              <w:rPr>
                <w:webHidden/>
              </w:rPr>
            </w:r>
            <w:r w:rsidR="00626FF4">
              <w:rPr>
                <w:webHidden/>
              </w:rPr>
              <w:fldChar w:fldCharType="separate"/>
            </w:r>
            <w:r w:rsidR="00F11983">
              <w:rPr>
                <w:webHidden/>
              </w:rPr>
              <w:t>17</w:t>
            </w:r>
            <w:r w:rsidR="00626FF4">
              <w:rPr>
                <w:webHidden/>
              </w:rPr>
              <w:fldChar w:fldCharType="end"/>
            </w:r>
          </w:hyperlink>
        </w:p>
        <w:p w14:paraId="69F54EB0" w14:textId="3EAB5128" w:rsidR="00626FF4" w:rsidRPr="00CE4648" w:rsidRDefault="00BE2A68" w:rsidP="00CE4648">
          <w:pPr>
            <w:pStyle w:val="TDC3"/>
            <w:tabs>
              <w:tab w:val="clear" w:pos="1100"/>
              <w:tab w:val="left" w:pos="851"/>
            </w:tabs>
            <w:ind w:left="284"/>
            <w:rPr>
              <w:rFonts w:asciiTheme="minorHAnsi" w:eastAsiaTheme="minorEastAsia" w:hAnsiTheme="minorHAnsi"/>
              <w:b w:val="0"/>
              <w:i w:val="0"/>
              <w:iCs w:val="0"/>
              <w:sz w:val="22"/>
              <w:szCs w:val="22"/>
              <w:lang w:val="es-CR" w:eastAsia="es-CR"/>
            </w:rPr>
          </w:pPr>
          <w:hyperlink w:anchor="_Toc27509168" w:history="1">
            <w:r w:rsidR="00626FF4" w:rsidRPr="00CE4648">
              <w:rPr>
                <w:rStyle w:val="Hipervnculo"/>
                <w:b w:val="0"/>
              </w:rPr>
              <w:t>A.</w:t>
            </w:r>
            <w:r w:rsidR="00626FF4" w:rsidRPr="00CE4648">
              <w:rPr>
                <w:rFonts w:asciiTheme="minorHAnsi" w:eastAsiaTheme="minorEastAsia" w:hAnsiTheme="minorHAnsi"/>
                <w:b w:val="0"/>
                <w:i w:val="0"/>
                <w:iCs w:val="0"/>
                <w:sz w:val="22"/>
                <w:szCs w:val="22"/>
                <w:lang w:val="es-CR" w:eastAsia="es-CR"/>
              </w:rPr>
              <w:tab/>
            </w:r>
            <w:r w:rsidR="00626FF4" w:rsidRPr="00CE4648">
              <w:rPr>
                <w:rStyle w:val="Hipervnculo"/>
                <w:b w:val="0"/>
              </w:rPr>
              <w:t>Argumentos de la Comisión y de las partes</w:t>
            </w:r>
            <w:r w:rsidR="00626FF4" w:rsidRPr="00CE4648">
              <w:rPr>
                <w:b w:val="0"/>
                <w:webHidden/>
              </w:rPr>
              <w:tab/>
            </w:r>
            <w:r w:rsidR="00626FF4" w:rsidRPr="00CE4648">
              <w:rPr>
                <w:b w:val="0"/>
                <w:webHidden/>
              </w:rPr>
              <w:fldChar w:fldCharType="begin"/>
            </w:r>
            <w:r w:rsidR="00626FF4" w:rsidRPr="00CE4648">
              <w:rPr>
                <w:b w:val="0"/>
                <w:webHidden/>
              </w:rPr>
              <w:instrText xml:space="preserve"> PAGEREF _Toc27509168 \h </w:instrText>
            </w:r>
            <w:r w:rsidR="00626FF4" w:rsidRPr="00CE4648">
              <w:rPr>
                <w:b w:val="0"/>
                <w:webHidden/>
              </w:rPr>
            </w:r>
            <w:r w:rsidR="00626FF4" w:rsidRPr="00CE4648">
              <w:rPr>
                <w:b w:val="0"/>
                <w:webHidden/>
              </w:rPr>
              <w:fldChar w:fldCharType="separate"/>
            </w:r>
            <w:r w:rsidR="00F11983">
              <w:rPr>
                <w:b w:val="0"/>
                <w:webHidden/>
              </w:rPr>
              <w:t>17</w:t>
            </w:r>
            <w:r w:rsidR="00626FF4" w:rsidRPr="00CE4648">
              <w:rPr>
                <w:b w:val="0"/>
                <w:webHidden/>
              </w:rPr>
              <w:fldChar w:fldCharType="end"/>
            </w:r>
          </w:hyperlink>
        </w:p>
        <w:p w14:paraId="02D8B219" w14:textId="5AAF468E" w:rsidR="00626FF4" w:rsidRPr="00CE4648" w:rsidRDefault="00BE2A68" w:rsidP="00CE4648">
          <w:pPr>
            <w:pStyle w:val="TDC3"/>
            <w:tabs>
              <w:tab w:val="clear" w:pos="1100"/>
              <w:tab w:val="left" w:pos="851"/>
            </w:tabs>
            <w:ind w:left="284"/>
            <w:rPr>
              <w:rFonts w:asciiTheme="minorHAnsi" w:eastAsiaTheme="minorEastAsia" w:hAnsiTheme="minorHAnsi"/>
              <w:b w:val="0"/>
              <w:i w:val="0"/>
              <w:iCs w:val="0"/>
              <w:sz w:val="22"/>
              <w:szCs w:val="22"/>
              <w:lang w:val="es-CR" w:eastAsia="es-CR"/>
            </w:rPr>
          </w:pPr>
          <w:hyperlink w:anchor="_Toc27509169" w:history="1">
            <w:r w:rsidR="00626FF4" w:rsidRPr="00CE4648">
              <w:rPr>
                <w:rStyle w:val="Hipervnculo"/>
                <w:b w:val="0"/>
              </w:rPr>
              <w:t>B.</w:t>
            </w:r>
            <w:r w:rsidR="00626FF4" w:rsidRPr="00CE4648">
              <w:rPr>
                <w:rFonts w:asciiTheme="minorHAnsi" w:eastAsiaTheme="minorEastAsia" w:hAnsiTheme="minorHAnsi"/>
                <w:b w:val="0"/>
                <w:i w:val="0"/>
                <w:iCs w:val="0"/>
                <w:sz w:val="22"/>
                <w:szCs w:val="22"/>
                <w:lang w:val="es-CR" w:eastAsia="es-CR"/>
              </w:rPr>
              <w:tab/>
            </w:r>
            <w:r w:rsidR="00626FF4" w:rsidRPr="00CE4648">
              <w:rPr>
                <w:rStyle w:val="Hipervnculo"/>
                <w:b w:val="0"/>
              </w:rPr>
              <w:t>Consideraciones de la Corte</w:t>
            </w:r>
            <w:r w:rsidR="00626FF4" w:rsidRPr="00CE4648">
              <w:rPr>
                <w:b w:val="0"/>
                <w:webHidden/>
              </w:rPr>
              <w:tab/>
            </w:r>
            <w:r w:rsidR="00626FF4" w:rsidRPr="00CE4648">
              <w:rPr>
                <w:b w:val="0"/>
                <w:webHidden/>
              </w:rPr>
              <w:fldChar w:fldCharType="begin"/>
            </w:r>
            <w:r w:rsidR="00626FF4" w:rsidRPr="00CE4648">
              <w:rPr>
                <w:b w:val="0"/>
                <w:webHidden/>
              </w:rPr>
              <w:instrText xml:space="preserve"> PAGEREF _Toc27509169 \h </w:instrText>
            </w:r>
            <w:r w:rsidR="00626FF4" w:rsidRPr="00CE4648">
              <w:rPr>
                <w:b w:val="0"/>
                <w:webHidden/>
              </w:rPr>
            </w:r>
            <w:r w:rsidR="00626FF4" w:rsidRPr="00CE4648">
              <w:rPr>
                <w:b w:val="0"/>
                <w:webHidden/>
              </w:rPr>
              <w:fldChar w:fldCharType="separate"/>
            </w:r>
            <w:r w:rsidR="00F11983">
              <w:rPr>
                <w:b w:val="0"/>
                <w:webHidden/>
              </w:rPr>
              <w:t>18</w:t>
            </w:r>
            <w:r w:rsidR="00626FF4" w:rsidRPr="00CE4648">
              <w:rPr>
                <w:b w:val="0"/>
                <w:webHidden/>
              </w:rPr>
              <w:fldChar w:fldCharType="end"/>
            </w:r>
          </w:hyperlink>
        </w:p>
        <w:p w14:paraId="4E351BBC" w14:textId="5C58F2E6" w:rsidR="00626FF4" w:rsidRPr="00CE4648" w:rsidRDefault="00CE4648">
          <w:pPr>
            <w:pStyle w:val="TDC3"/>
            <w:rPr>
              <w:rFonts w:asciiTheme="minorHAnsi" w:eastAsiaTheme="minorEastAsia" w:hAnsiTheme="minorHAnsi"/>
              <w:b w:val="0"/>
              <w:i w:val="0"/>
              <w:iCs w:val="0"/>
              <w:sz w:val="22"/>
              <w:szCs w:val="22"/>
              <w:lang w:val="es-CR" w:eastAsia="es-CR"/>
            </w:rPr>
          </w:pPr>
          <w:r w:rsidRPr="00CE4648">
            <w:rPr>
              <w:rStyle w:val="Hipervnculo"/>
              <w:b w:val="0"/>
              <w:u w:val="none"/>
            </w:rPr>
            <w:tab/>
          </w:r>
          <w:hyperlink w:anchor="_Toc27509170" w:history="1">
            <w:r w:rsidR="00626FF4" w:rsidRPr="00CE4648">
              <w:rPr>
                <w:rStyle w:val="Hipervnculo"/>
                <w:b w:val="0"/>
                <w:lang w:val="es-CO"/>
              </w:rPr>
              <w:t xml:space="preserve">B.1. El contenido del derecho a la integridad personal </w:t>
            </w:r>
            <w:r w:rsidR="00626FF4" w:rsidRPr="00CE4648">
              <w:rPr>
                <w:rStyle w:val="Hipervnculo"/>
                <w:b w:val="0"/>
              </w:rPr>
              <w:t>de las personas privadas de libertad</w:t>
            </w:r>
            <w:r w:rsidR="00626FF4" w:rsidRPr="00CE4648">
              <w:rPr>
                <w:b w:val="0"/>
                <w:webHidden/>
              </w:rPr>
              <w:tab/>
            </w:r>
            <w:r w:rsidR="00626FF4" w:rsidRPr="00CE4648">
              <w:rPr>
                <w:b w:val="0"/>
                <w:webHidden/>
              </w:rPr>
              <w:fldChar w:fldCharType="begin"/>
            </w:r>
            <w:r w:rsidR="00626FF4" w:rsidRPr="00CE4648">
              <w:rPr>
                <w:b w:val="0"/>
                <w:webHidden/>
              </w:rPr>
              <w:instrText xml:space="preserve"> PAGEREF _Toc27509170 \h </w:instrText>
            </w:r>
            <w:r w:rsidR="00626FF4" w:rsidRPr="00CE4648">
              <w:rPr>
                <w:b w:val="0"/>
                <w:webHidden/>
              </w:rPr>
            </w:r>
            <w:r w:rsidR="00626FF4" w:rsidRPr="00CE4648">
              <w:rPr>
                <w:b w:val="0"/>
                <w:webHidden/>
              </w:rPr>
              <w:fldChar w:fldCharType="separate"/>
            </w:r>
            <w:r w:rsidR="00F11983">
              <w:rPr>
                <w:b w:val="0"/>
                <w:webHidden/>
              </w:rPr>
              <w:t>18</w:t>
            </w:r>
            <w:r w:rsidR="00626FF4" w:rsidRPr="00CE4648">
              <w:rPr>
                <w:b w:val="0"/>
                <w:webHidden/>
              </w:rPr>
              <w:fldChar w:fldCharType="end"/>
            </w:r>
          </w:hyperlink>
        </w:p>
        <w:p w14:paraId="6675CD0B" w14:textId="3B0C0C4A" w:rsidR="00626FF4" w:rsidRPr="00CE4648" w:rsidRDefault="00CE4648">
          <w:pPr>
            <w:pStyle w:val="TDC3"/>
            <w:rPr>
              <w:rFonts w:asciiTheme="minorHAnsi" w:eastAsiaTheme="minorEastAsia" w:hAnsiTheme="minorHAnsi"/>
              <w:b w:val="0"/>
              <w:i w:val="0"/>
              <w:iCs w:val="0"/>
              <w:sz w:val="22"/>
              <w:szCs w:val="22"/>
              <w:lang w:val="es-CR" w:eastAsia="es-CR"/>
            </w:rPr>
          </w:pPr>
          <w:r w:rsidRPr="00CE4648">
            <w:rPr>
              <w:rStyle w:val="Hipervnculo"/>
              <w:b w:val="0"/>
              <w:u w:val="none"/>
            </w:rPr>
            <w:tab/>
          </w:r>
          <w:hyperlink w:anchor="_Toc27509171" w:history="1">
            <w:r w:rsidR="00626FF4" w:rsidRPr="00CE4648">
              <w:rPr>
                <w:rStyle w:val="Hipervnculo"/>
                <w:b w:val="0"/>
                <w:lang w:val="es-CO"/>
              </w:rPr>
              <w:t>B.2. La afectación del derecho a la integridad personal del señor José Luis Hernández</w:t>
            </w:r>
            <w:r w:rsidR="00626FF4" w:rsidRPr="00CE4648">
              <w:rPr>
                <w:b w:val="0"/>
                <w:webHidden/>
              </w:rPr>
              <w:tab/>
            </w:r>
            <w:r w:rsidR="00626FF4" w:rsidRPr="00CE4648">
              <w:rPr>
                <w:b w:val="0"/>
                <w:webHidden/>
              </w:rPr>
              <w:fldChar w:fldCharType="begin"/>
            </w:r>
            <w:r w:rsidR="00626FF4" w:rsidRPr="00CE4648">
              <w:rPr>
                <w:b w:val="0"/>
                <w:webHidden/>
              </w:rPr>
              <w:instrText xml:space="preserve"> PAGEREF _Toc27509171 \h </w:instrText>
            </w:r>
            <w:r w:rsidR="00626FF4" w:rsidRPr="00CE4648">
              <w:rPr>
                <w:b w:val="0"/>
                <w:webHidden/>
              </w:rPr>
            </w:r>
            <w:r w:rsidR="00626FF4" w:rsidRPr="00CE4648">
              <w:rPr>
                <w:b w:val="0"/>
                <w:webHidden/>
              </w:rPr>
              <w:fldChar w:fldCharType="separate"/>
            </w:r>
            <w:r w:rsidR="00F11983">
              <w:rPr>
                <w:b w:val="0"/>
                <w:webHidden/>
              </w:rPr>
              <w:t>20</w:t>
            </w:r>
            <w:r w:rsidR="00626FF4" w:rsidRPr="00CE4648">
              <w:rPr>
                <w:b w:val="0"/>
                <w:webHidden/>
              </w:rPr>
              <w:fldChar w:fldCharType="end"/>
            </w:r>
          </w:hyperlink>
        </w:p>
        <w:p w14:paraId="5048165B" w14:textId="3259AE95" w:rsidR="00626FF4" w:rsidRPr="00CE4648" w:rsidRDefault="00CE4648">
          <w:pPr>
            <w:pStyle w:val="TDC3"/>
            <w:rPr>
              <w:rFonts w:asciiTheme="minorHAnsi" w:eastAsiaTheme="minorEastAsia" w:hAnsiTheme="minorHAnsi"/>
              <w:b w:val="0"/>
              <w:i w:val="0"/>
              <w:iCs w:val="0"/>
              <w:sz w:val="22"/>
              <w:szCs w:val="22"/>
              <w:lang w:val="es-CR" w:eastAsia="es-CR"/>
            </w:rPr>
          </w:pPr>
          <w:r w:rsidRPr="00CE4648">
            <w:rPr>
              <w:rStyle w:val="Hipervnculo"/>
              <w:b w:val="0"/>
              <w:u w:val="none"/>
            </w:rPr>
            <w:tab/>
          </w:r>
          <w:hyperlink w:anchor="_Toc27509172" w:history="1">
            <w:r w:rsidR="00626FF4" w:rsidRPr="00CE4648">
              <w:rPr>
                <w:rStyle w:val="Hipervnculo"/>
                <w:b w:val="0"/>
                <w:lang w:val="es-CO"/>
              </w:rPr>
              <w:t>B.3. El derecho a la salud</w:t>
            </w:r>
            <w:r w:rsidR="00626FF4" w:rsidRPr="00CE4648">
              <w:rPr>
                <w:b w:val="0"/>
                <w:webHidden/>
              </w:rPr>
              <w:tab/>
            </w:r>
            <w:r w:rsidR="00626FF4" w:rsidRPr="00CE4648">
              <w:rPr>
                <w:b w:val="0"/>
                <w:webHidden/>
              </w:rPr>
              <w:fldChar w:fldCharType="begin"/>
            </w:r>
            <w:r w:rsidR="00626FF4" w:rsidRPr="00CE4648">
              <w:rPr>
                <w:b w:val="0"/>
                <w:webHidden/>
              </w:rPr>
              <w:instrText xml:space="preserve"> PAGEREF _Toc27509172 \h </w:instrText>
            </w:r>
            <w:r w:rsidR="00626FF4" w:rsidRPr="00CE4648">
              <w:rPr>
                <w:b w:val="0"/>
                <w:webHidden/>
              </w:rPr>
            </w:r>
            <w:r w:rsidR="00626FF4" w:rsidRPr="00CE4648">
              <w:rPr>
                <w:b w:val="0"/>
                <w:webHidden/>
              </w:rPr>
              <w:fldChar w:fldCharType="separate"/>
            </w:r>
            <w:r w:rsidR="00F11983">
              <w:rPr>
                <w:b w:val="0"/>
                <w:webHidden/>
              </w:rPr>
              <w:t>21</w:t>
            </w:r>
            <w:r w:rsidR="00626FF4" w:rsidRPr="00CE4648">
              <w:rPr>
                <w:b w:val="0"/>
                <w:webHidden/>
              </w:rPr>
              <w:fldChar w:fldCharType="end"/>
            </w:r>
          </w:hyperlink>
        </w:p>
        <w:p w14:paraId="788E8875" w14:textId="3F5614F7" w:rsidR="00626FF4" w:rsidRPr="00CE4648" w:rsidRDefault="00CE4648">
          <w:pPr>
            <w:pStyle w:val="TDC3"/>
            <w:rPr>
              <w:rFonts w:asciiTheme="minorHAnsi" w:eastAsiaTheme="minorEastAsia" w:hAnsiTheme="minorHAnsi"/>
              <w:b w:val="0"/>
              <w:i w:val="0"/>
              <w:iCs w:val="0"/>
              <w:sz w:val="22"/>
              <w:szCs w:val="22"/>
              <w:lang w:val="es-CR" w:eastAsia="es-CR"/>
            </w:rPr>
          </w:pPr>
          <w:r w:rsidRPr="00CE4648">
            <w:rPr>
              <w:rStyle w:val="Hipervnculo"/>
              <w:b w:val="0"/>
              <w:u w:val="none"/>
            </w:rPr>
            <w:tab/>
          </w:r>
          <w:hyperlink w:anchor="_Toc27509173" w:history="1">
            <w:r w:rsidR="00626FF4" w:rsidRPr="00CE4648">
              <w:rPr>
                <w:rStyle w:val="Hipervnculo"/>
                <w:b w:val="0"/>
                <w:lang w:val="es-CO"/>
              </w:rPr>
              <w:t>B.4. La afectación del derecho a la salud del señor José Luis Hernández</w:t>
            </w:r>
            <w:r w:rsidR="00626FF4" w:rsidRPr="00CE4648">
              <w:rPr>
                <w:b w:val="0"/>
                <w:webHidden/>
              </w:rPr>
              <w:tab/>
            </w:r>
            <w:r w:rsidR="00626FF4" w:rsidRPr="00CE4648">
              <w:rPr>
                <w:b w:val="0"/>
                <w:webHidden/>
              </w:rPr>
              <w:fldChar w:fldCharType="begin"/>
            </w:r>
            <w:r w:rsidR="00626FF4" w:rsidRPr="00CE4648">
              <w:rPr>
                <w:b w:val="0"/>
                <w:webHidden/>
              </w:rPr>
              <w:instrText xml:space="preserve"> PAGEREF _Toc27509173 \h </w:instrText>
            </w:r>
            <w:r w:rsidR="00626FF4" w:rsidRPr="00CE4648">
              <w:rPr>
                <w:b w:val="0"/>
                <w:webHidden/>
              </w:rPr>
            </w:r>
            <w:r w:rsidR="00626FF4" w:rsidRPr="00CE4648">
              <w:rPr>
                <w:b w:val="0"/>
                <w:webHidden/>
              </w:rPr>
              <w:fldChar w:fldCharType="separate"/>
            </w:r>
            <w:r w:rsidR="00F11983">
              <w:rPr>
                <w:b w:val="0"/>
                <w:webHidden/>
              </w:rPr>
              <w:t>30</w:t>
            </w:r>
            <w:r w:rsidR="00626FF4" w:rsidRPr="00CE4648">
              <w:rPr>
                <w:b w:val="0"/>
                <w:webHidden/>
              </w:rPr>
              <w:fldChar w:fldCharType="end"/>
            </w:r>
          </w:hyperlink>
        </w:p>
        <w:p w14:paraId="0F15E3D2" w14:textId="15569C00" w:rsidR="00626FF4" w:rsidRPr="00CE4648" w:rsidRDefault="00CE4648">
          <w:pPr>
            <w:pStyle w:val="TDC3"/>
            <w:rPr>
              <w:rFonts w:asciiTheme="minorHAnsi" w:eastAsiaTheme="minorEastAsia" w:hAnsiTheme="minorHAnsi"/>
              <w:b w:val="0"/>
              <w:i w:val="0"/>
              <w:iCs w:val="0"/>
              <w:sz w:val="22"/>
              <w:szCs w:val="22"/>
              <w:lang w:val="es-CR" w:eastAsia="es-CR"/>
            </w:rPr>
          </w:pPr>
          <w:r w:rsidRPr="00CE4648">
            <w:rPr>
              <w:rStyle w:val="Hipervnculo"/>
              <w:b w:val="0"/>
              <w:u w:val="none"/>
            </w:rPr>
            <w:tab/>
          </w:r>
          <w:hyperlink w:anchor="_Toc27509174" w:history="1">
            <w:r w:rsidR="00626FF4" w:rsidRPr="00CE4648">
              <w:rPr>
                <w:rStyle w:val="Hipervnculo"/>
                <w:b w:val="0"/>
                <w:lang w:val="es-CO"/>
              </w:rPr>
              <w:t>B.5. Conclusión</w:t>
            </w:r>
            <w:r w:rsidR="00626FF4" w:rsidRPr="00CE4648">
              <w:rPr>
                <w:b w:val="0"/>
                <w:webHidden/>
              </w:rPr>
              <w:tab/>
            </w:r>
            <w:r w:rsidR="00626FF4" w:rsidRPr="00CE4648">
              <w:rPr>
                <w:b w:val="0"/>
                <w:webHidden/>
              </w:rPr>
              <w:fldChar w:fldCharType="begin"/>
            </w:r>
            <w:r w:rsidR="00626FF4" w:rsidRPr="00CE4648">
              <w:rPr>
                <w:b w:val="0"/>
                <w:webHidden/>
              </w:rPr>
              <w:instrText xml:space="preserve"> PAGEREF _Toc27509174 \h </w:instrText>
            </w:r>
            <w:r w:rsidR="00626FF4" w:rsidRPr="00CE4648">
              <w:rPr>
                <w:b w:val="0"/>
                <w:webHidden/>
              </w:rPr>
            </w:r>
            <w:r w:rsidR="00626FF4" w:rsidRPr="00CE4648">
              <w:rPr>
                <w:b w:val="0"/>
                <w:webHidden/>
              </w:rPr>
              <w:fldChar w:fldCharType="separate"/>
            </w:r>
            <w:r w:rsidR="00F11983">
              <w:rPr>
                <w:b w:val="0"/>
                <w:webHidden/>
              </w:rPr>
              <w:t>34</w:t>
            </w:r>
            <w:r w:rsidR="00626FF4" w:rsidRPr="00CE4648">
              <w:rPr>
                <w:b w:val="0"/>
                <w:webHidden/>
              </w:rPr>
              <w:fldChar w:fldCharType="end"/>
            </w:r>
          </w:hyperlink>
        </w:p>
        <w:p w14:paraId="55D1B7BE" w14:textId="68973030" w:rsidR="00626FF4" w:rsidRDefault="00BE2A68">
          <w:pPr>
            <w:pStyle w:val="TDC2"/>
            <w:rPr>
              <w:rFonts w:asciiTheme="minorHAnsi" w:eastAsiaTheme="minorEastAsia" w:hAnsiTheme="minorHAnsi" w:cstheme="minorBidi"/>
              <w:b w:val="0"/>
              <w:bCs w:val="0"/>
              <w:i w:val="0"/>
              <w:smallCaps w:val="0"/>
              <w:sz w:val="22"/>
              <w:szCs w:val="22"/>
              <w:lang w:val="es-CR"/>
            </w:rPr>
          </w:pPr>
          <w:hyperlink w:anchor="_Toc27509175" w:history="1">
            <w:r w:rsidR="00626FF4" w:rsidRPr="005E3955">
              <w:rPr>
                <w:rStyle w:val="Hipervnculo"/>
                <w:rFonts w:eastAsia="Times New Roman" w:cs="Verdana"/>
                <w:caps/>
                <w:snapToGrid w:val="0"/>
                <w:lang w:val="es-ES_tradnl"/>
              </w:rPr>
              <w:t xml:space="preserve">VII-2 </w:t>
            </w:r>
            <w:r w:rsidR="00626FF4" w:rsidRPr="005E3955">
              <w:rPr>
                <w:rStyle w:val="Hipervnculo"/>
              </w:rPr>
              <w:t>DERECHO</w:t>
            </w:r>
            <w:r w:rsidR="00CE6C26">
              <w:rPr>
                <w:rStyle w:val="Hipervnculo"/>
              </w:rPr>
              <w:t>S</w:t>
            </w:r>
            <w:r w:rsidR="00626FF4" w:rsidRPr="005E3955">
              <w:rPr>
                <w:rStyle w:val="Hipervnculo"/>
              </w:rPr>
              <w:t xml:space="preserve"> A LA LIBERTAD PERSONAL Y A LA PRESUNCIÓN DE INOCENCIA</w:t>
            </w:r>
            <w:r w:rsidR="00626FF4">
              <w:rPr>
                <w:webHidden/>
              </w:rPr>
              <w:tab/>
            </w:r>
            <w:r w:rsidR="00626FF4">
              <w:rPr>
                <w:webHidden/>
              </w:rPr>
              <w:fldChar w:fldCharType="begin"/>
            </w:r>
            <w:r w:rsidR="00626FF4">
              <w:rPr>
                <w:webHidden/>
              </w:rPr>
              <w:instrText xml:space="preserve"> PAGEREF _Toc27509175 \h </w:instrText>
            </w:r>
            <w:r w:rsidR="00626FF4">
              <w:rPr>
                <w:webHidden/>
              </w:rPr>
            </w:r>
            <w:r w:rsidR="00626FF4">
              <w:rPr>
                <w:webHidden/>
              </w:rPr>
              <w:fldChar w:fldCharType="separate"/>
            </w:r>
            <w:r w:rsidR="00F11983">
              <w:rPr>
                <w:webHidden/>
              </w:rPr>
              <w:t>34</w:t>
            </w:r>
            <w:r w:rsidR="00626FF4">
              <w:rPr>
                <w:webHidden/>
              </w:rPr>
              <w:fldChar w:fldCharType="end"/>
            </w:r>
          </w:hyperlink>
        </w:p>
        <w:p w14:paraId="6982E6A9" w14:textId="7A2E6D0E" w:rsidR="00626FF4" w:rsidRPr="00CE4648" w:rsidRDefault="00BE2A68" w:rsidP="00CE4648">
          <w:pPr>
            <w:pStyle w:val="TDC3"/>
            <w:tabs>
              <w:tab w:val="clear" w:pos="1100"/>
              <w:tab w:val="left" w:pos="851"/>
            </w:tabs>
            <w:ind w:left="142"/>
            <w:rPr>
              <w:rFonts w:asciiTheme="minorHAnsi" w:eastAsiaTheme="minorEastAsia" w:hAnsiTheme="minorHAnsi"/>
              <w:b w:val="0"/>
              <w:i w:val="0"/>
              <w:iCs w:val="0"/>
              <w:sz w:val="22"/>
              <w:szCs w:val="22"/>
              <w:lang w:val="es-CR" w:eastAsia="es-CR"/>
            </w:rPr>
          </w:pPr>
          <w:hyperlink w:anchor="_Toc27509176" w:history="1">
            <w:r w:rsidR="00626FF4" w:rsidRPr="00CE4648">
              <w:rPr>
                <w:rStyle w:val="Hipervnculo"/>
                <w:b w:val="0"/>
              </w:rPr>
              <w:t>A.</w:t>
            </w:r>
            <w:r w:rsidR="00626FF4" w:rsidRPr="00CE4648">
              <w:rPr>
                <w:rFonts w:asciiTheme="minorHAnsi" w:eastAsiaTheme="minorEastAsia" w:hAnsiTheme="minorHAnsi"/>
                <w:b w:val="0"/>
                <w:i w:val="0"/>
                <w:iCs w:val="0"/>
                <w:sz w:val="22"/>
                <w:szCs w:val="22"/>
                <w:lang w:val="es-CR" w:eastAsia="es-CR"/>
              </w:rPr>
              <w:tab/>
            </w:r>
            <w:r w:rsidR="00626FF4" w:rsidRPr="00CE4648">
              <w:rPr>
                <w:rStyle w:val="Hipervnculo"/>
                <w:b w:val="0"/>
              </w:rPr>
              <w:t>Argumentos de la Comisión y de las partes</w:t>
            </w:r>
            <w:r w:rsidR="00626FF4" w:rsidRPr="00CE4648">
              <w:rPr>
                <w:b w:val="0"/>
                <w:webHidden/>
              </w:rPr>
              <w:tab/>
            </w:r>
            <w:r w:rsidR="00626FF4" w:rsidRPr="00CE4648">
              <w:rPr>
                <w:b w:val="0"/>
                <w:webHidden/>
              </w:rPr>
              <w:fldChar w:fldCharType="begin"/>
            </w:r>
            <w:r w:rsidR="00626FF4" w:rsidRPr="00CE4648">
              <w:rPr>
                <w:b w:val="0"/>
                <w:webHidden/>
              </w:rPr>
              <w:instrText xml:space="preserve"> PAGEREF _Toc27509176 \h </w:instrText>
            </w:r>
            <w:r w:rsidR="00626FF4" w:rsidRPr="00CE4648">
              <w:rPr>
                <w:b w:val="0"/>
                <w:webHidden/>
              </w:rPr>
            </w:r>
            <w:r w:rsidR="00626FF4" w:rsidRPr="00CE4648">
              <w:rPr>
                <w:b w:val="0"/>
                <w:webHidden/>
              </w:rPr>
              <w:fldChar w:fldCharType="separate"/>
            </w:r>
            <w:r w:rsidR="00F11983">
              <w:rPr>
                <w:b w:val="0"/>
                <w:webHidden/>
              </w:rPr>
              <w:t>34</w:t>
            </w:r>
            <w:r w:rsidR="00626FF4" w:rsidRPr="00CE4648">
              <w:rPr>
                <w:b w:val="0"/>
                <w:webHidden/>
              </w:rPr>
              <w:fldChar w:fldCharType="end"/>
            </w:r>
          </w:hyperlink>
        </w:p>
        <w:p w14:paraId="5DD7DE26" w14:textId="3298D0D7" w:rsidR="00626FF4" w:rsidRPr="00CE4648" w:rsidRDefault="00BE2A68" w:rsidP="00CE4648">
          <w:pPr>
            <w:pStyle w:val="TDC3"/>
            <w:tabs>
              <w:tab w:val="clear" w:pos="1100"/>
              <w:tab w:val="left" w:pos="851"/>
            </w:tabs>
            <w:ind w:left="142"/>
            <w:rPr>
              <w:rFonts w:asciiTheme="minorHAnsi" w:eastAsiaTheme="minorEastAsia" w:hAnsiTheme="minorHAnsi"/>
              <w:b w:val="0"/>
              <w:i w:val="0"/>
              <w:iCs w:val="0"/>
              <w:sz w:val="22"/>
              <w:szCs w:val="22"/>
              <w:lang w:val="es-CR" w:eastAsia="es-CR"/>
            </w:rPr>
          </w:pPr>
          <w:hyperlink w:anchor="_Toc27509177" w:history="1">
            <w:r w:rsidR="00626FF4" w:rsidRPr="00CE4648">
              <w:rPr>
                <w:rStyle w:val="Hipervnculo"/>
                <w:b w:val="0"/>
              </w:rPr>
              <w:t>B.</w:t>
            </w:r>
            <w:r w:rsidR="00626FF4" w:rsidRPr="00CE4648">
              <w:rPr>
                <w:rFonts w:asciiTheme="minorHAnsi" w:eastAsiaTheme="minorEastAsia" w:hAnsiTheme="minorHAnsi"/>
                <w:b w:val="0"/>
                <w:i w:val="0"/>
                <w:iCs w:val="0"/>
                <w:sz w:val="22"/>
                <w:szCs w:val="22"/>
                <w:lang w:val="es-CR" w:eastAsia="es-CR"/>
              </w:rPr>
              <w:tab/>
            </w:r>
            <w:r w:rsidR="00626FF4" w:rsidRPr="00CE4648">
              <w:rPr>
                <w:rStyle w:val="Hipervnculo"/>
                <w:b w:val="0"/>
              </w:rPr>
              <w:t>Consideraciones de la Corte</w:t>
            </w:r>
            <w:r w:rsidR="00626FF4" w:rsidRPr="00CE4648">
              <w:rPr>
                <w:b w:val="0"/>
                <w:webHidden/>
              </w:rPr>
              <w:tab/>
            </w:r>
            <w:r w:rsidR="00626FF4" w:rsidRPr="00CE4648">
              <w:rPr>
                <w:b w:val="0"/>
                <w:webHidden/>
              </w:rPr>
              <w:fldChar w:fldCharType="begin"/>
            </w:r>
            <w:r w:rsidR="00626FF4" w:rsidRPr="00CE4648">
              <w:rPr>
                <w:b w:val="0"/>
                <w:webHidden/>
              </w:rPr>
              <w:instrText xml:space="preserve"> PAGEREF _Toc27509177 \h </w:instrText>
            </w:r>
            <w:r w:rsidR="00626FF4" w:rsidRPr="00CE4648">
              <w:rPr>
                <w:b w:val="0"/>
                <w:webHidden/>
              </w:rPr>
            </w:r>
            <w:r w:rsidR="00626FF4" w:rsidRPr="00CE4648">
              <w:rPr>
                <w:b w:val="0"/>
                <w:webHidden/>
              </w:rPr>
              <w:fldChar w:fldCharType="separate"/>
            </w:r>
            <w:r w:rsidR="00F11983">
              <w:rPr>
                <w:b w:val="0"/>
                <w:webHidden/>
              </w:rPr>
              <w:t>35</w:t>
            </w:r>
            <w:r w:rsidR="00626FF4" w:rsidRPr="00CE4648">
              <w:rPr>
                <w:b w:val="0"/>
                <w:webHidden/>
              </w:rPr>
              <w:fldChar w:fldCharType="end"/>
            </w:r>
          </w:hyperlink>
        </w:p>
        <w:p w14:paraId="3D724234" w14:textId="63125B95" w:rsidR="00626FF4" w:rsidRDefault="00BE2A68">
          <w:pPr>
            <w:pStyle w:val="TDC2"/>
            <w:rPr>
              <w:rFonts w:asciiTheme="minorHAnsi" w:eastAsiaTheme="minorEastAsia" w:hAnsiTheme="minorHAnsi" w:cstheme="minorBidi"/>
              <w:b w:val="0"/>
              <w:bCs w:val="0"/>
              <w:i w:val="0"/>
              <w:smallCaps w:val="0"/>
              <w:sz w:val="22"/>
              <w:szCs w:val="22"/>
              <w:lang w:val="es-CR"/>
            </w:rPr>
          </w:pPr>
          <w:hyperlink w:anchor="_Toc27509178" w:history="1">
            <w:r w:rsidR="00626FF4" w:rsidRPr="005E3955">
              <w:rPr>
                <w:rStyle w:val="Hipervnculo"/>
                <w:rFonts w:eastAsia="Times New Roman" w:cs="Verdana"/>
                <w:caps/>
                <w:snapToGrid w:val="0"/>
                <w:lang w:val="es-ES_tradnl"/>
              </w:rPr>
              <w:t xml:space="preserve">VII-3 </w:t>
            </w:r>
            <w:r w:rsidR="00626FF4" w:rsidRPr="005E3955">
              <w:rPr>
                <w:rStyle w:val="Hipervnculo"/>
              </w:rPr>
              <w:t>DERECHO</w:t>
            </w:r>
            <w:r w:rsidR="00CE6C26">
              <w:rPr>
                <w:rStyle w:val="Hipervnculo"/>
              </w:rPr>
              <w:t>S</w:t>
            </w:r>
            <w:r w:rsidR="00626FF4" w:rsidRPr="005E3955">
              <w:rPr>
                <w:rStyle w:val="Hipervnculo"/>
              </w:rPr>
              <w:t xml:space="preserve"> A LAS GARANTÍAS JUDICIALES Y A LA PROTECCIÓN JUDICIAL</w:t>
            </w:r>
            <w:r w:rsidR="00626FF4">
              <w:rPr>
                <w:webHidden/>
              </w:rPr>
              <w:tab/>
            </w:r>
            <w:r w:rsidR="00626FF4">
              <w:rPr>
                <w:webHidden/>
              </w:rPr>
              <w:fldChar w:fldCharType="begin"/>
            </w:r>
            <w:r w:rsidR="00626FF4">
              <w:rPr>
                <w:webHidden/>
              </w:rPr>
              <w:instrText xml:space="preserve"> PAGEREF _Toc27509178 \h </w:instrText>
            </w:r>
            <w:r w:rsidR="00626FF4">
              <w:rPr>
                <w:webHidden/>
              </w:rPr>
            </w:r>
            <w:r w:rsidR="00626FF4">
              <w:rPr>
                <w:webHidden/>
              </w:rPr>
              <w:fldChar w:fldCharType="separate"/>
            </w:r>
            <w:r w:rsidR="00F11983">
              <w:rPr>
                <w:webHidden/>
              </w:rPr>
              <w:t>41</w:t>
            </w:r>
            <w:r w:rsidR="00626FF4">
              <w:rPr>
                <w:webHidden/>
              </w:rPr>
              <w:fldChar w:fldCharType="end"/>
            </w:r>
          </w:hyperlink>
        </w:p>
        <w:p w14:paraId="63629C08" w14:textId="6B7C250C" w:rsidR="00626FF4" w:rsidRPr="00CE4648" w:rsidRDefault="00BE2A68" w:rsidP="00CE4648">
          <w:pPr>
            <w:pStyle w:val="TDC3"/>
            <w:tabs>
              <w:tab w:val="clear" w:pos="1100"/>
              <w:tab w:val="left" w:pos="851"/>
            </w:tabs>
            <w:ind w:left="142"/>
            <w:rPr>
              <w:rFonts w:asciiTheme="minorHAnsi" w:eastAsiaTheme="minorEastAsia" w:hAnsiTheme="minorHAnsi"/>
              <w:b w:val="0"/>
              <w:i w:val="0"/>
              <w:iCs w:val="0"/>
              <w:sz w:val="22"/>
              <w:szCs w:val="22"/>
              <w:lang w:val="es-CR" w:eastAsia="es-CR"/>
            </w:rPr>
          </w:pPr>
          <w:hyperlink w:anchor="_Toc27509179" w:history="1">
            <w:r w:rsidR="00626FF4" w:rsidRPr="00CE4648">
              <w:rPr>
                <w:rStyle w:val="Hipervnculo"/>
                <w:rFonts w:cs="Verdana"/>
                <w:b w:val="0"/>
                <w:lang w:val="es-ES"/>
              </w:rPr>
              <w:t>A.</w:t>
            </w:r>
            <w:r w:rsidR="00626FF4" w:rsidRPr="00CE4648">
              <w:rPr>
                <w:rFonts w:asciiTheme="minorHAnsi" w:eastAsiaTheme="minorEastAsia" w:hAnsiTheme="minorHAnsi"/>
                <w:b w:val="0"/>
                <w:i w:val="0"/>
                <w:iCs w:val="0"/>
                <w:sz w:val="22"/>
                <w:szCs w:val="22"/>
                <w:lang w:val="es-CR" w:eastAsia="es-CR"/>
              </w:rPr>
              <w:tab/>
            </w:r>
            <w:r w:rsidR="00626FF4" w:rsidRPr="00CE4648">
              <w:rPr>
                <w:rStyle w:val="Hipervnculo"/>
                <w:rFonts w:cs="Verdana"/>
                <w:b w:val="0"/>
                <w:lang w:val="es-ES"/>
              </w:rPr>
              <w:t>Argumentos de la Comisión y de las partes</w:t>
            </w:r>
            <w:r w:rsidR="00626FF4" w:rsidRPr="00CE4648">
              <w:rPr>
                <w:b w:val="0"/>
                <w:webHidden/>
              </w:rPr>
              <w:tab/>
            </w:r>
            <w:r w:rsidR="00626FF4" w:rsidRPr="00CE4648">
              <w:rPr>
                <w:b w:val="0"/>
                <w:webHidden/>
              </w:rPr>
              <w:fldChar w:fldCharType="begin"/>
            </w:r>
            <w:r w:rsidR="00626FF4" w:rsidRPr="00CE4648">
              <w:rPr>
                <w:b w:val="0"/>
                <w:webHidden/>
              </w:rPr>
              <w:instrText xml:space="preserve"> PAGEREF _Toc27509179 \h </w:instrText>
            </w:r>
            <w:r w:rsidR="00626FF4" w:rsidRPr="00CE4648">
              <w:rPr>
                <w:b w:val="0"/>
                <w:webHidden/>
              </w:rPr>
            </w:r>
            <w:r w:rsidR="00626FF4" w:rsidRPr="00CE4648">
              <w:rPr>
                <w:b w:val="0"/>
                <w:webHidden/>
              </w:rPr>
              <w:fldChar w:fldCharType="separate"/>
            </w:r>
            <w:r w:rsidR="00F11983">
              <w:rPr>
                <w:b w:val="0"/>
                <w:webHidden/>
              </w:rPr>
              <w:t>41</w:t>
            </w:r>
            <w:r w:rsidR="00626FF4" w:rsidRPr="00CE4648">
              <w:rPr>
                <w:b w:val="0"/>
                <w:webHidden/>
              </w:rPr>
              <w:fldChar w:fldCharType="end"/>
            </w:r>
          </w:hyperlink>
        </w:p>
        <w:p w14:paraId="5908C243" w14:textId="470AC0DA" w:rsidR="00626FF4" w:rsidRPr="00CE4648" w:rsidRDefault="00BE2A68" w:rsidP="00CE4648">
          <w:pPr>
            <w:pStyle w:val="TDC3"/>
            <w:tabs>
              <w:tab w:val="clear" w:pos="1100"/>
              <w:tab w:val="left" w:pos="851"/>
            </w:tabs>
            <w:ind w:left="142"/>
            <w:rPr>
              <w:rFonts w:asciiTheme="minorHAnsi" w:eastAsiaTheme="minorEastAsia" w:hAnsiTheme="minorHAnsi"/>
              <w:b w:val="0"/>
              <w:i w:val="0"/>
              <w:iCs w:val="0"/>
              <w:sz w:val="22"/>
              <w:szCs w:val="22"/>
              <w:lang w:val="es-CR" w:eastAsia="es-CR"/>
            </w:rPr>
          </w:pPr>
          <w:hyperlink w:anchor="_Toc27509180" w:history="1">
            <w:r w:rsidR="00626FF4" w:rsidRPr="00CE4648">
              <w:rPr>
                <w:rStyle w:val="Hipervnculo"/>
                <w:rFonts w:cs="Verdana"/>
                <w:b w:val="0"/>
                <w:lang w:val="es-ES"/>
              </w:rPr>
              <w:t>B.</w:t>
            </w:r>
            <w:r w:rsidR="00626FF4" w:rsidRPr="00CE4648">
              <w:rPr>
                <w:rFonts w:asciiTheme="minorHAnsi" w:eastAsiaTheme="minorEastAsia" w:hAnsiTheme="minorHAnsi"/>
                <w:b w:val="0"/>
                <w:i w:val="0"/>
                <w:iCs w:val="0"/>
                <w:sz w:val="22"/>
                <w:szCs w:val="22"/>
                <w:lang w:val="es-CR" w:eastAsia="es-CR"/>
              </w:rPr>
              <w:tab/>
            </w:r>
            <w:r w:rsidR="00626FF4" w:rsidRPr="00CE4648">
              <w:rPr>
                <w:rStyle w:val="Hipervnculo"/>
                <w:rFonts w:cs="Verdana"/>
                <w:b w:val="0"/>
                <w:lang w:val="es-ES"/>
              </w:rPr>
              <w:t>Consideraciones de la Corte</w:t>
            </w:r>
            <w:r w:rsidR="00626FF4" w:rsidRPr="00CE4648">
              <w:rPr>
                <w:b w:val="0"/>
                <w:webHidden/>
              </w:rPr>
              <w:tab/>
            </w:r>
            <w:r w:rsidR="00626FF4" w:rsidRPr="00CE4648">
              <w:rPr>
                <w:b w:val="0"/>
                <w:webHidden/>
              </w:rPr>
              <w:fldChar w:fldCharType="begin"/>
            </w:r>
            <w:r w:rsidR="00626FF4" w:rsidRPr="00CE4648">
              <w:rPr>
                <w:b w:val="0"/>
                <w:webHidden/>
              </w:rPr>
              <w:instrText xml:space="preserve"> PAGEREF _Toc27509180 \h </w:instrText>
            </w:r>
            <w:r w:rsidR="00626FF4" w:rsidRPr="00CE4648">
              <w:rPr>
                <w:b w:val="0"/>
                <w:webHidden/>
              </w:rPr>
            </w:r>
            <w:r w:rsidR="00626FF4" w:rsidRPr="00CE4648">
              <w:rPr>
                <w:b w:val="0"/>
                <w:webHidden/>
              </w:rPr>
              <w:fldChar w:fldCharType="separate"/>
            </w:r>
            <w:r w:rsidR="00F11983">
              <w:rPr>
                <w:b w:val="0"/>
                <w:webHidden/>
              </w:rPr>
              <w:t>42</w:t>
            </w:r>
            <w:r w:rsidR="00626FF4" w:rsidRPr="00CE4648">
              <w:rPr>
                <w:b w:val="0"/>
                <w:webHidden/>
              </w:rPr>
              <w:fldChar w:fldCharType="end"/>
            </w:r>
          </w:hyperlink>
        </w:p>
        <w:p w14:paraId="401158A2" w14:textId="33EAD76B" w:rsidR="00626FF4" w:rsidRPr="00CE4648" w:rsidRDefault="00CE4648">
          <w:pPr>
            <w:pStyle w:val="TDC3"/>
            <w:rPr>
              <w:rFonts w:asciiTheme="minorHAnsi" w:eastAsiaTheme="minorEastAsia" w:hAnsiTheme="minorHAnsi"/>
              <w:b w:val="0"/>
              <w:i w:val="0"/>
              <w:iCs w:val="0"/>
              <w:sz w:val="22"/>
              <w:szCs w:val="22"/>
              <w:lang w:val="es-CR" w:eastAsia="es-CR"/>
            </w:rPr>
          </w:pPr>
          <w:r w:rsidRPr="00CE4648">
            <w:rPr>
              <w:rStyle w:val="Hipervnculo"/>
              <w:b w:val="0"/>
              <w:u w:val="none"/>
            </w:rPr>
            <w:tab/>
          </w:r>
          <w:hyperlink w:anchor="_Toc27509181" w:history="1">
            <w:r w:rsidR="00626FF4" w:rsidRPr="00CE4648">
              <w:rPr>
                <w:rStyle w:val="Hipervnculo"/>
                <w:b w:val="0"/>
                <w:lang w:val="es-ES"/>
              </w:rPr>
              <w:t>B.1. Respecto de las denuncias de la madre del señor Hernández</w:t>
            </w:r>
            <w:r w:rsidR="00626FF4" w:rsidRPr="00CE4648">
              <w:rPr>
                <w:b w:val="0"/>
                <w:webHidden/>
              </w:rPr>
              <w:tab/>
            </w:r>
            <w:r w:rsidR="00626FF4" w:rsidRPr="00CE4648">
              <w:rPr>
                <w:b w:val="0"/>
                <w:webHidden/>
              </w:rPr>
              <w:fldChar w:fldCharType="begin"/>
            </w:r>
            <w:r w:rsidR="00626FF4" w:rsidRPr="00CE4648">
              <w:rPr>
                <w:b w:val="0"/>
                <w:webHidden/>
              </w:rPr>
              <w:instrText xml:space="preserve"> PAGEREF _Toc27509181 \h </w:instrText>
            </w:r>
            <w:r w:rsidR="00626FF4" w:rsidRPr="00CE4648">
              <w:rPr>
                <w:b w:val="0"/>
                <w:webHidden/>
              </w:rPr>
            </w:r>
            <w:r w:rsidR="00626FF4" w:rsidRPr="00CE4648">
              <w:rPr>
                <w:b w:val="0"/>
                <w:webHidden/>
              </w:rPr>
              <w:fldChar w:fldCharType="separate"/>
            </w:r>
            <w:r w:rsidR="00F11983">
              <w:rPr>
                <w:b w:val="0"/>
                <w:webHidden/>
              </w:rPr>
              <w:t>43</w:t>
            </w:r>
            <w:r w:rsidR="00626FF4" w:rsidRPr="00CE4648">
              <w:rPr>
                <w:b w:val="0"/>
                <w:webHidden/>
              </w:rPr>
              <w:fldChar w:fldCharType="end"/>
            </w:r>
          </w:hyperlink>
        </w:p>
        <w:p w14:paraId="748225F3" w14:textId="46E0AAE0" w:rsidR="00626FF4" w:rsidRPr="00CE4648" w:rsidRDefault="00CE4648">
          <w:pPr>
            <w:pStyle w:val="TDC3"/>
            <w:rPr>
              <w:rFonts w:asciiTheme="minorHAnsi" w:eastAsiaTheme="minorEastAsia" w:hAnsiTheme="minorHAnsi"/>
              <w:b w:val="0"/>
              <w:i w:val="0"/>
              <w:iCs w:val="0"/>
              <w:sz w:val="22"/>
              <w:szCs w:val="22"/>
              <w:lang w:val="es-CR" w:eastAsia="es-CR"/>
            </w:rPr>
          </w:pPr>
          <w:r w:rsidRPr="00CE4648">
            <w:rPr>
              <w:rStyle w:val="Hipervnculo"/>
              <w:b w:val="0"/>
              <w:u w:val="none"/>
            </w:rPr>
            <w:tab/>
          </w:r>
          <w:hyperlink w:anchor="_Toc27509182" w:history="1">
            <w:r w:rsidR="00626FF4" w:rsidRPr="00CE4648">
              <w:rPr>
                <w:rStyle w:val="Hipervnculo"/>
                <w:b w:val="0"/>
                <w:lang w:val="es-ES"/>
              </w:rPr>
              <w:t>B.2. Respecto de la solicitud de excarcelación extraordinaria</w:t>
            </w:r>
            <w:r w:rsidR="00626FF4" w:rsidRPr="00CE4648">
              <w:rPr>
                <w:b w:val="0"/>
                <w:webHidden/>
              </w:rPr>
              <w:tab/>
            </w:r>
            <w:r w:rsidR="00626FF4" w:rsidRPr="00CE4648">
              <w:rPr>
                <w:b w:val="0"/>
                <w:webHidden/>
              </w:rPr>
              <w:fldChar w:fldCharType="begin"/>
            </w:r>
            <w:r w:rsidR="00626FF4" w:rsidRPr="00CE4648">
              <w:rPr>
                <w:b w:val="0"/>
                <w:webHidden/>
              </w:rPr>
              <w:instrText xml:space="preserve"> PAGEREF _Toc27509182 \h </w:instrText>
            </w:r>
            <w:r w:rsidR="00626FF4" w:rsidRPr="00CE4648">
              <w:rPr>
                <w:b w:val="0"/>
                <w:webHidden/>
              </w:rPr>
            </w:r>
            <w:r w:rsidR="00626FF4" w:rsidRPr="00CE4648">
              <w:rPr>
                <w:b w:val="0"/>
                <w:webHidden/>
              </w:rPr>
              <w:fldChar w:fldCharType="separate"/>
            </w:r>
            <w:r w:rsidR="00F11983">
              <w:rPr>
                <w:b w:val="0"/>
                <w:webHidden/>
              </w:rPr>
              <w:t>46</w:t>
            </w:r>
            <w:r w:rsidR="00626FF4" w:rsidRPr="00CE4648">
              <w:rPr>
                <w:b w:val="0"/>
                <w:webHidden/>
              </w:rPr>
              <w:fldChar w:fldCharType="end"/>
            </w:r>
          </w:hyperlink>
        </w:p>
        <w:p w14:paraId="3FF6D915" w14:textId="39C99C7F" w:rsidR="00626FF4" w:rsidRPr="00CE4648" w:rsidRDefault="00CE4648">
          <w:pPr>
            <w:pStyle w:val="TDC3"/>
            <w:rPr>
              <w:rFonts w:asciiTheme="minorHAnsi" w:eastAsiaTheme="minorEastAsia" w:hAnsiTheme="minorHAnsi"/>
              <w:b w:val="0"/>
              <w:i w:val="0"/>
              <w:iCs w:val="0"/>
              <w:sz w:val="22"/>
              <w:szCs w:val="22"/>
              <w:lang w:val="es-CR" w:eastAsia="es-CR"/>
            </w:rPr>
          </w:pPr>
          <w:r w:rsidRPr="00CE4648">
            <w:rPr>
              <w:rStyle w:val="Hipervnculo"/>
              <w:b w:val="0"/>
              <w:u w:val="none"/>
            </w:rPr>
            <w:tab/>
          </w:r>
          <w:hyperlink w:anchor="_Toc27509183" w:history="1">
            <w:r w:rsidR="00626FF4" w:rsidRPr="00CE4648">
              <w:rPr>
                <w:rStyle w:val="Hipervnculo"/>
                <w:b w:val="0"/>
                <w:lang w:val="es-ES"/>
              </w:rPr>
              <w:t>B.3. Respecto de la demanda civil de daños y perjuicios</w:t>
            </w:r>
            <w:r w:rsidR="00626FF4" w:rsidRPr="00CE4648">
              <w:rPr>
                <w:b w:val="0"/>
                <w:webHidden/>
              </w:rPr>
              <w:tab/>
            </w:r>
            <w:r w:rsidR="00626FF4" w:rsidRPr="00CE4648">
              <w:rPr>
                <w:b w:val="0"/>
                <w:webHidden/>
              </w:rPr>
              <w:fldChar w:fldCharType="begin"/>
            </w:r>
            <w:r w:rsidR="00626FF4" w:rsidRPr="00CE4648">
              <w:rPr>
                <w:b w:val="0"/>
                <w:webHidden/>
              </w:rPr>
              <w:instrText xml:space="preserve"> PAGEREF _Toc27509183 \h </w:instrText>
            </w:r>
            <w:r w:rsidR="00626FF4" w:rsidRPr="00CE4648">
              <w:rPr>
                <w:b w:val="0"/>
                <w:webHidden/>
              </w:rPr>
            </w:r>
            <w:r w:rsidR="00626FF4" w:rsidRPr="00CE4648">
              <w:rPr>
                <w:b w:val="0"/>
                <w:webHidden/>
              </w:rPr>
              <w:fldChar w:fldCharType="separate"/>
            </w:r>
            <w:r w:rsidR="00F11983">
              <w:rPr>
                <w:b w:val="0"/>
                <w:webHidden/>
              </w:rPr>
              <w:t>48</w:t>
            </w:r>
            <w:r w:rsidR="00626FF4" w:rsidRPr="00CE4648">
              <w:rPr>
                <w:b w:val="0"/>
                <w:webHidden/>
              </w:rPr>
              <w:fldChar w:fldCharType="end"/>
            </w:r>
          </w:hyperlink>
        </w:p>
        <w:p w14:paraId="7BF2D391" w14:textId="4C0388BC" w:rsidR="00626FF4" w:rsidRPr="00CE4648" w:rsidRDefault="00CE4648">
          <w:pPr>
            <w:pStyle w:val="TDC3"/>
            <w:rPr>
              <w:rFonts w:asciiTheme="minorHAnsi" w:eastAsiaTheme="minorEastAsia" w:hAnsiTheme="minorHAnsi"/>
              <w:b w:val="0"/>
              <w:i w:val="0"/>
              <w:iCs w:val="0"/>
              <w:sz w:val="22"/>
              <w:szCs w:val="22"/>
              <w:lang w:val="es-CR" w:eastAsia="es-CR"/>
            </w:rPr>
          </w:pPr>
          <w:r w:rsidRPr="00CE4648">
            <w:rPr>
              <w:rStyle w:val="Hipervnculo"/>
              <w:b w:val="0"/>
              <w:u w:val="none"/>
            </w:rPr>
            <w:tab/>
          </w:r>
          <w:hyperlink w:anchor="_Toc27509184" w:history="1">
            <w:r w:rsidR="00626FF4" w:rsidRPr="00CE4648">
              <w:rPr>
                <w:rStyle w:val="Hipervnculo"/>
                <w:b w:val="0"/>
                <w:lang w:val="es-ES"/>
              </w:rPr>
              <w:t>B.4. Conclusión</w:t>
            </w:r>
            <w:r w:rsidR="00626FF4" w:rsidRPr="00CE4648">
              <w:rPr>
                <w:b w:val="0"/>
                <w:webHidden/>
              </w:rPr>
              <w:tab/>
            </w:r>
            <w:r w:rsidR="00626FF4" w:rsidRPr="00CE4648">
              <w:rPr>
                <w:b w:val="0"/>
                <w:webHidden/>
              </w:rPr>
              <w:fldChar w:fldCharType="begin"/>
            </w:r>
            <w:r w:rsidR="00626FF4" w:rsidRPr="00CE4648">
              <w:rPr>
                <w:b w:val="0"/>
                <w:webHidden/>
              </w:rPr>
              <w:instrText xml:space="preserve"> PAGEREF _Toc27509184 \h </w:instrText>
            </w:r>
            <w:r w:rsidR="00626FF4" w:rsidRPr="00CE4648">
              <w:rPr>
                <w:b w:val="0"/>
                <w:webHidden/>
              </w:rPr>
            </w:r>
            <w:r w:rsidR="00626FF4" w:rsidRPr="00CE4648">
              <w:rPr>
                <w:b w:val="0"/>
                <w:webHidden/>
              </w:rPr>
              <w:fldChar w:fldCharType="separate"/>
            </w:r>
            <w:r w:rsidR="00F11983">
              <w:rPr>
                <w:b w:val="0"/>
                <w:webHidden/>
              </w:rPr>
              <w:t>49</w:t>
            </w:r>
            <w:r w:rsidR="00626FF4" w:rsidRPr="00CE4648">
              <w:rPr>
                <w:b w:val="0"/>
                <w:webHidden/>
              </w:rPr>
              <w:fldChar w:fldCharType="end"/>
            </w:r>
          </w:hyperlink>
        </w:p>
        <w:p w14:paraId="2DAB52D2" w14:textId="5210C621" w:rsidR="00626FF4" w:rsidRDefault="00BE2A68">
          <w:pPr>
            <w:pStyle w:val="TDC2"/>
            <w:rPr>
              <w:rFonts w:asciiTheme="minorHAnsi" w:eastAsiaTheme="minorEastAsia" w:hAnsiTheme="minorHAnsi" w:cstheme="minorBidi"/>
              <w:b w:val="0"/>
              <w:bCs w:val="0"/>
              <w:i w:val="0"/>
              <w:smallCaps w:val="0"/>
              <w:sz w:val="22"/>
              <w:szCs w:val="22"/>
              <w:lang w:val="es-CR"/>
            </w:rPr>
          </w:pPr>
          <w:hyperlink w:anchor="_Toc27509185" w:history="1">
            <w:r w:rsidR="00626FF4" w:rsidRPr="005E3955">
              <w:rPr>
                <w:rStyle w:val="Hipervnculo"/>
                <w:rFonts w:eastAsia="Times New Roman" w:cs="Verdana"/>
                <w:caps/>
                <w:snapToGrid w:val="0"/>
                <w:lang w:val="es-ES_tradnl"/>
              </w:rPr>
              <w:t xml:space="preserve">VII-4 </w:t>
            </w:r>
            <w:r w:rsidR="00626FF4" w:rsidRPr="005E3955">
              <w:rPr>
                <w:rStyle w:val="Hipervnculo"/>
              </w:rPr>
              <w:t>DERECHO A LA INTEGRIDAD PERSONAL RESPECTO DE LOS FAMILIARES DE LA PRESUNTA VÍCTIMA</w:t>
            </w:r>
            <w:r w:rsidR="00626FF4">
              <w:rPr>
                <w:webHidden/>
              </w:rPr>
              <w:tab/>
            </w:r>
            <w:r w:rsidR="00626FF4">
              <w:rPr>
                <w:webHidden/>
              </w:rPr>
              <w:fldChar w:fldCharType="begin"/>
            </w:r>
            <w:r w:rsidR="00626FF4">
              <w:rPr>
                <w:webHidden/>
              </w:rPr>
              <w:instrText xml:space="preserve"> PAGEREF _Toc27509185 \h </w:instrText>
            </w:r>
            <w:r w:rsidR="00626FF4">
              <w:rPr>
                <w:webHidden/>
              </w:rPr>
            </w:r>
            <w:r w:rsidR="00626FF4">
              <w:rPr>
                <w:webHidden/>
              </w:rPr>
              <w:fldChar w:fldCharType="separate"/>
            </w:r>
            <w:r w:rsidR="00F11983">
              <w:rPr>
                <w:webHidden/>
              </w:rPr>
              <w:t>50</w:t>
            </w:r>
            <w:r w:rsidR="00626FF4">
              <w:rPr>
                <w:webHidden/>
              </w:rPr>
              <w:fldChar w:fldCharType="end"/>
            </w:r>
          </w:hyperlink>
        </w:p>
        <w:p w14:paraId="2095008F" w14:textId="1ED15AB1" w:rsidR="00626FF4" w:rsidRPr="00CE4648" w:rsidRDefault="00BE2A68">
          <w:pPr>
            <w:pStyle w:val="TDC2"/>
            <w:rPr>
              <w:rFonts w:asciiTheme="minorHAnsi" w:eastAsiaTheme="minorEastAsia" w:hAnsiTheme="minorHAnsi" w:cstheme="minorBidi"/>
              <w:b w:val="0"/>
              <w:bCs w:val="0"/>
              <w:i w:val="0"/>
              <w:smallCaps w:val="0"/>
              <w:sz w:val="22"/>
              <w:szCs w:val="22"/>
              <w:lang w:val="es-CR"/>
            </w:rPr>
          </w:pPr>
          <w:hyperlink w:anchor="_Toc27509186" w:history="1">
            <w:r w:rsidR="00626FF4" w:rsidRPr="00CE4648">
              <w:rPr>
                <w:rStyle w:val="Hipervnculo"/>
                <w:rFonts w:cs="Verdana"/>
                <w:b w:val="0"/>
                <w:lang w:val="es-CR"/>
              </w:rPr>
              <w:t>A.</w:t>
            </w:r>
            <w:r w:rsidR="00626FF4" w:rsidRPr="00CE4648">
              <w:rPr>
                <w:rFonts w:asciiTheme="minorHAnsi" w:eastAsiaTheme="minorEastAsia" w:hAnsiTheme="minorHAnsi" w:cstheme="minorBidi"/>
                <w:b w:val="0"/>
                <w:bCs w:val="0"/>
                <w:i w:val="0"/>
                <w:smallCaps w:val="0"/>
                <w:sz w:val="22"/>
                <w:szCs w:val="22"/>
                <w:lang w:val="es-CR"/>
              </w:rPr>
              <w:tab/>
            </w:r>
            <w:r w:rsidR="00626FF4" w:rsidRPr="00CE4648">
              <w:rPr>
                <w:rStyle w:val="Hipervnculo"/>
                <w:rFonts w:cs="Verdana"/>
                <w:b w:val="0"/>
                <w:smallCaps w:val="0"/>
                <w:lang w:val="es-CR"/>
              </w:rPr>
              <w:t>Argumentos de la Comisión y de las partes</w:t>
            </w:r>
            <w:r w:rsidR="00626FF4" w:rsidRPr="00CE4648">
              <w:rPr>
                <w:b w:val="0"/>
                <w:webHidden/>
              </w:rPr>
              <w:tab/>
            </w:r>
            <w:r w:rsidR="00626FF4" w:rsidRPr="00CE4648">
              <w:rPr>
                <w:b w:val="0"/>
                <w:webHidden/>
              </w:rPr>
              <w:fldChar w:fldCharType="begin"/>
            </w:r>
            <w:r w:rsidR="00626FF4" w:rsidRPr="00CE4648">
              <w:rPr>
                <w:b w:val="0"/>
                <w:webHidden/>
              </w:rPr>
              <w:instrText xml:space="preserve"> PAGEREF _Toc27509186 \h </w:instrText>
            </w:r>
            <w:r w:rsidR="00626FF4" w:rsidRPr="00CE4648">
              <w:rPr>
                <w:b w:val="0"/>
                <w:webHidden/>
              </w:rPr>
            </w:r>
            <w:r w:rsidR="00626FF4" w:rsidRPr="00CE4648">
              <w:rPr>
                <w:b w:val="0"/>
                <w:webHidden/>
              </w:rPr>
              <w:fldChar w:fldCharType="separate"/>
            </w:r>
            <w:r w:rsidR="00F11983">
              <w:rPr>
                <w:b w:val="0"/>
                <w:webHidden/>
              </w:rPr>
              <w:t>50</w:t>
            </w:r>
            <w:r w:rsidR="00626FF4" w:rsidRPr="00CE4648">
              <w:rPr>
                <w:b w:val="0"/>
                <w:webHidden/>
              </w:rPr>
              <w:fldChar w:fldCharType="end"/>
            </w:r>
          </w:hyperlink>
        </w:p>
        <w:p w14:paraId="0F431F41" w14:textId="35472539" w:rsidR="00626FF4" w:rsidRPr="00CE4648" w:rsidRDefault="00BE2A68">
          <w:pPr>
            <w:pStyle w:val="TDC2"/>
            <w:rPr>
              <w:rFonts w:asciiTheme="minorHAnsi" w:eastAsiaTheme="minorEastAsia" w:hAnsiTheme="minorHAnsi" w:cstheme="minorBidi"/>
              <w:b w:val="0"/>
              <w:bCs w:val="0"/>
              <w:i w:val="0"/>
              <w:smallCaps w:val="0"/>
              <w:sz w:val="22"/>
              <w:szCs w:val="22"/>
              <w:lang w:val="es-CR"/>
            </w:rPr>
          </w:pPr>
          <w:hyperlink w:anchor="_Toc27509187" w:history="1">
            <w:r w:rsidR="00626FF4" w:rsidRPr="00CE4648">
              <w:rPr>
                <w:rStyle w:val="Hipervnculo"/>
                <w:rFonts w:cs="Verdana"/>
                <w:b w:val="0"/>
              </w:rPr>
              <w:t>B.</w:t>
            </w:r>
            <w:r w:rsidR="00626FF4" w:rsidRPr="00CE4648">
              <w:rPr>
                <w:rFonts w:asciiTheme="minorHAnsi" w:eastAsiaTheme="minorEastAsia" w:hAnsiTheme="minorHAnsi" w:cstheme="minorBidi"/>
                <w:b w:val="0"/>
                <w:bCs w:val="0"/>
                <w:i w:val="0"/>
                <w:smallCaps w:val="0"/>
                <w:sz w:val="22"/>
                <w:szCs w:val="22"/>
                <w:lang w:val="es-CR"/>
              </w:rPr>
              <w:tab/>
            </w:r>
            <w:r w:rsidR="00626FF4" w:rsidRPr="00CE4648">
              <w:rPr>
                <w:rStyle w:val="Hipervnculo"/>
                <w:rFonts w:cs="Verdana"/>
                <w:b w:val="0"/>
                <w:smallCaps w:val="0"/>
              </w:rPr>
              <w:t>Consideraciones de la Corte</w:t>
            </w:r>
            <w:r w:rsidR="00626FF4" w:rsidRPr="00CE4648">
              <w:rPr>
                <w:b w:val="0"/>
                <w:webHidden/>
              </w:rPr>
              <w:tab/>
            </w:r>
            <w:r w:rsidR="00626FF4" w:rsidRPr="00CE4648">
              <w:rPr>
                <w:b w:val="0"/>
                <w:webHidden/>
              </w:rPr>
              <w:fldChar w:fldCharType="begin"/>
            </w:r>
            <w:r w:rsidR="00626FF4" w:rsidRPr="00CE4648">
              <w:rPr>
                <w:b w:val="0"/>
                <w:webHidden/>
              </w:rPr>
              <w:instrText xml:space="preserve"> PAGEREF _Toc27509187 \h </w:instrText>
            </w:r>
            <w:r w:rsidR="00626FF4" w:rsidRPr="00CE4648">
              <w:rPr>
                <w:b w:val="0"/>
                <w:webHidden/>
              </w:rPr>
            </w:r>
            <w:r w:rsidR="00626FF4" w:rsidRPr="00CE4648">
              <w:rPr>
                <w:b w:val="0"/>
                <w:webHidden/>
              </w:rPr>
              <w:fldChar w:fldCharType="separate"/>
            </w:r>
            <w:r w:rsidR="00F11983">
              <w:rPr>
                <w:b w:val="0"/>
                <w:webHidden/>
              </w:rPr>
              <w:t>50</w:t>
            </w:r>
            <w:r w:rsidR="00626FF4" w:rsidRPr="00CE4648">
              <w:rPr>
                <w:b w:val="0"/>
                <w:webHidden/>
              </w:rPr>
              <w:fldChar w:fldCharType="end"/>
            </w:r>
          </w:hyperlink>
        </w:p>
        <w:p w14:paraId="1D12C806" w14:textId="10CA5D20" w:rsidR="00626FF4" w:rsidRDefault="00BE2A68">
          <w:pPr>
            <w:pStyle w:val="TDC1"/>
            <w:rPr>
              <w:rFonts w:asciiTheme="minorHAnsi" w:eastAsiaTheme="minorEastAsia" w:hAnsiTheme="minorHAnsi" w:cstheme="minorBidi"/>
              <w:b w:val="0"/>
              <w:bCs w:val="0"/>
              <w:caps w:val="0"/>
              <w:snapToGrid/>
              <w:sz w:val="22"/>
              <w:szCs w:val="22"/>
              <w:lang w:val="es-CR" w:eastAsia="es-CR"/>
            </w:rPr>
          </w:pPr>
          <w:hyperlink w:anchor="_Toc27509188" w:history="1">
            <w:r w:rsidR="00626FF4" w:rsidRPr="005E3955">
              <w:rPr>
                <w:rStyle w:val="Hipervnculo"/>
              </w:rPr>
              <w:t>viii reparaciones</w:t>
            </w:r>
            <w:r w:rsidR="00626FF4">
              <w:rPr>
                <w:webHidden/>
              </w:rPr>
              <w:tab/>
            </w:r>
            <w:r w:rsidR="00626FF4">
              <w:rPr>
                <w:webHidden/>
              </w:rPr>
              <w:fldChar w:fldCharType="begin"/>
            </w:r>
            <w:r w:rsidR="00626FF4">
              <w:rPr>
                <w:webHidden/>
              </w:rPr>
              <w:instrText xml:space="preserve"> PAGEREF _Toc27509188 \h </w:instrText>
            </w:r>
            <w:r w:rsidR="00626FF4">
              <w:rPr>
                <w:webHidden/>
              </w:rPr>
            </w:r>
            <w:r w:rsidR="00626FF4">
              <w:rPr>
                <w:webHidden/>
              </w:rPr>
              <w:fldChar w:fldCharType="separate"/>
            </w:r>
            <w:r w:rsidR="00F11983">
              <w:rPr>
                <w:webHidden/>
              </w:rPr>
              <w:t>51</w:t>
            </w:r>
            <w:r w:rsidR="00626FF4">
              <w:rPr>
                <w:webHidden/>
              </w:rPr>
              <w:fldChar w:fldCharType="end"/>
            </w:r>
          </w:hyperlink>
        </w:p>
        <w:p w14:paraId="749045A0" w14:textId="04CE7CB8" w:rsidR="00626FF4" w:rsidRPr="00CE4648" w:rsidRDefault="00BE2A68">
          <w:pPr>
            <w:pStyle w:val="TDC2"/>
            <w:rPr>
              <w:rFonts w:asciiTheme="minorHAnsi" w:eastAsiaTheme="minorEastAsia" w:hAnsiTheme="minorHAnsi" w:cstheme="minorBidi"/>
              <w:b w:val="0"/>
              <w:bCs w:val="0"/>
              <w:i w:val="0"/>
              <w:smallCaps w:val="0"/>
              <w:sz w:val="22"/>
              <w:szCs w:val="22"/>
              <w:lang w:val="es-CR"/>
            </w:rPr>
          </w:pPr>
          <w:hyperlink w:anchor="_Toc27509189" w:history="1">
            <w:r w:rsidR="00626FF4" w:rsidRPr="00CE4648">
              <w:rPr>
                <w:rStyle w:val="Hipervnculo"/>
                <w:b w:val="0"/>
              </w:rPr>
              <w:t>A.</w:t>
            </w:r>
            <w:r w:rsidR="00626FF4" w:rsidRPr="00CE4648">
              <w:rPr>
                <w:rFonts w:asciiTheme="minorHAnsi" w:eastAsiaTheme="minorEastAsia" w:hAnsiTheme="minorHAnsi" w:cstheme="minorBidi"/>
                <w:b w:val="0"/>
                <w:bCs w:val="0"/>
                <w:i w:val="0"/>
                <w:smallCaps w:val="0"/>
                <w:sz w:val="22"/>
                <w:szCs w:val="22"/>
                <w:lang w:val="es-CR"/>
              </w:rPr>
              <w:tab/>
            </w:r>
            <w:r w:rsidR="00626FF4" w:rsidRPr="00CE4648">
              <w:rPr>
                <w:rStyle w:val="Hipervnculo"/>
                <w:b w:val="0"/>
              </w:rPr>
              <w:t>Parte Lesionada</w:t>
            </w:r>
            <w:r w:rsidR="00626FF4" w:rsidRPr="00CE4648">
              <w:rPr>
                <w:b w:val="0"/>
                <w:webHidden/>
              </w:rPr>
              <w:tab/>
            </w:r>
            <w:r w:rsidR="00626FF4" w:rsidRPr="00CE4648">
              <w:rPr>
                <w:b w:val="0"/>
                <w:webHidden/>
              </w:rPr>
              <w:fldChar w:fldCharType="begin"/>
            </w:r>
            <w:r w:rsidR="00626FF4" w:rsidRPr="00CE4648">
              <w:rPr>
                <w:b w:val="0"/>
                <w:webHidden/>
              </w:rPr>
              <w:instrText xml:space="preserve"> PAGEREF _Toc27509189 \h </w:instrText>
            </w:r>
            <w:r w:rsidR="00626FF4" w:rsidRPr="00CE4648">
              <w:rPr>
                <w:b w:val="0"/>
                <w:webHidden/>
              </w:rPr>
            </w:r>
            <w:r w:rsidR="00626FF4" w:rsidRPr="00CE4648">
              <w:rPr>
                <w:b w:val="0"/>
                <w:webHidden/>
              </w:rPr>
              <w:fldChar w:fldCharType="separate"/>
            </w:r>
            <w:r w:rsidR="00F11983">
              <w:rPr>
                <w:b w:val="0"/>
                <w:webHidden/>
              </w:rPr>
              <w:t>52</w:t>
            </w:r>
            <w:r w:rsidR="00626FF4" w:rsidRPr="00CE4648">
              <w:rPr>
                <w:b w:val="0"/>
                <w:webHidden/>
              </w:rPr>
              <w:fldChar w:fldCharType="end"/>
            </w:r>
          </w:hyperlink>
        </w:p>
        <w:p w14:paraId="5DCBF4D9" w14:textId="312B4A0C" w:rsidR="00626FF4" w:rsidRPr="00CE4648" w:rsidRDefault="00BE2A68">
          <w:pPr>
            <w:pStyle w:val="TDC2"/>
            <w:rPr>
              <w:rFonts w:asciiTheme="minorHAnsi" w:eastAsiaTheme="minorEastAsia" w:hAnsiTheme="minorHAnsi" w:cstheme="minorBidi"/>
              <w:b w:val="0"/>
              <w:bCs w:val="0"/>
              <w:i w:val="0"/>
              <w:smallCaps w:val="0"/>
              <w:sz w:val="22"/>
              <w:szCs w:val="22"/>
              <w:lang w:val="es-CR"/>
            </w:rPr>
          </w:pPr>
          <w:hyperlink w:anchor="_Toc27509190" w:history="1">
            <w:r w:rsidR="00626FF4" w:rsidRPr="00CE4648">
              <w:rPr>
                <w:rStyle w:val="Hipervnculo"/>
                <w:b w:val="0"/>
              </w:rPr>
              <w:t>B.</w:t>
            </w:r>
            <w:r w:rsidR="00626FF4" w:rsidRPr="00CE4648">
              <w:rPr>
                <w:rFonts w:asciiTheme="minorHAnsi" w:eastAsiaTheme="minorEastAsia" w:hAnsiTheme="minorHAnsi" w:cstheme="minorBidi"/>
                <w:b w:val="0"/>
                <w:bCs w:val="0"/>
                <w:i w:val="0"/>
                <w:smallCaps w:val="0"/>
                <w:sz w:val="22"/>
                <w:szCs w:val="22"/>
                <w:lang w:val="es-CR"/>
              </w:rPr>
              <w:tab/>
            </w:r>
            <w:r w:rsidR="00626FF4" w:rsidRPr="00CE4648">
              <w:rPr>
                <w:rStyle w:val="Hipervnculo"/>
                <w:b w:val="0"/>
              </w:rPr>
              <w:t>Medidas de satisfacción, rehabilitación y garantías de no repetición</w:t>
            </w:r>
            <w:r w:rsidR="00626FF4" w:rsidRPr="00CE4648">
              <w:rPr>
                <w:b w:val="0"/>
                <w:webHidden/>
              </w:rPr>
              <w:tab/>
            </w:r>
            <w:r w:rsidR="00626FF4" w:rsidRPr="00CE4648">
              <w:rPr>
                <w:b w:val="0"/>
                <w:webHidden/>
              </w:rPr>
              <w:fldChar w:fldCharType="begin"/>
            </w:r>
            <w:r w:rsidR="00626FF4" w:rsidRPr="00CE4648">
              <w:rPr>
                <w:b w:val="0"/>
                <w:webHidden/>
              </w:rPr>
              <w:instrText xml:space="preserve"> PAGEREF _Toc27509190 \h </w:instrText>
            </w:r>
            <w:r w:rsidR="00626FF4" w:rsidRPr="00CE4648">
              <w:rPr>
                <w:b w:val="0"/>
                <w:webHidden/>
              </w:rPr>
            </w:r>
            <w:r w:rsidR="00626FF4" w:rsidRPr="00CE4648">
              <w:rPr>
                <w:b w:val="0"/>
                <w:webHidden/>
              </w:rPr>
              <w:fldChar w:fldCharType="separate"/>
            </w:r>
            <w:r w:rsidR="00F11983">
              <w:rPr>
                <w:b w:val="0"/>
                <w:webHidden/>
              </w:rPr>
              <w:t>52</w:t>
            </w:r>
            <w:r w:rsidR="00626FF4" w:rsidRPr="00CE4648">
              <w:rPr>
                <w:b w:val="0"/>
                <w:webHidden/>
              </w:rPr>
              <w:fldChar w:fldCharType="end"/>
            </w:r>
          </w:hyperlink>
        </w:p>
        <w:p w14:paraId="747D0E0F" w14:textId="5E265DB0" w:rsidR="00626FF4" w:rsidRPr="00CE4648" w:rsidRDefault="00CE4648">
          <w:pPr>
            <w:pStyle w:val="TDC3"/>
            <w:rPr>
              <w:rFonts w:asciiTheme="minorHAnsi" w:eastAsiaTheme="minorEastAsia" w:hAnsiTheme="minorHAnsi"/>
              <w:b w:val="0"/>
              <w:i w:val="0"/>
              <w:iCs w:val="0"/>
              <w:sz w:val="22"/>
              <w:szCs w:val="22"/>
              <w:lang w:val="es-CR" w:eastAsia="es-CR"/>
            </w:rPr>
          </w:pPr>
          <w:r w:rsidRPr="00CE4648">
            <w:rPr>
              <w:rStyle w:val="Hipervnculo"/>
              <w:b w:val="0"/>
              <w:u w:val="none"/>
            </w:rPr>
            <w:tab/>
          </w:r>
          <w:hyperlink w:anchor="_Toc27509191" w:history="1">
            <w:r w:rsidR="00626FF4" w:rsidRPr="00CE4648">
              <w:rPr>
                <w:rStyle w:val="Hipervnculo"/>
                <w:b w:val="0"/>
              </w:rPr>
              <w:t>B.1. Medida de satisfacción</w:t>
            </w:r>
            <w:r w:rsidR="00626FF4" w:rsidRPr="00CE4648">
              <w:rPr>
                <w:b w:val="0"/>
                <w:webHidden/>
              </w:rPr>
              <w:tab/>
            </w:r>
            <w:r w:rsidR="00626FF4" w:rsidRPr="00CE4648">
              <w:rPr>
                <w:b w:val="0"/>
                <w:webHidden/>
              </w:rPr>
              <w:fldChar w:fldCharType="begin"/>
            </w:r>
            <w:r w:rsidR="00626FF4" w:rsidRPr="00CE4648">
              <w:rPr>
                <w:b w:val="0"/>
                <w:webHidden/>
              </w:rPr>
              <w:instrText xml:space="preserve"> PAGEREF _Toc27509191 \h </w:instrText>
            </w:r>
            <w:r w:rsidR="00626FF4" w:rsidRPr="00CE4648">
              <w:rPr>
                <w:b w:val="0"/>
                <w:webHidden/>
              </w:rPr>
            </w:r>
            <w:r w:rsidR="00626FF4" w:rsidRPr="00CE4648">
              <w:rPr>
                <w:b w:val="0"/>
                <w:webHidden/>
              </w:rPr>
              <w:fldChar w:fldCharType="separate"/>
            </w:r>
            <w:r w:rsidR="00F11983">
              <w:rPr>
                <w:b w:val="0"/>
                <w:webHidden/>
              </w:rPr>
              <w:t>52</w:t>
            </w:r>
            <w:r w:rsidR="00626FF4" w:rsidRPr="00CE4648">
              <w:rPr>
                <w:b w:val="0"/>
                <w:webHidden/>
              </w:rPr>
              <w:fldChar w:fldCharType="end"/>
            </w:r>
          </w:hyperlink>
        </w:p>
        <w:p w14:paraId="7C913E7F" w14:textId="6FD5D95D" w:rsidR="00626FF4" w:rsidRPr="00CE4648" w:rsidRDefault="00CE4648">
          <w:pPr>
            <w:pStyle w:val="TDC3"/>
            <w:rPr>
              <w:rFonts w:asciiTheme="minorHAnsi" w:eastAsiaTheme="minorEastAsia" w:hAnsiTheme="minorHAnsi"/>
              <w:b w:val="0"/>
              <w:i w:val="0"/>
              <w:iCs w:val="0"/>
              <w:sz w:val="22"/>
              <w:szCs w:val="22"/>
              <w:lang w:val="es-CR" w:eastAsia="es-CR"/>
            </w:rPr>
          </w:pPr>
          <w:r w:rsidRPr="00CE4648">
            <w:rPr>
              <w:rStyle w:val="Hipervnculo"/>
              <w:b w:val="0"/>
              <w:u w:val="none"/>
            </w:rPr>
            <w:tab/>
          </w:r>
          <w:hyperlink w:anchor="_Toc27509192" w:history="1">
            <w:r w:rsidR="00626FF4" w:rsidRPr="00CE4648">
              <w:rPr>
                <w:rStyle w:val="Hipervnculo"/>
                <w:b w:val="0"/>
              </w:rPr>
              <w:t>B.2. Medida de rehabilitación</w:t>
            </w:r>
            <w:r w:rsidR="00626FF4" w:rsidRPr="00CE4648">
              <w:rPr>
                <w:b w:val="0"/>
                <w:webHidden/>
              </w:rPr>
              <w:tab/>
            </w:r>
            <w:r w:rsidR="00626FF4" w:rsidRPr="00CE4648">
              <w:rPr>
                <w:b w:val="0"/>
                <w:webHidden/>
              </w:rPr>
              <w:fldChar w:fldCharType="begin"/>
            </w:r>
            <w:r w:rsidR="00626FF4" w:rsidRPr="00CE4648">
              <w:rPr>
                <w:b w:val="0"/>
                <w:webHidden/>
              </w:rPr>
              <w:instrText xml:space="preserve"> PAGEREF _Toc27509192 \h </w:instrText>
            </w:r>
            <w:r w:rsidR="00626FF4" w:rsidRPr="00CE4648">
              <w:rPr>
                <w:b w:val="0"/>
                <w:webHidden/>
              </w:rPr>
            </w:r>
            <w:r w:rsidR="00626FF4" w:rsidRPr="00CE4648">
              <w:rPr>
                <w:b w:val="0"/>
                <w:webHidden/>
              </w:rPr>
              <w:fldChar w:fldCharType="separate"/>
            </w:r>
            <w:r w:rsidR="00F11983">
              <w:rPr>
                <w:b w:val="0"/>
                <w:webHidden/>
              </w:rPr>
              <w:t>53</w:t>
            </w:r>
            <w:r w:rsidR="00626FF4" w:rsidRPr="00CE4648">
              <w:rPr>
                <w:b w:val="0"/>
                <w:webHidden/>
              </w:rPr>
              <w:fldChar w:fldCharType="end"/>
            </w:r>
          </w:hyperlink>
        </w:p>
        <w:p w14:paraId="6B178173" w14:textId="0833766A" w:rsidR="00626FF4" w:rsidRPr="00CE4648" w:rsidRDefault="00CE4648">
          <w:pPr>
            <w:pStyle w:val="TDC3"/>
            <w:rPr>
              <w:rFonts w:asciiTheme="minorHAnsi" w:eastAsiaTheme="minorEastAsia" w:hAnsiTheme="minorHAnsi"/>
              <w:b w:val="0"/>
              <w:i w:val="0"/>
              <w:iCs w:val="0"/>
              <w:sz w:val="22"/>
              <w:szCs w:val="22"/>
              <w:lang w:val="es-CR" w:eastAsia="es-CR"/>
            </w:rPr>
          </w:pPr>
          <w:r w:rsidRPr="00CE4648">
            <w:rPr>
              <w:rStyle w:val="Hipervnculo"/>
              <w:b w:val="0"/>
              <w:u w:val="none"/>
            </w:rPr>
            <w:tab/>
          </w:r>
          <w:hyperlink w:anchor="_Toc27509193" w:history="1">
            <w:r w:rsidR="00626FF4" w:rsidRPr="00CE4648">
              <w:rPr>
                <w:rStyle w:val="Hipervnculo"/>
                <w:b w:val="0"/>
              </w:rPr>
              <w:t>B.3. Garantías de no repetición</w:t>
            </w:r>
            <w:r w:rsidR="00626FF4" w:rsidRPr="00CE4648">
              <w:rPr>
                <w:b w:val="0"/>
                <w:webHidden/>
              </w:rPr>
              <w:tab/>
            </w:r>
            <w:r w:rsidR="00626FF4" w:rsidRPr="00CE4648">
              <w:rPr>
                <w:b w:val="0"/>
                <w:webHidden/>
              </w:rPr>
              <w:fldChar w:fldCharType="begin"/>
            </w:r>
            <w:r w:rsidR="00626FF4" w:rsidRPr="00CE4648">
              <w:rPr>
                <w:b w:val="0"/>
                <w:webHidden/>
              </w:rPr>
              <w:instrText xml:space="preserve"> PAGEREF _Toc27509193 \h </w:instrText>
            </w:r>
            <w:r w:rsidR="00626FF4" w:rsidRPr="00CE4648">
              <w:rPr>
                <w:b w:val="0"/>
                <w:webHidden/>
              </w:rPr>
            </w:r>
            <w:r w:rsidR="00626FF4" w:rsidRPr="00CE4648">
              <w:rPr>
                <w:b w:val="0"/>
                <w:webHidden/>
              </w:rPr>
              <w:fldChar w:fldCharType="separate"/>
            </w:r>
            <w:r w:rsidR="00F11983">
              <w:rPr>
                <w:b w:val="0"/>
                <w:webHidden/>
              </w:rPr>
              <w:t>53</w:t>
            </w:r>
            <w:r w:rsidR="00626FF4" w:rsidRPr="00CE4648">
              <w:rPr>
                <w:b w:val="0"/>
                <w:webHidden/>
              </w:rPr>
              <w:fldChar w:fldCharType="end"/>
            </w:r>
          </w:hyperlink>
        </w:p>
        <w:p w14:paraId="7FCE0798" w14:textId="291634CB" w:rsidR="00626FF4" w:rsidRPr="00CE4648" w:rsidRDefault="00BE2A68">
          <w:pPr>
            <w:pStyle w:val="TDC2"/>
            <w:rPr>
              <w:rFonts w:asciiTheme="minorHAnsi" w:eastAsiaTheme="minorEastAsia" w:hAnsiTheme="minorHAnsi" w:cstheme="minorBidi"/>
              <w:b w:val="0"/>
              <w:bCs w:val="0"/>
              <w:i w:val="0"/>
              <w:smallCaps w:val="0"/>
              <w:sz w:val="22"/>
              <w:szCs w:val="22"/>
              <w:lang w:val="es-CR"/>
            </w:rPr>
          </w:pPr>
          <w:hyperlink w:anchor="_Toc27509194" w:history="1">
            <w:r w:rsidR="00626FF4" w:rsidRPr="00CE4648">
              <w:rPr>
                <w:rStyle w:val="Hipervnculo"/>
                <w:b w:val="0"/>
              </w:rPr>
              <w:t>C.</w:t>
            </w:r>
            <w:r w:rsidR="00626FF4" w:rsidRPr="00CE4648">
              <w:rPr>
                <w:rFonts w:asciiTheme="minorHAnsi" w:eastAsiaTheme="minorEastAsia" w:hAnsiTheme="minorHAnsi" w:cstheme="minorBidi"/>
                <w:b w:val="0"/>
                <w:bCs w:val="0"/>
                <w:i w:val="0"/>
                <w:smallCaps w:val="0"/>
                <w:sz w:val="22"/>
                <w:szCs w:val="22"/>
                <w:lang w:val="es-CR"/>
              </w:rPr>
              <w:tab/>
            </w:r>
            <w:r w:rsidR="00626FF4" w:rsidRPr="00CE4648">
              <w:rPr>
                <w:rStyle w:val="Hipervnculo"/>
                <w:b w:val="0"/>
              </w:rPr>
              <w:t>Indemnizaciones compensatorias</w:t>
            </w:r>
            <w:r w:rsidR="00626FF4" w:rsidRPr="00CE4648">
              <w:rPr>
                <w:b w:val="0"/>
                <w:webHidden/>
              </w:rPr>
              <w:tab/>
            </w:r>
            <w:r w:rsidR="00626FF4" w:rsidRPr="00CE4648">
              <w:rPr>
                <w:b w:val="0"/>
                <w:webHidden/>
              </w:rPr>
              <w:fldChar w:fldCharType="begin"/>
            </w:r>
            <w:r w:rsidR="00626FF4" w:rsidRPr="00CE4648">
              <w:rPr>
                <w:b w:val="0"/>
                <w:webHidden/>
              </w:rPr>
              <w:instrText xml:space="preserve"> PAGEREF _Toc27509194 \h </w:instrText>
            </w:r>
            <w:r w:rsidR="00626FF4" w:rsidRPr="00CE4648">
              <w:rPr>
                <w:b w:val="0"/>
                <w:webHidden/>
              </w:rPr>
            </w:r>
            <w:r w:rsidR="00626FF4" w:rsidRPr="00CE4648">
              <w:rPr>
                <w:b w:val="0"/>
                <w:webHidden/>
              </w:rPr>
              <w:fldChar w:fldCharType="separate"/>
            </w:r>
            <w:r w:rsidR="00F11983">
              <w:rPr>
                <w:b w:val="0"/>
                <w:webHidden/>
              </w:rPr>
              <w:t>54</w:t>
            </w:r>
            <w:r w:rsidR="00626FF4" w:rsidRPr="00CE4648">
              <w:rPr>
                <w:b w:val="0"/>
                <w:webHidden/>
              </w:rPr>
              <w:fldChar w:fldCharType="end"/>
            </w:r>
          </w:hyperlink>
        </w:p>
        <w:p w14:paraId="1E0644F0" w14:textId="5576D8FF" w:rsidR="00626FF4" w:rsidRPr="00CE4648" w:rsidRDefault="00BE2A68">
          <w:pPr>
            <w:pStyle w:val="TDC2"/>
            <w:rPr>
              <w:rFonts w:asciiTheme="minorHAnsi" w:eastAsiaTheme="minorEastAsia" w:hAnsiTheme="minorHAnsi" w:cstheme="minorBidi"/>
              <w:b w:val="0"/>
              <w:bCs w:val="0"/>
              <w:i w:val="0"/>
              <w:smallCaps w:val="0"/>
              <w:sz w:val="22"/>
              <w:szCs w:val="22"/>
              <w:lang w:val="es-CR"/>
            </w:rPr>
          </w:pPr>
          <w:hyperlink w:anchor="_Toc27509195" w:history="1">
            <w:r w:rsidR="00626FF4" w:rsidRPr="00CE4648">
              <w:rPr>
                <w:rStyle w:val="Hipervnculo"/>
                <w:b w:val="0"/>
              </w:rPr>
              <w:t>D.</w:t>
            </w:r>
            <w:r w:rsidR="00626FF4" w:rsidRPr="00CE4648">
              <w:rPr>
                <w:rFonts w:asciiTheme="minorHAnsi" w:eastAsiaTheme="minorEastAsia" w:hAnsiTheme="minorHAnsi" w:cstheme="minorBidi"/>
                <w:b w:val="0"/>
                <w:bCs w:val="0"/>
                <w:i w:val="0"/>
                <w:smallCaps w:val="0"/>
                <w:sz w:val="22"/>
                <w:szCs w:val="22"/>
                <w:lang w:val="es-CR"/>
              </w:rPr>
              <w:tab/>
            </w:r>
            <w:r w:rsidR="00626FF4" w:rsidRPr="00CE4648">
              <w:rPr>
                <w:rStyle w:val="Hipervnculo"/>
                <w:b w:val="0"/>
              </w:rPr>
              <w:t>Costas y gastos</w:t>
            </w:r>
            <w:r w:rsidR="00626FF4" w:rsidRPr="00CE4648">
              <w:rPr>
                <w:b w:val="0"/>
                <w:webHidden/>
              </w:rPr>
              <w:tab/>
            </w:r>
            <w:r w:rsidR="00626FF4" w:rsidRPr="00CE4648">
              <w:rPr>
                <w:b w:val="0"/>
                <w:webHidden/>
              </w:rPr>
              <w:fldChar w:fldCharType="begin"/>
            </w:r>
            <w:r w:rsidR="00626FF4" w:rsidRPr="00CE4648">
              <w:rPr>
                <w:b w:val="0"/>
                <w:webHidden/>
              </w:rPr>
              <w:instrText xml:space="preserve"> PAGEREF _Toc27509195 \h </w:instrText>
            </w:r>
            <w:r w:rsidR="00626FF4" w:rsidRPr="00CE4648">
              <w:rPr>
                <w:b w:val="0"/>
                <w:webHidden/>
              </w:rPr>
            </w:r>
            <w:r w:rsidR="00626FF4" w:rsidRPr="00CE4648">
              <w:rPr>
                <w:b w:val="0"/>
                <w:webHidden/>
              </w:rPr>
              <w:fldChar w:fldCharType="separate"/>
            </w:r>
            <w:r w:rsidR="00F11983">
              <w:rPr>
                <w:b w:val="0"/>
                <w:webHidden/>
              </w:rPr>
              <w:t>56</w:t>
            </w:r>
            <w:r w:rsidR="00626FF4" w:rsidRPr="00CE4648">
              <w:rPr>
                <w:b w:val="0"/>
                <w:webHidden/>
              </w:rPr>
              <w:fldChar w:fldCharType="end"/>
            </w:r>
          </w:hyperlink>
        </w:p>
        <w:p w14:paraId="718F6242" w14:textId="1140BD15" w:rsidR="00626FF4" w:rsidRPr="00CE4648" w:rsidRDefault="00BE2A68">
          <w:pPr>
            <w:pStyle w:val="TDC2"/>
            <w:rPr>
              <w:rFonts w:asciiTheme="minorHAnsi" w:eastAsiaTheme="minorEastAsia" w:hAnsiTheme="minorHAnsi" w:cstheme="minorBidi"/>
              <w:b w:val="0"/>
              <w:bCs w:val="0"/>
              <w:i w:val="0"/>
              <w:smallCaps w:val="0"/>
              <w:sz w:val="22"/>
              <w:szCs w:val="22"/>
              <w:lang w:val="es-CR"/>
            </w:rPr>
          </w:pPr>
          <w:hyperlink w:anchor="_Toc27509196" w:history="1">
            <w:r w:rsidR="00626FF4" w:rsidRPr="00CE4648">
              <w:rPr>
                <w:rStyle w:val="Hipervnculo"/>
                <w:b w:val="0"/>
              </w:rPr>
              <w:t>E.</w:t>
            </w:r>
            <w:r w:rsidR="00626FF4" w:rsidRPr="00CE4648">
              <w:rPr>
                <w:rFonts w:asciiTheme="minorHAnsi" w:eastAsiaTheme="minorEastAsia" w:hAnsiTheme="minorHAnsi" w:cstheme="minorBidi"/>
                <w:b w:val="0"/>
                <w:bCs w:val="0"/>
                <w:i w:val="0"/>
                <w:smallCaps w:val="0"/>
                <w:sz w:val="22"/>
                <w:szCs w:val="22"/>
                <w:lang w:val="es-CR"/>
              </w:rPr>
              <w:tab/>
            </w:r>
            <w:r w:rsidR="00626FF4" w:rsidRPr="00CE4648">
              <w:rPr>
                <w:rStyle w:val="Hipervnculo"/>
                <w:b w:val="0"/>
              </w:rPr>
              <w:t>Modalidad de cumplimiento de los pagos ordenados</w:t>
            </w:r>
            <w:r w:rsidR="00626FF4" w:rsidRPr="00CE4648">
              <w:rPr>
                <w:b w:val="0"/>
                <w:webHidden/>
              </w:rPr>
              <w:tab/>
            </w:r>
            <w:r w:rsidR="00626FF4" w:rsidRPr="00CE4648">
              <w:rPr>
                <w:b w:val="0"/>
                <w:webHidden/>
              </w:rPr>
              <w:fldChar w:fldCharType="begin"/>
            </w:r>
            <w:r w:rsidR="00626FF4" w:rsidRPr="00CE4648">
              <w:rPr>
                <w:b w:val="0"/>
                <w:webHidden/>
              </w:rPr>
              <w:instrText xml:space="preserve"> PAGEREF _Toc27509196 \h </w:instrText>
            </w:r>
            <w:r w:rsidR="00626FF4" w:rsidRPr="00CE4648">
              <w:rPr>
                <w:b w:val="0"/>
                <w:webHidden/>
              </w:rPr>
            </w:r>
            <w:r w:rsidR="00626FF4" w:rsidRPr="00CE4648">
              <w:rPr>
                <w:b w:val="0"/>
                <w:webHidden/>
              </w:rPr>
              <w:fldChar w:fldCharType="separate"/>
            </w:r>
            <w:r w:rsidR="00F11983">
              <w:rPr>
                <w:b w:val="0"/>
                <w:webHidden/>
              </w:rPr>
              <w:t>57</w:t>
            </w:r>
            <w:r w:rsidR="00626FF4" w:rsidRPr="00CE4648">
              <w:rPr>
                <w:b w:val="0"/>
                <w:webHidden/>
              </w:rPr>
              <w:fldChar w:fldCharType="end"/>
            </w:r>
          </w:hyperlink>
        </w:p>
        <w:p w14:paraId="24B96B39" w14:textId="23DC1DB1" w:rsidR="00626FF4" w:rsidRDefault="00BE2A68">
          <w:pPr>
            <w:pStyle w:val="TDC1"/>
            <w:rPr>
              <w:rFonts w:asciiTheme="minorHAnsi" w:eastAsiaTheme="minorEastAsia" w:hAnsiTheme="minorHAnsi" w:cstheme="minorBidi"/>
              <w:b w:val="0"/>
              <w:bCs w:val="0"/>
              <w:caps w:val="0"/>
              <w:snapToGrid/>
              <w:sz w:val="22"/>
              <w:szCs w:val="22"/>
              <w:lang w:val="es-CR" w:eastAsia="es-CR"/>
            </w:rPr>
          </w:pPr>
          <w:hyperlink w:anchor="_Toc27509197" w:history="1">
            <w:r w:rsidR="00626FF4" w:rsidRPr="005E3955">
              <w:rPr>
                <w:rStyle w:val="Hipervnculo"/>
              </w:rPr>
              <w:t>iX PUNTOS RESOLUTIVOS</w:t>
            </w:r>
            <w:r w:rsidR="00626FF4">
              <w:rPr>
                <w:webHidden/>
              </w:rPr>
              <w:tab/>
            </w:r>
            <w:r w:rsidR="00626FF4">
              <w:rPr>
                <w:webHidden/>
              </w:rPr>
              <w:fldChar w:fldCharType="begin"/>
            </w:r>
            <w:r w:rsidR="00626FF4">
              <w:rPr>
                <w:webHidden/>
              </w:rPr>
              <w:instrText xml:space="preserve"> PAGEREF _Toc27509197 \h </w:instrText>
            </w:r>
            <w:r w:rsidR="00626FF4">
              <w:rPr>
                <w:webHidden/>
              </w:rPr>
            </w:r>
            <w:r w:rsidR="00626FF4">
              <w:rPr>
                <w:webHidden/>
              </w:rPr>
              <w:fldChar w:fldCharType="separate"/>
            </w:r>
            <w:r w:rsidR="00F11983">
              <w:rPr>
                <w:webHidden/>
              </w:rPr>
              <w:t>58</w:t>
            </w:r>
            <w:r w:rsidR="00626FF4">
              <w:rPr>
                <w:webHidden/>
              </w:rPr>
              <w:fldChar w:fldCharType="end"/>
            </w:r>
          </w:hyperlink>
        </w:p>
        <w:p w14:paraId="38800730" w14:textId="2C99B615" w:rsidR="00F47F22" w:rsidRPr="00324461" w:rsidRDefault="00F47F22" w:rsidP="001A24A9">
          <w:pPr>
            <w:spacing w:after="0" w:line="240" w:lineRule="auto"/>
            <w:jc w:val="both"/>
            <w:rPr>
              <w:sz w:val="18"/>
              <w:szCs w:val="18"/>
            </w:rPr>
          </w:pPr>
          <w:r w:rsidRPr="00230D8B">
            <w:rPr>
              <w:rFonts w:ascii="Verdana" w:hAnsi="Verdana"/>
              <w:bCs/>
              <w:sz w:val="18"/>
              <w:szCs w:val="18"/>
              <w:lang w:val="es-ES"/>
            </w:rPr>
            <w:fldChar w:fldCharType="end"/>
          </w:r>
        </w:p>
      </w:sdtContent>
    </w:sdt>
    <w:p w14:paraId="22A09CF2" w14:textId="77777777" w:rsidR="001C05D8" w:rsidRPr="00E25884" w:rsidRDefault="001C05D8" w:rsidP="00EB774C">
      <w:pPr>
        <w:spacing w:before="120" w:after="0" w:line="240" w:lineRule="auto"/>
        <w:jc w:val="both"/>
        <w:rPr>
          <w:rFonts w:ascii="Verdana" w:eastAsia="Calibri" w:hAnsi="Verdana" w:cs="Verdana"/>
          <w:b/>
          <w:caps/>
          <w:noProof/>
          <w:snapToGrid w:val="0"/>
          <w:sz w:val="20"/>
          <w:szCs w:val="20"/>
          <w:lang w:val="es-ES_tradnl"/>
        </w:rPr>
      </w:pPr>
      <w:r w:rsidRPr="00E25884">
        <w:rPr>
          <w:rFonts w:ascii="Verdana" w:eastAsia="Calibri" w:hAnsi="Verdana" w:cs="Verdana"/>
          <w:b/>
          <w:caps/>
          <w:noProof/>
          <w:snapToGrid w:val="0"/>
          <w:sz w:val="20"/>
          <w:szCs w:val="20"/>
          <w:lang w:val="es-ES_tradnl"/>
        </w:rPr>
        <w:br w:type="page"/>
      </w:r>
    </w:p>
    <w:p w14:paraId="06B1C7F5" w14:textId="77777777" w:rsidR="001C05D8" w:rsidRDefault="001C05D8" w:rsidP="00C97BC1">
      <w:pPr>
        <w:pStyle w:val="Ttulo1"/>
        <w:rPr>
          <w:rFonts w:eastAsia="Times New Roman" w:cs="Verdana"/>
          <w:bCs/>
          <w:caps/>
          <w:snapToGrid w:val="0"/>
          <w:lang w:val="es-ES_tradnl"/>
        </w:rPr>
      </w:pPr>
      <w:bookmarkStart w:id="1" w:name="_Toc494123963"/>
      <w:bookmarkStart w:id="2" w:name="_Toc12726705"/>
      <w:bookmarkStart w:id="3" w:name="_Toc27509152"/>
      <w:r w:rsidRPr="00E25884">
        <w:rPr>
          <w:rFonts w:eastAsia="Times New Roman" w:cs="Verdana"/>
          <w:bCs/>
          <w:caps/>
          <w:snapToGrid w:val="0"/>
          <w:lang w:val="es-ES_tradnl"/>
        </w:rPr>
        <w:lastRenderedPageBreak/>
        <w:t>I</w:t>
      </w:r>
      <w:r w:rsidRPr="00E25884">
        <w:rPr>
          <w:rFonts w:eastAsia="Times New Roman" w:cs="Verdana"/>
          <w:bCs/>
          <w:caps/>
          <w:snapToGrid w:val="0"/>
          <w:lang w:val="es-ES_tradnl"/>
        </w:rPr>
        <w:br/>
      </w:r>
      <w:bookmarkEnd w:id="0"/>
      <w:r w:rsidRPr="00E25884">
        <w:rPr>
          <w:rFonts w:eastAsia="Times New Roman" w:cs="Verdana"/>
          <w:bCs/>
          <w:caps/>
          <w:snapToGrid w:val="0"/>
          <w:lang w:val="es-ES_tradnl"/>
        </w:rPr>
        <w:t>INTRODUCCIÓN DE LA CAUSA Y OBJETO DE LA CONTROVERSIA</w:t>
      </w:r>
      <w:bookmarkEnd w:id="1"/>
      <w:bookmarkEnd w:id="2"/>
      <w:bookmarkEnd w:id="3"/>
    </w:p>
    <w:p w14:paraId="6D50C5E3" w14:textId="77777777" w:rsidR="00C97BC1" w:rsidRPr="00C97BC1" w:rsidRDefault="00C97BC1" w:rsidP="00C97BC1">
      <w:pPr>
        <w:spacing w:after="0" w:line="240" w:lineRule="auto"/>
        <w:rPr>
          <w:lang w:val="es-ES_tradnl"/>
        </w:rPr>
      </w:pPr>
    </w:p>
    <w:p w14:paraId="4EC48508" w14:textId="4F57FF05" w:rsidR="005C5C77" w:rsidRPr="00C97BC1" w:rsidRDefault="001C05D8" w:rsidP="00C97BC1">
      <w:pPr>
        <w:widowControl w:val="0"/>
        <w:numPr>
          <w:ilvl w:val="0"/>
          <w:numId w:val="12"/>
        </w:numPr>
        <w:tabs>
          <w:tab w:val="left" w:pos="567"/>
          <w:tab w:val="num" w:pos="12305"/>
        </w:tabs>
        <w:autoSpaceDE w:val="0"/>
        <w:autoSpaceDN w:val="0"/>
        <w:adjustRightInd w:val="0"/>
        <w:spacing w:after="0" w:line="240" w:lineRule="auto"/>
        <w:ind w:left="0" w:firstLine="0"/>
        <w:jc w:val="both"/>
        <w:textAlignment w:val="baseline"/>
        <w:rPr>
          <w:rFonts w:ascii="Verdana" w:hAnsi="Verdana"/>
          <w:color w:val="151515"/>
          <w:sz w:val="20"/>
          <w:szCs w:val="20"/>
          <w:lang w:val="es-CR" w:eastAsia="es-CR"/>
        </w:rPr>
      </w:pPr>
      <w:r w:rsidRPr="00DD0020">
        <w:rPr>
          <w:rFonts w:ascii="Verdana" w:eastAsia="Verdana" w:hAnsi="Verdana" w:cs="Verdana"/>
          <w:i/>
          <w:sz w:val="20"/>
          <w:szCs w:val="20"/>
          <w:lang w:val="es-ES" w:eastAsia="es-CR"/>
        </w:rPr>
        <w:t xml:space="preserve">El caso sometido a la Corte. – </w:t>
      </w:r>
      <w:r w:rsidRPr="00DD0020">
        <w:rPr>
          <w:rFonts w:ascii="Verdana" w:eastAsia="Verdana" w:hAnsi="Verdana" w:cs="Verdana"/>
          <w:sz w:val="20"/>
          <w:szCs w:val="20"/>
          <w:lang w:val="es-ES" w:eastAsia="es-CR"/>
        </w:rPr>
        <w:t xml:space="preserve">El </w:t>
      </w:r>
      <w:r w:rsidR="003420AD" w:rsidRPr="00DD0020">
        <w:rPr>
          <w:rFonts w:ascii="Verdana" w:eastAsia="Verdana" w:hAnsi="Verdana" w:cs="Verdana"/>
          <w:sz w:val="20"/>
          <w:szCs w:val="20"/>
          <w:lang w:val="es-ES" w:eastAsia="es-CR"/>
        </w:rPr>
        <w:t>8 de febrero</w:t>
      </w:r>
      <w:r w:rsidR="009C600B" w:rsidRPr="00DD0020">
        <w:rPr>
          <w:rFonts w:ascii="Verdana" w:eastAsia="Verdana" w:hAnsi="Verdana" w:cs="Verdana"/>
          <w:sz w:val="20"/>
          <w:szCs w:val="20"/>
          <w:lang w:val="es-ES" w:eastAsia="es-CR"/>
        </w:rPr>
        <w:t xml:space="preserve"> de 2018</w:t>
      </w:r>
      <w:r w:rsidRPr="00DD0020">
        <w:rPr>
          <w:rFonts w:ascii="Verdana" w:eastAsia="Verdana" w:hAnsi="Verdana" w:cs="Verdana"/>
          <w:sz w:val="20"/>
          <w:szCs w:val="20"/>
          <w:lang w:val="es-ES" w:eastAsia="es-CR"/>
        </w:rPr>
        <w:t xml:space="preserve"> la Comisión Interamericana de Derechos Humanos (en adelante “la Comisión Interamericana” o “la Comisión”) sometió a la jurisdicción de la Corte el caso </w:t>
      </w:r>
      <w:r w:rsidRPr="00DD0020">
        <w:rPr>
          <w:rFonts w:ascii="Verdana" w:eastAsia="Verdana" w:hAnsi="Verdana" w:cs="Verdana"/>
          <w:i/>
          <w:sz w:val="20"/>
          <w:szCs w:val="20"/>
          <w:lang w:val="es-ES" w:eastAsia="es-CR"/>
        </w:rPr>
        <w:t>“</w:t>
      </w:r>
      <w:r w:rsidR="003420AD" w:rsidRPr="00DD0020">
        <w:rPr>
          <w:rFonts w:ascii="Verdana" w:eastAsia="Verdana" w:hAnsi="Verdana" w:cs="Verdana"/>
          <w:i/>
          <w:sz w:val="20"/>
          <w:szCs w:val="20"/>
          <w:lang w:val="es-ES" w:eastAsia="es-CR"/>
        </w:rPr>
        <w:t>José Luis Hernández</w:t>
      </w:r>
      <w:r w:rsidRPr="00DD0020">
        <w:rPr>
          <w:rFonts w:ascii="Verdana" w:eastAsia="Verdana" w:hAnsi="Verdana" w:cs="Verdana"/>
          <w:i/>
          <w:sz w:val="20"/>
          <w:szCs w:val="20"/>
          <w:lang w:val="es-ES" w:eastAsia="es-CR"/>
        </w:rPr>
        <w:t>”</w:t>
      </w:r>
      <w:r w:rsidRPr="00DD0020">
        <w:rPr>
          <w:rFonts w:ascii="Verdana" w:eastAsia="Verdana" w:hAnsi="Verdana" w:cs="Verdana"/>
          <w:sz w:val="20"/>
          <w:szCs w:val="20"/>
          <w:lang w:val="es-ES" w:eastAsia="es-CR"/>
        </w:rPr>
        <w:t xml:space="preserve"> contra la República de Argentina (en adelante, “el Estado” o “Argentina”). De acuerdo con lo indicado por la Comisión, </w:t>
      </w:r>
      <w:r w:rsidR="005C5C77" w:rsidRPr="00DD0020">
        <w:rPr>
          <w:rFonts w:ascii="Verdana" w:eastAsia="Verdana" w:hAnsi="Verdana" w:cs="Verdana"/>
          <w:sz w:val="20"/>
          <w:szCs w:val="20"/>
          <w:lang w:val="es-ES" w:eastAsia="es-CR"/>
        </w:rPr>
        <w:t>e</w:t>
      </w:r>
      <w:r w:rsidR="005C5C77" w:rsidRPr="00DD0020">
        <w:rPr>
          <w:rFonts w:ascii="Verdana" w:hAnsi="Verdana"/>
          <w:sz w:val="20"/>
          <w:szCs w:val="20"/>
          <w:lang w:val="es-CR"/>
        </w:rPr>
        <w:t xml:space="preserve">l caso se relaciona con la violación a la integridad personal de José Luis Hernández mientras se encontraba privado de libertad </w:t>
      </w:r>
      <w:r w:rsidR="005D2025">
        <w:rPr>
          <w:rFonts w:ascii="Verdana" w:hAnsi="Verdana"/>
          <w:sz w:val="20"/>
          <w:szCs w:val="20"/>
          <w:lang w:val="es-CR"/>
        </w:rPr>
        <w:t xml:space="preserve">debido a </w:t>
      </w:r>
      <w:r w:rsidR="005D2025" w:rsidRPr="00DD0020">
        <w:rPr>
          <w:rFonts w:ascii="Verdana" w:hAnsi="Verdana"/>
          <w:sz w:val="20"/>
          <w:szCs w:val="20"/>
          <w:lang w:val="es-CR"/>
        </w:rPr>
        <w:t>que la enfermedad que adquirió mientras estuvo detenido no se trató oportunamente, ni en condiciones de equivalencia a una persona no privada de libertad, lo cual tuvo secuelas neurológicas como la pérdida absoluta de visión en un ojo, incapacidad parcial y permanente de</w:t>
      </w:r>
      <w:r w:rsidR="009820F0">
        <w:rPr>
          <w:rFonts w:ascii="Verdana" w:hAnsi="Verdana"/>
          <w:sz w:val="20"/>
          <w:szCs w:val="20"/>
          <w:lang w:val="es-CR"/>
        </w:rPr>
        <w:t xml:space="preserve"> un brazo, y pérdida de memoria</w:t>
      </w:r>
      <w:r w:rsidR="005D2025">
        <w:rPr>
          <w:rFonts w:ascii="Verdana" w:hAnsi="Verdana"/>
          <w:sz w:val="20"/>
          <w:szCs w:val="20"/>
          <w:lang w:val="es-CR"/>
        </w:rPr>
        <w:t>;</w:t>
      </w:r>
      <w:r w:rsidR="005C5C77" w:rsidRPr="00DD0020">
        <w:rPr>
          <w:rFonts w:ascii="Verdana" w:hAnsi="Verdana"/>
          <w:sz w:val="20"/>
          <w:szCs w:val="20"/>
          <w:lang w:val="es-CR"/>
        </w:rPr>
        <w:t xml:space="preserve"> la violación a su libertad personal y a la presunción de inocencia por ser sometido a prisión preventiva</w:t>
      </w:r>
      <w:r w:rsidR="005D2025">
        <w:rPr>
          <w:rFonts w:ascii="Verdana" w:hAnsi="Verdana"/>
          <w:sz w:val="20"/>
          <w:szCs w:val="20"/>
          <w:lang w:val="es-CR"/>
        </w:rPr>
        <w:t xml:space="preserve"> obligatoria y al estar privado de su libertad un año y seis meses en una comisaría policial;</w:t>
      </w:r>
      <w:r w:rsidR="005C5C77" w:rsidRPr="00DD0020">
        <w:rPr>
          <w:rFonts w:ascii="Verdana" w:hAnsi="Verdana"/>
          <w:sz w:val="20"/>
          <w:szCs w:val="20"/>
          <w:lang w:val="es-CR"/>
        </w:rPr>
        <w:t xml:space="preserve"> la falta de acceso a un recurso judicial efectivo</w:t>
      </w:r>
      <w:r w:rsidR="005D2025">
        <w:rPr>
          <w:rFonts w:ascii="Verdana" w:hAnsi="Verdana"/>
          <w:sz w:val="20"/>
          <w:szCs w:val="20"/>
          <w:lang w:val="es-CR"/>
        </w:rPr>
        <w:t xml:space="preserve"> para tutelar su derecho a la salud;</w:t>
      </w:r>
      <w:r w:rsidR="005C5C77" w:rsidRPr="00DD0020">
        <w:rPr>
          <w:rFonts w:ascii="Verdana" w:hAnsi="Verdana"/>
          <w:sz w:val="20"/>
          <w:szCs w:val="20"/>
          <w:lang w:val="es-CR"/>
        </w:rPr>
        <w:t xml:space="preserve"> y la violación a la integridad personal en perjuicio de su madre</w:t>
      </w:r>
      <w:r w:rsidR="00DD0020" w:rsidRPr="00DD0020">
        <w:rPr>
          <w:rFonts w:ascii="Verdana" w:hAnsi="Verdana" w:cs="Arial"/>
          <w:sz w:val="20"/>
          <w:szCs w:val="20"/>
          <w:lang w:val="es-CR"/>
        </w:rPr>
        <w:t>, la señora Raquel San Martín de Hernández</w:t>
      </w:r>
      <w:r w:rsidR="005D2025">
        <w:rPr>
          <w:rFonts w:ascii="Verdana" w:hAnsi="Verdana" w:cs="Arial"/>
          <w:sz w:val="20"/>
          <w:szCs w:val="20"/>
          <w:lang w:val="es-CR"/>
        </w:rPr>
        <w:t>, por la angustia que le provocó la privación de la libertad personal de su hijo</w:t>
      </w:r>
      <w:r w:rsidR="005C5C77" w:rsidRPr="00DD0020">
        <w:rPr>
          <w:rFonts w:ascii="Verdana" w:hAnsi="Verdana"/>
          <w:sz w:val="20"/>
          <w:szCs w:val="20"/>
          <w:lang w:val="es-CR"/>
        </w:rPr>
        <w:t>.</w:t>
      </w:r>
    </w:p>
    <w:p w14:paraId="64306F94" w14:textId="77777777" w:rsidR="00C97BC1" w:rsidRPr="00DD0020" w:rsidRDefault="00C97BC1" w:rsidP="00C97BC1">
      <w:pPr>
        <w:widowControl w:val="0"/>
        <w:tabs>
          <w:tab w:val="left" w:pos="567"/>
        </w:tabs>
        <w:autoSpaceDE w:val="0"/>
        <w:autoSpaceDN w:val="0"/>
        <w:adjustRightInd w:val="0"/>
        <w:spacing w:after="0" w:line="240" w:lineRule="auto"/>
        <w:jc w:val="both"/>
        <w:textAlignment w:val="baseline"/>
        <w:rPr>
          <w:rFonts w:ascii="Verdana" w:hAnsi="Verdana"/>
          <w:color w:val="151515"/>
          <w:sz w:val="20"/>
          <w:szCs w:val="20"/>
          <w:lang w:val="es-CR" w:eastAsia="es-CR"/>
        </w:rPr>
      </w:pPr>
    </w:p>
    <w:p w14:paraId="31355B48" w14:textId="77777777" w:rsidR="00C97BC1" w:rsidRDefault="001C05D8"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eastAsia="Calibri" w:hAnsi="Verdana" w:cs="Arial"/>
          <w:sz w:val="20"/>
          <w:szCs w:val="20"/>
          <w:lang w:val="es-ES" w:eastAsia="es-CR"/>
        </w:rPr>
      </w:pPr>
      <w:r w:rsidRPr="00E25884">
        <w:rPr>
          <w:rFonts w:ascii="Verdana" w:eastAsia="Verdana" w:hAnsi="Verdana" w:cs="Verdana"/>
          <w:i/>
          <w:sz w:val="20"/>
          <w:szCs w:val="20"/>
          <w:lang w:val="es-ES" w:eastAsia="es-CR"/>
        </w:rPr>
        <w:t xml:space="preserve">Trámite ante la Comisión. – </w:t>
      </w:r>
      <w:r w:rsidRPr="00E25884">
        <w:rPr>
          <w:rFonts w:ascii="Verdana" w:eastAsia="Verdana" w:hAnsi="Verdana" w:cs="Verdana"/>
          <w:sz w:val="20"/>
          <w:szCs w:val="20"/>
          <w:lang w:val="es-ES" w:eastAsia="es-CR"/>
        </w:rPr>
        <w:t>El trámite ante la Comisión fue el siguiente:</w:t>
      </w:r>
    </w:p>
    <w:p w14:paraId="66FB9CD0" w14:textId="77777777" w:rsidR="00C97BC1" w:rsidRPr="00C97BC1" w:rsidRDefault="00C97BC1" w:rsidP="00C97BC1">
      <w:pPr>
        <w:widowControl w:val="0"/>
        <w:tabs>
          <w:tab w:val="left" w:pos="567"/>
        </w:tabs>
        <w:adjustRightInd w:val="0"/>
        <w:spacing w:after="0" w:line="240" w:lineRule="auto"/>
        <w:jc w:val="both"/>
        <w:textAlignment w:val="baseline"/>
        <w:rPr>
          <w:rFonts w:ascii="Verdana" w:eastAsia="Calibri" w:hAnsi="Verdana" w:cs="Arial"/>
          <w:sz w:val="20"/>
          <w:szCs w:val="20"/>
          <w:lang w:val="es-ES" w:eastAsia="es-CR"/>
        </w:rPr>
      </w:pPr>
    </w:p>
    <w:p w14:paraId="5DBBD896" w14:textId="77777777" w:rsidR="00C06400" w:rsidRDefault="001C05D8" w:rsidP="00C97BC1">
      <w:pPr>
        <w:widowControl w:val="0"/>
        <w:numPr>
          <w:ilvl w:val="0"/>
          <w:numId w:val="13"/>
        </w:numPr>
        <w:adjustRightInd w:val="0"/>
        <w:spacing w:after="0" w:line="240" w:lineRule="auto"/>
        <w:ind w:left="816" w:right="142" w:hanging="357"/>
        <w:jc w:val="both"/>
        <w:textAlignment w:val="baseline"/>
        <w:rPr>
          <w:rFonts w:ascii="Verdana" w:eastAsia="Verdana" w:hAnsi="Verdana" w:cs="Verdana"/>
          <w:sz w:val="20"/>
          <w:szCs w:val="20"/>
          <w:lang w:val="es-ES" w:eastAsia="es-CR"/>
        </w:rPr>
      </w:pPr>
      <w:r w:rsidRPr="00E25884">
        <w:rPr>
          <w:rFonts w:ascii="Verdana" w:eastAsia="Verdana" w:hAnsi="Verdana" w:cs="Verdana"/>
          <w:i/>
          <w:sz w:val="20"/>
          <w:szCs w:val="20"/>
          <w:lang w:val="es-ES" w:eastAsia="es-CR"/>
        </w:rPr>
        <w:t xml:space="preserve">Petición. – </w:t>
      </w:r>
      <w:r w:rsidR="00C06400" w:rsidRPr="00E25884">
        <w:rPr>
          <w:rFonts w:ascii="Verdana" w:eastAsia="Verdana" w:hAnsi="Verdana" w:cs="Verdana"/>
          <w:sz w:val="20"/>
          <w:szCs w:val="20"/>
          <w:lang w:val="es-ES" w:eastAsia="es-CR"/>
        </w:rPr>
        <w:t xml:space="preserve">Mediante comunicación de </w:t>
      </w:r>
      <w:r w:rsidR="0042798D" w:rsidRPr="00E25884">
        <w:rPr>
          <w:rFonts w:ascii="Verdana" w:eastAsia="Verdana" w:hAnsi="Verdana" w:cs="Verdana"/>
          <w:sz w:val="20"/>
          <w:szCs w:val="20"/>
          <w:lang w:val="es-ES" w:eastAsia="es-CR"/>
        </w:rPr>
        <w:t>30 de junio de 1998</w:t>
      </w:r>
      <w:r w:rsidR="00C06400" w:rsidRPr="00E25884">
        <w:rPr>
          <w:rFonts w:ascii="Verdana" w:eastAsia="Verdana" w:hAnsi="Verdana" w:cs="Verdana"/>
          <w:sz w:val="20"/>
          <w:szCs w:val="20"/>
          <w:lang w:val="es-ES" w:eastAsia="es-CR"/>
        </w:rPr>
        <w:t>, los representantes (en adelante “los peticionarios”) presentaron la petición inicial ante la Comisión.</w:t>
      </w:r>
    </w:p>
    <w:p w14:paraId="0A70EA75" w14:textId="77777777" w:rsidR="00C97BC1" w:rsidRPr="00E25884" w:rsidRDefault="00C97BC1" w:rsidP="00C97BC1">
      <w:pPr>
        <w:widowControl w:val="0"/>
        <w:adjustRightInd w:val="0"/>
        <w:spacing w:after="0" w:line="240" w:lineRule="auto"/>
        <w:ind w:left="816" w:right="142"/>
        <w:jc w:val="both"/>
        <w:textAlignment w:val="baseline"/>
        <w:rPr>
          <w:rFonts w:ascii="Verdana" w:eastAsia="Verdana" w:hAnsi="Verdana" w:cs="Verdana"/>
          <w:sz w:val="20"/>
          <w:szCs w:val="20"/>
          <w:lang w:val="es-ES" w:eastAsia="es-CR"/>
        </w:rPr>
      </w:pPr>
    </w:p>
    <w:p w14:paraId="163D04A9" w14:textId="5925C2D9" w:rsidR="001C05D8" w:rsidRPr="000B58B4" w:rsidRDefault="001C05D8" w:rsidP="000B58B4">
      <w:pPr>
        <w:widowControl w:val="0"/>
        <w:numPr>
          <w:ilvl w:val="0"/>
          <w:numId w:val="13"/>
        </w:numPr>
        <w:adjustRightInd w:val="0"/>
        <w:spacing w:after="0" w:line="240" w:lineRule="auto"/>
        <w:ind w:left="816" w:right="142" w:hanging="357"/>
        <w:jc w:val="both"/>
        <w:textAlignment w:val="baseline"/>
        <w:rPr>
          <w:rFonts w:ascii="Verdana" w:eastAsia="Verdana" w:hAnsi="Verdana" w:cs="Verdana"/>
          <w:sz w:val="20"/>
          <w:szCs w:val="20"/>
          <w:lang w:val="es-ES" w:eastAsia="es-CR"/>
        </w:rPr>
      </w:pPr>
      <w:r w:rsidRPr="000B58B4">
        <w:rPr>
          <w:rFonts w:ascii="Verdana" w:eastAsia="Verdana" w:hAnsi="Verdana" w:cs="Verdana"/>
          <w:i/>
          <w:sz w:val="20"/>
          <w:szCs w:val="20"/>
          <w:lang w:val="es-ES" w:eastAsia="es-CR"/>
        </w:rPr>
        <w:t xml:space="preserve">Informe de Admisibilidad. – </w:t>
      </w:r>
      <w:r w:rsidRPr="000B58B4">
        <w:rPr>
          <w:rFonts w:ascii="Verdana" w:eastAsia="Verdana" w:hAnsi="Verdana" w:cs="Verdana"/>
          <w:sz w:val="20"/>
          <w:szCs w:val="20"/>
          <w:lang w:val="es-ES" w:eastAsia="es-CR"/>
        </w:rPr>
        <w:t xml:space="preserve">El </w:t>
      </w:r>
      <w:r w:rsidR="0042798D" w:rsidRPr="000B58B4">
        <w:rPr>
          <w:rFonts w:ascii="Verdana" w:eastAsia="Verdana" w:hAnsi="Verdana" w:cs="Verdana"/>
          <w:sz w:val="20"/>
          <w:szCs w:val="20"/>
          <w:lang w:val="es-ES" w:eastAsia="es-CR"/>
        </w:rPr>
        <w:t>21 de julio de 2011</w:t>
      </w:r>
      <w:r w:rsidR="00C27C71" w:rsidRPr="000B58B4">
        <w:rPr>
          <w:rFonts w:ascii="Verdana" w:eastAsia="Verdana" w:hAnsi="Verdana" w:cs="Verdana"/>
          <w:sz w:val="20"/>
          <w:szCs w:val="20"/>
          <w:lang w:val="es-ES" w:eastAsia="es-CR"/>
        </w:rPr>
        <w:t>,</w:t>
      </w:r>
      <w:r w:rsidRPr="000B58B4">
        <w:rPr>
          <w:rFonts w:ascii="Verdana" w:eastAsia="Verdana" w:hAnsi="Verdana" w:cs="Verdana"/>
          <w:sz w:val="20"/>
          <w:szCs w:val="20"/>
          <w:lang w:val="es-ES" w:eastAsia="es-CR"/>
        </w:rPr>
        <w:t xml:space="preserve"> la Comisión aprobó el Informe de </w:t>
      </w:r>
      <w:r w:rsidR="0042798D" w:rsidRPr="000B58B4">
        <w:rPr>
          <w:rFonts w:ascii="Verdana" w:eastAsia="Verdana" w:hAnsi="Verdana" w:cs="Verdana"/>
          <w:position w:val="-1"/>
          <w:sz w:val="20"/>
          <w:szCs w:val="20"/>
          <w:lang w:val="es-ES" w:eastAsia="es-CR"/>
        </w:rPr>
        <w:t>Admisibilidad No. 82/10</w:t>
      </w:r>
      <w:r w:rsidRPr="00E25884">
        <w:rPr>
          <w:rStyle w:val="Refdenotaalpie"/>
          <w:rFonts w:ascii="Verdana" w:eastAsia="Verdana" w:hAnsi="Verdana" w:cs="Verdana"/>
          <w:position w:val="-1"/>
          <w:sz w:val="20"/>
          <w:szCs w:val="20"/>
          <w:lang w:val="es-ES" w:eastAsia="es-CR"/>
        </w:rPr>
        <w:footnoteReference w:id="3"/>
      </w:r>
      <w:r w:rsidR="00AA5948" w:rsidRPr="000B58B4">
        <w:rPr>
          <w:rFonts w:ascii="Verdana" w:eastAsia="Verdana" w:hAnsi="Verdana" w:cs="Verdana"/>
          <w:position w:val="-1"/>
          <w:sz w:val="20"/>
          <w:szCs w:val="20"/>
          <w:lang w:val="es-ES" w:eastAsia="es-CR"/>
        </w:rPr>
        <w:t>.</w:t>
      </w:r>
    </w:p>
    <w:p w14:paraId="3DE892C6" w14:textId="77777777" w:rsidR="00C97BC1" w:rsidRPr="00E25884" w:rsidRDefault="00C97BC1" w:rsidP="00C97BC1">
      <w:pPr>
        <w:widowControl w:val="0"/>
        <w:adjustRightInd w:val="0"/>
        <w:spacing w:after="0" w:line="240" w:lineRule="auto"/>
        <w:ind w:right="142"/>
        <w:jc w:val="both"/>
        <w:textAlignment w:val="baseline"/>
        <w:rPr>
          <w:rFonts w:ascii="Verdana" w:eastAsia="Verdana" w:hAnsi="Verdana" w:cs="Verdana"/>
          <w:sz w:val="20"/>
          <w:szCs w:val="20"/>
          <w:lang w:val="es-ES" w:eastAsia="es-CR"/>
        </w:rPr>
      </w:pPr>
    </w:p>
    <w:p w14:paraId="1E53856E" w14:textId="43C61494" w:rsidR="001C05D8" w:rsidRPr="00C97BC1" w:rsidRDefault="001C05D8" w:rsidP="00C97BC1">
      <w:pPr>
        <w:widowControl w:val="0"/>
        <w:numPr>
          <w:ilvl w:val="0"/>
          <w:numId w:val="13"/>
        </w:numPr>
        <w:adjustRightInd w:val="0"/>
        <w:spacing w:after="0" w:line="240" w:lineRule="auto"/>
        <w:ind w:left="816" w:right="142" w:hanging="357"/>
        <w:jc w:val="both"/>
        <w:textAlignment w:val="baseline"/>
        <w:rPr>
          <w:rFonts w:ascii="Verdana" w:eastAsia="Verdana" w:hAnsi="Verdana" w:cs="Verdana"/>
          <w:sz w:val="20"/>
          <w:szCs w:val="20"/>
          <w:lang w:val="es-ES" w:eastAsia="es-CR"/>
        </w:rPr>
      </w:pPr>
      <w:r w:rsidRPr="00E25884">
        <w:rPr>
          <w:rFonts w:ascii="Verdana" w:eastAsia="Verdana" w:hAnsi="Verdana" w:cs="Verdana"/>
          <w:i/>
          <w:sz w:val="20"/>
          <w:szCs w:val="20"/>
          <w:lang w:val="es-ES" w:eastAsia="es-CR"/>
        </w:rPr>
        <w:t xml:space="preserve">Informe de Fondo. – </w:t>
      </w:r>
      <w:r w:rsidRPr="00E25884">
        <w:rPr>
          <w:rFonts w:ascii="Verdana" w:eastAsia="Verdana" w:hAnsi="Verdana" w:cs="Verdana"/>
          <w:sz w:val="20"/>
          <w:szCs w:val="20"/>
          <w:lang w:val="es-ES" w:eastAsia="es-CR"/>
        </w:rPr>
        <w:t xml:space="preserve">El </w:t>
      </w:r>
      <w:r w:rsidR="005D5ED8" w:rsidRPr="00E25884">
        <w:rPr>
          <w:rFonts w:ascii="Verdana" w:eastAsia="Verdana" w:hAnsi="Verdana" w:cs="Verdana"/>
          <w:sz w:val="20"/>
          <w:szCs w:val="20"/>
          <w:lang w:val="es-ES" w:eastAsia="es-CR"/>
        </w:rPr>
        <w:t>5 de septiembre de 2017</w:t>
      </w:r>
      <w:r w:rsidRPr="00E25884">
        <w:rPr>
          <w:rFonts w:ascii="Verdana" w:eastAsia="Verdana" w:hAnsi="Verdana" w:cs="Verdana"/>
          <w:sz w:val="20"/>
          <w:szCs w:val="20"/>
          <w:lang w:val="es-ES" w:eastAsia="es-CR"/>
        </w:rPr>
        <w:t xml:space="preserve"> la Comisión </w:t>
      </w:r>
      <w:r w:rsidR="005D5ED8" w:rsidRPr="00E25884">
        <w:rPr>
          <w:rFonts w:ascii="Verdana" w:eastAsia="Verdana" w:hAnsi="Verdana" w:cs="Verdana"/>
          <w:sz w:val="20"/>
          <w:szCs w:val="20"/>
          <w:lang w:val="es-ES" w:eastAsia="es-CR"/>
        </w:rPr>
        <w:t>a</w:t>
      </w:r>
      <w:r w:rsidR="0042798D" w:rsidRPr="00E25884">
        <w:rPr>
          <w:rFonts w:ascii="Verdana" w:eastAsia="Verdana" w:hAnsi="Verdana" w:cs="Verdana"/>
          <w:sz w:val="20"/>
          <w:szCs w:val="20"/>
          <w:lang w:val="es-ES" w:eastAsia="es-CR"/>
        </w:rPr>
        <w:t>probó el Informe de Fondo No. 96</w:t>
      </w:r>
      <w:r w:rsidRPr="00E25884">
        <w:rPr>
          <w:rFonts w:ascii="Verdana" w:eastAsia="Verdana" w:hAnsi="Verdana" w:cs="Verdana"/>
          <w:sz w:val="20"/>
          <w:szCs w:val="20"/>
          <w:lang w:val="es-ES" w:eastAsia="es-CR"/>
        </w:rPr>
        <w:t>/17</w:t>
      </w:r>
      <w:r w:rsidR="009E3377">
        <w:rPr>
          <w:rFonts w:ascii="Verdana" w:eastAsia="Verdana" w:hAnsi="Verdana" w:cs="Verdana"/>
          <w:sz w:val="20"/>
          <w:szCs w:val="20"/>
          <w:lang w:val="es-ES" w:eastAsia="es-CR"/>
        </w:rPr>
        <w:t xml:space="preserve"> </w:t>
      </w:r>
      <w:r w:rsidR="009E3377" w:rsidRPr="00E25884">
        <w:rPr>
          <w:rFonts w:ascii="Verdana" w:eastAsia="Verdana" w:hAnsi="Verdana" w:cs="Verdana"/>
          <w:sz w:val="20"/>
          <w:szCs w:val="20"/>
          <w:lang w:val="es-ES" w:eastAsia="es-CR"/>
        </w:rPr>
        <w:t>(en adelante también “el Informe de Fondo” o “el Informe No. 96/17”)</w:t>
      </w:r>
      <w:r w:rsidRPr="00E25884">
        <w:rPr>
          <w:rFonts w:ascii="Verdana" w:eastAsia="Verdana" w:hAnsi="Verdana" w:cs="Verdana"/>
          <w:sz w:val="20"/>
          <w:szCs w:val="20"/>
          <w:lang w:val="es-ES" w:eastAsia="es-CR"/>
        </w:rPr>
        <w:t>, de conformidad con el artículo 50 de la Convención</w:t>
      </w:r>
      <w:r w:rsidR="000B58B4">
        <w:rPr>
          <w:rFonts w:ascii="Verdana" w:eastAsia="Verdana" w:hAnsi="Verdana" w:cs="Verdana"/>
          <w:sz w:val="20"/>
          <w:szCs w:val="20"/>
          <w:lang w:val="es-ES" w:eastAsia="es-CR"/>
        </w:rPr>
        <w:t>,</w:t>
      </w:r>
      <w:r w:rsidRPr="00E25884">
        <w:rPr>
          <w:rFonts w:ascii="Verdana" w:eastAsia="Verdana" w:hAnsi="Verdana" w:cs="Verdana"/>
          <w:sz w:val="20"/>
          <w:szCs w:val="20"/>
          <w:lang w:val="es-ES" w:eastAsia="es-CR"/>
        </w:rPr>
        <w:t xml:space="preserve"> en el cual llegó a una serie de conclusiones y formuló varias recomendaciones al Estado</w:t>
      </w:r>
      <w:r w:rsidRPr="00E25884">
        <w:rPr>
          <w:rStyle w:val="Refdenotaalpie"/>
          <w:rFonts w:ascii="Verdana" w:eastAsia="Verdana" w:hAnsi="Verdana" w:cs="Verdana"/>
          <w:sz w:val="20"/>
          <w:szCs w:val="20"/>
          <w:lang w:val="es-ES" w:eastAsia="es-CR"/>
        </w:rPr>
        <w:footnoteReference w:id="4"/>
      </w:r>
      <w:r w:rsidR="00617C76">
        <w:rPr>
          <w:rFonts w:ascii="Verdana" w:eastAsia="Verdana" w:hAnsi="Verdana" w:cs="Verdana"/>
          <w:sz w:val="20"/>
          <w:szCs w:val="20"/>
          <w:lang w:val="es-ES" w:eastAsia="es-CR"/>
        </w:rPr>
        <w:t>.</w:t>
      </w:r>
    </w:p>
    <w:p w14:paraId="05329C17" w14:textId="77777777" w:rsidR="00C97BC1" w:rsidRPr="00E25884" w:rsidRDefault="00C97BC1" w:rsidP="00C97BC1">
      <w:pPr>
        <w:widowControl w:val="0"/>
        <w:adjustRightInd w:val="0"/>
        <w:spacing w:after="0" w:line="240" w:lineRule="auto"/>
        <w:ind w:right="142"/>
        <w:jc w:val="both"/>
        <w:textAlignment w:val="baseline"/>
        <w:rPr>
          <w:rFonts w:ascii="Verdana" w:eastAsia="Verdana" w:hAnsi="Verdana" w:cs="Verdana"/>
          <w:sz w:val="20"/>
          <w:szCs w:val="20"/>
          <w:lang w:val="es-ES" w:eastAsia="es-CR"/>
        </w:rPr>
      </w:pPr>
    </w:p>
    <w:p w14:paraId="019ACAA4" w14:textId="0857BA92" w:rsidR="001C05D8" w:rsidRPr="00C97BC1" w:rsidRDefault="001A24A9" w:rsidP="00C97BC1">
      <w:pPr>
        <w:widowControl w:val="0"/>
        <w:numPr>
          <w:ilvl w:val="0"/>
          <w:numId w:val="13"/>
        </w:numPr>
        <w:adjustRightInd w:val="0"/>
        <w:spacing w:after="0" w:line="240" w:lineRule="auto"/>
        <w:ind w:left="816" w:right="142" w:hanging="357"/>
        <w:jc w:val="both"/>
        <w:textAlignment w:val="baseline"/>
        <w:rPr>
          <w:rFonts w:ascii="Verdana" w:eastAsia="Verdana" w:hAnsi="Verdana" w:cs="Verdana"/>
          <w:sz w:val="20"/>
          <w:szCs w:val="20"/>
          <w:lang w:val="es-ES" w:eastAsia="es-CR"/>
        </w:rPr>
      </w:pPr>
      <w:r>
        <w:rPr>
          <w:rFonts w:ascii="Verdana" w:eastAsia="Verdana" w:hAnsi="Verdana" w:cs="Verdana"/>
          <w:i/>
          <w:sz w:val="20"/>
          <w:szCs w:val="20"/>
          <w:lang w:val="es-ES" w:eastAsia="es-CR"/>
        </w:rPr>
        <w:t>N</w:t>
      </w:r>
      <w:r w:rsidR="001C05D8" w:rsidRPr="00E25884">
        <w:rPr>
          <w:rFonts w:ascii="Verdana" w:eastAsia="Verdana" w:hAnsi="Verdana" w:cs="Verdana"/>
          <w:i/>
          <w:sz w:val="20"/>
          <w:szCs w:val="20"/>
          <w:lang w:val="es-ES" w:eastAsia="es-CR"/>
        </w:rPr>
        <w:t xml:space="preserve">otificación al Estado. – </w:t>
      </w:r>
      <w:r w:rsidR="001C05D8" w:rsidRPr="00E25884">
        <w:rPr>
          <w:rFonts w:ascii="Verdana" w:eastAsia="Verdana" w:hAnsi="Verdana" w:cs="Verdana"/>
          <w:sz w:val="20"/>
          <w:szCs w:val="20"/>
          <w:lang w:val="es-ES" w:eastAsia="es-CR"/>
        </w:rPr>
        <w:t xml:space="preserve">El </w:t>
      </w:r>
      <w:r w:rsidR="003245EB" w:rsidRPr="00E25884">
        <w:rPr>
          <w:rFonts w:ascii="Verdana" w:eastAsia="Verdana" w:hAnsi="Verdana" w:cs="Verdana"/>
          <w:sz w:val="20"/>
          <w:szCs w:val="20"/>
          <w:lang w:val="es-ES" w:eastAsia="es-CR"/>
        </w:rPr>
        <w:t>8 de noviembre de 2017</w:t>
      </w:r>
      <w:r w:rsidR="001C05D8" w:rsidRPr="00E25884">
        <w:rPr>
          <w:rFonts w:ascii="Verdana" w:eastAsia="Verdana" w:hAnsi="Verdana" w:cs="Verdana"/>
          <w:sz w:val="20"/>
          <w:szCs w:val="20"/>
          <w:lang w:val="es-ES" w:eastAsia="es-CR"/>
        </w:rPr>
        <w:t xml:space="preserve"> fue notifi</w:t>
      </w:r>
      <w:r w:rsidR="00EE634C" w:rsidRPr="00E25884">
        <w:rPr>
          <w:rFonts w:ascii="Verdana" w:eastAsia="Verdana" w:hAnsi="Verdana" w:cs="Verdana"/>
          <w:sz w:val="20"/>
          <w:szCs w:val="20"/>
          <w:lang w:val="es-ES" w:eastAsia="es-CR"/>
        </w:rPr>
        <w:t xml:space="preserve">cado al Estado el Informe No. </w:t>
      </w:r>
      <w:r w:rsidR="00E416C9">
        <w:rPr>
          <w:rFonts w:ascii="Verdana" w:eastAsia="Verdana" w:hAnsi="Verdana" w:cs="Verdana"/>
          <w:sz w:val="20"/>
          <w:szCs w:val="20"/>
          <w:lang w:val="es-ES" w:eastAsia="es-CR"/>
        </w:rPr>
        <w:t>96</w:t>
      </w:r>
      <w:r w:rsidR="001C05D8" w:rsidRPr="00E25884">
        <w:rPr>
          <w:rFonts w:ascii="Verdana" w:eastAsia="Verdana" w:hAnsi="Verdana" w:cs="Verdana"/>
          <w:sz w:val="20"/>
          <w:szCs w:val="20"/>
          <w:lang w:val="es-ES" w:eastAsia="es-CR"/>
        </w:rPr>
        <w:t>/17, otorgándole un plazo de dos meses para informar sobre el cumpl</w:t>
      </w:r>
      <w:r w:rsidR="00617C76">
        <w:rPr>
          <w:rFonts w:ascii="Verdana" w:eastAsia="Verdana" w:hAnsi="Verdana" w:cs="Verdana"/>
          <w:sz w:val="20"/>
          <w:szCs w:val="20"/>
          <w:lang w:val="es-ES" w:eastAsia="es-CR"/>
        </w:rPr>
        <w:t>imiento de las recomendaciones.</w:t>
      </w:r>
    </w:p>
    <w:p w14:paraId="2A5CB678" w14:textId="77777777" w:rsidR="00C97BC1" w:rsidRPr="00E25884" w:rsidRDefault="00C97BC1" w:rsidP="00C97BC1">
      <w:pPr>
        <w:widowControl w:val="0"/>
        <w:adjustRightInd w:val="0"/>
        <w:spacing w:after="0" w:line="240" w:lineRule="auto"/>
        <w:ind w:right="142"/>
        <w:jc w:val="both"/>
        <w:textAlignment w:val="baseline"/>
        <w:rPr>
          <w:rFonts w:ascii="Verdana" w:eastAsia="Verdana" w:hAnsi="Verdana" w:cs="Verdana"/>
          <w:sz w:val="20"/>
          <w:szCs w:val="20"/>
          <w:lang w:val="es-ES" w:eastAsia="es-CR"/>
        </w:rPr>
      </w:pPr>
    </w:p>
    <w:p w14:paraId="41D0D89C" w14:textId="2F3D613A" w:rsidR="001C05D8" w:rsidRPr="00C97BC1" w:rsidRDefault="001C05D8" w:rsidP="00C97BC1">
      <w:pPr>
        <w:widowControl w:val="0"/>
        <w:numPr>
          <w:ilvl w:val="0"/>
          <w:numId w:val="13"/>
        </w:numPr>
        <w:adjustRightInd w:val="0"/>
        <w:spacing w:after="0" w:line="240" w:lineRule="auto"/>
        <w:ind w:left="816" w:right="142" w:hanging="357"/>
        <w:jc w:val="both"/>
        <w:textAlignment w:val="baseline"/>
        <w:rPr>
          <w:rFonts w:ascii="Verdana" w:eastAsia="Verdana" w:hAnsi="Verdana" w:cs="Verdana"/>
          <w:sz w:val="20"/>
          <w:szCs w:val="20"/>
          <w:lang w:val="es-ES" w:eastAsia="es-CR"/>
        </w:rPr>
      </w:pPr>
      <w:r w:rsidRPr="00E25884">
        <w:rPr>
          <w:rFonts w:ascii="Verdana" w:eastAsia="Verdana" w:hAnsi="Verdana" w:cs="Verdana"/>
          <w:i/>
          <w:sz w:val="20"/>
          <w:szCs w:val="20"/>
          <w:lang w:val="es-ES" w:eastAsia="es-CR"/>
        </w:rPr>
        <w:t xml:space="preserve">Informes sobre las recomendaciones de la Comisión. – </w:t>
      </w:r>
      <w:r w:rsidRPr="00E25884">
        <w:rPr>
          <w:rFonts w:ascii="Verdana" w:eastAsia="Verdana" w:hAnsi="Verdana" w:cs="Verdana"/>
          <w:sz w:val="20"/>
          <w:szCs w:val="20"/>
          <w:lang w:val="es-ES" w:eastAsia="es-CR"/>
        </w:rPr>
        <w:t xml:space="preserve">El Estado no dio respuesta alguna al </w:t>
      </w:r>
      <w:r w:rsidR="00617C76">
        <w:rPr>
          <w:rFonts w:ascii="Verdana" w:eastAsia="Verdana" w:hAnsi="Verdana" w:cs="Verdana"/>
          <w:sz w:val="20"/>
          <w:szCs w:val="20"/>
          <w:lang w:val="es-ES" w:eastAsia="es-CR"/>
        </w:rPr>
        <w:t>Informe de Fondo</w:t>
      </w:r>
      <w:r w:rsidR="005C5C77" w:rsidRPr="00617C76">
        <w:rPr>
          <w:rFonts w:ascii="Verdana" w:eastAsia="Verdana" w:hAnsi="Verdana" w:cs="Verdana"/>
          <w:sz w:val="20"/>
          <w:szCs w:val="20"/>
          <w:lang w:val="es-ES" w:eastAsia="es-CR"/>
        </w:rPr>
        <w:t>.</w:t>
      </w:r>
    </w:p>
    <w:p w14:paraId="0412B4CD" w14:textId="77777777" w:rsidR="00C97BC1" w:rsidRPr="00E25884" w:rsidRDefault="00C97BC1" w:rsidP="00C97BC1">
      <w:pPr>
        <w:widowControl w:val="0"/>
        <w:adjustRightInd w:val="0"/>
        <w:spacing w:after="0" w:line="240" w:lineRule="auto"/>
        <w:ind w:right="142"/>
        <w:jc w:val="both"/>
        <w:textAlignment w:val="baseline"/>
        <w:rPr>
          <w:rFonts w:ascii="Verdana" w:eastAsia="Verdana" w:hAnsi="Verdana" w:cs="Verdana"/>
          <w:sz w:val="20"/>
          <w:szCs w:val="20"/>
          <w:lang w:val="es-ES" w:eastAsia="es-CR"/>
        </w:rPr>
      </w:pPr>
    </w:p>
    <w:p w14:paraId="5CAEC947" w14:textId="38E5748F" w:rsidR="008A351B" w:rsidRPr="00C97BC1" w:rsidRDefault="001C05D8" w:rsidP="00C97BC1">
      <w:pPr>
        <w:widowControl w:val="0"/>
        <w:numPr>
          <w:ilvl w:val="0"/>
          <w:numId w:val="13"/>
        </w:numPr>
        <w:adjustRightInd w:val="0"/>
        <w:spacing w:after="0" w:line="240" w:lineRule="auto"/>
        <w:ind w:left="816" w:right="142" w:hanging="357"/>
        <w:jc w:val="both"/>
        <w:textAlignment w:val="baseline"/>
        <w:rPr>
          <w:rFonts w:ascii="Verdana" w:eastAsia="Times New Roman" w:hAnsi="Verdana" w:cs="Arial"/>
          <w:sz w:val="20"/>
          <w:szCs w:val="20"/>
          <w:lang w:val="es-ES" w:eastAsia="es-CR"/>
        </w:rPr>
      </w:pPr>
      <w:r w:rsidRPr="00E25884">
        <w:rPr>
          <w:rFonts w:ascii="Verdana" w:eastAsia="Verdana" w:hAnsi="Verdana" w:cs="Verdana"/>
          <w:i/>
          <w:sz w:val="20"/>
          <w:szCs w:val="20"/>
          <w:lang w:val="es-ES" w:eastAsia="es-CR"/>
        </w:rPr>
        <w:t>Sometimiento a la Corte. –</w:t>
      </w:r>
      <w:r w:rsidRPr="00E25884">
        <w:rPr>
          <w:rFonts w:ascii="Verdana" w:eastAsia="Verdana" w:hAnsi="Verdana" w:cs="Verdana"/>
          <w:sz w:val="20"/>
          <w:szCs w:val="20"/>
          <w:lang w:val="es-ES" w:eastAsia="es-CR"/>
        </w:rPr>
        <w:t xml:space="preserve"> El </w:t>
      </w:r>
      <w:r w:rsidR="00555F8D" w:rsidRPr="00E25884">
        <w:rPr>
          <w:rFonts w:ascii="Verdana" w:eastAsia="Verdana" w:hAnsi="Verdana" w:cs="Verdana"/>
          <w:sz w:val="20"/>
          <w:szCs w:val="20"/>
          <w:lang w:val="es-ES" w:eastAsia="es-CR"/>
        </w:rPr>
        <w:t>8 de febrero</w:t>
      </w:r>
      <w:r w:rsidR="00EE634C" w:rsidRPr="00E25884">
        <w:rPr>
          <w:rFonts w:ascii="Verdana" w:eastAsia="Verdana" w:hAnsi="Verdana" w:cs="Verdana"/>
          <w:sz w:val="20"/>
          <w:szCs w:val="20"/>
          <w:lang w:val="es-ES" w:eastAsia="es-CR"/>
        </w:rPr>
        <w:t xml:space="preserve"> de 2018</w:t>
      </w:r>
      <w:r w:rsidR="00C70633" w:rsidRPr="00E25884">
        <w:rPr>
          <w:rFonts w:ascii="Verdana" w:eastAsia="Verdana" w:hAnsi="Verdana" w:cs="Verdana"/>
          <w:sz w:val="20"/>
          <w:szCs w:val="20"/>
          <w:lang w:val="es-ES" w:eastAsia="es-CR"/>
        </w:rPr>
        <w:t>,</w:t>
      </w:r>
      <w:r w:rsidRPr="00E25884">
        <w:rPr>
          <w:rFonts w:ascii="Verdana" w:eastAsia="Verdana" w:hAnsi="Verdana" w:cs="Verdana"/>
          <w:sz w:val="20"/>
          <w:szCs w:val="20"/>
          <w:lang w:val="es-ES" w:eastAsia="es-CR"/>
        </w:rPr>
        <w:t xml:space="preserve"> la Comisión sometió a la jurisdicción de la Corte Interamericana la totalidad de los hechos y violaciones de derechos humanos descritos en el Informe de Fondo</w:t>
      </w:r>
      <w:r w:rsidRPr="00E25884">
        <w:rPr>
          <w:rFonts w:ascii="Verdana" w:eastAsia="Verdana" w:hAnsi="Verdana" w:cs="Verdana"/>
          <w:sz w:val="20"/>
          <w:szCs w:val="20"/>
          <w:vertAlign w:val="superscript"/>
          <w:lang w:val="es-ES" w:eastAsia="es-CR"/>
        </w:rPr>
        <w:footnoteReference w:id="5"/>
      </w:r>
      <w:r w:rsidR="00617C76">
        <w:rPr>
          <w:rFonts w:ascii="Verdana" w:eastAsia="Verdana" w:hAnsi="Verdana" w:cs="Verdana"/>
          <w:sz w:val="20"/>
          <w:szCs w:val="20"/>
          <w:lang w:val="es-ES" w:eastAsia="es-CR"/>
        </w:rPr>
        <w:t>.</w:t>
      </w:r>
    </w:p>
    <w:p w14:paraId="386C9A76" w14:textId="77777777" w:rsidR="00C97BC1" w:rsidRPr="00E25884" w:rsidRDefault="00C97BC1" w:rsidP="00C97BC1">
      <w:pPr>
        <w:widowControl w:val="0"/>
        <w:adjustRightInd w:val="0"/>
        <w:spacing w:after="0" w:line="240" w:lineRule="auto"/>
        <w:ind w:right="142"/>
        <w:jc w:val="both"/>
        <w:textAlignment w:val="baseline"/>
        <w:rPr>
          <w:rFonts w:ascii="Verdana" w:eastAsia="Times New Roman" w:hAnsi="Verdana" w:cs="Arial"/>
          <w:sz w:val="20"/>
          <w:szCs w:val="20"/>
          <w:lang w:val="es-ES" w:eastAsia="es-CR"/>
        </w:rPr>
      </w:pPr>
    </w:p>
    <w:p w14:paraId="396E6966" w14:textId="77777777" w:rsidR="001C05D8" w:rsidRDefault="001C05D8"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eastAsia="Verdana" w:hAnsi="Verdana" w:cs="Verdana"/>
          <w:sz w:val="20"/>
          <w:szCs w:val="20"/>
          <w:lang w:val="es-ES" w:eastAsia="es-CR"/>
        </w:rPr>
      </w:pPr>
      <w:r w:rsidRPr="00E25884">
        <w:rPr>
          <w:rFonts w:ascii="Verdana" w:eastAsia="Verdana" w:hAnsi="Verdana" w:cs="Verdana"/>
          <w:i/>
          <w:sz w:val="20"/>
          <w:szCs w:val="20"/>
          <w:lang w:val="es-ES" w:eastAsia="es-CR"/>
        </w:rPr>
        <w:t>Solicitudes de la Comisión Interamericana. –</w:t>
      </w:r>
      <w:r w:rsidR="00604B8A" w:rsidRPr="00E25884">
        <w:rPr>
          <w:rFonts w:ascii="Verdana" w:eastAsia="Verdana" w:hAnsi="Verdana" w:cs="Verdana"/>
          <w:i/>
          <w:sz w:val="20"/>
          <w:szCs w:val="20"/>
          <w:lang w:val="es-ES" w:eastAsia="es-CR"/>
        </w:rPr>
        <w:t xml:space="preserve"> </w:t>
      </w:r>
      <w:r w:rsidR="00604B8A" w:rsidRPr="00E25884">
        <w:rPr>
          <w:rFonts w:ascii="Verdana" w:eastAsia="Verdana" w:hAnsi="Verdana" w:cs="Verdana"/>
          <w:sz w:val="20"/>
          <w:szCs w:val="20"/>
          <w:lang w:val="es-ES" w:eastAsia="es-CR"/>
        </w:rPr>
        <w:t>L</w:t>
      </w:r>
      <w:r w:rsidRPr="00E25884">
        <w:rPr>
          <w:rFonts w:ascii="Verdana" w:eastAsia="Verdana" w:hAnsi="Verdana" w:cs="Verdana"/>
          <w:sz w:val="20"/>
          <w:szCs w:val="20"/>
          <w:lang w:val="es-ES" w:eastAsia="es-CR"/>
        </w:rPr>
        <w:t xml:space="preserve">a Comisión solicitó a </w:t>
      </w:r>
      <w:r w:rsidR="00604B8A" w:rsidRPr="00E25884">
        <w:rPr>
          <w:rFonts w:ascii="Verdana" w:eastAsia="Verdana" w:hAnsi="Verdana" w:cs="Verdana"/>
          <w:sz w:val="20"/>
          <w:szCs w:val="20"/>
          <w:lang w:val="es-ES" w:eastAsia="es-CR"/>
        </w:rPr>
        <w:t>este Tribunal</w:t>
      </w:r>
      <w:r w:rsidRPr="00E25884">
        <w:rPr>
          <w:rFonts w:ascii="Verdana" w:eastAsia="Verdana" w:hAnsi="Verdana" w:cs="Verdana"/>
          <w:sz w:val="20"/>
          <w:szCs w:val="20"/>
          <w:lang w:val="es-ES" w:eastAsia="es-CR"/>
        </w:rPr>
        <w:t xml:space="preserve"> que </w:t>
      </w:r>
      <w:r w:rsidR="00604B8A" w:rsidRPr="00E25884">
        <w:rPr>
          <w:rFonts w:ascii="Verdana" w:eastAsia="Verdana" w:hAnsi="Verdana" w:cs="Verdana"/>
          <w:sz w:val="20"/>
          <w:szCs w:val="20"/>
          <w:lang w:val="es-ES" w:eastAsia="es-CR"/>
        </w:rPr>
        <w:t xml:space="preserve">concluya y </w:t>
      </w:r>
      <w:r w:rsidRPr="00E25884">
        <w:rPr>
          <w:rFonts w:ascii="Verdana" w:eastAsia="Verdana" w:hAnsi="Verdana" w:cs="Verdana"/>
          <w:sz w:val="20"/>
          <w:szCs w:val="20"/>
          <w:lang w:val="es-ES" w:eastAsia="es-CR"/>
        </w:rPr>
        <w:t>declar</w:t>
      </w:r>
      <w:r w:rsidR="00604B8A" w:rsidRPr="00E25884">
        <w:rPr>
          <w:rFonts w:ascii="Verdana" w:eastAsia="Verdana" w:hAnsi="Verdana" w:cs="Verdana"/>
          <w:sz w:val="20"/>
          <w:szCs w:val="20"/>
          <w:lang w:val="es-ES" w:eastAsia="es-CR"/>
        </w:rPr>
        <w:t>e</w:t>
      </w:r>
      <w:r w:rsidRPr="00E25884">
        <w:rPr>
          <w:rFonts w:ascii="Verdana" w:eastAsia="Verdana" w:hAnsi="Verdana" w:cs="Verdana"/>
          <w:sz w:val="20"/>
          <w:szCs w:val="20"/>
          <w:lang w:val="es-ES" w:eastAsia="es-CR"/>
        </w:rPr>
        <w:t xml:space="preserve"> la responsabilidad internacional del Estado por las violaciones </w:t>
      </w:r>
      <w:r w:rsidR="00604B8A" w:rsidRPr="00E25884">
        <w:rPr>
          <w:rFonts w:ascii="Verdana" w:eastAsia="Verdana" w:hAnsi="Verdana" w:cs="Verdana"/>
          <w:sz w:val="20"/>
          <w:szCs w:val="20"/>
          <w:lang w:val="es-ES" w:eastAsia="es-CR"/>
        </w:rPr>
        <w:t>contenidas en el Informe de Fondo y que ordene a Argentina, como me</w:t>
      </w:r>
      <w:r w:rsidR="00A7367D" w:rsidRPr="00E25884">
        <w:rPr>
          <w:rFonts w:ascii="Verdana" w:eastAsia="Verdana" w:hAnsi="Verdana" w:cs="Verdana"/>
          <w:sz w:val="20"/>
          <w:szCs w:val="20"/>
          <w:lang w:val="es-ES" w:eastAsia="es-CR"/>
        </w:rPr>
        <w:t xml:space="preserve">didas de reparación, las recomendaciones </w:t>
      </w:r>
      <w:r w:rsidR="00A7367D" w:rsidRPr="00E25884">
        <w:rPr>
          <w:rFonts w:ascii="Verdana" w:eastAsia="Verdana" w:hAnsi="Verdana" w:cs="Verdana"/>
          <w:sz w:val="20"/>
          <w:szCs w:val="20"/>
          <w:lang w:val="es-ES" w:eastAsia="es-CR"/>
        </w:rPr>
        <w:lastRenderedPageBreak/>
        <w:t>incluidas en el mismo (</w:t>
      </w:r>
      <w:r w:rsidR="00904755" w:rsidRPr="00E25884">
        <w:rPr>
          <w:rFonts w:ascii="Verdana" w:eastAsia="Verdana" w:hAnsi="Verdana" w:cs="Verdana"/>
          <w:i/>
          <w:sz w:val="20"/>
          <w:szCs w:val="20"/>
          <w:lang w:val="es-ES" w:eastAsia="es-CR"/>
        </w:rPr>
        <w:t>supra</w:t>
      </w:r>
      <w:r w:rsidR="00A7367D" w:rsidRPr="00E25884">
        <w:rPr>
          <w:rFonts w:ascii="Verdana" w:eastAsia="Verdana" w:hAnsi="Verdana" w:cs="Verdana"/>
          <w:i/>
          <w:sz w:val="20"/>
          <w:szCs w:val="20"/>
          <w:lang w:val="es-ES" w:eastAsia="es-CR"/>
        </w:rPr>
        <w:t xml:space="preserve"> </w:t>
      </w:r>
      <w:r w:rsidR="00397A38" w:rsidRPr="00E25884">
        <w:rPr>
          <w:rFonts w:ascii="Verdana" w:eastAsia="Verdana" w:hAnsi="Verdana" w:cs="Verdana"/>
          <w:sz w:val="20"/>
          <w:szCs w:val="20"/>
          <w:lang w:val="es-ES" w:eastAsia="es-CR"/>
        </w:rPr>
        <w:t>párr. 2.c</w:t>
      </w:r>
      <w:r w:rsidR="00A7367D" w:rsidRPr="00E25884">
        <w:rPr>
          <w:rFonts w:ascii="Verdana" w:eastAsia="Verdana" w:hAnsi="Verdana" w:cs="Verdana"/>
          <w:sz w:val="20"/>
          <w:szCs w:val="20"/>
          <w:lang w:val="es-ES" w:eastAsia="es-CR"/>
        </w:rPr>
        <w:t>)</w:t>
      </w:r>
      <w:r w:rsidR="00397A38" w:rsidRPr="00E25884">
        <w:rPr>
          <w:rFonts w:ascii="Verdana" w:eastAsia="Verdana" w:hAnsi="Verdana" w:cs="Verdana"/>
          <w:sz w:val="20"/>
          <w:szCs w:val="20"/>
          <w:lang w:val="es-ES" w:eastAsia="es-CR"/>
        </w:rPr>
        <w:t>.</w:t>
      </w:r>
    </w:p>
    <w:p w14:paraId="5BCE414C" w14:textId="77777777" w:rsidR="00C97BC1" w:rsidRPr="00E25884" w:rsidRDefault="00C97BC1" w:rsidP="00C97BC1">
      <w:pPr>
        <w:widowControl w:val="0"/>
        <w:tabs>
          <w:tab w:val="left" w:pos="567"/>
        </w:tabs>
        <w:adjustRightInd w:val="0"/>
        <w:spacing w:after="0" w:line="240" w:lineRule="auto"/>
        <w:jc w:val="both"/>
        <w:textAlignment w:val="baseline"/>
        <w:rPr>
          <w:rFonts w:ascii="Verdana" w:eastAsia="Verdana" w:hAnsi="Verdana" w:cs="Verdana"/>
          <w:sz w:val="20"/>
          <w:szCs w:val="20"/>
          <w:lang w:val="es-ES" w:eastAsia="es-CR"/>
        </w:rPr>
      </w:pPr>
    </w:p>
    <w:p w14:paraId="12ABF93F" w14:textId="77777777" w:rsidR="001C05D8" w:rsidRPr="00E25884" w:rsidRDefault="001C05D8" w:rsidP="00C97BC1">
      <w:pPr>
        <w:keepNext/>
        <w:keepLines/>
        <w:tabs>
          <w:tab w:val="left" w:pos="851"/>
        </w:tabs>
        <w:spacing w:after="0" w:line="240" w:lineRule="auto"/>
        <w:jc w:val="center"/>
        <w:outlineLvl w:val="0"/>
        <w:rPr>
          <w:rFonts w:ascii="Verdana" w:eastAsia="Times New Roman" w:hAnsi="Verdana" w:cs="Verdana"/>
          <w:b/>
          <w:bCs/>
          <w:caps/>
          <w:snapToGrid w:val="0"/>
          <w:sz w:val="20"/>
          <w:szCs w:val="20"/>
          <w:lang w:val="es-ES_tradnl"/>
        </w:rPr>
      </w:pPr>
      <w:bookmarkStart w:id="4" w:name="_Toc494123964"/>
      <w:bookmarkStart w:id="5" w:name="_Toc12726706"/>
      <w:bookmarkStart w:id="6" w:name="_Toc27509153"/>
      <w:r w:rsidRPr="00E25884">
        <w:rPr>
          <w:rFonts w:ascii="Verdana" w:eastAsia="Times New Roman" w:hAnsi="Verdana" w:cs="Verdana"/>
          <w:b/>
          <w:bCs/>
          <w:caps/>
          <w:snapToGrid w:val="0"/>
          <w:sz w:val="20"/>
          <w:szCs w:val="20"/>
          <w:lang w:val="es-ES_tradnl"/>
        </w:rPr>
        <w:t>II</w:t>
      </w:r>
      <w:r w:rsidRPr="00E25884">
        <w:rPr>
          <w:rFonts w:ascii="Verdana" w:eastAsia="Times New Roman" w:hAnsi="Verdana" w:cs="Verdana"/>
          <w:b/>
          <w:bCs/>
          <w:caps/>
          <w:snapToGrid w:val="0"/>
          <w:sz w:val="20"/>
          <w:szCs w:val="20"/>
          <w:lang w:val="es-ES_tradnl"/>
        </w:rPr>
        <w:br/>
        <w:t>PROCEDIMIENTO ANTE LA CORTE</w:t>
      </w:r>
      <w:bookmarkEnd w:id="4"/>
      <w:bookmarkEnd w:id="5"/>
      <w:bookmarkEnd w:id="6"/>
    </w:p>
    <w:p w14:paraId="6A85AA4B" w14:textId="77777777" w:rsidR="00C97BC1" w:rsidRPr="00C97BC1" w:rsidRDefault="00C97BC1" w:rsidP="00C97BC1">
      <w:pPr>
        <w:widowControl w:val="0"/>
        <w:tabs>
          <w:tab w:val="left" w:pos="567"/>
        </w:tabs>
        <w:adjustRightInd w:val="0"/>
        <w:spacing w:after="0" w:line="240" w:lineRule="auto"/>
        <w:jc w:val="both"/>
        <w:textAlignment w:val="baseline"/>
        <w:rPr>
          <w:rFonts w:ascii="Verdana" w:eastAsia="Verdana" w:hAnsi="Verdana" w:cs="Verdana"/>
          <w:sz w:val="20"/>
          <w:szCs w:val="20"/>
          <w:lang w:val="es-ES" w:eastAsia="es-CR"/>
        </w:rPr>
      </w:pPr>
    </w:p>
    <w:p w14:paraId="24E2F93B" w14:textId="7D139970" w:rsidR="001C05D8" w:rsidRPr="00C97BC1" w:rsidRDefault="001C05D8"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eastAsia="Verdana" w:hAnsi="Verdana" w:cs="Verdana"/>
          <w:sz w:val="20"/>
          <w:szCs w:val="20"/>
          <w:lang w:val="es-ES" w:eastAsia="es-CR"/>
        </w:rPr>
      </w:pPr>
      <w:r w:rsidRPr="00E25884">
        <w:rPr>
          <w:rFonts w:ascii="Verdana" w:eastAsia="Verdana" w:hAnsi="Verdana" w:cs="Verdana"/>
          <w:i/>
          <w:sz w:val="20"/>
          <w:szCs w:val="20"/>
          <w:lang w:val="es-ES" w:eastAsia="es-CR"/>
        </w:rPr>
        <w:t xml:space="preserve">Notificación al representante y al Estado. – </w:t>
      </w:r>
      <w:r w:rsidRPr="00E25884">
        <w:rPr>
          <w:rFonts w:ascii="Verdana" w:eastAsia="Verdana" w:hAnsi="Verdana" w:cs="Verdana"/>
          <w:sz w:val="20"/>
          <w:szCs w:val="20"/>
          <w:lang w:val="es-ES" w:eastAsia="es-CR"/>
        </w:rPr>
        <w:t>El sometimiento del caso por parte de la Comisión fue notificado por la Corte a</w:t>
      </w:r>
      <w:r w:rsidR="002B6281" w:rsidRPr="00E25884">
        <w:rPr>
          <w:rFonts w:ascii="Verdana" w:eastAsia="Verdana" w:hAnsi="Verdana" w:cs="Verdana"/>
          <w:sz w:val="20"/>
          <w:szCs w:val="20"/>
          <w:lang w:val="es-ES" w:eastAsia="es-CR"/>
        </w:rPr>
        <w:t xml:space="preserve"> los</w:t>
      </w:r>
      <w:r w:rsidRPr="00E25884">
        <w:rPr>
          <w:rFonts w:ascii="Verdana" w:eastAsia="Verdana" w:hAnsi="Verdana" w:cs="Verdana"/>
          <w:sz w:val="20"/>
          <w:szCs w:val="20"/>
          <w:lang w:val="es-ES" w:eastAsia="es-CR"/>
        </w:rPr>
        <w:t xml:space="preserve"> representante</w:t>
      </w:r>
      <w:r w:rsidR="002B6281" w:rsidRPr="00E25884">
        <w:rPr>
          <w:rFonts w:ascii="Verdana" w:eastAsia="Verdana" w:hAnsi="Verdana" w:cs="Verdana"/>
          <w:sz w:val="20"/>
          <w:szCs w:val="20"/>
          <w:lang w:val="es-ES" w:eastAsia="es-CR"/>
        </w:rPr>
        <w:t>s de la</w:t>
      </w:r>
      <w:r w:rsidR="004A4784">
        <w:rPr>
          <w:rFonts w:ascii="Verdana" w:eastAsia="Verdana" w:hAnsi="Verdana" w:cs="Verdana"/>
          <w:sz w:val="20"/>
          <w:szCs w:val="20"/>
          <w:lang w:val="es-ES" w:eastAsia="es-CR"/>
        </w:rPr>
        <w:t>s</w:t>
      </w:r>
      <w:r w:rsidRPr="00E25884">
        <w:rPr>
          <w:rFonts w:ascii="Verdana" w:eastAsia="Verdana" w:hAnsi="Verdana" w:cs="Verdana"/>
          <w:sz w:val="20"/>
          <w:szCs w:val="20"/>
          <w:lang w:val="es-ES" w:eastAsia="es-CR"/>
        </w:rPr>
        <w:t xml:space="preserve"> presuntas víctimas (en adelante “l</w:t>
      </w:r>
      <w:r w:rsidR="00C70633" w:rsidRPr="00E25884">
        <w:rPr>
          <w:rFonts w:ascii="Verdana" w:eastAsia="Verdana" w:hAnsi="Verdana" w:cs="Verdana"/>
          <w:sz w:val="20"/>
          <w:szCs w:val="20"/>
          <w:lang w:val="es-ES" w:eastAsia="es-CR"/>
        </w:rPr>
        <w:t>o</w:t>
      </w:r>
      <w:r w:rsidRPr="00E25884">
        <w:rPr>
          <w:rFonts w:ascii="Verdana" w:eastAsia="Verdana" w:hAnsi="Verdana" w:cs="Verdana"/>
          <w:sz w:val="20"/>
          <w:szCs w:val="20"/>
          <w:lang w:val="es-ES" w:eastAsia="es-CR"/>
        </w:rPr>
        <w:t xml:space="preserve">s representantes”) y al Estado el </w:t>
      </w:r>
      <w:r w:rsidR="00CD21A4" w:rsidRPr="00E25884">
        <w:rPr>
          <w:rFonts w:ascii="Verdana" w:eastAsia="Verdana" w:hAnsi="Verdana" w:cs="Verdana"/>
          <w:sz w:val="20"/>
          <w:szCs w:val="20"/>
          <w:lang w:val="es-ES" w:eastAsia="es-CR"/>
        </w:rPr>
        <w:t xml:space="preserve">10 y </w:t>
      </w:r>
      <w:r w:rsidR="002B6281" w:rsidRPr="00E25884">
        <w:rPr>
          <w:rFonts w:ascii="Verdana" w:eastAsia="Verdana" w:hAnsi="Verdana" w:cs="Verdana"/>
          <w:sz w:val="20"/>
          <w:szCs w:val="20"/>
          <w:lang w:val="es-ES" w:eastAsia="es-CR"/>
        </w:rPr>
        <w:t>1</w:t>
      </w:r>
      <w:r w:rsidR="00CD21A4" w:rsidRPr="00E25884">
        <w:rPr>
          <w:rFonts w:ascii="Verdana" w:eastAsia="Verdana" w:hAnsi="Verdana" w:cs="Verdana"/>
          <w:sz w:val="20"/>
          <w:szCs w:val="20"/>
          <w:lang w:val="es-ES" w:eastAsia="es-CR"/>
        </w:rPr>
        <w:t>3</w:t>
      </w:r>
      <w:r w:rsidR="002B6281" w:rsidRPr="00E25884">
        <w:rPr>
          <w:rFonts w:ascii="Verdana" w:eastAsia="Verdana" w:hAnsi="Verdana" w:cs="Verdana"/>
          <w:sz w:val="20"/>
          <w:szCs w:val="20"/>
          <w:lang w:val="es-ES" w:eastAsia="es-CR"/>
        </w:rPr>
        <w:t xml:space="preserve"> de abril</w:t>
      </w:r>
      <w:r w:rsidRPr="00E25884">
        <w:rPr>
          <w:rFonts w:ascii="Verdana" w:eastAsia="Verdana" w:hAnsi="Verdana" w:cs="Verdana"/>
          <w:sz w:val="20"/>
          <w:szCs w:val="20"/>
          <w:lang w:val="es-ES" w:eastAsia="es-CR"/>
        </w:rPr>
        <w:t xml:space="preserve"> de 2018</w:t>
      </w:r>
      <w:r w:rsidRPr="00E25884">
        <w:rPr>
          <w:rStyle w:val="Refdenotaalpie"/>
          <w:rFonts w:ascii="Verdana" w:eastAsia="Verdana" w:hAnsi="Verdana" w:cs="Verdana"/>
          <w:sz w:val="20"/>
          <w:szCs w:val="20"/>
          <w:lang w:val="es-ES" w:eastAsia="es-CR"/>
        </w:rPr>
        <w:footnoteReference w:id="6"/>
      </w:r>
      <w:r w:rsidR="00CD21A4" w:rsidRPr="00E25884">
        <w:rPr>
          <w:rFonts w:ascii="Verdana" w:eastAsia="Verdana" w:hAnsi="Verdana" w:cs="Verdana"/>
          <w:sz w:val="20"/>
          <w:szCs w:val="20"/>
          <w:lang w:val="es-ES" w:eastAsia="es-CR"/>
        </w:rPr>
        <w:t>, respectivamente</w:t>
      </w:r>
      <w:r w:rsidR="00617C76">
        <w:rPr>
          <w:rFonts w:ascii="Verdana" w:eastAsia="Verdana" w:hAnsi="Verdana" w:cs="Verdana"/>
          <w:sz w:val="20"/>
          <w:szCs w:val="20"/>
          <w:lang w:val="es-ES" w:eastAsia="es-CR"/>
        </w:rPr>
        <w:t>.</w:t>
      </w:r>
    </w:p>
    <w:p w14:paraId="32801B2F" w14:textId="77777777" w:rsidR="00C97BC1" w:rsidRPr="00E25884" w:rsidRDefault="00C97BC1" w:rsidP="00C97BC1">
      <w:pPr>
        <w:widowControl w:val="0"/>
        <w:tabs>
          <w:tab w:val="left" w:pos="567"/>
        </w:tabs>
        <w:adjustRightInd w:val="0"/>
        <w:spacing w:after="0" w:line="240" w:lineRule="auto"/>
        <w:jc w:val="both"/>
        <w:textAlignment w:val="baseline"/>
        <w:rPr>
          <w:rFonts w:ascii="Verdana" w:eastAsia="Verdana" w:hAnsi="Verdana" w:cs="Verdana"/>
          <w:sz w:val="20"/>
          <w:szCs w:val="20"/>
          <w:lang w:val="es-ES" w:eastAsia="es-CR"/>
        </w:rPr>
      </w:pPr>
    </w:p>
    <w:p w14:paraId="779FB03D" w14:textId="026811B2" w:rsidR="001C05D8" w:rsidRPr="00C97BC1" w:rsidRDefault="001C05D8"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eastAsia="Verdana" w:hAnsi="Verdana" w:cs="Verdana"/>
          <w:sz w:val="20"/>
          <w:szCs w:val="20"/>
          <w:u w:val="single"/>
          <w:lang w:val="es-ES" w:eastAsia="es-CR"/>
        </w:rPr>
      </w:pPr>
      <w:r w:rsidRPr="00E25884">
        <w:rPr>
          <w:rFonts w:ascii="Verdana" w:eastAsia="Verdana" w:hAnsi="Verdana" w:cs="Verdana"/>
          <w:i/>
          <w:sz w:val="20"/>
          <w:szCs w:val="20"/>
          <w:lang w:val="es-ES" w:eastAsia="es-CR"/>
        </w:rPr>
        <w:t xml:space="preserve">Escrito de solicitudes, argumentos y pruebas. – </w:t>
      </w:r>
      <w:r w:rsidRPr="00E25884">
        <w:rPr>
          <w:rFonts w:ascii="Verdana" w:eastAsia="Verdana" w:hAnsi="Verdana" w:cs="Verdana"/>
          <w:sz w:val="20"/>
          <w:szCs w:val="20"/>
          <w:lang w:val="es-ES" w:eastAsia="es-CR"/>
        </w:rPr>
        <w:t xml:space="preserve">El </w:t>
      </w:r>
      <w:r w:rsidR="005754AB" w:rsidRPr="00E25884">
        <w:rPr>
          <w:rFonts w:ascii="Verdana" w:eastAsia="Verdana" w:hAnsi="Verdana" w:cs="Verdana"/>
          <w:sz w:val="20"/>
          <w:szCs w:val="20"/>
          <w:lang w:val="es-ES" w:eastAsia="es-CR"/>
        </w:rPr>
        <w:t>8 de junio</w:t>
      </w:r>
      <w:r w:rsidRPr="00E25884">
        <w:rPr>
          <w:rFonts w:ascii="Verdana" w:eastAsia="Verdana" w:hAnsi="Verdana" w:cs="Verdana"/>
          <w:sz w:val="20"/>
          <w:szCs w:val="20"/>
          <w:lang w:val="es-ES" w:eastAsia="es-CR"/>
        </w:rPr>
        <w:t xml:space="preserve"> de 2018</w:t>
      </w:r>
      <w:r w:rsidR="00B2704E">
        <w:rPr>
          <w:rFonts w:ascii="Verdana" w:eastAsia="Verdana" w:hAnsi="Verdana" w:cs="Verdana"/>
          <w:sz w:val="20"/>
          <w:szCs w:val="20"/>
          <w:lang w:val="es-ES" w:eastAsia="es-CR"/>
        </w:rPr>
        <w:t>,</w:t>
      </w:r>
      <w:r w:rsidRPr="00E25884">
        <w:rPr>
          <w:rFonts w:ascii="Verdana" w:eastAsia="Verdana" w:hAnsi="Verdana" w:cs="Verdana"/>
          <w:sz w:val="20"/>
          <w:szCs w:val="20"/>
          <w:lang w:val="es-ES" w:eastAsia="es-CR"/>
        </w:rPr>
        <w:t xml:space="preserve"> </w:t>
      </w:r>
      <w:r w:rsidR="00C27C71" w:rsidRPr="00E25884">
        <w:rPr>
          <w:rFonts w:ascii="Verdana" w:eastAsia="Verdana" w:hAnsi="Verdana" w:cs="Verdana"/>
          <w:sz w:val="20"/>
          <w:szCs w:val="20"/>
          <w:lang w:val="es-ES" w:eastAsia="es-CR"/>
        </w:rPr>
        <w:t>los</w:t>
      </w:r>
      <w:r w:rsidRPr="00E25884">
        <w:rPr>
          <w:rFonts w:ascii="Verdana" w:eastAsia="Verdana" w:hAnsi="Verdana" w:cs="Verdana"/>
          <w:sz w:val="20"/>
          <w:szCs w:val="20"/>
          <w:lang w:val="es-ES" w:eastAsia="es-CR"/>
        </w:rPr>
        <w:t xml:space="preserve"> </w:t>
      </w:r>
      <w:r w:rsidRPr="00E25884">
        <w:rPr>
          <w:rFonts w:ascii="Verdana" w:eastAsia="Calibri" w:hAnsi="Verdana" w:cs="Arial"/>
          <w:sz w:val="20"/>
          <w:szCs w:val="20"/>
          <w:lang w:val="es-ES" w:eastAsia="es-CR"/>
        </w:rPr>
        <w:t>representantes</w:t>
      </w:r>
      <w:r w:rsidRPr="00E25884">
        <w:rPr>
          <w:rFonts w:ascii="Verdana" w:eastAsia="Verdana" w:hAnsi="Verdana" w:cs="Verdana"/>
          <w:sz w:val="20"/>
          <w:szCs w:val="20"/>
          <w:lang w:val="es-ES" w:eastAsia="es-CR"/>
        </w:rPr>
        <w:t xml:space="preserve"> presentaron ante la Corte su escrito de solicitudes, argumentos y pruebas (en adelante “escrito de solicitudes y argumentos” o </w:t>
      </w:r>
      <w:r w:rsidR="00E05FB3" w:rsidRPr="00E25884">
        <w:rPr>
          <w:rFonts w:ascii="Verdana" w:eastAsia="Verdana" w:hAnsi="Verdana" w:cs="Verdana"/>
          <w:sz w:val="20"/>
          <w:szCs w:val="20"/>
          <w:lang w:val="es-ES" w:eastAsia="es-CR"/>
        </w:rPr>
        <w:t>“</w:t>
      </w:r>
      <w:r w:rsidRPr="00E25884">
        <w:rPr>
          <w:rFonts w:ascii="Verdana" w:eastAsia="Verdana" w:hAnsi="Verdana" w:cs="Verdana"/>
          <w:sz w:val="20"/>
          <w:szCs w:val="20"/>
          <w:lang w:val="es-ES" w:eastAsia="es-CR"/>
        </w:rPr>
        <w:t>ESAP</w:t>
      </w:r>
      <w:r w:rsidR="00E05FB3" w:rsidRPr="00E25884">
        <w:rPr>
          <w:rFonts w:ascii="Verdana" w:eastAsia="Verdana" w:hAnsi="Verdana" w:cs="Verdana"/>
          <w:sz w:val="20"/>
          <w:szCs w:val="20"/>
          <w:lang w:val="es-ES" w:eastAsia="es-CR"/>
        </w:rPr>
        <w:t>”</w:t>
      </w:r>
      <w:r w:rsidRPr="00E25884">
        <w:rPr>
          <w:rFonts w:ascii="Verdana" w:eastAsia="Verdana" w:hAnsi="Verdana" w:cs="Verdana"/>
          <w:sz w:val="20"/>
          <w:szCs w:val="20"/>
          <w:lang w:val="es-ES" w:eastAsia="es-CR"/>
        </w:rPr>
        <w:t>). Los representantes</w:t>
      </w:r>
      <w:r w:rsidR="00130BEF" w:rsidRPr="00E25884">
        <w:rPr>
          <w:rFonts w:ascii="Verdana" w:eastAsia="Verdana" w:hAnsi="Verdana" w:cs="Verdana"/>
          <w:sz w:val="20"/>
          <w:szCs w:val="20"/>
          <w:lang w:val="es-ES" w:eastAsia="es-CR"/>
        </w:rPr>
        <w:t xml:space="preserve"> </w:t>
      </w:r>
      <w:r w:rsidRPr="00E25884">
        <w:rPr>
          <w:rFonts w:ascii="Verdana" w:eastAsia="Verdana" w:hAnsi="Verdana" w:cs="Verdana"/>
          <w:sz w:val="20"/>
          <w:szCs w:val="20"/>
          <w:lang w:val="es-ES" w:eastAsia="es-CR"/>
        </w:rPr>
        <w:t xml:space="preserve">remitieron </w:t>
      </w:r>
      <w:r w:rsidR="00130BEF" w:rsidRPr="00E25884">
        <w:rPr>
          <w:rFonts w:ascii="Verdana" w:eastAsia="Verdana" w:hAnsi="Verdana" w:cs="Verdana"/>
          <w:sz w:val="20"/>
          <w:szCs w:val="20"/>
          <w:lang w:val="es-ES" w:eastAsia="es-CR"/>
        </w:rPr>
        <w:t>y</w:t>
      </w:r>
      <w:r w:rsidR="00B2704E">
        <w:rPr>
          <w:rFonts w:ascii="Verdana" w:eastAsia="Verdana" w:hAnsi="Verdana" w:cs="Verdana"/>
          <w:sz w:val="20"/>
          <w:szCs w:val="20"/>
          <w:lang w:val="es-ES" w:eastAsia="es-CR"/>
        </w:rPr>
        <w:t xml:space="preserve"> se</w:t>
      </w:r>
      <w:r w:rsidR="00130BEF" w:rsidRPr="00E25884">
        <w:rPr>
          <w:rFonts w:ascii="Verdana" w:eastAsia="Verdana" w:hAnsi="Verdana" w:cs="Verdana"/>
          <w:sz w:val="20"/>
          <w:szCs w:val="20"/>
          <w:lang w:val="es-ES" w:eastAsia="es-CR"/>
        </w:rPr>
        <w:t xml:space="preserve"> adhirieron</w:t>
      </w:r>
      <w:r w:rsidR="00B2704E">
        <w:rPr>
          <w:rFonts w:ascii="Verdana" w:eastAsia="Verdana" w:hAnsi="Verdana" w:cs="Verdana"/>
          <w:sz w:val="20"/>
          <w:szCs w:val="20"/>
          <w:lang w:val="es-ES" w:eastAsia="es-CR"/>
        </w:rPr>
        <w:t xml:space="preserve"> a</w:t>
      </w:r>
      <w:r w:rsidRPr="00E25884">
        <w:rPr>
          <w:rFonts w:ascii="Verdana" w:eastAsia="Verdana" w:hAnsi="Verdana" w:cs="Verdana"/>
          <w:sz w:val="20"/>
          <w:szCs w:val="20"/>
          <w:lang w:val="es-ES" w:eastAsia="es-CR"/>
        </w:rPr>
        <w:t xml:space="preserve"> la descripción de hechos efectuada por la Comisión. De igual manera, se adhirieron a los alegatos de la Comisión en cuanto a la </w:t>
      </w:r>
      <w:r w:rsidR="00B075C4" w:rsidRPr="00E25884">
        <w:rPr>
          <w:rFonts w:ascii="Verdana" w:eastAsia="Verdana" w:hAnsi="Verdana" w:cs="Verdana"/>
          <w:sz w:val="20"/>
          <w:szCs w:val="20"/>
          <w:lang w:val="es-ES" w:eastAsia="es-CR"/>
        </w:rPr>
        <w:t>excepción preliminar</w:t>
      </w:r>
      <w:r w:rsidRPr="00E25884">
        <w:rPr>
          <w:rFonts w:ascii="Verdana" w:eastAsia="Verdana" w:hAnsi="Verdana" w:cs="Verdana"/>
          <w:sz w:val="20"/>
          <w:szCs w:val="20"/>
          <w:lang w:val="es-ES" w:eastAsia="es-CR"/>
        </w:rPr>
        <w:t xml:space="preserve"> y el fondo del asunto</w:t>
      </w:r>
      <w:r w:rsidR="005754AB" w:rsidRPr="00E25884">
        <w:rPr>
          <w:rFonts w:ascii="Verdana" w:eastAsia="Verdana" w:hAnsi="Verdana" w:cs="Verdana"/>
          <w:sz w:val="20"/>
          <w:szCs w:val="20"/>
          <w:lang w:val="es-ES" w:eastAsia="es-CR"/>
        </w:rPr>
        <w:t xml:space="preserve">, con excepción de que los representantes </w:t>
      </w:r>
      <w:r w:rsidR="005C5C77" w:rsidRPr="00E25884">
        <w:rPr>
          <w:rFonts w:ascii="Verdana" w:eastAsia="Verdana" w:hAnsi="Verdana" w:cs="Verdana"/>
          <w:sz w:val="20"/>
          <w:szCs w:val="20"/>
          <w:lang w:val="es-ES" w:eastAsia="es-CR"/>
        </w:rPr>
        <w:t>alegaron</w:t>
      </w:r>
      <w:r w:rsidR="005754AB" w:rsidRPr="00E25884">
        <w:rPr>
          <w:rFonts w:ascii="Verdana" w:eastAsia="Verdana" w:hAnsi="Verdana" w:cs="Verdana"/>
          <w:sz w:val="20"/>
          <w:szCs w:val="20"/>
          <w:lang w:val="es-ES" w:eastAsia="es-CR"/>
        </w:rPr>
        <w:t xml:space="preserve"> que el Estado es responsable por la violación a los derechos establecidos en los artículos 8.1 y 25.1 de la Convención, respecto a la demanda civil de daños y perjuicios</w:t>
      </w:r>
      <w:r w:rsidRPr="00E25884">
        <w:rPr>
          <w:rFonts w:ascii="Verdana" w:eastAsia="Verdana" w:hAnsi="Verdana" w:cs="Verdana"/>
          <w:sz w:val="20"/>
          <w:szCs w:val="20"/>
          <w:lang w:val="es-ES" w:eastAsia="es-CR"/>
        </w:rPr>
        <w:t xml:space="preserve">. Finalmente, solicitaron a la Corte que ordenara al Estado la adopción de diversas medidas de reparación y </w:t>
      </w:r>
      <w:r w:rsidR="005C5C77" w:rsidRPr="00E25884">
        <w:rPr>
          <w:rFonts w:ascii="Verdana" w:eastAsia="Verdana" w:hAnsi="Verdana" w:cs="Verdana"/>
          <w:sz w:val="20"/>
          <w:szCs w:val="20"/>
          <w:lang w:val="es-ES" w:eastAsia="es-CR"/>
        </w:rPr>
        <w:t>el reintegro de costas y gastos</w:t>
      </w:r>
      <w:r w:rsidR="005C5C77" w:rsidRPr="00E25884">
        <w:rPr>
          <w:rFonts w:ascii="Verdana" w:eastAsia="Times New Roman" w:hAnsi="Verdana" w:cs="Times New Roman"/>
          <w:sz w:val="20"/>
          <w:szCs w:val="20"/>
          <w:lang w:val="es-ES"/>
        </w:rPr>
        <w:t>.</w:t>
      </w:r>
    </w:p>
    <w:p w14:paraId="44391004" w14:textId="77777777" w:rsidR="00C97BC1" w:rsidRPr="00E25884" w:rsidRDefault="00C97BC1" w:rsidP="00C97BC1">
      <w:pPr>
        <w:widowControl w:val="0"/>
        <w:tabs>
          <w:tab w:val="left" w:pos="567"/>
        </w:tabs>
        <w:adjustRightInd w:val="0"/>
        <w:spacing w:after="0" w:line="240" w:lineRule="auto"/>
        <w:jc w:val="both"/>
        <w:textAlignment w:val="baseline"/>
        <w:rPr>
          <w:rFonts w:ascii="Verdana" w:eastAsia="Verdana" w:hAnsi="Verdana" w:cs="Verdana"/>
          <w:sz w:val="20"/>
          <w:szCs w:val="20"/>
          <w:u w:val="single"/>
          <w:lang w:val="es-ES" w:eastAsia="es-CR"/>
        </w:rPr>
      </w:pPr>
    </w:p>
    <w:p w14:paraId="5C284D08" w14:textId="7271F68C" w:rsidR="001C05D8" w:rsidRPr="00C97BC1" w:rsidRDefault="001C05D8"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eastAsia="Verdana" w:hAnsi="Verdana" w:cs="Verdana"/>
          <w:i/>
          <w:sz w:val="20"/>
          <w:szCs w:val="20"/>
          <w:lang w:val="es-ES" w:eastAsia="es-CR"/>
        </w:rPr>
      </w:pPr>
      <w:r w:rsidRPr="00E25884">
        <w:rPr>
          <w:rFonts w:ascii="Verdana" w:eastAsia="Verdana" w:hAnsi="Verdana" w:cs="Verdana"/>
          <w:i/>
          <w:sz w:val="20"/>
          <w:szCs w:val="20"/>
          <w:lang w:val="es-ES" w:eastAsia="es-CR"/>
        </w:rPr>
        <w:t xml:space="preserve">Escrito de contestación. – </w:t>
      </w:r>
      <w:r w:rsidRPr="00E25884">
        <w:rPr>
          <w:rFonts w:ascii="Verdana" w:eastAsia="Verdana" w:hAnsi="Verdana" w:cs="Verdana"/>
          <w:sz w:val="20"/>
          <w:szCs w:val="20"/>
          <w:lang w:val="es-ES" w:eastAsia="es-CR"/>
        </w:rPr>
        <w:t xml:space="preserve">El </w:t>
      </w:r>
      <w:r w:rsidR="00A65210" w:rsidRPr="00E25884">
        <w:rPr>
          <w:rFonts w:ascii="Verdana" w:eastAsia="Verdana" w:hAnsi="Verdana" w:cs="Verdana"/>
          <w:sz w:val="20"/>
          <w:szCs w:val="20"/>
          <w:lang w:val="es-ES" w:eastAsia="es-CR"/>
        </w:rPr>
        <w:t>28</w:t>
      </w:r>
      <w:r w:rsidR="006B0067" w:rsidRPr="00E25884">
        <w:rPr>
          <w:rFonts w:ascii="Verdana" w:eastAsia="Verdana" w:hAnsi="Verdana" w:cs="Verdana"/>
          <w:sz w:val="20"/>
          <w:szCs w:val="20"/>
          <w:lang w:val="es-ES" w:eastAsia="es-CR"/>
        </w:rPr>
        <w:t xml:space="preserve"> de agosto</w:t>
      </w:r>
      <w:r w:rsidRPr="00E25884">
        <w:rPr>
          <w:rFonts w:ascii="Verdana" w:eastAsia="Verdana" w:hAnsi="Verdana" w:cs="Verdana"/>
          <w:sz w:val="20"/>
          <w:szCs w:val="20"/>
          <w:lang w:val="es-ES" w:eastAsia="es-CR"/>
        </w:rPr>
        <w:t xml:space="preserve"> de 2018 el Estado</w:t>
      </w:r>
      <w:r w:rsidRPr="00E25884">
        <w:rPr>
          <w:rFonts w:ascii="Verdana" w:eastAsia="Verdana" w:hAnsi="Verdana" w:cs="Verdana"/>
          <w:sz w:val="20"/>
          <w:szCs w:val="20"/>
          <w:vertAlign w:val="superscript"/>
          <w:lang w:val="es-ES" w:eastAsia="es-CR"/>
        </w:rPr>
        <w:footnoteReference w:id="7"/>
      </w:r>
      <w:r w:rsidRPr="00E25884">
        <w:rPr>
          <w:rFonts w:ascii="Verdana" w:eastAsia="Verdana" w:hAnsi="Verdana" w:cs="Verdana"/>
          <w:sz w:val="20"/>
          <w:szCs w:val="20"/>
          <w:lang w:val="es-ES" w:eastAsia="es-CR"/>
        </w:rPr>
        <w:t xml:space="preserve"> presentó ante la Corte su </w:t>
      </w:r>
      <w:r w:rsidRPr="00E25884">
        <w:rPr>
          <w:rFonts w:ascii="Verdana" w:eastAsia="Calibri" w:hAnsi="Verdana" w:cs="Arial"/>
          <w:sz w:val="20"/>
          <w:szCs w:val="20"/>
          <w:lang w:val="es-ES" w:eastAsia="es-CR"/>
        </w:rPr>
        <w:t>escrito</w:t>
      </w:r>
      <w:r w:rsidRPr="00E25884">
        <w:rPr>
          <w:rFonts w:ascii="Verdana" w:eastAsia="Verdana" w:hAnsi="Verdana" w:cs="Verdana"/>
          <w:sz w:val="20"/>
          <w:szCs w:val="20"/>
          <w:lang w:val="es-ES" w:eastAsia="es-CR"/>
        </w:rPr>
        <w:t xml:space="preserve"> de contestación </w:t>
      </w:r>
      <w:r w:rsidRPr="000B58B4">
        <w:rPr>
          <w:rFonts w:ascii="Verdana" w:eastAsia="Verdana" w:hAnsi="Verdana" w:cs="Verdana"/>
          <w:sz w:val="20"/>
          <w:szCs w:val="20"/>
          <w:lang w:val="es-ES" w:eastAsia="es-CR"/>
        </w:rPr>
        <w:t>(en adelante “escrito de contestación”)</w:t>
      </w:r>
      <w:r w:rsidRPr="00E25884">
        <w:rPr>
          <w:rFonts w:ascii="Verdana" w:eastAsia="Verdana" w:hAnsi="Verdana" w:cs="Verdana"/>
          <w:sz w:val="20"/>
          <w:szCs w:val="20"/>
          <w:lang w:val="es-ES" w:eastAsia="es-CR"/>
        </w:rPr>
        <w:t xml:space="preserve"> al sometimiento e Informe de Fondo y al escrito de solicitudes y argumentos. </w:t>
      </w:r>
      <w:r w:rsidRPr="00E25884">
        <w:rPr>
          <w:rFonts w:ascii="Verdana" w:eastAsia="Verdana" w:hAnsi="Verdana" w:cs="Verdana"/>
          <w:sz w:val="20"/>
          <w:szCs w:val="20"/>
          <w:lang w:val="es-CR" w:eastAsia="es-CR"/>
        </w:rPr>
        <w:t xml:space="preserve">El Estado presentó </w:t>
      </w:r>
      <w:r w:rsidR="006B0067" w:rsidRPr="00E25884">
        <w:rPr>
          <w:rFonts w:ascii="Verdana" w:eastAsia="Verdana" w:hAnsi="Verdana" w:cs="Verdana"/>
          <w:sz w:val="20"/>
          <w:szCs w:val="20"/>
          <w:lang w:val="es-CR" w:eastAsia="es-CR"/>
        </w:rPr>
        <w:t>una excepción preliminar</w:t>
      </w:r>
      <w:r w:rsidR="00617C76">
        <w:rPr>
          <w:rFonts w:ascii="Verdana" w:eastAsia="Verdana" w:hAnsi="Verdana" w:cs="Verdana"/>
          <w:sz w:val="20"/>
          <w:szCs w:val="20"/>
          <w:lang w:val="es-CR" w:eastAsia="es-CR"/>
        </w:rPr>
        <w:t>.</w:t>
      </w:r>
      <w:r w:rsidRPr="00E25884">
        <w:rPr>
          <w:rFonts w:ascii="Verdana" w:eastAsia="Verdana" w:hAnsi="Verdana" w:cs="Verdana"/>
          <w:sz w:val="20"/>
          <w:szCs w:val="20"/>
          <w:lang w:val="es-CR" w:eastAsia="es-CR"/>
        </w:rPr>
        <w:t xml:space="preserve"> Dicho escrito fue notificado a la</w:t>
      </w:r>
      <w:r w:rsidR="00C70633" w:rsidRPr="00E25884">
        <w:rPr>
          <w:rFonts w:ascii="Verdana" w:eastAsia="Verdana" w:hAnsi="Verdana" w:cs="Verdana"/>
          <w:sz w:val="20"/>
          <w:szCs w:val="20"/>
          <w:lang w:val="es-CR" w:eastAsia="es-CR"/>
        </w:rPr>
        <w:t>s</w:t>
      </w:r>
      <w:r w:rsidRPr="00E25884">
        <w:rPr>
          <w:rFonts w:ascii="Verdana" w:eastAsia="Verdana" w:hAnsi="Verdana" w:cs="Verdana"/>
          <w:sz w:val="20"/>
          <w:szCs w:val="20"/>
          <w:lang w:val="es-CR" w:eastAsia="es-CR"/>
        </w:rPr>
        <w:t xml:space="preserve"> partes</w:t>
      </w:r>
      <w:r w:rsidR="00A7367D" w:rsidRPr="00E25884">
        <w:rPr>
          <w:rFonts w:ascii="Verdana" w:eastAsia="Verdana" w:hAnsi="Verdana" w:cs="Verdana"/>
          <w:sz w:val="20"/>
          <w:szCs w:val="20"/>
          <w:lang w:val="es-CR" w:eastAsia="es-CR"/>
        </w:rPr>
        <w:t xml:space="preserve"> y a la Comisión</w:t>
      </w:r>
      <w:r w:rsidRPr="00E25884">
        <w:rPr>
          <w:rFonts w:ascii="Verdana" w:eastAsia="Verdana" w:hAnsi="Verdana" w:cs="Verdana"/>
          <w:sz w:val="20"/>
          <w:szCs w:val="20"/>
          <w:lang w:val="es-CR" w:eastAsia="es-CR"/>
        </w:rPr>
        <w:t xml:space="preserve"> el </w:t>
      </w:r>
      <w:r w:rsidR="009109ED" w:rsidRPr="00E25884">
        <w:rPr>
          <w:rFonts w:ascii="Verdana" w:eastAsia="Verdana" w:hAnsi="Verdana" w:cs="Verdana"/>
          <w:sz w:val="20"/>
          <w:szCs w:val="20"/>
          <w:lang w:val="es-CR" w:eastAsia="es-CR"/>
        </w:rPr>
        <w:t xml:space="preserve">12 de </w:t>
      </w:r>
      <w:r w:rsidR="00A65210" w:rsidRPr="00E25884">
        <w:rPr>
          <w:rFonts w:ascii="Verdana" w:eastAsia="Verdana" w:hAnsi="Verdana" w:cs="Verdana"/>
          <w:sz w:val="20"/>
          <w:szCs w:val="20"/>
          <w:lang w:val="es-CR" w:eastAsia="es-CR"/>
        </w:rPr>
        <w:t>octubre</w:t>
      </w:r>
      <w:r w:rsidRPr="00E25884">
        <w:rPr>
          <w:rFonts w:ascii="Verdana" w:eastAsia="Verdana" w:hAnsi="Verdana" w:cs="Verdana"/>
          <w:sz w:val="20"/>
          <w:szCs w:val="20"/>
          <w:lang w:val="es-CR" w:eastAsia="es-CR"/>
        </w:rPr>
        <w:t xml:space="preserve"> de 2018</w:t>
      </w:r>
      <w:r w:rsidR="008A351B" w:rsidRPr="00E25884">
        <w:rPr>
          <w:rFonts w:ascii="Verdana" w:eastAsia="Verdana" w:hAnsi="Verdana" w:cs="Verdana"/>
          <w:sz w:val="20"/>
          <w:szCs w:val="20"/>
          <w:lang w:val="es-CR" w:eastAsia="es-CR"/>
        </w:rPr>
        <w:t>.</w:t>
      </w:r>
    </w:p>
    <w:p w14:paraId="1120151C" w14:textId="77777777" w:rsidR="00C97BC1" w:rsidRPr="00E25884" w:rsidRDefault="00C97BC1" w:rsidP="00C97BC1">
      <w:pPr>
        <w:widowControl w:val="0"/>
        <w:tabs>
          <w:tab w:val="left" w:pos="567"/>
        </w:tabs>
        <w:adjustRightInd w:val="0"/>
        <w:spacing w:after="0" w:line="240" w:lineRule="auto"/>
        <w:jc w:val="both"/>
        <w:textAlignment w:val="baseline"/>
        <w:rPr>
          <w:rFonts w:ascii="Verdana" w:eastAsia="Verdana" w:hAnsi="Verdana" w:cs="Verdana"/>
          <w:i/>
          <w:sz w:val="20"/>
          <w:szCs w:val="20"/>
          <w:lang w:val="es-ES" w:eastAsia="es-CR"/>
        </w:rPr>
      </w:pPr>
    </w:p>
    <w:p w14:paraId="16D6878D" w14:textId="4E6FD759" w:rsidR="001C05D8" w:rsidRPr="000B58B4" w:rsidRDefault="001C05D8"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eastAsia="Verdana" w:hAnsi="Verdana" w:cs="Verdana"/>
          <w:sz w:val="20"/>
          <w:szCs w:val="20"/>
          <w:lang w:val="es-ES" w:eastAsia="es-CR"/>
        </w:rPr>
      </w:pPr>
      <w:r w:rsidRPr="00E25884">
        <w:rPr>
          <w:rFonts w:ascii="Verdana" w:eastAsia="Verdana" w:hAnsi="Verdana" w:cs="Verdana"/>
          <w:i/>
          <w:sz w:val="20"/>
          <w:szCs w:val="20"/>
          <w:lang w:val="es-ES" w:eastAsia="es-CR"/>
        </w:rPr>
        <w:t xml:space="preserve">Observaciones a las excepciones preliminares. – </w:t>
      </w:r>
      <w:r w:rsidRPr="00E25884">
        <w:rPr>
          <w:rFonts w:ascii="Verdana" w:eastAsia="Verdana" w:hAnsi="Verdana" w:cs="Verdana"/>
          <w:sz w:val="20"/>
          <w:szCs w:val="20"/>
          <w:lang w:val="es-ES" w:eastAsia="es-CR"/>
        </w:rPr>
        <w:t xml:space="preserve">El </w:t>
      </w:r>
      <w:r w:rsidR="00EC5AAA" w:rsidRPr="00E25884">
        <w:rPr>
          <w:rFonts w:ascii="Verdana" w:eastAsia="Verdana" w:hAnsi="Verdana" w:cs="Verdana"/>
          <w:sz w:val="20"/>
          <w:szCs w:val="20"/>
          <w:lang w:val="es-ES" w:eastAsia="es-CR"/>
        </w:rPr>
        <w:t>6 y 12 de noviembre</w:t>
      </w:r>
      <w:r w:rsidRPr="00E25884">
        <w:rPr>
          <w:rFonts w:ascii="Verdana" w:eastAsia="Verdana" w:hAnsi="Verdana" w:cs="Verdana"/>
          <w:sz w:val="20"/>
          <w:szCs w:val="20"/>
          <w:lang w:val="es-ES" w:eastAsia="es-CR"/>
        </w:rPr>
        <w:t xml:space="preserve"> de 2018 la representación de las</w:t>
      </w:r>
      <w:r w:rsidR="00C70633" w:rsidRPr="00E25884">
        <w:rPr>
          <w:rFonts w:ascii="Verdana" w:eastAsia="Verdana" w:hAnsi="Verdana" w:cs="Verdana"/>
          <w:sz w:val="20"/>
          <w:szCs w:val="20"/>
          <w:lang w:val="es-ES" w:eastAsia="es-CR"/>
        </w:rPr>
        <w:t xml:space="preserve"> presuntas</w:t>
      </w:r>
      <w:r w:rsidR="00E33DF4" w:rsidRPr="00E25884">
        <w:rPr>
          <w:rFonts w:ascii="Verdana" w:eastAsia="Verdana" w:hAnsi="Verdana" w:cs="Verdana"/>
          <w:sz w:val="20"/>
          <w:szCs w:val="20"/>
          <w:lang w:val="es-ES" w:eastAsia="es-CR"/>
        </w:rPr>
        <w:t xml:space="preserve"> víctimas</w:t>
      </w:r>
      <w:r w:rsidR="00EC5AAA" w:rsidRPr="00E25884">
        <w:rPr>
          <w:rFonts w:ascii="Verdana" w:eastAsia="Verdana" w:hAnsi="Verdana" w:cs="Verdana"/>
          <w:sz w:val="20"/>
          <w:szCs w:val="20"/>
          <w:lang w:val="es-ES" w:eastAsia="es-CR"/>
        </w:rPr>
        <w:t xml:space="preserve"> y la Comisión, respectivamente,</w:t>
      </w:r>
      <w:r w:rsidRPr="00E25884">
        <w:rPr>
          <w:rFonts w:ascii="Verdana" w:eastAsia="Verdana" w:hAnsi="Verdana" w:cs="Verdana"/>
          <w:sz w:val="20"/>
          <w:szCs w:val="20"/>
          <w:lang w:val="es-ES" w:eastAsia="es-CR"/>
        </w:rPr>
        <w:t xml:space="preserve"> pre</w:t>
      </w:r>
      <w:r w:rsidR="00E33DF4" w:rsidRPr="00E25884">
        <w:rPr>
          <w:rFonts w:ascii="Verdana" w:eastAsia="Verdana" w:hAnsi="Verdana" w:cs="Verdana"/>
          <w:sz w:val="20"/>
          <w:szCs w:val="20"/>
          <w:lang w:val="es-ES" w:eastAsia="es-CR"/>
        </w:rPr>
        <w:t>sentaron sus observaciones a la excepción preliminar</w:t>
      </w:r>
      <w:r w:rsidR="008A351B" w:rsidRPr="00E25884">
        <w:rPr>
          <w:rFonts w:ascii="Verdana" w:eastAsia="Verdana" w:hAnsi="Verdana" w:cs="Verdana"/>
          <w:sz w:val="20"/>
          <w:szCs w:val="20"/>
          <w:lang w:val="es-ES" w:eastAsia="es-CR"/>
        </w:rPr>
        <w:t xml:space="preserve"> interpuesta por el Estado.</w:t>
      </w:r>
    </w:p>
    <w:p w14:paraId="3F1ADE6D" w14:textId="77777777" w:rsidR="00C97BC1" w:rsidRPr="00E25884" w:rsidRDefault="00C97BC1" w:rsidP="00C97BC1">
      <w:pPr>
        <w:widowControl w:val="0"/>
        <w:tabs>
          <w:tab w:val="left" w:pos="567"/>
        </w:tabs>
        <w:adjustRightInd w:val="0"/>
        <w:spacing w:after="0" w:line="240" w:lineRule="auto"/>
        <w:jc w:val="both"/>
        <w:textAlignment w:val="baseline"/>
        <w:rPr>
          <w:rFonts w:ascii="Verdana" w:eastAsia="Verdana" w:hAnsi="Verdana" w:cs="Verdana"/>
          <w:i/>
          <w:sz w:val="20"/>
          <w:szCs w:val="20"/>
          <w:lang w:val="es-ES" w:eastAsia="es-CR"/>
        </w:rPr>
      </w:pPr>
    </w:p>
    <w:p w14:paraId="04D3C9E7" w14:textId="6F6A6D92" w:rsidR="001C05D8" w:rsidRDefault="001C05D8"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eastAsia="Verdana" w:hAnsi="Verdana" w:cs="Verdana"/>
          <w:sz w:val="20"/>
          <w:szCs w:val="20"/>
          <w:lang w:val="es-ES" w:eastAsia="es-CR"/>
        </w:rPr>
      </w:pPr>
      <w:r w:rsidRPr="00E25884">
        <w:rPr>
          <w:rFonts w:ascii="Verdana" w:eastAsia="Verdana" w:hAnsi="Verdana" w:cs="Verdana"/>
          <w:i/>
          <w:position w:val="-1"/>
          <w:sz w:val="20"/>
          <w:szCs w:val="20"/>
          <w:lang w:val="es-ES" w:eastAsia="es-CR"/>
        </w:rPr>
        <w:t>Audiencia Pública</w:t>
      </w:r>
      <w:r w:rsidR="00A533E5" w:rsidRPr="00E25884">
        <w:rPr>
          <w:rFonts w:ascii="Verdana" w:eastAsia="Verdana" w:hAnsi="Verdana" w:cs="Verdana"/>
          <w:i/>
          <w:position w:val="-1"/>
          <w:sz w:val="20"/>
          <w:szCs w:val="20"/>
          <w:lang w:val="es-ES" w:eastAsia="es-CR"/>
        </w:rPr>
        <w:t>.</w:t>
      </w:r>
      <w:r w:rsidRPr="00E25884">
        <w:rPr>
          <w:rFonts w:ascii="Verdana" w:eastAsia="Verdana" w:hAnsi="Verdana" w:cs="Verdana"/>
          <w:i/>
          <w:position w:val="-1"/>
          <w:sz w:val="20"/>
          <w:szCs w:val="20"/>
          <w:lang w:val="es-ES" w:eastAsia="es-CR"/>
        </w:rPr>
        <w:t xml:space="preserve"> - </w:t>
      </w:r>
      <w:r w:rsidRPr="00E25884">
        <w:rPr>
          <w:rFonts w:ascii="Verdana" w:eastAsia="Verdana" w:hAnsi="Verdana" w:cs="Verdana"/>
          <w:position w:val="-1"/>
          <w:sz w:val="20"/>
          <w:szCs w:val="20"/>
          <w:lang w:val="es-ES" w:eastAsia="es-CR"/>
        </w:rPr>
        <w:t xml:space="preserve">Mediante </w:t>
      </w:r>
      <w:r w:rsidR="00130BEF" w:rsidRPr="00E25884">
        <w:rPr>
          <w:rFonts w:ascii="Verdana" w:eastAsia="Verdana" w:hAnsi="Verdana" w:cs="Verdana"/>
          <w:position w:val="-1"/>
          <w:sz w:val="20"/>
          <w:szCs w:val="20"/>
          <w:lang w:val="es-ES" w:eastAsia="es-CR"/>
        </w:rPr>
        <w:t>r</w:t>
      </w:r>
      <w:r w:rsidR="00E33DF4" w:rsidRPr="00E25884">
        <w:rPr>
          <w:rFonts w:ascii="Verdana" w:eastAsia="Verdana" w:hAnsi="Verdana" w:cs="Verdana"/>
          <w:position w:val="-1"/>
          <w:sz w:val="20"/>
          <w:szCs w:val="20"/>
          <w:lang w:val="es-ES" w:eastAsia="es-CR"/>
        </w:rPr>
        <w:t>esolución</w:t>
      </w:r>
      <w:r w:rsidRPr="00E25884">
        <w:rPr>
          <w:rFonts w:ascii="Verdana" w:eastAsia="Verdana" w:hAnsi="Verdana" w:cs="Verdana"/>
          <w:position w:val="-1"/>
          <w:sz w:val="20"/>
          <w:szCs w:val="20"/>
          <w:lang w:val="es-ES" w:eastAsia="es-CR"/>
        </w:rPr>
        <w:t xml:space="preserve"> de</w:t>
      </w:r>
      <w:r w:rsidR="00B2704E">
        <w:rPr>
          <w:rFonts w:ascii="Verdana" w:eastAsia="Verdana" w:hAnsi="Verdana" w:cs="Verdana"/>
          <w:position w:val="-1"/>
          <w:sz w:val="20"/>
          <w:szCs w:val="20"/>
          <w:lang w:val="es-ES" w:eastAsia="es-CR"/>
        </w:rPr>
        <w:t xml:space="preserve">l </w:t>
      </w:r>
      <w:proofErr w:type="gramStart"/>
      <w:r w:rsidR="00B2704E">
        <w:rPr>
          <w:rFonts w:ascii="Verdana" w:eastAsia="Verdana" w:hAnsi="Verdana" w:cs="Verdana"/>
          <w:position w:val="-1"/>
          <w:sz w:val="20"/>
          <w:szCs w:val="20"/>
          <w:lang w:val="es-ES" w:eastAsia="es-CR"/>
        </w:rPr>
        <w:t>Presidente</w:t>
      </w:r>
      <w:proofErr w:type="gramEnd"/>
      <w:r w:rsidR="00B2704E">
        <w:rPr>
          <w:rFonts w:ascii="Verdana" w:eastAsia="Verdana" w:hAnsi="Verdana" w:cs="Verdana"/>
          <w:position w:val="-1"/>
          <w:sz w:val="20"/>
          <w:szCs w:val="20"/>
          <w:lang w:val="es-ES" w:eastAsia="es-CR"/>
        </w:rPr>
        <w:t xml:space="preserve"> de</w:t>
      </w:r>
      <w:r w:rsidRPr="00E25884">
        <w:rPr>
          <w:rFonts w:ascii="Verdana" w:eastAsia="Verdana" w:hAnsi="Verdana" w:cs="Verdana"/>
          <w:position w:val="-1"/>
          <w:sz w:val="20"/>
          <w:szCs w:val="20"/>
          <w:lang w:val="es-ES" w:eastAsia="es-CR"/>
        </w:rPr>
        <w:t xml:space="preserve"> </w:t>
      </w:r>
      <w:r w:rsidR="00E33DF4" w:rsidRPr="00E25884">
        <w:rPr>
          <w:rFonts w:ascii="Verdana" w:eastAsia="Verdana" w:hAnsi="Verdana" w:cs="Verdana"/>
          <w:position w:val="-1"/>
          <w:sz w:val="20"/>
          <w:szCs w:val="20"/>
          <w:lang w:val="es-ES" w:eastAsia="es-CR"/>
        </w:rPr>
        <w:t>20 de marzo</w:t>
      </w:r>
      <w:r w:rsidR="00BB6280" w:rsidRPr="00E25884">
        <w:rPr>
          <w:rFonts w:ascii="Verdana" w:eastAsia="Verdana" w:hAnsi="Verdana" w:cs="Verdana"/>
          <w:position w:val="-1"/>
          <w:sz w:val="20"/>
          <w:szCs w:val="20"/>
          <w:lang w:val="es-ES" w:eastAsia="es-CR"/>
        </w:rPr>
        <w:t xml:space="preserve"> de 2019</w:t>
      </w:r>
      <w:r w:rsidRPr="00E25884">
        <w:rPr>
          <w:rFonts w:ascii="Verdana" w:eastAsia="Verdana" w:hAnsi="Verdana" w:cs="Verdana"/>
          <w:position w:val="-1"/>
          <w:sz w:val="20"/>
          <w:szCs w:val="20"/>
          <w:vertAlign w:val="superscript"/>
          <w:lang w:val="es-ES" w:eastAsia="es-CR"/>
        </w:rPr>
        <w:footnoteReference w:id="8"/>
      </w:r>
      <w:r w:rsidRPr="00E25884">
        <w:rPr>
          <w:rFonts w:ascii="Verdana" w:eastAsia="Verdana" w:hAnsi="Verdana" w:cs="Verdana"/>
          <w:position w:val="-1"/>
          <w:sz w:val="20"/>
          <w:szCs w:val="20"/>
          <w:lang w:val="es-ES" w:eastAsia="es-CR"/>
        </w:rPr>
        <w:t xml:space="preserve"> se convocó a las partes y a la</w:t>
      </w:r>
      <w:r w:rsidR="00DE1081" w:rsidRPr="00E25884">
        <w:rPr>
          <w:rFonts w:ascii="Verdana" w:eastAsia="Verdana" w:hAnsi="Verdana" w:cs="Verdana"/>
          <w:position w:val="-1"/>
          <w:sz w:val="20"/>
          <w:szCs w:val="20"/>
          <w:lang w:val="es-ES" w:eastAsia="es-CR"/>
        </w:rPr>
        <w:t xml:space="preserve"> Comisión Interamericana a una Audiencia P</w:t>
      </w:r>
      <w:r w:rsidRPr="00E25884">
        <w:rPr>
          <w:rFonts w:ascii="Verdana" w:eastAsia="Verdana" w:hAnsi="Verdana" w:cs="Verdana"/>
          <w:position w:val="-1"/>
          <w:sz w:val="20"/>
          <w:szCs w:val="20"/>
          <w:lang w:val="es-ES" w:eastAsia="es-CR"/>
        </w:rPr>
        <w:t>ública para recibir sus observaciones finales orales sobre</w:t>
      </w:r>
      <w:r w:rsidR="00E33DF4" w:rsidRPr="00E25884">
        <w:rPr>
          <w:rFonts w:ascii="Verdana" w:eastAsia="Verdana" w:hAnsi="Verdana" w:cs="Verdana"/>
          <w:position w:val="-1"/>
          <w:sz w:val="20"/>
          <w:szCs w:val="20"/>
          <w:lang w:val="es-ES" w:eastAsia="es-CR"/>
        </w:rPr>
        <w:t xml:space="preserve"> la excepción preliminar</w:t>
      </w:r>
      <w:r w:rsidRPr="00E25884">
        <w:rPr>
          <w:rFonts w:ascii="Verdana" w:eastAsia="Verdana" w:hAnsi="Verdana" w:cs="Verdana"/>
          <w:position w:val="-1"/>
          <w:sz w:val="20"/>
          <w:szCs w:val="20"/>
          <w:lang w:val="es-ES" w:eastAsia="es-CR"/>
        </w:rPr>
        <w:t>, el fondo y e</w:t>
      </w:r>
      <w:r w:rsidR="000B58B4">
        <w:rPr>
          <w:rFonts w:ascii="Verdana" w:eastAsia="Verdana" w:hAnsi="Verdana" w:cs="Verdana"/>
          <w:position w:val="-1"/>
          <w:sz w:val="20"/>
          <w:szCs w:val="20"/>
          <w:lang w:val="es-ES" w:eastAsia="es-CR"/>
        </w:rPr>
        <w:t>ventuales reparaciones y costas</w:t>
      </w:r>
      <w:r w:rsidR="000B58B4" w:rsidRPr="000B58B4">
        <w:rPr>
          <w:rFonts w:ascii="Verdana" w:eastAsia="Verdana" w:hAnsi="Verdana" w:cs="Verdana"/>
          <w:position w:val="-1"/>
          <w:sz w:val="20"/>
          <w:szCs w:val="20"/>
          <w:lang w:val="es-ES" w:eastAsia="es-CR"/>
        </w:rPr>
        <w:t xml:space="preserve">. </w:t>
      </w:r>
      <w:r w:rsidR="00DE1081" w:rsidRPr="00E25884">
        <w:rPr>
          <w:rFonts w:ascii="Verdana" w:eastAsia="Verdana" w:hAnsi="Verdana" w:cs="Verdana"/>
          <w:sz w:val="20"/>
          <w:szCs w:val="20"/>
          <w:lang w:val="es-ES" w:eastAsia="es-CR"/>
        </w:rPr>
        <w:t>La Audiencia P</w:t>
      </w:r>
      <w:r w:rsidRPr="00E25884">
        <w:rPr>
          <w:rFonts w:ascii="Verdana" w:eastAsia="Verdana" w:hAnsi="Verdana" w:cs="Verdana"/>
          <w:sz w:val="20"/>
          <w:szCs w:val="20"/>
          <w:lang w:val="es-ES" w:eastAsia="es-CR"/>
        </w:rPr>
        <w:t xml:space="preserve">ública fue celebrada el </w:t>
      </w:r>
      <w:r w:rsidR="00CC11BE" w:rsidRPr="00E25884">
        <w:rPr>
          <w:rFonts w:ascii="Verdana" w:eastAsia="Verdana" w:hAnsi="Verdana" w:cs="Verdana"/>
          <w:sz w:val="20"/>
          <w:szCs w:val="20"/>
          <w:lang w:val="es-ES" w:eastAsia="es-CR"/>
        </w:rPr>
        <w:t>6</w:t>
      </w:r>
      <w:r w:rsidR="00DA6263" w:rsidRPr="00E25884">
        <w:rPr>
          <w:rFonts w:ascii="Verdana" w:eastAsia="Verdana" w:hAnsi="Verdana" w:cs="Verdana"/>
          <w:sz w:val="20"/>
          <w:szCs w:val="20"/>
          <w:lang w:val="es-ES" w:eastAsia="es-CR"/>
        </w:rPr>
        <w:t xml:space="preserve"> de mayo de 2019, durante el 60° Período Extrao</w:t>
      </w:r>
      <w:r w:rsidRPr="00E25884">
        <w:rPr>
          <w:rFonts w:ascii="Verdana" w:eastAsia="Verdana" w:hAnsi="Verdana" w:cs="Verdana"/>
          <w:sz w:val="20"/>
          <w:szCs w:val="20"/>
          <w:lang w:val="es-ES" w:eastAsia="es-CR"/>
        </w:rPr>
        <w:t xml:space="preserve">rdinario de Sesiones de la Corte, llevado a cabo en </w:t>
      </w:r>
      <w:r w:rsidR="00DA6263" w:rsidRPr="00E25884">
        <w:rPr>
          <w:rFonts w:ascii="Verdana" w:eastAsia="Verdana" w:hAnsi="Verdana" w:cs="Verdana"/>
          <w:sz w:val="20"/>
          <w:szCs w:val="20"/>
          <w:lang w:val="es-ES" w:eastAsia="es-CR"/>
        </w:rPr>
        <w:t>Montevideo, Uruguay</w:t>
      </w:r>
      <w:r w:rsidRPr="00E25884">
        <w:rPr>
          <w:rFonts w:ascii="Verdana" w:eastAsia="Verdana" w:hAnsi="Verdana" w:cs="Verdana"/>
          <w:sz w:val="20"/>
          <w:szCs w:val="20"/>
          <w:vertAlign w:val="superscript"/>
          <w:lang w:val="es-ES" w:eastAsia="es-CR"/>
        </w:rPr>
        <w:footnoteReference w:id="9"/>
      </w:r>
      <w:r w:rsidR="008A351B" w:rsidRPr="00E25884">
        <w:rPr>
          <w:rFonts w:ascii="Verdana" w:eastAsia="Verdana" w:hAnsi="Verdana" w:cs="Verdana"/>
          <w:sz w:val="20"/>
          <w:szCs w:val="20"/>
          <w:lang w:val="es-ES" w:eastAsia="es-CR"/>
        </w:rPr>
        <w:t>.</w:t>
      </w:r>
      <w:r w:rsidR="001B6EC3">
        <w:rPr>
          <w:rFonts w:ascii="Verdana" w:eastAsia="Verdana" w:hAnsi="Verdana" w:cs="Verdana"/>
          <w:sz w:val="20"/>
          <w:szCs w:val="20"/>
          <w:lang w:val="es-ES" w:eastAsia="es-CR"/>
        </w:rPr>
        <w:t xml:space="preserve"> </w:t>
      </w:r>
    </w:p>
    <w:p w14:paraId="1CEF1EA7" w14:textId="77777777" w:rsidR="00C97BC1" w:rsidRPr="00E25884" w:rsidRDefault="00C97BC1" w:rsidP="00C97BC1">
      <w:pPr>
        <w:widowControl w:val="0"/>
        <w:tabs>
          <w:tab w:val="left" w:pos="567"/>
        </w:tabs>
        <w:adjustRightInd w:val="0"/>
        <w:spacing w:after="0" w:line="240" w:lineRule="auto"/>
        <w:jc w:val="both"/>
        <w:textAlignment w:val="baseline"/>
        <w:rPr>
          <w:rFonts w:ascii="Verdana" w:eastAsia="Verdana" w:hAnsi="Verdana" w:cs="Verdana"/>
          <w:sz w:val="20"/>
          <w:szCs w:val="20"/>
          <w:lang w:val="es-ES" w:eastAsia="es-CR"/>
        </w:rPr>
      </w:pPr>
    </w:p>
    <w:p w14:paraId="1C77A790" w14:textId="77777777" w:rsidR="001C05D8" w:rsidRPr="00C97BC1" w:rsidRDefault="001C05D8"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eastAsia="Times New Roman" w:hAnsi="Verdana" w:cs="Verdana"/>
          <w:snapToGrid w:val="0"/>
          <w:sz w:val="20"/>
          <w:szCs w:val="20"/>
          <w:lang w:val="es-ES" w:eastAsia="es-ES"/>
        </w:rPr>
      </w:pPr>
      <w:bookmarkStart w:id="7" w:name="_Ref354147731"/>
      <w:r w:rsidRPr="00E25884">
        <w:rPr>
          <w:rFonts w:ascii="Verdana" w:eastAsia="Times New Roman" w:hAnsi="Verdana" w:cs="Verdana"/>
          <w:i/>
          <w:sz w:val="20"/>
          <w:szCs w:val="20"/>
          <w:lang w:val="es-ES" w:eastAsia="es-CR"/>
        </w:rPr>
        <w:t xml:space="preserve">Alegatos y observaciones finales escritas. </w:t>
      </w:r>
      <w:bookmarkEnd w:id="7"/>
      <w:r w:rsidRPr="00E25884">
        <w:rPr>
          <w:rFonts w:ascii="Verdana" w:eastAsia="Times New Roman" w:hAnsi="Verdana" w:cs="Verdana"/>
          <w:i/>
          <w:sz w:val="20"/>
          <w:szCs w:val="20"/>
          <w:lang w:val="es-ES" w:eastAsia="es-CR"/>
        </w:rPr>
        <w:t xml:space="preserve">– </w:t>
      </w:r>
      <w:r w:rsidR="004E0B3D" w:rsidRPr="00E25884">
        <w:rPr>
          <w:rFonts w:ascii="Verdana" w:eastAsia="Times New Roman" w:hAnsi="Verdana" w:cs="Verdana"/>
          <w:sz w:val="20"/>
          <w:szCs w:val="20"/>
          <w:lang w:val="es-ES" w:eastAsia="es-CR"/>
        </w:rPr>
        <w:t>Los días</w:t>
      </w:r>
      <w:r w:rsidRPr="00E25884">
        <w:rPr>
          <w:rFonts w:ascii="Verdana" w:eastAsia="Times New Roman" w:hAnsi="Verdana" w:cs="Verdana"/>
          <w:sz w:val="20"/>
          <w:szCs w:val="20"/>
          <w:lang w:val="es-ES" w:eastAsia="es-CR"/>
        </w:rPr>
        <w:t xml:space="preserve"> </w:t>
      </w:r>
      <w:r w:rsidR="00E43282" w:rsidRPr="00E25884">
        <w:rPr>
          <w:rFonts w:ascii="Verdana" w:eastAsia="Times New Roman" w:hAnsi="Verdana" w:cs="Verdana"/>
          <w:sz w:val="20"/>
          <w:szCs w:val="20"/>
          <w:lang w:val="es-ES" w:eastAsia="es-CR"/>
        </w:rPr>
        <w:t>31 de mayo y el 5</w:t>
      </w:r>
      <w:r w:rsidR="005D1D0B" w:rsidRPr="00E25884">
        <w:rPr>
          <w:rFonts w:ascii="Verdana" w:eastAsia="Times New Roman" w:hAnsi="Verdana" w:cs="Verdana"/>
          <w:sz w:val="20"/>
          <w:szCs w:val="20"/>
          <w:lang w:val="es-ES" w:eastAsia="es-CR"/>
        </w:rPr>
        <w:t xml:space="preserve"> de junio</w:t>
      </w:r>
      <w:r w:rsidRPr="00E25884">
        <w:rPr>
          <w:rFonts w:ascii="Verdana" w:eastAsia="Times New Roman" w:hAnsi="Verdana" w:cs="Verdana"/>
          <w:sz w:val="20"/>
          <w:szCs w:val="20"/>
          <w:lang w:val="es-ES" w:eastAsia="es-CR"/>
        </w:rPr>
        <w:t xml:space="preserve"> de 2019</w:t>
      </w:r>
      <w:r w:rsidR="00A7367D" w:rsidRPr="00E25884">
        <w:rPr>
          <w:rFonts w:ascii="Verdana" w:eastAsia="Times New Roman" w:hAnsi="Verdana" w:cs="Verdana"/>
          <w:sz w:val="20"/>
          <w:szCs w:val="20"/>
          <w:lang w:val="es-ES" w:eastAsia="es-CR"/>
        </w:rPr>
        <w:t xml:space="preserve"> </w:t>
      </w:r>
      <w:r w:rsidR="004E0B3D" w:rsidRPr="00E25884">
        <w:rPr>
          <w:rFonts w:ascii="Verdana" w:eastAsia="Times New Roman" w:hAnsi="Verdana" w:cs="Verdana"/>
          <w:sz w:val="20"/>
          <w:szCs w:val="20"/>
          <w:lang w:val="es-ES" w:eastAsia="es-CR"/>
        </w:rPr>
        <w:t>los representantes</w:t>
      </w:r>
      <w:r w:rsidR="005E5302" w:rsidRPr="00E25884">
        <w:rPr>
          <w:rFonts w:ascii="Verdana" w:eastAsia="Times New Roman" w:hAnsi="Verdana" w:cs="Verdana"/>
          <w:sz w:val="20"/>
          <w:szCs w:val="20"/>
          <w:lang w:val="es-ES" w:eastAsia="es-CR"/>
        </w:rPr>
        <w:t xml:space="preserve"> y el Estado</w:t>
      </w:r>
      <w:r w:rsidR="00A7367D" w:rsidRPr="00E25884">
        <w:rPr>
          <w:rFonts w:ascii="Verdana" w:eastAsia="Times New Roman" w:hAnsi="Verdana" w:cs="Verdana"/>
          <w:sz w:val="20"/>
          <w:szCs w:val="20"/>
          <w:lang w:val="es-ES" w:eastAsia="es-CR"/>
        </w:rPr>
        <w:t>, respectivamente,</w:t>
      </w:r>
      <w:r w:rsidRPr="00E25884">
        <w:rPr>
          <w:rFonts w:ascii="Verdana" w:eastAsia="Times New Roman" w:hAnsi="Verdana" w:cs="Verdana"/>
          <w:sz w:val="20"/>
          <w:szCs w:val="20"/>
          <w:lang w:val="es-ES" w:eastAsia="es-CR"/>
        </w:rPr>
        <w:t xml:space="preserve"> remitieron alegatos finales escritos. El </w:t>
      </w:r>
      <w:r w:rsidR="00E43282" w:rsidRPr="00E25884">
        <w:rPr>
          <w:rFonts w:ascii="Verdana" w:eastAsia="Times New Roman" w:hAnsi="Verdana" w:cs="Verdana"/>
          <w:sz w:val="20"/>
          <w:szCs w:val="20"/>
          <w:lang w:val="es-ES" w:eastAsia="es-CR"/>
        </w:rPr>
        <w:t>3</w:t>
      </w:r>
      <w:r w:rsidR="005E5302" w:rsidRPr="00E25884">
        <w:rPr>
          <w:rFonts w:ascii="Verdana" w:eastAsia="Times New Roman" w:hAnsi="Verdana" w:cs="Verdana"/>
          <w:sz w:val="20"/>
          <w:szCs w:val="20"/>
          <w:lang w:val="es-ES" w:eastAsia="es-CR"/>
        </w:rPr>
        <w:t xml:space="preserve"> de junio</w:t>
      </w:r>
      <w:r w:rsidRPr="00E25884">
        <w:rPr>
          <w:rFonts w:ascii="Verdana" w:eastAsia="Times New Roman" w:hAnsi="Verdana" w:cs="Verdana"/>
          <w:sz w:val="20"/>
          <w:szCs w:val="20"/>
          <w:lang w:val="es-ES" w:eastAsia="es-CR"/>
        </w:rPr>
        <w:t xml:space="preserve"> de 2019 la Comisión presentó sus observaciones finales escritas.</w:t>
      </w:r>
    </w:p>
    <w:p w14:paraId="35641050" w14:textId="77777777" w:rsidR="00C97BC1" w:rsidRPr="00E25884" w:rsidRDefault="00C97BC1" w:rsidP="00C97BC1">
      <w:pPr>
        <w:widowControl w:val="0"/>
        <w:tabs>
          <w:tab w:val="left" w:pos="567"/>
        </w:tabs>
        <w:adjustRightInd w:val="0"/>
        <w:spacing w:after="0" w:line="240" w:lineRule="auto"/>
        <w:jc w:val="both"/>
        <w:textAlignment w:val="baseline"/>
        <w:rPr>
          <w:rFonts w:ascii="Verdana" w:eastAsia="Times New Roman" w:hAnsi="Verdana" w:cs="Verdana"/>
          <w:snapToGrid w:val="0"/>
          <w:sz w:val="20"/>
          <w:szCs w:val="20"/>
          <w:lang w:val="es-ES" w:eastAsia="es-ES"/>
        </w:rPr>
      </w:pPr>
    </w:p>
    <w:p w14:paraId="5AD28E19" w14:textId="31F9A9B8" w:rsidR="001C05D8" w:rsidRPr="00C82EC8" w:rsidRDefault="001C05D8"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eastAsia="Times New Roman" w:hAnsi="Verdana" w:cs="Verdana"/>
          <w:snapToGrid w:val="0"/>
          <w:sz w:val="20"/>
          <w:szCs w:val="20"/>
          <w:lang w:val="es-ES" w:eastAsia="es-ES"/>
        </w:rPr>
      </w:pPr>
      <w:r w:rsidRPr="00C82EC8">
        <w:rPr>
          <w:rFonts w:ascii="Verdana" w:eastAsia="Times New Roman" w:hAnsi="Verdana" w:cs="Verdana"/>
          <w:i/>
          <w:snapToGrid w:val="0"/>
          <w:sz w:val="20"/>
          <w:szCs w:val="20"/>
          <w:lang w:val="es-ES" w:eastAsia="es-ES"/>
        </w:rPr>
        <w:t>Deliberación</w:t>
      </w:r>
      <w:r w:rsidRPr="00C82EC8">
        <w:rPr>
          <w:rFonts w:ascii="Verdana" w:eastAsia="Times New Roman" w:hAnsi="Verdana" w:cs="Verdana"/>
          <w:i/>
          <w:iCs/>
          <w:snapToGrid w:val="0"/>
          <w:sz w:val="20"/>
          <w:szCs w:val="20"/>
          <w:lang w:val="es-ES" w:eastAsia="es-ES"/>
        </w:rPr>
        <w:t xml:space="preserve"> del presente caso. - </w:t>
      </w:r>
      <w:r w:rsidRPr="00C82EC8">
        <w:rPr>
          <w:rFonts w:ascii="Verdana" w:eastAsia="Times New Roman" w:hAnsi="Verdana" w:cs="Verdana"/>
          <w:snapToGrid w:val="0"/>
          <w:sz w:val="20"/>
          <w:szCs w:val="20"/>
          <w:lang w:val="es-ES" w:eastAsia="es-ES"/>
        </w:rPr>
        <w:t>La Corte inició la deliberación de la presente Sentencia el</w:t>
      </w:r>
      <w:r w:rsidR="00D64AF7" w:rsidRPr="00C82EC8">
        <w:rPr>
          <w:rFonts w:ascii="Verdana" w:eastAsia="Times New Roman" w:hAnsi="Verdana" w:cs="Verdana"/>
          <w:snapToGrid w:val="0"/>
          <w:sz w:val="20"/>
          <w:szCs w:val="20"/>
          <w:lang w:val="es-ES" w:eastAsia="es-ES"/>
        </w:rPr>
        <w:t xml:space="preserve"> </w:t>
      </w:r>
      <w:r w:rsidR="00617C76" w:rsidRPr="00B577E7">
        <w:rPr>
          <w:rFonts w:ascii="Verdana" w:eastAsia="Times New Roman" w:hAnsi="Verdana" w:cs="Verdana"/>
          <w:snapToGrid w:val="0"/>
          <w:sz w:val="20"/>
          <w:szCs w:val="20"/>
          <w:lang w:val="es-ES" w:eastAsia="es-ES"/>
        </w:rPr>
        <w:lastRenderedPageBreak/>
        <w:t>21 de noviembre</w:t>
      </w:r>
      <w:r w:rsidR="00487C80" w:rsidRPr="00B577E7">
        <w:rPr>
          <w:rFonts w:ascii="Verdana" w:eastAsia="Times New Roman" w:hAnsi="Verdana" w:cs="Verdana"/>
          <w:snapToGrid w:val="0"/>
          <w:sz w:val="20"/>
          <w:szCs w:val="20"/>
          <w:lang w:val="es-ES" w:eastAsia="es-ES"/>
        </w:rPr>
        <w:t xml:space="preserve"> </w:t>
      </w:r>
      <w:r w:rsidRPr="00B577E7">
        <w:rPr>
          <w:rFonts w:ascii="Verdana" w:eastAsia="Times New Roman" w:hAnsi="Verdana" w:cs="Verdana"/>
          <w:snapToGrid w:val="0"/>
          <w:sz w:val="20"/>
          <w:szCs w:val="20"/>
          <w:lang w:val="es-ES" w:eastAsia="es-ES"/>
        </w:rPr>
        <w:t>de 2019.</w:t>
      </w:r>
    </w:p>
    <w:p w14:paraId="5AA24865" w14:textId="77777777" w:rsidR="00C97BC1" w:rsidRDefault="00C97BC1" w:rsidP="00C97BC1">
      <w:pPr>
        <w:keepNext/>
        <w:keepLines/>
        <w:tabs>
          <w:tab w:val="left" w:pos="851"/>
        </w:tabs>
        <w:spacing w:after="0" w:line="240" w:lineRule="auto"/>
        <w:jc w:val="center"/>
        <w:outlineLvl w:val="0"/>
        <w:rPr>
          <w:rFonts w:ascii="Verdana" w:eastAsia="Times New Roman" w:hAnsi="Verdana" w:cs="Verdana"/>
          <w:b/>
          <w:bCs/>
          <w:caps/>
          <w:snapToGrid w:val="0"/>
          <w:sz w:val="20"/>
          <w:szCs w:val="20"/>
          <w:lang w:val="es-ES"/>
        </w:rPr>
      </w:pPr>
      <w:bookmarkStart w:id="8" w:name="_Toc437960385"/>
      <w:bookmarkStart w:id="9" w:name="_Toc494123965"/>
      <w:bookmarkStart w:id="10" w:name="_Toc12726707"/>
    </w:p>
    <w:p w14:paraId="1EC03970" w14:textId="77777777" w:rsidR="001C05D8" w:rsidRPr="00E25884" w:rsidRDefault="001C05D8" w:rsidP="00C97BC1">
      <w:pPr>
        <w:keepNext/>
        <w:keepLines/>
        <w:tabs>
          <w:tab w:val="left" w:pos="851"/>
        </w:tabs>
        <w:spacing w:after="0" w:line="240" w:lineRule="auto"/>
        <w:jc w:val="center"/>
        <w:outlineLvl w:val="0"/>
        <w:rPr>
          <w:rFonts w:ascii="Verdana" w:eastAsia="Times New Roman" w:hAnsi="Verdana" w:cs="Verdana"/>
          <w:b/>
          <w:bCs/>
          <w:caps/>
          <w:snapToGrid w:val="0"/>
          <w:sz w:val="20"/>
          <w:szCs w:val="20"/>
          <w:lang w:val="es-ES_tradnl"/>
        </w:rPr>
      </w:pPr>
      <w:bookmarkStart w:id="11" w:name="_Toc27509154"/>
      <w:r w:rsidRPr="00E25884">
        <w:rPr>
          <w:rFonts w:ascii="Verdana" w:eastAsia="Times New Roman" w:hAnsi="Verdana" w:cs="Verdana"/>
          <w:b/>
          <w:bCs/>
          <w:caps/>
          <w:snapToGrid w:val="0"/>
          <w:sz w:val="20"/>
          <w:szCs w:val="20"/>
          <w:lang w:val="es-ES_tradnl"/>
        </w:rPr>
        <w:t>III</w:t>
      </w:r>
      <w:r w:rsidRPr="00E25884">
        <w:rPr>
          <w:rFonts w:ascii="Verdana" w:eastAsia="Times New Roman" w:hAnsi="Verdana" w:cs="Verdana"/>
          <w:b/>
          <w:bCs/>
          <w:caps/>
          <w:snapToGrid w:val="0"/>
          <w:sz w:val="20"/>
          <w:szCs w:val="20"/>
          <w:lang w:val="es-ES_tradnl"/>
        </w:rPr>
        <w:br/>
        <w:t>COMPETENCIA</w:t>
      </w:r>
      <w:bookmarkEnd w:id="8"/>
      <w:bookmarkEnd w:id="9"/>
      <w:bookmarkEnd w:id="10"/>
      <w:bookmarkEnd w:id="11"/>
    </w:p>
    <w:p w14:paraId="4F6842FF" w14:textId="77777777" w:rsidR="00C97BC1" w:rsidRPr="00C97BC1" w:rsidRDefault="00C97BC1" w:rsidP="00C97BC1">
      <w:pPr>
        <w:widowControl w:val="0"/>
        <w:tabs>
          <w:tab w:val="left" w:pos="567"/>
        </w:tabs>
        <w:adjustRightInd w:val="0"/>
        <w:spacing w:after="0" w:line="240" w:lineRule="auto"/>
        <w:jc w:val="both"/>
        <w:textAlignment w:val="baseline"/>
        <w:rPr>
          <w:rFonts w:ascii="Verdana" w:eastAsia="Times New Roman" w:hAnsi="Verdana" w:cs="Times New Roman"/>
          <w:sz w:val="20"/>
          <w:szCs w:val="20"/>
          <w:lang w:val="es-ES" w:eastAsia="es-CR"/>
        </w:rPr>
      </w:pPr>
    </w:p>
    <w:p w14:paraId="6DDF0B26" w14:textId="77777777" w:rsidR="001C05D8" w:rsidRDefault="001C05D8"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eastAsia="Times New Roman" w:hAnsi="Verdana" w:cs="Times New Roman"/>
          <w:sz w:val="20"/>
          <w:szCs w:val="20"/>
          <w:lang w:val="es-ES" w:eastAsia="es-CR"/>
        </w:rPr>
      </w:pPr>
      <w:r w:rsidRPr="00C97BC1">
        <w:rPr>
          <w:rFonts w:ascii="Verdana" w:eastAsia="Times New Roman" w:hAnsi="Verdana" w:cs="Times New Roman"/>
          <w:sz w:val="20"/>
          <w:szCs w:val="20"/>
          <w:lang w:val="es-ES" w:eastAsia="es-CR"/>
        </w:rPr>
        <w:t>La Corte Interamericana es competente para conocer del presente caso, en los términos del artículo 62.3 de la Convención Americana, en razón de que Argentina es Estado Parte de la Convención desde el 5 de setiembre de 1984 y reconoció la competencia contenciosa de es</w:t>
      </w:r>
      <w:r w:rsidR="008A351B" w:rsidRPr="00C97BC1">
        <w:rPr>
          <w:rFonts w:ascii="Verdana" w:eastAsia="Times New Roman" w:hAnsi="Verdana" w:cs="Times New Roman"/>
          <w:sz w:val="20"/>
          <w:szCs w:val="20"/>
          <w:lang w:val="es-ES" w:eastAsia="es-CR"/>
        </w:rPr>
        <w:t>te Tribunal en esa misma fecha.</w:t>
      </w:r>
    </w:p>
    <w:p w14:paraId="20BB9AD5" w14:textId="77777777" w:rsidR="00C97BC1" w:rsidRPr="00C97BC1" w:rsidRDefault="00C97BC1" w:rsidP="00C97BC1">
      <w:pPr>
        <w:widowControl w:val="0"/>
        <w:tabs>
          <w:tab w:val="left" w:pos="567"/>
        </w:tabs>
        <w:adjustRightInd w:val="0"/>
        <w:spacing w:after="0" w:line="240" w:lineRule="auto"/>
        <w:jc w:val="both"/>
        <w:textAlignment w:val="baseline"/>
        <w:rPr>
          <w:rFonts w:ascii="Verdana" w:eastAsia="Times New Roman" w:hAnsi="Verdana" w:cs="Times New Roman"/>
          <w:sz w:val="20"/>
          <w:szCs w:val="20"/>
          <w:lang w:val="es-ES" w:eastAsia="es-CR"/>
        </w:rPr>
      </w:pPr>
    </w:p>
    <w:p w14:paraId="582F91C1" w14:textId="77777777" w:rsidR="001C05D8" w:rsidRDefault="001C05D8" w:rsidP="00C97BC1">
      <w:pPr>
        <w:keepNext/>
        <w:keepLines/>
        <w:tabs>
          <w:tab w:val="left" w:pos="851"/>
        </w:tabs>
        <w:spacing w:after="0" w:line="240" w:lineRule="auto"/>
        <w:jc w:val="center"/>
        <w:outlineLvl w:val="0"/>
        <w:rPr>
          <w:rFonts w:ascii="Verdana" w:eastAsia="Times New Roman" w:hAnsi="Verdana" w:cs="Times New Roman"/>
          <w:b/>
          <w:bCs/>
          <w:caps/>
          <w:snapToGrid w:val="0"/>
          <w:sz w:val="20"/>
          <w:szCs w:val="20"/>
          <w:lang w:val="es-ES_tradnl"/>
        </w:rPr>
      </w:pPr>
      <w:bookmarkStart w:id="12" w:name="_Toc437960386"/>
      <w:bookmarkStart w:id="13" w:name="_Toc494123966"/>
      <w:bookmarkStart w:id="14" w:name="_Toc12726708"/>
      <w:bookmarkStart w:id="15" w:name="_Toc27509155"/>
      <w:r w:rsidRPr="00E25884">
        <w:rPr>
          <w:rFonts w:ascii="Verdana" w:eastAsia="Times New Roman" w:hAnsi="Verdana" w:cs="Verdana"/>
          <w:b/>
          <w:bCs/>
          <w:caps/>
          <w:snapToGrid w:val="0"/>
          <w:sz w:val="20"/>
          <w:szCs w:val="20"/>
          <w:lang w:val="es-ES_tradnl"/>
        </w:rPr>
        <w:t>IV</w:t>
      </w:r>
      <w:r w:rsidRPr="00E25884">
        <w:rPr>
          <w:rFonts w:ascii="Verdana" w:eastAsia="Times New Roman" w:hAnsi="Verdana" w:cs="Verdana"/>
          <w:b/>
          <w:bCs/>
          <w:caps/>
          <w:snapToGrid w:val="0"/>
          <w:sz w:val="20"/>
          <w:szCs w:val="20"/>
          <w:lang w:val="es-ES_tradnl"/>
        </w:rPr>
        <w:br/>
      </w:r>
      <w:r w:rsidR="00D64AF7" w:rsidRPr="00E25884">
        <w:rPr>
          <w:rFonts w:ascii="Verdana" w:eastAsia="Times New Roman" w:hAnsi="Verdana" w:cs="Times New Roman"/>
          <w:b/>
          <w:bCs/>
          <w:caps/>
          <w:snapToGrid w:val="0"/>
          <w:sz w:val="20"/>
          <w:szCs w:val="20"/>
          <w:lang w:val="es-ES_tradnl"/>
        </w:rPr>
        <w:t>EXCEPCIón</w:t>
      </w:r>
      <w:r w:rsidRPr="00E25884">
        <w:rPr>
          <w:rFonts w:ascii="Verdana" w:eastAsia="Times New Roman" w:hAnsi="Verdana" w:cs="Times New Roman"/>
          <w:b/>
          <w:bCs/>
          <w:caps/>
          <w:snapToGrid w:val="0"/>
          <w:sz w:val="20"/>
          <w:szCs w:val="20"/>
          <w:lang w:val="es-ES_tradnl"/>
        </w:rPr>
        <w:t xml:space="preserve"> PRELIMINAR</w:t>
      </w:r>
      <w:bookmarkEnd w:id="12"/>
      <w:bookmarkEnd w:id="13"/>
      <w:bookmarkEnd w:id="14"/>
      <w:bookmarkEnd w:id="15"/>
    </w:p>
    <w:p w14:paraId="33F771AE" w14:textId="77777777" w:rsidR="00C97BC1" w:rsidRPr="00E25884" w:rsidRDefault="00C97BC1" w:rsidP="00C97BC1">
      <w:pPr>
        <w:keepNext/>
        <w:keepLines/>
        <w:tabs>
          <w:tab w:val="left" w:pos="851"/>
        </w:tabs>
        <w:spacing w:after="0" w:line="240" w:lineRule="auto"/>
        <w:jc w:val="center"/>
        <w:outlineLvl w:val="0"/>
        <w:rPr>
          <w:rFonts w:ascii="Verdana" w:eastAsia="Times New Roman" w:hAnsi="Verdana" w:cs="Times New Roman"/>
          <w:b/>
          <w:bCs/>
          <w:caps/>
          <w:snapToGrid w:val="0"/>
          <w:sz w:val="20"/>
          <w:szCs w:val="20"/>
          <w:lang w:val="es-ES_tradnl"/>
        </w:rPr>
      </w:pPr>
    </w:p>
    <w:p w14:paraId="36D0EE83" w14:textId="77777777" w:rsidR="00C97BC1" w:rsidRPr="00C97BC1" w:rsidRDefault="005F02C0" w:rsidP="00C97BC1">
      <w:pPr>
        <w:pStyle w:val="Ttulo2"/>
        <w:keepLines w:val="0"/>
        <w:widowControl/>
        <w:numPr>
          <w:ilvl w:val="0"/>
          <w:numId w:val="14"/>
        </w:numPr>
        <w:adjustRightInd/>
        <w:ind w:hanging="720"/>
        <w:textAlignment w:val="auto"/>
      </w:pPr>
      <w:bookmarkStart w:id="16" w:name="_Toc27509156"/>
      <w:r w:rsidRPr="00E25884">
        <w:t>Excepción por falta de agotamiento de los recursos interno</w:t>
      </w:r>
      <w:r w:rsidR="00C97BC1">
        <w:t>s</w:t>
      </w:r>
      <w:bookmarkEnd w:id="16"/>
    </w:p>
    <w:p w14:paraId="085AEA50" w14:textId="77777777" w:rsidR="00C97BC1" w:rsidRDefault="00C97BC1" w:rsidP="00C97BC1">
      <w:pPr>
        <w:pStyle w:val="Ttulo3"/>
        <w:numPr>
          <w:ilvl w:val="0"/>
          <w:numId w:val="0"/>
        </w:numPr>
        <w:ind w:left="993"/>
        <w:rPr>
          <w:lang w:val="es-CR"/>
        </w:rPr>
      </w:pPr>
    </w:p>
    <w:p w14:paraId="22DBC6EC" w14:textId="79E162B9" w:rsidR="00C97BC1" w:rsidRPr="00C97BC1" w:rsidRDefault="005F02C0" w:rsidP="00C97BC1">
      <w:pPr>
        <w:pStyle w:val="Ttulo3"/>
        <w:numPr>
          <w:ilvl w:val="0"/>
          <w:numId w:val="0"/>
        </w:numPr>
        <w:ind w:left="993"/>
      </w:pPr>
      <w:bookmarkStart w:id="17" w:name="_Toc27509157"/>
      <w:r w:rsidRPr="00E25884">
        <w:t xml:space="preserve">A.1. </w:t>
      </w:r>
      <w:r w:rsidR="00CE4648">
        <w:t>Argumentos</w:t>
      </w:r>
      <w:r w:rsidRPr="00E25884">
        <w:t xml:space="preserve"> del Estado y observaciones de la Comisión y de los representante</w:t>
      </w:r>
      <w:r w:rsidR="00C97BC1">
        <w:t>s</w:t>
      </w:r>
      <w:bookmarkEnd w:id="17"/>
    </w:p>
    <w:p w14:paraId="646B06A0" w14:textId="77777777" w:rsidR="00C97BC1" w:rsidRPr="00C97BC1" w:rsidRDefault="00C97BC1" w:rsidP="00C97BC1">
      <w:pPr>
        <w:widowControl w:val="0"/>
        <w:tabs>
          <w:tab w:val="left" w:pos="567"/>
        </w:tabs>
        <w:adjustRightInd w:val="0"/>
        <w:spacing w:after="0" w:line="240" w:lineRule="auto"/>
        <w:jc w:val="both"/>
        <w:textAlignment w:val="baseline"/>
        <w:rPr>
          <w:rFonts w:ascii="Verdana" w:eastAsia="Calibri" w:hAnsi="Verdana"/>
          <w:sz w:val="20"/>
          <w:szCs w:val="20"/>
          <w:lang w:val="es-ES" w:eastAsia="es-CR"/>
        </w:rPr>
      </w:pPr>
    </w:p>
    <w:p w14:paraId="78EA1F7C" w14:textId="79C4BCB7" w:rsidR="005F02C0" w:rsidRDefault="005F02C0"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eastAsia="Calibri" w:hAnsi="Verdana"/>
          <w:sz w:val="20"/>
          <w:szCs w:val="20"/>
          <w:lang w:val="es-ES" w:eastAsia="es-CR"/>
        </w:rPr>
      </w:pPr>
      <w:r w:rsidRPr="00C97BC1">
        <w:rPr>
          <w:rFonts w:ascii="Verdana" w:eastAsia="Calibri" w:hAnsi="Verdana"/>
          <w:sz w:val="20"/>
          <w:szCs w:val="20"/>
          <w:lang w:val="es-ES" w:eastAsia="es-CR"/>
        </w:rPr>
        <w:t xml:space="preserve">El </w:t>
      </w:r>
      <w:r w:rsidRPr="00C97BC1">
        <w:rPr>
          <w:rFonts w:ascii="Verdana" w:eastAsia="Calibri" w:hAnsi="Verdana"/>
          <w:b/>
          <w:i/>
          <w:sz w:val="20"/>
          <w:szCs w:val="20"/>
          <w:lang w:val="es-ES" w:eastAsia="es-CR"/>
        </w:rPr>
        <w:t>Estado</w:t>
      </w:r>
      <w:r w:rsidRPr="00C97BC1">
        <w:rPr>
          <w:rFonts w:ascii="Verdana" w:eastAsia="Calibri" w:hAnsi="Verdana"/>
          <w:sz w:val="20"/>
          <w:szCs w:val="20"/>
          <w:lang w:val="es-ES" w:eastAsia="es-CR"/>
        </w:rPr>
        <w:t xml:space="preserve"> alegó que el señor Hernández contó con la posibilidad cierta de obtener una reparación mediante la acción de daños y perjuicios, recurso idóneo y eficaz para conseguir la debida reparación, pero que se utilizó con impericia, toda vez que la demanda fue presentada en forma extemporánea </w:t>
      </w:r>
      <w:r w:rsidR="00FA42F7" w:rsidRPr="00C97BC1">
        <w:rPr>
          <w:rFonts w:ascii="Verdana" w:eastAsia="Calibri" w:hAnsi="Verdana"/>
          <w:sz w:val="20"/>
          <w:szCs w:val="20"/>
          <w:lang w:val="es-ES" w:eastAsia="es-CR"/>
        </w:rPr>
        <w:t>cuando ya había caducado la acción</w:t>
      </w:r>
      <w:r w:rsidRPr="00C97BC1">
        <w:rPr>
          <w:rFonts w:ascii="Verdana" w:eastAsia="Calibri" w:hAnsi="Verdana"/>
          <w:sz w:val="20"/>
          <w:szCs w:val="20"/>
          <w:lang w:val="es-ES" w:eastAsia="es-CR"/>
        </w:rPr>
        <w:t xml:space="preserve">. Por esta razón, todas las instancias judiciales que </w:t>
      </w:r>
      <w:r w:rsidR="00B2704E">
        <w:rPr>
          <w:rFonts w:ascii="Verdana" w:eastAsia="Calibri" w:hAnsi="Verdana"/>
          <w:sz w:val="20"/>
          <w:szCs w:val="20"/>
          <w:lang w:val="es-ES" w:eastAsia="es-CR"/>
        </w:rPr>
        <w:t>conocieron</w:t>
      </w:r>
      <w:r w:rsidRPr="00C97BC1">
        <w:rPr>
          <w:rFonts w:ascii="Verdana" w:eastAsia="Calibri" w:hAnsi="Verdana"/>
          <w:sz w:val="20"/>
          <w:szCs w:val="20"/>
          <w:lang w:val="es-ES" w:eastAsia="es-CR"/>
        </w:rPr>
        <w:t xml:space="preserve"> el proceso interno coincidieron en que dicha acción no podía prosperar al haber excedido el</w:t>
      </w:r>
      <w:r w:rsidR="00B577E7">
        <w:rPr>
          <w:rFonts w:ascii="Verdana" w:eastAsia="Calibri" w:hAnsi="Verdana"/>
          <w:sz w:val="20"/>
          <w:szCs w:val="20"/>
          <w:lang w:val="es-ES" w:eastAsia="es-CR"/>
        </w:rPr>
        <w:t xml:space="preserve"> plazo máximo para interponerla</w:t>
      </w:r>
      <w:r w:rsidRPr="00C97BC1">
        <w:rPr>
          <w:rFonts w:ascii="Verdana" w:eastAsia="Calibri" w:hAnsi="Verdana"/>
          <w:sz w:val="20"/>
          <w:szCs w:val="20"/>
          <w:lang w:val="es-ES" w:eastAsia="es-CR"/>
        </w:rPr>
        <w:t>.</w:t>
      </w:r>
      <w:r w:rsidR="00DD0020" w:rsidRPr="00C97BC1">
        <w:rPr>
          <w:rFonts w:ascii="Verdana" w:eastAsia="Calibri" w:hAnsi="Verdana"/>
          <w:sz w:val="20"/>
          <w:szCs w:val="20"/>
          <w:lang w:val="es-ES" w:eastAsia="es-CR"/>
        </w:rPr>
        <w:t xml:space="preserve"> De esta forma, </w:t>
      </w:r>
      <w:r w:rsidRPr="00C97BC1">
        <w:rPr>
          <w:rFonts w:ascii="Verdana" w:eastAsia="Calibri" w:hAnsi="Verdana"/>
          <w:sz w:val="20"/>
          <w:szCs w:val="20"/>
          <w:lang w:val="es-ES" w:eastAsia="es-CR"/>
        </w:rPr>
        <w:t xml:space="preserve">el Estado </w:t>
      </w:r>
      <w:r w:rsidR="00DD0020" w:rsidRPr="00C97BC1">
        <w:rPr>
          <w:rFonts w:ascii="Verdana" w:eastAsia="Calibri" w:hAnsi="Verdana"/>
          <w:sz w:val="20"/>
          <w:szCs w:val="20"/>
          <w:lang w:val="es-ES" w:eastAsia="es-CR"/>
        </w:rPr>
        <w:t xml:space="preserve">alegó que </w:t>
      </w:r>
      <w:r w:rsidRPr="00C97BC1">
        <w:rPr>
          <w:rFonts w:ascii="Verdana" w:eastAsia="Calibri" w:hAnsi="Verdana"/>
          <w:sz w:val="20"/>
          <w:szCs w:val="20"/>
          <w:lang w:val="es-ES" w:eastAsia="es-CR"/>
        </w:rPr>
        <w:t>no podía ser considerado responsable de la acción de daños y perjuicios y se debía considerar que no se agotaron en “buena y debida forma” los recursos de la jurisdicción interna, conforme lo dispuesto por el artículo 46</w:t>
      </w:r>
      <w:r w:rsidR="00B577E7">
        <w:rPr>
          <w:rFonts w:ascii="Verdana" w:eastAsia="Calibri" w:hAnsi="Verdana"/>
          <w:sz w:val="20"/>
          <w:szCs w:val="20"/>
          <w:lang w:val="es-ES" w:eastAsia="es-CR"/>
        </w:rPr>
        <w:t>.1.a de la Convención Americana</w:t>
      </w:r>
      <w:r w:rsidRPr="00C97BC1">
        <w:rPr>
          <w:rFonts w:ascii="Verdana" w:eastAsia="Calibri" w:hAnsi="Verdana"/>
          <w:sz w:val="20"/>
          <w:szCs w:val="20"/>
          <w:lang w:val="es-ES" w:eastAsia="es-CR"/>
        </w:rPr>
        <w:t>.</w:t>
      </w:r>
    </w:p>
    <w:p w14:paraId="48C6BF73" w14:textId="77777777" w:rsidR="00C97BC1" w:rsidRPr="00C97BC1" w:rsidRDefault="00C97BC1" w:rsidP="00C97BC1">
      <w:pPr>
        <w:widowControl w:val="0"/>
        <w:tabs>
          <w:tab w:val="left" w:pos="567"/>
        </w:tabs>
        <w:adjustRightInd w:val="0"/>
        <w:spacing w:after="0" w:line="240" w:lineRule="auto"/>
        <w:jc w:val="both"/>
        <w:textAlignment w:val="baseline"/>
        <w:rPr>
          <w:rFonts w:ascii="Verdana" w:eastAsia="Calibri" w:hAnsi="Verdana"/>
          <w:sz w:val="20"/>
          <w:szCs w:val="20"/>
          <w:lang w:val="es-ES" w:eastAsia="es-CR"/>
        </w:rPr>
      </w:pPr>
    </w:p>
    <w:p w14:paraId="0BAB6BBB" w14:textId="5FED1630" w:rsidR="005F02C0" w:rsidRDefault="005F02C0"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color w:val="050505"/>
          <w:sz w:val="20"/>
          <w:szCs w:val="20"/>
          <w:lang w:val="es-ES"/>
        </w:rPr>
      </w:pPr>
      <w:r w:rsidRPr="00E25884">
        <w:rPr>
          <w:rFonts w:ascii="Verdana" w:eastAsia="Calibri" w:hAnsi="Verdana"/>
          <w:sz w:val="20"/>
          <w:szCs w:val="20"/>
          <w:lang w:val="es-ES" w:eastAsia="es-CR"/>
        </w:rPr>
        <w:t xml:space="preserve">La </w:t>
      </w:r>
      <w:r w:rsidRPr="00E25884">
        <w:rPr>
          <w:rFonts w:ascii="Verdana" w:eastAsia="Calibri" w:hAnsi="Verdana"/>
          <w:b/>
          <w:i/>
          <w:sz w:val="20"/>
          <w:szCs w:val="20"/>
          <w:lang w:val="es-ES" w:eastAsia="es-CR"/>
        </w:rPr>
        <w:t>Comisión</w:t>
      </w:r>
      <w:r w:rsidRPr="00E25884">
        <w:rPr>
          <w:rFonts w:ascii="Verdana" w:eastAsia="Calibri" w:hAnsi="Verdana"/>
          <w:b/>
          <w:sz w:val="20"/>
          <w:szCs w:val="20"/>
          <w:lang w:val="es-ES" w:eastAsia="es-CR"/>
        </w:rPr>
        <w:t xml:space="preserve"> </w:t>
      </w:r>
      <w:r w:rsidRPr="00E25884">
        <w:rPr>
          <w:rFonts w:ascii="Verdana" w:eastAsia="Calibri" w:hAnsi="Verdana"/>
          <w:sz w:val="20"/>
          <w:szCs w:val="20"/>
          <w:lang w:val="es-ES" w:eastAsia="es-CR"/>
        </w:rPr>
        <w:t xml:space="preserve">sostuvo </w:t>
      </w:r>
      <w:r w:rsidRPr="00E25884">
        <w:rPr>
          <w:rFonts w:ascii="Verdana" w:hAnsi="Verdana"/>
          <w:color w:val="050505"/>
          <w:spacing w:val="2"/>
          <w:sz w:val="20"/>
          <w:szCs w:val="20"/>
          <w:lang w:val="es-ES"/>
        </w:rPr>
        <w:t xml:space="preserve">que el señor Hernández cumplió con el requisito de agotamiento de </w:t>
      </w:r>
      <w:r w:rsidR="00CC4139">
        <w:rPr>
          <w:rFonts w:ascii="Verdana" w:hAnsi="Verdana"/>
          <w:color w:val="050505"/>
          <w:spacing w:val="2"/>
          <w:sz w:val="20"/>
          <w:szCs w:val="20"/>
          <w:lang w:val="es-ES"/>
        </w:rPr>
        <w:t xml:space="preserve">los </w:t>
      </w:r>
      <w:r w:rsidRPr="00E25884">
        <w:rPr>
          <w:rFonts w:ascii="Verdana" w:hAnsi="Verdana"/>
          <w:color w:val="050505"/>
          <w:spacing w:val="2"/>
          <w:sz w:val="20"/>
          <w:szCs w:val="20"/>
          <w:lang w:val="es-ES"/>
        </w:rPr>
        <w:t xml:space="preserve">recursos internos, tomando en cuenta que interpuso una serie de denuncias y solicitudes con el fin de conseguir condiciones adecuadas de detención y tratamiento médico acorde a la enfermedad que padecía, y que la petición no se refiere exclusivamente a la acción de daños y perjuicios, sino </w:t>
      </w:r>
      <w:r w:rsidR="00DD0020">
        <w:rPr>
          <w:rFonts w:ascii="Verdana" w:hAnsi="Verdana"/>
          <w:color w:val="050505"/>
          <w:spacing w:val="2"/>
          <w:sz w:val="20"/>
          <w:szCs w:val="20"/>
          <w:lang w:val="es-ES"/>
        </w:rPr>
        <w:t>que se relaciona</w:t>
      </w:r>
      <w:r w:rsidR="00CC4139">
        <w:rPr>
          <w:rFonts w:ascii="Verdana" w:hAnsi="Verdana"/>
          <w:color w:val="050505"/>
          <w:spacing w:val="2"/>
          <w:sz w:val="20"/>
          <w:szCs w:val="20"/>
          <w:lang w:val="es-ES"/>
        </w:rPr>
        <w:t xml:space="preserve"> con</w:t>
      </w:r>
      <w:r w:rsidR="00DD0020">
        <w:rPr>
          <w:rFonts w:ascii="Verdana" w:hAnsi="Verdana"/>
          <w:color w:val="050505"/>
          <w:spacing w:val="2"/>
          <w:sz w:val="20"/>
          <w:szCs w:val="20"/>
          <w:lang w:val="es-ES"/>
        </w:rPr>
        <w:t xml:space="preserve"> </w:t>
      </w:r>
      <w:r w:rsidRPr="00E25884">
        <w:rPr>
          <w:rFonts w:ascii="Verdana" w:hAnsi="Verdana"/>
          <w:color w:val="050505"/>
          <w:spacing w:val="2"/>
          <w:sz w:val="20"/>
          <w:szCs w:val="20"/>
          <w:lang w:val="es-ES"/>
        </w:rPr>
        <w:t>una serie de condiciones anteriores y posteriores a su diagnóstico</w:t>
      </w:r>
      <w:r w:rsidRPr="00E25884">
        <w:rPr>
          <w:rFonts w:ascii="Verdana" w:hAnsi="Verdana"/>
          <w:color w:val="050505"/>
          <w:sz w:val="20"/>
          <w:szCs w:val="20"/>
          <w:lang w:val="es-ES"/>
        </w:rPr>
        <w:t xml:space="preserve">. Asimismo, estimó que el señor Hernández agotó los recursos internos </w:t>
      </w:r>
      <w:r w:rsidR="00DD0020">
        <w:rPr>
          <w:rFonts w:ascii="Verdana" w:hAnsi="Verdana"/>
          <w:color w:val="050505"/>
          <w:sz w:val="20"/>
          <w:szCs w:val="20"/>
          <w:lang w:val="es-ES"/>
        </w:rPr>
        <w:t>vinculados</w:t>
      </w:r>
      <w:r w:rsidRPr="00E25884">
        <w:rPr>
          <w:rFonts w:ascii="Verdana" w:hAnsi="Verdana"/>
          <w:color w:val="050505"/>
          <w:sz w:val="20"/>
          <w:szCs w:val="20"/>
          <w:lang w:val="es-ES"/>
        </w:rPr>
        <w:t xml:space="preserve"> </w:t>
      </w:r>
      <w:r w:rsidR="00DD0020">
        <w:rPr>
          <w:rFonts w:ascii="Verdana" w:hAnsi="Verdana"/>
          <w:color w:val="050505"/>
          <w:sz w:val="20"/>
          <w:szCs w:val="20"/>
          <w:lang w:val="es-ES"/>
        </w:rPr>
        <w:t>a</w:t>
      </w:r>
      <w:r w:rsidRPr="00E25884">
        <w:rPr>
          <w:rFonts w:ascii="Verdana" w:hAnsi="Verdana"/>
          <w:color w:val="050505"/>
          <w:sz w:val="20"/>
          <w:szCs w:val="20"/>
          <w:lang w:val="es-ES"/>
        </w:rPr>
        <w:t xml:space="preserve"> su solicitud de excarcelac</w:t>
      </w:r>
      <w:r w:rsidR="00B577E7">
        <w:rPr>
          <w:rFonts w:ascii="Verdana" w:hAnsi="Verdana"/>
          <w:color w:val="050505"/>
          <w:sz w:val="20"/>
          <w:szCs w:val="20"/>
          <w:lang w:val="es-ES"/>
        </w:rPr>
        <w:t>ión y con su derecho a la salud</w:t>
      </w:r>
      <w:r w:rsidRPr="002A2023">
        <w:rPr>
          <w:rFonts w:ascii="Verdana" w:hAnsi="Verdana"/>
          <w:color w:val="050505"/>
          <w:sz w:val="20"/>
          <w:szCs w:val="20"/>
          <w:lang w:val="es-ES"/>
        </w:rPr>
        <w:t>.</w:t>
      </w:r>
      <w:r w:rsidRPr="00B577E7">
        <w:rPr>
          <w:rFonts w:ascii="Verdana" w:hAnsi="Verdana"/>
          <w:color w:val="050505"/>
          <w:sz w:val="20"/>
          <w:szCs w:val="20"/>
          <w:lang w:val="es-ES"/>
        </w:rPr>
        <w:t xml:space="preserve"> </w:t>
      </w:r>
      <w:r w:rsidRPr="00E25884">
        <w:rPr>
          <w:rFonts w:ascii="Verdana" w:hAnsi="Verdana"/>
          <w:color w:val="050505"/>
          <w:sz w:val="20"/>
          <w:szCs w:val="20"/>
          <w:lang w:val="es-ES"/>
        </w:rPr>
        <w:t>En relación con la acción de daños y perjuicios, la Comisión alegó que el deber de reparar surge de la responsabilidad internacional del Estado sin que sea necesario activar los mecanismos judiciales para lograr la reparación que deriva de la violación de la Convención Americana. Adicionalmente, la Comisión manifestó que la excepción preliminar es extemporánea pues durante la etapa de admisibilidad el Estado planteó la excepción de “cuarta instancia” y no la de indebido agotamiento de los recursos in</w:t>
      </w:r>
      <w:r w:rsidR="00B577E7">
        <w:rPr>
          <w:rFonts w:ascii="Verdana" w:hAnsi="Verdana"/>
          <w:color w:val="050505"/>
          <w:sz w:val="20"/>
          <w:szCs w:val="20"/>
          <w:lang w:val="es-ES"/>
        </w:rPr>
        <w:t>ternos</w:t>
      </w:r>
      <w:r w:rsidRPr="00E25884">
        <w:rPr>
          <w:rFonts w:ascii="Verdana" w:hAnsi="Verdana"/>
          <w:color w:val="050505"/>
          <w:sz w:val="20"/>
          <w:szCs w:val="20"/>
          <w:lang w:val="es-ES"/>
        </w:rPr>
        <w:t>. En ese sentido, expresó que no corresponde a los órganos internacionales subsanar la falta de precisión de los alegatos de un Estado que no interpuso la excepción preliminar en el momento procesal oportuno.</w:t>
      </w:r>
    </w:p>
    <w:p w14:paraId="4A50AD50" w14:textId="77777777" w:rsidR="00C97BC1" w:rsidRPr="00E25884" w:rsidRDefault="00C97BC1" w:rsidP="00C97BC1">
      <w:pPr>
        <w:widowControl w:val="0"/>
        <w:tabs>
          <w:tab w:val="left" w:pos="567"/>
        </w:tabs>
        <w:adjustRightInd w:val="0"/>
        <w:spacing w:after="0" w:line="240" w:lineRule="auto"/>
        <w:jc w:val="both"/>
        <w:textAlignment w:val="baseline"/>
        <w:rPr>
          <w:rFonts w:ascii="Verdana" w:hAnsi="Verdana"/>
          <w:color w:val="050505"/>
          <w:sz w:val="20"/>
          <w:szCs w:val="20"/>
          <w:lang w:val="es-ES"/>
        </w:rPr>
      </w:pPr>
    </w:p>
    <w:p w14:paraId="1415C1BD" w14:textId="7F5EAF52" w:rsidR="005F02C0" w:rsidRPr="00C97BC1" w:rsidRDefault="005F02C0"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b/>
          <w:color w:val="050505"/>
          <w:sz w:val="20"/>
          <w:szCs w:val="20"/>
          <w:lang w:val="es-ES"/>
        </w:rPr>
      </w:pPr>
      <w:r w:rsidRPr="00E25884">
        <w:rPr>
          <w:rFonts w:ascii="Verdana" w:eastAsia="Calibri" w:hAnsi="Verdana"/>
          <w:sz w:val="20"/>
          <w:szCs w:val="20"/>
          <w:lang w:val="es-ES" w:eastAsia="es-CR"/>
        </w:rPr>
        <w:t xml:space="preserve">Los </w:t>
      </w:r>
      <w:r w:rsidRPr="00E25884">
        <w:rPr>
          <w:rFonts w:ascii="Verdana" w:eastAsia="Calibri" w:hAnsi="Verdana"/>
          <w:b/>
          <w:i/>
          <w:sz w:val="20"/>
          <w:szCs w:val="20"/>
          <w:lang w:val="es-ES" w:eastAsia="es-CR"/>
        </w:rPr>
        <w:t>representantes</w:t>
      </w:r>
      <w:r w:rsidRPr="00E25884">
        <w:rPr>
          <w:rFonts w:ascii="Verdana" w:eastAsia="Calibri" w:hAnsi="Verdana"/>
          <w:sz w:val="20"/>
          <w:szCs w:val="20"/>
          <w:lang w:val="es-ES" w:eastAsia="es-CR"/>
        </w:rPr>
        <w:t xml:space="preserve"> alegaron que el señor Hernández promovió la acción civil reparatoria el 2 de abril de 1993 porque no podía intentarla mientras se encontraba sometido al control excluyente de quienes le ocasionaron el daño, y que al mismo tiempo serían personalmente demandados, pues de hacerlo se habría colocado en una situación de mayor riesgo. Adicionalmente, alegaron que aun cuando el señor Hernández obtuvo su libertad condicional el 29 de mayo de 1991, seguía bajo el control excluyente del Estado y por lo tanto se encontraba en una situación de riesgo y vulnerabilidad. Por esta razón, el señor Hernández no pudo haber ejercido la acción civil resarcitoria con anterioridad, y sostenerlo constituye una argumentación puramente formal. Además, hicieron notar que la presunta víctima no tuvo conocimiento cabal de los daños, extensión y secuelas sufridas sino hasta el 4 de abril de 1991. En consecuencia, </w:t>
      </w:r>
      <w:r w:rsidRPr="00E25884">
        <w:rPr>
          <w:rFonts w:ascii="Verdana" w:eastAsia="Calibri" w:hAnsi="Verdana"/>
          <w:sz w:val="20"/>
          <w:szCs w:val="20"/>
          <w:lang w:val="es-ES" w:eastAsia="es-CR"/>
        </w:rPr>
        <w:lastRenderedPageBreak/>
        <w:t>alegaron que el señor Hernández intentó agotar debidamente los recursos internos pero que fue impedido de hacerlo, lo que además configuró la excepción del artículo 46.2.b y constituyó una violación a los ar</w:t>
      </w:r>
      <w:r w:rsidR="00C40460">
        <w:rPr>
          <w:rFonts w:ascii="Verdana" w:eastAsia="Calibri" w:hAnsi="Verdana"/>
          <w:sz w:val="20"/>
          <w:szCs w:val="20"/>
          <w:lang w:val="es-ES" w:eastAsia="es-CR"/>
        </w:rPr>
        <w:t>tículos 8 y 25 de la Convención</w:t>
      </w:r>
      <w:r w:rsidRPr="00E25884">
        <w:rPr>
          <w:rFonts w:ascii="Verdana" w:eastAsia="Calibri" w:hAnsi="Verdana"/>
          <w:sz w:val="20"/>
          <w:szCs w:val="20"/>
          <w:lang w:val="es-ES" w:eastAsia="es-CR"/>
        </w:rPr>
        <w:t>. Finalmente, alegaron que la excepción preliminar es ext</w:t>
      </w:r>
      <w:r w:rsidR="00C40460">
        <w:rPr>
          <w:rFonts w:ascii="Verdana" w:eastAsia="Calibri" w:hAnsi="Verdana"/>
          <w:sz w:val="20"/>
          <w:szCs w:val="20"/>
          <w:lang w:val="es-ES" w:eastAsia="es-CR"/>
        </w:rPr>
        <w:t>emporánea</w:t>
      </w:r>
      <w:r w:rsidRPr="00E25884">
        <w:rPr>
          <w:rFonts w:ascii="Verdana" w:eastAsia="Calibri" w:hAnsi="Verdana"/>
          <w:sz w:val="20"/>
          <w:szCs w:val="20"/>
          <w:lang w:val="es-ES" w:eastAsia="es-CR"/>
        </w:rPr>
        <w:t>.</w:t>
      </w:r>
    </w:p>
    <w:p w14:paraId="21B623D0" w14:textId="77777777" w:rsidR="00C97BC1" w:rsidRPr="00E25884" w:rsidRDefault="00C97BC1" w:rsidP="00C97BC1">
      <w:pPr>
        <w:widowControl w:val="0"/>
        <w:tabs>
          <w:tab w:val="left" w:pos="567"/>
        </w:tabs>
        <w:adjustRightInd w:val="0"/>
        <w:spacing w:after="0" w:line="240" w:lineRule="auto"/>
        <w:jc w:val="both"/>
        <w:textAlignment w:val="baseline"/>
        <w:rPr>
          <w:rFonts w:ascii="Verdana" w:hAnsi="Verdana"/>
          <w:b/>
          <w:color w:val="050505"/>
          <w:sz w:val="20"/>
          <w:szCs w:val="20"/>
          <w:lang w:val="es-ES"/>
        </w:rPr>
      </w:pPr>
    </w:p>
    <w:p w14:paraId="6388A639" w14:textId="77777777" w:rsidR="005F02C0" w:rsidRPr="00E25884" w:rsidRDefault="005F02C0" w:rsidP="00C97BC1">
      <w:pPr>
        <w:pStyle w:val="Ttulo3"/>
        <w:numPr>
          <w:ilvl w:val="0"/>
          <w:numId w:val="0"/>
        </w:numPr>
        <w:ind w:left="993"/>
      </w:pPr>
      <w:bookmarkStart w:id="18" w:name="_Toc27509158"/>
      <w:r w:rsidRPr="00E25884">
        <w:t>A.2. Consideraciones de la Corte</w:t>
      </w:r>
      <w:bookmarkEnd w:id="18"/>
    </w:p>
    <w:p w14:paraId="0C5DB360" w14:textId="77777777" w:rsidR="00C97BC1" w:rsidRPr="00C97BC1" w:rsidRDefault="00C97BC1" w:rsidP="00C97BC1">
      <w:pPr>
        <w:widowControl w:val="0"/>
        <w:tabs>
          <w:tab w:val="left" w:pos="567"/>
        </w:tabs>
        <w:adjustRightInd w:val="0"/>
        <w:spacing w:after="0" w:line="240" w:lineRule="auto"/>
        <w:jc w:val="both"/>
        <w:textAlignment w:val="baseline"/>
        <w:rPr>
          <w:rFonts w:ascii="Verdana" w:hAnsi="Verdana"/>
          <w:sz w:val="20"/>
          <w:szCs w:val="20"/>
        </w:rPr>
      </w:pPr>
    </w:p>
    <w:p w14:paraId="01B7151D" w14:textId="77777777" w:rsidR="00CA0CD8" w:rsidRDefault="005F02C0"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sz w:val="20"/>
          <w:szCs w:val="20"/>
        </w:rPr>
      </w:pPr>
      <w:r w:rsidRPr="00E25884">
        <w:rPr>
          <w:rFonts w:ascii="Verdana" w:hAnsi="Verdana" w:cs="Times"/>
          <w:sz w:val="20"/>
          <w:szCs w:val="20"/>
          <w:lang w:val="es-ES" w:eastAsia="es-ES"/>
        </w:rPr>
        <w:t>La Corte ha señalado que e</w:t>
      </w:r>
      <w:r w:rsidRPr="00E25884">
        <w:rPr>
          <w:rFonts w:ascii="Verdana" w:hAnsi="Verdana" w:cs="Times"/>
          <w:sz w:val="20"/>
          <w:szCs w:val="20"/>
          <w:lang w:eastAsia="es-ES"/>
        </w:rPr>
        <w:t>l artículo 46.1.a) de la Convención dispone que, para determinar la admisibilidad de una petición o comunicación presentada ante la Comisión, de conformidad con los artículos 44 o 45 de la Convención, es necesario que se hayan interpuesto y agotado los recursos de la jurisdicción interna, conforme a los principios del Derecho Internacional generalmente reconocidos</w:t>
      </w:r>
      <w:r w:rsidRPr="00E25884">
        <w:rPr>
          <w:rFonts w:ascii="Verdana" w:hAnsi="Verdana" w:cs="Times"/>
          <w:sz w:val="20"/>
          <w:szCs w:val="20"/>
          <w:vertAlign w:val="superscript"/>
          <w:lang w:eastAsia="es-ES"/>
        </w:rPr>
        <w:footnoteReference w:id="10"/>
      </w:r>
      <w:r w:rsidRPr="00E25884">
        <w:rPr>
          <w:rFonts w:ascii="Verdana" w:hAnsi="Verdana" w:cs="Times"/>
          <w:sz w:val="20"/>
          <w:szCs w:val="20"/>
          <w:lang w:eastAsia="es-ES"/>
        </w:rPr>
        <w:t xml:space="preserve">. Al respecto, </w:t>
      </w:r>
      <w:r w:rsidRPr="00E25884">
        <w:rPr>
          <w:rFonts w:ascii="Verdana" w:hAnsi="Verdana"/>
          <w:sz w:val="20"/>
          <w:szCs w:val="20"/>
        </w:rPr>
        <w:t>el Tribunal ha desarrollado pautas para analizar una excepción basada en un presunto incumplimiento del requisito de agotamiento de los recursos internos. Primero, ha interpretado la excepción como una defensa disponible para el Estado, y como tal, puede renunciar a ella, ya sea expresa o tácitamente. Segundo, esta excepción debe presentarse oportunamente con el propósito de que el Estado pueda ejercer su derecho a la defensa. Tercero, la Corte ha afirmado que el Estado que presenta esta excepción debe especificar los recursos internos que aún no se han agotado, y demostrar que estos recursos son aplicables y efectivos</w:t>
      </w:r>
      <w:r w:rsidRPr="00E25884">
        <w:rPr>
          <w:rFonts w:ascii="Verdana" w:hAnsi="Verdana"/>
          <w:sz w:val="20"/>
          <w:szCs w:val="20"/>
          <w:vertAlign w:val="superscript"/>
        </w:rPr>
        <w:footnoteReference w:id="11"/>
      </w:r>
      <w:r w:rsidRPr="00E25884">
        <w:rPr>
          <w:rFonts w:ascii="Verdana" w:hAnsi="Verdana"/>
          <w:sz w:val="20"/>
          <w:szCs w:val="20"/>
        </w:rPr>
        <w:t>. La Corte ha reiterado que el Estado debe precisar con claridad ante la Comisión, durante la etapa de admisibilidad, los recursos que en su criterio no se habían agotado</w:t>
      </w:r>
      <w:r w:rsidRPr="00E25884">
        <w:rPr>
          <w:rFonts w:ascii="Verdana" w:hAnsi="Verdana" w:cs="Verdana"/>
          <w:sz w:val="20"/>
          <w:szCs w:val="20"/>
          <w:vertAlign w:val="superscript"/>
        </w:rPr>
        <w:footnoteReference w:id="12"/>
      </w:r>
      <w:r w:rsidRPr="00E25884">
        <w:rPr>
          <w:rFonts w:ascii="Verdana" w:hAnsi="Verdana"/>
          <w:sz w:val="20"/>
          <w:szCs w:val="20"/>
        </w:rPr>
        <w:t>.</w:t>
      </w:r>
      <w:r w:rsidRPr="00E25884">
        <w:rPr>
          <w:rFonts w:ascii="Verdana" w:hAnsi="Verdana" w:cs="Times"/>
          <w:sz w:val="20"/>
          <w:szCs w:val="20"/>
          <w:lang w:eastAsia="es-ES"/>
        </w:rPr>
        <w:t xml:space="preserve"> </w:t>
      </w:r>
      <w:r w:rsidRPr="00E25884">
        <w:rPr>
          <w:rFonts w:ascii="Verdana" w:hAnsi="Verdana"/>
          <w:sz w:val="20"/>
          <w:szCs w:val="20"/>
        </w:rPr>
        <w:t>Por otra parte, los argumentos que dan contenido a la excepción preliminar interpuesta por el Estado ante la Comisión durante la etapa de admisibilidad deben corresponder a aquellos esgrimidos ante la Corte</w:t>
      </w:r>
      <w:r w:rsidRPr="00E25884">
        <w:rPr>
          <w:rFonts w:ascii="Verdana" w:hAnsi="Verdana" w:cs="Verdana"/>
          <w:sz w:val="20"/>
          <w:szCs w:val="20"/>
          <w:vertAlign w:val="superscript"/>
        </w:rPr>
        <w:footnoteReference w:id="13"/>
      </w:r>
      <w:r w:rsidRPr="00E25884">
        <w:rPr>
          <w:rFonts w:ascii="Verdana" w:hAnsi="Verdana"/>
          <w:sz w:val="20"/>
          <w:szCs w:val="20"/>
        </w:rPr>
        <w:t>.</w:t>
      </w:r>
    </w:p>
    <w:p w14:paraId="67B1A597" w14:textId="77777777" w:rsidR="00CA0CD8" w:rsidRPr="00142C64" w:rsidRDefault="00CA0CD8" w:rsidP="00C97BC1">
      <w:pPr>
        <w:widowControl w:val="0"/>
        <w:tabs>
          <w:tab w:val="left" w:pos="567"/>
        </w:tabs>
        <w:adjustRightInd w:val="0"/>
        <w:spacing w:after="0" w:line="240" w:lineRule="auto"/>
        <w:jc w:val="both"/>
        <w:textAlignment w:val="baseline"/>
        <w:rPr>
          <w:rFonts w:ascii="Verdana" w:hAnsi="Verdana"/>
          <w:sz w:val="16"/>
          <w:szCs w:val="16"/>
        </w:rPr>
      </w:pPr>
    </w:p>
    <w:p w14:paraId="252A8A92" w14:textId="6A4E3AC8" w:rsidR="005D78FA" w:rsidRDefault="005F02C0"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sz w:val="20"/>
          <w:szCs w:val="20"/>
        </w:rPr>
      </w:pPr>
      <w:r w:rsidRPr="00E25884">
        <w:rPr>
          <w:rFonts w:ascii="Verdana" w:hAnsi="Verdana" w:cs="Times"/>
          <w:sz w:val="20"/>
          <w:szCs w:val="20"/>
          <w:lang w:eastAsia="es-ES"/>
        </w:rPr>
        <w:t>A partir de lo anterior, en el presente caso, la Corte considera necesario examinar si la excepción de agotamiento de los recursos fue presentada de forma clara en el momento procesal oportuno</w:t>
      </w:r>
      <w:r w:rsidRPr="00E25884">
        <w:rPr>
          <w:rFonts w:ascii="Verdana" w:hAnsi="Verdana" w:cs="Verdana"/>
          <w:sz w:val="20"/>
          <w:szCs w:val="20"/>
          <w:vertAlign w:val="superscript"/>
        </w:rPr>
        <w:footnoteReference w:id="14"/>
      </w:r>
      <w:r w:rsidRPr="00E25884">
        <w:rPr>
          <w:rFonts w:ascii="Verdana" w:hAnsi="Verdana"/>
          <w:sz w:val="20"/>
          <w:szCs w:val="20"/>
        </w:rPr>
        <w:t xml:space="preserve">. En ese sentido, el Tribunal constata que el Estado, en la comunicación de 6 de junio de 2003, mediante la cual responde a la petición de los representantes ante la Comisión Interamericana, aludió a la “naturaleza coadyuvante o complementaria de los sistemas de protección internacional” conocida como la fórmula de la </w:t>
      </w:r>
      <w:r w:rsidR="00C40460">
        <w:rPr>
          <w:rFonts w:ascii="Verdana" w:hAnsi="Verdana"/>
          <w:sz w:val="20"/>
          <w:szCs w:val="20"/>
        </w:rPr>
        <w:t>“</w:t>
      </w:r>
      <w:r w:rsidRPr="00E25884">
        <w:rPr>
          <w:rFonts w:ascii="Verdana" w:hAnsi="Verdana"/>
          <w:sz w:val="20"/>
          <w:szCs w:val="20"/>
        </w:rPr>
        <w:t>cuarta instancia</w:t>
      </w:r>
      <w:r w:rsidR="00C40460">
        <w:rPr>
          <w:rFonts w:ascii="Verdana" w:hAnsi="Verdana"/>
          <w:sz w:val="20"/>
          <w:szCs w:val="20"/>
        </w:rPr>
        <w:t>”</w:t>
      </w:r>
      <w:r w:rsidRPr="00E25884">
        <w:rPr>
          <w:rFonts w:ascii="Verdana" w:hAnsi="Verdana"/>
          <w:sz w:val="20"/>
          <w:szCs w:val="20"/>
        </w:rPr>
        <w:t>, precisando que “José Luis Hernández gozó de las garantías del debido proceso e hizo de todas las instancias judiciales habiendo cumplido el Estado con las obligaciones asumidas en los arts. 8 y 25 de la Convención Americana”</w:t>
      </w:r>
      <w:r w:rsidRPr="00E25884">
        <w:rPr>
          <w:rStyle w:val="Refdenotaalpie"/>
          <w:rFonts w:ascii="Verdana" w:hAnsi="Verdana"/>
          <w:sz w:val="20"/>
          <w:szCs w:val="20"/>
        </w:rPr>
        <w:footnoteReference w:id="15"/>
      </w:r>
      <w:r w:rsidRPr="00E25884">
        <w:rPr>
          <w:rFonts w:ascii="Verdana" w:hAnsi="Verdana"/>
          <w:sz w:val="20"/>
          <w:szCs w:val="20"/>
        </w:rPr>
        <w:t>. Para demostrar lo anterior, señaló que “la sentencia tachada de arbitraria por el peticionario por resultar contraria a sus pretensiones se fundamentó en normas legales, procedimentales y de fondo, y fue dictada conforme a las reglas del debido proceso”</w:t>
      </w:r>
      <w:r w:rsidRPr="00E25884">
        <w:rPr>
          <w:rStyle w:val="Refdenotaalpie"/>
          <w:rFonts w:ascii="Verdana" w:hAnsi="Verdana"/>
          <w:sz w:val="20"/>
          <w:szCs w:val="20"/>
        </w:rPr>
        <w:footnoteReference w:id="16"/>
      </w:r>
      <w:r w:rsidR="006C4709">
        <w:rPr>
          <w:rFonts w:ascii="Verdana" w:hAnsi="Verdana"/>
          <w:sz w:val="20"/>
          <w:szCs w:val="20"/>
        </w:rPr>
        <w:t>.</w:t>
      </w:r>
      <w:r w:rsidRPr="00E25884">
        <w:rPr>
          <w:rFonts w:ascii="Verdana" w:hAnsi="Verdana"/>
          <w:sz w:val="20"/>
          <w:szCs w:val="20"/>
        </w:rPr>
        <w:t xml:space="preserve"> Asimismo, </w:t>
      </w:r>
      <w:r w:rsidRPr="00E25884">
        <w:rPr>
          <w:rFonts w:ascii="Verdana" w:hAnsi="Verdana"/>
          <w:sz w:val="20"/>
          <w:szCs w:val="20"/>
        </w:rPr>
        <w:lastRenderedPageBreak/>
        <w:t xml:space="preserve">el Estado alegó que ante el rechazo de la acción civil reparatoria por encontrarse prescrita, el peticionario se encontraba “en busca de una nueva ‘instancia’ para </w:t>
      </w:r>
      <w:r w:rsidR="00C40460">
        <w:rPr>
          <w:rFonts w:ascii="Verdana" w:hAnsi="Verdana"/>
          <w:sz w:val="20"/>
          <w:szCs w:val="20"/>
        </w:rPr>
        <w:t xml:space="preserve">pretender </w:t>
      </w:r>
      <w:r w:rsidRPr="00E25884">
        <w:rPr>
          <w:rFonts w:ascii="Verdana" w:hAnsi="Verdana"/>
          <w:sz w:val="20"/>
          <w:szCs w:val="20"/>
        </w:rPr>
        <w:t>‘</w:t>
      </w:r>
      <w:r w:rsidR="00C40460">
        <w:rPr>
          <w:rFonts w:ascii="Verdana" w:hAnsi="Verdana"/>
          <w:sz w:val="20"/>
          <w:szCs w:val="20"/>
        </w:rPr>
        <w:t>rever</w:t>
      </w:r>
      <w:r w:rsidRPr="00E25884">
        <w:rPr>
          <w:rFonts w:ascii="Verdana" w:hAnsi="Verdana"/>
          <w:sz w:val="20"/>
          <w:szCs w:val="20"/>
        </w:rPr>
        <w:t>’ estos pronunciamientos judiciales […] y que a todas luces -maguer el esfuerzo del peticionario en negar tal posibilidad</w:t>
      </w:r>
      <w:r w:rsidR="00E438AB">
        <w:rPr>
          <w:rFonts w:ascii="Verdana" w:hAnsi="Verdana"/>
          <w:sz w:val="20"/>
          <w:szCs w:val="20"/>
        </w:rPr>
        <w:t>-</w:t>
      </w:r>
      <w:r w:rsidRPr="00E25884">
        <w:rPr>
          <w:rFonts w:ascii="Verdana" w:hAnsi="Verdana"/>
          <w:sz w:val="20"/>
          <w:szCs w:val="20"/>
        </w:rPr>
        <w:t xml:space="preserve"> nos introduce en la doctrina de la llamada ‘cuarta instancia</w:t>
      </w:r>
      <w:proofErr w:type="gramStart"/>
      <w:r w:rsidRPr="00E25884">
        <w:rPr>
          <w:rFonts w:ascii="Verdana" w:hAnsi="Verdana"/>
          <w:sz w:val="20"/>
          <w:szCs w:val="20"/>
        </w:rPr>
        <w:t>’</w:t>
      </w:r>
      <w:r w:rsidR="00E438AB">
        <w:rPr>
          <w:rFonts w:ascii="Verdana" w:hAnsi="Verdana"/>
          <w:sz w:val="20"/>
          <w:szCs w:val="20"/>
        </w:rPr>
        <w:t xml:space="preserve"> </w:t>
      </w:r>
      <w:r w:rsidRPr="00E25884">
        <w:rPr>
          <w:rFonts w:ascii="Verdana" w:hAnsi="Verdana"/>
          <w:sz w:val="20"/>
          <w:szCs w:val="20"/>
        </w:rPr>
        <w:t>”</w:t>
      </w:r>
      <w:proofErr w:type="gramEnd"/>
      <w:r w:rsidRPr="00E25884">
        <w:rPr>
          <w:rStyle w:val="Refdenotaalpie"/>
          <w:rFonts w:ascii="Verdana" w:hAnsi="Verdana"/>
          <w:sz w:val="20"/>
          <w:szCs w:val="20"/>
        </w:rPr>
        <w:footnoteReference w:id="17"/>
      </w:r>
      <w:r w:rsidRPr="00E25884">
        <w:rPr>
          <w:rFonts w:ascii="Verdana" w:hAnsi="Verdana"/>
          <w:sz w:val="20"/>
          <w:szCs w:val="20"/>
        </w:rPr>
        <w:t>.</w:t>
      </w:r>
    </w:p>
    <w:p w14:paraId="6C12BF0E" w14:textId="77777777" w:rsidR="005D78FA" w:rsidRPr="005D78FA" w:rsidRDefault="005D78FA" w:rsidP="00C97BC1">
      <w:pPr>
        <w:widowControl w:val="0"/>
        <w:tabs>
          <w:tab w:val="left" w:pos="567"/>
        </w:tabs>
        <w:adjustRightInd w:val="0"/>
        <w:spacing w:after="0" w:line="240" w:lineRule="auto"/>
        <w:jc w:val="both"/>
        <w:textAlignment w:val="baseline"/>
        <w:rPr>
          <w:rFonts w:ascii="Verdana" w:hAnsi="Verdana"/>
          <w:sz w:val="20"/>
          <w:szCs w:val="20"/>
        </w:rPr>
      </w:pPr>
    </w:p>
    <w:p w14:paraId="263868E2" w14:textId="4752BB70" w:rsidR="005D78FA" w:rsidRPr="006C4709" w:rsidRDefault="005F02C0"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b/>
          <w:sz w:val="20"/>
          <w:szCs w:val="20"/>
        </w:rPr>
      </w:pPr>
      <w:r w:rsidRPr="005D78FA">
        <w:rPr>
          <w:rFonts w:ascii="Verdana" w:hAnsi="Verdana"/>
          <w:sz w:val="20"/>
          <w:szCs w:val="20"/>
        </w:rPr>
        <w:t xml:space="preserve">La Corte advierte que el alegato del Estado ante la Comisión en la etapa de admisibilidad estaba dirigido a sostener que el actuar de las autoridades judiciales cumplió con las obligaciones previstas en los artículos 8 y 25 de la Convención Americana, y que por esa razón la Comisión Interamericana debía declarar inadmisible la petición del señor Hernández para evitar así actuar como una cuarta instancia. En ese sentido, la Corte constata que es hasta su escrito de contestación que el Estado plantea, por primera </w:t>
      </w:r>
      <w:r w:rsidR="00DD0020" w:rsidRPr="005D78FA">
        <w:rPr>
          <w:rFonts w:ascii="Verdana" w:hAnsi="Verdana"/>
          <w:sz w:val="20"/>
          <w:szCs w:val="20"/>
        </w:rPr>
        <w:t>vez</w:t>
      </w:r>
      <w:r w:rsidRPr="005D78FA">
        <w:rPr>
          <w:rFonts w:ascii="Verdana" w:hAnsi="Verdana"/>
          <w:sz w:val="20"/>
          <w:szCs w:val="20"/>
        </w:rPr>
        <w:t>, que el señor Hernández no habría agotado en buena y debida forma los recursos de la jurisdicción interna, conforme a los principios de derecho internacional generalment</w:t>
      </w:r>
      <w:r w:rsidR="00C40460">
        <w:rPr>
          <w:rFonts w:ascii="Verdana" w:hAnsi="Verdana"/>
          <w:sz w:val="20"/>
          <w:szCs w:val="20"/>
        </w:rPr>
        <w:t>e reconocidos (artículo 46.1.a)</w:t>
      </w:r>
      <w:r w:rsidRPr="005D78FA">
        <w:rPr>
          <w:rFonts w:ascii="Verdana" w:hAnsi="Verdana"/>
          <w:sz w:val="20"/>
          <w:szCs w:val="20"/>
        </w:rPr>
        <w:t>. Al respecto, la Corte recuerda que una excepción preliminar basada en la falta de agotamiento de los recursos internos debe ser presentada en el momento procesal oportuno, es decir durante la etapa de admisibilidad ante la Comisión</w:t>
      </w:r>
      <w:r w:rsidRPr="00E25884">
        <w:rPr>
          <w:rStyle w:val="Refdenotaalpie"/>
          <w:rFonts w:ascii="Verdana" w:hAnsi="Verdana"/>
          <w:sz w:val="20"/>
          <w:szCs w:val="20"/>
          <w:lang w:val="es-ES"/>
        </w:rPr>
        <w:footnoteReference w:id="18"/>
      </w:r>
      <w:r w:rsidRPr="005D78FA">
        <w:rPr>
          <w:rFonts w:ascii="Verdana" w:hAnsi="Verdana"/>
          <w:sz w:val="20"/>
          <w:szCs w:val="20"/>
        </w:rPr>
        <w:t xml:space="preserve">. Esto no ocurrió en el presente caso, pues el Estado alegó </w:t>
      </w:r>
      <w:r w:rsidR="00CC4139">
        <w:rPr>
          <w:rFonts w:ascii="Verdana" w:hAnsi="Verdana"/>
          <w:sz w:val="20"/>
          <w:szCs w:val="20"/>
        </w:rPr>
        <w:t>su</w:t>
      </w:r>
      <w:r w:rsidRPr="005D78FA">
        <w:rPr>
          <w:rFonts w:ascii="Verdana" w:hAnsi="Verdana"/>
          <w:sz w:val="20"/>
          <w:szCs w:val="20"/>
        </w:rPr>
        <w:t xml:space="preserve"> inadmisibilidad ante la Comisión sobre la base de que no se habría violado garantía alguna protegida por la Convención Americana e</w:t>
      </w:r>
      <w:r w:rsidR="00C40460">
        <w:rPr>
          <w:rFonts w:ascii="Verdana" w:hAnsi="Verdana"/>
          <w:sz w:val="20"/>
          <w:szCs w:val="20"/>
        </w:rPr>
        <w:t>n perjuicio del señor Hernández</w:t>
      </w:r>
      <w:r w:rsidRPr="00E25884">
        <w:rPr>
          <w:rStyle w:val="Refdenotaalpie"/>
          <w:rFonts w:ascii="Verdana" w:hAnsi="Verdana"/>
          <w:sz w:val="20"/>
          <w:szCs w:val="20"/>
        </w:rPr>
        <w:footnoteReference w:id="19"/>
      </w:r>
      <w:r w:rsidRPr="005D78FA">
        <w:rPr>
          <w:rFonts w:ascii="Verdana" w:hAnsi="Verdana"/>
          <w:sz w:val="20"/>
          <w:szCs w:val="20"/>
        </w:rPr>
        <w:t>, y ante la Corte</w:t>
      </w:r>
      <w:r w:rsidR="00C40460">
        <w:rPr>
          <w:rFonts w:ascii="Verdana" w:hAnsi="Verdana"/>
          <w:sz w:val="20"/>
          <w:szCs w:val="20"/>
        </w:rPr>
        <w:t xml:space="preserve"> el Estado</w:t>
      </w:r>
      <w:r w:rsidRPr="005D78FA">
        <w:rPr>
          <w:rFonts w:ascii="Verdana" w:hAnsi="Verdana"/>
          <w:sz w:val="20"/>
          <w:szCs w:val="20"/>
        </w:rPr>
        <w:t xml:space="preserve"> alegó que no se habrían agotado los recursos de la jurisdicción interna. </w:t>
      </w:r>
      <w:r w:rsidRPr="005D78FA">
        <w:rPr>
          <w:rFonts w:ascii="Verdana" w:hAnsi="Verdana"/>
          <w:sz w:val="20"/>
          <w:szCs w:val="20"/>
          <w:lang w:val="es-ES"/>
        </w:rPr>
        <w:t>En consideración de lo anterior, la Corte estima que el Estado no alegó dicha excepción preliminar durante el trámite de la admisibilidad y, por lo tanto, fue interpuesta de forma extemporánea.</w:t>
      </w:r>
    </w:p>
    <w:p w14:paraId="5D1C760C" w14:textId="77777777" w:rsidR="006C4709" w:rsidRPr="007C7F95" w:rsidRDefault="006C4709" w:rsidP="006C4709">
      <w:pPr>
        <w:widowControl w:val="0"/>
        <w:tabs>
          <w:tab w:val="left" w:pos="567"/>
        </w:tabs>
        <w:adjustRightInd w:val="0"/>
        <w:spacing w:after="0" w:line="240" w:lineRule="auto"/>
        <w:jc w:val="both"/>
        <w:textAlignment w:val="baseline"/>
        <w:rPr>
          <w:rFonts w:ascii="Verdana" w:hAnsi="Verdana"/>
          <w:sz w:val="20"/>
          <w:szCs w:val="20"/>
        </w:rPr>
      </w:pPr>
    </w:p>
    <w:p w14:paraId="27E9A34C" w14:textId="3D2D57D0" w:rsidR="00674FA0" w:rsidRPr="006C4709" w:rsidRDefault="00674FA0"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sz w:val="20"/>
          <w:szCs w:val="20"/>
        </w:rPr>
      </w:pPr>
      <w:r w:rsidRPr="00674FA0">
        <w:rPr>
          <w:rFonts w:ascii="Verdana" w:hAnsi="Verdana"/>
          <w:sz w:val="20"/>
          <w:szCs w:val="20"/>
          <w:lang w:val="es-CR"/>
        </w:rPr>
        <w:t xml:space="preserve">Adicionalmente, la Corte ha </w:t>
      </w:r>
      <w:r w:rsidR="0054533D">
        <w:rPr>
          <w:rFonts w:ascii="Verdana" w:hAnsi="Verdana"/>
          <w:sz w:val="20"/>
          <w:szCs w:val="20"/>
          <w:lang w:val="es-CR"/>
        </w:rPr>
        <w:t>señalado</w:t>
      </w:r>
      <w:r w:rsidRPr="00674FA0">
        <w:rPr>
          <w:rFonts w:ascii="Verdana" w:hAnsi="Verdana"/>
          <w:sz w:val="20"/>
          <w:szCs w:val="20"/>
          <w:lang w:val="es-CR"/>
        </w:rPr>
        <w:t xml:space="preserve"> que “de existir mecanismos nacionales para determinar formas de reparación [que satisfagan] criterios de objetividad, razonabilidad y efectividad para reparar adecuadamente las violaciones de derechos reconocidos en la Convención declaradas”, tales procedimientos y sus resultados “pueden ser valorados”. De tal modo, las acciones civiles de reparación de daños intentados por las víctimas a nivel interno pueden ser relevantes tanto en la calificación y definición de determinados aspectos o alcances de la responsabilidad estatal, como en la satisfacción de ciertas pretensiones en el marco de una reparación integral</w:t>
      </w:r>
      <w:r w:rsidR="00C40460" w:rsidRPr="00674FA0">
        <w:rPr>
          <w:rStyle w:val="FootnoteAnchor"/>
          <w:rFonts w:ascii="Verdana" w:hAnsi="Verdana"/>
          <w:sz w:val="20"/>
          <w:szCs w:val="20"/>
          <w:lang w:val="es-CR"/>
        </w:rPr>
        <w:footnoteReference w:id="20"/>
      </w:r>
      <w:r w:rsidRPr="00674FA0">
        <w:rPr>
          <w:rFonts w:ascii="Verdana" w:hAnsi="Verdana"/>
          <w:sz w:val="20"/>
          <w:szCs w:val="20"/>
          <w:lang w:val="es-CR"/>
        </w:rPr>
        <w:t>. Por ello, lo decidido a nivel interno en esos procesos ha sido tomado en cuenta al momento de valorar las solicitudes de reparaciones en un caso ante el Sistema Interamericano</w:t>
      </w:r>
      <w:r w:rsidRPr="00674FA0">
        <w:rPr>
          <w:rStyle w:val="FootnoteAnchor"/>
          <w:rFonts w:ascii="Verdana" w:hAnsi="Verdana"/>
          <w:sz w:val="20"/>
          <w:szCs w:val="20"/>
          <w:lang w:val="es-CR"/>
        </w:rPr>
        <w:footnoteReference w:id="21"/>
      </w:r>
      <w:r w:rsidRPr="00674FA0">
        <w:rPr>
          <w:rFonts w:ascii="Verdana" w:hAnsi="Verdana"/>
          <w:sz w:val="20"/>
          <w:szCs w:val="20"/>
          <w:lang w:val="es-CR"/>
        </w:rPr>
        <w:t>. Sin embargo, tal valoración se ha realizado en atención a las circunstancias de cada caso específico, según la naturaleza del derecho que se alega violado y de las pretensiones de quien lo ha incoado. Tal análisis puede corresponder, consecuentemente, al fondo del asunto o, en su caso, a la fase de reparaciones</w:t>
      </w:r>
      <w:r w:rsidRPr="00674FA0">
        <w:rPr>
          <w:rStyle w:val="FootnoteAnchor"/>
          <w:rFonts w:ascii="Verdana" w:hAnsi="Verdana"/>
          <w:sz w:val="20"/>
          <w:szCs w:val="20"/>
          <w:lang w:val="es-CR"/>
        </w:rPr>
        <w:footnoteReference w:id="22"/>
      </w:r>
      <w:r w:rsidRPr="00674FA0">
        <w:rPr>
          <w:rFonts w:ascii="Verdana" w:hAnsi="Verdana"/>
          <w:sz w:val="20"/>
          <w:szCs w:val="20"/>
          <w:lang w:val="es-CR"/>
        </w:rPr>
        <w:t>.</w:t>
      </w:r>
      <w:r w:rsidRPr="00674FA0">
        <w:rPr>
          <w:rFonts w:ascii="Verdana" w:eastAsia="Calibri" w:hAnsi="Verdana"/>
          <w:sz w:val="20"/>
          <w:szCs w:val="20"/>
          <w:lang w:val="es-CR" w:eastAsia="es-CR"/>
        </w:rPr>
        <w:t xml:space="preserve"> </w:t>
      </w:r>
      <w:r w:rsidRPr="00674FA0">
        <w:rPr>
          <w:rFonts w:ascii="Verdana" w:hAnsi="Verdana"/>
          <w:sz w:val="20"/>
          <w:szCs w:val="20"/>
          <w:lang w:val="es-CR"/>
        </w:rPr>
        <w:t xml:space="preserve">Por ende, en este caso no corresponde efectuar una valoración sobre la idoneidad y efectividad del referido juicio civil de daños y perjuicios para establecer la responsabilidad estatal </w:t>
      </w:r>
      <w:r w:rsidRPr="00674FA0">
        <w:rPr>
          <w:rFonts w:ascii="Verdana" w:hAnsi="Verdana"/>
          <w:sz w:val="20"/>
          <w:szCs w:val="20"/>
          <w:lang w:val="es-CR"/>
        </w:rPr>
        <w:lastRenderedPageBreak/>
        <w:t>por los hechos del presente caso o para reparar las consecuencias de los mismos, pues no era necesario que la presunta víctima o sus familiares lo agotaran</w:t>
      </w:r>
      <w:r w:rsidRPr="00674FA0">
        <w:rPr>
          <w:rStyle w:val="Refdenotaalpie"/>
          <w:rFonts w:ascii="Verdana" w:hAnsi="Verdana"/>
          <w:sz w:val="20"/>
          <w:szCs w:val="20"/>
          <w:lang w:val="es-CR"/>
        </w:rPr>
        <w:footnoteReference w:id="23"/>
      </w:r>
      <w:r w:rsidRPr="00674FA0">
        <w:rPr>
          <w:rFonts w:ascii="Verdana" w:hAnsi="Verdana"/>
          <w:sz w:val="20"/>
          <w:szCs w:val="20"/>
          <w:lang w:val="es-CR"/>
        </w:rPr>
        <w:t>.</w:t>
      </w:r>
    </w:p>
    <w:p w14:paraId="492A5487" w14:textId="77777777" w:rsidR="006C4709" w:rsidRPr="006C4709" w:rsidRDefault="006C4709" w:rsidP="006C4709">
      <w:pPr>
        <w:widowControl w:val="0"/>
        <w:tabs>
          <w:tab w:val="left" w:pos="567"/>
        </w:tabs>
        <w:adjustRightInd w:val="0"/>
        <w:spacing w:after="0" w:line="240" w:lineRule="auto"/>
        <w:jc w:val="both"/>
        <w:textAlignment w:val="baseline"/>
        <w:rPr>
          <w:rFonts w:ascii="Verdana" w:hAnsi="Verdana"/>
          <w:sz w:val="20"/>
          <w:szCs w:val="20"/>
        </w:rPr>
      </w:pPr>
    </w:p>
    <w:p w14:paraId="77F9A88A" w14:textId="697F3C40" w:rsidR="006C4709" w:rsidRPr="006F6919" w:rsidRDefault="000F7541"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sz w:val="20"/>
          <w:szCs w:val="20"/>
        </w:rPr>
      </w:pPr>
      <w:r w:rsidRPr="006F6919">
        <w:rPr>
          <w:rFonts w:ascii="Verdana" w:hAnsi="Verdana"/>
          <w:sz w:val="20"/>
          <w:szCs w:val="20"/>
        </w:rPr>
        <w:t xml:space="preserve">Asimismo, el </w:t>
      </w:r>
      <w:r w:rsidR="00DD21B9" w:rsidRPr="006F6919">
        <w:rPr>
          <w:rFonts w:ascii="Verdana" w:hAnsi="Verdana"/>
          <w:sz w:val="20"/>
          <w:szCs w:val="20"/>
        </w:rPr>
        <w:t>Tribunal advierte que el presente caso se relaciona con alegadas violaciones a los de</w:t>
      </w:r>
      <w:r w:rsidR="004639D8">
        <w:rPr>
          <w:rFonts w:ascii="Verdana" w:hAnsi="Verdana"/>
          <w:sz w:val="20"/>
          <w:szCs w:val="20"/>
        </w:rPr>
        <w:t>rechos a la integridad personal y</w:t>
      </w:r>
      <w:r w:rsidR="00DD21B9" w:rsidRPr="006F6919">
        <w:rPr>
          <w:rFonts w:ascii="Verdana" w:hAnsi="Verdana"/>
          <w:sz w:val="20"/>
          <w:szCs w:val="20"/>
        </w:rPr>
        <w:t xml:space="preserve"> a la libertad personal</w:t>
      </w:r>
      <w:r w:rsidR="004639D8">
        <w:rPr>
          <w:rFonts w:ascii="Verdana" w:hAnsi="Verdana"/>
          <w:sz w:val="20"/>
          <w:szCs w:val="20"/>
        </w:rPr>
        <w:t xml:space="preserve"> mientras estuvo detenido</w:t>
      </w:r>
      <w:r w:rsidR="00DD21B9" w:rsidRPr="006F6919">
        <w:rPr>
          <w:rFonts w:ascii="Verdana" w:hAnsi="Verdana"/>
          <w:sz w:val="20"/>
          <w:szCs w:val="20"/>
        </w:rPr>
        <w:t xml:space="preserve">. </w:t>
      </w:r>
      <w:r w:rsidR="00E907AB">
        <w:rPr>
          <w:rFonts w:ascii="Verdana" w:hAnsi="Verdana"/>
          <w:sz w:val="20"/>
          <w:szCs w:val="20"/>
        </w:rPr>
        <w:t>En ese sentido, la Corte constata que e</w:t>
      </w:r>
      <w:r w:rsidR="00DD21B9" w:rsidRPr="006F6919">
        <w:rPr>
          <w:rFonts w:ascii="Verdana" w:hAnsi="Verdana"/>
          <w:sz w:val="20"/>
          <w:szCs w:val="20"/>
        </w:rPr>
        <w:t>l señor Hernández presentó recursos</w:t>
      </w:r>
      <w:r w:rsidR="00137E8B" w:rsidRPr="006F6919">
        <w:rPr>
          <w:rFonts w:ascii="Verdana" w:hAnsi="Verdana"/>
          <w:sz w:val="20"/>
          <w:szCs w:val="20"/>
        </w:rPr>
        <w:t xml:space="preserve"> </w:t>
      </w:r>
      <w:r w:rsidR="006F6919" w:rsidRPr="006F6919">
        <w:rPr>
          <w:rFonts w:ascii="Verdana" w:hAnsi="Verdana"/>
          <w:sz w:val="20"/>
          <w:szCs w:val="20"/>
        </w:rPr>
        <w:t xml:space="preserve">que estuvieron dirigidos a </w:t>
      </w:r>
      <w:r w:rsidR="006F6919">
        <w:rPr>
          <w:rFonts w:ascii="Verdana" w:hAnsi="Verdana"/>
          <w:sz w:val="20"/>
          <w:szCs w:val="20"/>
        </w:rPr>
        <w:t xml:space="preserve">proteger </w:t>
      </w:r>
      <w:r w:rsidR="00786C3D">
        <w:rPr>
          <w:rFonts w:ascii="Verdana" w:hAnsi="Verdana"/>
          <w:sz w:val="20"/>
          <w:szCs w:val="20"/>
        </w:rPr>
        <w:t>los</w:t>
      </w:r>
      <w:r w:rsidR="006F6919">
        <w:rPr>
          <w:rFonts w:ascii="Verdana" w:hAnsi="Verdana"/>
          <w:sz w:val="20"/>
          <w:szCs w:val="20"/>
        </w:rPr>
        <w:t xml:space="preserve"> derechos</w:t>
      </w:r>
      <w:r w:rsidR="00786C3D">
        <w:rPr>
          <w:rFonts w:ascii="Verdana" w:hAnsi="Verdana"/>
          <w:sz w:val="20"/>
          <w:szCs w:val="20"/>
        </w:rPr>
        <w:t xml:space="preserve"> antes mencionados</w:t>
      </w:r>
      <w:r w:rsidR="006F6919">
        <w:rPr>
          <w:rFonts w:ascii="Verdana" w:hAnsi="Verdana"/>
          <w:sz w:val="20"/>
          <w:szCs w:val="20"/>
        </w:rPr>
        <w:t xml:space="preserve"> a lo largo del tiempo que estuvo sujeto a proceso. En concreto, la </w:t>
      </w:r>
      <w:r w:rsidR="00786C3D">
        <w:rPr>
          <w:rFonts w:ascii="Verdana" w:hAnsi="Verdana"/>
          <w:sz w:val="20"/>
          <w:szCs w:val="20"/>
        </w:rPr>
        <w:t xml:space="preserve">Corte constata las múltiples denuncias presentadas por la </w:t>
      </w:r>
      <w:r w:rsidR="00786C3D" w:rsidRPr="00E25884">
        <w:rPr>
          <w:rFonts w:ascii="Verdana" w:hAnsi="Verdana"/>
          <w:sz w:val="20"/>
          <w:szCs w:val="20"/>
        </w:rPr>
        <w:t>señora Raquel San Martín de Hernández</w:t>
      </w:r>
      <w:r w:rsidR="00786C3D">
        <w:rPr>
          <w:rFonts w:ascii="Verdana" w:hAnsi="Verdana"/>
          <w:sz w:val="20"/>
          <w:szCs w:val="20"/>
        </w:rPr>
        <w:t xml:space="preserve"> para que se le brindara atención médica adecuada a su hijo, y las subsecuentes órdenes dictadas por el Juez dirigidas a las autoridades carcelarias</w:t>
      </w:r>
      <w:r w:rsidR="004639D8">
        <w:rPr>
          <w:rFonts w:ascii="Verdana" w:hAnsi="Verdana"/>
          <w:sz w:val="20"/>
          <w:szCs w:val="20"/>
        </w:rPr>
        <w:t xml:space="preserve"> para que se le brindara atención médica</w:t>
      </w:r>
      <w:r w:rsidR="00786C3D">
        <w:rPr>
          <w:rStyle w:val="Refdenotaalpie"/>
          <w:rFonts w:ascii="Verdana" w:hAnsi="Verdana"/>
          <w:sz w:val="20"/>
          <w:szCs w:val="20"/>
        </w:rPr>
        <w:footnoteReference w:id="24"/>
      </w:r>
      <w:r w:rsidR="00E907AB">
        <w:rPr>
          <w:rFonts w:ascii="Verdana" w:hAnsi="Verdana"/>
          <w:sz w:val="20"/>
          <w:szCs w:val="20"/>
        </w:rPr>
        <w:t>, así como</w:t>
      </w:r>
      <w:r w:rsidR="00786C3D">
        <w:rPr>
          <w:rFonts w:ascii="Verdana" w:hAnsi="Verdana"/>
          <w:sz w:val="20"/>
          <w:szCs w:val="20"/>
        </w:rPr>
        <w:t xml:space="preserve"> el </w:t>
      </w:r>
      <w:r w:rsidR="00E907AB">
        <w:rPr>
          <w:rFonts w:ascii="Verdana" w:hAnsi="Verdana"/>
          <w:sz w:val="20"/>
          <w:szCs w:val="20"/>
        </w:rPr>
        <w:t>incidente</w:t>
      </w:r>
      <w:r w:rsidR="00786C3D">
        <w:rPr>
          <w:rFonts w:ascii="Verdana" w:hAnsi="Verdana"/>
          <w:sz w:val="20"/>
          <w:szCs w:val="20"/>
        </w:rPr>
        <w:t xml:space="preserve"> de excarcelación presentado por el abogado del señor Hernández </w:t>
      </w:r>
      <w:r w:rsidR="00C84826">
        <w:rPr>
          <w:rFonts w:ascii="Verdana" w:hAnsi="Verdana"/>
          <w:sz w:val="20"/>
          <w:szCs w:val="20"/>
        </w:rPr>
        <w:t xml:space="preserve">en </w:t>
      </w:r>
      <w:r w:rsidR="00786C3D">
        <w:rPr>
          <w:rFonts w:ascii="Verdana" w:hAnsi="Verdana"/>
          <w:sz w:val="20"/>
          <w:szCs w:val="20"/>
        </w:rPr>
        <w:t>octubre de 1990, cuyo objetivo era permitir que la presunta víctima continuara el proceso en libertad</w:t>
      </w:r>
      <w:r w:rsidR="00786C3D">
        <w:rPr>
          <w:rStyle w:val="Refdenotaalpie"/>
          <w:rFonts w:ascii="Verdana" w:hAnsi="Verdana"/>
          <w:sz w:val="20"/>
          <w:szCs w:val="20"/>
        </w:rPr>
        <w:footnoteReference w:id="25"/>
      </w:r>
      <w:r w:rsidR="00F366F4">
        <w:rPr>
          <w:rFonts w:ascii="Verdana" w:hAnsi="Verdana"/>
          <w:sz w:val="20"/>
          <w:szCs w:val="20"/>
        </w:rPr>
        <w:t>.</w:t>
      </w:r>
      <w:r w:rsidR="00E907AB">
        <w:rPr>
          <w:rFonts w:ascii="Verdana" w:hAnsi="Verdana"/>
          <w:sz w:val="20"/>
          <w:szCs w:val="20"/>
        </w:rPr>
        <w:t xml:space="preserve"> </w:t>
      </w:r>
      <w:r w:rsidR="004639D8">
        <w:rPr>
          <w:rFonts w:ascii="Verdana" w:hAnsi="Verdana"/>
          <w:sz w:val="20"/>
          <w:szCs w:val="20"/>
        </w:rPr>
        <w:t>Las</w:t>
      </w:r>
      <w:r w:rsidR="00E907AB">
        <w:rPr>
          <w:rFonts w:ascii="Verdana" w:hAnsi="Verdana"/>
          <w:sz w:val="20"/>
          <w:szCs w:val="20"/>
        </w:rPr>
        <w:t xml:space="preserve"> denuncias y el incidente intentado</w:t>
      </w:r>
      <w:r w:rsidR="004639D8">
        <w:rPr>
          <w:rFonts w:ascii="Verdana" w:hAnsi="Verdana"/>
          <w:sz w:val="20"/>
          <w:szCs w:val="20"/>
        </w:rPr>
        <w:t>s</w:t>
      </w:r>
      <w:r w:rsidR="00E907AB">
        <w:rPr>
          <w:rFonts w:ascii="Verdana" w:hAnsi="Verdana"/>
          <w:sz w:val="20"/>
          <w:szCs w:val="20"/>
        </w:rPr>
        <w:t xml:space="preserve"> </w:t>
      </w:r>
      <w:r w:rsidR="00B107CB">
        <w:rPr>
          <w:rFonts w:ascii="Verdana" w:hAnsi="Verdana"/>
          <w:sz w:val="20"/>
          <w:szCs w:val="20"/>
        </w:rPr>
        <w:t>constituyeron un ejercicio de los</w:t>
      </w:r>
      <w:r w:rsidR="00E907AB">
        <w:rPr>
          <w:rFonts w:ascii="Verdana" w:hAnsi="Verdana"/>
          <w:sz w:val="20"/>
          <w:szCs w:val="20"/>
        </w:rPr>
        <w:t xml:space="preserve"> recursos internos </w:t>
      </w:r>
      <w:r w:rsidR="00B107CB">
        <w:rPr>
          <w:rFonts w:ascii="Verdana" w:hAnsi="Verdana"/>
          <w:sz w:val="20"/>
          <w:szCs w:val="20"/>
        </w:rPr>
        <w:t xml:space="preserve">disponibles </w:t>
      </w:r>
      <w:r w:rsidR="00E907AB">
        <w:rPr>
          <w:rFonts w:ascii="Verdana" w:hAnsi="Verdana"/>
          <w:sz w:val="20"/>
          <w:szCs w:val="20"/>
        </w:rPr>
        <w:t>para la protección de los derechos a la salud, integridad personal y libertad personal del señor Hernández.</w:t>
      </w:r>
      <w:r w:rsidR="00F366F4">
        <w:rPr>
          <w:rFonts w:ascii="Verdana" w:hAnsi="Verdana"/>
          <w:sz w:val="20"/>
          <w:szCs w:val="20"/>
        </w:rPr>
        <w:t xml:space="preserve"> En consecuencia, es claro que </w:t>
      </w:r>
      <w:r w:rsidR="00E907AB">
        <w:rPr>
          <w:rFonts w:ascii="Verdana" w:hAnsi="Verdana"/>
          <w:sz w:val="20"/>
          <w:szCs w:val="20"/>
        </w:rPr>
        <w:t>la controversia</w:t>
      </w:r>
      <w:r w:rsidR="00F366F4">
        <w:rPr>
          <w:rFonts w:ascii="Verdana" w:hAnsi="Verdana"/>
          <w:sz w:val="20"/>
          <w:szCs w:val="20"/>
        </w:rPr>
        <w:t xml:space="preserve"> del presente caso no está limit</w:t>
      </w:r>
      <w:r w:rsidR="00E907AB">
        <w:rPr>
          <w:rFonts w:ascii="Verdana" w:hAnsi="Verdana"/>
          <w:sz w:val="20"/>
          <w:szCs w:val="20"/>
        </w:rPr>
        <w:t>ada</w:t>
      </w:r>
      <w:r w:rsidR="00F366F4">
        <w:rPr>
          <w:rFonts w:ascii="Verdana" w:hAnsi="Verdana"/>
          <w:sz w:val="20"/>
          <w:szCs w:val="20"/>
        </w:rPr>
        <w:t xml:space="preserve"> a verificar si la acción de daños y perjuicios constituyó una violación a los derechos </w:t>
      </w:r>
      <w:r w:rsidR="004639D8">
        <w:rPr>
          <w:rFonts w:ascii="Verdana" w:hAnsi="Verdana"/>
          <w:sz w:val="20"/>
          <w:szCs w:val="20"/>
        </w:rPr>
        <w:t xml:space="preserve">a las garantías judiciales y la protección judicial </w:t>
      </w:r>
      <w:r w:rsidR="00F366F4">
        <w:rPr>
          <w:rFonts w:ascii="Verdana" w:hAnsi="Verdana"/>
          <w:sz w:val="20"/>
          <w:szCs w:val="20"/>
        </w:rPr>
        <w:t xml:space="preserve">del señor Hernández, sino que </w:t>
      </w:r>
      <w:r w:rsidR="004639D8">
        <w:rPr>
          <w:rFonts w:ascii="Verdana" w:hAnsi="Verdana"/>
          <w:sz w:val="20"/>
          <w:szCs w:val="20"/>
        </w:rPr>
        <w:t xml:space="preserve">también </w:t>
      </w:r>
      <w:r w:rsidR="00F366F4">
        <w:rPr>
          <w:rFonts w:ascii="Verdana" w:hAnsi="Verdana"/>
          <w:sz w:val="20"/>
          <w:szCs w:val="20"/>
        </w:rPr>
        <w:t xml:space="preserve">se relaciona con la conducta estatal </w:t>
      </w:r>
      <w:r w:rsidR="00E907AB">
        <w:rPr>
          <w:rFonts w:ascii="Verdana" w:hAnsi="Verdana"/>
          <w:sz w:val="20"/>
          <w:szCs w:val="20"/>
        </w:rPr>
        <w:t>en relación con la protección a otros derechos. Dichas cuestiones requieren ser analizadas como una cuestión de fondo</w:t>
      </w:r>
      <w:r w:rsidR="004639D8">
        <w:rPr>
          <w:rFonts w:ascii="Verdana" w:hAnsi="Verdana"/>
          <w:sz w:val="20"/>
          <w:szCs w:val="20"/>
        </w:rPr>
        <w:t xml:space="preserve"> en la presente Sentencia</w:t>
      </w:r>
      <w:r w:rsidR="00E907AB">
        <w:rPr>
          <w:rFonts w:ascii="Verdana" w:hAnsi="Verdana"/>
          <w:sz w:val="20"/>
          <w:szCs w:val="20"/>
        </w:rPr>
        <w:t>.</w:t>
      </w:r>
    </w:p>
    <w:p w14:paraId="3FC3ACBF" w14:textId="77777777" w:rsidR="00C97BC1" w:rsidRPr="00674FA0" w:rsidRDefault="00C97BC1" w:rsidP="00C97BC1">
      <w:pPr>
        <w:widowControl w:val="0"/>
        <w:tabs>
          <w:tab w:val="left" w:pos="567"/>
        </w:tabs>
        <w:adjustRightInd w:val="0"/>
        <w:spacing w:after="0" w:line="240" w:lineRule="auto"/>
        <w:jc w:val="both"/>
        <w:textAlignment w:val="baseline"/>
        <w:rPr>
          <w:rFonts w:ascii="Verdana" w:hAnsi="Verdana"/>
          <w:sz w:val="20"/>
          <w:szCs w:val="20"/>
        </w:rPr>
      </w:pPr>
    </w:p>
    <w:p w14:paraId="50C6E38B" w14:textId="77777777" w:rsidR="005F02C0" w:rsidRDefault="005F02C0"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sz w:val="20"/>
          <w:szCs w:val="20"/>
        </w:rPr>
      </w:pPr>
      <w:r w:rsidRPr="00E25884">
        <w:rPr>
          <w:rFonts w:ascii="Verdana" w:hAnsi="Verdana"/>
          <w:sz w:val="20"/>
          <w:szCs w:val="20"/>
        </w:rPr>
        <w:t xml:space="preserve">En consecuencia, al confirmarse que el alegato del Estado sobre la falta de agotamiento de los recursos es extemporáneo, que </w:t>
      </w:r>
      <w:r w:rsidR="004639D8">
        <w:rPr>
          <w:rFonts w:ascii="Verdana" w:hAnsi="Verdana"/>
          <w:sz w:val="20"/>
          <w:szCs w:val="20"/>
        </w:rPr>
        <w:t>no corresponde en esta etapa realizar una valoración sobre la idoneidad y efectividad de la acción de daños y perjuicios,</w:t>
      </w:r>
      <w:r w:rsidR="00E907AB">
        <w:rPr>
          <w:rFonts w:ascii="Verdana" w:hAnsi="Verdana"/>
          <w:sz w:val="20"/>
          <w:szCs w:val="20"/>
        </w:rPr>
        <w:t xml:space="preserve"> y que la controversia en el presente caso se refiere a otros derechos que requiere un análisis de fondo,</w:t>
      </w:r>
      <w:r w:rsidRPr="00E25884">
        <w:rPr>
          <w:rFonts w:ascii="Verdana" w:hAnsi="Verdana"/>
          <w:sz w:val="20"/>
          <w:szCs w:val="20"/>
        </w:rPr>
        <w:t xml:space="preserve"> se rechaza la excepción preliminar por falta de agotamiento de los recursos internos</w:t>
      </w:r>
      <w:r w:rsidR="004F3285">
        <w:rPr>
          <w:rFonts w:ascii="Verdana" w:hAnsi="Verdana"/>
          <w:sz w:val="20"/>
          <w:szCs w:val="20"/>
        </w:rPr>
        <w:t xml:space="preserve"> intentada por el Estado</w:t>
      </w:r>
      <w:r w:rsidRPr="00E25884">
        <w:rPr>
          <w:rFonts w:ascii="Verdana" w:hAnsi="Verdana"/>
          <w:sz w:val="20"/>
          <w:szCs w:val="20"/>
        </w:rPr>
        <w:t>.</w:t>
      </w:r>
    </w:p>
    <w:p w14:paraId="79142243" w14:textId="77777777" w:rsidR="00C97BC1" w:rsidRPr="00E25884" w:rsidRDefault="00C97BC1" w:rsidP="00C97BC1">
      <w:pPr>
        <w:widowControl w:val="0"/>
        <w:tabs>
          <w:tab w:val="left" w:pos="567"/>
        </w:tabs>
        <w:adjustRightInd w:val="0"/>
        <w:spacing w:after="0" w:line="240" w:lineRule="auto"/>
        <w:jc w:val="both"/>
        <w:textAlignment w:val="baseline"/>
        <w:rPr>
          <w:rFonts w:ascii="Verdana" w:hAnsi="Verdana"/>
          <w:sz w:val="20"/>
          <w:szCs w:val="20"/>
        </w:rPr>
      </w:pPr>
    </w:p>
    <w:p w14:paraId="14734B38" w14:textId="77777777" w:rsidR="008549CC" w:rsidRPr="00E25884" w:rsidRDefault="001C3B78" w:rsidP="00C97BC1">
      <w:pPr>
        <w:keepNext/>
        <w:keepLines/>
        <w:tabs>
          <w:tab w:val="left" w:pos="851"/>
        </w:tabs>
        <w:spacing w:after="0" w:line="240" w:lineRule="auto"/>
        <w:jc w:val="center"/>
        <w:outlineLvl w:val="0"/>
        <w:rPr>
          <w:rFonts w:ascii="Verdana" w:eastAsia="Times New Roman" w:hAnsi="Verdana" w:cs="Verdana"/>
          <w:b/>
          <w:bCs/>
          <w:caps/>
          <w:snapToGrid w:val="0"/>
          <w:sz w:val="20"/>
          <w:szCs w:val="20"/>
          <w:lang w:val="es-ES_tradnl"/>
        </w:rPr>
      </w:pPr>
      <w:bookmarkStart w:id="19" w:name="_Toc12726712"/>
      <w:bookmarkStart w:id="20" w:name="_Toc27509159"/>
      <w:r w:rsidRPr="00E25884">
        <w:rPr>
          <w:rFonts w:ascii="Verdana" w:eastAsia="Times New Roman" w:hAnsi="Verdana" w:cs="Verdana"/>
          <w:b/>
          <w:bCs/>
          <w:caps/>
          <w:snapToGrid w:val="0"/>
          <w:sz w:val="20"/>
          <w:szCs w:val="20"/>
          <w:lang w:val="es-ES_tradnl"/>
        </w:rPr>
        <w:t>V</w:t>
      </w:r>
      <w:r w:rsidRPr="00E25884">
        <w:rPr>
          <w:rFonts w:ascii="Verdana" w:eastAsia="Times New Roman" w:hAnsi="Verdana" w:cs="Verdana"/>
          <w:b/>
          <w:bCs/>
          <w:caps/>
          <w:snapToGrid w:val="0"/>
          <w:sz w:val="20"/>
          <w:szCs w:val="20"/>
          <w:lang w:val="es-ES_tradnl"/>
        </w:rPr>
        <w:br/>
      </w:r>
      <w:bookmarkStart w:id="21" w:name="_Toc375517114"/>
      <w:bookmarkStart w:id="22" w:name="_Toc459158102"/>
      <w:bookmarkStart w:id="23" w:name="_Toc470180046"/>
      <w:bookmarkStart w:id="24" w:name="_Toc514172609"/>
      <w:bookmarkStart w:id="25" w:name="_Toc526774142"/>
      <w:bookmarkStart w:id="26" w:name="_Toc526777474"/>
      <w:bookmarkStart w:id="27" w:name="_Toc526783753"/>
      <w:bookmarkStart w:id="28" w:name="_Toc529192672"/>
      <w:bookmarkStart w:id="29" w:name="_Toc7020777"/>
      <w:bookmarkStart w:id="30" w:name="_Toc12726716"/>
      <w:bookmarkEnd w:id="19"/>
      <w:r w:rsidR="008549CC" w:rsidRPr="00E25884">
        <w:rPr>
          <w:rFonts w:ascii="Verdana" w:eastAsia="Times New Roman" w:hAnsi="Verdana" w:cs="Verdana"/>
          <w:b/>
          <w:bCs/>
          <w:caps/>
          <w:snapToGrid w:val="0"/>
          <w:sz w:val="20"/>
          <w:szCs w:val="20"/>
          <w:lang w:val="es-ES_tradnl"/>
        </w:rPr>
        <w:t>PRUEBA</w:t>
      </w:r>
      <w:bookmarkEnd w:id="20"/>
      <w:bookmarkEnd w:id="21"/>
      <w:bookmarkEnd w:id="22"/>
      <w:bookmarkEnd w:id="23"/>
      <w:bookmarkEnd w:id="24"/>
      <w:bookmarkEnd w:id="25"/>
      <w:bookmarkEnd w:id="26"/>
      <w:bookmarkEnd w:id="27"/>
      <w:bookmarkEnd w:id="28"/>
      <w:bookmarkEnd w:id="29"/>
      <w:bookmarkEnd w:id="30"/>
    </w:p>
    <w:p w14:paraId="261965F5" w14:textId="77777777" w:rsidR="00C97BC1" w:rsidRDefault="00C97BC1" w:rsidP="00C97BC1">
      <w:pPr>
        <w:pStyle w:val="Ttulo2"/>
        <w:keepLines w:val="0"/>
        <w:widowControl/>
        <w:numPr>
          <w:ilvl w:val="0"/>
          <w:numId w:val="0"/>
        </w:numPr>
        <w:tabs>
          <w:tab w:val="left" w:pos="708"/>
          <w:tab w:val="left" w:pos="993"/>
        </w:tabs>
        <w:adjustRightInd/>
        <w:ind w:left="928"/>
        <w:contextualSpacing/>
        <w:textAlignment w:val="auto"/>
      </w:pPr>
      <w:bookmarkStart w:id="31" w:name="_Toc9511440"/>
      <w:bookmarkStart w:id="32" w:name="_Toc4402948"/>
      <w:bookmarkStart w:id="33" w:name="_Toc4402709"/>
      <w:bookmarkStart w:id="34" w:name="_Toc12726717"/>
    </w:p>
    <w:p w14:paraId="37692DD7" w14:textId="77777777" w:rsidR="00E25884" w:rsidRPr="00500A60" w:rsidRDefault="00E25884" w:rsidP="00CB2656">
      <w:pPr>
        <w:pStyle w:val="Ttulo2"/>
        <w:keepLines w:val="0"/>
        <w:widowControl/>
        <w:numPr>
          <w:ilvl w:val="0"/>
          <w:numId w:val="16"/>
        </w:numPr>
        <w:tabs>
          <w:tab w:val="left" w:pos="708"/>
          <w:tab w:val="left" w:pos="993"/>
        </w:tabs>
        <w:adjustRightInd/>
        <w:contextualSpacing/>
        <w:textAlignment w:val="auto"/>
      </w:pPr>
      <w:bookmarkStart w:id="35" w:name="_Toc27509160"/>
      <w:r w:rsidRPr="00500A60">
        <w:t>Admisibilidad de la prueba documental</w:t>
      </w:r>
      <w:bookmarkEnd w:id="31"/>
      <w:bookmarkEnd w:id="32"/>
      <w:bookmarkEnd w:id="33"/>
      <w:bookmarkEnd w:id="34"/>
      <w:bookmarkEnd w:id="35"/>
    </w:p>
    <w:p w14:paraId="59104FAB" w14:textId="77777777" w:rsidR="00C97BC1" w:rsidRDefault="00C97BC1" w:rsidP="00C97BC1">
      <w:pPr>
        <w:widowControl w:val="0"/>
        <w:tabs>
          <w:tab w:val="left" w:pos="567"/>
        </w:tabs>
        <w:adjustRightInd w:val="0"/>
        <w:spacing w:after="0" w:line="240" w:lineRule="auto"/>
        <w:jc w:val="both"/>
        <w:textAlignment w:val="baseline"/>
        <w:rPr>
          <w:rFonts w:ascii="Verdana" w:hAnsi="Verdana"/>
          <w:sz w:val="20"/>
          <w:szCs w:val="20"/>
          <w:lang w:val="es-CR" w:eastAsia="es-MX"/>
        </w:rPr>
      </w:pPr>
    </w:p>
    <w:p w14:paraId="61CD46A9" w14:textId="77777777" w:rsidR="00E25884" w:rsidRDefault="00E25884"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sz w:val="20"/>
          <w:szCs w:val="20"/>
          <w:lang w:val="es-CR" w:eastAsia="es-MX"/>
        </w:rPr>
      </w:pPr>
      <w:r w:rsidRPr="00C97BC1">
        <w:rPr>
          <w:rFonts w:ascii="Verdana" w:hAnsi="Verdana"/>
          <w:sz w:val="20"/>
          <w:szCs w:val="20"/>
          <w:lang w:val="es-CR"/>
        </w:rPr>
        <w:t xml:space="preserve">El Tribunal recibió diversos documentos presentados como prueba por la Comisión, los representantes y el Estado, </w:t>
      </w:r>
      <w:r w:rsidRPr="00C97BC1">
        <w:rPr>
          <w:rFonts w:ascii="Verdana" w:hAnsi="Verdana"/>
          <w:sz w:val="20"/>
          <w:szCs w:val="20"/>
        </w:rPr>
        <w:t xml:space="preserve">así como también aquellos solicitados por la Corte o su Presidencia como prueba para mejor resolver, </w:t>
      </w:r>
      <w:r w:rsidRPr="00C97BC1">
        <w:rPr>
          <w:rFonts w:ascii="Verdana" w:hAnsi="Verdana"/>
          <w:sz w:val="20"/>
          <w:szCs w:val="20"/>
          <w:lang w:val="es-CR"/>
        </w:rPr>
        <w:t>los cuales, como en otros casos, admite en el entendido que fueron presentados en la debida oportunidad procesal (artículo 57 del Reglamento)</w:t>
      </w:r>
      <w:r w:rsidRPr="007A5487">
        <w:rPr>
          <w:rStyle w:val="Refdenotaalpie"/>
          <w:rFonts w:ascii="Verdana" w:hAnsi="Verdana"/>
          <w:sz w:val="20"/>
          <w:szCs w:val="20"/>
        </w:rPr>
        <w:footnoteReference w:id="26"/>
      </w:r>
      <w:r w:rsidRPr="00C97BC1">
        <w:rPr>
          <w:rFonts w:ascii="Verdana" w:hAnsi="Verdana"/>
          <w:sz w:val="20"/>
          <w:szCs w:val="20"/>
          <w:lang w:val="es-CR"/>
        </w:rPr>
        <w:t xml:space="preserve"> y su </w:t>
      </w:r>
      <w:r w:rsidRPr="00C97BC1">
        <w:rPr>
          <w:rFonts w:ascii="Verdana" w:hAnsi="Verdana"/>
          <w:sz w:val="20"/>
          <w:szCs w:val="20"/>
          <w:lang w:val="es-CR"/>
        </w:rPr>
        <w:lastRenderedPageBreak/>
        <w:t>admisibilidad no fue controvertida ni objetada.</w:t>
      </w:r>
    </w:p>
    <w:p w14:paraId="1B1C9EAF" w14:textId="77777777" w:rsidR="00C97BC1" w:rsidRPr="00C97BC1" w:rsidRDefault="00C97BC1" w:rsidP="00C97BC1">
      <w:pPr>
        <w:widowControl w:val="0"/>
        <w:tabs>
          <w:tab w:val="left" w:pos="567"/>
        </w:tabs>
        <w:adjustRightInd w:val="0"/>
        <w:spacing w:after="0" w:line="240" w:lineRule="auto"/>
        <w:jc w:val="both"/>
        <w:textAlignment w:val="baseline"/>
        <w:rPr>
          <w:rFonts w:ascii="Verdana" w:hAnsi="Verdana"/>
          <w:sz w:val="20"/>
          <w:szCs w:val="20"/>
          <w:lang w:val="es-CR" w:eastAsia="es-MX"/>
        </w:rPr>
      </w:pPr>
    </w:p>
    <w:p w14:paraId="34005885" w14:textId="77777777" w:rsidR="00E25884" w:rsidRDefault="00E25884" w:rsidP="00CB2656">
      <w:pPr>
        <w:pStyle w:val="Ttulo2"/>
        <w:keepLines w:val="0"/>
        <w:widowControl/>
        <w:numPr>
          <w:ilvl w:val="0"/>
          <w:numId w:val="16"/>
        </w:numPr>
        <w:tabs>
          <w:tab w:val="left" w:pos="708"/>
          <w:tab w:val="left" w:pos="993"/>
        </w:tabs>
        <w:adjustRightInd/>
        <w:contextualSpacing/>
        <w:textAlignment w:val="auto"/>
      </w:pPr>
      <w:bookmarkStart w:id="36" w:name="_Toc9511441"/>
      <w:bookmarkStart w:id="37" w:name="_Toc4402949"/>
      <w:bookmarkStart w:id="38" w:name="_Toc4402710"/>
      <w:bookmarkStart w:id="39" w:name="_Toc12726718"/>
      <w:bookmarkStart w:id="40" w:name="_Toc27509161"/>
      <w:r w:rsidRPr="00500A60">
        <w:t>Admisibilidad de la prueba testimonial y pericial</w:t>
      </w:r>
      <w:bookmarkEnd w:id="36"/>
      <w:bookmarkEnd w:id="37"/>
      <w:bookmarkEnd w:id="38"/>
      <w:bookmarkEnd w:id="39"/>
      <w:bookmarkEnd w:id="40"/>
    </w:p>
    <w:p w14:paraId="0C50C1F5" w14:textId="77777777" w:rsidR="00C97BC1" w:rsidRDefault="00C97BC1" w:rsidP="00C97BC1">
      <w:pPr>
        <w:widowControl w:val="0"/>
        <w:tabs>
          <w:tab w:val="left" w:pos="567"/>
        </w:tabs>
        <w:adjustRightInd w:val="0"/>
        <w:spacing w:after="0" w:line="240" w:lineRule="auto"/>
        <w:jc w:val="both"/>
        <w:textAlignment w:val="baseline"/>
        <w:rPr>
          <w:rFonts w:ascii="Verdana" w:hAnsi="Verdana"/>
          <w:sz w:val="20"/>
          <w:szCs w:val="20"/>
          <w:lang w:val="es-CR" w:eastAsia="es-CR"/>
        </w:rPr>
      </w:pPr>
    </w:p>
    <w:p w14:paraId="112D8D1A" w14:textId="785CD223" w:rsidR="00E25884" w:rsidRPr="00C97BC1" w:rsidRDefault="00E25884"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sz w:val="20"/>
          <w:szCs w:val="20"/>
          <w:lang w:val="es-CR" w:eastAsia="es-CR"/>
        </w:rPr>
      </w:pPr>
      <w:r w:rsidRPr="006161CF">
        <w:rPr>
          <w:rFonts w:ascii="Verdana" w:hAnsi="Verdana"/>
          <w:sz w:val="20"/>
          <w:szCs w:val="20"/>
        </w:rPr>
        <w:t xml:space="preserve">Asimismo, la Corte estima pertinente admitir </w:t>
      </w:r>
      <w:r>
        <w:rPr>
          <w:rFonts w:ascii="Verdana" w:hAnsi="Verdana"/>
          <w:sz w:val="20"/>
          <w:szCs w:val="20"/>
        </w:rPr>
        <w:t>el dictamen pericial rendido</w:t>
      </w:r>
      <w:r w:rsidRPr="006161CF">
        <w:rPr>
          <w:rFonts w:ascii="Verdana" w:hAnsi="Verdana"/>
          <w:sz w:val="20"/>
          <w:szCs w:val="20"/>
        </w:rPr>
        <w:t xml:space="preserve"> ante fedatario público en el marco del presente caso</w:t>
      </w:r>
      <w:r w:rsidRPr="006161CF">
        <w:rPr>
          <w:rStyle w:val="Refdenotaalpie"/>
          <w:rFonts w:ascii="Verdana" w:hAnsi="Verdana"/>
          <w:sz w:val="20"/>
          <w:szCs w:val="20"/>
        </w:rPr>
        <w:footnoteReference w:id="27"/>
      </w:r>
      <w:r>
        <w:rPr>
          <w:rFonts w:ascii="Verdana" w:hAnsi="Verdana"/>
          <w:sz w:val="20"/>
          <w:szCs w:val="20"/>
        </w:rPr>
        <w:t xml:space="preserve">, </w:t>
      </w:r>
      <w:r w:rsidRPr="006161CF">
        <w:rPr>
          <w:rFonts w:ascii="Verdana" w:hAnsi="Verdana"/>
          <w:sz w:val="20"/>
          <w:szCs w:val="20"/>
        </w:rPr>
        <w:t>en lo que se ajuste</w:t>
      </w:r>
      <w:r>
        <w:rPr>
          <w:rFonts w:ascii="Verdana" w:hAnsi="Verdana"/>
          <w:sz w:val="20"/>
          <w:szCs w:val="20"/>
        </w:rPr>
        <w:t xml:space="preserve"> tanto</w:t>
      </w:r>
      <w:r w:rsidRPr="006161CF">
        <w:rPr>
          <w:rFonts w:ascii="Verdana" w:hAnsi="Verdana"/>
          <w:sz w:val="20"/>
          <w:szCs w:val="20"/>
        </w:rPr>
        <w:t xml:space="preserve"> al objeto que fue definido por la Presidencia en la Resolución mediante la cual se ordenó recibirlos</w:t>
      </w:r>
      <w:r>
        <w:rPr>
          <w:rFonts w:ascii="Verdana" w:hAnsi="Verdana"/>
          <w:sz w:val="20"/>
          <w:szCs w:val="20"/>
        </w:rPr>
        <w:t>, como</w:t>
      </w:r>
      <w:r w:rsidRPr="006161CF">
        <w:rPr>
          <w:rFonts w:ascii="Verdana" w:hAnsi="Verdana"/>
          <w:sz w:val="20"/>
          <w:szCs w:val="20"/>
        </w:rPr>
        <w:t xml:space="preserve"> al objeto del presente caso</w:t>
      </w:r>
      <w:r w:rsidR="00013AAA">
        <w:rPr>
          <w:rStyle w:val="Refdenotaalpie"/>
          <w:rFonts w:ascii="Verdana" w:hAnsi="Verdana"/>
          <w:sz w:val="20"/>
          <w:szCs w:val="20"/>
        </w:rPr>
        <w:footnoteReference w:id="28"/>
      </w:r>
      <w:r w:rsidRPr="006161CF">
        <w:rPr>
          <w:rFonts w:ascii="Verdana" w:hAnsi="Verdana"/>
          <w:sz w:val="20"/>
          <w:szCs w:val="20"/>
        </w:rPr>
        <w:t>.</w:t>
      </w:r>
      <w:r>
        <w:rPr>
          <w:rFonts w:ascii="Verdana" w:hAnsi="Verdana"/>
          <w:sz w:val="20"/>
          <w:szCs w:val="20"/>
        </w:rPr>
        <w:t xml:space="preserve"> Asimismo, </w:t>
      </w:r>
      <w:r w:rsidR="001B6EC3">
        <w:rPr>
          <w:rFonts w:ascii="Verdana" w:hAnsi="Verdana"/>
          <w:sz w:val="20"/>
          <w:szCs w:val="20"/>
        </w:rPr>
        <w:t xml:space="preserve">el </w:t>
      </w:r>
      <w:proofErr w:type="gramStart"/>
      <w:r w:rsidR="001B6EC3">
        <w:rPr>
          <w:rFonts w:ascii="Verdana" w:hAnsi="Verdana"/>
          <w:sz w:val="20"/>
          <w:szCs w:val="20"/>
        </w:rPr>
        <w:t>Presidente</w:t>
      </w:r>
      <w:proofErr w:type="gramEnd"/>
      <w:r>
        <w:rPr>
          <w:rFonts w:ascii="Verdana" w:hAnsi="Verdana"/>
          <w:sz w:val="20"/>
          <w:szCs w:val="20"/>
        </w:rPr>
        <w:t xml:space="preserve"> declaró inadmisible la declaración jurada de la señora Raquel San Martín de Hernández en virtud de su extemporaneidad</w:t>
      </w:r>
      <w:r>
        <w:rPr>
          <w:rStyle w:val="Refdenotaalpie"/>
          <w:rFonts w:ascii="Verdana" w:hAnsi="Verdana"/>
          <w:sz w:val="20"/>
          <w:szCs w:val="20"/>
        </w:rPr>
        <w:footnoteReference w:id="29"/>
      </w:r>
      <w:r w:rsidR="00013AAA">
        <w:rPr>
          <w:rFonts w:ascii="Verdana" w:hAnsi="Verdana"/>
          <w:sz w:val="20"/>
          <w:szCs w:val="20"/>
        </w:rPr>
        <w:t>.</w:t>
      </w:r>
    </w:p>
    <w:p w14:paraId="1B8AE1A9" w14:textId="77777777" w:rsidR="00C97BC1" w:rsidRPr="006161CF" w:rsidRDefault="00C97BC1" w:rsidP="00C97BC1">
      <w:pPr>
        <w:widowControl w:val="0"/>
        <w:tabs>
          <w:tab w:val="left" w:pos="567"/>
        </w:tabs>
        <w:adjustRightInd w:val="0"/>
        <w:spacing w:after="0" w:line="240" w:lineRule="auto"/>
        <w:jc w:val="both"/>
        <w:textAlignment w:val="baseline"/>
        <w:rPr>
          <w:rFonts w:ascii="Verdana" w:hAnsi="Verdana"/>
          <w:sz w:val="20"/>
          <w:szCs w:val="20"/>
          <w:lang w:val="es-CR" w:eastAsia="es-CR"/>
        </w:rPr>
      </w:pPr>
    </w:p>
    <w:p w14:paraId="39FFC140" w14:textId="77777777" w:rsidR="008549CC" w:rsidRPr="00E25884" w:rsidRDefault="008549CC" w:rsidP="00C97BC1">
      <w:pPr>
        <w:keepNext/>
        <w:keepLines/>
        <w:tabs>
          <w:tab w:val="left" w:pos="851"/>
        </w:tabs>
        <w:spacing w:after="0" w:line="240" w:lineRule="auto"/>
        <w:jc w:val="center"/>
        <w:outlineLvl w:val="0"/>
        <w:rPr>
          <w:rFonts w:ascii="Verdana" w:eastAsia="Times New Roman" w:hAnsi="Verdana" w:cs="Verdana"/>
          <w:b/>
          <w:bCs/>
          <w:caps/>
          <w:snapToGrid w:val="0"/>
          <w:sz w:val="20"/>
          <w:szCs w:val="20"/>
          <w:lang w:val="es-ES_tradnl"/>
        </w:rPr>
      </w:pPr>
      <w:bookmarkStart w:id="41" w:name="_Toc7020780"/>
      <w:bookmarkStart w:id="42" w:name="_Toc12726719"/>
      <w:bookmarkStart w:id="43" w:name="_Toc27509162"/>
      <w:r w:rsidRPr="00E53DA0">
        <w:rPr>
          <w:rFonts w:ascii="Verdana" w:eastAsia="Times New Roman" w:hAnsi="Verdana" w:cs="Verdana"/>
          <w:b/>
          <w:bCs/>
          <w:caps/>
          <w:snapToGrid w:val="0"/>
          <w:sz w:val="20"/>
          <w:szCs w:val="20"/>
          <w:lang w:val="es-ES_tradnl"/>
        </w:rPr>
        <w:t>V</w:t>
      </w:r>
      <w:r w:rsidR="00444481" w:rsidRPr="00E53DA0">
        <w:rPr>
          <w:rFonts w:ascii="Verdana" w:eastAsia="Times New Roman" w:hAnsi="Verdana" w:cs="Verdana"/>
          <w:b/>
          <w:bCs/>
          <w:caps/>
          <w:snapToGrid w:val="0"/>
          <w:sz w:val="20"/>
          <w:szCs w:val="20"/>
          <w:lang w:val="es-ES_tradnl"/>
        </w:rPr>
        <w:t>I</w:t>
      </w:r>
      <w:r w:rsidRPr="00E53DA0">
        <w:rPr>
          <w:rFonts w:ascii="Verdana" w:eastAsia="Times New Roman" w:hAnsi="Verdana" w:cs="Verdana"/>
          <w:b/>
          <w:bCs/>
          <w:caps/>
          <w:snapToGrid w:val="0"/>
          <w:sz w:val="20"/>
          <w:szCs w:val="20"/>
          <w:lang w:val="es-ES_tradnl"/>
        </w:rPr>
        <w:br/>
        <w:t>hechos</w:t>
      </w:r>
      <w:bookmarkEnd w:id="41"/>
      <w:bookmarkEnd w:id="42"/>
      <w:bookmarkEnd w:id="43"/>
    </w:p>
    <w:p w14:paraId="23A57836" w14:textId="77777777" w:rsidR="00C97BC1" w:rsidRDefault="00C97BC1" w:rsidP="00C97BC1">
      <w:pPr>
        <w:widowControl w:val="0"/>
        <w:tabs>
          <w:tab w:val="left" w:pos="567"/>
        </w:tabs>
        <w:adjustRightInd w:val="0"/>
        <w:spacing w:after="0" w:line="240" w:lineRule="auto"/>
        <w:jc w:val="both"/>
        <w:textAlignment w:val="baseline"/>
        <w:rPr>
          <w:rFonts w:ascii="Verdana" w:hAnsi="Verdana"/>
          <w:sz w:val="20"/>
          <w:szCs w:val="20"/>
          <w:lang w:val="es-CR"/>
        </w:rPr>
      </w:pPr>
    </w:p>
    <w:p w14:paraId="1E017FCB" w14:textId="77777777" w:rsidR="005F02C0" w:rsidRPr="0005613B" w:rsidRDefault="005F02C0" w:rsidP="0005613B">
      <w:pPr>
        <w:pStyle w:val="Prrafodelista"/>
        <w:widowControl w:val="0"/>
        <w:numPr>
          <w:ilvl w:val="0"/>
          <w:numId w:val="12"/>
        </w:numPr>
        <w:tabs>
          <w:tab w:val="left" w:pos="567"/>
        </w:tabs>
        <w:adjustRightInd w:val="0"/>
        <w:spacing w:after="0" w:line="240" w:lineRule="auto"/>
        <w:ind w:left="0" w:firstLine="0"/>
        <w:jc w:val="both"/>
        <w:textAlignment w:val="baseline"/>
        <w:rPr>
          <w:rFonts w:ascii="Verdana" w:eastAsia="Verdana" w:hAnsi="Verdana"/>
          <w:bCs/>
          <w:sz w:val="20"/>
          <w:szCs w:val="20"/>
          <w:lang w:val="es-CR" w:eastAsia="x-none"/>
        </w:rPr>
      </w:pPr>
      <w:r w:rsidRPr="0005613B">
        <w:rPr>
          <w:rFonts w:ascii="Verdana" w:hAnsi="Verdana"/>
          <w:sz w:val="20"/>
          <w:szCs w:val="20"/>
          <w:lang w:val="es-CR"/>
        </w:rPr>
        <w:t>En atención a los alegatos presentados por las partes y la Comisión, se expondrán los hechos relevantes del caso en el siguiente orden: a) la detención y condena del señor Hernández, b) las condiciones de detención del señor Hernández y las denuncias sobre su condición de salud, y c) la demanda civil de daños y perjuicios.</w:t>
      </w:r>
      <w:r w:rsidR="0005613B" w:rsidRPr="0005613B">
        <w:rPr>
          <w:rFonts w:ascii="Verdana" w:hAnsi="Verdana"/>
          <w:sz w:val="20"/>
          <w:szCs w:val="20"/>
          <w:lang w:val="es-CR"/>
        </w:rPr>
        <w:t xml:space="preserve"> </w:t>
      </w:r>
      <w:r w:rsidR="0005613B" w:rsidRPr="0005613B">
        <w:rPr>
          <w:rFonts w:ascii="Verdana" w:eastAsia="Verdana" w:hAnsi="Verdana"/>
          <w:bCs/>
          <w:sz w:val="20"/>
          <w:szCs w:val="20"/>
          <w:lang w:val="es-CR" w:eastAsia="x-none"/>
        </w:rPr>
        <w:t>Al respecto, el Tribunal advierte que debido a la falta de acceso al expediente médico del señor Hernández mientras se encontraba detenido, todas las referencias relacionadas con su enfermedad y el tratamiento médico recibido tienen como base la información del expediente penal ofrecido</w:t>
      </w:r>
      <w:r w:rsidR="0005613B">
        <w:rPr>
          <w:rFonts w:ascii="Verdana" w:eastAsia="Verdana" w:hAnsi="Verdana"/>
          <w:bCs/>
          <w:sz w:val="20"/>
          <w:szCs w:val="20"/>
          <w:lang w:val="es-CR" w:eastAsia="x-none"/>
        </w:rPr>
        <w:t xml:space="preserve"> </w:t>
      </w:r>
      <w:r w:rsidR="0005613B" w:rsidRPr="0005613B">
        <w:rPr>
          <w:rFonts w:ascii="Verdana" w:eastAsia="Verdana" w:hAnsi="Verdana"/>
          <w:bCs/>
          <w:sz w:val="20"/>
          <w:szCs w:val="20"/>
          <w:lang w:val="es-CR" w:eastAsia="x-none"/>
        </w:rPr>
        <w:t>por el Estado como prueba.</w:t>
      </w:r>
    </w:p>
    <w:p w14:paraId="3A904FDC" w14:textId="77777777" w:rsidR="00C97BC1" w:rsidRPr="00E25884" w:rsidRDefault="00C97BC1" w:rsidP="00C97BC1">
      <w:pPr>
        <w:widowControl w:val="0"/>
        <w:tabs>
          <w:tab w:val="left" w:pos="567"/>
        </w:tabs>
        <w:adjustRightInd w:val="0"/>
        <w:spacing w:after="0" w:line="240" w:lineRule="auto"/>
        <w:jc w:val="both"/>
        <w:textAlignment w:val="baseline"/>
        <w:rPr>
          <w:rFonts w:ascii="Verdana" w:hAnsi="Verdana"/>
          <w:sz w:val="20"/>
          <w:szCs w:val="20"/>
          <w:lang w:val="es-CR"/>
        </w:rPr>
      </w:pPr>
    </w:p>
    <w:p w14:paraId="4D547ED7" w14:textId="77777777" w:rsidR="005F02C0" w:rsidRPr="00E25884" w:rsidRDefault="005F02C0" w:rsidP="00CB2656">
      <w:pPr>
        <w:pStyle w:val="Ttulo2"/>
        <w:keepLines w:val="0"/>
        <w:widowControl/>
        <w:numPr>
          <w:ilvl w:val="0"/>
          <w:numId w:val="17"/>
        </w:numPr>
        <w:tabs>
          <w:tab w:val="left" w:pos="851"/>
        </w:tabs>
        <w:adjustRightInd/>
        <w:textAlignment w:val="auto"/>
      </w:pPr>
      <w:bookmarkStart w:id="44" w:name="_Toc27509163"/>
      <w:r w:rsidRPr="00E25884">
        <w:t>Detención y condena de José Luis Hernández</w:t>
      </w:r>
      <w:bookmarkEnd w:id="44"/>
    </w:p>
    <w:p w14:paraId="3D92E8BB" w14:textId="77777777" w:rsidR="00C97BC1" w:rsidRPr="00C97BC1" w:rsidRDefault="00C97BC1" w:rsidP="00C97BC1">
      <w:pPr>
        <w:widowControl w:val="0"/>
        <w:tabs>
          <w:tab w:val="left" w:pos="567"/>
        </w:tabs>
        <w:adjustRightInd w:val="0"/>
        <w:spacing w:after="0" w:line="240" w:lineRule="auto"/>
        <w:jc w:val="both"/>
        <w:textAlignment w:val="baseline"/>
        <w:rPr>
          <w:rFonts w:ascii="Verdana" w:eastAsia="Cambria" w:hAnsi="Verdana" w:cs="Cambria"/>
          <w:spacing w:val="1"/>
          <w:sz w:val="20"/>
          <w:szCs w:val="20"/>
          <w:lang w:val="es-ES"/>
        </w:rPr>
      </w:pPr>
    </w:p>
    <w:p w14:paraId="47F7139E" w14:textId="77777777" w:rsidR="005F02C0" w:rsidRDefault="005F02C0"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eastAsia="Cambria" w:hAnsi="Verdana" w:cs="Cambria"/>
          <w:spacing w:val="1"/>
          <w:sz w:val="20"/>
          <w:szCs w:val="20"/>
          <w:lang w:val="es-ES"/>
        </w:rPr>
      </w:pPr>
      <w:r w:rsidRPr="00E25884">
        <w:rPr>
          <w:rFonts w:ascii="Verdana" w:eastAsia="Cambria" w:hAnsi="Verdana" w:cs="Cambria"/>
          <w:spacing w:val="1"/>
          <w:sz w:val="20"/>
          <w:szCs w:val="20"/>
          <w:lang w:val="es-ES"/>
        </w:rPr>
        <w:t>El señor José Luis Hernández fue detenido el 7 de febrero de 1989 por el delito de robo calificado en grado de tentativa</w:t>
      </w:r>
      <w:r w:rsidRPr="00E25884">
        <w:rPr>
          <w:rStyle w:val="Refdenotaalpie"/>
          <w:rFonts w:ascii="Verdana" w:eastAsia="Cambria" w:hAnsi="Verdana"/>
          <w:spacing w:val="1"/>
          <w:sz w:val="20"/>
          <w:szCs w:val="20"/>
          <w:lang w:val="es-ES"/>
        </w:rPr>
        <w:footnoteReference w:id="30"/>
      </w:r>
      <w:r w:rsidRPr="00E25884">
        <w:rPr>
          <w:rFonts w:ascii="Verdana" w:eastAsia="Cambria" w:hAnsi="Verdana" w:cs="Cambria"/>
          <w:spacing w:val="1"/>
          <w:sz w:val="20"/>
          <w:szCs w:val="20"/>
          <w:lang w:val="es-ES"/>
        </w:rPr>
        <w:t xml:space="preserve">. Con motivo de su detención se instruyó la causa penal </w:t>
      </w:r>
      <w:proofErr w:type="spellStart"/>
      <w:r w:rsidRPr="00E25884">
        <w:rPr>
          <w:rFonts w:ascii="Verdana" w:eastAsia="Cambria" w:hAnsi="Verdana" w:cs="Cambria"/>
          <w:spacing w:val="1"/>
          <w:sz w:val="20"/>
          <w:szCs w:val="20"/>
          <w:lang w:val="es-ES"/>
        </w:rPr>
        <w:t>N°</w:t>
      </w:r>
      <w:proofErr w:type="spellEnd"/>
      <w:r w:rsidRPr="00E25884">
        <w:rPr>
          <w:rFonts w:ascii="Verdana" w:eastAsia="Cambria" w:hAnsi="Verdana" w:cs="Cambria"/>
          <w:spacing w:val="1"/>
          <w:sz w:val="20"/>
          <w:szCs w:val="20"/>
          <w:lang w:val="es-ES"/>
        </w:rPr>
        <w:t xml:space="preserve"> 24.498 caratulada “Hernández José Luis [y otro], </w:t>
      </w:r>
      <w:proofErr w:type="spellStart"/>
      <w:r w:rsidRPr="00E25884">
        <w:rPr>
          <w:rFonts w:ascii="Verdana" w:eastAsia="Cambria" w:hAnsi="Verdana" w:cs="Cambria"/>
          <w:spacing w:val="1"/>
          <w:sz w:val="20"/>
          <w:szCs w:val="20"/>
          <w:lang w:val="es-ES"/>
        </w:rPr>
        <w:t>Tva</w:t>
      </w:r>
      <w:proofErr w:type="spellEnd"/>
      <w:r w:rsidRPr="00E25884">
        <w:rPr>
          <w:rFonts w:ascii="Verdana" w:eastAsia="Cambria" w:hAnsi="Verdana" w:cs="Cambria"/>
          <w:spacing w:val="1"/>
          <w:sz w:val="20"/>
          <w:szCs w:val="20"/>
          <w:lang w:val="es-ES"/>
        </w:rPr>
        <w:t xml:space="preserve">. Robo Calificado” en el Juzgado en lo Criminal </w:t>
      </w:r>
      <w:proofErr w:type="spellStart"/>
      <w:r w:rsidRPr="00E25884">
        <w:rPr>
          <w:rFonts w:ascii="Verdana" w:eastAsia="Cambria" w:hAnsi="Verdana" w:cs="Cambria"/>
          <w:spacing w:val="1"/>
          <w:sz w:val="20"/>
          <w:szCs w:val="20"/>
          <w:lang w:val="es-ES"/>
        </w:rPr>
        <w:t>N°</w:t>
      </w:r>
      <w:proofErr w:type="spellEnd"/>
      <w:r w:rsidRPr="00E25884">
        <w:rPr>
          <w:rFonts w:ascii="Verdana" w:eastAsia="Cambria" w:hAnsi="Verdana" w:cs="Cambria"/>
          <w:spacing w:val="1"/>
          <w:sz w:val="20"/>
          <w:szCs w:val="20"/>
          <w:lang w:val="es-ES"/>
        </w:rPr>
        <w:t xml:space="preserve"> 4 del Departamento Judicial Lomas de Zamora, Provincia de Buenos Aires (en adel</w:t>
      </w:r>
      <w:r w:rsidR="00DD0020">
        <w:rPr>
          <w:rFonts w:ascii="Verdana" w:eastAsia="Cambria" w:hAnsi="Verdana" w:cs="Cambria"/>
          <w:spacing w:val="1"/>
          <w:sz w:val="20"/>
          <w:szCs w:val="20"/>
          <w:lang w:val="es-ES"/>
        </w:rPr>
        <w:t>ante, “Juez de la C</w:t>
      </w:r>
      <w:r w:rsidRPr="00E25884">
        <w:rPr>
          <w:rFonts w:ascii="Verdana" w:eastAsia="Cambria" w:hAnsi="Verdana" w:cs="Cambria"/>
          <w:spacing w:val="1"/>
          <w:sz w:val="20"/>
          <w:szCs w:val="20"/>
          <w:lang w:val="es-ES"/>
        </w:rPr>
        <w:t>ausa”)</w:t>
      </w:r>
      <w:r w:rsidRPr="00E25884">
        <w:rPr>
          <w:rFonts w:ascii="Verdana" w:eastAsia="Cambria" w:hAnsi="Verdana"/>
          <w:spacing w:val="1"/>
          <w:sz w:val="20"/>
          <w:szCs w:val="20"/>
          <w:vertAlign w:val="superscript"/>
          <w:lang w:val="es-ES"/>
        </w:rPr>
        <w:footnoteReference w:id="31"/>
      </w:r>
      <w:r w:rsidR="00C97BC1">
        <w:rPr>
          <w:rFonts w:ascii="Verdana" w:eastAsia="Cambria" w:hAnsi="Verdana" w:cs="Cambria"/>
          <w:spacing w:val="1"/>
          <w:sz w:val="20"/>
          <w:szCs w:val="20"/>
          <w:lang w:val="es-ES"/>
        </w:rPr>
        <w:t>.</w:t>
      </w:r>
    </w:p>
    <w:p w14:paraId="6CB86B63" w14:textId="77777777" w:rsidR="00C97BC1" w:rsidRPr="00E25884" w:rsidRDefault="00C97BC1" w:rsidP="00C97BC1">
      <w:pPr>
        <w:widowControl w:val="0"/>
        <w:tabs>
          <w:tab w:val="left" w:pos="567"/>
        </w:tabs>
        <w:adjustRightInd w:val="0"/>
        <w:spacing w:after="0" w:line="240" w:lineRule="auto"/>
        <w:jc w:val="both"/>
        <w:textAlignment w:val="baseline"/>
        <w:rPr>
          <w:rFonts w:ascii="Verdana" w:eastAsia="Cambria" w:hAnsi="Verdana" w:cs="Cambria"/>
          <w:spacing w:val="1"/>
          <w:sz w:val="20"/>
          <w:szCs w:val="20"/>
          <w:lang w:val="es-ES"/>
        </w:rPr>
      </w:pPr>
    </w:p>
    <w:p w14:paraId="79FCB0BE" w14:textId="11C2E452" w:rsidR="005F02C0" w:rsidRDefault="005F02C0"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sz w:val="20"/>
          <w:szCs w:val="20"/>
          <w:lang w:val="es-CO" w:eastAsia="es-MX"/>
        </w:rPr>
      </w:pPr>
      <w:r w:rsidRPr="00E25884">
        <w:rPr>
          <w:rFonts w:ascii="Verdana" w:hAnsi="Verdana"/>
          <w:sz w:val="20"/>
          <w:szCs w:val="20"/>
          <w:lang w:val="es-CO" w:eastAsia="es-MX"/>
        </w:rPr>
        <w:t xml:space="preserve">El 14 de </w:t>
      </w:r>
      <w:r w:rsidR="00801D28">
        <w:rPr>
          <w:rFonts w:ascii="Verdana" w:hAnsi="Verdana"/>
          <w:sz w:val="20"/>
          <w:szCs w:val="20"/>
          <w:lang w:val="es-CO" w:eastAsia="es-MX"/>
        </w:rPr>
        <w:t>febrero de 1989, el Juez de la C</w:t>
      </w:r>
      <w:r w:rsidRPr="00E25884">
        <w:rPr>
          <w:rFonts w:ascii="Verdana" w:hAnsi="Verdana"/>
          <w:sz w:val="20"/>
          <w:szCs w:val="20"/>
          <w:lang w:val="es-CO" w:eastAsia="es-MX"/>
        </w:rPr>
        <w:t xml:space="preserve">ausa dictó el fallo de prisión preventiva respecto de la detención del señor José Luis Hernández. En dicha resolución precisó </w:t>
      </w:r>
      <w:proofErr w:type="gramStart"/>
      <w:r w:rsidRPr="00E25884">
        <w:rPr>
          <w:rFonts w:ascii="Verdana" w:hAnsi="Verdana"/>
          <w:sz w:val="20"/>
          <w:szCs w:val="20"/>
          <w:lang w:val="es-CO" w:eastAsia="es-MX"/>
        </w:rPr>
        <w:t>que</w:t>
      </w:r>
      <w:proofErr w:type="gramEnd"/>
      <w:r w:rsidRPr="00E25884">
        <w:rPr>
          <w:rFonts w:ascii="Verdana" w:hAnsi="Verdana"/>
          <w:sz w:val="20"/>
          <w:szCs w:val="20"/>
          <w:lang w:val="es-CO" w:eastAsia="es-MX"/>
        </w:rPr>
        <w:t xml:space="preserve"> con base en las constancias sumariales, </w:t>
      </w:r>
      <w:r w:rsidRPr="00E25884">
        <w:rPr>
          <w:rFonts w:ascii="Verdana" w:hAnsi="Verdana"/>
          <w:i/>
          <w:sz w:val="20"/>
          <w:szCs w:val="20"/>
          <w:lang w:val="es-CO" w:eastAsia="es-MX"/>
        </w:rPr>
        <w:t>prima facie</w:t>
      </w:r>
      <w:r w:rsidRPr="00E25884">
        <w:rPr>
          <w:rFonts w:ascii="Verdana" w:hAnsi="Verdana"/>
          <w:sz w:val="20"/>
          <w:szCs w:val="20"/>
          <w:lang w:val="es-CO" w:eastAsia="es-MX"/>
        </w:rPr>
        <w:t>, procedía a recalificar el delito a “robo agravado por el empleo de arma”, figura que se encuentra prevista y sancionada por el artículo “166 inc. 2° del Código Penal”, “con semiplena prueba de la autoría y responsabilidad penal de José Luis Hernández [y otro] en el hecho descripto”</w:t>
      </w:r>
      <w:r w:rsidRPr="00E25884">
        <w:rPr>
          <w:rStyle w:val="Refdenotaalpie"/>
          <w:rFonts w:ascii="Verdana" w:hAnsi="Verdana"/>
          <w:sz w:val="20"/>
          <w:szCs w:val="20"/>
          <w:lang w:val="es-CO" w:eastAsia="es-MX"/>
        </w:rPr>
        <w:footnoteReference w:id="32"/>
      </w:r>
      <w:r w:rsidRPr="00E25884">
        <w:rPr>
          <w:rFonts w:ascii="Verdana" w:hAnsi="Verdana"/>
          <w:sz w:val="20"/>
          <w:szCs w:val="20"/>
          <w:lang w:val="es-CO" w:eastAsia="es-MX"/>
        </w:rPr>
        <w:t>.</w:t>
      </w:r>
      <w:r w:rsidR="00307931">
        <w:rPr>
          <w:rFonts w:ascii="Verdana" w:hAnsi="Verdana"/>
          <w:sz w:val="20"/>
          <w:szCs w:val="20"/>
          <w:lang w:val="es-CO" w:eastAsia="es-MX"/>
        </w:rPr>
        <w:t xml:space="preserve"> </w:t>
      </w:r>
      <w:r w:rsidRPr="00E25884">
        <w:rPr>
          <w:rFonts w:ascii="Verdana" w:hAnsi="Verdana"/>
          <w:sz w:val="20"/>
          <w:szCs w:val="20"/>
          <w:lang w:val="es-CO" w:eastAsia="es-MX"/>
        </w:rPr>
        <w:t>En razón de ello</w:t>
      </w:r>
      <w:r w:rsidR="00DD0020">
        <w:rPr>
          <w:rFonts w:ascii="Verdana" w:hAnsi="Verdana"/>
          <w:sz w:val="20"/>
          <w:szCs w:val="20"/>
          <w:lang w:val="es-CO" w:eastAsia="es-MX"/>
        </w:rPr>
        <w:t>, el Juez de la Causa</w:t>
      </w:r>
      <w:r w:rsidRPr="00E25884">
        <w:rPr>
          <w:rFonts w:ascii="Verdana" w:hAnsi="Verdana"/>
          <w:sz w:val="20"/>
          <w:szCs w:val="20"/>
          <w:lang w:val="es-CO" w:eastAsia="es-MX"/>
        </w:rPr>
        <w:t xml:space="preserve"> resolvió convertir la detención en prisión preventiva</w:t>
      </w:r>
      <w:r w:rsidRPr="00E25884">
        <w:rPr>
          <w:rStyle w:val="Refdenotaalpie"/>
          <w:rFonts w:ascii="Verdana" w:hAnsi="Verdana"/>
          <w:sz w:val="20"/>
          <w:szCs w:val="20"/>
          <w:lang w:val="es-CO" w:eastAsia="es-MX"/>
        </w:rPr>
        <w:footnoteReference w:id="33"/>
      </w:r>
      <w:r w:rsidRPr="00E25884">
        <w:rPr>
          <w:rFonts w:ascii="Verdana" w:hAnsi="Verdana"/>
          <w:sz w:val="20"/>
          <w:szCs w:val="20"/>
          <w:lang w:val="es-CO" w:eastAsia="es-MX"/>
        </w:rPr>
        <w:t>.</w:t>
      </w:r>
    </w:p>
    <w:p w14:paraId="6E156BEC" w14:textId="77777777" w:rsidR="00C97BC1" w:rsidRPr="00E25884" w:rsidRDefault="00C97BC1" w:rsidP="00C97BC1">
      <w:pPr>
        <w:widowControl w:val="0"/>
        <w:tabs>
          <w:tab w:val="left" w:pos="567"/>
        </w:tabs>
        <w:adjustRightInd w:val="0"/>
        <w:spacing w:after="0" w:line="240" w:lineRule="auto"/>
        <w:jc w:val="both"/>
        <w:textAlignment w:val="baseline"/>
        <w:rPr>
          <w:rFonts w:ascii="Verdana" w:hAnsi="Verdana"/>
          <w:sz w:val="20"/>
          <w:szCs w:val="20"/>
          <w:lang w:val="es-CO" w:eastAsia="es-MX"/>
        </w:rPr>
      </w:pPr>
    </w:p>
    <w:p w14:paraId="46DA2329" w14:textId="6A37443F" w:rsidR="005F02C0" w:rsidRPr="00C82EC8" w:rsidRDefault="005F02C0"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sz w:val="20"/>
          <w:szCs w:val="20"/>
          <w:lang w:val="es-CO" w:eastAsia="es-MX"/>
        </w:rPr>
      </w:pPr>
      <w:r w:rsidRPr="00C82EC8">
        <w:rPr>
          <w:rFonts w:ascii="Verdana" w:hAnsi="Verdana"/>
          <w:sz w:val="20"/>
          <w:szCs w:val="20"/>
        </w:rPr>
        <w:t>El 28 de septiembre de 1990, el señor Hernández fue condenado a cinco años de prisión, accesorias legales y costas por el delito de robo agravado por su comisión con arma de fuego</w:t>
      </w:r>
      <w:r w:rsidRPr="00C82EC8">
        <w:rPr>
          <w:rStyle w:val="Refdenotaalpie"/>
          <w:rFonts w:ascii="Verdana" w:hAnsi="Verdana"/>
          <w:sz w:val="20"/>
          <w:szCs w:val="20"/>
        </w:rPr>
        <w:footnoteReference w:id="34"/>
      </w:r>
      <w:r w:rsidRPr="00C82EC8">
        <w:rPr>
          <w:rFonts w:ascii="Verdana" w:hAnsi="Verdana"/>
          <w:sz w:val="20"/>
          <w:szCs w:val="20"/>
        </w:rPr>
        <w:t>. El 21 de mayo de 1991, la Cámara de Apelaciones en lo Criminal modificó tanto la calificación legal del delito como el monto de la pena del señor Hernández a “tentativa de robo agrav</w:t>
      </w:r>
      <w:r w:rsidR="00DD0020" w:rsidRPr="00C82EC8">
        <w:rPr>
          <w:rFonts w:ascii="Verdana" w:hAnsi="Verdana"/>
          <w:sz w:val="20"/>
          <w:szCs w:val="20"/>
        </w:rPr>
        <w:t xml:space="preserve">ado por la comisión con armas” </w:t>
      </w:r>
      <w:r w:rsidRPr="00C82EC8">
        <w:rPr>
          <w:rFonts w:ascii="Verdana" w:hAnsi="Verdana"/>
          <w:sz w:val="20"/>
          <w:szCs w:val="20"/>
        </w:rPr>
        <w:t>y a dos años y ocho meses de prisión de cumplimiento efectivo, respectivamente</w:t>
      </w:r>
      <w:r w:rsidRPr="00C82EC8">
        <w:rPr>
          <w:rStyle w:val="Refdenotaalpie"/>
          <w:rFonts w:ascii="Verdana" w:hAnsi="Verdana"/>
          <w:sz w:val="20"/>
          <w:szCs w:val="20"/>
        </w:rPr>
        <w:footnoteReference w:id="35"/>
      </w:r>
      <w:r w:rsidRPr="00C82EC8">
        <w:rPr>
          <w:rFonts w:ascii="Verdana" w:hAnsi="Verdana"/>
          <w:sz w:val="20"/>
          <w:szCs w:val="20"/>
        </w:rPr>
        <w:t xml:space="preserve">. </w:t>
      </w:r>
      <w:r w:rsidRPr="00C82EC8">
        <w:rPr>
          <w:rFonts w:ascii="Verdana" w:hAnsi="Verdana"/>
          <w:sz w:val="20"/>
          <w:szCs w:val="20"/>
          <w:lang w:val="es-CO" w:eastAsia="es-MX"/>
        </w:rPr>
        <w:t>El 29 de mayo de 1991, y derivado de que el señor Hernández había observado buena conducta, se había sometido a los reglamentos carcelarios, había cumplido más de dos terceras partes de la pena de 2 años 8 meses de prisión que había impuesto y no era reincidente, se resolvió concederle la libertad condicional</w:t>
      </w:r>
      <w:r w:rsidRPr="00C82EC8">
        <w:rPr>
          <w:rStyle w:val="Refdenotaalpie"/>
          <w:rFonts w:ascii="Verdana" w:hAnsi="Verdana"/>
          <w:sz w:val="20"/>
          <w:szCs w:val="20"/>
          <w:lang w:val="es-CO" w:eastAsia="es-MX"/>
        </w:rPr>
        <w:footnoteReference w:id="36"/>
      </w:r>
      <w:r w:rsidRPr="00C82EC8">
        <w:rPr>
          <w:rFonts w:ascii="Verdana" w:hAnsi="Verdana"/>
          <w:sz w:val="20"/>
          <w:szCs w:val="20"/>
          <w:lang w:val="es-CO" w:eastAsia="es-MX"/>
        </w:rPr>
        <w:t>.</w:t>
      </w:r>
      <w:r w:rsidR="00487C80" w:rsidRPr="00C82EC8">
        <w:rPr>
          <w:rFonts w:ascii="Verdana" w:hAnsi="Verdana"/>
          <w:sz w:val="20"/>
          <w:szCs w:val="20"/>
          <w:lang w:val="es-CO" w:eastAsia="es-MX"/>
        </w:rPr>
        <w:t xml:space="preserve"> El señor Hernández permaneció privado de</w:t>
      </w:r>
      <w:r w:rsidR="00E53DA0">
        <w:rPr>
          <w:rFonts w:ascii="Verdana" w:hAnsi="Verdana"/>
          <w:sz w:val="20"/>
          <w:szCs w:val="20"/>
          <w:lang w:val="es-CO" w:eastAsia="es-MX"/>
        </w:rPr>
        <w:t xml:space="preserve"> su libertad por un periodo aproximado de dos</w:t>
      </w:r>
      <w:r w:rsidR="00487C80" w:rsidRPr="00C82EC8">
        <w:rPr>
          <w:rFonts w:ascii="Verdana" w:hAnsi="Verdana"/>
          <w:sz w:val="20"/>
          <w:szCs w:val="20"/>
          <w:lang w:val="es-CO" w:eastAsia="es-MX"/>
        </w:rPr>
        <w:t xml:space="preserve"> años y tres meses.</w:t>
      </w:r>
    </w:p>
    <w:p w14:paraId="3983C16C" w14:textId="77777777" w:rsidR="00C97BC1" w:rsidRPr="00E25884" w:rsidRDefault="00C97BC1" w:rsidP="00C97BC1">
      <w:pPr>
        <w:widowControl w:val="0"/>
        <w:tabs>
          <w:tab w:val="left" w:pos="567"/>
        </w:tabs>
        <w:adjustRightInd w:val="0"/>
        <w:spacing w:after="0" w:line="240" w:lineRule="auto"/>
        <w:jc w:val="both"/>
        <w:textAlignment w:val="baseline"/>
        <w:rPr>
          <w:rFonts w:ascii="Verdana" w:hAnsi="Verdana"/>
          <w:b/>
          <w:sz w:val="20"/>
          <w:szCs w:val="20"/>
          <w:lang w:val="es-CO" w:eastAsia="es-MX"/>
        </w:rPr>
      </w:pPr>
    </w:p>
    <w:p w14:paraId="0EA02ACC" w14:textId="77777777" w:rsidR="005F02C0" w:rsidRPr="00E25884" w:rsidRDefault="005F02C0" w:rsidP="00CB2656">
      <w:pPr>
        <w:pStyle w:val="Ttulo2"/>
        <w:keepLines w:val="0"/>
        <w:widowControl/>
        <w:numPr>
          <w:ilvl w:val="0"/>
          <w:numId w:val="17"/>
        </w:numPr>
        <w:tabs>
          <w:tab w:val="left" w:pos="851"/>
        </w:tabs>
        <w:adjustRightInd/>
        <w:textAlignment w:val="auto"/>
        <w:rPr>
          <w:lang w:val="es-CO" w:eastAsia="es-MX"/>
        </w:rPr>
      </w:pPr>
      <w:bookmarkStart w:id="45" w:name="_Toc27509164"/>
      <w:r w:rsidRPr="00E25884">
        <w:t xml:space="preserve">Condiciones de la detención de José Luis Hernández y denuncias sobre su </w:t>
      </w:r>
      <w:r w:rsidR="00DD0020">
        <w:t>estado</w:t>
      </w:r>
      <w:r w:rsidRPr="00E25884">
        <w:t xml:space="preserve"> de salud</w:t>
      </w:r>
      <w:bookmarkEnd w:id="45"/>
    </w:p>
    <w:p w14:paraId="3196906E" w14:textId="77777777" w:rsidR="00C97BC1" w:rsidRPr="00C97BC1" w:rsidRDefault="00C97BC1" w:rsidP="00C97BC1">
      <w:pPr>
        <w:widowControl w:val="0"/>
        <w:tabs>
          <w:tab w:val="left" w:pos="567"/>
        </w:tabs>
        <w:adjustRightInd w:val="0"/>
        <w:spacing w:after="0" w:line="240" w:lineRule="auto"/>
        <w:jc w:val="both"/>
        <w:textAlignment w:val="baseline"/>
        <w:rPr>
          <w:rFonts w:ascii="Verdana" w:eastAsia="Cambria" w:hAnsi="Verdana"/>
          <w:sz w:val="20"/>
          <w:szCs w:val="20"/>
          <w:lang w:val="es-ES" w:eastAsia="es-MX"/>
        </w:rPr>
      </w:pPr>
    </w:p>
    <w:p w14:paraId="782F87E7" w14:textId="77777777" w:rsidR="005F02C0" w:rsidRDefault="005F02C0"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eastAsia="Cambria" w:hAnsi="Verdana"/>
          <w:sz w:val="20"/>
          <w:szCs w:val="20"/>
          <w:lang w:val="es-ES" w:eastAsia="es-MX"/>
        </w:rPr>
      </w:pPr>
      <w:r w:rsidRPr="00E25884">
        <w:rPr>
          <w:rFonts w:ascii="Verdana" w:hAnsi="Verdana"/>
          <w:sz w:val="20"/>
          <w:szCs w:val="20"/>
          <w:lang w:val="es-ES"/>
        </w:rPr>
        <w:t xml:space="preserve">El señor </w:t>
      </w:r>
      <w:r w:rsidRPr="00E25884">
        <w:rPr>
          <w:rFonts w:ascii="Verdana" w:hAnsi="Verdana"/>
          <w:sz w:val="20"/>
          <w:szCs w:val="20"/>
          <w:lang w:val="es-CO"/>
        </w:rPr>
        <w:t xml:space="preserve">José Luis Hernández estuvo detenido del </w:t>
      </w:r>
      <w:r w:rsidRPr="00E25884">
        <w:rPr>
          <w:rFonts w:ascii="Verdana" w:eastAsia="Cambria" w:hAnsi="Verdana" w:cs="Cambria"/>
          <w:spacing w:val="1"/>
          <w:sz w:val="20"/>
          <w:szCs w:val="20"/>
          <w:lang w:val="es-ES"/>
        </w:rPr>
        <w:t>7 de febrero de 1989 al 3 de agosto de 1990</w:t>
      </w:r>
      <w:r w:rsidRPr="00E25884">
        <w:rPr>
          <w:rFonts w:ascii="Verdana" w:hAnsi="Verdana"/>
          <w:sz w:val="20"/>
          <w:szCs w:val="20"/>
          <w:lang w:val="es-CO"/>
        </w:rPr>
        <w:t xml:space="preserve"> </w:t>
      </w:r>
      <w:r w:rsidRPr="00E25884">
        <w:rPr>
          <w:rFonts w:ascii="Verdana" w:eastAsia="Cambria" w:hAnsi="Verdana" w:cs="Cambria"/>
          <w:spacing w:val="1"/>
          <w:sz w:val="20"/>
          <w:szCs w:val="20"/>
          <w:lang w:val="es-ES"/>
        </w:rPr>
        <w:t>en la Comisaría de la localidad de Monte Grande, Provincia de Buenos Aires (en adelante “Comisaría de Monte Grande”)</w:t>
      </w:r>
      <w:r w:rsidRPr="00E25884">
        <w:rPr>
          <w:rFonts w:ascii="Verdana" w:eastAsia="Cambria" w:hAnsi="Verdana"/>
          <w:spacing w:val="1"/>
          <w:sz w:val="20"/>
          <w:szCs w:val="20"/>
          <w:vertAlign w:val="superscript"/>
          <w:lang w:val="es-ES"/>
        </w:rPr>
        <w:footnoteReference w:id="37"/>
      </w:r>
      <w:r w:rsidRPr="00E25884">
        <w:rPr>
          <w:rFonts w:ascii="Verdana" w:eastAsia="Cambria" w:hAnsi="Verdana" w:cs="Cambria"/>
          <w:spacing w:val="1"/>
          <w:sz w:val="20"/>
          <w:szCs w:val="20"/>
          <w:lang w:val="es-ES"/>
        </w:rPr>
        <w:t>.</w:t>
      </w:r>
      <w:r w:rsidRPr="00E25884">
        <w:rPr>
          <w:rFonts w:ascii="Verdana" w:eastAsia="Cambria" w:hAnsi="Verdana" w:cs="Cambria"/>
          <w:b/>
          <w:spacing w:val="1"/>
          <w:sz w:val="20"/>
          <w:szCs w:val="20"/>
          <w:lang w:val="es-ES"/>
        </w:rPr>
        <w:t xml:space="preserve"> </w:t>
      </w:r>
      <w:r w:rsidRPr="00E25884">
        <w:rPr>
          <w:rFonts w:ascii="Verdana" w:eastAsia="Cambria" w:hAnsi="Verdana" w:cs="Cambria"/>
          <w:spacing w:val="1"/>
          <w:sz w:val="20"/>
          <w:szCs w:val="20"/>
          <w:lang w:val="es-ES"/>
        </w:rPr>
        <w:t>El día de su detención, y</w:t>
      </w:r>
      <w:r w:rsidRPr="00E25884">
        <w:rPr>
          <w:rFonts w:ascii="Verdana" w:eastAsia="Cambria" w:hAnsi="Verdana"/>
          <w:sz w:val="20"/>
          <w:szCs w:val="20"/>
          <w:lang w:val="es-ES" w:eastAsia="es-MX"/>
        </w:rPr>
        <w:t xml:space="preserve"> una vez trasladado a la Comisaría de Monte Grande</w:t>
      </w:r>
      <w:r w:rsidRPr="00E25884">
        <w:rPr>
          <w:rFonts w:ascii="Verdana" w:eastAsia="Cambria" w:hAnsi="Verdana" w:cs="Cambria"/>
          <w:spacing w:val="1"/>
          <w:sz w:val="20"/>
          <w:szCs w:val="20"/>
          <w:lang w:val="es-ES"/>
        </w:rPr>
        <w:t>, e</w:t>
      </w:r>
      <w:r w:rsidRPr="00E25884">
        <w:rPr>
          <w:rFonts w:ascii="Verdana" w:eastAsia="Cambria" w:hAnsi="Verdana"/>
          <w:sz w:val="20"/>
          <w:szCs w:val="20"/>
          <w:lang w:val="es-ES" w:eastAsia="es-MX"/>
        </w:rPr>
        <w:t xml:space="preserve">l señor Hernández fue sometido a un examen físico practicado por un médico en el cual se determinó que se encontraba “lúcido… y </w:t>
      </w:r>
      <w:proofErr w:type="spellStart"/>
      <w:r w:rsidRPr="00E25884">
        <w:rPr>
          <w:rFonts w:ascii="Verdana" w:eastAsia="Cambria" w:hAnsi="Verdana"/>
          <w:sz w:val="20"/>
          <w:szCs w:val="20"/>
          <w:lang w:val="es-ES" w:eastAsia="es-MX"/>
        </w:rPr>
        <w:t>auto-psíquicamente</w:t>
      </w:r>
      <w:proofErr w:type="spellEnd"/>
      <w:r w:rsidRPr="00E25884">
        <w:rPr>
          <w:rFonts w:ascii="Verdana" w:eastAsia="Cambria" w:hAnsi="Verdana"/>
          <w:sz w:val="20"/>
          <w:szCs w:val="20"/>
          <w:lang w:val="es-ES" w:eastAsia="es-MX"/>
        </w:rPr>
        <w:t xml:space="preserve"> ubicado, sin signos de intoxicación y al examen de la superficie corporal no presenta[</w:t>
      </w:r>
      <w:proofErr w:type="spellStart"/>
      <w:r w:rsidRPr="00E25884">
        <w:rPr>
          <w:rFonts w:ascii="Verdana" w:eastAsia="Cambria" w:hAnsi="Verdana"/>
          <w:sz w:val="20"/>
          <w:szCs w:val="20"/>
          <w:lang w:val="es-ES" w:eastAsia="es-MX"/>
        </w:rPr>
        <w:t>ba</w:t>
      </w:r>
      <w:proofErr w:type="spellEnd"/>
      <w:r w:rsidRPr="00E25884">
        <w:rPr>
          <w:rFonts w:ascii="Verdana" w:eastAsia="Cambria" w:hAnsi="Verdana"/>
          <w:sz w:val="20"/>
          <w:szCs w:val="20"/>
          <w:lang w:val="es-ES" w:eastAsia="es-MX"/>
        </w:rPr>
        <w:t>] lesiones traumáticas recientes”</w:t>
      </w:r>
      <w:r w:rsidRPr="00E25884">
        <w:rPr>
          <w:rFonts w:ascii="Verdana" w:eastAsia="Cambria" w:hAnsi="Verdana"/>
          <w:sz w:val="20"/>
          <w:szCs w:val="20"/>
          <w:vertAlign w:val="superscript"/>
          <w:lang w:val="es-ES" w:eastAsia="es-MX"/>
        </w:rPr>
        <w:footnoteReference w:id="38"/>
      </w:r>
      <w:r w:rsidRPr="00E25884">
        <w:rPr>
          <w:rFonts w:ascii="Verdana" w:eastAsia="Cambria" w:hAnsi="Verdana"/>
          <w:sz w:val="20"/>
          <w:szCs w:val="20"/>
          <w:lang w:val="es-ES" w:eastAsia="es-MX"/>
        </w:rPr>
        <w:t>.</w:t>
      </w:r>
    </w:p>
    <w:p w14:paraId="527D8EBF" w14:textId="77777777" w:rsidR="00C97BC1" w:rsidRPr="00E25884" w:rsidRDefault="00C97BC1" w:rsidP="00C97BC1">
      <w:pPr>
        <w:widowControl w:val="0"/>
        <w:tabs>
          <w:tab w:val="left" w:pos="567"/>
        </w:tabs>
        <w:adjustRightInd w:val="0"/>
        <w:spacing w:after="0" w:line="240" w:lineRule="auto"/>
        <w:jc w:val="both"/>
        <w:textAlignment w:val="baseline"/>
        <w:rPr>
          <w:rFonts w:ascii="Verdana" w:eastAsia="Cambria" w:hAnsi="Verdana"/>
          <w:sz w:val="20"/>
          <w:szCs w:val="20"/>
          <w:lang w:val="es-ES" w:eastAsia="es-MX"/>
        </w:rPr>
      </w:pPr>
    </w:p>
    <w:p w14:paraId="35DA0988" w14:textId="085923B6" w:rsidR="005F02C0" w:rsidRDefault="005F02C0"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eastAsia="Cambria" w:hAnsi="Verdana"/>
          <w:sz w:val="20"/>
          <w:szCs w:val="20"/>
          <w:lang w:val="es-ES" w:eastAsia="es-MX"/>
        </w:rPr>
      </w:pPr>
      <w:r w:rsidRPr="00E25884">
        <w:rPr>
          <w:rFonts w:ascii="Verdana" w:eastAsia="Cambria" w:hAnsi="Verdana"/>
          <w:sz w:val="20"/>
          <w:szCs w:val="20"/>
          <w:lang w:val="es-ES" w:eastAsia="es-MX"/>
        </w:rPr>
        <w:t xml:space="preserve">El 20 de marzo de 1989, el entonces </w:t>
      </w:r>
      <w:proofErr w:type="gramStart"/>
      <w:r w:rsidRPr="00E25884">
        <w:rPr>
          <w:rFonts w:ascii="Verdana" w:eastAsia="Cambria" w:hAnsi="Verdana"/>
          <w:sz w:val="20"/>
          <w:szCs w:val="20"/>
          <w:lang w:val="es-ES" w:eastAsia="es-MX"/>
        </w:rPr>
        <w:t>Jefe</w:t>
      </w:r>
      <w:proofErr w:type="gramEnd"/>
      <w:r w:rsidRPr="00E25884">
        <w:rPr>
          <w:rFonts w:ascii="Verdana" w:eastAsia="Cambria" w:hAnsi="Verdana"/>
          <w:sz w:val="20"/>
          <w:szCs w:val="20"/>
          <w:lang w:val="es-ES" w:eastAsia="es-MX"/>
        </w:rPr>
        <w:t xml:space="preserve"> de la Policía de la Provincia de Buenos Aires (en </w:t>
      </w:r>
      <w:r w:rsidR="00DD0020">
        <w:rPr>
          <w:rFonts w:ascii="Verdana" w:eastAsia="Cambria" w:hAnsi="Verdana"/>
          <w:sz w:val="20"/>
          <w:szCs w:val="20"/>
          <w:lang w:val="es-ES" w:eastAsia="es-MX"/>
        </w:rPr>
        <w:t xml:space="preserve">adelante “Jefe de la Policía”) </w:t>
      </w:r>
      <w:r w:rsidRPr="00E25884">
        <w:rPr>
          <w:rFonts w:ascii="Verdana" w:eastAsia="Cambria" w:hAnsi="Verdana"/>
          <w:sz w:val="20"/>
          <w:szCs w:val="20"/>
          <w:lang w:val="es-ES" w:eastAsia="es-MX"/>
        </w:rPr>
        <w:t xml:space="preserve">solicitó el traslado del señor Hernández de la Comisaría de Monte Grande a la </w:t>
      </w:r>
      <w:r w:rsidR="00DD0020">
        <w:rPr>
          <w:rFonts w:ascii="Verdana" w:eastAsia="Cambria" w:hAnsi="Verdana"/>
          <w:sz w:val="20"/>
          <w:szCs w:val="20"/>
          <w:lang w:val="es-ES" w:eastAsia="es-MX"/>
        </w:rPr>
        <w:t>U</w:t>
      </w:r>
      <w:r w:rsidRPr="00E25884">
        <w:rPr>
          <w:rFonts w:ascii="Verdana" w:eastAsia="Cambria" w:hAnsi="Verdana"/>
          <w:sz w:val="20"/>
          <w:szCs w:val="20"/>
          <w:lang w:val="es-ES" w:eastAsia="es-MX"/>
        </w:rPr>
        <w:t xml:space="preserve">nidad </w:t>
      </w:r>
      <w:r w:rsidR="00DD0020">
        <w:rPr>
          <w:rFonts w:ascii="Verdana" w:eastAsia="Cambria" w:hAnsi="Verdana"/>
          <w:sz w:val="20"/>
          <w:szCs w:val="20"/>
          <w:lang w:val="es-ES" w:eastAsia="es-MX"/>
        </w:rPr>
        <w:t>C</w:t>
      </w:r>
      <w:r w:rsidRPr="00E25884">
        <w:rPr>
          <w:rFonts w:ascii="Verdana" w:eastAsia="Cambria" w:hAnsi="Verdana"/>
          <w:sz w:val="20"/>
          <w:szCs w:val="20"/>
          <w:lang w:val="es-ES" w:eastAsia="es-MX"/>
        </w:rPr>
        <w:t>arcelaria correspondiente, fundamentando el pedido en “la gran cantidad de detenidos que se hayan alojados en esta seccional estableciéndose que existe en dicha población malestar por el estado en que se hallan, al no tener espacio físico suficiente”</w:t>
      </w:r>
      <w:r w:rsidRPr="00E25884">
        <w:rPr>
          <w:rStyle w:val="Refdenotaalpie"/>
          <w:rFonts w:ascii="Verdana" w:eastAsia="Cambria" w:hAnsi="Verdana"/>
          <w:sz w:val="20"/>
          <w:szCs w:val="20"/>
          <w:lang w:val="es-ES" w:eastAsia="es-MX"/>
        </w:rPr>
        <w:footnoteReference w:id="39"/>
      </w:r>
      <w:r w:rsidRPr="00E25884">
        <w:rPr>
          <w:rFonts w:ascii="Verdana" w:eastAsia="Cambria" w:hAnsi="Verdana"/>
          <w:sz w:val="20"/>
          <w:szCs w:val="20"/>
          <w:lang w:val="es-ES" w:eastAsia="es-MX"/>
        </w:rPr>
        <w:t xml:space="preserve">. El 29 de marzo de 1989 el </w:t>
      </w:r>
      <w:r w:rsidR="00E416C9">
        <w:rPr>
          <w:rFonts w:ascii="Verdana" w:eastAsia="Cambria" w:hAnsi="Verdana"/>
          <w:sz w:val="20"/>
          <w:szCs w:val="20"/>
          <w:lang w:val="es-ES" w:eastAsia="es-MX"/>
        </w:rPr>
        <w:t>J</w:t>
      </w:r>
      <w:r w:rsidRPr="00E25884">
        <w:rPr>
          <w:rFonts w:ascii="Verdana" w:eastAsia="Cambria" w:hAnsi="Verdana"/>
          <w:sz w:val="20"/>
          <w:szCs w:val="20"/>
          <w:lang w:val="es-ES" w:eastAsia="es-MX"/>
        </w:rPr>
        <w:t xml:space="preserve">uez de la </w:t>
      </w:r>
      <w:r w:rsidR="00E416C9">
        <w:rPr>
          <w:rFonts w:ascii="Verdana" w:eastAsia="Cambria" w:hAnsi="Verdana"/>
          <w:sz w:val="20"/>
          <w:szCs w:val="20"/>
          <w:lang w:val="es-ES" w:eastAsia="es-MX"/>
        </w:rPr>
        <w:t>C</w:t>
      </w:r>
      <w:r w:rsidRPr="00E25884">
        <w:rPr>
          <w:rFonts w:ascii="Verdana" w:eastAsia="Cambria" w:hAnsi="Verdana"/>
          <w:sz w:val="20"/>
          <w:szCs w:val="20"/>
          <w:lang w:val="es-ES" w:eastAsia="es-MX"/>
        </w:rPr>
        <w:t xml:space="preserve">ausa ordenó su traslado a la Unidad Carcelaria </w:t>
      </w:r>
      <w:proofErr w:type="spellStart"/>
      <w:r w:rsidRPr="00E25884">
        <w:rPr>
          <w:rFonts w:ascii="Verdana" w:eastAsia="Cambria" w:hAnsi="Verdana"/>
          <w:sz w:val="20"/>
          <w:szCs w:val="20"/>
          <w:lang w:val="es-ES" w:eastAsia="es-MX"/>
        </w:rPr>
        <w:t>N°</w:t>
      </w:r>
      <w:proofErr w:type="spellEnd"/>
      <w:r w:rsidRPr="00E25884">
        <w:rPr>
          <w:rFonts w:ascii="Verdana" w:eastAsia="Cambria" w:hAnsi="Verdana"/>
          <w:sz w:val="20"/>
          <w:szCs w:val="20"/>
          <w:lang w:val="es-ES" w:eastAsia="es-MX"/>
        </w:rPr>
        <w:t xml:space="preserve"> 1 del Servicio Penitenciario de la Provincia de Buenos Aires (en adelante “la Unidad Carcelaria”)</w:t>
      </w:r>
      <w:r w:rsidRPr="00E25884">
        <w:rPr>
          <w:rFonts w:ascii="Verdana" w:eastAsia="Cambria" w:hAnsi="Verdana"/>
          <w:sz w:val="20"/>
          <w:szCs w:val="20"/>
          <w:vertAlign w:val="superscript"/>
          <w:lang w:val="es-ES" w:eastAsia="es-MX"/>
        </w:rPr>
        <w:footnoteReference w:id="40"/>
      </w:r>
      <w:r w:rsidRPr="00E25884">
        <w:rPr>
          <w:rFonts w:ascii="Verdana" w:eastAsia="Cambria" w:hAnsi="Verdana"/>
          <w:sz w:val="20"/>
          <w:szCs w:val="20"/>
          <w:lang w:val="es-ES" w:eastAsia="es-MX"/>
        </w:rPr>
        <w:t xml:space="preserve">. El señor Hernández fue trasladado </w:t>
      </w:r>
      <w:r w:rsidR="00DD0020">
        <w:rPr>
          <w:rFonts w:ascii="Verdana" w:eastAsia="Cambria" w:hAnsi="Verdana"/>
          <w:sz w:val="20"/>
          <w:szCs w:val="20"/>
          <w:lang w:val="es-ES" w:eastAsia="es-MX"/>
        </w:rPr>
        <w:t xml:space="preserve">a </w:t>
      </w:r>
      <w:r w:rsidRPr="00E25884">
        <w:rPr>
          <w:rFonts w:ascii="Verdana" w:eastAsia="Cambria" w:hAnsi="Verdana"/>
          <w:sz w:val="20"/>
          <w:szCs w:val="20"/>
          <w:lang w:val="es-ES" w:eastAsia="es-MX"/>
        </w:rPr>
        <w:t>dicha Unidad Carcelaria el día 3 de agosto de 1990</w:t>
      </w:r>
      <w:r w:rsidRPr="00E25884">
        <w:rPr>
          <w:rStyle w:val="Refdenotaalpie"/>
          <w:rFonts w:ascii="Verdana" w:eastAsia="Cambria" w:hAnsi="Verdana"/>
          <w:sz w:val="20"/>
          <w:szCs w:val="20"/>
          <w:lang w:val="es-ES" w:eastAsia="es-MX"/>
        </w:rPr>
        <w:footnoteReference w:id="41"/>
      </w:r>
      <w:r w:rsidRPr="00E25884">
        <w:rPr>
          <w:rFonts w:ascii="Verdana" w:eastAsia="Cambria" w:hAnsi="Verdana"/>
          <w:sz w:val="20"/>
          <w:szCs w:val="20"/>
          <w:lang w:val="es-ES" w:eastAsia="es-MX"/>
        </w:rPr>
        <w:t>.</w:t>
      </w:r>
    </w:p>
    <w:p w14:paraId="08AC7F93" w14:textId="77777777" w:rsidR="00C97BC1" w:rsidRPr="00E25884" w:rsidRDefault="00C97BC1" w:rsidP="00C97BC1">
      <w:pPr>
        <w:widowControl w:val="0"/>
        <w:tabs>
          <w:tab w:val="left" w:pos="567"/>
        </w:tabs>
        <w:adjustRightInd w:val="0"/>
        <w:spacing w:after="0" w:line="240" w:lineRule="auto"/>
        <w:jc w:val="both"/>
        <w:textAlignment w:val="baseline"/>
        <w:rPr>
          <w:rFonts w:ascii="Verdana" w:eastAsia="Cambria" w:hAnsi="Verdana"/>
          <w:sz w:val="20"/>
          <w:szCs w:val="20"/>
          <w:lang w:val="es-ES" w:eastAsia="es-MX"/>
        </w:rPr>
      </w:pPr>
    </w:p>
    <w:p w14:paraId="5CA6E3B9" w14:textId="77777777" w:rsidR="005F02C0" w:rsidRDefault="005F02C0"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eastAsia="Cambria" w:hAnsi="Verdana"/>
          <w:sz w:val="20"/>
          <w:szCs w:val="20"/>
          <w:lang w:val="es-ES" w:eastAsia="es-MX"/>
        </w:rPr>
      </w:pPr>
      <w:r w:rsidRPr="00E25884">
        <w:rPr>
          <w:rFonts w:ascii="Verdana" w:hAnsi="Verdana"/>
          <w:sz w:val="20"/>
          <w:szCs w:val="20"/>
        </w:rPr>
        <w:t xml:space="preserve">El 6 de julio de 1989 la señora Raquel San Martín de Hernández, madre del señor Hernández, manifestó ante el Juzgado de la Causa que su hijo padecía un “estado gripal muy pronunciado y además una afección en el oído que requiere una atención médica que hasta la fecha no ha podido ser otorgada, por lo que requiere la intervención de </w:t>
      </w:r>
      <w:proofErr w:type="spellStart"/>
      <w:r w:rsidRPr="00E25884">
        <w:rPr>
          <w:rFonts w:ascii="Verdana" w:hAnsi="Verdana"/>
          <w:sz w:val="20"/>
          <w:szCs w:val="20"/>
        </w:rPr>
        <w:t>S.Sa</w:t>
      </w:r>
      <w:proofErr w:type="spellEnd"/>
      <w:r w:rsidRPr="00E25884">
        <w:rPr>
          <w:rFonts w:ascii="Verdana" w:hAnsi="Verdana"/>
          <w:sz w:val="20"/>
          <w:szCs w:val="20"/>
        </w:rPr>
        <w:t xml:space="preserve">. para que se le brinde el trato adecuado”. Además, manifestó que su hijo debía ser trasladado a una Unidad Carcelaria pues el estado en </w:t>
      </w:r>
      <w:r w:rsidRPr="00E25884">
        <w:rPr>
          <w:rFonts w:ascii="Verdana" w:hAnsi="Verdana"/>
          <w:sz w:val="20"/>
          <w:szCs w:val="20"/>
        </w:rPr>
        <w:lastRenderedPageBreak/>
        <w:t>que se hallaba “e[</w:t>
      </w:r>
      <w:proofErr w:type="spellStart"/>
      <w:r w:rsidRPr="00E25884">
        <w:rPr>
          <w:rFonts w:ascii="Verdana" w:hAnsi="Verdana"/>
          <w:sz w:val="20"/>
          <w:szCs w:val="20"/>
        </w:rPr>
        <w:t>ra</w:t>
      </w:r>
      <w:proofErr w:type="spellEnd"/>
      <w:r w:rsidRPr="00E25884">
        <w:rPr>
          <w:rFonts w:ascii="Verdana" w:hAnsi="Verdana"/>
          <w:sz w:val="20"/>
          <w:szCs w:val="20"/>
        </w:rPr>
        <w:t>] deplorable puesto que en este momento ha[</w:t>
      </w:r>
      <w:proofErr w:type="spellStart"/>
      <w:r w:rsidRPr="00E25884">
        <w:rPr>
          <w:rFonts w:ascii="Verdana" w:hAnsi="Verdana"/>
          <w:sz w:val="20"/>
          <w:szCs w:val="20"/>
        </w:rPr>
        <w:t>bía</w:t>
      </w:r>
      <w:proofErr w:type="spellEnd"/>
      <w:r w:rsidRPr="00E25884">
        <w:rPr>
          <w:rFonts w:ascii="Verdana" w:hAnsi="Verdana"/>
          <w:sz w:val="20"/>
          <w:szCs w:val="20"/>
        </w:rPr>
        <w:t>] más de 40 detenidos, lo que supera[</w:t>
      </w:r>
      <w:proofErr w:type="spellStart"/>
      <w:r w:rsidRPr="00E25884">
        <w:rPr>
          <w:rFonts w:ascii="Verdana" w:hAnsi="Verdana"/>
          <w:sz w:val="20"/>
          <w:szCs w:val="20"/>
        </w:rPr>
        <w:t>ba</w:t>
      </w:r>
      <w:proofErr w:type="spellEnd"/>
      <w:r w:rsidRPr="00E25884">
        <w:rPr>
          <w:rFonts w:ascii="Verdana" w:hAnsi="Verdana"/>
          <w:sz w:val="20"/>
          <w:szCs w:val="20"/>
        </w:rPr>
        <w:t>] la capacidad de esa dependencia”</w:t>
      </w:r>
      <w:r w:rsidRPr="00E25884">
        <w:rPr>
          <w:rFonts w:ascii="Verdana" w:hAnsi="Verdana"/>
          <w:sz w:val="20"/>
          <w:szCs w:val="20"/>
          <w:vertAlign w:val="superscript"/>
        </w:rPr>
        <w:footnoteReference w:id="42"/>
      </w:r>
      <w:r w:rsidRPr="00E25884">
        <w:rPr>
          <w:rFonts w:ascii="Verdana" w:hAnsi="Verdana"/>
          <w:sz w:val="20"/>
          <w:szCs w:val="20"/>
        </w:rPr>
        <w:t>.</w:t>
      </w:r>
      <w:r w:rsidRPr="00E25884">
        <w:rPr>
          <w:rFonts w:ascii="Verdana" w:hAnsi="Verdana"/>
          <w:b/>
          <w:sz w:val="20"/>
          <w:szCs w:val="20"/>
        </w:rPr>
        <w:t xml:space="preserve"> </w:t>
      </w:r>
      <w:r w:rsidRPr="00E25884">
        <w:rPr>
          <w:rFonts w:ascii="Verdana" w:hAnsi="Verdana"/>
          <w:sz w:val="20"/>
          <w:szCs w:val="20"/>
        </w:rPr>
        <w:t>El mismo día, el Juez de la Causa ordenó que se le realizara un reconocimiento médico y que se le “</w:t>
      </w:r>
      <w:proofErr w:type="spellStart"/>
      <w:r w:rsidRPr="00E25884">
        <w:rPr>
          <w:rFonts w:ascii="Verdana" w:hAnsi="Verdana"/>
          <w:sz w:val="20"/>
          <w:szCs w:val="20"/>
        </w:rPr>
        <w:t>brind</w:t>
      </w:r>
      <w:proofErr w:type="spellEnd"/>
      <w:r w:rsidRPr="00E25884">
        <w:rPr>
          <w:rFonts w:ascii="Verdana" w:hAnsi="Verdana"/>
          <w:sz w:val="20"/>
          <w:szCs w:val="20"/>
        </w:rPr>
        <w:t>[ara] el tratamiento adecuado” en caso de detectarse alguna enfermedad</w:t>
      </w:r>
      <w:r w:rsidRPr="00E25884">
        <w:rPr>
          <w:rFonts w:ascii="Verdana" w:hAnsi="Verdana"/>
          <w:sz w:val="20"/>
          <w:szCs w:val="20"/>
          <w:vertAlign w:val="superscript"/>
        </w:rPr>
        <w:footnoteReference w:id="43"/>
      </w:r>
      <w:r w:rsidRPr="00E25884">
        <w:rPr>
          <w:rFonts w:ascii="Verdana" w:hAnsi="Verdana"/>
          <w:sz w:val="20"/>
          <w:szCs w:val="20"/>
        </w:rPr>
        <w:t>. El señor Hernández no fue asistido médicamente</w:t>
      </w:r>
      <w:r w:rsidRPr="00E25884">
        <w:rPr>
          <w:rFonts w:ascii="Verdana" w:hAnsi="Verdana"/>
          <w:sz w:val="20"/>
          <w:szCs w:val="20"/>
          <w:vertAlign w:val="superscript"/>
        </w:rPr>
        <w:footnoteReference w:id="44"/>
      </w:r>
      <w:r w:rsidRPr="00E25884">
        <w:rPr>
          <w:rFonts w:ascii="Verdana" w:hAnsi="Verdana"/>
          <w:sz w:val="20"/>
          <w:szCs w:val="20"/>
        </w:rPr>
        <w:t xml:space="preserve">. </w:t>
      </w:r>
      <w:r w:rsidRPr="00E25884">
        <w:rPr>
          <w:rFonts w:ascii="Verdana" w:eastAsia="Cambria" w:hAnsi="Verdana"/>
          <w:sz w:val="20"/>
          <w:szCs w:val="20"/>
          <w:lang w:val="es-ES" w:eastAsia="es-MX"/>
        </w:rPr>
        <w:t>El 16 de enero de 1990</w:t>
      </w:r>
      <w:r w:rsidR="00CC4139">
        <w:rPr>
          <w:rFonts w:ascii="Verdana" w:eastAsia="Cambria" w:hAnsi="Verdana"/>
          <w:sz w:val="20"/>
          <w:szCs w:val="20"/>
          <w:lang w:val="es-ES" w:eastAsia="es-MX"/>
        </w:rPr>
        <w:t>,</w:t>
      </w:r>
      <w:r w:rsidRPr="00E25884">
        <w:rPr>
          <w:rFonts w:ascii="Verdana" w:eastAsia="Cambria" w:hAnsi="Verdana"/>
          <w:sz w:val="20"/>
          <w:szCs w:val="20"/>
          <w:lang w:val="es-ES" w:eastAsia="es-MX"/>
        </w:rPr>
        <w:t xml:space="preserve"> el </w:t>
      </w:r>
      <w:proofErr w:type="gramStart"/>
      <w:r w:rsidRPr="00E25884">
        <w:rPr>
          <w:rFonts w:ascii="Verdana" w:eastAsia="Cambria" w:hAnsi="Verdana"/>
          <w:sz w:val="20"/>
          <w:szCs w:val="20"/>
          <w:lang w:val="es-ES" w:eastAsia="es-MX"/>
        </w:rPr>
        <w:t>Jefe</w:t>
      </w:r>
      <w:proofErr w:type="gramEnd"/>
      <w:r w:rsidRPr="00E25884">
        <w:rPr>
          <w:rFonts w:ascii="Verdana" w:eastAsia="Cambria" w:hAnsi="Verdana"/>
          <w:sz w:val="20"/>
          <w:szCs w:val="20"/>
          <w:lang w:val="es-ES" w:eastAsia="es-MX"/>
        </w:rPr>
        <w:t xml:space="preserve"> de la Policía refrendó la solicitud de traslado a la Unidad Carcelaria correspondiente, como “consecuencia de la gran cantidad de detenidos alojados en esta y de carecer de espacio físico suficiente”</w:t>
      </w:r>
      <w:r w:rsidRPr="00E25884">
        <w:rPr>
          <w:rFonts w:ascii="Verdana" w:eastAsia="Cambria" w:hAnsi="Verdana"/>
          <w:sz w:val="20"/>
          <w:szCs w:val="20"/>
          <w:vertAlign w:val="superscript"/>
          <w:lang w:val="es-ES" w:eastAsia="es-MX"/>
        </w:rPr>
        <w:footnoteReference w:id="45"/>
      </w:r>
      <w:r w:rsidRPr="00E25884">
        <w:rPr>
          <w:rFonts w:ascii="Verdana" w:eastAsia="Cambria" w:hAnsi="Verdana"/>
          <w:sz w:val="20"/>
          <w:szCs w:val="20"/>
          <w:lang w:val="es-ES" w:eastAsia="es-MX"/>
        </w:rPr>
        <w:t>.</w:t>
      </w:r>
    </w:p>
    <w:p w14:paraId="097B0854" w14:textId="77777777" w:rsidR="00C97BC1" w:rsidRPr="00E25884" w:rsidRDefault="00C97BC1" w:rsidP="00C97BC1">
      <w:pPr>
        <w:widowControl w:val="0"/>
        <w:tabs>
          <w:tab w:val="left" w:pos="567"/>
        </w:tabs>
        <w:adjustRightInd w:val="0"/>
        <w:spacing w:after="0" w:line="240" w:lineRule="auto"/>
        <w:jc w:val="both"/>
        <w:textAlignment w:val="baseline"/>
        <w:rPr>
          <w:rFonts w:ascii="Verdana" w:eastAsia="Cambria" w:hAnsi="Verdana"/>
          <w:sz w:val="20"/>
          <w:szCs w:val="20"/>
          <w:lang w:val="es-ES" w:eastAsia="es-MX"/>
        </w:rPr>
      </w:pPr>
    </w:p>
    <w:p w14:paraId="4FFB2301" w14:textId="77777777" w:rsidR="005F02C0" w:rsidRDefault="005F02C0"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sz w:val="20"/>
          <w:szCs w:val="20"/>
        </w:rPr>
      </w:pPr>
      <w:r w:rsidRPr="00E25884">
        <w:rPr>
          <w:rFonts w:ascii="Verdana" w:hAnsi="Verdana"/>
          <w:sz w:val="20"/>
          <w:szCs w:val="20"/>
        </w:rPr>
        <w:t>El 1 de agosto de 1990 la señora San Martín de Hernández denunció ante el Juez de la Causa que desde hacía aproximadamente una semana el señor Hernández sufría serios dolores encefálicos. Manifestó que no había “hecho fruto alguno la atención médica que se le dispensó por medios de la Comisaría de Monte Grande donde se encuentra alojado”, por lo que solicitó le fuera brindado un examen médico y se verificaran las condiciones sanitarias de la Comisaría a fin de determinar la posible existencia de un brote de hepatitis entre los detenidos</w:t>
      </w:r>
      <w:r w:rsidRPr="00E25884">
        <w:rPr>
          <w:rFonts w:ascii="Verdana" w:hAnsi="Verdana"/>
          <w:sz w:val="20"/>
          <w:szCs w:val="20"/>
          <w:vertAlign w:val="superscript"/>
        </w:rPr>
        <w:footnoteReference w:id="46"/>
      </w:r>
      <w:r w:rsidRPr="00E25884">
        <w:rPr>
          <w:rFonts w:ascii="Verdana" w:hAnsi="Verdana"/>
          <w:sz w:val="20"/>
          <w:szCs w:val="20"/>
        </w:rPr>
        <w:t>. El mismo día, el Juez de la Causa ordenó que “se le brinde a José Luis Hernández la correspondiente atención médica y asimismo se verifique el posible brote de hepatitis entre la población carcelaria”</w:t>
      </w:r>
      <w:r w:rsidRPr="00E25884">
        <w:rPr>
          <w:rFonts w:ascii="Verdana" w:hAnsi="Verdana"/>
          <w:sz w:val="20"/>
          <w:szCs w:val="20"/>
          <w:vertAlign w:val="superscript"/>
        </w:rPr>
        <w:footnoteReference w:id="47"/>
      </w:r>
      <w:r w:rsidRPr="00E25884">
        <w:rPr>
          <w:rFonts w:ascii="Verdana" w:hAnsi="Verdana"/>
          <w:sz w:val="20"/>
          <w:szCs w:val="20"/>
        </w:rPr>
        <w:t>.</w:t>
      </w:r>
    </w:p>
    <w:p w14:paraId="707AC8CF" w14:textId="77777777" w:rsidR="00C97BC1" w:rsidRPr="00E25884" w:rsidRDefault="00C97BC1" w:rsidP="00C97BC1">
      <w:pPr>
        <w:widowControl w:val="0"/>
        <w:tabs>
          <w:tab w:val="left" w:pos="567"/>
        </w:tabs>
        <w:adjustRightInd w:val="0"/>
        <w:spacing w:after="0" w:line="240" w:lineRule="auto"/>
        <w:jc w:val="both"/>
        <w:textAlignment w:val="baseline"/>
        <w:rPr>
          <w:rFonts w:ascii="Verdana" w:hAnsi="Verdana"/>
          <w:sz w:val="20"/>
          <w:szCs w:val="20"/>
        </w:rPr>
      </w:pPr>
    </w:p>
    <w:p w14:paraId="3176992C" w14:textId="77777777" w:rsidR="005F02C0" w:rsidRPr="00C97BC1" w:rsidRDefault="005F02C0"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sz w:val="20"/>
          <w:szCs w:val="20"/>
        </w:rPr>
      </w:pPr>
      <w:r w:rsidRPr="00E25884">
        <w:rPr>
          <w:rFonts w:ascii="Verdana" w:hAnsi="Verdana"/>
          <w:sz w:val="20"/>
          <w:szCs w:val="20"/>
        </w:rPr>
        <w:t xml:space="preserve">El 2 de agosto </w:t>
      </w:r>
      <w:r w:rsidR="00342E65">
        <w:rPr>
          <w:rFonts w:ascii="Verdana" w:hAnsi="Verdana"/>
          <w:sz w:val="20"/>
          <w:szCs w:val="20"/>
        </w:rPr>
        <w:t xml:space="preserve">el </w:t>
      </w:r>
      <w:proofErr w:type="gramStart"/>
      <w:r w:rsidR="00342E65">
        <w:rPr>
          <w:rFonts w:ascii="Verdana" w:hAnsi="Verdana"/>
          <w:sz w:val="20"/>
          <w:szCs w:val="20"/>
        </w:rPr>
        <w:t>Jefe</w:t>
      </w:r>
      <w:proofErr w:type="gramEnd"/>
      <w:r w:rsidR="00342E65">
        <w:rPr>
          <w:rFonts w:ascii="Verdana" w:hAnsi="Verdana"/>
          <w:sz w:val="20"/>
          <w:szCs w:val="20"/>
        </w:rPr>
        <w:t xml:space="preserve"> de la Sección policial de la Comisaría informó vía telefónica al </w:t>
      </w:r>
      <w:r w:rsidR="003C358D">
        <w:rPr>
          <w:rFonts w:ascii="Verdana" w:hAnsi="Verdana"/>
          <w:sz w:val="20"/>
          <w:szCs w:val="20"/>
        </w:rPr>
        <w:t>Juzgado que el señor Hernández había sido atendido y se le había diagnosticado con presunt</w:t>
      </w:r>
      <w:r w:rsidR="00342E65">
        <w:rPr>
          <w:rFonts w:ascii="Verdana" w:hAnsi="Verdana"/>
          <w:sz w:val="20"/>
          <w:szCs w:val="20"/>
        </w:rPr>
        <w:t>a hepatitis</w:t>
      </w:r>
      <w:r w:rsidR="00342E65">
        <w:rPr>
          <w:rStyle w:val="Refdenotaalpie"/>
          <w:rFonts w:ascii="Verdana" w:hAnsi="Verdana"/>
          <w:sz w:val="20"/>
          <w:szCs w:val="20"/>
        </w:rPr>
        <w:footnoteReference w:id="48"/>
      </w:r>
      <w:r w:rsidR="00342E65">
        <w:rPr>
          <w:rFonts w:ascii="Verdana" w:hAnsi="Verdana"/>
          <w:sz w:val="20"/>
          <w:szCs w:val="20"/>
        </w:rPr>
        <w:t xml:space="preserve">. El mismo día </w:t>
      </w:r>
      <w:r w:rsidRPr="00E25884">
        <w:rPr>
          <w:rFonts w:ascii="Verdana" w:hAnsi="Verdana"/>
          <w:sz w:val="20"/>
          <w:szCs w:val="20"/>
        </w:rPr>
        <w:t xml:space="preserve">el Juez de la Causa ordenó el traslado inmediato del señor Hernández al Hospital del Servicio Penitenciario Provincial y, en atención a ello, el </w:t>
      </w:r>
      <w:proofErr w:type="gramStart"/>
      <w:r w:rsidRPr="00E25884">
        <w:rPr>
          <w:rFonts w:ascii="Verdana" w:hAnsi="Verdana"/>
          <w:sz w:val="20"/>
          <w:szCs w:val="20"/>
        </w:rPr>
        <w:t>Secretario</w:t>
      </w:r>
      <w:proofErr w:type="gramEnd"/>
      <w:r w:rsidRPr="00E25884">
        <w:rPr>
          <w:rFonts w:ascii="Verdana" w:hAnsi="Verdana"/>
          <w:sz w:val="20"/>
          <w:szCs w:val="20"/>
        </w:rPr>
        <w:t xml:space="preserve"> del Juzgado solicitó al Jefe de la Unidad Carcelaria “se sirva a disponer el alojamiento de[l] [señor Hernández] e inmediata internación en el Hospital de dicha Institución a los fines se le brinde la correspondiente atención médica en razón de habérsele diagnosticado en</w:t>
      </w:r>
      <w:r w:rsidR="008168F2">
        <w:rPr>
          <w:rFonts w:ascii="Verdana" w:hAnsi="Verdana"/>
          <w:sz w:val="20"/>
          <w:szCs w:val="20"/>
        </w:rPr>
        <w:t xml:space="preserve"> la fecha un cuadro de hepatitis</w:t>
      </w:r>
      <w:r w:rsidRPr="00E25884">
        <w:rPr>
          <w:rFonts w:ascii="Verdana" w:hAnsi="Verdana"/>
          <w:sz w:val="20"/>
          <w:szCs w:val="20"/>
        </w:rPr>
        <w:t xml:space="preserve"> presunta”</w:t>
      </w:r>
      <w:r w:rsidRPr="00E25884">
        <w:rPr>
          <w:rStyle w:val="Refdenotaalpie"/>
          <w:rFonts w:ascii="Verdana" w:hAnsi="Verdana"/>
          <w:sz w:val="20"/>
          <w:szCs w:val="20"/>
        </w:rPr>
        <w:footnoteReference w:id="49"/>
      </w:r>
      <w:r w:rsidRPr="00E25884">
        <w:rPr>
          <w:rFonts w:ascii="Verdana" w:hAnsi="Verdana"/>
          <w:sz w:val="20"/>
          <w:szCs w:val="20"/>
        </w:rPr>
        <w:t xml:space="preserve">. </w:t>
      </w:r>
      <w:r w:rsidRPr="00E25884">
        <w:rPr>
          <w:rFonts w:ascii="Verdana" w:eastAsia="Cambria" w:hAnsi="Verdana"/>
          <w:sz w:val="20"/>
          <w:szCs w:val="20"/>
          <w:lang w:val="es-ES" w:eastAsia="es-MX"/>
        </w:rPr>
        <w:t>El 3 de agosto de 1990 el señor Hernández fue trasladado de la Comisaría de Monte Grande a la Unidad Carcelaria</w:t>
      </w:r>
      <w:r w:rsidRPr="00E25884">
        <w:rPr>
          <w:rFonts w:ascii="Verdana" w:eastAsia="Cambria" w:hAnsi="Verdana"/>
          <w:sz w:val="20"/>
          <w:szCs w:val="20"/>
          <w:vertAlign w:val="superscript"/>
          <w:lang w:val="es-ES" w:eastAsia="es-MX"/>
        </w:rPr>
        <w:footnoteReference w:id="50"/>
      </w:r>
      <w:r w:rsidR="00C97BC1">
        <w:rPr>
          <w:rFonts w:ascii="Verdana" w:eastAsia="Cambria" w:hAnsi="Verdana"/>
          <w:sz w:val="20"/>
          <w:szCs w:val="20"/>
          <w:lang w:val="es-ES" w:eastAsia="es-MX"/>
        </w:rPr>
        <w:t>.</w:t>
      </w:r>
    </w:p>
    <w:p w14:paraId="2DDEFD16" w14:textId="77777777" w:rsidR="00C97BC1" w:rsidRPr="00E25884" w:rsidRDefault="00C97BC1" w:rsidP="00C97BC1">
      <w:pPr>
        <w:widowControl w:val="0"/>
        <w:tabs>
          <w:tab w:val="left" w:pos="567"/>
        </w:tabs>
        <w:adjustRightInd w:val="0"/>
        <w:spacing w:after="0" w:line="240" w:lineRule="auto"/>
        <w:jc w:val="both"/>
        <w:textAlignment w:val="baseline"/>
        <w:rPr>
          <w:rFonts w:ascii="Verdana" w:hAnsi="Verdana"/>
          <w:sz w:val="20"/>
          <w:szCs w:val="20"/>
        </w:rPr>
      </w:pPr>
    </w:p>
    <w:p w14:paraId="5E9FEF23" w14:textId="77777777" w:rsidR="005F02C0" w:rsidRDefault="005F02C0"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sz w:val="20"/>
          <w:szCs w:val="20"/>
        </w:rPr>
      </w:pPr>
      <w:r w:rsidRPr="00E25884">
        <w:rPr>
          <w:rFonts w:ascii="Verdana" w:hAnsi="Verdana"/>
          <w:sz w:val="20"/>
          <w:szCs w:val="20"/>
        </w:rPr>
        <w:t>El 14 de agosto de 1990, el Juez de la Causa ordenó que se brindara atención médica a</w:t>
      </w:r>
      <w:r w:rsidR="00DD0020">
        <w:rPr>
          <w:rFonts w:ascii="Verdana" w:hAnsi="Verdana"/>
          <w:sz w:val="20"/>
          <w:szCs w:val="20"/>
        </w:rPr>
        <w:t>l señor</w:t>
      </w:r>
      <w:r w:rsidRPr="00E25884">
        <w:rPr>
          <w:rFonts w:ascii="Verdana" w:hAnsi="Verdana"/>
          <w:sz w:val="20"/>
          <w:szCs w:val="20"/>
        </w:rPr>
        <w:t xml:space="preserve"> José Luis Hernández y se le informara sobre su estado de salud y el tratamiento al que fue </w:t>
      </w:r>
      <w:r w:rsidRPr="00E25884">
        <w:rPr>
          <w:rFonts w:ascii="Verdana" w:hAnsi="Verdana"/>
          <w:sz w:val="20"/>
          <w:szCs w:val="20"/>
        </w:rPr>
        <w:lastRenderedPageBreak/>
        <w:t>sometido</w:t>
      </w:r>
      <w:r w:rsidRPr="00E25884">
        <w:rPr>
          <w:rStyle w:val="Refdenotaalpie"/>
          <w:rFonts w:ascii="Verdana" w:hAnsi="Verdana"/>
          <w:sz w:val="20"/>
          <w:szCs w:val="20"/>
        </w:rPr>
        <w:footnoteReference w:id="51"/>
      </w:r>
      <w:r w:rsidRPr="00E25884">
        <w:rPr>
          <w:rFonts w:ascii="Verdana" w:hAnsi="Verdana"/>
          <w:sz w:val="20"/>
          <w:szCs w:val="20"/>
        </w:rPr>
        <w:t>. El 15 de agosto de 1990, el Prefecto de la Unidad Carcelaria informó al Juez de la Causa del traslado del señor Hernández al Hospital San Juan de Dios de la ciudad de la Plata por “presentar un cuadro de meningitis, deshidratación y mal estado general”</w:t>
      </w:r>
      <w:r w:rsidRPr="00E25884">
        <w:rPr>
          <w:rStyle w:val="Refdenotaalpie"/>
          <w:rFonts w:ascii="Verdana" w:hAnsi="Verdana"/>
          <w:sz w:val="20"/>
          <w:szCs w:val="20"/>
        </w:rPr>
        <w:footnoteReference w:id="52"/>
      </w:r>
      <w:r w:rsidR="00C97BC1">
        <w:rPr>
          <w:rFonts w:ascii="Verdana" w:hAnsi="Verdana"/>
          <w:sz w:val="20"/>
          <w:szCs w:val="20"/>
        </w:rPr>
        <w:t>.</w:t>
      </w:r>
    </w:p>
    <w:p w14:paraId="38A5E9C2" w14:textId="77777777" w:rsidR="00C97BC1" w:rsidRPr="00E25884" w:rsidRDefault="00C97BC1" w:rsidP="00C97BC1">
      <w:pPr>
        <w:widowControl w:val="0"/>
        <w:tabs>
          <w:tab w:val="left" w:pos="567"/>
        </w:tabs>
        <w:adjustRightInd w:val="0"/>
        <w:spacing w:after="0" w:line="240" w:lineRule="auto"/>
        <w:jc w:val="both"/>
        <w:textAlignment w:val="baseline"/>
        <w:rPr>
          <w:rFonts w:ascii="Verdana" w:hAnsi="Verdana"/>
          <w:sz w:val="20"/>
          <w:szCs w:val="20"/>
        </w:rPr>
      </w:pPr>
    </w:p>
    <w:p w14:paraId="50057B5C" w14:textId="48648A31" w:rsidR="005F02C0" w:rsidRDefault="005F02C0"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sz w:val="20"/>
          <w:szCs w:val="20"/>
        </w:rPr>
      </w:pPr>
      <w:r w:rsidRPr="00E25884">
        <w:rPr>
          <w:rFonts w:ascii="Verdana" w:hAnsi="Verdana"/>
          <w:sz w:val="20"/>
          <w:szCs w:val="20"/>
        </w:rPr>
        <w:t xml:space="preserve">El 29 de agosto de 1990, el Prefecto de la Unidad Carcelaria emitió </w:t>
      </w:r>
      <w:r w:rsidR="00CC4139">
        <w:rPr>
          <w:rFonts w:ascii="Verdana" w:hAnsi="Verdana"/>
          <w:sz w:val="20"/>
          <w:szCs w:val="20"/>
        </w:rPr>
        <w:t xml:space="preserve">un </w:t>
      </w:r>
      <w:r w:rsidRPr="00E25884">
        <w:rPr>
          <w:rFonts w:ascii="Verdana" w:hAnsi="Verdana"/>
          <w:sz w:val="20"/>
          <w:szCs w:val="20"/>
        </w:rPr>
        <w:t>nuevo informe dirigido al Juez de la Causa</w:t>
      </w:r>
      <w:r w:rsidR="00DD0020">
        <w:rPr>
          <w:rFonts w:ascii="Verdana" w:hAnsi="Verdana"/>
          <w:sz w:val="20"/>
          <w:szCs w:val="20"/>
        </w:rPr>
        <w:t>, mediante el cual expresó que</w:t>
      </w:r>
      <w:r w:rsidRPr="00E25884">
        <w:rPr>
          <w:rFonts w:ascii="Verdana" w:hAnsi="Verdana"/>
          <w:sz w:val="20"/>
          <w:szCs w:val="20"/>
        </w:rPr>
        <w:t xml:space="preserve"> el “día 15-08-90 el causante fue trasladado al Hospital San Juan de Dios de la Plata, por presentar un cuadro de Meningitis aguda de etiología por T.B.C.”</w:t>
      </w:r>
      <w:r w:rsidR="00801D28">
        <w:rPr>
          <w:rFonts w:ascii="Verdana" w:hAnsi="Verdana"/>
          <w:sz w:val="20"/>
          <w:szCs w:val="20"/>
        </w:rPr>
        <w:t xml:space="preserve"> (en adelante también, “meningitis T.B.C.”)</w:t>
      </w:r>
      <w:r w:rsidR="00CE6201">
        <w:rPr>
          <w:rFonts w:ascii="Verdana" w:hAnsi="Verdana"/>
          <w:sz w:val="20"/>
          <w:szCs w:val="20"/>
        </w:rPr>
        <w:t>;</w:t>
      </w:r>
      <w:r w:rsidRPr="00E25884">
        <w:rPr>
          <w:rFonts w:ascii="Verdana" w:hAnsi="Verdana"/>
          <w:sz w:val="20"/>
          <w:szCs w:val="20"/>
        </w:rPr>
        <w:t xml:space="preserve"> </w:t>
      </w:r>
      <w:r w:rsidR="00CE6201">
        <w:rPr>
          <w:rFonts w:ascii="Verdana" w:hAnsi="Verdana"/>
          <w:sz w:val="20"/>
          <w:szCs w:val="20"/>
        </w:rPr>
        <w:t>a</w:t>
      </w:r>
      <w:r w:rsidRPr="00E25884">
        <w:rPr>
          <w:rFonts w:ascii="Verdana" w:hAnsi="Verdana"/>
          <w:sz w:val="20"/>
          <w:szCs w:val="20"/>
        </w:rPr>
        <w:t>simismo, indicó que se encontraba “bajo tratamiento específico por su afección, siendo su cuadro clínico de evolución favorable”</w:t>
      </w:r>
      <w:r w:rsidRPr="00E25884">
        <w:rPr>
          <w:rFonts w:ascii="Verdana" w:hAnsi="Verdana"/>
          <w:sz w:val="20"/>
          <w:szCs w:val="20"/>
          <w:vertAlign w:val="superscript"/>
        </w:rPr>
        <w:footnoteReference w:id="53"/>
      </w:r>
      <w:r w:rsidRPr="00E25884">
        <w:rPr>
          <w:rFonts w:ascii="Verdana" w:hAnsi="Verdana"/>
          <w:sz w:val="20"/>
          <w:szCs w:val="20"/>
        </w:rPr>
        <w:t>. El mismo día, el Prefecto de la Unidad Carcelaria emitió otro informe dirigido al Juez de la Causa para informarle que el señor Hernández había sido trasladado del Hospital San Juan de Dios al Hospital Alejandro Korn de Melchor Romero, Sala Neuropsiquiátrica</w:t>
      </w:r>
      <w:r w:rsidRPr="00E25884">
        <w:rPr>
          <w:rStyle w:val="Refdenotaalpie"/>
          <w:rFonts w:ascii="Verdana" w:hAnsi="Verdana"/>
          <w:sz w:val="20"/>
          <w:szCs w:val="20"/>
        </w:rPr>
        <w:footnoteReference w:id="54"/>
      </w:r>
      <w:r w:rsidR="00C97BC1">
        <w:rPr>
          <w:rFonts w:ascii="Verdana" w:hAnsi="Verdana"/>
          <w:sz w:val="20"/>
          <w:szCs w:val="20"/>
        </w:rPr>
        <w:t>.</w:t>
      </w:r>
    </w:p>
    <w:p w14:paraId="7D5A67FD" w14:textId="77777777" w:rsidR="00C97BC1" w:rsidRPr="00E25884" w:rsidRDefault="00C97BC1" w:rsidP="00C97BC1">
      <w:pPr>
        <w:widowControl w:val="0"/>
        <w:tabs>
          <w:tab w:val="left" w:pos="567"/>
        </w:tabs>
        <w:adjustRightInd w:val="0"/>
        <w:spacing w:after="0" w:line="240" w:lineRule="auto"/>
        <w:jc w:val="both"/>
        <w:textAlignment w:val="baseline"/>
        <w:rPr>
          <w:rFonts w:ascii="Verdana" w:hAnsi="Verdana"/>
          <w:sz w:val="20"/>
          <w:szCs w:val="20"/>
        </w:rPr>
      </w:pPr>
    </w:p>
    <w:p w14:paraId="10544083" w14:textId="4D0174D9" w:rsidR="005F02C0" w:rsidRDefault="008644A7"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sz w:val="20"/>
          <w:szCs w:val="20"/>
        </w:rPr>
      </w:pPr>
      <w:r>
        <w:rPr>
          <w:rFonts w:ascii="Verdana" w:hAnsi="Verdana"/>
          <w:sz w:val="20"/>
          <w:szCs w:val="20"/>
        </w:rPr>
        <w:t>El 6</w:t>
      </w:r>
      <w:r w:rsidR="005F02C0" w:rsidRPr="00E25884">
        <w:rPr>
          <w:rFonts w:ascii="Verdana" w:hAnsi="Verdana"/>
          <w:sz w:val="20"/>
          <w:szCs w:val="20"/>
        </w:rPr>
        <w:t xml:space="preserve"> de septiembre de 1990, el Prefecto de la Unidad Carcelaria hizo saber al Juez de la Causa sobre un informe de salud de 1 de septiembre de 1990 “evacuado por el servicio Clínica Médica”</w:t>
      </w:r>
      <w:r w:rsidR="005F02C0" w:rsidRPr="00E25884">
        <w:rPr>
          <w:rStyle w:val="Refdenotaalpie"/>
          <w:rFonts w:ascii="Verdana" w:hAnsi="Verdana"/>
          <w:sz w:val="20"/>
          <w:szCs w:val="20"/>
        </w:rPr>
        <w:footnoteReference w:id="55"/>
      </w:r>
      <w:r w:rsidR="00CC4139">
        <w:rPr>
          <w:rFonts w:ascii="Verdana" w:hAnsi="Verdana"/>
          <w:sz w:val="20"/>
          <w:szCs w:val="20"/>
        </w:rPr>
        <w:t>,</w:t>
      </w:r>
      <w:r w:rsidR="005F02C0" w:rsidRPr="00E25884">
        <w:rPr>
          <w:rFonts w:ascii="Verdana" w:hAnsi="Verdana"/>
          <w:sz w:val="20"/>
          <w:szCs w:val="20"/>
        </w:rPr>
        <w:t xml:space="preserve"> donde se manifestaba que el señor Hernández “paciente internado en el Hospital de Romero, Alejandro Korn, bajo tr</w:t>
      </w:r>
      <w:r w:rsidR="00801D28">
        <w:rPr>
          <w:rFonts w:ascii="Verdana" w:hAnsi="Verdana"/>
          <w:sz w:val="20"/>
          <w:szCs w:val="20"/>
        </w:rPr>
        <w:t>atamiento por meningitis T.B.C.</w:t>
      </w:r>
      <w:r w:rsidR="007D5FD9">
        <w:rPr>
          <w:rFonts w:ascii="Verdana" w:hAnsi="Verdana"/>
          <w:sz w:val="20"/>
          <w:szCs w:val="20"/>
        </w:rPr>
        <w:t xml:space="preserve"> [</w:t>
      </w:r>
      <w:r w:rsidR="005F02C0" w:rsidRPr="00E25884">
        <w:rPr>
          <w:rFonts w:ascii="Verdana" w:hAnsi="Verdana"/>
          <w:sz w:val="20"/>
          <w:szCs w:val="20"/>
        </w:rPr>
        <w:t>…</w:t>
      </w:r>
      <w:r w:rsidR="00DA0F66">
        <w:rPr>
          <w:rFonts w:ascii="Verdana" w:hAnsi="Verdana"/>
          <w:sz w:val="20"/>
          <w:szCs w:val="20"/>
        </w:rPr>
        <w:t xml:space="preserve">] </w:t>
      </w:r>
      <w:r w:rsidR="005F02C0" w:rsidRPr="00E25884">
        <w:rPr>
          <w:rFonts w:ascii="Verdana" w:hAnsi="Verdana"/>
          <w:sz w:val="20"/>
          <w:szCs w:val="20"/>
        </w:rPr>
        <w:t>presenta un catéter de drenaje ventricular</w:t>
      </w:r>
      <w:r w:rsidR="007D5FD9">
        <w:rPr>
          <w:rFonts w:ascii="Verdana" w:hAnsi="Verdana"/>
          <w:sz w:val="20"/>
          <w:szCs w:val="20"/>
        </w:rPr>
        <w:t xml:space="preserve"> [</w:t>
      </w:r>
      <w:r w:rsidR="005F02C0" w:rsidRPr="00E25884">
        <w:rPr>
          <w:rFonts w:ascii="Verdana" w:hAnsi="Verdana"/>
          <w:sz w:val="20"/>
          <w:szCs w:val="20"/>
        </w:rPr>
        <w:t>…</w:t>
      </w:r>
      <w:r w:rsidR="007D5FD9">
        <w:rPr>
          <w:rFonts w:ascii="Verdana" w:hAnsi="Verdana"/>
          <w:sz w:val="20"/>
          <w:szCs w:val="20"/>
        </w:rPr>
        <w:t>]</w:t>
      </w:r>
      <w:r w:rsidR="005F02C0" w:rsidRPr="00E25884">
        <w:rPr>
          <w:rFonts w:ascii="Verdana" w:hAnsi="Verdana"/>
          <w:sz w:val="20"/>
          <w:szCs w:val="20"/>
        </w:rPr>
        <w:t xml:space="preserve"> se encontraba mejorando, responde a respecto a estímulos dolorosos”</w:t>
      </w:r>
      <w:r w:rsidR="005F02C0" w:rsidRPr="00E25884">
        <w:rPr>
          <w:rStyle w:val="Refdenotaalpie"/>
          <w:rFonts w:ascii="Verdana" w:hAnsi="Verdana"/>
          <w:sz w:val="20"/>
          <w:szCs w:val="20"/>
        </w:rPr>
        <w:footnoteReference w:id="56"/>
      </w:r>
      <w:r w:rsidR="005F02C0" w:rsidRPr="00E25884">
        <w:rPr>
          <w:rFonts w:ascii="Verdana" w:hAnsi="Verdana"/>
          <w:sz w:val="20"/>
          <w:szCs w:val="20"/>
        </w:rPr>
        <w:t>. El 18 de septiembre de 1990, el señor Hernández reingresó a la Unidad Carcelaria</w:t>
      </w:r>
      <w:r w:rsidR="005F02C0" w:rsidRPr="00E25884">
        <w:rPr>
          <w:rStyle w:val="Refdenotaalpie"/>
          <w:rFonts w:ascii="Verdana" w:hAnsi="Verdana"/>
          <w:sz w:val="20"/>
          <w:szCs w:val="20"/>
        </w:rPr>
        <w:footnoteReference w:id="57"/>
      </w:r>
      <w:r w:rsidR="005F02C0" w:rsidRPr="00E25884">
        <w:rPr>
          <w:rFonts w:ascii="Verdana" w:hAnsi="Verdana"/>
          <w:sz w:val="20"/>
          <w:szCs w:val="20"/>
        </w:rPr>
        <w:t>. Tras una nueva denuncia de la madre del señor Hernández, el 27 de septiembre de 1990, el Juez de la Causa ordenó la inmediata internación del señor Hernández en el Hospital San Juan de Dios, para que “sea brindada la atención médica adecuada, y determine si posee SIDA”</w:t>
      </w:r>
      <w:r w:rsidR="005F02C0" w:rsidRPr="00E25884">
        <w:rPr>
          <w:rStyle w:val="Refdenotaalpie"/>
          <w:rFonts w:ascii="Verdana" w:hAnsi="Verdana"/>
          <w:sz w:val="20"/>
          <w:szCs w:val="20"/>
        </w:rPr>
        <w:footnoteReference w:id="58"/>
      </w:r>
      <w:r w:rsidR="00C97BC1">
        <w:rPr>
          <w:rFonts w:ascii="Verdana" w:hAnsi="Verdana"/>
          <w:sz w:val="20"/>
          <w:szCs w:val="20"/>
        </w:rPr>
        <w:t>.</w:t>
      </w:r>
    </w:p>
    <w:p w14:paraId="0B3B8EC6" w14:textId="77777777" w:rsidR="00C97BC1" w:rsidRPr="00E25884" w:rsidRDefault="00C97BC1" w:rsidP="00C97BC1">
      <w:pPr>
        <w:widowControl w:val="0"/>
        <w:tabs>
          <w:tab w:val="left" w:pos="567"/>
        </w:tabs>
        <w:adjustRightInd w:val="0"/>
        <w:spacing w:after="0" w:line="240" w:lineRule="auto"/>
        <w:jc w:val="both"/>
        <w:textAlignment w:val="baseline"/>
        <w:rPr>
          <w:rFonts w:ascii="Verdana" w:hAnsi="Verdana"/>
          <w:sz w:val="20"/>
          <w:szCs w:val="20"/>
        </w:rPr>
      </w:pPr>
    </w:p>
    <w:p w14:paraId="06E109B7" w14:textId="5D30C37B" w:rsidR="005F02C0" w:rsidRDefault="005F02C0"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sz w:val="20"/>
          <w:szCs w:val="20"/>
          <w:lang w:val="es-CO"/>
        </w:rPr>
      </w:pPr>
      <w:r w:rsidRPr="00E25884">
        <w:rPr>
          <w:rFonts w:ascii="Verdana" w:hAnsi="Verdana"/>
          <w:sz w:val="20"/>
          <w:szCs w:val="20"/>
        </w:rPr>
        <w:t>El 2 de octubre de 1990</w:t>
      </w:r>
      <w:r w:rsidR="00DD0020">
        <w:rPr>
          <w:rFonts w:ascii="Verdana" w:hAnsi="Verdana"/>
          <w:sz w:val="20"/>
          <w:szCs w:val="20"/>
        </w:rPr>
        <w:t>,</w:t>
      </w:r>
      <w:r w:rsidRPr="00E25884">
        <w:rPr>
          <w:rFonts w:ascii="Verdana" w:hAnsi="Verdana"/>
          <w:sz w:val="20"/>
          <w:szCs w:val="20"/>
        </w:rPr>
        <w:t xml:space="preserve"> el Jefe de la Unidad Carcelaria informó que el señor Hernández no pudo ser recibido en el Hospital San Juan de Dios por “carecer de cama libre aquel nosocomio”</w:t>
      </w:r>
      <w:r w:rsidR="00E226C5">
        <w:rPr>
          <w:rFonts w:ascii="Verdana" w:hAnsi="Verdana"/>
          <w:sz w:val="20"/>
          <w:szCs w:val="20"/>
        </w:rPr>
        <w:t>,</w:t>
      </w:r>
      <w:r w:rsidRPr="00E25884">
        <w:rPr>
          <w:rFonts w:ascii="Verdana" w:hAnsi="Verdana"/>
          <w:sz w:val="20"/>
          <w:szCs w:val="20"/>
        </w:rPr>
        <w:t xml:space="preserve"> por lo que fue “derivado a consultorio privado”</w:t>
      </w:r>
      <w:r w:rsidR="004D3CC5">
        <w:rPr>
          <w:rFonts w:ascii="Verdana" w:hAnsi="Verdana"/>
          <w:sz w:val="20"/>
          <w:szCs w:val="20"/>
        </w:rPr>
        <w:t>; a</w:t>
      </w:r>
      <w:r w:rsidRPr="00E25884">
        <w:rPr>
          <w:rFonts w:ascii="Verdana" w:hAnsi="Verdana"/>
          <w:sz w:val="20"/>
          <w:szCs w:val="20"/>
        </w:rPr>
        <w:t xml:space="preserve">simismo, informó que no se pudo trasladar en ambulancia al señor Hernández debido a que el Servicio Penitenciario no contaba con el móvil </w:t>
      </w:r>
      <w:r w:rsidRPr="00E25884">
        <w:rPr>
          <w:rFonts w:ascii="Verdana" w:hAnsi="Verdana"/>
          <w:sz w:val="20"/>
          <w:szCs w:val="20"/>
        </w:rPr>
        <w:lastRenderedPageBreak/>
        <w:t xml:space="preserve">adecuado y no </w:t>
      </w:r>
      <w:r w:rsidR="00413C4C">
        <w:rPr>
          <w:rFonts w:ascii="Verdana" w:hAnsi="Verdana"/>
          <w:sz w:val="20"/>
          <w:szCs w:val="20"/>
        </w:rPr>
        <w:t>se podía ac</w:t>
      </w:r>
      <w:r w:rsidRPr="00E25884">
        <w:rPr>
          <w:rFonts w:ascii="Verdana" w:hAnsi="Verdana"/>
          <w:sz w:val="20"/>
          <w:szCs w:val="20"/>
        </w:rPr>
        <w:t>ceder a una ambulancia debido a que esta solo se brinda</w:t>
      </w:r>
      <w:r w:rsidR="00413C4C">
        <w:rPr>
          <w:rFonts w:ascii="Verdana" w:hAnsi="Verdana"/>
          <w:sz w:val="20"/>
          <w:szCs w:val="20"/>
        </w:rPr>
        <w:t>ba</w:t>
      </w:r>
      <w:r w:rsidRPr="00E25884">
        <w:rPr>
          <w:rFonts w:ascii="Verdana" w:hAnsi="Verdana"/>
          <w:sz w:val="20"/>
          <w:szCs w:val="20"/>
        </w:rPr>
        <w:t xml:space="preserve"> en emergencias</w:t>
      </w:r>
      <w:r w:rsidRPr="00E25884">
        <w:rPr>
          <w:rStyle w:val="Refdenotaalpie"/>
          <w:rFonts w:ascii="Verdana" w:hAnsi="Verdana"/>
          <w:sz w:val="20"/>
          <w:szCs w:val="20"/>
        </w:rPr>
        <w:footnoteReference w:id="59"/>
      </w:r>
      <w:r w:rsidRPr="00E25884">
        <w:rPr>
          <w:rFonts w:ascii="Verdana" w:hAnsi="Verdana"/>
          <w:sz w:val="20"/>
          <w:szCs w:val="20"/>
        </w:rPr>
        <w:t xml:space="preserve">. </w:t>
      </w:r>
      <w:r w:rsidRPr="00E25884">
        <w:rPr>
          <w:rFonts w:ascii="Verdana" w:hAnsi="Verdana"/>
          <w:sz w:val="20"/>
          <w:szCs w:val="20"/>
          <w:lang w:val="es-CO"/>
        </w:rPr>
        <w:t>En el parte médico generado en la Unidad Carcelaria se señaló al señor Hernández como “paciente portador de meningitis TBC con secuelas neurológicas” quien aún se encontraba “</w:t>
      </w:r>
      <w:proofErr w:type="spellStart"/>
      <w:r w:rsidRPr="00E25884">
        <w:rPr>
          <w:rFonts w:ascii="Verdana" w:hAnsi="Verdana"/>
          <w:sz w:val="20"/>
          <w:szCs w:val="20"/>
          <w:lang w:val="es-CO"/>
        </w:rPr>
        <w:t>hemodinámicamente</w:t>
      </w:r>
      <w:proofErr w:type="spellEnd"/>
      <w:r w:rsidRPr="00E25884">
        <w:rPr>
          <w:rFonts w:ascii="Verdana" w:hAnsi="Verdana"/>
          <w:sz w:val="20"/>
          <w:szCs w:val="20"/>
          <w:lang w:val="es-CO"/>
        </w:rPr>
        <w:t xml:space="preserve"> compensado, afebril, lúcido, en tratamiento específico”</w:t>
      </w:r>
      <w:r w:rsidRPr="00E25884">
        <w:rPr>
          <w:rStyle w:val="Refdenotaalpie"/>
          <w:rFonts w:ascii="Verdana" w:hAnsi="Verdana"/>
          <w:sz w:val="20"/>
          <w:szCs w:val="20"/>
          <w:lang w:val="es-CO"/>
        </w:rPr>
        <w:footnoteReference w:id="60"/>
      </w:r>
      <w:r w:rsidRPr="00E25884">
        <w:rPr>
          <w:rFonts w:ascii="Verdana" w:hAnsi="Verdana"/>
          <w:sz w:val="20"/>
          <w:szCs w:val="20"/>
          <w:lang w:val="es-CO"/>
        </w:rPr>
        <w:t>.</w:t>
      </w:r>
    </w:p>
    <w:p w14:paraId="023E6569" w14:textId="77777777" w:rsidR="00C97BC1" w:rsidRPr="00E25884" w:rsidRDefault="00C97BC1" w:rsidP="00C97BC1">
      <w:pPr>
        <w:widowControl w:val="0"/>
        <w:tabs>
          <w:tab w:val="left" w:pos="567"/>
        </w:tabs>
        <w:adjustRightInd w:val="0"/>
        <w:spacing w:after="0" w:line="240" w:lineRule="auto"/>
        <w:jc w:val="both"/>
        <w:textAlignment w:val="baseline"/>
        <w:rPr>
          <w:rFonts w:ascii="Verdana" w:hAnsi="Verdana"/>
          <w:sz w:val="20"/>
          <w:szCs w:val="20"/>
          <w:lang w:val="es-CO"/>
        </w:rPr>
      </w:pPr>
    </w:p>
    <w:p w14:paraId="2EC51BE7" w14:textId="77777777" w:rsidR="005F02C0" w:rsidRDefault="005F02C0"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sz w:val="20"/>
          <w:szCs w:val="20"/>
          <w:lang w:val="es-CO"/>
        </w:rPr>
      </w:pPr>
      <w:r w:rsidRPr="00E25884">
        <w:rPr>
          <w:rFonts w:ascii="Verdana" w:hAnsi="Verdana"/>
          <w:sz w:val="20"/>
          <w:szCs w:val="20"/>
          <w:lang w:val="es-CO"/>
        </w:rPr>
        <w:t>El 8 de octubre de 1990</w:t>
      </w:r>
      <w:r w:rsidR="00E226C5">
        <w:rPr>
          <w:rFonts w:ascii="Verdana" w:hAnsi="Verdana"/>
          <w:sz w:val="20"/>
          <w:szCs w:val="20"/>
          <w:lang w:val="es-CO"/>
        </w:rPr>
        <w:t>,</w:t>
      </w:r>
      <w:r w:rsidRPr="00E25884">
        <w:rPr>
          <w:rFonts w:ascii="Verdana" w:hAnsi="Verdana"/>
          <w:sz w:val="20"/>
          <w:szCs w:val="20"/>
          <w:lang w:val="es-CO"/>
        </w:rPr>
        <w:t xml:space="preserve"> la Jefatura de la </w:t>
      </w:r>
      <w:r w:rsidRPr="00E25884">
        <w:rPr>
          <w:rFonts w:ascii="Verdana" w:hAnsi="Verdana"/>
          <w:sz w:val="20"/>
          <w:szCs w:val="20"/>
        </w:rPr>
        <w:t>Unidad del área de Seguridad y Tratamiento de la Unidad Carcelaria de Olmos informó al Juez de la Causa respecto de la situación de salud del señor Hernández, para lo cual transcribió el contenido de un parte médico que indicaba lo siguiente</w:t>
      </w:r>
      <w:r w:rsidRPr="00E25884">
        <w:rPr>
          <w:rFonts w:ascii="Verdana" w:hAnsi="Verdana"/>
          <w:sz w:val="20"/>
          <w:szCs w:val="20"/>
          <w:lang w:val="es-CO"/>
        </w:rPr>
        <w:t>:</w:t>
      </w:r>
    </w:p>
    <w:p w14:paraId="5ACC2D95" w14:textId="77777777" w:rsidR="00C97BC1" w:rsidRPr="00E25884" w:rsidRDefault="00C97BC1" w:rsidP="00C97BC1">
      <w:pPr>
        <w:widowControl w:val="0"/>
        <w:tabs>
          <w:tab w:val="left" w:pos="567"/>
        </w:tabs>
        <w:adjustRightInd w:val="0"/>
        <w:spacing w:after="0" w:line="240" w:lineRule="auto"/>
        <w:jc w:val="both"/>
        <w:textAlignment w:val="baseline"/>
        <w:rPr>
          <w:rFonts w:ascii="Verdana" w:hAnsi="Verdana"/>
          <w:sz w:val="20"/>
          <w:szCs w:val="20"/>
          <w:lang w:val="es-CO"/>
        </w:rPr>
      </w:pPr>
    </w:p>
    <w:p w14:paraId="65FD949A" w14:textId="77777777" w:rsidR="005F02C0" w:rsidRPr="00487C80" w:rsidRDefault="005F02C0" w:rsidP="00C97BC1">
      <w:pPr>
        <w:spacing w:after="0" w:line="240" w:lineRule="auto"/>
        <w:ind w:left="567" w:right="567"/>
        <w:jc w:val="both"/>
        <w:rPr>
          <w:rFonts w:ascii="Verdana" w:hAnsi="Verdana"/>
          <w:b/>
          <w:sz w:val="18"/>
          <w:szCs w:val="18"/>
          <w:lang w:val="es-CO" w:eastAsia="es-MX"/>
        </w:rPr>
      </w:pPr>
      <w:r w:rsidRPr="00487C80">
        <w:rPr>
          <w:rFonts w:ascii="Verdana" w:hAnsi="Verdana"/>
          <w:sz w:val="18"/>
          <w:szCs w:val="18"/>
          <w:lang w:val="es-CO" w:eastAsia="es-MX"/>
        </w:rPr>
        <w:t xml:space="preserve">“Paciente desubicado en tiempo y espacio. Atención conservada, fallas amnésicas que dificultan el interrogatorio. </w:t>
      </w:r>
      <w:proofErr w:type="spellStart"/>
      <w:r w:rsidRPr="00487C80">
        <w:rPr>
          <w:rFonts w:ascii="Verdana" w:hAnsi="Verdana"/>
          <w:sz w:val="18"/>
          <w:szCs w:val="18"/>
          <w:lang w:val="es-CO" w:eastAsia="es-MX"/>
        </w:rPr>
        <w:t>Ptosis</w:t>
      </w:r>
      <w:proofErr w:type="spellEnd"/>
      <w:r w:rsidRPr="00487C80">
        <w:rPr>
          <w:rFonts w:ascii="Verdana" w:hAnsi="Verdana"/>
          <w:sz w:val="18"/>
          <w:szCs w:val="18"/>
          <w:lang w:val="es-CO" w:eastAsia="es-MX"/>
        </w:rPr>
        <w:t xml:space="preserve"> palpebral derecho con compromiso del motor ocular común derecho. Pupilas midriáticas, simétricas que responden a la luz. Disminución agudeza visual. Parresia leve de miembro superior izquierdo. El resto de la motilidad activa y fuerza muscular conservada. Disminución de la consistencia de masas musculares en miembros inferiores (adelgazamiento). Reflejos profundos presentes y simétricos. Sensibilidad profunda S/P. Marcha sosteniéndose de terceros, marcada ataxia de tronco que le prohíbe la deambulación sin sostén. Pruebas talón rodillas S/P. Pruebas índice nariz: muestra discreto temblor al finalizar el movimiento. COMENTARIO: Dado los antecedentes y el cuadro neurológico para evolución y tratamiento (ya fue evaluado por el servicio de neurocirugía quien solicitó TAC de cerebro para control cuyo trámite ya se inició)”</w:t>
      </w:r>
      <w:r w:rsidRPr="00487C80">
        <w:rPr>
          <w:rStyle w:val="Refdenotaalpie"/>
          <w:rFonts w:ascii="Verdana" w:hAnsi="Verdana"/>
          <w:sz w:val="18"/>
          <w:szCs w:val="18"/>
          <w:lang w:val="es-CO" w:eastAsia="es-MX"/>
        </w:rPr>
        <w:t xml:space="preserve"> </w:t>
      </w:r>
      <w:r w:rsidRPr="00487C80">
        <w:rPr>
          <w:rStyle w:val="Refdenotaalpie"/>
          <w:rFonts w:ascii="Verdana" w:hAnsi="Verdana"/>
          <w:sz w:val="18"/>
          <w:szCs w:val="18"/>
          <w:lang w:val="es-CO" w:eastAsia="es-MX"/>
        </w:rPr>
        <w:footnoteReference w:id="61"/>
      </w:r>
      <w:r w:rsidRPr="00487C80">
        <w:rPr>
          <w:rFonts w:ascii="Verdana" w:hAnsi="Verdana"/>
          <w:b/>
          <w:sz w:val="18"/>
          <w:szCs w:val="18"/>
          <w:lang w:val="es-CO" w:eastAsia="es-MX"/>
        </w:rPr>
        <w:t>.</w:t>
      </w:r>
    </w:p>
    <w:p w14:paraId="4C3AD23A" w14:textId="77777777" w:rsidR="00C97BC1" w:rsidRPr="00E25884" w:rsidRDefault="00C97BC1" w:rsidP="00C97BC1">
      <w:pPr>
        <w:spacing w:after="0" w:line="240" w:lineRule="auto"/>
        <w:ind w:right="567"/>
        <w:jc w:val="both"/>
        <w:rPr>
          <w:rFonts w:ascii="Verdana" w:hAnsi="Verdana"/>
          <w:sz w:val="20"/>
          <w:szCs w:val="20"/>
          <w:lang w:val="es-CO" w:eastAsia="es-MX"/>
        </w:rPr>
      </w:pPr>
    </w:p>
    <w:p w14:paraId="079FE5B2" w14:textId="2B83DA22" w:rsidR="005F02C0" w:rsidRDefault="005F02C0"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sz w:val="20"/>
          <w:szCs w:val="20"/>
          <w:lang w:val="es-CO" w:eastAsia="es-MX"/>
        </w:rPr>
      </w:pPr>
      <w:r w:rsidRPr="00E25884">
        <w:rPr>
          <w:rFonts w:ascii="Verdana" w:hAnsi="Verdana"/>
          <w:sz w:val="20"/>
          <w:szCs w:val="20"/>
          <w:lang w:val="es-CO" w:eastAsia="es-MX"/>
        </w:rPr>
        <w:t>El 17 de octubre de 1990</w:t>
      </w:r>
      <w:r w:rsidR="00E226C5">
        <w:rPr>
          <w:rFonts w:ascii="Verdana" w:hAnsi="Verdana"/>
          <w:sz w:val="20"/>
          <w:szCs w:val="20"/>
          <w:lang w:val="es-CO" w:eastAsia="es-MX"/>
        </w:rPr>
        <w:t>,</w:t>
      </w:r>
      <w:r w:rsidRPr="00E25884">
        <w:rPr>
          <w:rFonts w:ascii="Verdana" w:hAnsi="Verdana"/>
          <w:sz w:val="20"/>
          <w:szCs w:val="20"/>
          <w:lang w:val="es-CO" w:eastAsia="es-MX"/>
        </w:rPr>
        <w:t xml:space="preserve"> el Juez de la Causa negó un incidente de excarcelación presentado por el abogado del señor Hernández, basando su decisión en “la gravedad de la pena impuesta” y en que el señor Hernández se encontraba </w:t>
      </w:r>
      <w:r w:rsidR="00E226C5">
        <w:rPr>
          <w:rFonts w:ascii="Verdana" w:hAnsi="Verdana"/>
          <w:sz w:val="20"/>
          <w:szCs w:val="20"/>
          <w:lang w:val="es-CO" w:eastAsia="es-MX"/>
        </w:rPr>
        <w:t>recibiendo</w:t>
      </w:r>
      <w:r w:rsidRPr="00E25884">
        <w:rPr>
          <w:rFonts w:ascii="Verdana" w:hAnsi="Verdana"/>
          <w:sz w:val="20"/>
          <w:szCs w:val="20"/>
          <w:lang w:val="es-CO" w:eastAsia="es-MX"/>
        </w:rPr>
        <w:t xml:space="preserve"> “asistencia médica adecuada”</w:t>
      </w:r>
      <w:r w:rsidRPr="00E25884">
        <w:rPr>
          <w:rStyle w:val="Refdenotaalpie"/>
          <w:rFonts w:ascii="Verdana" w:hAnsi="Verdana"/>
          <w:sz w:val="20"/>
          <w:szCs w:val="20"/>
          <w:lang w:val="es-CO" w:eastAsia="es-MX"/>
        </w:rPr>
        <w:footnoteReference w:id="62"/>
      </w:r>
      <w:r w:rsidRPr="00E25884">
        <w:rPr>
          <w:rFonts w:ascii="Verdana" w:hAnsi="Verdana"/>
          <w:sz w:val="20"/>
          <w:szCs w:val="20"/>
          <w:lang w:val="es-CO" w:eastAsia="es-MX"/>
        </w:rPr>
        <w:t xml:space="preserve">. La defensa del señor Hernández presentó un recurso de apelación, el </w:t>
      </w:r>
      <w:r w:rsidR="00D40FF4">
        <w:rPr>
          <w:rFonts w:ascii="Verdana" w:hAnsi="Verdana"/>
          <w:sz w:val="20"/>
          <w:szCs w:val="20"/>
          <w:lang w:val="es-CO" w:eastAsia="es-MX"/>
        </w:rPr>
        <w:t xml:space="preserve">19 de octubre de 1990 </w:t>
      </w:r>
      <w:r w:rsidRPr="00E25884">
        <w:rPr>
          <w:rFonts w:ascii="Verdana" w:hAnsi="Verdana"/>
          <w:sz w:val="20"/>
          <w:szCs w:val="20"/>
          <w:lang w:val="es-CO" w:eastAsia="es-MX"/>
        </w:rPr>
        <w:t xml:space="preserve">fue desestimado y se confirmó la resolución del Juez de la Causa. Sin perjuicio de lo resuelto en el recurso de apelación, se solicitó al Juez de la Causa </w:t>
      </w:r>
      <w:proofErr w:type="gramStart"/>
      <w:r w:rsidRPr="00E25884">
        <w:rPr>
          <w:rFonts w:ascii="Verdana" w:hAnsi="Verdana"/>
          <w:sz w:val="20"/>
          <w:szCs w:val="20"/>
          <w:lang w:val="es-CO" w:eastAsia="es-MX"/>
        </w:rPr>
        <w:t>que ”arbitrar</w:t>
      </w:r>
      <w:proofErr w:type="gramEnd"/>
      <w:r w:rsidR="00E67FD9">
        <w:rPr>
          <w:rFonts w:ascii="Verdana" w:hAnsi="Verdana"/>
          <w:sz w:val="20"/>
          <w:szCs w:val="20"/>
          <w:lang w:val="es-CO" w:eastAsia="es-MX"/>
        </w:rPr>
        <w:t>[a]</w:t>
      </w:r>
      <w:r w:rsidRPr="00E25884">
        <w:rPr>
          <w:rFonts w:ascii="Verdana" w:hAnsi="Verdana"/>
          <w:sz w:val="20"/>
          <w:szCs w:val="20"/>
          <w:lang w:val="es-CO" w:eastAsia="es-MX"/>
        </w:rPr>
        <w:t xml:space="preserve"> los medios pertinentes, conforme a su “</w:t>
      </w:r>
      <w:proofErr w:type="spellStart"/>
      <w:r w:rsidRPr="00702D98">
        <w:rPr>
          <w:rFonts w:ascii="Verdana" w:hAnsi="Verdana"/>
          <w:i/>
          <w:sz w:val="20"/>
          <w:szCs w:val="20"/>
          <w:lang w:val="es-CO" w:eastAsia="es-MX"/>
        </w:rPr>
        <w:t>imperium</w:t>
      </w:r>
      <w:proofErr w:type="spellEnd"/>
      <w:r w:rsidRPr="00E25884">
        <w:rPr>
          <w:rFonts w:ascii="Verdana" w:hAnsi="Verdana"/>
          <w:sz w:val="20"/>
          <w:szCs w:val="20"/>
          <w:lang w:val="es-CO" w:eastAsia="es-MX"/>
        </w:rPr>
        <w:t>”, a fin de que se brinde al encausado la asistencia médica que requiere su estado actual de salud, disponiendo, de ser menester, su internación donde corresponda”</w:t>
      </w:r>
      <w:r w:rsidRPr="00E25884">
        <w:rPr>
          <w:rStyle w:val="Refdenotaalpie"/>
          <w:rFonts w:ascii="Verdana" w:hAnsi="Verdana"/>
          <w:sz w:val="20"/>
          <w:szCs w:val="20"/>
          <w:lang w:val="es-CO" w:eastAsia="es-MX"/>
        </w:rPr>
        <w:footnoteReference w:id="63"/>
      </w:r>
      <w:r w:rsidR="00C97BC1">
        <w:rPr>
          <w:rFonts w:ascii="Verdana" w:hAnsi="Verdana"/>
          <w:sz w:val="20"/>
          <w:szCs w:val="20"/>
          <w:lang w:val="es-CO" w:eastAsia="es-MX"/>
        </w:rPr>
        <w:t>.</w:t>
      </w:r>
    </w:p>
    <w:p w14:paraId="1C3BA35A" w14:textId="77777777" w:rsidR="00C97BC1" w:rsidRPr="00E25884" w:rsidRDefault="00C97BC1" w:rsidP="00C97BC1">
      <w:pPr>
        <w:widowControl w:val="0"/>
        <w:tabs>
          <w:tab w:val="left" w:pos="567"/>
        </w:tabs>
        <w:adjustRightInd w:val="0"/>
        <w:spacing w:after="0" w:line="240" w:lineRule="auto"/>
        <w:jc w:val="both"/>
        <w:textAlignment w:val="baseline"/>
        <w:rPr>
          <w:rFonts w:ascii="Verdana" w:hAnsi="Verdana"/>
          <w:sz w:val="20"/>
          <w:szCs w:val="20"/>
          <w:lang w:val="es-CO" w:eastAsia="es-MX"/>
        </w:rPr>
      </w:pPr>
    </w:p>
    <w:p w14:paraId="36F66453" w14:textId="77777777" w:rsidR="005F02C0" w:rsidRDefault="005F02C0"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sz w:val="20"/>
          <w:szCs w:val="20"/>
          <w:lang w:val="es-CO" w:eastAsia="es-MX"/>
        </w:rPr>
      </w:pPr>
      <w:r w:rsidRPr="00E25884">
        <w:rPr>
          <w:rFonts w:ascii="Verdana" w:hAnsi="Verdana"/>
          <w:sz w:val="20"/>
          <w:szCs w:val="20"/>
          <w:lang w:val="es-CO" w:eastAsia="es-MX"/>
        </w:rPr>
        <w:t xml:space="preserve">El 22 de octubre de 1990 la defensa del señor Hernández presentó un </w:t>
      </w:r>
      <w:r w:rsidRPr="00E25884">
        <w:rPr>
          <w:rFonts w:ascii="Verdana" w:hAnsi="Verdana"/>
          <w:i/>
          <w:sz w:val="20"/>
          <w:szCs w:val="20"/>
          <w:lang w:val="es-CO" w:eastAsia="es-MX"/>
        </w:rPr>
        <w:t>Habeas Corpus</w:t>
      </w:r>
      <w:r w:rsidRPr="00E25884">
        <w:rPr>
          <w:rFonts w:ascii="Verdana" w:hAnsi="Verdana"/>
          <w:sz w:val="20"/>
          <w:szCs w:val="20"/>
          <w:lang w:val="es-CO" w:eastAsia="es-MX"/>
        </w:rPr>
        <w:t xml:space="preserve"> pero fue rechazado toda vez que “la cuestión traída […] no se encuentra dentro de las provisiones del artículo 403 inc.12° del Código de Procedimiento </w:t>
      </w:r>
      <w:proofErr w:type="gramStart"/>
      <w:r w:rsidRPr="00E25884">
        <w:rPr>
          <w:rFonts w:ascii="Verdana" w:hAnsi="Verdana"/>
          <w:sz w:val="20"/>
          <w:szCs w:val="20"/>
          <w:lang w:val="es-CO" w:eastAsia="es-MX"/>
        </w:rPr>
        <w:t>Penal.-</w:t>
      </w:r>
      <w:proofErr w:type="gramEnd"/>
      <w:r w:rsidRPr="00E25884">
        <w:rPr>
          <w:rFonts w:ascii="Verdana" w:hAnsi="Verdana"/>
          <w:sz w:val="20"/>
          <w:szCs w:val="20"/>
          <w:lang w:val="es-CO" w:eastAsia="es-MX"/>
        </w:rPr>
        <w:t xml:space="preserve"> por lo que debe ser rechazada la acción intentada”</w:t>
      </w:r>
      <w:r w:rsidRPr="00E25884">
        <w:rPr>
          <w:rStyle w:val="Refdenotaalpie"/>
          <w:rFonts w:ascii="Verdana" w:hAnsi="Verdana"/>
          <w:sz w:val="20"/>
          <w:szCs w:val="20"/>
          <w:lang w:val="es-CO" w:eastAsia="es-MX"/>
        </w:rPr>
        <w:footnoteReference w:id="64"/>
      </w:r>
      <w:r w:rsidRPr="00E25884">
        <w:rPr>
          <w:rFonts w:ascii="Verdana" w:hAnsi="Verdana"/>
          <w:sz w:val="20"/>
          <w:szCs w:val="20"/>
          <w:lang w:val="es-CO" w:eastAsia="es-MX"/>
        </w:rPr>
        <w:t>. El 23 de octubre de 1990 la madre del señor Hernández dirigió una carta al Juez de la Causa en la que expresó que su hijo “se encuentra internado en el hospital de dicha unidad afectado de una enfermedad infecciosa que ha dejado a mi hijo prácticamente irrecuperable”, por lo que solicitó “que le otorgue una excarcelación”</w:t>
      </w:r>
      <w:r w:rsidRPr="00E25884">
        <w:rPr>
          <w:rStyle w:val="Refdenotaalpie"/>
          <w:rFonts w:ascii="Verdana" w:hAnsi="Verdana"/>
          <w:sz w:val="20"/>
          <w:szCs w:val="20"/>
          <w:lang w:val="es-CO" w:eastAsia="es-MX"/>
        </w:rPr>
        <w:footnoteReference w:id="65"/>
      </w:r>
      <w:r w:rsidRPr="00E25884">
        <w:rPr>
          <w:rFonts w:ascii="Verdana" w:hAnsi="Verdana"/>
          <w:sz w:val="20"/>
          <w:szCs w:val="20"/>
          <w:lang w:val="es-CO" w:eastAsia="es-MX"/>
        </w:rPr>
        <w:t xml:space="preserve">. </w:t>
      </w:r>
    </w:p>
    <w:p w14:paraId="25739993" w14:textId="77777777" w:rsidR="00C97BC1" w:rsidRPr="00E25884" w:rsidRDefault="00C97BC1" w:rsidP="00C97BC1">
      <w:pPr>
        <w:widowControl w:val="0"/>
        <w:tabs>
          <w:tab w:val="left" w:pos="567"/>
        </w:tabs>
        <w:adjustRightInd w:val="0"/>
        <w:spacing w:after="0" w:line="240" w:lineRule="auto"/>
        <w:jc w:val="both"/>
        <w:textAlignment w:val="baseline"/>
        <w:rPr>
          <w:rFonts w:ascii="Verdana" w:hAnsi="Verdana"/>
          <w:sz w:val="20"/>
          <w:szCs w:val="20"/>
          <w:lang w:val="es-CO" w:eastAsia="es-MX"/>
        </w:rPr>
      </w:pPr>
    </w:p>
    <w:p w14:paraId="5ED75293" w14:textId="77777777" w:rsidR="005F02C0" w:rsidRDefault="005F02C0"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sz w:val="20"/>
          <w:szCs w:val="20"/>
          <w:lang w:val="es-CO" w:eastAsia="es-MX"/>
        </w:rPr>
      </w:pPr>
      <w:r w:rsidRPr="00E25884">
        <w:rPr>
          <w:rFonts w:ascii="Verdana" w:hAnsi="Verdana"/>
          <w:sz w:val="20"/>
          <w:szCs w:val="20"/>
          <w:lang w:val="es-CO" w:eastAsia="es-MX"/>
        </w:rPr>
        <w:t>El 24 de octubre de 1990, el Prefecto Mayor de la Jefatura de Seguridad y Tratamiento</w:t>
      </w:r>
      <w:r w:rsidRPr="00E25884">
        <w:rPr>
          <w:rFonts w:ascii="Verdana" w:hAnsi="Verdana"/>
          <w:sz w:val="20"/>
          <w:szCs w:val="20"/>
        </w:rPr>
        <w:t xml:space="preserve"> de la Unidad </w:t>
      </w:r>
      <w:r w:rsidRPr="00E25884">
        <w:rPr>
          <w:rFonts w:ascii="Verdana" w:hAnsi="Verdana"/>
          <w:sz w:val="20"/>
          <w:szCs w:val="20"/>
          <w:lang w:val="es-CO" w:eastAsia="es-MX"/>
        </w:rPr>
        <w:t>Carcelaria</w:t>
      </w:r>
      <w:r w:rsidRPr="00E25884">
        <w:rPr>
          <w:rFonts w:ascii="Verdana" w:hAnsi="Verdana"/>
          <w:sz w:val="20"/>
          <w:szCs w:val="20"/>
        </w:rPr>
        <w:t xml:space="preserve"> </w:t>
      </w:r>
      <w:r w:rsidRPr="00E25884">
        <w:rPr>
          <w:rFonts w:ascii="Verdana" w:hAnsi="Verdana"/>
          <w:sz w:val="20"/>
          <w:szCs w:val="20"/>
          <w:lang w:val="es-CO" w:eastAsia="es-MX"/>
        </w:rPr>
        <w:t xml:space="preserve">informó al Juez de la Causa que se intentó trasladar al señor Hernández al Hospital San Juan de Dios de la ciudad de La Plata, tal como fuera ordenado, pero </w:t>
      </w:r>
      <w:r w:rsidR="00CC4139">
        <w:rPr>
          <w:rFonts w:ascii="Verdana" w:hAnsi="Verdana"/>
          <w:sz w:val="20"/>
          <w:szCs w:val="20"/>
          <w:lang w:val="es-CO" w:eastAsia="es-MX"/>
        </w:rPr>
        <w:t xml:space="preserve">ello </w:t>
      </w:r>
      <w:r w:rsidRPr="00E25884">
        <w:rPr>
          <w:rFonts w:ascii="Verdana" w:hAnsi="Verdana"/>
          <w:sz w:val="20"/>
          <w:szCs w:val="20"/>
          <w:lang w:val="es-CO" w:eastAsia="es-MX"/>
        </w:rPr>
        <w:t>no pudo cumplirse en razón de la falta de camas libres en el pabellón solicitado</w:t>
      </w:r>
      <w:r w:rsidRPr="00E25884">
        <w:rPr>
          <w:rStyle w:val="Refdenotaalpie"/>
          <w:rFonts w:ascii="Verdana" w:hAnsi="Verdana"/>
          <w:sz w:val="20"/>
          <w:szCs w:val="20"/>
          <w:lang w:val="es-CO" w:eastAsia="es-MX"/>
        </w:rPr>
        <w:footnoteReference w:id="66"/>
      </w:r>
      <w:r w:rsidR="00C97BC1">
        <w:rPr>
          <w:rFonts w:ascii="Verdana" w:hAnsi="Verdana"/>
          <w:sz w:val="20"/>
          <w:szCs w:val="20"/>
          <w:lang w:val="es-CO" w:eastAsia="es-MX"/>
        </w:rPr>
        <w:t>.</w:t>
      </w:r>
    </w:p>
    <w:p w14:paraId="0587B7C2" w14:textId="77777777" w:rsidR="00C97BC1" w:rsidRPr="00E25884" w:rsidRDefault="00C97BC1" w:rsidP="00C97BC1">
      <w:pPr>
        <w:widowControl w:val="0"/>
        <w:tabs>
          <w:tab w:val="left" w:pos="567"/>
        </w:tabs>
        <w:adjustRightInd w:val="0"/>
        <w:spacing w:after="0" w:line="240" w:lineRule="auto"/>
        <w:jc w:val="both"/>
        <w:textAlignment w:val="baseline"/>
        <w:rPr>
          <w:rFonts w:ascii="Verdana" w:hAnsi="Verdana"/>
          <w:sz w:val="20"/>
          <w:szCs w:val="20"/>
          <w:lang w:val="es-CO" w:eastAsia="es-MX"/>
        </w:rPr>
      </w:pPr>
    </w:p>
    <w:p w14:paraId="42A14599" w14:textId="07507E72" w:rsidR="005F02C0" w:rsidRDefault="00005E5E"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sz w:val="20"/>
          <w:szCs w:val="20"/>
          <w:lang w:val="es-CO" w:eastAsia="es-MX"/>
        </w:rPr>
      </w:pPr>
      <w:r>
        <w:rPr>
          <w:rFonts w:ascii="Verdana" w:hAnsi="Verdana"/>
          <w:sz w:val="20"/>
          <w:szCs w:val="20"/>
          <w:lang w:val="es-CO" w:eastAsia="es-MX"/>
        </w:rPr>
        <w:t>El 31</w:t>
      </w:r>
      <w:r w:rsidR="005F02C0" w:rsidRPr="00E25884">
        <w:rPr>
          <w:rFonts w:ascii="Verdana" w:hAnsi="Verdana"/>
          <w:sz w:val="20"/>
          <w:szCs w:val="20"/>
          <w:lang w:val="es-CO" w:eastAsia="es-MX"/>
        </w:rPr>
        <w:t xml:space="preserve"> de octubre de 1990, se emitió un informe de un médico forense de la oficina de asesoría pericial departamental en el que se hizo saber al Juez de la Causa que el señor Hernández padecía de una “patología infecciosa con afectación neurológica [por lo que] resulta que el mismo requiere de internación en un servicio de neurología donde se proceda a su correcto estudio y tratamiento”</w:t>
      </w:r>
      <w:r w:rsidR="005F02C0" w:rsidRPr="00E25884">
        <w:rPr>
          <w:rStyle w:val="Refdenotaalpie"/>
          <w:rFonts w:ascii="Verdana" w:hAnsi="Verdana"/>
          <w:sz w:val="20"/>
          <w:szCs w:val="20"/>
          <w:lang w:val="es-CO" w:eastAsia="es-MX"/>
        </w:rPr>
        <w:footnoteReference w:id="67"/>
      </w:r>
      <w:r w:rsidR="005F02C0" w:rsidRPr="00E25884">
        <w:rPr>
          <w:rFonts w:ascii="Verdana" w:hAnsi="Verdana"/>
          <w:sz w:val="20"/>
          <w:szCs w:val="20"/>
          <w:lang w:val="es-CO" w:eastAsia="es-MX"/>
        </w:rPr>
        <w:t xml:space="preserve">. El médico consideró que “dada la falta de camas en el Hospital San Juan de la Plata, centro capacitado para ello, se </w:t>
      </w:r>
      <w:proofErr w:type="spellStart"/>
      <w:r w:rsidR="005F02C0" w:rsidRPr="00E25884">
        <w:rPr>
          <w:rFonts w:ascii="Verdana" w:hAnsi="Verdana"/>
          <w:sz w:val="20"/>
          <w:szCs w:val="20"/>
          <w:lang w:val="es-CO" w:eastAsia="es-MX"/>
        </w:rPr>
        <w:t>solicit</w:t>
      </w:r>
      <w:proofErr w:type="spellEnd"/>
      <w:r w:rsidR="005F02C0" w:rsidRPr="00E25884">
        <w:rPr>
          <w:rFonts w:ascii="Verdana" w:hAnsi="Verdana"/>
          <w:sz w:val="20"/>
          <w:szCs w:val="20"/>
          <w:lang w:val="es-CO" w:eastAsia="es-MX"/>
        </w:rPr>
        <w:t>[ara] dicha internación al Policlínico San Martin de la Plata o al Hospital Alejandro Korn de Melchor Romero”</w:t>
      </w:r>
      <w:r w:rsidR="005F02C0" w:rsidRPr="00E25884">
        <w:rPr>
          <w:rStyle w:val="Refdenotaalpie"/>
          <w:rFonts w:ascii="Verdana" w:hAnsi="Verdana"/>
          <w:sz w:val="20"/>
          <w:szCs w:val="20"/>
          <w:lang w:val="es-CO" w:eastAsia="es-MX"/>
        </w:rPr>
        <w:footnoteReference w:id="68"/>
      </w:r>
      <w:r w:rsidR="005F02C0" w:rsidRPr="00E25884">
        <w:rPr>
          <w:rFonts w:ascii="Verdana" w:hAnsi="Verdana"/>
          <w:sz w:val="20"/>
          <w:szCs w:val="20"/>
          <w:lang w:val="es-CO" w:eastAsia="es-MX"/>
        </w:rPr>
        <w:t>.</w:t>
      </w:r>
    </w:p>
    <w:p w14:paraId="3FF7DA4B" w14:textId="77777777" w:rsidR="00C97BC1" w:rsidRPr="00E25884" w:rsidRDefault="00C97BC1" w:rsidP="00C97BC1">
      <w:pPr>
        <w:widowControl w:val="0"/>
        <w:tabs>
          <w:tab w:val="left" w:pos="567"/>
        </w:tabs>
        <w:adjustRightInd w:val="0"/>
        <w:spacing w:after="0" w:line="240" w:lineRule="auto"/>
        <w:jc w:val="both"/>
        <w:textAlignment w:val="baseline"/>
        <w:rPr>
          <w:rFonts w:ascii="Verdana" w:hAnsi="Verdana"/>
          <w:sz w:val="20"/>
          <w:szCs w:val="20"/>
          <w:lang w:val="es-CO" w:eastAsia="es-MX"/>
        </w:rPr>
      </w:pPr>
    </w:p>
    <w:p w14:paraId="227E55AD" w14:textId="1A108C69" w:rsidR="005F02C0" w:rsidRDefault="00005E5E"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sz w:val="20"/>
          <w:szCs w:val="20"/>
          <w:lang w:val="es-CO" w:eastAsia="es-MX"/>
        </w:rPr>
      </w:pPr>
      <w:r>
        <w:rPr>
          <w:rFonts w:ascii="Verdana" w:hAnsi="Verdana"/>
          <w:sz w:val="20"/>
          <w:szCs w:val="20"/>
          <w:lang w:val="es-CO" w:eastAsia="es-MX"/>
        </w:rPr>
        <w:t>El 31</w:t>
      </w:r>
      <w:r w:rsidR="005F02C0" w:rsidRPr="00E25884">
        <w:rPr>
          <w:rFonts w:ascii="Verdana" w:hAnsi="Verdana"/>
          <w:sz w:val="20"/>
          <w:szCs w:val="20"/>
          <w:lang w:val="es-CO" w:eastAsia="es-MX"/>
        </w:rPr>
        <w:t xml:space="preserve"> de octubre de 1990</w:t>
      </w:r>
      <w:r w:rsidR="00E226C5">
        <w:rPr>
          <w:rFonts w:ascii="Verdana" w:hAnsi="Verdana"/>
          <w:sz w:val="20"/>
          <w:szCs w:val="20"/>
          <w:lang w:val="es-CO" w:eastAsia="es-MX"/>
        </w:rPr>
        <w:t>,</w:t>
      </w:r>
      <w:r w:rsidR="005F02C0" w:rsidRPr="00E25884">
        <w:rPr>
          <w:rFonts w:ascii="Verdana" w:hAnsi="Verdana"/>
          <w:sz w:val="20"/>
          <w:szCs w:val="20"/>
          <w:lang w:val="es-CO" w:eastAsia="es-MX"/>
        </w:rPr>
        <w:t xml:space="preserve"> el Juez de la Causa ordenó la internación del señor Hernández en el Hospital San Mart</w:t>
      </w:r>
      <w:r w:rsidR="007A4B21">
        <w:rPr>
          <w:rFonts w:ascii="Verdana" w:hAnsi="Verdana"/>
          <w:sz w:val="20"/>
          <w:szCs w:val="20"/>
          <w:lang w:val="es-CO" w:eastAsia="es-MX"/>
        </w:rPr>
        <w:t>í</w:t>
      </w:r>
      <w:r w:rsidR="005F02C0" w:rsidRPr="00E25884">
        <w:rPr>
          <w:rFonts w:ascii="Verdana" w:hAnsi="Verdana"/>
          <w:sz w:val="20"/>
          <w:szCs w:val="20"/>
          <w:lang w:val="es-CO" w:eastAsia="es-MX"/>
        </w:rPr>
        <w:t>n de la Plata</w:t>
      </w:r>
      <w:r w:rsidR="005F02C0" w:rsidRPr="00E25884">
        <w:rPr>
          <w:rStyle w:val="Refdenotaalpie"/>
          <w:rFonts w:ascii="Verdana" w:hAnsi="Verdana"/>
          <w:sz w:val="20"/>
          <w:szCs w:val="20"/>
          <w:lang w:val="es-CO" w:eastAsia="es-MX"/>
        </w:rPr>
        <w:footnoteReference w:id="69"/>
      </w:r>
      <w:r w:rsidR="005F02C0" w:rsidRPr="00E25884">
        <w:rPr>
          <w:rFonts w:ascii="Verdana" w:hAnsi="Verdana"/>
          <w:sz w:val="20"/>
          <w:szCs w:val="20"/>
          <w:lang w:val="es-CO" w:eastAsia="es-MX"/>
        </w:rPr>
        <w:t xml:space="preserve">. </w:t>
      </w:r>
      <w:r>
        <w:rPr>
          <w:rFonts w:ascii="Verdana" w:hAnsi="Verdana"/>
          <w:sz w:val="20"/>
          <w:szCs w:val="20"/>
          <w:lang w:val="es-CO" w:eastAsia="es-MX"/>
        </w:rPr>
        <w:t>El mismo día</w:t>
      </w:r>
      <w:r w:rsidR="005F02C0" w:rsidRPr="00E25884">
        <w:rPr>
          <w:rFonts w:ascii="Verdana" w:hAnsi="Verdana"/>
          <w:sz w:val="20"/>
          <w:szCs w:val="20"/>
          <w:lang w:val="es-CO" w:eastAsia="es-MX"/>
        </w:rPr>
        <w:t xml:space="preserve">, el Juez dirigió un oficio al </w:t>
      </w:r>
      <w:proofErr w:type="gramStart"/>
      <w:r w:rsidR="005F02C0" w:rsidRPr="00E25884">
        <w:rPr>
          <w:rFonts w:ascii="Verdana" w:hAnsi="Verdana"/>
          <w:sz w:val="20"/>
          <w:szCs w:val="20"/>
          <w:lang w:val="es-CO" w:eastAsia="es-MX"/>
        </w:rPr>
        <w:t>Director</w:t>
      </w:r>
      <w:proofErr w:type="gramEnd"/>
      <w:r w:rsidR="005F02C0" w:rsidRPr="00E25884">
        <w:rPr>
          <w:rFonts w:ascii="Verdana" w:hAnsi="Verdana"/>
          <w:sz w:val="20"/>
          <w:szCs w:val="20"/>
          <w:lang w:val="es-CO" w:eastAsia="es-MX"/>
        </w:rPr>
        <w:t xml:space="preserve"> de</w:t>
      </w:r>
      <w:r w:rsidR="007A4B21">
        <w:rPr>
          <w:rFonts w:ascii="Verdana" w:hAnsi="Verdana"/>
          <w:sz w:val="20"/>
          <w:szCs w:val="20"/>
          <w:lang w:val="es-CO" w:eastAsia="es-MX"/>
        </w:rPr>
        <w:t xml:space="preserve"> dicho centro médico </w:t>
      </w:r>
      <w:r w:rsidR="005F02C0" w:rsidRPr="00E25884">
        <w:rPr>
          <w:rFonts w:ascii="Verdana" w:hAnsi="Verdana"/>
          <w:sz w:val="20"/>
          <w:szCs w:val="20"/>
          <w:lang w:val="es-CO" w:eastAsia="es-MX"/>
        </w:rPr>
        <w:t>solicitando que “ordene la urgente internación del [señor Hernández] en el Nosocomio a su digno cargo y se le brinde la adecuada atención médica del caso</w:t>
      </w:r>
      <w:r w:rsidR="00E226C5">
        <w:rPr>
          <w:rFonts w:ascii="Verdana" w:hAnsi="Verdana"/>
          <w:sz w:val="20"/>
          <w:szCs w:val="20"/>
          <w:lang w:val="es-CO" w:eastAsia="es-MX"/>
        </w:rPr>
        <w:t>”</w:t>
      </w:r>
      <w:r w:rsidR="005F02C0" w:rsidRPr="00E25884">
        <w:rPr>
          <w:rStyle w:val="Refdenotaalpie"/>
          <w:rFonts w:ascii="Verdana" w:hAnsi="Verdana"/>
          <w:sz w:val="20"/>
          <w:szCs w:val="20"/>
          <w:lang w:val="es-CO" w:eastAsia="es-MX"/>
        </w:rPr>
        <w:footnoteReference w:id="70"/>
      </w:r>
      <w:r w:rsidR="005F02C0" w:rsidRPr="00E25884">
        <w:rPr>
          <w:rFonts w:ascii="Verdana" w:hAnsi="Verdana"/>
          <w:sz w:val="20"/>
          <w:szCs w:val="20"/>
          <w:lang w:val="es-CO" w:eastAsia="es-MX"/>
        </w:rPr>
        <w:t>. El 2 de noviembre de 1990</w:t>
      </w:r>
      <w:r w:rsidR="00CC4139">
        <w:rPr>
          <w:rFonts w:ascii="Verdana" w:hAnsi="Verdana"/>
          <w:sz w:val="20"/>
          <w:szCs w:val="20"/>
          <w:lang w:val="es-CO" w:eastAsia="es-MX"/>
        </w:rPr>
        <w:t>,</w:t>
      </w:r>
      <w:r w:rsidR="005F02C0" w:rsidRPr="00E25884">
        <w:rPr>
          <w:rFonts w:ascii="Verdana" w:hAnsi="Verdana"/>
          <w:sz w:val="20"/>
          <w:szCs w:val="20"/>
          <w:lang w:val="es-CO" w:eastAsia="es-MX"/>
        </w:rPr>
        <w:t xml:space="preserve"> el señor Hernández fue internado en el Hospital San Martín de la Plata. Posteriormente, durante el mes de noviembre, el señor Hernández fue trasladado de nuevo a la Unidad Carcelaria</w:t>
      </w:r>
      <w:r w:rsidR="005F02C0" w:rsidRPr="00E25884">
        <w:rPr>
          <w:rStyle w:val="Refdenotaalpie"/>
          <w:rFonts w:ascii="Verdana" w:hAnsi="Verdana"/>
          <w:sz w:val="20"/>
          <w:szCs w:val="20"/>
          <w:lang w:val="es-CO" w:eastAsia="es-MX"/>
        </w:rPr>
        <w:footnoteReference w:id="71"/>
      </w:r>
      <w:r w:rsidR="005F02C0" w:rsidRPr="00E25884">
        <w:rPr>
          <w:rFonts w:ascii="Verdana" w:hAnsi="Verdana"/>
          <w:sz w:val="20"/>
          <w:szCs w:val="20"/>
          <w:lang w:val="es-CO" w:eastAsia="es-MX"/>
        </w:rPr>
        <w:t>.</w:t>
      </w:r>
    </w:p>
    <w:p w14:paraId="63A98CEF" w14:textId="77777777" w:rsidR="00C97BC1" w:rsidRPr="00E25884" w:rsidRDefault="00C97BC1" w:rsidP="00C97BC1">
      <w:pPr>
        <w:widowControl w:val="0"/>
        <w:tabs>
          <w:tab w:val="left" w:pos="567"/>
        </w:tabs>
        <w:adjustRightInd w:val="0"/>
        <w:spacing w:after="0" w:line="240" w:lineRule="auto"/>
        <w:jc w:val="both"/>
        <w:textAlignment w:val="baseline"/>
        <w:rPr>
          <w:rFonts w:ascii="Verdana" w:hAnsi="Verdana"/>
          <w:sz w:val="20"/>
          <w:szCs w:val="20"/>
          <w:lang w:val="es-CO" w:eastAsia="es-MX"/>
        </w:rPr>
      </w:pPr>
    </w:p>
    <w:p w14:paraId="7A90AAC7" w14:textId="77777777" w:rsidR="005F02C0" w:rsidRDefault="005F02C0"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sz w:val="20"/>
          <w:szCs w:val="20"/>
          <w:lang w:val="es-CO" w:eastAsia="es-MX"/>
        </w:rPr>
      </w:pPr>
      <w:r w:rsidRPr="00E25884">
        <w:rPr>
          <w:rFonts w:ascii="Verdana" w:hAnsi="Verdana"/>
          <w:sz w:val="20"/>
          <w:szCs w:val="20"/>
          <w:lang w:val="es-CO" w:eastAsia="es-MX"/>
        </w:rPr>
        <w:t>El 6 de d</w:t>
      </w:r>
      <w:r w:rsidR="00E226C5">
        <w:rPr>
          <w:rFonts w:ascii="Verdana" w:hAnsi="Verdana"/>
          <w:sz w:val="20"/>
          <w:szCs w:val="20"/>
          <w:lang w:val="es-CO" w:eastAsia="es-MX"/>
        </w:rPr>
        <w:t>iciembre de 1990 el Juez de la C</w:t>
      </w:r>
      <w:r w:rsidRPr="00E25884">
        <w:rPr>
          <w:rFonts w:ascii="Verdana" w:hAnsi="Verdana"/>
          <w:sz w:val="20"/>
          <w:szCs w:val="20"/>
          <w:lang w:val="es-CO" w:eastAsia="es-MX"/>
        </w:rPr>
        <w:t xml:space="preserve">ausa ordenó al </w:t>
      </w:r>
      <w:proofErr w:type="gramStart"/>
      <w:r w:rsidRPr="00E25884">
        <w:rPr>
          <w:rFonts w:ascii="Verdana" w:hAnsi="Verdana"/>
          <w:sz w:val="20"/>
          <w:szCs w:val="20"/>
          <w:lang w:val="es-CO" w:eastAsia="es-MX"/>
        </w:rPr>
        <w:t>Jefe</w:t>
      </w:r>
      <w:proofErr w:type="gramEnd"/>
      <w:r w:rsidRPr="00E25884">
        <w:rPr>
          <w:rFonts w:ascii="Verdana" w:hAnsi="Verdana"/>
          <w:sz w:val="20"/>
          <w:szCs w:val="20"/>
          <w:lang w:val="es-CO" w:eastAsia="es-MX"/>
        </w:rPr>
        <w:t xml:space="preserve"> de la Unidad Carcelaria que le informara de la evolución del estado de salud del señor Hernández, y que en lo sucesivo se le debería suministrar un informe semanal al respecto y sobre las distintas medidas que a criterio de los profesionales médicos fuera necesario adoptar</w:t>
      </w:r>
      <w:r w:rsidRPr="00E25884">
        <w:rPr>
          <w:rStyle w:val="Refdenotaalpie"/>
          <w:rFonts w:ascii="Verdana" w:hAnsi="Verdana"/>
          <w:sz w:val="20"/>
          <w:szCs w:val="20"/>
          <w:lang w:val="es-CO" w:eastAsia="es-MX"/>
        </w:rPr>
        <w:footnoteReference w:id="72"/>
      </w:r>
      <w:r w:rsidRPr="00E25884">
        <w:rPr>
          <w:rFonts w:ascii="Verdana" w:hAnsi="Verdana"/>
          <w:sz w:val="20"/>
          <w:szCs w:val="20"/>
          <w:lang w:val="es-CO" w:eastAsia="es-MX"/>
        </w:rPr>
        <w:t>. En atención a dicha orden, el 12 de diciembre de 1990, la Unidad Carcelaria informó que el señor Hernández fue examinado por el Servicio de Clínica Médica del Hospital Central Penitenciario, a</w:t>
      </w:r>
      <w:r w:rsidR="00C97BC1">
        <w:rPr>
          <w:rFonts w:ascii="Verdana" w:hAnsi="Verdana"/>
          <w:sz w:val="20"/>
          <w:szCs w:val="20"/>
          <w:lang w:val="es-CO" w:eastAsia="es-MX"/>
        </w:rPr>
        <w:t>rrojando el siguiente dictamen:</w:t>
      </w:r>
    </w:p>
    <w:p w14:paraId="1AF47B19" w14:textId="77777777" w:rsidR="00C97BC1" w:rsidRPr="00E25884" w:rsidRDefault="00C97BC1" w:rsidP="00C97BC1">
      <w:pPr>
        <w:widowControl w:val="0"/>
        <w:tabs>
          <w:tab w:val="left" w:pos="567"/>
        </w:tabs>
        <w:adjustRightInd w:val="0"/>
        <w:spacing w:after="0" w:line="240" w:lineRule="auto"/>
        <w:jc w:val="both"/>
        <w:textAlignment w:val="baseline"/>
        <w:rPr>
          <w:rFonts w:ascii="Verdana" w:hAnsi="Verdana"/>
          <w:sz w:val="20"/>
          <w:szCs w:val="20"/>
          <w:lang w:val="es-CO" w:eastAsia="es-MX"/>
        </w:rPr>
      </w:pPr>
    </w:p>
    <w:p w14:paraId="302329A7" w14:textId="77777777" w:rsidR="005F02C0" w:rsidRPr="00E8677F" w:rsidRDefault="005F02C0" w:rsidP="00C97BC1">
      <w:pPr>
        <w:spacing w:after="0" w:line="240" w:lineRule="auto"/>
        <w:ind w:left="708" w:right="615"/>
        <w:jc w:val="both"/>
        <w:rPr>
          <w:rFonts w:ascii="Verdana" w:hAnsi="Verdana"/>
          <w:sz w:val="18"/>
          <w:szCs w:val="18"/>
          <w:lang w:val="es-CO" w:eastAsia="es-MX"/>
        </w:rPr>
      </w:pPr>
      <w:r w:rsidRPr="00E8677F">
        <w:rPr>
          <w:rFonts w:ascii="Verdana" w:hAnsi="Verdana"/>
          <w:sz w:val="18"/>
          <w:szCs w:val="18"/>
          <w:lang w:val="es-CO" w:eastAsia="es-MX"/>
        </w:rPr>
        <w:t xml:space="preserve">“El interno fue trasladado de alta desde el Hospital Gral. San Martin e internado nuevamente en la sala 3 cama 2 de este H.C.S.P. correspondiendo dicha sala al servicio de </w:t>
      </w:r>
      <w:proofErr w:type="spellStart"/>
      <w:r w:rsidRPr="00E8677F">
        <w:rPr>
          <w:rFonts w:ascii="Verdana" w:hAnsi="Verdana"/>
          <w:sz w:val="18"/>
          <w:szCs w:val="18"/>
          <w:lang w:val="es-CO" w:eastAsia="es-MX"/>
        </w:rPr>
        <w:t>Neurotisiología</w:t>
      </w:r>
      <w:proofErr w:type="spellEnd"/>
      <w:r w:rsidRPr="00E8677F">
        <w:rPr>
          <w:rFonts w:ascii="Verdana" w:hAnsi="Verdana"/>
          <w:sz w:val="18"/>
          <w:szCs w:val="18"/>
          <w:lang w:val="es-CO" w:eastAsia="es-MX"/>
        </w:rPr>
        <w:t xml:space="preserve">. Dicho servicio lo encontró a su ingreso estable y en fase de consolidación de su tratamiento con </w:t>
      </w:r>
      <w:proofErr w:type="spellStart"/>
      <w:r w:rsidRPr="00E8677F">
        <w:rPr>
          <w:rFonts w:ascii="Verdana" w:hAnsi="Verdana"/>
          <w:sz w:val="18"/>
          <w:szCs w:val="18"/>
          <w:lang w:val="es-CO" w:eastAsia="es-MX"/>
        </w:rPr>
        <w:t>tuberculostáticos</w:t>
      </w:r>
      <w:proofErr w:type="spellEnd"/>
      <w:r w:rsidRPr="00E8677F">
        <w:rPr>
          <w:rFonts w:ascii="Verdana" w:hAnsi="Verdana"/>
          <w:sz w:val="18"/>
          <w:szCs w:val="18"/>
          <w:lang w:val="es-CO" w:eastAsia="es-MX"/>
        </w:rPr>
        <w:t xml:space="preserve"> continuando con la medicación específica (</w:t>
      </w:r>
      <w:proofErr w:type="spellStart"/>
      <w:r w:rsidRPr="00E8677F">
        <w:rPr>
          <w:rFonts w:ascii="Verdana" w:hAnsi="Verdana"/>
          <w:sz w:val="18"/>
          <w:szCs w:val="18"/>
          <w:lang w:val="es-CO" w:eastAsia="es-MX"/>
        </w:rPr>
        <w:t>Xifampicina</w:t>
      </w:r>
      <w:proofErr w:type="spellEnd"/>
      <w:r w:rsidRPr="00E8677F">
        <w:rPr>
          <w:rFonts w:ascii="Verdana" w:hAnsi="Verdana"/>
          <w:sz w:val="18"/>
          <w:szCs w:val="18"/>
          <w:lang w:val="es-CO" w:eastAsia="es-MX"/>
        </w:rPr>
        <w:t xml:space="preserve"> y Nicotina). Con fecha 30/11 se reciben resultados de análisis de laboratorio con valores biológicos dentro de parámetros normales. El criterio consignado en la K.C. por el servicio de </w:t>
      </w:r>
      <w:proofErr w:type="spellStart"/>
      <w:r w:rsidRPr="00E8677F">
        <w:rPr>
          <w:rFonts w:ascii="Verdana" w:hAnsi="Verdana"/>
          <w:sz w:val="18"/>
          <w:szCs w:val="18"/>
          <w:lang w:val="es-CO" w:eastAsia="es-MX"/>
        </w:rPr>
        <w:t>neumotisiología</w:t>
      </w:r>
      <w:proofErr w:type="spellEnd"/>
      <w:r w:rsidRPr="00E8677F">
        <w:rPr>
          <w:rFonts w:ascii="Verdana" w:hAnsi="Verdana"/>
          <w:sz w:val="18"/>
          <w:szCs w:val="18"/>
          <w:lang w:val="es-CO" w:eastAsia="es-MX"/>
        </w:rPr>
        <w:t xml:space="preserve"> es el de contar con el tratamiento </w:t>
      </w:r>
      <w:proofErr w:type="spellStart"/>
      <w:r w:rsidRPr="00E8677F">
        <w:rPr>
          <w:rFonts w:ascii="Verdana" w:hAnsi="Verdana"/>
          <w:sz w:val="18"/>
          <w:szCs w:val="18"/>
          <w:lang w:val="es-CO" w:eastAsia="es-MX"/>
        </w:rPr>
        <w:t>tuberculostático</w:t>
      </w:r>
      <w:proofErr w:type="spellEnd"/>
      <w:r w:rsidRPr="00E8677F">
        <w:rPr>
          <w:rFonts w:ascii="Verdana" w:hAnsi="Verdana"/>
          <w:sz w:val="18"/>
          <w:szCs w:val="18"/>
          <w:lang w:val="es-CO" w:eastAsia="es-MX"/>
        </w:rPr>
        <w:t xml:space="preserve"> ya que la evolución clínica ha sido favorable. Con fecha 5-12-90 el interno pesaba 55 </w:t>
      </w:r>
      <w:proofErr w:type="spellStart"/>
      <w:r w:rsidRPr="00E8677F">
        <w:rPr>
          <w:rFonts w:ascii="Verdana" w:hAnsi="Verdana"/>
          <w:sz w:val="18"/>
          <w:szCs w:val="18"/>
          <w:lang w:val="es-CO" w:eastAsia="es-MX"/>
        </w:rPr>
        <w:t>kgs</w:t>
      </w:r>
      <w:proofErr w:type="spellEnd"/>
      <w:r w:rsidRPr="00E8677F">
        <w:rPr>
          <w:rFonts w:ascii="Verdana" w:hAnsi="Verdana"/>
          <w:sz w:val="18"/>
          <w:szCs w:val="18"/>
          <w:lang w:val="es-CO" w:eastAsia="es-MX"/>
        </w:rPr>
        <w:t xml:space="preserve"> y solo presentaba mareos ante los cambios de decúbito y cefaleas. Por tal motivo el médico tratante solicitó interconsulta con neurología. Este último </w:t>
      </w:r>
      <w:r w:rsidRPr="00E8677F">
        <w:rPr>
          <w:rFonts w:ascii="Verdana" w:hAnsi="Verdana"/>
          <w:sz w:val="18"/>
          <w:szCs w:val="18"/>
          <w:lang w:val="es-CO" w:eastAsia="es-MX"/>
        </w:rPr>
        <w:lastRenderedPageBreak/>
        <w:t xml:space="preserve">servicio se efectuó con fecha 07-12-90 una evolución neurológica en donde refiere una evolución favorable no encontrando signos neurológicos de </w:t>
      </w:r>
      <w:proofErr w:type="spellStart"/>
      <w:r w:rsidRPr="00E8677F">
        <w:rPr>
          <w:rFonts w:ascii="Verdana" w:hAnsi="Verdana"/>
          <w:sz w:val="18"/>
          <w:szCs w:val="18"/>
          <w:lang w:val="es-CO" w:eastAsia="es-MX"/>
        </w:rPr>
        <w:t>evolutividad</w:t>
      </w:r>
      <w:proofErr w:type="spellEnd"/>
      <w:r w:rsidRPr="00E8677F">
        <w:rPr>
          <w:rFonts w:ascii="Verdana" w:hAnsi="Verdana"/>
          <w:sz w:val="18"/>
          <w:szCs w:val="18"/>
          <w:lang w:val="es-CO" w:eastAsia="es-MX"/>
        </w:rPr>
        <w:t xml:space="preserve"> de su afección</w:t>
      </w:r>
      <w:r w:rsidR="00370AFA" w:rsidRPr="00E8677F">
        <w:rPr>
          <w:rFonts w:ascii="Verdana" w:hAnsi="Verdana"/>
          <w:sz w:val="18"/>
          <w:szCs w:val="18"/>
          <w:lang w:val="es-CO" w:eastAsia="es-MX"/>
        </w:rPr>
        <w:t>”</w:t>
      </w:r>
      <w:r w:rsidRPr="00E8677F">
        <w:rPr>
          <w:rStyle w:val="Refdenotaalpie"/>
          <w:rFonts w:ascii="Verdana" w:hAnsi="Verdana"/>
          <w:sz w:val="18"/>
          <w:szCs w:val="18"/>
          <w:lang w:val="es-CO" w:eastAsia="es-MX"/>
        </w:rPr>
        <w:footnoteReference w:id="73"/>
      </w:r>
      <w:r w:rsidRPr="00E8677F">
        <w:rPr>
          <w:rFonts w:ascii="Verdana" w:hAnsi="Verdana"/>
          <w:sz w:val="18"/>
          <w:szCs w:val="18"/>
          <w:lang w:val="es-CO" w:eastAsia="es-MX"/>
        </w:rPr>
        <w:t>.</w:t>
      </w:r>
    </w:p>
    <w:p w14:paraId="5001AEA7" w14:textId="77777777" w:rsidR="00C97BC1" w:rsidRPr="00E25884" w:rsidRDefault="00C97BC1" w:rsidP="00C97BC1">
      <w:pPr>
        <w:spacing w:after="0" w:line="240" w:lineRule="auto"/>
        <w:ind w:right="615"/>
        <w:jc w:val="both"/>
        <w:rPr>
          <w:rFonts w:ascii="Verdana" w:hAnsi="Verdana"/>
          <w:sz w:val="20"/>
          <w:szCs w:val="20"/>
          <w:lang w:val="es-CO" w:eastAsia="es-MX"/>
        </w:rPr>
      </w:pPr>
    </w:p>
    <w:p w14:paraId="6B962557" w14:textId="0A0EABEA" w:rsidR="005F02C0" w:rsidRDefault="005F02C0"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sz w:val="20"/>
          <w:szCs w:val="20"/>
          <w:lang w:val="es-CO" w:eastAsia="es-MX"/>
        </w:rPr>
      </w:pPr>
      <w:r w:rsidRPr="00E25884">
        <w:rPr>
          <w:rFonts w:ascii="Verdana" w:hAnsi="Verdana"/>
          <w:sz w:val="20"/>
          <w:szCs w:val="20"/>
          <w:lang w:val="es-CO" w:eastAsia="es-MX"/>
        </w:rPr>
        <w:t>El 22 de febrero de 1991</w:t>
      </w:r>
      <w:r w:rsidR="00E226C5">
        <w:rPr>
          <w:rFonts w:ascii="Verdana" w:hAnsi="Verdana"/>
          <w:sz w:val="20"/>
          <w:szCs w:val="20"/>
          <w:lang w:val="es-CO" w:eastAsia="es-MX"/>
        </w:rPr>
        <w:t>,</w:t>
      </w:r>
      <w:r w:rsidRPr="00E25884">
        <w:rPr>
          <w:rFonts w:ascii="Verdana" w:hAnsi="Verdana"/>
          <w:sz w:val="20"/>
          <w:szCs w:val="20"/>
          <w:lang w:val="es-CO" w:eastAsia="es-MX"/>
        </w:rPr>
        <w:t xml:space="preserve"> la defensa del señor Hernández expresó al Juez de la Causa que el </w:t>
      </w:r>
      <w:proofErr w:type="gramStart"/>
      <w:r w:rsidRPr="00E25884">
        <w:rPr>
          <w:rFonts w:ascii="Verdana" w:hAnsi="Verdana"/>
          <w:sz w:val="20"/>
          <w:szCs w:val="20"/>
          <w:lang w:val="es-CO" w:eastAsia="es-MX"/>
        </w:rPr>
        <w:t>Director</w:t>
      </w:r>
      <w:proofErr w:type="gramEnd"/>
      <w:r w:rsidRPr="00E25884">
        <w:rPr>
          <w:rFonts w:ascii="Verdana" w:hAnsi="Verdana"/>
          <w:sz w:val="20"/>
          <w:szCs w:val="20"/>
          <w:lang w:val="es-CO" w:eastAsia="es-MX"/>
        </w:rPr>
        <w:t xml:space="preserve"> del Hospital de Olmos le hizo saber a la señora San Martín que su hijo habría adquirido </w:t>
      </w:r>
      <w:r w:rsidR="00BE43E9">
        <w:rPr>
          <w:rFonts w:ascii="Verdana" w:hAnsi="Verdana"/>
          <w:sz w:val="20"/>
          <w:szCs w:val="20"/>
          <w:lang w:val="es-CO" w:eastAsia="es-MX"/>
        </w:rPr>
        <w:t>SIDA</w:t>
      </w:r>
      <w:r w:rsidRPr="00E25884">
        <w:rPr>
          <w:rFonts w:ascii="Verdana" w:hAnsi="Verdana"/>
          <w:sz w:val="20"/>
          <w:szCs w:val="20"/>
          <w:lang w:val="es-CO" w:eastAsia="es-MX"/>
        </w:rPr>
        <w:t xml:space="preserve"> durante su alojamiento en la Unidad Carcelaria, lo cual habría sido confirmado a partir de un segundo examen que se le habría practicado. En virtud de ello, solicitó que se requirieran los informes y exámenes pertinentes</w:t>
      </w:r>
      <w:r w:rsidRPr="00E25884">
        <w:rPr>
          <w:rStyle w:val="Refdenotaalpie"/>
          <w:rFonts w:ascii="Verdana" w:hAnsi="Verdana"/>
          <w:sz w:val="20"/>
          <w:szCs w:val="20"/>
          <w:lang w:val="es-CO" w:eastAsia="es-MX"/>
        </w:rPr>
        <w:footnoteReference w:id="74"/>
      </w:r>
      <w:r w:rsidRPr="00E25884">
        <w:rPr>
          <w:rFonts w:ascii="Verdana" w:hAnsi="Verdana"/>
          <w:sz w:val="20"/>
          <w:szCs w:val="20"/>
          <w:lang w:val="es-CO" w:eastAsia="es-MX"/>
        </w:rPr>
        <w:t xml:space="preserve">. </w:t>
      </w:r>
      <w:r w:rsidR="00E226C5">
        <w:rPr>
          <w:rFonts w:ascii="Verdana" w:hAnsi="Verdana"/>
          <w:sz w:val="20"/>
          <w:szCs w:val="20"/>
          <w:lang w:val="es-CO" w:eastAsia="es-MX"/>
        </w:rPr>
        <w:t xml:space="preserve">El </w:t>
      </w:r>
      <w:r w:rsidRPr="00E25884">
        <w:rPr>
          <w:rFonts w:ascii="Verdana" w:hAnsi="Verdana"/>
          <w:sz w:val="20"/>
          <w:szCs w:val="20"/>
          <w:lang w:val="es-CO" w:eastAsia="es-MX"/>
        </w:rPr>
        <w:t xml:space="preserve">27 de febrero de 1991 el Juez de la Causa solicitó a la Unidad Carcelaria que informara sobre “el estado actual de salud del [señor Hernández] y si con motivo de la patología que padece, se le </w:t>
      </w:r>
      <w:proofErr w:type="spellStart"/>
      <w:r w:rsidRPr="00E25884">
        <w:rPr>
          <w:rFonts w:ascii="Verdana" w:hAnsi="Verdana"/>
          <w:sz w:val="20"/>
          <w:szCs w:val="20"/>
          <w:lang w:val="es-CO" w:eastAsia="es-MX"/>
        </w:rPr>
        <w:t>somet</w:t>
      </w:r>
      <w:proofErr w:type="spellEnd"/>
      <w:r w:rsidR="00BE43E9">
        <w:rPr>
          <w:rFonts w:ascii="Verdana" w:hAnsi="Verdana"/>
          <w:sz w:val="20"/>
          <w:szCs w:val="20"/>
          <w:lang w:val="es-CO" w:eastAsia="es-MX"/>
        </w:rPr>
        <w:t>[</w:t>
      </w:r>
      <w:proofErr w:type="spellStart"/>
      <w:r w:rsidR="00BE43E9">
        <w:rPr>
          <w:rFonts w:ascii="Verdana" w:hAnsi="Verdana"/>
          <w:sz w:val="20"/>
          <w:szCs w:val="20"/>
          <w:lang w:val="es-CO" w:eastAsia="es-MX"/>
        </w:rPr>
        <w:t>ió</w:t>
      </w:r>
      <w:proofErr w:type="spellEnd"/>
      <w:r w:rsidR="00BE43E9">
        <w:rPr>
          <w:rFonts w:ascii="Verdana" w:hAnsi="Verdana"/>
          <w:sz w:val="20"/>
          <w:szCs w:val="20"/>
          <w:lang w:val="es-CO" w:eastAsia="es-MX"/>
        </w:rPr>
        <w:t>]</w:t>
      </w:r>
      <w:r w:rsidRPr="00E25884">
        <w:rPr>
          <w:rFonts w:ascii="Verdana" w:hAnsi="Verdana"/>
          <w:sz w:val="20"/>
          <w:szCs w:val="20"/>
          <w:lang w:val="es-CO" w:eastAsia="es-MX"/>
        </w:rPr>
        <w:t xml:space="preserve"> a estudios periódicos y tratamiento adecuado”. Asimismo, indicó que “deberá informar si [el señor Hernández] adquirió durante su alojamiento en esa Unidad Carcelaria el Síndrome de la inmunodeficiencia adquirida, evolución de la enfermedad y tratamiento indicado, o alteraciones de salud registradas durante su alejamiento en dicha Unidad”</w:t>
      </w:r>
      <w:r w:rsidRPr="00E25884">
        <w:rPr>
          <w:rStyle w:val="Refdenotaalpie"/>
          <w:rFonts w:ascii="Verdana" w:hAnsi="Verdana"/>
          <w:sz w:val="20"/>
          <w:szCs w:val="20"/>
          <w:lang w:val="es-CO" w:eastAsia="es-MX"/>
        </w:rPr>
        <w:footnoteReference w:id="75"/>
      </w:r>
      <w:r w:rsidRPr="00E25884">
        <w:rPr>
          <w:rFonts w:ascii="Verdana" w:hAnsi="Verdana"/>
          <w:sz w:val="20"/>
          <w:szCs w:val="20"/>
          <w:lang w:val="es-CO" w:eastAsia="es-MX"/>
        </w:rPr>
        <w:t>.</w:t>
      </w:r>
    </w:p>
    <w:p w14:paraId="7A23714A" w14:textId="77777777" w:rsidR="00C97BC1" w:rsidRPr="00E25884" w:rsidRDefault="00C97BC1" w:rsidP="00C97BC1">
      <w:pPr>
        <w:widowControl w:val="0"/>
        <w:tabs>
          <w:tab w:val="left" w:pos="567"/>
        </w:tabs>
        <w:adjustRightInd w:val="0"/>
        <w:spacing w:after="0" w:line="240" w:lineRule="auto"/>
        <w:jc w:val="both"/>
        <w:textAlignment w:val="baseline"/>
        <w:rPr>
          <w:rFonts w:ascii="Verdana" w:hAnsi="Verdana"/>
          <w:sz w:val="20"/>
          <w:szCs w:val="20"/>
          <w:lang w:val="es-CO" w:eastAsia="es-MX"/>
        </w:rPr>
      </w:pPr>
    </w:p>
    <w:p w14:paraId="3CBE194C" w14:textId="77777777" w:rsidR="005F02C0" w:rsidRPr="00C97BC1" w:rsidRDefault="005F02C0"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sz w:val="20"/>
          <w:szCs w:val="20"/>
          <w:lang w:val="es-CO" w:eastAsia="es-MX"/>
        </w:rPr>
      </w:pPr>
      <w:r w:rsidRPr="00E25884">
        <w:rPr>
          <w:rFonts w:ascii="Verdana" w:hAnsi="Verdana"/>
          <w:sz w:val="20"/>
          <w:szCs w:val="20"/>
          <w:lang w:val="es-CO" w:eastAsia="es-MX"/>
        </w:rPr>
        <w:t>Debido a la ausencia de respuesta por parte de la Unidad Carcelaria, el 1 de abril de 1991 el Juez de la Causa ordenó a la Unidad Carcelaria que informara sobre el estado de salud del señor Hernández en un término de 24 horas</w:t>
      </w:r>
      <w:r w:rsidRPr="00E25884">
        <w:rPr>
          <w:rStyle w:val="Refdenotaalpie"/>
          <w:rFonts w:ascii="Verdana" w:hAnsi="Verdana"/>
          <w:sz w:val="20"/>
          <w:szCs w:val="20"/>
          <w:lang w:val="es-CO" w:eastAsia="es-MX"/>
        </w:rPr>
        <w:footnoteReference w:id="76"/>
      </w:r>
      <w:r w:rsidRPr="00E25884">
        <w:rPr>
          <w:rFonts w:ascii="Verdana" w:hAnsi="Verdana"/>
          <w:sz w:val="20"/>
          <w:szCs w:val="20"/>
          <w:lang w:val="es-CO" w:eastAsia="es-MX"/>
        </w:rPr>
        <w:t>. El 3 de abril de 1991 el Servicio Penitenciario Provincial informó al Juez de la Causa sobre las secuelas neurológicas que el señor Hernández padeció hasta ese momento</w:t>
      </w:r>
      <w:r w:rsidRPr="00E25884">
        <w:rPr>
          <w:rStyle w:val="Refdenotaalpie"/>
          <w:rFonts w:ascii="Verdana" w:hAnsi="Verdana"/>
          <w:sz w:val="20"/>
          <w:szCs w:val="20"/>
          <w:lang w:val="es-CO" w:eastAsia="es-MX"/>
        </w:rPr>
        <w:footnoteReference w:id="77"/>
      </w:r>
      <w:r w:rsidRPr="00E25884">
        <w:rPr>
          <w:rFonts w:ascii="Verdana" w:hAnsi="Verdana"/>
          <w:sz w:val="20"/>
          <w:szCs w:val="20"/>
          <w:lang w:val="es-CO" w:eastAsia="es-MX"/>
        </w:rPr>
        <w:t xml:space="preserve">. En dicho informe describió que padecía: </w:t>
      </w:r>
      <w:r w:rsidRPr="00E25884">
        <w:rPr>
          <w:rFonts w:ascii="Verdana" w:eastAsia="Cambria" w:hAnsi="Verdana" w:cs="Cambria"/>
          <w:spacing w:val="1"/>
          <w:sz w:val="20"/>
          <w:szCs w:val="20"/>
          <w:lang w:val="es-ES"/>
        </w:rPr>
        <w:t xml:space="preserve">“neurológica – parálisis 6° </w:t>
      </w:r>
      <w:proofErr w:type="spellStart"/>
      <w:r w:rsidRPr="00E25884">
        <w:rPr>
          <w:rFonts w:ascii="Verdana" w:eastAsia="Cambria" w:hAnsi="Verdana" w:cs="Cambria"/>
          <w:spacing w:val="1"/>
          <w:sz w:val="20"/>
          <w:szCs w:val="20"/>
          <w:lang w:val="es-ES"/>
        </w:rPr>
        <w:t>cranial</w:t>
      </w:r>
      <w:proofErr w:type="spellEnd"/>
      <w:r w:rsidRPr="00E25884">
        <w:rPr>
          <w:rFonts w:ascii="Verdana" w:eastAsia="Cambria" w:hAnsi="Verdana" w:cs="Cambria"/>
          <w:spacing w:val="1"/>
          <w:sz w:val="20"/>
          <w:szCs w:val="20"/>
          <w:lang w:val="es-ES"/>
        </w:rPr>
        <w:t xml:space="preserve"> derecho, traumatismo quirúrgico; signos de hipertensión </w:t>
      </w:r>
      <w:proofErr w:type="spellStart"/>
      <w:r w:rsidRPr="00E25884">
        <w:rPr>
          <w:rFonts w:ascii="Verdana" w:eastAsia="Cambria" w:hAnsi="Verdana" w:cs="Cambria"/>
          <w:spacing w:val="1"/>
          <w:sz w:val="20"/>
          <w:szCs w:val="20"/>
          <w:lang w:val="es-ES"/>
        </w:rPr>
        <w:t>endocranial</w:t>
      </w:r>
      <w:proofErr w:type="spellEnd"/>
      <w:r w:rsidRPr="00E25884">
        <w:rPr>
          <w:rFonts w:ascii="Verdana" w:eastAsia="Cambria" w:hAnsi="Verdana" w:cs="Cambria"/>
          <w:spacing w:val="1"/>
          <w:sz w:val="20"/>
          <w:szCs w:val="20"/>
          <w:lang w:val="es-ES"/>
        </w:rPr>
        <w:t xml:space="preserve">. Con falla amnésico </w:t>
      </w:r>
      <w:proofErr w:type="spellStart"/>
      <w:r w:rsidRPr="00E25884">
        <w:rPr>
          <w:rFonts w:ascii="Verdana" w:eastAsia="Cambria" w:hAnsi="Verdana" w:cs="Cambria"/>
          <w:spacing w:val="1"/>
          <w:sz w:val="20"/>
          <w:szCs w:val="20"/>
          <w:lang w:val="es-ES"/>
        </w:rPr>
        <w:t>ptosipalpebral</w:t>
      </w:r>
      <w:proofErr w:type="spellEnd"/>
      <w:r w:rsidRPr="00E25884">
        <w:rPr>
          <w:rFonts w:ascii="Verdana" w:eastAsia="Cambria" w:hAnsi="Verdana" w:cs="Cambria"/>
          <w:spacing w:val="1"/>
          <w:sz w:val="20"/>
          <w:szCs w:val="20"/>
          <w:lang w:val="es-ES"/>
        </w:rPr>
        <w:t xml:space="preserve">, pupilas mediatrices, disminución de agudeza visual, </w:t>
      </w:r>
      <w:proofErr w:type="spellStart"/>
      <w:r w:rsidRPr="00E25884">
        <w:rPr>
          <w:rFonts w:ascii="Verdana" w:eastAsia="Cambria" w:hAnsi="Verdana" w:cs="Cambria"/>
          <w:spacing w:val="1"/>
          <w:sz w:val="20"/>
          <w:szCs w:val="20"/>
          <w:lang w:val="es-ES"/>
        </w:rPr>
        <w:t>paresis</w:t>
      </w:r>
      <w:proofErr w:type="spellEnd"/>
      <w:r w:rsidRPr="00E25884">
        <w:rPr>
          <w:rFonts w:ascii="Verdana" w:eastAsia="Cambria" w:hAnsi="Verdana" w:cs="Cambria"/>
          <w:spacing w:val="1"/>
          <w:sz w:val="20"/>
          <w:szCs w:val="20"/>
          <w:lang w:val="es-ES"/>
        </w:rPr>
        <w:t xml:space="preserve"> de miembro superior derecho”</w:t>
      </w:r>
      <w:r w:rsidRPr="00E25884">
        <w:rPr>
          <w:rStyle w:val="Refdenotaalpie"/>
          <w:rFonts w:ascii="Verdana" w:eastAsia="Cambria" w:hAnsi="Verdana"/>
          <w:spacing w:val="1"/>
          <w:sz w:val="20"/>
          <w:szCs w:val="20"/>
          <w:lang w:val="es-ES"/>
        </w:rPr>
        <w:footnoteReference w:id="78"/>
      </w:r>
      <w:r w:rsidRPr="00E25884">
        <w:rPr>
          <w:rFonts w:ascii="Verdana" w:eastAsia="Cambria" w:hAnsi="Verdana" w:cs="Cambria"/>
          <w:spacing w:val="1"/>
          <w:sz w:val="20"/>
          <w:szCs w:val="20"/>
          <w:lang w:val="es-ES"/>
        </w:rPr>
        <w:t>.</w:t>
      </w:r>
    </w:p>
    <w:p w14:paraId="63DD445C" w14:textId="77777777" w:rsidR="00C97BC1" w:rsidRPr="00E25884" w:rsidRDefault="00C97BC1" w:rsidP="00C97BC1">
      <w:pPr>
        <w:widowControl w:val="0"/>
        <w:tabs>
          <w:tab w:val="left" w:pos="567"/>
        </w:tabs>
        <w:adjustRightInd w:val="0"/>
        <w:spacing w:after="0" w:line="240" w:lineRule="auto"/>
        <w:jc w:val="both"/>
        <w:textAlignment w:val="baseline"/>
        <w:rPr>
          <w:rFonts w:ascii="Verdana" w:hAnsi="Verdana"/>
          <w:sz w:val="20"/>
          <w:szCs w:val="20"/>
          <w:lang w:val="es-CO" w:eastAsia="es-MX"/>
        </w:rPr>
      </w:pPr>
    </w:p>
    <w:p w14:paraId="3A946FC3" w14:textId="5F7903C8" w:rsidR="005F02C0" w:rsidRDefault="005F02C0"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sz w:val="20"/>
          <w:szCs w:val="20"/>
          <w:lang w:val="es-CO" w:eastAsia="es-MX"/>
        </w:rPr>
      </w:pPr>
      <w:r w:rsidRPr="00E25884">
        <w:rPr>
          <w:rFonts w:ascii="Verdana" w:hAnsi="Verdana"/>
          <w:sz w:val="20"/>
          <w:szCs w:val="20"/>
          <w:lang w:val="es-CO" w:eastAsia="es-MX"/>
        </w:rPr>
        <w:t>El 12 de a</w:t>
      </w:r>
      <w:r w:rsidR="00E226C5">
        <w:rPr>
          <w:rFonts w:ascii="Verdana" w:hAnsi="Verdana"/>
          <w:sz w:val="20"/>
          <w:szCs w:val="20"/>
          <w:lang w:val="es-CO" w:eastAsia="es-MX"/>
        </w:rPr>
        <w:t>bril de 1991 el Secretario del Juzgado de la C</w:t>
      </w:r>
      <w:r w:rsidRPr="00E25884">
        <w:rPr>
          <w:rFonts w:ascii="Verdana" w:hAnsi="Verdana"/>
          <w:sz w:val="20"/>
          <w:szCs w:val="20"/>
          <w:lang w:val="es-CO" w:eastAsia="es-MX"/>
        </w:rPr>
        <w:t>ausa informó al Juez de la Causa que el señor Hernández habría manifestado que “recibe buena atención médica</w:t>
      </w:r>
      <w:r w:rsidR="004C30F9">
        <w:rPr>
          <w:rFonts w:ascii="Verdana" w:hAnsi="Verdana"/>
          <w:sz w:val="20"/>
          <w:szCs w:val="20"/>
          <w:lang w:val="es-CO" w:eastAsia="es-MX"/>
        </w:rPr>
        <w:t>,</w:t>
      </w:r>
      <w:r w:rsidRPr="00E25884">
        <w:rPr>
          <w:rFonts w:ascii="Verdana" w:hAnsi="Verdana"/>
          <w:sz w:val="20"/>
          <w:szCs w:val="20"/>
          <w:lang w:val="es-CO" w:eastAsia="es-MX"/>
        </w:rPr>
        <w:t xml:space="preserve"> pero que a su parecer la medicación es insuficiente ya que vuelve a sentir los dolores de cabeza que sintió antes de ser atendido hace 6 meses […] que se le informó antes de las fiestas del fin de año pasado que se le debería efectuar otra operación en la cabeza por su afectación de meningitis, que a la fecha no se ha[</w:t>
      </w:r>
      <w:proofErr w:type="spellStart"/>
      <w:r w:rsidRPr="00E25884">
        <w:rPr>
          <w:rFonts w:ascii="Verdana" w:hAnsi="Verdana"/>
          <w:sz w:val="20"/>
          <w:szCs w:val="20"/>
          <w:lang w:val="es-CO" w:eastAsia="es-MX"/>
        </w:rPr>
        <w:t>bía</w:t>
      </w:r>
      <w:proofErr w:type="spellEnd"/>
      <w:r w:rsidRPr="00E25884">
        <w:rPr>
          <w:rFonts w:ascii="Verdana" w:hAnsi="Verdana"/>
          <w:sz w:val="20"/>
          <w:szCs w:val="20"/>
          <w:lang w:val="es-CO" w:eastAsia="es-MX"/>
        </w:rPr>
        <w:t xml:space="preserve">] realizado”. </w:t>
      </w:r>
      <w:proofErr w:type="gramStart"/>
      <w:r w:rsidRPr="00E25884">
        <w:rPr>
          <w:rFonts w:ascii="Verdana" w:hAnsi="Verdana"/>
          <w:sz w:val="20"/>
          <w:szCs w:val="20"/>
          <w:lang w:val="es-CO" w:eastAsia="es-MX"/>
        </w:rPr>
        <w:t>Asimismo</w:t>
      </w:r>
      <w:proofErr w:type="gramEnd"/>
      <w:r w:rsidRPr="00E25884">
        <w:rPr>
          <w:rFonts w:ascii="Verdana" w:hAnsi="Verdana"/>
          <w:sz w:val="20"/>
          <w:szCs w:val="20"/>
          <w:lang w:val="es-CO" w:eastAsia="es-MX"/>
        </w:rPr>
        <w:t xml:space="preserve"> expresó que en lo demás “se encuentra mejorando”</w:t>
      </w:r>
      <w:r w:rsidRPr="00E25884">
        <w:rPr>
          <w:rStyle w:val="Refdenotaalpie"/>
          <w:rFonts w:ascii="Verdana" w:hAnsi="Verdana"/>
          <w:sz w:val="20"/>
          <w:szCs w:val="20"/>
          <w:lang w:val="es-CO" w:eastAsia="es-MX"/>
        </w:rPr>
        <w:footnoteReference w:id="79"/>
      </w:r>
      <w:r w:rsidRPr="00E25884">
        <w:rPr>
          <w:rFonts w:ascii="Verdana" w:hAnsi="Verdana"/>
          <w:sz w:val="20"/>
          <w:szCs w:val="20"/>
          <w:lang w:val="es-CO" w:eastAsia="es-MX"/>
        </w:rPr>
        <w:t>.</w:t>
      </w:r>
    </w:p>
    <w:p w14:paraId="6B906CB8" w14:textId="77777777" w:rsidR="00C97BC1" w:rsidRPr="00E25884" w:rsidRDefault="00C97BC1" w:rsidP="00C97BC1">
      <w:pPr>
        <w:widowControl w:val="0"/>
        <w:tabs>
          <w:tab w:val="left" w:pos="567"/>
        </w:tabs>
        <w:adjustRightInd w:val="0"/>
        <w:spacing w:after="0" w:line="240" w:lineRule="auto"/>
        <w:jc w:val="both"/>
        <w:textAlignment w:val="baseline"/>
        <w:rPr>
          <w:rFonts w:ascii="Verdana" w:hAnsi="Verdana"/>
          <w:sz w:val="20"/>
          <w:szCs w:val="20"/>
          <w:lang w:val="es-CO" w:eastAsia="es-MX"/>
        </w:rPr>
      </w:pPr>
    </w:p>
    <w:p w14:paraId="1EA7C9BA" w14:textId="77777777" w:rsidR="005F02C0" w:rsidRDefault="005F02C0"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sz w:val="20"/>
          <w:szCs w:val="20"/>
          <w:lang w:val="es-CO" w:eastAsia="es-MX"/>
        </w:rPr>
      </w:pPr>
      <w:r w:rsidRPr="00E25884">
        <w:rPr>
          <w:rFonts w:ascii="Verdana" w:hAnsi="Verdana"/>
          <w:sz w:val="20"/>
          <w:szCs w:val="20"/>
          <w:lang w:val="es-CO" w:eastAsia="es-MX"/>
        </w:rPr>
        <w:t>El 29 de mayo de 1991</w:t>
      </w:r>
      <w:r w:rsidR="00CC4139">
        <w:rPr>
          <w:rFonts w:ascii="Verdana" w:hAnsi="Verdana"/>
          <w:sz w:val="20"/>
          <w:szCs w:val="20"/>
          <w:lang w:val="es-CO" w:eastAsia="es-MX"/>
        </w:rPr>
        <w:t>,</w:t>
      </w:r>
      <w:r w:rsidRPr="00E25884">
        <w:rPr>
          <w:rFonts w:ascii="Verdana" w:hAnsi="Verdana"/>
          <w:sz w:val="20"/>
          <w:szCs w:val="20"/>
          <w:lang w:val="es-CO" w:eastAsia="es-MX"/>
        </w:rPr>
        <w:t xml:space="preserve"> el señor Hernández obtuvo su libertad condicional</w:t>
      </w:r>
      <w:r w:rsidRPr="00E25884">
        <w:rPr>
          <w:rStyle w:val="Refdenotaalpie"/>
          <w:rFonts w:ascii="Verdana" w:hAnsi="Verdana"/>
          <w:sz w:val="20"/>
          <w:szCs w:val="20"/>
          <w:lang w:val="es-CO" w:eastAsia="es-MX"/>
        </w:rPr>
        <w:footnoteReference w:id="80"/>
      </w:r>
      <w:r w:rsidRPr="00E25884">
        <w:rPr>
          <w:rFonts w:ascii="Verdana" w:hAnsi="Verdana"/>
          <w:sz w:val="20"/>
          <w:szCs w:val="20"/>
          <w:lang w:val="es-CO" w:eastAsia="es-MX"/>
        </w:rPr>
        <w:t>. Como consecuencia de la meningitis que padecía, el señor Hernández sufrió afectaciones neurológicas consistentes en la pérdida de la visión de un ojo, adquirió una incapacidad parcial y permanente del miembro superior izquierdo, y pérdida de memoria</w:t>
      </w:r>
      <w:r w:rsidRPr="00E25884">
        <w:rPr>
          <w:rStyle w:val="Refdenotaalpie"/>
          <w:rFonts w:ascii="Verdana" w:hAnsi="Verdana"/>
          <w:sz w:val="20"/>
          <w:szCs w:val="20"/>
          <w:lang w:val="es-CO" w:eastAsia="es-MX"/>
        </w:rPr>
        <w:footnoteReference w:id="81"/>
      </w:r>
      <w:r w:rsidRPr="00E25884">
        <w:rPr>
          <w:rFonts w:ascii="Verdana" w:hAnsi="Verdana"/>
          <w:sz w:val="20"/>
          <w:szCs w:val="20"/>
          <w:lang w:val="es-CO" w:eastAsia="es-MX"/>
        </w:rPr>
        <w:t xml:space="preserve">. El señor Hernández falleció el 24 de </w:t>
      </w:r>
      <w:r w:rsidRPr="00E25884">
        <w:rPr>
          <w:rFonts w:ascii="Verdana" w:hAnsi="Verdana"/>
          <w:sz w:val="20"/>
          <w:szCs w:val="20"/>
          <w:lang w:val="es-CO" w:eastAsia="es-MX"/>
        </w:rPr>
        <w:lastRenderedPageBreak/>
        <w:t>diciembre de 2015</w:t>
      </w:r>
      <w:r w:rsidR="00CC4139">
        <w:rPr>
          <w:rFonts w:ascii="Verdana" w:hAnsi="Verdana"/>
          <w:sz w:val="20"/>
          <w:szCs w:val="20"/>
          <w:lang w:val="es-CO" w:eastAsia="es-MX"/>
        </w:rPr>
        <w:t>,</w:t>
      </w:r>
      <w:r w:rsidRPr="00E25884">
        <w:rPr>
          <w:rFonts w:ascii="Verdana" w:hAnsi="Verdana"/>
          <w:sz w:val="20"/>
          <w:szCs w:val="20"/>
          <w:lang w:val="es-CO" w:eastAsia="es-MX"/>
        </w:rPr>
        <w:t xml:space="preserve"> a la edad de 47 años</w:t>
      </w:r>
      <w:r w:rsidRPr="00E25884">
        <w:rPr>
          <w:rStyle w:val="Refdenotaalpie"/>
          <w:rFonts w:ascii="Verdana" w:hAnsi="Verdana"/>
          <w:sz w:val="20"/>
          <w:szCs w:val="20"/>
          <w:lang w:val="es-CO" w:eastAsia="es-MX"/>
        </w:rPr>
        <w:footnoteReference w:id="82"/>
      </w:r>
      <w:r w:rsidRPr="00E25884">
        <w:rPr>
          <w:rFonts w:ascii="Verdana" w:hAnsi="Verdana"/>
          <w:sz w:val="20"/>
          <w:szCs w:val="20"/>
          <w:lang w:val="es-CO" w:eastAsia="es-MX"/>
        </w:rPr>
        <w:t>.</w:t>
      </w:r>
    </w:p>
    <w:p w14:paraId="25F2BA37" w14:textId="77777777" w:rsidR="00C97BC1" w:rsidRPr="00E25884" w:rsidRDefault="00C97BC1" w:rsidP="00C97BC1">
      <w:pPr>
        <w:widowControl w:val="0"/>
        <w:tabs>
          <w:tab w:val="left" w:pos="567"/>
        </w:tabs>
        <w:adjustRightInd w:val="0"/>
        <w:spacing w:after="0" w:line="240" w:lineRule="auto"/>
        <w:jc w:val="both"/>
        <w:textAlignment w:val="baseline"/>
        <w:rPr>
          <w:rFonts w:ascii="Verdana" w:hAnsi="Verdana"/>
          <w:sz w:val="20"/>
          <w:szCs w:val="20"/>
          <w:lang w:val="es-CO" w:eastAsia="es-MX"/>
        </w:rPr>
      </w:pPr>
    </w:p>
    <w:p w14:paraId="6BDE9B0E" w14:textId="77777777" w:rsidR="00C97BC1" w:rsidRPr="00C97BC1" w:rsidRDefault="005F02C0" w:rsidP="00CB2656">
      <w:pPr>
        <w:pStyle w:val="Ttulo2"/>
        <w:keepLines w:val="0"/>
        <w:widowControl/>
        <w:numPr>
          <w:ilvl w:val="0"/>
          <w:numId w:val="17"/>
        </w:numPr>
        <w:tabs>
          <w:tab w:val="left" w:pos="851"/>
        </w:tabs>
        <w:adjustRightInd/>
        <w:textAlignment w:val="auto"/>
      </w:pPr>
      <w:bookmarkStart w:id="46" w:name="_Toc27509165"/>
      <w:bookmarkStart w:id="47" w:name="_Toc484623840"/>
      <w:r w:rsidRPr="00E25884">
        <w:t>Demanda civil de daños y perjuicios</w:t>
      </w:r>
      <w:bookmarkEnd w:id="46"/>
      <w:r w:rsidRPr="00E25884">
        <w:t xml:space="preserve"> </w:t>
      </w:r>
      <w:bookmarkEnd w:id="47"/>
    </w:p>
    <w:p w14:paraId="55EF6870" w14:textId="77777777" w:rsidR="00C97BC1" w:rsidRPr="00C97BC1" w:rsidRDefault="00C97BC1" w:rsidP="00C97BC1">
      <w:pPr>
        <w:widowControl w:val="0"/>
        <w:tabs>
          <w:tab w:val="left" w:pos="567"/>
        </w:tabs>
        <w:adjustRightInd w:val="0"/>
        <w:spacing w:after="0" w:line="240" w:lineRule="auto"/>
        <w:jc w:val="both"/>
        <w:textAlignment w:val="baseline"/>
        <w:rPr>
          <w:rFonts w:ascii="Verdana" w:eastAsia="Cambria" w:hAnsi="Verdana" w:cs="Cambria"/>
          <w:spacing w:val="1"/>
          <w:sz w:val="20"/>
          <w:szCs w:val="20"/>
          <w:lang w:val="es-ES"/>
        </w:rPr>
      </w:pPr>
    </w:p>
    <w:p w14:paraId="5C86705F" w14:textId="77777777" w:rsidR="005F02C0" w:rsidRDefault="005F02C0"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eastAsia="Cambria" w:hAnsi="Verdana" w:cs="Cambria"/>
          <w:spacing w:val="1"/>
          <w:sz w:val="20"/>
          <w:szCs w:val="20"/>
          <w:lang w:val="es-ES"/>
        </w:rPr>
      </w:pPr>
      <w:r w:rsidRPr="00C97BC1">
        <w:rPr>
          <w:rFonts w:ascii="Verdana" w:hAnsi="Verdana"/>
          <w:sz w:val="20"/>
          <w:szCs w:val="20"/>
          <w:lang w:val="es-ES"/>
        </w:rPr>
        <w:t xml:space="preserve">El 2 de abril de 1993, el señor José Luis Hernández </w:t>
      </w:r>
      <w:r w:rsidRPr="00C97BC1">
        <w:rPr>
          <w:rFonts w:ascii="Verdana" w:eastAsia="Cambria" w:hAnsi="Verdana" w:cs="Cambria"/>
          <w:spacing w:val="1"/>
          <w:sz w:val="20"/>
          <w:szCs w:val="20"/>
          <w:lang w:val="es-ES"/>
        </w:rPr>
        <w:t xml:space="preserve">presentó una demanda civil de daños y perjuicios en contra de la Jefatura de la Policía de la Provincia de Buenos Aires, de Carlos Alberto </w:t>
      </w:r>
      <w:proofErr w:type="spellStart"/>
      <w:r w:rsidRPr="00C97BC1">
        <w:rPr>
          <w:rFonts w:ascii="Verdana" w:eastAsia="Cambria" w:hAnsi="Verdana" w:cs="Cambria"/>
          <w:spacing w:val="1"/>
          <w:sz w:val="20"/>
          <w:szCs w:val="20"/>
          <w:lang w:val="es-ES"/>
        </w:rPr>
        <w:t>Pallero</w:t>
      </w:r>
      <w:proofErr w:type="spellEnd"/>
      <w:r w:rsidRPr="00C97BC1">
        <w:rPr>
          <w:rFonts w:ascii="Verdana" w:eastAsia="Cambria" w:hAnsi="Verdana" w:cs="Cambria"/>
          <w:spacing w:val="1"/>
          <w:sz w:val="20"/>
          <w:szCs w:val="20"/>
          <w:lang w:val="es-ES"/>
        </w:rPr>
        <w:t xml:space="preserve"> y de Lorenzo Alfredo Núñez, por la enfermedad que contrajo mientras se encontraba detenido, así como la falta de atención adecuada y sus secuelas</w:t>
      </w:r>
      <w:r w:rsidRPr="00E25884">
        <w:rPr>
          <w:rStyle w:val="Refdenotaalpie"/>
          <w:rFonts w:ascii="Verdana" w:eastAsia="Cambria" w:hAnsi="Verdana"/>
          <w:spacing w:val="1"/>
          <w:sz w:val="20"/>
          <w:szCs w:val="20"/>
          <w:lang w:val="es-ES"/>
        </w:rPr>
        <w:footnoteReference w:id="83"/>
      </w:r>
      <w:r w:rsidRPr="00C97BC1">
        <w:rPr>
          <w:rFonts w:ascii="Verdana" w:eastAsia="Cambria" w:hAnsi="Verdana" w:cs="Cambria"/>
          <w:spacing w:val="1"/>
          <w:sz w:val="20"/>
          <w:szCs w:val="20"/>
          <w:lang w:val="es-ES"/>
        </w:rPr>
        <w:t>. El 10 de octubre de 1995, se dictó fallo en el que el Juez de Primera Instancia determinó rechazar la demanda al aplicar la prescripción de dos años prevista en el Código Civil, considerando que el cómputo para ejercer la acción civil debía iniciar en el mes de octubre de 1990 ya que el daño ya estaba instalado en el actor. Así las cosas, se consideró que para el 2 de abril de 1993 la acción civil ya estaba prescrita</w:t>
      </w:r>
      <w:r w:rsidRPr="00E25884">
        <w:rPr>
          <w:rStyle w:val="Refdenotaalpie"/>
          <w:rFonts w:ascii="Verdana" w:eastAsia="Cambria" w:hAnsi="Verdana"/>
          <w:spacing w:val="1"/>
          <w:sz w:val="20"/>
          <w:szCs w:val="20"/>
          <w:lang w:val="es-ES"/>
        </w:rPr>
        <w:footnoteReference w:id="84"/>
      </w:r>
      <w:r w:rsidRPr="00C97BC1">
        <w:rPr>
          <w:rFonts w:ascii="Verdana" w:eastAsia="Cambria" w:hAnsi="Verdana" w:cs="Cambria"/>
          <w:spacing w:val="1"/>
          <w:sz w:val="20"/>
          <w:szCs w:val="20"/>
          <w:lang w:val="es-ES"/>
        </w:rPr>
        <w:t>.</w:t>
      </w:r>
    </w:p>
    <w:p w14:paraId="2C91C4A1" w14:textId="77777777" w:rsidR="00C97BC1" w:rsidRPr="00C97BC1" w:rsidRDefault="00C97BC1" w:rsidP="00C97BC1">
      <w:pPr>
        <w:widowControl w:val="0"/>
        <w:tabs>
          <w:tab w:val="left" w:pos="567"/>
        </w:tabs>
        <w:adjustRightInd w:val="0"/>
        <w:spacing w:after="0" w:line="240" w:lineRule="auto"/>
        <w:jc w:val="both"/>
        <w:textAlignment w:val="baseline"/>
        <w:rPr>
          <w:rFonts w:ascii="Verdana" w:eastAsia="Cambria" w:hAnsi="Verdana" w:cs="Cambria"/>
          <w:spacing w:val="1"/>
          <w:sz w:val="20"/>
          <w:szCs w:val="20"/>
          <w:lang w:val="es-ES"/>
        </w:rPr>
      </w:pPr>
    </w:p>
    <w:p w14:paraId="6F311F57" w14:textId="77777777" w:rsidR="005F02C0" w:rsidRDefault="00E226C5"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eastAsia="Cambria" w:hAnsi="Verdana" w:cs="Cambria"/>
          <w:spacing w:val="1"/>
          <w:sz w:val="20"/>
          <w:szCs w:val="20"/>
          <w:lang w:val="es-ES"/>
        </w:rPr>
      </w:pPr>
      <w:r>
        <w:rPr>
          <w:rFonts w:ascii="Verdana" w:eastAsia="Cambria" w:hAnsi="Verdana" w:cs="Cambria"/>
          <w:spacing w:val="1"/>
          <w:sz w:val="20"/>
          <w:szCs w:val="20"/>
          <w:lang w:val="es-ES"/>
        </w:rPr>
        <w:t>El Juez de Primera I</w:t>
      </w:r>
      <w:r w:rsidR="005F02C0" w:rsidRPr="00E25884">
        <w:rPr>
          <w:rFonts w:ascii="Verdana" w:eastAsia="Cambria" w:hAnsi="Verdana" w:cs="Cambria"/>
          <w:spacing w:val="1"/>
          <w:sz w:val="20"/>
          <w:szCs w:val="20"/>
          <w:lang w:val="es-ES"/>
        </w:rPr>
        <w:t xml:space="preserve">nstancia desestimó </w:t>
      </w:r>
      <w:r>
        <w:rPr>
          <w:rFonts w:ascii="Verdana" w:eastAsia="Cambria" w:hAnsi="Verdana" w:cs="Cambria"/>
          <w:spacing w:val="1"/>
          <w:sz w:val="20"/>
          <w:szCs w:val="20"/>
          <w:lang w:val="es-ES"/>
        </w:rPr>
        <w:t>la afirmación</w:t>
      </w:r>
      <w:r w:rsidR="005F02C0" w:rsidRPr="00E25884">
        <w:rPr>
          <w:rFonts w:ascii="Verdana" w:eastAsia="Cambria" w:hAnsi="Verdana" w:cs="Cambria"/>
          <w:spacing w:val="1"/>
          <w:sz w:val="20"/>
          <w:szCs w:val="20"/>
          <w:lang w:val="es-ES"/>
        </w:rPr>
        <w:t xml:space="preserve"> del señor Hernández de que fue hasta el 4 de abril de 1991 -fecha en la que el informe sobre secuelas elaborado por el Servicio Penitenciario Provincial fue recibido por el Juez de la Causa- que conoció de las secuelas físicas causadas con motivo del informe elaborado por el Servicio Penitenciario Provincial</w:t>
      </w:r>
      <w:r w:rsidR="005F02C0" w:rsidRPr="00E25884">
        <w:rPr>
          <w:rStyle w:val="Refdenotaalpie"/>
          <w:rFonts w:ascii="Verdana" w:eastAsia="Cambria" w:hAnsi="Verdana"/>
          <w:spacing w:val="1"/>
          <w:sz w:val="20"/>
          <w:szCs w:val="20"/>
          <w:lang w:val="es-ES"/>
        </w:rPr>
        <w:footnoteReference w:id="85"/>
      </w:r>
      <w:r w:rsidR="005F02C0" w:rsidRPr="00E25884">
        <w:rPr>
          <w:rFonts w:ascii="Verdana" w:eastAsia="Cambria" w:hAnsi="Verdana" w:cs="Cambria"/>
          <w:spacing w:val="1"/>
          <w:sz w:val="20"/>
          <w:szCs w:val="20"/>
          <w:lang w:val="es-ES"/>
        </w:rPr>
        <w:t>. Al respecto, el Juez de Primera Instancia razonó que “al efecto cabe reparar que el daño ya se encontraba instalado en el actor [29 de octubre de 1990, f. 182 causa penal] y el mismo recuperó su libertad el 19 de mayo de 1991 de lo que desprendió que el demandante pudo conocer la afección que lo aquejaba, si es que no la conocía desde antes”</w:t>
      </w:r>
      <w:r w:rsidR="005F02C0" w:rsidRPr="00E25884">
        <w:rPr>
          <w:rStyle w:val="Refdenotaalpie"/>
          <w:rFonts w:ascii="Verdana" w:eastAsia="Cambria" w:hAnsi="Verdana"/>
          <w:spacing w:val="1"/>
          <w:sz w:val="20"/>
          <w:szCs w:val="20"/>
          <w:lang w:val="es-ES"/>
        </w:rPr>
        <w:footnoteReference w:id="86"/>
      </w:r>
      <w:r w:rsidR="005F02C0" w:rsidRPr="00E25884">
        <w:rPr>
          <w:rFonts w:ascii="Verdana" w:eastAsia="Cambria" w:hAnsi="Verdana" w:cs="Cambria"/>
          <w:spacing w:val="1"/>
          <w:sz w:val="20"/>
          <w:szCs w:val="20"/>
          <w:lang w:val="es-ES"/>
        </w:rPr>
        <w:t>.</w:t>
      </w:r>
    </w:p>
    <w:p w14:paraId="4A8C380D" w14:textId="77777777" w:rsidR="00C97BC1" w:rsidRPr="00E25884" w:rsidRDefault="00C97BC1" w:rsidP="00C97BC1">
      <w:pPr>
        <w:widowControl w:val="0"/>
        <w:tabs>
          <w:tab w:val="left" w:pos="567"/>
        </w:tabs>
        <w:adjustRightInd w:val="0"/>
        <w:spacing w:after="0" w:line="240" w:lineRule="auto"/>
        <w:jc w:val="both"/>
        <w:textAlignment w:val="baseline"/>
        <w:rPr>
          <w:rFonts w:ascii="Verdana" w:eastAsia="Cambria" w:hAnsi="Verdana" w:cs="Cambria"/>
          <w:spacing w:val="1"/>
          <w:sz w:val="20"/>
          <w:szCs w:val="20"/>
          <w:lang w:val="es-ES"/>
        </w:rPr>
      </w:pPr>
    </w:p>
    <w:p w14:paraId="004F36D9" w14:textId="77777777" w:rsidR="005F02C0" w:rsidRDefault="005F02C0"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eastAsia="Cambria" w:hAnsi="Verdana" w:cs="Cambria"/>
          <w:spacing w:val="1"/>
          <w:sz w:val="20"/>
          <w:szCs w:val="20"/>
          <w:lang w:val="es-ES"/>
        </w:rPr>
      </w:pPr>
      <w:r w:rsidRPr="00E25884">
        <w:rPr>
          <w:rFonts w:ascii="Verdana" w:eastAsia="Cambria" w:hAnsi="Verdana" w:cs="Cambria"/>
          <w:spacing w:val="1"/>
          <w:sz w:val="20"/>
          <w:szCs w:val="20"/>
          <w:lang w:val="es-ES"/>
        </w:rPr>
        <w:t>El 12 de septiembre de 1996 la Sala Primera de la Cámara 1° de Apelación confirmó la resolución del Juez de Primera Instancia</w:t>
      </w:r>
      <w:r w:rsidRPr="00E25884">
        <w:rPr>
          <w:rStyle w:val="Refdenotaalpie"/>
          <w:rFonts w:ascii="Verdana" w:eastAsia="Cambria" w:hAnsi="Verdana"/>
          <w:spacing w:val="1"/>
          <w:sz w:val="20"/>
          <w:szCs w:val="20"/>
          <w:lang w:val="es-ES"/>
        </w:rPr>
        <w:footnoteReference w:id="87"/>
      </w:r>
      <w:r w:rsidRPr="00E25884">
        <w:rPr>
          <w:rFonts w:ascii="Verdana" w:eastAsia="Cambria" w:hAnsi="Verdana" w:cs="Cambria"/>
          <w:spacing w:val="1"/>
          <w:sz w:val="20"/>
          <w:szCs w:val="20"/>
          <w:lang w:val="es-ES"/>
        </w:rPr>
        <w:t>.</w:t>
      </w:r>
      <w:r w:rsidRPr="00E25884">
        <w:rPr>
          <w:rFonts w:ascii="Verdana" w:eastAsia="Cambria" w:hAnsi="Verdana" w:cs="Cambria"/>
          <w:b/>
          <w:spacing w:val="1"/>
          <w:sz w:val="20"/>
          <w:szCs w:val="20"/>
          <w:lang w:val="es-ES"/>
        </w:rPr>
        <w:t xml:space="preserve"> </w:t>
      </w:r>
      <w:r w:rsidRPr="00E25884">
        <w:rPr>
          <w:rFonts w:ascii="Verdana" w:eastAsia="Cambria" w:hAnsi="Verdana" w:cs="Cambria"/>
          <w:spacing w:val="1"/>
          <w:sz w:val="20"/>
          <w:szCs w:val="20"/>
          <w:lang w:val="es-ES"/>
        </w:rPr>
        <w:t>Posteriormente, el 3 de octubre de 1996 el señor Hernández interpuso un recurso extraordinario de inaplicabilidad de ley de nulidad ante la Suprema Corte de Justicia de la Provincia de Buenos Aires. El 17 de diciembre siguiente, se determinó que la sentencia apelada estaba fundada en expresas normas legales</w:t>
      </w:r>
      <w:r w:rsidRPr="00E25884">
        <w:rPr>
          <w:rStyle w:val="Refdenotaalpie"/>
          <w:rFonts w:ascii="Verdana" w:eastAsia="Cambria" w:hAnsi="Verdana"/>
          <w:spacing w:val="1"/>
          <w:sz w:val="20"/>
          <w:szCs w:val="20"/>
          <w:lang w:val="es-ES"/>
        </w:rPr>
        <w:footnoteReference w:id="88"/>
      </w:r>
      <w:r w:rsidRPr="00E25884">
        <w:rPr>
          <w:rFonts w:ascii="Verdana" w:eastAsia="Cambria" w:hAnsi="Verdana" w:cs="Cambria"/>
          <w:spacing w:val="1"/>
          <w:sz w:val="20"/>
          <w:szCs w:val="20"/>
          <w:lang w:val="es-ES"/>
        </w:rPr>
        <w:t xml:space="preserve">. El 8 de abril de 1997 fue rechazado el recurso extraordinario solicitado por la presunta víctima a fin de que la Corte Suprema de Justicia de la Nación conociera de su demanda. El 17 de diciembre de 1996 el </w:t>
      </w:r>
      <w:r w:rsidRPr="00E25884">
        <w:rPr>
          <w:rFonts w:ascii="Verdana" w:eastAsia="Cambria" w:hAnsi="Verdana" w:cs="Cambria"/>
          <w:spacing w:val="1"/>
          <w:sz w:val="20"/>
          <w:szCs w:val="20"/>
          <w:lang w:val="es-ES"/>
        </w:rPr>
        <w:lastRenderedPageBreak/>
        <w:t>recurso de queja promovido ante la misma Corte Suprema también fue rechazado</w:t>
      </w:r>
      <w:r w:rsidRPr="00E25884">
        <w:rPr>
          <w:rStyle w:val="Refdenotaalpie"/>
          <w:rFonts w:ascii="Verdana" w:eastAsia="Cambria" w:hAnsi="Verdana"/>
          <w:spacing w:val="1"/>
          <w:sz w:val="20"/>
          <w:szCs w:val="20"/>
          <w:lang w:val="es-ES"/>
        </w:rPr>
        <w:footnoteReference w:id="89"/>
      </w:r>
      <w:r w:rsidRPr="00E25884">
        <w:rPr>
          <w:rFonts w:ascii="Verdana" w:eastAsia="Cambria" w:hAnsi="Verdana" w:cs="Cambria"/>
          <w:spacing w:val="1"/>
          <w:sz w:val="20"/>
          <w:szCs w:val="20"/>
          <w:lang w:val="es-ES"/>
        </w:rPr>
        <w:t>.</w:t>
      </w:r>
    </w:p>
    <w:p w14:paraId="79F7DA6D" w14:textId="77777777" w:rsidR="00C97BC1" w:rsidRPr="00E25884" w:rsidRDefault="00C97BC1" w:rsidP="00C97BC1">
      <w:pPr>
        <w:widowControl w:val="0"/>
        <w:tabs>
          <w:tab w:val="left" w:pos="567"/>
        </w:tabs>
        <w:adjustRightInd w:val="0"/>
        <w:spacing w:after="0" w:line="240" w:lineRule="auto"/>
        <w:jc w:val="both"/>
        <w:textAlignment w:val="baseline"/>
        <w:rPr>
          <w:rFonts w:ascii="Verdana" w:eastAsia="Cambria" w:hAnsi="Verdana" w:cs="Cambria"/>
          <w:spacing w:val="1"/>
          <w:sz w:val="20"/>
          <w:szCs w:val="20"/>
          <w:lang w:val="es-ES"/>
        </w:rPr>
      </w:pPr>
    </w:p>
    <w:p w14:paraId="34837F43" w14:textId="77777777" w:rsidR="00574DFE" w:rsidRDefault="00574DFE" w:rsidP="00C97BC1">
      <w:pPr>
        <w:keepNext/>
        <w:keepLines/>
        <w:tabs>
          <w:tab w:val="left" w:pos="851"/>
        </w:tabs>
        <w:spacing w:after="0" w:line="240" w:lineRule="auto"/>
        <w:jc w:val="center"/>
        <w:outlineLvl w:val="0"/>
        <w:rPr>
          <w:rFonts w:ascii="Verdana" w:eastAsia="Times New Roman" w:hAnsi="Verdana" w:cs="Verdana"/>
          <w:b/>
          <w:bCs/>
          <w:caps/>
          <w:snapToGrid w:val="0"/>
          <w:sz w:val="20"/>
          <w:szCs w:val="20"/>
          <w:lang w:val="es-ES_tradnl"/>
        </w:rPr>
      </w:pPr>
      <w:bookmarkStart w:id="48" w:name="_Toc494123986"/>
      <w:bookmarkStart w:id="49" w:name="_Toc7020792"/>
      <w:bookmarkStart w:id="50" w:name="_Toc12726728"/>
      <w:bookmarkStart w:id="51" w:name="_Toc27509166"/>
      <w:r w:rsidRPr="00E25884">
        <w:rPr>
          <w:rFonts w:ascii="Verdana" w:eastAsia="Times New Roman" w:hAnsi="Verdana" w:cs="Verdana"/>
          <w:b/>
          <w:bCs/>
          <w:caps/>
          <w:snapToGrid w:val="0"/>
          <w:sz w:val="20"/>
          <w:szCs w:val="20"/>
          <w:lang w:val="es-ES_tradnl"/>
        </w:rPr>
        <w:t>VI</w:t>
      </w:r>
      <w:r w:rsidR="00002A1A" w:rsidRPr="00E25884">
        <w:rPr>
          <w:rFonts w:ascii="Verdana" w:eastAsia="Times New Roman" w:hAnsi="Verdana" w:cs="Verdana"/>
          <w:b/>
          <w:bCs/>
          <w:caps/>
          <w:snapToGrid w:val="0"/>
          <w:sz w:val="20"/>
          <w:szCs w:val="20"/>
          <w:lang w:val="es-ES_tradnl"/>
        </w:rPr>
        <w:t>I</w:t>
      </w:r>
      <w:r w:rsidRPr="00E25884">
        <w:rPr>
          <w:rFonts w:ascii="Verdana" w:eastAsia="Times New Roman" w:hAnsi="Verdana" w:cs="Verdana"/>
          <w:b/>
          <w:bCs/>
          <w:caps/>
          <w:snapToGrid w:val="0"/>
          <w:sz w:val="20"/>
          <w:szCs w:val="20"/>
          <w:lang w:val="es-ES_tradnl"/>
        </w:rPr>
        <w:br/>
        <w:t>Fondo</w:t>
      </w:r>
      <w:bookmarkEnd w:id="48"/>
      <w:bookmarkEnd w:id="49"/>
      <w:bookmarkEnd w:id="50"/>
      <w:bookmarkEnd w:id="51"/>
    </w:p>
    <w:p w14:paraId="33B5F25A" w14:textId="77777777" w:rsidR="00C97BC1" w:rsidRDefault="00C97BC1" w:rsidP="00C97BC1">
      <w:pPr>
        <w:keepNext/>
        <w:keepLines/>
        <w:tabs>
          <w:tab w:val="left" w:pos="851"/>
        </w:tabs>
        <w:spacing w:after="0" w:line="240" w:lineRule="auto"/>
        <w:jc w:val="center"/>
        <w:outlineLvl w:val="0"/>
        <w:rPr>
          <w:rFonts w:ascii="Verdana" w:eastAsia="Times New Roman" w:hAnsi="Verdana" w:cs="Verdana"/>
          <w:b/>
          <w:bCs/>
          <w:caps/>
          <w:snapToGrid w:val="0"/>
          <w:sz w:val="20"/>
          <w:szCs w:val="20"/>
          <w:lang w:val="es-ES_tradnl"/>
        </w:rPr>
      </w:pPr>
    </w:p>
    <w:p w14:paraId="661F2555" w14:textId="2F1501C4" w:rsidR="00B53A55" w:rsidRPr="00C82EC8" w:rsidRDefault="001A6B43" w:rsidP="00266B1A">
      <w:pPr>
        <w:widowControl w:val="0"/>
        <w:numPr>
          <w:ilvl w:val="0"/>
          <w:numId w:val="12"/>
        </w:numPr>
        <w:tabs>
          <w:tab w:val="left" w:pos="567"/>
          <w:tab w:val="num" w:pos="12305"/>
        </w:tabs>
        <w:adjustRightInd w:val="0"/>
        <w:spacing w:after="0" w:line="240" w:lineRule="auto"/>
        <w:ind w:left="0" w:firstLine="0"/>
        <w:jc w:val="both"/>
        <w:textAlignment w:val="baseline"/>
        <w:rPr>
          <w:rFonts w:ascii="Verdana" w:eastAsia="Verdana" w:hAnsi="Verdana"/>
          <w:bCs/>
          <w:sz w:val="20"/>
          <w:szCs w:val="20"/>
          <w:lang w:val="es-CR" w:eastAsia="x-none"/>
        </w:rPr>
      </w:pPr>
      <w:r w:rsidRPr="00C82EC8">
        <w:rPr>
          <w:rFonts w:ascii="Verdana" w:eastAsia="Verdana" w:hAnsi="Verdana"/>
          <w:bCs/>
          <w:sz w:val="20"/>
          <w:szCs w:val="20"/>
          <w:lang w:val="es-ES_tradnl" w:eastAsia="x-none"/>
        </w:rPr>
        <w:t>Conforme a lo señalado por la</w:t>
      </w:r>
      <w:r w:rsidR="00F66294" w:rsidRPr="00C82EC8">
        <w:rPr>
          <w:rFonts w:ascii="Verdana" w:eastAsia="Verdana" w:hAnsi="Verdana"/>
          <w:bCs/>
          <w:sz w:val="20"/>
          <w:szCs w:val="20"/>
          <w:lang w:val="es-ES_tradnl" w:eastAsia="x-none"/>
        </w:rPr>
        <w:t>s partes y la</w:t>
      </w:r>
      <w:r w:rsidRPr="00C82EC8">
        <w:rPr>
          <w:rFonts w:ascii="Verdana" w:eastAsia="Verdana" w:hAnsi="Verdana"/>
          <w:bCs/>
          <w:sz w:val="20"/>
          <w:szCs w:val="20"/>
          <w:lang w:val="es-ES_tradnl" w:eastAsia="x-none"/>
        </w:rPr>
        <w:t xml:space="preserve"> Comisión, </w:t>
      </w:r>
      <w:r w:rsidR="00F66294" w:rsidRPr="00C82EC8">
        <w:rPr>
          <w:rFonts w:ascii="Verdana" w:eastAsia="Verdana" w:hAnsi="Verdana"/>
          <w:bCs/>
          <w:sz w:val="20"/>
          <w:szCs w:val="20"/>
          <w:lang w:val="es-CR" w:eastAsia="x-none"/>
        </w:rPr>
        <w:t>e</w:t>
      </w:r>
      <w:r w:rsidR="005B0214" w:rsidRPr="00C82EC8">
        <w:rPr>
          <w:rFonts w:ascii="Verdana" w:eastAsia="Verdana" w:hAnsi="Verdana"/>
          <w:bCs/>
          <w:sz w:val="20"/>
          <w:szCs w:val="20"/>
          <w:lang w:val="es-CR" w:eastAsia="x-none"/>
        </w:rPr>
        <w:t>l Tribunal advierte que la</w:t>
      </w:r>
      <w:r w:rsidR="007931BD" w:rsidRPr="00C82EC8">
        <w:rPr>
          <w:rFonts w:ascii="Verdana" w:eastAsia="Verdana" w:hAnsi="Verdana"/>
          <w:bCs/>
          <w:sz w:val="20"/>
          <w:szCs w:val="20"/>
          <w:lang w:val="es-CR" w:eastAsia="x-none"/>
        </w:rPr>
        <w:t>s</w:t>
      </w:r>
      <w:r w:rsidR="005B0214" w:rsidRPr="00C82EC8">
        <w:rPr>
          <w:rFonts w:ascii="Verdana" w:eastAsia="Verdana" w:hAnsi="Verdana"/>
          <w:bCs/>
          <w:sz w:val="20"/>
          <w:szCs w:val="20"/>
          <w:lang w:val="es-CR" w:eastAsia="x-none"/>
        </w:rPr>
        <w:t xml:space="preserve"> controversia</w:t>
      </w:r>
      <w:r w:rsidR="007931BD" w:rsidRPr="00C82EC8">
        <w:rPr>
          <w:rFonts w:ascii="Verdana" w:eastAsia="Verdana" w:hAnsi="Verdana"/>
          <w:bCs/>
          <w:sz w:val="20"/>
          <w:szCs w:val="20"/>
          <w:lang w:val="es-CR" w:eastAsia="x-none"/>
        </w:rPr>
        <w:t>s</w:t>
      </w:r>
      <w:r w:rsidR="005B0214" w:rsidRPr="00C82EC8">
        <w:rPr>
          <w:rFonts w:ascii="Verdana" w:eastAsia="Verdana" w:hAnsi="Verdana"/>
          <w:bCs/>
          <w:sz w:val="20"/>
          <w:szCs w:val="20"/>
          <w:lang w:val="es-CR" w:eastAsia="x-none"/>
        </w:rPr>
        <w:t xml:space="preserve"> en el presente </w:t>
      </w:r>
      <w:r w:rsidR="00F66294" w:rsidRPr="00C82EC8">
        <w:rPr>
          <w:rFonts w:ascii="Verdana" w:eastAsia="Verdana" w:hAnsi="Verdana"/>
          <w:bCs/>
          <w:sz w:val="20"/>
          <w:szCs w:val="20"/>
          <w:lang w:val="es-CR" w:eastAsia="x-none"/>
        </w:rPr>
        <w:t>caso</w:t>
      </w:r>
      <w:r w:rsidR="005B0214" w:rsidRPr="00C82EC8">
        <w:rPr>
          <w:rFonts w:ascii="Verdana" w:eastAsia="Verdana" w:hAnsi="Verdana"/>
          <w:bCs/>
          <w:sz w:val="20"/>
          <w:szCs w:val="20"/>
          <w:lang w:val="es-CR" w:eastAsia="x-none"/>
        </w:rPr>
        <w:t xml:space="preserve"> se </w:t>
      </w:r>
      <w:r w:rsidR="007931BD" w:rsidRPr="00C82EC8">
        <w:rPr>
          <w:rFonts w:ascii="Verdana" w:eastAsia="Verdana" w:hAnsi="Verdana"/>
          <w:bCs/>
          <w:sz w:val="20"/>
          <w:szCs w:val="20"/>
          <w:lang w:val="es-CR" w:eastAsia="x-none"/>
        </w:rPr>
        <w:t>relacionan con las</w:t>
      </w:r>
      <w:r w:rsidR="00F66294" w:rsidRPr="00C82EC8">
        <w:rPr>
          <w:rFonts w:ascii="Verdana" w:eastAsia="Verdana" w:hAnsi="Verdana"/>
          <w:bCs/>
          <w:sz w:val="20"/>
          <w:szCs w:val="20"/>
          <w:lang w:val="es-CR" w:eastAsia="x-none"/>
        </w:rPr>
        <w:t xml:space="preserve"> acciones u omisiones de las autoridades </w:t>
      </w:r>
      <w:r w:rsidR="009C7595" w:rsidRPr="00C82EC8">
        <w:rPr>
          <w:rFonts w:ascii="Verdana" w:eastAsia="Verdana" w:hAnsi="Verdana"/>
          <w:bCs/>
          <w:sz w:val="20"/>
          <w:szCs w:val="20"/>
          <w:lang w:val="es-CR" w:eastAsia="x-none"/>
        </w:rPr>
        <w:t xml:space="preserve">en </w:t>
      </w:r>
      <w:r w:rsidR="00834814" w:rsidRPr="00C82EC8">
        <w:rPr>
          <w:rFonts w:ascii="Verdana" w:eastAsia="Verdana" w:hAnsi="Verdana"/>
          <w:bCs/>
          <w:sz w:val="20"/>
          <w:szCs w:val="20"/>
          <w:lang w:val="es-CR" w:eastAsia="x-none"/>
        </w:rPr>
        <w:t>r</w:t>
      </w:r>
      <w:r w:rsidR="009C7595" w:rsidRPr="00C82EC8">
        <w:rPr>
          <w:rFonts w:ascii="Verdana" w:eastAsia="Verdana" w:hAnsi="Verdana"/>
          <w:bCs/>
          <w:sz w:val="20"/>
          <w:szCs w:val="20"/>
          <w:lang w:val="es-CR" w:eastAsia="x-none"/>
        </w:rPr>
        <w:t>elación</w:t>
      </w:r>
      <w:r w:rsidR="00834814" w:rsidRPr="00C82EC8">
        <w:rPr>
          <w:rFonts w:ascii="Verdana" w:eastAsia="Verdana" w:hAnsi="Verdana"/>
          <w:bCs/>
          <w:sz w:val="20"/>
          <w:szCs w:val="20"/>
          <w:lang w:val="es-CR" w:eastAsia="x-none"/>
        </w:rPr>
        <w:t xml:space="preserve"> con</w:t>
      </w:r>
      <w:r w:rsidR="00212569" w:rsidRPr="00C82EC8">
        <w:rPr>
          <w:rFonts w:ascii="Verdana" w:eastAsia="Verdana" w:hAnsi="Verdana"/>
          <w:bCs/>
          <w:sz w:val="20"/>
          <w:szCs w:val="20"/>
          <w:lang w:val="es-CR" w:eastAsia="x-none"/>
        </w:rPr>
        <w:t xml:space="preserve"> las condiciones carcelarias en que se encontraba</w:t>
      </w:r>
      <w:r w:rsidR="00834814" w:rsidRPr="00C82EC8">
        <w:rPr>
          <w:rFonts w:ascii="Verdana" w:eastAsia="Verdana" w:hAnsi="Verdana"/>
          <w:bCs/>
          <w:sz w:val="20"/>
          <w:szCs w:val="20"/>
          <w:lang w:val="es-CR" w:eastAsia="x-none"/>
        </w:rPr>
        <w:t xml:space="preserve"> el </w:t>
      </w:r>
      <w:r w:rsidR="00F66294" w:rsidRPr="00C82EC8">
        <w:rPr>
          <w:rFonts w:ascii="Verdana" w:eastAsia="Verdana" w:hAnsi="Verdana"/>
          <w:bCs/>
          <w:sz w:val="20"/>
          <w:szCs w:val="20"/>
          <w:lang w:val="es-CR" w:eastAsia="x-none"/>
        </w:rPr>
        <w:t>señor Hernández</w:t>
      </w:r>
      <w:r w:rsidR="00212569" w:rsidRPr="00C82EC8">
        <w:rPr>
          <w:rFonts w:ascii="Verdana" w:eastAsia="Verdana" w:hAnsi="Verdana"/>
          <w:bCs/>
          <w:sz w:val="20"/>
          <w:szCs w:val="20"/>
          <w:lang w:val="es-CR" w:eastAsia="x-none"/>
        </w:rPr>
        <w:t xml:space="preserve"> mientras se encontraba detenido, así como el tratamiento médico que</w:t>
      </w:r>
      <w:r w:rsidR="00834814" w:rsidRPr="00C82EC8">
        <w:rPr>
          <w:rFonts w:ascii="Verdana" w:eastAsia="Verdana" w:hAnsi="Verdana"/>
          <w:bCs/>
          <w:sz w:val="20"/>
          <w:szCs w:val="20"/>
          <w:lang w:val="es-CR" w:eastAsia="x-none"/>
        </w:rPr>
        <w:t xml:space="preserve"> recibió</w:t>
      </w:r>
      <w:r w:rsidR="0005613B" w:rsidRPr="00C82EC8">
        <w:rPr>
          <w:rFonts w:ascii="Verdana" w:eastAsia="Verdana" w:hAnsi="Verdana"/>
          <w:bCs/>
          <w:sz w:val="20"/>
          <w:szCs w:val="20"/>
          <w:lang w:val="es-CR" w:eastAsia="x-none"/>
        </w:rPr>
        <w:t>;</w:t>
      </w:r>
      <w:r w:rsidR="00834814" w:rsidRPr="00C82EC8">
        <w:rPr>
          <w:rFonts w:ascii="Verdana" w:eastAsia="Verdana" w:hAnsi="Verdana"/>
          <w:bCs/>
          <w:sz w:val="20"/>
          <w:szCs w:val="20"/>
          <w:lang w:val="es-CR" w:eastAsia="x-none"/>
        </w:rPr>
        <w:t xml:space="preserve"> la resolución de 14 de febrero de 1989 que ordenó la prisión preventiva;</w:t>
      </w:r>
      <w:r w:rsidR="007931BD" w:rsidRPr="00C82EC8">
        <w:rPr>
          <w:rFonts w:ascii="Verdana" w:eastAsia="Verdana" w:hAnsi="Verdana"/>
          <w:bCs/>
          <w:sz w:val="20"/>
          <w:szCs w:val="20"/>
          <w:lang w:val="es-CR" w:eastAsia="x-none"/>
        </w:rPr>
        <w:t xml:space="preserve"> </w:t>
      </w:r>
      <w:r w:rsidR="00834814" w:rsidRPr="00C82EC8">
        <w:rPr>
          <w:rFonts w:ascii="Verdana" w:eastAsia="Verdana" w:hAnsi="Verdana"/>
          <w:bCs/>
          <w:sz w:val="20"/>
          <w:szCs w:val="20"/>
          <w:lang w:val="es-CR" w:eastAsia="x-none"/>
        </w:rPr>
        <w:t>la</w:t>
      </w:r>
      <w:r w:rsidR="009C7595" w:rsidRPr="00C82EC8">
        <w:rPr>
          <w:rFonts w:ascii="Verdana" w:eastAsia="Verdana" w:hAnsi="Verdana"/>
          <w:bCs/>
          <w:sz w:val="20"/>
          <w:szCs w:val="20"/>
          <w:lang w:val="es-CR" w:eastAsia="x-none"/>
        </w:rPr>
        <w:t xml:space="preserve"> respuesta de las autoridades ante las denuncias de la madre para que se le brindara atención médica al señor Hernández</w:t>
      </w:r>
      <w:r w:rsidR="0005613B" w:rsidRPr="00C82EC8">
        <w:rPr>
          <w:rFonts w:ascii="Verdana" w:eastAsia="Verdana" w:hAnsi="Verdana"/>
          <w:bCs/>
          <w:sz w:val="20"/>
          <w:szCs w:val="20"/>
          <w:lang w:val="es-CR" w:eastAsia="x-none"/>
        </w:rPr>
        <w:t>;</w:t>
      </w:r>
      <w:r w:rsidR="009C7595" w:rsidRPr="00C82EC8">
        <w:rPr>
          <w:rFonts w:ascii="Verdana" w:eastAsia="Verdana" w:hAnsi="Verdana"/>
          <w:bCs/>
          <w:sz w:val="20"/>
          <w:szCs w:val="20"/>
          <w:lang w:val="es-CR" w:eastAsia="x-none"/>
        </w:rPr>
        <w:t xml:space="preserve"> la resolución del Juez de la Causa a la solicitud de excarcelación extraordinaria</w:t>
      </w:r>
      <w:r w:rsidR="0005613B" w:rsidRPr="00C82EC8">
        <w:rPr>
          <w:rFonts w:ascii="Verdana" w:eastAsia="Verdana" w:hAnsi="Verdana"/>
          <w:bCs/>
          <w:sz w:val="20"/>
          <w:szCs w:val="20"/>
          <w:lang w:val="es-CR" w:eastAsia="x-none"/>
        </w:rPr>
        <w:t xml:space="preserve"> presentada por sus abogados</w:t>
      </w:r>
      <w:r w:rsidR="009C7595" w:rsidRPr="00C82EC8">
        <w:rPr>
          <w:rFonts w:ascii="Verdana" w:eastAsia="Verdana" w:hAnsi="Verdana"/>
          <w:bCs/>
          <w:sz w:val="20"/>
          <w:szCs w:val="20"/>
          <w:lang w:val="es-CR" w:eastAsia="x-none"/>
        </w:rPr>
        <w:t>;</w:t>
      </w:r>
      <w:r w:rsidR="007931BD" w:rsidRPr="00C82EC8">
        <w:rPr>
          <w:rFonts w:ascii="Verdana" w:eastAsia="Verdana" w:hAnsi="Verdana"/>
          <w:bCs/>
          <w:sz w:val="20"/>
          <w:szCs w:val="20"/>
          <w:lang w:val="es-CR" w:eastAsia="x-none"/>
        </w:rPr>
        <w:t xml:space="preserve"> </w:t>
      </w:r>
      <w:r w:rsidR="009C7595" w:rsidRPr="00C82EC8">
        <w:rPr>
          <w:rFonts w:ascii="Verdana" w:eastAsia="Verdana" w:hAnsi="Verdana"/>
          <w:bCs/>
          <w:sz w:val="20"/>
          <w:szCs w:val="20"/>
          <w:lang w:val="es-CR" w:eastAsia="x-none"/>
        </w:rPr>
        <w:t>la respuesta a la demanda civil de daños y perjuicio</w:t>
      </w:r>
      <w:r w:rsidR="0008039A">
        <w:rPr>
          <w:rFonts w:ascii="Verdana" w:eastAsia="Verdana" w:hAnsi="Verdana"/>
          <w:bCs/>
          <w:sz w:val="20"/>
          <w:szCs w:val="20"/>
          <w:lang w:val="es-CR" w:eastAsia="x-none"/>
        </w:rPr>
        <w:t>s,</w:t>
      </w:r>
      <w:r w:rsidR="0005613B" w:rsidRPr="00C82EC8">
        <w:rPr>
          <w:rFonts w:ascii="Verdana" w:eastAsia="Verdana" w:hAnsi="Verdana"/>
          <w:bCs/>
          <w:sz w:val="20"/>
          <w:szCs w:val="20"/>
          <w:lang w:val="es-CR" w:eastAsia="x-none"/>
        </w:rPr>
        <w:t xml:space="preserve"> y</w:t>
      </w:r>
      <w:r w:rsidR="007931BD" w:rsidRPr="00C82EC8">
        <w:rPr>
          <w:rFonts w:ascii="Verdana" w:eastAsia="Verdana" w:hAnsi="Verdana"/>
          <w:bCs/>
          <w:sz w:val="20"/>
          <w:szCs w:val="20"/>
          <w:lang w:val="es-CR" w:eastAsia="x-none"/>
        </w:rPr>
        <w:t xml:space="preserve"> </w:t>
      </w:r>
      <w:r w:rsidR="00CC4139" w:rsidRPr="00C82EC8">
        <w:rPr>
          <w:rFonts w:ascii="Verdana" w:eastAsia="Verdana" w:hAnsi="Verdana"/>
          <w:bCs/>
          <w:sz w:val="20"/>
          <w:szCs w:val="20"/>
          <w:lang w:val="es-CR" w:eastAsia="x-none"/>
        </w:rPr>
        <w:t>los sufrimientos que experimentó</w:t>
      </w:r>
      <w:r w:rsidR="009C7595" w:rsidRPr="00C82EC8">
        <w:rPr>
          <w:rFonts w:ascii="Verdana" w:eastAsia="Verdana" w:hAnsi="Verdana"/>
          <w:bCs/>
          <w:sz w:val="20"/>
          <w:szCs w:val="20"/>
          <w:lang w:val="es-CR" w:eastAsia="x-none"/>
        </w:rPr>
        <w:t xml:space="preserve"> la madre del señor Hernández</w:t>
      </w:r>
      <w:r w:rsidR="0005613B" w:rsidRPr="00C82EC8">
        <w:rPr>
          <w:rFonts w:ascii="Verdana" w:eastAsia="Verdana" w:hAnsi="Verdana"/>
          <w:bCs/>
          <w:sz w:val="20"/>
          <w:szCs w:val="20"/>
          <w:lang w:val="es-CR" w:eastAsia="x-none"/>
        </w:rPr>
        <w:t xml:space="preserve"> por el deterioro de la salud de su hijo</w:t>
      </w:r>
      <w:r w:rsidR="009C7595" w:rsidRPr="00C82EC8">
        <w:rPr>
          <w:rFonts w:ascii="Verdana" w:eastAsia="Verdana" w:hAnsi="Verdana"/>
          <w:bCs/>
          <w:sz w:val="20"/>
          <w:szCs w:val="20"/>
          <w:lang w:val="es-CR" w:eastAsia="x-none"/>
        </w:rPr>
        <w:t>.</w:t>
      </w:r>
      <w:r w:rsidR="00B53A55" w:rsidRPr="00C82EC8">
        <w:rPr>
          <w:rFonts w:ascii="Verdana" w:eastAsia="Verdana" w:hAnsi="Verdana"/>
          <w:bCs/>
          <w:sz w:val="20"/>
          <w:szCs w:val="20"/>
          <w:lang w:val="es-CR" w:eastAsia="x-none"/>
        </w:rPr>
        <w:t xml:space="preserve"> </w:t>
      </w:r>
      <w:r w:rsidR="009C7595" w:rsidRPr="00C82EC8">
        <w:rPr>
          <w:rFonts w:ascii="Verdana" w:eastAsia="Verdana" w:hAnsi="Verdana"/>
          <w:bCs/>
          <w:sz w:val="20"/>
          <w:szCs w:val="20"/>
          <w:lang w:val="es-CR" w:eastAsia="x-none"/>
        </w:rPr>
        <w:t xml:space="preserve">En razón de lo anterior, la Corte analizará el presente caso </w:t>
      </w:r>
      <w:r w:rsidR="00E8398F" w:rsidRPr="00C82EC8">
        <w:rPr>
          <w:rFonts w:ascii="Verdana" w:eastAsia="Verdana" w:hAnsi="Verdana"/>
          <w:bCs/>
          <w:sz w:val="20"/>
          <w:szCs w:val="20"/>
          <w:lang w:val="es-CR" w:eastAsia="x-none"/>
        </w:rPr>
        <w:t>en el siguiente orden</w:t>
      </w:r>
      <w:r w:rsidR="007931BD" w:rsidRPr="00C82EC8">
        <w:rPr>
          <w:rFonts w:ascii="Verdana" w:eastAsia="Verdana" w:hAnsi="Verdana"/>
          <w:bCs/>
          <w:sz w:val="20"/>
          <w:szCs w:val="20"/>
          <w:lang w:val="es-CR" w:eastAsia="x-none"/>
        </w:rPr>
        <w:t>, en relación con el señor Hernández</w:t>
      </w:r>
      <w:r w:rsidR="009C7595" w:rsidRPr="00C82EC8">
        <w:rPr>
          <w:rFonts w:ascii="Verdana" w:eastAsia="Verdana" w:hAnsi="Verdana"/>
          <w:bCs/>
          <w:sz w:val="20"/>
          <w:szCs w:val="20"/>
          <w:lang w:val="es-CR" w:eastAsia="x-none"/>
        </w:rPr>
        <w:t xml:space="preserve">: </w:t>
      </w:r>
      <w:r w:rsidR="00283375" w:rsidRPr="00C82EC8">
        <w:rPr>
          <w:rFonts w:ascii="Verdana" w:eastAsia="Verdana" w:hAnsi="Verdana"/>
          <w:bCs/>
          <w:sz w:val="20"/>
          <w:szCs w:val="20"/>
          <w:lang w:val="es-CR" w:eastAsia="x-none"/>
        </w:rPr>
        <w:t>a</w:t>
      </w:r>
      <w:r w:rsidR="00E8398F" w:rsidRPr="00C82EC8">
        <w:rPr>
          <w:rFonts w:ascii="Verdana" w:eastAsia="Verdana" w:hAnsi="Verdana"/>
          <w:bCs/>
          <w:sz w:val="20"/>
          <w:szCs w:val="20"/>
          <w:lang w:val="es-CR" w:eastAsia="x-none"/>
        </w:rPr>
        <w:t xml:space="preserve">) la </w:t>
      </w:r>
      <w:r w:rsidR="00DC0211" w:rsidRPr="00C82EC8">
        <w:rPr>
          <w:rFonts w:ascii="Verdana" w:eastAsia="Verdana" w:hAnsi="Verdana"/>
          <w:bCs/>
          <w:sz w:val="20"/>
          <w:szCs w:val="20"/>
          <w:lang w:val="es-CR" w:eastAsia="x-none"/>
        </w:rPr>
        <w:t>presunta</w:t>
      </w:r>
      <w:r w:rsidR="00E8398F" w:rsidRPr="00C82EC8">
        <w:rPr>
          <w:rFonts w:ascii="Verdana" w:eastAsia="Verdana" w:hAnsi="Verdana"/>
          <w:bCs/>
          <w:sz w:val="20"/>
          <w:szCs w:val="20"/>
          <w:lang w:val="es-CR" w:eastAsia="x-none"/>
        </w:rPr>
        <w:t xml:space="preserve"> violaci</w:t>
      </w:r>
      <w:r w:rsidR="0005613B" w:rsidRPr="00C82EC8">
        <w:rPr>
          <w:rFonts w:ascii="Verdana" w:eastAsia="Verdana" w:hAnsi="Verdana"/>
          <w:bCs/>
          <w:sz w:val="20"/>
          <w:szCs w:val="20"/>
          <w:lang w:val="es-CR" w:eastAsia="x-none"/>
        </w:rPr>
        <w:t>ón al derecho</w:t>
      </w:r>
      <w:r w:rsidR="00E8398F" w:rsidRPr="00C82EC8">
        <w:rPr>
          <w:rFonts w:ascii="Verdana" w:eastAsia="Verdana" w:hAnsi="Verdana"/>
          <w:bCs/>
          <w:sz w:val="20"/>
          <w:szCs w:val="20"/>
          <w:lang w:val="es-CR" w:eastAsia="x-none"/>
        </w:rPr>
        <w:t xml:space="preserve"> a </w:t>
      </w:r>
      <w:r w:rsidR="00212569" w:rsidRPr="00C82EC8">
        <w:rPr>
          <w:rFonts w:ascii="Verdana" w:eastAsia="Verdana" w:hAnsi="Verdana"/>
          <w:bCs/>
          <w:sz w:val="20"/>
          <w:szCs w:val="20"/>
          <w:lang w:val="es-CR" w:eastAsia="x-none"/>
        </w:rPr>
        <w:t>la integridad personal y a la salud</w:t>
      </w:r>
      <w:r w:rsidR="00E8398F" w:rsidRPr="00C82EC8">
        <w:rPr>
          <w:rFonts w:ascii="Verdana" w:eastAsia="Verdana" w:hAnsi="Verdana"/>
          <w:bCs/>
          <w:sz w:val="20"/>
          <w:szCs w:val="20"/>
          <w:lang w:val="es-CR" w:eastAsia="x-none"/>
        </w:rPr>
        <w:t xml:space="preserve">; </w:t>
      </w:r>
      <w:r w:rsidR="00283375" w:rsidRPr="00C82EC8">
        <w:rPr>
          <w:rFonts w:ascii="Verdana" w:eastAsia="Verdana" w:hAnsi="Verdana"/>
          <w:bCs/>
          <w:sz w:val="20"/>
          <w:szCs w:val="20"/>
          <w:lang w:val="es-CR" w:eastAsia="x-none"/>
        </w:rPr>
        <w:t>b</w:t>
      </w:r>
      <w:r w:rsidR="00E8398F" w:rsidRPr="00C82EC8">
        <w:rPr>
          <w:rFonts w:ascii="Verdana" w:eastAsia="Verdana" w:hAnsi="Verdana"/>
          <w:bCs/>
          <w:sz w:val="20"/>
          <w:szCs w:val="20"/>
          <w:lang w:val="es-CR" w:eastAsia="x-none"/>
        </w:rPr>
        <w:t xml:space="preserve">) la </w:t>
      </w:r>
      <w:r w:rsidR="00DC0211" w:rsidRPr="00C82EC8">
        <w:rPr>
          <w:rFonts w:ascii="Verdana" w:eastAsia="Verdana" w:hAnsi="Verdana"/>
          <w:bCs/>
          <w:sz w:val="20"/>
          <w:szCs w:val="20"/>
          <w:lang w:val="es-CR" w:eastAsia="x-none"/>
        </w:rPr>
        <w:t>presunta</w:t>
      </w:r>
      <w:r w:rsidR="00E8398F" w:rsidRPr="00C82EC8">
        <w:rPr>
          <w:rFonts w:ascii="Verdana" w:eastAsia="Verdana" w:hAnsi="Verdana"/>
          <w:bCs/>
          <w:sz w:val="20"/>
          <w:szCs w:val="20"/>
          <w:lang w:val="es-CR" w:eastAsia="x-none"/>
        </w:rPr>
        <w:t xml:space="preserve"> violación al</w:t>
      </w:r>
      <w:r w:rsidR="0008039A">
        <w:rPr>
          <w:rFonts w:ascii="Verdana" w:eastAsia="Verdana" w:hAnsi="Verdana"/>
          <w:bCs/>
          <w:sz w:val="20"/>
          <w:szCs w:val="20"/>
          <w:lang w:val="es-CR" w:eastAsia="x-none"/>
        </w:rPr>
        <w:t xml:space="preserve"> derecho a la libertad personal,</w:t>
      </w:r>
      <w:r w:rsidR="00E8398F" w:rsidRPr="00C82EC8">
        <w:rPr>
          <w:rFonts w:ascii="Verdana" w:eastAsia="Verdana" w:hAnsi="Verdana"/>
          <w:bCs/>
          <w:sz w:val="20"/>
          <w:szCs w:val="20"/>
          <w:lang w:val="es-CR" w:eastAsia="x-none"/>
        </w:rPr>
        <w:t xml:space="preserve"> y </w:t>
      </w:r>
      <w:r w:rsidR="00283375" w:rsidRPr="00C82EC8">
        <w:rPr>
          <w:rFonts w:ascii="Verdana" w:eastAsia="Verdana" w:hAnsi="Verdana"/>
          <w:bCs/>
          <w:sz w:val="20"/>
          <w:szCs w:val="20"/>
          <w:lang w:val="es-CR" w:eastAsia="x-none"/>
        </w:rPr>
        <w:t>c</w:t>
      </w:r>
      <w:r w:rsidR="00E8398F" w:rsidRPr="00C82EC8">
        <w:rPr>
          <w:rFonts w:ascii="Verdana" w:eastAsia="Verdana" w:hAnsi="Verdana"/>
          <w:bCs/>
          <w:sz w:val="20"/>
          <w:szCs w:val="20"/>
          <w:lang w:val="es-CR" w:eastAsia="x-none"/>
        </w:rPr>
        <w:t xml:space="preserve">) la </w:t>
      </w:r>
      <w:r w:rsidR="00DC0211" w:rsidRPr="00C82EC8">
        <w:rPr>
          <w:rFonts w:ascii="Verdana" w:eastAsia="Verdana" w:hAnsi="Verdana"/>
          <w:bCs/>
          <w:sz w:val="20"/>
          <w:szCs w:val="20"/>
          <w:lang w:val="es-CR" w:eastAsia="x-none"/>
        </w:rPr>
        <w:t>presunta</w:t>
      </w:r>
      <w:r w:rsidR="00E8398F" w:rsidRPr="00C82EC8">
        <w:rPr>
          <w:rFonts w:ascii="Verdana" w:eastAsia="Verdana" w:hAnsi="Verdana"/>
          <w:bCs/>
          <w:sz w:val="20"/>
          <w:szCs w:val="20"/>
          <w:lang w:val="es-CR" w:eastAsia="x-none"/>
        </w:rPr>
        <w:t xml:space="preserve"> violación a las garantías judiciales y la protección judicial. Asimismo, analizará si existió una violación al derecho a la integridad person</w:t>
      </w:r>
      <w:r w:rsidR="00CC4139" w:rsidRPr="00C82EC8">
        <w:rPr>
          <w:rFonts w:ascii="Verdana" w:eastAsia="Verdana" w:hAnsi="Verdana"/>
          <w:bCs/>
          <w:sz w:val="20"/>
          <w:szCs w:val="20"/>
          <w:lang w:val="es-CR" w:eastAsia="x-none"/>
        </w:rPr>
        <w:t>al de la señora Raquel San Martí</w:t>
      </w:r>
      <w:r w:rsidR="00E8398F" w:rsidRPr="00C82EC8">
        <w:rPr>
          <w:rFonts w:ascii="Verdana" w:eastAsia="Verdana" w:hAnsi="Verdana"/>
          <w:bCs/>
          <w:sz w:val="20"/>
          <w:szCs w:val="20"/>
          <w:lang w:val="es-CR" w:eastAsia="x-none"/>
        </w:rPr>
        <w:t>n</w:t>
      </w:r>
      <w:r w:rsidR="007931BD" w:rsidRPr="00C82EC8">
        <w:rPr>
          <w:rFonts w:ascii="Verdana" w:eastAsia="Verdana" w:hAnsi="Verdana"/>
          <w:bCs/>
          <w:sz w:val="20"/>
          <w:szCs w:val="20"/>
          <w:lang w:val="es-CR" w:eastAsia="x-none"/>
        </w:rPr>
        <w:t>, madre de la presunta víctima</w:t>
      </w:r>
      <w:r w:rsidR="00E8398F" w:rsidRPr="00C82EC8">
        <w:rPr>
          <w:rFonts w:ascii="Verdana" w:eastAsia="Verdana" w:hAnsi="Verdana"/>
          <w:bCs/>
          <w:sz w:val="20"/>
          <w:szCs w:val="20"/>
          <w:lang w:val="es-CR" w:eastAsia="x-none"/>
        </w:rPr>
        <w:t xml:space="preserve">. </w:t>
      </w:r>
    </w:p>
    <w:p w14:paraId="53E82863" w14:textId="77777777" w:rsidR="005B0214" w:rsidRDefault="005B0214" w:rsidP="00C97BC1">
      <w:pPr>
        <w:keepNext/>
        <w:keepLines/>
        <w:tabs>
          <w:tab w:val="left" w:pos="851"/>
        </w:tabs>
        <w:spacing w:after="0" w:line="240" w:lineRule="auto"/>
        <w:jc w:val="center"/>
        <w:outlineLvl w:val="0"/>
        <w:rPr>
          <w:rFonts w:ascii="Verdana" w:eastAsia="Times New Roman" w:hAnsi="Verdana" w:cs="Verdana"/>
          <w:b/>
          <w:bCs/>
          <w:caps/>
          <w:snapToGrid w:val="0"/>
          <w:sz w:val="20"/>
          <w:szCs w:val="20"/>
          <w:lang w:val="es-ES_tradnl"/>
        </w:rPr>
      </w:pPr>
    </w:p>
    <w:p w14:paraId="5A17187F" w14:textId="6395C7E5" w:rsidR="003024F9" w:rsidRPr="007C33C3" w:rsidRDefault="003024F9" w:rsidP="003024F9">
      <w:pPr>
        <w:pStyle w:val="Ttulo2"/>
        <w:numPr>
          <w:ilvl w:val="0"/>
          <w:numId w:val="0"/>
        </w:numPr>
        <w:jc w:val="center"/>
        <w:rPr>
          <w:i w:val="0"/>
        </w:rPr>
      </w:pPr>
      <w:bookmarkStart w:id="52" w:name="_Toc27509167"/>
      <w:r w:rsidRPr="00C82EC8">
        <w:rPr>
          <w:rFonts w:eastAsia="Times New Roman" w:cs="Verdana"/>
          <w:bCs/>
          <w:i w:val="0"/>
          <w:caps/>
          <w:snapToGrid w:val="0"/>
          <w:lang w:val="es-ES_tradnl"/>
        </w:rPr>
        <w:t>VII-1</w:t>
      </w:r>
      <w:r w:rsidRPr="00C82EC8">
        <w:rPr>
          <w:rFonts w:eastAsia="Times New Roman" w:cs="Verdana"/>
          <w:bCs/>
          <w:i w:val="0"/>
          <w:caps/>
          <w:snapToGrid w:val="0"/>
          <w:lang w:val="es-ES_tradnl"/>
        </w:rPr>
        <w:br/>
      </w:r>
      <w:r w:rsidRPr="00C82EC8">
        <w:rPr>
          <w:i w:val="0"/>
        </w:rPr>
        <w:t>DERECHO A LA INTEGRIDAD PERSONAL</w:t>
      </w:r>
      <w:r w:rsidRPr="00C82EC8">
        <w:rPr>
          <w:rStyle w:val="Refdenotaalpie"/>
          <w:i w:val="0"/>
        </w:rPr>
        <w:footnoteReference w:id="90"/>
      </w:r>
      <w:r w:rsidR="002D6147" w:rsidRPr="00C82EC8">
        <w:rPr>
          <w:i w:val="0"/>
        </w:rPr>
        <w:t xml:space="preserve"> Y </w:t>
      </w:r>
      <w:r w:rsidR="00CE6C26">
        <w:rPr>
          <w:i w:val="0"/>
        </w:rPr>
        <w:t xml:space="preserve">DERECHO A </w:t>
      </w:r>
      <w:r w:rsidR="002D6147" w:rsidRPr="00C82EC8">
        <w:rPr>
          <w:i w:val="0"/>
        </w:rPr>
        <w:t>LA SALUD</w:t>
      </w:r>
      <w:r w:rsidR="002D6147" w:rsidRPr="00C82EC8">
        <w:rPr>
          <w:rStyle w:val="Refdenotaalpie"/>
          <w:i w:val="0"/>
        </w:rPr>
        <w:footnoteReference w:id="91"/>
      </w:r>
      <w:bookmarkEnd w:id="52"/>
    </w:p>
    <w:p w14:paraId="4313B04E" w14:textId="77777777" w:rsidR="003024F9" w:rsidRPr="007C33C3" w:rsidRDefault="003024F9" w:rsidP="003024F9">
      <w:pPr>
        <w:spacing w:after="0" w:line="240" w:lineRule="auto"/>
        <w:outlineLvl w:val="2"/>
        <w:rPr>
          <w:rFonts w:ascii="Verdana" w:hAnsi="Verdana"/>
          <w:sz w:val="20"/>
          <w:szCs w:val="20"/>
          <w:lang w:eastAsia="es-MX"/>
        </w:rPr>
      </w:pPr>
    </w:p>
    <w:p w14:paraId="655F76F3" w14:textId="77777777" w:rsidR="003024F9" w:rsidRPr="007C33C3" w:rsidRDefault="003024F9" w:rsidP="003024F9">
      <w:pPr>
        <w:pStyle w:val="Prrafodelista"/>
        <w:numPr>
          <w:ilvl w:val="0"/>
          <w:numId w:val="15"/>
        </w:numPr>
        <w:spacing w:after="0" w:line="240" w:lineRule="auto"/>
        <w:outlineLvl w:val="2"/>
        <w:rPr>
          <w:rFonts w:ascii="Verdana" w:hAnsi="Verdana"/>
          <w:b/>
          <w:i/>
          <w:sz w:val="20"/>
          <w:szCs w:val="20"/>
          <w:lang w:eastAsia="es-MX"/>
        </w:rPr>
      </w:pPr>
      <w:bookmarkStart w:id="53" w:name="_Toc27509168"/>
      <w:r w:rsidRPr="007C33C3">
        <w:rPr>
          <w:rFonts w:ascii="Verdana" w:hAnsi="Verdana"/>
          <w:b/>
          <w:i/>
          <w:sz w:val="20"/>
          <w:szCs w:val="20"/>
          <w:lang w:eastAsia="es-MX"/>
        </w:rPr>
        <w:t>Argumentos de la Comisión y de las partes</w:t>
      </w:r>
      <w:bookmarkEnd w:id="53"/>
    </w:p>
    <w:p w14:paraId="1A634795" w14:textId="77777777" w:rsidR="003024F9" w:rsidRPr="007C33C3" w:rsidRDefault="003024F9" w:rsidP="003024F9">
      <w:pPr>
        <w:widowControl w:val="0"/>
        <w:tabs>
          <w:tab w:val="left" w:pos="567"/>
        </w:tabs>
        <w:adjustRightInd w:val="0"/>
        <w:spacing w:after="0" w:line="240" w:lineRule="auto"/>
        <w:jc w:val="both"/>
        <w:textAlignment w:val="baseline"/>
        <w:rPr>
          <w:rFonts w:ascii="Verdana" w:hAnsi="Verdana"/>
          <w:sz w:val="20"/>
          <w:szCs w:val="20"/>
          <w:lang w:eastAsia="es-MX"/>
        </w:rPr>
      </w:pPr>
    </w:p>
    <w:p w14:paraId="6DBDE9E8" w14:textId="1F9B1C0A" w:rsidR="003024F9" w:rsidRPr="006E413C" w:rsidRDefault="003024F9" w:rsidP="006E413C">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sz w:val="20"/>
          <w:szCs w:val="20"/>
          <w:lang w:eastAsia="es-MX"/>
        </w:rPr>
      </w:pPr>
      <w:r w:rsidRPr="007C33C3">
        <w:rPr>
          <w:rFonts w:ascii="Verdana" w:hAnsi="Verdana"/>
          <w:sz w:val="20"/>
          <w:szCs w:val="20"/>
          <w:lang w:eastAsia="es-MX"/>
        </w:rPr>
        <w:t xml:space="preserve">La </w:t>
      </w:r>
      <w:r w:rsidRPr="007C33C3">
        <w:rPr>
          <w:rFonts w:ascii="Verdana" w:hAnsi="Verdana"/>
          <w:b/>
          <w:i/>
          <w:sz w:val="20"/>
          <w:szCs w:val="20"/>
          <w:lang w:eastAsia="es-MX"/>
        </w:rPr>
        <w:t xml:space="preserve">Comisión </w:t>
      </w:r>
      <w:r w:rsidRPr="007C33C3">
        <w:rPr>
          <w:rFonts w:ascii="Verdana" w:hAnsi="Verdana"/>
          <w:sz w:val="20"/>
          <w:szCs w:val="20"/>
          <w:lang w:eastAsia="es-MX"/>
        </w:rPr>
        <w:t xml:space="preserve">manifestó que surgen dos obligaciones esenciales de los Estados frente a la </w:t>
      </w:r>
      <w:r w:rsidRPr="006E413C">
        <w:rPr>
          <w:rFonts w:ascii="Verdana" w:hAnsi="Verdana"/>
          <w:sz w:val="20"/>
          <w:szCs w:val="20"/>
          <w:lang w:eastAsia="es-MX"/>
        </w:rPr>
        <w:t>salud de las personas privadas de libertad: i) una atención médica oportuna en aras de la realización de un dia</w:t>
      </w:r>
      <w:r w:rsidR="0008039A" w:rsidRPr="006E413C">
        <w:rPr>
          <w:rFonts w:ascii="Verdana" w:hAnsi="Verdana"/>
          <w:sz w:val="20"/>
          <w:szCs w:val="20"/>
          <w:lang w:eastAsia="es-MX"/>
        </w:rPr>
        <w:t>gnóstico médico integral,</w:t>
      </w:r>
      <w:r w:rsidRPr="006E413C">
        <w:rPr>
          <w:rFonts w:ascii="Verdana" w:hAnsi="Verdana"/>
          <w:sz w:val="20"/>
          <w:szCs w:val="20"/>
          <w:lang w:eastAsia="es-MX"/>
        </w:rPr>
        <w:t xml:space="preserve"> y </w:t>
      </w:r>
      <w:proofErr w:type="spellStart"/>
      <w:r w:rsidRPr="006E413C">
        <w:rPr>
          <w:rFonts w:ascii="Verdana" w:hAnsi="Verdana"/>
          <w:sz w:val="20"/>
          <w:szCs w:val="20"/>
          <w:lang w:eastAsia="es-MX"/>
        </w:rPr>
        <w:t>ii</w:t>
      </w:r>
      <w:proofErr w:type="spellEnd"/>
      <w:r w:rsidRPr="006E413C">
        <w:rPr>
          <w:rFonts w:ascii="Verdana" w:hAnsi="Verdana"/>
          <w:sz w:val="20"/>
          <w:szCs w:val="20"/>
          <w:lang w:eastAsia="es-MX"/>
        </w:rPr>
        <w:t>) un tratamiento adecuado de conformidad con el principio de equivalencia. En relación con el presente caso, la Comisión alegó que en múltiples ocasiones las autoridades omitieron proveer una atención médica que permitiera el diagnóstico oportuno de los padecimientos del señor Hernández, y que estas omisiones tuvieron lugar por un periodo prolongado no explicado ni justificado por el Estado. La Comisión consideró que frente a los síntomas del señor Hernández, era una obligación de todas las autoridades adoptar todas las medidas necesarias para obtener un diagnóstico y proveer un tratamiento específico para la meningitis. En cuanto al tratamiento recibido por el señor Hernández, la Comisión alegó que éste no cumplió con los estándares internacionales sobre el principio de equivalencia. Adicionalmente, estimó que los impactos que la meningitis tuvo en la presunta víctima son un elemento más para acreditar la falta de atención médica adecuada. La Comisión concluyó que el Estado es responsable por la violación del derecho a la integridad personal del señor Hernández y a no ser sometido a tratos crueles, inhumanos y degradantes.</w:t>
      </w:r>
    </w:p>
    <w:p w14:paraId="29C34DC3" w14:textId="77777777" w:rsidR="003024F9" w:rsidRPr="006E413C" w:rsidRDefault="003024F9" w:rsidP="006E413C">
      <w:pPr>
        <w:widowControl w:val="0"/>
        <w:tabs>
          <w:tab w:val="left" w:pos="567"/>
        </w:tabs>
        <w:adjustRightInd w:val="0"/>
        <w:spacing w:after="0" w:line="240" w:lineRule="auto"/>
        <w:jc w:val="both"/>
        <w:textAlignment w:val="baseline"/>
        <w:rPr>
          <w:rFonts w:ascii="Verdana" w:hAnsi="Verdana"/>
          <w:sz w:val="20"/>
          <w:szCs w:val="20"/>
          <w:lang w:eastAsia="es-MX"/>
        </w:rPr>
      </w:pPr>
    </w:p>
    <w:p w14:paraId="448AFBA5" w14:textId="24722350" w:rsidR="003024F9" w:rsidRPr="006E413C" w:rsidRDefault="003024F9" w:rsidP="006E413C">
      <w:pPr>
        <w:widowControl w:val="0"/>
        <w:numPr>
          <w:ilvl w:val="0"/>
          <w:numId w:val="12"/>
        </w:numPr>
        <w:tabs>
          <w:tab w:val="left" w:pos="567"/>
          <w:tab w:val="num" w:pos="12305"/>
        </w:tabs>
        <w:adjustRightInd w:val="0"/>
        <w:spacing w:after="0" w:line="240" w:lineRule="auto"/>
        <w:ind w:left="0" w:firstLine="0"/>
        <w:jc w:val="both"/>
        <w:textAlignment w:val="baseline"/>
        <w:rPr>
          <w:rFonts w:ascii="Verdana" w:eastAsia="Cambria" w:hAnsi="Verdana" w:cs="Cambria"/>
          <w:sz w:val="20"/>
          <w:szCs w:val="20"/>
          <w:lang w:val="es-ES"/>
        </w:rPr>
      </w:pPr>
      <w:r w:rsidRPr="006E413C">
        <w:rPr>
          <w:rFonts w:ascii="Verdana" w:hAnsi="Verdana"/>
          <w:sz w:val="20"/>
          <w:szCs w:val="20"/>
          <w:lang w:eastAsia="es-MX"/>
        </w:rPr>
        <w:t xml:space="preserve">Los </w:t>
      </w:r>
      <w:r w:rsidRPr="006E413C">
        <w:rPr>
          <w:rFonts w:ascii="Verdana" w:hAnsi="Verdana"/>
          <w:b/>
          <w:i/>
          <w:sz w:val="20"/>
          <w:szCs w:val="20"/>
          <w:lang w:eastAsia="es-MX"/>
        </w:rPr>
        <w:t>representantes</w:t>
      </w:r>
      <w:r w:rsidRPr="006E413C">
        <w:rPr>
          <w:rFonts w:ascii="Verdana" w:hAnsi="Verdana"/>
          <w:sz w:val="20"/>
          <w:szCs w:val="20"/>
          <w:lang w:eastAsia="es-MX"/>
        </w:rPr>
        <w:t xml:space="preserve"> </w:t>
      </w:r>
      <w:r w:rsidRPr="006E413C">
        <w:rPr>
          <w:rFonts w:ascii="Verdana" w:eastAsia="Cambria" w:hAnsi="Verdana" w:cs="Cambria"/>
          <w:sz w:val="20"/>
          <w:szCs w:val="20"/>
          <w:lang w:val="es-ES"/>
        </w:rPr>
        <w:t>señalaron que el Estado argentino privó al señor Hernández de su derecho a ser cuidado encontrándose bajo su exclusiva responsabilidad.</w:t>
      </w:r>
      <w:bookmarkStart w:id="54" w:name="_Hlk529286241"/>
      <w:r w:rsidRPr="006E413C">
        <w:rPr>
          <w:rFonts w:ascii="Verdana" w:eastAsia="Cambria" w:hAnsi="Verdana" w:cs="Cambria"/>
          <w:sz w:val="20"/>
          <w:szCs w:val="20"/>
          <w:lang w:val="es-ES"/>
        </w:rPr>
        <w:t xml:space="preserve"> Manifestaron que el Estado se desentendió de su obligación de prestarle los cuidados necesarios a fin de preservar al menos el estado de salud que tenía antes de ingresar al sistema penal de privación de libertad</w:t>
      </w:r>
      <w:r w:rsidR="00C30A25" w:rsidRPr="006E413C">
        <w:rPr>
          <w:rFonts w:ascii="Verdana" w:eastAsia="Cambria" w:hAnsi="Verdana" w:cs="Cambria"/>
          <w:sz w:val="20"/>
          <w:szCs w:val="20"/>
          <w:lang w:val="es-ES"/>
        </w:rPr>
        <w:t>.</w:t>
      </w:r>
      <w:r w:rsidRPr="006E413C">
        <w:rPr>
          <w:rFonts w:ascii="Verdana" w:eastAsia="Cambria" w:hAnsi="Verdana" w:cs="Cambria"/>
          <w:sz w:val="20"/>
          <w:szCs w:val="20"/>
          <w:lang w:val="es-ES"/>
        </w:rPr>
        <w:t xml:space="preserve"> En concreto, alegaron que el Estado violó el derecho a la integridad personal y a la salud del señor Hernández por la falta de un oportuno diagnóstico y atención médica adecuada y en condiciones de equivalencia, mientras se encontraba preso y bajo la guarda excluyente del Estado, omisiones reiteradas que fueron la causa de los graves perjuicios y secuelas permanentes en su salud física </w:t>
      </w:r>
      <w:r w:rsidRPr="006E413C">
        <w:rPr>
          <w:rFonts w:ascii="Verdana" w:eastAsia="Cambria" w:hAnsi="Verdana" w:cs="Cambria"/>
          <w:sz w:val="20"/>
          <w:szCs w:val="20"/>
          <w:lang w:val="es-ES"/>
        </w:rPr>
        <w:lastRenderedPageBreak/>
        <w:t xml:space="preserve">y psíquica. Asimismo, solicitaron que en atención al principio </w:t>
      </w:r>
      <w:proofErr w:type="spellStart"/>
      <w:r w:rsidRPr="006E413C">
        <w:rPr>
          <w:rFonts w:ascii="Verdana" w:eastAsia="Cambria" w:hAnsi="Verdana" w:cs="Cambria"/>
          <w:i/>
          <w:sz w:val="20"/>
          <w:szCs w:val="20"/>
          <w:lang w:val="es-ES"/>
        </w:rPr>
        <w:t>iura</w:t>
      </w:r>
      <w:proofErr w:type="spellEnd"/>
      <w:r w:rsidRPr="006E413C">
        <w:rPr>
          <w:rFonts w:ascii="Verdana" w:eastAsia="Cambria" w:hAnsi="Verdana" w:cs="Cambria"/>
          <w:i/>
          <w:sz w:val="20"/>
          <w:szCs w:val="20"/>
          <w:lang w:val="es-ES"/>
        </w:rPr>
        <w:t xml:space="preserve"> </w:t>
      </w:r>
      <w:proofErr w:type="spellStart"/>
      <w:r w:rsidRPr="006E413C">
        <w:rPr>
          <w:rFonts w:ascii="Verdana" w:eastAsia="Cambria" w:hAnsi="Verdana" w:cs="Cambria"/>
          <w:i/>
          <w:sz w:val="20"/>
          <w:szCs w:val="20"/>
          <w:lang w:val="es-ES"/>
        </w:rPr>
        <w:t>novit</w:t>
      </w:r>
      <w:proofErr w:type="spellEnd"/>
      <w:r w:rsidRPr="006E413C">
        <w:rPr>
          <w:rFonts w:ascii="Verdana" w:eastAsia="Cambria" w:hAnsi="Verdana" w:cs="Cambria"/>
          <w:i/>
          <w:sz w:val="20"/>
          <w:szCs w:val="20"/>
          <w:lang w:val="es-ES"/>
        </w:rPr>
        <w:t xml:space="preserve"> curia </w:t>
      </w:r>
      <w:r w:rsidRPr="006E413C">
        <w:rPr>
          <w:rFonts w:ascii="Verdana" w:eastAsia="Cambria" w:hAnsi="Verdana" w:cs="Cambria"/>
          <w:sz w:val="20"/>
          <w:szCs w:val="20"/>
          <w:lang w:val="es-ES"/>
        </w:rPr>
        <w:t>la Corte declare la violación al derecho a la vida, toda vez que su deterioro físico y muerte fue resultado de sus padecimientos iniciados mientras se encontraba detenido.</w:t>
      </w:r>
    </w:p>
    <w:p w14:paraId="22E4BF90" w14:textId="77777777" w:rsidR="003024F9" w:rsidRPr="006E413C" w:rsidRDefault="003024F9" w:rsidP="006E413C">
      <w:pPr>
        <w:widowControl w:val="0"/>
        <w:tabs>
          <w:tab w:val="left" w:pos="567"/>
        </w:tabs>
        <w:adjustRightInd w:val="0"/>
        <w:spacing w:after="0" w:line="240" w:lineRule="auto"/>
        <w:jc w:val="both"/>
        <w:textAlignment w:val="baseline"/>
        <w:rPr>
          <w:rFonts w:ascii="Verdana" w:eastAsia="Cambria" w:hAnsi="Verdana" w:cs="Cambria"/>
          <w:sz w:val="20"/>
          <w:szCs w:val="20"/>
          <w:lang w:val="es-ES"/>
        </w:rPr>
      </w:pPr>
    </w:p>
    <w:bookmarkEnd w:id="54"/>
    <w:p w14:paraId="3C95A9E4" w14:textId="67982FE2" w:rsidR="003024F9" w:rsidRPr="006E413C" w:rsidRDefault="003024F9" w:rsidP="006E413C">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cs="Cambria"/>
          <w:sz w:val="20"/>
          <w:szCs w:val="20"/>
          <w:lang w:val="es-ES"/>
        </w:rPr>
      </w:pPr>
      <w:r w:rsidRPr="006E413C">
        <w:rPr>
          <w:rFonts w:ascii="Verdana" w:hAnsi="Verdana"/>
          <w:sz w:val="20"/>
          <w:szCs w:val="20"/>
          <w:lang w:eastAsia="es-MX"/>
        </w:rPr>
        <w:t xml:space="preserve">El </w:t>
      </w:r>
      <w:r w:rsidRPr="006E413C">
        <w:rPr>
          <w:rFonts w:ascii="Verdana" w:hAnsi="Verdana"/>
          <w:b/>
          <w:i/>
          <w:sz w:val="20"/>
          <w:szCs w:val="20"/>
          <w:lang w:eastAsia="es-MX"/>
        </w:rPr>
        <w:t>Estado</w:t>
      </w:r>
      <w:r w:rsidRPr="006E413C">
        <w:rPr>
          <w:rFonts w:ascii="Verdana" w:hAnsi="Verdana"/>
          <w:sz w:val="20"/>
          <w:szCs w:val="20"/>
          <w:lang w:eastAsia="es-MX"/>
        </w:rPr>
        <w:t xml:space="preserve"> alegó que </w:t>
      </w:r>
      <w:r w:rsidRPr="006E413C">
        <w:rPr>
          <w:rFonts w:ascii="Verdana" w:hAnsi="Verdana" w:cs="Cambria"/>
          <w:sz w:val="20"/>
          <w:szCs w:val="20"/>
          <w:lang w:val="es-ES"/>
        </w:rPr>
        <w:t>no existen elementos para considerar que antes del 10 de julio de 1990 el estado de salud del señor Hernández estuviera afectado, pues no hubo denuncias ante el juez a pesar de varios planteamientos</w:t>
      </w:r>
      <w:r w:rsidR="00C30A25" w:rsidRPr="006E413C">
        <w:rPr>
          <w:rFonts w:ascii="Verdana" w:hAnsi="Verdana" w:cs="Cambria"/>
          <w:sz w:val="20"/>
          <w:szCs w:val="20"/>
          <w:lang w:val="es-ES"/>
        </w:rPr>
        <w:t xml:space="preserve"> que su representante realizara</w:t>
      </w:r>
      <w:r w:rsidRPr="006E413C">
        <w:rPr>
          <w:rFonts w:ascii="Verdana" w:hAnsi="Verdana" w:cs="Cambria"/>
          <w:sz w:val="20"/>
          <w:szCs w:val="20"/>
          <w:lang w:val="es-ES"/>
        </w:rPr>
        <w:t>. El Estado explicó que el estado gripal informado por la madre del señor Hernández en julio de 1989 no constituyó un peligro para su salud y que no existe medio probatorio alguno que per</w:t>
      </w:r>
      <w:r w:rsidR="00C30A25" w:rsidRPr="006E413C">
        <w:rPr>
          <w:rFonts w:ascii="Verdana" w:hAnsi="Verdana" w:cs="Cambria"/>
          <w:sz w:val="20"/>
          <w:szCs w:val="20"/>
          <w:lang w:val="es-ES"/>
        </w:rPr>
        <w:t>mite sustentar dicha afirmación</w:t>
      </w:r>
      <w:r w:rsidRPr="006E413C">
        <w:rPr>
          <w:rFonts w:ascii="Verdana" w:hAnsi="Verdana" w:cs="Cambria"/>
          <w:sz w:val="20"/>
          <w:szCs w:val="20"/>
          <w:lang w:val="es-ES"/>
        </w:rPr>
        <w:t xml:space="preserve">. Sostuvo que fue hasta el 2 de agosto de 1990 que se puso en conocimiento del juez que el señor Hernández había sido diagnosticado con una posible hepatitis, ordenándose una serie de estudios e internación inmediata. En esa lógica, el Estado alegó que el tratamiento médico recibido desde entonces fue efectuado de manera constante y permanente en uno de los más prestigiosos nosocomios públicos de la provincia de Buenos Aires, el Hospital “San Juan de Dios” de la Ciudad de la Plata. Adicionalmente, el Estado sostuvo que no es posible asimilar las dolencias que el señor Hernández presentó en julio de 1989 con aquellas que derivaron en un cuadro de meningitis del 15 de agosto de 1990. De esta forma, el Estado desconoció que exista alguna relación entre ambas patologías y sostuvo que esta relación debió ser demostrada con una pericia médica. Finalmente, sostuvo </w:t>
      </w:r>
      <w:proofErr w:type="gramStart"/>
      <w:r w:rsidRPr="006E413C">
        <w:rPr>
          <w:rFonts w:ascii="Verdana" w:hAnsi="Verdana" w:cs="Cambria"/>
          <w:sz w:val="20"/>
          <w:szCs w:val="20"/>
          <w:lang w:val="es-ES"/>
        </w:rPr>
        <w:t>que</w:t>
      </w:r>
      <w:proofErr w:type="gramEnd"/>
      <w:r w:rsidRPr="006E413C">
        <w:rPr>
          <w:rFonts w:ascii="Verdana" w:hAnsi="Verdana" w:cs="Cambria"/>
          <w:sz w:val="20"/>
          <w:szCs w:val="20"/>
          <w:lang w:val="es-ES"/>
        </w:rPr>
        <w:t xml:space="preserve"> de las declaraciones de la madre de la presunta víctima, ocurridas el 23 de octubre de 1990, se desprende que no existieron tratos crueles e inhumanos en perjuicio del señor Hernández. En consecuencia, el Estado solicitó que se declare que el Estado no es responsable por la violación a los artículos 5.1 y 5.2 de la Convención.</w:t>
      </w:r>
    </w:p>
    <w:p w14:paraId="54A35A9B" w14:textId="77777777" w:rsidR="003024F9" w:rsidRPr="006E413C" w:rsidRDefault="003024F9" w:rsidP="006E413C">
      <w:pPr>
        <w:widowControl w:val="0"/>
        <w:tabs>
          <w:tab w:val="left" w:pos="567"/>
        </w:tabs>
        <w:adjustRightInd w:val="0"/>
        <w:spacing w:after="0" w:line="240" w:lineRule="auto"/>
        <w:jc w:val="both"/>
        <w:textAlignment w:val="baseline"/>
        <w:rPr>
          <w:rFonts w:ascii="Verdana" w:hAnsi="Verdana" w:cs="Cambria"/>
          <w:sz w:val="20"/>
          <w:szCs w:val="20"/>
          <w:lang w:val="es-ES"/>
        </w:rPr>
      </w:pPr>
    </w:p>
    <w:p w14:paraId="19D7D0CA" w14:textId="77777777" w:rsidR="003024F9" w:rsidRPr="006E413C" w:rsidRDefault="003024F9" w:rsidP="006E413C">
      <w:pPr>
        <w:pStyle w:val="Prrafodelista"/>
        <w:numPr>
          <w:ilvl w:val="0"/>
          <w:numId w:val="15"/>
        </w:numPr>
        <w:spacing w:after="0" w:line="240" w:lineRule="auto"/>
        <w:outlineLvl w:val="2"/>
        <w:rPr>
          <w:rFonts w:ascii="Verdana" w:hAnsi="Verdana"/>
          <w:b/>
          <w:i/>
          <w:sz w:val="20"/>
          <w:szCs w:val="20"/>
          <w:lang w:eastAsia="es-MX"/>
        </w:rPr>
      </w:pPr>
      <w:bookmarkStart w:id="55" w:name="_Toc27509169"/>
      <w:r w:rsidRPr="006E413C">
        <w:rPr>
          <w:rFonts w:ascii="Verdana" w:hAnsi="Verdana"/>
          <w:b/>
          <w:i/>
          <w:sz w:val="20"/>
          <w:szCs w:val="20"/>
          <w:lang w:eastAsia="es-MX"/>
        </w:rPr>
        <w:t>Consideraciones de la Corte</w:t>
      </w:r>
      <w:bookmarkEnd w:id="55"/>
    </w:p>
    <w:p w14:paraId="2F12359B" w14:textId="5F918F2F" w:rsidR="0081565D" w:rsidRPr="006E413C" w:rsidRDefault="0081565D" w:rsidP="006E413C">
      <w:pPr>
        <w:spacing w:after="0" w:line="240" w:lineRule="auto"/>
        <w:jc w:val="both"/>
        <w:rPr>
          <w:rFonts w:ascii="Verdana" w:eastAsia="Verdana" w:hAnsi="Verdana"/>
          <w:bCs/>
          <w:sz w:val="20"/>
          <w:szCs w:val="20"/>
          <w:lang w:val="es-CR" w:eastAsia="x-none"/>
        </w:rPr>
      </w:pPr>
    </w:p>
    <w:p w14:paraId="63F5F888" w14:textId="3237DCAA" w:rsidR="0081565D" w:rsidRPr="006E413C" w:rsidRDefault="0081565D" w:rsidP="006E413C">
      <w:pPr>
        <w:pStyle w:val="Prrafodelista"/>
        <w:numPr>
          <w:ilvl w:val="0"/>
          <w:numId w:val="12"/>
        </w:numPr>
        <w:spacing w:after="0" w:line="240" w:lineRule="auto"/>
        <w:ind w:left="0" w:firstLine="0"/>
        <w:jc w:val="both"/>
        <w:rPr>
          <w:rFonts w:ascii="Verdana" w:eastAsia="Verdana" w:hAnsi="Verdana"/>
          <w:bCs/>
          <w:sz w:val="20"/>
          <w:szCs w:val="20"/>
          <w:lang w:val="es-CR" w:eastAsia="x-none"/>
        </w:rPr>
      </w:pPr>
      <w:r w:rsidRPr="006E413C">
        <w:rPr>
          <w:rFonts w:ascii="Verdana" w:eastAsia="Verdana" w:hAnsi="Verdana"/>
          <w:bCs/>
          <w:sz w:val="20"/>
          <w:szCs w:val="20"/>
          <w:lang w:val="es-CR" w:eastAsia="x-none"/>
        </w:rPr>
        <w:t xml:space="preserve">El Tribunal advierte que la controversia en este apartado consiste en determinar si el Estado es responsable por la violación a la integridad personal del señor Hernández como consecuencia de las condiciones carcelarias en las que se encontraba detenido, así como por la alegada falta de tratamiento médico adecuado mientras estuvo privado de libertad y por las consecuencias que dicho tratamiento –o la falta de él- pudo tener en su salud. La Corte advierte que ni la Comisión ni los representantes alegaron de manera expresa la violación del artículo 26 de la Convención, en lo que respecta al derecho a la salud. Sin embargo, en virtud de principio </w:t>
      </w:r>
      <w:proofErr w:type="spellStart"/>
      <w:r w:rsidRPr="006E413C">
        <w:rPr>
          <w:rFonts w:ascii="Verdana" w:eastAsia="Verdana" w:hAnsi="Verdana"/>
          <w:bCs/>
          <w:i/>
          <w:sz w:val="20"/>
          <w:szCs w:val="20"/>
          <w:lang w:val="es-CR" w:eastAsia="x-none"/>
        </w:rPr>
        <w:t>iura</w:t>
      </w:r>
      <w:proofErr w:type="spellEnd"/>
      <w:r w:rsidRPr="006E413C">
        <w:rPr>
          <w:rFonts w:ascii="Verdana" w:eastAsia="Verdana" w:hAnsi="Verdana"/>
          <w:bCs/>
          <w:i/>
          <w:sz w:val="20"/>
          <w:szCs w:val="20"/>
          <w:lang w:val="es-CR" w:eastAsia="x-none"/>
        </w:rPr>
        <w:t xml:space="preserve"> </w:t>
      </w:r>
      <w:proofErr w:type="spellStart"/>
      <w:r w:rsidRPr="006E413C">
        <w:rPr>
          <w:rFonts w:ascii="Verdana" w:eastAsia="Verdana" w:hAnsi="Verdana"/>
          <w:bCs/>
          <w:i/>
          <w:sz w:val="20"/>
          <w:szCs w:val="20"/>
          <w:lang w:val="es-CR" w:eastAsia="x-none"/>
        </w:rPr>
        <w:t>novit</w:t>
      </w:r>
      <w:proofErr w:type="spellEnd"/>
      <w:r w:rsidRPr="006E413C">
        <w:rPr>
          <w:rFonts w:ascii="Verdana" w:eastAsia="Verdana" w:hAnsi="Verdana"/>
          <w:bCs/>
          <w:i/>
          <w:sz w:val="20"/>
          <w:szCs w:val="20"/>
          <w:lang w:val="es-CR" w:eastAsia="x-none"/>
        </w:rPr>
        <w:t xml:space="preserve"> curia</w:t>
      </w:r>
      <w:r w:rsidRPr="006E413C">
        <w:rPr>
          <w:rFonts w:ascii="Verdana" w:eastAsia="Verdana" w:hAnsi="Verdana"/>
          <w:bCs/>
          <w:sz w:val="20"/>
          <w:szCs w:val="20"/>
          <w:lang w:val="es-CR" w:eastAsia="x-none"/>
        </w:rPr>
        <w:t>, del cual se ha valido reiteradamente la jurisprudencia internacional,</w:t>
      </w:r>
      <w:r w:rsidR="00C30A25" w:rsidRPr="006E413C">
        <w:rPr>
          <w:rFonts w:ascii="Verdana" w:eastAsia="Verdana" w:hAnsi="Verdana"/>
          <w:bCs/>
          <w:sz w:val="20"/>
          <w:szCs w:val="20"/>
          <w:lang w:val="es-CR" w:eastAsia="x-none"/>
        </w:rPr>
        <w:t xml:space="preserve"> en el sentido de que el juzgador posee la facultad</w:t>
      </w:r>
      <w:r w:rsidRPr="006E413C">
        <w:rPr>
          <w:rFonts w:ascii="Verdana" w:eastAsia="Verdana" w:hAnsi="Verdana"/>
          <w:bCs/>
          <w:sz w:val="20"/>
          <w:szCs w:val="20"/>
          <w:lang w:val="es-CR" w:eastAsia="x-none"/>
        </w:rPr>
        <w:t xml:space="preserve"> </w:t>
      </w:r>
      <w:r w:rsidR="00487C80" w:rsidRPr="006E413C">
        <w:rPr>
          <w:rFonts w:ascii="Verdana" w:hAnsi="Verdana"/>
          <w:sz w:val="20"/>
          <w:szCs w:val="20"/>
        </w:rPr>
        <w:t>para estudiar la posible violación de las normas de la Convención que no han sido alegadas en los escritos presentados ante ella, en la inteligencia de que las partes han tenido la oportunidad de expresar sus respectivas posiciones en relación con los hechos que las sustentan</w:t>
      </w:r>
      <w:r w:rsidRPr="006E413C">
        <w:rPr>
          <w:rStyle w:val="Refdenotaalpie"/>
          <w:rFonts w:ascii="Verdana" w:hAnsi="Verdana"/>
          <w:sz w:val="20"/>
          <w:szCs w:val="20"/>
          <w:lang w:val="es-DO"/>
        </w:rPr>
        <w:footnoteReference w:id="92"/>
      </w:r>
      <w:r w:rsidRPr="006E413C">
        <w:rPr>
          <w:rFonts w:ascii="Verdana" w:hAnsi="Verdana"/>
          <w:sz w:val="20"/>
          <w:szCs w:val="20"/>
          <w:lang w:val="es-DO"/>
        </w:rPr>
        <w:t xml:space="preserve">, </w:t>
      </w:r>
      <w:r w:rsidRPr="006E413C">
        <w:rPr>
          <w:rFonts w:ascii="Verdana" w:eastAsia="Verdana" w:hAnsi="Verdana"/>
          <w:bCs/>
          <w:sz w:val="20"/>
          <w:szCs w:val="20"/>
          <w:lang w:val="es-CR" w:eastAsia="x-none"/>
        </w:rPr>
        <w:t xml:space="preserve">el Tribunal se pronunciará respecto del derecho a la salud. En razón de lo anterior, en el presente apartado la Corte abordará la cuestión en el siguiente orden: a) </w:t>
      </w:r>
      <w:r w:rsidR="00487C80" w:rsidRPr="006E413C">
        <w:rPr>
          <w:rFonts w:ascii="Verdana" w:eastAsia="Verdana" w:hAnsi="Verdana"/>
          <w:bCs/>
          <w:sz w:val="20"/>
          <w:szCs w:val="20"/>
          <w:lang w:val="es-CR" w:eastAsia="x-none"/>
        </w:rPr>
        <w:t>analizará los alegatos respecto de la vulneración a la integridad personal</w:t>
      </w:r>
      <w:r w:rsidRPr="006E413C">
        <w:rPr>
          <w:rFonts w:ascii="Verdana" w:eastAsia="Verdana" w:hAnsi="Verdana"/>
          <w:bCs/>
          <w:sz w:val="20"/>
          <w:szCs w:val="20"/>
          <w:lang w:val="es-CR" w:eastAsia="x-none"/>
        </w:rPr>
        <w:t>, y b) procederá a analizar si en el presente caso se violó el derecho a la salud del señor Hernández.</w:t>
      </w:r>
    </w:p>
    <w:p w14:paraId="2074136D" w14:textId="4E43DAA0" w:rsidR="002D6147" w:rsidRPr="006E413C" w:rsidRDefault="002D6147" w:rsidP="006E413C">
      <w:pPr>
        <w:widowControl w:val="0"/>
        <w:tabs>
          <w:tab w:val="left" w:pos="567"/>
        </w:tabs>
        <w:adjustRightInd w:val="0"/>
        <w:spacing w:after="0" w:line="240" w:lineRule="auto"/>
        <w:jc w:val="both"/>
        <w:textAlignment w:val="baseline"/>
        <w:rPr>
          <w:lang w:val="es-CR"/>
        </w:rPr>
      </w:pPr>
    </w:p>
    <w:p w14:paraId="08B4D18C" w14:textId="7A865910" w:rsidR="002D6147" w:rsidRPr="006E413C" w:rsidRDefault="002D6147" w:rsidP="006E413C">
      <w:pPr>
        <w:pStyle w:val="Ttulo3"/>
        <w:numPr>
          <w:ilvl w:val="0"/>
          <w:numId w:val="0"/>
        </w:numPr>
        <w:ind w:left="851"/>
        <w:rPr>
          <w:bCs/>
          <w:lang w:val="es-CR"/>
        </w:rPr>
      </w:pPr>
      <w:bookmarkStart w:id="56" w:name="_Toc27509170"/>
      <w:r w:rsidRPr="006E413C">
        <w:rPr>
          <w:lang w:val="es-CO"/>
        </w:rPr>
        <w:t xml:space="preserve">B.1. El contenido del derecho a la integridad personal </w:t>
      </w:r>
      <w:r w:rsidRPr="006E413C">
        <w:rPr>
          <w:lang w:eastAsia="es-MX"/>
        </w:rPr>
        <w:t>de las personas privadas de libertad</w:t>
      </w:r>
      <w:bookmarkEnd w:id="56"/>
    </w:p>
    <w:p w14:paraId="1BD7A740" w14:textId="77777777" w:rsidR="002D6147" w:rsidRPr="006E413C" w:rsidRDefault="002D6147" w:rsidP="006E413C">
      <w:pPr>
        <w:widowControl w:val="0"/>
        <w:tabs>
          <w:tab w:val="left" w:pos="567"/>
        </w:tabs>
        <w:adjustRightInd w:val="0"/>
        <w:spacing w:after="0" w:line="240" w:lineRule="auto"/>
        <w:jc w:val="both"/>
        <w:textAlignment w:val="baseline"/>
        <w:rPr>
          <w:rFonts w:ascii="Verdana" w:hAnsi="Verdana"/>
          <w:bCs/>
          <w:sz w:val="20"/>
          <w:szCs w:val="20"/>
          <w:lang w:val="es-CR"/>
        </w:rPr>
      </w:pPr>
    </w:p>
    <w:p w14:paraId="3B380F5A" w14:textId="3B7E27F9" w:rsidR="002D6147" w:rsidRPr="006E413C" w:rsidRDefault="0081565D" w:rsidP="006E413C">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bCs/>
          <w:sz w:val="20"/>
          <w:szCs w:val="20"/>
          <w:lang w:val="es-CR"/>
        </w:rPr>
      </w:pPr>
      <w:r w:rsidRPr="006E413C">
        <w:rPr>
          <w:rFonts w:ascii="Verdana" w:eastAsia="Times" w:hAnsi="Verdana" w:cs="Arial"/>
          <w:sz w:val="20"/>
          <w:szCs w:val="20"/>
          <w:lang w:val="es-CR"/>
        </w:rPr>
        <w:t>L</w:t>
      </w:r>
      <w:r w:rsidR="002D6147" w:rsidRPr="006E413C">
        <w:rPr>
          <w:rFonts w:ascii="Verdana" w:eastAsiaTheme="minorHAnsi" w:hAnsi="Verdana" w:cs="Arial"/>
          <w:sz w:val="20"/>
          <w:szCs w:val="20"/>
          <w:lang w:val="es-CR"/>
        </w:rPr>
        <w:t xml:space="preserve">a Convención Americana reconoce en su artículo 5 que toda persona tiene derecho a que se respete su integridad física, psíquica y moral, prevé que nadie debe ser sometido a torturas ni a penas o tratos crueles, inhumanos o degradantes, y establece que toda persona privada de libertad deberá ser tratada con el respeto debido a la dignidad inherente del ser humano. La Corte ha establecido que la infracción a la integridad personal es una clase de violación que tiene diversas connotaciones de grado y cuyas secuelas físicas y psíquicas varían de intensidad según </w:t>
      </w:r>
      <w:r w:rsidR="002D6147" w:rsidRPr="006E413C">
        <w:rPr>
          <w:rFonts w:ascii="Verdana" w:eastAsiaTheme="minorHAnsi" w:hAnsi="Verdana" w:cs="Arial"/>
          <w:sz w:val="20"/>
          <w:szCs w:val="20"/>
          <w:lang w:val="es-CR"/>
        </w:rPr>
        <w:lastRenderedPageBreak/>
        <w:t>los factores endógenos y exógenos que deberán ser demostrados en cada situación concreta</w:t>
      </w:r>
      <w:r w:rsidR="002D6147" w:rsidRPr="006E413C">
        <w:rPr>
          <w:rFonts w:ascii="Verdana" w:hAnsi="Verdana"/>
          <w:sz w:val="20"/>
          <w:szCs w:val="20"/>
          <w:vertAlign w:val="superscript"/>
        </w:rPr>
        <w:footnoteReference w:id="93"/>
      </w:r>
      <w:r w:rsidR="002D6147" w:rsidRPr="006E413C">
        <w:rPr>
          <w:rFonts w:ascii="Verdana" w:eastAsiaTheme="minorHAnsi" w:hAnsi="Verdana" w:cs="Arial"/>
          <w:sz w:val="20"/>
          <w:szCs w:val="20"/>
          <w:lang w:val="es-CR"/>
        </w:rPr>
        <w:t xml:space="preserve">. El Tribunal también ha señalado que </w:t>
      </w:r>
      <w:r w:rsidR="002D6147" w:rsidRPr="006E413C">
        <w:rPr>
          <w:rFonts w:ascii="Verdana" w:hAnsi="Verdana"/>
          <w:sz w:val="20"/>
          <w:szCs w:val="20"/>
          <w:lang w:val="es-CR"/>
        </w:rPr>
        <w:t>el derecho a la integridad personal es de tal importancia que no puede ser suspendido bajo ninguna circunstancia</w:t>
      </w:r>
      <w:r w:rsidR="002D6147" w:rsidRPr="006E413C">
        <w:rPr>
          <w:rStyle w:val="FootnoteAnchor"/>
          <w:rFonts w:ascii="Verdana" w:hAnsi="Verdana"/>
          <w:sz w:val="20"/>
          <w:szCs w:val="20"/>
          <w:lang w:val="es-CR"/>
        </w:rPr>
        <w:footnoteReference w:id="94"/>
      </w:r>
      <w:r w:rsidR="002D6147" w:rsidRPr="006E413C">
        <w:rPr>
          <w:rFonts w:ascii="Verdana" w:hAnsi="Verdana"/>
          <w:sz w:val="20"/>
          <w:szCs w:val="20"/>
          <w:lang w:val="es-CR"/>
        </w:rPr>
        <w:t xml:space="preserve">. </w:t>
      </w:r>
      <w:r w:rsidR="002D6147" w:rsidRPr="006E413C">
        <w:rPr>
          <w:rFonts w:ascii="Verdana" w:hAnsi="Verdana"/>
          <w:bCs/>
          <w:sz w:val="20"/>
          <w:szCs w:val="20"/>
          <w:lang w:val="es-CR"/>
        </w:rPr>
        <w:t>Asimismo, la Corte ha señalado que de las obligaciones generales de respetar y garantizar los derechos que establece el artículo 1.1 de la Convención Americana derivan deberes especiales determinables en función de las particulares necesidades de protección del sujeto de derecho, ya sea por su condición personal o por la situación específica en que se encuentre</w:t>
      </w:r>
      <w:r w:rsidR="002D6147" w:rsidRPr="006E413C">
        <w:rPr>
          <w:rStyle w:val="FootnoteAnchor"/>
          <w:rFonts w:ascii="Verdana" w:hAnsi="Verdana"/>
          <w:bCs/>
          <w:sz w:val="20"/>
          <w:szCs w:val="20"/>
          <w:lang w:val="es-CR"/>
        </w:rPr>
        <w:footnoteReference w:id="95"/>
      </w:r>
      <w:r w:rsidR="002D6147" w:rsidRPr="006E413C">
        <w:rPr>
          <w:rFonts w:ascii="Verdana" w:hAnsi="Verdana"/>
          <w:bCs/>
          <w:sz w:val="20"/>
          <w:szCs w:val="20"/>
          <w:lang w:val="es-CR"/>
        </w:rPr>
        <w:t>.</w:t>
      </w:r>
    </w:p>
    <w:p w14:paraId="70B1C603" w14:textId="77777777" w:rsidR="002D6147" w:rsidRPr="006E413C" w:rsidRDefault="002D6147" w:rsidP="006E413C">
      <w:pPr>
        <w:widowControl w:val="0"/>
        <w:tabs>
          <w:tab w:val="left" w:pos="567"/>
        </w:tabs>
        <w:adjustRightInd w:val="0"/>
        <w:spacing w:after="0" w:line="240" w:lineRule="auto"/>
        <w:jc w:val="both"/>
        <w:textAlignment w:val="baseline"/>
        <w:rPr>
          <w:rFonts w:ascii="Verdana" w:hAnsi="Verdana"/>
          <w:bCs/>
          <w:sz w:val="20"/>
          <w:szCs w:val="20"/>
          <w:lang w:val="es-CR"/>
        </w:rPr>
      </w:pPr>
    </w:p>
    <w:p w14:paraId="6F064484" w14:textId="77777777" w:rsidR="002D6147" w:rsidRPr="007C33C3" w:rsidRDefault="002D6147" w:rsidP="006E413C">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sz w:val="20"/>
          <w:szCs w:val="20"/>
          <w:lang w:val="es-CR"/>
        </w:rPr>
      </w:pPr>
      <w:r w:rsidRPr="006E413C">
        <w:rPr>
          <w:rFonts w:ascii="Verdana" w:hAnsi="Verdana"/>
          <w:bCs/>
          <w:sz w:val="20"/>
          <w:szCs w:val="20"/>
          <w:lang w:val="es-CR"/>
        </w:rPr>
        <w:t xml:space="preserve">En tal sentido, </w:t>
      </w:r>
      <w:r w:rsidRPr="006E413C">
        <w:rPr>
          <w:rFonts w:ascii="Verdana" w:hAnsi="Verdana"/>
          <w:sz w:val="20"/>
          <w:szCs w:val="20"/>
          <w:lang w:val="es-CR"/>
        </w:rPr>
        <w:t>en relación con las personas que han sido privadas de su libertad, la Corte ha determinado que el Estado se encuentra en una posición especial de garante, toda vez que las autoridades penitenciarias ejercen un fuerte control o dominio sobre quienes se encuentran sujetos a su custodia</w:t>
      </w:r>
      <w:r w:rsidRPr="006E413C">
        <w:rPr>
          <w:rStyle w:val="FootnoteAnchor"/>
          <w:rFonts w:ascii="Verdana" w:hAnsi="Verdana"/>
          <w:sz w:val="20"/>
          <w:szCs w:val="20"/>
          <w:lang w:val="es-CR"/>
        </w:rPr>
        <w:footnoteReference w:id="96"/>
      </w:r>
      <w:r w:rsidRPr="006E413C">
        <w:rPr>
          <w:rFonts w:ascii="Verdana" w:hAnsi="Verdana"/>
          <w:sz w:val="20"/>
          <w:szCs w:val="20"/>
          <w:lang w:val="es-CR"/>
        </w:rPr>
        <w:t>. Lo anterior, como resultado de la interacción especial de sujeción entre la persona privada de libertad y el Estado, caracterizada por la particular intensidad con que el Estado puede regular sus derechos y obligaciones y por las circunstancias propias del encierro, en donde al privado de libertad se le impide satisfacer por cuenta propia una serie de necesidades básicas esenciales para el desarrollo de una vida digna</w:t>
      </w:r>
      <w:r w:rsidRPr="006E413C">
        <w:rPr>
          <w:rStyle w:val="FootnoteAnchor"/>
          <w:rFonts w:ascii="Verdana" w:hAnsi="Verdana"/>
          <w:sz w:val="20"/>
          <w:szCs w:val="20"/>
          <w:lang w:val="es-CR"/>
        </w:rPr>
        <w:footnoteReference w:id="97"/>
      </w:r>
      <w:r w:rsidRPr="006E413C">
        <w:rPr>
          <w:rFonts w:ascii="Verdana" w:hAnsi="Verdana"/>
          <w:sz w:val="20"/>
          <w:szCs w:val="20"/>
          <w:lang w:val="es-CR"/>
        </w:rPr>
        <w:t>. En consecuencia, de</w:t>
      </w:r>
      <w:r w:rsidRPr="007C33C3">
        <w:rPr>
          <w:rFonts w:ascii="Verdana" w:hAnsi="Verdana"/>
          <w:sz w:val="20"/>
          <w:szCs w:val="20"/>
          <w:lang w:val="es-CR"/>
        </w:rPr>
        <w:t xml:space="preserve"> conformidad con el artículo 5.1 y 5.2 de la Convención, toda persona privada de libertad tiene derecho a vivir en condiciones de detención compatibles con su dignidad personal. Esto implica el deber del Estado de salvaguardar la salud y el bienestar de las personas privadas de libertad y de garantizar que la manera y el método de privación de libertad no excedan el nivel inevitable de sufrimiento inherente a la misma</w:t>
      </w:r>
      <w:r w:rsidRPr="007C33C3">
        <w:rPr>
          <w:rStyle w:val="FootnoteAnchor"/>
          <w:rFonts w:ascii="Verdana" w:hAnsi="Verdana"/>
          <w:sz w:val="20"/>
          <w:szCs w:val="20"/>
          <w:lang w:val="es-CR"/>
        </w:rPr>
        <w:footnoteReference w:id="98"/>
      </w:r>
      <w:r w:rsidRPr="007C33C3">
        <w:rPr>
          <w:rFonts w:ascii="Verdana" w:hAnsi="Verdana"/>
          <w:sz w:val="20"/>
          <w:szCs w:val="20"/>
          <w:lang w:val="es-CR"/>
        </w:rPr>
        <w:t>.</w:t>
      </w:r>
    </w:p>
    <w:p w14:paraId="5E7F7DA7" w14:textId="77777777" w:rsidR="002D6147" w:rsidRPr="007C33C3" w:rsidRDefault="002D6147" w:rsidP="002D6147">
      <w:pPr>
        <w:widowControl w:val="0"/>
        <w:tabs>
          <w:tab w:val="left" w:pos="567"/>
        </w:tabs>
        <w:adjustRightInd w:val="0"/>
        <w:spacing w:after="0" w:line="240" w:lineRule="auto"/>
        <w:jc w:val="both"/>
        <w:textAlignment w:val="baseline"/>
        <w:rPr>
          <w:rFonts w:ascii="Verdana" w:hAnsi="Verdana"/>
          <w:sz w:val="20"/>
          <w:szCs w:val="20"/>
          <w:lang w:val="es-CR"/>
        </w:rPr>
      </w:pPr>
    </w:p>
    <w:p w14:paraId="5C0459B1" w14:textId="77777777" w:rsidR="002D6147" w:rsidRPr="007C33C3" w:rsidRDefault="002D6147" w:rsidP="002D6147">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sz w:val="20"/>
          <w:szCs w:val="20"/>
          <w:lang w:val="es-CR"/>
        </w:rPr>
      </w:pPr>
      <w:r w:rsidRPr="007C33C3">
        <w:rPr>
          <w:rFonts w:ascii="Verdana" w:hAnsi="Verdana"/>
          <w:sz w:val="20"/>
          <w:szCs w:val="20"/>
          <w:lang w:val="es-ES" w:eastAsia="x-none"/>
        </w:rPr>
        <w:t>Asimismo, la Corte ha establecido que la integridad personal se halla directa e inmediatamente vinculada con la atención a la salud humana</w:t>
      </w:r>
      <w:r w:rsidRPr="007C33C3">
        <w:rPr>
          <w:rFonts w:ascii="Verdana" w:hAnsi="Verdana"/>
          <w:sz w:val="20"/>
          <w:szCs w:val="20"/>
          <w:vertAlign w:val="superscript"/>
          <w:lang w:val="es-ES"/>
        </w:rPr>
        <w:footnoteReference w:id="99"/>
      </w:r>
      <w:r w:rsidRPr="007C33C3">
        <w:rPr>
          <w:rFonts w:ascii="Verdana" w:hAnsi="Verdana"/>
          <w:sz w:val="20"/>
          <w:szCs w:val="20"/>
          <w:lang w:val="es-ES" w:eastAsia="x-none"/>
        </w:rPr>
        <w:t>, y que la falta de atención médica adecuada puede conllevar la vulneración del artículo 5 de la Convención</w:t>
      </w:r>
      <w:r w:rsidRPr="007C33C3">
        <w:rPr>
          <w:rFonts w:ascii="Verdana" w:hAnsi="Verdana" w:cs="Verdana"/>
          <w:sz w:val="20"/>
          <w:szCs w:val="20"/>
          <w:vertAlign w:val="superscript"/>
          <w:lang w:val="es-ES"/>
        </w:rPr>
        <w:footnoteReference w:id="100"/>
      </w:r>
      <w:r w:rsidRPr="007C33C3">
        <w:rPr>
          <w:rFonts w:ascii="Verdana" w:hAnsi="Verdana"/>
          <w:sz w:val="20"/>
          <w:szCs w:val="20"/>
          <w:lang w:val="es-ES" w:eastAsia="x-none"/>
        </w:rPr>
        <w:t xml:space="preserve">. </w:t>
      </w:r>
      <w:r w:rsidRPr="007C33C3">
        <w:rPr>
          <w:rFonts w:ascii="Verdana" w:hAnsi="Verdana"/>
          <w:sz w:val="20"/>
          <w:szCs w:val="20"/>
          <w:lang w:val="es-CR"/>
        </w:rPr>
        <w:t xml:space="preserve">Este Tribunal ha señalado que la falta de atención médica adecuada a una persona que se encuentra privada de la libertad y bajo custodia del Estado podría considerarse violatoria del artículo 5.1 y 5.2 de la Convención, dependiendo de las circunstancias concretas de la persona en particular, tales como </w:t>
      </w:r>
      <w:r w:rsidRPr="007C33C3">
        <w:rPr>
          <w:rFonts w:ascii="Verdana" w:hAnsi="Verdana"/>
          <w:sz w:val="20"/>
          <w:szCs w:val="20"/>
          <w:lang w:val="es-CR"/>
        </w:rPr>
        <w:lastRenderedPageBreak/>
        <w:t>su estado de salud o el tipo de dolencia que padece, el lapso transcurrido sin atención, sus efectos físicos y mentales acumulativos</w:t>
      </w:r>
      <w:r w:rsidRPr="007C33C3">
        <w:rPr>
          <w:rStyle w:val="FootnoteAnchor"/>
          <w:rFonts w:ascii="Verdana" w:hAnsi="Verdana"/>
          <w:sz w:val="20"/>
          <w:szCs w:val="20"/>
          <w:lang w:val="es-CR"/>
        </w:rPr>
        <w:footnoteReference w:id="101"/>
      </w:r>
      <w:r w:rsidRPr="007C33C3">
        <w:rPr>
          <w:rFonts w:ascii="Verdana" w:hAnsi="Verdana"/>
          <w:sz w:val="20"/>
          <w:szCs w:val="20"/>
          <w:lang w:val="es-CR"/>
        </w:rPr>
        <w:t xml:space="preserve"> y, en algunos casos, el sexo y la edad de la misma, entre otros</w:t>
      </w:r>
      <w:r w:rsidRPr="007C33C3">
        <w:rPr>
          <w:rStyle w:val="FootnoteAnchor"/>
          <w:rFonts w:ascii="Verdana" w:hAnsi="Verdana"/>
          <w:sz w:val="20"/>
          <w:szCs w:val="20"/>
          <w:lang w:val="es-CR"/>
        </w:rPr>
        <w:footnoteReference w:id="102"/>
      </w:r>
      <w:r w:rsidRPr="007C33C3">
        <w:rPr>
          <w:rFonts w:ascii="Verdana" w:hAnsi="Verdana"/>
          <w:sz w:val="20"/>
          <w:szCs w:val="20"/>
          <w:lang w:val="es-CR"/>
        </w:rPr>
        <w:t>. La Corte recuerda que n</w:t>
      </w:r>
      <w:r w:rsidRPr="007C33C3">
        <w:rPr>
          <w:rFonts w:ascii="Verdana" w:hAnsi="Verdana"/>
          <w:bCs/>
          <w:iCs/>
          <w:sz w:val="20"/>
          <w:szCs w:val="20"/>
          <w:lang w:val="es-CR"/>
        </w:rPr>
        <w:t>umerosas decisiones de organismos internacionales invocan las Reglas Mínimas de Naciones Unidas para el Tratamiento de Reclusos a fin de interpretar el contenido del derecho de las personas privadas de la libertad a un trato digno y humano, como normas básicas respecto de su alojamiento, higiene, tratamiento médico y ejercicio físico, entre otros</w:t>
      </w:r>
      <w:r w:rsidRPr="007C33C3">
        <w:rPr>
          <w:rStyle w:val="FootnoteAnchor"/>
          <w:rFonts w:ascii="Verdana" w:hAnsi="Verdana"/>
          <w:bCs/>
          <w:iCs/>
          <w:sz w:val="20"/>
          <w:szCs w:val="20"/>
          <w:lang w:val="es-CR"/>
        </w:rPr>
        <w:footnoteReference w:id="103"/>
      </w:r>
      <w:r w:rsidRPr="007C33C3">
        <w:rPr>
          <w:rFonts w:ascii="Verdana" w:hAnsi="Verdana"/>
          <w:bCs/>
          <w:iCs/>
          <w:sz w:val="20"/>
          <w:szCs w:val="20"/>
          <w:lang w:val="es-CR"/>
        </w:rPr>
        <w:t>.</w:t>
      </w:r>
    </w:p>
    <w:p w14:paraId="2DF1B5F7" w14:textId="77777777" w:rsidR="002D6147" w:rsidRPr="007C33C3" w:rsidRDefault="002D6147" w:rsidP="002D6147">
      <w:pPr>
        <w:widowControl w:val="0"/>
        <w:tabs>
          <w:tab w:val="left" w:pos="567"/>
        </w:tabs>
        <w:adjustRightInd w:val="0"/>
        <w:spacing w:after="0" w:line="240" w:lineRule="auto"/>
        <w:jc w:val="both"/>
        <w:textAlignment w:val="baseline"/>
        <w:rPr>
          <w:rFonts w:ascii="Verdana" w:hAnsi="Verdana"/>
          <w:sz w:val="20"/>
          <w:szCs w:val="20"/>
          <w:lang w:val="es-CR"/>
        </w:rPr>
      </w:pPr>
    </w:p>
    <w:p w14:paraId="6C7F3C75" w14:textId="69B4F33F" w:rsidR="002D6147" w:rsidRPr="00C82EC8" w:rsidRDefault="002D6147" w:rsidP="00C82EC8">
      <w:pPr>
        <w:pStyle w:val="Prrafodelista"/>
        <w:numPr>
          <w:ilvl w:val="0"/>
          <w:numId w:val="12"/>
        </w:numPr>
        <w:spacing w:after="0" w:line="240" w:lineRule="auto"/>
        <w:ind w:left="0" w:firstLine="0"/>
        <w:jc w:val="both"/>
        <w:rPr>
          <w:rFonts w:eastAsia="Verdana"/>
          <w:bCs/>
          <w:lang w:eastAsia="x-none"/>
        </w:rPr>
      </w:pPr>
      <w:r w:rsidRPr="00C82EC8">
        <w:rPr>
          <w:rFonts w:ascii="Verdana" w:hAnsi="Verdana"/>
          <w:sz w:val="20"/>
          <w:szCs w:val="20"/>
        </w:rPr>
        <w:t>Con base en los criterios establecidos en los párrafos precedentes, el Tribunal procederá a analizar</w:t>
      </w:r>
      <w:r w:rsidR="00631F69" w:rsidRPr="00C82EC8">
        <w:rPr>
          <w:rFonts w:ascii="Verdana" w:hAnsi="Verdana"/>
          <w:sz w:val="20"/>
          <w:szCs w:val="20"/>
        </w:rPr>
        <w:t xml:space="preserve"> </w:t>
      </w:r>
      <w:r w:rsidR="00631F69" w:rsidRPr="00C82EC8">
        <w:rPr>
          <w:rFonts w:ascii="Verdana" w:hAnsi="Verdana"/>
          <w:sz w:val="20"/>
          <w:szCs w:val="20"/>
          <w:lang w:val="es-CR"/>
        </w:rPr>
        <w:t xml:space="preserve">si las condiciones de detención del señor Hernández constituyeron </w:t>
      </w:r>
      <w:r w:rsidR="00CE6C26">
        <w:rPr>
          <w:rFonts w:ascii="Verdana" w:hAnsi="Verdana"/>
          <w:sz w:val="20"/>
          <w:szCs w:val="20"/>
          <w:lang w:val="es-CR"/>
        </w:rPr>
        <w:t>una afectación de su derecho a la integridad personal</w:t>
      </w:r>
      <w:r w:rsidR="00631F69" w:rsidRPr="00C82EC8">
        <w:rPr>
          <w:rFonts w:ascii="Verdana" w:hAnsi="Verdana"/>
          <w:sz w:val="20"/>
          <w:szCs w:val="20"/>
          <w:lang w:val="es-CR"/>
        </w:rPr>
        <w:t>.</w:t>
      </w:r>
      <w:r w:rsidR="00631F69" w:rsidRPr="00C82EC8" w:rsidDel="00631F69">
        <w:rPr>
          <w:rFonts w:ascii="Verdana" w:hAnsi="Verdana"/>
          <w:sz w:val="20"/>
          <w:szCs w:val="20"/>
        </w:rPr>
        <w:t xml:space="preserve"> </w:t>
      </w:r>
    </w:p>
    <w:p w14:paraId="57D84722" w14:textId="77777777" w:rsidR="003024F9" w:rsidRDefault="003024F9" w:rsidP="00C82EC8">
      <w:pPr>
        <w:tabs>
          <w:tab w:val="left" w:pos="567"/>
        </w:tabs>
        <w:spacing w:after="0" w:line="240" w:lineRule="auto"/>
        <w:jc w:val="both"/>
        <w:rPr>
          <w:rFonts w:ascii="Verdana" w:eastAsia="Verdana" w:hAnsi="Verdana"/>
          <w:bCs/>
          <w:sz w:val="20"/>
          <w:szCs w:val="20"/>
          <w:lang w:val="es-CR" w:eastAsia="x-none"/>
        </w:rPr>
      </w:pPr>
    </w:p>
    <w:p w14:paraId="553D5070" w14:textId="7780F756" w:rsidR="002D6147" w:rsidRPr="007C33C3" w:rsidRDefault="002D6147" w:rsidP="002D6147">
      <w:pPr>
        <w:pStyle w:val="Ttulo3"/>
        <w:numPr>
          <w:ilvl w:val="0"/>
          <w:numId w:val="0"/>
        </w:numPr>
        <w:ind w:left="993"/>
        <w:rPr>
          <w:lang w:eastAsia="es-MX"/>
        </w:rPr>
      </w:pPr>
      <w:bookmarkStart w:id="57" w:name="_Toc27509171"/>
      <w:r>
        <w:rPr>
          <w:lang w:val="es-CO"/>
        </w:rPr>
        <w:t>B.2</w:t>
      </w:r>
      <w:r w:rsidRPr="007C33C3">
        <w:rPr>
          <w:lang w:val="es-CO"/>
        </w:rPr>
        <w:t>. La afectación del derecho a la integridad personal del señor José Luis Hernández</w:t>
      </w:r>
      <w:bookmarkEnd w:id="57"/>
    </w:p>
    <w:p w14:paraId="2C43B6CD" w14:textId="77777777" w:rsidR="002D6147" w:rsidRPr="007C33C3" w:rsidRDefault="002D6147" w:rsidP="002D6147">
      <w:pPr>
        <w:widowControl w:val="0"/>
        <w:tabs>
          <w:tab w:val="left" w:pos="567"/>
        </w:tabs>
        <w:adjustRightInd w:val="0"/>
        <w:spacing w:after="0" w:line="240" w:lineRule="auto"/>
        <w:jc w:val="both"/>
        <w:textAlignment w:val="baseline"/>
        <w:rPr>
          <w:rFonts w:ascii="Verdana" w:eastAsia="Times" w:hAnsi="Verdana" w:cs="Arial"/>
          <w:sz w:val="20"/>
          <w:szCs w:val="20"/>
        </w:rPr>
      </w:pPr>
    </w:p>
    <w:p w14:paraId="3CC88F58" w14:textId="259BC38A" w:rsidR="002D6147" w:rsidRPr="007C33C3" w:rsidRDefault="0081565D" w:rsidP="002D6147">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sz w:val="20"/>
          <w:szCs w:val="20"/>
          <w:lang w:eastAsia="es-ES_tradnl"/>
        </w:rPr>
      </w:pPr>
      <w:r>
        <w:rPr>
          <w:rFonts w:ascii="Verdana" w:eastAsia="Times" w:hAnsi="Verdana" w:cs="Arial"/>
          <w:sz w:val="20"/>
          <w:szCs w:val="20"/>
        </w:rPr>
        <w:t>E</w:t>
      </w:r>
      <w:r w:rsidR="002D6147" w:rsidRPr="007C33C3">
        <w:rPr>
          <w:rFonts w:ascii="Verdana" w:eastAsia="Times" w:hAnsi="Verdana" w:cs="Arial"/>
          <w:sz w:val="20"/>
          <w:szCs w:val="20"/>
        </w:rPr>
        <w:t>l Tribunal ha señalado</w:t>
      </w:r>
      <w:r w:rsidR="002D6147" w:rsidRPr="007C33C3">
        <w:rPr>
          <w:rFonts w:ascii="Verdana" w:hAnsi="Verdana"/>
          <w:sz w:val="20"/>
          <w:szCs w:val="20"/>
          <w:lang w:eastAsia="es-ES_tradnl"/>
        </w:rPr>
        <w:t xml:space="preserve"> que la falta de atención médica adecuada no satisface los requisitos materiales mínimos de un tratamiento digno conforme a la condición de ser humano en el sentido del artículo 5 de la Convención Americana. </w:t>
      </w:r>
      <w:r w:rsidR="00CE6C26">
        <w:rPr>
          <w:rFonts w:ascii="Verdana" w:hAnsi="Verdana"/>
          <w:sz w:val="20"/>
          <w:szCs w:val="20"/>
          <w:lang w:eastAsia="es-ES_tradnl"/>
        </w:rPr>
        <w:t>E</w:t>
      </w:r>
      <w:r w:rsidR="002D6147" w:rsidRPr="007C33C3">
        <w:rPr>
          <w:rFonts w:ascii="Verdana" w:hAnsi="Verdana"/>
          <w:sz w:val="20"/>
          <w:szCs w:val="20"/>
          <w:lang w:eastAsia="es-ES_tradnl"/>
        </w:rPr>
        <w:t>n casos de personas privadas de libertad, la ausencia de propósito por parte de las autoridades de humillar o degradar a una víctima no lleva inevitablemente a la conclusión de que no ha habido violación al artículo 5.2 de la Convención. En el régimen de la Convención Americana, el sufrimiento y el deterioro a la integridad personal causado por la falta de atención médica adecuada –y el consecuente daño a su salud- de una persona privada de libertad pueden constituir por sí mismos tratos crueles, inhumanos y degradantes.</w:t>
      </w:r>
    </w:p>
    <w:p w14:paraId="752FF7A3" w14:textId="77777777" w:rsidR="002D6147" w:rsidRPr="007C33C3" w:rsidRDefault="002D6147" w:rsidP="002D6147">
      <w:pPr>
        <w:widowControl w:val="0"/>
        <w:tabs>
          <w:tab w:val="left" w:pos="567"/>
        </w:tabs>
        <w:adjustRightInd w:val="0"/>
        <w:spacing w:after="0" w:line="240" w:lineRule="auto"/>
        <w:jc w:val="both"/>
        <w:textAlignment w:val="baseline"/>
        <w:rPr>
          <w:rFonts w:ascii="Verdana" w:hAnsi="Verdana"/>
          <w:sz w:val="20"/>
          <w:szCs w:val="20"/>
          <w:lang w:eastAsia="es-ES_tradnl"/>
        </w:rPr>
      </w:pPr>
    </w:p>
    <w:p w14:paraId="4C3C0BCB" w14:textId="3929243D" w:rsidR="002D6147" w:rsidRPr="007C33C3" w:rsidRDefault="002D6147" w:rsidP="002D6147">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sz w:val="20"/>
          <w:szCs w:val="20"/>
          <w:lang w:eastAsia="es-ES_tradnl"/>
        </w:rPr>
      </w:pPr>
      <w:r w:rsidRPr="007C33C3">
        <w:rPr>
          <w:rFonts w:ascii="Verdana" w:hAnsi="Verdana"/>
          <w:sz w:val="20"/>
          <w:szCs w:val="20"/>
          <w:lang w:eastAsia="es-ES_tradnl"/>
        </w:rPr>
        <w:t xml:space="preserve">Asimismo, la Corte recuerda que de conformidad con el artículo 5 de la Convención, toda persona privada de libertad tiene derecho a vivir en situación de detención compatible con su dignidad personal. </w:t>
      </w:r>
      <w:r w:rsidRPr="007C33C3">
        <w:rPr>
          <w:rFonts w:ascii="Verdana" w:hAnsi="Verdana"/>
          <w:sz w:val="20"/>
          <w:szCs w:val="20"/>
        </w:rPr>
        <w:t>En ese sentido, el Tribunal ha señalado que las lesiones, sufrimientos, daños a la salud o perjuicios sufridos por una persona mientras se encuentra privada de libertad pueden llegar a constituir una forma de pena cruel cuando, debido a las condiciones de encierro, exista un deterioro de la integridad física, psíquica y moral, estrictamente prohibido por el inciso 2 del artículo 5 de la Convención, que no es consecuencia natural y directa de la privación de libertad en sí misma</w:t>
      </w:r>
      <w:r w:rsidRPr="007C33C3">
        <w:rPr>
          <w:rStyle w:val="Refdenotaalpie"/>
        </w:rPr>
        <w:footnoteReference w:id="104"/>
      </w:r>
      <w:r w:rsidRPr="007C33C3">
        <w:rPr>
          <w:rFonts w:ascii="Verdana" w:hAnsi="Verdana"/>
          <w:sz w:val="20"/>
          <w:szCs w:val="20"/>
        </w:rPr>
        <w:t xml:space="preserve">. </w:t>
      </w:r>
      <w:r w:rsidRPr="007C33C3">
        <w:rPr>
          <w:rFonts w:ascii="Verdana" w:hAnsi="Verdana"/>
          <w:sz w:val="20"/>
          <w:szCs w:val="20"/>
          <w:lang w:eastAsia="es-ES_tradnl"/>
        </w:rPr>
        <w:t>En relación a las condiciones de las instalaciones en las cuales se encuentran las personas privadas de libertad, mantener a una persona detenida en condiciones de hacinamiento, con falta de ventilación y luz natural, sin cama para su reposo ni condiciones adecuadas de higiene, en aislamiento e incomunicación o con restricciones indebidas al régimen de visitas constituye una violación a la integridad personal</w:t>
      </w:r>
      <w:r w:rsidRPr="007C33C3">
        <w:rPr>
          <w:rStyle w:val="Refdenotaalpie"/>
          <w:lang w:eastAsia="es-ES_tradnl"/>
        </w:rPr>
        <w:footnoteReference w:id="105"/>
      </w:r>
      <w:r w:rsidRPr="007C33C3">
        <w:rPr>
          <w:rFonts w:ascii="Verdana" w:hAnsi="Verdana"/>
          <w:sz w:val="20"/>
          <w:szCs w:val="20"/>
          <w:lang w:eastAsia="es-ES_tradnl"/>
        </w:rPr>
        <w:t xml:space="preserve">. Como responsable de los centros de detención, el Estado debe </w:t>
      </w:r>
      <w:r w:rsidRPr="007C33C3">
        <w:rPr>
          <w:rFonts w:ascii="Verdana" w:hAnsi="Verdana"/>
          <w:sz w:val="20"/>
          <w:szCs w:val="20"/>
          <w:lang w:eastAsia="es-ES_tradnl"/>
        </w:rPr>
        <w:lastRenderedPageBreak/>
        <w:t>garantizar a los reclusos condiciones que respeten sus derechos fundamentales y dejen a salvo su dignidad</w:t>
      </w:r>
      <w:r w:rsidRPr="007C33C3">
        <w:rPr>
          <w:rStyle w:val="Refdenotaalpie"/>
          <w:lang w:eastAsia="es-ES_tradnl"/>
        </w:rPr>
        <w:footnoteReference w:id="106"/>
      </w:r>
      <w:r w:rsidRPr="007C33C3">
        <w:rPr>
          <w:rFonts w:ascii="Verdana" w:hAnsi="Verdana"/>
          <w:sz w:val="20"/>
          <w:szCs w:val="20"/>
          <w:lang w:eastAsia="es-ES_tradnl"/>
        </w:rPr>
        <w:t>.</w:t>
      </w:r>
    </w:p>
    <w:p w14:paraId="369D5405" w14:textId="77777777" w:rsidR="002D6147" w:rsidRPr="007C33C3" w:rsidRDefault="002D6147" w:rsidP="002D6147">
      <w:pPr>
        <w:widowControl w:val="0"/>
        <w:tabs>
          <w:tab w:val="left" w:pos="567"/>
        </w:tabs>
        <w:adjustRightInd w:val="0"/>
        <w:spacing w:after="0" w:line="240" w:lineRule="auto"/>
        <w:jc w:val="both"/>
        <w:textAlignment w:val="baseline"/>
        <w:rPr>
          <w:rFonts w:ascii="Verdana" w:hAnsi="Verdana"/>
          <w:sz w:val="20"/>
          <w:szCs w:val="20"/>
          <w:lang w:eastAsia="es-ES_tradnl"/>
        </w:rPr>
      </w:pPr>
    </w:p>
    <w:p w14:paraId="4CAD2586" w14:textId="7856AE2C" w:rsidR="002D6147" w:rsidRPr="007C33C3" w:rsidRDefault="002D6147" w:rsidP="002D6147">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sz w:val="20"/>
          <w:szCs w:val="20"/>
          <w:lang w:eastAsia="es-ES_tradnl"/>
        </w:rPr>
      </w:pPr>
      <w:r w:rsidRPr="007C33C3">
        <w:rPr>
          <w:rFonts w:ascii="Verdana" w:hAnsi="Verdana"/>
          <w:sz w:val="20"/>
          <w:szCs w:val="20"/>
          <w:lang w:eastAsia="es-ES_tradnl"/>
        </w:rPr>
        <w:t>En relación con lo anterior, la Corte recuerda que el señor Hernández nunca fue examinado por un médico para verificar cuáles eran las causas del estado gripal y el dolor del oído que su madre denunció el 6 de julio de 1989, a pesar de que el Juez de la Causa ordenó que se realizara un reconocimiento médic</w:t>
      </w:r>
      <w:r w:rsidR="006C3BC4">
        <w:rPr>
          <w:rFonts w:ascii="Verdana" w:hAnsi="Verdana"/>
          <w:sz w:val="20"/>
          <w:szCs w:val="20"/>
          <w:lang w:eastAsia="es-ES_tradnl"/>
        </w:rPr>
        <w:t>o y se le brindara tratamiento</w:t>
      </w:r>
      <w:r w:rsidRPr="007C33C3">
        <w:rPr>
          <w:rFonts w:ascii="Verdana" w:hAnsi="Verdana"/>
          <w:sz w:val="20"/>
          <w:szCs w:val="20"/>
          <w:lang w:eastAsia="es-ES_tradnl"/>
        </w:rPr>
        <w:t xml:space="preserve">; que estuvo detenido en la Comisaría de </w:t>
      </w:r>
      <w:r w:rsidR="000A5ACC">
        <w:rPr>
          <w:rFonts w:ascii="Verdana" w:hAnsi="Verdana"/>
          <w:sz w:val="20"/>
          <w:szCs w:val="20"/>
          <w:lang w:eastAsia="es-ES_tradnl"/>
        </w:rPr>
        <w:t>Monte</w:t>
      </w:r>
      <w:r w:rsidRPr="007C33C3">
        <w:rPr>
          <w:rFonts w:ascii="Verdana" w:hAnsi="Verdana"/>
          <w:sz w:val="20"/>
          <w:szCs w:val="20"/>
          <w:lang w:eastAsia="es-ES_tradnl"/>
        </w:rPr>
        <w:t xml:space="preserve"> Grande desde el 7 de febrero de 1989 hasta el 3 de agosto de 1990, aun cuando no existía espacio físico suficiente para albergar al número de detenidos, situación que fue denunciada por el Jefe de la Policía el 20 de marzo de 1989, y por la madre del señor Hernández el 6 de julio de 1989; y que aun cuando existieron órdenes constantes del Juez de la Causa respecto a que se le brindara atención médica a la presunta víctima una vez que se tuvo conocimiento de su meningitis, las autoridades carcelarias cumplieron dichas ordenes de manera tardía o no las cumplieron. La Corte considera que dichas </w:t>
      </w:r>
      <w:proofErr w:type="spellStart"/>
      <w:r w:rsidRPr="007C33C3">
        <w:rPr>
          <w:rFonts w:ascii="Verdana" w:hAnsi="Verdana"/>
          <w:sz w:val="20"/>
          <w:szCs w:val="20"/>
          <w:lang w:eastAsia="es-ES_tradnl"/>
        </w:rPr>
        <w:t>omisiones</w:t>
      </w:r>
      <w:proofErr w:type="spellEnd"/>
      <w:r w:rsidRPr="007C33C3">
        <w:rPr>
          <w:rFonts w:ascii="Verdana" w:hAnsi="Verdana"/>
          <w:sz w:val="20"/>
          <w:szCs w:val="20"/>
          <w:lang w:eastAsia="es-ES_tradnl"/>
        </w:rPr>
        <w:t xml:space="preserve"> estatales, si bien no se encontraban dirigidas a humillar o castigar al señor Hernández, sí constituyeron un trato degradante que la presunta víctima experimentó mientras se encontraba bajo la custodia del Estado.</w:t>
      </w:r>
    </w:p>
    <w:p w14:paraId="14C22F66" w14:textId="77777777" w:rsidR="002D6147" w:rsidRPr="00230D8B" w:rsidRDefault="002D6147" w:rsidP="003024F9">
      <w:pPr>
        <w:widowControl w:val="0"/>
        <w:tabs>
          <w:tab w:val="left" w:pos="567"/>
        </w:tabs>
        <w:adjustRightInd w:val="0"/>
        <w:spacing w:after="0" w:line="240" w:lineRule="auto"/>
        <w:jc w:val="both"/>
        <w:textAlignment w:val="baseline"/>
        <w:rPr>
          <w:rFonts w:ascii="Verdana" w:eastAsia="Verdana" w:hAnsi="Verdana"/>
          <w:bCs/>
          <w:sz w:val="20"/>
          <w:szCs w:val="20"/>
          <w:lang w:eastAsia="x-none"/>
        </w:rPr>
      </w:pPr>
    </w:p>
    <w:p w14:paraId="1F2DD41F" w14:textId="4DE34E09" w:rsidR="003024F9" w:rsidRPr="007C33C3" w:rsidRDefault="003024F9" w:rsidP="003024F9">
      <w:pPr>
        <w:pStyle w:val="Ttulo3"/>
        <w:numPr>
          <w:ilvl w:val="0"/>
          <w:numId w:val="0"/>
        </w:numPr>
        <w:ind w:left="993"/>
        <w:rPr>
          <w:lang w:eastAsia="es-MX"/>
        </w:rPr>
      </w:pPr>
      <w:bookmarkStart w:id="58" w:name="_Toc27509172"/>
      <w:bookmarkStart w:id="59" w:name="_Toc429519500"/>
      <w:bookmarkStart w:id="60" w:name="_Toc430339005"/>
      <w:r w:rsidRPr="007C33C3">
        <w:rPr>
          <w:lang w:val="es-CO"/>
        </w:rPr>
        <w:t>B.</w:t>
      </w:r>
      <w:r w:rsidR="002D6147">
        <w:rPr>
          <w:lang w:val="es-CO"/>
        </w:rPr>
        <w:t>3</w:t>
      </w:r>
      <w:r w:rsidRPr="007C33C3">
        <w:rPr>
          <w:lang w:val="es-CO"/>
        </w:rPr>
        <w:t>. El derecho a la salud</w:t>
      </w:r>
      <w:bookmarkEnd w:id="58"/>
      <w:r w:rsidRPr="007C33C3">
        <w:rPr>
          <w:lang w:val="es-CO"/>
        </w:rPr>
        <w:t xml:space="preserve"> </w:t>
      </w:r>
      <w:bookmarkEnd w:id="59"/>
      <w:bookmarkEnd w:id="60"/>
    </w:p>
    <w:p w14:paraId="3C2F6AE6" w14:textId="77777777" w:rsidR="003024F9" w:rsidRPr="007C33C3" w:rsidRDefault="003024F9" w:rsidP="003024F9">
      <w:pPr>
        <w:widowControl w:val="0"/>
        <w:tabs>
          <w:tab w:val="left" w:pos="567"/>
        </w:tabs>
        <w:adjustRightInd w:val="0"/>
        <w:spacing w:after="0" w:line="240" w:lineRule="auto"/>
        <w:jc w:val="both"/>
        <w:textAlignment w:val="baseline"/>
        <w:rPr>
          <w:rFonts w:ascii="Verdana" w:hAnsi="Verdana"/>
          <w:bCs/>
          <w:sz w:val="20"/>
          <w:szCs w:val="20"/>
          <w:lang w:val="es-CR"/>
        </w:rPr>
      </w:pPr>
    </w:p>
    <w:p w14:paraId="6B092014" w14:textId="1DD077E0" w:rsidR="00ED7074" w:rsidRPr="00C82EC8" w:rsidRDefault="00ED7074" w:rsidP="00C82EC8">
      <w:pPr>
        <w:pStyle w:val="Prrafodelista"/>
        <w:numPr>
          <w:ilvl w:val="0"/>
          <w:numId w:val="12"/>
        </w:numPr>
        <w:spacing w:after="0" w:line="240" w:lineRule="auto"/>
        <w:ind w:left="0" w:firstLine="0"/>
        <w:jc w:val="both"/>
        <w:rPr>
          <w:rFonts w:ascii="Verdana" w:hAnsi="Verdana"/>
          <w:spacing w:val="-2"/>
          <w:sz w:val="20"/>
          <w:szCs w:val="20"/>
        </w:rPr>
      </w:pPr>
      <w:r w:rsidRPr="00C82EC8">
        <w:rPr>
          <w:rFonts w:ascii="Verdana" w:eastAsia="Verdana" w:hAnsi="Verdana"/>
          <w:bCs/>
          <w:sz w:val="20"/>
          <w:szCs w:val="20"/>
          <w:lang w:val="es-CR" w:eastAsia="x-none"/>
        </w:rPr>
        <w:t xml:space="preserve">Por otro lado, el Tribunal advierte que, en el presente caso, uno de los problemas jurídicos identificados se relaciona con los alcances del derecho a la salud entendido como un derecho autónomo que deriva del artículo 26 de la Convención Americana. En este sentido, el abordaje en este apartado sigue la aproximación adoptada por este Tribunal desde el caso </w:t>
      </w:r>
      <w:r w:rsidRPr="00C82EC8">
        <w:rPr>
          <w:rFonts w:ascii="Verdana" w:eastAsia="Verdana" w:hAnsi="Verdana"/>
          <w:bCs/>
          <w:i/>
          <w:sz w:val="20"/>
          <w:szCs w:val="20"/>
          <w:lang w:val="es-CR" w:eastAsia="x-none"/>
        </w:rPr>
        <w:t>Lagos del Campo Vs. Perú</w:t>
      </w:r>
      <w:r w:rsidRPr="00C82EC8">
        <w:rPr>
          <w:rStyle w:val="Refdenotaalpie"/>
          <w:rFonts w:ascii="Verdana" w:eastAsia="Verdana" w:hAnsi="Verdana"/>
          <w:sz w:val="20"/>
          <w:szCs w:val="20"/>
          <w:lang w:eastAsia="x-none"/>
        </w:rPr>
        <w:footnoteReference w:id="107"/>
      </w:r>
      <w:r w:rsidRPr="00C82EC8">
        <w:rPr>
          <w:rFonts w:ascii="Verdana" w:eastAsia="Verdana" w:hAnsi="Verdana"/>
          <w:bCs/>
          <w:sz w:val="20"/>
          <w:szCs w:val="20"/>
          <w:lang w:val="es-CR" w:eastAsia="x-none"/>
        </w:rPr>
        <w:t>, y que ha sido continuada en decisiones posteriores</w:t>
      </w:r>
      <w:r w:rsidRPr="00C82EC8">
        <w:rPr>
          <w:rStyle w:val="Refdenotaalpie"/>
          <w:rFonts w:ascii="Verdana" w:eastAsia="Verdana" w:hAnsi="Verdana"/>
          <w:sz w:val="20"/>
          <w:szCs w:val="20"/>
          <w:lang w:eastAsia="x-none"/>
        </w:rPr>
        <w:footnoteReference w:id="108"/>
      </w:r>
      <w:r w:rsidRPr="00C82EC8">
        <w:rPr>
          <w:rFonts w:ascii="Verdana" w:eastAsia="Verdana" w:hAnsi="Verdana"/>
          <w:bCs/>
          <w:sz w:val="20"/>
          <w:szCs w:val="20"/>
          <w:lang w:val="es-CR" w:eastAsia="x-none"/>
        </w:rPr>
        <w:t xml:space="preserve">. Al respecto, la Corte recuerda que ya en el caso </w:t>
      </w:r>
      <w:r w:rsidRPr="00C82EC8">
        <w:rPr>
          <w:rFonts w:ascii="Verdana" w:eastAsia="Verdana" w:hAnsi="Verdana"/>
          <w:bCs/>
          <w:i/>
          <w:sz w:val="20"/>
          <w:szCs w:val="20"/>
          <w:lang w:val="es-CR" w:eastAsia="x-none"/>
        </w:rPr>
        <w:t>Poblete Vilches y otros Vs. Chile</w:t>
      </w:r>
      <w:r w:rsidRPr="00C82EC8">
        <w:rPr>
          <w:rFonts w:ascii="Verdana" w:eastAsia="Verdana" w:hAnsi="Verdana"/>
          <w:bCs/>
          <w:sz w:val="20"/>
          <w:szCs w:val="20"/>
          <w:lang w:val="es-CR" w:eastAsia="x-none"/>
        </w:rPr>
        <w:t xml:space="preserve"> señaló lo siguiente:</w:t>
      </w:r>
    </w:p>
    <w:p w14:paraId="5820829F" w14:textId="77777777" w:rsidR="00ED7074" w:rsidRPr="00C82EC8" w:rsidRDefault="00ED7074" w:rsidP="00ED7074">
      <w:pPr>
        <w:pStyle w:val="Estilo1"/>
        <w:tabs>
          <w:tab w:val="left" w:pos="709"/>
        </w:tabs>
        <w:spacing w:after="0"/>
        <w:ind w:right="-4"/>
        <w:rPr>
          <w:rFonts w:eastAsia="Verdana"/>
          <w:bCs/>
          <w:i/>
          <w:sz w:val="20"/>
          <w:szCs w:val="20"/>
          <w:lang w:val="es-CR" w:eastAsia="x-none"/>
        </w:rPr>
      </w:pPr>
    </w:p>
    <w:p w14:paraId="723FE234" w14:textId="77777777" w:rsidR="00ED7074" w:rsidRPr="00C82EC8" w:rsidRDefault="00ED7074" w:rsidP="00ED7074">
      <w:pPr>
        <w:pStyle w:val="Estilo1"/>
        <w:tabs>
          <w:tab w:val="left" w:pos="709"/>
          <w:tab w:val="left" w:pos="8505"/>
        </w:tabs>
        <w:spacing w:after="0"/>
        <w:ind w:left="709" w:right="856"/>
        <w:rPr>
          <w:i/>
          <w:sz w:val="18"/>
          <w:szCs w:val="18"/>
          <w:lang w:val="es-CR"/>
        </w:rPr>
      </w:pPr>
      <w:r w:rsidRPr="00C82EC8">
        <w:rPr>
          <w:sz w:val="18"/>
          <w:szCs w:val="18"/>
          <w:lang w:val="es-CR"/>
        </w:rPr>
        <w:t>Así, resulta claro interpretar que la Convención Americana incorporó en su catálogo de derechos protegidos los denominados derechos económicos, sociales, culturales y ambientales (DESCA), a través de una derivación de las normas reconocidas en la Carta de la Organización de los Estados Americanos (OEA), así como de las normas de interpretación dispuestas en el propio artículo 29 de la Convención; particularmente, que impide limitar o excluir el goce de los derechos establecidos en la Declaración Americana e inclusive los reconocidos en materia interna. Asimismo, de conformidad con una interpretación sistemática, teleológica y evolutiva, la Corte ha recurrido al corpus iuris internacional y nacional en la materia para dar contenido específico al alcance de los derechos tutelados por la Convención, a fin de derivar el alcance de las obligaciones específicas de cada derecho</w:t>
      </w:r>
      <w:r w:rsidRPr="00C82EC8">
        <w:rPr>
          <w:rStyle w:val="Refdenotaalpie"/>
          <w:i/>
          <w:sz w:val="18"/>
          <w:szCs w:val="18"/>
        </w:rPr>
        <w:footnoteReference w:id="109"/>
      </w:r>
      <w:r w:rsidRPr="00C82EC8">
        <w:rPr>
          <w:sz w:val="18"/>
          <w:szCs w:val="18"/>
          <w:lang w:val="es-CR"/>
        </w:rPr>
        <w:t>.</w:t>
      </w:r>
    </w:p>
    <w:p w14:paraId="17D5D9EE" w14:textId="77777777" w:rsidR="00ED7074" w:rsidRPr="00C82EC8" w:rsidRDefault="00ED7074" w:rsidP="00ED7074">
      <w:pPr>
        <w:pStyle w:val="Estilo1"/>
        <w:tabs>
          <w:tab w:val="left" w:pos="709"/>
          <w:tab w:val="left" w:pos="8505"/>
        </w:tabs>
        <w:spacing w:after="0"/>
        <w:ind w:right="855"/>
        <w:rPr>
          <w:rFonts w:eastAsia="Verdana"/>
          <w:bCs/>
          <w:i/>
          <w:sz w:val="20"/>
          <w:szCs w:val="20"/>
          <w:lang w:val="es-CR" w:eastAsia="x-none"/>
        </w:rPr>
      </w:pPr>
    </w:p>
    <w:p w14:paraId="02164ED0" w14:textId="77777777" w:rsidR="00ED7074" w:rsidRPr="00C82EC8" w:rsidRDefault="00ED7074" w:rsidP="00ED7074">
      <w:pPr>
        <w:numPr>
          <w:ilvl w:val="0"/>
          <w:numId w:val="12"/>
        </w:numPr>
        <w:tabs>
          <w:tab w:val="left" w:pos="567"/>
          <w:tab w:val="num" w:pos="709"/>
          <w:tab w:val="num" w:pos="12305"/>
        </w:tabs>
        <w:spacing w:after="0" w:line="240" w:lineRule="auto"/>
        <w:ind w:left="0" w:firstLine="0"/>
        <w:jc w:val="both"/>
        <w:rPr>
          <w:rFonts w:ascii="Verdana" w:eastAsia="Times" w:hAnsi="Verdana" w:cs="Arial"/>
          <w:sz w:val="20"/>
          <w:szCs w:val="20"/>
        </w:rPr>
      </w:pPr>
      <w:r w:rsidRPr="00C82EC8">
        <w:rPr>
          <w:rFonts w:ascii="Verdana" w:hAnsi="Verdana"/>
          <w:sz w:val="20"/>
          <w:szCs w:val="20"/>
          <w:lang w:val="es-PE"/>
        </w:rPr>
        <w:lastRenderedPageBreak/>
        <w:t xml:space="preserve">En </w:t>
      </w:r>
      <w:r w:rsidRPr="00C82EC8">
        <w:rPr>
          <w:rFonts w:ascii="Verdana" w:eastAsia="Times" w:hAnsi="Verdana" w:cs="Arial"/>
          <w:sz w:val="20"/>
          <w:szCs w:val="20"/>
        </w:rPr>
        <w:t xml:space="preserve">este apartado, la Corte se pronunciará </w:t>
      </w:r>
      <w:r w:rsidRPr="00C82EC8">
        <w:rPr>
          <w:rFonts w:ascii="Verdana" w:hAnsi="Verdana"/>
          <w:sz w:val="20"/>
          <w:szCs w:val="20"/>
        </w:rPr>
        <w:t>respecto del derecho a la salud, en particular sobre el derecho a la salud de las personas privadas de libertad, de manera autónoma, como parte integrante de los DESCA</w:t>
      </w:r>
      <w:r w:rsidRPr="00C82EC8">
        <w:rPr>
          <w:rFonts w:ascii="Verdana" w:eastAsia="Times" w:hAnsi="Verdana" w:cs="Arial"/>
          <w:sz w:val="20"/>
          <w:szCs w:val="20"/>
        </w:rPr>
        <w:t xml:space="preserve"> y para tal efecto seguirá el siguiente orden: a) el derecho a la salud como derecho autónomo y justiciable; b)</w:t>
      </w:r>
      <w:r w:rsidRPr="00C82EC8">
        <w:rPr>
          <w:rFonts w:ascii="Verdana" w:eastAsia="Times" w:hAnsi="Verdana" w:cs="Arial"/>
          <w:sz w:val="20"/>
          <w:szCs w:val="20"/>
          <w:lang w:val="es-PE"/>
        </w:rPr>
        <w:t xml:space="preserve"> el contenido del derecho a la salud, </w:t>
      </w:r>
      <w:r w:rsidRPr="00C82EC8">
        <w:rPr>
          <w:rFonts w:ascii="Verdana" w:eastAsia="Times" w:hAnsi="Verdana" w:cs="Arial"/>
          <w:sz w:val="20"/>
          <w:szCs w:val="20"/>
        </w:rPr>
        <w:t>y c) la afectación del derecho a la salud en el presente caso.</w:t>
      </w:r>
    </w:p>
    <w:p w14:paraId="2CDA42C0" w14:textId="77777777" w:rsidR="00ED7074" w:rsidRPr="00C82EC8" w:rsidRDefault="00ED7074" w:rsidP="00ED7074">
      <w:pPr>
        <w:spacing w:after="0" w:line="240" w:lineRule="auto"/>
        <w:jc w:val="both"/>
        <w:rPr>
          <w:rFonts w:ascii="Verdana" w:hAnsi="Verdana"/>
          <w:i/>
          <w:sz w:val="20"/>
          <w:szCs w:val="20"/>
        </w:rPr>
      </w:pPr>
    </w:p>
    <w:p w14:paraId="4C3F9AA4" w14:textId="5399FD68" w:rsidR="00ED7074" w:rsidRPr="00C82EC8" w:rsidRDefault="00F15425" w:rsidP="00ED7074">
      <w:pPr>
        <w:pStyle w:val="Ttulo4"/>
        <w:numPr>
          <w:ilvl w:val="0"/>
          <w:numId w:val="0"/>
        </w:numPr>
        <w:ind w:left="1068"/>
      </w:pPr>
      <w:bookmarkStart w:id="61" w:name="_Toc25083707"/>
      <w:r>
        <w:t>B.3</w:t>
      </w:r>
      <w:r w:rsidR="00ED7074" w:rsidRPr="00C82EC8">
        <w:t>.1. El derecho a la salud como derecho autónomo y justiciable</w:t>
      </w:r>
      <w:bookmarkEnd w:id="61"/>
    </w:p>
    <w:p w14:paraId="3F1C5CB8" w14:textId="77777777" w:rsidR="00ED7074" w:rsidRPr="00C82EC8" w:rsidRDefault="00ED7074" w:rsidP="00ED7074">
      <w:pPr>
        <w:pStyle w:val="Prrafodelista"/>
        <w:spacing w:after="0" w:line="240" w:lineRule="auto"/>
        <w:ind w:left="1080"/>
        <w:jc w:val="both"/>
        <w:rPr>
          <w:rFonts w:ascii="Verdana" w:hAnsi="Verdana"/>
          <w:i/>
          <w:sz w:val="20"/>
          <w:szCs w:val="20"/>
        </w:rPr>
      </w:pPr>
    </w:p>
    <w:p w14:paraId="3E1DE233" w14:textId="47342002" w:rsidR="00ED7074" w:rsidRPr="00C82EC8" w:rsidRDefault="00ED7074" w:rsidP="00ED7074">
      <w:pPr>
        <w:numPr>
          <w:ilvl w:val="0"/>
          <w:numId w:val="12"/>
        </w:numPr>
        <w:tabs>
          <w:tab w:val="left" w:pos="567"/>
          <w:tab w:val="num" w:pos="1569"/>
          <w:tab w:val="num" w:pos="12305"/>
        </w:tabs>
        <w:spacing w:after="0" w:line="240" w:lineRule="auto"/>
        <w:ind w:left="0" w:firstLine="0"/>
        <w:jc w:val="both"/>
        <w:rPr>
          <w:rFonts w:ascii="Verdana" w:eastAsia="Times New Roman" w:hAnsi="Verdana" w:cs="Tahoma"/>
          <w:color w:val="333333"/>
          <w:sz w:val="20"/>
          <w:szCs w:val="20"/>
          <w:lang w:val="es-PE"/>
        </w:rPr>
      </w:pPr>
      <w:r w:rsidRPr="00C82EC8">
        <w:rPr>
          <w:rFonts w:ascii="Verdana" w:hAnsi="Verdana"/>
          <w:sz w:val="20"/>
          <w:szCs w:val="20"/>
          <w:lang w:val="es-ES"/>
        </w:rPr>
        <w:t xml:space="preserve">Para identificar aquellos derechos que pueden ser derivados interpretativamente del artículo 26, se debe considerar que este </w:t>
      </w:r>
      <w:r w:rsidRPr="00C82EC8">
        <w:rPr>
          <w:rFonts w:ascii="Verdana" w:hAnsi="Verdana"/>
          <w:sz w:val="20"/>
          <w:szCs w:val="20"/>
          <w:lang w:val="es-PE"/>
        </w:rPr>
        <w:t xml:space="preserve">realiza una remisión directa a </w:t>
      </w:r>
      <w:r w:rsidRPr="00C82EC8">
        <w:rPr>
          <w:rFonts w:ascii="Verdana" w:eastAsia="Times" w:hAnsi="Verdana" w:cs="Arial"/>
          <w:sz w:val="20"/>
          <w:szCs w:val="20"/>
        </w:rPr>
        <w:t>las normas económicas, sociales y sobre educación, ciencia y cultura contenidas en la Carta de la OEA</w:t>
      </w:r>
      <w:r w:rsidRPr="00C82EC8">
        <w:rPr>
          <w:rFonts w:ascii="Verdana" w:hAnsi="Verdana"/>
          <w:sz w:val="20"/>
          <w:szCs w:val="20"/>
          <w:lang w:val="es-PE"/>
        </w:rPr>
        <w:t xml:space="preserve">. De una lectura de este último instrumento, </w:t>
      </w:r>
      <w:r w:rsidRPr="00C82EC8">
        <w:rPr>
          <w:rFonts w:ascii="Verdana" w:eastAsia="Times" w:hAnsi="Verdana" w:cs="Arial"/>
          <w:sz w:val="20"/>
          <w:szCs w:val="20"/>
        </w:rPr>
        <w:t xml:space="preserve">la Corte advierte que reconoce a la salud en </w:t>
      </w:r>
      <w:proofErr w:type="gramStart"/>
      <w:r w:rsidRPr="00C82EC8">
        <w:rPr>
          <w:rFonts w:ascii="Verdana" w:hAnsi="Verdana"/>
          <w:sz w:val="20"/>
          <w:szCs w:val="20"/>
          <w:lang w:val="es-CR"/>
        </w:rPr>
        <w:t>34.i</w:t>
      </w:r>
      <w:proofErr w:type="gramEnd"/>
      <w:r w:rsidRPr="00C82EC8">
        <w:rPr>
          <w:rStyle w:val="Refdenotaalpie"/>
          <w:rFonts w:ascii="Verdana" w:hAnsi="Verdana"/>
          <w:sz w:val="20"/>
          <w:szCs w:val="20"/>
          <w:lang w:val="es-CR"/>
        </w:rPr>
        <w:footnoteReference w:id="110"/>
      </w:r>
      <w:r w:rsidRPr="00C82EC8">
        <w:rPr>
          <w:rFonts w:ascii="Verdana" w:hAnsi="Verdana"/>
          <w:sz w:val="20"/>
          <w:szCs w:val="20"/>
          <w:lang w:val="es-CR"/>
        </w:rPr>
        <w:t xml:space="preserve"> y 34.l</w:t>
      </w:r>
      <w:r w:rsidRPr="00C82EC8">
        <w:rPr>
          <w:rStyle w:val="Refdenotaalpie"/>
          <w:rFonts w:ascii="Verdana" w:hAnsi="Verdana"/>
          <w:sz w:val="20"/>
          <w:szCs w:val="20"/>
          <w:lang w:val="es-CR"/>
        </w:rPr>
        <w:footnoteReference w:id="111"/>
      </w:r>
      <w:r w:rsidRPr="00C82EC8">
        <w:rPr>
          <w:rFonts w:ascii="Verdana" w:hAnsi="Verdana"/>
          <w:sz w:val="20"/>
          <w:szCs w:val="20"/>
          <w:lang w:val="es-CR"/>
        </w:rPr>
        <w:t xml:space="preserve"> de la Carta de la OEA establece, entre los objetivos básicos del desarrollo integral, el de la “[d]</w:t>
      </w:r>
      <w:proofErr w:type="spellStart"/>
      <w:r w:rsidRPr="00C82EC8">
        <w:rPr>
          <w:rFonts w:ascii="Verdana" w:hAnsi="Verdana"/>
          <w:sz w:val="20"/>
          <w:szCs w:val="20"/>
          <w:lang w:val="es-CR"/>
        </w:rPr>
        <w:t>efensa</w:t>
      </w:r>
      <w:proofErr w:type="spellEnd"/>
      <w:r w:rsidRPr="00C82EC8">
        <w:rPr>
          <w:rFonts w:ascii="Verdana" w:hAnsi="Verdana"/>
          <w:sz w:val="20"/>
          <w:szCs w:val="20"/>
          <w:lang w:val="es-CR"/>
        </w:rPr>
        <w:t xml:space="preserve"> del potencial humano mediante la extensión y aplicación de los modernos conocimientos de la ciencia médica”, así como de las “[c]</w:t>
      </w:r>
      <w:proofErr w:type="spellStart"/>
      <w:r w:rsidRPr="00C82EC8">
        <w:rPr>
          <w:rFonts w:ascii="Verdana" w:hAnsi="Verdana"/>
          <w:sz w:val="20"/>
          <w:szCs w:val="20"/>
          <w:lang w:val="es-CR"/>
        </w:rPr>
        <w:t>ondiciones</w:t>
      </w:r>
      <w:proofErr w:type="spellEnd"/>
      <w:r w:rsidRPr="00C82EC8">
        <w:rPr>
          <w:rFonts w:ascii="Verdana" w:hAnsi="Verdana"/>
          <w:sz w:val="20"/>
          <w:szCs w:val="20"/>
          <w:lang w:val="es-CR"/>
        </w:rPr>
        <w:t xml:space="preserve"> que hagan posible una vida sana, productiva y digna”. Por su parte, el artículo 45.h</w:t>
      </w:r>
      <w:r w:rsidRPr="00C82EC8">
        <w:rPr>
          <w:rStyle w:val="Refdenotaalpie"/>
          <w:rFonts w:ascii="Verdana" w:hAnsi="Verdana"/>
          <w:sz w:val="20"/>
          <w:szCs w:val="20"/>
          <w:lang w:val="es-CR"/>
        </w:rPr>
        <w:footnoteReference w:id="112"/>
      </w:r>
      <w:r w:rsidRPr="00C82EC8">
        <w:rPr>
          <w:rFonts w:ascii="Verdana" w:hAnsi="Verdana"/>
          <w:sz w:val="20"/>
          <w:szCs w:val="20"/>
          <w:lang w:val="es-CR"/>
        </w:rPr>
        <w:t xml:space="preserve"> destaca que “el hombre sólo puede alcanzar la plena realización de sus aspiraciones dentro de un orden social justo”, por lo que los Estados convienen en dedicar esfuerzos a la aplicación de principios, entre ellos el: “h) Desarrollo de una política eficiente de seguridad social”. De esta forma, la Corte reitera que existe una referencia con el suficiente grado de especificidad para derivar la existencia del derecho a la salud reconocido por la Carta de la OEA.</w:t>
      </w:r>
      <w:r w:rsidRPr="00C82EC8">
        <w:rPr>
          <w:rFonts w:ascii="Verdana" w:eastAsia="Times New Roman" w:hAnsi="Verdana" w:cs="Tahoma"/>
          <w:color w:val="333333"/>
          <w:sz w:val="20"/>
          <w:szCs w:val="20"/>
          <w:lang w:val="es-CR"/>
        </w:rPr>
        <w:t xml:space="preserve"> </w:t>
      </w:r>
      <w:r w:rsidRPr="00C82EC8">
        <w:rPr>
          <w:rFonts w:ascii="Verdana" w:eastAsia="Times New Roman" w:hAnsi="Verdana" w:cs="Tahoma"/>
          <w:sz w:val="20"/>
          <w:szCs w:val="20"/>
          <w:lang w:val="es-CR"/>
        </w:rPr>
        <w:t>En consecuencia</w:t>
      </w:r>
      <w:r w:rsidRPr="00C82EC8">
        <w:rPr>
          <w:rFonts w:ascii="Verdana" w:hAnsi="Verdana"/>
          <w:sz w:val="20"/>
          <w:szCs w:val="20"/>
        </w:rPr>
        <w:t xml:space="preserve">, la Corte considera que el derecho a la </w:t>
      </w:r>
      <w:r w:rsidR="00F15425">
        <w:rPr>
          <w:rFonts w:ascii="Verdana" w:hAnsi="Verdana"/>
          <w:sz w:val="20"/>
          <w:szCs w:val="20"/>
        </w:rPr>
        <w:t>salud</w:t>
      </w:r>
      <w:r w:rsidRPr="00C82EC8">
        <w:rPr>
          <w:rFonts w:ascii="Verdana" w:hAnsi="Verdana"/>
          <w:sz w:val="20"/>
          <w:szCs w:val="20"/>
        </w:rPr>
        <w:t xml:space="preserve"> es un derecho protegido por el artículo 26 de la Convención</w:t>
      </w:r>
      <w:r w:rsidRPr="00C82EC8">
        <w:rPr>
          <w:rStyle w:val="Refdenotaalpie"/>
          <w:rFonts w:ascii="Verdana" w:hAnsi="Verdana"/>
          <w:sz w:val="20"/>
          <w:szCs w:val="20"/>
        </w:rPr>
        <w:footnoteReference w:id="113"/>
      </w:r>
      <w:r w:rsidRPr="00C82EC8">
        <w:rPr>
          <w:rFonts w:ascii="Verdana" w:hAnsi="Verdana"/>
          <w:sz w:val="20"/>
          <w:szCs w:val="20"/>
        </w:rPr>
        <w:t xml:space="preserve">. </w:t>
      </w:r>
    </w:p>
    <w:p w14:paraId="1B7B92D3" w14:textId="77777777" w:rsidR="00ED7074" w:rsidRPr="00C82EC8" w:rsidRDefault="00ED7074" w:rsidP="00ED7074">
      <w:pPr>
        <w:tabs>
          <w:tab w:val="left" w:pos="567"/>
          <w:tab w:val="num" w:pos="12305"/>
        </w:tabs>
        <w:spacing w:after="0" w:line="240" w:lineRule="auto"/>
        <w:jc w:val="both"/>
        <w:rPr>
          <w:rFonts w:ascii="Verdana" w:eastAsia="Times" w:hAnsi="Verdana" w:cs="Arial"/>
          <w:sz w:val="20"/>
          <w:szCs w:val="20"/>
        </w:rPr>
      </w:pPr>
    </w:p>
    <w:p w14:paraId="6EBC6963" w14:textId="35BCD314" w:rsidR="00ED7074" w:rsidRPr="00C82EC8" w:rsidRDefault="00ED7074" w:rsidP="00ED7074">
      <w:pPr>
        <w:numPr>
          <w:ilvl w:val="0"/>
          <w:numId w:val="12"/>
        </w:numPr>
        <w:tabs>
          <w:tab w:val="left" w:pos="567"/>
          <w:tab w:val="num" w:pos="1569"/>
          <w:tab w:val="num" w:pos="12305"/>
        </w:tabs>
        <w:spacing w:after="0" w:line="240" w:lineRule="auto"/>
        <w:ind w:left="0" w:firstLine="0"/>
        <w:jc w:val="both"/>
        <w:rPr>
          <w:rFonts w:ascii="Verdana" w:hAnsi="Verdana"/>
          <w:sz w:val="20"/>
          <w:szCs w:val="20"/>
        </w:rPr>
      </w:pPr>
      <w:r w:rsidRPr="00C82EC8">
        <w:rPr>
          <w:rFonts w:ascii="Verdana" w:eastAsia="Times" w:hAnsi="Verdana" w:cs="Arial"/>
          <w:sz w:val="20"/>
          <w:szCs w:val="20"/>
        </w:rPr>
        <w:t xml:space="preserve">Corresponde entonces a este Tribunal reiterar los alcances del derecho a la salud, en particular del derecho a la salud de personas privadas de libertad en el marco de los hechos del presente caso, a la luz del </w:t>
      </w:r>
      <w:r w:rsidRPr="00C82EC8">
        <w:rPr>
          <w:rFonts w:ascii="Verdana" w:eastAsia="Times" w:hAnsi="Verdana" w:cs="Arial"/>
          <w:i/>
          <w:sz w:val="20"/>
          <w:szCs w:val="20"/>
        </w:rPr>
        <w:t>corpus iuris</w:t>
      </w:r>
      <w:r w:rsidRPr="00C82EC8">
        <w:rPr>
          <w:rFonts w:ascii="Verdana" w:eastAsia="Times" w:hAnsi="Verdana" w:cs="Arial"/>
          <w:sz w:val="20"/>
          <w:szCs w:val="20"/>
        </w:rPr>
        <w:t xml:space="preserve"> internacional en la materia. La Corte recuerda que </w:t>
      </w:r>
      <w:r w:rsidRPr="00C82EC8">
        <w:rPr>
          <w:rFonts w:ascii="Verdana" w:hAnsi="Verdana"/>
          <w:sz w:val="20"/>
          <w:szCs w:val="20"/>
          <w:lang w:val="es-CR"/>
        </w:rPr>
        <w:t>las obligaciones contenidas en los artículos 1.1 y 2 de la Convención Americana constituyen, en definitiva, la base para la determinación de responsabilidad internacional a un Estado por violaciones a los derechos reconocidos en la Convención</w:t>
      </w:r>
      <w:r w:rsidRPr="00C82EC8">
        <w:rPr>
          <w:rStyle w:val="Refdenotaalpie"/>
          <w:rFonts w:ascii="Verdana" w:hAnsi="Verdana"/>
          <w:sz w:val="20"/>
          <w:szCs w:val="20"/>
        </w:rPr>
        <w:footnoteReference w:id="114"/>
      </w:r>
      <w:r w:rsidRPr="00C82EC8">
        <w:rPr>
          <w:rFonts w:ascii="Verdana" w:hAnsi="Verdana"/>
          <w:sz w:val="20"/>
          <w:szCs w:val="20"/>
          <w:lang w:val="es-CR"/>
        </w:rPr>
        <w:t xml:space="preserve">, incluidos aquellos reconocidos en virtud del artículo 26. Sin embargo, la misma Convención hace expresa referencia a las normas del Derecho Internacional general para su interpretación y aplicación, específicamente a través </w:t>
      </w:r>
      <w:r w:rsidRPr="00C82EC8">
        <w:rPr>
          <w:rFonts w:ascii="Verdana" w:hAnsi="Verdana"/>
          <w:sz w:val="20"/>
          <w:szCs w:val="20"/>
          <w:lang w:val="es-CR"/>
        </w:rPr>
        <w:lastRenderedPageBreak/>
        <w:t xml:space="preserve">del artículo 29, el cual prevé el principio </w:t>
      </w:r>
      <w:proofErr w:type="spellStart"/>
      <w:r w:rsidRPr="00C82EC8">
        <w:rPr>
          <w:rFonts w:ascii="Verdana" w:hAnsi="Verdana"/>
          <w:i/>
          <w:sz w:val="20"/>
          <w:szCs w:val="20"/>
          <w:lang w:val="es-CR"/>
        </w:rPr>
        <w:t>pro</w:t>
      </w:r>
      <w:proofErr w:type="spellEnd"/>
      <w:r w:rsidRPr="00C82EC8">
        <w:rPr>
          <w:rFonts w:ascii="Verdana" w:hAnsi="Verdana"/>
          <w:i/>
          <w:sz w:val="20"/>
          <w:szCs w:val="20"/>
          <w:lang w:val="es-CR"/>
        </w:rPr>
        <w:t xml:space="preserve"> persona</w:t>
      </w:r>
      <w:r w:rsidRPr="00C82EC8">
        <w:rPr>
          <w:rStyle w:val="Refdenotaalpie"/>
          <w:rFonts w:ascii="Verdana" w:hAnsi="Verdana"/>
          <w:sz w:val="20"/>
          <w:szCs w:val="20"/>
        </w:rPr>
        <w:footnoteReference w:id="115"/>
      </w:r>
      <w:r w:rsidRPr="00C82EC8">
        <w:rPr>
          <w:rFonts w:ascii="Verdana" w:hAnsi="Verdana"/>
          <w:sz w:val="20"/>
          <w:szCs w:val="20"/>
          <w:lang w:val="es-CR"/>
        </w:rPr>
        <w:t>. De esta forma, como ha sido la práctica constante de este Tribunal</w:t>
      </w:r>
      <w:r w:rsidRPr="00C82EC8">
        <w:rPr>
          <w:rStyle w:val="Refdenotaalpie"/>
          <w:rFonts w:ascii="Verdana" w:hAnsi="Verdana"/>
          <w:sz w:val="20"/>
          <w:szCs w:val="20"/>
        </w:rPr>
        <w:footnoteReference w:id="116"/>
      </w:r>
      <w:r w:rsidRPr="00C82EC8">
        <w:rPr>
          <w:rFonts w:ascii="Verdana" w:hAnsi="Verdana"/>
          <w:sz w:val="20"/>
          <w:szCs w:val="20"/>
          <w:lang w:val="es-CR"/>
        </w:rPr>
        <w:t>, al determinar la compatibilidad de las acciones y omisiones del Estado, o de sus normas, con la propia Convención u otros tratados respecto de los cuales tiene competencia, la Corte puede interpretar las obligaciones y derechos en ellos contenidos a la luz de otros tratados y normas pertinentes</w:t>
      </w:r>
      <w:r w:rsidRPr="00C82EC8">
        <w:rPr>
          <w:rStyle w:val="Refdenotaalpie"/>
          <w:rFonts w:ascii="Verdana" w:hAnsi="Verdana"/>
          <w:sz w:val="20"/>
          <w:szCs w:val="20"/>
        </w:rPr>
        <w:footnoteReference w:id="117"/>
      </w:r>
      <w:r w:rsidRPr="00C82EC8">
        <w:rPr>
          <w:rFonts w:ascii="Verdana" w:hAnsi="Verdana"/>
          <w:sz w:val="20"/>
          <w:szCs w:val="20"/>
          <w:lang w:val="es-CR"/>
        </w:rPr>
        <w:t>.</w:t>
      </w:r>
    </w:p>
    <w:p w14:paraId="4D23F8C5" w14:textId="77777777" w:rsidR="00ED7074" w:rsidRPr="00C82EC8" w:rsidRDefault="00ED7074" w:rsidP="00ED7074">
      <w:pPr>
        <w:tabs>
          <w:tab w:val="left" w:pos="567"/>
        </w:tabs>
        <w:spacing w:after="0" w:line="240" w:lineRule="auto"/>
        <w:jc w:val="both"/>
        <w:rPr>
          <w:rFonts w:ascii="Verdana" w:hAnsi="Verdana"/>
          <w:sz w:val="20"/>
          <w:szCs w:val="20"/>
        </w:rPr>
      </w:pPr>
    </w:p>
    <w:p w14:paraId="780B7681" w14:textId="77777777" w:rsidR="00ED7074" w:rsidRPr="00C82EC8" w:rsidRDefault="00ED7074" w:rsidP="00ED7074">
      <w:pPr>
        <w:numPr>
          <w:ilvl w:val="0"/>
          <w:numId w:val="12"/>
        </w:numPr>
        <w:tabs>
          <w:tab w:val="left" w:pos="567"/>
          <w:tab w:val="num" w:pos="1569"/>
          <w:tab w:val="num" w:pos="12305"/>
        </w:tabs>
        <w:spacing w:after="0" w:line="240" w:lineRule="auto"/>
        <w:ind w:left="0" w:firstLine="0"/>
        <w:jc w:val="both"/>
        <w:rPr>
          <w:rFonts w:ascii="Verdana" w:hAnsi="Verdana"/>
          <w:sz w:val="20"/>
          <w:szCs w:val="20"/>
        </w:rPr>
      </w:pPr>
      <w:r w:rsidRPr="00C82EC8">
        <w:rPr>
          <w:rFonts w:ascii="Verdana" w:hAnsi="Verdana"/>
          <w:sz w:val="20"/>
          <w:szCs w:val="20"/>
          <w:lang w:val="es-CR"/>
        </w:rPr>
        <w:t xml:space="preserve">De esta forma, la Corte reiterará las fuentes, principios y criterios del </w:t>
      </w:r>
      <w:r w:rsidRPr="00C82EC8">
        <w:rPr>
          <w:rFonts w:ascii="Verdana" w:hAnsi="Verdana"/>
          <w:i/>
          <w:sz w:val="20"/>
          <w:szCs w:val="20"/>
          <w:lang w:val="es-CR"/>
        </w:rPr>
        <w:t xml:space="preserve">corpus iuris </w:t>
      </w:r>
      <w:r w:rsidRPr="00C82EC8">
        <w:rPr>
          <w:rFonts w:ascii="Verdana" w:hAnsi="Verdana"/>
          <w:sz w:val="20"/>
          <w:szCs w:val="20"/>
          <w:lang w:val="es-CR"/>
        </w:rPr>
        <w:t>internacional como normativa especial aplicable en la determinación del contenido del derecho a la salud. Este Tribunal señala que la utilización de la normativa antes mencionada para la determinación del derecho en cuestión se utilizará en forma complementaria a la normativa convencional. Al respecto, la Corte afirma que no está asumiendo competencias sobre tratados en los que no la tiene, ni tampoco está otorgando jerarquía convencional a normas contenidas en otros instrumentos nacionales o internacionales relacionados con los DESCA</w:t>
      </w:r>
      <w:r w:rsidRPr="00C82EC8">
        <w:rPr>
          <w:rStyle w:val="Refdenotaalpie"/>
          <w:rFonts w:ascii="Verdana" w:hAnsi="Verdana"/>
          <w:sz w:val="20"/>
          <w:szCs w:val="20"/>
        </w:rPr>
        <w:footnoteReference w:id="118"/>
      </w:r>
      <w:r w:rsidRPr="00C82EC8">
        <w:rPr>
          <w:rFonts w:ascii="Verdana" w:hAnsi="Verdana"/>
          <w:sz w:val="20"/>
          <w:szCs w:val="20"/>
          <w:lang w:val="es-CR"/>
        </w:rPr>
        <w:t>. Por el contrario, la Corte realizará una interpretación de conformidad con las pautas previstas por el artículo 29, y conforme a su práctica jurisprudencial, que permita actualizar el sentido de los derechos derivados de la Carta de la OEA que se encuentran reconocidos por el artículo 26 de la Convención. La determinación del derecho a la salud dará un especial énfasis a la Declaración Americana, pues tal y como lo estableció este Tribunal:</w:t>
      </w:r>
    </w:p>
    <w:p w14:paraId="6ACE2401" w14:textId="77777777" w:rsidR="00ED7074" w:rsidRPr="00C82EC8" w:rsidRDefault="00ED7074" w:rsidP="00ED7074">
      <w:pPr>
        <w:pStyle w:val="Estilo1"/>
        <w:tabs>
          <w:tab w:val="left" w:pos="709"/>
        </w:tabs>
        <w:spacing w:after="0"/>
        <w:ind w:right="-4"/>
        <w:rPr>
          <w:rFonts w:eastAsia="Times" w:cs="Arial"/>
          <w:i/>
          <w:sz w:val="20"/>
          <w:szCs w:val="20"/>
          <w:lang w:val="es-MX" w:eastAsia="es-CR"/>
        </w:rPr>
      </w:pPr>
    </w:p>
    <w:p w14:paraId="01481EFF" w14:textId="77777777" w:rsidR="00ED7074" w:rsidRPr="00C82EC8" w:rsidRDefault="00ED7074" w:rsidP="00ED7074">
      <w:pPr>
        <w:autoSpaceDE w:val="0"/>
        <w:autoSpaceDN w:val="0"/>
        <w:spacing w:after="0" w:line="240" w:lineRule="auto"/>
        <w:ind w:left="708" w:right="900"/>
        <w:jc w:val="both"/>
        <w:rPr>
          <w:rFonts w:ascii="Verdana" w:hAnsi="Verdana" w:cs="Verdana"/>
          <w:sz w:val="18"/>
          <w:szCs w:val="18"/>
        </w:rPr>
      </w:pPr>
      <w:r w:rsidRPr="00C82EC8">
        <w:rPr>
          <w:rFonts w:ascii="Verdana" w:hAnsi="Verdana" w:cs="Verdana"/>
          <w:sz w:val="18"/>
          <w:szCs w:val="18"/>
        </w:rPr>
        <w:t>[…] [L]os Estados Miembros han entendido que la Declaración contiene y define aquellos derechos humanos esenciales a los que la Carta se refiere, de manera que no se puede interpretar y aplicar la Carta de la Organización en materia de derechos humanos, sin integrar las normas pertinentes de ella con las correspondientes disposiciones de la Declaración, como resulta de la práctica seguida por los órganos de la OEA</w:t>
      </w:r>
      <w:r w:rsidRPr="00C82EC8">
        <w:rPr>
          <w:rFonts w:ascii="Verdana" w:hAnsi="Verdana"/>
          <w:sz w:val="18"/>
          <w:szCs w:val="18"/>
          <w:vertAlign w:val="superscript"/>
        </w:rPr>
        <w:footnoteReference w:id="119"/>
      </w:r>
      <w:r w:rsidRPr="00C82EC8">
        <w:rPr>
          <w:rFonts w:ascii="Verdana" w:hAnsi="Verdana" w:cs="Verdana"/>
          <w:sz w:val="18"/>
          <w:szCs w:val="18"/>
        </w:rPr>
        <w:t>.</w:t>
      </w:r>
    </w:p>
    <w:p w14:paraId="46D9CE04" w14:textId="77777777" w:rsidR="00ED7074" w:rsidRPr="00C82EC8" w:rsidRDefault="00ED7074" w:rsidP="00ED7074">
      <w:pPr>
        <w:tabs>
          <w:tab w:val="left" w:pos="567"/>
        </w:tabs>
        <w:spacing w:after="0" w:line="240" w:lineRule="auto"/>
        <w:jc w:val="both"/>
        <w:rPr>
          <w:rFonts w:ascii="Verdana" w:hAnsi="Verdana"/>
          <w:sz w:val="20"/>
          <w:szCs w:val="20"/>
        </w:rPr>
      </w:pPr>
    </w:p>
    <w:p w14:paraId="2CC13DD5" w14:textId="77777777" w:rsidR="00ED7074" w:rsidRPr="00C82EC8" w:rsidRDefault="00ED7074" w:rsidP="00ED7074">
      <w:pPr>
        <w:numPr>
          <w:ilvl w:val="0"/>
          <w:numId w:val="12"/>
        </w:numPr>
        <w:tabs>
          <w:tab w:val="left" w:pos="567"/>
          <w:tab w:val="num" w:pos="1569"/>
          <w:tab w:val="num" w:pos="12305"/>
        </w:tabs>
        <w:spacing w:after="0" w:line="240" w:lineRule="auto"/>
        <w:ind w:left="0" w:firstLine="0"/>
        <w:jc w:val="both"/>
        <w:rPr>
          <w:rFonts w:ascii="Verdana" w:eastAsia="Times" w:hAnsi="Verdana" w:cs="Arial"/>
          <w:i/>
          <w:sz w:val="20"/>
          <w:szCs w:val="20"/>
        </w:rPr>
      </w:pPr>
      <w:r w:rsidRPr="00C82EC8">
        <w:rPr>
          <w:rFonts w:ascii="Verdana" w:eastAsia="Times" w:hAnsi="Verdana" w:cs="Arial"/>
          <w:sz w:val="20"/>
          <w:szCs w:val="20"/>
        </w:rPr>
        <w:t>En el mismo sentido, este Tribunal ha señalado en otras oportunidades que los tratados de derechos humanos son instrumentos vivos, cuya interpretación tiene que acompañar la evolución de los tiempos y las condiciones de vida actuales. Tal interpretación evolutiva es consecuente con las reglas generales de interpretación establecidas en el artículo 29 de la Convención Americana, así como con la Convención de Viena</w:t>
      </w:r>
      <w:r w:rsidRPr="00C82EC8">
        <w:rPr>
          <w:rStyle w:val="Refdenotaalpie"/>
          <w:rFonts w:ascii="Verdana" w:eastAsia="Times" w:hAnsi="Verdana"/>
          <w:sz w:val="20"/>
          <w:szCs w:val="20"/>
        </w:rPr>
        <w:footnoteReference w:id="120"/>
      </w:r>
      <w:r w:rsidRPr="00C82EC8">
        <w:rPr>
          <w:rFonts w:ascii="Verdana" w:eastAsia="Times" w:hAnsi="Verdana" w:cs="Arial"/>
          <w:sz w:val="20"/>
          <w:szCs w:val="20"/>
        </w:rPr>
        <w:t xml:space="preserve">. Además, el párrafo tercero del artículo 31 de la Convención de Viena autoriza la utilización de medios interpretativos tales como los acuerdos o la práctica o reglas relevantes del derecho internacional que los Estados hayan manifestado sobre la materia del tratado, los cuales son algunos de los métodos que se relacionan con una visión </w:t>
      </w:r>
      <w:r w:rsidRPr="00C82EC8">
        <w:rPr>
          <w:rFonts w:ascii="Verdana" w:eastAsia="Times" w:hAnsi="Verdana" w:cs="Arial"/>
          <w:sz w:val="20"/>
          <w:szCs w:val="20"/>
        </w:rPr>
        <w:lastRenderedPageBreak/>
        <w:t xml:space="preserve">evolutiva del Tratado. De esta forma, con el objetivo de determinar el alcance del derecho a la salud, en particular del derecho a la salud de personas privadas de libertad, tal y como se </w:t>
      </w:r>
      <w:r w:rsidRPr="00C82EC8">
        <w:rPr>
          <w:rFonts w:ascii="Verdana" w:hAnsi="Verdana" w:cs="Tahoma"/>
          <w:sz w:val="20"/>
          <w:szCs w:val="20"/>
          <w:lang w:val="es-CR"/>
        </w:rPr>
        <w:t xml:space="preserve">deriva de las normas económicas, sociales y sobre educación, ciencia y cultura de la Carta de la OEA, el Tribunal hará referencia a los instrumentos relevantes del </w:t>
      </w:r>
      <w:r w:rsidRPr="00C82EC8">
        <w:rPr>
          <w:rFonts w:ascii="Verdana" w:hAnsi="Verdana" w:cs="Tahoma"/>
          <w:i/>
          <w:sz w:val="20"/>
          <w:szCs w:val="20"/>
          <w:lang w:val="es-CR"/>
        </w:rPr>
        <w:t>corpus iuris</w:t>
      </w:r>
      <w:r w:rsidRPr="00C82EC8">
        <w:rPr>
          <w:rFonts w:ascii="Verdana" w:hAnsi="Verdana" w:cs="Tahoma"/>
          <w:sz w:val="20"/>
          <w:szCs w:val="20"/>
          <w:lang w:val="es-CR"/>
        </w:rPr>
        <w:t xml:space="preserve"> internacional.</w:t>
      </w:r>
    </w:p>
    <w:p w14:paraId="0C6DD32C" w14:textId="77777777" w:rsidR="00ED7074" w:rsidRPr="00C82EC8" w:rsidRDefault="00ED7074" w:rsidP="00ED7074">
      <w:pPr>
        <w:tabs>
          <w:tab w:val="left" w:pos="567"/>
        </w:tabs>
        <w:spacing w:after="0" w:line="240" w:lineRule="auto"/>
        <w:jc w:val="both"/>
        <w:rPr>
          <w:rFonts w:ascii="Verdana" w:eastAsia="Times" w:hAnsi="Verdana" w:cs="Arial"/>
          <w:i/>
          <w:sz w:val="20"/>
          <w:szCs w:val="20"/>
        </w:rPr>
      </w:pPr>
    </w:p>
    <w:p w14:paraId="6C4AFAB3" w14:textId="77777777" w:rsidR="00ED7074" w:rsidRPr="00C82EC8" w:rsidRDefault="00ED7074" w:rsidP="00ED7074">
      <w:pPr>
        <w:numPr>
          <w:ilvl w:val="0"/>
          <w:numId w:val="12"/>
        </w:numPr>
        <w:tabs>
          <w:tab w:val="left" w:pos="567"/>
          <w:tab w:val="num" w:pos="1569"/>
          <w:tab w:val="num" w:pos="12305"/>
        </w:tabs>
        <w:spacing w:after="0" w:line="240" w:lineRule="auto"/>
        <w:ind w:left="0" w:firstLine="0"/>
        <w:jc w:val="both"/>
        <w:rPr>
          <w:rFonts w:ascii="Verdana" w:eastAsia="Times" w:hAnsi="Verdana" w:cs="Arial"/>
          <w:i/>
          <w:sz w:val="20"/>
          <w:szCs w:val="20"/>
        </w:rPr>
      </w:pPr>
      <w:r w:rsidRPr="00C82EC8">
        <w:rPr>
          <w:rFonts w:ascii="Verdana" w:hAnsi="Verdana"/>
          <w:sz w:val="20"/>
          <w:szCs w:val="20"/>
        </w:rPr>
        <w:t>A continuación, este Tribunal procede a verificar el alcance y contenido de este derecho para efectos del presente caso.</w:t>
      </w:r>
    </w:p>
    <w:p w14:paraId="13809C51" w14:textId="77777777" w:rsidR="00ED7074" w:rsidRPr="00C82EC8" w:rsidRDefault="00ED7074" w:rsidP="00ED7074">
      <w:pPr>
        <w:pStyle w:val="Estilo1"/>
        <w:tabs>
          <w:tab w:val="left" w:pos="709"/>
        </w:tabs>
        <w:spacing w:after="0"/>
        <w:ind w:right="-4"/>
        <w:rPr>
          <w:rFonts w:eastAsia="Times" w:cs="Arial"/>
          <w:i/>
          <w:sz w:val="20"/>
          <w:szCs w:val="20"/>
          <w:lang w:val="es-MX" w:eastAsia="es-CR"/>
        </w:rPr>
      </w:pPr>
    </w:p>
    <w:p w14:paraId="47F9897F" w14:textId="721EE07A" w:rsidR="00ED7074" w:rsidRPr="00C82EC8" w:rsidRDefault="00A90FA7" w:rsidP="00ED7074">
      <w:pPr>
        <w:pStyle w:val="Ttulo4"/>
        <w:numPr>
          <w:ilvl w:val="0"/>
          <w:numId w:val="0"/>
        </w:numPr>
        <w:ind w:left="1068"/>
        <w:rPr>
          <w:strike/>
        </w:rPr>
      </w:pPr>
      <w:bookmarkStart w:id="62" w:name="_Toc25083708"/>
      <w:r>
        <w:rPr>
          <w:lang w:val="es-PE"/>
        </w:rPr>
        <w:t>B.3</w:t>
      </w:r>
      <w:r w:rsidR="00ED7074" w:rsidRPr="00C82EC8">
        <w:rPr>
          <w:lang w:val="es-PE"/>
        </w:rPr>
        <w:t xml:space="preserve">.2. El contenido del derecho a la </w:t>
      </w:r>
      <w:bookmarkEnd w:id="62"/>
      <w:r w:rsidR="00ED7074" w:rsidRPr="00C82EC8">
        <w:rPr>
          <w:lang w:val="es-PE"/>
        </w:rPr>
        <w:t xml:space="preserve">salud </w:t>
      </w:r>
    </w:p>
    <w:p w14:paraId="4B1C9E35" w14:textId="77777777" w:rsidR="00ED7074" w:rsidRPr="00C82EC8" w:rsidRDefault="00ED7074" w:rsidP="00ED7074">
      <w:pPr>
        <w:pStyle w:val="Estilo1"/>
        <w:tabs>
          <w:tab w:val="left" w:pos="709"/>
        </w:tabs>
        <w:spacing w:after="0"/>
        <w:ind w:right="-4"/>
        <w:rPr>
          <w:rFonts w:eastAsia="Times" w:cs="Arial"/>
          <w:i/>
          <w:strike/>
          <w:sz w:val="20"/>
          <w:szCs w:val="20"/>
          <w:lang w:val="es-CR" w:eastAsia="es-CR"/>
        </w:rPr>
      </w:pPr>
    </w:p>
    <w:p w14:paraId="23EE45A0" w14:textId="5E34AC91" w:rsidR="00ED7074" w:rsidRPr="00C82EC8" w:rsidRDefault="00ED7074" w:rsidP="00ED7074">
      <w:pPr>
        <w:numPr>
          <w:ilvl w:val="0"/>
          <w:numId w:val="12"/>
        </w:numPr>
        <w:tabs>
          <w:tab w:val="left" w:pos="567"/>
          <w:tab w:val="num" w:pos="1569"/>
          <w:tab w:val="num" w:pos="12305"/>
        </w:tabs>
        <w:spacing w:after="0" w:line="240" w:lineRule="auto"/>
        <w:ind w:left="0" w:firstLine="0"/>
        <w:jc w:val="both"/>
        <w:rPr>
          <w:rFonts w:ascii="Verdana" w:eastAsia="Times" w:hAnsi="Verdana" w:cs="Arial"/>
          <w:sz w:val="20"/>
          <w:szCs w:val="20"/>
        </w:rPr>
      </w:pPr>
      <w:r w:rsidRPr="00C82EC8">
        <w:rPr>
          <w:rFonts w:ascii="Verdana" w:hAnsi="Verdana"/>
          <w:sz w:val="20"/>
          <w:szCs w:val="20"/>
        </w:rPr>
        <w:t xml:space="preserve">De conformidad con lo señalado anteriormente, </w:t>
      </w:r>
      <w:r w:rsidRPr="00C82EC8">
        <w:rPr>
          <w:rFonts w:ascii="Verdana" w:eastAsia="Times" w:hAnsi="Verdana" w:cs="Arial"/>
          <w:sz w:val="20"/>
          <w:szCs w:val="20"/>
        </w:rPr>
        <w:t xml:space="preserve">los artículos </w:t>
      </w:r>
      <w:r w:rsidRPr="00C82EC8">
        <w:rPr>
          <w:rFonts w:ascii="Verdana" w:hAnsi="Verdana"/>
          <w:sz w:val="20"/>
          <w:szCs w:val="20"/>
          <w:lang w:val="es-CR"/>
        </w:rPr>
        <w:t>34.i y 34.l de la Carta de la OEA establecen, entre los objetivos básicos del desarrollo integral, el de la “[d]</w:t>
      </w:r>
      <w:proofErr w:type="spellStart"/>
      <w:r w:rsidRPr="00C82EC8">
        <w:rPr>
          <w:rFonts w:ascii="Verdana" w:hAnsi="Verdana"/>
          <w:sz w:val="20"/>
          <w:szCs w:val="20"/>
          <w:lang w:val="es-CR"/>
        </w:rPr>
        <w:t>efensa</w:t>
      </w:r>
      <w:proofErr w:type="spellEnd"/>
      <w:r w:rsidRPr="00C82EC8">
        <w:rPr>
          <w:rFonts w:ascii="Verdana" w:hAnsi="Verdana"/>
          <w:sz w:val="20"/>
          <w:szCs w:val="20"/>
          <w:lang w:val="es-CR"/>
        </w:rPr>
        <w:t xml:space="preserve"> del potencial humano mediante la extensión y aplicación de los modernos conocimientos de la ciencia médica”, así como de las “[c]</w:t>
      </w:r>
      <w:proofErr w:type="spellStart"/>
      <w:r w:rsidRPr="00C82EC8">
        <w:rPr>
          <w:rFonts w:ascii="Verdana" w:hAnsi="Verdana"/>
          <w:sz w:val="20"/>
          <w:szCs w:val="20"/>
          <w:lang w:val="es-CR"/>
        </w:rPr>
        <w:t>ondiciones</w:t>
      </w:r>
      <w:proofErr w:type="spellEnd"/>
      <w:r w:rsidRPr="00C82EC8">
        <w:rPr>
          <w:rFonts w:ascii="Verdana" w:hAnsi="Verdana"/>
          <w:sz w:val="20"/>
          <w:szCs w:val="20"/>
          <w:lang w:val="es-CR"/>
        </w:rPr>
        <w:t xml:space="preserve"> que hagan posible una vida sana, productiva y digna”. Asimismo, el artículo 45.h</w:t>
      </w:r>
      <w:r w:rsidRPr="00C82EC8">
        <w:rPr>
          <w:rStyle w:val="Refdenotaalpie"/>
          <w:rFonts w:ascii="Verdana" w:hAnsi="Verdana"/>
          <w:sz w:val="20"/>
          <w:szCs w:val="20"/>
          <w:lang w:val="es-CR"/>
        </w:rPr>
        <w:footnoteReference w:id="121"/>
      </w:r>
      <w:r w:rsidRPr="00C82EC8">
        <w:rPr>
          <w:rFonts w:ascii="Verdana" w:hAnsi="Verdana"/>
          <w:sz w:val="20"/>
          <w:szCs w:val="20"/>
          <w:lang w:val="es-CR"/>
        </w:rPr>
        <w:t xml:space="preserve"> destaca que “el hombre sólo puede alcanzar la plena realización de sus aspiraciones dentro de un orden social justo”, por lo que los Estados convienen en dedicar esfuerzos a la aplicación de principios, entre ellos el: “h) Desarrollo de una política eficiente de seguridad social”.</w:t>
      </w:r>
    </w:p>
    <w:p w14:paraId="06F1D3F6" w14:textId="77777777" w:rsidR="00ED7074" w:rsidRPr="00C82EC8" w:rsidRDefault="00ED7074" w:rsidP="00ED7074">
      <w:pPr>
        <w:tabs>
          <w:tab w:val="left" w:pos="567"/>
        </w:tabs>
        <w:spacing w:after="0" w:line="240" w:lineRule="auto"/>
        <w:jc w:val="both"/>
        <w:rPr>
          <w:rFonts w:ascii="Verdana" w:eastAsia="Times" w:hAnsi="Verdana" w:cs="Arial"/>
          <w:sz w:val="20"/>
          <w:szCs w:val="20"/>
        </w:rPr>
      </w:pPr>
    </w:p>
    <w:p w14:paraId="065D26C3" w14:textId="77777777" w:rsidR="00ED7074" w:rsidRPr="00C82EC8" w:rsidRDefault="00ED7074" w:rsidP="00ED7074">
      <w:pPr>
        <w:numPr>
          <w:ilvl w:val="0"/>
          <w:numId w:val="12"/>
        </w:numPr>
        <w:tabs>
          <w:tab w:val="left" w:pos="567"/>
          <w:tab w:val="num" w:pos="1569"/>
          <w:tab w:val="num" w:pos="12305"/>
        </w:tabs>
        <w:spacing w:after="0" w:line="240" w:lineRule="auto"/>
        <w:ind w:left="0" w:firstLine="0"/>
        <w:jc w:val="both"/>
        <w:rPr>
          <w:rFonts w:ascii="Verdana" w:eastAsia="Times" w:hAnsi="Verdana" w:cs="Arial"/>
          <w:sz w:val="20"/>
          <w:szCs w:val="20"/>
        </w:rPr>
      </w:pPr>
      <w:r w:rsidRPr="00C82EC8">
        <w:rPr>
          <w:rFonts w:ascii="Verdana" w:hAnsi="Verdana"/>
          <w:sz w:val="20"/>
          <w:szCs w:val="20"/>
        </w:rPr>
        <w:t xml:space="preserve">Asimismo, el artículo XI de la Declaración Americana permite identificar el derecho a la salud al referir que toda persona tiene derecho </w:t>
      </w:r>
      <w:r w:rsidRPr="00C82EC8">
        <w:rPr>
          <w:rFonts w:ascii="Verdana" w:hAnsi="Verdana"/>
          <w:sz w:val="20"/>
          <w:szCs w:val="20"/>
          <w:lang w:val="es-CR"/>
        </w:rPr>
        <w:t>“a que su salud sea preservada por medidas sanitarias y sociales, relativas a […] la asistencia médica, correspondientes al nivel que permitan los recursos públicos y los de la comunidad”</w:t>
      </w:r>
      <w:r w:rsidRPr="00C82EC8">
        <w:rPr>
          <w:rStyle w:val="Refdenotaalpie"/>
          <w:rFonts w:ascii="Verdana" w:hAnsi="Verdana"/>
          <w:sz w:val="20"/>
          <w:szCs w:val="20"/>
        </w:rPr>
        <w:footnoteReference w:id="122"/>
      </w:r>
      <w:r w:rsidRPr="00C82EC8">
        <w:rPr>
          <w:rFonts w:ascii="Verdana" w:hAnsi="Verdana"/>
          <w:sz w:val="20"/>
          <w:szCs w:val="20"/>
        </w:rPr>
        <w:t>.</w:t>
      </w:r>
    </w:p>
    <w:p w14:paraId="3EA4C8A1" w14:textId="77777777" w:rsidR="00ED7074" w:rsidRPr="00C82EC8" w:rsidRDefault="00ED7074" w:rsidP="00ED7074">
      <w:pPr>
        <w:pStyle w:val="Prrafodelista"/>
        <w:spacing w:after="0" w:line="240" w:lineRule="auto"/>
        <w:ind w:left="0"/>
        <w:jc w:val="both"/>
        <w:rPr>
          <w:rFonts w:ascii="Verdana" w:hAnsi="Verdana"/>
          <w:sz w:val="20"/>
          <w:szCs w:val="20"/>
        </w:rPr>
      </w:pPr>
    </w:p>
    <w:p w14:paraId="52B18E65" w14:textId="77777777" w:rsidR="00ED7074" w:rsidRPr="00C82EC8" w:rsidRDefault="00ED7074" w:rsidP="00ED7074">
      <w:pPr>
        <w:numPr>
          <w:ilvl w:val="0"/>
          <w:numId w:val="12"/>
        </w:numPr>
        <w:tabs>
          <w:tab w:val="left" w:pos="567"/>
          <w:tab w:val="num" w:pos="1569"/>
          <w:tab w:val="num" w:pos="12305"/>
        </w:tabs>
        <w:spacing w:after="0" w:line="240" w:lineRule="auto"/>
        <w:ind w:left="0" w:firstLine="0"/>
        <w:jc w:val="both"/>
        <w:rPr>
          <w:rFonts w:ascii="Verdana" w:eastAsia="Times" w:hAnsi="Verdana" w:cs="Arial"/>
          <w:sz w:val="20"/>
          <w:szCs w:val="20"/>
        </w:rPr>
      </w:pPr>
      <w:r w:rsidRPr="00C82EC8">
        <w:rPr>
          <w:rFonts w:ascii="Verdana" w:hAnsi="Verdana"/>
          <w:sz w:val="20"/>
          <w:szCs w:val="20"/>
        </w:rPr>
        <w:t xml:space="preserve">De igual manera, </w:t>
      </w:r>
      <w:r w:rsidRPr="00C82EC8">
        <w:rPr>
          <w:rFonts w:ascii="Verdana" w:hAnsi="Verdana"/>
          <w:sz w:val="20"/>
          <w:szCs w:val="20"/>
          <w:lang w:val="es-ES"/>
        </w:rPr>
        <w:t>el artículo 10 del Protocolo de San Salvador</w:t>
      </w:r>
      <w:r w:rsidRPr="00C82EC8">
        <w:rPr>
          <w:rFonts w:ascii="Verdana" w:hAnsi="Verdana" w:cs="Verdana"/>
          <w:sz w:val="20"/>
          <w:szCs w:val="20"/>
          <w:lang w:val="es-ES"/>
        </w:rPr>
        <w:t xml:space="preserve"> establece que toda persona tiene derecho a la salud, entendida</w:t>
      </w:r>
      <w:r w:rsidRPr="00C82EC8">
        <w:rPr>
          <w:rFonts w:ascii="Verdana" w:hAnsi="Verdana"/>
          <w:sz w:val="20"/>
          <w:szCs w:val="20"/>
          <w:lang w:val="es-ES"/>
        </w:rPr>
        <w:t xml:space="preserve"> </w:t>
      </w:r>
      <w:r w:rsidRPr="00C82EC8">
        <w:rPr>
          <w:rFonts w:ascii="Verdana" w:hAnsi="Verdana" w:cs="Verdana"/>
          <w:sz w:val="20"/>
          <w:szCs w:val="20"/>
          <w:lang w:val="es-ES"/>
        </w:rPr>
        <w:t>como el disfrute del más alto nivel de bienestar físico, mental y social, e</w:t>
      </w:r>
      <w:r w:rsidRPr="00C82EC8">
        <w:rPr>
          <w:rFonts w:ascii="Verdana" w:hAnsi="Verdana"/>
          <w:sz w:val="20"/>
          <w:szCs w:val="20"/>
          <w:lang w:val="es-ES"/>
        </w:rPr>
        <w:t xml:space="preserve"> </w:t>
      </w:r>
      <w:r w:rsidRPr="00C82EC8">
        <w:rPr>
          <w:rFonts w:ascii="Verdana" w:hAnsi="Verdana" w:cs="Verdana"/>
          <w:sz w:val="20"/>
          <w:szCs w:val="20"/>
          <w:lang w:val="es-ES"/>
        </w:rPr>
        <w:t>indica que la salud es un bien público</w:t>
      </w:r>
      <w:r w:rsidRPr="00C82EC8">
        <w:rPr>
          <w:rStyle w:val="Refdenotaalpie"/>
          <w:rFonts w:ascii="Verdana" w:hAnsi="Verdana"/>
          <w:sz w:val="20"/>
          <w:szCs w:val="20"/>
          <w:lang w:val="es-ES"/>
        </w:rPr>
        <w:footnoteReference w:id="123"/>
      </w:r>
      <w:r w:rsidRPr="00C82EC8">
        <w:rPr>
          <w:rFonts w:ascii="Verdana" w:hAnsi="Verdana" w:cs="Verdana"/>
          <w:sz w:val="20"/>
          <w:szCs w:val="20"/>
          <w:lang w:val="es-ES"/>
        </w:rPr>
        <w:t>.</w:t>
      </w:r>
      <w:r w:rsidRPr="00C82EC8">
        <w:rPr>
          <w:rFonts w:ascii="Verdana" w:hAnsi="Verdana"/>
          <w:sz w:val="20"/>
          <w:szCs w:val="20"/>
          <w:lang w:val="es-ES"/>
        </w:rPr>
        <w:t xml:space="preserve"> El mismo artículo </w:t>
      </w:r>
      <w:r w:rsidRPr="00C82EC8">
        <w:rPr>
          <w:rFonts w:ascii="Verdana" w:hAnsi="Verdana"/>
          <w:sz w:val="20"/>
          <w:szCs w:val="20"/>
          <w:lang w:val="es-CR"/>
        </w:rPr>
        <w:t>establece que, entre las medidas para garantizar el derecho a la salud, los Estados deben impulsar “la total inmunización contra las principales enfermedades infecciosas”, “la prevención y el tratamiento de las enfermedades endémicas, profesionales y de otra índole”, y “la satisfacción de las necesidades de salud de los grupos de más alto riesgo y que por sus condiciones de pobreza sean más vulnerables”.</w:t>
      </w:r>
    </w:p>
    <w:p w14:paraId="00B0A498" w14:textId="77777777" w:rsidR="00ED7074" w:rsidRPr="00C82EC8" w:rsidRDefault="00ED7074" w:rsidP="00ED7074">
      <w:pPr>
        <w:pStyle w:val="Prrafodelista"/>
        <w:spacing w:after="0" w:line="240" w:lineRule="auto"/>
        <w:ind w:left="0"/>
        <w:jc w:val="both"/>
        <w:rPr>
          <w:rFonts w:ascii="Verdana" w:eastAsia="Times" w:hAnsi="Verdana" w:cs="Arial"/>
          <w:sz w:val="20"/>
          <w:szCs w:val="20"/>
        </w:rPr>
      </w:pPr>
    </w:p>
    <w:p w14:paraId="13A6FDEA" w14:textId="64A22DB0" w:rsidR="00ED7074" w:rsidRPr="00C82EC8" w:rsidRDefault="00ED7074" w:rsidP="00ED7074">
      <w:pPr>
        <w:numPr>
          <w:ilvl w:val="0"/>
          <w:numId w:val="12"/>
        </w:numPr>
        <w:tabs>
          <w:tab w:val="left" w:pos="567"/>
          <w:tab w:val="num" w:pos="1569"/>
          <w:tab w:val="num" w:pos="12305"/>
        </w:tabs>
        <w:spacing w:after="0" w:line="240" w:lineRule="auto"/>
        <w:ind w:left="0" w:firstLine="0"/>
        <w:jc w:val="both"/>
        <w:rPr>
          <w:rFonts w:ascii="Verdana" w:eastAsia="Times" w:hAnsi="Verdana" w:cs="Arial"/>
          <w:sz w:val="20"/>
          <w:szCs w:val="20"/>
        </w:rPr>
      </w:pPr>
      <w:r w:rsidRPr="00C82EC8">
        <w:rPr>
          <w:rFonts w:ascii="Verdana" w:eastAsia="Times" w:hAnsi="Verdana" w:cs="Arial"/>
          <w:sz w:val="20"/>
          <w:szCs w:val="20"/>
        </w:rPr>
        <w:t xml:space="preserve">En el ámbito universal, </w:t>
      </w:r>
      <w:r w:rsidRPr="00C82EC8">
        <w:rPr>
          <w:rFonts w:ascii="Verdana" w:hAnsi="Verdana"/>
          <w:sz w:val="20"/>
          <w:szCs w:val="20"/>
        </w:rPr>
        <w:t>el artículo 25 de la Declaración Universal de Derechos Humanos</w:t>
      </w:r>
      <w:r w:rsidRPr="00C82EC8">
        <w:rPr>
          <w:rStyle w:val="Refdenotaalpie"/>
          <w:rFonts w:ascii="Verdana" w:hAnsi="Verdana"/>
          <w:sz w:val="20"/>
          <w:szCs w:val="20"/>
        </w:rPr>
        <w:footnoteReference w:id="124"/>
      </w:r>
      <w:r w:rsidRPr="00C82EC8">
        <w:rPr>
          <w:rFonts w:ascii="Verdana" w:hAnsi="Verdana"/>
          <w:sz w:val="20"/>
          <w:szCs w:val="20"/>
        </w:rPr>
        <w:t xml:space="preserve"> estable</w:t>
      </w:r>
      <w:r w:rsidRPr="00E46F1E">
        <w:rPr>
          <w:rFonts w:ascii="Verdana" w:hAnsi="Verdana"/>
          <w:sz w:val="20"/>
          <w:szCs w:val="20"/>
        </w:rPr>
        <w:t xml:space="preserve">ce que “a un nivel de vida adecuado que le asegure, así como a su familia, la salud y el bienestar, y en especial la alimentación, el vestido, la vivienda, la asistencia médica y los servicios sociales necesarios; tiene asimismo derecho a los seguros en caso de desempleo, enfermedad, </w:t>
      </w:r>
      <w:r w:rsidRPr="00E46F1E">
        <w:rPr>
          <w:rFonts w:ascii="Verdana" w:hAnsi="Verdana"/>
          <w:sz w:val="20"/>
          <w:szCs w:val="20"/>
        </w:rPr>
        <w:lastRenderedPageBreak/>
        <w:t>invalidez, viudez, vejez u otros casos de pérdida de sus medios de subsistencia por circunstancias independientes de su voluntad.”</w:t>
      </w:r>
      <w:r w:rsidRPr="00E46F1E">
        <w:rPr>
          <w:rFonts w:ascii="Verdana" w:eastAsia="Times" w:hAnsi="Verdana" w:cs="Arial"/>
          <w:sz w:val="20"/>
          <w:szCs w:val="20"/>
        </w:rPr>
        <w:t xml:space="preserve"> Por su parte, el artículo 12 del </w:t>
      </w:r>
      <w:r w:rsidRPr="00E46F1E">
        <w:rPr>
          <w:rFonts w:ascii="Verdana" w:hAnsi="Verdana"/>
          <w:sz w:val="20"/>
          <w:szCs w:val="20"/>
        </w:rPr>
        <w:t>Pacto Internacional de Derechos Económicos, Sociales y Culturales (PIDESC) entiende el derecho a la salud como el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u otros casos de pérdida de sus medios de subsistencia por circunstancia</w:t>
      </w:r>
      <w:r w:rsidR="00A90FA7" w:rsidRPr="00E46F1E">
        <w:rPr>
          <w:rFonts w:ascii="Verdana" w:hAnsi="Verdana"/>
          <w:sz w:val="20"/>
          <w:szCs w:val="20"/>
        </w:rPr>
        <w:t>s independientes de su voluntad</w:t>
      </w:r>
      <w:r w:rsidRPr="00E46F1E">
        <w:rPr>
          <w:rFonts w:ascii="Verdana" w:hAnsi="Verdana"/>
          <w:sz w:val="20"/>
          <w:szCs w:val="20"/>
        </w:rPr>
        <w:t>”</w:t>
      </w:r>
      <w:r w:rsidR="00A90FA7" w:rsidRPr="00E46F1E">
        <w:rPr>
          <w:rFonts w:ascii="Verdana" w:hAnsi="Verdana"/>
          <w:sz w:val="20"/>
          <w:szCs w:val="20"/>
        </w:rPr>
        <w:t>.</w:t>
      </w:r>
    </w:p>
    <w:p w14:paraId="0867B14F" w14:textId="77777777" w:rsidR="00ED7074" w:rsidRPr="00C82EC8" w:rsidRDefault="00ED7074" w:rsidP="00ED7074">
      <w:pPr>
        <w:tabs>
          <w:tab w:val="left" w:pos="567"/>
          <w:tab w:val="num" w:pos="1569"/>
          <w:tab w:val="num" w:pos="12305"/>
        </w:tabs>
        <w:spacing w:after="0" w:line="240" w:lineRule="auto"/>
        <w:jc w:val="both"/>
        <w:rPr>
          <w:rFonts w:ascii="Verdana" w:eastAsia="Times" w:hAnsi="Verdana" w:cs="Arial"/>
          <w:sz w:val="20"/>
          <w:szCs w:val="20"/>
        </w:rPr>
      </w:pPr>
    </w:p>
    <w:p w14:paraId="0D09E4A1" w14:textId="77777777" w:rsidR="00ED7074" w:rsidRPr="00C82EC8" w:rsidRDefault="00ED7074" w:rsidP="00ED7074">
      <w:pPr>
        <w:numPr>
          <w:ilvl w:val="0"/>
          <w:numId w:val="12"/>
        </w:numPr>
        <w:tabs>
          <w:tab w:val="left" w:pos="567"/>
          <w:tab w:val="num" w:pos="1569"/>
          <w:tab w:val="num" w:pos="12305"/>
        </w:tabs>
        <w:spacing w:after="0" w:line="240" w:lineRule="auto"/>
        <w:ind w:left="0" w:firstLine="0"/>
        <w:jc w:val="both"/>
        <w:rPr>
          <w:rFonts w:ascii="Verdana" w:eastAsia="Calibri" w:hAnsi="Verdana"/>
          <w:sz w:val="20"/>
          <w:szCs w:val="20"/>
          <w:lang w:val="es-AR"/>
        </w:rPr>
      </w:pPr>
      <w:r w:rsidRPr="00C82EC8">
        <w:rPr>
          <w:rFonts w:ascii="Verdana" w:eastAsia="Calibri" w:hAnsi="Verdana"/>
          <w:sz w:val="20"/>
          <w:szCs w:val="20"/>
          <w:lang w:val="es-ES_tradnl"/>
        </w:rPr>
        <w:t>Adicionalmente, el derecho a la salud se reconoce en el artículo 5 apartado e) de la Convención Internacional sobre la Eliminación de Todas las Formas de Discriminación Racial</w:t>
      </w:r>
      <w:r w:rsidRPr="00C82EC8">
        <w:rPr>
          <w:rFonts w:ascii="Verdana" w:eastAsia="Calibri" w:hAnsi="Verdana"/>
          <w:iCs/>
          <w:sz w:val="20"/>
          <w:szCs w:val="20"/>
          <w:vertAlign w:val="superscript"/>
        </w:rPr>
        <w:footnoteReference w:id="125"/>
      </w:r>
      <w:r w:rsidRPr="00C82EC8">
        <w:rPr>
          <w:rFonts w:ascii="Verdana" w:eastAsia="Calibri" w:hAnsi="Verdana"/>
          <w:sz w:val="20"/>
          <w:szCs w:val="20"/>
          <w:lang w:val="es-ES_tradnl"/>
        </w:rPr>
        <w:t>; el artículo 12.1 de la Convención sobre la Eliminación de Todas las Formas de Discriminación contra la Mujer</w:t>
      </w:r>
      <w:r w:rsidRPr="00C82EC8">
        <w:rPr>
          <w:rFonts w:ascii="Verdana" w:eastAsia="Calibri" w:hAnsi="Verdana"/>
          <w:iCs/>
          <w:sz w:val="20"/>
          <w:szCs w:val="20"/>
          <w:vertAlign w:val="superscript"/>
        </w:rPr>
        <w:footnoteReference w:id="126"/>
      </w:r>
      <w:r w:rsidRPr="00C82EC8">
        <w:rPr>
          <w:rFonts w:ascii="Verdana" w:eastAsia="Calibri" w:hAnsi="Verdana"/>
          <w:sz w:val="20"/>
          <w:szCs w:val="20"/>
          <w:lang w:val="es-ES_tradnl"/>
        </w:rPr>
        <w:t>; el artículo 24.1 de la Convención sobre los Derechos del Niño</w:t>
      </w:r>
      <w:r w:rsidRPr="00C82EC8">
        <w:rPr>
          <w:rFonts w:ascii="Verdana" w:eastAsia="Calibri" w:hAnsi="Verdana"/>
          <w:iCs/>
          <w:sz w:val="20"/>
          <w:szCs w:val="20"/>
          <w:vertAlign w:val="superscript"/>
        </w:rPr>
        <w:footnoteReference w:id="127"/>
      </w:r>
      <w:r w:rsidRPr="00C82EC8">
        <w:rPr>
          <w:rFonts w:ascii="Verdana" w:eastAsia="Calibri" w:hAnsi="Verdana"/>
          <w:sz w:val="20"/>
          <w:szCs w:val="20"/>
          <w:lang w:val="es-ES_tradnl"/>
        </w:rPr>
        <w:t>; el artículo 28 de la Convención sobre la Protección de los Trabajadores Migratorios y sus Familiares</w:t>
      </w:r>
      <w:r w:rsidRPr="00C82EC8">
        <w:rPr>
          <w:rFonts w:ascii="Verdana" w:eastAsia="Calibri" w:hAnsi="Verdana"/>
          <w:iCs/>
          <w:sz w:val="20"/>
          <w:szCs w:val="20"/>
          <w:vertAlign w:val="superscript"/>
        </w:rPr>
        <w:footnoteReference w:id="128"/>
      </w:r>
      <w:r w:rsidRPr="00C82EC8">
        <w:rPr>
          <w:rFonts w:ascii="Verdana" w:eastAsia="Calibri" w:hAnsi="Verdana"/>
          <w:sz w:val="20"/>
          <w:szCs w:val="20"/>
          <w:lang w:val="es-ES_tradnl"/>
        </w:rPr>
        <w:t>, y el artículo 25 de la Convención sobre los Derechos de las Personas con Discapacidad</w:t>
      </w:r>
      <w:r w:rsidRPr="00C82EC8">
        <w:rPr>
          <w:rFonts w:ascii="Verdana" w:eastAsia="Calibri" w:hAnsi="Verdana"/>
          <w:iCs/>
          <w:sz w:val="20"/>
          <w:szCs w:val="20"/>
          <w:vertAlign w:val="superscript"/>
        </w:rPr>
        <w:footnoteReference w:id="129"/>
      </w:r>
      <w:r w:rsidRPr="00C82EC8">
        <w:rPr>
          <w:rFonts w:ascii="Verdana" w:eastAsia="Calibri" w:hAnsi="Verdana"/>
          <w:iCs/>
          <w:sz w:val="20"/>
          <w:szCs w:val="20"/>
        </w:rPr>
        <w:t>.</w:t>
      </w:r>
      <w:r w:rsidRPr="00C82EC8">
        <w:rPr>
          <w:rFonts w:ascii="Verdana" w:eastAsia="Calibri" w:hAnsi="Verdana"/>
          <w:sz w:val="20"/>
          <w:szCs w:val="20"/>
          <w:lang w:val="es-ES_tradnl"/>
        </w:rPr>
        <w:t xml:space="preserve"> Este derecho también se encuentra plasmado en varios instrumentos regionales de derechos humanos, como en el artículo 17 de la Carta Social de las Américas</w:t>
      </w:r>
      <w:r w:rsidRPr="00C82EC8">
        <w:rPr>
          <w:rFonts w:ascii="Verdana" w:eastAsia="Calibri" w:hAnsi="Verdana"/>
          <w:sz w:val="20"/>
          <w:szCs w:val="20"/>
          <w:vertAlign w:val="superscript"/>
          <w:lang w:val="es-ES_tradnl"/>
        </w:rPr>
        <w:footnoteReference w:id="130"/>
      </w:r>
      <w:r w:rsidRPr="00C82EC8">
        <w:rPr>
          <w:rFonts w:ascii="Verdana" w:eastAsia="Calibri" w:hAnsi="Verdana"/>
          <w:sz w:val="20"/>
          <w:szCs w:val="20"/>
          <w:lang w:val="es-ES_tradnl"/>
        </w:rPr>
        <w:t>; el artículo 11 de la Carta Social Europea de 1961</w:t>
      </w:r>
      <w:r w:rsidRPr="00C82EC8">
        <w:rPr>
          <w:rStyle w:val="Refdenotaalpie"/>
          <w:rFonts w:ascii="Verdana" w:eastAsia="Calibri" w:hAnsi="Verdana"/>
          <w:sz w:val="20"/>
          <w:szCs w:val="20"/>
          <w:lang w:val="es-ES_tradnl"/>
        </w:rPr>
        <w:footnoteReference w:id="131"/>
      </w:r>
      <w:r w:rsidRPr="00C82EC8">
        <w:rPr>
          <w:rFonts w:ascii="Verdana" w:eastAsia="Calibri" w:hAnsi="Verdana"/>
          <w:sz w:val="20"/>
          <w:szCs w:val="20"/>
          <w:lang w:val="es-ES_tradnl"/>
        </w:rPr>
        <w:t xml:space="preserve">, en su forma revisada; el artículo 16 de la Carta Africana de Derechos Humanos y de los </w:t>
      </w:r>
      <w:r w:rsidRPr="00C82EC8">
        <w:rPr>
          <w:rFonts w:ascii="Verdana" w:eastAsia="Calibri" w:hAnsi="Verdana"/>
          <w:sz w:val="20"/>
          <w:szCs w:val="20"/>
          <w:lang w:val="es-ES_tradnl"/>
        </w:rPr>
        <w:lastRenderedPageBreak/>
        <w:t>Pueblos</w:t>
      </w:r>
      <w:r w:rsidRPr="00C82EC8">
        <w:rPr>
          <w:rFonts w:ascii="Verdana" w:eastAsia="Calibri" w:hAnsi="Verdana"/>
          <w:iCs/>
          <w:sz w:val="20"/>
          <w:szCs w:val="20"/>
          <w:vertAlign w:val="superscript"/>
        </w:rPr>
        <w:footnoteReference w:id="132"/>
      </w:r>
      <w:r w:rsidRPr="00C82EC8">
        <w:rPr>
          <w:rFonts w:ascii="Verdana" w:eastAsia="Calibri" w:hAnsi="Verdana"/>
          <w:sz w:val="20"/>
          <w:szCs w:val="20"/>
          <w:lang w:val="es-ES_tradnl"/>
        </w:rPr>
        <w:t xml:space="preserve">, y recientemente en la </w:t>
      </w:r>
      <w:r w:rsidRPr="00C82EC8">
        <w:rPr>
          <w:rFonts w:ascii="Verdana" w:eastAsia="Calibri" w:hAnsi="Verdana"/>
          <w:sz w:val="20"/>
          <w:szCs w:val="20"/>
        </w:rPr>
        <w:t>Convención Interamericana sobre la Protección de los Derechos Humanos de las Personas Mayores</w:t>
      </w:r>
      <w:r w:rsidRPr="00C82EC8">
        <w:rPr>
          <w:rFonts w:ascii="Verdana" w:eastAsia="Calibri" w:hAnsi="Verdana"/>
          <w:sz w:val="20"/>
          <w:szCs w:val="20"/>
          <w:vertAlign w:val="superscript"/>
        </w:rPr>
        <w:footnoteReference w:id="133"/>
      </w:r>
      <w:r w:rsidRPr="00C82EC8">
        <w:rPr>
          <w:rFonts w:ascii="Verdana" w:eastAsia="Calibri" w:hAnsi="Verdana"/>
          <w:sz w:val="20"/>
          <w:szCs w:val="20"/>
        </w:rPr>
        <w:t xml:space="preserve">. </w:t>
      </w:r>
      <w:r w:rsidRPr="00C82EC8">
        <w:rPr>
          <w:rFonts w:ascii="Verdana" w:eastAsia="Calibri" w:hAnsi="Verdana"/>
          <w:sz w:val="20"/>
          <w:szCs w:val="20"/>
          <w:lang w:val="es-ES_tradnl"/>
        </w:rPr>
        <w:t>Además, el derecho a la salud ha sido reconocido en la sección II, apartado 41, de la Declaración y Programa de Acción de Viena</w:t>
      </w:r>
      <w:r w:rsidRPr="00C82EC8">
        <w:rPr>
          <w:rFonts w:ascii="Verdana" w:eastAsia="Calibri" w:hAnsi="Verdana"/>
          <w:iCs/>
          <w:sz w:val="20"/>
          <w:szCs w:val="20"/>
          <w:vertAlign w:val="superscript"/>
        </w:rPr>
        <w:footnoteReference w:id="134"/>
      </w:r>
      <w:r w:rsidRPr="00C82EC8">
        <w:rPr>
          <w:rFonts w:ascii="Verdana" w:eastAsia="Calibri" w:hAnsi="Verdana"/>
          <w:sz w:val="20"/>
          <w:szCs w:val="20"/>
          <w:lang w:val="es-ES_tradnl"/>
        </w:rPr>
        <w:t>,</w:t>
      </w:r>
      <w:r w:rsidRPr="00C82EC8">
        <w:rPr>
          <w:rFonts w:ascii="Verdana" w:eastAsia="Calibri" w:hAnsi="Verdana"/>
          <w:sz w:val="20"/>
          <w:szCs w:val="20"/>
          <w:vertAlign w:val="superscript"/>
        </w:rPr>
        <w:t xml:space="preserve"> </w:t>
      </w:r>
      <w:r w:rsidRPr="00C82EC8">
        <w:rPr>
          <w:rFonts w:ascii="Verdana" w:eastAsia="Calibri" w:hAnsi="Verdana"/>
          <w:sz w:val="20"/>
          <w:szCs w:val="20"/>
          <w:lang w:val="es-ES_tradnl"/>
        </w:rPr>
        <w:t>y en otros instrumentos y decisiones internacionales</w:t>
      </w:r>
      <w:r w:rsidRPr="00C82EC8">
        <w:rPr>
          <w:rFonts w:ascii="Verdana" w:eastAsia="Calibri" w:hAnsi="Verdana"/>
          <w:iCs/>
          <w:sz w:val="20"/>
          <w:szCs w:val="20"/>
          <w:vertAlign w:val="superscript"/>
        </w:rPr>
        <w:footnoteReference w:id="135"/>
      </w:r>
      <w:r w:rsidRPr="00C82EC8">
        <w:rPr>
          <w:rFonts w:ascii="Verdana" w:eastAsia="Calibri" w:hAnsi="Verdana"/>
          <w:sz w:val="20"/>
          <w:szCs w:val="20"/>
          <w:lang w:val="es-ES_tradnl"/>
        </w:rPr>
        <w:t xml:space="preserve">. </w:t>
      </w:r>
    </w:p>
    <w:p w14:paraId="4F94A3CE" w14:textId="77777777" w:rsidR="00ED7074" w:rsidRPr="00C82EC8" w:rsidRDefault="00ED7074" w:rsidP="00ED7074">
      <w:pPr>
        <w:tabs>
          <w:tab w:val="left" w:pos="567"/>
        </w:tabs>
        <w:spacing w:after="0" w:line="240" w:lineRule="auto"/>
        <w:jc w:val="both"/>
        <w:rPr>
          <w:rFonts w:ascii="Verdana" w:eastAsia="Times" w:hAnsi="Verdana" w:cs="Arial"/>
          <w:sz w:val="20"/>
          <w:szCs w:val="20"/>
        </w:rPr>
      </w:pPr>
    </w:p>
    <w:p w14:paraId="145CF795" w14:textId="77777777" w:rsidR="00ED7074" w:rsidRPr="00C82EC8" w:rsidRDefault="00ED7074" w:rsidP="00ED7074">
      <w:pPr>
        <w:numPr>
          <w:ilvl w:val="0"/>
          <w:numId w:val="12"/>
        </w:numPr>
        <w:tabs>
          <w:tab w:val="left" w:pos="567"/>
          <w:tab w:val="num" w:pos="1569"/>
          <w:tab w:val="num" w:pos="12305"/>
        </w:tabs>
        <w:spacing w:after="0" w:line="240" w:lineRule="auto"/>
        <w:ind w:left="0" w:firstLine="0"/>
        <w:jc w:val="both"/>
        <w:rPr>
          <w:rFonts w:ascii="Verdana" w:eastAsia="Times" w:hAnsi="Verdana" w:cs="Arial"/>
          <w:sz w:val="20"/>
          <w:szCs w:val="20"/>
        </w:rPr>
      </w:pPr>
      <w:r w:rsidRPr="00C82EC8">
        <w:rPr>
          <w:rFonts w:ascii="Verdana" w:eastAsia="Times" w:hAnsi="Verdana" w:cs="Arial"/>
          <w:sz w:val="20"/>
          <w:szCs w:val="20"/>
        </w:rPr>
        <w:t>Asimismo, el derecho a la salud está reconocido a nivel constitucional en Argentina, en su artículo 42 de la Constitución Política</w:t>
      </w:r>
      <w:r w:rsidRPr="00C82EC8">
        <w:rPr>
          <w:rStyle w:val="Refdenotaalpie"/>
          <w:rFonts w:ascii="Verdana" w:eastAsia="Times" w:hAnsi="Verdana"/>
          <w:sz w:val="20"/>
          <w:szCs w:val="20"/>
        </w:rPr>
        <w:footnoteReference w:id="136"/>
      </w:r>
      <w:r w:rsidRPr="00C82EC8">
        <w:rPr>
          <w:rFonts w:ascii="Verdana" w:eastAsia="Times" w:hAnsi="Verdana" w:cs="Arial"/>
          <w:sz w:val="20"/>
          <w:szCs w:val="20"/>
        </w:rPr>
        <w:t>.</w:t>
      </w:r>
    </w:p>
    <w:p w14:paraId="4D92D3EA" w14:textId="77777777" w:rsidR="00ED7074" w:rsidRPr="00C82EC8" w:rsidRDefault="00ED7074" w:rsidP="00ED7074">
      <w:pPr>
        <w:pStyle w:val="Prrafodelista"/>
        <w:spacing w:after="0" w:line="240" w:lineRule="auto"/>
        <w:rPr>
          <w:rFonts w:ascii="Verdana" w:eastAsia="Calibri" w:hAnsi="Verdana"/>
          <w:sz w:val="20"/>
          <w:szCs w:val="20"/>
          <w:lang w:val="es-ES_tradnl"/>
        </w:rPr>
      </w:pPr>
    </w:p>
    <w:p w14:paraId="14D8881C" w14:textId="77777777" w:rsidR="00ED7074" w:rsidRPr="00C82EC8" w:rsidRDefault="00ED7074" w:rsidP="00ED7074">
      <w:pPr>
        <w:numPr>
          <w:ilvl w:val="0"/>
          <w:numId w:val="12"/>
        </w:numPr>
        <w:tabs>
          <w:tab w:val="left" w:pos="567"/>
          <w:tab w:val="num" w:pos="1569"/>
          <w:tab w:val="num" w:pos="12305"/>
        </w:tabs>
        <w:spacing w:after="0" w:line="240" w:lineRule="auto"/>
        <w:ind w:left="0" w:firstLine="0"/>
        <w:jc w:val="both"/>
        <w:rPr>
          <w:rFonts w:ascii="Verdana" w:eastAsia="Times" w:hAnsi="Verdana" w:cs="Arial"/>
          <w:sz w:val="20"/>
          <w:szCs w:val="20"/>
        </w:rPr>
      </w:pPr>
      <w:r w:rsidRPr="00C82EC8">
        <w:rPr>
          <w:rFonts w:ascii="Verdana" w:eastAsia="Calibri" w:hAnsi="Verdana"/>
          <w:sz w:val="20"/>
          <w:szCs w:val="20"/>
          <w:lang w:val="es-ES_tradnl"/>
        </w:rPr>
        <w:t xml:space="preserve">Además, la Corte observa un amplio consenso regional en la consolidación del derecho a la salud, el cual se encuentra reconocido explícitamente en diversas constituciones y </w:t>
      </w:r>
      <w:r w:rsidRPr="00C82EC8">
        <w:rPr>
          <w:rFonts w:ascii="Verdana" w:eastAsia="Calibri" w:hAnsi="Verdana"/>
          <w:iCs/>
          <w:sz w:val="20"/>
          <w:szCs w:val="20"/>
          <w:lang w:val="es-CO"/>
        </w:rPr>
        <w:t>leyes internas de los Estados de la región, entre ellas: Barbados, Bolivia, Brasil, Colombia, Costa Rica, Chile, Ecuador, El Salvador, Guatemala, Haití, Honduras, México, Nicaragua, Panamá, Paraguay, Perú, República Dominicana, Surinam, Uruguay y Venezuela</w:t>
      </w:r>
      <w:r w:rsidRPr="00C82EC8">
        <w:rPr>
          <w:rFonts w:ascii="Verdana" w:eastAsia="Calibri" w:hAnsi="Verdana"/>
          <w:iCs/>
          <w:sz w:val="20"/>
          <w:szCs w:val="20"/>
          <w:vertAlign w:val="superscript"/>
          <w:lang w:val="es-CO"/>
        </w:rPr>
        <w:footnoteReference w:id="137"/>
      </w:r>
    </w:p>
    <w:p w14:paraId="51EA5451" w14:textId="77777777" w:rsidR="00ED7074" w:rsidRPr="00C82EC8" w:rsidRDefault="00ED7074" w:rsidP="00ED7074">
      <w:pPr>
        <w:pStyle w:val="Prrafodelista"/>
        <w:spacing w:after="0" w:line="240" w:lineRule="auto"/>
        <w:rPr>
          <w:rFonts w:ascii="Verdana" w:eastAsia="Calibri" w:hAnsi="Verdana"/>
          <w:b/>
          <w:sz w:val="20"/>
          <w:szCs w:val="20"/>
          <w:highlight w:val="yellow"/>
        </w:rPr>
      </w:pPr>
    </w:p>
    <w:p w14:paraId="5613C7B2" w14:textId="42E06FDE" w:rsidR="007D2F7E" w:rsidRPr="00A90FA7" w:rsidRDefault="00A90FA7" w:rsidP="007D2F7E">
      <w:pPr>
        <w:pStyle w:val="Ttulo4"/>
        <w:numPr>
          <w:ilvl w:val="0"/>
          <w:numId w:val="0"/>
        </w:numPr>
        <w:ind w:left="1068"/>
        <w:rPr>
          <w:strike/>
        </w:rPr>
      </w:pPr>
      <w:r w:rsidRPr="00A90FA7">
        <w:rPr>
          <w:lang w:val="es-PE"/>
        </w:rPr>
        <w:t>B.3</w:t>
      </w:r>
      <w:r w:rsidR="007D2F7E" w:rsidRPr="00A90FA7">
        <w:rPr>
          <w:lang w:val="es-PE"/>
        </w:rPr>
        <w:t xml:space="preserve">.3. Estándares sobre el derecho a </w:t>
      </w:r>
      <w:r w:rsidRPr="00A90FA7">
        <w:rPr>
          <w:lang w:val="es-PE"/>
        </w:rPr>
        <w:t>la salud aplicable</w:t>
      </w:r>
      <w:r>
        <w:rPr>
          <w:lang w:val="es-PE"/>
        </w:rPr>
        <w:t>s</w:t>
      </w:r>
      <w:r w:rsidR="007D2F7E" w:rsidRPr="00A90FA7">
        <w:rPr>
          <w:lang w:val="es-PE"/>
        </w:rPr>
        <w:t xml:space="preserve"> </w:t>
      </w:r>
      <w:r w:rsidR="005177EB" w:rsidRPr="00A90FA7">
        <w:rPr>
          <w:lang w:val="es-PE"/>
        </w:rPr>
        <w:t>al presente caso</w:t>
      </w:r>
    </w:p>
    <w:p w14:paraId="656516A5" w14:textId="77777777" w:rsidR="007D2F7E" w:rsidRPr="00C82EC8" w:rsidRDefault="007D2F7E" w:rsidP="00ED7074">
      <w:pPr>
        <w:pStyle w:val="Prrafodelista"/>
        <w:spacing w:after="0" w:line="240" w:lineRule="auto"/>
        <w:rPr>
          <w:rFonts w:ascii="Verdana" w:eastAsia="Calibri" w:hAnsi="Verdana"/>
          <w:b/>
          <w:sz w:val="20"/>
          <w:szCs w:val="20"/>
        </w:rPr>
      </w:pPr>
    </w:p>
    <w:p w14:paraId="25B17F78" w14:textId="77777777" w:rsidR="00ED7074" w:rsidRPr="008670D5" w:rsidRDefault="00ED7074" w:rsidP="00ED7074">
      <w:pPr>
        <w:numPr>
          <w:ilvl w:val="0"/>
          <w:numId w:val="12"/>
        </w:numPr>
        <w:tabs>
          <w:tab w:val="left" w:pos="567"/>
          <w:tab w:val="num" w:pos="1569"/>
          <w:tab w:val="num" w:pos="12305"/>
        </w:tabs>
        <w:spacing w:after="0" w:line="240" w:lineRule="auto"/>
        <w:ind w:left="0" w:firstLine="0"/>
        <w:jc w:val="both"/>
        <w:rPr>
          <w:rFonts w:ascii="Verdana" w:eastAsia="Times" w:hAnsi="Verdana" w:cs="Arial"/>
          <w:sz w:val="20"/>
          <w:szCs w:val="20"/>
        </w:rPr>
      </w:pPr>
      <w:r w:rsidRPr="008670D5">
        <w:rPr>
          <w:rFonts w:ascii="Verdana" w:eastAsia="Calibri" w:hAnsi="Verdana"/>
          <w:sz w:val="20"/>
          <w:szCs w:val="20"/>
        </w:rPr>
        <w:t xml:space="preserve">Esta Corte ya ha reconocido </w:t>
      </w:r>
      <w:r w:rsidRPr="008670D5">
        <w:rPr>
          <w:rFonts w:ascii="Verdana" w:hAnsi="Verdana"/>
          <w:sz w:val="20"/>
          <w:szCs w:val="20"/>
        </w:rPr>
        <w:t xml:space="preserve">que la salud es un derecho humano fundamental e indispensable para el ejercicio adecuado de los demás derechos humanos, y que todo ser humano tiene derecho al disfrute del más alto nivel posible de salud que le permita vivir dignamente, entendida la salud </w:t>
      </w:r>
      <w:r w:rsidRPr="008670D5">
        <w:rPr>
          <w:rFonts w:ascii="Verdana" w:hAnsi="Verdana"/>
          <w:sz w:val="20"/>
          <w:szCs w:val="20"/>
        </w:rPr>
        <w:lastRenderedPageBreak/>
        <w:t>no sólo como la ausencia de afecciones o enfermedades, sino también como un estado completo de bienestar físico, mental y social, derivado de un estilo de vida que permita alcanzar a las personas un balance integral. El Tribunal ha precisado que la obligación general de protección a la salud se traduce en el deber estatal de asegurar el acceso de las personas a servicios esenciales de salud, garantizando una prestación médica de calidad y eficaz, así como de impulsar el mejoramiento de las condiciones de salud de la población</w:t>
      </w:r>
      <w:r w:rsidRPr="008670D5">
        <w:rPr>
          <w:rStyle w:val="Refdenotaalpie"/>
          <w:rFonts w:ascii="Verdana" w:hAnsi="Verdana"/>
          <w:sz w:val="20"/>
          <w:szCs w:val="20"/>
        </w:rPr>
        <w:footnoteReference w:id="138"/>
      </w:r>
      <w:r w:rsidRPr="008670D5">
        <w:rPr>
          <w:rFonts w:ascii="Verdana" w:hAnsi="Verdana"/>
          <w:sz w:val="20"/>
          <w:szCs w:val="20"/>
        </w:rPr>
        <w:t>.</w:t>
      </w:r>
    </w:p>
    <w:p w14:paraId="2573E27B" w14:textId="77777777" w:rsidR="00ED7074" w:rsidRPr="008670D5" w:rsidRDefault="00ED7074" w:rsidP="00ED7074">
      <w:pPr>
        <w:pStyle w:val="Prrafodelista"/>
        <w:spacing w:after="0" w:line="240" w:lineRule="auto"/>
        <w:rPr>
          <w:rFonts w:ascii="Verdana" w:hAnsi="Verdana"/>
          <w:sz w:val="20"/>
          <w:szCs w:val="20"/>
        </w:rPr>
      </w:pPr>
    </w:p>
    <w:p w14:paraId="69C451E3" w14:textId="77777777" w:rsidR="00ED7074" w:rsidRPr="008670D5" w:rsidRDefault="00ED7074" w:rsidP="00ED7074">
      <w:pPr>
        <w:numPr>
          <w:ilvl w:val="0"/>
          <w:numId w:val="12"/>
        </w:numPr>
        <w:tabs>
          <w:tab w:val="left" w:pos="567"/>
          <w:tab w:val="num" w:pos="1569"/>
          <w:tab w:val="num" w:pos="12305"/>
        </w:tabs>
        <w:spacing w:after="0" w:line="240" w:lineRule="auto"/>
        <w:ind w:left="0" w:firstLine="0"/>
        <w:jc w:val="both"/>
        <w:rPr>
          <w:rFonts w:ascii="Verdana" w:eastAsia="Times" w:hAnsi="Verdana" w:cs="Arial"/>
          <w:sz w:val="20"/>
          <w:szCs w:val="20"/>
        </w:rPr>
      </w:pPr>
      <w:r w:rsidRPr="008670D5">
        <w:rPr>
          <w:rFonts w:ascii="Verdana" w:hAnsi="Verdana"/>
          <w:sz w:val="20"/>
          <w:szCs w:val="20"/>
        </w:rPr>
        <w:t>En el mismo sentido, el Tribunal ha establecido que la operatividad de dicha obligación comienza con el deber de regulación, por lo que ha indicado que los Estados son responsables de regular con carácter permanente la prestación de servicios (tanto públicos como privados) y la ejecución de programas nacionales relativos al logro de una prestación de servicios de calidad</w:t>
      </w:r>
      <w:r w:rsidRPr="008670D5">
        <w:rPr>
          <w:rStyle w:val="Refdenotaalpie"/>
          <w:rFonts w:ascii="Verdana" w:hAnsi="Verdana"/>
          <w:sz w:val="20"/>
          <w:szCs w:val="20"/>
        </w:rPr>
        <w:footnoteReference w:id="139"/>
      </w:r>
      <w:r w:rsidRPr="008670D5">
        <w:rPr>
          <w:rFonts w:ascii="Verdana" w:hAnsi="Verdana"/>
          <w:sz w:val="20"/>
          <w:szCs w:val="20"/>
        </w:rPr>
        <w:t xml:space="preserve">. La Corte ha tomado en cuenta </w:t>
      </w:r>
      <w:r w:rsidRPr="008670D5">
        <w:rPr>
          <w:rFonts w:ascii="Verdana" w:eastAsia="Calibri" w:hAnsi="Verdana"/>
          <w:sz w:val="20"/>
          <w:szCs w:val="20"/>
        </w:rPr>
        <w:t xml:space="preserve">la Observación General No. 14 del Comité DESC sobre </w:t>
      </w:r>
      <w:r w:rsidRPr="008670D5">
        <w:rPr>
          <w:rFonts w:ascii="Verdana" w:hAnsi="Verdana"/>
          <w:sz w:val="20"/>
          <w:szCs w:val="20"/>
        </w:rPr>
        <w:t>el derecho al disfrute del más alto nivel posible de salud</w:t>
      </w:r>
      <w:r w:rsidRPr="008670D5">
        <w:rPr>
          <w:rFonts w:ascii="Verdana" w:eastAsia="Calibri" w:hAnsi="Verdana"/>
          <w:sz w:val="20"/>
          <w:szCs w:val="20"/>
          <w:vertAlign w:val="superscript"/>
        </w:rPr>
        <w:footnoteReference w:id="140"/>
      </w:r>
      <w:r w:rsidRPr="008670D5">
        <w:rPr>
          <w:rFonts w:ascii="Verdana" w:eastAsia="Calibri" w:hAnsi="Verdana"/>
          <w:sz w:val="20"/>
          <w:szCs w:val="20"/>
        </w:rPr>
        <w:t>. En particular, en dicha Observación destacó que el derecho abarca la atención de salud oportuna y apropiada, así como los siguientes elementos esenciales e interrelacionados de disponibilidad, accesibilidad, aceptabilidad y calidad, cuya aplicación dependerá de las condiciones prevalecientes en cada estado:</w:t>
      </w:r>
    </w:p>
    <w:p w14:paraId="2B865D10" w14:textId="77777777" w:rsidR="00ED7074" w:rsidRPr="008670D5" w:rsidRDefault="00ED7074" w:rsidP="00ED7074">
      <w:pPr>
        <w:pStyle w:val="Estilo1"/>
        <w:tabs>
          <w:tab w:val="left" w:pos="709"/>
        </w:tabs>
        <w:spacing w:after="0"/>
        <w:ind w:right="-4"/>
        <w:rPr>
          <w:rFonts w:eastAsia="Times" w:cs="Arial"/>
          <w:i/>
          <w:sz w:val="20"/>
          <w:szCs w:val="20"/>
          <w:lang w:val="es-MX"/>
        </w:rPr>
      </w:pPr>
    </w:p>
    <w:p w14:paraId="5CAD025B" w14:textId="77777777" w:rsidR="00ED7074" w:rsidRPr="008670D5" w:rsidRDefault="00ED7074" w:rsidP="00ED7074">
      <w:pPr>
        <w:spacing w:after="0" w:line="240" w:lineRule="auto"/>
        <w:ind w:left="708" w:right="900"/>
        <w:jc w:val="both"/>
        <w:rPr>
          <w:rFonts w:ascii="Verdana" w:hAnsi="Verdana"/>
          <w:sz w:val="18"/>
          <w:szCs w:val="18"/>
        </w:rPr>
      </w:pPr>
      <w:r w:rsidRPr="008670D5">
        <w:rPr>
          <w:rFonts w:ascii="Verdana" w:hAnsi="Verdana"/>
          <w:sz w:val="18"/>
          <w:szCs w:val="18"/>
        </w:rPr>
        <w:t>a) Disponibilidad. Cada Estado Parte deberá contar con un número suficiente de establecimientos, bienes y servicios públicos de salud y centros de atención de la salud, así como de programas. La naturaleza precisa de los establecimientos, bienes y servicios dependerá de diversos factores, en particular el nivel de desarrollo del Estado Parte. Con todo, esos servicios incluirán los factores determinantes básicos de la salud, como agua limpia potable y condiciones sanitarias adecuadas, hospitales, clínicas y demás establecimientos relacionados con la salud, personal médico y profesional capacitado y bien remunerado habida cuenta de las condiciones que existen en el país, así como los medicamentos esenciales definidos en el Programa de Acción sobre medicamentos esenciales de la OMS.</w:t>
      </w:r>
    </w:p>
    <w:p w14:paraId="74404B33" w14:textId="77777777" w:rsidR="00ED7074" w:rsidRPr="008670D5" w:rsidRDefault="00ED7074" w:rsidP="00ED7074">
      <w:pPr>
        <w:spacing w:after="0" w:line="240" w:lineRule="auto"/>
        <w:ind w:left="708" w:right="900"/>
        <w:jc w:val="both"/>
        <w:rPr>
          <w:rFonts w:ascii="Verdana" w:hAnsi="Verdana"/>
          <w:sz w:val="18"/>
          <w:szCs w:val="18"/>
        </w:rPr>
      </w:pPr>
    </w:p>
    <w:p w14:paraId="6191E42D" w14:textId="77777777" w:rsidR="00ED7074" w:rsidRPr="008670D5" w:rsidRDefault="00ED7074" w:rsidP="00ED7074">
      <w:pPr>
        <w:spacing w:after="0" w:line="240" w:lineRule="auto"/>
        <w:ind w:left="708" w:right="900"/>
        <w:jc w:val="both"/>
        <w:rPr>
          <w:rFonts w:ascii="Verdana" w:hAnsi="Verdana"/>
          <w:sz w:val="18"/>
          <w:szCs w:val="18"/>
        </w:rPr>
      </w:pPr>
      <w:r w:rsidRPr="008670D5">
        <w:rPr>
          <w:rFonts w:ascii="Verdana" w:hAnsi="Verdana"/>
          <w:sz w:val="18"/>
          <w:szCs w:val="18"/>
        </w:rPr>
        <w:t>b) Accesibilidad. Los establecimientos, bienes y servicios de salud deben ser accesibles a todos, sin discriminación alguna, dentro de la jurisdicción del Estado Parte. La accesibilidad presenta cuatro dimensiones superpuestas:</w:t>
      </w:r>
    </w:p>
    <w:p w14:paraId="34EB8DE8" w14:textId="77777777" w:rsidR="00ED7074" w:rsidRPr="008670D5" w:rsidRDefault="00ED7074" w:rsidP="00ED7074">
      <w:pPr>
        <w:spacing w:after="0" w:line="240" w:lineRule="auto"/>
        <w:ind w:left="708" w:right="900"/>
        <w:jc w:val="both"/>
        <w:rPr>
          <w:rFonts w:ascii="Verdana" w:hAnsi="Verdana"/>
          <w:sz w:val="18"/>
          <w:szCs w:val="18"/>
        </w:rPr>
      </w:pPr>
    </w:p>
    <w:p w14:paraId="4BAFC4EA" w14:textId="77777777" w:rsidR="00ED7074" w:rsidRPr="008670D5" w:rsidRDefault="00ED7074" w:rsidP="00ED7074">
      <w:pPr>
        <w:spacing w:after="0" w:line="240" w:lineRule="auto"/>
        <w:ind w:left="1416" w:right="900"/>
        <w:jc w:val="both"/>
        <w:rPr>
          <w:rFonts w:ascii="Verdana" w:hAnsi="Verdana"/>
          <w:sz w:val="18"/>
          <w:szCs w:val="18"/>
        </w:rPr>
      </w:pPr>
      <w:r w:rsidRPr="008670D5">
        <w:rPr>
          <w:rFonts w:ascii="Verdana" w:hAnsi="Verdana"/>
          <w:sz w:val="18"/>
          <w:szCs w:val="18"/>
        </w:rPr>
        <w:t>i) No discriminación: los establecimientos, bienes y servicios de salud deben ser accesibles, de hecho y de derecho, a los sectores más vulnerables y marginados de la población, sin discriminación alguna por cualquiera de los motivos prohibidos.</w:t>
      </w:r>
    </w:p>
    <w:p w14:paraId="3122115C" w14:textId="77777777" w:rsidR="00ED7074" w:rsidRPr="008670D5" w:rsidRDefault="00ED7074" w:rsidP="00ED7074">
      <w:pPr>
        <w:spacing w:after="0" w:line="240" w:lineRule="auto"/>
        <w:ind w:left="1416" w:right="900"/>
        <w:jc w:val="both"/>
        <w:rPr>
          <w:rFonts w:ascii="Verdana" w:hAnsi="Verdana"/>
          <w:sz w:val="18"/>
          <w:szCs w:val="18"/>
        </w:rPr>
      </w:pPr>
    </w:p>
    <w:p w14:paraId="0300D3C9" w14:textId="77777777" w:rsidR="00ED7074" w:rsidRPr="008670D5" w:rsidRDefault="00ED7074" w:rsidP="00ED7074">
      <w:pPr>
        <w:spacing w:after="0" w:line="240" w:lineRule="auto"/>
        <w:ind w:left="1416" w:right="900"/>
        <w:jc w:val="both"/>
        <w:rPr>
          <w:rFonts w:ascii="Verdana" w:hAnsi="Verdana"/>
          <w:sz w:val="18"/>
          <w:szCs w:val="18"/>
        </w:rPr>
      </w:pPr>
      <w:proofErr w:type="spellStart"/>
      <w:r w:rsidRPr="008670D5">
        <w:rPr>
          <w:rFonts w:ascii="Verdana" w:hAnsi="Verdana"/>
          <w:sz w:val="18"/>
          <w:szCs w:val="18"/>
        </w:rPr>
        <w:t>ii</w:t>
      </w:r>
      <w:proofErr w:type="spellEnd"/>
      <w:r w:rsidRPr="008670D5">
        <w:rPr>
          <w:rFonts w:ascii="Verdana" w:hAnsi="Verdana"/>
          <w:sz w:val="18"/>
          <w:szCs w:val="18"/>
        </w:rPr>
        <w:t>) Accesibilidad física: los establecimientos, bienes y servicios de salud deberán estar al alcance geográfico de todos los sectores de la población, en especial los grupos vulnerables o marginados, como las minorías étnicas y poblaciones indígenas, las mujeres, los niños, los adolescentes, las personas mayores, las personas con discapacidades y las personas con VIH/SIDA. La accesibilidad también implica que los servicios médicos y los factores determinantes básicos de la salud, como el agua limpia potable y los servicios sanitarios adecuados, se encuentran a una distancia geográfica razonable, incluso en lo que se refiere a las zonas rurales. Además, la accesibilidad comprende el acceso adecuado a los edificios para las personas con discapacidades.</w:t>
      </w:r>
    </w:p>
    <w:p w14:paraId="51C985EF" w14:textId="77777777" w:rsidR="00ED7074" w:rsidRPr="008670D5" w:rsidRDefault="00ED7074" w:rsidP="00ED7074">
      <w:pPr>
        <w:spacing w:after="0" w:line="240" w:lineRule="auto"/>
        <w:ind w:left="1416" w:right="900"/>
        <w:jc w:val="both"/>
        <w:rPr>
          <w:rFonts w:ascii="Verdana" w:hAnsi="Verdana"/>
          <w:sz w:val="18"/>
          <w:szCs w:val="18"/>
        </w:rPr>
      </w:pPr>
    </w:p>
    <w:p w14:paraId="3B23F958" w14:textId="77777777" w:rsidR="00ED7074" w:rsidRPr="008670D5" w:rsidRDefault="00ED7074" w:rsidP="00ED7074">
      <w:pPr>
        <w:spacing w:after="0" w:line="240" w:lineRule="auto"/>
        <w:ind w:left="1416" w:right="900"/>
        <w:jc w:val="both"/>
        <w:rPr>
          <w:rFonts w:ascii="Verdana" w:hAnsi="Verdana"/>
          <w:sz w:val="18"/>
          <w:szCs w:val="18"/>
        </w:rPr>
      </w:pPr>
      <w:proofErr w:type="spellStart"/>
      <w:r w:rsidRPr="008670D5">
        <w:rPr>
          <w:rFonts w:ascii="Verdana" w:hAnsi="Verdana"/>
          <w:sz w:val="18"/>
          <w:szCs w:val="18"/>
        </w:rPr>
        <w:lastRenderedPageBreak/>
        <w:t>iii</w:t>
      </w:r>
      <w:proofErr w:type="spellEnd"/>
      <w:r w:rsidRPr="008670D5">
        <w:rPr>
          <w:rFonts w:ascii="Verdana" w:hAnsi="Verdana"/>
          <w:sz w:val="18"/>
          <w:szCs w:val="18"/>
        </w:rPr>
        <w:t>) Accesibilidad económica (asequibilidad): los establecimientos, bienes y servicios de salud deberán estar al alcance de todos. Los pagos por servicios de atención de la salud y servicios relacionados con los factores determinantes básicos de la salud deberán basarse en el principio de la equidad, a fin de asegurar que esos servicios, sean públicos o privados, estén al alcance de todos, incluidos los grupos socialmente desfavorecidos. La equidad exige que sobre los hogares más pobres no recaiga una carga desproporcionada, en lo que se refiere a los gastos de salud, en comparación con los hogares más ricos.</w:t>
      </w:r>
    </w:p>
    <w:p w14:paraId="6E217570" w14:textId="77777777" w:rsidR="00ED7074" w:rsidRPr="008670D5" w:rsidRDefault="00ED7074" w:rsidP="00ED7074">
      <w:pPr>
        <w:spacing w:after="0" w:line="240" w:lineRule="auto"/>
        <w:ind w:left="1416" w:right="900"/>
        <w:jc w:val="both"/>
        <w:rPr>
          <w:rFonts w:ascii="Verdana" w:hAnsi="Verdana"/>
          <w:sz w:val="18"/>
          <w:szCs w:val="18"/>
        </w:rPr>
      </w:pPr>
    </w:p>
    <w:p w14:paraId="14A34D0A" w14:textId="77777777" w:rsidR="00ED7074" w:rsidRPr="008670D5" w:rsidRDefault="00ED7074" w:rsidP="00ED7074">
      <w:pPr>
        <w:spacing w:after="0" w:line="240" w:lineRule="auto"/>
        <w:ind w:left="1416" w:right="900"/>
        <w:jc w:val="both"/>
        <w:rPr>
          <w:rFonts w:ascii="Verdana" w:hAnsi="Verdana"/>
          <w:sz w:val="18"/>
          <w:szCs w:val="18"/>
        </w:rPr>
      </w:pPr>
      <w:proofErr w:type="spellStart"/>
      <w:r w:rsidRPr="008670D5">
        <w:rPr>
          <w:rFonts w:ascii="Verdana" w:hAnsi="Verdana"/>
          <w:sz w:val="18"/>
          <w:szCs w:val="18"/>
        </w:rPr>
        <w:t>iv</w:t>
      </w:r>
      <w:proofErr w:type="spellEnd"/>
      <w:r w:rsidRPr="008670D5">
        <w:rPr>
          <w:rFonts w:ascii="Verdana" w:hAnsi="Verdana"/>
          <w:sz w:val="18"/>
          <w:szCs w:val="18"/>
        </w:rPr>
        <w:t>) Acceso a la información: ese acceso comprende el derecho de solicitar, recibir y difundir información e ideas acerca de las cuestiones relacionadas con la salud. Con todo, el acceso a la información no debe menoscabar el derecho de que los datos personales relativos a la salud sean tratados con confidencialidad.</w:t>
      </w:r>
    </w:p>
    <w:p w14:paraId="57CF3C24" w14:textId="77777777" w:rsidR="00ED7074" w:rsidRPr="008670D5" w:rsidRDefault="00ED7074" w:rsidP="00ED7074">
      <w:pPr>
        <w:spacing w:after="0" w:line="240" w:lineRule="auto"/>
        <w:ind w:left="1416" w:right="900"/>
        <w:jc w:val="both"/>
        <w:rPr>
          <w:rFonts w:ascii="Verdana" w:hAnsi="Verdana"/>
          <w:sz w:val="18"/>
          <w:szCs w:val="18"/>
        </w:rPr>
      </w:pPr>
    </w:p>
    <w:p w14:paraId="4443242B" w14:textId="77777777" w:rsidR="00ED7074" w:rsidRPr="008670D5" w:rsidRDefault="00ED7074" w:rsidP="00ED7074">
      <w:pPr>
        <w:spacing w:after="0" w:line="240" w:lineRule="auto"/>
        <w:ind w:left="708" w:right="900"/>
        <w:jc w:val="both"/>
        <w:rPr>
          <w:rFonts w:ascii="Verdana" w:hAnsi="Verdana"/>
          <w:sz w:val="18"/>
          <w:szCs w:val="18"/>
        </w:rPr>
      </w:pPr>
      <w:r w:rsidRPr="008670D5">
        <w:rPr>
          <w:rFonts w:ascii="Verdana" w:hAnsi="Verdana"/>
          <w:sz w:val="18"/>
          <w:szCs w:val="18"/>
        </w:rPr>
        <w:t>c) Aceptabilidad. Todos los establecimientos, bienes y servicios de salud deberán ser respetuosos de la ética médica y culturalmente apropiados, es decir respetuosos de la cultura de las personas, las minorías, los pueblos y las comunidades, a la par que sensibles a los requisitos del género y el ciclo de vida, y deberán estar concebidos para respetar la confidencialidad y mejorar el estado de salud de las personas de que se trate.</w:t>
      </w:r>
    </w:p>
    <w:p w14:paraId="5ECF5F75" w14:textId="77777777" w:rsidR="00ED7074" w:rsidRPr="008670D5" w:rsidRDefault="00ED7074" w:rsidP="00ED7074">
      <w:pPr>
        <w:spacing w:after="0" w:line="240" w:lineRule="auto"/>
        <w:ind w:left="708" w:right="900"/>
        <w:jc w:val="both"/>
        <w:rPr>
          <w:rFonts w:ascii="Verdana" w:hAnsi="Verdana"/>
          <w:sz w:val="18"/>
          <w:szCs w:val="18"/>
        </w:rPr>
      </w:pPr>
    </w:p>
    <w:p w14:paraId="548E038A" w14:textId="77777777" w:rsidR="00ED7074" w:rsidRPr="008670D5" w:rsidRDefault="00ED7074" w:rsidP="00ED7074">
      <w:pPr>
        <w:spacing w:after="0" w:line="240" w:lineRule="auto"/>
        <w:ind w:left="708" w:right="900"/>
        <w:jc w:val="both"/>
        <w:rPr>
          <w:rFonts w:ascii="Verdana" w:eastAsia="Times" w:hAnsi="Verdana" w:cs="Arial"/>
          <w:sz w:val="20"/>
          <w:szCs w:val="20"/>
        </w:rPr>
      </w:pPr>
      <w:r w:rsidRPr="008670D5">
        <w:rPr>
          <w:rFonts w:ascii="Verdana" w:hAnsi="Verdana"/>
          <w:sz w:val="18"/>
          <w:szCs w:val="18"/>
        </w:rPr>
        <w:t>d) Calidad. Además de aceptables desde el punto de vista cultural, los establecimientos, bienes y servicios de salud deberán ser también apropiados desde el punto de vista científico y médico y ser de buena calidad. Ello requiere, entre otras cosas, personal médico capacitado, medicamentos y equipo hospitalario científicamente aprobados y en buen estado, agua limpia potable y condiciones sanitarias adecuadas</w:t>
      </w:r>
      <w:r w:rsidRPr="008670D5">
        <w:rPr>
          <w:rStyle w:val="Refdenotaalpie"/>
          <w:rFonts w:ascii="Verdana" w:hAnsi="Verdana"/>
          <w:sz w:val="18"/>
          <w:szCs w:val="18"/>
        </w:rPr>
        <w:footnoteReference w:id="141"/>
      </w:r>
      <w:r w:rsidRPr="008670D5">
        <w:rPr>
          <w:rFonts w:ascii="Verdana" w:hAnsi="Verdana"/>
          <w:sz w:val="18"/>
          <w:szCs w:val="18"/>
        </w:rPr>
        <w:t>.</w:t>
      </w:r>
    </w:p>
    <w:p w14:paraId="672A9E85" w14:textId="77777777" w:rsidR="00ED7074" w:rsidRPr="008670D5" w:rsidRDefault="00ED7074" w:rsidP="00ED7074">
      <w:pPr>
        <w:spacing w:after="0" w:line="240" w:lineRule="auto"/>
        <w:ind w:right="900"/>
        <w:jc w:val="both"/>
        <w:rPr>
          <w:rFonts w:ascii="Verdana" w:eastAsia="Times" w:hAnsi="Verdana" w:cs="Arial"/>
          <w:sz w:val="20"/>
          <w:szCs w:val="20"/>
        </w:rPr>
      </w:pPr>
    </w:p>
    <w:p w14:paraId="691048E7" w14:textId="77777777" w:rsidR="00ED7074" w:rsidRPr="008670D5" w:rsidRDefault="00ED7074" w:rsidP="00ED7074">
      <w:pPr>
        <w:pStyle w:val="Prrafodelista"/>
        <w:numPr>
          <w:ilvl w:val="0"/>
          <w:numId w:val="12"/>
        </w:numPr>
        <w:spacing w:after="0" w:line="240" w:lineRule="auto"/>
        <w:ind w:left="0" w:right="51" w:firstLine="0"/>
        <w:jc w:val="both"/>
        <w:rPr>
          <w:rFonts w:ascii="Verdana" w:eastAsia="Times" w:hAnsi="Verdana" w:cs="Arial"/>
          <w:sz w:val="20"/>
          <w:szCs w:val="20"/>
        </w:rPr>
      </w:pPr>
      <w:r w:rsidRPr="008670D5">
        <w:rPr>
          <w:rFonts w:ascii="Verdana" w:eastAsia="Times" w:hAnsi="Verdana" w:cs="Arial"/>
          <w:sz w:val="20"/>
          <w:szCs w:val="20"/>
        </w:rPr>
        <w:t>En relación con lo anterior, la Corte concluye que el derecho a la salud se refiere al derecho de toda persona a gozar del más alto nivel de bienestar físico, mental y social. Este derecho abarca la atención de salud oportuna y apropiada conforme a los principios de disponibilidad, accesibilidad, aceptabilidad y calidad. El cumplimiento de la obligación del Estado de respetar y garantizar este derecho deberá dar especial cuidado a los grupos vulnerables y marginados, y deberá realizarse de conformidad con los recursos disponibles de manera progresiva y de la legislación nacional aplicable. A continuación, el Tribunal se referirá a las obligaciones específicas que surgen para la atención a la salud para personas que padecen tuberculosis. L</w:t>
      </w:r>
      <w:r w:rsidRPr="008670D5">
        <w:rPr>
          <w:rFonts w:ascii="Verdana" w:hAnsi="Verdana" w:cs="Arial"/>
          <w:sz w:val="20"/>
          <w:szCs w:val="20"/>
          <w:lang w:val="es-ES"/>
        </w:rPr>
        <w:t>a Corte advierte que los conceptos referidos se recogen de diferentes fuentes responsables, pero que la ciencia médica avanza continuamente en esta materia, y, por ende, las citas reproducidas aquí para ilustración no obstan ni ponen en duda conocimientos más recientes, ni la Corte toma partida en cuestiones y discusiones propias de la ciencia médica y biológica</w:t>
      </w:r>
      <w:r w:rsidRPr="008670D5">
        <w:rPr>
          <w:rStyle w:val="Refdenotaalpie"/>
          <w:rFonts w:ascii="Verdana" w:hAnsi="Verdana"/>
          <w:sz w:val="20"/>
          <w:szCs w:val="20"/>
          <w:lang w:val="es-ES"/>
        </w:rPr>
        <w:footnoteReference w:id="142"/>
      </w:r>
      <w:r w:rsidRPr="008670D5">
        <w:rPr>
          <w:rFonts w:ascii="Verdana" w:hAnsi="Verdana" w:cs="Arial"/>
          <w:sz w:val="20"/>
          <w:szCs w:val="20"/>
          <w:lang w:val="es-ES"/>
        </w:rPr>
        <w:t>.</w:t>
      </w:r>
    </w:p>
    <w:p w14:paraId="30C9B809" w14:textId="77777777" w:rsidR="00ED7074" w:rsidRPr="008670D5" w:rsidRDefault="00ED7074" w:rsidP="00ED7074">
      <w:pPr>
        <w:spacing w:after="0" w:line="240" w:lineRule="auto"/>
        <w:rPr>
          <w:rFonts w:ascii="Verdana" w:hAnsi="Verdana"/>
          <w:sz w:val="20"/>
          <w:szCs w:val="20"/>
        </w:rPr>
      </w:pPr>
    </w:p>
    <w:p w14:paraId="45A5FD3F" w14:textId="67C7FB6F" w:rsidR="00ED7074" w:rsidRPr="008670D5" w:rsidRDefault="00ED7074" w:rsidP="00ED7074">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sz w:val="20"/>
          <w:szCs w:val="20"/>
        </w:rPr>
      </w:pPr>
      <w:r w:rsidRPr="008670D5">
        <w:rPr>
          <w:rFonts w:ascii="Verdana" w:hAnsi="Verdana"/>
          <w:sz w:val="20"/>
          <w:szCs w:val="20"/>
        </w:rPr>
        <w:t xml:space="preserve">En relación con lo anterior, el tratamiento médico que debe ser garantizado a personas con tuberculosis, la Corte considera que las </w:t>
      </w:r>
      <w:r w:rsidRPr="008670D5">
        <w:rPr>
          <w:rFonts w:ascii="Verdana" w:hAnsi="Verdana"/>
          <w:iCs/>
          <w:sz w:val="20"/>
          <w:szCs w:val="20"/>
        </w:rPr>
        <w:t>Normas Internacionales para la Asistencia Antituberculosa</w:t>
      </w:r>
      <w:r w:rsidRPr="008670D5">
        <w:rPr>
          <w:rFonts w:ascii="Verdana" w:hAnsi="Verdana"/>
          <w:sz w:val="20"/>
          <w:szCs w:val="20"/>
        </w:rPr>
        <w:t xml:space="preserve"> promulgadas por la Coalición Antituberculosa para la Asistencia Técnica (en adelante “NIAA”) constituyen una referencia autorizada para aclarar algunas obligaciones internacionales del Estado en la materia. En lo general, dichas normas establecen que los principios básicos de la asistencia de las personas con tuberculosis son los mismos en todo el mundo: a) se debe establecer un diagnóstico con prontitud y exactitu</w:t>
      </w:r>
      <w:r w:rsidR="00A90FA7">
        <w:rPr>
          <w:rFonts w:ascii="Verdana" w:hAnsi="Verdana"/>
          <w:sz w:val="20"/>
          <w:szCs w:val="20"/>
        </w:rPr>
        <w:t>d, y</w:t>
      </w:r>
      <w:r w:rsidRPr="008670D5">
        <w:rPr>
          <w:rFonts w:ascii="Verdana" w:hAnsi="Verdana"/>
          <w:sz w:val="20"/>
          <w:szCs w:val="20"/>
        </w:rPr>
        <w:t xml:space="preserve"> b) se han de utilizar pautas de tratamiento normalizadas, de eficacia comprobada, con apoyo y supervisión del tratamiento adecuados, y deben asumirse las responsabilidades de salud pública esenciales</w:t>
      </w:r>
      <w:r w:rsidRPr="008670D5">
        <w:rPr>
          <w:rStyle w:val="Refdenotaalpie"/>
          <w:rFonts w:ascii="Verdana" w:hAnsi="Verdana" w:cs="Arial"/>
          <w:sz w:val="20"/>
          <w:szCs w:val="20"/>
          <w:lang w:val="es-ES"/>
        </w:rPr>
        <w:footnoteReference w:id="143"/>
      </w:r>
      <w:r w:rsidRPr="008670D5">
        <w:rPr>
          <w:rFonts w:ascii="Verdana" w:hAnsi="Verdana"/>
          <w:sz w:val="20"/>
          <w:szCs w:val="20"/>
        </w:rPr>
        <w:t xml:space="preserve">. En particular, las NIAA señalan que una respuesta eficaz a la tuberculosis requiere una serie de acciones para el diagnóstico, el tratamiento </w:t>
      </w:r>
      <w:r w:rsidRPr="008670D5">
        <w:rPr>
          <w:rFonts w:ascii="Verdana" w:hAnsi="Verdana"/>
          <w:sz w:val="20"/>
          <w:szCs w:val="20"/>
        </w:rPr>
        <w:lastRenderedPageBreak/>
        <w:t>y las responsabilidades de salud pública.</w:t>
      </w:r>
    </w:p>
    <w:p w14:paraId="0BF13AC6" w14:textId="77777777" w:rsidR="00ED7074" w:rsidRPr="008670D5" w:rsidRDefault="00ED7074" w:rsidP="00ED7074">
      <w:pPr>
        <w:widowControl w:val="0"/>
        <w:tabs>
          <w:tab w:val="left" w:pos="567"/>
        </w:tabs>
        <w:adjustRightInd w:val="0"/>
        <w:spacing w:after="0" w:line="240" w:lineRule="auto"/>
        <w:jc w:val="both"/>
        <w:textAlignment w:val="baseline"/>
        <w:rPr>
          <w:rFonts w:ascii="Verdana" w:hAnsi="Verdana"/>
          <w:sz w:val="20"/>
          <w:szCs w:val="20"/>
        </w:rPr>
      </w:pPr>
    </w:p>
    <w:p w14:paraId="40686C16" w14:textId="77777777" w:rsidR="00ED7074" w:rsidRPr="008670D5" w:rsidRDefault="00ED7074" w:rsidP="00ED7074">
      <w:pPr>
        <w:pStyle w:val="Prrafodelista"/>
        <w:numPr>
          <w:ilvl w:val="0"/>
          <w:numId w:val="12"/>
        </w:numPr>
        <w:spacing w:after="0" w:line="240" w:lineRule="auto"/>
        <w:ind w:left="0" w:right="51" w:firstLine="0"/>
        <w:jc w:val="both"/>
        <w:rPr>
          <w:rFonts w:ascii="Verdana" w:eastAsia="Times" w:hAnsi="Verdana" w:cs="Arial"/>
          <w:sz w:val="20"/>
          <w:szCs w:val="20"/>
        </w:rPr>
      </w:pPr>
      <w:r w:rsidRPr="008670D5">
        <w:rPr>
          <w:rFonts w:ascii="Verdana" w:hAnsi="Verdana"/>
          <w:sz w:val="20"/>
          <w:szCs w:val="20"/>
          <w:lang w:val="es-CL"/>
        </w:rPr>
        <w:t>En primer lugar, el diagnóstico adecuado requiere hacer una evaluación de la tuberculosis en todas las personas que presenten tos productiva inexplicable durante dos o tres semanas</w:t>
      </w:r>
      <w:r w:rsidRPr="008670D5">
        <w:rPr>
          <w:rStyle w:val="Refdenotaalpie"/>
          <w:rFonts w:ascii="Verdana" w:hAnsi="Verdana"/>
          <w:sz w:val="20"/>
          <w:szCs w:val="20"/>
        </w:rPr>
        <w:footnoteReference w:id="144"/>
      </w:r>
      <w:r w:rsidRPr="008670D5">
        <w:rPr>
          <w:rFonts w:ascii="Verdana" w:hAnsi="Verdana"/>
          <w:sz w:val="20"/>
          <w:szCs w:val="20"/>
          <w:lang w:val="es-CL"/>
        </w:rPr>
        <w:t xml:space="preserve">. </w:t>
      </w:r>
      <w:r w:rsidRPr="008670D5">
        <w:rPr>
          <w:rFonts w:ascii="Verdana" w:hAnsi="Verdana"/>
          <w:sz w:val="20"/>
          <w:szCs w:val="20"/>
          <w:lang w:val="es-CR"/>
        </w:rPr>
        <w:t xml:space="preserve">En segundo lugar, el tratamiento de la tuberculosis requiere que </w:t>
      </w:r>
      <w:r w:rsidRPr="008670D5">
        <w:rPr>
          <w:rFonts w:ascii="Verdana" w:hAnsi="Verdana"/>
          <w:sz w:val="20"/>
          <w:szCs w:val="20"/>
          <w:lang w:val="es-CL"/>
        </w:rPr>
        <w:t>todos los pacientes (incluidos aquellos que viven con el VIH) que no hayan sido tratados anteriormente reciban una pauta de tratamiento de primera línea internacionalmente aceptada en la que se empleen fármacos de biodisponibilidad conocida. Las dosis de los fármacos antituberculosos utilizados se deberán ajustar a las recomendaciones internacionales</w:t>
      </w:r>
      <w:r w:rsidRPr="008670D5">
        <w:rPr>
          <w:rStyle w:val="Refdenotaalpie"/>
          <w:rFonts w:ascii="Verdana" w:hAnsi="Verdana"/>
          <w:sz w:val="20"/>
          <w:szCs w:val="20"/>
        </w:rPr>
        <w:footnoteReference w:id="145"/>
      </w:r>
      <w:r w:rsidRPr="008670D5">
        <w:rPr>
          <w:rFonts w:ascii="Verdana" w:hAnsi="Verdana"/>
          <w:sz w:val="20"/>
          <w:szCs w:val="20"/>
          <w:lang w:val="es-CL"/>
        </w:rPr>
        <w:t>. Asimismo, se deberá vigilar a todos los pacientes para detectar la respuesta al tratamiento</w:t>
      </w:r>
      <w:r w:rsidRPr="008670D5">
        <w:rPr>
          <w:rStyle w:val="Refdenotaalpie"/>
          <w:rFonts w:ascii="Verdana" w:hAnsi="Verdana"/>
          <w:sz w:val="20"/>
          <w:szCs w:val="20"/>
        </w:rPr>
        <w:footnoteReference w:id="146"/>
      </w:r>
      <w:r w:rsidRPr="008670D5">
        <w:rPr>
          <w:rFonts w:ascii="Verdana" w:hAnsi="Verdana"/>
          <w:sz w:val="20"/>
          <w:szCs w:val="20"/>
          <w:lang w:val="es-CL"/>
        </w:rPr>
        <w:t xml:space="preserve">. </w:t>
      </w:r>
      <w:r w:rsidRPr="008670D5">
        <w:rPr>
          <w:rFonts w:ascii="Verdana" w:hAnsi="Verdana"/>
          <w:sz w:val="20"/>
          <w:szCs w:val="20"/>
          <w:lang w:val="es-CR"/>
        </w:rPr>
        <w:t>En tercer lugar, en relación con las responsabilidades de salud pública, todos</w:t>
      </w:r>
      <w:r w:rsidRPr="008670D5">
        <w:rPr>
          <w:rFonts w:ascii="Verdana" w:hAnsi="Verdana"/>
          <w:sz w:val="20"/>
          <w:szCs w:val="20"/>
          <w:lang w:val="es-CL"/>
        </w:rPr>
        <w:t xml:space="preserve"> los proveedores de atención a los pacientes tuberculosos deben comprobar que las personas (especialmente los niños menores de 5 años y las personas con infección por el VIH) que estén en estrecho contacto con pacientes que tengan tuberculosis infecciosa sean evaluadas y tratadas de acuerdo con las recomendaciones internacionales</w:t>
      </w:r>
      <w:r w:rsidRPr="008670D5">
        <w:rPr>
          <w:rStyle w:val="Refdenotaalpie"/>
          <w:rFonts w:ascii="Verdana" w:hAnsi="Verdana"/>
          <w:sz w:val="20"/>
          <w:szCs w:val="20"/>
        </w:rPr>
        <w:footnoteReference w:id="147"/>
      </w:r>
      <w:r w:rsidRPr="008670D5">
        <w:rPr>
          <w:rFonts w:ascii="Verdana" w:hAnsi="Verdana"/>
          <w:sz w:val="20"/>
          <w:szCs w:val="20"/>
          <w:lang w:val="es-CL"/>
        </w:rPr>
        <w:t>.</w:t>
      </w:r>
    </w:p>
    <w:p w14:paraId="01075DA4" w14:textId="77777777" w:rsidR="00ED7074" w:rsidRPr="00C82EC8" w:rsidRDefault="00ED7074" w:rsidP="00ED7074">
      <w:pPr>
        <w:tabs>
          <w:tab w:val="left" w:pos="567"/>
        </w:tabs>
        <w:spacing w:after="0" w:line="240" w:lineRule="auto"/>
        <w:jc w:val="both"/>
        <w:rPr>
          <w:rFonts w:ascii="Verdana" w:hAnsi="Verdana"/>
          <w:b/>
          <w:snapToGrid w:val="0"/>
          <w:sz w:val="20"/>
          <w:szCs w:val="20"/>
          <w:highlight w:val="yellow"/>
        </w:rPr>
      </w:pPr>
    </w:p>
    <w:p w14:paraId="58E84C4C" w14:textId="7A5C2C97" w:rsidR="00A90FA7" w:rsidRPr="00A90FA7" w:rsidRDefault="00ED7074" w:rsidP="00A90FA7">
      <w:pPr>
        <w:numPr>
          <w:ilvl w:val="0"/>
          <w:numId w:val="12"/>
        </w:numPr>
        <w:tabs>
          <w:tab w:val="left" w:pos="567"/>
          <w:tab w:val="num" w:pos="1569"/>
          <w:tab w:val="num" w:pos="12305"/>
        </w:tabs>
        <w:spacing w:after="0" w:line="240" w:lineRule="auto"/>
        <w:ind w:left="0" w:firstLine="0"/>
        <w:jc w:val="both"/>
        <w:rPr>
          <w:rFonts w:ascii="Verdana" w:hAnsi="Verdana"/>
          <w:snapToGrid w:val="0"/>
          <w:sz w:val="20"/>
          <w:szCs w:val="20"/>
        </w:rPr>
      </w:pPr>
      <w:r w:rsidRPr="00C82EC8">
        <w:rPr>
          <w:rFonts w:ascii="Verdana" w:hAnsi="Verdana"/>
          <w:snapToGrid w:val="0"/>
          <w:sz w:val="20"/>
          <w:szCs w:val="20"/>
        </w:rPr>
        <w:t xml:space="preserve">Tal y como lo ha reiterado en su jurisprudencia reciente, la </w:t>
      </w:r>
      <w:r w:rsidRPr="00C82EC8">
        <w:rPr>
          <w:rFonts w:ascii="Verdana" w:eastAsia="Times" w:hAnsi="Verdana" w:cs="Arial"/>
          <w:sz w:val="20"/>
          <w:szCs w:val="20"/>
        </w:rPr>
        <w:t>Corte considera que la naturaleza y alcance de las obligaciones que derivan de la protección del derecho a la salud incluyen aspectos que tienen una exigibilidad inmediata, así como aspectos que tienen un carácter progresivo</w:t>
      </w:r>
      <w:r w:rsidRPr="00230D8B">
        <w:rPr>
          <w:rStyle w:val="Refdenotaalpie"/>
          <w:rFonts w:ascii="Verdana" w:eastAsia="Times" w:hAnsi="Verdana"/>
          <w:sz w:val="20"/>
          <w:szCs w:val="20"/>
        </w:rPr>
        <w:footnoteReference w:id="148"/>
      </w:r>
      <w:r w:rsidRPr="00230D8B">
        <w:rPr>
          <w:rFonts w:ascii="Verdana" w:eastAsia="Times" w:hAnsi="Verdana" w:cs="Arial"/>
          <w:sz w:val="20"/>
          <w:szCs w:val="20"/>
        </w:rPr>
        <w:t xml:space="preserve">. </w:t>
      </w:r>
      <w:r w:rsidRPr="00D85462">
        <w:rPr>
          <w:rFonts w:ascii="Verdana" w:eastAsia="Times" w:hAnsi="Verdana" w:cs="Arial"/>
          <w:sz w:val="20"/>
          <w:szCs w:val="20"/>
        </w:rPr>
        <w:t>Al respecto, la Corte recuerda que, en relación con las primeras (obligaciones de exigibilidad inmediata),</w:t>
      </w:r>
      <w:r w:rsidRPr="00D85462">
        <w:rPr>
          <w:rFonts w:ascii="Verdana" w:hAnsi="Verdana"/>
          <w:sz w:val="20"/>
          <w:szCs w:val="20"/>
          <w:lang w:val="es-CR"/>
        </w:rPr>
        <w:t xml:space="preserve"> los Estados deberán adoptar medidas eficaces a fin de garantizar el acceso sin discriminación a las prestaciones reconocidas para el derecho a la </w:t>
      </w:r>
      <w:r w:rsidR="00D3709E" w:rsidRPr="00D85462">
        <w:rPr>
          <w:rFonts w:ascii="Verdana" w:hAnsi="Verdana"/>
          <w:sz w:val="20"/>
          <w:szCs w:val="20"/>
          <w:lang w:val="es-CR"/>
        </w:rPr>
        <w:t>salud</w:t>
      </w:r>
      <w:r w:rsidRPr="00D85462">
        <w:rPr>
          <w:rFonts w:ascii="Verdana" w:hAnsi="Verdana"/>
          <w:sz w:val="20"/>
          <w:szCs w:val="20"/>
          <w:lang w:val="es-CR"/>
        </w:rPr>
        <w:t xml:space="preserve">, garantizar la igualdad de derechos entre hombres y mujeres, </w:t>
      </w:r>
      <w:r w:rsidR="00D3709E" w:rsidRPr="00D85462">
        <w:rPr>
          <w:rFonts w:ascii="Verdana" w:hAnsi="Verdana"/>
          <w:sz w:val="20"/>
          <w:szCs w:val="20"/>
          <w:lang w:val="es-CR"/>
        </w:rPr>
        <w:t xml:space="preserve">y en general avanzar </w:t>
      </w:r>
      <w:r w:rsidR="00D85462" w:rsidRPr="00D85462">
        <w:rPr>
          <w:rFonts w:ascii="Verdana" w:hAnsi="Verdana"/>
          <w:sz w:val="20"/>
          <w:szCs w:val="20"/>
          <w:lang w:val="es-CR"/>
        </w:rPr>
        <w:t>hacia la plena efectividad de los DESCA</w:t>
      </w:r>
      <w:r w:rsidRPr="00D85462">
        <w:rPr>
          <w:rFonts w:ascii="Verdana" w:hAnsi="Verdana"/>
          <w:sz w:val="20"/>
          <w:szCs w:val="20"/>
          <w:lang w:val="es-CR"/>
        </w:rPr>
        <w:t>.</w:t>
      </w:r>
      <w:r w:rsidRPr="00230D8B">
        <w:rPr>
          <w:rFonts w:ascii="Verdana" w:hAnsi="Verdana"/>
          <w:sz w:val="20"/>
          <w:szCs w:val="20"/>
          <w:lang w:val="es-CR"/>
        </w:rPr>
        <w:t xml:space="preserve"> Respecto a las segundas (obligaciones de carácter progresivo),</w:t>
      </w:r>
      <w:r w:rsidRPr="00230D8B">
        <w:rPr>
          <w:rFonts w:ascii="Verdana" w:eastAsia="Times" w:hAnsi="Verdana" w:cs="Arial"/>
          <w:sz w:val="20"/>
          <w:szCs w:val="20"/>
        </w:rPr>
        <w:t xml:space="preserve"> </w:t>
      </w:r>
      <w:r w:rsidRPr="00230D8B">
        <w:rPr>
          <w:rFonts w:ascii="Verdana" w:hAnsi="Verdana"/>
          <w:sz w:val="20"/>
          <w:szCs w:val="20"/>
          <w:lang w:val="es-CR"/>
        </w:rPr>
        <w:t xml:space="preserve">la realización progresiva significa que los Estados partes tienen la obligación concreta y constante de avanzar lo más expedita y eficazmente posible hacia la plena efectividad de dicho derecho, en la medida de sus recursos disponibles, por vía legislativa u otros medios apropiados. </w:t>
      </w:r>
      <w:r w:rsidRPr="00230D8B">
        <w:rPr>
          <w:rFonts w:ascii="Verdana" w:hAnsi="Verdana"/>
          <w:sz w:val="20"/>
          <w:szCs w:val="20"/>
        </w:rPr>
        <w:t xml:space="preserve">Asimismo, se impone la obligación de </w:t>
      </w:r>
      <w:r w:rsidRPr="00230D8B">
        <w:rPr>
          <w:rFonts w:ascii="Verdana" w:hAnsi="Verdana"/>
          <w:i/>
          <w:sz w:val="20"/>
          <w:szCs w:val="20"/>
        </w:rPr>
        <w:lastRenderedPageBreak/>
        <w:t>no regresividad</w:t>
      </w:r>
      <w:r w:rsidRPr="00230D8B">
        <w:rPr>
          <w:rFonts w:ascii="Verdana" w:hAnsi="Verdana"/>
          <w:sz w:val="20"/>
          <w:szCs w:val="20"/>
        </w:rPr>
        <w:t xml:space="preserve"> frente a la realización de los derechos alcanzados. En virtud de lo anterior, las obligaciones convencionales de respeto y garantía, así como de adopción de medidas de derecho interno (artículos 1.1 y 2), resultan fundamentales para alcanzar su efectividad</w:t>
      </w:r>
      <w:r w:rsidRPr="00C82EC8">
        <w:rPr>
          <w:rStyle w:val="Refdenotaalpie"/>
          <w:rFonts w:ascii="Verdana" w:hAnsi="Verdana"/>
          <w:sz w:val="20"/>
          <w:szCs w:val="20"/>
        </w:rPr>
        <w:footnoteReference w:id="149"/>
      </w:r>
      <w:r w:rsidRPr="00C82EC8">
        <w:rPr>
          <w:rFonts w:ascii="Verdana" w:hAnsi="Verdana"/>
          <w:sz w:val="20"/>
          <w:szCs w:val="20"/>
        </w:rPr>
        <w:t>.</w:t>
      </w:r>
    </w:p>
    <w:p w14:paraId="48F0148A" w14:textId="77777777" w:rsidR="00A90FA7" w:rsidRDefault="00A90FA7" w:rsidP="00A90FA7">
      <w:pPr>
        <w:tabs>
          <w:tab w:val="left" w:pos="567"/>
        </w:tabs>
        <w:spacing w:after="0" w:line="240" w:lineRule="auto"/>
        <w:jc w:val="both"/>
        <w:rPr>
          <w:rFonts w:ascii="Verdana" w:hAnsi="Verdana"/>
          <w:snapToGrid w:val="0"/>
          <w:sz w:val="20"/>
          <w:szCs w:val="20"/>
        </w:rPr>
      </w:pPr>
    </w:p>
    <w:p w14:paraId="78329BE5" w14:textId="62C3EC8E" w:rsidR="003024F9" w:rsidRPr="00A90FA7" w:rsidRDefault="00ED7074" w:rsidP="00A90FA7">
      <w:pPr>
        <w:numPr>
          <w:ilvl w:val="0"/>
          <w:numId w:val="12"/>
        </w:numPr>
        <w:tabs>
          <w:tab w:val="left" w:pos="567"/>
          <w:tab w:val="num" w:pos="1569"/>
          <w:tab w:val="num" w:pos="12305"/>
        </w:tabs>
        <w:spacing w:after="0" w:line="240" w:lineRule="auto"/>
        <w:ind w:left="0" w:firstLine="0"/>
        <w:jc w:val="both"/>
        <w:rPr>
          <w:rFonts w:ascii="Verdana" w:hAnsi="Verdana"/>
          <w:snapToGrid w:val="0"/>
          <w:sz w:val="20"/>
          <w:szCs w:val="20"/>
        </w:rPr>
      </w:pPr>
      <w:r w:rsidRPr="00A90FA7">
        <w:rPr>
          <w:rFonts w:ascii="Verdana" w:hAnsi="Verdana"/>
          <w:sz w:val="20"/>
          <w:szCs w:val="20"/>
        </w:rPr>
        <w:t xml:space="preserve">En el presente caso, corresponde a la Corte analizar la conducta estatal respecto del cumplimiento de sus obligaciones de garantía respecto del derecho a la salud, en perjuicio del señor Hernández, </w:t>
      </w:r>
      <w:r w:rsidR="0044278E" w:rsidRPr="00A90FA7">
        <w:rPr>
          <w:rFonts w:ascii="Verdana" w:hAnsi="Verdana"/>
          <w:sz w:val="20"/>
          <w:szCs w:val="20"/>
        </w:rPr>
        <w:t xml:space="preserve">en relación con </w:t>
      </w:r>
      <w:r w:rsidRPr="00A90FA7">
        <w:rPr>
          <w:rFonts w:ascii="Verdana" w:hAnsi="Verdana"/>
          <w:sz w:val="20"/>
          <w:szCs w:val="20"/>
        </w:rPr>
        <w:t>el tratamiento médico que recibió mientras se encontraba privado de libertad.</w:t>
      </w:r>
    </w:p>
    <w:p w14:paraId="17CD9EAF" w14:textId="77777777" w:rsidR="00E8677F" w:rsidRPr="007C33C3" w:rsidRDefault="00E8677F" w:rsidP="003024F9">
      <w:pPr>
        <w:widowControl w:val="0"/>
        <w:tabs>
          <w:tab w:val="left" w:pos="567"/>
        </w:tabs>
        <w:adjustRightInd w:val="0"/>
        <w:spacing w:after="0" w:line="240" w:lineRule="auto"/>
        <w:jc w:val="both"/>
        <w:textAlignment w:val="baseline"/>
        <w:rPr>
          <w:rFonts w:ascii="Verdana" w:hAnsi="Verdana"/>
          <w:sz w:val="20"/>
          <w:szCs w:val="20"/>
          <w:lang w:val="es-CR"/>
        </w:rPr>
      </w:pPr>
    </w:p>
    <w:p w14:paraId="48939574" w14:textId="0472984B" w:rsidR="003024F9" w:rsidRDefault="003024F9" w:rsidP="00B662B4">
      <w:pPr>
        <w:pStyle w:val="Ttulo3"/>
        <w:numPr>
          <w:ilvl w:val="0"/>
          <w:numId w:val="0"/>
        </w:numPr>
        <w:ind w:left="993"/>
        <w:rPr>
          <w:lang w:val="es-CO"/>
        </w:rPr>
      </w:pPr>
      <w:bookmarkStart w:id="65" w:name="_Toc27509173"/>
      <w:r w:rsidRPr="007C33C3">
        <w:rPr>
          <w:lang w:val="es-CO"/>
        </w:rPr>
        <w:t>B.</w:t>
      </w:r>
      <w:r w:rsidR="002D6147">
        <w:rPr>
          <w:lang w:val="es-CO"/>
        </w:rPr>
        <w:t>4</w:t>
      </w:r>
      <w:r w:rsidRPr="007C33C3">
        <w:rPr>
          <w:lang w:val="es-CO"/>
        </w:rPr>
        <w:t>. La afectación del derecho a la salud del señor José Luis Hernández</w:t>
      </w:r>
      <w:bookmarkEnd w:id="65"/>
    </w:p>
    <w:p w14:paraId="1AC81C41" w14:textId="77777777" w:rsidR="007D2F7E" w:rsidRPr="00230D8B" w:rsidRDefault="007D2F7E" w:rsidP="00230D8B">
      <w:pPr>
        <w:spacing w:after="0" w:line="240" w:lineRule="auto"/>
        <w:rPr>
          <w:lang w:val="es-CO"/>
        </w:rPr>
      </w:pPr>
    </w:p>
    <w:p w14:paraId="6D367DBA" w14:textId="472A617E" w:rsidR="007D2F7E" w:rsidRPr="00230D8B" w:rsidRDefault="003024F9" w:rsidP="00230D8B">
      <w:pPr>
        <w:pStyle w:val="Prrafodelista"/>
        <w:numPr>
          <w:ilvl w:val="0"/>
          <w:numId w:val="12"/>
        </w:numPr>
        <w:spacing w:after="0" w:line="240" w:lineRule="auto"/>
        <w:ind w:left="0" w:firstLine="0"/>
        <w:jc w:val="both"/>
        <w:rPr>
          <w:rFonts w:ascii="Verdana" w:hAnsi="Verdana"/>
          <w:sz w:val="20"/>
          <w:szCs w:val="20"/>
        </w:rPr>
      </w:pPr>
      <w:r w:rsidRPr="00230D8B">
        <w:rPr>
          <w:rFonts w:ascii="Verdana" w:hAnsi="Verdana"/>
          <w:sz w:val="20"/>
          <w:szCs w:val="20"/>
        </w:rPr>
        <w:t xml:space="preserve">El Tribunal analizará si el tratamiento médico recibido por el señor Hernández fue adecuado conforme a los estándares relacionados con el derecho a la salud. </w:t>
      </w:r>
      <w:r w:rsidRPr="00230D8B">
        <w:rPr>
          <w:rFonts w:ascii="Verdana" w:hAnsi="Verdana"/>
          <w:sz w:val="20"/>
          <w:szCs w:val="20"/>
          <w:lang w:val="es-CR"/>
        </w:rPr>
        <w:t xml:space="preserve">Para ello, en atención a los alegatos de las partes, las observaciones de la Comisión, </w:t>
      </w:r>
      <w:r w:rsidR="00ED7074" w:rsidRPr="00230D8B">
        <w:rPr>
          <w:rFonts w:ascii="Verdana" w:hAnsi="Verdana"/>
          <w:sz w:val="20"/>
          <w:szCs w:val="20"/>
          <w:lang w:val="es-CR"/>
        </w:rPr>
        <w:t xml:space="preserve">y los precedentes antes mencionados, </w:t>
      </w:r>
      <w:r w:rsidRPr="00230D8B">
        <w:rPr>
          <w:rFonts w:ascii="Verdana" w:hAnsi="Verdana"/>
          <w:sz w:val="20"/>
          <w:szCs w:val="20"/>
          <w:lang w:val="es-CR"/>
        </w:rPr>
        <w:t xml:space="preserve">el análisis se centrará en determinar lo siguiente: a) si la atención a la salud de las personas privadas de libertad estaba regulada en Argentina en la época de los hechos, b) el momento en que el Estado tuvo conocimiento de la enfermedad del señor Hernández y proporcionó un tratamiento médico adecuado, </w:t>
      </w:r>
      <w:r w:rsidR="00631F69" w:rsidRPr="00230D8B">
        <w:rPr>
          <w:rFonts w:ascii="Verdana" w:hAnsi="Verdana"/>
          <w:sz w:val="20"/>
          <w:szCs w:val="20"/>
          <w:lang w:val="es-CR"/>
        </w:rPr>
        <w:t xml:space="preserve">y </w:t>
      </w:r>
      <w:r w:rsidRPr="00230D8B">
        <w:rPr>
          <w:rFonts w:ascii="Verdana" w:hAnsi="Verdana"/>
          <w:sz w:val="20"/>
          <w:szCs w:val="20"/>
          <w:lang w:val="es-CR"/>
        </w:rPr>
        <w:t>c) si existe un nexo causal entre la atención médica otorgada –o la falta de ella- y las afectaciones que la presunta víctima sufrió a su salud</w:t>
      </w:r>
      <w:r w:rsidR="00631F69" w:rsidRPr="00230D8B">
        <w:rPr>
          <w:rFonts w:ascii="Verdana" w:hAnsi="Verdana"/>
          <w:sz w:val="20"/>
          <w:szCs w:val="20"/>
          <w:lang w:val="es-CR"/>
        </w:rPr>
        <w:t>.</w:t>
      </w:r>
      <w:r w:rsidRPr="00230D8B">
        <w:rPr>
          <w:rFonts w:ascii="Verdana" w:hAnsi="Verdana"/>
          <w:sz w:val="20"/>
          <w:szCs w:val="20"/>
          <w:lang w:val="es-CR"/>
        </w:rPr>
        <w:t xml:space="preserve"> </w:t>
      </w:r>
    </w:p>
    <w:p w14:paraId="11708664" w14:textId="77777777" w:rsidR="007D2F7E" w:rsidRPr="00230D8B" w:rsidRDefault="007D2F7E" w:rsidP="00230D8B">
      <w:pPr>
        <w:pStyle w:val="Prrafodelista"/>
        <w:spacing w:after="0" w:line="240" w:lineRule="auto"/>
        <w:ind w:left="0"/>
        <w:jc w:val="both"/>
        <w:rPr>
          <w:rFonts w:ascii="Verdana" w:hAnsi="Verdana"/>
          <w:sz w:val="20"/>
          <w:szCs w:val="20"/>
        </w:rPr>
      </w:pPr>
    </w:p>
    <w:p w14:paraId="71306F05" w14:textId="499D4AE7" w:rsidR="007D2F7E" w:rsidRPr="00E8677F" w:rsidRDefault="003024F9" w:rsidP="00230D8B">
      <w:pPr>
        <w:pStyle w:val="Prrafodelista"/>
        <w:numPr>
          <w:ilvl w:val="0"/>
          <w:numId w:val="12"/>
        </w:numPr>
        <w:spacing w:after="0" w:line="240" w:lineRule="auto"/>
        <w:ind w:left="0" w:firstLine="0"/>
        <w:jc w:val="both"/>
        <w:rPr>
          <w:lang w:val="es-CR"/>
        </w:rPr>
      </w:pPr>
      <w:r w:rsidRPr="00E8677F">
        <w:rPr>
          <w:rFonts w:ascii="Verdana" w:hAnsi="Verdana"/>
          <w:sz w:val="20"/>
          <w:szCs w:val="20"/>
          <w:lang w:val="es-CR"/>
        </w:rPr>
        <w:t>Para garantizar el derecho a la salud de quienes se encuentran privados de libertad, la</w:t>
      </w:r>
      <w:r w:rsidRPr="00E8677F">
        <w:rPr>
          <w:rFonts w:ascii="Verdana" w:hAnsi="Verdana"/>
          <w:b/>
          <w:sz w:val="20"/>
          <w:szCs w:val="20"/>
          <w:lang w:val="es-CR"/>
        </w:rPr>
        <w:t xml:space="preserve"> </w:t>
      </w:r>
      <w:r w:rsidRPr="00E8677F">
        <w:rPr>
          <w:rFonts w:ascii="Verdana" w:hAnsi="Verdana"/>
          <w:sz w:val="20"/>
          <w:szCs w:val="20"/>
          <w:lang w:val="es-CR"/>
        </w:rPr>
        <w:t>primera obligación que asume el Estado es la de regular la provisión de atención médica</w:t>
      </w:r>
      <w:r w:rsidRPr="00E8677F">
        <w:rPr>
          <w:rStyle w:val="Refdenotaalpie"/>
          <w:rFonts w:ascii="Verdana" w:hAnsi="Verdana"/>
          <w:sz w:val="20"/>
          <w:szCs w:val="20"/>
        </w:rPr>
        <w:footnoteReference w:id="150"/>
      </w:r>
      <w:r w:rsidRPr="00E8677F">
        <w:rPr>
          <w:rFonts w:ascii="Verdana" w:hAnsi="Verdana"/>
          <w:sz w:val="20"/>
          <w:szCs w:val="20"/>
          <w:lang w:val="es-CR"/>
        </w:rPr>
        <w:t>, pues la atención a la salud se encuentra relacionado con las condiciones prevalecientes en cada Estado, incluyendo la forma en que éste se encuentra regulado. Al respecto, la Corte observa que, desde la detención del señor Hernández el 7 de febrero de 1989, hasta el otorgamiento de su libertad provisional, el 29 de mayo de 1991, dicho aspecto estaba regulado por un conjunto de leyes y reglamentos de alcance nacional y provincial</w:t>
      </w:r>
      <w:r w:rsidR="007D2F7E" w:rsidRPr="00E8677F">
        <w:rPr>
          <w:rStyle w:val="Refdenotaalpie"/>
          <w:rFonts w:ascii="Verdana" w:hAnsi="Verdana"/>
          <w:sz w:val="20"/>
          <w:szCs w:val="20"/>
          <w:lang w:val="es-CR"/>
        </w:rPr>
        <w:footnoteReference w:id="151"/>
      </w:r>
      <w:r w:rsidR="007D2F7E" w:rsidRPr="00E8677F">
        <w:rPr>
          <w:rFonts w:ascii="Verdana" w:hAnsi="Verdana"/>
          <w:sz w:val="20"/>
          <w:szCs w:val="20"/>
          <w:lang w:val="es-CR"/>
        </w:rPr>
        <w:t xml:space="preserve">. </w:t>
      </w:r>
      <w:r w:rsidR="009C21A1" w:rsidRPr="00E8677F">
        <w:rPr>
          <w:rFonts w:ascii="Verdana" w:hAnsi="Verdana"/>
          <w:sz w:val="20"/>
          <w:szCs w:val="20"/>
          <w:lang w:val="es-CR"/>
        </w:rPr>
        <w:t>En virtud de las referidas normas, la</w:t>
      </w:r>
      <w:r w:rsidRPr="00E8677F">
        <w:rPr>
          <w:rFonts w:ascii="Verdana" w:hAnsi="Verdana"/>
          <w:sz w:val="20"/>
          <w:szCs w:val="20"/>
          <w:lang w:val="es-CR"/>
        </w:rPr>
        <w:t xml:space="preserve"> Corte </w:t>
      </w:r>
      <w:r w:rsidR="009C21A1" w:rsidRPr="00E8677F">
        <w:rPr>
          <w:rFonts w:ascii="Verdana" w:hAnsi="Verdana"/>
          <w:sz w:val="20"/>
          <w:szCs w:val="20"/>
          <w:lang w:val="es-CR"/>
        </w:rPr>
        <w:t xml:space="preserve">advierte </w:t>
      </w:r>
      <w:r w:rsidRPr="00E8677F">
        <w:rPr>
          <w:rFonts w:ascii="Verdana" w:hAnsi="Verdana"/>
          <w:sz w:val="20"/>
          <w:szCs w:val="20"/>
          <w:lang w:val="es-CR"/>
        </w:rPr>
        <w:t>que durante el tiempo que el señor Hernández estuvo detenido, la legislación interna del Estado contemplaba el derecho de las personas privadas de libertad a recibir atención médica. Por consiguiente, la Corte concluye que el Estado reguló la atención médica para las personas privadas de libertad.</w:t>
      </w:r>
      <w:r w:rsidRPr="00E8677F">
        <w:rPr>
          <w:lang w:val="es-CR"/>
        </w:rPr>
        <w:t xml:space="preserve"> </w:t>
      </w:r>
    </w:p>
    <w:p w14:paraId="5289594F" w14:textId="77777777" w:rsidR="007D2F7E" w:rsidRPr="00230D8B" w:rsidRDefault="007D2F7E" w:rsidP="00230D8B">
      <w:pPr>
        <w:pStyle w:val="Prrafodelista"/>
        <w:spacing w:after="0" w:line="240" w:lineRule="auto"/>
        <w:ind w:left="0"/>
        <w:jc w:val="both"/>
        <w:rPr>
          <w:rFonts w:ascii="Verdana" w:hAnsi="Verdana"/>
          <w:sz w:val="20"/>
          <w:szCs w:val="20"/>
          <w:lang w:val="es-CR"/>
        </w:rPr>
      </w:pPr>
    </w:p>
    <w:p w14:paraId="389CAADA" w14:textId="24AD824A" w:rsidR="003024F9" w:rsidRPr="00230D8B" w:rsidRDefault="00631F69" w:rsidP="00230D8B">
      <w:pPr>
        <w:pStyle w:val="Prrafodelista"/>
        <w:numPr>
          <w:ilvl w:val="0"/>
          <w:numId w:val="12"/>
        </w:numPr>
        <w:spacing w:after="0" w:line="240" w:lineRule="auto"/>
        <w:ind w:left="0" w:firstLine="0"/>
        <w:jc w:val="both"/>
        <w:rPr>
          <w:rFonts w:ascii="Verdana" w:hAnsi="Verdana"/>
          <w:sz w:val="20"/>
          <w:szCs w:val="20"/>
          <w:lang w:val="es-CR"/>
        </w:rPr>
      </w:pPr>
      <w:r w:rsidRPr="00230D8B">
        <w:rPr>
          <w:rFonts w:ascii="Verdana" w:hAnsi="Verdana"/>
          <w:sz w:val="20"/>
          <w:szCs w:val="20"/>
          <w:lang w:val="es-CR"/>
        </w:rPr>
        <w:t>E</w:t>
      </w:r>
      <w:r w:rsidR="003024F9" w:rsidRPr="00230D8B">
        <w:rPr>
          <w:rFonts w:ascii="Verdana" w:hAnsi="Verdana"/>
          <w:sz w:val="20"/>
          <w:szCs w:val="20"/>
          <w:lang w:val="es-CR"/>
        </w:rPr>
        <w:t xml:space="preserve">n segundo lugar, corresponde al Tribunal determinar el momento en que el Estado tuvo conocimiento de la enfermedad de la presunta víctima y si adoptó las medidas necesarias para otorgar un tratamiento médico adecuado. Al respecto, la Corte constata que al momento del ingreso del señor Hernández a la Comisaría de Monte Grande, el día 7 de febrero de 1989, éste se encontraba </w:t>
      </w:r>
      <w:r w:rsidR="00522626" w:rsidRPr="00E25884">
        <w:rPr>
          <w:rFonts w:ascii="Verdana" w:eastAsia="Cambria" w:hAnsi="Verdana"/>
          <w:sz w:val="20"/>
          <w:szCs w:val="20"/>
          <w:lang w:val="es-ES" w:eastAsia="es-MX"/>
        </w:rPr>
        <w:t xml:space="preserve">“lúcido… y </w:t>
      </w:r>
      <w:proofErr w:type="spellStart"/>
      <w:r w:rsidR="00522626" w:rsidRPr="00E25884">
        <w:rPr>
          <w:rFonts w:ascii="Verdana" w:eastAsia="Cambria" w:hAnsi="Verdana"/>
          <w:sz w:val="20"/>
          <w:szCs w:val="20"/>
          <w:lang w:val="es-ES" w:eastAsia="es-MX"/>
        </w:rPr>
        <w:t>auto-psíquicamente</w:t>
      </w:r>
      <w:proofErr w:type="spellEnd"/>
      <w:r w:rsidR="00522626" w:rsidRPr="00E25884">
        <w:rPr>
          <w:rFonts w:ascii="Verdana" w:eastAsia="Cambria" w:hAnsi="Verdana"/>
          <w:sz w:val="20"/>
          <w:szCs w:val="20"/>
          <w:lang w:val="es-ES" w:eastAsia="es-MX"/>
        </w:rPr>
        <w:t xml:space="preserve"> ubicado, sin signos de intoxicación y al examen de la superficie corporal no presenta[</w:t>
      </w:r>
      <w:proofErr w:type="spellStart"/>
      <w:r w:rsidR="00522626" w:rsidRPr="00E25884">
        <w:rPr>
          <w:rFonts w:ascii="Verdana" w:eastAsia="Cambria" w:hAnsi="Verdana"/>
          <w:sz w:val="20"/>
          <w:szCs w:val="20"/>
          <w:lang w:val="es-ES" w:eastAsia="es-MX"/>
        </w:rPr>
        <w:t>ba</w:t>
      </w:r>
      <w:proofErr w:type="spellEnd"/>
      <w:r w:rsidR="00522626" w:rsidRPr="00E25884">
        <w:rPr>
          <w:rFonts w:ascii="Verdana" w:eastAsia="Cambria" w:hAnsi="Verdana"/>
          <w:sz w:val="20"/>
          <w:szCs w:val="20"/>
          <w:lang w:val="es-ES" w:eastAsia="es-MX"/>
        </w:rPr>
        <w:t>] lesiones traumáticas recientes”</w:t>
      </w:r>
      <w:r w:rsidR="00522626">
        <w:rPr>
          <w:rFonts w:ascii="Verdana" w:eastAsia="Cambria" w:hAnsi="Verdana"/>
          <w:sz w:val="20"/>
          <w:szCs w:val="20"/>
          <w:lang w:val="es-ES" w:eastAsia="es-MX"/>
        </w:rPr>
        <w:t xml:space="preserve"> (</w:t>
      </w:r>
      <w:r w:rsidR="00522626">
        <w:rPr>
          <w:rFonts w:ascii="Verdana" w:eastAsia="Cambria" w:hAnsi="Verdana"/>
          <w:i/>
          <w:sz w:val="20"/>
          <w:szCs w:val="20"/>
          <w:lang w:val="es-ES" w:eastAsia="es-MX"/>
        </w:rPr>
        <w:t>supra</w:t>
      </w:r>
      <w:r w:rsidR="00522626">
        <w:rPr>
          <w:rFonts w:ascii="Verdana" w:eastAsia="Cambria" w:hAnsi="Verdana"/>
          <w:sz w:val="20"/>
          <w:szCs w:val="20"/>
          <w:lang w:val="es-ES" w:eastAsia="es-MX"/>
        </w:rPr>
        <w:t>, párr. 27)</w:t>
      </w:r>
      <w:r w:rsidR="003024F9" w:rsidRPr="00230D8B">
        <w:rPr>
          <w:rFonts w:ascii="Verdana" w:eastAsia="Cambria" w:hAnsi="Verdana"/>
          <w:sz w:val="20"/>
          <w:szCs w:val="20"/>
          <w:lang w:val="es-ES" w:eastAsia="es-MX"/>
        </w:rPr>
        <w:t xml:space="preserve">. Fue durante el tiempo en que se encontraba en la Comisaría de </w:t>
      </w:r>
      <w:r w:rsidR="000A5ACC">
        <w:rPr>
          <w:rFonts w:ascii="Verdana" w:eastAsia="Cambria" w:hAnsi="Verdana"/>
          <w:sz w:val="20"/>
          <w:szCs w:val="20"/>
          <w:lang w:val="es-ES" w:eastAsia="es-MX"/>
        </w:rPr>
        <w:t>Monte</w:t>
      </w:r>
      <w:r w:rsidR="003024F9" w:rsidRPr="00230D8B">
        <w:rPr>
          <w:rFonts w:ascii="Verdana" w:eastAsia="Cambria" w:hAnsi="Verdana"/>
          <w:sz w:val="20"/>
          <w:szCs w:val="20"/>
          <w:lang w:val="es-ES" w:eastAsia="es-MX"/>
        </w:rPr>
        <w:t xml:space="preserve"> Grande que el señor Hernández manifestó síntomas de que su estado de salud se encontrara afectado, lo cual fue denunciado por su madre ante el Juez de la Causa en dos momentos: el 6 de julio de 1989, cuando manifestó que su hijo padecía un “estado gripal muy pronunciado y además una afección al oído que requiere una atención médica que hasta la fecha no ha podido ser otorgada” y solicitó su traslado a la </w:t>
      </w:r>
      <w:r w:rsidR="003024F9" w:rsidRPr="00230D8B">
        <w:rPr>
          <w:rFonts w:ascii="Verdana" w:eastAsia="Cambria" w:hAnsi="Verdana"/>
          <w:sz w:val="20"/>
          <w:szCs w:val="20"/>
          <w:lang w:val="es-ES" w:eastAsia="es-MX"/>
        </w:rPr>
        <w:lastRenderedPageBreak/>
        <w:t xml:space="preserve">Unidad Carcelaria; y el 1 de agosto de 1990, cuando denunció que desde hacía una semana el señor Hernández sufría serios dolores encefálicos. </w:t>
      </w:r>
      <w:r w:rsidR="003024F9" w:rsidRPr="00230D8B">
        <w:rPr>
          <w:rFonts w:ascii="Verdana" w:hAnsi="Verdana"/>
          <w:sz w:val="20"/>
          <w:szCs w:val="20"/>
          <w:lang w:val="es-CR"/>
        </w:rPr>
        <w:t xml:space="preserve">En virtud de la segunda denuncia, el señor Hernández fue trasladado a la Unidad Carcelaria </w:t>
      </w:r>
      <w:r w:rsidR="003024F9" w:rsidRPr="00230D8B">
        <w:rPr>
          <w:rFonts w:ascii="Verdana" w:eastAsia="Cambria" w:hAnsi="Verdana"/>
          <w:sz w:val="20"/>
          <w:szCs w:val="20"/>
          <w:lang w:val="es-ES" w:eastAsia="es-MX"/>
        </w:rPr>
        <w:t>y el 15 de agosto de 1990 se le informó al Juez de la Causa que el señor Hernández fue internado en el Hospital San Juan de Dios de la ciudad de la Plata por presentar “un cuadro de meningitis aguda de etiología por T.B.C.”.</w:t>
      </w:r>
    </w:p>
    <w:p w14:paraId="6D532D1B" w14:textId="77777777" w:rsidR="003024F9" w:rsidRPr="007C33C3" w:rsidRDefault="003024F9" w:rsidP="003024F9">
      <w:pPr>
        <w:widowControl w:val="0"/>
        <w:tabs>
          <w:tab w:val="left" w:pos="567"/>
        </w:tabs>
        <w:adjustRightInd w:val="0"/>
        <w:spacing w:after="0" w:line="240" w:lineRule="auto"/>
        <w:jc w:val="both"/>
        <w:textAlignment w:val="baseline"/>
        <w:rPr>
          <w:rFonts w:ascii="Verdana" w:hAnsi="Verdana"/>
          <w:sz w:val="20"/>
          <w:szCs w:val="20"/>
          <w:lang w:val="es-CR"/>
        </w:rPr>
      </w:pPr>
    </w:p>
    <w:p w14:paraId="6A85EB95" w14:textId="7937BDB3" w:rsidR="007D2F7E" w:rsidRPr="00230D8B" w:rsidRDefault="00631F69" w:rsidP="00230D8B">
      <w:pPr>
        <w:pStyle w:val="Prrafodelista"/>
        <w:widowControl w:val="0"/>
        <w:numPr>
          <w:ilvl w:val="0"/>
          <w:numId w:val="12"/>
        </w:numPr>
        <w:tabs>
          <w:tab w:val="left" w:pos="567"/>
        </w:tabs>
        <w:adjustRightInd w:val="0"/>
        <w:spacing w:after="0" w:line="240" w:lineRule="auto"/>
        <w:ind w:left="0" w:firstLine="0"/>
        <w:jc w:val="both"/>
        <w:textAlignment w:val="baseline"/>
        <w:rPr>
          <w:rFonts w:ascii="Verdana" w:hAnsi="Verdana"/>
          <w:b/>
          <w:sz w:val="20"/>
          <w:szCs w:val="20"/>
          <w:lang w:val="es-ES"/>
        </w:rPr>
      </w:pPr>
      <w:r w:rsidRPr="00230D8B">
        <w:rPr>
          <w:rFonts w:ascii="Verdana" w:hAnsi="Verdana"/>
          <w:sz w:val="20"/>
          <w:szCs w:val="20"/>
          <w:lang w:val="es-CR"/>
        </w:rPr>
        <w:t>E</w:t>
      </w:r>
      <w:r w:rsidR="003024F9" w:rsidRPr="00230D8B">
        <w:rPr>
          <w:rFonts w:ascii="Verdana" w:hAnsi="Verdana"/>
          <w:sz w:val="20"/>
          <w:szCs w:val="20"/>
          <w:lang w:val="es-ES"/>
        </w:rPr>
        <w:t>l Estado alega que no incumplió con su obligación de brindar atención médica al señor Hernández previo al mes de agosto de 1990, pues no existen elementos que permitan determinar que su salud se encontraba en riesgo antes de la segunda denuncia de su madre y el posterior diagnóstico de meningitis T.B.C.</w:t>
      </w:r>
    </w:p>
    <w:p w14:paraId="5EBF78F0" w14:textId="77777777" w:rsidR="007D2F7E" w:rsidRPr="00230D8B" w:rsidRDefault="007D2F7E" w:rsidP="00B662B4">
      <w:pPr>
        <w:widowControl w:val="0"/>
        <w:tabs>
          <w:tab w:val="left" w:pos="567"/>
        </w:tabs>
        <w:adjustRightInd w:val="0"/>
        <w:spacing w:after="0" w:line="240" w:lineRule="auto"/>
        <w:jc w:val="both"/>
        <w:textAlignment w:val="baseline"/>
        <w:rPr>
          <w:rFonts w:ascii="Verdana" w:hAnsi="Verdana"/>
          <w:b/>
          <w:sz w:val="20"/>
          <w:szCs w:val="20"/>
          <w:lang w:val="es-ES"/>
        </w:rPr>
      </w:pPr>
    </w:p>
    <w:p w14:paraId="23D0B158" w14:textId="37376040" w:rsidR="007D2F7E" w:rsidRPr="00131E81" w:rsidRDefault="00631F69" w:rsidP="00230D8B">
      <w:pPr>
        <w:pStyle w:val="Prrafodelista"/>
        <w:numPr>
          <w:ilvl w:val="0"/>
          <w:numId w:val="12"/>
        </w:numPr>
        <w:spacing w:after="100" w:afterAutospacing="1" w:line="240" w:lineRule="auto"/>
        <w:ind w:left="0" w:firstLine="0"/>
        <w:jc w:val="both"/>
        <w:rPr>
          <w:rFonts w:ascii="Verdana" w:hAnsi="Verdana"/>
          <w:sz w:val="20"/>
          <w:szCs w:val="20"/>
          <w:lang w:val="es-CR"/>
        </w:rPr>
      </w:pPr>
      <w:r w:rsidRPr="00230D8B">
        <w:rPr>
          <w:rFonts w:ascii="Verdana" w:hAnsi="Verdana"/>
          <w:sz w:val="20"/>
          <w:szCs w:val="20"/>
          <w:lang w:val="es-ES"/>
        </w:rPr>
        <w:t>E</w:t>
      </w:r>
      <w:r w:rsidR="003024F9" w:rsidRPr="00230D8B">
        <w:rPr>
          <w:rFonts w:ascii="Verdana" w:hAnsi="Verdana"/>
          <w:sz w:val="20"/>
          <w:szCs w:val="20"/>
          <w:lang w:val="es-CR"/>
        </w:rPr>
        <w:t xml:space="preserve">n relación con lo anterior, el Tribunal </w:t>
      </w:r>
      <w:r w:rsidR="003024F9" w:rsidRPr="00230D8B">
        <w:rPr>
          <w:rFonts w:ascii="Verdana" w:hAnsi="Verdana"/>
          <w:sz w:val="20"/>
          <w:szCs w:val="20"/>
        </w:rPr>
        <w:t>recuerda que toda persona privada de libertad tiene derecho a vivir en una situación de detención compatible con su dignidad personal</w:t>
      </w:r>
      <w:r w:rsidR="003024F9" w:rsidRPr="00230D8B">
        <w:rPr>
          <w:rStyle w:val="Refdenotaalpie"/>
          <w:rFonts w:ascii="Verdana" w:hAnsi="Verdana"/>
          <w:sz w:val="20"/>
          <w:szCs w:val="20"/>
        </w:rPr>
        <w:footnoteReference w:id="152"/>
      </w:r>
      <w:r w:rsidR="003024F9" w:rsidRPr="00230D8B">
        <w:rPr>
          <w:rFonts w:ascii="Verdana" w:hAnsi="Verdana"/>
          <w:sz w:val="20"/>
          <w:szCs w:val="20"/>
        </w:rPr>
        <w:t>. Asimismo, como responsable de los establecimientos de detención, el Estado debe garantizar a los reclusos la existencia de condiciones que dejen a salvo sus derechos</w:t>
      </w:r>
      <w:r w:rsidR="003024F9" w:rsidRPr="00230D8B">
        <w:rPr>
          <w:rStyle w:val="Refdenotaalpie"/>
          <w:rFonts w:ascii="Verdana" w:hAnsi="Verdana"/>
          <w:sz w:val="20"/>
          <w:szCs w:val="20"/>
        </w:rPr>
        <w:footnoteReference w:id="153"/>
      </w:r>
      <w:r w:rsidR="003024F9" w:rsidRPr="00230D8B">
        <w:rPr>
          <w:rFonts w:ascii="Verdana" w:hAnsi="Verdana"/>
          <w:sz w:val="20"/>
          <w:szCs w:val="20"/>
        </w:rPr>
        <w:t>. En relación con la atención a la salud, el cumplimiento del requisito de calidad requiere que los establecimientos, bienes y servicios de salud, además de ser aceptables desde un punto de vista cultural, deben ser apropiados desde el punto de vista científico y ser de buena calidad</w:t>
      </w:r>
      <w:r w:rsidR="003024F9" w:rsidRPr="00230D8B">
        <w:rPr>
          <w:rStyle w:val="Refdenotaalpie"/>
          <w:rFonts w:ascii="Verdana" w:hAnsi="Verdana"/>
          <w:sz w:val="20"/>
          <w:szCs w:val="20"/>
        </w:rPr>
        <w:footnoteReference w:id="154"/>
      </w:r>
      <w:r w:rsidR="003024F9" w:rsidRPr="00230D8B">
        <w:rPr>
          <w:rFonts w:ascii="Verdana" w:hAnsi="Verdana"/>
          <w:sz w:val="20"/>
          <w:szCs w:val="20"/>
        </w:rPr>
        <w:t>.</w:t>
      </w:r>
      <w:r w:rsidR="003024F9" w:rsidRPr="00230D8B">
        <w:rPr>
          <w:rFonts w:ascii="Verdana" w:hAnsi="Verdana"/>
          <w:sz w:val="20"/>
          <w:szCs w:val="20"/>
          <w:lang w:val="es-CR"/>
        </w:rPr>
        <w:t xml:space="preserve"> Al respecto, </w:t>
      </w:r>
      <w:r w:rsidR="003024F9" w:rsidRPr="00230D8B">
        <w:rPr>
          <w:rFonts w:ascii="Verdana" w:hAnsi="Verdana"/>
          <w:sz w:val="20"/>
          <w:szCs w:val="20"/>
          <w:lang w:val="es-ES"/>
        </w:rPr>
        <w:t>l</w:t>
      </w:r>
      <w:r w:rsidR="003024F9" w:rsidRPr="00230D8B">
        <w:rPr>
          <w:rFonts w:ascii="Verdana" w:hAnsi="Verdana"/>
          <w:sz w:val="20"/>
          <w:szCs w:val="20"/>
          <w:lang w:val="es-CR"/>
        </w:rPr>
        <w:t>a Corte recuerda que n</w:t>
      </w:r>
      <w:r w:rsidR="003024F9" w:rsidRPr="00230D8B">
        <w:rPr>
          <w:rFonts w:ascii="Verdana" w:hAnsi="Verdana"/>
          <w:bCs/>
          <w:iCs/>
          <w:sz w:val="20"/>
          <w:szCs w:val="20"/>
          <w:lang w:val="es-CR"/>
        </w:rPr>
        <w:t>umerosas decisiones de organismos internacionales invocan las Reglas Mínimas de Naciones Unidas para el Tratamiento de Reclusos (en adelante, “Reglas sobre Tratamiento de Reclusos” a fin de interpretar el contenido del derecho de las personas privadas de la libertad a un trato digno y humano, lo cual se relaciona con la garantía de su derecho a la salud, como normas básicas respecto de su alojamiento, higiene, tratamiento médico y ejercicio físico, entre otros</w:t>
      </w:r>
      <w:r w:rsidR="003024F9" w:rsidRPr="00B662B4">
        <w:rPr>
          <w:rStyle w:val="FootnoteAnchor"/>
          <w:rFonts w:ascii="Verdana" w:hAnsi="Verdana"/>
          <w:bCs/>
          <w:iCs/>
          <w:sz w:val="20"/>
          <w:szCs w:val="20"/>
          <w:lang w:val="es-CR"/>
        </w:rPr>
        <w:footnoteReference w:id="155"/>
      </w:r>
      <w:r w:rsidR="003024F9" w:rsidRPr="00230D8B">
        <w:rPr>
          <w:rFonts w:ascii="Verdana" w:hAnsi="Verdana"/>
          <w:bCs/>
          <w:iCs/>
          <w:sz w:val="20"/>
          <w:szCs w:val="20"/>
          <w:lang w:val="es-CR"/>
        </w:rPr>
        <w:t>.</w:t>
      </w:r>
    </w:p>
    <w:p w14:paraId="5DEE12E0" w14:textId="77777777" w:rsidR="007D2F7E" w:rsidRPr="00230D8B" w:rsidRDefault="007D2F7E" w:rsidP="006B40EE">
      <w:pPr>
        <w:pStyle w:val="Prrafodelista"/>
        <w:spacing w:after="100" w:afterAutospacing="1" w:line="240" w:lineRule="auto"/>
        <w:ind w:left="0"/>
        <w:jc w:val="both"/>
        <w:rPr>
          <w:rFonts w:ascii="Verdana" w:hAnsi="Verdana"/>
          <w:sz w:val="20"/>
          <w:szCs w:val="20"/>
          <w:lang w:val="es-CR"/>
        </w:rPr>
      </w:pPr>
    </w:p>
    <w:p w14:paraId="71229A5F" w14:textId="77777777" w:rsidR="006B40EE" w:rsidRDefault="00631F69" w:rsidP="006B40EE">
      <w:pPr>
        <w:pStyle w:val="Prrafodelista"/>
        <w:numPr>
          <w:ilvl w:val="0"/>
          <w:numId w:val="12"/>
        </w:numPr>
        <w:spacing w:after="100" w:afterAutospacing="1" w:line="240" w:lineRule="auto"/>
        <w:ind w:left="0" w:firstLine="0"/>
        <w:jc w:val="both"/>
        <w:rPr>
          <w:rFonts w:ascii="Verdana" w:hAnsi="Verdana"/>
          <w:sz w:val="20"/>
          <w:szCs w:val="20"/>
          <w:lang w:val="es-CR"/>
        </w:rPr>
      </w:pPr>
      <w:r w:rsidRPr="00230D8B">
        <w:rPr>
          <w:rFonts w:ascii="Verdana" w:hAnsi="Verdana"/>
          <w:sz w:val="20"/>
          <w:szCs w:val="20"/>
          <w:lang w:val="es-CR"/>
        </w:rPr>
        <w:t>E</w:t>
      </w:r>
      <w:r w:rsidR="003024F9" w:rsidRPr="00230D8B">
        <w:rPr>
          <w:rFonts w:ascii="Verdana" w:hAnsi="Verdana"/>
          <w:sz w:val="20"/>
          <w:szCs w:val="20"/>
          <w:lang w:val="es-CR"/>
        </w:rPr>
        <w:t>n particular, en relación con las Reglas sobre Tratamiento de Reclusos, los Estados deben proveer atención médica calificada, inclusive psiquiátrica, a las personas privadas de libertad, tanto en situaciones de emergencia como para efectos de atención regular, ya sea</w:t>
      </w:r>
      <w:r w:rsidR="003024F9" w:rsidRPr="00230D8B">
        <w:rPr>
          <w:rFonts w:ascii="Verdana" w:hAnsi="Verdana" w:cs="Arial"/>
          <w:sz w:val="20"/>
          <w:szCs w:val="20"/>
          <w:lang w:val="es-CR" w:eastAsia="es-CR"/>
        </w:rPr>
        <w:t xml:space="preserve"> </w:t>
      </w:r>
      <w:r w:rsidR="003024F9" w:rsidRPr="00230D8B">
        <w:rPr>
          <w:rFonts w:ascii="Verdana" w:hAnsi="Verdana"/>
          <w:sz w:val="20"/>
          <w:szCs w:val="20"/>
          <w:lang w:val="es-CR"/>
        </w:rPr>
        <w:t xml:space="preserve">en el propio lugar de detención o centro penitenciario o, en caso de no contar con ello, en los hospitales o centros de atención en salud donde corresponda otorgar ese servicio. </w:t>
      </w:r>
      <w:r w:rsidR="003024F9" w:rsidRPr="00230D8B">
        <w:rPr>
          <w:rFonts w:ascii="Verdana" w:hAnsi="Verdana"/>
          <w:sz w:val="20"/>
          <w:szCs w:val="20"/>
          <w:lang w:val="es-ES"/>
        </w:rPr>
        <w:t xml:space="preserve">El servicio de atención de la salud debe mantener historiales médicos adecuados, actualizados y confidenciales de todas las personas privadas de libertad, lo cual debe ser accesible para esas personas cuando lo soliciten. </w:t>
      </w:r>
      <w:r w:rsidR="003024F9" w:rsidRPr="00230D8B">
        <w:rPr>
          <w:rFonts w:ascii="Verdana" w:hAnsi="Verdana" w:cs="Arial"/>
          <w:sz w:val="20"/>
          <w:szCs w:val="20"/>
          <w:lang w:val="es-CR" w:eastAsia="es-CR"/>
        </w:rPr>
        <w:t xml:space="preserve">Esos </w:t>
      </w:r>
      <w:r w:rsidR="003024F9" w:rsidRPr="00230D8B">
        <w:rPr>
          <w:rFonts w:ascii="Verdana" w:hAnsi="Verdana"/>
          <w:sz w:val="20"/>
          <w:szCs w:val="20"/>
          <w:lang w:val="es-CR"/>
        </w:rPr>
        <w:t xml:space="preserve">servicios médicos deben estar organizados y coordinados con </w:t>
      </w:r>
      <w:r w:rsidR="003024F9" w:rsidRPr="00230D8B">
        <w:rPr>
          <w:rFonts w:ascii="Verdana" w:hAnsi="Verdana" w:cs="Arial"/>
          <w:sz w:val="20"/>
          <w:szCs w:val="20"/>
          <w:lang w:val="es-CR" w:eastAsia="es-CR"/>
        </w:rPr>
        <w:t>la administración general del servicio de atención en salud general, lo cual implica establecer procedimientos adecuados y expeditos para el diagnóstico y tratamiento de los enfermos, así como para su traslado cuando su estado de salud requiera cuidados especiales en establecimientos penitenciarios especializados o en hospitales civiles</w:t>
      </w:r>
      <w:r w:rsidR="003024F9" w:rsidRPr="00230D8B">
        <w:rPr>
          <w:rFonts w:ascii="Verdana" w:hAnsi="Verdana"/>
          <w:sz w:val="20"/>
          <w:szCs w:val="20"/>
          <w:lang w:val="es-CR"/>
        </w:rPr>
        <w:t xml:space="preserve">. Para hacer efectivos estos deberes, son necesarios protocolos de atención </w:t>
      </w:r>
      <w:r w:rsidR="003024F9" w:rsidRPr="00230D8B">
        <w:rPr>
          <w:rFonts w:ascii="Verdana" w:hAnsi="Verdana"/>
          <w:sz w:val="20"/>
          <w:szCs w:val="20"/>
          <w:lang w:val="es-CR"/>
        </w:rPr>
        <w:lastRenderedPageBreak/>
        <w:t>en salud y mecanismos ágiles y efectivos de traslado de prisioneros, particularmente en situaciones de emergencia o enfermedades graves</w:t>
      </w:r>
      <w:r w:rsidR="003024F9" w:rsidRPr="00B662B4">
        <w:rPr>
          <w:rStyle w:val="FootnoteAnchor"/>
          <w:rFonts w:ascii="Verdana" w:hAnsi="Verdana"/>
          <w:sz w:val="20"/>
          <w:szCs w:val="20"/>
          <w:lang w:val="es-CR"/>
        </w:rPr>
        <w:footnoteReference w:id="156"/>
      </w:r>
      <w:r w:rsidR="003024F9" w:rsidRPr="00230D8B">
        <w:rPr>
          <w:rFonts w:ascii="Verdana" w:hAnsi="Verdana"/>
          <w:sz w:val="20"/>
          <w:szCs w:val="20"/>
          <w:lang w:val="es-CR"/>
        </w:rPr>
        <w:t>.</w:t>
      </w:r>
    </w:p>
    <w:p w14:paraId="7FF6EDB5" w14:textId="77777777" w:rsidR="006B40EE" w:rsidRDefault="006B40EE" w:rsidP="006B40EE">
      <w:pPr>
        <w:pStyle w:val="Prrafodelista"/>
        <w:spacing w:after="100" w:afterAutospacing="1" w:line="240" w:lineRule="auto"/>
        <w:ind w:left="0"/>
        <w:jc w:val="both"/>
        <w:rPr>
          <w:rFonts w:ascii="Verdana" w:hAnsi="Verdana"/>
          <w:sz w:val="20"/>
          <w:szCs w:val="20"/>
          <w:lang w:val="es-CR"/>
        </w:rPr>
      </w:pPr>
    </w:p>
    <w:p w14:paraId="5F9B9C74" w14:textId="02DE8F0E" w:rsidR="00B662B4" w:rsidRPr="006B40EE" w:rsidRDefault="00631F69" w:rsidP="006B40EE">
      <w:pPr>
        <w:pStyle w:val="Prrafodelista"/>
        <w:numPr>
          <w:ilvl w:val="0"/>
          <w:numId w:val="12"/>
        </w:numPr>
        <w:spacing w:after="100" w:afterAutospacing="1" w:line="240" w:lineRule="auto"/>
        <w:ind w:left="0" w:firstLine="0"/>
        <w:jc w:val="both"/>
        <w:rPr>
          <w:rFonts w:ascii="Verdana" w:hAnsi="Verdana"/>
          <w:sz w:val="20"/>
          <w:szCs w:val="20"/>
          <w:lang w:val="es-CR"/>
        </w:rPr>
      </w:pPr>
      <w:r w:rsidRPr="006B40EE">
        <w:rPr>
          <w:rFonts w:ascii="Verdana" w:hAnsi="Verdana"/>
          <w:sz w:val="20"/>
          <w:szCs w:val="20"/>
          <w:lang w:val="es-ES"/>
        </w:rPr>
        <w:t>E</w:t>
      </w:r>
      <w:r w:rsidR="003024F9" w:rsidRPr="006B40EE">
        <w:rPr>
          <w:rFonts w:ascii="Verdana" w:hAnsi="Verdana"/>
          <w:sz w:val="20"/>
          <w:szCs w:val="20"/>
          <w:lang w:val="es-ES"/>
        </w:rPr>
        <w:t xml:space="preserve">n ese sentido, la Corte considera que el Estado estaba obligado a garantizar que la presunta víctima fuera examinada por un médico para verificar cuáles eran las causas de su estado gripal y el dolor en el oído que manifestaba, para así detectar las causas de dichos padecimientos y brindar un tratamiento médico en caso de ser necesario. Esto era especialmente relevante debido a que el señor Hernández se encontraba privado de libertad y por la falta de espacio suficiente para los reclusos que se encontraban detenidos en la </w:t>
      </w:r>
      <w:r w:rsidR="003024F9" w:rsidRPr="006B40EE">
        <w:rPr>
          <w:rFonts w:ascii="Verdana" w:hAnsi="Verdana"/>
          <w:sz w:val="20"/>
          <w:szCs w:val="20"/>
          <w:lang w:val="es-CR"/>
        </w:rPr>
        <w:t xml:space="preserve">Comisaría de Monte Grande, situación que fue manifestada por el Jefe de la Policía el 20 de marzo de 1989 y el 16 de enero de 1990, por la madre de la presunta víctima el 6 de julio de 1989, y por las denuncias sobre un brote de hepatitis que se verificó por la orden del Juez de la Causa de 1 de agosto de 1990. </w:t>
      </w:r>
      <w:r w:rsidR="003024F9" w:rsidRPr="006B40EE">
        <w:rPr>
          <w:rFonts w:ascii="Verdana" w:hAnsi="Verdana"/>
          <w:sz w:val="20"/>
          <w:szCs w:val="20"/>
          <w:lang w:val="es-ES"/>
        </w:rPr>
        <w:t>L</w:t>
      </w:r>
      <w:r w:rsidR="003024F9" w:rsidRPr="006B40EE">
        <w:rPr>
          <w:rFonts w:ascii="Verdana" w:hAnsi="Verdana"/>
          <w:sz w:val="20"/>
          <w:szCs w:val="20"/>
          <w:lang w:val="es-CR"/>
        </w:rPr>
        <w:t xml:space="preserve">a Corte considera que aun cuando dichos síntomas no fueran determinantes para conocer si el señor Hernández se contagió de meningitis T.B.C. previo al 3 de agosto de 1990, esto no eximía al Estado de sus obligaciones en materia de atención a la salud a partir de los síntomas manifestados por la presunta víctima y por las condiciones en que se encontraba detenido. </w:t>
      </w:r>
      <w:r w:rsidR="003024F9" w:rsidRPr="006B40EE">
        <w:rPr>
          <w:rFonts w:ascii="Verdana" w:hAnsi="Verdana"/>
          <w:sz w:val="20"/>
          <w:szCs w:val="20"/>
        </w:rPr>
        <w:t>Por este motivo, el Tribunal advierte que existió una omisión por parte del Estado en la adopción de medidas para realizar un diagnóstico de la condición de salud del señor Hernández al momento que el juez tuvo conocimiento de los primeros síntomas, lo cual representa un problema inicial de calidad en la atención a la salud.</w:t>
      </w:r>
    </w:p>
    <w:p w14:paraId="0DBA02B3" w14:textId="77777777" w:rsidR="00B662B4" w:rsidRPr="00230D8B" w:rsidRDefault="00B662B4" w:rsidP="006B40EE">
      <w:pPr>
        <w:pStyle w:val="Prrafodelista"/>
        <w:widowControl w:val="0"/>
        <w:tabs>
          <w:tab w:val="left" w:pos="567"/>
        </w:tabs>
        <w:adjustRightInd w:val="0"/>
        <w:spacing w:after="0" w:line="240" w:lineRule="auto"/>
        <w:ind w:left="0"/>
        <w:jc w:val="both"/>
        <w:textAlignment w:val="baseline"/>
        <w:rPr>
          <w:rFonts w:ascii="Verdana" w:hAnsi="Verdana"/>
          <w:sz w:val="20"/>
          <w:szCs w:val="20"/>
          <w:lang w:val="es-CR"/>
        </w:rPr>
      </w:pPr>
    </w:p>
    <w:p w14:paraId="6133AD95" w14:textId="47CBD2B1" w:rsidR="00B662B4" w:rsidRDefault="00631F69" w:rsidP="00230D8B">
      <w:pPr>
        <w:pStyle w:val="Prrafodelista"/>
        <w:widowControl w:val="0"/>
        <w:numPr>
          <w:ilvl w:val="0"/>
          <w:numId w:val="12"/>
        </w:numPr>
        <w:tabs>
          <w:tab w:val="left" w:pos="567"/>
        </w:tabs>
        <w:adjustRightInd w:val="0"/>
        <w:spacing w:after="0" w:line="240" w:lineRule="auto"/>
        <w:ind w:left="0" w:firstLine="0"/>
        <w:jc w:val="both"/>
        <w:textAlignment w:val="baseline"/>
        <w:rPr>
          <w:rFonts w:ascii="Verdana" w:hAnsi="Verdana"/>
          <w:sz w:val="20"/>
          <w:szCs w:val="20"/>
          <w:lang w:val="es-ES"/>
        </w:rPr>
      </w:pPr>
      <w:r w:rsidRPr="00230D8B">
        <w:rPr>
          <w:rFonts w:ascii="Verdana" w:hAnsi="Verdana"/>
          <w:sz w:val="20"/>
          <w:szCs w:val="20"/>
          <w:lang w:val="es-ES"/>
        </w:rPr>
        <w:t>E</w:t>
      </w:r>
      <w:r w:rsidR="003024F9" w:rsidRPr="00230D8B">
        <w:rPr>
          <w:rFonts w:ascii="Verdana" w:hAnsi="Verdana"/>
          <w:sz w:val="20"/>
          <w:szCs w:val="20"/>
          <w:lang w:val="es-ES"/>
        </w:rPr>
        <w:t>n tercer lugar, corresponde al Tribunal determinar si el Estado proporcionó un tratamiento médico adecuado al señor Hernández una vez que tuvo conocimiento de su enfermedad, y si existe un nexo causal entre dicho tratamiento médico -o la falta de él- y la afectación a su derecho a la salud.</w:t>
      </w:r>
    </w:p>
    <w:p w14:paraId="27AF3FB2" w14:textId="77777777" w:rsidR="00B662B4" w:rsidRPr="00230D8B" w:rsidRDefault="00B662B4" w:rsidP="00230D8B">
      <w:pPr>
        <w:pStyle w:val="Prrafodelista"/>
        <w:widowControl w:val="0"/>
        <w:tabs>
          <w:tab w:val="left" w:pos="567"/>
        </w:tabs>
        <w:adjustRightInd w:val="0"/>
        <w:spacing w:after="0" w:line="240" w:lineRule="auto"/>
        <w:ind w:left="0"/>
        <w:jc w:val="both"/>
        <w:textAlignment w:val="baseline"/>
        <w:rPr>
          <w:rFonts w:ascii="Verdana" w:hAnsi="Verdana"/>
          <w:sz w:val="20"/>
          <w:szCs w:val="20"/>
          <w:lang w:val="es-ES"/>
        </w:rPr>
      </w:pPr>
    </w:p>
    <w:p w14:paraId="43C5A23F" w14:textId="25BE95F8" w:rsidR="003024F9" w:rsidRPr="00230D8B" w:rsidRDefault="00631F69" w:rsidP="00230D8B">
      <w:pPr>
        <w:pStyle w:val="Prrafodelista"/>
        <w:widowControl w:val="0"/>
        <w:numPr>
          <w:ilvl w:val="0"/>
          <w:numId w:val="12"/>
        </w:numPr>
        <w:tabs>
          <w:tab w:val="left" w:pos="567"/>
        </w:tabs>
        <w:adjustRightInd w:val="0"/>
        <w:spacing w:after="0" w:line="240" w:lineRule="auto"/>
        <w:ind w:left="0" w:firstLine="0"/>
        <w:jc w:val="both"/>
        <w:textAlignment w:val="baseline"/>
        <w:rPr>
          <w:rFonts w:ascii="Verdana" w:hAnsi="Verdana"/>
          <w:sz w:val="20"/>
          <w:szCs w:val="20"/>
        </w:rPr>
      </w:pPr>
      <w:r w:rsidRPr="00230D8B">
        <w:rPr>
          <w:rFonts w:ascii="Verdana" w:hAnsi="Verdana"/>
          <w:sz w:val="20"/>
          <w:szCs w:val="20"/>
          <w:lang w:val="es-ES"/>
        </w:rPr>
        <w:t>L</w:t>
      </w:r>
      <w:r w:rsidR="003024F9" w:rsidRPr="00230D8B">
        <w:rPr>
          <w:rFonts w:ascii="Verdana" w:hAnsi="Verdana"/>
          <w:sz w:val="20"/>
          <w:szCs w:val="20"/>
        </w:rPr>
        <w:t>a Corte constata que durante el tiempo que el señor Hernández estuvo detenido recibió atención médica constante en los hospitales San Juan de Dios, Alejandro Korn y en el Hospital de la Unidad Carcelaria. Sin embargo, el Tribunal carece de elementos probatorios que permitan determinar el tipo de atención médica específica que el señor Hernández recibió mientras se encontraba en los hospitales antes mencionados</w:t>
      </w:r>
      <w:r w:rsidR="003024F9" w:rsidRPr="00230D8B">
        <w:rPr>
          <w:rStyle w:val="Refdenotaalpie"/>
          <w:rFonts w:ascii="Verdana" w:hAnsi="Verdana"/>
          <w:sz w:val="20"/>
          <w:szCs w:val="20"/>
        </w:rPr>
        <w:footnoteReference w:id="157"/>
      </w:r>
      <w:r w:rsidR="003024F9" w:rsidRPr="00230D8B">
        <w:rPr>
          <w:rFonts w:ascii="Verdana" w:hAnsi="Verdana"/>
          <w:sz w:val="20"/>
          <w:szCs w:val="20"/>
        </w:rPr>
        <w:t>. El Estado alegó que las manifestaciones respecto al estado de salud de la presunta víctima y la falta de atención médica adecuada no han sido acreditadas a través de medio probatorio alguno. Al respecto, este Tribunal ha señalado que en razón del control que el Estado ejerce sobre la persona en situación de detención, y el consecuente control de los medios de prueba sobre su condición física, condiciones de detención y eventual atención médica, es el Estado quien tiene la carga probatoria de proveer una explicación satisfactoria y convincente de lo sucedido y desvirtuar las alegaciones sobre su responsabilidad, mediante elementos probatorios válidos</w:t>
      </w:r>
      <w:r w:rsidR="003024F9" w:rsidRPr="00230D8B">
        <w:rPr>
          <w:rStyle w:val="Refdenotaalpie"/>
          <w:rFonts w:ascii="Verdana" w:hAnsi="Verdana"/>
          <w:sz w:val="20"/>
          <w:szCs w:val="20"/>
        </w:rPr>
        <w:footnoteReference w:id="158"/>
      </w:r>
      <w:r w:rsidR="003024F9" w:rsidRPr="00230D8B">
        <w:rPr>
          <w:rFonts w:ascii="Verdana" w:hAnsi="Verdana"/>
          <w:sz w:val="20"/>
          <w:szCs w:val="20"/>
        </w:rPr>
        <w:t xml:space="preserve">. La falta de entrega de los elementos de prueba que </w:t>
      </w:r>
      <w:r w:rsidR="003024F9" w:rsidRPr="00230D8B">
        <w:rPr>
          <w:rFonts w:ascii="Verdana" w:hAnsi="Verdana"/>
          <w:sz w:val="20"/>
          <w:szCs w:val="20"/>
        </w:rPr>
        <w:lastRenderedPageBreak/>
        <w:t xml:space="preserve">permitan esclarecer el tipo de atención recibido por una persona </w:t>
      </w:r>
      <w:proofErr w:type="gramStart"/>
      <w:r w:rsidR="003024F9" w:rsidRPr="00230D8B">
        <w:rPr>
          <w:rFonts w:ascii="Verdana" w:hAnsi="Verdana"/>
          <w:sz w:val="20"/>
          <w:szCs w:val="20"/>
        </w:rPr>
        <w:t>son</w:t>
      </w:r>
      <w:proofErr w:type="gramEnd"/>
      <w:r w:rsidR="003024F9" w:rsidRPr="00230D8B">
        <w:rPr>
          <w:rFonts w:ascii="Verdana" w:hAnsi="Verdana"/>
          <w:sz w:val="20"/>
          <w:szCs w:val="20"/>
        </w:rPr>
        <w:t xml:space="preserve"> particularmente graves en casos que involucren alegatos relacionados con la violación al derecho a la salud. En su condición de garante, el Estado tiene tanto la responsabilidad de garantizar los derechos del individuo bajo su custodia, como la de proveer la información y las pruebas relacionadas con lo que suceda al detenido</w:t>
      </w:r>
      <w:r w:rsidR="003024F9" w:rsidRPr="00230D8B">
        <w:rPr>
          <w:rStyle w:val="Refdenotaalpie"/>
          <w:rFonts w:ascii="Verdana" w:hAnsi="Verdana"/>
          <w:sz w:val="20"/>
          <w:szCs w:val="20"/>
        </w:rPr>
        <w:footnoteReference w:id="159"/>
      </w:r>
      <w:r w:rsidR="003024F9" w:rsidRPr="00230D8B">
        <w:rPr>
          <w:rFonts w:ascii="Verdana" w:hAnsi="Verdana"/>
          <w:sz w:val="20"/>
          <w:szCs w:val="20"/>
        </w:rPr>
        <w:t>.</w:t>
      </w:r>
    </w:p>
    <w:p w14:paraId="0FEE1FDC" w14:textId="77777777" w:rsidR="003024F9" w:rsidRPr="007C33C3" w:rsidRDefault="003024F9" w:rsidP="003024F9">
      <w:pPr>
        <w:widowControl w:val="0"/>
        <w:tabs>
          <w:tab w:val="left" w:pos="567"/>
        </w:tabs>
        <w:adjustRightInd w:val="0"/>
        <w:spacing w:after="0" w:line="240" w:lineRule="auto"/>
        <w:jc w:val="both"/>
        <w:textAlignment w:val="baseline"/>
        <w:rPr>
          <w:rFonts w:ascii="Verdana" w:hAnsi="Verdana"/>
          <w:sz w:val="20"/>
          <w:szCs w:val="20"/>
          <w:lang w:val="es-ES"/>
        </w:rPr>
      </w:pPr>
    </w:p>
    <w:p w14:paraId="468DA858" w14:textId="2F88BCCA" w:rsidR="00B662B4" w:rsidRPr="00230D8B" w:rsidRDefault="00631F69" w:rsidP="00230D8B">
      <w:pPr>
        <w:pStyle w:val="Prrafodelista"/>
        <w:widowControl w:val="0"/>
        <w:numPr>
          <w:ilvl w:val="0"/>
          <w:numId w:val="12"/>
        </w:numPr>
        <w:tabs>
          <w:tab w:val="left" w:pos="567"/>
        </w:tabs>
        <w:adjustRightInd w:val="0"/>
        <w:spacing w:after="0" w:line="240" w:lineRule="auto"/>
        <w:ind w:left="0" w:firstLine="0"/>
        <w:jc w:val="both"/>
        <w:textAlignment w:val="baseline"/>
        <w:rPr>
          <w:rFonts w:ascii="Verdana" w:hAnsi="Verdana"/>
          <w:sz w:val="20"/>
          <w:szCs w:val="20"/>
        </w:rPr>
      </w:pPr>
      <w:r w:rsidRPr="00230D8B">
        <w:rPr>
          <w:rFonts w:ascii="Verdana" w:hAnsi="Verdana"/>
          <w:sz w:val="20"/>
          <w:szCs w:val="20"/>
          <w:lang w:val="es-ES"/>
        </w:rPr>
        <w:t>S</w:t>
      </w:r>
      <w:r w:rsidR="003024F9" w:rsidRPr="00230D8B">
        <w:rPr>
          <w:rFonts w:ascii="Verdana" w:hAnsi="Verdana"/>
          <w:sz w:val="20"/>
          <w:szCs w:val="20"/>
          <w:lang w:val="es-CR"/>
        </w:rPr>
        <w:t xml:space="preserve">in perjuicio de lo anterior, la Corte </w:t>
      </w:r>
      <w:r w:rsidR="003024F9" w:rsidRPr="00230D8B">
        <w:rPr>
          <w:rFonts w:ascii="Verdana" w:hAnsi="Verdana"/>
          <w:sz w:val="20"/>
          <w:szCs w:val="20"/>
        </w:rPr>
        <w:t xml:space="preserve">recuerda que el 15 de agosto de 1990 el señor Hernández fue trasladado al Hospital San Juan de Dios de la Plata por presentar un cuadro de “Meningitis aguda de etiología por T.B.C.” y que se encontraba “bajo tratamiento específico por su afección, siendo su cuadro clínico de evolución favorable”. De igual forma, que el 29 de agosto de 1990 el señor Hernández fue trasladado al Hospital Alejandro Korn por falta de disponibilidad de camas y reingresado a la </w:t>
      </w:r>
      <w:r w:rsidR="003024F9" w:rsidRPr="00230D8B">
        <w:rPr>
          <w:rFonts w:ascii="Verdana" w:hAnsi="Verdana"/>
          <w:sz w:val="20"/>
          <w:szCs w:val="20"/>
          <w:lang w:val="es-ES"/>
        </w:rPr>
        <w:t>Unidad</w:t>
      </w:r>
      <w:r w:rsidR="003024F9" w:rsidRPr="00230D8B">
        <w:rPr>
          <w:rFonts w:ascii="Verdana" w:hAnsi="Verdana"/>
          <w:sz w:val="20"/>
          <w:szCs w:val="20"/>
        </w:rPr>
        <w:t xml:space="preserve"> </w:t>
      </w:r>
      <w:proofErr w:type="spellStart"/>
      <w:r w:rsidR="003024F9" w:rsidRPr="00230D8B">
        <w:rPr>
          <w:rFonts w:ascii="Verdana" w:hAnsi="Verdana"/>
          <w:sz w:val="20"/>
          <w:szCs w:val="20"/>
        </w:rPr>
        <w:t>N°</w:t>
      </w:r>
      <w:proofErr w:type="spellEnd"/>
      <w:r w:rsidR="003024F9" w:rsidRPr="00230D8B">
        <w:rPr>
          <w:rFonts w:ascii="Verdana" w:hAnsi="Verdana"/>
          <w:sz w:val="20"/>
          <w:szCs w:val="20"/>
        </w:rPr>
        <w:t xml:space="preserve"> 1 el 18 de septiembre siguiente. Mientras se encontraba en el Hospital Alejandro Korn, el señor Hernández recibió tratamiento médico por meningitis T.B.C., en virtud de lo cual se informó al Juez de la Causa que se encontraba mejorando. El señor Hernández reingresó a la Unidad Carcelaria el 18 de septiembre de 1990 y el 27 de septiembre de 1990 se ordenó su traslado al Hospital San Juan de Dios, lo cual no pudo realizarse porque dicho Hospital “</w:t>
      </w:r>
      <w:proofErr w:type="spellStart"/>
      <w:r w:rsidR="003024F9" w:rsidRPr="00230D8B">
        <w:rPr>
          <w:rFonts w:ascii="Verdana" w:hAnsi="Verdana"/>
          <w:sz w:val="20"/>
          <w:szCs w:val="20"/>
        </w:rPr>
        <w:t>carec</w:t>
      </w:r>
      <w:proofErr w:type="spellEnd"/>
      <w:r w:rsidR="003024F9" w:rsidRPr="00230D8B">
        <w:rPr>
          <w:rFonts w:ascii="Verdana" w:hAnsi="Verdana"/>
          <w:sz w:val="20"/>
          <w:szCs w:val="20"/>
        </w:rPr>
        <w:t>[</w:t>
      </w:r>
      <w:proofErr w:type="spellStart"/>
      <w:r w:rsidR="003024F9" w:rsidRPr="00230D8B">
        <w:rPr>
          <w:rFonts w:ascii="Verdana" w:hAnsi="Verdana"/>
          <w:sz w:val="20"/>
          <w:szCs w:val="20"/>
        </w:rPr>
        <w:t>ía</w:t>
      </w:r>
      <w:proofErr w:type="spellEnd"/>
      <w:r w:rsidR="003024F9" w:rsidRPr="00230D8B">
        <w:rPr>
          <w:rFonts w:ascii="Verdana" w:hAnsi="Verdana"/>
          <w:sz w:val="20"/>
          <w:szCs w:val="20"/>
        </w:rPr>
        <w:t>] de cama libre”. En virtud de ello, el 2 de octubre de 1990, el señor Hernández fue derivado a un consultorio privado. El 23 de octubre de 1990 el señor Hernández se encontraba internado en el Hospital de la Unidad Carcelaria, y el 24 de octubre de 1990 se intentó su traslado al Hospital San Juan de Dios, lo cual no fue posible debido a la falta de camas libres en el pabellón solicitado. El 2 de noviembre de 1990 el señor Hernández fue trasladado al Hospital San Martin de la Plata, y luego fue trasladado ese mismo mes a la Unidad Carcelaria donde recibió tratamiento médico hasta que obtuvo su libertad condicional el 29 de mayo de 1991.</w:t>
      </w:r>
    </w:p>
    <w:p w14:paraId="66705207" w14:textId="77777777" w:rsidR="00B662B4" w:rsidRPr="00230D8B" w:rsidRDefault="00B662B4" w:rsidP="00B662B4">
      <w:pPr>
        <w:widowControl w:val="0"/>
        <w:tabs>
          <w:tab w:val="left" w:pos="567"/>
        </w:tabs>
        <w:adjustRightInd w:val="0"/>
        <w:spacing w:after="0" w:line="240" w:lineRule="auto"/>
        <w:jc w:val="both"/>
        <w:textAlignment w:val="baseline"/>
        <w:rPr>
          <w:rFonts w:ascii="Verdana" w:hAnsi="Verdana"/>
          <w:sz w:val="20"/>
          <w:szCs w:val="20"/>
        </w:rPr>
      </w:pPr>
    </w:p>
    <w:p w14:paraId="5972E60D" w14:textId="19F7C38A" w:rsidR="003024F9" w:rsidRPr="00230D8B" w:rsidRDefault="00631F69" w:rsidP="00230D8B">
      <w:pPr>
        <w:pStyle w:val="Prrafodelista"/>
        <w:numPr>
          <w:ilvl w:val="0"/>
          <w:numId w:val="12"/>
        </w:numPr>
        <w:spacing w:after="0" w:line="240" w:lineRule="auto"/>
        <w:ind w:left="0" w:firstLine="0"/>
        <w:jc w:val="both"/>
        <w:rPr>
          <w:rFonts w:ascii="Verdana" w:hAnsi="Verdana"/>
          <w:sz w:val="20"/>
          <w:szCs w:val="20"/>
        </w:rPr>
      </w:pPr>
      <w:r w:rsidRPr="00230D8B">
        <w:rPr>
          <w:rFonts w:ascii="Verdana" w:hAnsi="Verdana"/>
          <w:sz w:val="20"/>
          <w:szCs w:val="20"/>
        </w:rPr>
        <w:t>E</w:t>
      </w:r>
      <w:r w:rsidR="003024F9" w:rsidRPr="00230D8B">
        <w:rPr>
          <w:rFonts w:ascii="Verdana" w:hAnsi="Verdana"/>
          <w:sz w:val="20"/>
          <w:szCs w:val="20"/>
        </w:rPr>
        <w:t xml:space="preserve">n relación con lo anterior, el Tribunal recuerda que </w:t>
      </w:r>
      <w:r w:rsidR="003024F9" w:rsidRPr="00230D8B">
        <w:rPr>
          <w:rFonts w:ascii="Verdana" w:eastAsia="Times" w:hAnsi="Verdana" w:cs="Arial"/>
          <w:sz w:val="20"/>
          <w:szCs w:val="20"/>
        </w:rPr>
        <w:t xml:space="preserve">el derecho a la salud se refiere al derecho de toda persona a gozar del más alto nivel de bienestar físico, mental y social. Este derecho abarca la atención de salud oportuna y apropiada conforme a los principios de disponibilidad, accesibilidad, aceptabilidad y calidad. El cumplimiento de la obligación del Estado de respetar y garantizar este derecho deberá dar especial cuidado a los grupos vulnerables y marginados, y deberá realizarse de conformidad con los recursos disponibles de manera progresiva y de la legislación nacional aplicable. </w:t>
      </w:r>
      <w:r w:rsidR="003024F9" w:rsidRPr="00230D8B">
        <w:rPr>
          <w:rFonts w:ascii="Verdana" w:hAnsi="Verdana"/>
          <w:sz w:val="20"/>
          <w:szCs w:val="20"/>
        </w:rPr>
        <w:t xml:space="preserve">En ese sentido, el Tribunal advierte </w:t>
      </w:r>
      <w:proofErr w:type="gramStart"/>
      <w:r w:rsidR="003024F9" w:rsidRPr="00230D8B">
        <w:rPr>
          <w:rFonts w:ascii="Verdana" w:hAnsi="Verdana"/>
          <w:sz w:val="20"/>
          <w:szCs w:val="20"/>
        </w:rPr>
        <w:t>que</w:t>
      </w:r>
      <w:proofErr w:type="gramEnd"/>
      <w:r w:rsidR="003024F9" w:rsidRPr="00230D8B">
        <w:rPr>
          <w:rFonts w:ascii="Verdana" w:hAnsi="Verdana"/>
          <w:sz w:val="20"/>
          <w:szCs w:val="20"/>
        </w:rPr>
        <w:t xml:space="preserve"> en al menos tres ocasiones, el 29 de agosto de 1990, el 27 de septiembre de 1990, y el 24 de octubre de 1990, el señor Hernández no pudo ser internado en el hospital correspondiente en virtud de la </w:t>
      </w:r>
      <w:r w:rsidR="0081160D" w:rsidRPr="00230D8B">
        <w:rPr>
          <w:rFonts w:ascii="Verdana" w:hAnsi="Verdana"/>
          <w:sz w:val="20"/>
          <w:szCs w:val="20"/>
        </w:rPr>
        <w:t xml:space="preserve">falta de </w:t>
      </w:r>
      <w:r w:rsidR="003024F9" w:rsidRPr="00230D8B">
        <w:rPr>
          <w:rFonts w:ascii="Verdana" w:hAnsi="Verdana"/>
          <w:sz w:val="20"/>
          <w:szCs w:val="20"/>
        </w:rPr>
        <w:t>disponibilidad de camas. Asimismo, el Tribunal constata que como consecuencia de la imposibilidad de internación del señor Hernández por el motivo antes expuesto, existieron lapsos de tiempo prolongado, atendiendo a la naturaleza de la enfermedad que padeció, en que dejó de recibir atención médica. La Corte advierte que la falta de disponibilidad de camas y la consecuente imposibilidad de proveerle atención médica</w:t>
      </w:r>
      <w:r w:rsidR="0024556C" w:rsidRPr="00230D8B">
        <w:rPr>
          <w:rFonts w:ascii="Verdana" w:hAnsi="Verdana"/>
          <w:sz w:val="20"/>
          <w:szCs w:val="20"/>
        </w:rPr>
        <w:t xml:space="preserve"> inmediata</w:t>
      </w:r>
      <w:r w:rsidR="003024F9" w:rsidRPr="00230D8B">
        <w:rPr>
          <w:rFonts w:ascii="Verdana" w:hAnsi="Verdana"/>
          <w:sz w:val="20"/>
          <w:szCs w:val="20"/>
        </w:rPr>
        <w:t xml:space="preserve"> representaron un problema de disponibilidad y accesibilidad en los servicios de salud. </w:t>
      </w:r>
    </w:p>
    <w:p w14:paraId="27F07191" w14:textId="77777777" w:rsidR="003024F9" w:rsidRPr="007C33C3" w:rsidRDefault="003024F9" w:rsidP="003024F9">
      <w:pPr>
        <w:widowControl w:val="0"/>
        <w:tabs>
          <w:tab w:val="left" w:pos="567"/>
        </w:tabs>
        <w:adjustRightInd w:val="0"/>
        <w:spacing w:after="0" w:line="240" w:lineRule="auto"/>
        <w:jc w:val="both"/>
        <w:textAlignment w:val="baseline"/>
        <w:rPr>
          <w:rFonts w:ascii="Verdana" w:hAnsi="Verdana"/>
          <w:sz w:val="20"/>
          <w:szCs w:val="20"/>
        </w:rPr>
      </w:pPr>
    </w:p>
    <w:p w14:paraId="4E419048" w14:textId="5FEC8CC1" w:rsidR="003024F9" w:rsidRPr="00230D8B" w:rsidRDefault="00631F69" w:rsidP="00230D8B">
      <w:pPr>
        <w:pStyle w:val="Prrafodelista"/>
        <w:widowControl w:val="0"/>
        <w:numPr>
          <w:ilvl w:val="0"/>
          <w:numId w:val="12"/>
        </w:numPr>
        <w:tabs>
          <w:tab w:val="left" w:pos="567"/>
        </w:tabs>
        <w:adjustRightInd w:val="0"/>
        <w:spacing w:after="0" w:line="240" w:lineRule="auto"/>
        <w:ind w:left="0" w:firstLine="0"/>
        <w:jc w:val="both"/>
        <w:textAlignment w:val="baseline"/>
        <w:rPr>
          <w:rFonts w:ascii="Verdana" w:eastAsia="Times" w:hAnsi="Verdana" w:cs="Arial"/>
          <w:sz w:val="20"/>
          <w:szCs w:val="20"/>
        </w:rPr>
      </w:pPr>
      <w:r w:rsidRPr="00230D8B">
        <w:rPr>
          <w:rFonts w:ascii="Verdana" w:hAnsi="Verdana" w:cs="Verdana"/>
          <w:sz w:val="20"/>
          <w:szCs w:val="20"/>
        </w:rPr>
        <w:t>P</w:t>
      </w:r>
      <w:r w:rsidR="003024F9" w:rsidRPr="00230D8B">
        <w:rPr>
          <w:rFonts w:ascii="Verdana" w:hAnsi="Verdana" w:cs="Verdana"/>
          <w:sz w:val="20"/>
          <w:szCs w:val="20"/>
        </w:rPr>
        <w:t xml:space="preserve">or otro lado, la Corte recuerda que el señor Hernández padeció sufrimientos y afectaciones a su salud y sus capacidades físicas y psíquicas como resultado de su enfermedad, las cuales continuaron aún después de haber obtenido su libertad. Lo anterior se verifica por los informes médicos que fueron presentados al Juez de la Causa donde se manifiesta que la presunta víctima sufrió “deshidratación y mal </w:t>
      </w:r>
      <w:r w:rsidR="003024F9" w:rsidRPr="00230D8B">
        <w:rPr>
          <w:rFonts w:ascii="Verdana" w:hAnsi="Verdana"/>
          <w:sz w:val="20"/>
          <w:szCs w:val="20"/>
        </w:rPr>
        <w:t>estado</w:t>
      </w:r>
      <w:r w:rsidR="003024F9" w:rsidRPr="00230D8B">
        <w:rPr>
          <w:rFonts w:ascii="Verdana" w:hAnsi="Verdana" w:cs="Verdana"/>
          <w:sz w:val="20"/>
          <w:szCs w:val="20"/>
        </w:rPr>
        <w:t xml:space="preserve"> en general”, “disminución de agudeza visual”, “compromiso del motor ocular común derecho”, “disminución de la consistencia de masas musculares”, “marcada ataxia de tronco que le prohíbe la deambulación sin sostén”, así como por las </w:t>
      </w:r>
      <w:r w:rsidR="003024F9" w:rsidRPr="00230D8B">
        <w:rPr>
          <w:rFonts w:ascii="Verdana" w:hAnsi="Verdana"/>
          <w:sz w:val="20"/>
          <w:szCs w:val="20"/>
          <w:lang w:val="es-CR"/>
        </w:rPr>
        <w:t>afectaciones neurológicas permanentes que consistieron en la pérdida de la visión de un ojo, incapacidad parcial y permanente del miembro superior izquierdo, y pérdida de la memoria</w:t>
      </w:r>
      <w:r w:rsidR="003024F9" w:rsidRPr="00230D8B">
        <w:rPr>
          <w:rFonts w:ascii="Verdana" w:eastAsia="Cambria" w:hAnsi="Verdana" w:cs="Cambria"/>
          <w:spacing w:val="1"/>
          <w:sz w:val="20"/>
          <w:szCs w:val="20"/>
          <w:lang w:val="es-ES"/>
        </w:rPr>
        <w:t xml:space="preserve">. </w:t>
      </w:r>
      <w:r w:rsidR="003024F9" w:rsidRPr="00230D8B">
        <w:rPr>
          <w:rFonts w:ascii="Verdana" w:eastAsia="Cambria" w:hAnsi="Verdana" w:cs="Cambria"/>
          <w:spacing w:val="1"/>
          <w:sz w:val="20"/>
          <w:szCs w:val="20"/>
          <w:lang w:val="es-ES"/>
        </w:rPr>
        <w:lastRenderedPageBreak/>
        <w:t xml:space="preserve">Asimismo, la Corte recuerda que la propia madre del señor Hernández manifestó el 23 de octubre de 1990 ante el Juez de la Causa que la enfermedad que padecía había dejado a su hijo “prácticamente irrecuperable”. </w:t>
      </w:r>
      <w:r w:rsidR="003024F9" w:rsidRPr="00230D8B">
        <w:rPr>
          <w:rFonts w:ascii="Verdana" w:eastAsia="Times" w:hAnsi="Verdana" w:cs="Arial"/>
          <w:sz w:val="20"/>
          <w:szCs w:val="20"/>
        </w:rPr>
        <w:t>En ese sentido, no le queda duda a este Tribunal respecto a que el señor Hernández sufrió graves daños a su salud como resultado de la enfermedad que contrajo mientras se encontraba detenido y que continuaron con posterioridad al cumplimiento de la pena.</w:t>
      </w:r>
    </w:p>
    <w:p w14:paraId="4448F45F" w14:textId="77777777" w:rsidR="003024F9" w:rsidRPr="007C33C3" w:rsidRDefault="003024F9" w:rsidP="003024F9">
      <w:pPr>
        <w:widowControl w:val="0"/>
        <w:tabs>
          <w:tab w:val="left" w:pos="567"/>
        </w:tabs>
        <w:adjustRightInd w:val="0"/>
        <w:spacing w:after="0" w:line="240" w:lineRule="auto"/>
        <w:jc w:val="both"/>
        <w:textAlignment w:val="baseline"/>
        <w:rPr>
          <w:rFonts w:ascii="Verdana" w:eastAsia="Times" w:hAnsi="Verdana" w:cs="Arial"/>
          <w:sz w:val="20"/>
          <w:szCs w:val="20"/>
        </w:rPr>
      </w:pPr>
    </w:p>
    <w:p w14:paraId="3DD3AEAA" w14:textId="77AF5788" w:rsidR="003024F9" w:rsidRPr="00230D8B" w:rsidRDefault="00631F69" w:rsidP="00230D8B">
      <w:pPr>
        <w:pStyle w:val="Prrafodelista"/>
        <w:widowControl w:val="0"/>
        <w:numPr>
          <w:ilvl w:val="0"/>
          <w:numId w:val="12"/>
        </w:numPr>
        <w:tabs>
          <w:tab w:val="left" w:pos="567"/>
        </w:tabs>
        <w:adjustRightInd w:val="0"/>
        <w:spacing w:after="0" w:line="240" w:lineRule="auto"/>
        <w:ind w:left="0" w:firstLine="0"/>
        <w:jc w:val="both"/>
        <w:textAlignment w:val="baseline"/>
        <w:rPr>
          <w:rFonts w:ascii="Verdana" w:eastAsia="Times" w:hAnsi="Verdana" w:cs="Arial"/>
          <w:sz w:val="20"/>
          <w:szCs w:val="20"/>
        </w:rPr>
      </w:pPr>
      <w:r w:rsidRPr="00230D8B">
        <w:rPr>
          <w:rFonts w:ascii="Verdana" w:eastAsia="Times" w:hAnsi="Verdana" w:cs="Arial"/>
          <w:sz w:val="20"/>
          <w:szCs w:val="20"/>
        </w:rPr>
        <w:t>E</w:t>
      </w:r>
      <w:r w:rsidR="003024F9" w:rsidRPr="00230D8B">
        <w:rPr>
          <w:rFonts w:ascii="Verdana" w:eastAsia="Times" w:hAnsi="Verdana" w:cs="Arial"/>
          <w:sz w:val="20"/>
          <w:szCs w:val="20"/>
        </w:rPr>
        <w:t xml:space="preserve">n el presente caso, </w:t>
      </w:r>
      <w:r w:rsidR="004B600A" w:rsidRPr="00230D8B">
        <w:rPr>
          <w:rFonts w:ascii="Verdana" w:eastAsia="Times" w:hAnsi="Verdana" w:cs="Arial"/>
          <w:sz w:val="20"/>
          <w:szCs w:val="20"/>
        </w:rPr>
        <w:t xml:space="preserve">no está controvertido que el daño sufrido en la salud por parte del señor Hernández tiene un nexo causal con la enfermedad que padeció mientras estuvo bajo la custodia estatal, y correspondía al Estado aportar elementos probatorios que demostrasen la provisión de un tratamiento adecuado y oportuno mientras la presunta víctima estuvo privada de su libertad, </w:t>
      </w:r>
      <w:r w:rsidR="007C33C3" w:rsidRPr="00230D8B">
        <w:rPr>
          <w:rFonts w:ascii="Verdana" w:eastAsia="Times" w:hAnsi="Verdana" w:cs="Arial"/>
          <w:sz w:val="20"/>
          <w:szCs w:val="20"/>
        </w:rPr>
        <w:t>lo cual no ocurrió</w:t>
      </w:r>
      <w:r w:rsidR="004B600A" w:rsidRPr="00230D8B">
        <w:rPr>
          <w:rFonts w:ascii="Verdana" w:eastAsia="Times" w:hAnsi="Verdana" w:cs="Arial"/>
          <w:sz w:val="20"/>
          <w:szCs w:val="20"/>
        </w:rPr>
        <w:t xml:space="preserve"> en el presente caso</w:t>
      </w:r>
      <w:r w:rsidR="003024F9" w:rsidRPr="00230D8B">
        <w:rPr>
          <w:rFonts w:ascii="Verdana" w:eastAsia="Times" w:hAnsi="Verdana" w:cs="Arial"/>
          <w:sz w:val="20"/>
          <w:szCs w:val="20"/>
        </w:rPr>
        <w:t>. En ese sentido, debido a que el Estado incumplió con su carga probatoria de demostrar que otorgó un tratamiento médico adecuado al señor Hernández mientras se encontraba detenido, de forma tal que desvirtuara los alegatos relacionados con la falta de atención médica y las secuelas para su integridad personal, así como por los problemas de</w:t>
      </w:r>
      <w:r w:rsidR="0024556C" w:rsidRPr="00230D8B">
        <w:rPr>
          <w:rFonts w:ascii="Verdana" w:eastAsia="Times" w:hAnsi="Verdana" w:cs="Arial"/>
          <w:sz w:val="20"/>
          <w:szCs w:val="20"/>
        </w:rPr>
        <w:t xml:space="preserve"> calidad </w:t>
      </w:r>
      <w:r w:rsidR="003024F9" w:rsidRPr="00230D8B">
        <w:rPr>
          <w:rFonts w:ascii="Verdana" w:eastAsia="Times" w:hAnsi="Verdana" w:cs="Arial"/>
          <w:sz w:val="20"/>
          <w:szCs w:val="20"/>
        </w:rPr>
        <w:t>accesibilidad</w:t>
      </w:r>
      <w:r w:rsidR="0024556C" w:rsidRPr="00230D8B">
        <w:rPr>
          <w:rFonts w:ascii="Verdana" w:eastAsia="Times" w:hAnsi="Verdana" w:cs="Arial"/>
          <w:sz w:val="20"/>
          <w:szCs w:val="20"/>
        </w:rPr>
        <w:t xml:space="preserve"> </w:t>
      </w:r>
      <w:r w:rsidR="003024F9" w:rsidRPr="00230D8B">
        <w:rPr>
          <w:rFonts w:ascii="Verdana" w:eastAsia="Times" w:hAnsi="Verdana" w:cs="Arial"/>
          <w:sz w:val="20"/>
          <w:szCs w:val="20"/>
        </w:rPr>
        <w:t>y disponibilidad</w:t>
      </w:r>
      <w:r w:rsidR="0024556C" w:rsidRPr="00230D8B">
        <w:rPr>
          <w:rFonts w:ascii="Verdana" w:eastAsia="Times" w:hAnsi="Verdana" w:cs="Arial"/>
          <w:sz w:val="20"/>
          <w:szCs w:val="20"/>
        </w:rPr>
        <w:t xml:space="preserve"> </w:t>
      </w:r>
      <w:r w:rsidR="003024F9" w:rsidRPr="00230D8B">
        <w:rPr>
          <w:rFonts w:ascii="Verdana" w:eastAsia="Times" w:hAnsi="Verdana" w:cs="Arial"/>
          <w:sz w:val="20"/>
          <w:szCs w:val="20"/>
        </w:rPr>
        <w:t>en los servicios de salud, el Tribunal concluye que las afectaciones físicas y psicológicas que sufrió el señor Hernández como resultado de su enfermedad mientras se encontraba detenido son atribuibles al Estado y generan responsabilidad internacional por la violación al derecho a la salud.</w:t>
      </w:r>
    </w:p>
    <w:p w14:paraId="7CE0748A" w14:textId="77777777" w:rsidR="003024F9" w:rsidRPr="007C33C3" w:rsidRDefault="003024F9" w:rsidP="003024F9">
      <w:pPr>
        <w:widowControl w:val="0"/>
        <w:tabs>
          <w:tab w:val="left" w:pos="567"/>
        </w:tabs>
        <w:adjustRightInd w:val="0"/>
        <w:spacing w:after="0" w:line="240" w:lineRule="auto"/>
        <w:jc w:val="both"/>
        <w:textAlignment w:val="baseline"/>
        <w:rPr>
          <w:rFonts w:ascii="Verdana" w:eastAsia="Times" w:hAnsi="Verdana" w:cs="Arial"/>
          <w:sz w:val="20"/>
          <w:szCs w:val="20"/>
        </w:rPr>
      </w:pPr>
    </w:p>
    <w:p w14:paraId="14832179" w14:textId="5CDB7AE5" w:rsidR="003024F9" w:rsidRPr="007C33C3" w:rsidRDefault="0024556C" w:rsidP="003024F9">
      <w:pPr>
        <w:pStyle w:val="Ttulo3"/>
        <w:numPr>
          <w:ilvl w:val="0"/>
          <w:numId w:val="0"/>
        </w:numPr>
        <w:ind w:left="993"/>
        <w:rPr>
          <w:lang w:eastAsia="es-MX"/>
        </w:rPr>
      </w:pPr>
      <w:bookmarkStart w:id="66" w:name="_Toc27509174"/>
      <w:r w:rsidRPr="007C33C3">
        <w:rPr>
          <w:lang w:val="es-CO"/>
        </w:rPr>
        <w:t>B.5</w:t>
      </w:r>
      <w:r w:rsidR="003024F9" w:rsidRPr="007C33C3">
        <w:rPr>
          <w:lang w:val="es-CO"/>
        </w:rPr>
        <w:t>. Conclusión</w:t>
      </w:r>
      <w:bookmarkEnd w:id="66"/>
    </w:p>
    <w:p w14:paraId="05A7E89E" w14:textId="77777777" w:rsidR="003024F9" w:rsidRPr="007C33C3" w:rsidRDefault="003024F9" w:rsidP="003024F9">
      <w:pPr>
        <w:widowControl w:val="0"/>
        <w:tabs>
          <w:tab w:val="left" w:pos="567"/>
        </w:tabs>
        <w:adjustRightInd w:val="0"/>
        <w:spacing w:after="0" w:line="240" w:lineRule="auto"/>
        <w:jc w:val="both"/>
        <w:textAlignment w:val="baseline"/>
        <w:rPr>
          <w:rFonts w:ascii="Verdana" w:hAnsi="Verdana"/>
          <w:sz w:val="20"/>
          <w:szCs w:val="20"/>
          <w:lang w:eastAsia="es-ES_tradnl"/>
        </w:rPr>
      </w:pPr>
    </w:p>
    <w:p w14:paraId="52DB723E" w14:textId="68879AE8" w:rsidR="005F02C0" w:rsidRPr="00230D8B" w:rsidRDefault="00631F69" w:rsidP="00230D8B">
      <w:pPr>
        <w:pStyle w:val="Prrafodelista"/>
        <w:widowControl w:val="0"/>
        <w:numPr>
          <w:ilvl w:val="0"/>
          <w:numId w:val="12"/>
        </w:numPr>
        <w:tabs>
          <w:tab w:val="left" w:pos="567"/>
        </w:tabs>
        <w:adjustRightInd w:val="0"/>
        <w:spacing w:after="0" w:line="240" w:lineRule="auto"/>
        <w:ind w:left="0" w:firstLine="0"/>
        <w:jc w:val="both"/>
        <w:textAlignment w:val="baseline"/>
        <w:rPr>
          <w:rFonts w:ascii="Verdana" w:hAnsi="Verdana"/>
          <w:sz w:val="20"/>
          <w:szCs w:val="20"/>
        </w:rPr>
      </w:pPr>
      <w:r w:rsidRPr="00230D8B">
        <w:rPr>
          <w:rFonts w:ascii="Verdana" w:hAnsi="Verdana"/>
          <w:sz w:val="20"/>
          <w:szCs w:val="20"/>
        </w:rPr>
        <w:t>L</w:t>
      </w:r>
      <w:r w:rsidR="003024F9" w:rsidRPr="00230D8B">
        <w:rPr>
          <w:rFonts w:ascii="Verdana" w:hAnsi="Verdana"/>
          <w:sz w:val="20"/>
          <w:szCs w:val="20"/>
        </w:rPr>
        <w:t>a Corte concluye que</w:t>
      </w:r>
      <w:r w:rsidR="00806C5F" w:rsidRPr="00230D8B">
        <w:rPr>
          <w:rFonts w:ascii="Verdana" w:hAnsi="Verdana"/>
          <w:sz w:val="20"/>
          <w:szCs w:val="20"/>
        </w:rPr>
        <w:t xml:space="preserve"> </w:t>
      </w:r>
      <w:r w:rsidR="007C15F4" w:rsidRPr="00230D8B">
        <w:rPr>
          <w:rFonts w:ascii="Verdana" w:hAnsi="Verdana"/>
          <w:sz w:val="20"/>
          <w:szCs w:val="20"/>
        </w:rPr>
        <w:t xml:space="preserve">la integridad personal del señor Hernández se vio afectada como consecuencia de que se le mantuvo privado de libertad </w:t>
      </w:r>
      <w:r w:rsidR="00806C5F" w:rsidRPr="00230D8B">
        <w:rPr>
          <w:rFonts w:ascii="Verdana" w:hAnsi="Verdana"/>
          <w:sz w:val="20"/>
          <w:szCs w:val="20"/>
        </w:rPr>
        <w:t xml:space="preserve">en una cárcel que no tenía espacio suficiente para </w:t>
      </w:r>
      <w:r w:rsidR="007C15F4" w:rsidRPr="00230D8B">
        <w:rPr>
          <w:rFonts w:ascii="Verdana" w:hAnsi="Verdana"/>
          <w:sz w:val="20"/>
          <w:szCs w:val="20"/>
        </w:rPr>
        <w:t xml:space="preserve">albergar al número de reclusos, y de que las autoridades no cumplieron de modo oportuno con las órdenes del Juez de la Causa de brindarle atención médica una vez denunciada su condición de salud. </w:t>
      </w:r>
      <w:r w:rsidR="00F02BCC" w:rsidRPr="00230D8B">
        <w:rPr>
          <w:rFonts w:ascii="Verdana" w:hAnsi="Verdana"/>
          <w:sz w:val="20"/>
          <w:szCs w:val="20"/>
        </w:rPr>
        <w:t>Estos hechos constituyeron tratos degradantes en términos del artículo 5.2 de la Convención. Adicionalmente</w:t>
      </w:r>
      <w:r w:rsidR="007C15F4" w:rsidRPr="00230D8B">
        <w:rPr>
          <w:rFonts w:ascii="Verdana" w:hAnsi="Verdana"/>
          <w:sz w:val="20"/>
          <w:szCs w:val="20"/>
        </w:rPr>
        <w:t>, n</w:t>
      </w:r>
      <w:r w:rsidR="003024F9" w:rsidRPr="00230D8B">
        <w:rPr>
          <w:rFonts w:ascii="Verdana" w:hAnsi="Verdana"/>
          <w:sz w:val="20"/>
          <w:szCs w:val="20"/>
        </w:rPr>
        <w:t xml:space="preserve">o existe duda respecto a que la salud del señor Hernández se vio gravemente afectada como resultado de la meningitis T.B.C. que contrajo mientras estuvo detenido en la Comisaría de </w:t>
      </w:r>
      <w:r w:rsidR="000A5ACC">
        <w:rPr>
          <w:rFonts w:ascii="Verdana" w:hAnsi="Verdana"/>
          <w:sz w:val="20"/>
          <w:szCs w:val="20"/>
        </w:rPr>
        <w:t>Monte</w:t>
      </w:r>
      <w:r w:rsidR="003024F9" w:rsidRPr="00230D8B">
        <w:rPr>
          <w:rFonts w:ascii="Verdana" w:hAnsi="Verdana"/>
          <w:sz w:val="20"/>
          <w:szCs w:val="20"/>
        </w:rPr>
        <w:t xml:space="preserve"> Grande entre el 7 de febrero de 1989 y el 3 de agosto de 1990, que experimentó sufrimientos como resultado de su enfermedad, y que tuvo secuelas permanentes que afectaron sus capacidades físicas y psíquicas</w:t>
      </w:r>
      <w:r w:rsidR="00BD5F12">
        <w:rPr>
          <w:rFonts w:ascii="Verdana" w:hAnsi="Verdana"/>
          <w:sz w:val="20"/>
          <w:szCs w:val="20"/>
        </w:rPr>
        <w:t>,</w:t>
      </w:r>
      <w:r w:rsidR="003024F9" w:rsidRPr="00230D8B">
        <w:rPr>
          <w:rFonts w:ascii="Verdana" w:hAnsi="Verdana"/>
          <w:sz w:val="20"/>
          <w:szCs w:val="20"/>
        </w:rPr>
        <w:t xml:space="preserve"> las cuales continuaron después de su condena. Asimismo, este Tribunal recuerda que el Estado no aportó elementos de prueba que permitan acreditar que cumpliera con su obligación de proveer un tratamiento médico adecuado a la presunta víctima antes y después de tener conocimiento de que se encontraba contagiado de meningitis T.B.C.,</w:t>
      </w:r>
      <w:r w:rsidR="005976A8">
        <w:rPr>
          <w:rFonts w:ascii="Verdana" w:hAnsi="Verdana"/>
          <w:sz w:val="20"/>
          <w:szCs w:val="20"/>
        </w:rPr>
        <w:t xml:space="preserve"> y</w:t>
      </w:r>
      <w:r w:rsidR="003024F9" w:rsidRPr="00230D8B">
        <w:rPr>
          <w:rFonts w:ascii="Verdana" w:hAnsi="Verdana"/>
          <w:sz w:val="20"/>
          <w:szCs w:val="20"/>
        </w:rPr>
        <w:t xml:space="preserve"> que se advierte la existencia de omisiones atribuibles al Estado en materia de calidad, disponibilidad y accesibilidad en materia de atención a la </w:t>
      </w:r>
      <w:proofErr w:type="spellStart"/>
      <w:r w:rsidR="003024F9" w:rsidRPr="00230D8B">
        <w:rPr>
          <w:rFonts w:ascii="Verdana" w:hAnsi="Verdana"/>
          <w:sz w:val="20"/>
          <w:szCs w:val="20"/>
        </w:rPr>
        <w:t>salud</w:t>
      </w:r>
      <w:r w:rsidR="00806C5F" w:rsidRPr="00230D8B">
        <w:rPr>
          <w:rFonts w:ascii="Verdana" w:hAnsi="Verdana"/>
          <w:sz w:val="20"/>
          <w:szCs w:val="20"/>
        </w:rPr>
        <w:t>.</w:t>
      </w:r>
      <w:r w:rsidR="003024F9" w:rsidRPr="00230D8B">
        <w:rPr>
          <w:rFonts w:ascii="Verdana" w:hAnsi="Verdana"/>
          <w:sz w:val="20"/>
          <w:szCs w:val="20"/>
        </w:rPr>
        <w:t>Por</w:t>
      </w:r>
      <w:proofErr w:type="spellEnd"/>
      <w:r w:rsidR="003024F9" w:rsidRPr="00230D8B">
        <w:rPr>
          <w:rFonts w:ascii="Verdana" w:hAnsi="Verdana"/>
          <w:sz w:val="20"/>
          <w:szCs w:val="20"/>
        </w:rPr>
        <w:t xml:space="preserve"> esta</w:t>
      </w:r>
      <w:r w:rsidR="00F02BCC" w:rsidRPr="00230D8B">
        <w:rPr>
          <w:rFonts w:ascii="Verdana" w:hAnsi="Verdana"/>
          <w:sz w:val="20"/>
          <w:szCs w:val="20"/>
        </w:rPr>
        <w:t>s</w:t>
      </w:r>
      <w:r w:rsidR="003024F9" w:rsidRPr="00230D8B">
        <w:rPr>
          <w:rFonts w:ascii="Verdana" w:hAnsi="Verdana"/>
          <w:sz w:val="20"/>
          <w:szCs w:val="20"/>
        </w:rPr>
        <w:t xml:space="preserve"> raz</w:t>
      </w:r>
      <w:r w:rsidR="00F02BCC" w:rsidRPr="00230D8B">
        <w:rPr>
          <w:rFonts w:ascii="Verdana" w:hAnsi="Verdana"/>
          <w:sz w:val="20"/>
          <w:szCs w:val="20"/>
        </w:rPr>
        <w:t>ones</w:t>
      </w:r>
      <w:r w:rsidR="003024F9" w:rsidRPr="00230D8B">
        <w:rPr>
          <w:rFonts w:ascii="Verdana" w:hAnsi="Verdana"/>
          <w:sz w:val="20"/>
          <w:szCs w:val="20"/>
        </w:rPr>
        <w:t>, es posible acreditar la existencia de un nexo causal entre las acciones u omisiones del Estado en la</w:t>
      </w:r>
      <w:r w:rsidR="00F02BCC" w:rsidRPr="00230D8B">
        <w:rPr>
          <w:rFonts w:ascii="Verdana" w:hAnsi="Verdana"/>
          <w:sz w:val="20"/>
          <w:szCs w:val="20"/>
        </w:rPr>
        <w:t>s condiciones de detención y la falta de</w:t>
      </w:r>
      <w:r w:rsidR="003024F9" w:rsidRPr="00230D8B">
        <w:rPr>
          <w:rFonts w:ascii="Verdana" w:hAnsi="Verdana"/>
          <w:sz w:val="20"/>
          <w:szCs w:val="20"/>
        </w:rPr>
        <w:t xml:space="preserve"> atención médica del señor Hernández y la violación a su </w:t>
      </w:r>
      <w:r w:rsidR="007C15F4" w:rsidRPr="00230D8B">
        <w:rPr>
          <w:rFonts w:ascii="Verdana" w:hAnsi="Verdana"/>
          <w:sz w:val="20"/>
          <w:szCs w:val="20"/>
        </w:rPr>
        <w:t xml:space="preserve">derecho a la </w:t>
      </w:r>
      <w:r w:rsidR="003024F9" w:rsidRPr="00230D8B">
        <w:rPr>
          <w:rFonts w:ascii="Verdana" w:hAnsi="Verdana"/>
          <w:sz w:val="20"/>
          <w:szCs w:val="20"/>
        </w:rPr>
        <w:t>integridad personal</w:t>
      </w:r>
      <w:r w:rsidR="007C15F4" w:rsidRPr="00230D8B">
        <w:rPr>
          <w:rFonts w:ascii="Verdana" w:hAnsi="Verdana"/>
          <w:sz w:val="20"/>
          <w:szCs w:val="20"/>
        </w:rPr>
        <w:t xml:space="preserve"> y a la salud</w:t>
      </w:r>
      <w:r w:rsidR="003024F9" w:rsidRPr="00230D8B">
        <w:rPr>
          <w:rFonts w:ascii="Verdana" w:hAnsi="Verdana"/>
          <w:sz w:val="20"/>
          <w:szCs w:val="20"/>
        </w:rPr>
        <w:t>. En consecuencia, el Estado es responsable por la violación a los artículos 5.1</w:t>
      </w:r>
      <w:r w:rsidR="002D6147" w:rsidRPr="00230D8B">
        <w:rPr>
          <w:rFonts w:ascii="Verdana" w:hAnsi="Verdana"/>
          <w:sz w:val="20"/>
          <w:szCs w:val="20"/>
        </w:rPr>
        <w:t>,</w:t>
      </w:r>
      <w:r w:rsidR="00BD5F12">
        <w:rPr>
          <w:rFonts w:ascii="Verdana" w:hAnsi="Verdana"/>
          <w:sz w:val="20"/>
          <w:szCs w:val="20"/>
        </w:rPr>
        <w:t xml:space="preserve"> </w:t>
      </w:r>
      <w:r w:rsidR="003024F9" w:rsidRPr="00230D8B">
        <w:rPr>
          <w:rFonts w:ascii="Verdana" w:hAnsi="Verdana"/>
          <w:sz w:val="20"/>
          <w:szCs w:val="20"/>
        </w:rPr>
        <w:t>5.2</w:t>
      </w:r>
      <w:r w:rsidR="002D6147" w:rsidRPr="00230D8B">
        <w:rPr>
          <w:rFonts w:ascii="Verdana" w:hAnsi="Verdana"/>
          <w:sz w:val="20"/>
          <w:szCs w:val="20"/>
        </w:rPr>
        <w:t xml:space="preserve"> y 26</w:t>
      </w:r>
      <w:r w:rsidR="003024F9" w:rsidRPr="00230D8B">
        <w:rPr>
          <w:rFonts w:ascii="Verdana" w:hAnsi="Verdana"/>
          <w:sz w:val="20"/>
          <w:szCs w:val="20"/>
        </w:rPr>
        <w:t xml:space="preserve"> de la Convención Americana en relación con el artículo 1.1 del mismo instrumento.</w:t>
      </w:r>
    </w:p>
    <w:p w14:paraId="47BA9063" w14:textId="77777777" w:rsidR="00C97BC1" w:rsidRPr="0000708B" w:rsidRDefault="00C97BC1" w:rsidP="00C97BC1">
      <w:pPr>
        <w:widowControl w:val="0"/>
        <w:tabs>
          <w:tab w:val="left" w:pos="567"/>
        </w:tabs>
        <w:adjustRightInd w:val="0"/>
        <w:spacing w:after="0" w:line="240" w:lineRule="auto"/>
        <w:jc w:val="both"/>
        <w:textAlignment w:val="baseline"/>
        <w:rPr>
          <w:rFonts w:ascii="Verdana" w:hAnsi="Verdana"/>
          <w:sz w:val="20"/>
          <w:szCs w:val="20"/>
        </w:rPr>
      </w:pPr>
    </w:p>
    <w:p w14:paraId="5B41F3F7" w14:textId="042279EF" w:rsidR="005F02C0" w:rsidRPr="005B0214" w:rsidRDefault="005B0214" w:rsidP="005B0214">
      <w:pPr>
        <w:pStyle w:val="Ttulo2"/>
        <w:numPr>
          <w:ilvl w:val="0"/>
          <w:numId w:val="0"/>
        </w:numPr>
        <w:jc w:val="center"/>
        <w:rPr>
          <w:i w:val="0"/>
        </w:rPr>
      </w:pPr>
      <w:bookmarkStart w:id="67" w:name="_Toc27509175"/>
      <w:r w:rsidRPr="005B0214">
        <w:rPr>
          <w:rFonts w:eastAsia="Times New Roman" w:cs="Verdana"/>
          <w:bCs/>
          <w:i w:val="0"/>
          <w:caps/>
          <w:snapToGrid w:val="0"/>
          <w:lang w:val="es-ES_tradnl"/>
        </w:rPr>
        <w:t>VII-2</w:t>
      </w:r>
      <w:r w:rsidRPr="005B0214">
        <w:rPr>
          <w:rFonts w:eastAsia="Times New Roman" w:cs="Verdana"/>
          <w:bCs/>
          <w:i w:val="0"/>
          <w:caps/>
          <w:snapToGrid w:val="0"/>
          <w:lang w:val="es-ES_tradnl"/>
        </w:rPr>
        <w:br/>
      </w:r>
      <w:r w:rsidR="005F02C0" w:rsidRPr="005B0214">
        <w:rPr>
          <w:i w:val="0"/>
        </w:rPr>
        <w:t>DERECHO</w:t>
      </w:r>
      <w:r w:rsidR="00CE6C26">
        <w:rPr>
          <w:i w:val="0"/>
        </w:rPr>
        <w:t>S</w:t>
      </w:r>
      <w:r w:rsidR="005F02C0" w:rsidRPr="005B0214">
        <w:rPr>
          <w:i w:val="0"/>
        </w:rPr>
        <w:t xml:space="preserve"> A LA LIBERTAD PERSONAL</w:t>
      </w:r>
      <w:r w:rsidR="00125068">
        <w:rPr>
          <w:rStyle w:val="Refdenotaalpie"/>
          <w:i w:val="0"/>
        </w:rPr>
        <w:footnoteReference w:id="160"/>
      </w:r>
      <w:r w:rsidR="005F02C0" w:rsidRPr="005B0214">
        <w:rPr>
          <w:i w:val="0"/>
        </w:rPr>
        <w:t xml:space="preserve"> Y A LA PRESUNCIÓN DE INOCENCIA</w:t>
      </w:r>
      <w:r w:rsidR="00125068">
        <w:rPr>
          <w:rStyle w:val="Refdenotaalpie"/>
          <w:i w:val="0"/>
        </w:rPr>
        <w:footnoteReference w:id="161"/>
      </w:r>
      <w:bookmarkEnd w:id="67"/>
    </w:p>
    <w:p w14:paraId="0C3927F2" w14:textId="77777777" w:rsidR="00C97BC1" w:rsidRPr="00E25884" w:rsidRDefault="00C97BC1" w:rsidP="00C97BC1">
      <w:pPr>
        <w:pStyle w:val="Estilo1"/>
        <w:tabs>
          <w:tab w:val="clear" w:pos="567"/>
          <w:tab w:val="clear" w:pos="6042"/>
          <w:tab w:val="left" w:pos="709"/>
        </w:tabs>
        <w:spacing w:after="0"/>
        <w:ind w:left="1134" w:right="-4"/>
        <w:outlineLvl w:val="1"/>
        <w:rPr>
          <w:b/>
          <w:i/>
          <w:sz w:val="20"/>
          <w:szCs w:val="20"/>
          <w:lang w:val="es-MX"/>
        </w:rPr>
      </w:pPr>
    </w:p>
    <w:p w14:paraId="07BE20E5" w14:textId="77777777" w:rsidR="005F02C0" w:rsidRDefault="005F02C0" w:rsidP="00CB2656">
      <w:pPr>
        <w:pStyle w:val="Prrafodelista"/>
        <w:numPr>
          <w:ilvl w:val="0"/>
          <w:numId w:val="20"/>
        </w:numPr>
        <w:spacing w:after="0" w:line="240" w:lineRule="auto"/>
        <w:jc w:val="both"/>
        <w:outlineLvl w:val="2"/>
        <w:rPr>
          <w:rFonts w:ascii="Verdana" w:hAnsi="Verdana"/>
          <w:b/>
          <w:i/>
          <w:sz w:val="20"/>
          <w:szCs w:val="20"/>
        </w:rPr>
      </w:pPr>
      <w:bookmarkStart w:id="68" w:name="_Toc27509176"/>
      <w:r w:rsidRPr="00E25884">
        <w:rPr>
          <w:rFonts w:ascii="Verdana" w:hAnsi="Verdana"/>
          <w:b/>
          <w:i/>
          <w:sz w:val="20"/>
          <w:szCs w:val="20"/>
        </w:rPr>
        <w:t>Argumentos de la Comisión y de las partes</w:t>
      </w:r>
      <w:bookmarkEnd w:id="68"/>
    </w:p>
    <w:p w14:paraId="2400AA97" w14:textId="77777777" w:rsidR="00C97BC1" w:rsidRPr="00E25884" w:rsidRDefault="00C97BC1" w:rsidP="00C97BC1">
      <w:pPr>
        <w:pStyle w:val="Prrafodelista"/>
        <w:spacing w:after="0" w:line="240" w:lineRule="auto"/>
        <w:jc w:val="both"/>
        <w:outlineLvl w:val="2"/>
        <w:rPr>
          <w:rFonts w:ascii="Verdana" w:hAnsi="Verdana"/>
          <w:b/>
          <w:i/>
          <w:sz w:val="20"/>
          <w:szCs w:val="20"/>
        </w:rPr>
      </w:pPr>
    </w:p>
    <w:p w14:paraId="489D1B93" w14:textId="5E358B26" w:rsidR="005F02C0" w:rsidRDefault="005F02C0"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sz w:val="20"/>
          <w:szCs w:val="20"/>
        </w:rPr>
      </w:pPr>
      <w:r w:rsidRPr="00E25884">
        <w:rPr>
          <w:rFonts w:ascii="Verdana" w:hAnsi="Verdana"/>
          <w:sz w:val="20"/>
          <w:szCs w:val="20"/>
        </w:rPr>
        <w:t xml:space="preserve">La </w:t>
      </w:r>
      <w:r w:rsidRPr="00E25884">
        <w:rPr>
          <w:rFonts w:ascii="Verdana" w:hAnsi="Verdana"/>
          <w:b/>
          <w:i/>
          <w:sz w:val="20"/>
          <w:szCs w:val="20"/>
        </w:rPr>
        <w:t>Comisión</w:t>
      </w:r>
      <w:r w:rsidRPr="00E25884">
        <w:rPr>
          <w:rFonts w:ascii="Verdana" w:hAnsi="Verdana"/>
          <w:sz w:val="20"/>
          <w:szCs w:val="20"/>
        </w:rPr>
        <w:t xml:space="preserve"> consideró que la prisión preventiva fue impuesta de manera arbitraria en contra del señor Hernández y que violentó el princ</w:t>
      </w:r>
      <w:r w:rsidR="009F1ED9">
        <w:rPr>
          <w:rFonts w:ascii="Verdana" w:hAnsi="Verdana"/>
          <w:sz w:val="20"/>
          <w:szCs w:val="20"/>
        </w:rPr>
        <w:t xml:space="preserve">ipio de presunción de inocencia. </w:t>
      </w:r>
      <w:r w:rsidRPr="00E25884">
        <w:rPr>
          <w:rFonts w:ascii="Verdana" w:hAnsi="Verdana"/>
          <w:sz w:val="20"/>
          <w:szCs w:val="20"/>
        </w:rPr>
        <w:t xml:space="preserve">Adicionalmente, la Comisión observó que el señor Hernández estuvo privado de su libertad durante un año y seis meses en una comisaría policial, que no es un lugar adecuado para asegurar la posición del Estado </w:t>
      </w:r>
      <w:r w:rsidRPr="00E25884">
        <w:rPr>
          <w:rFonts w:ascii="Verdana" w:hAnsi="Verdana"/>
          <w:sz w:val="20"/>
          <w:szCs w:val="20"/>
        </w:rPr>
        <w:lastRenderedPageBreak/>
        <w:t>como garante. En consecuencia, la Comisión concluyó que se violó el derecho a la libertad personal y a la presunción de inocencia en los términos de los artículos 7.1, 7.3 y 8.2 de la Convención Americana en relación con el artículo 1.1 del mismo instrumento.</w:t>
      </w:r>
    </w:p>
    <w:p w14:paraId="4E37C37F" w14:textId="77777777" w:rsidR="00C97BC1" w:rsidRPr="00E25884" w:rsidRDefault="00C97BC1" w:rsidP="00C97BC1">
      <w:pPr>
        <w:widowControl w:val="0"/>
        <w:tabs>
          <w:tab w:val="left" w:pos="567"/>
        </w:tabs>
        <w:adjustRightInd w:val="0"/>
        <w:spacing w:after="0" w:line="240" w:lineRule="auto"/>
        <w:jc w:val="both"/>
        <w:textAlignment w:val="baseline"/>
        <w:rPr>
          <w:rFonts w:ascii="Verdana" w:hAnsi="Verdana"/>
          <w:sz w:val="20"/>
          <w:szCs w:val="20"/>
        </w:rPr>
      </w:pPr>
    </w:p>
    <w:p w14:paraId="4C53CAF5" w14:textId="21C37C03" w:rsidR="005F02C0" w:rsidRPr="00C97BC1" w:rsidRDefault="005F02C0"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sz w:val="20"/>
          <w:szCs w:val="20"/>
        </w:rPr>
      </w:pPr>
      <w:r w:rsidRPr="00E25884">
        <w:rPr>
          <w:rFonts w:ascii="Verdana" w:hAnsi="Verdana"/>
          <w:sz w:val="20"/>
          <w:szCs w:val="20"/>
        </w:rPr>
        <w:t xml:space="preserve">Los </w:t>
      </w:r>
      <w:r w:rsidRPr="00E25884">
        <w:rPr>
          <w:rFonts w:ascii="Verdana" w:hAnsi="Verdana"/>
          <w:b/>
          <w:i/>
          <w:sz w:val="20"/>
          <w:szCs w:val="20"/>
        </w:rPr>
        <w:t>representantes</w:t>
      </w:r>
      <w:r w:rsidRPr="00E25884">
        <w:rPr>
          <w:rFonts w:ascii="Verdana" w:hAnsi="Verdana"/>
          <w:sz w:val="20"/>
          <w:szCs w:val="20"/>
        </w:rPr>
        <w:t xml:space="preserve"> señalaron que el señor Hernández fue detenido arbitraria y discriminatoriamente por la presunta comisión de un delito contra la propiedad, a pesar de que no estaban dadas las</w:t>
      </w:r>
      <w:r w:rsidR="0087742A">
        <w:rPr>
          <w:rFonts w:ascii="Verdana" w:hAnsi="Verdana"/>
          <w:sz w:val="20"/>
          <w:szCs w:val="20"/>
        </w:rPr>
        <w:t xml:space="preserve"> condiciones para dejarlo preso</w:t>
      </w:r>
      <w:r w:rsidRPr="00E25884">
        <w:rPr>
          <w:rFonts w:ascii="Verdana" w:hAnsi="Verdana"/>
          <w:sz w:val="20"/>
          <w:szCs w:val="20"/>
        </w:rPr>
        <w:t xml:space="preserve">. Sobre el alegado peligro de fuga, los representantes manifestaron que se trató de una afirmación policial cuyo único respaldo fue un acta policial. Además, alegaron </w:t>
      </w:r>
      <w:proofErr w:type="gramStart"/>
      <w:r w:rsidRPr="00E25884">
        <w:rPr>
          <w:rFonts w:ascii="Verdana" w:hAnsi="Verdana"/>
          <w:sz w:val="20"/>
          <w:szCs w:val="20"/>
        </w:rPr>
        <w:t>que</w:t>
      </w:r>
      <w:proofErr w:type="gramEnd"/>
      <w:r w:rsidRPr="00E25884">
        <w:rPr>
          <w:rFonts w:ascii="Verdana" w:hAnsi="Verdana"/>
          <w:sz w:val="20"/>
          <w:szCs w:val="20"/>
        </w:rPr>
        <w:t xml:space="preserve"> si el señor Hernández hubiese intentado darse a la fuga, no es posible atribuirse ninguna responsabilidad por ello, ya que la fuga es un acto natural y espontáneo, de la más esencial supervivencia de un ser humano. Por otra parte, señalaron que se desestimó el pedido de excarcelación efectuado por su defensor técnico y se le dictó la prisión preventiva efectiva, de modo que fue alojado en la Comisaría donde fue detenido, sin ponderar las condiciones de detenci</w:t>
      </w:r>
      <w:r w:rsidR="0087742A">
        <w:rPr>
          <w:rFonts w:ascii="Verdana" w:hAnsi="Verdana"/>
          <w:sz w:val="20"/>
          <w:szCs w:val="20"/>
        </w:rPr>
        <w:t>ón denigrantes en dichas celdas</w:t>
      </w:r>
      <w:r w:rsidRPr="00E25884">
        <w:rPr>
          <w:rFonts w:ascii="Verdana" w:hAnsi="Verdana"/>
          <w:sz w:val="20"/>
          <w:szCs w:val="20"/>
        </w:rPr>
        <w:t>. Adicionalmente, sostuvieron que la grave enfermedad que sufrió el señor Hernández demostraba que no existía un peligro de fuga, por lo que debió autorizarse la excarcelación extraordinaria cuando fue solicitada en aplicación d</w:t>
      </w:r>
      <w:r w:rsidR="0087742A">
        <w:rPr>
          <w:rFonts w:ascii="Verdana" w:hAnsi="Verdana"/>
          <w:sz w:val="20"/>
          <w:szCs w:val="20"/>
        </w:rPr>
        <w:t>el artículo 2° de la Ley 10.933</w:t>
      </w:r>
      <w:r w:rsidRPr="0087742A">
        <w:rPr>
          <w:rFonts w:ascii="Verdana" w:hAnsi="Verdana"/>
          <w:sz w:val="20"/>
          <w:szCs w:val="20"/>
        </w:rPr>
        <w:t>.</w:t>
      </w:r>
    </w:p>
    <w:p w14:paraId="459E0174" w14:textId="77777777" w:rsidR="00C97BC1" w:rsidRPr="00E25884" w:rsidRDefault="00C97BC1" w:rsidP="00C97BC1">
      <w:pPr>
        <w:widowControl w:val="0"/>
        <w:tabs>
          <w:tab w:val="left" w:pos="567"/>
        </w:tabs>
        <w:adjustRightInd w:val="0"/>
        <w:spacing w:after="0" w:line="240" w:lineRule="auto"/>
        <w:jc w:val="both"/>
        <w:textAlignment w:val="baseline"/>
        <w:rPr>
          <w:rFonts w:ascii="Verdana" w:hAnsi="Verdana"/>
          <w:sz w:val="20"/>
          <w:szCs w:val="20"/>
        </w:rPr>
      </w:pPr>
    </w:p>
    <w:p w14:paraId="59AAA0EC" w14:textId="3EEBAC58" w:rsidR="005F02C0" w:rsidRDefault="005F02C0"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sz w:val="20"/>
          <w:szCs w:val="20"/>
        </w:rPr>
      </w:pPr>
      <w:r w:rsidRPr="00E25884">
        <w:rPr>
          <w:rFonts w:ascii="Verdana" w:hAnsi="Verdana"/>
          <w:sz w:val="20"/>
          <w:szCs w:val="20"/>
        </w:rPr>
        <w:t xml:space="preserve">El </w:t>
      </w:r>
      <w:r w:rsidRPr="00E25884">
        <w:rPr>
          <w:rFonts w:ascii="Verdana" w:hAnsi="Verdana"/>
          <w:b/>
          <w:i/>
          <w:sz w:val="20"/>
          <w:szCs w:val="20"/>
        </w:rPr>
        <w:t>Estado</w:t>
      </w:r>
      <w:r w:rsidRPr="00E25884">
        <w:rPr>
          <w:rFonts w:ascii="Verdana" w:hAnsi="Verdana"/>
          <w:sz w:val="20"/>
          <w:szCs w:val="20"/>
        </w:rPr>
        <w:t xml:space="preserve"> alegó que el Juez de la Causa ordenó la prisión preventiva del señor Hernández tomando en cuenta indicios razonables que vincularon al denunciado, lo cual es una condición necesaria para ordenar la medida cautelar no punitiva. El Estado sostuvo que el juez examinó los diferentes elementos probatorios reunidos, lo cual le permitió concluir la existencia de indicios</w:t>
      </w:r>
      <w:r w:rsidR="0087742A">
        <w:rPr>
          <w:rFonts w:ascii="Verdana" w:hAnsi="Verdana"/>
          <w:sz w:val="20"/>
          <w:szCs w:val="20"/>
        </w:rPr>
        <w:t xml:space="preserve"> suficientes de responsabilidad</w:t>
      </w:r>
      <w:r w:rsidRPr="00E25884">
        <w:rPr>
          <w:rFonts w:ascii="Verdana" w:hAnsi="Verdana"/>
          <w:sz w:val="20"/>
          <w:szCs w:val="20"/>
        </w:rPr>
        <w:t>. Asimismo, sostuvo que el juez tuvo en cuenta la posibilidad de que el imputado pudiera emprender la fuga, utilizando como prueba para ello que el imputado había tratado de fugarse cuando fue detenido. Adicionalmente, el Estado alegó que la prisión preventiva fue dispuesta con arreglo a las normas procedimentales vigentes en la época, es decir 30 años atrás, de forma que el Juez de la Causa valoró adecuadamente los riesgos procesales previstos en la época. En consecuencia, alegó que el Estado no es responsable por la violación del derecho a la libertad personal y a la presunción de inocencia en perjuicio del señor Hernández.</w:t>
      </w:r>
    </w:p>
    <w:p w14:paraId="01EC5927" w14:textId="77777777" w:rsidR="00C97BC1" w:rsidRPr="00E25884" w:rsidRDefault="00C97BC1" w:rsidP="00C97BC1">
      <w:pPr>
        <w:widowControl w:val="0"/>
        <w:tabs>
          <w:tab w:val="left" w:pos="567"/>
        </w:tabs>
        <w:adjustRightInd w:val="0"/>
        <w:spacing w:after="0" w:line="240" w:lineRule="auto"/>
        <w:jc w:val="both"/>
        <w:textAlignment w:val="baseline"/>
        <w:rPr>
          <w:rFonts w:ascii="Verdana" w:hAnsi="Verdana"/>
          <w:sz w:val="20"/>
          <w:szCs w:val="20"/>
        </w:rPr>
      </w:pPr>
    </w:p>
    <w:p w14:paraId="6324D15B" w14:textId="77777777" w:rsidR="005F02C0" w:rsidRDefault="005F02C0" w:rsidP="00CB2656">
      <w:pPr>
        <w:pStyle w:val="Prrafodelista"/>
        <w:numPr>
          <w:ilvl w:val="0"/>
          <w:numId w:val="20"/>
        </w:numPr>
        <w:spacing w:after="0" w:line="240" w:lineRule="auto"/>
        <w:jc w:val="both"/>
        <w:outlineLvl w:val="2"/>
        <w:rPr>
          <w:rFonts w:ascii="Verdana" w:hAnsi="Verdana"/>
          <w:b/>
          <w:i/>
          <w:sz w:val="20"/>
          <w:szCs w:val="20"/>
        </w:rPr>
      </w:pPr>
      <w:bookmarkStart w:id="69" w:name="_Toc27509177"/>
      <w:r w:rsidRPr="00E25884">
        <w:rPr>
          <w:rFonts w:ascii="Verdana" w:hAnsi="Verdana"/>
          <w:b/>
          <w:i/>
          <w:sz w:val="20"/>
          <w:szCs w:val="20"/>
        </w:rPr>
        <w:t>Consideraciones de la Corte</w:t>
      </w:r>
      <w:bookmarkEnd w:id="69"/>
    </w:p>
    <w:p w14:paraId="16808600" w14:textId="77777777" w:rsidR="00C97BC1" w:rsidRPr="00E25884" w:rsidRDefault="00C97BC1" w:rsidP="00C97BC1">
      <w:pPr>
        <w:pStyle w:val="Prrafodelista"/>
        <w:spacing w:after="0" w:line="240" w:lineRule="auto"/>
        <w:jc w:val="both"/>
        <w:outlineLvl w:val="2"/>
        <w:rPr>
          <w:rFonts w:ascii="Verdana" w:hAnsi="Verdana"/>
          <w:b/>
          <w:i/>
          <w:sz w:val="20"/>
          <w:szCs w:val="20"/>
        </w:rPr>
      </w:pPr>
    </w:p>
    <w:p w14:paraId="00A1F95D" w14:textId="77777777" w:rsidR="00950B75" w:rsidRDefault="00950B75" w:rsidP="00950B75">
      <w:pPr>
        <w:numPr>
          <w:ilvl w:val="0"/>
          <w:numId w:val="12"/>
        </w:numPr>
        <w:spacing w:after="0" w:line="240" w:lineRule="auto"/>
        <w:ind w:left="0" w:firstLine="0"/>
        <w:jc w:val="both"/>
        <w:rPr>
          <w:rFonts w:ascii="Verdana" w:hAnsi="Verdana"/>
          <w:sz w:val="20"/>
          <w:szCs w:val="20"/>
        </w:rPr>
      </w:pPr>
      <w:r w:rsidRPr="00950B75">
        <w:rPr>
          <w:rFonts w:ascii="Verdana" w:hAnsi="Verdana"/>
          <w:sz w:val="20"/>
          <w:szCs w:val="20"/>
        </w:rPr>
        <w:t xml:space="preserve">La Corte ha sostenido que el contenido esencial del artículo 7 de la Convención Americana es la protección de la libertad del individuo contra toda interferencia arbitraria o ilegal del </w:t>
      </w:r>
      <w:r w:rsidRPr="00950B75">
        <w:rPr>
          <w:rFonts w:ascii="Verdana" w:hAnsi="Verdana"/>
          <w:sz w:val="20"/>
          <w:szCs w:val="20"/>
          <w:lang w:val="es-CO"/>
        </w:rPr>
        <w:t>Estado</w:t>
      </w:r>
      <w:r w:rsidRPr="00950B75">
        <w:rPr>
          <w:rStyle w:val="Refdenotaalpie"/>
          <w:rFonts w:ascii="Verdana" w:hAnsi="Verdana"/>
          <w:sz w:val="20"/>
          <w:szCs w:val="20"/>
        </w:rPr>
        <w:footnoteReference w:id="162"/>
      </w:r>
      <w:r w:rsidRPr="00950B75">
        <w:rPr>
          <w:rFonts w:ascii="Verdana" w:hAnsi="Verdana"/>
          <w:sz w:val="20"/>
          <w:szCs w:val="20"/>
        </w:rPr>
        <w:t>. Ha afirmado que este artículo tiene dos tipos de regulaciones bien diferenciadas entre sí, una general y otra específica. La general se encuentra en el primer numeral: “[t]oda persona tiene el derecho a la libertad y a la seguridad personales”. Mientras que la específica está compuesta por una serie de garantías que protegen el derecho a no ser privado de la libertad ilegalmente (artículo 7.2) o arbitrariamente (artículo 7.3), a conocer las razones de la detención y los cargos formulados en contra del detenido (artículo 7.4), al control judicial de la privación de la libertad (artículo 7.5) y a impugnar la legalidad de la detención (artículo 7.6)</w:t>
      </w:r>
      <w:r w:rsidRPr="00950B75">
        <w:rPr>
          <w:rStyle w:val="Refdenotaalpie"/>
          <w:rFonts w:ascii="Verdana" w:hAnsi="Verdana"/>
          <w:sz w:val="20"/>
          <w:szCs w:val="20"/>
        </w:rPr>
        <w:footnoteReference w:id="163"/>
      </w:r>
      <w:r w:rsidRPr="00950B75">
        <w:rPr>
          <w:rFonts w:ascii="Verdana" w:hAnsi="Verdana"/>
          <w:sz w:val="20"/>
          <w:szCs w:val="20"/>
        </w:rPr>
        <w:t>. Así cualquier violación de los numerales 2 al 7 del artículo 7 de la Convención acarreará necesariamente la violación del artículo 7.1 de la misma.</w:t>
      </w:r>
    </w:p>
    <w:p w14:paraId="66DAA5A9" w14:textId="77777777" w:rsidR="00950B75" w:rsidRPr="00950B75" w:rsidRDefault="00950B75" w:rsidP="005723DC">
      <w:pPr>
        <w:spacing w:after="0" w:line="240" w:lineRule="auto"/>
        <w:jc w:val="both"/>
        <w:rPr>
          <w:rFonts w:ascii="Verdana" w:hAnsi="Verdana"/>
          <w:sz w:val="20"/>
          <w:szCs w:val="20"/>
        </w:rPr>
      </w:pPr>
    </w:p>
    <w:p w14:paraId="1F8E3572" w14:textId="372CE616" w:rsidR="001067EF" w:rsidRPr="001067EF" w:rsidRDefault="00950B75" w:rsidP="005723DC">
      <w:pPr>
        <w:numPr>
          <w:ilvl w:val="0"/>
          <w:numId w:val="12"/>
        </w:numPr>
        <w:spacing w:after="0" w:line="240" w:lineRule="auto"/>
        <w:ind w:left="0" w:firstLine="0"/>
        <w:jc w:val="both"/>
        <w:rPr>
          <w:rFonts w:ascii="Verdana" w:hAnsi="Verdana"/>
          <w:sz w:val="20"/>
          <w:szCs w:val="20"/>
        </w:rPr>
      </w:pPr>
      <w:r w:rsidRPr="001067EF">
        <w:rPr>
          <w:rFonts w:ascii="Verdana" w:hAnsi="Verdana"/>
          <w:sz w:val="20"/>
          <w:szCs w:val="20"/>
        </w:rPr>
        <w:t xml:space="preserve">El artículo 7.2 de la Convención establece que “nadie puede ser privado de su libertad física, salvo por las causas y en las condiciones fijadas de antemano por las Constituciones Políticas de los Estados Partes o por las leyes dictadas conforme a ellas”. Este numeral reconoce la garantía primaria del derecho a la libertad física: la reserva de ley, según la cual, únicamente a través de </w:t>
      </w:r>
      <w:r w:rsidRPr="001067EF">
        <w:rPr>
          <w:rFonts w:ascii="Verdana" w:hAnsi="Verdana"/>
          <w:sz w:val="20"/>
          <w:szCs w:val="20"/>
        </w:rPr>
        <w:lastRenderedPageBreak/>
        <w:t>una ley puede afectarse el derecho a la libertad personal</w:t>
      </w:r>
      <w:r w:rsidRPr="00950B75">
        <w:rPr>
          <w:rStyle w:val="Refdenotaalpie"/>
          <w:rFonts w:ascii="Verdana" w:hAnsi="Verdana"/>
          <w:sz w:val="20"/>
          <w:szCs w:val="20"/>
        </w:rPr>
        <w:footnoteReference w:id="164"/>
      </w:r>
      <w:r w:rsidRPr="001067EF">
        <w:rPr>
          <w:rFonts w:ascii="Verdana" w:hAnsi="Verdana"/>
          <w:sz w:val="20"/>
          <w:szCs w:val="20"/>
        </w:rPr>
        <w:t>. La reserva de ley debe forzosamente ir acompañada del principio de tipicidad, que obliga a los Estados a establecer, tan concretamente como sea posible y “de antemano”, las “causas” y “condiciones” de la privación de la libertad física. Adicionalmente exige su aplicación con estricta sujeción a los procedimientos objetivamente definidos en la ley</w:t>
      </w:r>
      <w:r w:rsidRPr="00950B75">
        <w:rPr>
          <w:rStyle w:val="Refdenotaalpie"/>
          <w:rFonts w:ascii="Verdana" w:hAnsi="Verdana"/>
          <w:sz w:val="20"/>
          <w:szCs w:val="20"/>
        </w:rPr>
        <w:footnoteReference w:id="165"/>
      </w:r>
      <w:r w:rsidRPr="001067EF">
        <w:rPr>
          <w:rFonts w:ascii="Verdana" w:hAnsi="Verdana"/>
          <w:sz w:val="20"/>
          <w:szCs w:val="20"/>
        </w:rPr>
        <w:t>. De ese modo, el artículo 7.2 de la Convención remite automáticamente a la normativa interna. Cualquier requisito establecido en la ley nacional que no sea cumplido al privar a una persona de su libertad, generará que tal privación sea ilegal y contraria a la Convención Americana</w:t>
      </w:r>
      <w:r w:rsidRPr="00950B75">
        <w:rPr>
          <w:rStyle w:val="Refdenotaalpie"/>
          <w:rFonts w:ascii="Verdana" w:hAnsi="Verdana"/>
          <w:sz w:val="20"/>
          <w:szCs w:val="20"/>
        </w:rPr>
        <w:footnoteReference w:id="166"/>
      </w:r>
      <w:r w:rsidRPr="001067EF">
        <w:rPr>
          <w:rFonts w:ascii="Verdana" w:hAnsi="Verdana"/>
          <w:sz w:val="20"/>
          <w:szCs w:val="20"/>
        </w:rPr>
        <w:t>.</w:t>
      </w:r>
    </w:p>
    <w:p w14:paraId="3B79ABB5" w14:textId="77777777" w:rsidR="001067EF" w:rsidRDefault="001067EF" w:rsidP="005723DC">
      <w:pPr>
        <w:pStyle w:val="Prrafodelista"/>
        <w:spacing w:after="0" w:line="240" w:lineRule="auto"/>
        <w:rPr>
          <w:rFonts w:ascii="Verdana" w:hAnsi="Verdana"/>
          <w:sz w:val="20"/>
          <w:szCs w:val="20"/>
          <w:highlight w:val="red"/>
        </w:rPr>
      </w:pPr>
    </w:p>
    <w:p w14:paraId="5CC70780" w14:textId="77777777" w:rsidR="001067EF" w:rsidRPr="001067EF" w:rsidRDefault="001067EF" w:rsidP="005723DC">
      <w:pPr>
        <w:numPr>
          <w:ilvl w:val="0"/>
          <w:numId w:val="12"/>
        </w:numPr>
        <w:spacing w:after="0" w:line="240" w:lineRule="auto"/>
        <w:ind w:left="0" w:firstLine="0"/>
        <w:jc w:val="both"/>
        <w:rPr>
          <w:rFonts w:ascii="Verdana" w:hAnsi="Verdana"/>
          <w:sz w:val="20"/>
          <w:szCs w:val="20"/>
        </w:rPr>
      </w:pPr>
      <w:r w:rsidRPr="001067EF">
        <w:rPr>
          <w:rFonts w:ascii="Verdana" w:hAnsi="Verdana"/>
          <w:sz w:val="20"/>
          <w:szCs w:val="20"/>
        </w:rPr>
        <w:t>Sobre la arbitrariedad referida en el artículo 7.3 de la Convención, la Corte ha establecido que nadie puede ser sometido a detención o encarcelamiento por causas y métodos que -aun calificados de legales- puedan reputarse como incompatibles con el respeto a los derechos fundamentales del individuo por ser, entre otras cosas, irrazonables, imprevisibles o faltos de proporcionalidad</w:t>
      </w:r>
      <w:r w:rsidRPr="001067EF">
        <w:rPr>
          <w:rStyle w:val="Refdenotaalpie"/>
          <w:rFonts w:ascii="Verdana" w:hAnsi="Verdana"/>
          <w:sz w:val="20"/>
          <w:szCs w:val="20"/>
        </w:rPr>
        <w:footnoteReference w:id="167"/>
      </w:r>
      <w:r w:rsidRPr="001067EF">
        <w:rPr>
          <w:rFonts w:ascii="Verdana" w:hAnsi="Verdana"/>
          <w:sz w:val="20"/>
          <w:szCs w:val="20"/>
        </w:rPr>
        <w:t>. El Tribunal consideró que se requiere que la ley interna, el procedimiento aplicable y los principios generales expresos o tácitos correspondientes sean, en sí mismos, compatibles con la Convención. Así, no se debe equiparar el concepto de “arbitrariedad” con el de “contrario a ley”, sino que debe interpretarse de manera más amplia a fin de incluir elementos de incorrección, injusticia e imprevisibilidad</w:t>
      </w:r>
      <w:r w:rsidRPr="001067EF">
        <w:rPr>
          <w:rStyle w:val="Refdenotaalpie"/>
          <w:rFonts w:ascii="Verdana" w:hAnsi="Verdana"/>
          <w:sz w:val="20"/>
          <w:szCs w:val="20"/>
        </w:rPr>
        <w:footnoteReference w:id="168"/>
      </w:r>
      <w:r w:rsidRPr="001067EF">
        <w:rPr>
          <w:rFonts w:ascii="Verdana" w:hAnsi="Verdana"/>
          <w:sz w:val="20"/>
          <w:szCs w:val="20"/>
        </w:rPr>
        <w:t xml:space="preserve">. </w:t>
      </w:r>
    </w:p>
    <w:p w14:paraId="0CF0EF43" w14:textId="77777777" w:rsidR="001067EF" w:rsidRPr="001067EF" w:rsidRDefault="001067EF" w:rsidP="005723DC">
      <w:pPr>
        <w:pStyle w:val="Prrafodelista"/>
        <w:spacing w:after="0" w:line="240" w:lineRule="auto"/>
        <w:rPr>
          <w:rFonts w:ascii="Verdana" w:hAnsi="Verdana"/>
          <w:sz w:val="20"/>
          <w:szCs w:val="20"/>
        </w:rPr>
      </w:pPr>
    </w:p>
    <w:p w14:paraId="4A33C546" w14:textId="77777777" w:rsidR="001067EF" w:rsidRDefault="001067EF" w:rsidP="005723DC">
      <w:pPr>
        <w:numPr>
          <w:ilvl w:val="0"/>
          <w:numId w:val="12"/>
        </w:numPr>
        <w:spacing w:after="0" w:line="240" w:lineRule="auto"/>
        <w:ind w:left="0" w:firstLine="0"/>
        <w:jc w:val="both"/>
        <w:rPr>
          <w:rFonts w:ascii="Verdana" w:hAnsi="Verdana"/>
          <w:sz w:val="20"/>
          <w:szCs w:val="20"/>
        </w:rPr>
      </w:pPr>
      <w:r w:rsidRPr="001067EF">
        <w:rPr>
          <w:rFonts w:ascii="Verdana" w:hAnsi="Verdana"/>
          <w:sz w:val="20"/>
          <w:szCs w:val="20"/>
        </w:rPr>
        <w:t>La Corte ha considerado que para que una medida cautelar restrictiva de la libertad</w:t>
      </w:r>
      <w:r>
        <w:rPr>
          <w:rFonts w:ascii="Verdana" w:hAnsi="Verdana"/>
          <w:sz w:val="20"/>
          <w:szCs w:val="20"/>
        </w:rPr>
        <w:t xml:space="preserve"> no sea arbitraria es necesario: a</w:t>
      </w:r>
      <w:r w:rsidRPr="001067EF">
        <w:rPr>
          <w:rFonts w:ascii="Verdana" w:hAnsi="Verdana"/>
          <w:sz w:val="20"/>
          <w:szCs w:val="20"/>
        </w:rPr>
        <w:t xml:space="preserve">) que se presenten presupuestos materiales relacionados con la existencia de un hecho ilícito y con la vinculación de la persona procesada a ese hecho, </w:t>
      </w:r>
      <w:r>
        <w:rPr>
          <w:rFonts w:ascii="Verdana" w:hAnsi="Verdana"/>
          <w:sz w:val="20"/>
          <w:szCs w:val="20"/>
        </w:rPr>
        <w:t>b</w:t>
      </w:r>
      <w:r w:rsidRPr="001067EF">
        <w:rPr>
          <w:rFonts w:ascii="Verdana" w:hAnsi="Verdana"/>
          <w:sz w:val="20"/>
          <w:szCs w:val="20"/>
        </w:rPr>
        <w:t>) que esas medidas cumplan con los cuatro elementos del “test de proporcionalidad”, es decir con la finalidad de la medida que debe ser legítima (compatible con la Convención Americana)</w:t>
      </w:r>
      <w:r w:rsidRPr="001067EF">
        <w:rPr>
          <w:rStyle w:val="Refdenotaalpie"/>
          <w:rFonts w:ascii="Verdana" w:hAnsi="Verdana"/>
          <w:sz w:val="20"/>
          <w:szCs w:val="20"/>
        </w:rPr>
        <w:footnoteReference w:id="169"/>
      </w:r>
      <w:r w:rsidRPr="001067EF">
        <w:rPr>
          <w:rFonts w:ascii="Verdana" w:hAnsi="Verdana"/>
          <w:sz w:val="20"/>
          <w:szCs w:val="20"/>
        </w:rPr>
        <w:t>, idónea para cumplir con el fin que se persigue, necesaria y estrictamente proporcional</w:t>
      </w:r>
      <w:r w:rsidRPr="001067EF">
        <w:rPr>
          <w:rStyle w:val="Refdenotaalpie"/>
          <w:rFonts w:ascii="Verdana" w:hAnsi="Verdana"/>
          <w:sz w:val="20"/>
          <w:szCs w:val="20"/>
        </w:rPr>
        <w:footnoteReference w:id="170"/>
      </w:r>
      <w:r w:rsidRPr="001067EF">
        <w:rPr>
          <w:rFonts w:ascii="Verdana" w:hAnsi="Verdana"/>
          <w:sz w:val="20"/>
          <w:szCs w:val="20"/>
        </w:rPr>
        <w:t xml:space="preserve">, y </w:t>
      </w:r>
      <w:r>
        <w:rPr>
          <w:rFonts w:ascii="Verdana" w:hAnsi="Verdana"/>
          <w:sz w:val="20"/>
          <w:szCs w:val="20"/>
        </w:rPr>
        <w:t>c</w:t>
      </w:r>
      <w:r w:rsidRPr="001067EF">
        <w:rPr>
          <w:rFonts w:ascii="Verdana" w:hAnsi="Verdana"/>
          <w:sz w:val="20"/>
          <w:szCs w:val="20"/>
        </w:rPr>
        <w:t>) que la decisión que las impone contenga una motivación suficiente que permita evaluar si se ajusta a las condiciones señaladas</w:t>
      </w:r>
      <w:r w:rsidRPr="001067EF">
        <w:rPr>
          <w:rStyle w:val="Refdenotaalpie"/>
          <w:rFonts w:ascii="Verdana" w:hAnsi="Verdana"/>
          <w:sz w:val="20"/>
          <w:szCs w:val="20"/>
        </w:rPr>
        <w:footnoteReference w:id="171"/>
      </w:r>
      <w:r w:rsidRPr="001067EF">
        <w:rPr>
          <w:rFonts w:ascii="Verdana" w:hAnsi="Verdana"/>
          <w:sz w:val="20"/>
          <w:szCs w:val="20"/>
        </w:rPr>
        <w:t>.</w:t>
      </w:r>
    </w:p>
    <w:p w14:paraId="4F7ED855" w14:textId="77777777" w:rsidR="001067EF" w:rsidRDefault="001067EF" w:rsidP="005723DC">
      <w:pPr>
        <w:pStyle w:val="Prrafodelista"/>
        <w:spacing w:after="0" w:line="240" w:lineRule="auto"/>
        <w:rPr>
          <w:rFonts w:ascii="Verdana" w:hAnsi="Verdana"/>
          <w:sz w:val="20"/>
          <w:szCs w:val="20"/>
        </w:rPr>
      </w:pPr>
    </w:p>
    <w:p w14:paraId="776FD760" w14:textId="14468705" w:rsidR="005723DC" w:rsidRDefault="001067EF" w:rsidP="005723DC">
      <w:pPr>
        <w:numPr>
          <w:ilvl w:val="0"/>
          <w:numId w:val="12"/>
        </w:numPr>
        <w:spacing w:after="0" w:line="240" w:lineRule="auto"/>
        <w:ind w:left="0" w:firstLine="0"/>
        <w:jc w:val="both"/>
        <w:rPr>
          <w:rFonts w:ascii="Verdana" w:hAnsi="Verdana"/>
          <w:sz w:val="20"/>
          <w:szCs w:val="20"/>
        </w:rPr>
      </w:pPr>
      <w:r w:rsidRPr="001067EF">
        <w:rPr>
          <w:rFonts w:ascii="Verdana" w:hAnsi="Verdana"/>
          <w:sz w:val="20"/>
          <w:szCs w:val="20"/>
        </w:rPr>
        <w:t xml:space="preserve">Respecto del primer punto antes mencionado, </w:t>
      </w:r>
      <w:r w:rsidRPr="001067EF">
        <w:rPr>
          <w:rFonts w:ascii="Verdana" w:hAnsi="Verdana"/>
          <w:sz w:val="20"/>
          <w:szCs w:val="20"/>
          <w:lang w:val="es-ES"/>
        </w:rPr>
        <w:t xml:space="preserve">la Corte ha indicado que </w:t>
      </w:r>
      <w:r w:rsidRPr="001067EF">
        <w:rPr>
          <w:rFonts w:ascii="Verdana" w:hAnsi="Verdana"/>
          <w:sz w:val="20"/>
          <w:szCs w:val="20"/>
        </w:rPr>
        <w:t>para que se cumplan los requisitos para restringir el derecho a la libertad personal</w:t>
      </w:r>
      <w:r w:rsidRPr="001067EF">
        <w:rPr>
          <w:rFonts w:ascii="Verdana" w:hAnsi="Verdana"/>
          <w:sz w:val="20"/>
          <w:szCs w:val="20"/>
          <w:lang w:val="es-ES"/>
        </w:rPr>
        <w:t xml:space="preserve"> a través de una medida </w:t>
      </w:r>
      <w:r w:rsidRPr="001067EF">
        <w:rPr>
          <w:rFonts w:ascii="Verdana" w:hAnsi="Verdana"/>
          <w:sz w:val="20"/>
          <w:szCs w:val="20"/>
          <w:lang w:val="es-ES"/>
        </w:rPr>
        <w:lastRenderedPageBreak/>
        <w:t xml:space="preserve">cautelar como la prisión preventiva, deben existir </w:t>
      </w:r>
      <w:r w:rsidRPr="001067EF">
        <w:rPr>
          <w:rFonts w:ascii="Verdana" w:hAnsi="Verdana"/>
          <w:sz w:val="20"/>
          <w:szCs w:val="20"/>
        </w:rPr>
        <w:t>indicios suficientes que permitan suponer razonablemente que un hecho ilícito ocurrió y que la persona sometida al proceso pudo haber participado en ese ilícito</w:t>
      </w:r>
      <w:r w:rsidRPr="001067EF">
        <w:rPr>
          <w:rStyle w:val="Refdenotaalpie"/>
          <w:rFonts w:ascii="Verdana" w:hAnsi="Verdana"/>
          <w:sz w:val="20"/>
          <w:szCs w:val="20"/>
        </w:rPr>
        <w:footnoteReference w:id="172"/>
      </w:r>
      <w:r w:rsidRPr="001067EF">
        <w:rPr>
          <w:rFonts w:ascii="Verdana" w:hAnsi="Verdana"/>
          <w:sz w:val="20"/>
          <w:szCs w:val="20"/>
        </w:rPr>
        <w:t xml:space="preserve">. Es necesario enfatizar que este presupuesto no </w:t>
      </w:r>
      <w:r w:rsidRPr="001067EF">
        <w:rPr>
          <w:rFonts w:ascii="Verdana" w:hAnsi="Verdana"/>
          <w:sz w:val="20"/>
          <w:szCs w:val="20"/>
          <w:lang w:val="es-ES"/>
        </w:rPr>
        <w:t>constituye</w:t>
      </w:r>
      <w:r w:rsidRPr="001067EF">
        <w:rPr>
          <w:rFonts w:ascii="Verdana" w:hAnsi="Verdana"/>
          <w:sz w:val="20"/>
          <w:szCs w:val="20"/>
        </w:rPr>
        <w:t xml:space="preserve"> en sí mismo una finalidad legítima para aplicar una medida cautelar restrictiva a la libertad, ni tampoco es un elemento que sea susceptible de menoscabar el principio de presunción de inocencia contenido en el artículo 8.2 de la Convenció</w:t>
      </w:r>
      <w:r w:rsidR="005723DC">
        <w:rPr>
          <w:rFonts w:ascii="Verdana" w:hAnsi="Verdana"/>
          <w:sz w:val="20"/>
          <w:szCs w:val="20"/>
        </w:rPr>
        <w:t>n. Por el contrario</w:t>
      </w:r>
      <w:r w:rsidRPr="001067EF">
        <w:rPr>
          <w:rFonts w:ascii="Verdana" w:hAnsi="Verdana"/>
          <w:sz w:val="20"/>
          <w:szCs w:val="20"/>
        </w:rPr>
        <w:t>, se trata de un supuesto adicional a los otros requisitos relacionados con la finalidad legítima, la idoneidad, la necesidad y la proporcionalidad, y opera como una garantía suplementaria a la hora de proceder a la aplicación de una medida cautelar restrictiva de la libertad.</w:t>
      </w:r>
    </w:p>
    <w:p w14:paraId="02983C3C" w14:textId="77777777" w:rsidR="005723DC" w:rsidRDefault="005723DC" w:rsidP="005723DC">
      <w:pPr>
        <w:spacing w:after="0" w:line="240" w:lineRule="auto"/>
        <w:jc w:val="both"/>
        <w:rPr>
          <w:rFonts w:ascii="Verdana" w:hAnsi="Verdana"/>
          <w:sz w:val="20"/>
          <w:szCs w:val="20"/>
        </w:rPr>
      </w:pPr>
    </w:p>
    <w:p w14:paraId="2B8A1062" w14:textId="39EE45CD" w:rsidR="005723DC" w:rsidRPr="005723DC" w:rsidRDefault="001067EF" w:rsidP="005723DC">
      <w:pPr>
        <w:numPr>
          <w:ilvl w:val="0"/>
          <w:numId w:val="12"/>
        </w:numPr>
        <w:spacing w:after="0" w:line="240" w:lineRule="auto"/>
        <w:ind w:left="0" w:firstLine="0"/>
        <w:jc w:val="both"/>
        <w:rPr>
          <w:rFonts w:ascii="Verdana" w:hAnsi="Verdana"/>
          <w:sz w:val="20"/>
          <w:szCs w:val="20"/>
        </w:rPr>
      </w:pPr>
      <w:r w:rsidRPr="005723DC">
        <w:rPr>
          <w:rFonts w:ascii="Verdana" w:hAnsi="Verdana"/>
          <w:sz w:val="20"/>
          <w:szCs w:val="20"/>
        </w:rPr>
        <w:t>Lo anterior debe entenderse teniendo en cuenta que, en principio y en términos generales, esta decisión no debería tener ningún efecto frente a la decisión del juzgador respecto de la responsabilidad del procesado, dado que suele ser tomada por un juez o autoridad judicial diferente a la que finalmente toma la decisión sobre el fondo</w:t>
      </w:r>
      <w:r w:rsidRPr="001067EF">
        <w:rPr>
          <w:rStyle w:val="Refdenotaalpie"/>
          <w:rFonts w:ascii="Verdana" w:hAnsi="Verdana"/>
          <w:sz w:val="20"/>
          <w:szCs w:val="20"/>
        </w:rPr>
        <w:footnoteReference w:id="173"/>
      </w:r>
      <w:r w:rsidRPr="005723DC">
        <w:rPr>
          <w:rFonts w:ascii="Verdana" w:hAnsi="Verdana"/>
          <w:sz w:val="20"/>
          <w:szCs w:val="20"/>
        </w:rPr>
        <w:t>. Asimismo, en relación con esos presupuestos, la Corte ha considerado que la sospecha o los indicios suficientes que permitan suponer razonablemente que la persona sometida al proceso pudo haber participado en el ilícito que se investiga, deben estar fundados y expresados con base en hechos específicos, esto es, no en meras conjeturas o intuiciones abstractas. De allí se deduce que el Estado no debe detener para luego investigar, por el contrario, sólo está autorizado a privar de la libertad a una persona cuando alcance el conocimiento suficiente para poder llevarla a juicio</w:t>
      </w:r>
      <w:r w:rsidRPr="001067EF">
        <w:rPr>
          <w:rStyle w:val="Refdenotaalpie"/>
          <w:rFonts w:ascii="Verdana" w:hAnsi="Verdana"/>
          <w:sz w:val="20"/>
          <w:szCs w:val="20"/>
          <w:lang w:val="es-ES"/>
        </w:rPr>
        <w:footnoteReference w:id="174"/>
      </w:r>
      <w:r w:rsidRPr="005723DC">
        <w:rPr>
          <w:rFonts w:ascii="Verdana" w:hAnsi="Verdana"/>
          <w:sz w:val="20"/>
          <w:szCs w:val="20"/>
          <w:lang w:val="es-ES"/>
        </w:rPr>
        <w:t xml:space="preserve">. </w:t>
      </w:r>
    </w:p>
    <w:p w14:paraId="7D063340" w14:textId="77777777" w:rsidR="005723DC" w:rsidRDefault="005723DC" w:rsidP="005723DC">
      <w:pPr>
        <w:spacing w:after="0" w:line="240" w:lineRule="auto"/>
        <w:jc w:val="both"/>
        <w:rPr>
          <w:rFonts w:ascii="Verdana" w:hAnsi="Verdana"/>
          <w:sz w:val="20"/>
          <w:szCs w:val="20"/>
        </w:rPr>
      </w:pPr>
    </w:p>
    <w:p w14:paraId="039C6D70" w14:textId="6DEA0749" w:rsidR="005723DC" w:rsidRDefault="001067EF" w:rsidP="005723DC">
      <w:pPr>
        <w:numPr>
          <w:ilvl w:val="0"/>
          <w:numId w:val="12"/>
        </w:numPr>
        <w:spacing w:after="0" w:line="240" w:lineRule="auto"/>
        <w:ind w:left="0" w:firstLine="0"/>
        <w:jc w:val="both"/>
        <w:rPr>
          <w:rFonts w:ascii="Verdana" w:hAnsi="Verdana"/>
          <w:sz w:val="20"/>
          <w:szCs w:val="20"/>
        </w:rPr>
      </w:pPr>
      <w:r w:rsidRPr="005723DC">
        <w:rPr>
          <w:rFonts w:ascii="Verdana" w:hAnsi="Verdana"/>
          <w:sz w:val="20"/>
          <w:szCs w:val="20"/>
          <w:lang w:eastAsia="es-ES"/>
        </w:rPr>
        <w:t>Respecto del segundo punto, la Corte ha afirmado que corresponde a la autoridad judicial desarrollar un juicio de proporcionalidad al momento de imponer una medida privativa de la libertad. L</w:t>
      </w:r>
      <w:r w:rsidRPr="005723DC">
        <w:rPr>
          <w:rFonts w:ascii="Verdana" w:hAnsi="Verdana"/>
          <w:sz w:val="20"/>
          <w:szCs w:val="20"/>
        </w:rPr>
        <w:t xml:space="preserve">a Corte ha considerado la detención preventiva como una medida </w:t>
      </w:r>
      <w:r w:rsidRPr="005723DC">
        <w:rPr>
          <w:rFonts w:ascii="Verdana" w:hAnsi="Verdana"/>
          <w:sz w:val="20"/>
          <w:szCs w:val="20"/>
          <w:lang w:val="es-ES"/>
        </w:rPr>
        <w:t>cautelar</w:t>
      </w:r>
      <w:r w:rsidRPr="005723DC">
        <w:rPr>
          <w:rFonts w:ascii="Verdana" w:hAnsi="Verdana"/>
          <w:sz w:val="20"/>
          <w:szCs w:val="20"/>
        </w:rPr>
        <w:t xml:space="preserve"> y no punitiva</w:t>
      </w:r>
      <w:r w:rsidRPr="001067EF">
        <w:rPr>
          <w:rStyle w:val="Refdenotaalpie"/>
          <w:rFonts w:ascii="Verdana" w:hAnsi="Verdana"/>
          <w:sz w:val="20"/>
          <w:szCs w:val="20"/>
        </w:rPr>
        <w:footnoteReference w:id="175"/>
      </w:r>
      <w:r w:rsidRPr="005723DC">
        <w:rPr>
          <w:rFonts w:ascii="Verdana" w:hAnsi="Verdana"/>
          <w:sz w:val="20"/>
          <w:szCs w:val="20"/>
        </w:rPr>
        <w:t>, que debe aplicarse excepcionalmente al ser la más severa que se puede imponer al procesado de un delito que goza del principio de presunción de inocencia</w:t>
      </w:r>
      <w:r w:rsidRPr="001067EF">
        <w:rPr>
          <w:rStyle w:val="Refdenotaalpie"/>
          <w:rFonts w:ascii="Verdana" w:hAnsi="Verdana"/>
          <w:sz w:val="20"/>
          <w:szCs w:val="20"/>
        </w:rPr>
        <w:footnoteReference w:id="176"/>
      </w:r>
      <w:r w:rsidRPr="005723DC">
        <w:rPr>
          <w:rFonts w:ascii="Verdana" w:hAnsi="Verdana"/>
          <w:sz w:val="20"/>
          <w:szCs w:val="20"/>
        </w:rPr>
        <w:t xml:space="preserve">. </w:t>
      </w:r>
      <w:r w:rsidRPr="005723DC">
        <w:rPr>
          <w:rFonts w:ascii="Verdana" w:hAnsi="Verdana"/>
          <w:sz w:val="20"/>
          <w:szCs w:val="20"/>
          <w:lang w:val="es-ES"/>
        </w:rPr>
        <w:t xml:space="preserve">A su vez, este Tribunal ha indicado en otros casos que </w:t>
      </w:r>
      <w:r w:rsidRPr="005723DC">
        <w:rPr>
          <w:rFonts w:ascii="Verdana" w:hAnsi="Verdana"/>
          <w:sz w:val="20"/>
          <w:szCs w:val="20"/>
        </w:rPr>
        <w:t>la privación de libertad de un imputado o de una persona procesada por un delito no puede residir en fines preventivo-generales o preventivo-especiales atribuibles a la pena</w:t>
      </w:r>
      <w:r w:rsidRPr="001067EF">
        <w:rPr>
          <w:rStyle w:val="Refdenotaalpie"/>
          <w:rFonts w:ascii="Verdana" w:hAnsi="Verdana"/>
          <w:sz w:val="20"/>
          <w:szCs w:val="20"/>
        </w:rPr>
        <w:footnoteReference w:id="177"/>
      </w:r>
      <w:r w:rsidRPr="005723DC">
        <w:rPr>
          <w:rFonts w:ascii="Verdana" w:hAnsi="Verdana"/>
          <w:sz w:val="20"/>
          <w:szCs w:val="20"/>
        </w:rPr>
        <w:t>. En consecuencia, ha indicado que la regla debe ser la libertad del procesado mientras se resuelve acerca de su responsabilidad penal</w:t>
      </w:r>
      <w:r w:rsidRPr="001067EF">
        <w:rPr>
          <w:rStyle w:val="Refdenotaalpie"/>
          <w:rFonts w:ascii="Verdana" w:hAnsi="Verdana"/>
          <w:sz w:val="20"/>
          <w:szCs w:val="20"/>
        </w:rPr>
        <w:footnoteReference w:id="178"/>
      </w:r>
      <w:r w:rsidR="00070585">
        <w:rPr>
          <w:rFonts w:ascii="Verdana" w:hAnsi="Verdana"/>
          <w:sz w:val="20"/>
          <w:szCs w:val="20"/>
        </w:rPr>
        <w:t>.</w:t>
      </w:r>
    </w:p>
    <w:p w14:paraId="0776B41D" w14:textId="77777777" w:rsidR="005723DC" w:rsidRDefault="005723DC" w:rsidP="005723DC">
      <w:pPr>
        <w:pStyle w:val="Prrafodelista"/>
        <w:spacing w:after="0" w:line="240" w:lineRule="auto"/>
        <w:rPr>
          <w:rFonts w:ascii="Verdana" w:hAnsi="Verdana"/>
          <w:sz w:val="20"/>
          <w:szCs w:val="20"/>
          <w:lang w:val="es-ES"/>
        </w:rPr>
      </w:pPr>
    </w:p>
    <w:p w14:paraId="02BE23A8" w14:textId="459E1C9C" w:rsidR="005723DC" w:rsidRDefault="005723DC" w:rsidP="005723DC">
      <w:pPr>
        <w:numPr>
          <w:ilvl w:val="0"/>
          <w:numId w:val="12"/>
        </w:numPr>
        <w:spacing w:after="0" w:line="240" w:lineRule="auto"/>
        <w:ind w:left="0" w:firstLine="0"/>
        <w:jc w:val="both"/>
        <w:rPr>
          <w:rFonts w:ascii="Verdana" w:hAnsi="Verdana"/>
          <w:sz w:val="20"/>
          <w:szCs w:val="20"/>
        </w:rPr>
      </w:pPr>
      <w:r>
        <w:rPr>
          <w:rFonts w:ascii="Verdana" w:hAnsi="Verdana"/>
          <w:sz w:val="20"/>
          <w:szCs w:val="20"/>
          <w:lang w:val="es-ES"/>
        </w:rPr>
        <w:t>En consideración a lo anterio</w:t>
      </w:r>
      <w:r w:rsidR="00070585">
        <w:rPr>
          <w:rFonts w:ascii="Verdana" w:hAnsi="Verdana"/>
          <w:sz w:val="20"/>
          <w:szCs w:val="20"/>
          <w:lang w:val="es-ES"/>
        </w:rPr>
        <w:t>r</w:t>
      </w:r>
      <w:r>
        <w:rPr>
          <w:rFonts w:ascii="Verdana" w:hAnsi="Verdana"/>
          <w:sz w:val="20"/>
          <w:szCs w:val="20"/>
          <w:lang w:val="es-ES"/>
        </w:rPr>
        <w:t>,</w:t>
      </w:r>
      <w:r w:rsidR="001067EF" w:rsidRPr="005723DC">
        <w:rPr>
          <w:rFonts w:ascii="Verdana" w:hAnsi="Verdana"/>
          <w:sz w:val="20"/>
          <w:szCs w:val="20"/>
          <w:lang w:val="es-ES"/>
        </w:rPr>
        <w:t xml:space="preserve"> corresponde a la autoridad judicial </w:t>
      </w:r>
      <w:r w:rsidR="001067EF" w:rsidRPr="005723DC">
        <w:rPr>
          <w:rFonts w:ascii="Verdana" w:hAnsi="Verdana"/>
          <w:sz w:val="20"/>
          <w:szCs w:val="20"/>
        </w:rPr>
        <w:t xml:space="preserve">imponer medidas de esta naturaleza únicamente cuando acredite que: a) </w:t>
      </w:r>
      <w:r w:rsidR="001067EF" w:rsidRPr="005723DC">
        <w:rPr>
          <w:rFonts w:ascii="Verdana" w:hAnsi="Verdana"/>
          <w:spacing w:val="-2"/>
          <w:sz w:val="20"/>
          <w:szCs w:val="20"/>
        </w:rPr>
        <w:t xml:space="preserve">la finalidad de las medidas que priven o restrinjan </w:t>
      </w:r>
      <w:r w:rsidR="001067EF" w:rsidRPr="005723DC">
        <w:rPr>
          <w:rFonts w:ascii="Verdana" w:hAnsi="Verdana"/>
          <w:spacing w:val="-2"/>
          <w:sz w:val="20"/>
          <w:szCs w:val="20"/>
        </w:rPr>
        <w:lastRenderedPageBreak/>
        <w:t>la libertad sea compatible con la Convención; b) que las medidas adoptadas sean las idóneas para cumplir con el fin perseguido;</w:t>
      </w:r>
      <w:r w:rsidR="001067EF" w:rsidRPr="005723DC">
        <w:rPr>
          <w:rFonts w:ascii="Verdana" w:hAnsi="Verdana"/>
          <w:sz w:val="20"/>
          <w:szCs w:val="20"/>
        </w:rPr>
        <w:t xml:space="preserve"> c) que sean necesarias, en el sentido de que sean absolutamente indispensables para conseguir el fin deseado y que no exista una medida menos gravosa respecto al derecho </w:t>
      </w:r>
      <w:r w:rsidR="001067EF" w:rsidRPr="005723DC">
        <w:rPr>
          <w:rFonts w:ascii="Verdana" w:hAnsi="Verdana"/>
          <w:sz w:val="20"/>
          <w:szCs w:val="20"/>
          <w:lang w:val="es-ES"/>
        </w:rPr>
        <w:t>intervenido</w:t>
      </w:r>
      <w:r w:rsidR="001067EF" w:rsidRPr="005723DC">
        <w:rPr>
          <w:rFonts w:ascii="Verdana" w:hAnsi="Verdana"/>
          <w:sz w:val="20"/>
          <w:szCs w:val="20"/>
        </w:rPr>
        <w:t xml:space="preserve"> entre todas aquellas que cuentan con la misma idoneidad para alcanzar el objetivo propuesto, y d) que resulten estrictamente proporcionales, de tal forma que el sacrificio inherente a la restricción del derecho a la libertad no resulte exagerado o desmedido frente a las ventajas que se obtienen mediante tal restricción y el cumplimiento de la finalidad perseguida</w:t>
      </w:r>
      <w:r w:rsidR="001067EF" w:rsidRPr="001067EF">
        <w:rPr>
          <w:rStyle w:val="Refdenotaalpie"/>
          <w:rFonts w:ascii="Verdana" w:hAnsi="Verdana"/>
          <w:sz w:val="20"/>
          <w:szCs w:val="20"/>
        </w:rPr>
        <w:footnoteReference w:id="179"/>
      </w:r>
      <w:r>
        <w:rPr>
          <w:rFonts w:ascii="Verdana" w:hAnsi="Verdana"/>
          <w:sz w:val="20"/>
          <w:szCs w:val="20"/>
        </w:rPr>
        <w:t>.</w:t>
      </w:r>
    </w:p>
    <w:p w14:paraId="65188778" w14:textId="77777777" w:rsidR="005723DC" w:rsidRDefault="005723DC" w:rsidP="005723DC">
      <w:pPr>
        <w:pStyle w:val="Prrafodelista"/>
        <w:spacing w:after="0" w:line="240" w:lineRule="auto"/>
        <w:rPr>
          <w:rFonts w:ascii="Verdana" w:hAnsi="Verdana"/>
          <w:sz w:val="20"/>
          <w:szCs w:val="20"/>
          <w:lang w:val="es-ES"/>
        </w:rPr>
      </w:pPr>
    </w:p>
    <w:p w14:paraId="4235821C" w14:textId="48CBC97A" w:rsidR="005723DC" w:rsidRPr="005723DC" w:rsidRDefault="001067EF" w:rsidP="005723DC">
      <w:pPr>
        <w:numPr>
          <w:ilvl w:val="0"/>
          <w:numId w:val="12"/>
        </w:numPr>
        <w:spacing w:after="0" w:line="240" w:lineRule="auto"/>
        <w:ind w:left="0" w:firstLine="0"/>
        <w:jc w:val="both"/>
        <w:rPr>
          <w:rFonts w:ascii="Verdana" w:hAnsi="Verdana"/>
          <w:sz w:val="20"/>
          <w:szCs w:val="20"/>
        </w:rPr>
      </w:pPr>
      <w:r w:rsidRPr="005723DC">
        <w:rPr>
          <w:rFonts w:ascii="Verdana" w:hAnsi="Verdana"/>
          <w:sz w:val="20"/>
          <w:szCs w:val="20"/>
          <w:lang w:val="es-ES"/>
        </w:rPr>
        <w:t xml:space="preserve">En lo que refiere al primer punto, el Tribunal interamericano ha indicado, que la medida solo se debe imponer </w:t>
      </w:r>
      <w:r w:rsidRPr="005723DC">
        <w:rPr>
          <w:rFonts w:ascii="Verdana" w:hAnsi="Verdana"/>
          <w:sz w:val="20"/>
          <w:szCs w:val="20"/>
          <w:lang w:val="es-CR"/>
        </w:rPr>
        <w:t>cuando</w:t>
      </w:r>
      <w:r w:rsidRPr="005723DC">
        <w:rPr>
          <w:rFonts w:ascii="Verdana" w:hAnsi="Verdana"/>
          <w:sz w:val="20"/>
          <w:szCs w:val="20"/>
          <w:lang w:val="es-ES"/>
        </w:rPr>
        <w:t xml:space="preserve"> sea necesaria para la </w:t>
      </w:r>
      <w:r w:rsidRPr="005723DC">
        <w:rPr>
          <w:rFonts w:ascii="Verdana" w:hAnsi="Verdana"/>
          <w:sz w:val="20"/>
          <w:szCs w:val="20"/>
        </w:rPr>
        <w:t>satisfacción</w:t>
      </w:r>
      <w:r w:rsidRPr="005723DC">
        <w:rPr>
          <w:rFonts w:ascii="Verdana" w:hAnsi="Verdana"/>
          <w:sz w:val="20"/>
          <w:szCs w:val="20"/>
          <w:lang w:val="es-ES"/>
        </w:rPr>
        <w:t xml:space="preserve"> de un fin legítimo, a saber: que el acusado no impedirá el desarrollo del procedimiento ni eludirá la acción de la justicia</w:t>
      </w:r>
      <w:r w:rsidRPr="001067EF">
        <w:rPr>
          <w:rStyle w:val="Refdenotaalpie"/>
          <w:rFonts w:ascii="Verdana" w:hAnsi="Verdana"/>
          <w:sz w:val="20"/>
          <w:szCs w:val="20"/>
          <w:lang w:val="es-ES"/>
        </w:rPr>
        <w:footnoteReference w:id="180"/>
      </w:r>
      <w:r w:rsidRPr="005723DC">
        <w:rPr>
          <w:rFonts w:ascii="Verdana" w:hAnsi="Verdana"/>
          <w:sz w:val="20"/>
          <w:szCs w:val="20"/>
          <w:lang w:val="es-ES"/>
        </w:rPr>
        <w:t xml:space="preserve">. </w:t>
      </w:r>
      <w:r w:rsidRPr="005723DC">
        <w:rPr>
          <w:rFonts w:ascii="Verdana" w:hAnsi="Verdana"/>
          <w:spacing w:val="-2"/>
          <w:sz w:val="20"/>
          <w:szCs w:val="20"/>
        </w:rPr>
        <w:t>Asimismo, ha destacado que el peligro procesal no se presume, sino que debe realizarse la verificación del mismo en cada caso, fundado en circunstancias objetivas y ciertas del caso concreto</w:t>
      </w:r>
      <w:r w:rsidRPr="001067EF">
        <w:rPr>
          <w:rStyle w:val="Refdenotaalpie"/>
          <w:rFonts w:ascii="Verdana" w:hAnsi="Verdana"/>
          <w:spacing w:val="-2"/>
          <w:sz w:val="20"/>
          <w:szCs w:val="20"/>
        </w:rPr>
        <w:footnoteReference w:id="181"/>
      </w:r>
      <w:r w:rsidRPr="005723DC">
        <w:rPr>
          <w:rFonts w:ascii="Verdana" w:hAnsi="Verdana"/>
          <w:spacing w:val="-2"/>
          <w:sz w:val="20"/>
          <w:szCs w:val="20"/>
        </w:rPr>
        <w:t xml:space="preserve">. </w:t>
      </w:r>
      <w:r w:rsidRPr="005723DC">
        <w:rPr>
          <w:rFonts w:ascii="Verdana" w:hAnsi="Verdana"/>
          <w:sz w:val="20"/>
          <w:szCs w:val="20"/>
          <w:lang w:val="es-ES"/>
        </w:rPr>
        <w:t xml:space="preserve">La exigencia de dichos fines encuentra fundamento en los artículos 7.3, 7.5 y 8.2 de la </w:t>
      </w:r>
      <w:r w:rsidRPr="005723DC">
        <w:rPr>
          <w:rFonts w:ascii="Verdana" w:hAnsi="Verdana"/>
          <w:sz w:val="20"/>
          <w:szCs w:val="20"/>
        </w:rPr>
        <w:t>convención</w:t>
      </w:r>
      <w:r w:rsidRPr="005723DC">
        <w:rPr>
          <w:rFonts w:ascii="Verdana" w:hAnsi="Verdana"/>
          <w:sz w:val="20"/>
          <w:szCs w:val="20"/>
          <w:lang w:val="es-ES"/>
        </w:rPr>
        <w:t xml:space="preserve">. El artículo 7.5 </w:t>
      </w:r>
      <w:r w:rsidRPr="005723DC">
        <w:rPr>
          <w:rFonts w:ascii="Verdana" w:hAnsi="Verdana"/>
          <w:sz w:val="20"/>
          <w:szCs w:val="20"/>
          <w:lang w:val="es-CR"/>
        </w:rPr>
        <w:t>establece</w:t>
      </w:r>
      <w:r w:rsidRPr="005723DC">
        <w:rPr>
          <w:rFonts w:ascii="Verdana" w:hAnsi="Verdana"/>
          <w:sz w:val="20"/>
          <w:szCs w:val="20"/>
          <w:lang w:val="es-ES"/>
        </w:rPr>
        <w:t xml:space="preserve"> que “[t</w:t>
      </w:r>
      <w:r w:rsidRPr="005723DC">
        <w:rPr>
          <w:rFonts w:ascii="Verdana" w:hAnsi="Verdana"/>
          <w:sz w:val="20"/>
          <w:szCs w:val="20"/>
        </w:rPr>
        <w: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w:t>
      </w:r>
      <w:r w:rsidRPr="005723DC">
        <w:rPr>
          <w:rFonts w:ascii="Verdana" w:hAnsi="Verdana"/>
          <w:sz w:val="20"/>
          <w:szCs w:val="20"/>
          <w:lang w:val="es-ES"/>
        </w:rPr>
        <w:t>”. El sentido de esta norma indica que las medidas privativas de la libertad en el marco de procedimientos penales son convencionales, siempre que tengan un propósito cautelar, es decir, que sean un medio para la neutralización de riesgos procesales, en particular la norma se refiere a la finalidad relacionada con</w:t>
      </w:r>
      <w:r w:rsidR="005723DC" w:rsidRPr="005723DC">
        <w:rPr>
          <w:rFonts w:ascii="Verdana" w:hAnsi="Verdana"/>
          <w:sz w:val="20"/>
          <w:szCs w:val="20"/>
          <w:lang w:val="es-ES"/>
        </w:rPr>
        <w:t xml:space="preserve"> la comparecencia al proceso.</w:t>
      </w:r>
    </w:p>
    <w:p w14:paraId="48EC6CC3" w14:textId="77777777" w:rsidR="005723DC" w:rsidRDefault="005723DC" w:rsidP="005723DC">
      <w:pPr>
        <w:spacing w:after="0" w:line="240" w:lineRule="auto"/>
        <w:jc w:val="both"/>
        <w:rPr>
          <w:rFonts w:ascii="Verdana" w:hAnsi="Verdana"/>
          <w:sz w:val="20"/>
          <w:szCs w:val="20"/>
        </w:rPr>
      </w:pPr>
    </w:p>
    <w:p w14:paraId="3B447CD8" w14:textId="77777777" w:rsidR="005723DC" w:rsidRPr="005723DC" w:rsidRDefault="001067EF" w:rsidP="005723DC">
      <w:pPr>
        <w:numPr>
          <w:ilvl w:val="0"/>
          <w:numId w:val="12"/>
        </w:numPr>
        <w:spacing w:after="0" w:line="240" w:lineRule="auto"/>
        <w:ind w:left="0" w:firstLine="0"/>
        <w:jc w:val="both"/>
        <w:rPr>
          <w:rFonts w:ascii="Verdana" w:hAnsi="Verdana"/>
          <w:sz w:val="20"/>
          <w:szCs w:val="20"/>
        </w:rPr>
      </w:pPr>
      <w:r w:rsidRPr="005723DC">
        <w:rPr>
          <w:rFonts w:ascii="Verdana" w:hAnsi="Verdana"/>
          <w:sz w:val="20"/>
          <w:szCs w:val="20"/>
          <w:lang w:val="es-ES"/>
        </w:rPr>
        <w:t xml:space="preserve">El artículo 8.2 por su parte, contiene el principio de presunción de inocencia, según el cual </w:t>
      </w:r>
      <w:r w:rsidRPr="005723DC">
        <w:rPr>
          <w:rFonts w:ascii="Verdana" w:hAnsi="Verdana"/>
          <w:sz w:val="20"/>
          <w:szCs w:val="20"/>
        </w:rPr>
        <w:t xml:space="preserve">una persona es inocente hasta que su culpabilidad sea demostrada. De esta garantía se desprende que los elementos que acreditan la existencia de los fines legítimos </w:t>
      </w:r>
      <w:r w:rsidRPr="005723DC">
        <w:rPr>
          <w:rFonts w:ascii="Verdana" w:hAnsi="Verdana"/>
          <w:sz w:val="20"/>
          <w:szCs w:val="20"/>
          <w:lang w:val="es-ES"/>
        </w:rPr>
        <w:t xml:space="preserve">tampoco se </w:t>
      </w:r>
      <w:r w:rsidRPr="005723DC">
        <w:rPr>
          <w:rFonts w:ascii="Verdana" w:hAnsi="Verdana"/>
          <w:sz w:val="20"/>
          <w:szCs w:val="20"/>
          <w:lang w:val="es-CR"/>
        </w:rPr>
        <w:t>presumen</w:t>
      </w:r>
      <w:r w:rsidRPr="005723DC">
        <w:rPr>
          <w:rFonts w:ascii="Verdana" w:hAnsi="Verdana"/>
          <w:sz w:val="20"/>
          <w:szCs w:val="20"/>
          <w:lang w:val="es-ES"/>
        </w:rPr>
        <w:t>, sino que el juez debe fundar su decisión en circunstancias objetivas y ciertas del caso concreto</w:t>
      </w:r>
      <w:r w:rsidRPr="001067EF">
        <w:rPr>
          <w:rStyle w:val="Refdenotaalpie"/>
          <w:rFonts w:ascii="Verdana" w:hAnsi="Verdana"/>
          <w:sz w:val="20"/>
          <w:szCs w:val="20"/>
          <w:lang w:val="es-ES"/>
        </w:rPr>
        <w:footnoteReference w:id="182"/>
      </w:r>
      <w:r w:rsidRPr="005723DC">
        <w:rPr>
          <w:rFonts w:ascii="Verdana" w:hAnsi="Verdana"/>
          <w:sz w:val="20"/>
          <w:szCs w:val="20"/>
          <w:lang w:val="es-ES"/>
        </w:rPr>
        <w:t>, que corresponde acreditar al titular de la persecución penal y no al acusado</w:t>
      </w:r>
      <w:r w:rsidRPr="001067EF">
        <w:rPr>
          <w:rStyle w:val="Refdenotaalpie"/>
          <w:rFonts w:ascii="Verdana" w:hAnsi="Verdana"/>
          <w:sz w:val="20"/>
          <w:szCs w:val="20"/>
          <w:lang w:val="es-ES"/>
        </w:rPr>
        <w:footnoteReference w:id="183"/>
      </w:r>
      <w:r w:rsidRPr="005723DC">
        <w:rPr>
          <w:rFonts w:ascii="Verdana" w:hAnsi="Verdana"/>
          <w:sz w:val="20"/>
          <w:szCs w:val="20"/>
          <w:lang w:val="es-ES"/>
        </w:rPr>
        <w:t>, quien además debe tener la posibilidad de ejercer el derecho de contradicción y estar debidamente asistido por un abogado. Además, l</w:t>
      </w:r>
      <w:r w:rsidRPr="005723DC">
        <w:rPr>
          <w:rFonts w:ascii="Verdana" w:hAnsi="Verdana"/>
          <w:sz w:val="20"/>
          <w:szCs w:val="20"/>
        </w:rPr>
        <w:t xml:space="preserve">a Corte ha sostenido que </w:t>
      </w:r>
      <w:r w:rsidRPr="005723DC">
        <w:rPr>
          <w:rFonts w:ascii="Verdana" w:hAnsi="Verdana"/>
          <w:sz w:val="20"/>
          <w:szCs w:val="20"/>
          <w:lang w:eastAsia="es-ES"/>
        </w:rPr>
        <w:t>la gravedad del delito que se le imputa no es, por sí mismos, justificación suficiente de la prisión preventiva</w:t>
      </w:r>
      <w:r w:rsidRPr="001067EF">
        <w:rPr>
          <w:rStyle w:val="ColorfulList-Accent1Char1"/>
          <w:rFonts w:ascii="Verdana" w:hAnsi="Verdana"/>
          <w:sz w:val="20"/>
          <w:szCs w:val="20"/>
          <w:vertAlign w:val="superscript"/>
          <w:lang w:eastAsia="es-ES"/>
        </w:rPr>
        <w:footnoteReference w:id="184"/>
      </w:r>
      <w:r w:rsidRPr="005723DC">
        <w:rPr>
          <w:rFonts w:ascii="Verdana" w:hAnsi="Verdana"/>
          <w:sz w:val="20"/>
          <w:szCs w:val="20"/>
          <w:lang w:val="es-ES"/>
        </w:rPr>
        <w:t>.</w:t>
      </w:r>
      <w:r w:rsidR="005723DC" w:rsidRPr="005723DC">
        <w:rPr>
          <w:rFonts w:ascii="Verdana" w:hAnsi="Verdana"/>
          <w:sz w:val="20"/>
          <w:szCs w:val="20"/>
          <w:lang w:val="es-ES"/>
        </w:rPr>
        <w:t xml:space="preserve"> </w:t>
      </w:r>
    </w:p>
    <w:p w14:paraId="0C7D1366" w14:textId="77777777" w:rsidR="005723DC" w:rsidRDefault="005723DC" w:rsidP="005723DC">
      <w:pPr>
        <w:pStyle w:val="Prrafodelista"/>
        <w:spacing w:after="0" w:line="240" w:lineRule="auto"/>
        <w:rPr>
          <w:rFonts w:ascii="Verdana" w:hAnsi="Verdana"/>
          <w:sz w:val="20"/>
          <w:szCs w:val="20"/>
          <w:lang w:val="es-ES"/>
        </w:rPr>
      </w:pPr>
    </w:p>
    <w:p w14:paraId="70A4EFCE" w14:textId="4D7648E1" w:rsidR="001067EF" w:rsidRPr="005723DC" w:rsidRDefault="001067EF" w:rsidP="005723DC">
      <w:pPr>
        <w:numPr>
          <w:ilvl w:val="0"/>
          <w:numId w:val="12"/>
        </w:numPr>
        <w:spacing w:after="0" w:line="240" w:lineRule="auto"/>
        <w:ind w:left="0" w:firstLine="0"/>
        <w:jc w:val="both"/>
        <w:rPr>
          <w:rFonts w:ascii="Verdana" w:hAnsi="Verdana"/>
          <w:sz w:val="20"/>
          <w:szCs w:val="20"/>
        </w:rPr>
      </w:pPr>
      <w:r w:rsidRPr="005723DC">
        <w:rPr>
          <w:rFonts w:ascii="Verdana" w:hAnsi="Verdana"/>
          <w:sz w:val="20"/>
          <w:szCs w:val="20"/>
          <w:lang w:val="es-ES"/>
        </w:rPr>
        <w:t xml:space="preserve">De este modo, el Tribunal considera que únicamente deben ser considerados como finalidades legítimas, aquellas que están atadas directamente con el desarrollo eficaz del proceso, es decir, que estén vinculadas con el peligro de fuga del procesado, directamente establecido en </w:t>
      </w:r>
      <w:r w:rsidRPr="005723DC">
        <w:rPr>
          <w:rFonts w:ascii="Verdana" w:hAnsi="Verdana"/>
          <w:sz w:val="20"/>
          <w:szCs w:val="20"/>
          <w:lang w:val="es-ES"/>
        </w:rPr>
        <w:lastRenderedPageBreak/>
        <w:t>el artículo 7.5 de la Convención Americana, y aquella que busca evitar que el procesado impida el desarrollo del procedimiento.</w:t>
      </w:r>
    </w:p>
    <w:p w14:paraId="1EEDF5E8" w14:textId="77777777" w:rsidR="00C97BC1" w:rsidRPr="001067EF" w:rsidRDefault="00C97BC1" w:rsidP="001067EF">
      <w:pPr>
        <w:widowControl w:val="0"/>
        <w:tabs>
          <w:tab w:val="left" w:pos="567"/>
        </w:tabs>
        <w:adjustRightInd w:val="0"/>
        <w:spacing w:after="0" w:line="240" w:lineRule="auto"/>
        <w:jc w:val="both"/>
        <w:textAlignment w:val="baseline"/>
        <w:rPr>
          <w:rFonts w:ascii="Verdana" w:hAnsi="Verdana"/>
          <w:sz w:val="20"/>
          <w:szCs w:val="20"/>
        </w:rPr>
      </w:pPr>
    </w:p>
    <w:p w14:paraId="29FF94DB" w14:textId="2016A22D" w:rsidR="005F02C0" w:rsidRPr="00C97BC1" w:rsidRDefault="005F02C0" w:rsidP="001067EF">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sz w:val="20"/>
          <w:szCs w:val="20"/>
          <w:lang w:val="es-CO"/>
        </w:rPr>
      </w:pPr>
      <w:r w:rsidRPr="001067EF">
        <w:rPr>
          <w:rFonts w:ascii="Verdana" w:hAnsi="Verdana"/>
          <w:sz w:val="20"/>
          <w:szCs w:val="20"/>
          <w:lang w:val="es-ES"/>
        </w:rPr>
        <w:t>En el presente caso, la Corte recuerda que el 14 de febrero de 1989 se emitió la resolución</w:t>
      </w:r>
      <w:r w:rsidRPr="00E25884">
        <w:rPr>
          <w:rFonts w:ascii="Verdana" w:hAnsi="Verdana"/>
          <w:sz w:val="20"/>
          <w:szCs w:val="20"/>
          <w:lang w:val="es-ES"/>
        </w:rPr>
        <w:t xml:space="preserve"> que ordenó la prisión preventiva tras la detención del señor Hernández. En dicha resolución el Juez de la Causa tuvo por acreditado que “siendo aproximadamente las 19:30 </w:t>
      </w:r>
      <w:proofErr w:type="spellStart"/>
      <w:r w:rsidRPr="00E25884">
        <w:rPr>
          <w:rFonts w:ascii="Verdana" w:hAnsi="Verdana"/>
          <w:sz w:val="20"/>
          <w:szCs w:val="20"/>
          <w:lang w:val="es-ES"/>
        </w:rPr>
        <w:t>hs</w:t>
      </w:r>
      <w:proofErr w:type="spellEnd"/>
      <w:r w:rsidRPr="00E25884">
        <w:rPr>
          <w:rFonts w:ascii="Verdana" w:hAnsi="Verdana"/>
          <w:sz w:val="20"/>
          <w:szCs w:val="20"/>
          <w:lang w:val="es-ES"/>
        </w:rPr>
        <w:t xml:space="preserve">. del día 7 de febrero de 1989 […] dos personas de sexo masculino interceptaron el paso de Alejandra </w:t>
      </w:r>
      <w:proofErr w:type="spellStart"/>
      <w:r w:rsidRPr="00E25884">
        <w:rPr>
          <w:rFonts w:ascii="Verdana" w:hAnsi="Verdana"/>
          <w:sz w:val="20"/>
          <w:szCs w:val="20"/>
          <w:lang w:val="es-ES"/>
        </w:rPr>
        <w:t>Retemozo</w:t>
      </w:r>
      <w:proofErr w:type="spellEnd"/>
      <w:r w:rsidRPr="00E25884">
        <w:rPr>
          <w:rFonts w:ascii="Verdana" w:hAnsi="Verdana"/>
          <w:sz w:val="20"/>
          <w:szCs w:val="20"/>
          <w:lang w:val="es-ES"/>
        </w:rPr>
        <w:t xml:space="preserve"> a quien previo intimidarla con el arma […] le sustrajeron el automotor […] con el cual se dieron a la fuga”. Asimismo, consideró que “el hecho precedentemente narrado constituye ‘prima facie’ el delito de robo agravado por el empleo de arma, conforme se haya previsto y sancionado por el art. 166 inc. 2° del código penal”. De esta forma concluyó que “se encuentra reunida en autos semiplena prueba de la autoría y responsabilidad penal de José Luis Hernández </w:t>
      </w:r>
      <w:r w:rsidR="008360EB">
        <w:rPr>
          <w:rFonts w:ascii="Verdana" w:hAnsi="Verdana"/>
          <w:sz w:val="20"/>
          <w:szCs w:val="20"/>
          <w:lang w:val="es-ES"/>
        </w:rPr>
        <w:t>[…]</w:t>
      </w:r>
      <w:r w:rsidRPr="00E25884">
        <w:rPr>
          <w:rFonts w:ascii="Verdana" w:hAnsi="Verdana"/>
          <w:sz w:val="20"/>
          <w:szCs w:val="20"/>
          <w:lang w:val="es-ES"/>
        </w:rPr>
        <w:t xml:space="preserve">”. En consecuencia, </w:t>
      </w:r>
      <w:r w:rsidRPr="00E25884">
        <w:rPr>
          <w:rFonts w:ascii="Verdana" w:hAnsi="Verdana"/>
          <w:sz w:val="20"/>
          <w:szCs w:val="20"/>
        </w:rPr>
        <w:t>resolvió “convertir en prisión preventiv</w:t>
      </w:r>
      <w:r w:rsidR="008360EB">
        <w:rPr>
          <w:rFonts w:ascii="Verdana" w:hAnsi="Verdana"/>
          <w:sz w:val="20"/>
          <w:szCs w:val="20"/>
        </w:rPr>
        <w:t>a la actual detención que viene</w:t>
      </w:r>
      <w:r w:rsidRPr="00E25884">
        <w:rPr>
          <w:rFonts w:ascii="Verdana" w:hAnsi="Verdana"/>
          <w:sz w:val="20"/>
          <w:szCs w:val="20"/>
        </w:rPr>
        <w:t xml:space="preserve"> sufriendo José Luis Hernández </w:t>
      </w:r>
      <w:r w:rsidR="008360EB">
        <w:rPr>
          <w:rFonts w:ascii="Verdana" w:hAnsi="Verdana"/>
          <w:sz w:val="20"/>
          <w:szCs w:val="20"/>
        </w:rPr>
        <w:t xml:space="preserve">[…] </w:t>
      </w:r>
      <w:r w:rsidRPr="00E25884">
        <w:rPr>
          <w:rFonts w:ascii="Verdana" w:hAnsi="Verdana"/>
          <w:sz w:val="20"/>
          <w:szCs w:val="20"/>
        </w:rPr>
        <w:t>por suponerlo</w:t>
      </w:r>
      <w:r w:rsidR="008360EB">
        <w:rPr>
          <w:rFonts w:ascii="Verdana" w:hAnsi="Verdana"/>
          <w:sz w:val="20"/>
          <w:szCs w:val="20"/>
        </w:rPr>
        <w:t>s</w:t>
      </w:r>
      <w:r w:rsidRPr="00E25884">
        <w:rPr>
          <w:rFonts w:ascii="Verdana" w:hAnsi="Verdana"/>
          <w:sz w:val="20"/>
          <w:szCs w:val="20"/>
        </w:rPr>
        <w:t xml:space="preserve"> ‘prima facie’ coautores penalmente responsables del delito de robo calificado por su comisión con arma, figura que se encuentra prevista y sancionada por el art. 166 inc. 2° del Código Penal”</w:t>
      </w:r>
      <w:r w:rsidRPr="00E25884">
        <w:rPr>
          <w:rStyle w:val="Refdenotaalpie"/>
          <w:rFonts w:ascii="Verdana" w:hAnsi="Verdana"/>
          <w:sz w:val="20"/>
          <w:szCs w:val="20"/>
          <w:lang w:val="es-CO" w:eastAsia="es-MX"/>
        </w:rPr>
        <w:footnoteReference w:id="185"/>
      </w:r>
      <w:r w:rsidR="00C97BC1">
        <w:rPr>
          <w:rFonts w:ascii="Verdana" w:hAnsi="Verdana"/>
          <w:sz w:val="20"/>
          <w:szCs w:val="20"/>
        </w:rPr>
        <w:t>.</w:t>
      </w:r>
    </w:p>
    <w:p w14:paraId="4CFE6BA7" w14:textId="77777777" w:rsidR="00C97BC1" w:rsidRPr="00E25884" w:rsidRDefault="00C97BC1" w:rsidP="00C97BC1">
      <w:pPr>
        <w:widowControl w:val="0"/>
        <w:tabs>
          <w:tab w:val="left" w:pos="567"/>
        </w:tabs>
        <w:adjustRightInd w:val="0"/>
        <w:spacing w:after="0" w:line="240" w:lineRule="auto"/>
        <w:jc w:val="both"/>
        <w:textAlignment w:val="baseline"/>
        <w:rPr>
          <w:rFonts w:ascii="Verdana" w:hAnsi="Verdana"/>
          <w:sz w:val="20"/>
          <w:szCs w:val="20"/>
          <w:lang w:val="es-CO"/>
        </w:rPr>
      </w:pPr>
    </w:p>
    <w:p w14:paraId="5774B431" w14:textId="3543B6D0" w:rsidR="005F02C0" w:rsidRDefault="005F02C0"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sz w:val="20"/>
          <w:szCs w:val="20"/>
        </w:rPr>
      </w:pPr>
      <w:r w:rsidRPr="00E25884">
        <w:rPr>
          <w:rFonts w:ascii="Verdana" w:hAnsi="Verdana"/>
          <w:sz w:val="20"/>
          <w:szCs w:val="20"/>
        </w:rPr>
        <w:t xml:space="preserve">El Tribunal reitera que la Convención prohíbe la detención o encarcelamiento por métodos que pueden ser </w:t>
      </w:r>
      <w:r w:rsidRPr="00E25884">
        <w:rPr>
          <w:rFonts w:ascii="Verdana" w:hAnsi="Verdana"/>
          <w:sz w:val="20"/>
          <w:szCs w:val="20"/>
          <w:lang w:val="es-ES"/>
        </w:rPr>
        <w:t>legales</w:t>
      </w:r>
      <w:r w:rsidRPr="00E25884">
        <w:rPr>
          <w:rFonts w:ascii="Verdana" w:hAnsi="Verdana"/>
          <w:sz w:val="20"/>
          <w:szCs w:val="20"/>
        </w:rPr>
        <w:t>, pero que en la práctica resultan irrazonables o carentes de proporcionalidad. En consecuencia, la Corte procederá a calificar si la prisión preventiva cumplió con los estándares previstos por la Convención y desarrollados por esta Corte</w:t>
      </w:r>
      <w:r w:rsidR="00C97BC1">
        <w:rPr>
          <w:rFonts w:ascii="Verdana" w:hAnsi="Verdana"/>
          <w:sz w:val="20"/>
          <w:szCs w:val="20"/>
        </w:rPr>
        <w:t>.</w:t>
      </w:r>
    </w:p>
    <w:p w14:paraId="3331A36D" w14:textId="77777777" w:rsidR="00C97BC1" w:rsidRPr="00E25884" w:rsidRDefault="00C97BC1" w:rsidP="00C97BC1">
      <w:pPr>
        <w:widowControl w:val="0"/>
        <w:tabs>
          <w:tab w:val="left" w:pos="567"/>
        </w:tabs>
        <w:adjustRightInd w:val="0"/>
        <w:spacing w:after="0" w:line="240" w:lineRule="auto"/>
        <w:jc w:val="both"/>
        <w:textAlignment w:val="baseline"/>
        <w:rPr>
          <w:rFonts w:ascii="Verdana" w:hAnsi="Verdana"/>
          <w:sz w:val="20"/>
          <w:szCs w:val="20"/>
        </w:rPr>
      </w:pPr>
    </w:p>
    <w:p w14:paraId="12576E75" w14:textId="77777777" w:rsidR="005F02C0" w:rsidRDefault="005F02C0"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sz w:val="20"/>
          <w:szCs w:val="20"/>
        </w:rPr>
      </w:pPr>
      <w:r w:rsidRPr="00E25884">
        <w:rPr>
          <w:rFonts w:ascii="Verdana" w:hAnsi="Verdana"/>
          <w:sz w:val="20"/>
          <w:szCs w:val="20"/>
        </w:rPr>
        <w:t xml:space="preserve">En primer lugar, la Corte recuerda que la privación de libertad del imputado debe cumplir con el requisito de legalidad, de forma tal que la imposición de la prisión preventiva debe ser impuesta “por las causas y en las condiciones fijadas de antemano por las Constituciones Políticas de los Estados Partes o por las leyes dictadas conforme a ellas”. Al respecto, la Corte observa que la resolución del Juez de la Causa se basó en </w:t>
      </w:r>
      <w:r w:rsidRPr="00E25884">
        <w:rPr>
          <w:rFonts w:ascii="Verdana" w:hAnsi="Verdana"/>
          <w:sz w:val="20"/>
          <w:szCs w:val="20"/>
          <w:lang w:val="es-ES"/>
        </w:rPr>
        <w:t>la aplicación de los artículos 183 y 184 del Código de Procedimiento Penal de la Provincia de Buenos Aires (</w:t>
      </w:r>
      <w:r w:rsidRPr="00E25884">
        <w:rPr>
          <w:rFonts w:ascii="Verdana" w:hAnsi="Verdana"/>
          <w:sz w:val="20"/>
          <w:szCs w:val="20"/>
        </w:rPr>
        <w:t>Ley 3.589), la cual era la normativa vigente en la época de los hechos</w:t>
      </w:r>
      <w:r w:rsidRPr="00E25884">
        <w:rPr>
          <w:rStyle w:val="Refdenotaalpie"/>
          <w:rFonts w:ascii="Verdana" w:hAnsi="Verdana"/>
          <w:sz w:val="20"/>
          <w:szCs w:val="20"/>
        </w:rPr>
        <w:footnoteReference w:id="186"/>
      </w:r>
      <w:r w:rsidRPr="00E25884">
        <w:rPr>
          <w:rFonts w:ascii="Verdana" w:hAnsi="Verdana"/>
          <w:sz w:val="20"/>
          <w:szCs w:val="20"/>
        </w:rPr>
        <w:t xml:space="preserve">. </w:t>
      </w:r>
      <w:r w:rsidRPr="00E25884">
        <w:rPr>
          <w:rFonts w:ascii="Verdana" w:hAnsi="Verdana"/>
          <w:sz w:val="20"/>
          <w:szCs w:val="20"/>
          <w:lang w:val="es-ES"/>
        </w:rPr>
        <w:t>Estas</w:t>
      </w:r>
      <w:r w:rsidRPr="00E25884">
        <w:rPr>
          <w:rFonts w:ascii="Verdana" w:hAnsi="Verdana"/>
          <w:sz w:val="20"/>
          <w:szCs w:val="20"/>
        </w:rPr>
        <w:t xml:space="preserve"> disposiciones señalan lo siguiente: </w:t>
      </w:r>
    </w:p>
    <w:p w14:paraId="3F353A86" w14:textId="77777777" w:rsidR="00C97BC1" w:rsidRPr="00E25884" w:rsidRDefault="00C97BC1" w:rsidP="00C97BC1">
      <w:pPr>
        <w:widowControl w:val="0"/>
        <w:tabs>
          <w:tab w:val="left" w:pos="567"/>
        </w:tabs>
        <w:adjustRightInd w:val="0"/>
        <w:spacing w:after="0" w:line="240" w:lineRule="auto"/>
        <w:jc w:val="both"/>
        <w:textAlignment w:val="baseline"/>
        <w:rPr>
          <w:rFonts w:ascii="Verdana" w:hAnsi="Verdana"/>
          <w:sz w:val="20"/>
          <w:szCs w:val="20"/>
        </w:rPr>
      </w:pPr>
    </w:p>
    <w:p w14:paraId="7812ED1C" w14:textId="77777777" w:rsidR="005F02C0" w:rsidRPr="00E8677F" w:rsidRDefault="005F02C0" w:rsidP="00C97BC1">
      <w:pPr>
        <w:spacing w:after="0" w:line="240" w:lineRule="auto"/>
        <w:ind w:left="708" w:right="899"/>
        <w:jc w:val="both"/>
        <w:rPr>
          <w:rFonts w:ascii="Verdana" w:hAnsi="Verdana" w:cs="Arial"/>
          <w:sz w:val="18"/>
          <w:szCs w:val="18"/>
        </w:rPr>
      </w:pPr>
      <w:r w:rsidRPr="00E8677F">
        <w:rPr>
          <w:rFonts w:ascii="Verdana" w:hAnsi="Verdana" w:cs="Arial"/>
          <w:bCs/>
          <w:caps/>
          <w:sz w:val="18"/>
          <w:szCs w:val="18"/>
        </w:rPr>
        <w:t xml:space="preserve">ARTICULO 183.- </w:t>
      </w:r>
      <w:r w:rsidRPr="00E8677F">
        <w:rPr>
          <w:rFonts w:ascii="Verdana" w:hAnsi="Verdana" w:cs="Arial"/>
          <w:sz w:val="18"/>
          <w:szCs w:val="18"/>
        </w:rPr>
        <w:t xml:space="preserve">La detención se convertirá en prisión preventiva cuando medien conjuntamente los siguientes requisitos: </w:t>
      </w:r>
      <w:r w:rsidRPr="00E8677F">
        <w:rPr>
          <w:rFonts w:ascii="Verdana" w:hAnsi="Verdana" w:cs="Arial"/>
          <w:sz w:val="18"/>
          <w:szCs w:val="18"/>
          <w:lang w:val="es-CR" w:eastAsia="es-CR"/>
        </w:rPr>
        <w:t>1.- Que esté justificada la existencia del delito.</w:t>
      </w:r>
      <w:r w:rsidRPr="00E8677F">
        <w:rPr>
          <w:rFonts w:ascii="Verdana" w:hAnsi="Verdana" w:cs="Arial"/>
          <w:sz w:val="18"/>
          <w:szCs w:val="18"/>
        </w:rPr>
        <w:t xml:space="preserve"> </w:t>
      </w:r>
      <w:r w:rsidRPr="00E8677F">
        <w:rPr>
          <w:rFonts w:ascii="Verdana" w:hAnsi="Verdana" w:cs="Arial"/>
          <w:sz w:val="18"/>
          <w:szCs w:val="18"/>
          <w:lang w:val="es-CR" w:eastAsia="es-CR"/>
        </w:rPr>
        <w:t>2.- Que al detenido se le haya tomado declaración indagatoria o se haya negado a prestarla.</w:t>
      </w:r>
      <w:r w:rsidRPr="00E8677F">
        <w:rPr>
          <w:rFonts w:ascii="Verdana" w:hAnsi="Verdana" w:cs="Arial"/>
          <w:sz w:val="18"/>
          <w:szCs w:val="18"/>
        </w:rPr>
        <w:t xml:space="preserve"> </w:t>
      </w:r>
      <w:r w:rsidRPr="00E8677F">
        <w:rPr>
          <w:rFonts w:ascii="Verdana" w:hAnsi="Verdana" w:cs="Arial"/>
          <w:sz w:val="18"/>
          <w:szCs w:val="18"/>
          <w:lang w:val="es-CR" w:eastAsia="es-CR"/>
        </w:rPr>
        <w:t>3.- Que haya semiplena prueba o indicios vehementes para creerlo responsable del hecho.</w:t>
      </w:r>
    </w:p>
    <w:p w14:paraId="091F417D" w14:textId="77777777" w:rsidR="00C97BC1" w:rsidRPr="00E25884" w:rsidRDefault="00C97BC1" w:rsidP="00C97BC1">
      <w:pPr>
        <w:spacing w:after="0" w:line="240" w:lineRule="auto"/>
        <w:ind w:right="899"/>
        <w:jc w:val="both"/>
        <w:rPr>
          <w:rFonts w:ascii="Verdana" w:hAnsi="Verdana" w:cs="Arial"/>
          <w:sz w:val="20"/>
          <w:szCs w:val="20"/>
        </w:rPr>
      </w:pPr>
    </w:p>
    <w:p w14:paraId="0F2004B2" w14:textId="77777777" w:rsidR="005F02C0" w:rsidRPr="00E8677F" w:rsidRDefault="005F02C0" w:rsidP="00C97BC1">
      <w:pPr>
        <w:spacing w:after="0" w:line="240" w:lineRule="auto"/>
        <w:ind w:left="708" w:right="899"/>
        <w:jc w:val="both"/>
        <w:rPr>
          <w:rFonts w:ascii="Verdana" w:hAnsi="Verdana" w:cs="Arial"/>
          <w:sz w:val="18"/>
          <w:szCs w:val="18"/>
          <w:lang w:val="es-CR" w:eastAsia="es-CR"/>
        </w:rPr>
      </w:pPr>
      <w:r w:rsidRPr="00E8677F">
        <w:rPr>
          <w:rFonts w:ascii="Verdana" w:hAnsi="Verdana" w:cs="Arial"/>
          <w:sz w:val="18"/>
          <w:szCs w:val="18"/>
          <w:lang w:val="es-CR" w:eastAsia="es-CR"/>
        </w:rPr>
        <w:t>ARTICULO 184 - El auto que declare que en el caso concurren los requisitos del artículo anterior, deberá expresar:</w:t>
      </w:r>
      <w:r w:rsidRPr="00E8677F">
        <w:rPr>
          <w:rFonts w:ascii="Verdana" w:hAnsi="Verdana" w:cs="Arial"/>
          <w:sz w:val="18"/>
          <w:szCs w:val="18"/>
        </w:rPr>
        <w:t xml:space="preserve"> </w:t>
      </w:r>
      <w:r w:rsidRPr="00E8677F">
        <w:rPr>
          <w:rFonts w:ascii="Verdana" w:hAnsi="Verdana" w:cs="Arial"/>
          <w:sz w:val="18"/>
          <w:szCs w:val="18"/>
          <w:lang w:val="es-CR" w:eastAsia="es-CR"/>
        </w:rPr>
        <w:t>1.- Cuáles son las constancias de donde resulta acreditada la existencia del delito y de su autor, en la forma a que se refieren los incisos 1 y 3 del artículo 183.</w:t>
      </w:r>
      <w:r w:rsidRPr="00E8677F">
        <w:rPr>
          <w:rFonts w:ascii="Verdana" w:hAnsi="Verdana" w:cs="Arial"/>
          <w:sz w:val="18"/>
          <w:szCs w:val="18"/>
        </w:rPr>
        <w:t xml:space="preserve"> </w:t>
      </w:r>
      <w:r w:rsidRPr="00E8677F">
        <w:rPr>
          <w:rFonts w:ascii="Verdana" w:hAnsi="Verdana" w:cs="Arial"/>
          <w:sz w:val="18"/>
          <w:szCs w:val="18"/>
          <w:lang w:val="es-CR" w:eastAsia="es-CR"/>
        </w:rPr>
        <w:t>2.- Si la semiplena prueba resulta de la confesión del acusado, deberá extractarse la parte pertinente.</w:t>
      </w:r>
      <w:r w:rsidRPr="00E8677F">
        <w:rPr>
          <w:rFonts w:ascii="Verdana" w:hAnsi="Verdana" w:cs="Arial"/>
          <w:sz w:val="18"/>
          <w:szCs w:val="18"/>
        </w:rPr>
        <w:t xml:space="preserve"> </w:t>
      </w:r>
      <w:r w:rsidRPr="00E8677F">
        <w:rPr>
          <w:rFonts w:ascii="Verdana" w:hAnsi="Verdana" w:cs="Arial"/>
          <w:sz w:val="18"/>
          <w:szCs w:val="18"/>
          <w:lang w:val="es-CR" w:eastAsia="es-CR"/>
        </w:rPr>
        <w:t>3.- Si resulta de prueba testimonial, deberá decirse lo que de ella aparece sintéticamente y lo mismo se hará con el dictamen pericial.</w:t>
      </w:r>
      <w:r w:rsidRPr="00E8677F">
        <w:rPr>
          <w:rFonts w:ascii="Verdana" w:hAnsi="Verdana" w:cs="Arial"/>
          <w:sz w:val="18"/>
          <w:szCs w:val="18"/>
        </w:rPr>
        <w:t xml:space="preserve"> </w:t>
      </w:r>
      <w:r w:rsidRPr="00E8677F">
        <w:rPr>
          <w:rFonts w:ascii="Verdana" w:hAnsi="Verdana" w:cs="Arial"/>
          <w:sz w:val="18"/>
          <w:szCs w:val="18"/>
          <w:lang w:val="es-CR" w:eastAsia="es-CR"/>
        </w:rPr>
        <w:t>4.- Si de presunciones, se hará constar cuáles son éstas, y cómo resultan acreditadas.</w:t>
      </w:r>
    </w:p>
    <w:p w14:paraId="5A60E18D" w14:textId="77777777" w:rsidR="00C97BC1" w:rsidRPr="00E25884" w:rsidRDefault="00C97BC1" w:rsidP="00C97BC1">
      <w:pPr>
        <w:spacing w:after="0" w:line="240" w:lineRule="auto"/>
        <w:ind w:right="899"/>
        <w:jc w:val="both"/>
        <w:rPr>
          <w:rFonts w:ascii="Verdana" w:hAnsi="Verdana"/>
          <w:sz w:val="20"/>
          <w:szCs w:val="20"/>
        </w:rPr>
      </w:pPr>
    </w:p>
    <w:p w14:paraId="51B9C39A" w14:textId="77777777" w:rsidR="005F02C0" w:rsidRDefault="005F02C0"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sz w:val="20"/>
          <w:szCs w:val="20"/>
        </w:rPr>
      </w:pPr>
      <w:r w:rsidRPr="00E25884">
        <w:rPr>
          <w:rFonts w:ascii="Verdana" w:hAnsi="Verdana"/>
          <w:sz w:val="20"/>
          <w:szCs w:val="20"/>
        </w:rPr>
        <w:t>L</w:t>
      </w:r>
      <w:r w:rsidRPr="00E25884">
        <w:rPr>
          <w:rFonts w:ascii="Verdana" w:hAnsi="Verdana"/>
          <w:sz w:val="20"/>
          <w:szCs w:val="20"/>
          <w:lang w:val="es-ES"/>
        </w:rPr>
        <w:t xml:space="preserve">a Corte constata </w:t>
      </w:r>
      <w:r w:rsidRPr="00E25884">
        <w:rPr>
          <w:rFonts w:ascii="Verdana" w:hAnsi="Verdana"/>
          <w:sz w:val="20"/>
          <w:szCs w:val="20"/>
        </w:rPr>
        <w:t xml:space="preserve">que el Juez de la Causa arribó a su conclusión sobre la existencia del delito y la posible participación en los hechos del señor Hernández tomando en consideración los siguientes elementos de prueba: lo manifestado por la presunta víctima del delito en sede judicial, la declaración aportada por un testigo, “el secuestro en poder de los nombrados del ciclomotor sustraído”, “el secuestro en poder del </w:t>
      </w:r>
      <w:proofErr w:type="spellStart"/>
      <w:r w:rsidRPr="00E25884">
        <w:rPr>
          <w:rFonts w:ascii="Verdana" w:hAnsi="Verdana"/>
          <w:sz w:val="20"/>
          <w:szCs w:val="20"/>
        </w:rPr>
        <w:t>coencartado</w:t>
      </w:r>
      <w:proofErr w:type="spellEnd"/>
      <w:r w:rsidRPr="00E25884">
        <w:rPr>
          <w:rFonts w:ascii="Verdana" w:hAnsi="Verdana"/>
          <w:sz w:val="20"/>
          <w:szCs w:val="20"/>
        </w:rPr>
        <w:t xml:space="preserve"> José Luis Hernández del arma calibre 22”, y “la fuga que emprenden los encartados antes de ser detenidos”. Dichos elementos </w:t>
      </w:r>
      <w:r w:rsidRPr="00E25884">
        <w:rPr>
          <w:rFonts w:ascii="Verdana" w:hAnsi="Verdana"/>
          <w:sz w:val="20"/>
          <w:szCs w:val="20"/>
          <w:lang w:val="es-ES"/>
        </w:rPr>
        <w:t xml:space="preserve">de prueba se encontraban en las constancias sumariales, el acta de secuestro, el acta de inspección ocular, las </w:t>
      </w:r>
      <w:r w:rsidRPr="00E25884">
        <w:rPr>
          <w:rFonts w:ascii="Verdana" w:hAnsi="Verdana"/>
          <w:sz w:val="20"/>
          <w:szCs w:val="20"/>
          <w:lang w:val="es-ES"/>
        </w:rPr>
        <w:lastRenderedPageBreak/>
        <w:t xml:space="preserve">pericias mecánicas y sobre el arma secuestrada, las declaraciones testimoniales de dos personas y la declaración indagatoria del señor Hernández. </w:t>
      </w:r>
      <w:r w:rsidRPr="00E25884">
        <w:rPr>
          <w:rFonts w:ascii="Verdana" w:hAnsi="Verdana"/>
          <w:sz w:val="20"/>
          <w:szCs w:val="20"/>
        </w:rPr>
        <w:t xml:space="preserve">En este sentido, el Tribunal considera que la resolución que ordenó la prisión preventiva cumplió con el requisito de legalidad, pues se encontraba fundamentada y motivada en consideración a los artículos 183 y 184 del </w:t>
      </w:r>
      <w:r w:rsidRPr="00E25884">
        <w:rPr>
          <w:rFonts w:ascii="Verdana" w:hAnsi="Verdana"/>
          <w:sz w:val="20"/>
          <w:szCs w:val="20"/>
          <w:lang w:val="es-ES"/>
        </w:rPr>
        <w:t>Código de Procedimiento Penal de la Provincia de Buenos Aires. Este análisis permitió al Juez de la Causa verificar</w:t>
      </w:r>
      <w:r w:rsidRPr="00E25884">
        <w:rPr>
          <w:rFonts w:ascii="Verdana" w:hAnsi="Verdana"/>
          <w:sz w:val="20"/>
          <w:szCs w:val="20"/>
        </w:rPr>
        <w:t xml:space="preserve"> la existencia de indicios que permitían suponer razonablemente la conducta delictiva del señor Hernández y sobre esa base ordenar la prisión preventiva.</w:t>
      </w:r>
    </w:p>
    <w:p w14:paraId="5E91BB91" w14:textId="77777777" w:rsidR="00C97BC1" w:rsidRPr="00E25884" w:rsidRDefault="00C97BC1" w:rsidP="00C97BC1">
      <w:pPr>
        <w:widowControl w:val="0"/>
        <w:tabs>
          <w:tab w:val="left" w:pos="567"/>
        </w:tabs>
        <w:adjustRightInd w:val="0"/>
        <w:spacing w:after="0" w:line="240" w:lineRule="auto"/>
        <w:jc w:val="both"/>
        <w:textAlignment w:val="baseline"/>
        <w:rPr>
          <w:rFonts w:ascii="Verdana" w:hAnsi="Verdana"/>
          <w:sz w:val="20"/>
          <w:szCs w:val="20"/>
        </w:rPr>
      </w:pPr>
    </w:p>
    <w:p w14:paraId="17D5949A" w14:textId="77777777" w:rsidR="005F02C0" w:rsidRPr="00C97BC1" w:rsidRDefault="005F02C0"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sz w:val="20"/>
          <w:szCs w:val="20"/>
        </w:rPr>
      </w:pPr>
      <w:r w:rsidRPr="00051ED2">
        <w:rPr>
          <w:rFonts w:ascii="Verdana" w:hAnsi="Verdana"/>
          <w:sz w:val="20"/>
          <w:szCs w:val="20"/>
        </w:rPr>
        <w:t>En segundo lugar, el Tribunal recuerda que la privación de libertad del imputado sólo debe tener como fin legítimo el asegurar que el acusado no impedirá el desarrollo del procedimiento ni eludirá la acción de la justicia</w:t>
      </w:r>
      <w:r w:rsidRPr="00051ED2">
        <w:rPr>
          <w:rStyle w:val="Refdenotaalpie"/>
          <w:rFonts w:ascii="Verdana" w:hAnsi="Verdana"/>
          <w:sz w:val="20"/>
          <w:szCs w:val="20"/>
          <w:lang w:val="es-AR"/>
        </w:rPr>
        <w:footnoteReference w:id="187"/>
      </w:r>
      <w:r w:rsidRPr="00051ED2">
        <w:rPr>
          <w:rFonts w:ascii="Verdana" w:hAnsi="Verdana"/>
          <w:sz w:val="20"/>
          <w:szCs w:val="20"/>
        </w:rPr>
        <w:t>. El peligro procesal no se presume, sino que debe realizarse la verificación del mismo en cada caso, fundado en circunstancias objetivas y ciertas del caso concreto</w:t>
      </w:r>
      <w:r w:rsidRPr="00051ED2">
        <w:rPr>
          <w:rStyle w:val="Refdenotaalpie"/>
          <w:rFonts w:ascii="Verdana" w:hAnsi="Verdana"/>
          <w:sz w:val="20"/>
          <w:szCs w:val="20"/>
        </w:rPr>
        <w:footnoteReference w:id="188"/>
      </w:r>
      <w:r w:rsidRPr="00051ED2">
        <w:rPr>
          <w:rFonts w:ascii="Verdana" w:hAnsi="Verdana"/>
          <w:sz w:val="20"/>
          <w:szCs w:val="20"/>
        </w:rPr>
        <w:t>. En este sentido, e</w:t>
      </w:r>
      <w:r w:rsidRPr="00051ED2">
        <w:rPr>
          <w:rFonts w:ascii="Verdana" w:hAnsi="Verdana"/>
          <w:sz w:val="20"/>
          <w:szCs w:val="20"/>
          <w:lang w:val="es-ES"/>
        </w:rPr>
        <w:t>l Estado alegó que la finalidad de la prisión preventiva fue evitar que el señor Hernández se diera nuevamente a la fuga y por ende asegurar los fines del proceso. Al respecto, la Corte advierte que el Juez de la Causa realizó</w:t>
      </w:r>
      <w:r w:rsidR="00860F91" w:rsidRPr="00051ED2">
        <w:rPr>
          <w:rFonts w:ascii="Verdana" w:hAnsi="Verdana"/>
          <w:sz w:val="20"/>
          <w:szCs w:val="20"/>
          <w:lang w:val="es-ES"/>
        </w:rPr>
        <w:t xml:space="preserve"> en efecto</w:t>
      </w:r>
      <w:r w:rsidRPr="00051ED2">
        <w:rPr>
          <w:rFonts w:ascii="Verdana" w:hAnsi="Verdana"/>
          <w:sz w:val="20"/>
          <w:szCs w:val="20"/>
          <w:lang w:val="es-ES"/>
        </w:rPr>
        <w:t xml:space="preserve"> un pronunciamiento </w:t>
      </w:r>
      <w:r w:rsidR="00860F91" w:rsidRPr="00051ED2">
        <w:rPr>
          <w:rFonts w:ascii="Verdana" w:hAnsi="Verdana"/>
          <w:sz w:val="20"/>
          <w:szCs w:val="20"/>
          <w:lang w:val="es-ES"/>
        </w:rPr>
        <w:t>sobre e</w:t>
      </w:r>
      <w:r w:rsidRPr="00051ED2">
        <w:rPr>
          <w:rFonts w:ascii="Verdana" w:hAnsi="Verdana"/>
          <w:sz w:val="20"/>
          <w:szCs w:val="20"/>
          <w:lang w:val="es-ES"/>
        </w:rPr>
        <w:t xml:space="preserve">l intento de fuga del señor Hernández como uno de los elementos para dictar la prisión preventiva, concluyendo que “[l]a fuga que emprenden los encartados antes de ser detenidos […], por el momento y dado el contexto probatorio […] reunido, no puede sino refutarse en forma adversa a la inocencia de estos”. Sin embargo, </w:t>
      </w:r>
      <w:r w:rsidR="00051ED2" w:rsidRPr="00051ED2">
        <w:rPr>
          <w:rFonts w:ascii="Verdana" w:hAnsi="Verdana"/>
          <w:sz w:val="20"/>
          <w:szCs w:val="20"/>
          <w:lang w:val="es-ES"/>
        </w:rPr>
        <w:t xml:space="preserve">la Corte advierte que no existen elementos que permitan desprender que dicho pronunciamiento fuera tomado en consideración respecto al riesgo que existía de la posible fuga del señor Hernández. </w:t>
      </w:r>
      <w:r w:rsidRPr="00051ED2">
        <w:rPr>
          <w:rFonts w:ascii="Verdana" w:hAnsi="Verdana"/>
          <w:sz w:val="20"/>
          <w:szCs w:val="20"/>
          <w:lang w:val="es-ES"/>
        </w:rPr>
        <w:t xml:space="preserve">Lo anterior se verifica por el hecho de que la argumentación del Juez de la Causa estuvo dirigida en todo momento a probar la responsabilidad </w:t>
      </w:r>
      <w:r w:rsidRPr="00051ED2">
        <w:rPr>
          <w:rFonts w:ascii="Verdana" w:hAnsi="Verdana"/>
          <w:i/>
          <w:sz w:val="20"/>
          <w:szCs w:val="20"/>
          <w:lang w:val="es-ES"/>
        </w:rPr>
        <w:t>prima facie</w:t>
      </w:r>
      <w:r w:rsidRPr="00051ED2">
        <w:rPr>
          <w:rFonts w:ascii="Verdana" w:hAnsi="Verdana"/>
          <w:sz w:val="20"/>
          <w:szCs w:val="20"/>
          <w:lang w:val="es-ES"/>
        </w:rPr>
        <w:t xml:space="preserve"> de los presuntos responsables del delito,</w:t>
      </w:r>
      <w:r w:rsidR="00051ED2" w:rsidRPr="00051ED2">
        <w:rPr>
          <w:rFonts w:ascii="Verdana" w:hAnsi="Verdana"/>
          <w:sz w:val="20"/>
          <w:szCs w:val="20"/>
          <w:lang w:val="es-ES"/>
        </w:rPr>
        <w:t xml:space="preserve"> tal y como lo requería la legislación de la época,</w:t>
      </w:r>
      <w:r w:rsidRPr="00051ED2">
        <w:rPr>
          <w:rFonts w:ascii="Verdana" w:hAnsi="Verdana"/>
          <w:sz w:val="20"/>
          <w:szCs w:val="20"/>
          <w:lang w:val="es-ES"/>
        </w:rPr>
        <w:t xml:space="preserve"> y a que el intento de fuga del señor Hernández fue valorado “en forma adversa a la inocencia de [este]”.</w:t>
      </w:r>
    </w:p>
    <w:p w14:paraId="77B29323" w14:textId="77777777" w:rsidR="00C97BC1" w:rsidRPr="00051ED2" w:rsidRDefault="00C97BC1" w:rsidP="00C97BC1">
      <w:pPr>
        <w:widowControl w:val="0"/>
        <w:tabs>
          <w:tab w:val="left" w:pos="567"/>
        </w:tabs>
        <w:adjustRightInd w:val="0"/>
        <w:spacing w:after="0" w:line="240" w:lineRule="auto"/>
        <w:jc w:val="both"/>
        <w:textAlignment w:val="baseline"/>
        <w:rPr>
          <w:rFonts w:ascii="Verdana" w:hAnsi="Verdana"/>
          <w:sz w:val="20"/>
          <w:szCs w:val="20"/>
        </w:rPr>
      </w:pPr>
    </w:p>
    <w:p w14:paraId="18C39297" w14:textId="77777777" w:rsidR="005F02C0" w:rsidRDefault="005F02C0"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sz w:val="20"/>
          <w:szCs w:val="20"/>
          <w:lang w:val="es-ES"/>
        </w:rPr>
      </w:pPr>
      <w:r w:rsidRPr="002574F3">
        <w:rPr>
          <w:rFonts w:ascii="Verdana" w:hAnsi="Verdana"/>
          <w:sz w:val="20"/>
          <w:szCs w:val="20"/>
          <w:lang w:val="es-ES"/>
        </w:rPr>
        <w:t xml:space="preserve">La Corte </w:t>
      </w:r>
      <w:r w:rsidRPr="002574F3">
        <w:rPr>
          <w:rFonts w:ascii="Verdana" w:hAnsi="Verdana"/>
          <w:sz w:val="20"/>
          <w:szCs w:val="20"/>
        </w:rPr>
        <w:t>considera</w:t>
      </w:r>
      <w:r w:rsidRPr="002574F3">
        <w:rPr>
          <w:rFonts w:ascii="Verdana" w:hAnsi="Verdana"/>
          <w:sz w:val="20"/>
          <w:szCs w:val="20"/>
          <w:lang w:val="es-ES"/>
        </w:rPr>
        <w:t xml:space="preserve"> que la verificación de la existencia de indicios que permitan suponer la responsabilidad de la conducta cumple la función de prevenir que una persona sea detenida sobre la base de la mera sospecha o percepción personal respecto de su responsabilidad,</w:t>
      </w:r>
      <w:r w:rsidRPr="00051ED2">
        <w:rPr>
          <w:rFonts w:ascii="Verdana" w:hAnsi="Verdana"/>
          <w:sz w:val="20"/>
          <w:szCs w:val="20"/>
          <w:lang w:val="es-ES"/>
        </w:rPr>
        <w:t xml:space="preserve"> y de esta forma se constituye como una garantía más de la persona a la hora de proceder a la aplicación de la prisión preventiva. Sin embargo, la comprobación de dichos indicios no constituye </w:t>
      </w:r>
      <w:r w:rsidRPr="002574F3">
        <w:rPr>
          <w:rFonts w:ascii="Verdana" w:hAnsi="Verdana"/>
          <w:i/>
          <w:sz w:val="20"/>
          <w:szCs w:val="20"/>
          <w:lang w:val="es-ES"/>
        </w:rPr>
        <w:t xml:space="preserve">per se </w:t>
      </w:r>
      <w:r w:rsidRPr="002574F3">
        <w:rPr>
          <w:rFonts w:ascii="Verdana" w:hAnsi="Verdana"/>
          <w:sz w:val="20"/>
          <w:szCs w:val="20"/>
          <w:lang w:val="es-ES"/>
        </w:rPr>
        <w:t>una finalidad legítima para la adopción de la medida de prisión preventiva, pues esto constituiría un juicio anticipado sobre la culpabilidad de la persona imputada y una violación al principio de presunción de inocencia. La determinación de la finalidad de la prisión preventiva requiere un análisis independiente, mediante el cual el juez funde su decisión en circunstancias objetivas y ciertas del caso concreto</w:t>
      </w:r>
      <w:r w:rsidRPr="002574F3">
        <w:rPr>
          <w:rStyle w:val="Refdenotaalpie"/>
          <w:rFonts w:ascii="Verdana" w:hAnsi="Verdana"/>
          <w:sz w:val="20"/>
          <w:szCs w:val="20"/>
          <w:lang w:val="es-ES"/>
        </w:rPr>
        <w:footnoteReference w:id="189"/>
      </w:r>
      <w:r w:rsidRPr="002574F3">
        <w:rPr>
          <w:rFonts w:ascii="Verdana" w:hAnsi="Verdana"/>
          <w:sz w:val="20"/>
          <w:szCs w:val="20"/>
          <w:lang w:val="es-ES"/>
        </w:rPr>
        <w:t>, que corresponde acreditar al titular de la persecución penal y no al acusado</w:t>
      </w:r>
      <w:r w:rsidRPr="002574F3">
        <w:rPr>
          <w:rStyle w:val="Refdenotaalpie"/>
          <w:rFonts w:ascii="Verdana" w:hAnsi="Verdana"/>
          <w:sz w:val="20"/>
          <w:szCs w:val="20"/>
          <w:lang w:val="es-ES"/>
        </w:rPr>
        <w:footnoteReference w:id="190"/>
      </w:r>
      <w:r w:rsidRPr="002574F3">
        <w:rPr>
          <w:rFonts w:ascii="Verdana" w:hAnsi="Verdana"/>
          <w:sz w:val="20"/>
          <w:szCs w:val="20"/>
          <w:lang w:val="es-ES"/>
        </w:rPr>
        <w:t>, quien además debe tener la posibilidad de ejercer el derecho de contradicción y estar debidamente asistido por un abogado</w:t>
      </w:r>
      <w:r w:rsidRPr="002574F3">
        <w:rPr>
          <w:rStyle w:val="Refdenotaalpie"/>
          <w:rFonts w:ascii="Verdana" w:hAnsi="Verdana"/>
          <w:sz w:val="20"/>
          <w:szCs w:val="20"/>
          <w:lang w:val="es-ES"/>
        </w:rPr>
        <w:footnoteReference w:id="191"/>
      </w:r>
      <w:r w:rsidRPr="002574F3">
        <w:rPr>
          <w:rFonts w:ascii="Verdana" w:hAnsi="Verdana"/>
          <w:sz w:val="20"/>
          <w:szCs w:val="20"/>
          <w:lang w:val="es-ES"/>
        </w:rPr>
        <w:t xml:space="preserve">. En el presente caso la Corte considera que la prisión preventiva ordenada en contra del señor Hernández no tuvo un fin legítimo amparado por la Convención, pues el Juez de la Causa en ningún momento hizo </w:t>
      </w:r>
      <w:r w:rsidRPr="00051ED2">
        <w:rPr>
          <w:rFonts w:ascii="Verdana" w:hAnsi="Verdana"/>
          <w:sz w:val="20"/>
          <w:szCs w:val="20"/>
          <w:lang w:val="es-ES"/>
        </w:rPr>
        <w:t xml:space="preserve">mención de la necesidad de dictar </w:t>
      </w:r>
      <w:r w:rsidRPr="00051ED2">
        <w:rPr>
          <w:rFonts w:ascii="Verdana" w:hAnsi="Verdana"/>
          <w:sz w:val="20"/>
          <w:szCs w:val="20"/>
          <w:lang w:val="es-ES"/>
        </w:rPr>
        <w:lastRenderedPageBreak/>
        <w:t xml:space="preserve">dicha medida con la finalidad de evitar la obstaculización del desarrollo del proceso o que se eludiera la acción de la justicia, y centro en cambio su argumentación en acreditar la existencia de elementos de prueba sobre </w:t>
      </w:r>
      <w:r w:rsidRPr="002574F3">
        <w:rPr>
          <w:rFonts w:ascii="Verdana" w:hAnsi="Verdana"/>
          <w:sz w:val="20"/>
          <w:szCs w:val="20"/>
          <w:lang w:val="es-ES"/>
        </w:rPr>
        <w:t>la posible responsabilidad penal del señor Hernández.</w:t>
      </w:r>
    </w:p>
    <w:p w14:paraId="21DB5B7C" w14:textId="77777777" w:rsidR="00C97BC1" w:rsidRPr="002574F3" w:rsidRDefault="00C97BC1" w:rsidP="00C97BC1">
      <w:pPr>
        <w:widowControl w:val="0"/>
        <w:tabs>
          <w:tab w:val="left" w:pos="567"/>
        </w:tabs>
        <w:adjustRightInd w:val="0"/>
        <w:spacing w:after="0" w:line="240" w:lineRule="auto"/>
        <w:jc w:val="both"/>
        <w:textAlignment w:val="baseline"/>
        <w:rPr>
          <w:rFonts w:ascii="Verdana" w:hAnsi="Verdana"/>
          <w:sz w:val="20"/>
          <w:szCs w:val="20"/>
          <w:lang w:val="es-ES"/>
        </w:rPr>
      </w:pPr>
    </w:p>
    <w:p w14:paraId="77517976" w14:textId="77777777" w:rsidR="005F02C0" w:rsidRPr="00C97BC1" w:rsidRDefault="005F02C0"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sz w:val="20"/>
          <w:szCs w:val="20"/>
          <w:lang w:val="es-ES"/>
        </w:rPr>
      </w:pPr>
      <w:r w:rsidRPr="002574F3">
        <w:rPr>
          <w:rFonts w:ascii="Verdana" w:hAnsi="Verdana"/>
          <w:sz w:val="20"/>
          <w:szCs w:val="20"/>
          <w:lang w:val="es-ES"/>
        </w:rPr>
        <w:t xml:space="preserve">En virtud de lo expuesto, la Corte considera que </w:t>
      </w:r>
      <w:r w:rsidR="00447940" w:rsidRPr="002574F3">
        <w:rPr>
          <w:rFonts w:ascii="Verdana" w:hAnsi="Verdana"/>
          <w:sz w:val="20"/>
          <w:szCs w:val="20"/>
          <w:lang w:val="es-ES"/>
        </w:rPr>
        <w:t>aun</w:t>
      </w:r>
      <w:r w:rsidRPr="002574F3">
        <w:rPr>
          <w:rFonts w:ascii="Verdana" w:hAnsi="Verdana"/>
          <w:sz w:val="20"/>
          <w:szCs w:val="20"/>
          <w:lang w:val="es-ES"/>
        </w:rPr>
        <w:t xml:space="preserve"> cuando la prisión preventiva del señor Hernández cumplió con el requisito de legalidad, y que el Juez de la Causa verificó la existencia de indicios de responsabilidad en la comisión del delito que se le imputaba, la misma no perseguía</w:t>
      </w:r>
      <w:r w:rsidR="00860F91" w:rsidRPr="002574F3">
        <w:rPr>
          <w:rFonts w:ascii="Verdana" w:hAnsi="Verdana"/>
          <w:sz w:val="20"/>
          <w:szCs w:val="20"/>
          <w:lang w:val="es-ES"/>
        </w:rPr>
        <w:t xml:space="preserve"> un</w:t>
      </w:r>
      <w:r w:rsidRPr="002574F3">
        <w:rPr>
          <w:rFonts w:ascii="Verdana" w:hAnsi="Verdana"/>
          <w:sz w:val="20"/>
          <w:szCs w:val="20"/>
          <w:lang w:val="es-ES"/>
        </w:rPr>
        <w:t xml:space="preserve"> fin legítimo y constituyó un juicio anticipado sobre la responsabilidad penal del imputado. </w:t>
      </w:r>
      <w:r w:rsidRPr="002574F3">
        <w:rPr>
          <w:rFonts w:ascii="Verdana" w:hAnsi="Verdana"/>
          <w:sz w:val="20"/>
          <w:szCs w:val="20"/>
        </w:rPr>
        <w:t>Consecuentemente</w:t>
      </w:r>
      <w:r w:rsidRPr="002574F3">
        <w:rPr>
          <w:rFonts w:ascii="Verdana" w:hAnsi="Verdana"/>
          <w:sz w:val="20"/>
          <w:szCs w:val="20"/>
          <w:lang w:val="es-ES"/>
        </w:rPr>
        <w:t xml:space="preserve">, la medida cautelar constituyó una detención arbitraria y una violación a la presunción de inocencia. </w:t>
      </w:r>
      <w:r w:rsidRPr="002574F3">
        <w:rPr>
          <w:rFonts w:ascii="Verdana" w:hAnsi="Verdana"/>
          <w:sz w:val="20"/>
          <w:szCs w:val="20"/>
        </w:rPr>
        <w:t>En razón de ello, la Corte concluye que el Estado es responsable por la violación del derecho a la libertad personal y a las garantías judiciales en términos de los artículos 7.1, 7.3 y 8.2 de la Convención Americana de Derechos Humanos, en relación con el artículo 1.1 del mismo instrumento, en perjuicio de José Luis Hernández.</w:t>
      </w:r>
    </w:p>
    <w:p w14:paraId="0BADA6C5" w14:textId="77777777" w:rsidR="00C97BC1" w:rsidRPr="002574F3" w:rsidRDefault="00C97BC1" w:rsidP="00C97BC1">
      <w:pPr>
        <w:widowControl w:val="0"/>
        <w:tabs>
          <w:tab w:val="left" w:pos="567"/>
        </w:tabs>
        <w:adjustRightInd w:val="0"/>
        <w:spacing w:after="0" w:line="240" w:lineRule="auto"/>
        <w:jc w:val="both"/>
        <w:textAlignment w:val="baseline"/>
        <w:rPr>
          <w:rFonts w:ascii="Verdana" w:hAnsi="Verdana"/>
          <w:sz w:val="20"/>
          <w:szCs w:val="20"/>
          <w:lang w:val="es-ES"/>
        </w:rPr>
      </w:pPr>
    </w:p>
    <w:p w14:paraId="1FE393A2" w14:textId="39AC72DB" w:rsidR="005F02C0" w:rsidRPr="005B0214" w:rsidRDefault="005B0214" w:rsidP="005B0214">
      <w:pPr>
        <w:pStyle w:val="Ttulo2"/>
        <w:numPr>
          <w:ilvl w:val="0"/>
          <w:numId w:val="0"/>
        </w:numPr>
        <w:jc w:val="center"/>
        <w:rPr>
          <w:i w:val="0"/>
        </w:rPr>
      </w:pPr>
      <w:bookmarkStart w:id="70" w:name="_Toc27509178"/>
      <w:r w:rsidRPr="00E20E38">
        <w:rPr>
          <w:rFonts w:eastAsia="Times New Roman" w:cs="Verdana"/>
          <w:bCs/>
          <w:i w:val="0"/>
          <w:caps/>
          <w:snapToGrid w:val="0"/>
          <w:lang w:val="es-ES_tradnl"/>
        </w:rPr>
        <w:t>VII-3</w:t>
      </w:r>
      <w:r w:rsidRPr="00E20E38">
        <w:rPr>
          <w:rFonts w:eastAsia="Times New Roman" w:cs="Verdana"/>
          <w:bCs/>
          <w:i w:val="0"/>
          <w:caps/>
          <w:snapToGrid w:val="0"/>
          <w:lang w:val="es-ES_tradnl"/>
        </w:rPr>
        <w:br/>
      </w:r>
      <w:r w:rsidR="005F02C0" w:rsidRPr="00E20E38">
        <w:rPr>
          <w:i w:val="0"/>
        </w:rPr>
        <w:t>DERECHO</w:t>
      </w:r>
      <w:r w:rsidR="00CE6C26">
        <w:rPr>
          <w:i w:val="0"/>
        </w:rPr>
        <w:t>S</w:t>
      </w:r>
      <w:r w:rsidR="005F02C0" w:rsidRPr="00E20E38">
        <w:rPr>
          <w:i w:val="0"/>
        </w:rPr>
        <w:t xml:space="preserve"> A LAS GARANTÍAS JUDICIALES</w:t>
      </w:r>
      <w:r w:rsidR="00A11305" w:rsidRPr="00E20E38">
        <w:rPr>
          <w:rStyle w:val="Refdenotaalpie"/>
          <w:i w:val="0"/>
        </w:rPr>
        <w:footnoteReference w:id="192"/>
      </w:r>
      <w:r w:rsidR="005F02C0" w:rsidRPr="00E20E38">
        <w:rPr>
          <w:i w:val="0"/>
        </w:rPr>
        <w:t xml:space="preserve"> Y A LA PROTECCIÓN JUDICIAL</w:t>
      </w:r>
      <w:r w:rsidR="000051FF" w:rsidRPr="00E20E38">
        <w:rPr>
          <w:rStyle w:val="Refdenotaalpie"/>
          <w:i w:val="0"/>
        </w:rPr>
        <w:footnoteReference w:id="193"/>
      </w:r>
      <w:bookmarkEnd w:id="70"/>
    </w:p>
    <w:p w14:paraId="78A36CF0" w14:textId="77777777" w:rsidR="00C97BC1" w:rsidRPr="00E25884" w:rsidRDefault="00C97BC1" w:rsidP="00C97BC1">
      <w:pPr>
        <w:pStyle w:val="Estilo1"/>
        <w:tabs>
          <w:tab w:val="clear" w:pos="567"/>
          <w:tab w:val="clear" w:pos="6042"/>
          <w:tab w:val="left" w:pos="709"/>
        </w:tabs>
        <w:spacing w:after="0"/>
        <w:ind w:left="1134" w:right="-4"/>
        <w:outlineLvl w:val="1"/>
        <w:rPr>
          <w:b/>
          <w:i/>
          <w:color w:val="000000" w:themeColor="text1"/>
          <w:sz w:val="20"/>
          <w:szCs w:val="20"/>
          <w:lang w:val="es-ES"/>
        </w:rPr>
      </w:pPr>
    </w:p>
    <w:p w14:paraId="30973125" w14:textId="77777777" w:rsidR="005F02C0" w:rsidRPr="0024556C" w:rsidRDefault="005F02C0" w:rsidP="00CB2656">
      <w:pPr>
        <w:pStyle w:val="Estilo1"/>
        <w:numPr>
          <w:ilvl w:val="0"/>
          <w:numId w:val="18"/>
        </w:numPr>
        <w:tabs>
          <w:tab w:val="clear" w:pos="567"/>
          <w:tab w:val="left" w:pos="709"/>
        </w:tabs>
        <w:spacing w:after="0"/>
        <w:ind w:right="-4"/>
        <w:outlineLvl w:val="2"/>
        <w:rPr>
          <w:rFonts w:cs="Verdana"/>
          <w:b/>
          <w:i/>
          <w:color w:val="000000" w:themeColor="text1"/>
          <w:sz w:val="20"/>
          <w:szCs w:val="20"/>
          <w:lang w:val="es-ES"/>
        </w:rPr>
      </w:pPr>
      <w:bookmarkStart w:id="71" w:name="_Toc27509179"/>
      <w:r w:rsidRPr="0024556C">
        <w:rPr>
          <w:rFonts w:cs="Verdana"/>
          <w:b/>
          <w:i/>
          <w:color w:val="000000" w:themeColor="text1"/>
          <w:sz w:val="20"/>
          <w:szCs w:val="20"/>
          <w:lang w:val="es-ES"/>
        </w:rPr>
        <w:t>Argumentos de la Comisión y de las partes</w:t>
      </w:r>
      <w:bookmarkEnd w:id="71"/>
    </w:p>
    <w:p w14:paraId="334518F5" w14:textId="77777777" w:rsidR="00C97BC1" w:rsidRPr="00E25884" w:rsidRDefault="00C97BC1" w:rsidP="00C97BC1">
      <w:pPr>
        <w:pStyle w:val="Estilo1"/>
        <w:tabs>
          <w:tab w:val="clear" w:pos="567"/>
          <w:tab w:val="clear" w:pos="6042"/>
          <w:tab w:val="left" w:pos="709"/>
        </w:tabs>
        <w:spacing w:after="0"/>
        <w:ind w:left="720" w:right="-4"/>
        <w:outlineLvl w:val="2"/>
        <w:rPr>
          <w:rFonts w:cs="Verdana"/>
          <w:b/>
          <w:color w:val="000000" w:themeColor="text1"/>
          <w:sz w:val="20"/>
          <w:szCs w:val="20"/>
          <w:lang w:val="es-ES"/>
        </w:rPr>
      </w:pPr>
    </w:p>
    <w:p w14:paraId="7CDB3189" w14:textId="4803347D" w:rsidR="005F02C0" w:rsidRPr="00E20E38" w:rsidRDefault="005F02C0"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cs="Verdana"/>
          <w:color w:val="000000" w:themeColor="text1"/>
          <w:sz w:val="20"/>
          <w:szCs w:val="20"/>
          <w:lang w:val="es-ES"/>
        </w:rPr>
      </w:pPr>
      <w:bookmarkStart w:id="72" w:name="_Hlk16156748"/>
      <w:r w:rsidRPr="00E25884">
        <w:rPr>
          <w:rFonts w:ascii="Verdana" w:hAnsi="Verdana" w:cs="Verdana"/>
          <w:color w:val="000000" w:themeColor="text1"/>
          <w:sz w:val="20"/>
          <w:szCs w:val="20"/>
          <w:lang w:val="es-ES"/>
        </w:rPr>
        <w:t xml:space="preserve">La </w:t>
      </w:r>
      <w:r w:rsidRPr="00860F91">
        <w:rPr>
          <w:rFonts w:ascii="Verdana" w:hAnsi="Verdana" w:cs="Verdana"/>
          <w:b/>
          <w:i/>
          <w:color w:val="000000" w:themeColor="text1"/>
          <w:sz w:val="20"/>
          <w:szCs w:val="20"/>
          <w:lang w:val="es-ES"/>
        </w:rPr>
        <w:t>Comisión</w:t>
      </w:r>
      <w:r w:rsidRPr="00E25884">
        <w:rPr>
          <w:rFonts w:ascii="Verdana" w:hAnsi="Verdana" w:cs="Verdana"/>
          <w:b/>
          <w:color w:val="000000" w:themeColor="text1"/>
          <w:sz w:val="20"/>
          <w:szCs w:val="20"/>
          <w:lang w:val="es-ES"/>
        </w:rPr>
        <w:t xml:space="preserve"> </w:t>
      </w:r>
      <w:r w:rsidRPr="00E25884">
        <w:rPr>
          <w:rFonts w:ascii="Verdana" w:hAnsi="Verdana" w:cs="Verdana"/>
          <w:color w:val="000000" w:themeColor="text1"/>
          <w:sz w:val="20"/>
          <w:szCs w:val="20"/>
          <w:lang w:val="es-ES"/>
        </w:rPr>
        <w:t>alegó que mientras el señor Hernández se encontraba detenido no tuvo acceso a un recurso judicial efectivo, pues el Juez de la Causa se limitó a ordenar atención médica cuando su madre denunció sus dolencias, pero sin realizar se</w:t>
      </w:r>
      <w:r w:rsidR="00E20E38">
        <w:rPr>
          <w:rFonts w:ascii="Verdana" w:hAnsi="Verdana" w:cs="Verdana"/>
          <w:color w:val="000000" w:themeColor="text1"/>
          <w:sz w:val="20"/>
          <w:szCs w:val="20"/>
          <w:lang w:val="es-ES"/>
        </w:rPr>
        <w:t>guimiento al tratamiento médico</w:t>
      </w:r>
      <w:r w:rsidRPr="00E25884">
        <w:rPr>
          <w:rFonts w:ascii="Verdana" w:hAnsi="Verdana" w:cs="Verdana"/>
          <w:color w:val="000000" w:themeColor="text1"/>
          <w:sz w:val="20"/>
          <w:szCs w:val="20"/>
          <w:lang w:val="es-ES"/>
        </w:rPr>
        <w:t>. Asimismo, manifestó que, una vez que el Juez de la Causa tuvo conocimiento de los fuertes dolores de cabeza del señor Hernández, tardó dos semanas en ordenar que se le brindara atención mé</w:t>
      </w:r>
      <w:r w:rsidR="00E20E38">
        <w:rPr>
          <w:rFonts w:ascii="Verdana" w:hAnsi="Verdana" w:cs="Verdana"/>
          <w:color w:val="000000" w:themeColor="text1"/>
          <w:sz w:val="20"/>
          <w:szCs w:val="20"/>
          <w:lang w:val="es-ES"/>
        </w:rPr>
        <w:t>dica especializada y particular</w:t>
      </w:r>
      <w:r w:rsidRPr="00E25884">
        <w:rPr>
          <w:rFonts w:ascii="Verdana" w:hAnsi="Verdana" w:cs="Verdana"/>
          <w:color w:val="000000" w:themeColor="text1"/>
          <w:sz w:val="20"/>
          <w:szCs w:val="20"/>
          <w:lang w:val="es-ES"/>
        </w:rPr>
        <w:t xml:space="preserve">. La </w:t>
      </w:r>
      <w:r w:rsidRPr="00E25884">
        <w:rPr>
          <w:rFonts w:ascii="Verdana" w:hAnsi="Verdana"/>
          <w:sz w:val="20"/>
          <w:szCs w:val="20"/>
        </w:rPr>
        <w:t>Comisión</w:t>
      </w:r>
      <w:r w:rsidRPr="00E25884">
        <w:rPr>
          <w:rFonts w:ascii="Verdana" w:hAnsi="Verdana" w:cs="Verdana"/>
          <w:color w:val="000000" w:themeColor="text1"/>
          <w:sz w:val="20"/>
          <w:szCs w:val="20"/>
          <w:lang w:val="es-ES"/>
        </w:rPr>
        <w:t xml:space="preserve"> alegó que el Juez de la Causa recibió información consistente sobre el estado de salud del señor Hernández y sin embargo no existió una respuesta adecuada ante estas falencias. La Comisión también sostuvo que, en el marco de la solicitud de excarcelación extraordinaria, el juez se limitó a afirmar que el señor Hernández estaba recibiendo atención médica adecuada para negar dicha solicitud, sin motiv</w:t>
      </w:r>
      <w:r w:rsidR="00E20E38">
        <w:rPr>
          <w:rFonts w:ascii="Verdana" w:hAnsi="Verdana" w:cs="Verdana"/>
          <w:color w:val="000000" w:themeColor="text1"/>
          <w:sz w:val="20"/>
          <w:szCs w:val="20"/>
          <w:lang w:val="es-ES"/>
        </w:rPr>
        <w:t>ar debidamente dicha afirmación</w:t>
      </w:r>
      <w:r w:rsidRPr="00E25884">
        <w:rPr>
          <w:rFonts w:ascii="Verdana" w:hAnsi="Verdana" w:cs="Verdana"/>
          <w:color w:val="000000" w:themeColor="text1"/>
          <w:sz w:val="20"/>
          <w:szCs w:val="20"/>
          <w:lang w:val="es-ES"/>
        </w:rPr>
        <w:t>. En relación con la demanda de daños civiles y perjuicios, la Comisión concluyó que no existió violación a los artículos 8.1 y 25 de la Con</w:t>
      </w:r>
      <w:r w:rsidR="00E20E38">
        <w:rPr>
          <w:rFonts w:ascii="Verdana" w:hAnsi="Verdana" w:cs="Verdana"/>
          <w:color w:val="000000" w:themeColor="text1"/>
          <w:sz w:val="20"/>
          <w:szCs w:val="20"/>
          <w:lang w:val="es-ES"/>
        </w:rPr>
        <w:t>vención Americana</w:t>
      </w:r>
      <w:r w:rsidRPr="00E20E38">
        <w:rPr>
          <w:rFonts w:ascii="Verdana" w:hAnsi="Verdana" w:cs="Verdana"/>
          <w:color w:val="000000" w:themeColor="text1"/>
          <w:sz w:val="20"/>
          <w:szCs w:val="20"/>
          <w:lang w:val="es-ES"/>
        </w:rPr>
        <w:t>.</w:t>
      </w:r>
    </w:p>
    <w:p w14:paraId="0008605D" w14:textId="77777777" w:rsidR="00C97BC1" w:rsidRPr="00E25884" w:rsidRDefault="00C97BC1" w:rsidP="00C97BC1">
      <w:pPr>
        <w:widowControl w:val="0"/>
        <w:tabs>
          <w:tab w:val="left" w:pos="567"/>
        </w:tabs>
        <w:adjustRightInd w:val="0"/>
        <w:spacing w:after="0" w:line="240" w:lineRule="auto"/>
        <w:jc w:val="both"/>
        <w:textAlignment w:val="baseline"/>
        <w:rPr>
          <w:rFonts w:ascii="Verdana" w:hAnsi="Verdana" w:cs="Verdana"/>
          <w:i/>
          <w:color w:val="000000" w:themeColor="text1"/>
          <w:sz w:val="20"/>
          <w:szCs w:val="20"/>
          <w:lang w:val="es-ES"/>
        </w:rPr>
      </w:pPr>
    </w:p>
    <w:p w14:paraId="5C65928B" w14:textId="72916B16" w:rsidR="005F02C0" w:rsidRPr="00C97BC1" w:rsidRDefault="005F02C0"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cs="Verdana"/>
          <w:i/>
          <w:color w:val="000000" w:themeColor="text1"/>
          <w:sz w:val="20"/>
          <w:szCs w:val="20"/>
          <w:lang w:val="es-ES"/>
        </w:rPr>
      </w:pPr>
      <w:r w:rsidRPr="00E25884">
        <w:rPr>
          <w:rFonts w:ascii="Verdana" w:hAnsi="Verdana" w:cs="Verdana"/>
          <w:color w:val="000000" w:themeColor="text1"/>
          <w:sz w:val="20"/>
          <w:szCs w:val="20"/>
          <w:lang w:val="es-ES"/>
        </w:rPr>
        <w:t xml:space="preserve">Los </w:t>
      </w:r>
      <w:r w:rsidRPr="00860F91">
        <w:rPr>
          <w:rFonts w:ascii="Verdana" w:hAnsi="Verdana" w:cs="Verdana"/>
          <w:b/>
          <w:i/>
          <w:color w:val="000000" w:themeColor="text1"/>
          <w:sz w:val="20"/>
          <w:szCs w:val="20"/>
          <w:lang w:val="es-ES"/>
        </w:rPr>
        <w:t>representantes</w:t>
      </w:r>
      <w:r w:rsidRPr="00E25884">
        <w:rPr>
          <w:rFonts w:ascii="Verdana" w:hAnsi="Verdana" w:cs="Verdana"/>
          <w:color w:val="000000" w:themeColor="text1"/>
          <w:sz w:val="20"/>
          <w:szCs w:val="20"/>
          <w:lang w:val="es-ES"/>
        </w:rPr>
        <w:t xml:space="preserve"> señalaron que el señor Hernández no contó con un recurso efectivo para denunciar la enfermedad y sus secuelas, porque en las ocasiones en que se informó de los detrimentos a su salud las autoridades no adoptaron medidas eficaces para su oportuna atención. Alegaron que era insuficiente que el Juez de la Causa emitiera algunas determinaciones si no verificaba su cumplimiento, pues las convertía e</w:t>
      </w:r>
      <w:r w:rsidR="00E20E38">
        <w:rPr>
          <w:rFonts w:ascii="Verdana" w:hAnsi="Verdana" w:cs="Verdana"/>
          <w:color w:val="000000" w:themeColor="text1"/>
          <w:sz w:val="20"/>
          <w:szCs w:val="20"/>
          <w:lang w:val="es-ES"/>
        </w:rPr>
        <w:t>n cuestiones meramente formales</w:t>
      </w:r>
      <w:r w:rsidRPr="00E25884">
        <w:rPr>
          <w:rFonts w:ascii="Verdana" w:hAnsi="Verdana" w:cs="Verdana"/>
          <w:color w:val="000000" w:themeColor="text1"/>
          <w:sz w:val="20"/>
          <w:szCs w:val="20"/>
          <w:lang w:val="es-ES"/>
        </w:rPr>
        <w:t>. Además, manifestaron que el juzgado no realizó un seguimiento eficaz de los hechos</w:t>
      </w:r>
      <w:r w:rsidRPr="00E20E38">
        <w:rPr>
          <w:rFonts w:ascii="Verdana" w:hAnsi="Verdana" w:cs="Verdana"/>
          <w:color w:val="000000" w:themeColor="text1"/>
          <w:sz w:val="20"/>
          <w:szCs w:val="20"/>
          <w:lang w:val="es-ES"/>
        </w:rPr>
        <w:t xml:space="preserve">. </w:t>
      </w:r>
      <w:r w:rsidRPr="00E25884">
        <w:rPr>
          <w:rFonts w:ascii="Verdana" w:hAnsi="Verdana" w:cs="Verdana"/>
          <w:color w:val="000000" w:themeColor="text1"/>
          <w:sz w:val="20"/>
          <w:szCs w:val="20"/>
          <w:lang w:val="es-ES"/>
        </w:rPr>
        <w:t>Los representantes también</w:t>
      </w:r>
      <w:r w:rsidRPr="00E25884">
        <w:rPr>
          <w:rFonts w:ascii="Verdana" w:hAnsi="Verdana" w:cs="Verdana"/>
          <w:b/>
          <w:color w:val="000000" w:themeColor="text1"/>
          <w:sz w:val="20"/>
          <w:szCs w:val="20"/>
          <w:lang w:val="es-ES"/>
        </w:rPr>
        <w:t xml:space="preserve"> </w:t>
      </w:r>
      <w:r w:rsidRPr="00E25884">
        <w:rPr>
          <w:rFonts w:ascii="Verdana" w:hAnsi="Verdana" w:cs="Verdana"/>
          <w:color w:val="000000" w:themeColor="text1"/>
          <w:sz w:val="20"/>
          <w:szCs w:val="20"/>
          <w:lang w:val="es-ES"/>
        </w:rPr>
        <w:t>alegaron que la Ley 10.484 establecía supuestos de excepción a la excarcelación que permitía</w:t>
      </w:r>
      <w:r w:rsidR="00860F91">
        <w:rPr>
          <w:rFonts w:ascii="Verdana" w:hAnsi="Verdana" w:cs="Verdana"/>
          <w:color w:val="000000" w:themeColor="text1"/>
          <w:sz w:val="20"/>
          <w:szCs w:val="20"/>
          <w:lang w:val="es-ES"/>
        </w:rPr>
        <w:t>n</w:t>
      </w:r>
      <w:r w:rsidRPr="00E25884">
        <w:rPr>
          <w:rFonts w:ascii="Verdana" w:hAnsi="Verdana" w:cs="Verdana"/>
          <w:color w:val="000000" w:themeColor="text1"/>
          <w:sz w:val="20"/>
          <w:szCs w:val="20"/>
          <w:lang w:val="es-ES"/>
        </w:rPr>
        <w:t xml:space="preserve"> concederla</w:t>
      </w:r>
      <w:r w:rsidRPr="00E20E38">
        <w:rPr>
          <w:rFonts w:ascii="Verdana" w:hAnsi="Verdana" w:cs="Verdana"/>
          <w:color w:val="000000" w:themeColor="text1"/>
          <w:sz w:val="20"/>
          <w:szCs w:val="20"/>
          <w:lang w:val="es-ES"/>
        </w:rPr>
        <w:t xml:space="preserve"> </w:t>
      </w:r>
      <w:r w:rsidRPr="00E25884">
        <w:rPr>
          <w:rFonts w:ascii="Verdana" w:hAnsi="Verdana" w:cs="Verdana"/>
          <w:color w:val="000000" w:themeColor="text1"/>
          <w:sz w:val="20"/>
          <w:szCs w:val="20"/>
          <w:lang w:val="es-ES"/>
        </w:rPr>
        <w:t>y que el señor Hernández se encontraba en esos supuestos. Por esta razón, la negativa de excarcelarlo resultaba una decisión irrazonable que además invirtió la carga de la prueba sobre los fines procesales y resultaba contraria a la Convención</w:t>
      </w:r>
      <w:r w:rsidRPr="00E20E38">
        <w:rPr>
          <w:rFonts w:ascii="Verdana" w:hAnsi="Verdana" w:cs="Verdana"/>
          <w:color w:val="000000" w:themeColor="text1"/>
          <w:sz w:val="20"/>
          <w:szCs w:val="20"/>
          <w:lang w:val="es-ES"/>
        </w:rPr>
        <w:t>.</w:t>
      </w:r>
      <w:r w:rsidRPr="00E25884">
        <w:rPr>
          <w:rFonts w:ascii="Verdana" w:hAnsi="Verdana" w:cs="Verdana"/>
          <w:b/>
          <w:color w:val="000000" w:themeColor="text1"/>
          <w:sz w:val="20"/>
          <w:szCs w:val="20"/>
          <w:lang w:val="es-ES"/>
        </w:rPr>
        <w:t xml:space="preserve"> </w:t>
      </w:r>
      <w:r w:rsidRPr="00E25884">
        <w:rPr>
          <w:rFonts w:ascii="Verdana" w:hAnsi="Verdana" w:cs="Verdana"/>
          <w:color w:val="000000" w:themeColor="text1"/>
          <w:sz w:val="20"/>
          <w:szCs w:val="20"/>
          <w:lang w:val="es-ES"/>
        </w:rPr>
        <w:t>Finalmente, los representantes alegaron que el cómputo del término de prescripción de la acción civil por daños y perjuicios fue equivocado, ya que debió considerarse que se promovió el 2 de abril de 1993, porque no podía intentarse antes pues la presunta víctima se encontraba bajo el control excluyente de quienes le ocasionaron el daño e interponer la demanda podría haber ocasionado un riesgo mayor y posibles represalias.</w:t>
      </w:r>
      <w:r w:rsidRPr="00E25884">
        <w:rPr>
          <w:rFonts w:ascii="Verdana" w:hAnsi="Verdana" w:cs="Verdana"/>
          <w:b/>
          <w:color w:val="000000" w:themeColor="text1"/>
          <w:sz w:val="20"/>
          <w:szCs w:val="20"/>
          <w:lang w:val="es-ES"/>
        </w:rPr>
        <w:t xml:space="preserve"> </w:t>
      </w:r>
      <w:r w:rsidRPr="00E25884">
        <w:rPr>
          <w:rFonts w:ascii="Verdana" w:hAnsi="Verdana" w:cs="Verdana"/>
          <w:color w:val="000000" w:themeColor="text1"/>
          <w:sz w:val="20"/>
          <w:szCs w:val="20"/>
          <w:lang w:val="es-ES"/>
        </w:rPr>
        <w:t>En ese sentido alegaron que hasta el 4 de abril de 1991 el Servicio Penitenciario presentó el diagnóstico definitivo en el expediente penal, por lo que tuvo cabal conocimiento de los daños y secuelas sufridas</w:t>
      </w:r>
      <w:r w:rsidR="00C97BC1">
        <w:rPr>
          <w:rFonts w:ascii="Verdana" w:hAnsi="Verdana" w:cs="Verdana"/>
          <w:color w:val="000000" w:themeColor="text1"/>
          <w:sz w:val="20"/>
          <w:szCs w:val="20"/>
          <w:lang w:val="es-ES"/>
        </w:rPr>
        <w:t>.</w:t>
      </w:r>
    </w:p>
    <w:p w14:paraId="3FB3D8A2" w14:textId="77777777" w:rsidR="00C97BC1" w:rsidRPr="00E25884" w:rsidRDefault="00C97BC1" w:rsidP="00C97BC1">
      <w:pPr>
        <w:widowControl w:val="0"/>
        <w:tabs>
          <w:tab w:val="left" w:pos="567"/>
        </w:tabs>
        <w:adjustRightInd w:val="0"/>
        <w:spacing w:after="0" w:line="240" w:lineRule="auto"/>
        <w:jc w:val="both"/>
        <w:textAlignment w:val="baseline"/>
        <w:rPr>
          <w:rFonts w:ascii="Verdana" w:hAnsi="Verdana" w:cs="Verdana"/>
          <w:i/>
          <w:color w:val="000000" w:themeColor="text1"/>
          <w:sz w:val="20"/>
          <w:szCs w:val="20"/>
          <w:lang w:val="es-ES"/>
        </w:rPr>
      </w:pPr>
    </w:p>
    <w:p w14:paraId="718A82CF" w14:textId="7C95B628" w:rsidR="005F02C0" w:rsidRPr="00E20E38" w:rsidRDefault="005F02C0"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cs="Verdana"/>
          <w:color w:val="000000" w:themeColor="text1"/>
          <w:sz w:val="20"/>
          <w:szCs w:val="20"/>
          <w:lang w:val="es-ES"/>
        </w:rPr>
      </w:pPr>
      <w:r w:rsidRPr="00E25884">
        <w:rPr>
          <w:rFonts w:ascii="Verdana" w:hAnsi="Verdana" w:cs="Verdana"/>
          <w:color w:val="000000" w:themeColor="text1"/>
          <w:sz w:val="20"/>
          <w:szCs w:val="20"/>
          <w:lang w:val="es-ES"/>
        </w:rPr>
        <w:t xml:space="preserve">El </w:t>
      </w:r>
      <w:r w:rsidRPr="00860F91">
        <w:rPr>
          <w:rFonts w:ascii="Verdana" w:hAnsi="Verdana" w:cs="Verdana"/>
          <w:b/>
          <w:i/>
          <w:color w:val="000000" w:themeColor="text1"/>
          <w:sz w:val="20"/>
          <w:szCs w:val="20"/>
          <w:lang w:val="es-ES"/>
        </w:rPr>
        <w:t>Estado</w:t>
      </w:r>
      <w:r w:rsidRPr="00E25884">
        <w:rPr>
          <w:rFonts w:ascii="Verdana" w:hAnsi="Verdana" w:cs="Verdana"/>
          <w:color w:val="000000" w:themeColor="text1"/>
          <w:sz w:val="20"/>
          <w:szCs w:val="20"/>
          <w:lang w:val="es-ES"/>
        </w:rPr>
        <w:t xml:space="preserve"> alegó que el Juez de la Causa atendió las solicitudes de la madre del señor </w:t>
      </w:r>
      <w:r w:rsidRPr="00E25884">
        <w:rPr>
          <w:rFonts w:ascii="Verdana" w:hAnsi="Verdana" w:cs="Verdana"/>
          <w:color w:val="000000" w:themeColor="text1"/>
          <w:sz w:val="20"/>
          <w:szCs w:val="20"/>
          <w:lang w:val="es-ES"/>
        </w:rPr>
        <w:lastRenderedPageBreak/>
        <w:t>Hernández sobre la salud de su hijo y dio un seguimiento adecuado, tal y como consta en las órdenes del 2 de agosto de 1990 y de 14 de agosto de 1990, así como en las constancias sobre el tratamiento y evolución favorable de 12 de diciembre de 1990 y 12 de abril de 1991. En cuanto al recurso de excarcelación extraordinaria, el Estado alegó que ésta se ajustó a las normas vigentes al momento de los hechos y que no debía valorarse tal situación a la luz de la normativa y jurisprudencia actuales</w:t>
      </w:r>
      <w:r w:rsidRPr="00E20E38">
        <w:rPr>
          <w:rFonts w:ascii="Verdana" w:hAnsi="Verdana" w:cs="Verdana"/>
          <w:color w:val="000000" w:themeColor="text1"/>
          <w:sz w:val="20"/>
          <w:szCs w:val="20"/>
          <w:lang w:val="es-ES"/>
        </w:rPr>
        <w:t>.</w:t>
      </w:r>
      <w:r w:rsidRPr="00E25884">
        <w:rPr>
          <w:rFonts w:ascii="Verdana" w:hAnsi="Verdana" w:cs="Verdana"/>
          <w:b/>
          <w:color w:val="000000" w:themeColor="text1"/>
          <w:sz w:val="20"/>
          <w:szCs w:val="20"/>
          <w:lang w:val="es-ES"/>
        </w:rPr>
        <w:t xml:space="preserve"> </w:t>
      </w:r>
      <w:r w:rsidRPr="00E25884">
        <w:rPr>
          <w:rFonts w:ascii="Verdana" w:hAnsi="Verdana" w:cs="Verdana"/>
          <w:color w:val="000000" w:themeColor="text1"/>
          <w:sz w:val="20"/>
          <w:szCs w:val="20"/>
          <w:lang w:val="es-ES"/>
        </w:rPr>
        <w:t>Finalmente, el Estado alegó sobre la acción de daños y perjuicios que en términos del artículo 4037 del Código Civil vigente en la época de los hechos, la acción por responsabilidad civil extracontractual del Estado prescribía en dos años contados desde el evento dañoso. Agregó que tal acción era el recurso idóneo para que el peticionario hubiera obtenido una reparación de los derechos alegados por la Comisión pero que fue utilizada con impericia al presentarse extemporáneamente, por lo que el 12 de septiembre de 1996 el Tribunal de Apelación confirmó la sentencia y posteriormente la Corte Suprema de Justicia rechazó los recursos extraordinario</w:t>
      </w:r>
      <w:r w:rsidR="00E67FD9">
        <w:rPr>
          <w:rFonts w:ascii="Verdana" w:hAnsi="Verdana" w:cs="Verdana"/>
          <w:color w:val="000000" w:themeColor="text1"/>
          <w:sz w:val="20"/>
          <w:szCs w:val="20"/>
          <w:lang w:val="es-ES"/>
        </w:rPr>
        <w:t>s</w:t>
      </w:r>
      <w:r w:rsidRPr="00E25884">
        <w:rPr>
          <w:rFonts w:ascii="Verdana" w:hAnsi="Verdana" w:cs="Verdana"/>
          <w:color w:val="000000" w:themeColor="text1"/>
          <w:sz w:val="20"/>
          <w:szCs w:val="20"/>
          <w:lang w:val="es-ES"/>
        </w:rPr>
        <w:t xml:space="preserve"> y de queja que también se interpusieron</w:t>
      </w:r>
      <w:r w:rsidRPr="00E20E38">
        <w:rPr>
          <w:rFonts w:ascii="Verdana" w:hAnsi="Verdana" w:cs="Verdana"/>
          <w:color w:val="000000" w:themeColor="text1"/>
          <w:sz w:val="20"/>
          <w:szCs w:val="20"/>
          <w:lang w:val="es-ES"/>
        </w:rPr>
        <w:t>.</w:t>
      </w:r>
    </w:p>
    <w:p w14:paraId="69C935BC" w14:textId="77777777" w:rsidR="00C97BC1" w:rsidRPr="00E25884" w:rsidRDefault="00C97BC1" w:rsidP="00C97BC1">
      <w:pPr>
        <w:widowControl w:val="0"/>
        <w:tabs>
          <w:tab w:val="left" w:pos="567"/>
        </w:tabs>
        <w:adjustRightInd w:val="0"/>
        <w:spacing w:after="0" w:line="240" w:lineRule="auto"/>
        <w:jc w:val="both"/>
        <w:textAlignment w:val="baseline"/>
        <w:rPr>
          <w:rFonts w:ascii="Verdana" w:hAnsi="Verdana" w:cs="Verdana"/>
          <w:i/>
          <w:color w:val="000000" w:themeColor="text1"/>
          <w:sz w:val="20"/>
          <w:szCs w:val="20"/>
          <w:lang w:val="es-ES"/>
        </w:rPr>
      </w:pPr>
    </w:p>
    <w:p w14:paraId="671F54EC" w14:textId="77777777" w:rsidR="005F02C0" w:rsidRPr="0024556C" w:rsidRDefault="005F02C0" w:rsidP="00CB2656">
      <w:pPr>
        <w:pStyle w:val="Estilo1"/>
        <w:numPr>
          <w:ilvl w:val="0"/>
          <w:numId w:val="18"/>
        </w:numPr>
        <w:tabs>
          <w:tab w:val="clear" w:pos="567"/>
          <w:tab w:val="left" w:pos="709"/>
        </w:tabs>
        <w:spacing w:after="0"/>
        <w:ind w:right="-4"/>
        <w:outlineLvl w:val="2"/>
        <w:rPr>
          <w:rFonts w:cs="Verdana"/>
          <w:b/>
          <w:i/>
          <w:color w:val="000000" w:themeColor="text1"/>
          <w:sz w:val="20"/>
          <w:szCs w:val="20"/>
          <w:lang w:val="es-ES"/>
        </w:rPr>
      </w:pPr>
      <w:bookmarkStart w:id="73" w:name="_Toc27509180"/>
      <w:bookmarkEnd w:id="72"/>
      <w:r w:rsidRPr="0024556C">
        <w:rPr>
          <w:rFonts w:cs="Verdana"/>
          <w:b/>
          <w:i/>
          <w:color w:val="000000" w:themeColor="text1"/>
          <w:sz w:val="20"/>
          <w:szCs w:val="20"/>
          <w:lang w:val="es-ES"/>
        </w:rPr>
        <w:t>Consideraciones de la Corte</w:t>
      </w:r>
      <w:bookmarkEnd w:id="73"/>
      <w:r w:rsidRPr="0024556C">
        <w:rPr>
          <w:rFonts w:cs="Verdana"/>
          <w:b/>
          <w:i/>
          <w:color w:val="000000" w:themeColor="text1"/>
          <w:sz w:val="20"/>
          <w:szCs w:val="20"/>
          <w:lang w:val="es-ES"/>
        </w:rPr>
        <w:t xml:space="preserve"> </w:t>
      </w:r>
    </w:p>
    <w:p w14:paraId="3809C397" w14:textId="77777777" w:rsidR="00C97BC1" w:rsidRPr="00E25884" w:rsidRDefault="00C97BC1" w:rsidP="00C97BC1">
      <w:pPr>
        <w:pStyle w:val="Estilo1"/>
        <w:tabs>
          <w:tab w:val="clear" w:pos="567"/>
          <w:tab w:val="clear" w:pos="6042"/>
          <w:tab w:val="left" w:pos="709"/>
        </w:tabs>
        <w:spacing w:after="0"/>
        <w:ind w:left="720" w:right="-4"/>
        <w:outlineLvl w:val="2"/>
        <w:rPr>
          <w:rFonts w:cs="Verdana"/>
          <w:b/>
          <w:color w:val="000000" w:themeColor="text1"/>
          <w:sz w:val="20"/>
          <w:szCs w:val="20"/>
          <w:lang w:val="es-ES"/>
        </w:rPr>
      </w:pPr>
    </w:p>
    <w:p w14:paraId="69A15A3C" w14:textId="77777777" w:rsidR="005F02C0" w:rsidRPr="00C97BC1" w:rsidRDefault="005F02C0"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cs="Verdana"/>
          <w:bCs/>
          <w:i/>
          <w:iCs/>
          <w:sz w:val="20"/>
          <w:szCs w:val="20"/>
          <w:lang w:val="es-CR"/>
        </w:rPr>
      </w:pPr>
      <w:r w:rsidRPr="00051ED2">
        <w:rPr>
          <w:rFonts w:ascii="Verdana" w:hAnsi="Verdana" w:cs="Verdana"/>
          <w:bCs/>
          <w:iCs/>
          <w:sz w:val="20"/>
          <w:szCs w:val="20"/>
          <w:lang w:val="es-CR"/>
        </w:rPr>
        <w:t xml:space="preserve">Este Tribunal ha señalado, en relación con el artículo 25.1 de la Convención, que dicha norma </w:t>
      </w:r>
      <w:r w:rsidRPr="00051ED2">
        <w:rPr>
          <w:rFonts w:ascii="Verdana" w:hAnsi="Verdana"/>
          <w:sz w:val="20"/>
          <w:szCs w:val="20"/>
          <w:lang w:val="es-CR"/>
        </w:rPr>
        <w:t>contempla la obligación de los Estados Partes de garantizar, a todas las personas bajo su jurisdicción, un recurso judicial efectivo contra actos violatorios de sus derechos fundamentales</w:t>
      </w:r>
      <w:r w:rsidRPr="00E25884">
        <w:rPr>
          <w:rFonts w:ascii="Verdana" w:hAnsi="Verdana"/>
          <w:sz w:val="20"/>
          <w:szCs w:val="20"/>
          <w:vertAlign w:val="superscript"/>
          <w:lang w:val="es-AR"/>
        </w:rPr>
        <w:footnoteReference w:id="194"/>
      </w:r>
      <w:r w:rsidRPr="00051ED2">
        <w:rPr>
          <w:rFonts w:ascii="Verdana" w:hAnsi="Verdana"/>
          <w:sz w:val="20"/>
          <w:szCs w:val="20"/>
          <w:lang w:val="es-CR"/>
        </w:rPr>
        <w:t xml:space="preserve">. Dicha efectividad supone que, además de la existencia formal de </w:t>
      </w:r>
      <w:r w:rsidRPr="00051ED2">
        <w:rPr>
          <w:rFonts w:ascii="Verdana" w:hAnsi="Verdana" w:cs="Arial"/>
          <w:sz w:val="20"/>
          <w:szCs w:val="20"/>
          <w:lang w:val="es-CR"/>
        </w:rPr>
        <w:t>los</w:t>
      </w:r>
      <w:r w:rsidRPr="00051ED2">
        <w:rPr>
          <w:rFonts w:ascii="Verdana" w:hAnsi="Verdana"/>
          <w:sz w:val="20"/>
          <w:szCs w:val="20"/>
          <w:lang w:val="es-CR"/>
        </w:rPr>
        <w:t xml:space="preserve"> recursos, éstos den resultados o respuestas a las violaciones de derechos contemplados ya sea en la Convención, en la Constitución o en las leyes</w:t>
      </w:r>
      <w:r w:rsidRPr="00E20E38">
        <w:rPr>
          <w:rStyle w:val="Refdenotaalpie"/>
          <w:rFonts w:ascii="Verdana" w:hAnsi="Verdana"/>
          <w:sz w:val="20"/>
          <w:szCs w:val="20"/>
        </w:rPr>
        <w:footnoteReference w:id="195"/>
      </w:r>
      <w:r w:rsidRPr="00E20E38">
        <w:rPr>
          <w:rFonts w:ascii="Verdana" w:hAnsi="Verdana"/>
          <w:sz w:val="20"/>
          <w:szCs w:val="20"/>
          <w:lang w:val="es-CR"/>
        </w:rPr>
        <w:t>.</w:t>
      </w:r>
      <w:r w:rsidRPr="00051ED2">
        <w:rPr>
          <w:rFonts w:ascii="Verdana" w:hAnsi="Verdana"/>
          <w:sz w:val="20"/>
          <w:szCs w:val="20"/>
          <w:lang w:val="es-CR"/>
        </w:rPr>
        <w:t xml:space="preserve"> </w:t>
      </w:r>
      <w:r w:rsidRPr="00051ED2">
        <w:rPr>
          <w:rFonts w:ascii="Verdana" w:hAnsi="Verdana" w:cs="Verdana"/>
          <w:bCs/>
          <w:iCs/>
          <w:sz w:val="20"/>
          <w:szCs w:val="20"/>
          <w:lang w:val="es-CR"/>
        </w:rPr>
        <w:t>Esto implica que el recurso debe ser idóneo para combatir la violación y que sea efectiva su aplicación por la autoridad competente</w:t>
      </w:r>
      <w:r w:rsidRPr="00E25884">
        <w:rPr>
          <w:rFonts w:ascii="Verdana" w:hAnsi="Verdana" w:cs="Verdana"/>
          <w:bCs/>
          <w:iCs/>
          <w:sz w:val="20"/>
          <w:szCs w:val="20"/>
          <w:vertAlign w:val="superscript"/>
        </w:rPr>
        <w:footnoteReference w:id="196"/>
      </w:r>
      <w:r w:rsidRPr="00051ED2">
        <w:rPr>
          <w:rFonts w:ascii="Verdana" w:hAnsi="Verdana" w:cs="Verdana"/>
          <w:bCs/>
          <w:iCs/>
          <w:sz w:val="20"/>
          <w:szCs w:val="20"/>
          <w:lang w:val="es-CR"/>
        </w:rPr>
        <w:t xml:space="preserve">. De igual </w:t>
      </w:r>
      <w:r w:rsidR="00B1500C" w:rsidRPr="00051ED2">
        <w:rPr>
          <w:rFonts w:ascii="Verdana" w:hAnsi="Verdana" w:cs="Verdana"/>
          <w:bCs/>
          <w:iCs/>
          <w:sz w:val="20"/>
          <w:szCs w:val="20"/>
          <w:lang w:val="es-CR"/>
        </w:rPr>
        <w:t>manera</w:t>
      </w:r>
      <w:r w:rsidRPr="00051ED2">
        <w:rPr>
          <w:rFonts w:ascii="Verdana" w:hAnsi="Verdana" w:cs="Verdana"/>
          <w:bCs/>
          <w:iCs/>
          <w:sz w:val="20"/>
          <w:szCs w:val="20"/>
          <w:lang w:val="es-CR"/>
        </w:rPr>
        <w:t>, esta Corte ha establecido que un recurso judicial efectivo implica que el análisis por la autoridad competente de un recurso judicial no puede reducirse a una mera formalidad, sino que debe examinar las razones invocadas por el demandante y manifestarse expresamente sobre ellas</w:t>
      </w:r>
      <w:r w:rsidRPr="00E25884">
        <w:rPr>
          <w:rFonts w:ascii="Verdana" w:hAnsi="Verdana" w:cs="Verdana"/>
          <w:bCs/>
          <w:iCs/>
          <w:sz w:val="20"/>
          <w:szCs w:val="20"/>
          <w:vertAlign w:val="superscript"/>
        </w:rPr>
        <w:footnoteReference w:id="197"/>
      </w:r>
      <w:r w:rsidRPr="00051ED2">
        <w:rPr>
          <w:rFonts w:ascii="Verdana" w:hAnsi="Verdana" w:cs="Verdana"/>
          <w:bCs/>
          <w:iCs/>
          <w:sz w:val="20"/>
          <w:szCs w:val="20"/>
          <w:lang w:val="es-CR"/>
        </w:rPr>
        <w:t>. Lo anterior no implica que se evalúe la efectividad de un recurso en función de que éste produzca un resultado favorable para el demandante</w:t>
      </w:r>
      <w:r w:rsidRPr="00E25884">
        <w:rPr>
          <w:rFonts w:ascii="Verdana" w:hAnsi="Verdana" w:cs="Verdana"/>
          <w:bCs/>
          <w:iCs/>
          <w:sz w:val="20"/>
          <w:szCs w:val="20"/>
          <w:vertAlign w:val="superscript"/>
        </w:rPr>
        <w:footnoteReference w:id="198"/>
      </w:r>
      <w:r w:rsidR="00C97BC1">
        <w:rPr>
          <w:rFonts w:ascii="Verdana" w:hAnsi="Verdana" w:cs="Verdana"/>
          <w:bCs/>
          <w:iCs/>
          <w:sz w:val="20"/>
          <w:szCs w:val="20"/>
          <w:lang w:val="es-CR"/>
        </w:rPr>
        <w:t>.</w:t>
      </w:r>
    </w:p>
    <w:p w14:paraId="6E0F9C97" w14:textId="77777777" w:rsidR="00C97BC1" w:rsidRPr="00051ED2" w:rsidRDefault="00C97BC1" w:rsidP="00C97BC1">
      <w:pPr>
        <w:widowControl w:val="0"/>
        <w:tabs>
          <w:tab w:val="left" w:pos="567"/>
        </w:tabs>
        <w:adjustRightInd w:val="0"/>
        <w:spacing w:after="0" w:line="240" w:lineRule="auto"/>
        <w:jc w:val="both"/>
        <w:textAlignment w:val="baseline"/>
        <w:rPr>
          <w:rFonts w:ascii="Verdana" w:hAnsi="Verdana" w:cs="Verdana"/>
          <w:bCs/>
          <w:i/>
          <w:iCs/>
          <w:sz w:val="20"/>
          <w:szCs w:val="20"/>
          <w:lang w:val="es-CR"/>
        </w:rPr>
      </w:pPr>
    </w:p>
    <w:p w14:paraId="67F7432A" w14:textId="77777777" w:rsidR="005F02C0" w:rsidRPr="00C97BC1" w:rsidRDefault="005F02C0"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eastAsia="Cambria" w:hAnsi="Verdana" w:cs="Verdana"/>
          <w:bCs/>
          <w:i/>
          <w:iCs/>
          <w:color w:val="000000"/>
          <w:sz w:val="20"/>
          <w:szCs w:val="20"/>
          <w:u w:color="000000"/>
          <w:lang w:val="es-CR" w:eastAsia="es-ES"/>
        </w:rPr>
      </w:pPr>
      <w:r w:rsidRPr="00E25884">
        <w:rPr>
          <w:rFonts w:ascii="Verdana" w:eastAsia="Cambria" w:hAnsi="Verdana" w:cs="Verdana"/>
          <w:bCs/>
          <w:iCs/>
          <w:color w:val="000000"/>
          <w:sz w:val="20"/>
          <w:szCs w:val="20"/>
          <w:u w:color="000000"/>
          <w:lang w:val="es-CR" w:eastAsia="es-ES"/>
        </w:rPr>
        <w:t>Por otro lado,</w:t>
      </w:r>
      <w:r w:rsidR="00051ED2">
        <w:rPr>
          <w:rFonts w:ascii="Verdana" w:eastAsia="Cambria" w:hAnsi="Verdana" w:cs="Verdana"/>
          <w:bCs/>
          <w:iCs/>
          <w:color w:val="000000"/>
          <w:sz w:val="20"/>
          <w:szCs w:val="20"/>
          <w:u w:color="000000"/>
          <w:lang w:val="es-CR" w:eastAsia="es-ES"/>
        </w:rPr>
        <w:t xml:space="preserve"> e</w:t>
      </w:r>
      <w:r w:rsidRPr="00E25884">
        <w:rPr>
          <w:rFonts w:ascii="Verdana" w:hAnsi="Verdana" w:cs="Verdana"/>
          <w:bCs/>
          <w:iCs/>
          <w:sz w:val="20"/>
          <w:szCs w:val="20"/>
          <w:lang w:val="es-CR"/>
        </w:rPr>
        <w:t>ste Tribunal ha sostenido que el deber de motivación es una de las debidas garantías incluidas en el artículo 8.1 para salvaguardar el derecho al debido proceso</w:t>
      </w:r>
      <w:r w:rsidRPr="00E25884">
        <w:rPr>
          <w:rFonts w:ascii="Verdana" w:hAnsi="Verdana"/>
          <w:sz w:val="20"/>
          <w:szCs w:val="20"/>
          <w:vertAlign w:val="superscript"/>
        </w:rPr>
        <w:footnoteReference w:id="199"/>
      </w:r>
      <w:r w:rsidRPr="00E25884">
        <w:rPr>
          <w:rFonts w:ascii="Verdana" w:hAnsi="Verdana" w:cs="Verdana"/>
          <w:bCs/>
          <w:iCs/>
          <w:sz w:val="20"/>
          <w:szCs w:val="20"/>
          <w:lang w:val="es-CR"/>
        </w:rPr>
        <w:t xml:space="preserve">. </w:t>
      </w:r>
      <w:bookmarkStart w:id="74" w:name="_Ref454242864"/>
      <w:r w:rsidRPr="00E25884">
        <w:rPr>
          <w:rFonts w:ascii="Verdana" w:hAnsi="Verdana" w:cs="Verdana"/>
          <w:bCs/>
          <w:iCs/>
          <w:sz w:val="20"/>
          <w:szCs w:val="20"/>
          <w:lang w:val="es-CR"/>
        </w:rPr>
        <w:t>La motivación es la exteriorización de la justificación razonada que permite llegar a una conclusión</w:t>
      </w:r>
      <w:r w:rsidRPr="00E25884">
        <w:rPr>
          <w:rFonts w:ascii="Verdana" w:hAnsi="Verdana"/>
          <w:sz w:val="20"/>
          <w:szCs w:val="20"/>
          <w:vertAlign w:val="superscript"/>
        </w:rPr>
        <w:footnoteReference w:id="200"/>
      </w:r>
      <w:r w:rsidRPr="00E25884">
        <w:rPr>
          <w:rFonts w:ascii="Verdana" w:hAnsi="Verdana" w:cs="Verdana"/>
          <w:bCs/>
          <w:iCs/>
          <w:sz w:val="20"/>
          <w:szCs w:val="20"/>
          <w:lang w:val="es-CR"/>
        </w:rPr>
        <w:t xml:space="preserve">. </w:t>
      </w:r>
      <w:r w:rsidRPr="00E25884">
        <w:rPr>
          <w:rFonts w:ascii="Verdana" w:hAnsi="Verdana" w:cs="Verdana"/>
          <w:bCs/>
          <w:iCs/>
          <w:sz w:val="20"/>
          <w:szCs w:val="20"/>
          <w:lang w:val="es-CR"/>
        </w:rPr>
        <w:lastRenderedPageBreak/>
        <w:t>El deber de motivar las resoluciones es una garantía vinculada a la recta administración de justicia, que le garantiza a los ciudadanos el derecho a ser juzgados por las razones que el derecho otorga, a la vez que brinda credibilidad a las decisiones judiciales en una sociedad democrática</w:t>
      </w:r>
      <w:r w:rsidRPr="00E25884">
        <w:rPr>
          <w:rFonts w:ascii="Verdana" w:hAnsi="Verdana"/>
          <w:sz w:val="20"/>
          <w:szCs w:val="20"/>
          <w:vertAlign w:val="superscript"/>
        </w:rPr>
        <w:footnoteReference w:id="201"/>
      </w:r>
      <w:r w:rsidRPr="00E25884">
        <w:rPr>
          <w:rFonts w:ascii="Verdana" w:hAnsi="Verdana" w:cs="Verdana"/>
          <w:bCs/>
          <w:iCs/>
          <w:sz w:val="20"/>
          <w:szCs w:val="20"/>
          <w:lang w:val="es-CR"/>
        </w:rPr>
        <w:t>. La motivación de un fallo debe permitir conocer cuáles son los hechos, motivos y normas en las que se basó el órgano que lo dictó. Además, debe mostrar que han sido debidamente tomados en cuenta los alegatos de las partes y que el conjunto de pruebas ha sido analizado</w:t>
      </w:r>
      <w:r w:rsidRPr="00E25884">
        <w:rPr>
          <w:rFonts w:ascii="Verdana" w:hAnsi="Verdana"/>
          <w:sz w:val="20"/>
          <w:szCs w:val="20"/>
          <w:vertAlign w:val="superscript"/>
        </w:rPr>
        <w:footnoteReference w:id="202"/>
      </w:r>
      <w:r w:rsidRPr="00E25884">
        <w:rPr>
          <w:rFonts w:ascii="Verdana" w:hAnsi="Verdana" w:cs="Verdana"/>
          <w:bCs/>
          <w:iCs/>
          <w:sz w:val="20"/>
          <w:szCs w:val="20"/>
          <w:lang w:val="es-CR"/>
        </w:rPr>
        <w:t>.</w:t>
      </w:r>
      <w:bookmarkEnd w:id="74"/>
    </w:p>
    <w:p w14:paraId="13D89B45" w14:textId="77777777" w:rsidR="00C97BC1" w:rsidRPr="00E25884" w:rsidRDefault="00C97BC1" w:rsidP="00C97BC1">
      <w:pPr>
        <w:widowControl w:val="0"/>
        <w:tabs>
          <w:tab w:val="left" w:pos="567"/>
        </w:tabs>
        <w:adjustRightInd w:val="0"/>
        <w:spacing w:after="0" w:line="240" w:lineRule="auto"/>
        <w:jc w:val="both"/>
        <w:textAlignment w:val="baseline"/>
        <w:rPr>
          <w:rFonts w:ascii="Verdana" w:eastAsia="Cambria" w:hAnsi="Verdana" w:cs="Verdana"/>
          <w:bCs/>
          <w:i/>
          <w:iCs/>
          <w:color w:val="000000"/>
          <w:sz w:val="20"/>
          <w:szCs w:val="20"/>
          <w:u w:color="000000"/>
          <w:lang w:val="es-CR" w:eastAsia="es-ES"/>
        </w:rPr>
      </w:pPr>
    </w:p>
    <w:p w14:paraId="77C966F4" w14:textId="780C5BCE" w:rsidR="005F02C0" w:rsidRDefault="005F02C0"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sz w:val="20"/>
          <w:szCs w:val="20"/>
          <w:lang w:val="es-ES"/>
        </w:rPr>
      </w:pPr>
      <w:r w:rsidRPr="00E25884">
        <w:rPr>
          <w:rFonts w:ascii="Verdana" w:hAnsi="Verdana"/>
          <w:sz w:val="20"/>
          <w:szCs w:val="20"/>
          <w:lang w:val="es-ES"/>
        </w:rPr>
        <w:t>En el presente caso, el Tribunal procederá a determinar si las actuaciones judiciales del Estado constituyen una violación a las garantías judiciales y la protección judicial en perjuicio del señor Hernández. En atención a los alegatos de las partes y las observaciones de la Comisión, el Tribunal evaluará la contr</w:t>
      </w:r>
      <w:r w:rsidR="00D53E60">
        <w:rPr>
          <w:rFonts w:ascii="Verdana" w:hAnsi="Verdana"/>
          <w:sz w:val="20"/>
          <w:szCs w:val="20"/>
          <w:lang w:val="es-ES"/>
        </w:rPr>
        <w:t>oversia en el siguiente orden: a</w:t>
      </w:r>
      <w:r w:rsidRPr="00E25884">
        <w:rPr>
          <w:rFonts w:ascii="Verdana" w:hAnsi="Verdana"/>
          <w:sz w:val="20"/>
          <w:szCs w:val="20"/>
          <w:lang w:val="es-ES"/>
        </w:rPr>
        <w:t>) sobre la ausencia de un recurso judicial efectivo para atender las denuncias presentadas por la madre del señor Hernánde</w:t>
      </w:r>
      <w:r w:rsidR="008168F2">
        <w:rPr>
          <w:rFonts w:ascii="Verdana" w:hAnsi="Verdana"/>
          <w:sz w:val="20"/>
          <w:szCs w:val="20"/>
          <w:lang w:val="es-ES"/>
        </w:rPr>
        <w:t>z respecto a su estado de salud;</w:t>
      </w:r>
      <w:r w:rsidRPr="00E25884">
        <w:rPr>
          <w:rFonts w:ascii="Verdana" w:hAnsi="Verdana"/>
          <w:sz w:val="20"/>
          <w:szCs w:val="20"/>
          <w:lang w:val="es-ES"/>
        </w:rPr>
        <w:t xml:space="preserve"> </w:t>
      </w:r>
      <w:r w:rsidR="00D53E60">
        <w:rPr>
          <w:rFonts w:ascii="Verdana" w:hAnsi="Verdana"/>
          <w:sz w:val="20"/>
          <w:szCs w:val="20"/>
          <w:lang w:val="es-ES"/>
        </w:rPr>
        <w:t>b</w:t>
      </w:r>
      <w:r w:rsidR="008168F2">
        <w:rPr>
          <w:rFonts w:ascii="Verdana" w:hAnsi="Verdana"/>
          <w:sz w:val="20"/>
          <w:szCs w:val="20"/>
          <w:lang w:val="es-ES"/>
        </w:rPr>
        <w:t>)</w:t>
      </w:r>
      <w:r w:rsidRPr="00E25884">
        <w:rPr>
          <w:rFonts w:ascii="Verdana" w:hAnsi="Verdana"/>
          <w:sz w:val="20"/>
          <w:szCs w:val="20"/>
          <w:lang w:val="es-ES"/>
        </w:rPr>
        <w:t xml:space="preserve"> </w:t>
      </w:r>
      <w:r w:rsidR="00E20E38">
        <w:rPr>
          <w:rFonts w:ascii="Verdana" w:hAnsi="Verdana"/>
          <w:sz w:val="20"/>
          <w:szCs w:val="20"/>
          <w:lang w:val="es-ES"/>
        </w:rPr>
        <w:t>sobre</w:t>
      </w:r>
      <w:r w:rsidRPr="00E25884">
        <w:rPr>
          <w:rFonts w:ascii="Verdana" w:hAnsi="Verdana"/>
          <w:sz w:val="20"/>
          <w:szCs w:val="20"/>
          <w:lang w:val="es-ES"/>
        </w:rPr>
        <w:t xml:space="preserve"> la falta de motivación sobre la solicitud de excarcelación extraordinaria por el estado de salud de la pr</w:t>
      </w:r>
      <w:r w:rsidR="00D53E60">
        <w:rPr>
          <w:rFonts w:ascii="Verdana" w:hAnsi="Verdana"/>
          <w:sz w:val="20"/>
          <w:szCs w:val="20"/>
          <w:lang w:val="es-ES"/>
        </w:rPr>
        <w:t>esunta víctima; y c</w:t>
      </w:r>
      <w:r w:rsidRPr="00E25884">
        <w:rPr>
          <w:rFonts w:ascii="Verdana" w:hAnsi="Verdana"/>
          <w:sz w:val="20"/>
          <w:szCs w:val="20"/>
          <w:lang w:val="es-ES"/>
        </w:rPr>
        <w:t>) sobre la alegada violación al debido proceso por la inadmisibilidad de la presentación de la acción civil de daños y perjuicios.</w:t>
      </w:r>
    </w:p>
    <w:p w14:paraId="047F8406" w14:textId="77777777" w:rsidR="00C97BC1" w:rsidRPr="00E25884" w:rsidRDefault="00C97BC1" w:rsidP="00C97BC1">
      <w:pPr>
        <w:widowControl w:val="0"/>
        <w:tabs>
          <w:tab w:val="left" w:pos="567"/>
        </w:tabs>
        <w:adjustRightInd w:val="0"/>
        <w:spacing w:after="0" w:line="240" w:lineRule="auto"/>
        <w:jc w:val="both"/>
        <w:textAlignment w:val="baseline"/>
        <w:rPr>
          <w:rFonts w:ascii="Verdana" w:hAnsi="Verdana"/>
          <w:sz w:val="20"/>
          <w:szCs w:val="20"/>
          <w:lang w:val="es-ES"/>
        </w:rPr>
      </w:pPr>
    </w:p>
    <w:p w14:paraId="2AF88484" w14:textId="77777777" w:rsidR="005F02C0" w:rsidRDefault="005F02C0" w:rsidP="00C97BC1">
      <w:pPr>
        <w:pStyle w:val="Estilo1"/>
        <w:tabs>
          <w:tab w:val="clear" w:pos="567"/>
          <w:tab w:val="clear" w:pos="6042"/>
          <w:tab w:val="left" w:pos="709"/>
        </w:tabs>
        <w:spacing w:after="0"/>
        <w:ind w:left="720" w:right="-4"/>
        <w:outlineLvl w:val="2"/>
        <w:rPr>
          <w:b/>
          <w:i/>
          <w:color w:val="000000" w:themeColor="text1"/>
          <w:sz w:val="20"/>
          <w:szCs w:val="20"/>
          <w:lang w:val="es-ES"/>
        </w:rPr>
      </w:pPr>
      <w:bookmarkStart w:id="75" w:name="_Toc27509181"/>
      <w:r w:rsidRPr="00FA0460">
        <w:rPr>
          <w:b/>
          <w:i/>
          <w:color w:val="000000" w:themeColor="text1"/>
          <w:sz w:val="20"/>
          <w:szCs w:val="20"/>
          <w:lang w:val="es-ES"/>
        </w:rPr>
        <w:t>B.1. Respecto de las denuncias de la madre del señor Hernández</w:t>
      </w:r>
      <w:bookmarkEnd w:id="75"/>
      <w:r w:rsidRPr="00FA0460">
        <w:rPr>
          <w:b/>
          <w:i/>
          <w:color w:val="000000" w:themeColor="text1"/>
          <w:sz w:val="20"/>
          <w:szCs w:val="20"/>
          <w:lang w:val="es-ES"/>
        </w:rPr>
        <w:t xml:space="preserve"> </w:t>
      </w:r>
    </w:p>
    <w:p w14:paraId="1B00877C" w14:textId="77777777" w:rsidR="00C97BC1" w:rsidRPr="00FA0460" w:rsidRDefault="00C97BC1" w:rsidP="00C97BC1">
      <w:pPr>
        <w:pStyle w:val="Estilo1"/>
        <w:tabs>
          <w:tab w:val="clear" w:pos="567"/>
          <w:tab w:val="clear" w:pos="6042"/>
          <w:tab w:val="left" w:pos="709"/>
        </w:tabs>
        <w:spacing w:after="0"/>
        <w:ind w:left="720" w:right="-4"/>
        <w:outlineLvl w:val="2"/>
        <w:rPr>
          <w:b/>
          <w:i/>
          <w:color w:val="000000" w:themeColor="text1"/>
          <w:sz w:val="20"/>
          <w:szCs w:val="20"/>
          <w:lang w:val="es-ES"/>
        </w:rPr>
      </w:pPr>
    </w:p>
    <w:p w14:paraId="7E5A571E" w14:textId="4765C2B3" w:rsidR="005F02C0" w:rsidRPr="00C97BC1" w:rsidRDefault="005F02C0"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eastAsia="Verdana" w:hAnsi="Verdana" w:cs="Cambria"/>
          <w:bCs/>
          <w:color w:val="000000"/>
          <w:sz w:val="20"/>
          <w:szCs w:val="20"/>
          <w:u w:color="000000"/>
          <w:lang w:eastAsia="x-none"/>
        </w:rPr>
      </w:pPr>
      <w:r w:rsidRPr="00E25884">
        <w:rPr>
          <w:rFonts w:ascii="Verdana" w:eastAsia="Verdana" w:hAnsi="Verdana" w:cs="Cambria"/>
          <w:bCs/>
          <w:color w:val="000000"/>
          <w:sz w:val="20"/>
          <w:szCs w:val="20"/>
          <w:u w:color="000000"/>
          <w:lang w:eastAsia="x-none"/>
        </w:rPr>
        <w:t>En primer lugar, el Tribunal constata que de conformidad con el artículo 141 del Código de Ejecución Penal</w:t>
      </w:r>
      <w:r w:rsidRPr="00E25884">
        <w:rPr>
          <w:rStyle w:val="Refdenotaalpie"/>
          <w:rFonts w:ascii="Verdana" w:hAnsi="Verdana"/>
          <w:sz w:val="20"/>
          <w:szCs w:val="20"/>
        </w:rPr>
        <w:footnoteReference w:id="203"/>
      </w:r>
      <w:r w:rsidRPr="00E25884">
        <w:rPr>
          <w:rFonts w:ascii="Verdana" w:eastAsia="Verdana" w:hAnsi="Verdana" w:cs="Cambria"/>
          <w:bCs/>
          <w:color w:val="000000"/>
          <w:sz w:val="20"/>
          <w:szCs w:val="20"/>
          <w:u w:color="000000"/>
          <w:lang w:eastAsia="x-none"/>
        </w:rPr>
        <w:t xml:space="preserve"> </w:t>
      </w:r>
      <w:r w:rsidRPr="00E25884">
        <w:rPr>
          <w:rFonts w:ascii="Verdana" w:hAnsi="Verdana" w:cs="TimesNewRomanPS-BoldMT"/>
          <w:bCs/>
          <w:sz w:val="20"/>
          <w:szCs w:val="20"/>
        </w:rPr>
        <w:t xml:space="preserve">se desprende que </w:t>
      </w:r>
      <w:r w:rsidRPr="00E25884">
        <w:rPr>
          <w:rFonts w:ascii="Verdana" w:hAnsi="Verdana"/>
          <w:color w:val="000000"/>
          <w:sz w:val="20"/>
          <w:szCs w:val="20"/>
          <w:lang w:eastAsia="es-MX"/>
        </w:rPr>
        <w:t xml:space="preserve">el Juez de la Causa era la autoridad competente para todo el procedimiento hasta su ejecución y emitir las diligencias pertinentes. Dichas diligencias podían incluir </w:t>
      </w:r>
      <w:r w:rsidRPr="00E25884">
        <w:rPr>
          <w:rFonts w:ascii="Verdana" w:hAnsi="Verdana" w:cs="TimesNewRoman"/>
          <w:sz w:val="20"/>
          <w:szCs w:val="20"/>
          <w:lang w:val="es-CR"/>
        </w:rPr>
        <w:t>medidas de seguridad, penas principales y accesorias, libertad condicional y dictar las resoluciones dentro de los plazos señalados.</w:t>
      </w:r>
      <w:r w:rsidRPr="00E25884">
        <w:rPr>
          <w:rFonts w:ascii="Verdana" w:eastAsia="Calibri" w:hAnsi="Verdana"/>
          <w:sz w:val="20"/>
          <w:szCs w:val="20"/>
          <w:lang w:val="es-CR" w:eastAsia="es-CR"/>
        </w:rPr>
        <w:t xml:space="preserve"> De esta forma, la Corte considera que las peticiones presentadas ante el Juez de la Causa constituían el recurso idóneo para garantizar el derecho a la salud y a la integridad personal del señor Hernández. </w:t>
      </w:r>
      <w:r w:rsidRPr="00E25884">
        <w:rPr>
          <w:rFonts w:ascii="Verdana" w:eastAsia="Cambria" w:hAnsi="Verdana" w:cs="Cambria"/>
          <w:spacing w:val="1"/>
          <w:sz w:val="20"/>
          <w:szCs w:val="20"/>
          <w:lang w:val="es-ES"/>
        </w:rPr>
        <w:t xml:space="preserve">El señor Hernández estaba bajo la disposición del Juez de la Causa, por lo que éste </w:t>
      </w:r>
      <w:r w:rsidRPr="00E25884">
        <w:rPr>
          <w:rFonts w:ascii="Verdana" w:hAnsi="Verdana"/>
          <w:sz w:val="20"/>
          <w:szCs w:val="20"/>
          <w:lang w:val="es-CR"/>
        </w:rPr>
        <w:t xml:space="preserve">tenía potestad de ordenar diligencias, evaluaciones, solicitar informes y emitir toda determinación relativa a las condiciones de salud e internación en hospitales del señor Hernández, ya fuera </w:t>
      </w:r>
      <w:r w:rsidRPr="00E25884">
        <w:rPr>
          <w:rFonts w:ascii="Verdana" w:hAnsi="Verdana"/>
          <w:i/>
          <w:sz w:val="20"/>
          <w:szCs w:val="20"/>
          <w:lang w:val="es-CR"/>
        </w:rPr>
        <w:t>motu proprio</w:t>
      </w:r>
      <w:r w:rsidRPr="00E25884">
        <w:rPr>
          <w:rFonts w:ascii="Verdana" w:hAnsi="Verdana"/>
          <w:sz w:val="20"/>
          <w:szCs w:val="20"/>
          <w:lang w:val="es-CR"/>
        </w:rPr>
        <w:t xml:space="preserve"> o por petición de la presunta víctima, sus familiares, abogados y autoridades estatales.</w:t>
      </w:r>
    </w:p>
    <w:p w14:paraId="6ACD0724" w14:textId="77777777" w:rsidR="00C97BC1" w:rsidRPr="00E25884" w:rsidRDefault="00C97BC1" w:rsidP="00C97BC1">
      <w:pPr>
        <w:widowControl w:val="0"/>
        <w:tabs>
          <w:tab w:val="left" w:pos="567"/>
        </w:tabs>
        <w:adjustRightInd w:val="0"/>
        <w:spacing w:after="0" w:line="240" w:lineRule="auto"/>
        <w:jc w:val="both"/>
        <w:textAlignment w:val="baseline"/>
        <w:rPr>
          <w:rFonts w:ascii="Verdana" w:eastAsia="Verdana" w:hAnsi="Verdana" w:cs="Cambria"/>
          <w:bCs/>
          <w:color w:val="000000"/>
          <w:sz w:val="20"/>
          <w:szCs w:val="20"/>
          <w:u w:color="000000"/>
          <w:lang w:eastAsia="x-none"/>
        </w:rPr>
      </w:pPr>
    </w:p>
    <w:p w14:paraId="5697E9FC" w14:textId="77777777" w:rsidR="005F02C0" w:rsidRDefault="005F02C0"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sz w:val="20"/>
          <w:szCs w:val="20"/>
          <w:lang w:val="es-CR"/>
        </w:rPr>
      </w:pPr>
      <w:r w:rsidRPr="00E25884">
        <w:rPr>
          <w:rFonts w:ascii="Verdana" w:hAnsi="Verdana"/>
          <w:color w:val="000000" w:themeColor="text1"/>
          <w:sz w:val="20"/>
          <w:szCs w:val="20"/>
          <w:lang w:val="es-ES"/>
        </w:rPr>
        <w:t>En segundo lugar, corresponde determinar si los recursos intentados por la madre del señor Hernández fueron efectivos. Al respecto, esta Corte ha establecido que e</w:t>
      </w:r>
      <w:r w:rsidRPr="00E25884">
        <w:rPr>
          <w:rFonts w:ascii="Verdana" w:hAnsi="Verdana"/>
          <w:sz w:val="20"/>
          <w:szCs w:val="20"/>
        </w:rPr>
        <w:t>l</w:t>
      </w:r>
      <w:r w:rsidRPr="00E25884">
        <w:rPr>
          <w:rFonts w:ascii="Verdana" w:hAnsi="Verdana"/>
          <w:sz w:val="20"/>
          <w:szCs w:val="20"/>
          <w:lang w:val="es-CR"/>
        </w:rPr>
        <w:t xml:space="preserve"> control de legalidad de los actos de la administración pública que afecten o pudieren afectar derechos, garantías o beneficios reconocidos en favor de las personas privadas de libertad, así como el control judicial de las condiciones de privación de libertad y la supervisión de la ejecución o cumplimiento de las penas, deberá ser periódico y estar a cargo de jueces y tribunales competentes, independientes e imparciales. En cuanto a</w:t>
      </w:r>
      <w:r w:rsidRPr="00E25884">
        <w:rPr>
          <w:rFonts w:ascii="Verdana" w:eastAsia="Calibri" w:hAnsi="Verdana"/>
          <w:sz w:val="20"/>
          <w:szCs w:val="20"/>
          <w:lang w:val="es-CR"/>
        </w:rPr>
        <w:t>l rol que desempeñan los jueces de ejecución de penas en la protección de los derechos de las personas que requieren atención médica, el Tribunal ha establecido que “deben actuar con diligencia, independencia y humanidad frente a casos en los que se haya acreditado debidamente que existe un riesgo inminente para la vida de la persona debido al deterioro de su salud o a la presencia de enfermedad mortal”</w:t>
      </w:r>
      <w:r w:rsidRPr="00E25884">
        <w:rPr>
          <w:rStyle w:val="FootnoteAnchor"/>
          <w:rFonts w:ascii="Verdana" w:eastAsia="Calibri" w:hAnsi="Verdana"/>
          <w:sz w:val="20"/>
          <w:szCs w:val="20"/>
          <w:lang w:val="es-CR"/>
        </w:rPr>
        <w:footnoteReference w:id="204"/>
      </w:r>
      <w:r w:rsidRPr="00E25884">
        <w:rPr>
          <w:rFonts w:ascii="Verdana" w:hAnsi="Verdana"/>
          <w:sz w:val="20"/>
          <w:szCs w:val="20"/>
          <w:lang w:val="es-CR"/>
        </w:rPr>
        <w:t>.</w:t>
      </w:r>
    </w:p>
    <w:p w14:paraId="1CF856C5" w14:textId="77777777" w:rsidR="00C97BC1" w:rsidRPr="00E25884" w:rsidRDefault="00C97BC1" w:rsidP="00C97BC1">
      <w:pPr>
        <w:widowControl w:val="0"/>
        <w:tabs>
          <w:tab w:val="left" w:pos="567"/>
        </w:tabs>
        <w:adjustRightInd w:val="0"/>
        <w:spacing w:after="0" w:line="240" w:lineRule="auto"/>
        <w:jc w:val="both"/>
        <w:textAlignment w:val="baseline"/>
        <w:rPr>
          <w:rFonts w:ascii="Verdana" w:hAnsi="Verdana"/>
          <w:sz w:val="20"/>
          <w:szCs w:val="20"/>
          <w:lang w:val="es-CR"/>
        </w:rPr>
      </w:pPr>
    </w:p>
    <w:p w14:paraId="7E257E75" w14:textId="3A471219" w:rsidR="00051ED2" w:rsidRDefault="005F02C0"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color w:val="000000" w:themeColor="text1"/>
          <w:sz w:val="20"/>
          <w:szCs w:val="20"/>
          <w:lang w:val="es-ES"/>
        </w:rPr>
      </w:pPr>
      <w:r w:rsidRPr="00E25884">
        <w:rPr>
          <w:rFonts w:ascii="Verdana" w:hAnsi="Verdana"/>
          <w:color w:val="000000" w:themeColor="text1"/>
          <w:sz w:val="20"/>
          <w:szCs w:val="20"/>
          <w:lang w:val="es-ES"/>
        </w:rPr>
        <w:t xml:space="preserve">El Tribunal recuerda que la primera denuncia de la madre del señor Hernández ocurrió el 6 de julio de 1989, </w:t>
      </w:r>
      <w:r w:rsidR="00447940">
        <w:rPr>
          <w:rFonts w:ascii="Verdana" w:hAnsi="Verdana"/>
          <w:color w:val="000000" w:themeColor="text1"/>
          <w:sz w:val="20"/>
          <w:szCs w:val="20"/>
          <w:lang w:val="es-ES"/>
        </w:rPr>
        <w:t>en la cual</w:t>
      </w:r>
      <w:r w:rsidRPr="00E25884">
        <w:rPr>
          <w:rFonts w:ascii="Verdana" w:hAnsi="Verdana"/>
          <w:color w:val="000000" w:themeColor="text1"/>
          <w:sz w:val="20"/>
          <w:szCs w:val="20"/>
          <w:lang w:val="es-ES"/>
        </w:rPr>
        <w:t xml:space="preserve"> manifestó ante el Juez de la Causa que su hijo padecía un “estado gripal muy pronunciado y además una afección en el oído que requiere una atención médica que hasta la fecha no ha podido ser otorgada, por lo que requiere la atención de </w:t>
      </w:r>
      <w:proofErr w:type="spellStart"/>
      <w:proofErr w:type="gramStart"/>
      <w:r w:rsidRPr="00E25884">
        <w:rPr>
          <w:rFonts w:ascii="Verdana" w:hAnsi="Verdana"/>
          <w:color w:val="000000" w:themeColor="text1"/>
          <w:sz w:val="20"/>
          <w:szCs w:val="20"/>
          <w:lang w:val="es-ES"/>
        </w:rPr>
        <w:t>S.Sa</w:t>
      </w:r>
      <w:proofErr w:type="spellEnd"/>
      <w:proofErr w:type="gramEnd"/>
      <w:r w:rsidRPr="00E25884">
        <w:rPr>
          <w:rFonts w:ascii="Verdana" w:hAnsi="Verdana"/>
          <w:color w:val="000000" w:themeColor="text1"/>
          <w:sz w:val="20"/>
          <w:szCs w:val="20"/>
          <w:lang w:val="es-ES"/>
        </w:rPr>
        <w:t xml:space="preserve"> para que se le brinde el trato adecuado”. Ante dicha petición, el mismo día el Juez de la Causa ordenó que se realizara un reconocimiento médico en caso de que le fuera detectada alguna enfermedad. Sin embargo, dicha orden </w:t>
      </w:r>
      <w:r w:rsidR="00884D55">
        <w:rPr>
          <w:rFonts w:ascii="Verdana" w:hAnsi="Verdana"/>
          <w:color w:val="000000" w:themeColor="text1"/>
          <w:sz w:val="20"/>
          <w:szCs w:val="20"/>
          <w:lang w:val="es-ES"/>
        </w:rPr>
        <w:t>no fue</w:t>
      </w:r>
      <w:r w:rsidRPr="00E25884">
        <w:rPr>
          <w:rFonts w:ascii="Verdana" w:hAnsi="Verdana"/>
          <w:color w:val="000000" w:themeColor="text1"/>
          <w:sz w:val="20"/>
          <w:szCs w:val="20"/>
          <w:lang w:val="es-ES"/>
        </w:rPr>
        <w:t xml:space="preserve"> cumplida. La Corte recuerda que dicha denuncia fue realizada con posterioridad a la orden que había sido emitida por el mismo Juez de la Causa el 29 de marzo de 1989</w:t>
      </w:r>
      <w:r w:rsidR="00884D55">
        <w:rPr>
          <w:rFonts w:ascii="Verdana" w:hAnsi="Verdana"/>
          <w:color w:val="000000" w:themeColor="text1"/>
          <w:sz w:val="20"/>
          <w:szCs w:val="20"/>
          <w:lang w:val="es-ES"/>
        </w:rPr>
        <w:t>,</w:t>
      </w:r>
      <w:r w:rsidRPr="00E25884">
        <w:rPr>
          <w:rFonts w:ascii="Verdana" w:hAnsi="Verdana"/>
          <w:color w:val="000000" w:themeColor="text1"/>
          <w:sz w:val="20"/>
          <w:szCs w:val="20"/>
          <w:lang w:val="es-ES"/>
        </w:rPr>
        <w:t xml:space="preserve"> en la que había solicitado que el señor Hernández fuera trasladado a la Unidad Carcelaria debido a que la Comisaría de Monte Grande </w:t>
      </w:r>
      <w:r w:rsidRPr="00FE0980">
        <w:rPr>
          <w:rFonts w:ascii="Verdana" w:hAnsi="Verdana"/>
          <w:color w:val="000000" w:themeColor="text1"/>
          <w:sz w:val="20"/>
          <w:szCs w:val="20"/>
          <w:lang w:val="es-ES"/>
        </w:rPr>
        <w:t>no tenía espació físico suficiente para albergar a la población carcelaria, tal y como lo había manifestado el Jefe de Policía el 20 de marzo de 1989. Dicha orden tampoco habría sido cumplida.</w:t>
      </w:r>
    </w:p>
    <w:p w14:paraId="7F7145DC" w14:textId="77777777" w:rsidR="00C97BC1" w:rsidRPr="00FE0980" w:rsidRDefault="00C97BC1" w:rsidP="00C97BC1">
      <w:pPr>
        <w:widowControl w:val="0"/>
        <w:tabs>
          <w:tab w:val="left" w:pos="567"/>
        </w:tabs>
        <w:adjustRightInd w:val="0"/>
        <w:spacing w:after="0" w:line="240" w:lineRule="auto"/>
        <w:jc w:val="both"/>
        <w:textAlignment w:val="baseline"/>
        <w:rPr>
          <w:rFonts w:ascii="Verdana" w:hAnsi="Verdana"/>
          <w:color w:val="000000" w:themeColor="text1"/>
          <w:sz w:val="20"/>
          <w:szCs w:val="20"/>
          <w:lang w:val="es-ES"/>
        </w:rPr>
      </w:pPr>
    </w:p>
    <w:p w14:paraId="379216C3" w14:textId="2812A0E1" w:rsidR="005F02C0" w:rsidRDefault="005F02C0"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color w:val="000000" w:themeColor="text1"/>
          <w:sz w:val="20"/>
          <w:szCs w:val="20"/>
          <w:lang w:val="es-ES"/>
        </w:rPr>
      </w:pPr>
      <w:r w:rsidRPr="00FE0980">
        <w:rPr>
          <w:rFonts w:ascii="Verdana" w:hAnsi="Verdana"/>
          <w:color w:val="000000" w:themeColor="text1"/>
          <w:sz w:val="20"/>
          <w:szCs w:val="20"/>
          <w:lang w:val="es-ES"/>
        </w:rPr>
        <w:t xml:space="preserve">Respecto a la segunda denuncia de la madre del señor Hernández, </w:t>
      </w:r>
      <w:r w:rsidRPr="00FE0980">
        <w:rPr>
          <w:rFonts w:ascii="Verdana" w:hAnsi="Verdana"/>
          <w:sz w:val="20"/>
          <w:szCs w:val="20"/>
          <w:lang w:val="es-CR"/>
        </w:rPr>
        <w:t>l</w:t>
      </w:r>
      <w:r w:rsidRPr="00FE0980">
        <w:rPr>
          <w:rFonts w:ascii="Verdana" w:hAnsi="Verdana"/>
          <w:color w:val="000000" w:themeColor="text1"/>
          <w:sz w:val="20"/>
          <w:szCs w:val="20"/>
          <w:lang w:val="es-ES"/>
        </w:rPr>
        <w:t xml:space="preserve">a Corte recuerda que el 1 de agosto de 1990 manifestó ante el Juez de la Causa que su hijo sufría de fuertes dolores encefálicos </w:t>
      </w:r>
      <w:r w:rsidRPr="00FE0980">
        <w:rPr>
          <w:rFonts w:ascii="Verdana" w:hAnsi="Verdana"/>
          <w:sz w:val="20"/>
          <w:szCs w:val="20"/>
        </w:rPr>
        <w:t>desde aproximadamente una semana</w:t>
      </w:r>
      <w:r w:rsidRPr="00FE0980">
        <w:rPr>
          <w:rFonts w:ascii="Verdana" w:hAnsi="Verdana"/>
          <w:color w:val="000000" w:themeColor="text1"/>
          <w:sz w:val="20"/>
          <w:szCs w:val="20"/>
          <w:lang w:val="es-ES"/>
        </w:rPr>
        <w:t xml:space="preserve">, y solicitó que se le realizara un examen, el tratamiento médico correspondiente, y una verificación de las condiciones sanitarias de la Comisaría de Monte Grande. </w:t>
      </w:r>
      <w:r w:rsidR="004025A2" w:rsidRPr="00FE0980">
        <w:rPr>
          <w:rFonts w:ascii="Verdana" w:hAnsi="Verdana"/>
          <w:color w:val="000000" w:themeColor="text1"/>
          <w:sz w:val="20"/>
          <w:szCs w:val="20"/>
          <w:lang w:val="es-ES"/>
        </w:rPr>
        <w:t>Ese mismo día el Juez de la Causa ordenó la atención médica del señor Hernández y que se verificara el posible brote de hepatitis entre la población carcelaria. El 2 de agosto de 1990</w:t>
      </w:r>
      <w:r w:rsidR="004025A2" w:rsidRPr="00FE0980">
        <w:rPr>
          <w:rFonts w:ascii="Verdana" w:hAnsi="Verdana" w:cs="Verdana"/>
          <w:color w:val="000000" w:themeColor="text1"/>
          <w:sz w:val="20"/>
          <w:szCs w:val="20"/>
          <w:lang w:val="es-ES"/>
        </w:rPr>
        <w:t xml:space="preserve"> se recibió informe </w:t>
      </w:r>
      <w:r w:rsidR="00342E65">
        <w:rPr>
          <w:rFonts w:ascii="Verdana" w:hAnsi="Verdana" w:cs="Verdana"/>
          <w:color w:val="000000" w:themeColor="text1"/>
          <w:sz w:val="20"/>
          <w:szCs w:val="20"/>
          <w:lang w:val="es-ES"/>
        </w:rPr>
        <w:t xml:space="preserve">vía telefónica </w:t>
      </w:r>
      <w:r w:rsidR="004025A2" w:rsidRPr="00FE0980">
        <w:rPr>
          <w:rFonts w:ascii="Verdana" w:hAnsi="Verdana" w:cs="Verdana"/>
          <w:color w:val="000000" w:themeColor="text1"/>
          <w:sz w:val="20"/>
          <w:szCs w:val="20"/>
          <w:lang w:val="es-ES"/>
        </w:rPr>
        <w:t xml:space="preserve">del </w:t>
      </w:r>
      <w:proofErr w:type="gramStart"/>
      <w:r w:rsidR="004025A2" w:rsidRPr="00FE0980">
        <w:rPr>
          <w:rFonts w:ascii="Verdana" w:hAnsi="Verdana" w:cs="Verdana"/>
          <w:color w:val="000000" w:themeColor="text1"/>
          <w:sz w:val="20"/>
          <w:szCs w:val="20"/>
          <w:lang w:val="es-ES"/>
        </w:rPr>
        <w:t>Jefe</w:t>
      </w:r>
      <w:proofErr w:type="gramEnd"/>
      <w:r w:rsidR="004025A2" w:rsidRPr="00FE0980">
        <w:rPr>
          <w:rFonts w:ascii="Verdana" w:hAnsi="Verdana" w:cs="Verdana"/>
          <w:color w:val="000000" w:themeColor="text1"/>
          <w:sz w:val="20"/>
          <w:szCs w:val="20"/>
          <w:lang w:val="es-ES"/>
        </w:rPr>
        <w:t xml:space="preserve"> de la sección policial de la Comisaría </w:t>
      </w:r>
      <w:r w:rsidR="00342E65">
        <w:rPr>
          <w:rFonts w:ascii="Verdana" w:hAnsi="Verdana" w:cs="Verdana"/>
          <w:color w:val="000000" w:themeColor="text1"/>
          <w:sz w:val="20"/>
          <w:szCs w:val="20"/>
          <w:lang w:val="es-ES"/>
        </w:rPr>
        <w:t>avisando</w:t>
      </w:r>
      <w:r w:rsidR="00342E65" w:rsidRPr="00FE0980">
        <w:rPr>
          <w:rFonts w:ascii="Verdana" w:hAnsi="Verdana" w:cs="Verdana"/>
          <w:color w:val="000000" w:themeColor="text1"/>
          <w:sz w:val="20"/>
          <w:szCs w:val="20"/>
          <w:lang w:val="es-ES"/>
        </w:rPr>
        <w:t xml:space="preserve"> </w:t>
      </w:r>
      <w:r w:rsidR="004025A2" w:rsidRPr="00FE0980">
        <w:rPr>
          <w:rFonts w:ascii="Verdana" w:hAnsi="Verdana" w:cs="Verdana"/>
          <w:color w:val="000000" w:themeColor="text1"/>
          <w:sz w:val="20"/>
          <w:szCs w:val="20"/>
          <w:lang w:val="es-ES"/>
        </w:rPr>
        <w:t xml:space="preserve">que se había atendido al Señor Hernández y que había sido diagnosticado con presunta hepatitis, por lo que el mismo día </w:t>
      </w:r>
      <w:r w:rsidR="004025A2" w:rsidRPr="00FE0980">
        <w:rPr>
          <w:rFonts w:ascii="Verdana" w:hAnsi="Verdana"/>
          <w:sz w:val="20"/>
          <w:szCs w:val="20"/>
        </w:rPr>
        <w:t>el Juez de la Causa ordenó su traslado inmediato al Hospital del Servicio Penitenciario Provincial</w:t>
      </w:r>
      <w:r w:rsidRPr="00FE0980">
        <w:rPr>
          <w:rFonts w:ascii="Verdana" w:hAnsi="Verdana"/>
          <w:sz w:val="20"/>
          <w:szCs w:val="20"/>
        </w:rPr>
        <w:t xml:space="preserve">. El 3 de agosto de 1990 se ejecutó la orden de traslado del señor Hernández de la Comisaría de Monte Grande a la Unidad Carcelaria, pero no se le trasladó al hospital. Con motivo de ello, </w:t>
      </w:r>
      <w:r w:rsidRPr="00FE0980">
        <w:rPr>
          <w:rFonts w:ascii="Verdana" w:hAnsi="Verdana"/>
          <w:color w:val="000000" w:themeColor="text1"/>
          <w:sz w:val="20"/>
          <w:szCs w:val="20"/>
          <w:lang w:val="es-ES"/>
        </w:rPr>
        <w:t>el 14 de agosto de 1990 el Juez de la Causa ordenó que se brindara atención médica al recluso y que se le informara sobre su estado de salud y tratamiento al que sería sometido.</w:t>
      </w:r>
      <w:r w:rsidRPr="00FE0980">
        <w:rPr>
          <w:rFonts w:ascii="Verdana" w:hAnsi="Verdana"/>
          <w:sz w:val="20"/>
          <w:szCs w:val="20"/>
        </w:rPr>
        <w:t xml:space="preserve"> </w:t>
      </w:r>
      <w:r w:rsidRPr="00FE0980">
        <w:rPr>
          <w:rFonts w:ascii="Verdana" w:hAnsi="Verdana"/>
          <w:color w:val="000000" w:themeColor="text1"/>
          <w:sz w:val="20"/>
          <w:szCs w:val="20"/>
          <w:lang w:val="es-ES"/>
        </w:rPr>
        <w:t xml:space="preserve">En virtud de esta resolución, el 15 de agosto </w:t>
      </w:r>
      <w:r w:rsidRPr="00FE0980">
        <w:rPr>
          <w:rFonts w:ascii="Verdana" w:hAnsi="Verdana"/>
          <w:sz w:val="20"/>
          <w:szCs w:val="20"/>
        </w:rPr>
        <w:t>se informó del traslado del señor Hernández al Hospital San Juan de Dios de la ciudad de la Plata, donde</w:t>
      </w:r>
      <w:r w:rsidRPr="00FE0980">
        <w:rPr>
          <w:rFonts w:ascii="Verdana" w:hAnsi="Verdana"/>
          <w:color w:val="000000" w:themeColor="text1"/>
          <w:sz w:val="20"/>
          <w:szCs w:val="20"/>
          <w:lang w:val="es-ES"/>
        </w:rPr>
        <w:t xml:space="preserve"> fue diagnosticado con meningitis de probable etiología T.B.C.</w:t>
      </w:r>
    </w:p>
    <w:p w14:paraId="7A800AD5" w14:textId="77777777" w:rsidR="00C97BC1" w:rsidRPr="00FE0980" w:rsidRDefault="00C97BC1" w:rsidP="00C97BC1">
      <w:pPr>
        <w:widowControl w:val="0"/>
        <w:tabs>
          <w:tab w:val="left" w:pos="567"/>
        </w:tabs>
        <w:adjustRightInd w:val="0"/>
        <w:spacing w:after="0" w:line="240" w:lineRule="auto"/>
        <w:jc w:val="both"/>
        <w:textAlignment w:val="baseline"/>
        <w:rPr>
          <w:rFonts w:ascii="Verdana" w:hAnsi="Verdana"/>
          <w:color w:val="000000" w:themeColor="text1"/>
          <w:sz w:val="20"/>
          <w:szCs w:val="20"/>
          <w:lang w:val="es-ES"/>
        </w:rPr>
      </w:pPr>
    </w:p>
    <w:p w14:paraId="1D2C7EF9" w14:textId="27C2BDBD" w:rsidR="004025A2" w:rsidRDefault="005F02C0"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color w:val="000000" w:themeColor="text1"/>
          <w:sz w:val="20"/>
          <w:szCs w:val="20"/>
          <w:lang w:val="es-ES"/>
        </w:rPr>
      </w:pPr>
      <w:r w:rsidRPr="00FE0980">
        <w:rPr>
          <w:rFonts w:ascii="Verdana" w:hAnsi="Verdana" w:cs="Verdana"/>
          <w:color w:val="000000" w:themeColor="text1"/>
          <w:sz w:val="20"/>
          <w:szCs w:val="20"/>
          <w:lang w:val="es-ES"/>
        </w:rPr>
        <w:t xml:space="preserve">Respecto de las alegaciones sobre el indebido seguimiento al estado de salud del señor Hernández una vez que se conoció su enfermedad, la Corte recuerda que </w:t>
      </w:r>
      <w:r w:rsidRPr="00FE0980">
        <w:rPr>
          <w:rFonts w:ascii="Verdana" w:hAnsi="Verdana"/>
          <w:color w:val="000000" w:themeColor="text1"/>
          <w:sz w:val="20"/>
          <w:szCs w:val="20"/>
          <w:lang w:val="es-ES"/>
        </w:rPr>
        <w:t xml:space="preserve">el 6 de diciembre de 1990 el Juez de la Causa ordenó al </w:t>
      </w:r>
      <w:proofErr w:type="gramStart"/>
      <w:r w:rsidRPr="00FE0980">
        <w:rPr>
          <w:rFonts w:ascii="Verdana" w:hAnsi="Verdana"/>
          <w:color w:val="000000" w:themeColor="text1"/>
          <w:sz w:val="20"/>
          <w:szCs w:val="20"/>
          <w:lang w:val="es-ES"/>
        </w:rPr>
        <w:t>Jefe</w:t>
      </w:r>
      <w:proofErr w:type="gramEnd"/>
      <w:r w:rsidRPr="00FE0980">
        <w:rPr>
          <w:rFonts w:ascii="Verdana" w:hAnsi="Verdana"/>
          <w:color w:val="000000" w:themeColor="text1"/>
          <w:sz w:val="20"/>
          <w:szCs w:val="20"/>
          <w:lang w:val="es-ES"/>
        </w:rPr>
        <w:t xml:space="preserve"> de la Unidad Carcelaria que se le notificara de la evolución del estado de salud del señor Hernández. En dicha orden solicitó que se le debería informar semanalmente sobre el estado de salud de la presunta víctima y de las distintas medidas que a criterio de los profesionales médicos se fueran adoptando. En respuesta a esta determinación, el 12 de diciembre el </w:t>
      </w:r>
      <w:proofErr w:type="gramStart"/>
      <w:r w:rsidRPr="00FE0980">
        <w:rPr>
          <w:rFonts w:ascii="Verdana" w:hAnsi="Verdana"/>
          <w:color w:val="000000" w:themeColor="text1"/>
          <w:sz w:val="20"/>
          <w:szCs w:val="20"/>
          <w:lang w:val="es-ES"/>
        </w:rPr>
        <w:t>Jefe</w:t>
      </w:r>
      <w:proofErr w:type="gramEnd"/>
      <w:r w:rsidRPr="00FE0980">
        <w:rPr>
          <w:rFonts w:ascii="Verdana" w:hAnsi="Verdana"/>
          <w:color w:val="000000" w:themeColor="text1"/>
          <w:sz w:val="20"/>
          <w:szCs w:val="20"/>
          <w:lang w:val="es-ES"/>
        </w:rPr>
        <w:t xml:space="preserve"> de la Unidad Carcelaria informó de las acciones tomadas y del estado de salud del señor Hernández. El 22 de febrero de 1991, la defensa del señor Hernández solicitó que se le hicieran exámenes médicos con análisis del VIH. El 27 de febrero de 1991 el Juez de la Causa ordenó que se informara del estado de salud del recluso y de su situación frente al VIH, e hizo notar que no se habían presentado los informes de la condición de salud del señor Hernández que se habían ordenado a la autoridad carcelaria desde diciembre de 1990. Ante la ausencia de respuesta de la orden anterior, el 1 de abril de 1991 el Juez de la Causa emitió nueva orden de informe que debía cumplirse en un plazo de 24 horas. Derivado de ello, el 3 de abril de ese año se recibió oficio del Servicio Penitenciario Provincial sobre las secuelas neurológicas que el señor Hernández había padecido hasta ese momento.</w:t>
      </w:r>
    </w:p>
    <w:p w14:paraId="4F0FD805" w14:textId="77777777" w:rsidR="00C97BC1" w:rsidRPr="00FE0980" w:rsidRDefault="00C97BC1" w:rsidP="00C97BC1">
      <w:pPr>
        <w:widowControl w:val="0"/>
        <w:tabs>
          <w:tab w:val="left" w:pos="567"/>
        </w:tabs>
        <w:adjustRightInd w:val="0"/>
        <w:spacing w:after="0" w:line="240" w:lineRule="auto"/>
        <w:jc w:val="both"/>
        <w:textAlignment w:val="baseline"/>
        <w:rPr>
          <w:rFonts w:ascii="Verdana" w:hAnsi="Verdana"/>
          <w:color w:val="000000" w:themeColor="text1"/>
          <w:sz w:val="20"/>
          <w:szCs w:val="20"/>
          <w:lang w:val="es-ES"/>
        </w:rPr>
      </w:pPr>
    </w:p>
    <w:p w14:paraId="2DDF0F2F" w14:textId="77777777" w:rsidR="004025A2" w:rsidRDefault="004025A2"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color w:val="000000" w:themeColor="text1"/>
          <w:sz w:val="20"/>
          <w:szCs w:val="20"/>
          <w:lang w:val="es-ES"/>
        </w:rPr>
      </w:pPr>
      <w:r w:rsidRPr="00FE0980">
        <w:rPr>
          <w:rFonts w:ascii="Verdana" w:hAnsi="Verdana"/>
          <w:color w:val="000000" w:themeColor="text1"/>
          <w:sz w:val="20"/>
          <w:szCs w:val="20"/>
          <w:lang w:val="es-ES"/>
        </w:rPr>
        <w:t xml:space="preserve">En relación con lo anterior, el Tribunal considera que el Juez de la Causa dio respuesta pronta </w:t>
      </w:r>
      <w:r w:rsidR="00321B3E" w:rsidRPr="00FE0980">
        <w:rPr>
          <w:rFonts w:ascii="Verdana" w:hAnsi="Verdana"/>
          <w:color w:val="000000" w:themeColor="text1"/>
          <w:sz w:val="20"/>
          <w:szCs w:val="20"/>
          <w:lang w:val="es-ES"/>
        </w:rPr>
        <w:t xml:space="preserve">y seguimiento adecuado </w:t>
      </w:r>
      <w:r w:rsidRPr="00FE0980">
        <w:rPr>
          <w:rFonts w:ascii="Verdana" w:hAnsi="Verdana"/>
          <w:color w:val="000000" w:themeColor="text1"/>
          <w:sz w:val="20"/>
          <w:szCs w:val="20"/>
          <w:lang w:val="es-ES"/>
        </w:rPr>
        <w:t xml:space="preserve">a las solicitudes de atención médica solicitadas por la madre del señor Hernández o sus representantes, emitiendo órdenes para su atención médica. Lo anterior se constata con las órdenes emitidas el 6 de julio de 1989 y el 1 de agosto de 1990, las cuales dieron respuesta inmediata, es decir, el mismo día a que la madre presentara su denuncia, ordenando la realización de exámenes al señor Hernández para conocer si tenía alguna enfermedad que </w:t>
      </w:r>
      <w:r w:rsidRPr="00FE0980">
        <w:rPr>
          <w:rFonts w:ascii="Verdana" w:hAnsi="Verdana"/>
          <w:color w:val="000000" w:themeColor="text1"/>
          <w:sz w:val="20"/>
          <w:szCs w:val="20"/>
          <w:lang w:val="es-ES"/>
        </w:rPr>
        <w:lastRenderedPageBreak/>
        <w:t xml:space="preserve">requiriera tratamiento médico. Asimismo, se constata por las diversas órdenes emitidas para que la presunta víctima tuviera acceso a un tratamiento médico: el 2 de agosto de 1990, derivado del informe </w:t>
      </w:r>
      <w:r w:rsidR="00342E65">
        <w:rPr>
          <w:rFonts w:ascii="Verdana" w:hAnsi="Verdana"/>
          <w:color w:val="000000" w:themeColor="text1"/>
          <w:sz w:val="20"/>
          <w:szCs w:val="20"/>
          <w:lang w:val="es-ES"/>
        </w:rPr>
        <w:t xml:space="preserve">vía telefónica </w:t>
      </w:r>
      <w:r w:rsidRPr="00FE0980">
        <w:rPr>
          <w:rFonts w:ascii="Verdana" w:hAnsi="Verdana"/>
          <w:color w:val="000000" w:themeColor="text1"/>
          <w:sz w:val="20"/>
          <w:szCs w:val="20"/>
          <w:lang w:val="es-ES"/>
        </w:rPr>
        <w:t xml:space="preserve">del Jefe de la sección policial de la Comisaría de que se había </w:t>
      </w:r>
      <w:r w:rsidR="00884D55">
        <w:rPr>
          <w:rFonts w:ascii="Verdana" w:hAnsi="Verdana"/>
          <w:color w:val="000000" w:themeColor="text1"/>
          <w:sz w:val="20"/>
          <w:szCs w:val="20"/>
          <w:lang w:val="es-ES"/>
        </w:rPr>
        <w:t>trasladado</w:t>
      </w:r>
      <w:r w:rsidRPr="00FE0980">
        <w:rPr>
          <w:rFonts w:ascii="Verdana" w:hAnsi="Verdana"/>
          <w:color w:val="000000" w:themeColor="text1"/>
          <w:sz w:val="20"/>
          <w:szCs w:val="20"/>
          <w:lang w:val="es-ES"/>
        </w:rPr>
        <w:t xml:space="preserve"> al señor Hernández y presentaba un posible cuadro de hepatitis, el Juez de la Causa ordenó que se le otorgara atención médica </w:t>
      </w:r>
      <w:r w:rsidR="00884D55">
        <w:rPr>
          <w:rFonts w:ascii="Verdana" w:hAnsi="Verdana"/>
          <w:color w:val="000000" w:themeColor="text1"/>
          <w:sz w:val="20"/>
          <w:szCs w:val="20"/>
          <w:lang w:val="es-ES"/>
        </w:rPr>
        <w:t>a la presunta víctima</w:t>
      </w:r>
      <w:r w:rsidRPr="00FE0980">
        <w:rPr>
          <w:rFonts w:ascii="Verdana" w:hAnsi="Verdana"/>
          <w:color w:val="000000" w:themeColor="text1"/>
          <w:sz w:val="20"/>
          <w:szCs w:val="20"/>
          <w:lang w:val="es-ES"/>
        </w:rPr>
        <w:t>, y solicitó informes respecto de dicha atención el 14 de agosto de 1990 y, nuevamente, el 27 de septiembre de 1990 solicitó datos de la condición de salud del recluso. El 17 de octubre de 1990 volvió a emitir una orden para que se le brindara atención médica, el 30 de octubre de 1990 ordenó su internación, y el 6 de diciembre de 1990 ordenó que se le informara semanalmente sobre su estado de salud. En ese sentido, el Tribunal advierte que no existen elementos que permitan concluir una falta de diligencia por parte del Juez de la Causa respecto a la respuesta a las denuncias sobre el estado de salud de la presunta víctima.</w:t>
      </w:r>
    </w:p>
    <w:p w14:paraId="61564FF8" w14:textId="77777777" w:rsidR="00C97BC1" w:rsidRPr="00FE0980" w:rsidRDefault="00C97BC1" w:rsidP="00C97BC1">
      <w:pPr>
        <w:widowControl w:val="0"/>
        <w:tabs>
          <w:tab w:val="left" w:pos="567"/>
        </w:tabs>
        <w:adjustRightInd w:val="0"/>
        <w:spacing w:after="0" w:line="240" w:lineRule="auto"/>
        <w:jc w:val="both"/>
        <w:textAlignment w:val="baseline"/>
        <w:rPr>
          <w:rFonts w:ascii="Verdana" w:hAnsi="Verdana"/>
          <w:color w:val="000000" w:themeColor="text1"/>
          <w:sz w:val="20"/>
          <w:szCs w:val="20"/>
          <w:lang w:val="es-ES"/>
        </w:rPr>
      </w:pPr>
    </w:p>
    <w:p w14:paraId="4746CB63" w14:textId="52E618FF" w:rsidR="004025A2" w:rsidRPr="00C97BC1" w:rsidRDefault="00321B3E"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i/>
          <w:color w:val="000000" w:themeColor="text1"/>
          <w:sz w:val="20"/>
          <w:szCs w:val="20"/>
          <w:lang w:val="es-ES"/>
        </w:rPr>
      </w:pPr>
      <w:r w:rsidRPr="00FE0980">
        <w:rPr>
          <w:rFonts w:ascii="Verdana" w:hAnsi="Verdana" w:cs="Verdana"/>
          <w:bCs/>
          <w:iCs/>
          <w:sz w:val="20"/>
          <w:szCs w:val="20"/>
          <w:lang w:val="es-CR"/>
        </w:rPr>
        <w:t>La Corte ha señalado, en virtud del artículo 25.2.c de la Convención, que la responsabilidad estatal no termina cuando las autoridades competentes emiten una decisión o sentencia, sino que requiere además que el Estado garantice los medios para ejecutar las decisiones definitivas, de manera que se protejan efectivamente los derechos declarados</w:t>
      </w:r>
      <w:r w:rsidR="00687A58">
        <w:rPr>
          <w:rStyle w:val="Refdenotaalpie"/>
          <w:rFonts w:ascii="Verdana" w:hAnsi="Verdana" w:cs="Verdana"/>
          <w:bCs/>
          <w:iCs/>
          <w:sz w:val="20"/>
          <w:szCs w:val="20"/>
          <w:lang w:val="es-CR"/>
        </w:rPr>
        <w:footnoteReference w:id="205"/>
      </w:r>
      <w:r w:rsidRPr="00FE0980">
        <w:rPr>
          <w:rFonts w:ascii="Verdana" w:hAnsi="Verdana" w:cs="Verdana"/>
          <w:bCs/>
          <w:iCs/>
          <w:sz w:val="20"/>
          <w:szCs w:val="20"/>
          <w:lang w:val="es-CR"/>
        </w:rPr>
        <w:t>.</w:t>
      </w:r>
      <w:r w:rsidR="005F02C0" w:rsidRPr="00FE0980">
        <w:rPr>
          <w:rFonts w:ascii="Verdana" w:hAnsi="Verdana" w:cs="Verdana"/>
          <w:bCs/>
          <w:iCs/>
          <w:sz w:val="20"/>
          <w:szCs w:val="20"/>
          <w:lang w:val="es-CR"/>
        </w:rPr>
        <w:t xml:space="preserve"> </w:t>
      </w:r>
    </w:p>
    <w:p w14:paraId="01F57D32" w14:textId="77777777" w:rsidR="00C97BC1" w:rsidRPr="00FE0980" w:rsidRDefault="00C97BC1" w:rsidP="00C97BC1">
      <w:pPr>
        <w:widowControl w:val="0"/>
        <w:tabs>
          <w:tab w:val="left" w:pos="567"/>
        </w:tabs>
        <w:adjustRightInd w:val="0"/>
        <w:spacing w:after="0" w:line="240" w:lineRule="auto"/>
        <w:jc w:val="both"/>
        <w:textAlignment w:val="baseline"/>
        <w:rPr>
          <w:rFonts w:ascii="Verdana" w:hAnsi="Verdana"/>
          <w:i/>
          <w:color w:val="000000" w:themeColor="text1"/>
          <w:sz w:val="20"/>
          <w:szCs w:val="20"/>
          <w:lang w:val="es-ES"/>
        </w:rPr>
      </w:pPr>
    </w:p>
    <w:p w14:paraId="41D08DAD" w14:textId="3A79CEA7" w:rsidR="004025A2" w:rsidRPr="00C97BC1" w:rsidRDefault="004025A2"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i/>
          <w:color w:val="000000" w:themeColor="text1"/>
          <w:sz w:val="20"/>
          <w:szCs w:val="20"/>
          <w:lang w:val="es-ES"/>
        </w:rPr>
      </w:pPr>
      <w:r w:rsidRPr="00FE0980">
        <w:rPr>
          <w:rFonts w:ascii="Verdana" w:hAnsi="Verdana"/>
          <w:sz w:val="20"/>
          <w:szCs w:val="20"/>
          <w:lang w:val="es-CR"/>
        </w:rPr>
        <w:t xml:space="preserve">De esta forma, si bien el Juez de la Causa dio una respuesta pronta a las denuncias de la madre respecto de la necesidad de atención médica de su hijo, y emitió órdenes para que se le otorgara un tratamiento médico y se le informara sobre su situación, </w:t>
      </w:r>
      <w:r w:rsidR="00321B3E" w:rsidRPr="00FE0980">
        <w:rPr>
          <w:rFonts w:ascii="Verdana" w:hAnsi="Verdana"/>
          <w:sz w:val="20"/>
          <w:szCs w:val="20"/>
          <w:lang w:val="es-CR"/>
        </w:rPr>
        <w:t>el Estado incumplió</w:t>
      </w:r>
      <w:r w:rsidRPr="00FE0980">
        <w:rPr>
          <w:rFonts w:ascii="Verdana" w:hAnsi="Verdana"/>
          <w:sz w:val="20"/>
          <w:szCs w:val="20"/>
          <w:lang w:val="es-CR"/>
        </w:rPr>
        <w:t xml:space="preserve"> en su deber de </w:t>
      </w:r>
      <w:r w:rsidR="00321B3E" w:rsidRPr="00FE0980">
        <w:rPr>
          <w:rFonts w:ascii="Verdana" w:hAnsi="Verdana"/>
          <w:sz w:val="20"/>
          <w:szCs w:val="20"/>
          <w:lang w:val="es-CR"/>
        </w:rPr>
        <w:t>dar cumplimiento a dichas órdenes</w:t>
      </w:r>
      <w:r w:rsidRPr="00FE0980">
        <w:rPr>
          <w:rFonts w:ascii="Verdana" w:hAnsi="Verdana"/>
          <w:sz w:val="20"/>
          <w:szCs w:val="20"/>
          <w:lang w:val="es-CR"/>
        </w:rPr>
        <w:t xml:space="preserve">. El incumplimiento quedó de manifiesto especialmente respecto a las órdenes emitidas el 6 de julio de 1989 y el </w:t>
      </w:r>
      <w:r w:rsidR="00180EB9" w:rsidRPr="00FE0980">
        <w:rPr>
          <w:rFonts w:ascii="Verdana" w:hAnsi="Verdana"/>
          <w:sz w:val="20"/>
          <w:szCs w:val="20"/>
          <w:lang w:val="es-CR"/>
        </w:rPr>
        <w:t>1</w:t>
      </w:r>
      <w:r w:rsidRPr="00FE0980">
        <w:rPr>
          <w:rFonts w:ascii="Verdana" w:hAnsi="Verdana"/>
          <w:sz w:val="20"/>
          <w:szCs w:val="20"/>
          <w:lang w:val="es-CR"/>
        </w:rPr>
        <w:t xml:space="preserve"> de agosto de 1990. Respecto a la primera, el Juez de la Causa ordenó que se le realizara un reconocimiento al señor Hernández y se le brindara el tratamiento médico adecuado tras la denuncia de su madre sobre el estado gripal muy pronunciado y la afección en el oído que sufría su hijo. Sin embargo, esta orden nunca fue cumplida. Respecto a la segunda, la de 2 de agosto</w:t>
      </w:r>
      <w:r w:rsidR="00180EB9" w:rsidRPr="00FE0980">
        <w:rPr>
          <w:rFonts w:ascii="Verdana" w:hAnsi="Verdana"/>
          <w:sz w:val="20"/>
          <w:szCs w:val="20"/>
          <w:lang w:val="es-CR"/>
        </w:rPr>
        <w:t xml:space="preserve"> de 1990</w:t>
      </w:r>
      <w:r w:rsidRPr="00FE0980">
        <w:rPr>
          <w:rFonts w:ascii="Verdana" w:hAnsi="Verdana"/>
          <w:sz w:val="20"/>
          <w:szCs w:val="20"/>
          <w:lang w:val="es-CR"/>
        </w:rPr>
        <w:t>, el Juez de la Causa ordenó que se le hiciera un examen médico al señor Hernández y se verificaran las condiciones sanitarias de la Comisaría por la existencia de un posible brote de hepatitis. Pero esta orden no fue cumplida sino hasta el 15 de agosto de 1990, después de que el Juez de la Causa emitiera el 14 de agosto de 1990 una nueva orden de inmediata internación.</w:t>
      </w:r>
    </w:p>
    <w:p w14:paraId="78D80D9F" w14:textId="77777777" w:rsidR="00C97BC1" w:rsidRPr="00FE0980" w:rsidRDefault="00C97BC1" w:rsidP="00C97BC1">
      <w:pPr>
        <w:widowControl w:val="0"/>
        <w:tabs>
          <w:tab w:val="left" w:pos="567"/>
        </w:tabs>
        <w:adjustRightInd w:val="0"/>
        <w:spacing w:after="0" w:line="240" w:lineRule="auto"/>
        <w:jc w:val="both"/>
        <w:textAlignment w:val="baseline"/>
        <w:rPr>
          <w:rFonts w:ascii="Verdana" w:hAnsi="Verdana"/>
          <w:i/>
          <w:color w:val="000000" w:themeColor="text1"/>
          <w:sz w:val="20"/>
          <w:szCs w:val="20"/>
          <w:lang w:val="es-ES"/>
        </w:rPr>
      </w:pPr>
    </w:p>
    <w:p w14:paraId="138F9390" w14:textId="5A050304" w:rsidR="00051ED2" w:rsidRPr="00A11305" w:rsidRDefault="005F02C0"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sz w:val="20"/>
          <w:szCs w:val="20"/>
          <w:lang w:val="es-CR"/>
        </w:rPr>
      </w:pPr>
      <w:r w:rsidRPr="00A11305">
        <w:rPr>
          <w:rFonts w:ascii="Verdana" w:hAnsi="Verdana"/>
          <w:sz w:val="20"/>
          <w:szCs w:val="20"/>
          <w:lang w:val="es-CR"/>
        </w:rPr>
        <w:t xml:space="preserve">Adicionalmente, hubo dos momentos más en los cuales </w:t>
      </w:r>
      <w:r w:rsidR="00321B3E" w:rsidRPr="00A11305">
        <w:rPr>
          <w:rFonts w:ascii="Verdana" w:hAnsi="Verdana"/>
          <w:sz w:val="20"/>
          <w:szCs w:val="20"/>
          <w:lang w:val="es-CR"/>
        </w:rPr>
        <w:t>las autoridades carcelarias</w:t>
      </w:r>
      <w:r w:rsidRPr="00A11305">
        <w:rPr>
          <w:rFonts w:ascii="Verdana" w:hAnsi="Verdana"/>
          <w:sz w:val="20"/>
          <w:szCs w:val="20"/>
          <w:lang w:val="es-CR"/>
        </w:rPr>
        <w:t xml:space="preserve"> tampoco </w:t>
      </w:r>
      <w:r w:rsidR="00321B3E" w:rsidRPr="00A11305">
        <w:rPr>
          <w:rFonts w:ascii="Verdana" w:hAnsi="Verdana"/>
          <w:sz w:val="20"/>
          <w:szCs w:val="20"/>
          <w:lang w:val="es-CR"/>
        </w:rPr>
        <w:t xml:space="preserve">cumplieron </w:t>
      </w:r>
      <w:r w:rsidR="00180EB9" w:rsidRPr="00A11305">
        <w:rPr>
          <w:rFonts w:ascii="Verdana" w:hAnsi="Verdana"/>
          <w:sz w:val="20"/>
          <w:szCs w:val="20"/>
          <w:lang w:val="es-CR"/>
        </w:rPr>
        <w:t>las ó</w:t>
      </w:r>
      <w:r w:rsidRPr="00A11305">
        <w:rPr>
          <w:rFonts w:ascii="Verdana" w:hAnsi="Verdana"/>
          <w:sz w:val="20"/>
          <w:szCs w:val="20"/>
          <w:lang w:val="es-CR"/>
        </w:rPr>
        <w:t xml:space="preserve">rdenes </w:t>
      </w:r>
      <w:r w:rsidR="00180EB9" w:rsidRPr="00A11305">
        <w:rPr>
          <w:rFonts w:ascii="Verdana" w:hAnsi="Verdana"/>
          <w:sz w:val="20"/>
          <w:szCs w:val="20"/>
          <w:lang w:val="es-CR"/>
        </w:rPr>
        <w:t>que emitió</w:t>
      </w:r>
      <w:r w:rsidR="00321B3E" w:rsidRPr="00A11305">
        <w:rPr>
          <w:rFonts w:ascii="Verdana" w:hAnsi="Verdana"/>
          <w:sz w:val="20"/>
          <w:szCs w:val="20"/>
          <w:lang w:val="es-CR"/>
        </w:rPr>
        <w:t xml:space="preserve"> el Juez de la Causa, específicamente</w:t>
      </w:r>
      <w:r w:rsidRPr="00A11305">
        <w:rPr>
          <w:rFonts w:ascii="Verdana" w:hAnsi="Verdana"/>
          <w:sz w:val="20"/>
          <w:szCs w:val="20"/>
          <w:lang w:val="es-CR"/>
        </w:rPr>
        <w:t xml:space="preserve"> con el objetivo de que se le informara sobre la condición de salud del señor Hernández. En concreto, un primer momento fue respecto de la orden que formuló el 6 de diciembre de 1990</w:t>
      </w:r>
      <w:r w:rsidR="00D53E60">
        <w:rPr>
          <w:rFonts w:ascii="Verdana" w:hAnsi="Verdana"/>
          <w:sz w:val="20"/>
          <w:szCs w:val="20"/>
          <w:lang w:val="es-CR"/>
        </w:rPr>
        <w:t>,</w:t>
      </w:r>
      <w:r w:rsidRPr="00A11305">
        <w:rPr>
          <w:rFonts w:ascii="Verdana" w:hAnsi="Verdana"/>
          <w:sz w:val="20"/>
          <w:szCs w:val="20"/>
          <w:lang w:val="es-CR"/>
        </w:rPr>
        <w:t xml:space="preserve"> cuando indicó a la Unidad Carcelaria que le rindiera informes semanales sobre la salud del señor Hernández, lo cual no fue cumplido. Solo consta el informe de dicha autoridad carcelaria de 12 de diciembre </w:t>
      </w:r>
      <w:r w:rsidR="00180EB9" w:rsidRPr="00A11305">
        <w:rPr>
          <w:rFonts w:ascii="Verdana" w:hAnsi="Verdana"/>
          <w:sz w:val="20"/>
          <w:szCs w:val="20"/>
          <w:lang w:val="es-CR"/>
        </w:rPr>
        <w:t>de 1990</w:t>
      </w:r>
      <w:r w:rsidRPr="00A11305">
        <w:rPr>
          <w:rFonts w:ascii="Verdana" w:hAnsi="Verdana"/>
          <w:sz w:val="20"/>
          <w:szCs w:val="20"/>
          <w:lang w:val="es-CR"/>
        </w:rPr>
        <w:t xml:space="preserve">. El segundo momento, cuando </w:t>
      </w:r>
      <w:r w:rsidRPr="00A11305">
        <w:rPr>
          <w:rFonts w:ascii="Verdana" w:hAnsi="Verdana"/>
          <w:color w:val="000000" w:themeColor="text1"/>
          <w:sz w:val="20"/>
          <w:szCs w:val="20"/>
          <w:lang w:val="es-ES"/>
        </w:rPr>
        <w:t xml:space="preserve">el 27 de febrero de 1991 ordenó a la misma Unidad Carcelaria que informara del estado de salud del recluso y sobre su posible situación frente al VIH, orden que tampoco fue cumplida. Derivado de ese incumplimiento, el 1 de abril de 1991 el Juez de la Causa nuevamente ordenó que la Unidad Carcelaria rindiera informe del estado de salud del señor </w:t>
      </w:r>
      <w:r w:rsidRPr="00A11305">
        <w:rPr>
          <w:rFonts w:ascii="Verdana" w:hAnsi="Verdana"/>
          <w:sz w:val="20"/>
          <w:szCs w:val="20"/>
          <w:lang w:val="es-CR"/>
        </w:rPr>
        <w:t xml:space="preserve">Hernández, </w:t>
      </w:r>
      <w:r w:rsidR="00861F08" w:rsidRPr="00A11305">
        <w:rPr>
          <w:rFonts w:ascii="Verdana" w:hAnsi="Verdana"/>
          <w:sz w:val="20"/>
          <w:szCs w:val="20"/>
          <w:lang w:val="es-CR"/>
        </w:rPr>
        <w:t xml:space="preserve">y fue hasta el </w:t>
      </w:r>
      <w:r w:rsidR="00066C06" w:rsidRPr="00A11305">
        <w:rPr>
          <w:rFonts w:ascii="Verdana" w:hAnsi="Verdana"/>
          <w:sz w:val="20"/>
          <w:szCs w:val="20"/>
          <w:lang w:val="es-CR"/>
        </w:rPr>
        <w:t>3 de abril que el Servicio Penitenciario Provincial informó al Juez de la Causa sobre las secuelas que el señor Hernández había padecido hasta ese momento</w:t>
      </w:r>
      <w:r w:rsidR="00EB774C" w:rsidRPr="00A11305">
        <w:rPr>
          <w:rFonts w:ascii="Verdana" w:hAnsi="Verdana"/>
          <w:sz w:val="20"/>
          <w:szCs w:val="20"/>
          <w:lang w:val="es-CR"/>
        </w:rPr>
        <w:t>.</w:t>
      </w:r>
    </w:p>
    <w:p w14:paraId="061CA61A" w14:textId="77777777" w:rsidR="00C97BC1" w:rsidRPr="00FE0980" w:rsidRDefault="00C97BC1" w:rsidP="00C97BC1">
      <w:pPr>
        <w:widowControl w:val="0"/>
        <w:tabs>
          <w:tab w:val="left" w:pos="567"/>
        </w:tabs>
        <w:adjustRightInd w:val="0"/>
        <w:spacing w:after="0" w:line="240" w:lineRule="auto"/>
        <w:jc w:val="both"/>
        <w:textAlignment w:val="baseline"/>
        <w:rPr>
          <w:rFonts w:ascii="Verdana" w:hAnsi="Verdana"/>
          <w:sz w:val="20"/>
          <w:szCs w:val="20"/>
          <w:lang w:val="es-CR"/>
        </w:rPr>
      </w:pPr>
    </w:p>
    <w:p w14:paraId="141CDC0F" w14:textId="2418EB6B" w:rsidR="005F02C0" w:rsidRPr="00C97BC1" w:rsidRDefault="005F02C0"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color w:val="000000" w:themeColor="text1"/>
          <w:sz w:val="20"/>
          <w:szCs w:val="20"/>
          <w:lang w:val="es-ES"/>
        </w:rPr>
      </w:pPr>
      <w:r w:rsidRPr="00FE0980">
        <w:rPr>
          <w:rFonts w:ascii="Verdana" w:hAnsi="Verdana"/>
          <w:sz w:val="20"/>
          <w:szCs w:val="20"/>
          <w:lang w:val="es-CR"/>
        </w:rPr>
        <w:t xml:space="preserve">El Tribunal considera acreditado que en los </w:t>
      </w:r>
      <w:r w:rsidR="00180EB9" w:rsidRPr="00FE0980">
        <w:rPr>
          <w:rFonts w:ascii="Verdana" w:hAnsi="Verdana"/>
          <w:sz w:val="20"/>
          <w:szCs w:val="20"/>
          <w:lang w:val="es-CR"/>
        </w:rPr>
        <w:t>cuatro</w:t>
      </w:r>
      <w:r w:rsidRPr="00FE0980">
        <w:rPr>
          <w:rFonts w:ascii="Verdana" w:hAnsi="Verdana"/>
          <w:sz w:val="20"/>
          <w:szCs w:val="20"/>
          <w:lang w:val="es-CR"/>
        </w:rPr>
        <w:t xml:space="preserve"> momentos relatados no existió cumplimiento</w:t>
      </w:r>
      <w:r w:rsidR="00884D55">
        <w:rPr>
          <w:rFonts w:ascii="Verdana" w:hAnsi="Verdana"/>
          <w:sz w:val="20"/>
          <w:szCs w:val="20"/>
          <w:lang w:val="es-CR"/>
        </w:rPr>
        <w:t xml:space="preserve"> adecuado</w:t>
      </w:r>
      <w:r w:rsidRPr="00FE0980">
        <w:rPr>
          <w:rFonts w:ascii="Verdana" w:hAnsi="Verdana"/>
          <w:sz w:val="20"/>
          <w:szCs w:val="20"/>
          <w:lang w:val="es-CR"/>
        </w:rPr>
        <w:t xml:space="preserve"> de </w:t>
      </w:r>
      <w:r w:rsidR="00FE0980" w:rsidRPr="00FE0980">
        <w:rPr>
          <w:rFonts w:ascii="Verdana" w:hAnsi="Verdana"/>
          <w:sz w:val="20"/>
          <w:szCs w:val="20"/>
          <w:lang w:val="es-CR"/>
        </w:rPr>
        <w:t>las</w:t>
      </w:r>
      <w:r w:rsidRPr="00FE0980">
        <w:rPr>
          <w:rFonts w:ascii="Verdana" w:hAnsi="Verdana"/>
          <w:sz w:val="20"/>
          <w:szCs w:val="20"/>
          <w:lang w:val="es-CR"/>
        </w:rPr>
        <w:t xml:space="preserve"> determinaciones</w:t>
      </w:r>
      <w:r w:rsidR="00FE0980" w:rsidRPr="00FE0980">
        <w:rPr>
          <w:rFonts w:ascii="Verdana" w:hAnsi="Verdana"/>
          <w:sz w:val="20"/>
          <w:szCs w:val="20"/>
          <w:lang w:val="es-CR"/>
        </w:rPr>
        <w:t xml:space="preserve"> del Juez de la Causa</w:t>
      </w:r>
      <w:r w:rsidRPr="00FE0980">
        <w:rPr>
          <w:rFonts w:ascii="Verdana" w:hAnsi="Verdana"/>
          <w:sz w:val="20"/>
          <w:szCs w:val="20"/>
          <w:lang w:val="es-CR"/>
        </w:rPr>
        <w:t>, las cuales implicaban que las autoridades carcelarias realizaran acciones concretas relacionadas con la atención a la salud del señor Hernández. De los hechos se desprende que existieron lapsos prolongad</w:t>
      </w:r>
      <w:r w:rsidR="00180EB9" w:rsidRPr="00FE0980">
        <w:rPr>
          <w:rFonts w:ascii="Verdana" w:hAnsi="Verdana"/>
          <w:sz w:val="20"/>
          <w:szCs w:val="20"/>
          <w:lang w:val="es-CR"/>
        </w:rPr>
        <w:t>os de incumplimiento de dichas ó</w:t>
      </w:r>
      <w:r w:rsidRPr="00FE0980">
        <w:rPr>
          <w:rFonts w:ascii="Verdana" w:hAnsi="Verdana"/>
          <w:sz w:val="20"/>
          <w:szCs w:val="20"/>
          <w:lang w:val="es-CR"/>
        </w:rPr>
        <w:t xml:space="preserve">rdenes, o que algunas de ellas no se cumplieron. La Corte considera </w:t>
      </w:r>
      <w:r w:rsidRPr="00FE0980">
        <w:rPr>
          <w:rFonts w:ascii="Verdana" w:hAnsi="Verdana"/>
          <w:sz w:val="20"/>
          <w:szCs w:val="20"/>
          <w:lang w:val="es-CR"/>
        </w:rPr>
        <w:lastRenderedPageBreak/>
        <w:t>que los recursos intentados por personas que tienen alguna enfermedad que requiere de una atención médica para evitar afecciones graves a su salud, integridad personal, o su vida, implica una obligación reforzada de respeto y garantía de sus derechos. Este Tribunal ha señalado que las resoluciones de recursos intentados requieren que se tome en cuenta la vulnerabilidad y el riesgo de afectación a los derechos en juego para las presuntas víctimas</w:t>
      </w:r>
      <w:r w:rsidR="00687A58">
        <w:rPr>
          <w:rStyle w:val="Refdenotaalpie"/>
          <w:rFonts w:ascii="Verdana" w:hAnsi="Verdana"/>
          <w:sz w:val="20"/>
          <w:szCs w:val="20"/>
          <w:lang w:val="es-CR"/>
        </w:rPr>
        <w:footnoteReference w:id="206"/>
      </w:r>
      <w:r w:rsidRPr="00FE0980">
        <w:rPr>
          <w:rFonts w:ascii="Verdana" w:hAnsi="Verdana"/>
          <w:sz w:val="20"/>
          <w:szCs w:val="20"/>
          <w:lang w:val="es-CR"/>
        </w:rPr>
        <w:t xml:space="preserve">. Por tanto, la Corte concluye que </w:t>
      </w:r>
      <w:r w:rsidR="00FE0980" w:rsidRPr="00FE0980">
        <w:rPr>
          <w:rFonts w:ascii="Verdana" w:hAnsi="Verdana"/>
          <w:sz w:val="20"/>
          <w:szCs w:val="20"/>
          <w:lang w:val="es-CR"/>
        </w:rPr>
        <w:t>el Estado</w:t>
      </w:r>
      <w:r w:rsidRPr="00FE0980">
        <w:rPr>
          <w:rFonts w:ascii="Verdana" w:hAnsi="Verdana"/>
          <w:sz w:val="20"/>
          <w:szCs w:val="20"/>
          <w:lang w:val="es-CR"/>
        </w:rPr>
        <w:t xml:space="preserve"> no </w:t>
      </w:r>
      <w:r w:rsidR="00FE0980" w:rsidRPr="00FE0980">
        <w:rPr>
          <w:rFonts w:ascii="Verdana" w:hAnsi="Verdana"/>
          <w:sz w:val="20"/>
          <w:szCs w:val="20"/>
          <w:lang w:val="es-CR"/>
        </w:rPr>
        <w:t>cumplió</w:t>
      </w:r>
      <w:r w:rsidRPr="00FE0980">
        <w:rPr>
          <w:rFonts w:ascii="Verdana" w:hAnsi="Verdana"/>
          <w:sz w:val="20"/>
          <w:szCs w:val="20"/>
          <w:lang w:val="es-CR"/>
        </w:rPr>
        <w:t xml:space="preserve"> debidamente su posición de garante frente a las condiciones de detención del señor Hernández al </w:t>
      </w:r>
      <w:r w:rsidR="00FE0980" w:rsidRPr="00FE0980">
        <w:rPr>
          <w:rFonts w:ascii="Verdana" w:hAnsi="Verdana"/>
          <w:sz w:val="20"/>
          <w:szCs w:val="20"/>
          <w:lang w:val="es-CR"/>
        </w:rPr>
        <w:t>no dar cumplimiento a las órdenes del Juez de la Causa</w:t>
      </w:r>
      <w:r w:rsidRPr="00FE0980">
        <w:rPr>
          <w:rFonts w:ascii="Verdana" w:hAnsi="Verdana"/>
          <w:sz w:val="20"/>
          <w:szCs w:val="20"/>
          <w:lang w:val="es-CR"/>
        </w:rPr>
        <w:t xml:space="preserve">, más aún cuando tuvo </w:t>
      </w:r>
      <w:r w:rsidR="00FE0980" w:rsidRPr="00FE0980">
        <w:rPr>
          <w:rFonts w:ascii="Verdana" w:hAnsi="Verdana"/>
          <w:sz w:val="20"/>
          <w:szCs w:val="20"/>
          <w:lang w:val="es-CR"/>
        </w:rPr>
        <w:t>conocimiento de</w:t>
      </w:r>
      <w:r w:rsidRPr="00FE0980">
        <w:rPr>
          <w:rFonts w:ascii="Verdana" w:hAnsi="Verdana"/>
          <w:sz w:val="20"/>
          <w:szCs w:val="20"/>
          <w:lang w:val="es-CR"/>
        </w:rPr>
        <w:t xml:space="preserve"> que el estado de salud de la presunta víctima presentaba un deterioro constante y que este se </w:t>
      </w:r>
      <w:r w:rsidR="008168F2" w:rsidRPr="00FE0980">
        <w:rPr>
          <w:rFonts w:ascii="Verdana" w:hAnsi="Verdana"/>
          <w:sz w:val="20"/>
          <w:szCs w:val="20"/>
          <w:lang w:val="es-CR"/>
        </w:rPr>
        <w:t>encontraba privado de libertad.</w:t>
      </w:r>
    </w:p>
    <w:p w14:paraId="3232F029" w14:textId="77777777" w:rsidR="00C97BC1" w:rsidRPr="00FE0980" w:rsidRDefault="00C97BC1" w:rsidP="00C97BC1">
      <w:pPr>
        <w:widowControl w:val="0"/>
        <w:tabs>
          <w:tab w:val="left" w:pos="567"/>
        </w:tabs>
        <w:adjustRightInd w:val="0"/>
        <w:spacing w:after="0" w:line="240" w:lineRule="auto"/>
        <w:jc w:val="both"/>
        <w:textAlignment w:val="baseline"/>
        <w:rPr>
          <w:rFonts w:ascii="Verdana" w:hAnsi="Verdana"/>
          <w:color w:val="000000" w:themeColor="text1"/>
          <w:sz w:val="20"/>
          <w:szCs w:val="20"/>
          <w:lang w:val="es-ES"/>
        </w:rPr>
      </w:pPr>
    </w:p>
    <w:p w14:paraId="67341E06" w14:textId="77777777" w:rsidR="001A24A9" w:rsidRDefault="001A24A9"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cs="Arial"/>
          <w:sz w:val="20"/>
          <w:szCs w:val="20"/>
          <w:lang w:val="es-CR"/>
        </w:rPr>
      </w:pPr>
      <w:r w:rsidRPr="00E25884">
        <w:rPr>
          <w:rFonts w:ascii="Verdana" w:hAnsi="Verdana" w:cs="Verdana"/>
          <w:bCs/>
          <w:iCs/>
          <w:sz w:val="20"/>
          <w:szCs w:val="20"/>
          <w:lang w:val="es-CR"/>
        </w:rPr>
        <w:t>Por las razones anteriores, la Corte considera que el Estado es responsable por la violación a las garantías</w:t>
      </w:r>
      <w:r w:rsidRPr="00E25884">
        <w:rPr>
          <w:rFonts w:ascii="Verdana" w:hAnsi="Verdana" w:cs="Arial"/>
          <w:sz w:val="20"/>
          <w:szCs w:val="20"/>
          <w:lang w:val="es-CR"/>
        </w:rPr>
        <w:t xml:space="preserve"> procesales y la protección judicial en términos </w:t>
      </w:r>
      <w:r w:rsidR="004C6B5F">
        <w:rPr>
          <w:rFonts w:ascii="Verdana" w:hAnsi="Verdana" w:cs="Arial"/>
          <w:sz w:val="20"/>
          <w:szCs w:val="20"/>
          <w:lang w:val="es-CR"/>
        </w:rPr>
        <w:t>del</w:t>
      </w:r>
      <w:r w:rsidRPr="00E25884">
        <w:rPr>
          <w:rFonts w:ascii="Verdana" w:hAnsi="Verdana" w:cs="Arial"/>
          <w:sz w:val="20"/>
          <w:szCs w:val="20"/>
          <w:lang w:val="es-CR"/>
        </w:rPr>
        <w:t xml:space="preserve"> </w:t>
      </w:r>
      <w:r w:rsidR="004C6B5F">
        <w:rPr>
          <w:rFonts w:ascii="Verdana" w:hAnsi="Verdana" w:cs="Arial"/>
          <w:sz w:val="20"/>
          <w:szCs w:val="20"/>
          <w:lang w:val="es-CR"/>
        </w:rPr>
        <w:t xml:space="preserve">artículo </w:t>
      </w:r>
      <w:r w:rsidRPr="00E25884">
        <w:rPr>
          <w:rFonts w:ascii="Verdana" w:hAnsi="Verdana" w:cs="Arial"/>
          <w:sz w:val="20"/>
          <w:szCs w:val="20"/>
          <w:lang w:val="es-CR"/>
        </w:rPr>
        <w:t xml:space="preserve">25.2.c de la Convención Americana en relación con </w:t>
      </w:r>
      <w:r w:rsidRPr="00C97BC1">
        <w:rPr>
          <w:rFonts w:ascii="Verdana" w:hAnsi="Verdana" w:cs="Arial"/>
          <w:sz w:val="20"/>
          <w:szCs w:val="20"/>
          <w:lang w:val="es-CR"/>
        </w:rPr>
        <w:t xml:space="preserve">el artículo 1.1 del mismo instrumento, en perjuicio del señor </w:t>
      </w:r>
      <w:r w:rsidR="00FE0980" w:rsidRPr="00C97BC1">
        <w:rPr>
          <w:rFonts w:ascii="Verdana" w:hAnsi="Verdana" w:cs="Arial"/>
          <w:sz w:val="20"/>
          <w:szCs w:val="20"/>
          <w:lang w:val="es-CR"/>
        </w:rPr>
        <w:t xml:space="preserve">José Luis </w:t>
      </w:r>
      <w:r w:rsidRPr="00C97BC1">
        <w:rPr>
          <w:rFonts w:ascii="Verdana" w:hAnsi="Verdana" w:cs="Arial"/>
          <w:sz w:val="20"/>
          <w:szCs w:val="20"/>
          <w:lang w:val="es-CR"/>
        </w:rPr>
        <w:t>Hernández.</w:t>
      </w:r>
    </w:p>
    <w:p w14:paraId="5570B0CF" w14:textId="77777777" w:rsidR="00C97BC1" w:rsidRPr="00C97BC1" w:rsidRDefault="00C97BC1" w:rsidP="00C97BC1">
      <w:pPr>
        <w:widowControl w:val="0"/>
        <w:tabs>
          <w:tab w:val="left" w:pos="567"/>
        </w:tabs>
        <w:adjustRightInd w:val="0"/>
        <w:spacing w:after="0" w:line="240" w:lineRule="auto"/>
        <w:jc w:val="both"/>
        <w:textAlignment w:val="baseline"/>
        <w:rPr>
          <w:rFonts w:ascii="Verdana" w:hAnsi="Verdana" w:cs="Arial"/>
          <w:sz w:val="20"/>
          <w:szCs w:val="20"/>
          <w:lang w:val="es-CR"/>
        </w:rPr>
      </w:pPr>
    </w:p>
    <w:p w14:paraId="5F3BCCDD" w14:textId="77777777" w:rsidR="008168F2" w:rsidRDefault="008168F2" w:rsidP="00C97BC1">
      <w:pPr>
        <w:pStyle w:val="Estilo1"/>
        <w:tabs>
          <w:tab w:val="clear" w:pos="567"/>
          <w:tab w:val="clear" w:pos="6042"/>
          <w:tab w:val="left" w:pos="709"/>
        </w:tabs>
        <w:spacing w:after="0"/>
        <w:ind w:left="825" w:right="-4"/>
        <w:outlineLvl w:val="2"/>
        <w:rPr>
          <w:b/>
          <w:i/>
          <w:color w:val="000000" w:themeColor="text1"/>
          <w:sz w:val="20"/>
          <w:szCs w:val="20"/>
          <w:lang w:val="es-ES"/>
        </w:rPr>
      </w:pPr>
      <w:bookmarkStart w:id="76" w:name="_Toc27509182"/>
      <w:r w:rsidRPr="00FA0460">
        <w:rPr>
          <w:b/>
          <w:i/>
          <w:color w:val="000000" w:themeColor="text1"/>
          <w:sz w:val="20"/>
          <w:szCs w:val="20"/>
          <w:lang w:val="es-ES"/>
        </w:rPr>
        <w:t>B.</w:t>
      </w:r>
      <w:r>
        <w:rPr>
          <w:b/>
          <w:i/>
          <w:color w:val="000000" w:themeColor="text1"/>
          <w:sz w:val="20"/>
          <w:szCs w:val="20"/>
          <w:lang w:val="es-ES"/>
        </w:rPr>
        <w:t>2</w:t>
      </w:r>
      <w:r w:rsidRPr="00FA0460">
        <w:rPr>
          <w:b/>
          <w:i/>
          <w:color w:val="000000" w:themeColor="text1"/>
          <w:sz w:val="20"/>
          <w:szCs w:val="20"/>
          <w:lang w:val="es-ES"/>
        </w:rPr>
        <w:t xml:space="preserve">. Respecto de </w:t>
      </w:r>
      <w:r>
        <w:rPr>
          <w:b/>
          <w:i/>
          <w:color w:val="000000" w:themeColor="text1"/>
          <w:sz w:val="20"/>
          <w:szCs w:val="20"/>
          <w:lang w:val="es-ES"/>
        </w:rPr>
        <w:t>la solicitud de excarcelación extraordinaria</w:t>
      </w:r>
      <w:bookmarkEnd w:id="76"/>
      <w:r w:rsidRPr="00FA0460">
        <w:rPr>
          <w:b/>
          <w:i/>
          <w:color w:val="000000" w:themeColor="text1"/>
          <w:sz w:val="20"/>
          <w:szCs w:val="20"/>
          <w:lang w:val="es-ES"/>
        </w:rPr>
        <w:t xml:space="preserve"> </w:t>
      </w:r>
    </w:p>
    <w:p w14:paraId="142F280F" w14:textId="77777777" w:rsidR="00C97BC1" w:rsidRPr="00FA0460" w:rsidRDefault="00C97BC1" w:rsidP="00C97BC1">
      <w:pPr>
        <w:pStyle w:val="Estilo1"/>
        <w:tabs>
          <w:tab w:val="clear" w:pos="567"/>
          <w:tab w:val="clear" w:pos="6042"/>
          <w:tab w:val="left" w:pos="709"/>
        </w:tabs>
        <w:spacing w:after="0"/>
        <w:ind w:right="-4"/>
        <w:outlineLvl w:val="2"/>
        <w:rPr>
          <w:b/>
          <w:i/>
          <w:color w:val="000000" w:themeColor="text1"/>
          <w:sz w:val="20"/>
          <w:szCs w:val="20"/>
          <w:lang w:val="es-ES"/>
        </w:rPr>
      </w:pPr>
    </w:p>
    <w:p w14:paraId="70207EE5" w14:textId="14C95BE8" w:rsidR="00D57AAE" w:rsidRPr="00C84826" w:rsidRDefault="005F02C0" w:rsidP="00D53E60">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color w:val="000000" w:themeColor="text1"/>
          <w:sz w:val="20"/>
          <w:szCs w:val="20"/>
          <w:lang w:val="es-ES"/>
        </w:rPr>
      </w:pPr>
      <w:r w:rsidRPr="00C84826">
        <w:rPr>
          <w:rFonts w:ascii="Verdana" w:hAnsi="Verdana"/>
          <w:sz w:val="20"/>
          <w:szCs w:val="20"/>
          <w:lang w:val="es-CR"/>
        </w:rPr>
        <w:t xml:space="preserve">Por otro lado, </w:t>
      </w:r>
      <w:r w:rsidRPr="00C84826">
        <w:rPr>
          <w:rFonts w:ascii="Verdana" w:hAnsi="Verdana"/>
          <w:color w:val="000000" w:themeColor="text1"/>
          <w:sz w:val="20"/>
          <w:szCs w:val="20"/>
          <w:lang w:val="es-ES"/>
        </w:rPr>
        <w:t xml:space="preserve">la Corte recuerda que el </w:t>
      </w:r>
      <w:r w:rsidR="00EA2FBB" w:rsidRPr="00C84826">
        <w:rPr>
          <w:rFonts w:ascii="Verdana" w:hAnsi="Verdana"/>
          <w:color w:val="000000" w:themeColor="text1"/>
          <w:sz w:val="20"/>
          <w:szCs w:val="20"/>
          <w:lang w:val="es-ES"/>
        </w:rPr>
        <w:t>17</w:t>
      </w:r>
      <w:r w:rsidRPr="00C84826">
        <w:rPr>
          <w:rFonts w:ascii="Verdana" w:hAnsi="Verdana"/>
          <w:color w:val="000000" w:themeColor="text1"/>
          <w:sz w:val="20"/>
          <w:szCs w:val="20"/>
          <w:lang w:val="es-ES"/>
        </w:rPr>
        <w:t xml:space="preserve"> de octubre de 1990 el Juez de la Causa negó la solicitud que la defensa del señor Hernández hiciera para su excarcelación extraordinaria. </w:t>
      </w:r>
      <w:r w:rsidR="00D57AAE" w:rsidRPr="00C84826">
        <w:rPr>
          <w:rFonts w:ascii="Verdana" w:hAnsi="Verdana"/>
          <w:color w:val="000000" w:themeColor="text1"/>
          <w:sz w:val="20"/>
          <w:szCs w:val="20"/>
          <w:lang w:val="es-ES"/>
        </w:rPr>
        <w:t>Los representantes solicitaron la excarcelación con base en el supuesto extraordinario de procedencia previsto en el artículo 2 de la Ley 10.484</w:t>
      </w:r>
      <w:r w:rsidR="00975B3F">
        <w:rPr>
          <w:rStyle w:val="Refdenotaalpie"/>
          <w:rFonts w:ascii="Verdana" w:hAnsi="Verdana"/>
          <w:color w:val="000000" w:themeColor="text1"/>
          <w:sz w:val="20"/>
          <w:szCs w:val="20"/>
          <w:lang w:val="es-ES"/>
        </w:rPr>
        <w:footnoteReference w:id="207"/>
      </w:r>
      <w:r w:rsidR="00D57AAE" w:rsidRPr="00C84826">
        <w:rPr>
          <w:rFonts w:ascii="Verdana" w:hAnsi="Verdana"/>
          <w:color w:val="000000" w:themeColor="text1"/>
          <w:sz w:val="20"/>
          <w:szCs w:val="20"/>
          <w:lang w:val="es-ES"/>
        </w:rPr>
        <w:t>, toda vez que “la sentencia no se encuentra firme, atento haber sido recurrida por esta defensa” y debido a que el “no cuenta con asistencia médica adecuada”</w:t>
      </w:r>
      <w:r w:rsidR="00D57AAE">
        <w:rPr>
          <w:rStyle w:val="Refdenotaalpie"/>
          <w:rFonts w:ascii="Verdana" w:hAnsi="Verdana"/>
          <w:color w:val="000000" w:themeColor="text1"/>
          <w:sz w:val="20"/>
          <w:szCs w:val="20"/>
          <w:lang w:val="es-ES"/>
        </w:rPr>
        <w:footnoteReference w:id="208"/>
      </w:r>
      <w:r w:rsidR="00D57AAE" w:rsidRPr="00C84826">
        <w:rPr>
          <w:rFonts w:ascii="Verdana" w:hAnsi="Verdana"/>
          <w:color w:val="000000" w:themeColor="text1"/>
          <w:sz w:val="20"/>
          <w:szCs w:val="20"/>
          <w:lang w:val="es-ES"/>
        </w:rPr>
        <w:t>. Asimismo, manifestaron que el organismo administrativo llamado por la ley para cumplir con el objetivo de garantizar tratamiento médico estaba “incapacitado para prestarlo”.</w:t>
      </w:r>
      <w:r w:rsidR="00C6241F" w:rsidRPr="00C84826">
        <w:rPr>
          <w:rFonts w:ascii="Verdana" w:hAnsi="Verdana"/>
          <w:color w:val="000000" w:themeColor="text1"/>
          <w:sz w:val="20"/>
          <w:szCs w:val="20"/>
          <w:lang w:val="es-ES"/>
        </w:rPr>
        <w:t xml:space="preserve"> E</w:t>
      </w:r>
      <w:r w:rsidR="00EA2FBB" w:rsidRPr="00C84826">
        <w:rPr>
          <w:rFonts w:ascii="Verdana" w:hAnsi="Verdana"/>
          <w:color w:val="000000" w:themeColor="text1"/>
          <w:sz w:val="20"/>
          <w:szCs w:val="20"/>
          <w:lang w:val="es-ES"/>
        </w:rPr>
        <w:t>l Juez de la Causa negó el recurso argumentando que “la valoración de los hechos atribuidos al causante, y por los que ha recaído sentencia condenatoria, vista la gravedad de la pena impuesta y encontrándose José Luis Hernández con asistencia médica adecuada, debe estimarse que no procede el otorgamiento del beneficio</w:t>
      </w:r>
      <w:r w:rsidR="0050700E">
        <w:rPr>
          <w:rFonts w:ascii="Verdana" w:hAnsi="Verdana"/>
          <w:color w:val="000000" w:themeColor="text1"/>
          <w:sz w:val="20"/>
          <w:szCs w:val="20"/>
          <w:lang w:val="es-ES"/>
        </w:rPr>
        <w:t>”</w:t>
      </w:r>
      <w:r w:rsidR="00EA2FBB" w:rsidRPr="00E25884">
        <w:rPr>
          <w:rStyle w:val="Refdenotaalpie"/>
          <w:rFonts w:ascii="Verdana" w:eastAsia="Calibri" w:hAnsi="Verdana"/>
          <w:color w:val="000000" w:themeColor="text1"/>
          <w:sz w:val="20"/>
          <w:szCs w:val="20"/>
          <w:lang w:val="es-ES"/>
        </w:rPr>
        <w:footnoteReference w:id="209"/>
      </w:r>
      <w:r w:rsidR="00EA2FBB" w:rsidRPr="00C84826">
        <w:rPr>
          <w:rFonts w:ascii="Verdana" w:hAnsi="Verdana"/>
          <w:color w:val="000000" w:themeColor="text1"/>
          <w:sz w:val="20"/>
          <w:szCs w:val="20"/>
          <w:lang w:val="es-ES"/>
        </w:rPr>
        <w:t>. El 29 de octubre de 1990 la Cámara de Apelación confirmó la negativa de excarcelación, debido a que “se había dictado sentencia condenatoria, la que, a pesar de no encontrarse firme, torna improcedente el beneficio de la excarcelación extraordinaria”</w:t>
      </w:r>
      <w:r w:rsidR="00EA2FBB">
        <w:rPr>
          <w:rStyle w:val="Refdenotaalpie"/>
          <w:rFonts w:ascii="Verdana" w:hAnsi="Verdana"/>
          <w:color w:val="000000" w:themeColor="text1"/>
          <w:sz w:val="20"/>
          <w:szCs w:val="20"/>
          <w:lang w:val="es-ES"/>
        </w:rPr>
        <w:footnoteReference w:id="210"/>
      </w:r>
      <w:r w:rsidR="00EA2FBB" w:rsidRPr="00C84826">
        <w:rPr>
          <w:rFonts w:ascii="Verdana" w:hAnsi="Verdana"/>
          <w:color w:val="000000" w:themeColor="text1"/>
          <w:sz w:val="20"/>
          <w:szCs w:val="20"/>
          <w:lang w:val="es-ES"/>
        </w:rPr>
        <w:t xml:space="preserve">. Respecto a la condición de salud, la Cámara manifestó que el Juez de la Causa debía “arbitrar los medios pertinentes conforme a su </w:t>
      </w:r>
      <w:proofErr w:type="spellStart"/>
      <w:r w:rsidR="00EA2FBB" w:rsidRPr="00C84826">
        <w:rPr>
          <w:rFonts w:ascii="Verdana" w:hAnsi="Verdana"/>
          <w:color w:val="000000" w:themeColor="text1"/>
          <w:sz w:val="20"/>
          <w:szCs w:val="20"/>
          <w:lang w:val="es-ES"/>
        </w:rPr>
        <w:t>imperium</w:t>
      </w:r>
      <w:proofErr w:type="spellEnd"/>
      <w:r w:rsidR="00B40679" w:rsidRPr="00C84826">
        <w:rPr>
          <w:rFonts w:ascii="Verdana" w:hAnsi="Verdana"/>
          <w:color w:val="000000" w:themeColor="text1"/>
          <w:sz w:val="20"/>
          <w:szCs w:val="20"/>
          <w:lang w:val="es-ES"/>
        </w:rPr>
        <w:t xml:space="preserve"> a fin de que se brinde al encausado la asistencia que requiere su estado actual de salud</w:t>
      </w:r>
      <w:r w:rsidR="00EA2FBB" w:rsidRPr="00C84826">
        <w:rPr>
          <w:rFonts w:ascii="Verdana" w:hAnsi="Verdana"/>
          <w:color w:val="000000" w:themeColor="text1"/>
          <w:sz w:val="20"/>
          <w:szCs w:val="20"/>
          <w:lang w:val="es-ES"/>
        </w:rPr>
        <w:t>”.</w:t>
      </w:r>
    </w:p>
    <w:p w14:paraId="29B100EB" w14:textId="77777777" w:rsidR="00C97BC1" w:rsidRPr="00B40679" w:rsidRDefault="00C97BC1" w:rsidP="00C97BC1">
      <w:pPr>
        <w:widowControl w:val="0"/>
        <w:tabs>
          <w:tab w:val="left" w:pos="567"/>
        </w:tabs>
        <w:adjustRightInd w:val="0"/>
        <w:spacing w:after="0" w:line="240" w:lineRule="auto"/>
        <w:jc w:val="both"/>
        <w:textAlignment w:val="baseline"/>
        <w:rPr>
          <w:rFonts w:ascii="Verdana" w:hAnsi="Verdana"/>
          <w:color w:val="000000" w:themeColor="text1"/>
          <w:sz w:val="20"/>
          <w:szCs w:val="20"/>
          <w:lang w:val="es-ES"/>
        </w:rPr>
      </w:pPr>
    </w:p>
    <w:p w14:paraId="067CF63D" w14:textId="49D4D8BE" w:rsidR="005F02C0" w:rsidRPr="00C97BC1" w:rsidRDefault="00B40679"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color w:val="000000" w:themeColor="text1"/>
          <w:sz w:val="20"/>
          <w:szCs w:val="20"/>
          <w:lang w:val="es-ES"/>
        </w:rPr>
      </w:pPr>
      <w:r>
        <w:rPr>
          <w:rFonts w:ascii="Verdana" w:hAnsi="Verdana"/>
          <w:color w:val="000000" w:themeColor="text1"/>
          <w:sz w:val="20"/>
          <w:szCs w:val="20"/>
          <w:lang w:val="es-ES"/>
        </w:rPr>
        <w:t>La Comisión alegó que el J</w:t>
      </w:r>
      <w:r w:rsidR="005F02C0" w:rsidRPr="00E25884">
        <w:rPr>
          <w:rFonts w:ascii="Verdana" w:hAnsi="Verdana"/>
          <w:color w:val="000000" w:themeColor="text1"/>
          <w:sz w:val="20"/>
          <w:szCs w:val="20"/>
          <w:lang w:val="es-ES"/>
        </w:rPr>
        <w:t xml:space="preserve">uez </w:t>
      </w:r>
      <w:r>
        <w:rPr>
          <w:rFonts w:ascii="Verdana" w:hAnsi="Verdana"/>
          <w:color w:val="000000" w:themeColor="text1"/>
          <w:sz w:val="20"/>
          <w:szCs w:val="20"/>
          <w:lang w:val="es-ES"/>
        </w:rPr>
        <w:t xml:space="preserve">de la Causa </w:t>
      </w:r>
      <w:r w:rsidR="005F02C0" w:rsidRPr="00E25884">
        <w:rPr>
          <w:rFonts w:ascii="Verdana" w:hAnsi="Verdana"/>
          <w:color w:val="000000" w:themeColor="text1"/>
          <w:sz w:val="20"/>
          <w:szCs w:val="20"/>
          <w:lang w:val="es-ES"/>
        </w:rPr>
        <w:t xml:space="preserve">se limitó a afirmar que el señor Hernández estaba </w:t>
      </w:r>
      <w:r w:rsidR="005F02C0" w:rsidRPr="00E25884">
        <w:rPr>
          <w:rFonts w:ascii="Verdana" w:hAnsi="Verdana"/>
          <w:color w:val="000000" w:themeColor="text1"/>
          <w:sz w:val="20"/>
          <w:szCs w:val="20"/>
          <w:lang w:val="es-ES"/>
        </w:rPr>
        <w:lastRenderedPageBreak/>
        <w:t>recibiendo atención médica adecuada sin motivar debidamente dicha afirmación</w:t>
      </w:r>
      <w:r w:rsidR="005F02C0" w:rsidRPr="00E25884">
        <w:rPr>
          <w:rStyle w:val="Refdenotaalpie"/>
          <w:rFonts w:ascii="Verdana" w:hAnsi="Verdana"/>
          <w:color w:val="000000" w:themeColor="text1"/>
          <w:sz w:val="20"/>
          <w:szCs w:val="20"/>
          <w:lang w:val="es-ES"/>
        </w:rPr>
        <w:footnoteReference w:id="211"/>
      </w:r>
      <w:r w:rsidR="005F02C0" w:rsidRPr="00B40679">
        <w:rPr>
          <w:rFonts w:ascii="Verdana" w:hAnsi="Verdana"/>
          <w:color w:val="000000" w:themeColor="text1"/>
          <w:sz w:val="20"/>
          <w:szCs w:val="20"/>
          <w:lang w:val="es-ES"/>
        </w:rPr>
        <w:t>.</w:t>
      </w:r>
      <w:r w:rsidR="005F02C0" w:rsidRPr="00E25884">
        <w:rPr>
          <w:rFonts w:ascii="Verdana" w:hAnsi="Verdana"/>
          <w:b/>
          <w:color w:val="000000" w:themeColor="text1"/>
          <w:sz w:val="20"/>
          <w:szCs w:val="20"/>
          <w:lang w:val="es-ES"/>
        </w:rPr>
        <w:t xml:space="preserve"> </w:t>
      </w:r>
      <w:r w:rsidR="005F02C0" w:rsidRPr="00E25884">
        <w:rPr>
          <w:rFonts w:ascii="Verdana" w:hAnsi="Verdana" w:cs="Verdana"/>
          <w:color w:val="000000" w:themeColor="text1"/>
          <w:sz w:val="20"/>
          <w:szCs w:val="20"/>
          <w:lang w:val="es-ES"/>
        </w:rPr>
        <w:t>Los representantes alegaron que la Ley 10.484</w:t>
      </w:r>
      <w:r w:rsidR="00A1774C">
        <w:rPr>
          <w:rFonts w:ascii="Verdana" w:hAnsi="Verdana" w:cs="Verdana"/>
          <w:color w:val="000000" w:themeColor="text1"/>
          <w:sz w:val="20"/>
          <w:szCs w:val="20"/>
          <w:lang w:val="es-ES"/>
        </w:rPr>
        <w:t>,</w:t>
      </w:r>
      <w:r w:rsidR="005F02C0" w:rsidRPr="00E25884">
        <w:rPr>
          <w:rFonts w:ascii="Verdana" w:hAnsi="Verdana" w:cs="Verdana"/>
          <w:color w:val="000000" w:themeColor="text1"/>
          <w:sz w:val="20"/>
          <w:szCs w:val="20"/>
          <w:lang w:val="es-ES"/>
        </w:rPr>
        <w:t xml:space="preserve"> vigente en la época de los hechos</w:t>
      </w:r>
      <w:r w:rsidR="00A1774C">
        <w:rPr>
          <w:rFonts w:ascii="Verdana" w:hAnsi="Verdana" w:cs="Verdana"/>
          <w:color w:val="000000" w:themeColor="text1"/>
          <w:sz w:val="20"/>
          <w:szCs w:val="20"/>
          <w:lang w:val="es-ES"/>
        </w:rPr>
        <w:t>,</w:t>
      </w:r>
      <w:r w:rsidR="005F02C0" w:rsidRPr="00E25884">
        <w:rPr>
          <w:rFonts w:ascii="Verdana" w:hAnsi="Verdana" w:cs="Verdana"/>
          <w:color w:val="000000" w:themeColor="text1"/>
          <w:sz w:val="20"/>
          <w:szCs w:val="20"/>
          <w:lang w:val="es-ES"/>
        </w:rPr>
        <w:t xml:space="preserve"> establecía supuestos de excepción a la excarcelación que permitía concederla</w:t>
      </w:r>
      <w:r w:rsidR="005F02C0" w:rsidRPr="00E25884">
        <w:rPr>
          <w:rStyle w:val="Refdenotaalpie"/>
          <w:rFonts w:ascii="Verdana" w:hAnsi="Verdana"/>
          <w:color w:val="000000" w:themeColor="text1"/>
          <w:sz w:val="20"/>
          <w:szCs w:val="20"/>
          <w:lang w:val="es-ES"/>
        </w:rPr>
        <w:footnoteReference w:id="212"/>
      </w:r>
      <w:r w:rsidR="005F02C0" w:rsidRPr="00E25884">
        <w:rPr>
          <w:rFonts w:ascii="Verdana" w:hAnsi="Verdana" w:cs="Verdana"/>
          <w:color w:val="000000" w:themeColor="text1"/>
          <w:sz w:val="20"/>
          <w:szCs w:val="20"/>
          <w:lang w:val="es-ES"/>
        </w:rPr>
        <w:t xml:space="preserve">, como el hecho de que no había riesgo de </w:t>
      </w:r>
      <w:r>
        <w:rPr>
          <w:rFonts w:ascii="Verdana" w:hAnsi="Verdana" w:cs="Verdana"/>
          <w:color w:val="000000" w:themeColor="text1"/>
          <w:sz w:val="20"/>
          <w:szCs w:val="20"/>
          <w:lang w:val="es-ES"/>
        </w:rPr>
        <w:t xml:space="preserve">que </w:t>
      </w:r>
      <w:r w:rsidR="005F02C0" w:rsidRPr="00E25884">
        <w:rPr>
          <w:rFonts w:ascii="Verdana" w:hAnsi="Verdana" w:cs="Verdana"/>
          <w:color w:val="000000" w:themeColor="text1"/>
          <w:sz w:val="20"/>
          <w:szCs w:val="20"/>
          <w:lang w:val="es-ES"/>
        </w:rPr>
        <w:t>el señor Hernández se fugara o entorpeciera la investigación, así que la negativa de excarcelarlo resultaba una decisión irrazonable.</w:t>
      </w:r>
    </w:p>
    <w:p w14:paraId="02FF44DA" w14:textId="77777777" w:rsidR="00C97BC1" w:rsidRPr="00E25884" w:rsidRDefault="00C97BC1" w:rsidP="00C97BC1">
      <w:pPr>
        <w:widowControl w:val="0"/>
        <w:tabs>
          <w:tab w:val="left" w:pos="567"/>
        </w:tabs>
        <w:adjustRightInd w:val="0"/>
        <w:spacing w:after="0" w:line="240" w:lineRule="auto"/>
        <w:jc w:val="both"/>
        <w:textAlignment w:val="baseline"/>
        <w:rPr>
          <w:rFonts w:ascii="Verdana" w:hAnsi="Verdana"/>
          <w:color w:val="000000" w:themeColor="text1"/>
          <w:sz w:val="20"/>
          <w:szCs w:val="20"/>
          <w:lang w:val="es-ES"/>
        </w:rPr>
      </w:pPr>
    </w:p>
    <w:p w14:paraId="160105A3" w14:textId="38063841" w:rsidR="00FF2D3E" w:rsidRPr="00C97BC1" w:rsidRDefault="005F02C0"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eastAsia="Verdana" w:hAnsi="Verdana" w:cs="Cambria"/>
          <w:bCs/>
          <w:i/>
          <w:color w:val="000000"/>
          <w:sz w:val="20"/>
          <w:szCs w:val="20"/>
          <w:u w:color="000000"/>
          <w:lang w:val="es-CR" w:eastAsia="x-none"/>
        </w:rPr>
      </w:pPr>
      <w:r w:rsidRPr="00E25884">
        <w:rPr>
          <w:rFonts w:ascii="Verdana" w:hAnsi="Verdana"/>
          <w:color w:val="000000" w:themeColor="text1"/>
          <w:sz w:val="20"/>
          <w:szCs w:val="20"/>
          <w:lang w:val="es-CR"/>
        </w:rPr>
        <w:t>L</w:t>
      </w:r>
      <w:r w:rsidRPr="00E25884">
        <w:rPr>
          <w:rFonts w:ascii="Verdana" w:hAnsi="Verdana"/>
          <w:sz w:val="20"/>
          <w:szCs w:val="20"/>
          <w:lang w:val="es-CR"/>
        </w:rPr>
        <w:t xml:space="preserve">a Corte recuerda que </w:t>
      </w:r>
      <w:r w:rsidR="00B40679">
        <w:rPr>
          <w:rFonts w:ascii="Verdana" w:hAnsi="Verdana"/>
          <w:sz w:val="20"/>
          <w:szCs w:val="20"/>
          <w:lang w:val="es-CR"/>
        </w:rPr>
        <w:t>el</w:t>
      </w:r>
      <w:r w:rsidRPr="00E25884">
        <w:rPr>
          <w:rFonts w:ascii="Verdana" w:hAnsi="Verdana"/>
          <w:sz w:val="20"/>
          <w:szCs w:val="20"/>
          <w:lang w:val="es-CR"/>
        </w:rPr>
        <w:t xml:space="preserve"> derecho a un recurso</w:t>
      </w:r>
      <w:r w:rsidR="00B40679">
        <w:rPr>
          <w:rFonts w:ascii="Verdana" w:hAnsi="Verdana"/>
          <w:sz w:val="20"/>
          <w:szCs w:val="20"/>
          <w:lang w:val="es-CR"/>
        </w:rPr>
        <w:t xml:space="preserve"> judicial</w:t>
      </w:r>
      <w:r w:rsidRPr="00E25884">
        <w:rPr>
          <w:rFonts w:ascii="Verdana" w:hAnsi="Verdana"/>
          <w:sz w:val="20"/>
          <w:szCs w:val="20"/>
          <w:lang w:val="es-CR"/>
        </w:rPr>
        <w:t xml:space="preserve"> efectivo </w:t>
      </w:r>
      <w:r w:rsidR="00B40679">
        <w:rPr>
          <w:rFonts w:ascii="Verdana" w:hAnsi="Verdana"/>
          <w:sz w:val="20"/>
          <w:szCs w:val="20"/>
          <w:lang w:val="es-CR"/>
        </w:rPr>
        <w:t>incluya</w:t>
      </w:r>
      <w:r w:rsidRPr="00E25884">
        <w:rPr>
          <w:rFonts w:ascii="Verdana" w:hAnsi="Verdana"/>
          <w:sz w:val="20"/>
          <w:szCs w:val="20"/>
          <w:lang w:val="es-CR"/>
        </w:rPr>
        <w:t xml:space="preserve"> la obligación de la autoridad competente de examinar las razones invocadas por un demandante, de manifestarse expresamente sobre ellas, y de verificar el cumplimiento de sus fallos. Sin embargo, esta obligación no implica que la efectividad de un recurso se mida en función de que éste produzca un resultado favorable para el demandante. La obligación del Estado de garantizar este derecho es una obligación de medios o comportamiento, por lo que, en el presente caso, el hecho de que el Juez de la Causa no arribara a la conclusión jurídica que deseaban los accionantes, no constituye </w:t>
      </w:r>
      <w:r w:rsidRPr="00A1774C">
        <w:rPr>
          <w:rFonts w:ascii="Verdana" w:hAnsi="Verdana"/>
          <w:i/>
          <w:sz w:val="20"/>
          <w:szCs w:val="20"/>
          <w:lang w:val="es-CR"/>
        </w:rPr>
        <w:t>per se</w:t>
      </w:r>
      <w:r w:rsidRPr="00E25884">
        <w:rPr>
          <w:rFonts w:ascii="Verdana" w:hAnsi="Verdana"/>
          <w:sz w:val="20"/>
          <w:szCs w:val="20"/>
          <w:lang w:val="es-CR"/>
        </w:rPr>
        <w:t xml:space="preserve"> una violación al derecho de acceso a la justicia. Sin perjuicio de ello, la Corte recuerda que, en virtud del artículo 8.1 de la Convención, las autoridades competentes tienen la obligación de motivar sus decisiones. </w:t>
      </w:r>
      <w:r w:rsidRPr="00E25884">
        <w:rPr>
          <w:rFonts w:ascii="Verdana" w:hAnsi="Verdana" w:cs="Verdana"/>
          <w:bCs/>
          <w:iCs/>
          <w:sz w:val="20"/>
          <w:szCs w:val="20"/>
          <w:lang w:val="es-CR"/>
        </w:rPr>
        <w:t>Sin embargo, la argumentación de un fallo debe permitir conocer cuáles fueron los hechos, motivos y normas en que se basó la autoridad para tomar su decisión, de manera clara y expresa, a fin de descartar cualquier indicio de arbitrariedad</w:t>
      </w:r>
      <w:r w:rsidR="00B40679">
        <w:rPr>
          <w:rFonts w:ascii="Verdana" w:hAnsi="Verdana" w:cs="Verdana"/>
          <w:bCs/>
          <w:iCs/>
          <w:sz w:val="20"/>
          <w:szCs w:val="20"/>
          <w:lang w:val="es-CR"/>
        </w:rPr>
        <w:t>. El deber de motivar no exige una respuesta detallada a todo argumento de las partes, sino que puede variar según la naturaleza de la decisión, por lo que corresponde analizar en cada caso si dicha garantía ha sido satisfecha</w:t>
      </w:r>
      <w:r w:rsidRPr="00E25884">
        <w:rPr>
          <w:rFonts w:ascii="Verdana" w:hAnsi="Verdana" w:cs="Verdana"/>
          <w:bCs/>
          <w:iCs/>
          <w:sz w:val="20"/>
          <w:szCs w:val="20"/>
          <w:vertAlign w:val="superscript"/>
        </w:rPr>
        <w:footnoteReference w:id="213"/>
      </w:r>
      <w:r w:rsidR="00FF2D3E">
        <w:rPr>
          <w:rFonts w:ascii="Verdana" w:hAnsi="Verdana" w:cs="Verdana"/>
          <w:bCs/>
          <w:iCs/>
          <w:sz w:val="20"/>
          <w:szCs w:val="20"/>
          <w:lang w:val="es-CR"/>
        </w:rPr>
        <w:t>.</w:t>
      </w:r>
    </w:p>
    <w:p w14:paraId="4041F8A9" w14:textId="77777777" w:rsidR="00C97BC1" w:rsidRPr="00FF2D3E" w:rsidRDefault="00C97BC1" w:rsidP="00E46F1E">
      <w:pPr>
        <w:widowControl w:val="0"/>
        <w:tabs>
          <w:tab w:val="left" w:pos="567"/>
        </w:tabs>
        <w:adjustRightInd w:val="0"/>
        <w:spacing w:after="0" w:line="240" w:lineRule="auto"/>
        <w:jc w:val="both"/>
        <w:textAlignment w:val="baseline"/>
        <w:rPr>
          <w:rFonts w:ascii="Verdana" w:eastAsia="Verdana" w:hAnsi="Verdana" w:cs="Cambria"/>
          <w:bCs/>
          <w:i/>
          <w:color w:val="000000"/>
          <w:sz w:val="20"/>
          <w:szCs w:val="20"/>
          <w:u w:color="000000"/>
          <w:lang w:val="es-CR" w:eastAsia="x-none"/>
        </w:rPr>
      </w:pPr>
    </w:p>
    <w:p w14:paraId="3DED4FF3" w14:textId="4632E40F" w:rsidR="00180EB9" w:rsidRPr="00C632EE" w:rsidRDefault="00B40679" w:rsidP="00E46F1E">
      <w:pPr>
        <w:pStyle w:val="Prrafodelista"/>
        <w:numPr>
          <w:ilvl w:val="0"/>
          <w:numId w:val="12"/>
        </w:numPr>
        <w:suppressAutoHyphens/>
        <w:spacing w:after="0" w:line="240" w:lineRule="auto"/>
        <w:ind w:left="0" w:firstLine="0"/>
        <w:jc w:val="both"/>
        <w:rPr>
          <w:rFonts w:ascii="Verdana" w:hAnsi="Verdana" w:cs="Arial"/>
          <w:sz w:val="20"/>
          <w:szCs w:val="20"/>
          <w:lang w:eastAsia="es-MX"/>
        </w:rPr>
      </w:pPr>
      <w:r>
        <w:rPr>
          <w:rFonts w:ascii="Verdana" w:hAnsi="Verdana"/>
          <w:color w:val="000000" w:themeColor="text1"/>
          <w:sz w:val="20"/>
          <w:szCs w:val="20"/>
          <w:lang w:val="es-CR"/>
        </w:rPr>
        <w:t>Este Tribunal recuerda</w:t>
      </w:r>
      <w:r w:rsidR="00180EB9" w:rsidRPr="00FF2D3E">
        <w:rPr>
          <w:rFonts w:ascii="Verdana" w:hAnsi="Verdana"/>
          <w:color w:val="000000" w:themeColor="text1"/>
          <w:sz w:val="20"/>
          <w:szCs w:val="20"/>
          <w:lang w:val="es-CR"/>
        </w:rPr>
        <w:t xml:space="preserve"> que el 28 de septiembre de 1990 el Juez de la Causa dictó la sentencia condenatoria del señor Hernández</w:t>
      </w:r>
      <w:r w:rsidR="00FF2D3E" w:rsidRPr="00FF2D3E">
        <w:rPr>
          <w:rFonts w:ascii="Verdana" w:hAnsi="Verdana"/>
          <w:color w:val="000000" w:themeColor="text1"/>
          <w:sz w:val="20"/>
          <w:szCs w:val="20"/>
          <w:lang w:val="es-CR"/>
        </w:rPr>
        <w:t>,</w:t>
      </w:r>
      <w:r w:rsidR="00180EB9" w:rsidRPr="00FF2D3E">
        <w:rPr>
          <w:rFonts w:ascii="Verdana" w:hAnsi="Verdana"/>
          <w:color w:val="000000" w:themeColor="text1"/>
          <w:sz w:val="20"/>
          <w:szCs w:val="20"/>
          <w:lang w:val="es-CR"/>
        </w:rPr>
        <w:t xml:space="preserve"> consistente en</w:t>
      </w:r>
      <w:r w:rsidR="00180EB9" w:rsidRPr="00FF2D3E">
        <w:rPr>
          <w:rFonts w:ascii="Verdana" w:hAnsi="Verdana"/>
          <w:sz w:val="20"/>
          <w:szCs w:val="20"/>
        </w:rPr>
        <w:t xml:space="preserve"> cinco años de prisión por el delito de robo agravado por su comisión con arma de fuego</w:t>
      </w:r>
      <w:r w:rsidR="00FF2D3E" w:rsidRPr="00FF2D3E">
        <w:rPr>
          <w:rFonts w:ascii="Verdana" w:hAnsi="Verdana"/>
          <w:sz w:val="20"/>
          <w:szCs w:val="20"/>
        </w:rPr>
        <w:t>.</w:t>
      </w:r>
      <w:r w:rsidR="00180EB9" w:rsidRPr="00FF2D3E">
        <w:rPr>
          <w:rFonts w:ascii="Verdana" w:hAnsi="Verdana"/>
          <w:sz w:val="20"/>
          <w:szCs w:val="20"/>
        </w:rPr>
        <w:t xml:space="preserve"> </w:t>
      </w:r>
      <w:r w:rsidR="00FF2D3E" w:rsidRPr="00FF2D3E">
        <w:rPr>
          <w:rFonts w:ascii="Verdana" w:hAnsi="Verdana"/>
          <w:sz w:val="20"/>
          <w:szCs w:val="20"/>
        </w:rPr>
        <w:t>Asimismo,</w:t>
      </w:r>
      <w:r w:rsidR="00180EB9" w:rsidRPr="00FF2D3E">
        <w:rPr>
          <w:rFonts w:ascii="Verdana" w:hAnsi="Verdana"/>
          <w:sz w:val="20"/>
          <w:szCs w:val="20"/>
        </w:rPr>
        <w:t xml:space="preserve"> </w:t>
      </w:r>
      <w:r w:rsidR="00FF2D3E" w:rsidRPr="00FF2D3E">
        <w:rPr>
          <w:rFonts w:ascii="Verdana" w:hAnsi="Verdana"/>
          <w:sz w:val="20"/>
          <w:szCs w:val="20"/>
        </w:rPr>
        <w:t xml:space="preserve">la Corte </w:t>
      </w:r>
      <w:r w:rsidR="00180EB9" w:rsidRPr="00FF2D3E">
        <w:rPr>
          <w:rFonts w:ascii="Verdana" w:hAnsi="Verdana"/>
          <w:sz w:val="20"/>
          <w:szCs w:val="20"/>
        </w:rPr>
        <w:t xml:space="preserve">observa que el incidente de excarcelación extraordinaria fue interpuesto por la defensa del señor Hernández en octubre de 1990 </w:t>
      </w:r>
      <w:r w:rsidR="00FF2D3E" w:rsidRPr="00FF2D3E">
        <w:rPr>
          <w:rFonts w:ascii="Verdana" w:hAnsi="Verdana"/>
          <w:sz w:val="20"/>
          <w:szCs w:val="20"/>
        </w:rPr>
        <w:t>y que</w:t>
      </w:r>
      <w:r w:rsidR="00180EB9" w:rsidRPr="00FF2D3E">
        <w:rPr>
          <w:rFonts w:ascii="Verdana" w:hAnsi="Verdana"/>
          <w:sz w:val="20"/>
          <w:szCs w:val="20"/>
        </w:rPr>
        <w:t xml:space="preserve"> el 17 de octubre de </w:t>
      </w:r>
      <w:r>
        <w:rPr>
          <w:rFonts w:ascii="Verdana" w:hAnsi="Verdana"/>
          <w:sz w:val="20"/>
          <w:szCs w:val="20"/>
        </w:rPr>
        <w:t>ese mismo año</w:t>
      </w:r>
      <w:r w:rsidR="00180EB9" w:rsidRPr="00FF2D3E">
        <w:rPr>
          <w:rFonts w:ascii="Verdana" w:hAnsi="Verdana"/>
          <w:sz w:val="20"/>
          <w:szCs w:val="20"/>
        </w:rPr>
        <w:t xml:space="preserve"> el </w:t>
      </w:r>
      <w:r w:rsidR="00FF2D3E" w:rsidRPr="00FF2D3E">
        <w:rPr>
          <w:rFonts w:ascii="Verdana" w:hAnsi="Verdana"/>
          <w:sz w:val="20"/>
          <w:szCs w:val="20"/>
        </w:rPr>
        <w:t>J</w:t>
      </w:r>
      <w:r w:rsidR="00180EB9" w:rsidRPr="00FF2D3E">
        <w:rPr>
          <w:rFonts w:ascii="Verdana" w:hAnsi="Verdana"/>
          <w:sz w:val="20"/>
          <w:szCs w:val="20"/>
        </w:rPr>
        <w:t xml:space="preserve">uez </w:t>
      </w:r>
      <w:r w:rsidR="00FF2D3E" w:rsidRPr="00FF2D3E">
        <w:rPr>
          <w:rFonts w:ascii="Verdana" w:hAnsi="Verdana"/>
          <w:sz w:val="20"/>
          <w:szCs w:val="20"/>
        </w:rPr>
        <w:t xml:space="preserve">de la Causa </w:t>
      </w:r>
      <w:r w:rsidR="00180EB9" w:rsidRPr="00FF2D3E">
        <w:rPr>
          <w:rFonts w:ascii="Verdana" w:hAnsi="Verdana"/>
          <w:sz w:val="20"/>
          <w:szCs w:val="20"/>
        </w:rPr>
        <w:t xml:space="preserve">emitió su </w:t>
      </w:r>
      <w:r w:rsidR="00FF2D3E" w:rsidRPr="00FF2D3E">
        <w:rPr>
          <w:rFonts w:ascii="Verdana" w:hAnsi="Verdana"/>
          <w:sz w:val="20"/>
          <w:szCs w:val="20"/>
        </w:rPr>
        <w:t>resolución negando la solicitud</w:t>
      </w:r>
      <w:r w:rsidR="00180EB9" w:rsidRPr="00FF2D3E">
        <w:rPr>
          <w:rFonts w:ascii="Verdana" w:hAnsi="Verdana"/>
          <w:sz w:val="20"/>
          <w:szCs w:val="20"/>
        </w:rPr>
        <w:t xml:space="preserve"> de excarcelación </w:t>
      </w:r>
      <w:r>
        <w:rPr>
          <w:rFonts w:ascii="Verdana" w:hAnsi="Verdana"/>
          <w:sz w:val="20"/>
          <w:szCs w:val="20"/>
          <w:lang w:val="es-CR"/>
        </w:rPr>
        <w:t>considerando</w:t>
      </w:r>
      <w:r w:rsidR="00180EB9" w:rsidRPr="00FF2D3E">
        <w:rPr>
          <w:rFonts w:ascii="Verdana" w:hAnsi="Verdana"/>
          <w:sz w:val="20"/>
          <w:szCs w:val="20"/>
          <w:lang w:val="es-CR"/>
        </w:rPr>
        <w:t xml:space="preserve"> la gravedad del delito por el</w:t>
      </w:r>
      <w:r>
        <w:rPr>
          <w:rFonts w:ascii="Verdana" w:hAnsi="Verdana"/>
          <w:sz w:val="20"/>
          <w:szCs w:val="20"/>
          <w:lang w:val="es-CR"/>
        </w:rPr>
        <w:t xml:space="preserve"> que el señor Hernández</w:t>
      </w:r>
      <w:r w:rsidR="00180EB9" w:rsidRPr="00FF2D3E">
        <w:rPr>
          <w:rFonts w:ascii="Verdana" w:hAnsi="Verdana"/>
          <w:sz w:val="20"/>
          <w:szCs w:val="20"/>
          <w:lang w:val="es-CR"/>
        </w:rPr>
        <w:t xml:space="preserve"> había sido condenado </w:t>
      </w:r>
      <w:r w:rsidR="00FF2D3E" w:rsidRPr="00FF2D3E">
        <w:rPr>
          <w:rFonts w:ascii="Verdana" w:hAnsi="Verdana"/>
          <w:sz w:val="20"/>
          <w:szCs w:val="20"/>
          <w:lang w:val="es-CR"/>
        </w:rPr>
        <w:t>y</w:t>
      </w:r>
      <w:r w:rsidR="00180EB9" w:rsidRPr="00FF2D3E">
        <w:rPr>
          <w:rFonts w:ascii="Verdana" w:hAnsi="Verdana"/>
          <w:sz w:val="20"/>
          <w:szCs w:val="20"/>
          <w:lang w:val="es-CR"/>
        </w:rPr>
        <w:t xml:space="preserve"> el hecho de que se le estaba brindando atención médica adecuada.</w:t>
      </w:r>
      <w:r w:rsidR="00FF2D3E">
        <w:rPr>
          <w:rFonts w:ascii="Verdana" w:hAnsi="Verdana"/>
          <w:sz w:val="20"/>
          <w:szCs w:val="20"/>
          <w:lang w:val="es-CR"/>
        </w:rPr>
        <w:t xml:space="preserve"> </w:t>
      </w:r>
      <w:r w:rsidR="00FF2D3E">
        <w:rPr>
          <w:rFonts w:ascii="Verdana" w:hAnsi="Verdana"/>
          <w:sz w:val="20"/>
          <w:szCs w:val="20"/>
        </w:rPr>
        <w:t>E</w:t>
      </w:r>
      <w:r w:rsidR="00180EB9" w:rsidRPr="00FF2D3E">
        <w:rPr>
          <w:rFonts w:ascii="Verdana" w:hAnsi="Verdana"/>
          <w:sz w:val="20"/>
          <w:szCs w:val="20"/>
        </w:rPr>
        <w:t>l Tribunal hace notar que</w:t>
      </w:r>
      <w:r w:rsidR="00A1774C">
        <w:rPr>
          <w:rFonts w:ascii="Verdana" w:hAnsi="Verdana"/>
          <w:sz w:val="20"/>
          <w:szCs w:val="20"/>
        </w:rPr>
        <w:t>,</w:t>
      </w:r>
      <w:r w:rsidR="00FF2D3E">
        <w:rPr>
          <w:rFonts w:ascii="Verdana" w:hAnsi="Verdana"/>
          <w:sz w:val="20"/>
          <w:szCs w:val="20"/>
        </w:rPr>
        <w:t xml:space="preserve"> en virtud de</w:t>
      </w:r>
      <w:r w:rsidR="00180EB9" w:rsidRPr="00FF2D3E">
        <w:rPr>
          <w:rFonts w:ascii="Verdana" w:hAnsi="Verdana"/>
          <w:sz w:val="20"/>
          <w:szCs w:val="20"/>
        </w:rPr>
        <w:t xml:space="preserve"> la Ley 10.484</w:t>
      </w:r>
      <w:r w:rsidR="00FF2D3E">
        <w:rPr>
          <w:rFonts w:ascii="Verdana" w:hAnsi="Verdana"/>
          <w:sz w:val="20"/>
          <w:szCs w:val="20"/>
        </w:rPr>
        <w:t>,</w:t>
      </w:r>
      <w:r w:rsidR="00180EB9" w:rsidRPr="00FF2D3E">
        <w:rPr>
          <w:rFonts w:ascii="Verdana" w:hAnsi="Verdana"/>
          <w:sz w:val="20"/>
          <w:szCs w:val="20"/>
        </w:rPr>
        <w:t xml:space="preserve"> el objeto de </w:t>
      </w:r>
      <w:r w:rsidR="00FF2D3E">
        <w:rPr>
          <w:rFonts w:ascii="Verdana" w:hAnsi="Verdana"/>
          <w:sz w:val="20"/>
          <w:szCs w:val="20"/>
        </w:rPr>
        <w:t>la</w:t>
      </w:r>
      <w:r w:rsidR="00180EB9" w:rsidRPr="00FF2D3E">
        <w:rPr>
          <w:rFonts w:ascii="Verdana" w:hAnsi="Verdana"/>
          <w:sz w:val="20"/>
          <w:szCs w:val="20"/>
        </w:rPr>
        <w:t xml:space="preserve"> figura</w:t>
      </w:r>
      <w:r w:rsidR="00FF2D3E">
        <w:rPr>
          <w:rFonts w:ascii="Verdana" w:hAnsi="Verdana"/>
          <w:sz w:val="20"/>
          <w:szCs w:val="20"/>
        </w:rPr>
        <w:t xml:space="preserve"> de excarcelación</w:t>
      </w:r>
      <w:r w:rsidR="00180EB9" w:rsidRPr="00FF2D3E">
        <w:rPr>
          <w:rFonts w:ascii="Verdana" w:hAnsi="Verdana"/>
          <w:sz w:val="20"/>
          <w:szCs w:val="20"/>
        </w:rPr>
        <w:t xml:space="preserve"> era garantizar la libertad </w:t>
      </w:r>
      <w:r w:rsidR="00180EB9" w:rsidRPr="00FF2D3E">
        <w:rPr>
          <w:rFonts w:ascii="Verdana" w:hAnsi="Verdana" w:cs="Arial"/>
          <w:sz w:val="20"/>
          <w:szCs w:val="20"/>
        </w:rPr>
        <w:t>bajo fianza a los reos de los delitos que no merecieran pena corporal</w:t>
      </w:r>
      <w:r w:rsidR="00FF2D3E">
        <w:rPr>
          <w:rFonts w:ascii="Verdana" w:hAnsi="Verdana" w:cs="Arial"/>
          <w:sz w:val="20"/>
          <w:szCs w:val="20"/>
        </w:rPr>
        <w:t>,</w:t>
      </w:r>
      <w:r w:rsidR="00180EB9" w:rsidRPr="00FF2D3E">
        <w:rPr>
          <w:rFonts w:ascii="Verdana" w:hAnsi="Verdana" w:cs="Arial"/>
          <w:sz w:val="20"/>
          <w:szCs w:val="20"/>
        </w:rPr>
        <w:t xml:space="preserve"> y que de manera excepcional se concedía al juez la</w:t>
      </w:r>
      <w:r w:rsidR="00180EB9" w:rsidRPr="00FF2D3E">
        <w:rPr>
          <w:rFonts w:ascii="Verdana" w:hAnsi="Verdana" w:cs="Arial"/>
          <w:sz w:val="20"/>
          <w:szCs w:val="20"/>
          <w:lang w:eastAsia="es-MX"/>
        </w:rPr>
        <w:t xml:space="preserve"> facultad de dictar excarcelación</w:t>
      </w:r>
      <w:r w:rsidR="00C93045">
        <w:rPr>
          <w:rStyle w:val="Refdenotaalpie"/>
          <w:rFonts w:ascii="Verdana" w:hAnsi="Verdana" w:cs="Arial"/>
          <w:sz w:val="20"/>
          <w:szCs w:val="20"/>
          <w:lang w:eastAsia="es-MX"/>
        </w:rPr>
        <w:footnoteReference w:id="214"/>
      </w:r>
      <w:r w:rsidR="00A007F5">
        <w:rPr>
          <w:rFonts w:ascii="Verdana" w:hAnsi="Verdana" w:cs="Arial"/>
          <w:sz w:val="20"/>
          <w:szCs w:val="20"/>
          <w:lang w:eastAsia="es-MX"/>
        </w:rPr>
        <w:t xml:space="preserve">, </w:t>
      </w:r>
      <w:r w:rsidR="00C632EE" w:rsidRPr="00A1774C">
        <w:rPr>
          <w:rFonts w:ascii="Verdana" w:hAnsi="Verdana"/>
          <w:color w:val="000000"/>
          <w:sz w:val="20"/>
          <w:szCs w:val="20"/>
        </w:rPr>
        <w:t>cuando por la objetiva valoración de las características del o los hechos atribuidos, de las condiciones personales del imputado, y de otras circunstancias que se consideren relevantes, pudiera presumir que el mismo no procurará eludir u obstaculizar la investigación, ni burlar la acción de la Justicia.</w:t>
      </w:r>
    </w:p>
    <w:p w14:paraId="5420EDF9" w14:textId="77777777" w:rsidR="00C97BC1" w:rsidRPr="00C632EE" w:rsidRDefault="00C97BC1" w:rsidP="00E46F1E">
      <w:pPr>
        <w:pStyle w:val="Prrafodelista"/>
        <w:suppressAutoHyphens/>
        <w:spacing w:after="0" w:line="240" w:lineRule="auto"/>
        <w:ind w:left="0"/>
        <w:jc w:val="both"/>
        <w:rPr>
          <w:rFonts w:ascii="Verdana" w:hAnsi="Verdana" w:cs="Arial"/>
          <w:sz w:val="20"/>
          <w:szCs w:val="20"/>
          <w:lang w:eastAsia="es-MX"/>
        </w:rPr>
      </w:pPr>
    </w:p>
    <w:p w14:paraId="0E565B5A" w14:textId="64B99C4E" w:rsidR="00180EB9" w:rsidRPr="00C97BC1" w:rsidRDefault="00FF2D3E" w:rsidP="00E46F1E">
      <w:pPr>
        <w:pStyle w:val="NormalWeb"/>
        <w:numPr>
          <w:ilvl w:val="0"/>
          <w:numId w:val="12"/>
        </w:numPr>
        <w:spacing w:after="0" w:line="240" w:lineRule="auto"/>
        <w:ind w:left="0" w:firstLine="0"/>
        <w:jc w:val="both"/>
        <w:rPr>
          <w:rFonts w:ascii="Verdana" w:hAnsi="Verdana"/>
          <w:sz w:val="20"/>
          <w:szCs w:val="20"/>
          <w:lang w:val="es-CR" w:eastAsia="es-CR"/>
        </w:rPr>
      </w:pPr>
      <w:r w:rsidRPr="0032620D">
        <w:rPr>
          <w:rFonts w:ascii="Verdana" w:hAnsi="Verdana" w:cs="Arial"/>
          <w:sz w:val="20"/>
          <w:szCs w:val="20"/>
          <w:lang w:eastAsia="es-MX"/>
        </w:rPr>
        <w:t>De lo anterior se desprende que</w:t>
      </w:r>
      <w:r w:rsidR="00180EB9" w:rsidRPr="0032620D">
        <w:rPr>
          <w:rFonts w:ascii="Verdana" w:hAnsi="Verdana" w:cs="Arial"/>
          <w:sz w:val="20"/>
          <w:szCs w:val="20"/>
          <w:lang w:eastAsia="es-MX"/>
        </w:rPr>
        <w:t xml:space="preserve"> el beneficio de la excarcelación</w:t>
      </w:r>
      <w:r w:rsidRPr="0032620D">
        <w:rPr>
          <w:rFonts w:ascii="Verdana" w:hAnsi="Verdana" w:cs="Arial"/>
          <w:sz w:val="20"/>
          <w:szCs w:val="20"/>
          <w:lang w:eastAsia="es-MX"/>
        </w:rPr>
        <w:t xml:space="preserve"> podía solicitarse</w:t>
      </w:r>
      <w:r w:rsidR="00180EB9" w:rsidRPr="0032620D">
        <w:rPr>
          <w:rFonts w:ascii="Verdana" w:hAnsi="Verdana" w:cs="Arial"/>
          <w:sz w:val="20"/>
          <w:szCs w:val="20"/>
          <w:lang w:eastAsia="es-MX"/>
        </w:rPr>
        <w:t xml:space="preserve"> para que las personas acusadas de algún delito pudieran cursar el proceso penal sin reclusión, </w:t>
      </w:r>
      <w:r w:rsidRPr="0032620D">
        <w:rPr>
          <w:rFonts w:ascii="Verdana" w:hAnsi="Verdana" w:cs="Arial"/>
          <w:sz w:val="20"/>
          <w:szCs w:val="20"/>
          <w:lang w:eastAsia="es-MX"/>
        </w:rPr>
        <w:t>de manera general</w:t>
      </w:r>
      <w:r w:rsidR="00180EB9" w:rsidRPr="0032620D">
        <w:rPr>
          <w:rFonts w:ascii="Verdana" w:hAnsi="Verdana" w:cs="Arial"/>
          <w:sz w:val="20"/>
          <w:szCs w:val="20"/>
          <w:lang w:eastAsia="es-MX"/>
        </w:rPr>
        <w:t xml:space="preserve"> cuando el delito no fuera grave</w:t>
      </w:r>
      <w:r w:rsidRPr="0032620D">
        <w:rPr>
          <w:rFonts w:ascii="Verdana" w:hAnsi="Verdana" w:cs="Arial"/>
          <w:sz w:val="20"/>
          <w:szCs w:val="20"/>
          <w:lang w:eastAsia="es-MX"/>
        </w:rPr>
        <w:t xml:space="preserve">. Asimismo, que podían solicitar este beneficio </w:t>
      </w:r>
      <w:r w:rsidR="00A007F5">
        <w:rPr>
          <w:rFonts w:ascii="Verdana" w:hAnsi="Verdana" w:cs="Arial"/>
          <w:sz w:val="20"/>
          <w:szCs w:val="20"/>
          <w:lang w:eastAsia="es-MX"/>
        </w:rPr>
        <w:t xml:space="preserve">en </w:t>
      </w:r>
      <w:r w:rsidR="00A007F5">
        <w:rPr>
          <w:rFonts w:ascii="Verdana" w:hAnsi="Verdana" w:cs="Arial"/>
          <w:sz w:val="20"/>
          <w:szCs w:val="20"/>
          <w:lang w:eastAsia="es-MX"/>
        </w:rPr>
        <w:lastRenderedPageBreak/>
        <w:t>determinados supuestos</w:t>
      </w:r>
      <w:r w:rsidR="00C93045">
        <w:rPr>
          <w:rFonts w:ascii="Verdana" w:hAnsi="Verdana" w:cs="Arial"/>
          <w:sz w:val="20"/>
          <w:szCs w:val="20"/>
          <w:lang w:eastAsia="es-MX"/>
        </w:rPr>
        <w:t xml:space="preserve">, acorde al </w:t>
      </w:r>
      <w:r w:rsidR="00A007F5">
        <w:rPr>
          <w:rFonts w:ascii="Verdana" w:hAnsi="Verdana" w:cs="Arial"/>
          <w:sz w:val="20"/>
          <w:szCs w:val="20"/>
          <w:lang w:eastAsia="es-MX"/>
        </w:rPr>
        <w:t xml:space="preserve">artículo </w:t>
      </w:r>
      <w:r w:rsidR="00C93045">
        <w:rPr>
          <w:rFonts w:ascii="Verdana" w:hAnsi="Verdana" w:cs="Arial"/>
          <w:sz w:val="20"/>
          <w:szCs w:val="20"/>
          <w:lang w:eastAsia="es-MX"/>
        </w:rPr>
        <w:t xml:space="preserve">2º </w:t>
      </w:r>
      <w:r w:rsidR="00A007F5">
        <w:rPr>
          <w:rFonts w:ascii="Verdana" w:hAnsi="Verdana" w:cs="Arial"/>
          <w:sz w:val="20"/>
          <w:szCs w:val="20"/>
          <w:lang w:eastAsia="es-MX"/>
        </w:rPr>
        <w:t>de la Ley 10.484</w:t>
      </w:r>
      <w:r w:rsidRPr="0032620D">
        <w:rPr>
          <w:rFonts w:ascii="Verdana" w:hAnsi="Verdana" w:cs="Arial"/>
          <w:sz w:val="20"/>
          <w:szCs w:val="20"/>
          <w:lang w:eastAsia="es-MX"/>
        </w:rPr>
        <w:t>. Lo anterior</w:t>
      </w:r>
      <w:r w:rsidR="00180EB9" w:rsidRPr="0032620D">
        <w:rPr>
          <w:rFonts w:ascii="Verdana" w:hAnsi="Verdana" w:cs="Arial"/>
          <w:sz w:val="20"/>
          <w:szCs w:val="20"/>
          <w:lang w:eastAsia="es-MX"/>
        </w:rPr>
        <w:t xml:space="preserve"> </w:t>
      </w:r>
      <w:r w:rsidR="00A007F5">
        <w:rPr>
          <w:rFonts w:ascii="Verdana" w:hAnsi="Verdana" w:cs="Arial"/>
          <w:sz w:val="20"/>
          <w:szCs w:val="20"/>
          <w:lang w:eastAsia="es-MX"/>
        </w:rPr>
        <w:t>permite concluir</w:t>
      </w:r>
      <w:r w:rsidR="00180EB9" w:rsidRPr="0032620D">
        <w:rPr>
          <w:rFonts w:ascii="Verdana" w:hAnsi="Verdana" w:cs="Arial"/>
          <w:sz w:val="20"/>
          <w:szCs w:val="20"/>
          <w:lang w:eastAsia="es-MX"/>
        </w:rPr>
        <w:t xml:space="preserve"> que </w:t>
      </w:r>
      <w:r w:rsidR="00975B3F">
        <w:rPr>
          <w:rFonts w:ascii="Verdana" w:hAnsi="Verdana" w:cs="Arial"/>
          <w:sz w:val="20"/>
          <w:szCs w:val="20"/>
          <w:lang w:eastAsia="es-MX"/>
        </w:rPr>
        <w:t xml:space="preserve">la procedencia de </w:t>
      </w:r>
      <w:r w:rsidR="00180EB9" w:rsidRPr="0032620D">
        <w:rPr>
          <w:rFonts w:ascii="Verdana" w:hAnsi="Verdana" w:cs="Arial"/>
          <w:sz w:val="20"/>
          <w:szCs w:val="20"/>
          <w:lang w:eastAsia="es-MX"/>
        </w:rPr>
        <w:t xml:space="preserve">esta figura jurídica </w:t>
      </w:r>
      <w:r w:rsidR="00975B3F">
        <w:rPr>
          <w:rFonts w:ascii="Verdana" w:hAnsi="Verdana" w:cs="Arial"/>
          <w:sz w:val="20"/>
          <w:szCs w:val="20"/>
          <w:lang w:eastAsia="es-MX"/>
        </w:rPr>
        <w:t>e</w:t>
      </w:r>
      <w:r w:rsidR="00A007F5">
        <w:rPr>
          <w:rFonts w:ascii="Verdana" w:hAnsi="Verdana" w:cs="Arial"/>
          <w:sz w:val="20"/>
          <w:szCs w:val="20"/>
          <w:lang w:eastAsia="es-MX"/>
        </w:rPr>
        <w:t>ra</w:t>
      </w:r>
      <w:r w:rsidR="00975B3F">
        <w:rPr>
          <w:rFonts w:ascii="Verdana" w:hAnsi="Verdana" w:cs="Arial"/>
          <w:sz w:val="20"/>
          <w:szCs w:val="20"/>
          <w:lang w:eastAsia="es-MX"/>
        </w:rPr>
        <w:t xml:space="preserve"> posible previo</w:t>
      </w:r>
      <w:r w:rsidR="00180EB9" w:rsidRPr="0032620D">
        <w:rPr>
          <w:rFonts w:ascii="Verdana" w:hAnsi="Verdana" w:cs="Arial"/>
          <w:sz w:val="20"/>
          <w:szCs w:val="20"/>
          <w:lang w:eastAsia="es-MX"/>
        </w:rPr>
        <w:t xml:space="preserve"> al dictado de una sentencia condenatoria</w:t>
      </w:r>
      <w:r w:rsidRPr="0032620D">
        <w:rPr>
          <w:rFonts w:ascii="Verdana" w:hAnsi="Verdana" w:cs="Arial"/>
          <w:sz w:val="20"/>
          <w:szCs w:val="20"/>
          <w:lang w:eastAsia="es-MX"/>
        </w:rPr>
        <w:t>,</w:t>
      </w:r>
      <w:r w:rsidR="00A007F5">
        <w:rPr>
          <w:rFonts w:ascii="Verdana" w:hAnsi="Verdana" w:cs="Arial"/>
          <w:sz w:val="20"/>
          <w:szCs w:val="20"/>
          <w:lang w:eastAsia="es-MX"/>
        </w:rPr>
        <w:t xml:space="preserve"> pues su objeto era permitir a un reo continuar su proceso en libertad,</w:t>
      </w:r>
      <w:r w:rsidR="00180EB9" w:rsidRPr="0032620D">
        <w:rPr>
          <w:rFonts w:ascii="Verdana" w:hAnsi="Verdana" w:cs="Arial"/>
          <w:sz w:val="20"/>
          <w:szCs w:val="20"/>
          <w:lang w:eastAsia="es-MX"/>
        </w:rPr>
        <w:t xml:space="preserve"> pero no después de </w:t>
      </w:r>
      <w:r w:rsidR="00884D55">
        <w:rPr>
          <w:rFonts w:ascii="Verdana" w:hAnsi="Verdana" w:cs="Arial"/>
          <w:sz w:val="20"/>
          <w:szCs w:val="20"/>
          <w:lang w:eastAsia="es-MX"/>
        </w:rPr>
        <w:t>que se le dictara condena</w:t>
      </w:r>
      <w:r w:rsidR="00180EB9" w:rsidRPr="0032620D">
        <w:rPr>
          <w:rFonts w:ascii="Verdana" w:hAnsi="Verdana" w:cs="Arial"/>
          <w:sz w:val="20"/>
          <w:szCs w:val="20"/>
          <w:lang w:eastAsia="es-MX"/>
        </w:rPr>
        <w:t xml:space="preserve">. </w:t>
      </w:r>
      <w:r w:rsidR="00C93045">
        <w:rPr>
          <w:rFonts w:ascii="Verdana" w:hAnsi="Verdana" w:cs="Arial"/>
          <w:sz w:val="20"/>
          <w:szCs w:val="20"/>
          <w:lang w:eastAsia="es-MX"/>
        </w:rPr>
        <w:t>P</w:t>
      </w:r>
      <w:r w:rsidR="00A007F5">
        <w:rPr>
          <w:rFonts w:ascii="Verdana" w:hAnsi="Verdana" w:cs="Arial"/>
          <w:sz w:val="20"/>
          <w:szCs w:val="20"/>
          <w:lang w:eastAsia="es-MX"/>
        </w:rPr>
        <w:t>or esta razón</w:t>
      </w:r>
      <w:r w:rsidR="00B34ED3">
        <w:rPr>
          <w:rFonts w:ascii="Verdana" w:hAnsi="Verdana" w:cs="Arial"/>
          <w:sz w:val="20"/>
          <w:szCs w:val="20"/>
          <w:lang w:eastAsia="es-MX"/>
        </w:rPr>
        <w:t>, de la información con la que cuenta este Tribunal,</w:t>
      </w:r>
      <w:r w:rsidR="00A007F5">
        <w:rPr>
          <w:rFonts w:ascii="Verdana" w:hAnsi="Verdana" w:cs="Arial"/>
          <w:sz w:val="20"/>
          <w:szCs w:val="20"/>
          <w:lang w:eastAsia="es-MX"/>
        </w:rPr>
        <w:t xml:space="preserve"> </w:t>
      </w:r>
      <w:r w:rsidR="00C93045">
        <w:rPr>
          <w:rFonts w:ascii="Verdana" w:hAnsi="Verdana" w:cs="Arial"/>
          <w:sz w:val="20"/>
          <w:szCs w:val="20"/>
          <w:lang w:eastAsia="es-MX"/>
        </w:rPr>
        <w:t>es</w:t>
      </w:r>
      <w:r w:rsidR="00B34ED3">
        <w:rPr>
          <w:rFonts w:ascii="Verdana" w:hAnsi="Verdana" w:cs="Arial"/>
          <w:sz w:val="20"/>
          <w:szCs w:val="20"/>
          <w:lang w:eastAsia="es-MX"/>
        </w:rPr>
        <w:t xml:space="preserve"> posible concluir</w:t>
      </w:r>
      <w:r w:rsidR="0032620D" w:rsidRPr="0032620D">
        <w:rPr>
          <w:rFonts w:ascii="Verdana" w:hAnsi="Verdana" w:cs="Arial"/>
          <w:sz w:val="20"/>
          <w:szCs w:val="20"/>
          <w:lang w:eastAsia="es-MX"/>
        </w:rPr>
        <w:t xml:space="preserve"> que</w:t>
      </w:r>
      <w:r w:rsidR="00FD1B46">
        <w:rPr>
          <w:rFonts w:ascii="Verdana" w:hAnsi="Verdana" w:cs="Arial"/>
          <w:sz w:val="20"/>
          <w:szCs w:val="20"/>
          <w:lang w:eastAsia="es-MX"/>
        </w:rPr>
        <w:t>,</w:t>
      </w:r>
      <w:r w:rsidR="00180EB9" w:rsidRPr="0032620D">
        <w:rPr>
          <w:rFonts w:ascii="Verdana" w:hAnsi="Verdana" w:cs="Arial"/>
          <w:sz w:val="20"/>
          <w:szCs w:val="20"/>
          <w:lang w:eastAsia="es-MX"/>
        </w:rPr>
        <w:t xml:space="preserve"> una vez dictada </w:t>
      </w:r>
      <w:r w:rsidR="00FD1B46">
        <w:rPr>
          <w:rFonts w:ascii="Verdana" w:hAnsi="Verdana" w:cs="Arial"/>
          <w:sz w:val="20"/>
          <w:szCs w:val="20"/>
          <w:lang w:eastAsia="es-MX"/>
        </w:rPr>
        <w:t>una</w:t>
      </w:r>
      <w:r w:rsidR="00180EB9" w:rsidRPr="0032620D">
        <w:rPr>
          <w:rFonts w:ascii="Verdana" w:hAnsi="Verdana" w:cs="Arial"/>
          <w:sz w:val="20"/>
          <w:szCs w:val="20"/>
          <w:lang w:eastAsia="es-MX"/>
        </w:rPr>
        <w:t xml:space="preserve"> sentencia</w:t>
      </w:r>
      <w:r w:rsidR="0032620D" w:rsidRPr="0032620D">
        <w:rPr>
          <w:rFonts w:ascii="Verdana" w:hAnsi="Verdana" w:cs="Arial"/>
          <w:sz w:val="20"/>
          <w:szCs w:val="20"/>
          <w:lang w:eastAsia="es-MX"/>
        </w:rPr>
        <w:t xml:space="preserve"> condenatoria</w:t>
      </w:r>
      <w:r w:rsidR="00180EB9" w:rsidRPr="0032620D">
        <w:rPr>
          <w:rFonts w:ascii="Verdana" w:hAnsi="Verdana" w:cs="Arial"/>
          <w:sz w:val="20"/>
          <w:szCs w:val="20"/>
          <w:lang w:eastAsia="es-MX"/>
        </w:rPr>
        <w:t xml:space="preserve">, la solicitud de excarcelación </w:t>
      </w:r>
      <w:r w:rsidR="00975B3F">
        <w:rPr>
          <w:rFonts w:ascii="Verdana" w:hAnsi="Verdana" w:cs="Arial"/>
          <w:sz w:val="20"/>
          <w:szCs w:val="20"/>
          <w:lang w:eastAsia="es-MX"/>
        </w:rPr>
        <w:t xml:space="preserve">extraordinaria </w:t>
      </w:r>
      <w:r w:rsidR="00180EB9" w:rsidRPr="0032620D">
        <w:rPr>
          <w:rFonts w:ascii="Verdana" w:hAnsi="Verdana" w:cs="Arial"/>
          <w:sz w:val="20"/>
          <w:szCs w:val="20"/>
          <w:lang w:eastAsia="es-MX"/>
        </w:rPr>
        <w:t>pierde su razón de ser</w:t>
      </w:r>
      <w:r w:rsidR="0032620D" w:rsidRPr="0032620D">
        <w:rPr>
          <w:rFonts w:ascii="Verdana" w:hAnsi="Verdana" w:cs="Arial"/>
          <w:sz w:val="20"/>
          <w:szCs w:val="20"/>
          <w:lang w:eastAsia="es-MX"/>
        </w:rPr>
        <w:t xml:space="preserve"> debido a que</w:t>
      </w:r>
      <w:r w:rsidR="00180EB9" w:rsidRPr="0032620D">
        <w:rPr>
          <w:rFonts w:ascii="Verdana" w:hAnsi="Verdana" w:cs="Arial"/>
          <w:sz w:val="20"/>
          <w:szCs w:val="20"/>
          <w:lang w:eastAsia="es-MX"/>
        </w:rPr>
        <w:t xml:space="preserve"> la situación jurídica del procesado </w:t>
      </w:r>
      <w:r w:rsidR="00A007F5">
        <w:rPr>
          <w:rFonts w:ascii="Verdana" w:hAnsi="Verdana" w:cs="Arial"/>
          <w:sz w:val="20"/>
          <w:szCs w:val="20"/>
          <w:lang w:eastAsia="es-MX"/>
        </w:rPr>
        <w:t>ya ha sido definida a través de una sentencia de</w:t>
      </w:r>
      <w:r w:rsidR="0032620D" w:rsidRPr="0032620D">
        <w:rPr>
          <w:rFonts w:ascii="Verdana" w:hAnsi="Verdana" w:cs="Arial"/>
          <w:sz w:val="20"/>
          <w:szCs w:val="20"/>
          <w:lang w:eastAsia="es-MX"/>
        </w:rPr>
        <w:t xml:space="preserve"> condena o absolución.</w:t>
      </w:r>
      <w:r w:rsidR="0032620D">
        <w:rPr>
          <w:rFonts w:ascii="Verdana" w:hAnsi="Verdana" w:cs="Arial"/>
          <w:sz w:val="20"/>
          <w:szCs w:val="20"/>
          <w:lang w:eastAsia="es-MX"/>
        </w:rPr>
        <w:t xml:space="preserve"> </w:t>
      </w:r>
      <w:r w:rsidR="00975B3F">
        <w:rPr>
          <w:rFonts w:ascii="Verdana" w:hAnsi="Verdana" w:cs="Arial"/>
          <w:sz w:val="20"/>
          <w:szCs w:val="20"/>
          <w:lang w:val="es-CR" w:eastAsia="es-MX"/>
        </w:rPr>
        <w:t>En el presente caso</w:t>
      </w:r>
      <w:r w:rsidR="00A007F5">
        <w:rPr>
          <w:rFonts w:ascii="Verdana" w:hAnsi="Verdana" w:cs="Arial"/>
          <w:sz w:val="20"/>
          <w:szCs w:val="20"/>
          <w:lang w:val="es-CR" w:eastAsia="es-MX"/>
        </w:rPr>
        <w:t>,</w:t>
      </w:r>
      <w:r w:rsidR="00180EB9" w:rsidRPr="0032620D">
        <w:rPr>
          <w:rFonts w:ascii="Verdana" w:hAnsi="Verdana" w:cs="Arial"/>
          <w:sz w:val="20"/>
          <w:szCs w:val="20"/>
          <w:lang w:val="es-CR" w:eastAsia="es-MX"/>
        </w:rPr>
        <w:t xml:space="preserve"> la </w:t>
      </w:r>
      <w:r w:rsidR="00975B3F">
        <w:rPr>
          <w:rFonts w:ascii="Verdana" w:hAnsi="Verdana" w:cs="Arial"/>
          <w:sz w:val="20"/>
          <w:szCs w:val="20"/>
          <w:lang w:val="es-CR" w:eastAsia="es-MX"/>
        </w:rPr>
        <w:t>decisión</w:t>
      </w:r>
      <w:r w:rsidR="00180EB9" w:rsidRPr="0032620D">
        <w:rPr>
          <w:rFonts w:ascii="Verdana" w:hAnsi="Verdana" w:cs="Arial"/>
          <w:sz w:val="20"/>
          <w:szCs w:val="20"/>
          <w:lang w:val="es-CR" w:eastAsia="es-MX"/>
        </w:rPr>
        <w:t xml:space="preserve"> del J</w:t>
      </w:r>
      <w:r w:rsidR="0032620D">
        <w:rPr>
          <w:rFonts w:ascii="Verdana" w:hAnsi="Verdana" w:cs="Arial"/>
          <w:sz w:val="20"/>
          <w:szCs w:val="20"/>
          <w:lang w:val="es-CR" w:eastAsia="es-MX"/>
        </w:rPr>
        <w:t>uez de la Ca</w:t>
      </w:r>
      <w:r w:rsidR="00180EB9" w:rsidRPr="0032620D">
        <w:rPr>
          <w:rFonts w:ascii="Verdana" w:hAnsi="Verdana" w:cs="Arial"/>
          <w:sz w:val="20"/>
          <w:szCs w:val="20"/>
          <w:lang w:val="es-CR" w:eastAsia="es-MX"/>
        </w:rPr>
        <w:t xml:space="preserve">usa </w:t>
      </w:r>
      <w:r w:rsidR="00975B3F">
        <w:rPr>
          <w:rFonts w:ascii="Verdana" w:hAnsi="Verdana" w:cs="Arial"/>
          <w:sz w:val="20"/>
          <w:szCs w:val="20"/>
          <w:lang w:val="es-CR" w:eastAsia="es-MX"/>
        </w:rPr>
        <w:t>de negar</w:t>
      </w:r>
      <w:r w:rsidR="00180EB9" w:rsidRPr="0032620D">
        <w:rPr>
          <w:rFonts w:ascii="Verdana" w:hAnsi="Verdana" w:cs="Arial"/>
          <w:sz w:val="20"/>
          <w:szCs w:val="20"/>
          <w:lang w:val="es-CR" w:eastAsia="es-MX"/>
        </w:rPr>
        <w:t xml:space="preserve"> la e</w:t>
      </w:r>
      <w:r w:rsidR="0032620D">
        <w:rPr>
          <w:rFonts w:ascii="Verdana" w:hAnsi="Verdana" w:cs="Arial"/>
          <w:sz w:val="20"/>
          <w:szCs w:val="20"/>
          <w:lang w:val="es-CR" w:eastAsia="es-MX"/>
        </w:rPr>
        <w:t>xcarcelación al señor Hernández</w:t>
      </w:r>
      <w:r w:rsidR="00180EB9" w:rsidRPr="0032620D">
        <w:rPr>
          <w:rFonts w:ascii="Verdana" w:hAnsi="Verdana" w:cs="Arial"/>
          <w:sz w:val="20"/>
          <w:szCs w:val="20"/>
          <w:lang w:val="es-CR" w:eastAsia="es-MX"/>
        </w:rPr>
        <w:t xml:space="preserve"> se </w:t>
      </w:r>
      <w:r w:rsidR="00636CCB">
        <w:rPr>
          <w:rFonts w:ascii="Verdana" w:hAnsi="Verdana" w:cs="Arial"/>
          <w:sz w:val="20"/>
          <w:szCs w:val="20"/>
          <w:lang w:val="es-CR" w:eastAsia="es-MX"/>
        </w:rPr>
        <w:t>explica en r</w:t>
      </w:r>
      <w:r w:rsidR="00FD1B46">
        <w:rPr>
          <w:rFonts w:ascii="Verdana" w:hAnsi="Verdana" w:cs="Arial"/>
          <w:sz w:val="20"/>
          <w:szCs w:val="20"/>
          <w:lang w:val="es-CR" w:eastAsia="es-MX"/>
        </w:rPr>
        <w:t>a</w:t>
      </w:r>
      <w:r w:rsidR="00636CCB">
        <w:rPr>
          <w:rFonts w:ascii="Verdana" w:hAnsi="Verdana" w:cs="Arial"/>
          <w:sz w:val="20"/>
          <w:szCs w:val="20"/>
          <w:lang w:val="es-CR" w:eastAsia="es-MX"/>
        </w:rPr>
        <w:t>zón del estado procesal de la presunta víctima y</w:t>
      </w:r>
      <w:r w:rsidR="00180EB9" w:rsidRPr="0032620D">
        <w:rPr>
          <w:rFonts w:ascii="Verdana" w:hAnsi="Verdana" w:cs="Arial"/>
          <w:sz w:val="20"/>
          <w:szCs w:val="20"/>
          <w:lang w:val="es-CR" w:eastAsia="es-MX"/>
        </w:rPr>
        <w:t xml:space="preserve"> en la naturaleza misma de </w:t>
      </w:r>
      <w:r w:rsidR="00636CCB">
        <w:rPr>
          <w:rFonts w:ascii="Verdana" w:hAnsi="Verdana" w:cs="Arial"/>
          <w:sz w:val="20"/>
          <w:szCs w:val="20"/>
          <w:lang w:val="es-CR" w:eastAsia="es-MX"/>
        </w:rPr>
        <w:t>dicho</w:t>
      </w:r>
      <w:r w:rsidR="00180EB9" w:rsidRPr="0032620D">
        <w:rPr>
          <w:rFonts w:ascii="Verdana" w:hAnsi="Verdana" w:cs="Arial"/>
          <w:sz w:val="20"/>
          <w:szCs w:val="20"/>
          <w:lang w:val="es-CR" w:eastAsia="es-MX"/>
        </w:rPr>
        <w:t xml:space="preserve"> </w:t>
      </w:r>
      <w:r w:rsidR="00636CCB">
        <w:rPr>
          <w:rFonts w:ascii="Verdana" w:hAnsi="Verdana" w:cs="Arial"/>
          <w:sz w:val="20"/>
          <w:szCs w:val="20"/>
          <w:lang w:val="es-CR" w:eastAsia="es-MX"/>
        </w:rPr>
        <w:t>recurso</w:t>
      </w:r>
      <w:r w:rsidR="00180EB9" w:rsidRPr="0032620D">
        <w:rPr>
          <w:rFonts w:ascii="Verdana" w:hAnsi="Verdana" w:cs="Arial"/>
          <w:sz w:val="20"/>
          <w:szCs w:val="20"/>
          <w:lang w:val="es-CR" w:eastAsia="es-MX"/>
        </w:rPr>
        <w:t>, la cual ya no era a</w:t>
      </w:r>
      <w:r w:rsidR="0032620D">
        <w:rPr>
          <w:rFonts w:ascii="Verdana" w:hAnsi="Verdana" w:cs="Arial"/>
          <w:sz w:val="20"/>
          <w:szCs w:val="20"/>
          <w:lang w:val="es-CR" w:eastAsia="es-MX"/>
        </w:rPr>
        <w:t>plicable al momento de su solicitud</w:t>
      </w:r>
      <w:r w:rsidR="00636CCB">
        <w:rPr>
          <w:rFonts w:ascii="Verdana" w:hAnsi="Verdana" w:cs="Arial"/>
          <w:sz w:val="20"/>
          <w:szCs w:val="20"/>
          <w:lang w:val="es-CR" w:eastAsia="es-MX"/>
        </w:rPr>
        <w:t xml:space="preserve"> por haber sido condenado</w:t>
      </w:r>
      <w:r w:rsidR="0032620D">
        <w:rPr>
          <w:rFonts w:ascii="Verdana" w:hAnsi="Verdana" w:cs="Arial"/>
          <w:sz w:val="20"/>
          <w:szCs w:val="20"/>
          <w:lang w:val="es-CR" w:eastAsia="es-MX"/>
        </w:rPr>
        <w:t>. A</w:t>
      </w:r>
      <w:r w:rsidR="00180EB9" w:rsidRPr="0032620D">
        <w:rPr>
          <w:rFonts w:ascii="Verdana" w:hAnsi="Verdana" w:cs="Arial"/>
          <w:sz w:val="20"/>
          <w:szCs w:val="20"/>
          <w:lang w:val="es-CR" w:eastAsia="es-MX"/>
        </w:rPr>
        <w:t>l señor Hernández ya se le había dictado sentencia de condena den</w:t>
      </w:r>
      <w:r w:rsidR="00636CCB">
        <w:rPr>
          <w:rFonts w:ascii="Verdana" w:hAnsi="Verdana" w:cs="Arial"/>
          <w:sz w:val="20"/>
          <w:szCs w:val="20"/>
          <w:lang w:val="es-CR" w:eastAsia="es-MX"/>
        </w:rPr>
        <w:t>tro de la causa penal atinente</w:t>
      </w:r>
      <w:r w:rsidR="00FD1B46">
        <w:rPr>
          <w:rFonts w:ascii="Verdana" w:hAnsi="Verdana" w:cs="Arial"/>
          <w:sz w:val="20"/>
          <w:szCs w:val="20"/>
          <w:lang w:val="es-CR" w:eastAsia="es-MX"/>
        </w:rPr>
        <w:t>,</w:t>
      </w:r>
      <w:r w:rsidR="00636CCB">
        <w:rPr>
          <w:rFonts w:ascii="Verdana" w:hAnsi="Verdana" w:cs="Arial"/>
          <w:sz w:val="20"/>
          <w:szCs w:val="20"/>
          <w:lang w:val="es-CR" w:eastAsia="es-MX"/>
        </w:rPr>
        <w:t xml:space="preserve"> por lo que </w:t>
      </w:r>
      <w:r w:rsidR="00A1774C">
        <w:rPr>
          <w:rFonts w:ascii="Verdana" w:hAnsi="Verdana" w:cs="Arial"/>
          <w:sz w:val="20"/>
          <w:szCs w:val="20"/>
          <w:lang w:val="es-CR" w:eastAsia="es-MX"/>
        </w:rPr>
        <w:t xml:space="preserve">es </w:t>
      </w:r>
      <w:r w:rsidR="00B34ED3">
        <w:rPr>
          <w:rFonts w:ascii="Verdana" w:hAnsi="Verdana" w:cs="Arial"/>
          <w:sz w:val="20"/>
          <w:szCs w:val="20"/>
          <w:lang w:val="es-CR" w:eastAsia="es-MX"/>
        </w:rPr>
        <w:t>razonable</w:t>
      </w:r>
      <w:r w:rsidR="00A1774C">
        <w:rPr>
          <w:rFonts w:ascii="Verdana" w:hAnsi="Verdana" w:cs="Arial"/>
          <w:sz w:val="20"/>
          <w:szCs w:val="20"/>
          <w:lang w:val="es-CR" w:eastAsia="es-MX"/>
        </w:rPr>
        <w:t xml:space="preserve"> concluir que </w:t>
      </w:r>
      <w:r w:rsidR="00636CCB">
        <w:rPr>
          <w:rFonts w:ascii="Verdana" w:hAnsi="Verdana" w:cs="Arial"/>
          <w:sz w:val="20"/>
          <w:szCs w:val="20"/>
          <w:lang w:val="es-CR" w:eastAsia="es-MX"/>
        </w:rPr>
        <w:t>el recurso era improcedente</w:t>
      </w:r>
      <w:r w:rsidR="0032620D">
        <w:rPr>
          <w:rFonts w:ascii="Verdana" w:hAnsi="Verdana" w:cs="Arial"/>
          <w:sz w:val="20"/>
          <w:szCs w:val="20"/>
          <w:lang w:val="es-CR" w:eastAsia="es-MX"/>
        </w:rPr>
        <w:t>.</w:t>
      </w:r>
    </w:p>
    <w:p w14:paraId="21FB42C5" w14:textId="77777777" w:rsidR="00C97BC1" w:rsidRPr="0032620D" w:rsidRDefault="00C97BC1" w:rsidP="00E46F1E">
      <w:pPr>
        <w:pStyle w:val="NormalWeb"/>
        <w:spacing w:after="0" w:line="240" w:lineRule="auto"/>
        <w:jc w:val="both"/>
        <w:rPr>
          <w:rFonts w:ascii="Verdana" w:hAnsi="Verdana"/>
          <w:sz w:val="20"/>
          <w:szCs w:val="20"/>
          <w:lang w:val="es-CR" w:eastAsia="es-CR"/>
        </w:rPr>
      </w:pPr>
    </w:p>
    <w:p w14:paraId="3F3D4673" w14:textId="77777777" w:rsidR="005F02C0" w:rsidRDefault="00180EB9" w:rsidP="00C97BC1">
      <w:pPr>
        <w:pStyle w:val="Prrafodelista"/>
        <w:numPr>
          <w:ilvl w:val="0"/>
          <w:numId w:val="12"/>
        </w:numPr>
        <w:suppressAutoHyphens/>
        <w:spacing w:after="0" w:line="240" w:lineRule="auto"/>
        <w:ind w:left="0" w:firstLine="0"/>
        <w:jc w:val="both"/>
        <w:rPr>
          <w:rFonts w:ascii="Verdana" w:hAnsi="Verdana" w:cs="Arial"/>
          <w:sz w:val="20"/>
          <w:szCs w:val="20"/>
          <w:lang w:val="es-CR"/>
        </w:rPr>
      </w:pPr>
      <w:r w:rsidRPr="00636CCB">
        <w:rPr>
          <w:rFonts w:ascii="Verdana" w:hAnsi="Verdana"/>
          <w:sz w:val="20"/>
          <w:szCs w:val="20"/>
          <w:lang w:val="es-CR"/>
        </w:rPr>
        <w:t xml:space="preserve">En este sentido, la Corte advierte que no hubo insuficiencia de la </w:t>
      </w:r>
      <w:r w:rsidR="00636CCB" w:rsidRPr="00636CCB">
        <w:rPr>
          <w:rFonts w:ascii="Verdana" w:hAnsi="Verdana"/>
          <w:sz w:val="20"/>
          <w:szCs w:val="20"/>
          <w:lang w:val="es-CR"/>
        </w:rPr>
        <w:t>motivación</w:t>
      </w:r>
      <w:r w:rsidRPr="00636CCB">
        <w:rPr>
          <w:rFonts w:ascii="Verdana" w:hAnsi="Verdana"/>
          <w:sz w:val="20"/>
          <w:szCs w:val="20"/>
          <w:lang w:val="es-CR"/>
        </w:rPr>
        <w:t xml:space="preserve"> del Juez de la Causa, pues dadas las circunstancias bastaba que se pronunciara respecto de</w:t>
      </w:r>
      <w:r w:rsidR="00884D55">
        <w:rPr>
          <w:rFonts w:ascii="Verdana" w:hAnsi="Verdana"/>
          <w:sz w:val="20"/>
          <w:szCs w:val="20"/>
          <w:lang w:val="es-CR"/>
        </w:rPr>
        <w:t xml:space="preserve"> la aplicabilidad de la Ley de E</w:t>
      </w:r>
      <w:r w:rsidRPr="00636CCB">
        <w:rPr>
          <w:rFonts w:ascii="Verdana" w:hAnsi="Verdana"/>
          <w:sz w:val="20"/>
          <w:szCs w:val="20"/>
          <w:lang w:val="es-CR"/>
        </w:rPr>
        <w:t>xcarcelación vigente e hiciera notar que había continuidad en el tratamiento médico</w:t>
      </w:r>
      <w:r w:rsidR="0032620D" w:rsidRPr="00636CCB">
        <w:rPr>
          <w:rFonts w:ascii="Verdana" w:hAnsi="Verdana"/>
          <w:sz w:val="20"/>
          <w:szCs w:val="20"/>
          <w:lang w:val="es-CR"/>
        </w:rPr>
        <w:t>. En ese sentido, no era</w:t>
      </w:r>
      <w:r w:rsidRPr="00636CCB">
        <w:rPr>
          <w:rFonts w:ascii="Verdana" w:hAnsi="Verdana"/>
          <w:sz w:val="20"/>
          <w:szCs w:val="20"/>
          <w:lang w:val="es-CR"/>
        </w:rPr>
        <w:t xml:space="preserve"> necesario detallar que no había riesgo a la salud del señor Hernández o cualquier otra particularidad, porque ello únicamente hubiera sido procedente y necesario de justificar si se hubiera negado tal excarcelación antes de dictarse sentencia</w:t>
      </w:r>
      <w:r w:rsidR="00636CCB" w:rsidRPr="00636CCB">
        <w:rPr>
          <w:rFonts w:ascii="Verdana" w:hAnsi="Verdana"/>
          <w:sz w:val="20"/>
          <w:szCs w:val="20"/>
          <w:lang w:val="es-CR"/>
        </w:rPr>
        <w:t xml:space="preserve"> condenatoria</w:t>
      </w:r>
      <w:r w:rsidRPr="00636CCB">
        <w:rPr>
          <w:rFonts w:ascii="Verdana" w:hAnsi="Verdana"/>
          <w:sz w:val="20"/>
          <w:szCs w:val="20"/>
          <w:lang w:val="es-CR"/>
        </w:rPr>
        <w:t xml:space="preserve">. </w:t>
      </w:r>
      <w:r w:rsidRPr="00636CCB">
        <w:rPr>
          <w:rFonts w:ascii="Verdana" w:hAnsi="Verdana" w:cs="Arial"/>
          <w:sz w:val="20"/>
          <w:szCs w:val="20"/>
          <w:lang w:val="es-CR"/>
        </w:rPr>
        <w:t xml:space="preserve">Por </w:t>
      </w:r>
      <w:r w:rsidR="0032620D" w:rsidRPr="00636CCB">
        <w:rPr>
          <w:rFonts w:ascii="Verdana" w:hAnsi="Verdana" w:cs="Arial"/>
          <w:sz w:val="20"/>
          <w:szCs w:val="20"/>
          <w:lang w:val="es-CR"/>
        </w:rPr>
        <w:t>esta razón</w:t>
      </w:r>
      <w:r w:rsidRPr="00636CCB">
        <w:rPr>
          <w:rFonts w:ascii="Verdana" w:hAnsi="Verdana" w:cs="Arial"/>
          <w:sz w:val="20"/>
          <w:szCs w:val="20"/>
          <w:lang w:val="es-CR"/>
        </w:rPr>
        <w:t xml:space="preserve">, la Corte considera que el Estado no </w:t>
      </w:r>
      <w:r w:rsidR="001A24A9" w:rsidRPr="00636CCB">
        <w:rPr>
          <w:rFonts w:ascii="Verdana" w:hAnsi="Verdana" w:cs="Arial"/>
          <w:sz w:val="20"/>
          <w:szCs w:val="20"/>
          <w:lang w:val="es-CR"/>
        </w:rPr>
        <w:t>incumplió con el deber de motivar adecuadamente</w:t>
      </w:r>
      <w:r w:rsidRPr="00636CCB">
        <w:rPr>
          <w:rFonts w:ascii="Verdana" w:hAnsi="Verdana" w:cs="Arial"/>
          <w:sz w:val="20"/>
          <w:szCs w:val="20"/>
          <w:lang w:val="es-CR"/>
        </w:rPr>
        <w:t xml:space="preserve"> </w:t>
      </w:r>
      <w:r w:rsidR="001A24A9" w:rsidRPr="00636CCB">
        <w:rPr>
          <w:rFonts w:ascii="Verdana" w:hAnsi="Verdana" w:cs="Arial"/>
          <w:sz w:val="20"/>
          <w:szCs w:val="20"/>
          <w:lang w:val="es-CR"/>
        </w:rPr>
        <w:t>su sentencia mediante la cual rechazó el recurso de excarcelación,</w:t>
      </w:r>
      <w:r w:rsidRPr="00636CCB">
        <w:rPr>
          <w:rFonts w:ascii="Verdana" w:hAnsi="Verdana" w:cs="Arial"/>
          <w:sz w:val="20"/>
          <w:szCs w:val="20"/>
          <w:lang w:val="es-CR"/>
        </w:rPr>
        <w:t xml:space="preserve"> en perjuicio del señor Hernández.</w:t>
      </w:r>
      <w:r w:rsidR="001A24A9" w:rsidRPr="00636CCB">
        <w:rPr>
          <w:rFonts w:ascii="Verdana" w:hAnsi="Verdana" w:cs="Arial"/>
          <w:sz w:val="20"/>
          <w:szCs w:val="20"/>
          <w:lang w:val="es-CR"/>
        </w:rPr>
        <w:t xml:space="preserve"> En consecuencia, el Estado no es responsable por la violación al artículo 8.1 de la Convención Americana en relación con el artículo 1.1 del mismo instrumento.</w:t>
      </w:r>
    </w:p>
    <w:p w14:paraId="2CC47D2D" w14:textId="77777777" w:rsidR="00C97BC1" w:rsidRPr="00636CCB" w:rsidRDefault="00C97BC1" w:rsidP="00C97BC1">
      <w:pPr>
        <w:pStyle w:val="Prrafodelista"/>
        <w:suppressAutoHyphens/>
        <w:spacing w:after="0" w:line="240" w:lineRule="auto"/>
        <w:ind w:left="0"/>
        <w:jc w:val="both"/>
        <w:rPr>
          <w:rFonts w:ascii="Verdana" w:hAnsi="Verdana" w:cs="Arial"/>
          <w:sz w:val="20"/>
          <w:szCs w:val="20"/>
          <w:lang w:val="es-CR"/>
        </w:rPr>
      </w:pPr>
    </w:p>
    <w:p w14:paraId="0902E132" w14:textId="77777777" w:rsidR="005F02C0" w:rsidRDefault="00FE0980" w:rsidP="00C97BC1">
      <w:pPr>
        <w:pStyle w:val="Estilo1"/>
        <w:tabs>
          <w:tab w:val="clear" w:pos="567"/>
          <w:tab w:val="clear" w:pos="6042"/>
          <w:tab w:val="left" w:pos="709"/>
        </w:tabs>
        <w:spacing w:after="0"/>
        <w:ind w:left="720" w:right="-4"/>
        <w:outlineLvl w:val="2"/>
        <w:rPr>
          <w:b/>
          <w:i/>
          <w:sz w:val="20"/>
          <w:szCs w:val="20"/>
          <w:lang w:val="es-ES"/>
        </w:rPr>
      </w:pPr>
      <w:bookmarkStart w:id="77" w:name="_Toc27509183"/>
      <w:r>
        <w:rPr>
          <w:b/>
          <w:i/>
          <w:sz w:val="20"/>
          <w:szCs w:val="20"/>
          <w:lang w:val="es-ES"/>
        </w:rPr>
        <w:t>B.3</w:t>
      </w:r>
      <w:r w:rsidR="008168F2">
        <w:rPr>
          <w:b/>
          <w:i/>
          <w:sz w:val="20"/>
          <w:szCs w:val="20"/>
          <w:lang w:val="es-ES"/>
        </w:rPr>
        <w:t>.</w:t>
      </w:r>
      <w:r w:rsidR="005F02C0" w:rsidRPr="00E25884">
        <w:rPr>
          <w:b/>
          <w:i/>
          <w:sz w:val="20"/>
          <w:szCs w:val="20"/>
          <w:lang w:val="es-ES"/>
        </w:rPr>
        <w:t xml:space="preserve"> Respecto de la demanda civil de daños y perjuicios</w:t>
      </w:r>
      <w:bookmarkEnd w:id="77"/>
    </w:p>
    <w:p w14:paraId="4E85F755" w14:textId="77777777" w:rsidR="00C97BC1" w:rsidRPr="00E25884" w:rsidRDefault="00C97BC1" w:rsidP="00C97BC1">
      <w:pPr>
        <w:pStyle w:val="Estilo1"/>
        <w:tabs>
          <w:tab w:val="clear" w:pos="567"/>
          <w:tab w:val="clear" w:pos="6042"/>
          <w:tab w:val="left" w:pos="709"/>
        </w:tabs>
        <w:spacing w:after="0"/>
        <w:ind w:left="720" w:right="-4"/>
        <w:outlineLvl w:val="2"/>
        <w:rPr>
          <w:b/>
          <w:i/>
          <w:sz w:val="20"/>
          <w:szCs w:val="20"/>
          <w:lang w:val="es-ES"/>
        </w:rPr>
      </w:pPr>
    </w:p>
    <w:p w14:paraId="046E4C41" w14:textId="4857D6BD" w:rsidR="005F02C0" w:rsidRDefault="005F02C0"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sz w:val="20"/>
          <w:szCs w:val="20"/>
          <w:lang w:val="es-ES"/>
        </w:rPr>
      </w:pPr>
      <w:r w:rsidRPr="00E25884">
        <w:rPr>
          <w:rFonts w:ascii="Verdana" w:hAnsi="Verdana"/>
          <w:sz w:val="20"/>
          <w:szCs w:val="20"/>
          <w:lang w:val="es-ES"/>
        </w:rPr>
        <w:t>La Comisión observó en su Informe de Fondo que los representantes alegaron las violaciones a las garantías judiciales y la protección judicial en perjuicio del señor Hernández, en virtud del alegado cómputo equivocado del término de prescripción de dos años de la acción civil por daños y perjuicios. Al respecto, los representantes manifestaron que la defensa del señor Hernández promovió la acción civil reparatoria el 2 de abril de 1993, pues no podía intentarla antes dado que la presunta víctima se encontraba bajo el control excluyente de</w:t>
      </w:r>
      <w:r w:rsidR="004B3A93">
        <w:rPr>
          <w:rFonts w:ascii="Verdana" w:hAnsi="Verdana"/>
          <w:sz w:val="20"/>
          <w:szCs w:val="20"/>
          <w:lang w:val="es-ES"/>
        </w:rPr>
        <w:t xml:space="preserve"> quienes le ocasionaron el daño</w:t>
      </w:r>
      <w:r w:rsidRPr="00E25884">
        <w:rPr>
          <w:rFonts w:ascii="Verdana" w:hAnsi="Verdana"/>
          <w:sz w:val="20"/>
          <w:szCs w:val="20"/>
          <w:lang w:val="es-ES"/>
        </w:rPr>
        <w:t>,</w:t>
      </w:r>
      <w:r w:rsidRPr="00E25884">
        <w:rPr>
          <w:rFonts w:ascii="Verdana" w:hAnsi="Verdana"/>
          <w:b/>
          <w:sz w:val="20"/>
          <w:szCs w:val="20"/>
          <w:lang w:val="es-ES"/>
        </w:rPr>
        <w:t xml:space="preserve"> </w:t>
      </w:r>
      <w:r w:rsidRPr="00E25884">
        <w:rPr>
          <w:rFonts w:ascii="Verdana" w:hAnsi="Verdana"/>
          <w:sz w:val="20"/>
          <w:szCs w:val="20"/>
          <w:lang w:val="es-ES"/>
        </w:rPr>
        <w:t>y debido a que no tuvo conocimiento cabal de los daños que sufrió hasta d</w:t>
      </w:r>
      <w:r w:rsidR="004B3A93">
        <w:rPr>
          <w:rFonts w:ascii="Verdana" w:hAnsi="Verdana"/>
          <w:sz w:val="20"/>
          <w:szCs w:val="20"/>
          <w:lang w:val="es-ES"/>
        </w:rPr>
        <w:t>espués de recuperar su libertad</w:t>
      </w:r>
      <w:r w:rsidRPr="00E25884">
        <w:rPr>
          <w:rFonts w:ascii="Verdana" w:hAnsi="Verdana"/>
          <w:sz w:val="20"/>
          <w:szCs w:val="20"/>
          <w:lang w:val="es-ES"/>
        </w:rPr>
        <w:t>. En consecuencia, alegaron que el Estado debió tomar en consideración estas circunstancias para realizar el cómputo de la prescripción.</w:t>
      </w:r>
    </w:p>
    <w:p w14:paraId="166FFAF6" w14:textId="77777777" w:rsidR="00C97BC1" w:rsidRPr="00E25884" w:rsidRDefault="00C97BC1" w:rsidP="00C97BC1">
      <w:pPr>
        <w:widowControl w:val="0"/>
        <w:tabs>
          <w:tab w:val="left" w:pos="567"/>
        </w:tabs>
        <w:adjustRightInd w:val="0"/>
        <w:spacing w:after="0" w:line="240" w:lineRule="auto"/>
        <w:jc w:val="both"/>
        <w:textAlignment w:val="baseline"/>
        <w:rPr>
          <w:rFonts w:ascii="Verdana" w:hAnsi="Verdana"/>
          <w:sz w:val="20"/>
          <w:szCs w:val="20"/>
          <w:lang w:val="es-ES"/>
        </w:rPr>
      </w:pPr>
    </w:p>
    <w:p w14:paraId="60FB5C53" w14:textId="42E06454" w:rsidR="005F02C0" w:rsidRDefault="005F02C0"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cs="Verdana"/>
          <w:color w:val="000000" w:themeColor="text1"/>
          <w:sz w:val="20"/>
          <w:szCs w:val="20"/>
          <w:lang w:val="es-ES"/>
        </w:rPr>
      </w:pPr>
      <w:r w:rsidRPr="00E25884">
        <w:rPr>
          <w:rFonts w:ascii="Verdana" w:hAnsi="Verdana"/>
          <w:sz w:val="20"/>
          <w:szCs w:val="20"/>
          <w:lang w:val="es-ES"/>
        </w:rPr>
        <w:t xml:space="preserve">El Tribunal recuerda que el 2 de abril de 1993 el señor José Luis Hernández </w:t>
      </w:r>
      <w:r w:rsidRPr="00E25884">
        <w:rPr>
          <w:rFonts w:ascii="Verdana" w:eastAsia="Cambria" w:hAnsi="Verdana" w:cs="Cambria"/>
          <w:spacing w:val="1"/>
          <w:sz w:val="20"/>
          <w:szCs w:val="20"/>
          <w:lang w:val="es-ES"/>
        </w:rPr>
        <w:t>presentó una demanda civil de daños y perjuicios en contra de la Jefatura de la Policía de la Provincia de Buenos Aires por la enfermedad que contrajo mientras se encontraba detenido, así como por la falta de atención adecuada y sus secuelas. El 10 de octubre de 1995 se dictó el fallo en el que el juez de primera instancia determinó rechazar la demanda al aplicar la prescripción de dos años prevista en el Código Civil, considerando que el cómputo para ejercer la acción civil debía iniciar en octubre de 1990 cuando el daño [la meningitis] ya estaba instalado en el actor. De esta forma, se consideró que para el 2 de abril de 1993 la acción civil ya estaba prescrita</w:t>
      </w:r>
      <w:r w:rsidRPr="00E25884">
        <w:rPr>
          <w:rStyle w:val="Refdenotaalpie"/>
          <w:rFonts w:ascii="Verdana" w:hAnsi="Verdana"/>
          <w:color w:val="000000" w:themeColor="text1"/>
          <w:sz w:val="20"/>
          <w:szCs w:val="20"/>
          <w:lang w:val="es-ES"/>
        </w:rPr>
        <w:footnoteReference w:id="215"/>
      </w:r>
      <w:r w:rsidRPr="00E25884">
        <w:rPr>
          <w:rFonts w:ascii="Verdana" w:eastAsia="Cambria" w:hAnsi="Verdana" w:cs="Cambria"/>
          <w:spacing w:val="1"/>
          <w:sz w:val="20"/>
          <w:szCs w:val="20"/>
          <w:lang w:val="es-ES"/>
        </w:rPr>
        <w:t xml:space="preserve">. </w:t>
      </w:r>
      <w:r w:rsidRPr="00E25884">
        <w:rPr>
          <w:rFonts w:ascii="Verdana" w:hAnsi="Verdana" w:cs="Verdana"/>
          <w:color w:val="000000" w:themeColor="text1"/>
          <w:sz w:val="20"/>
          <w:szCs w:val="20"/>
          <w:lang w:val="es-ES"/>
        </w:rPr>
        <w:t xml:space="preserve">El 12 de septiembre de 1996 el Tribunal de Apelación confirmó la sentencia y posteriormente el 17 de diciembre de 1996 y el 8 de abril de 1997 la Corte Suprema de Justicia rechazó los recursos de queja y extraordinario, respectivamente, que se interpusieron al </w:t>
      </w:r>
      <w:r w:rsidR="00C97BC1">
        <w:rPr>
          <w:rFonts w:ascii="Verdana" w:hAnsi="Verdana" w:cs="Verdana"/>
          <w:color w:val="000000" w:themeColor="text1"/>
          <w:sz w:val="20"/>
          <w:szCs w:val="20"/>
          <w:lang w:val="es-ES"/>
        </w:rPr>
        <w:t>respecto.</w:t>
      </w:r>
    </w:p>
    <w:p w14:paraId="2611B565" w14:textId="77777777" w:rsidR="00C97BC1" w:rsidRPr="00E25884" w:rsidRDefault="00C97BC1" w:rsidP="00C97BC1">
      <w:pPr>
        <w:widowControl w:val="0"/>
        <w:tabs>
          <w:tab w:val="left" w:pos="567"/>
        </w:tabs>
        <w:adjustRightInd w:val="0"/>
        <w:spacing w:after="0" w:line="240" w:lineRule="auto"/>
        <w:jc w:val="both"/>
        <w:textAlignment w:val="baseline"/>
        <w:rPr>
          <w:rFonts w:ascii="Verdana" w:hAnsi="Verdana" w:cs="Verdana"/>
          <w:color w:val="000000" w:themeColor="text1"/>
          <w:sz w:val="20"/>
          <w:szCs w:val="20"/>
          <w:lang w:val="es-ES"/>
        </w:rPr>
      </w:pPr>
    </w:p>
    <w:p w14:paraId="1068A3FC" w14:textId="42B960AF" w:rsidR="005F02C0" w:rsidRDefault="005F02C0"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sz w:val="20"/>
          <w:szCs w:val="20"/>
          <w:lang w:val="es-ES"/>
        </w:rPr>
      </w:pPr>
      <w:r w:rsidRPr="00E25884">
        <w:rPr>
          <w:rFonts w:ascii="Verdana" w:hAnsi="Verdana"/>
          <w:sz w:val="20"/>
          <w:szCs w:val="20"/>
          <w:lang w:val="es-ES"/>
        </w:rPr>
        <w:t xml:space="preserve">La Corte ha señalado </w:t>
      </w:r>
      <w:proofErr w:type="gramStart"/>
      <w:r w:rsidRPr="00E25884">
        <w:rPr>
          <w:rFonts w:ascii="Verdana" w:hAnsi="Verdana"/>
          <w:sz w:val="20"/>
          <w:szCs w:val="20"/>
          <w:lang w:val="es-ES"/>
        </w:rPr>
        <w:t>que</w:t>
      </w:r>
      <w:proofErr w:type="gramEnd"/>
      <w:r w:rsidRPr="00E25884">
        <w:rPr>
          <w:rFonts w:ascii="Verdana" w:hAnsi="Verdana"/>
          <w:sz w:val="20"/>
          <w:szCs w:val="20"/>
          <w:lang w:val="es-ES"/>
        </w:rPr>
        <w:t xml:space="preserve"> </w:t>
      </w:r>
      <w:r w:rsidRPr="00E25884">
        <w:rPr>
          <w:rFonts w:ascii="Verdana" w:hAnsi="Verdana"/>
          <w:sz w:val="20"/>
          <w:szCs w:val="20"/>
        </w:rPr>
        <w:t xml:space="preserve">por razones de seguridad jurídica, para la correcta y funcional administración de justicia y la efectiva protección de los derechos de las personas, los Estados </w:t>
      </w:r>
      <w:r w:rsidRPr="00E25884">
        <w:rPr>
          <w:rFonts w:ascii="Verdana" w:hAnsi="Verdana"/>
          <w:sz w:val="20"/>
          <w:szCs w:val="20"/>
        </w:rPr>
        <w:lastRenderedPageBreak/>
        <w:t xml:space="preserve">pueden y deben establecer presupuestos y criterios de admisibilidad de los recursos internos, de carácter judicial o de cualquier otra índole. De tal manera </w:t>
      </w:r>
      <w:proofErr w:type="gramStart"/>
      <w:r w:rsidRPr="00E25884">
        <w:rPr>
          <w:rFonts w:ascii="Verdana" w:hAnsi="Verdana"/>
          <w:sz w:val="20"/>
          <w:szCs w:val="20"/>
        </w:rPr>
        <w:t>que</w:t>
      </w:r>
      <w:proofErr w:type="gramEnd"/>
      <w:r w:rsidRPr="00E25884">
        <w:rPr>
          <w:rFonts w:ascii="Verdana" w:hAnsi="Verdana"/>
          <w:sz w:val="20"/>
          <w:szCs w:val="20"/>
        </w:rPr>
        <w:t xml:space="preserve"> si bien dichos recursos internos deben estar disponibles para el interesado y resolver efectiva y fundadamente el asunto planteado, así como eventualmente proveer la reparación adecuada, no cabría considerar que siempre y en cualquier caso los órganos y tribunales internos deban resolver el fondo del asunto que les es planteado, sin que importe la verificación de los presupuestos formales de admisibilidad y procedencia del particular recurso intentado</w:t>
      </w:r>
      <w:r w:rsidRPr="00E25884">
        <w:rPr>
          <w:rStyle w:val="Refdenotaalpie"/>
          <w:rFonts w:ascii="Verdana" w:hAnsi="Verdana"/>
          <w:sz w:val="20"/>
          <w:szCs w:val="20"/>
        </w:rPr>
        <w:footnoteReference w:id="216"/>
      </w:r>
      <w:r w:rsidRPr="00E25884">
        <w:rPr>
          <w:rFonts w:ascii="Verdana" w:hAnsi="Verdana"/>
          <w:sz w:val="20"/>
          <w:szCs w:val="20"/>
        </w:rPr>
        <w:t>.</w:t>
      </w:r>
      <w:r w:rsidRPr="00E25884">
        <w:rPr>
          <w:rFonts w:ascii="Verdana" w:hAnsi="Verdana"/>
          <w:sz w:val="20"/>
          <w:szCs w:val="20"/>
          <w:lang w:val="es-ES"/>
        </w:rPr>
        <w:t xml:space="preserve"> Asimismo, la Corte ha determinado que la aplicación de causales de admisibilidad de un recurso resulta compatible con la Convención Americana y la efectividad del recurso implica que potencialmente, cuando se cumplan dichos requisitos, el órgano judicial evalúe sus méritos</w:t>
      </w:r>
      <w:r w:rsidRPr="00E25884">
        <w:rPr>
          <w:rStyle w:val="Refdenotaalpie"/>
          <w:rFonts w:ascii="Verdana" w:hAnsi="Verdana"/>
          <w:sz w:val="20"/>
          <w:szCs w:val="20"/>
          <w:lang w:val="es-ES"/>
        </w:rPr>
        <w:footnoteReference w:id="217"/>
      </w:r>
      <w:r w:rsidR="00C97BC1">
        <w:rPr>
          <w:rFonts w:ascii="Verdana" w:hAnsi="Verdana"/>
          <w:sz w:val="20"/>
          <w:szCs w:val="20"/>
          <w:lang w:val="es-ES"/>
        </w:rPr>
        <w:t>.</w:t>
      </w:r>
    </w:p>
    <w:p w14:paraId="1967A82E" w14:textId="77777777" w:rsidR="00C97BC1" w:rsidRPr="00E25884" w:rsidRDefault="00C97BC1" w:rsidP="00C97BC1">
      <w:pPr>
        <w:widowControl w:val="0"/>
        <w:tabs>
          <w:tab w:val="left" w:pos="567"/>
        </w:tabs>
        <w:adjustRightInd w:val="0"/>
        <w:spacing w:after="0" w:line="240" w:lineRule="auto"/>
        <w:jc w:val="both"/>
        <w:textAlignment w:val="baseline"/>
        <w:rPr>
          <w:rFonts w:ascii="Verdana" w:hAnsi="Verdana"/>
          <w:sz w:val="20"/>
          <w:szCs w:val="20"/>
          <w:lang w:val="es-ES"/>
        </w:rPr>
      </w:pPr>
    </w:p>
    <w:p w14:paraId="38ABB7F1" w14:textId="41A430C5" w:rsidR="005F02C0" w:rsidRDefault="005F02C0"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sz w:val="20"/>
          <w:szCs w:val="20"/>
          <w:lang w:val="es-ES"/>
        </w:rPr>
      </w:pPr>
      <w:r w:rsidRPr="00E25884">
        <w:rPr>
          <w:rFonts w:ascii="Verdana" w:hAnsi="Verdana"/>
          <w:sz w:val="20"/>
          <w:szCs w:val="20"/>
          <w:lang w:val="es-ES"/>
        </w:rPr>
        <w:t>En el presente caso, el Tribunal constata que los argumentos expuestos por las autoridades judiciales en relación con el vencimiento del plazo legal resultan razonables y acordes con la regla de admisibilidad de la acción de reparación por responsabilidad civil extracontractual prevista en la ley</w:t>
      </w:r>
      <w:r w:rsidR="00D40FF4">
        <w:rPr>
          <w:rStyle w:val="Refdenotaalpie"/>
          <w:rFonts w:ascii="Verdana" w:hAnsi="Verdana"/>
          <w:sz w:val="20"/>
          <w:szCs w:val="20"/>
          <w:lang w:val="es-ES"/>
        </w:rPr>
        <w:footnoteReference w:id="218"/>
      </w:r>
      <w:r w:rsidRPr="00E25884">
        <w:rPr>
          <w:rFonts w:ascii="Verdana" w:hAnsi="Verdana"/>
          <w:sz w:val="20"/>
          <w:szCs w:val="20"/>
          <w:lang w:val="es-ES"/>
        </w:rPr>
        <w:t xml:space="preserve">. Asimismo, que los representantes no acreditaron que el señor Hernández estuviera imposibilitado de conocer la enfermedad que contrajo mientras estuvo privado de su libertad, ni que se podría haber encontrado en riesgo de sufrir represalias en caso de haber presentado una demanda de daños civiles. En ese sentido, el Tribunal destaca que al menos desde el 8 de octubre de 1990 el señor Hernández, sus familiares o sus representantes, contaron con la posibilidad de conocer de los efectos que la meningitis tuvo en la salud de la presunta víctima, </w:t>
      </w:r>
      <w:r w:rsidRPr="00571804">
        <w:rPr>
          <w:rFonts w:ascii="Verdana" w:hAnsi="Verdana"/>
          <w:sz w:val="20"/>
          <w:szCs w:val="20"/>
          <w:lang w:val="es-ES"/>
        </w:rPr>
        <w:t xml:space="preserve">pues esto quedó establecido en el parte médico citado en el recurso de apelación interpuesto por la defensa del señor Hernández el 19 de octubre de 1990 en contra de la determinación de negación de excarcelación extraordinaria emitida el 17 de octubre del mismo </w:t>
      </w:r>
      <w:r w:rsidRPr="00E25884">
        <w:rPr>
          <w:rFonts w:ascii="Verdana" w:hAnsi="Verdana"/>
          <w:sz w:val="20"/>
          <w:szCs w:val="20"/>
          <w:lang w:val="es-ES"/>
        </w:rPr>
        <w:t>año.</w:t>
      </w:r>
    </w:p>
    <w:p w14:paraId="2EBC5A1D" w14:textId="77777777" w:rsidR="00C13C58" w:rsidRPr="00E25884" w:rsidRDefault="00C13C58" w:rsidP="00C13C58">
      <w:pPr>
        <w:widowControl w:val="0"/>
        <w:tabs>
          <w:tab w:val="left" w:pos="567"/>
        </w:tabs>
        <w:adjustRightInd w:val="0"/>
        <w:spacing w:after="0" w:line="240" w:lineRule="auto"/>
        <w:jc w:val="both"/>
        <w:textAlignment w:val="baseline"/>
        <w:rPr>
          <w:rFonts w:ascii="Verdana" w:hAnsi="Verdana"/>
          <w:sz w:val="20"/>
          <w:szCs w:val="20"/>
          <w:lang w:val="es-ES"/>
        </w:rPr>
      </w:pPr>
    </w:p>
    <w:p w14:paraId="0AD9E1E8" w14:textId="77777777" w:rsidR="005F02C0" w:rsidRDefault="005F02C0"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sz w:val="20"/>
          <w:szCs w:val="20"/>
          <w:lang w:val="es-ES"/>
        </w:rPr>
      </w:pPr>
      <w:r w:rsidRPr="00E25884">
        <w:rPr>
          <w:rFonts w:ascii="Verdana" w:hAnsi="Verdana"/>
          <w:sz w:val="20"/>
          <w:szCs w:val="20"/>
          <w:lang w:val="es-ES"/>
        </w:rPr>
        <w:t xml:space="preserve">En consecuencia, no existen elementos que permitan concluir que la inadmisibilidad de la demanda, por haber sobrepasado el plazo para interponerla de acuerdo con la legislación vigente al momento de los hechos, implica una violación a las garantías judiciales consagradas en la Convención, por </w:t>
      </w:r>
      <w:proofErr w:type="gramStart"/>
      <w:r w:rsidRPr="00E25884">
        <w:rPr>
          <w:rFonts w:ascii="Verdana" w:hAnsi="Verdana"/>
          <w:sz w:val="20"/>
          <w:szCs w:val="20"/>
          <w:lang w:val="es-ES"/>
        </w:rPr>
        <w:t>tanto</w:t>
      </w:r>
      <w:proofErr w:type="gramEnd"/>
      <w:r w:rsidRPr="00E25884">
        <w:rPr>
          <w:rFonts w:ascii="Verdana" w:hAnsi="Verdana"/>
          <w:sz w:val="20"/>
          <w:szCs w:val="20"/>
          <w:lang w:val="es-ES"/>
        </w:rPr>
        <w:t xml:space="preserve"> el Estado no es responsable por la violación al artículo 8.1 en relación con el 1.1 del mismo instrumento.</w:t>
      </w:r>
    </w:p>
    <w:p w14:paraId="63BC2CD0" w14:textId="77777777" w:rsidR="00C97BC1" w:rsidRPr="001A24A9" w:rsidRDefault="00C97BC1" w:rsidP="00C97BC1">
      <w:pPr>
        <w:widowControl w:val="0"/>
        <w:tabs>
          <w:tab w:val="left" w:pos="567"/>
        </w:tabs>
        <w:adjustRightInd w:val="0"/>
        <w:spacing w:after="0" w:line="240" w:lineRule="auto"/>
        <w:jc w:val="both"/>
        <w:textAlignment w:val="baseline"/>
        <w:rPr>
          <w:rFonts w:ascii="Verdana" w:hAnsi="Verdana"/>
          <w:sz w:val="20"/>
          <w:szCs w:val="20"/>
          <w:lang w:val="es-ES"/>
        </w:rPr>
      </w:pPr>
    </w:p>
    <w:p w14:paraId="451015DB" w14:textId="77777777" w:rsidR="005F02C0" w:rsidRDefault="005F02C0" w:rsidP="00C97BC1">
      <w:pPr>
        <w:pStyle w:val="Estilo1"/>
        <w:tabs>
          <w:tab w:val="clear" w:pos="567"/>
          <w:tab w:val="clear" w:pos="6042"/>
          <w:tab w:val="left" w:pos="709"/>
        </w:tabs>
        <w:spacing w:after="0"/>
        <w:ind w:left="720" w:right="-4"/>
        <w:outlineLvl w:val="2"/>
        <w:rPr>
          <w:b/>
          <w:i/>
          <w:sz w:val="20"/>
          <w:szCs w:val="20"/>
          <w:lang w:val="es-ES"/>
        </w:rPr>
      </w:pPr>
      <w:bookmarkStart w:id="78" w:name="_Toc27509184"/>
      <w:r w:rsidRPr="00E25884">
        <w:rPr>
          <w:b/>
          <w:i/>
          <w:sz w:val="20"/>
          <w:szCs w:val="20"/>
          <w:lang w:val="es-ES"/>
        </w:rPr>
        <w:t>B.4. Conclusión</w:t>
      </w:r>
      <w:bookmarkEnd w:id="78"/>
    </w:p>
    <w:p w14:paraId="15235AC9" w14:textId="77777777" w:rsidR="00C97BC1" w:rsidRPr="00E25884" w:rsidRDefault="00C97BC1" w:rsidP="00C97BC1">
      <w:pPr>
        <w:pStyle w:val="Estilo1"/>
        <w:tabs>
          <w:tab w:val="clear" w:pos="567"/>
          <w:tab w:val="clear" w:pos="6042"/>
          <w:tab w:val="left" w:pos="709"/>
        </w:tabs>
        <w:spacing w:after="0"/>
        <w:ind w:right="-4"/>
        <w:outlineLvl w:val="2"/>
        <w:rPr>
          <w:b/>
          <w:i/>
          <w:sz w:val="20"/>
          <w:szCs w:val="20"/>
          <w:lang w:val="es-ES"/>
        </w:rPr>
      </w:pPr>
    </w:p>
    <w:p w14:paraId="085E9DE6" w14:textId="77777777" w:rsidR="005F02C0" w:rsidRPr="00C97BC1" w:rsidRDefault="005F02C0"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cs="Verdana"/>
          <w:i/>
          <w:sz w:val="20"/>
          <w:szCs w:val="20"/>
          <w:lang w:val="es-CR"/>
        </w:rPr>
      </w:pPr>
      <w:r w:rsidRPr="00E25884">
        <w:rPr>
          <w:rFonts w:ascii="Verdana" w:hAnsi="Verdana" w:cs="Verdana"/>
          <w:sz w:val="20"/>
          <w:szCs w:val="20"/>
          <w:lang w:val="es-CR"/>
        </w:rPr>
        <w:t xml:space="preserve">La Corte concluye que la obligación estatal de garantizar un recurso judicial efectivo en términos del artículo 25 de la Convención no concluye con la emisión de resoluciones, sino que requiere la garantía de su cumplimiento. Por esta razón, la falta </w:t>
      </w:r>
      <w:r w:rsidR="00FE0980">
        <w:rPr>
          <w:rFonts w:ascii="Verdana" w:hAnsi="Verdana" w:cs="Verdana"/>
          <w:sz w:val="20"/>
          <w:szCs w:val="20"/>
          <w:lang w:val="es-CR"/>
        </w:rPr>
        <w:t xml:space="preserve">de </w:t>
      </w:r>
      <w:r w:rsidRPr="00E25884">
        <w:rPr>
          <w:rFonts w:ascii="Verdana" w:hAnsi="Verdana" w:cs="Verdana"/>
          <w:sz w:val="20"/>
          <w:szCs w:val="20"/>
          <w:lang w:val="es-CR"/>
        </w:rPr>
        <w:t xml:space="preserve">cumplimiento de </w:t>
      </w:r>
      <w:r w:rsidR="00FE0980">
        <w:rPr>
          <w:rFonts w:ascii="Verdana" w:hAnsi="Verdana" w:cs="Verdana"/>
          <w:sz w:val="20"/>
          <w:szCs w:val="20"/>
          <w:lang w:val="es-CR"/>
        </w:rPr>
        <w:t>las</w:t>
      </w:r>
      <w:r w:rsidRPr="00E25884">
        <w:rPr>
          <w:rFonts w:ascii="Verdana" w:hAnsi="Verdana" w:cs="Verdana"/>
          <w:sz w:val="20"/>
          <w:szCs w:val="20"/>
          <w:lang w:val="es-CR"/>
        </w:rPr>
        <w:t xml:space="preserve"> órdenes</w:t>
      </w:r>
      <w:r w:rsidR="00FE0980">
        <w:rPr>
          <w:rFonts w:ascii="Verdana" w:hAnsi="Verdana" w:cs="Verdana"/>
          <w:sz w:val="20"/>
          <w:szCs w:val="20"/>
          <w:lang w:val="es-CR"/>
        </w:rPr>
        <w:t xml:space="preserve"> del Juez de la Causa</w:t>
      </w:r>
      <w:r w:rsidRPr="00E25884">
        <w:rPr>
          <w:rFonts w:ascii="Verdana" w:hAnsi="Verdana" w:cs="Verdana"/>
          <w:sz w:val="20"/>
          <w:szCs w:val="20"/>
          <w:lang w:val="es-CR"/>
        </w:rPr>
        <w:t xml:space="preserve"> dirigidas a </w:t>
      </w:r>
      <w:r w:rsidR="005D2C4E">
        <w:rPr>
          <w:rFonts w:ascii="Verdana" w:hAnsi="Verdana" w:cs="Verdana"/>
          <w:sz w:val="20"/>
          <w:szCs w:val="20"/>
          <w:lang w:val="es-CR"/>
        </w:rPr>
        <w:t>garantizar</w:t>
      </w:r>
      <w:r w:rsidRPr="00E25884">
        <w:rPr>
          <w:rFonts w:ascii="Verdana" w:hAnsi="Verdana" w:cs="Verdana"/>
          <w:sz w:val="20"/>
          <w:szCs w:val="20"/>
          <w:lang w:val="es-CR"/>
        </w:rPr>
        <w:t xml:space="preserve"> el adecuado tratamiento médico del señor Hernández constituyeron un incumplimiento del derecho a un recurso judicial efectivo. Asimismo, la </w:t>
      </w:r>
      <w:r w:rsidR="005D2C4E">
        <w:rPr>
          <w:rFonts w:ascii="Verdana" w:hAnsi="Verdana" w:cs="Verdana"/>
          <w:sz w:val="20"/>
          <w:szCs w:val="20"/>
          <w:lang w:val="es-CR"/>
        </w:rPr>
        <w:t xml:space="preserve">motivación de la </w:t>
      </w:r>
      <w:r w:rsidRPr="00E25884">
        <w:rPr>
          <w:rFonts w:ascii="Verdana" w:hAnsi="Verdana" w:cs="Verdana"/>
          <w:sz w:val="20"/>
          <w:szCs w:val="20"/>
          <w:lang w:val="es-CR"/>
        </w:rPr>
        <w:t>sentencia mediante la cual se resolvió la solicitud de excarcelación del señor Hernández</w:t>
      </w:r>
      <w:r w:rsidR="005D2C4E">
        <w:rPr>
          <w:rFonts w:ascii="Verdana" w:hAnsi="Verdana" w:cs="Verdana"/>
          <w:sz w:val="20"/>
          <w:szCs w:val="20"/>
          <w:lang w:val="es-CR"/>
        </w:rPr>
        <w:t xml:space="preserve"> no</w:t>
      </w:r>
      <w:r w:rsidRPr="00E25884">
        <w:rPr>
          <w:rFonts w:ascii="Verdana" w:hAnsi="Verdana" w:cs="Verdana"/>
          <w:sz w:val="20"/>
          <w:szCs w:val="20"/>
          <w:lang w:val="es-CR"/>
        </w:rPr>
        <w:t xml:space="preserve"> constituyó un incumplimiento del derecho a las garantías judiciales. Finalmente, la inadmisibilidad de la demanda de daños y perjuicios no constituyó un incumplimiento del derecho a las garantías procesales del señor Hernández. En consecuencia, el Estado es responsable por la violación al derecho a la protección judicial en términos </w:t>
      </w:r>
      <w:r w:rsidR="004C6B5F">
        <w:rPr>
          <w:rFonts w:ascii="Verdana" w:hAnsi="Verdana" w:cs="Verdana"/>
          <w:sz w:val="20"/>
          <w:szCs w:val="20"/>
          <w:lang w:val="es-CR"/>
        </w:rPr>
        <w:t xml:space="preserve">del artículo </w:t>
      </w:r>
      <w:r w:rsidRPr="00E25884">
        <w:rPr>
          <w:rFonts w:ascii="Verdana" w:hAnsi="Verdana" w:cs="Verdana"/>
          <w:sz w:val="20"/>
          <w:szCs w:val="20"/>
          <w:lang w:val="es-CR"/>
        </w:rPr>
        <w:t>25.2.c de la Convención Americana en relación con el artículo 1.1 del mismo instrumento</w:t>
      </w:r>
      <w:r w:rsidR="004C6B5F">
        <w:rPr>
          <w:rFonts w:ascii="Verdana" w:hAnsi="Verdana" w:cs="Verdana"/>
          <w:sz w:val="20"/>
          <w:szCs w:val="20"/>
          <w:lang w:val="es-CR"/>
        </w:rPr>
        <w:t xml:space="preserve">, y </w:t>
      </w:r>
      <w:r w:rsidR="005D2C4E">
        <w:rPr>
          <w:rFonts w:ascii="Verdana" w:hAnsi="Verdana" w:cs="Verdana"/>
          <w:sz w:val="20"/>
          <w:szCs w:val="20"/>
          <w:lang w:val="es-CR"/>
        </w:rPr>
        <w:t xml:space="preserve">no es responsable por la violación al derecho a las garantías judiciales en términos </w:t>
      </w:r>
      <w:r w:rsidR="004C6B5F">
        <w:rPr>
          <w:rFonts w:ascii="Verdana" w:hAnsi="Verdana" w:cs="Verdana"/>
          <w:sz w:val="20"/>
          <w:szCs w:val="20"/>
          <w:lang w:val="es-CR"/>
        </w:rPr>
        <w:t>del artículo</w:t>
      </w:r>
      <w:r w:rsidR="005D2C4E">
        <w:rPr>
          <w:rFonts w:ascii="Verdana" w:hAnsi="Verdana" w:cs="Verdana"/>
          <w:sz w:val="20"/>
          <w:szCs w:val="20"/>
          <w:lang w:val="es-CR"/>
        </w:rPr>
        <w:t xml:space="preserve"> 8.1 de la Convención Americana en relación con el artículo</w:t>
      </w:r>
      <w:r w:rsidR="004C6B5F">
        <w:rPr>
          <w:rFonts w:ascii="Verdana" w:hAnsi="Verdana" w:cs="Verdana"/>
          <w:sz w:val="20"/>
          <w:szCs w:val="20"/>
          <w:lang w:val="es-CR"/>
        </w:rPr>
        <w:t xml:space="preserve"> 1.1 </w:t>
      </w:r>
      <w:r w:rsidR="005D2C4E">
        <w:rPr>
          <w:rFonts w:ascii="Verdana" w:hAnsi="Verdana" w:cs="Verdana"/>
          <w:sz w:val="20"/>
          <w:szCs w:val="20"/>
          <w:lang w:val="es-CR"/>
        </w:rPr>
        <w:t>del mismo instrumento</w:t>
      </w:r>
      <w:r w:rsidRPr="00E25884">
        <w:rPr>
          <w:rFonts w:ascii="Verdana" w:hAnsi="Verdana" w:cs="Verdana"/>
          <w:sz w:val="20"/>
          <w:szCs w:val="20"/>
          <w:lang w:val="es-CR"/>
        </w:rPr>
        <w:t>.</w:t>
      </w:r>
    </w:p>
    <w:p w14:paraId="30DC41F8" w14:textId="77777777" w:rsidR="00C97BC1" w:rsidRPr="00E25884" w:rsidRDefault="00C97BC1" w:rsidP="00C97BC1">
      <w:pPr>
        <w:widowControl w:val="0"/>
        <w:tabs>
          <w:tab w:val="left" w:pos="567"/>
        </w:tabs>
        <w:adjustRightInd w:val="0"/>
        <w:spacing w:after="0" w:line="240" w:lineRule="auto"/>
        <w:jc w:val="both"/>
        <w:textAlignment w:val="baseline"/>
        <w:rPr>
          <w:rFonts w:ascii="Verdana" w:hAnsi="Verdana" w:cs="Verdana"/>
          <w:i/>
          <w:sz w:val="20"/>
          <w:szCs w:val="20"/>
          <w:lang w:val="es-CR"/>
        </w:rPr>
      </w:pPr>
    </w:p>
    <w:p w14:paraId="0CDB9087" w14:textId="7B3CCA3C" w:rsidR="005F02C0" w:rsidRPr="005B0214" w:rsidRDefault="005B0214" w:rsidP="005B0214">
      <w:pPr>
        <w:pStyle w:val="Ttulo2"/>
        <w:numPr>
          <w:ilvl w:val="0"/>
          <w:numId w:val="0"/>
        </w:numPr>
        <w:jc w:val="center"/>
        <w:rPr>
          <w:i w:val="0"/>
          <w:lang w:val="es-MX"/>
        </w:rPr>
      </w:pPr>
      <w:bookmarkStart w:id="79" w:name="_Toc27509185"/>
      <w:r w:rsidRPr="005B0214">
        <w:rPr>
          <w:rFonts w:eastAsia="Times New Roman" w:cs="Verdana"/>
          <w:bCs/>
          <w:i w:val="0"/>
          <w:caps/>
          <w:snapToGrid w:val="0"/>
          <w:lang w:val="es-ES_tradnl"/>
        </w:rPr>
        <w:lastRenderedPageBreak/>
        <w:t>VII-4</w:t>
      </w:r>
      <w:r w:rsidRPr="005B0214">
        <w:rPr>
          <w:rFonts w:eastAsia="Times New Roman" w:cs="Verdana"/>
          <w:bCs/>
          <w:i w:val="0"/>
          <w:caps/>
          <w:snapToGrid w:val="0"/>
          <w:lang w:val="es-ES_tradnl"/>
        </w:rPr>
        <w:br/>
      </w:r>
      <w:r w:rsidR="005F02C0" w:rsidRPr="005B0214">
        <w:rPr>
          <w:i w:val="0"/>
        </w:rPr>
        <w:t>DERECHO A LA INTEGRIDAD PERSONAL RESPECTO DE LOS FAMILIARES DE LA PRESUNTA VÍCTIMA</w:t>
      </w:r>
      <w:r w:rsidR="000051FF">
        <w:rPr>
          <w:rStyle w:val="Refdenotaalpie"/>
          <w:i w:val="0"/>
        </w:rPr>
        <w:footnoteReference w:id="219"/>
      </w:r>
      <w:bookmarkEnd w:id="79"/>
    </w:p>
    <w:p w14:paraId="5E443ED1" w14:textId="6CD73539" w:rsidR="00C97BC1" w:rsidRPr="00E25884" w:rsidRDefault="005A7E9E" w:rsidP="00230D8B">
      <w:pPr>
        <w:pStyle w:val="Estilo1"/>
        <w:tabs>
          <w:tab w:val="clear" w:pos="567"/>
          <w:tab w:val="clear" w:pos="6042"/>
          <w:tab w:val="left" w:pos="709"/>
          <w:tab w:val="left" w:pos="2128"/>
        </w:tabs>
        <w:spacing w:after="0"/>
        <w:ind w:left="1134" w:right="-4"/>
        <w:outlineLvl w:val="1"/>
        <w:rPr>
          <w:b/>
          <w:i/>
          <w:sz w:val="20"/>
          <w:szCs w:val="20"/>
          <w:lang w:val="es-MX"/>
        </w:rPr>
      </w:pPr>
      <w:r>
        <w:rPr>
          <w:b/>
          <w:i/>
          <w:sz w:val="20"/>
          <w:szCs w:val="20"/>
          <w:lang w:val="es-MX"/>
        </w:rPr>
        <w:tab/>
      </w:r>
    </w:p>
    <w:p w14:paraId="7B2AC578" w14:textId="77777777" w:rsidR="005F02C0" w:rsidRPr="00230D8B" w:rsidRDefault="005F02C0" w:rsidP="00CB2656">
      <w:pPr>
        <w:pStyle w:val="Estilo1"/>
        <w:numPr>
          <w:ilvl w:val="0"/>
          <w:numId w:val="19"/>
        </w:numPr>
        <w:tabs>
          <w:tab w:val="clear" w:pos="567"/>
          <w:tab w:val="left" w:pos="709"/>
        </w:tabs>
        <w:spacing w:after="0"/>
        <w:ind w:right="-4"/>
        <w:outlineLvl w:val="1"/>
        <w:rPr>
          <w:rFonts w:cs="Verdana"/>
          <w:b/>
          <w:i/>
          <w:sz w:val="20"/>
          <w:szCs w:val="20"/>
          <w:lang w:val="es-CR"/>
        </w:rPr>
      </w:pPr>
      <w:bookmarkStart w:id="80" w:name="_Toc27509186"/>
      <w:r w:rsidRPr="00230D8B">
        <w:rPr>
          <w:rFonts w:cs="Verdana"/>
          <w:b/>
          <w:i/>
          <w:sz w:val="20"/>
          <w:szCs w:val="20"/>
          <w:lang w:val="es-CR"/>
        </w:rPr>
        <w:t>Argumentos de la Comisión y de las partes</w:t>
      </w:r>
      <w:bookmarkEnd w:id="80"/>
    </w:p>
    <w:p w14:paraId="32E67BDD" w14:textId="77777777" w:rsidR="00C97BC1" w:rsidRPr="00E25884" w:rsidRDefault="00C97BC1" w:rsidP="00C97BC1">
      <w:pPr>
        <w:pStyle w:val="Estilo1"/>
        <w:tabs>
          <w:tab w:val="clear" w:pos="567"/>
          <w:tab w:val="clear" w:pos="6042"/>
          <w:tab w:val="left" w:pos="709"/>
        </w:tabs>
        <w:spacing w:after="0"/>
        <w:ind w:left="720" w:right="-4"/>
        <w:outlineLvl w:val="1"/>
        <w:rPr>
          <w:rFonts w:cs="Verdana"/>
          <w:b/>
          <w:sz w:val="20"/>
          <w:szCs w:val="20"/>
          <w:lang w:val="es-CR"/>
        </w:rPr>
      </w:pPr>
    </w:p>
    <w:p w14:paraId="4F2A9D15" w14:textId="66A24FBA" w:rsidR="005F02C0" w:rsidRDefault="005F02C0"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eastAsia="Arial" w:hAnsi="Verdana" w:cs="Arial"/>
          <w:sz w:val="20"/>
          <w:szCs w:val="20"/>
          <w:lang w:val="es-ES"/>
        </w:rPr>
      </w:pPr>
      <w:r w:rsidRPr="00E25884">
        <w:rPr>
          <w:rFonts w:ascii="Verdana" w:eastAsia="Calibri" w:hAnsi="Verdana" w:cs="Arial"/>
          <w:sz w:val="20"/>
          <w:szCs w:val="20"/>
          <w:lang w:val="es-CO" w:eastAsia="es-CR"/>
        </w:rPr>
        <w:t xml:space="preserve">La </w:t>
      </w:r>
      <w:r w:rsidRPr="00E25884">
        <w:rPr>
          <w:rFonts w:ascii="Verdana" w:eastAsia="Calibri" w:hAnsi="Verdana" w:cs="Arial"/>
          <w:b/>
          <w:i/>
          <w:sz w:val="20"/>
          <w:szCs w:val="20"/>
          <w:lang w:val="es-CO" w:eastAsia="es-CR"/>
        </w:rPr>
        <w:t>Comisión</w:t>
      </w:r>
      <w:r w:rsidRPr="00E25884">
        <w:rPr>
          <w:rFonts w:ascii="Verdana" w:eastAsia="Calibri" w:hAnsi="Verdana" w:cs="Arial"/>
          <w:b/>
          <w:sz w:val="20"/>
          <w:szCs w:val="20"/>
          <w:lang w:val="es-CO" w:eastAsia="es-CR"/>
        </w:rPr>
        <w:t xml:space="preserve"> </w:t>
      </w:r>
      <w:r w:rsidRPr="00E25884">
        <w:rPr>
          <w:rFonts w:ascii="Verdana" w:eastAsia="Cambria" w:hAnsi="Verdana" w:cs="Cambria"/>
          <w:spacing w:val="1"/>
          <w:sz w:val="20"/>
          <w:szCs w:val="20"/>
          <w:lang w:val="es-ES"/>
        </w:rPr>
        <w:t xml:space="preserve">alegó que la señora </w:t>
      </w:r>
      <w:r w:rsidRPr="00E25884">
        <w:rPr>
          <w:rFonts w:ascii="Verdana" w:eastAsia="Cambria" w:hAnsi="Verdana" w:cs="Cambria"/>
          <w:sz w:val="20"/>
          <w:szCs w:val="20"/>
          <w:lang w:val="es-ES"/>
        </w:rPr>
        <w:t>Raquel San Martín de Hernández</w:t>
      </w:r>
      <w:r w:rsidRPr="00E25884">
        <w:rPr>
          <w:rFonts w:ascii="Verdana" w:eastAsia="Cambria" w:hAnsi="Verdana" w:cs="Cambria"/>
          <w:spacing w:val="1"/>
          <w:sz w:val="20"/>
          <w:szCs w:val="20"/>
          <w:lang w:val="es-ES"/>
        </w:rPr>
        <w:t xml:space="preserve"> también debe considerarse como víctima del caso ya que el Estado violó en su perjuicio el artículo 5.1 de la Convención. En el caso, refirió que la privación de la libertad del señor Hernández sin acceso a tratamiento médico durante varios años generó una angustia particular a la madre y con eso se vulneró su derecho a la integridad. </w:t>
      </w:r>
      <w:r w:rsidRPr="00E25884">
        <w:rPr>
          <w:rFonts w:ascii="Verdana" w:eastAsia="Arial" w:hAnsi="Verdana" w:cs="Arial"/>
          <w:sz w:val="20"/>
          <w:szCs w:val="20"/>
          <w:lang w:val="es-ES"/>
        </w:rPr>
        <w:t xml:space="preserve">Los </w:t>
      </w:r>
      <w:r w:rsidRPr="00E25884">
        <w:rPr>
          <w:rFonts w:ascii="Verdana" w:eastAsia="Arial" w:hAnsi="Verdana" w:cs="Arial"/>
          <w:b/>
          <w:i/>
          <w:sz w:val="20"/>
          <w:szCs w:val="20"/>
          <w:lang w:val="es-ES"/>
        </w:rPr>
        <w:t>representantes</w:t>
      </w:r>
      <w:r w:rsidRPr="00E25884">
        <w:rPr>
          <w:rFonts w:ascii="Verdana" w:eastAsia="Arial" w:hAnsi="Verdana" w:cs="Arial"/>
          <w:sz w:val="20"/>
          <w:szCs w:val="20"/>
          <w:lang w:val="es-ES"/>
        </w:rPr>
        <w:t xml:space="preserve"> manifestaron que la señora Raquel San Martín de Hernández ha sido también víctima por el dolor moral sufrido con el padecimiento de su hijo, </w:t>
      </w:r>
      <w:r w:rsidR="005D78D5">
        <w:rPr>
          <w:rFonts w:ascii="Verdana" w:eastAsia="Arial" w:hAnsi="Verdana" w:cs="Arial"/>
          <w:sz w:val="20"/>
          <w:szCs w:val="20"/>
          <w:lang w:val="es-ES"/>
        </w:rPr>
        <w:t>sino también por</w:t>
      </w:r>
      <w:r w:rsidRPr="00E25884">
        <w:rPr>
          <w:rFonts w:ascii="Verdana" w:eastAsia="Arial" w:hAnsi="Verdana" w:cs="Arial"/>
          <w:sz w:val="20"/>
          <w:szCs w:val="20"/>
          <w:lang w:val="es-ES"/>
        </w:rPr>
        <w:t xml:space="preserve"> haber tenido que mantenerlo por más de veintinueve años enfermo. El </w:t>
      </w:r>
      <w:r w:rsidRPr="00E25884">
        <w:rPr>
          <w:rFonts w:ascii="Verdana" w:eastAsia="Arial" w:hAnsi="Verdana" w:cs="Arial"/>
          <w:b/>
          <w:i/>
          <w:sz w:val="20"/>
          <w:szCs w:val="20"/>
          <w:lang w:val="es-ES"/>
        </w:rPr>
        <w:t>Estado</w:t>
      </w:r>
      <w:r w:rsidRPr="00E25884">
        <w:rPr>
          <w:rFonts w:ascii="Verdana" w:eastAsia="Arial" w:hAnsi="Verdana" w:cs="Arial"/>
          <w:b/>
          <w:sz w:val="20"/>
          <w:szCs w:val="20"/>
          <w:lang w:val="es-ES"/>
        </w:rPr>
        <w:t xml:space="preserve"> </w:t>
      </w:r>
      <w:r w:rsidRPr="00E25884">
        <w:rPr>
          <w:rFonts w:ascii="Verdana" w:eastAsia="Arial" w:hAnsi="Verdana" w:cs="Arial"/>
          <w:sz w:val="20"/>
          <w:szCs w:val="20"/>
          <w:lang w:val="es-ES"/>
        </w:rPr>
        <w:t xml:space="preserve">señaló que los familiares del señor Hernández no pueden considerarse como víctimas en el presente caso, porque las recomendaciones realizadas por la Comisión en el </w:t>
      </w:r>
      <w:r w:rsidR="00F17558">
        <w:rPr>
          <w:rFonts w:ascii="Verdana" w:eastAsia="Arial" w:hAnsi="Verdana" w:cs="Arial"/>
          <w:sz w:val="20"/>
          <w:szCs w:val="20"/>
          <w:lang w:val="es-ES"/>
        </w:rPr>
        <w:t>I</w:t>
      </w:r>
      <w:r w:rsidRPr="00E25884">
        <w:rPr>
          <w:rFonts w:ascii="Verdana" w:eastAsia="Arial" w:hAnsi="Verdana" w:cs="Arial"/>
          <w:sz w:val="20"/>
          <w:szCs w:val="20"/>
          <w:lang w:val="es-ES"/>
        </w:rPr>
        <w:t>nfo</w:t>
      </w:r>
      <w:r w:rsidR="00F17558">
        <w:rPr>
          <w:rFonts w:ascii="Verdana" w:eastAsia="Arial" w:hAnsi="Verdana" w:cs="Arial"/>
          <w:sz w:val="20"/>
          <w:szCs w:val="20"/>
          <w:lang w:val="es-ES"/>
        </w:rPr>
        <w:t>rme de F</w:t>
      </w:r>
      <w:r w:rsidRPr="00E25884">
        <w:rPr>
          <w:rFonts w:ascii="Verdana" w:eastAsia="Arial" w:hAnsi="Verdana" w:cs="Arial"/>
          <w:sz w:val="20"/>
          <w:szCs w:val="20"/>
          <w:lang w:val="es-ES"/>
        </w:rPr>
        <w:t>ondo solo fuer</w:t>
      </w:r>
      <w:r w:rsidR="005D78D5">
        <w:rPr>
          <w:rFonts w:ascii="Verdana" w:eastAsia="Arial" w:hAnsi="Verdana" w:cs="Arial"/>
          <w:sz w:val="20"/>
          <w:szCs w:val="20"/>
          <w:lang w:val="es-ES"/>
        </w:rPr>
        <w:t>on enfocadas al señor Hernández</w:t>
      </w:r>
      <w:r w:rsidRPr="00E25884">
        <w:rPr>
          <w:rFonts w:ascii="Verdana" w:eastAsia="Arial" w:hAnsi="Verdana" w:cs="Arial"/>
          <w:sz w:val="20"/>
          <w:szCs w:val="20"/>
          <w:lang w:val="es-ES"/>
        </w:rPr>
        <w:t>.</w:t>
      </w:r>
      <w:r w:rsidR="00F17558">
        <w:rPr>
          <w:rFonts w:ascii="Verdana" w:eastAsia="Arial" w:hAnsi="Verdana" w:cs="Arial"/>
          <w:sz w:val="20"/>
          <w:szCs w:val="20"/>
          <w:lang w:val="es-ES"/>
        </w:rPr>
        <w:t xml:space="preserve"> Asimismo, el Estado señaló que la condición de víctima ante el Sistema Interamericano no se verifica por el simple parentesco con el peticionario, sino por la efectiva demostración de la afectación de un derecho consagrado en la Convención en</w:t>
      </w:r>
      <w:r w:rsidR="005D78D5">
        <w:rPr>
          <w:rFonts w:ascii="Verdana" w:eastAsia="Arial" w:hAnsi="Verdana" w:cs="Arial"/>
          <w:sz w:val="20"/>
          <w:szCs w:val="20"/>
          <w:lang w:val="es-ES"/>
        </w:rPr>
        <w:t xml:space="preserve"> perjuicio de dichos familiares</w:t>
      </w:r>
      <w:r w:rsidR="00F17558" w:rsidRPr="00F17558">
        <w:rPr>
          <w:rFonts w:ascii="Verdana" w:eastAsia="Arial" w:hAnsi="Verdana" w:cs="Arial"/>
          <w:sz w:val="20"/>
          <w:szCs w:val="20"/>
          <w:lang w:val="es-ES"/>
        </w:rPr>
        <w:t>.</w:t>
      </w:r>
      <w:r w:rsidR="00F17558">
        <w:rPr>
          <w:rFonts w:ascii="Verdana" w:eastAsia="Arial" w:hAnsi="Verdana" w:cs="Arial"/>
          <w:sz w:val="20"/>
          <w:szCs w:val="20"/>
          <w:lang w:val="es-ES"/>
        </w:rPr>
        <w:t xml:space="preserve"> </w:t>
      </w:r>
      <w:proofErr w:type="gramStart"/>
      <w:r w:rsidR="00F17558">
        <w:rPr>
          <w:rFonts w:ascii="Verdana" w:eastAsia="Arial" w:hAnsi="Verdana" w:cs="Arial"/>
          <w:sz w:val="20"/>
          <w:szCs w:val="20"/>
          <w:lang w:val="es-ES"/>
        </w:rPr>
        <w:t>Además</w:t>
      </w:r>
      <w:proofErr w:type="gramEnd"/>
      <w:r w:rsidR="00F17558">
        <w:rPr>
          <w:rFonts w:ascii="Verdana" w:eastAsia="Arial" w:hAnsi="Verdana" w:cs="Arial"/>
          <w:sz w:val="20"/>
          <w:szCs w:val="20"/>
          <w:lang w:val="es-ES"/>
        </w:rPr>
        <w:t xml:space="preserve"> manifestó que los familiares que no figuren en el Informe de Fondo no deben ser considerados víctimas en el presente caso.</w:t>
      </w:r>
    </w:p>
    <w:p w14:paraId="30D919A1" w14:textId="77777777" w:rsidR="00C97BC1" w:rsidRPr="00E25884" w:rsidRDefault="00C97BC1" w:rsidP="00C97BC1">
      <w:pPr>
        <w:widowControl w:val="0"/>
        <w:tabs>
          <w:tab w:val="left" w:pos="567"/>
        </w:tabs>
        <w:adjustRightInd w:val="0"/>
        <w:spacing w:after="0" w:line="240" w:lineRule="auto"/>
        <w:jc w:val="both"/>
        <w:textAlignment w:val="baseline"/>
        <w:rPr>
          <w:rFonts w:ascii="Verdana" w:eastAsia="Arial" w:hAnsi="Verdana" w:cs="Arial"/>
          <w:sz w:val="20"/>
          <w:szCs w:val="20"/>
          <w:lang w:val="es-ES"/>
        </w:rPr>
      </w:pPr>
    </w:p>
    <w:p w14:paraId="13B8F7A7" w14:textId="77777777" w:rsidR="005F02C0" w:rsidRPr="00230D8B" w:rsidRDefault="005F02C0" w:rsidP="00CB2656">
      <w:pPr>
        <w:pStyle w:val="Estilo1"/>
        <w:numPr>
          <w:ilvl w:val="0"/>
          <w:numId w:val="19"/>
        </w:numPr>
        <w:tabs>
          <w:tab w:val="clear" w:pos="567"/>
          <w:tab w:val="left" w:pos="709"/>
        </w:tabs>
        <w:spacing w:after="0"/>
        <w:ind w:right="-4"/>
        <w:outlineLvl w:val="1"/>
        <w:rPr>
          <w:rFonts w:cs="Verdana"/>
          <w:b/>
          <w:i/>
          <w:sz w:val="20"/>
          <w:szCs w:val="20"/>
        </w:rPr>
      </w:pPr>
      <w:bookmarkStart w:id="81" w:name="_Toc27509187"/>
      <w:proofErr w:type="spellStart"/>
      <w:r w:rsidRPr="00230D8B">
        <w:rPr>
          <w:rFonts w:cs="Verdana"/>
          <w:b/>
          <w:i/>
          <w:sz w:val="20"/>
          <w:szCs w:val="20"/>
        </w:rPr>
        <w:t>Consideraciones</w:t>
      </w:r>
      <w:proofErr w:type="spellEnd"/>
      <w:r w:rsidRPr="00230D8B">
        <w:rPr>
          <w:rFonts w:cs="Verdana"/>
          <w:b/>
          <w:i/>
          <w:sz w:val="20"/>
          <w:szCs w:val="20"/>
        </w:rPr>
        <w:t xml:space="preserve"> de la Corte</w:t>
      </w:r>
      <w:bookmarkEnd w:id="81"/>
      <w:r w:rsidRPr="00230D8B">
        <w:rPr>
          <w:rFonts w:cs="Verdana"/>
          <w:b/>
          <w:i/>
          <w:sz w:val="20"/>
          <w:szCs w:val="20"/>
        </w:rPr>
        <w:t xml:space="preserve"> </w:t>
      </w:r>
    </w:p>
    <w:p w14:paraId="3A01840E" w14:textId="77777777" w:rsidR="00C97BC1" w:rsidRPr="00E25884" w:rsidRDefault="00C97BC1" w:rsidP="00C97BC1">
      <w:pPr>
        <w:pStyle w:val="Estilo1"/>
        <w:tabs>
          <w:tab w:val="clear" w:pos="567"/>
          <w:tab w:val="clear" w:pos="6042"/>
          <w:tab w:val="left" w:pos="709"/>
        </w:tabs>
        <w:spacing w:after="0"/>
        <w:ind w:left="720" w:right="-4"/>
        <w:outlineLvl w:val="1"/>
        <w:rPr>
          <w:rFonts w:cs="Verdana"/>
          <w:b/>
          <w:sz w:val="20"/>
          <w:szCs w:val="20"/>
        </w:rPr>
      </w:pPr>
    </w:p>
    <w:p w14:paraId="6733E460" w14:textId="77777777" w:rsidR="005F02C0" w:rsidRPr="00C97BC1" w:rsidRDefault="005F02C0"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i/>
          <w:sz w:val="20"/>
          <w:szCs w:val="20"/>
          <w:lang w:val="es-CR"/>
        </w:rPr>
      </w:pPr>
      <w:r w:rsidRPr="00E25884">
        <w:rPr>
          <w:rFonts w:ascii="Verdana" w:hAnsi="Verdana" w:cs="Times New Roman"/>
          <w:sz w:val="20"/>
          <w:szCs w:val="20"/>
          <w:lang w:val="es-CR"/>
        </w:rPr>
        <w:t>La Corte ha considerado que los familiares de las víctimas de violaciones de derechos humanos pueden ser, a su vez, víctimas</w:t>
      </w:r>
      <w:r w:rsidRPr="00614C94">
        <w:rPr>
          <w:rStyle w:val="Refdenotaalpie"/>
          <w:rFonts w:ascii="Verdana" w:hAnsi="Verdana"/>
          <w:sz w:val="20"/>
          <w:szCs w:val="20"/>
        </w:rPr>
        <w:footnoteReference w:id="220"/>
      </w:r>
      <w:r w:rsidRPr="00E25884">
        <w:rPr>
          <w:rFonts w:ascii="Verdana" w:hAnsi="Verdana" w:cs="Times New Roman"/>
          <w:sz w:val="20"/>
          <w:szCs w:val="20"/>
          <w:lang w:val="es-CR"/>
        </w:rPr>
        <w:t>. En ese sentido, el Tribunal ha considerado violado el derecho a la integridad psíquica y moral de familiares de víctimas con motivo del sufrimiento adicional que éstos han padecido como producto de las circunstancias particulares de las violaciones perpetradas contra sus seres queridos, y a causa de las posteriores actuaciones u omisiones de las autoridades estatales frente a los hechos</w:t>
      </w:r>
      <w:r w:rsidRPr="00614C94">
        <w:rPr>
          <w:rStyle w:val="Refdenotaalpie"/>
          <w:rFonts w:ascii="Verdana" w:hAnsi="Verdana"/>
          <w:sz w:val="20"/>
          <w:szCs w:val="20"/>
        </w:rPr>
        <w:footnoteReference w:id="221"/>
      </w:r>
      <w:r w:rsidRPr="00614C94">
        <w:rPr>
          <w:rFonts w:ascii="Verdana" w:hAnsi="Verdana" w:cs="Times New Roman"/>
          <w:sz w:val="20"/>
          <w:szCs w:val="20"/>
          <w:lang w:val="es-CR"/>
        </w:rPr>
        <w:t>,</w:t>
      </w:r>
      <w:r w:rsidRPr="00E25884">
        <w:rPr>
          <w:rFonts w:ascii="Verdana" w:hAnsi="Verdana" w:cs="Times New Roman"/>
          <w:sz w:val="20"/>
          <w:szCs w:val="20"/>
          <w:lang w:val="es-CR"/>
        </w:rPr>
        <w:t xml:space="preserve"> tomando en cuenta, entre otros, las gestiones realizadas para obtener justicia y la existencia de un estrecho vínculo familiar</w:t>
      </w:r>
      <w:r w:rsidRPr="00E25884">
        <w:rPr>
          <w:rStyle w:val="Refdenotaalpie"/>
          <w:rFonts w:ascii="Verdana" w:hAnsi="Verdana"/>
          <w:i/>
          <w:sz w:val="20"/>
          <w:szCs w:val="20"/>
        </w:rPr>
        <w:footnoteReference w:id="222"/>
      </w:r>
      <w:r w:rsidRPr="00E25884">
        <w:rPr>
          <w:rFonts w:ascii="Verdana" w:hAnsi="Verdana" w:cs="Times New Roman"/>
          <w:sz w:val="20"/>
          <w:szCs w:val="20"/>
          <w:lang w:val="es-CR"/>
        </w:rPr>
        <w:t xml:space="preserve">. </w:t>
      </w:r>
      <w:r w:rsidRPr="00E25884">
        <w:rPr>
          <w:rFonts w:ascii="Verdana" w:hAnsi="Verdana"/>
          <w:sz w:val="20"/>
          <w:szCs w:val="20"/>
          <w:lang w:val="es-CR"/>
        </w:rPr>
        <w:t>El Tribunal ha entendido que en determinados casos de violaciones graves a los derechos humanos es posible presumir el daño de ciertos familiares de las víctimas, tras el sufrimiento y la angustia que los hechos de dichos casos suponen</w:t>
      </w:r>
      <w:r w:rsidRPr="00614C94">
        <w:rPr>
          <w:rStyle w:val="Refdenotaalpie"/>
          <w:rFonts w:ascii="Verdana" w:hAnsi="Verdana"/>
          <w:sz w:val="20"/>
          <w:szCs w:val="20"/>
        </w:rPr>
        <w:footnoteReference w:id="223"/>
      </w:r>
      <w:r w:rsidRPr="00E25884">
        <w:rPr>
          <w:rFonts w:ascii="Verdana" w:hAnsi="Verdana"/>
          <w:sz w:val="20"/>
          <w:szCs w:val="20"/>
          <w:lang w:val="es-CR"/>
        </w:rPr>
        <w:t>. En el presente caso, al no tratarse de un caso que se corresponda con una violación grave a los derechos humanos en términos de su jurisprudencia, la violación a la integridad personal de los familiares del señor Hernández debe ser comprobada</w:t>
      </w:r>
      <w:r w:rsidRPr="00E25884">
        <w:rPr>
          <w:rStyle w:val="Refdenotaalpie"/>
          <w:rFonts w:ascii="Verdana" w:hAnsi="Verdana"/>
          <w:i/>
          <w:sz w:val="20"/>
          <w:szCs w:val="20"/>
        </w:rPr>
        <w:footnoteReference w:id="224"/>
      </w:r>
      <w:r w:rsidRPr="00E25884">
        <w:rPr>
          <w:rFonts w:ascii="Verdana" w:hAnsi="Verdana"/>
          <w:sz w:val="20"/>
          <w:szCs w:val="20"/>
          <w:lang w:val="es-CR"/>
        </w:rPr>
        <w:t>.</w:t>
      </w:r>
    </w:p>
    <w:p w14:paraId="4CCD282B" w14:textId="77777777" w:rsidR="00C97BC1" w:rsidRPr="005A1F43" w:rsidRDefault="00C97BC1" w:rsidP="00C97BC1">
      <w:pPr>
        <w:widowControl w:val="0"/>
        <w:tabs>
          <w:tab w:val="left" w:pos="567"/>
        </w:tabs>
        <w:adjustRightInd w:val="0"/>
        <w:spacing w:after="0" w:line="240" w:lineRule="auto"/>
        <w:jc w:val="both"/>
        <w:textAlignment w:val="baseline"/>
        <w:rPr>
          <w:rFonts w:ascii="Verdana" w:hAnsi="Verdana"/>
          <w:sz w:val="20"/>
          <w:szCs w:val="20"/>
          <w:lang w:val="es-CR"/>
        </w:rPr>
      </w:pPr>
    </w:p>
    <w:p w14:paraId="758AC5AC" w14:textId="599867AA" w:rsidR="005A1F43" w:rsidRPr="005A1F43" w:rsidRDefault="005A1F43" w:rsidP="005A1F43">
      <w:pPr>
        <w:pStyle w:val="Prrafodelista"/>
        <w:widowControl w:val="0"/>
        <w:numPr>
          <w:ilvl w:val="0"/>
          <w:numId w:val="12"/>
        </w:numPr>
        <w:tabs>
          <w:tab w:val="left" w:pos="567"/>
        </w:tabs>
        <w:adjustRightInd w:val="0"/>
        <w:spacing w:after="0" w:line="240" w:lineRule="auto"/>
        <w:ind w:left="0" w:right="4" w:firstLine="0"/>
        <w:jc w:val="both"/>
        <w:textAlignment w:val="baseline"/>
        <w:rPr>
          <w:rFonts w:ascii="Verdana" w:hAnsi="Verdana" w:cs="Arial"/>
          <w:sz w:val="20"/>
          <w:szCs w:val="20"/>
          <w:lang w:val="es-ES_tradnl"/>
        </w:rPr>
      </w:pPr>
      <w:r w:rsidRPr="005A1F43">
        <w:rPr>
          <w:rFonts w:ascii="Verdana" w:hAnsi="Verdana" w:cs="Verdana"/>
          <w:sz w:val="20"/>
          <w:szCs w:val="20"/>
          <w:lang w:val="es-ES_tradnl"/>
        </w:rPr>
        <w:t xml:space="preserve">Los hechos establecidos en el Capítulo </w:t>
      </w:r>
      <w:r w:rsidR="005D78D5">
        <w:rPr>
          <w:rFonts w:ascii="Verdana" w:hAnsi="Verdana" w:cs="Verdana"/>
          <w:sz w:val="20"/>
          <w:szCs w:val="20"/>
          <w:lang w:val="es-ES_tradnl"/>
        </w:rPr>
        <w:t>VI</w:t>
      </w:r>
      <w:r w:rsidRPr="005A1F43">
        <w:rPr>
          <w:rFonts w:ascii="Verdana" w:hAnsi="Verdana" w:cs="Verdana"/>
          <w:sz w:val="20"/>
          <w:szCs w:val="20"/>
          <w:lang w:val="es-ES_tradnl"/>
        </w:rPr>
        <w:t xml:space="preserve"> de la presente Sentencia muestran, en primer lugar, la existencia de vínculo estrecho entre la señora San Martin de Hernández</w:t>
      </w:r>
      <w:r>
        <w:rPr>
          <w:rFonts w:ascii="Verdana" w:hAnsi="Verdana" w:cs="Verdana"/>
          <w:sz w:val="20"/>
          <w:szCs w:val="20"/>
          <w:lang w:val="es-ES_tradnl"/>
        </w:rPr>
        <w:t xml:space="preserve"> y su hijo</w:t>
      </w:r>
      <w:r w:rsidRPr="005A1F43">
        <w:rPr>
          <w:rFonts w:ascii="Verdana" w:hAnsi="Verdana" w:cs="Verdana"/>
          <w:sz w:val="20"/>
          <w:szCs w:val="20"/>
          <w:lang w:val="es-ES_tradnl"/>
        </w:rPr>
        <w:t xml:space="preserve">. Este </w:t>
      </w:r>
      <w:r w:rsidRPr="005A1F43">
        <w:rPr>
          <w:rFonts w:ascii="Verdana" w:hAnsi="Verdana" w:cs="Verdana"/>
          <w:sz w:val="20"/>
          <w:szCs w:val="20"/>
          <w:lang w:val="es-ES_tradnl"/>
        </w:rPr>
        <w:lastRenderedPageBreak/>
        <w:t>elemento se verifica no solo por la consanguinidad en primer grado entre el señor Hernández y su madre</w:t>
      </w:r>
      <w:r w:rsidRPr="005A1F43">
        <w:rPr>
          <w:rFonts w:ascii="Verdana" w:hAnsi="Verdana" w:cs="Arial"/>
          <w:sz w:val="20"/>
          <w:szCs w:val="20"/>
          <w:lang w:val="es-ES_tradnl"/>
        </w:rPr>
        <w:t>, sino porque</w:t>
      </w:r>
      <w:r w:rsidR="00B34ED3">
        <w:rPr>
          <w:rFonts w:ascii="Verdana" w:hAnsi="Verdana" w:cs="Arial"/>
          <w:sz w:val="20"/>
          <w:szCs w:val="20"/>
          <w:lang w:val="es-ES_tradnl"/>
        </w:rPr>
        <w:t xml:space="preserve"> además</w:t>
      </w:r>
      <w:r w:rsidRPr="005A1F43">
        <w:rPr>
          <w:rFonts w:ascii="Verdana" w:hAnsi="Verdana" w:cs="Arial"/>
          <w:sz w:val="20"/>
          <w:szCs w:val="20"/>
          <w:lang w:val="es-ES_tradnl"/>
        </w:rPr>
        <w:t xml:space="preserve"> </w:t>
      </w:r>
      <w:r w:rsidR="00B34ED3">
        <w:rPr>
          <w:rFonts w:ascii="Verdana" w:hAnsi="Verdana" w:cs="Arial"/>
          <w:sz w:val="20"/>
          <w:szCs w:val="20"/>
          <w:lang w:val="es-ES_tradnl"/>
        </w:rPr>
        <w:t>es posible constatar</w:t>
      </w:r>
      <w:r w:rsidRPr="005A1F43">
        <w:rPr>
          <w:rFonts w:ascii="Verdana" w:hAnsi="Verdana" w:cs="Arial"/>
          <w:sz w:val="20"/>
          <w:szCs w:val="20"/>
          <w:lang w:val="es-ES_tradnl"/>
        </w:rPr>
        <w:t xml:space="preserve"> cómo asumió la responsabilidad en e</w:t>
      </w:r>
      <w:r w:rsidR="005D78D5">
        <w:rPr>
          <w:rFonts w:ascii="Verdana" w:hAnsi="Verdana" w:cs="Arial"/>
          <w:sz w:val="20"/>
          <w:szCs w:val="20"/>
          <w:lang w:val="es-ES_tradnl"/>
        </w:rPr>
        <w:t>l cuidado de los padecimientos d</w:t>
      </w:r>
      <w:r w:rsidRPr="005A1F43">
        <w:rPr>
          <w:rFonts w:ascii="Verdana" w:hAnsi="Verdana" w:cs="Arial"/>
          <w:sz w:val="20"/>
          <w:szCs w:val="20"/>
          <w:lang w:val="es-ES_tradnl"/>
        </w:rPr>
        <w:t>e su hijo. Esto se manifiesta en la carta que dirigió al Juez de la Causa el 23 de octubre de 1990 para solicitar la excarcelación de su hijo, en la cual la señora San Martín de Hernández expresa textualmente lo siguiente:</w:t>
      </w:r>
      <w:r>
        <w:rPr>
          <w:rFonts w:ascii="Verdana" w:hAnsi="Verdana" w:cs="Arial"/>
          <w:sz w:val="20"/>
          <w:szCs w:val="20"/>
          <w:lang w:val="es-ES_tradnl"/>
        </w:rPr>
        <w:t xml:space="preserve"> </w:t>
      </w:r>
      <w:r w:rsidRPr="005A1F43">
        <w:rPr>
          <w:rFonts w:ascii="Verdana" w:hAnsi="Verdana"/>
          <w:b/>
          <w:bCs/>
          <w:sz w:val="20"/>
          <w:szCs w:val="20"/>
        </w:rPr>
        <w:t>“</w:t>
      </w:r>
      <w:r w:rsidRPr="005A1F43">
        <w:rPr>
          <w:rFonts w:ascii="Verdana" w:hAnsi="Verdana"/>
          <w:bCs/>
          <w:sz w:val="20"/>
          <w:szCs w:val="20"/>
        </w:rPr>
        <w:t>Quien suscribe la presente tiene el agrado de dirigirse al señor juez</w:t>
      </w:r>
      <w:r w:rsidRPr="005A1F43">
        <w:rPr>
          <w:rFonts w:ascii="Verdana" w:hAnsi="Verdana"/>
          <w:sz w:val="20"/>
          <w:szCs w:val="20"/>
        </w:rPr>
        <w:t xml:space="preserve"> y por intermedio de la presente, llega hasta usted respetuosamente </w:t>
      </w:r>
      <w:r w:rsidRPr="005A1F43">
        <w:rPr>
          <w:rFonts w:ascii="Verdana" w:hAnsi="Verdana"/>
          <w:bCs/>
          <w:sz w:val="20"/>
          <w:szCs w:val="20"/>
        </w:rPr>
        <w:t>para exponerle el gran problema que me aqueja como madre</w:t>
      </w:r>
      <w:r w:rsidRPr="005A1F43">
        <w:rPr>
          <w:rFonts w:ascii="Verdana" w:hAnsi="Verdana"/>
          <w:sz w:val="20"/>
          <w:szCs w:val="20"/>
        </w:rPr>
        <w:t xml:space="preserve"> (...) </w:t>
      </w:r>
      <w:r w:rsidRPr="005A1F43">
        <w:rPr>
          <w:rFonts w:ascii="Verdana" w:hAnsi="Verdana"/>
          <w:bCs/>
          <w:sz w:val="20"/>
          <w:szCs w:val="20"/>
        </w:rPr>
        <w:t>Tengo un hijo de 23 años de edad detenido</w:t>
      </w:r>
      <w:r w:rsidRPr="005A1F43">
        <w:rPr>
          <w:rFonts w:ascii="Verdana" w:hAnsi="Verdana"/>
          <w:sz w:val="20"/>
          <w:szCs w:val="20"/>
        </w:rPr>
        <w:t xml:space="preserve"> en la cárcel de Olmos su nombre es José Luis Hernández, y se encuentra internado en el hospital de dicha unidad </w:t>
      </w:r>
      <w:r w:rsidRPr="005A1F43">
        <w:rPr>
          <w:rFonts w:ascii="Verdana" w:hAnsi="Verdana"/>
          <w:bCs/>
          <w:sz w:val="20"/>
          <w:szCs w:val="20"/>
        </w:rPr>
        <w:t>afectado de una enfermedad infecciosa que ha dejado a mi hijo prácticamente irrecuperable</w:t>
      </w:r>
      <w:r w:rsidRPr="005A1F43">
        <w:rPr>
          <w:rFonts w:ascii="Verdana" w:hAnsi="Verdana"/>
          <w:sz w:val="20"/>
          <w:szCs w:val="20"/>
        </w:rPr>
        <w:t xml:space="preserve"> (…)”</w:t>
      </w:r>
      <w:r w:rsidRPr="00BF7414">
        <w:rPr>
          <w:rStyle w:val="Refdenotaalpie"/>
        </w:rPr>
        <w:footnoteReference w:id="225"/>
      </w:r>
      <w:r w:rsidRPr="005A1F43">
        <w:rPr>
          <w:rFonts w:ascii="Verdana" w:hAnsi="Verdana"/>
          <w:sz w:val="20"/>
          <w:szCs w:val="20"/>
        </w:rPr>
        <w:t>.</w:t>
      </w:r>
    </w:p>
    <w:p w14:paraId="67CE3F55" w14:textId="77777777" w:rsidR="005A1F43" w:rsidRDefault="005A1F43" w:rsidP="005A1F43">
      <w:pPr>
        <w:widowControl w:val="0"/>
        <w:tabs>
          <w:tab w:val="left" w:pos="567"/>
        </w:tabs>
        <w:adjustRightInd w:val="0"/>
        <w:spacing w:after="0" w:line="240" w:lineRule="auto"/>
        <w:ind w:right="4"/>
        <w:jc w:val="both"/>
        <w:textAlignment w:val="baseline"/>
        <w:rPr>
          <w:rFonts w:ascii="Verdana" w:hAnsi="Verdana" w:cs="Arial"/>
          <w:sz w:val="20"/>
          <w:szCs w:val="20"/>
          <w:lang w:val="es-ES_tradnl"/>
        </w:rPr>
      </w:pPr>
    </w:p>
    <w:p w14:paraId="6E6096CA" w14:textId="26ADF91A" w:rsidR="005A1F43" w:rsidRPr="005A1F43" w:rsidRDefault="005A1F43" w:rsidP="005A1F43">
      <w:pPr>
        <w:pStyle w:val="Prrafodelista"/>
        <w:widowControl w:val="0"/>
        <w:numPr>
          <w:ilvl w:val="0"/>
          <w:numId w:val="12"/>
        </w:numPr>
        <w:tabs>
          <w:tab w:val="left" w:pos="567"/>
        </w:tabs>
        <w:adjustRightInd w:val="0"/>
        <w:spacing w:after="0" w:line="240" w:lineRule="auto"/>
        <w:ind w:left="0" w:right="4" w:firstLine="0"/>
        <w:jc w:val="both"/>
        <w:textAlignment w:val="baseline"/>
        <w:rPr>
          <w:rFonts w:ascii="Verdana" w:hAnsi="Verdana" w:cs="Arial"/>
          <w:sz w:val="20"/>
          <w:szCs w:val="20"/>
          <w:lang w:val="es-ES_tradnl"/>
        </w:rPr>
      </w:pPr>
      <w:r w:rsidRPr="005A1F43">
        <w:rPr>
          <w:rFonts w:ascii="Verdana" w:hAnsi="Verdana" w:cs="Arial"/>
          <w:sz w:val="20"/>
          <w:szCs w:val="20"/>
          <w:lang w:val="es-ES_tradnl"/>
        </w:rPr>
        <w:t xml:space="preserve">Asimismo, de las actuaciones </w:t>
      </w:r>
      <w:r w:rsidR="00B34ED3">
        <w:rPr>
          <w:rFonts w:ascii="Verdana" w:hAnsi="Verdana" w:cs="Arial"/>
          <w:sz w:val="20"/>
          <w:szCs w:val="20"/>
          <w:lang w:val="es-ES_tradnl"/>
        </w:rPr>
        <w:t>ante el Juez de la Causa</w:t>
      </w:r>
      <w:r w:rsidRPr="005A1F43">
        <w:rPr>
          <w:rFonts w:ascii="Verdana" w:hAnsi="Verdana" w:cs="Arial"/>
          <w:sz w:val="20"/>
          <w:szCs w:val="20"/>
          <w:lang w:val="es-ES_tradnl"/>
        </w:rPr>
        <w:t xml:space="preserve"> es posible advertir el constante involucramiento </w:t>
      </w:r>
      <w:r w:rsidR="00B34ED3">
        <w:rPr>
          <w:rFonts w:ascii="Verdana" w:hAnsi="Verdana" w:cs="Arial"/>
          <w:sz w:val="20"/>
          <w:szCs w:val="20"/>
          <w:lang w:val="es-ES_tradnl"/>
        </w:rPr>
        <w:t xml:space="preserve">de la señora Hernández </w:t>
      </w:r>
      <w:r w:rsidRPr="005A1F43">
        <w:rPr>
          <w:rFonts w:ascii="Verdana" w:hAnsi="Verdana" w:cs="Arial"/>
          <w:sz w:val="20"/>
          <w:szCs w:val="20"/>
          <w:lang w:val="es-ES_tradnl"/>
        </w:rPr>
        <w:t xml:space="preserve">en el actuar de la justicia y las autoridades penitenciarias. Este aspecto se constata por las múltiples denuncias efectuadas por la madre de la presunta víctima para comunicarle al Juez de la Causa la condición de salud de su hijo y requerirle que le fuera brindada adecuada asistencia médica, así como por la solicitud de excarcelación de fecha 23 de octubre de 1990. En efecto, </w:t>
      </w:r>
      <w:r w:rsidRPr="005A1F43">
        <w:rPr>
          <w:rFonts w:ascii="Verdana" w:hAnsi="Verdana"/>
          <w:sz w:val="20"/>
          <w:szCs w:val="20"/>
        </w:rPr>
        <w:t>de tales solicitudes, la Corte advierte que la señora San Martín de Hernández acompañó de cerca a su hijo mientras se mantuvo privado de libertad</w:t>
      </w:r>
      <w:r>
        <w:rPr>
          <w:rFonts w:ascii="Verdana" w:hAnsi="Verdana"/>
          <w:sz w:val="20"/>
          <w:szCs w:val="20"/>
        </w:rPr>
        <w:t>,</w:t>
      </w:r>
      <w:r w:rsidRPr="005A1F43">
        <w:rPr>
          <w:rFonts w:ascii="Verdana" w:hAnsi="Verdana"/>
          <w:sz w:val="20"/>
          <w:szCs w:val="20"/>
        </w:rPr>
        <w:t xml:space="preserve"> y que fue ella quien impulsó las denuncias en virtud de las cuales el Estado accedió a otorgar asistencia médica al señor Hernández</w:t>
      </w:r>
      <w:r>
        <w:rPr>
          <w:rFonts w:ascii="Verdana" w:hAnsi="Verdana"/>
          <w:sz w:val="20"/>
          <w:szCs w:val="20"/>
        </w:rPr>
        <w:t>.</w:t>
      </w:r>
      <w:r>
        <w:rPr>
          <w:rFonts w:ascii="Verdana" w:hAnsi="Verdana" w:cs="Arial"/>
          <w:sz w:val="20"/>
          <w:szCs w:val="20"/>
          <w:lang w:val="es-ES_tradnl"/>
        </w:rPr>
        <w:t xml:space="preserve"> </w:t>
      </w:r>
      <w:r w:rsidRPr="005A1F43">
        <w:rPr>
          <w:rFonts w:ascii="Verdana" w:hAnsi="Verdana"/>
          <w:sz w:val="20"/>
          <w:szCs w:val="20"/>
        </w:rPr>
        <w:t xml:space="preserve">Adicionalmente, es posible advertid el sufrimiento que experimentó la señora Hernández ante las actuaciones y omisiones estatales en atención médica. Los sentimientos </w:t>
      </w:r>
      <w:r w:rsidR="004A4784">
        <w:rPr>
          <w:rFonts w:ascii="Verdana" w:hAnsi="Verdana"/>
          <w:sz w:val="20"/>
          <w:szCs w:val="20"/>
        </w:rPr>
        <w:t>de</w:t>
      </w:r>
      <w:r w:rsidRPr="005A1F43">
        <w:rPr>
          <w:rFonts w:ascii="Verdana" w:hAnsi="Verdana"/>
          <w:sz w:val="20"/>
          <w:szCs w:val="20"/>
        </w:rPr>
        <w:t xml:space="preserve"> angustia e impotencia sufridos por la señora San Martín de Hernández se evidencian en la carta del 23 de agosto de 1990, que dirigió al Juez de la Causa, en la cual afirma que el motivo de su solicitud es que su “</w:t>
      </w:r>
      <w:r w:rsidRPr="005A1F43">
        <w:rPr>
          <w:rFonts w:ascii="Verdana" w:hAnsi="Verdana"/>
          <w:bCs/>
          <w:sz w:val="20"/>
          <w:szCs w:val="20"/>
        </w:rPr>
        <w:t>desespera</w:t>
      </w:r>
      <w:r w:rsidR="005D78D5">
        <w:rPr>
          <w:rFonts w:ascii="Verdana" w:hAnsi="Verdana"/>
          <w:bCs/>
          <w:sz w:val="20"/>
          <w:szCs w:val="20"/>
        </w:rPr>
        <w:t>ción es tan grande, que no puedo</w:t>
      </w:r>
      <w:r w:rsidRPr="005A1F43">
        <w:rPr>
          <w:rFonts w:ascii="Verdana" w:hAnsi="Verdana"/>
          <w:bCs/>
          <w:sz w:val="20"/>
          <w:szCs w:val="20"/>
        </w:rPr>
        <w:t xml:space="preserve"> esperar lo trágico para tomar grandes decisiones, máxime tratándose de un hijo”</w:t>
      </w:r>
      <w:r w:rsidRPr="00BF7414">
        <w:rPr>
          <w:rStyle w:val="Refdenotaalpie"/>
          <w:bCs/>
        </w:rPr>
        <w:footnoteReference w:id="226"/>
      </w:r>
      <w:r w:rsidR="00CC4139">
        <w:rPr>
          <w:rFonts w:ascii="Verdana" w:hAnsi="Verdana"/>
          <w:bCs/>
          <w:sz w:val="20"/>
          <w:szCs w:val="20"/>
        </w:rPr>
        <w:t>.</w:t>
      </w:r>
    </w:p>
    <w:p w14:paraId="0A85A757" w14:textId="77777777" w:rsidR="005A1F43" w:rsidRPr="005A1F43" w:rsidRDefault="005A1F43" w:rsidP="005A1F43">
      <w:pPr>
        <w:pStyle w:val="Prrafodelista"/>
        <w:widowControl w:val="0"/>
        <w:tabs>
          <w:tab w:val="left" w:pos="567"/>
        </w:tabs>
        <w:adjustRightInd w:val="0"/>
        <w:spacing w:after="0" w:line="240" w:lineRule="auto"/>
        <w:ind w:left="0" w:right="4"/>
        <w:jc w:val="both"/>
        <w:textAlignment w:val="baseline"/>
        <w:rPr>
          <w:rFonts w:ascii="Verdana" w:hAnsi="Verdana" w:cs="Arial"/>
          <w:sz w:val="20"/>
          <w:szCs w:val="20"/>
          <w:lang w:val="es-ES_tradnl"/>
        </w:rPr>
      </w:pPr>
    </w:p>
    <w:p w14:paraId="44717412" w14:textId="6299B65B" w:rsidR="00C97BC1" w:rsidRPr="005A1F43" w:rsidRDefault="005A1F43" w:rsidP="005A1F43">
      <w:pPr>
        <w:pStyle w:val="Prrafodelista"/>
        <w:widowControl w:val="0"/>
        <w:numPr>
          <w:ilvl w:val="0"/>
          <w:numId w:val="12"/>
        </w:numPr>
        <w:tabs>
          <w:tab w:val="left" w:pos="567"/>
        </w:tabs>
        <w:adjustRightInd w:val="0"/>
        <w:spacing w:after="0" w:line="240" w:lineRule="auto"/>
        <w:ind w:left="0" w:right="4" w:firstLine="0"/>
        <w:jc w:val="both"/>
        <w:textAlignment w:val="baseline"/>
        <w:rPr>
          <w:rFonts w:ascii="Verdana" w:hAnsi="Verdana" w:cs="Arial"/>
          <w:sz w:val="20"/>
          <w:szCs w:val="20"/>
          <w:lang w:val="es-ES_tradnl"/>
        </w:rPr>
      </w:pPr>
      <w:r w:rsidRPr="005A1F43">
        <w:rPr>
          <w:rFonts w:ascii="Verdana" w:hAnsi="Verdana" w:cs="Verdana"/>
          <w:sz w:val="20"/>
          <w:szCs w:val="20"/>
          <w:lang w:val="es-ES_tradnl"/>
        </w:rPr>
        <w:t>En razón de la configuración de los citados elementos</w:t>
      </w:r>
      <w:r w:rsidR="00B34ED3">
        <w:rPr>
          <w:rFonts w:ascii="Verdana" w:hAnsi="Verdana" w:cs="Verdana"/>
          <w:sz w:val="20"/>
          <w:szCs w:val="20"/>
          <w:lang w:val="es-ES_tradnl"/>
        </w:rPr>
        <w:t>,</w:t>
      </w:r>
      <w:r w:rsidRPr="005A1F43">
        <w:rPr>
          <w:rFonts w:ascii="Verdana" w:hAnsi="Verdana" w:cs="Verdana"/>
          <w:sz w:val="20"/>
          <w:szCs w:val="20"/>
          <w:lang w:val="es-ES_tradnl"/>
        </w:rPr>
        <w:t xml:space="preserve"> y</w:t>
      </w:r>
      <w:r w:rsidR="00B34ED3">
        <w:rPr>
          <w:rFonts w:ascii="Verdana" w:hAnsi="Verdana" w:cs="Verdana"/>
          <w:sz w:val="20"/>
          <w:szCs w:val="20"/>
          <w:lang w:val="es-ES_tradnl"/>
        </w:rPr>
        <w:t xml:space="preserve"> de</w:t>
      </w:r>
      <w:r w:rsidRPr="005A1F43">
        <w:rPr>
          <w:rFonts w:ascii="Verdana" w:hAnsi="Verdana" w:cs="Verdana"/>
          <w:sz w:val="20"/>
          <w:szCs w:val="20"/>
          <w:lang w:val="es-ES_tradnl"/>
        </w:rPr>
        <w:t xml:space="preserve"> las circunstancias particulares del </w:t>
      </w:r>
      <w:r w:rsidR="00B34ED3">
        <w:rPr>
          <w:rFonts w:ascii="Verdana" w:hAnsi="Verdana" w:cs="Verdana"/>
          <w:sz w:val="20"/>
          <w:szCs w:val="20"/>
          <w:lang w:val="es-ES_tradnl"/>
        </w:rPr>
        <w:t xml:space="preserve">presente </w:t>
      </w:r>
      <w:r w:rsidRPr="005A1F43">
        <w:rPr>
          <w:rFonts w:ascii="Verdana" w:hAnsi="Verdana" w:cs="Verdana"/>
          <w:sz w:val="20"/>
          <w:szCs w:val="20"/>
          <w:lang w:val="es-ES_tradnl"/>
        </w:rPr>
        <w:t xml:space="preserve">caso, el Tribunal </w:t>
      </w:r>
      <w:r w:rsidR="00B34ED3">
        <w:rPr>
          <w:rFonts w:ascii="Verdana" w:hAnsi="Verdana" w:cs="Verdana"/>
          <w:sz w:val="20"/>
          <w:szCs w:val="20"/>
          <w:lang w:val="es-ES_tradnl"/>
        </w:rPr>
        <w:t>considera suficientemente acreditada</w:t>
      </w:r>
      <w:r w:rsidRPr="005A1F43">
        <w:rPr>
          <w:rFonts w:ascii="Verdana" w:hAnsi="Verdana" w:cs="Verdana"/>
          <w:sz w:val="20"/>
          <w:szCs w:val="20"/>
          <w:lang w:val="es-ES_tradnl"/>
        </w:rPr>
        <w:t xml:space="preserve"> la </w:t>
      </w:r>
      <w:r w:rsidR="00B34ED3">
        <w:rPr>
          <w:rFonts w:ascii="Verdana" w:hAnsi="Verdana" w:cs="Verdana"/>
          <w:sz w:val="20"/>
          <w:szCs w:val="20"/>
          <w:lang w:val="es-ES_tradnl"/>
        </w:rPr>
        <w:t>afectación</w:t>
      </w:r>
      <w:r w:rsidRPr="005A1F43">
        <w:rPr>
          <w:rFonts w:ascii="Verdana" w:hAnsi="Verdana" w:cs="Verdana"/>
          <w:sz w:val="20"/>
          <w:szCs w:val="20"/>
          <w:lang w:val="es-ES_tradnl"/>
        </w:rPr>
        <w:t xml:space="preserve"> a la integridad personal de la señor</w:t>
      </w:r>
      <w:r w:rsidR="004A4784">
        <w:rPr>
          <w:rFonts w:ascii="Verdana" w:hAnsi="Verdana" w:cs="Verdana"/>
          <w:sz w:val="20"/>
          <w:szCs w:val="20"/>
          <w:lang w:val="es-ES_tradnl"/>
        </w:rPr>
        <w:t>a</w:t>
      </w:r>
      <w:r w:rsidRPr="005A1F43">
        <w:rPr>
          <w:rFonts w:ascii="Verdana" w:hAnsi="Verdana" w:cs="Verdana"/>
          <w:sz w:val="20"/>
          <w:szCs w:val="20"/>
          <w:lang w:val="es-ES_tradnl"/>
        </w:rPr>
        <w:t xml:space="preserve"> San Martín de Hernández como resultado del </w:t>
      </w:r>
      <w:r w:rsidRPr="005A1F43">
        <w:rPr>
          <w:rFonts w:ascii="Verdana" w:hAnsi="Verdana"/>
          <w:sz w:val="20"/>
          <w:szCs w:val="20"/>
        </w:rPr>
        <w:t>dolor, angustia e incertidumbre que le ocasionó el progresivo deterioro de la salud de su hijo</w:t>
      </w:r>
      <w:r w:rsidR="00B34ED3">
        <w:rPr>
          <w:rFonts w:ascii="Verdana" w:hAnsi="Verdana"/>
          <w:sz w:val="20"/>
          <w:szCs w:val="20"/>
        </w:rPr>
        <w:t xml:space="preserve"> mientras se encontraba detenido</w:t>
      </w:r>
      <w:r w:rsidRPr="005A1F43">
        <w:rPr>
          <w:rFonts w:ascii="Verdana" w:hAnsi="Verdana"/>
          <w:sz w:val="20"/>
          <w:szCs w:val="20"/>
        </w:rPr>
        <w:t>, sumado a los sentimientos de frustración e impotencia por la falta de atención médica a pesar de las órdenes que el Juez de la Causa emitió para esos efectos.</w:t>
      </w:r>
      <w:r>
        <w:rPr>
          <w:rFonts w:ascii="Verdana" w:hAnsi="Verdana"/>
          <w:sz w:val="20"/>
          <w:szCs w:val="20"/>
        </w:rPr>
        <w:t xml:space="preserve"> </w:t>
      </w:r>
      <w:r w:rsidRPr="005A1F43">
        <w:rPr>
          <w:rFonts w:ascii="Verdana" w:hAnsi="Verdana" w:cs="Verdana"/>
          <w:sz w:val="20"/>
          <w:szCs w:val="20"/>
          <w:lang w:val="es-ES_tradnl"/>
        </w:rPr>
        <w:t>Con base a los motivos antes indicados, el Estado es responsable por la violación al derecho a la integridad personal, en términos del artículo 5.1 de la Convención, en relación con el artículo 1.1 del mismo instrumento, en perjuicio de la señora Raquel</w:t>
      </w:r>
      <w:r w:rsidR="005D78D5">
        <w:rPr>
          <w:rFonts w:ascii="Verdana" w:hAnsi="Verdana" w:cs="Verdana"/>
          <w:sz w:val="20"/>
          <w:szCs w:val="20"/>
          <w:lang w:val="es-ES_tradnl"/>
        </w:rPr>
        <w:t xml:space="preserve"> San</w:t>
      </w:r>
      <w:r w:rsidRPr="005A1F43">
        <w:rPr>
          <w:rFonts w:ascii="Verdana" w:hAnsi="Verdana" w:cs="Verdana"/>
          <w:sz w:val="20"/>
          <w:szCs w:val="20"/>
          <w:lang w:val="es-ES_tradnl"/>
        </w:rPr>
        <w:t xml:space="preserve"> Martín de Hernández.</w:t>
      </w:r>
    </w:p>
    <w:p w14:paraId="4F7EAA9C" w14:textId="77777777" w:rsidR="00C97BC1" w:rsidRPr="00E25884" w:rsidRDefault="00C97BC1" w:rsidP="00C97BC1">
      <w:pPr>
        <w:widowControl w:val="0"/>
        <w:tabs>
          <w:tab w:val="left" w:pos="567"/>
        </w:tabs>
        <w:adjustRightInd w:val="0"/>
        <w:spacing w:after="0" w:line="240" w:lineRule="auto"/>
        <w:jc w:val="both"/>
        <w:textAlignment w:val="baseline"/>
        <w:rPr>
          <w:rFonts w:ascii="Verdana" w:hAnsi="Verdana" w:cs="Verdana"/>
          <w:sz w:val="20"/>
          <w:szCs w:val="20"/>
          <w:lang w:val="es-ES_tradnl"/>
        </w:rPr>
      </w:pPr>
    </w:p>
    <w:p w14:paraId="4963F4DE" w14:textId="77777777" w:rsidR="0096005C" w:rsidRPr="00E25884" w:rsidRDefault="001479AB" w:rsidP="00C97BC1">
      <w:pPr>
        <w:keepNext/>
        <w:keepLines/>
        <w:tabs>
          <w:tab w:val="left" w:pos="851"/>
        </w:tabs>
        <w:spacing w:after="0" w:line="240" w:lineRule="auto"/>
        <w:jc w:val="center"/>
        <w:outlineLvl w:val="0"/>
        <w:rPr>
          <w:rFonts w:ascii="Verdana" w:eastAsia="Times New Roman" w:hAnsi="Verdana" w:cs="Verdana"/>
          <w:b/>
          <w:bCs/>
          <w:caps/>
          <w:snapToGrid w:val="0"/>
          <w:sz w:val="20"/>
          <w:szCs w:val="20"/>
          <w:lang w:val="es-ES_tradnl"/>
        </w:rPr>
      </w:pPr>
      <w:bookmarkStart w:id="82" w:name="_Toc494124027"/>
      <w:bookmarkStart w:id="83" w:name="_Toc7020799"/>
      <w:bookmarkStart w:id="84" w:name="_Toc12726735"/>
      <w:bookmarkStart w:id="85" w:name="_Toc27509188"/>
      <w:r w:rsidRPr="00812ACA">
        <w:rPr>
          <w:rFonts w:ascii="Verdana" w:eastAsia="Times New Roman" w:hAnsi="Verdana" w:cs="Verdana"/>
          <w:b/>
          <w:bCs/>
          <w:caps/>
          <w:snapToGrid w:val="0"/>
          <w:sz w:val="20"/>
          <w:szCs w:val="20"/>
          <w:lang w:val="es-ES_tradnl"/>
        </w:rPr>
        <w:t>viii</w:t>
      </w:r>
      <w:r w:rsidR="0096005C" w:rsidRPr="00812ACA">
        <w:rPr>
          <w:rFonts w:ascii="Verdana" w:eastAsia="Times New Roman" w:hAnsi="Verdana" w:cs="Verdana"/>
          <w:b/>
          <w:bCs/>
          <w:caps/>
          <w:snapToGrid w:val="0"/>
          <w:sz w:val="20"/>
          <w:szCs w:val="20"/>
          <w:lang w:val="es-ES_tradnl"/>
        </w:rPr>
        <w:br/>
      </w:r>
      <w:bookmarkEnd w:id="82"/>
      <w:bookmarkEnd w:id="83"/>
      <w:r w:rsidR="0096005C" w:rsidRPr="00812ACA">
        <w:rPr>
          <w:rFonts w:ascii="Verdana" w:eastAsia="Times New Roman" w:hAnsi="Verdana" w:cs="Verdana"/>
          <w:b/>
          <w:bCs/>
          <w:caps/>
          <w:snapToGrid w:val="0"/>
          <w:sz w:val="20"/>
          <w:szCs w:val="20"/>
          <w:lang w:val="es-ES_tradnl"/>
        </w:rPr>
        <w:t>reparaciones</w:t>
      </w:r>
      <w:bookmarkEnd w:id="84"/>
      <w:bookmarkEnd w:id="85"/>
    </w:p>
    <w:p w14:paraId="4B7155E2" w14:textId="77777777" w:rsidR="00C97BC1" w:rsidRPr="00E25884" w:rsidRDefault="00C97BC1" w:rsidP="00C97BC1">
      <w:pPr>
        <w:spacing w:after="0" w:line="240" w:lineRule="auto"/>
        <w:jc w:val="center"/>
        <w:rPr>
          <w:rFonts w:ascii="Verdana" w:hAnsi="Verdana"/>
          <w:b/>
          <w:sz w:val="20"/>
          <w:szCs w:val="20"/>
        </w:rPr>
      </w:pPr>
    </w:p>
    <w:p w14:paraId="55F88D7A" w14:textId="77777777" w:rsidR="00F410FC" w:rsidRDefault="00F410FC"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sz w:val="20"/>
          <w:szCs w:val="20"/>
        </w:rPr>
      </w:pPr>
      <w:r w:rsidRPr="00E25884">
        <w:rPr>
          <w:rFonts w:ascii="Verdana" w:hAnsi="Verdana"/>
          <w:sz w:val="20"/>
          <w:szCs w:val="20"/>
        </w:rPr>
        <w:t>Sobre la base de lo d</w:t>
      </w:r>
      <w:r w:rsidR="001A24A9">
        <w:rPr>
          <w:rFonts w:ascii="Verdana" w:hAnsi="Verdana"/>
          <w:sz w:val="20"/>
          <w:szCs w:val="20"/>
        </w:rPr>
        <w:t>i</w:t>
      </w:r>
      <w:r w:rsidRPr="00E25884">
        <w:rPr>
          <w:rFonts w:ascii="Verdana" w:hAnsi="Verdana"/>
          <w:sz w:val="20"/>
          <w:szCs w:val="20"/>
        </w:rPr>
        <w:t>spuesto en el artículo 63.1 de la Convención Americana</w:t>
      </w:r>
      <w:r w:rsidRPr="00E25884">
        <w:rPr>
          <w:rStyle w:val="Refdenotaalpie"/>
          <w:rFonts w:ascii="Verdana" w:eastAsia="Calibri" w:hAnsi="Verdana"/>
          <w:sz w:val="20"/>
          <w:szCs w:val="20"/>
        </w:rPr>
        <w:footnoteReference w:id="227"/>
      </w:r>
      <w:r w:rsidRPr="00E25884">
        <w:rPr>
          <w:rFonts w:ascii="Verdana" w:hAnsi="Verdana"/>
          <w:sz w:val="20"/>
          <w:szCs w:val="20"/>
        </w:rPr>
        <w:t>, la Corte ha indicado que toda violación de una obligación internacional que haya producido daño comporta el deber de repararlo adecuadamente, y que esa disposición recoge una norma consuetudinaria que constituye uno de los principios fundamentales del Derecho Internacional contemporáneo sobre responsabilidad de un Estado.</w:t>
      </w:r>
    </w:p>
    <w:p w14:paraId="3B585B03" w14:textId="77777777" w:rsidR="00C97BC1" w:rsidRPr="00E25884" w:rsidRDefault="00C97BC1" w:rsidP="00C97BC1">
      <w:pPr>
        <w:widowControl w:val="0"/>
        <w:tabs>
          <w:tab w:val="left" w:pos="567"/>
        </w:tabs>
        <w:adjustRightInd w:val="0"/>
        <w:spacing w:after="0" w:line="240" w:lineRule="auto"/>
        <w:jc w:val="both"/>
        <w:textAlignment w:val="baseline"/>
        <w:rPr>
          <w:rFonts w:ascii="Verdana" w:hAnsi="Verdana"/>
          <w:sz w:val="20"/>
          <w:szCs w:val="20"/>
        </w:rPr>
      </w:pPr>
    </w:p>
    <w:p w14:paraId="47A845D3" w14:textId="77777777" w:rsidR="00F410FC" w:rsidRDefault="00F410FC"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sz w:val="20"/>
          <w:szCs w:val="20"/>
        </w:rPr>
      </w:pPr>
      <w:r w:rsidRPr="00E25884">
        <w:rPr>
          <w:rFonts w:ascii="Verdana" w:hAnsi="Verdana"/>
          <w:sz w:val="20"/>
          <w:szCs w:val="20"/>
        </w:rPr>
        <w:t xml:space="preserve">La reparación del daño ocasionado por la infracción de una obligación internacional requiere, </w:t>
      </w:r>
      <w:r w:rsidRPr="00E25884">
        <w:rPr>
          <w:rFonts w:ascii="Verdana" w:hAnsi="Verdana"/>
          <w:sz w:val="20"/>
          <w:szCs w:val="20"/>
        </w:rPr>
        <w:lastRenderedPageBreak/>
        <w:t>siempre que sea posible, la plena restitución (</w:t>
      </w:r>
      <w:proofErr w:type="spellStart"/>
      <w:r w:rsidRPr="00E25884">
        <w:rPr>
          <w:rFonts w:ascii="Verdana" w:hAnsi="Verdana"/>
          <w:i/>
          <w:sz w:val="20"/>
          <w:szCs w:val="20"/>
        </w:rPr>
        <w:t>restitutio</w:t>
      </w:r>
      <w:proofErr w:type="spellEnd"/>
      <w:r w:rsidRPr="00E25884">
        <w:rPr>
          <w:rFonts w:ascii="Verdana" w:hAnsi="Verdana"/>
          <w:i/>
          <w:sz w:val="20"/>
          <w:szCs w:val="20"/>
        </w:rPr>
        <w:t xml:space="preserve"> in </w:t>
      </w:r>
      <w:proofErr w:type="spellStart"/>
      <w:r w:rsidRPr="00E25884">
        <w:rPr>
          <w:rFonts w:ascii="Verdana" w:hAnsi="Verdana"/>
          <w:i/>
          <w:sz w:val="20"/>
          <w:szCs w:val="20"/>
        </w:rPr>
        <w:t>integrum</w:t>
      </w:r>
      <w:proofErr w:type="spellEnd"/>
      <w:r w:rsidRPr="00E25884">
        <w:rPr>
          <w:rFonts w:ascii="Verdana" w:hAnsi="Verdana"/>
          <w:sz w:val="20"/>
          <w:szCs w:val="20"/>
        </w:rPr>
        <w:t>), que consiste en el restablecimiento de la situación anterior</w:t>
      </w:r>
      <w:r w:rsidRPr="00E25884">
        <w:rPr>
          <w:rStyle w:val="Refdenotaalpie"/>
          <w:rFonts w:ascii="Verdana" w:eastAsia="Calibri" w:hAnsi="Verdana"/>
          <w:sz w:val="20"/>
          <w:szCs w:val="20"/>
        </w:rPr>
        <w:footnoteReference w:id="228"/>
      </w:r>
      <w:r w:rsidRPr="00E25884">
        <w:rPr>
          <w:rFonts w:ascii="Verdana" w:hAnsi="Verdana"/>
          <w:sz w:val="20"/>
          <w:szCs w:val="20"/>
        </w:rPr>
        <w:t>. De no ser esto factible, como ocurre en la mayoría de los casos de violaciones a derechos humanos, este Tribunal determinará medidas para garantizar los derechos conculcados y reparar las consecuencias que las infracciones produjeron</w:t>
      </w:r>
      <w:r w:rsidRPr="00E25884">
        <w:rPr>
          <w:rStyle w:val="Refdenotaalpie"/>
          <w:rFonts w:ascii="Verdana" w:eastAsia="Calibri" w:hAnsi="Verdana"/>
          <w:sz w:val="20"/>
          <w:szCs w:val="20"/>
        </w:rPr>
        <w:footnoteReference w:id="229"/>
      </w:r>
      <w:r w:rsidRPr="00E25884">
        <w:rPr>
          <w:rFonts w:ascii="Verdana" w:hAnsi="Verdana"/>
          <w:sz w:val="20"/>
          <w:szCs w:val="20"/>
        </w:rPr>
        <w:t>. Por tanto, la Corte ha considerado la necesidad de otorgar diversas medidas de reparación, a fin de resarcir los daños de manera integral, por lo que además de las compensaciones pecuniarias, las medidas de restitución, rehabilitación, satisfacción y garantías de no repetición tienen especial relevancia por los daños ocasionados</w:t>
      </w:r>
      <w:r w:rsidRPr="00E25884">
        <w:rPr>
          <w:rStyle w:val="Refdenotaalpie"/>
          <w:rFonts w:ascii="Verdana" w:eastAsia="Calibri" w:hAnsi="Verdana"/>
          <w:sz w:val="20"/>
          <w:szCs w:val="20"/>
        </w:rPr>
        <w:footnoteReference w:id="230"/>
      </w:r>
      <w:r w:rsidRPr="00E25884">
        <w:rPr>
          <w:rFonts w:ascii="Verdana" w:hAnsi="Verdana"/>
          <w:sz w:val="20"/>
          <w:szCs w:val="20"/>
        </w:rPr>
        <w:t>.</w:t>
      </w:r>
    </w:p>
    <w:p w14:paraId="1D8B9149" w14:textId="77777777" w:rsidR="00C97BC1" w:rsidRPr="00E25884" w:rsidRDefault="00C97BC1" w:rsidP="00C97BC1">
      <w:pPr>
        <w:widowControl w:val="0"/>
        <w:tabs>
          <w:tab w:val="left" w:pos="567"/>
        </w:tabs>
        <w:adjustRightInd w:val="0"/>
        <w:spacing w:after="0" w:line="240" w:lineRule="auto"/>
        <w:jc w:val="both"/>
        <w:textAlignment w:val="baseline"/>
        <w:rPr>
          <w:rFonts w:ascii="Verdana" w:hAnsi="Verdana"/>
          <w:sz w:val="20"/>
          <w:szCs w:val="20"/>
        </w:rPr>
      </w:pPr>
    </w:p>
    <w:p w14:paraId="0E516B00" w14:textId="77777777" w:rsidR="00F410FC" w:rsidRPr="00C97BC1" w:rsidRDefault="00F410FC"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b/>
          <w:sz w:val="20"/>
          <w:szCs w:val="20"/>
        </w:rPr>
      </w:pPr>
      <w:r w:rsidRPr="00E25884">
        <w:rPr>
          <w:rFonts w:ascii="Verdana" w:hAnsi="Verdana"/>
          <w:sz w:val="20"/>
          <w:szCs w:val="20"/>
        </w:rPr>
        <w:t>Este Tribunal ha establecido que las reparaciones deben tener un nexo causal con los hechos del caso, las violaciones declaradas, los daños acreditados, así como las medidas solicitadas para reparar los daños respectivos. Por lo tanto, la Corte deberá observar dicha concurrencia para pronunciarse debidamente y conforme a derecho</w:t>
      </w:r>
      <w:r w:rsidRPr="00E25884">
        <w:rPr>
          <w:rStyle w:val="Refdenotaalpie"/>
          <w:rFonts w:ascii="Verdana" w:eastAsia="Calibri" w:hAnsi="Verdana"/>
          <w:sz w:val="20"/>
          <w:szCs w:val="20"/>
        </w:rPr>
        <w:footnoteReference w:id="231"/>
      </w:r>
      <w:r w:rsidRPr="00E25884">
        <w:rPr>
          <w:rFonts w:ascii="Verdana" w:hAnsi="Verdana"/>
          <w:sz w:val="20"/>
          <w:szCs w:val="20"/>
        </w:rPr>
        <w:t>.</w:t>
      </w:r>
    </w:p>
    <w:p w14:paraId="64828B6E" w14:textId="77777777" w:rsidR="00C97BC1" w:rsidRPr="00E25884" w:rsidRDefault="00C97BC1" w:rsidP="00C97BC1">
      <w:pPr>
        <w:widowControl w:val="0"/>
        <w:tabs>
          <w:tab w:val="left" w:pos="567"/>
        </w:tabs>
        <w:adjustRightInd w:val="0"/>
        <w:spacing w:after="0" w:line="240" w:lineRule="auto"/>
        <w:jc w:val="both"/>
        <w:textAlignment w:val="baseline"/>
        <w:rPr>
          <w:rFonts w:ascii="Verdana" w:hAnsi="Verdana"/>
          <w:b/>
          <w:sz w:val="20"/>
          <w:szCs w:val="20"/>
        </w:rPr>
      </w:pPr>
    </w:p>
    <w:p w14:paraId="7F2BF025" w14:textId="77777777" w:rsidR="00F410FC" w:rsidRDefault="00F410FC"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sz w:val="20"/>
          <w:szCs w:val="20"/>
        </w:rPr>
      </w:pPr>
      <w:r w:rsidRPr="00E25884">
        <w:rPr>
          <w:rFonts w:ascii="Verdana" w:hAnsi="Verdana"/>
          <w:sz w:val="20"/>
          <w:szCs w:val="20"/>
        </w:rPr>
        <w:t>En consideración de las violaciones declaradas en el capítulo anterior, este Tribunal procederá a analizar las pretensiones presentadas por la Comisión y los representantes, así como los argumentos del Estado, a la luz de los criterios fijados en la jurisprudencia de la Corte en relación con la naturaleza y alcance de la obligación de reparar, con el objeto de disponer las medidas dirigidas a reparar los daños ocasionados a las víctimas</w:t>
      </w:r>
      <w:r w:rsidRPr="00E25884">
        <w:rPr>
          <w:rStyle w:val="Refdenotaalpie"/>
          <w:rFonts w:ascii="Verdana" w:eastAsia="Calibri" w:hAnsi="Verdana"/>
          <w:sz w:val="20"/>
          <w:szCs w:val="20"/>
        </w:rPr>
        <w:footnoteReference w:id="232"/>
      </w:r>
      <w:r w:rsidRPr="00E25884">
        <w:rPr>
          <w:rFonts w:ascii="Verdana" w:hAnsi="Verdana"/>
          <w:sz w:val="20"/>
          <w:szCs w:val="20"/>
        </w:rPr>
        <w:t>.</w:t>
      </w:r>
    </w:p>
    <w:p w14:paraId="53A8BEF1" w14:textId="77777777" w:rsidR="00C97BC1" w:rsidRPr="00E25884" w:rsidRDefault="00C97BC1" w:rsidP="00C97BC1">
      <w:pPr>
        <w:widowControl w:val="0"/>
        <w:tabs>
          <w:tab w:val="left" w:pos="567"/>
        </w:tabs>
        <w:adjustRightInd w:val="0"/>
        <w:spacing w:after="0" w:line="240" w:lineRule="auto"/>
        <w:jc w:val="both"/>
        <w:textAlignment w:val="baseline"/>
        <w:rPr>
          <w:rFonts w:ascii="Verdana" w:hAnsi="Verdana"/>
          <w:sz w:val="20"/>
          <w:szCs w:val="20"/>
        </w:rPr>
      </w:pPr>
    </w:p>
    <w:p w14:paraId="0BB1F500" w14:textId="77777777" w:rsidR="00F410FC" w:rsidRDefault="00F410FC"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sz w:val="20"/>
          <w:szCs w:val="20"/>
        </w:rPr>
      </w:pPr>
      <w:r w:rsidRPr="00E25884">
        <w:rPr>
          <w:rFonts w:ascii="Verdana" w:hAnsi="Verdana"/>
          <w:sz w:val="20"/>
          <w:szCs w:val="20"/>
        </w:rPr>
        <w:t>La jurisprudencia internacional y en particular de la Corte, ha establecido reiteradamente que la sentencia constituye por sí misma una forma de reparación</w:t>
      </w:r>
      <w:r w:rsidRPr="00E25884">
        <w:rPr>
          <w:rStyle w:val="Refdenotaalpie"/>
          <w:rFonts w:ascii="Verdana" w:eastAsia="Calibri" w:hAnsi="Verdana"/>
          <w:sz w:val="20"/>
          <w:szCs w:val="20"/>
        </w:rPr>
        <w:footnoteReference w:id="233"/>
      </w:r>
      <w:r w:rsidRPr="00E25884">
        <w:rPr>
          <w:rFonts w:ascii="Verdana" w:hAnsi="Verdana"/>
          <w:sz w:val="20"/>
          <w:szCs w:val="20"/>
        </w:rPr>
        <w:t>. No obstante, considerando las circunstancias del presente caso y los sufrimientos que las violaciones cometidas causaron a las víctimas, la Corte estima pertinente fijar otras medidas.</w:t>
      </w:r>
    </w:p>
    <w:p w14:paraId="4510C57C" w14:textId="77777777" w:rsidR="004A4784" w:rsidRDefault="004A4784" w:rsidP="00A1774C">
      <w:pPr>
        <w:widowControl w:val="0"/>
        <w:tabs>
          <w:tab w:val="left" w:pos="567"/>
        </w:tabs>
        <w:adjustRightInd w:val="0"/>
        <w:spacing w:after="0" w:line="240" w:lineRule="auto"/>
        <w:jc w:val="both"/>
        <w:textAlignment w:val="baseline"/>
        <w:rPr>
          <w:rFonts w:ascii="Verdana" w:hAnsi="Verdana"/>
          <w:sz w:val="20"/>
          <w:szCs w:val="20"/>
        </w:rPr>
      </w:pPr>
    </w:p>
    <w:p w14:paraId="36A637D8" w14:textId="77777777" w:rsidR="00C97BC1" w:rsidRPr="00C97BC1" w:rsidRDefault="00F410FC" w:rsidP="00CB2656">
      <w:pPr>
        <w:pStyle w:val="Ttulo2"/>
        <w:numPr>
          <w:ilvl w:val="0"/>
          <w:numId w:val="23"/>
        </w:numPr>
        <w:rPr>
          <w:i w:val="0"/>
        </w:rPr>
      </w:pPr>
      <w:bookmarkStart w:id="86" w:name="_Toc27509189"/>
      <w:r w:rsidRPr="009C7245">
        <w:rPr>
          <w:i w:val="0"/>
        </w:rPr>
        <w:t>Parte Lesionada</w:t>
      </w:r>
      <w:bookmarkEnd w:id="86"/>
    </w:p>
    <w:p w14:paraId="21B93003" w14:textId="77777777" w:rsidR="00C97BC1" w:rsidRDefault="00C97BC1" w:rsidP="00C97BC1">
      <w:pPr>
        <w:widowControl w:val="0"/>
        <w:tabs>
          <w:tab w:val="left" w:pos="567"/>
        </w:tabs>
        <w:adjustRightInd w:val="0"/>
        <w:spacing w:after="0" w:line="240" w:lineRule="auto"/>
        <w:jc w:val="both"/>
        <w:textAlignment w:val="baseline"/>
        <w:rPr>
          <w:rFonts w:ascii="Verdana" w:hAnsi="Verdana"/>
          <w:sz w:val="20"/>
          <w:szCs w:val="20"/>
        </w:rPr>
      </w:pPr>
    </w:p>
    <w:p w14:paraId="5873B50F" w14:textId="2398DD53" w:rsidR="00F410FC" w:rsidRPr="00A1774C" w:rsidRDefault="00A1774C" w:rsidP="00A1774C">
      <w:pPr>
        <w:pStyle w:val="Prrafodelista"/>
        <w:widowControl w:val="0"/>
        <w:numPr>
          <w:ilvl w:val="0"/>
          <w:numId w:val="12"/>
        </w:numPr>
        <w:tabs>
          <w:tab w:val="left" w:pos="567"/>
        </w:tabs>
        <w:adjustRightInd w:val="0"/>
        <w:spacing w:after="0" w:line="240" w:lineRule="auto"/>
        <w:ind w:left="0" w:firstLine="0"/>
        <w:jc w:val="both"/>
        <w:textAlignment w:val="baseline"/>
        <w:rPr>
          <w:rFonts w:ascii="Verdana" w:hAnsi="Verdana"/>
          <w:sz w:val="20"/>
          <w:szCs w:val="20"/>
        </w:rPr>
      </w:pPr>
      <w:r w:rsidRPr="00A1774C">
        <w:rPr>
          <w:rFonts w:ascii="Verdana" w:hAnsi="Verdana"/>
          <w:sz w:val="20"/>
          <w:szCs w:val="20"/>
        </w:rPr>
        <w:t>E</w:t>
      </w:r>
      <w:r w:rsidR="00F410FC" w:rsidRPr="00A1774C">
        <w:rPr>
          <w:rFonts w:ascii="Verdana" w:hAnsi="Verdana"/>
          <w:sz w:val="20"/>
          <w:szCs w:val="20"/>
        </w:rPr>
        <w:t xml:space="preserve">ste Tribunal reitera que se considera parte lesionada, en los términos del artículo 63.1 de la Convención, a quien ha sido declarada víctima de la violación de algún derecho reconocido en la misma. Por lo tanto, esta Corte considera como “parte lesionada” </w:t>
      </w:r>
      <w:r w:rsidR="00FE7CAA" w:rsidRPr="00A1774C">
        <w:rPr>
          <w:rFonts w:ascii="Verdana" w:hAnsi="Verdana"/>
          <w:sz w:val="20"/>
          <w:szCs w:val="20"/>
        </w:rPr>
        <w:t xml:space="preserve">al señor </w:t>
      </w:r>
      <w:r w:rsidR="004707F0" w:rsidRPr="00A1774C">
        <w:rPr>
          <w:rFonts w:ascii="Verdana" w:hAnsi="Verdana"/>
          <w:sz w:val="20"/>
          <w:szCs w:val="20"/>
        </w:rPr>
        <w:t xml:space="preserve">José Luis </w:t>
      </w:r>
      <w:r w:rsidR="00FE7CAA" w:rsidRPr="00A1774C">
        <w:rPr>
          <w:rFonts w:ascii="Verdana" w:hAnsi="Verdana"/>
          <w:sz w:val="20"/>
          <w:szCs w:val="20"/>
        </w:rPr>
        <w:t>Hernández</w:t>
      </w:r>
      <w:r w:rsidR="00266B1A" w:rsidRPr="00A1774C">
        <w:rPr>
          <w:rFonts w:ascii="Verdana" w:hAnsi="Verdana"/>
          <w:sz w:val="20"/>
          <w:szCs w:val="20"/>
        </w:rPr>
        <w:t xml:space="preserve"> y a la señora Raquel San Martin de Hernández</w:t>
      </w:r>
      <w:r w:rsidR="001A24A9" w:rsidRPr="00A1774C">
        <w:rPr>
          <w:rFonts w:ascii="Verdana" w:hAnsi="Verdana"/>
          <w:sz w:val="20"/>
          <w:szCs w:val="20"/>
        </w:rPr>
        <w:t>, quien</w:t>
      </w:r>
      <w:r w:rsidR="00266B1A" w:rsidRPr="00A1774C">
        <w:rPr>
          <w:rFonts w:ascii="Verdana" w:hAnsi="Verdana"/>
          <w:sz w:val="20"/>
          <w:szCs w:val="20"/>
        </w:rPr>
        <w:t>es</w:t>
      </w:r>
      <w:r w:rsidR="00F410FC" w:rsidRPr="00A1774C">
        <w:rPr>
          <w:rFonts w:ascii="Verdana" w:hAnsi="Verdana"/>
          <w:sz w:val="20"/>
          <w:szCs w:val="20"/>
        </w:rPr>
        <w:t xml:space="preserve"> en su caráct</w:t>
      </w:r>
      <w:r w:rsidR="001A24A9" w:rsidRPr="00A1774C">
        <w:rPr>
          <w:rFonts w:ascii="Verdana" w:hAnsi="Verdana"/>
          <w:sz w:val="20"/>
          <w:szCs w:val="20"/>
        </w:rPr>
        <w:t>er de víctima</w:t>
      </w:r>
      <w:r w:rsidR="00266B1A" w:rsidRPr="00A1774C">
        <w:rPr>
          <w:rFonts w:ascii="Verdana" w:hAnsi="Verdana"/>
          <w:sz w:val="20"/>
          <w:szCs w:val="20"/>
        </w:rPr>
        <w:t>s</w:t>
      </w:r>
      <w:r w:rsidR="00F410FC" w:rsidRPr="00A1774C">
        <w:rPr>
          <w:rFonts w:ascii="Verdana" w:hAnsi="Verdana"/>
          <w:sz w:val="20"/>
          <w:szCs w:val="20"/>
        </w:rPr>
        <w:t xml:space="preserve"> de las violaciones declaradas en el capítulo </w:t>
      </w:r>
      <w:r w:rsidR="00B835A6">
        <w:rPr>
          <w:rFonts w:ascii="Verdana" w:hAnsi="Verdana"/>
          <w:sz w:val="20"/>
          <w:szCs w:val="20"/>
        </w:rPr>
        <w:t>VII</w:t>
      </w:r>
      <w:r w:rsidR="001A24A9" w:rsidRPr="00A1774C">
        <w:rPr>
          <w:rFonts w:ascii="Verdana" w:hAnsi="Verdana"/>
          <w:sz w:val="20"/>
          <w:szCs w:val="20"/>
        </w:rPr>
        <w:t xml:space="preserve"> será</w:t>
      </w:r>
      <w:r w:rsidR="00266B1A" w:rsidRPr="00A1774C">
        <w:rPr>
          <w:rFonts w:ascii="Verdana" w:hAnsi="Verdana"/>
          <w:sz w:val="20"/>
          <w:szCs w:val="20"/>
        </w:rPr>
        <w:t>n</w:t>
      </w:r>
      <w:r w:rsidR="001A24A9" w:rsidRPr="00A1774C">
        <w:rPr>
          <w:rFonts w:ascii="Verdana" w:hAnsi="Verdana"/>
          <w:sz w:val="20"/>
          <w:szCs w:val="20"/>
        </w:rPr>
        <w:t xml:space="preserve"> acreedor</w:t>
      </w:r>
      <w:r w:rsidR="00266B1A" w:rsidRPr="00A1774C">
        <w:rPr>
          <w:rFonts w:ascii="Verdana" w:hAnsi="Verdana"/>
          <w:sz w:val="20"/>
          <w:szCs w:val="20"/>
        </w:rPr>
        <w:t>es</w:t>
      </w:r>
      <w:r w:rsidR="00F410FC" w:rsidRPr="00A1774C">
        <w:rPr>
          <w:rFonts w:ascii="Verdana" w:hAnsi="Verdana"/>
          <w:sz w:val="20"/>
          <w:szCs w:val="20"/>
        </w:rPr>
        <w:t xml:space="preserve"> de lo que la Corte ordene a continuación.</w:t>
      </w:r>
    </w:p>
    <w:p w14:paraId="69F5F5B6" w14:textId="77777777" w:rsidR="00C97BC1" w:rsidRPr="004707F0" w:rsidRDefault="00C97BC1" w:rsidP="00C97BC1">
      <w:pPr>
        <w:widowControl w:val="0"/>
        <w:tabs>
          <w:tab w:val="left" w:pos="567"/>
        </w:tabs>
        <w:adjustRightInd w:val="0"/>
        <w:spacing w:after="0" w:line="240" w:lineRule="auto"/>
        <w:jc w:val="both"/>
        <w:textAlignment w:val="baseline"/>
        <w:rPr>
          <w:rFonts w:ascii="Verdana" w:hAnsi="Verdana"/>
          <w:sz w:val="20"/>
          <w:szCs w:val="20"/>
        </w:rPr>
      </w:pPr>
    </w:p>
    <w:p w14:paraId="1BE02B39" w14:textId="19FC9973" w:rsidR="00C97BC1" w:rsidRPr="00C97BC1" w:rsidRDefault="00F410FC" w:rsidP="00CB2656">
      <w:pPr>
        <w:pStyle w:val="Ttulo2"/>
        <w:numPr>
          <w:ilvl w:val="0"/>
          <w:numId w:val="23"/>
        </w:numPr>
        <w:rPr>
          <w:i w:val="0"/>
        </w:rPr>
      </w:pPr>
      <w:bookmarkStart w:id="87" w:name="_Toc27509190"/>
      <w:r w:rsidRPr="009C7245">
        <w:rPr>
          <w:i w:val="0"/>
        </w:rPr>
        <w:t xml:space="preserve">Medidas de </w:t>
      </w:r>
      <w:r w:rsidR="006848BE">
        <w:rPr>
          <w:i w:val="0"/>
        </w:rPr>
        <w:t xml:space="preserve">satisfacción, </w:t>
      </w:r>
      <w:r w:rsidRPr="009C7245">
        <w:rPr>
          <w:i w:val="0"/>
        </w:rPr>
        <w:t>rehabilitación y garantías de no repetición</w:t>
      </w:r>
      <w:bookmarkEnd w:id="87"/>
    </w:p>
    <w:p w14:paraId="01E6F6F6" w14:textId="77777777" w:rsidR="00C97BC1" w:rsidRDefault="00C97BC1" w:rsidP="00C97BC1">
      <w:pPr>
        <w:pStyle w:val="Ttulo3"/>
        <w:numPr>
          <w:ilvl w:val="0"/>
          <w:numId w:val="0"/>
        </w:numPr>
        <w:ind w:left="1353"/>
        <w:rPr>
          <w:lang w:val="es-CR"/>
        </w:rPr>
      </w:pPr>
    </w:p>
    <w:p w14:paraId="3BFBF39B" w14:textId="3C2C718D" w:rsidR="006848BE" w:rsidRPr="006848BE" w:rsidRDefault="0029758A" w:rsidP="006848BE">
      <w:pPr>
        <w:pStyle w:val="Ttulo3"/>
        <w:numPr>
          <w:ilvl w:val="0"/>
          <w:numId w:val="0"/>
        </w:numPr>
        <w:ind w:left="1353"/>
      </w:pPr>
      <w:bookmarkStart w:id="88" w:name="_Toc27509191"/>
      <w:r w:rsidRPr="009C7245">
        <w:t>B</w:t>
      </w:r>
      <w:r w:rsidR="00F410FC" w:rsidRPr="009C7245">
        <w:t xml:space="preserve">.1. </w:t>
      </w:r>
      <w:r w:rsidR="006848BE">
        <w:t>Medida de satisfacción</w:t>
      </w:r>
      <w:bookmarkEnd w:id="88"/>
    </w:p>
    <w:p w14:paraId="2F669297" w14:textId="144C02AE" w:rsidR="006848BE" w:rsidRPr="00CB2656" w:rsidRDefault="00CB2656" w:rsidP="00CB2656">
      <w:pPr>
        <w:pStyle w:val="Prrafodelista"/>
        <w:widowControl w:val="0"/>
        <w:numPr>
          <w:ilvl w:val="0"/>
          <w:numId w:val="12"/>
        </w:numPr>
        <w:tabs>
          <w:tab w:val="left" w:pos="567"/>
        </w:tabs>
        <w:adjustRightInd w:val="0"/>
        <w:spacing w:before="240" w:after="0" w:line="240" w:lineRule="auto"/>
        <w:ind w:left="0" w:firstLine="0"/>
        <w:jc w:val="both"/>
        <w:textAlignment w:val="baseline"/>
        <w:rPr>
          <w:rFonts w:ascii="Verdana" w:hAnsi="Verdana" w:cs="Arial"/>
          <w:sz w:val="20"/>
          <w:szCs w:val="20"/>
          <w:lang w:val="es-CR"/>
        </w:rPr>
      </w:pPr>
      <w:r w:rsidRPr="00C77B8A">
        <w:rPr>
          <w:rFonts w:ascii="Verdana" w:eastAsia="Calibri" w:hAnsi="Verdana" w:cs="Times New Roman"/>
          <w:sz w:val="20"/>
          <w:szCs w:val="20"/>
        </w:rPr>
        <w:lastRenderedPageBreak/>
        <w:t>C</w:t>
      </w:r>
      <w:proofErr w:type="spellStart"/>
      <w:r w:rsidRPr="00C77B8A">
        <w:rPr>
          <w:rFonts w:ascii="Verdana" w:eastAsia="Calibri" w:hAnsi="Verdana"/>
          <w:sz w:val="20"/>
          <w:szCs w:val="20"/>
          <w:lang w:val="es-CR"/>
        </w:rPr>
        <w:t>omo</w:t>
      </w:r>
      <w:proofErr w:type="spellEnd"/>
      <w:r w:rsidRPr="00C77B8A">
        <w:rPr>
          <w:rFonts w:ascii="Verdana" w:eastAsia="Calibri" w:hAnsi="Verdana"/>
          <w:sz w:val="20"/>
          <w:szCs w:val="20"/>
          <w:lang w:val="es-CR"/>
        </w:rPr>
        <w:t xml:space="preserve"> lo ha hecho en otros casos</w:t>
      </w:r>
      <w:r w:rsidRPr="00C77B8A">
        <w:rPr>
          <w:rStyle w:val="Refdenotaalpie"/>
          <w:rFonts w:eastAsia="Calibri"/>
          <w:lang w:val="es-CR" w:eastAsia="x-none"/>
        </w:rPr>
        <w:footnoteReference w:id="234"/>
      </w:r>
      <w:r w:rsidRPr="00C77B8A">
        <w:rPr>
          <w:rFonts w:ascii="Verdana" w:eastAsia="Calibri" w:hAnsi="Verdana"/>
          <w:sz w:val="20"/>
          <w:szCs w:val="20"/>
          <w:lang w:val="es-CR"/>
        </w:rPr>
        <w:t xml:space="preserve">, la Corte estima pertinente ordenar al Estado que publique, en un plazo de seis meses, contado a partir de la notificación de la Sentencia: a) el resumen oficial de la presente Sentencia elaborado por la Corte, por una sola vez, en el Diario Oficial y en otro diario de circulación nacional, con un tamaño de letra legible y adecuado, y b) la presente Sentencia en su integridad, disponible, por un período de al menos un </w:t>
      </w:r>
      <w:r w:rsidR="003F3E9F" w:rsidRPr="00C77B8A">
        <w:rPr>
          <w:rFonts w:ascii="Verdana" w:eastAsia="Calibri" w:hAnsi="Verdana"/>
          <w:sz w:val="20"/>
          <w:szCs w:val="20"/>
          <w:lang w:val="es-CR"/>
        </w:rPr>
        <w:t>año</w:t>
      </w:r>
      <w:r w:rsidRPr="00C77B8A">
        <w:rPr>
          <w:rFonts w:ascii="Verdana" w:eastAsia="Calibri" w:hAnsi="Verdana"/>
          <w:sz w:val="20"/>
          <w:szCs w:val="20"/>
          <w:lang w:val="es-CR"/>
        </w:rPr>
        <w:t xml:space="preserve">, en un sitio </w:t>
      </w:r>
      <w:r w:rsidRPr="00C77B8A">
        <w:rPr>
          <w:rFonts w:ascii="Verdana" w:eastAsia="Calibri" w:hAnsi="Verdana"/>
          <w:i/>
          <w:iCs/>
          <w:sz w:val="20"/>
          <w:szCs w:val="20"/>
          <w:lang w:val="es-CR"/>
        </w:rPr>
        <w:t xml:space="preserve">web </w:t>
      </w:r>
      <w:r w:rsidRPr="00C77B8A">
        <w:rPr>
          <w:rFonts w:ascii="Verdana" w:eastAsia="Calibri" w:hAnsi="Verdana"/>
          <w:sz w:val="20"/>
          <w:szCs w:val="20"/>
          <w:lang w:val="es-CR"/>
        </w:rPr>
        <w:t xml:space="preserve">oficial del Estado, de manera accesible al público y desde la página de inicio del sitio </w:t>
      </w:r>
      <w:r w:rsidRPr="00C77B8A">
        <w:rPr>
          <w:rFonts w:ascii="Verdana" w:eastAsia="Calibri" w:hAnsi="Verdana"/>
          <w:i/>
          <w:iCs/>
          <w:sz w:val="20"/>
          <w:szCs w:val="20"/>
          <w:lang w:val="es-CR"/>
        </w:rPr>
        <w:t>web</w:t>
      </w:r>
      <w:r w:rsidRPr="00C77B8A">
        <w:rPr>
          <w:rFonts w:ascii="Verdana" w:eastAsia="Calibri" w:hAnsi="Verdana"/>
          <w:sz w:val="20"/>
          <w:szCs w:val="20"/>
          <w:lang w:val="es-CR"/>
        </w:rPr>
        <w:t xml:space="preserve">. El Estado deberá́ informar de forma inmediata a este Tribunal una vez que proceda a realizar cada una de las publicaciones dispuestas, independientemente del plazo de un año para presentar su primer informe dispuesto en el punto resolutivo </w:t>
      </w:r>
      <w:r w:rsidRPr="009F1ED9">
        <w:rPr>
          <w:rFonts w:ascii="Verdana" w:eastAsia="Calibri" w:hAnsi="Verdana"/>
          <w:sz w:val="20"/>
          <w:szCs w:val="20"/>
          <w:lang w:val="es-CR"/>
        </w:rPr>
        <w:t>10</w:t>
      </w:r>
      <w:r w:rsidRPr="00C77B8A">
        <w:rPr>
          <w:rFonts w:ascii="Verdana" w:eastAsia="Calibri" w:hAnsi="Verdana"/>
          <w:sz w:val="20"/>
          <w:szCs w:val="20"/>
          <w:lang w:val="es-CR"/>
        </w:rPr>
        <w:t xml:space="preserve"> de la presente Sentencia.</w:t>
      </w:r>
    </w:p>
    <w:p w14:paraId="3046996D" w14:textId="77777777" w:rsidR="006848BE" w:rsidRDefault="006848BE" w:rsidP="00C97BC1">
      <w:pPr>
        <w:pStyle w:val="Ttulo3"/>
        <w:numPr>
          <w:ilvl w:val="0"/>
          <w:numId w:val="0"/>
        </w:numPr>
        <w:ind w:left="1353"/>
      </w:pPr>
    </w:p>
    <w:p w14:paraId="149CF943" w14:textId="4026D846" w:rsidR="00F410FC" w:rsidRPr="009C7245" w:rsidRDefault="006848BE" w:rsidP="00C97BC1">
      <w:pPr>
        <w:pStyle w:val="Ttulo3"/>
        <w:numPr>
          <w:ilvl w:val="0"/>
          <w:numId w:val="0"/>
        </w:numPr>
        <w:ind w:left="1353"/>
      </w:pPr>
      <w:bookmarkStart w:id="89" w:name="_Toc27509192"/>
      <w:r>
        <w:t xml:space="preserve">B.2. </w:t>
      </w:r>
      <w:r w:rsidR="00F410FC" w:rsidRPr="009C7245">
        <w:t>Medida de rehabilitación</w:t>
      </w:r>
      <w:bookmarkEnd w:id="89"/>
    </w:p>
    <w:p w14:paraId="6513342A" w14:textId="77777777" w:rsidR="00C97BC1" w:rsidRDefault="00C97BC1" w:rsidP="00C97BC1">
      <w:pPr>
        <w:widowControl w:val="0"/>
        <w:tabs>
          <w:tab w:val="left" w:pos="567"/>
        </w:tabs>
        <w:adjustRightInd w:val="0"/>
        <w:spacing w:after="0" w:line="240" w:lineRule="auto"/>
        <w:jc w:val="both"/>
        <w:textAlignment w:val="baseline"/>
        <w:rPr>
          <w:rFonts w:ascii="Verdana" w:hAnsi="Verdana"/>
          <w:sz w:val="20"/>
          <w:szCs w:val="20"/>
        </w:rPr>
      </w:pPr>
    </w:p>
    <w:p w14:paraId="2CC52246" w14:textId="32928CA8" w:rsidR="008009AA" w:rsidRPr="00ED4C2C" w:rsidRDefault="00F410FC" w:rsidP="003024F9">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sz w:val="20"/>
          <w:szCs w:val="20"/>
        </w:rPr>
      </w:pPr>
      <w:r w:rsidRPr="00ED4C2C">
        <w:rPr>
          <w:rFonts w:ascii="Verdana" w:hAnsi="Verdana"/>
          <w:sz w:val="20"/>
          <w:szCs w:val="20"/>
        </w:rPr>
        <w:t xml:space="preserve">La </w:t>
      </w:r>
      <w:r w:rsidRPr="00ED4C2C">
        <w:rPr>
          <w:rFonts w:ascii="Verdana" w:hAnsi="Verdana"/>
          <w:b/>
          <w:i/>
          <w:sz w:val="20"/>
          <w:szCs w:val="20"/>
        </w:rPr>
        <w:t>Comisión</w:t>
      </w:r>
      <w:r w:rsidRPr="00ED4C2C">
        <w:rPr>
          <w:rFonts w:ascii="Verdana" w:hAnsi="Verdana"/>
          <w:sz w:val="20"/>
          <w:szCs w:val="20"/>
        </w:rPr>
        <w:t xml:space="preserve"> solicitó que el Estado </w:t>
      </w:r>
      <w:r w:rsidR="00630DAC" w:rsidRPr="00ED4C2C">
        <w:rPr>
          <w:rFonts w:ascii="Verdana" w:hAnsi="Verdana"/>
          <w:sz w:val="20"/>
          <w:szCs w:val="20"/>
        </w:rPr>
        <w:t>brinde</w:t>
      </w:r>
      <w:r w:rsidRPr="00ED4C2C">
        <w:rPr>
          <w:rFonts w:ascii="Verdana" w:hAnsi="Verdana"/>
          <w:sz w:val="20"/>
          <w:szCs w:val="20"/>
        </w:rPr>
        <w:t xml:space="preserve"> de forma gratuita, inmediata y por el tiempo que sea necesario el tratamiento médico de salud física o mental a la víctima del presente caso siempre que así lo solicit</w:t>
      </w:r>
      <w:r w:rsidR="00E447A0" w:rsidRPr="00ED4C2C">
        <w:rPr>
          <w:rFonts w:ascii="Verdana" w:hAnsi="Verdana"/>
          <w:sz w:val="20"/>
          <w:szCs w:val="20"/>
        </w:rPr>
        <w:t>e y de manera concertada con él</w:t>
      </w:r>
      <w:r w:rsidRPr="00ED4C2C">
        <w:rPr>
          <w:rFonts w:ascii="Verdana" w:hAnsi="Verdana"/>
          <w:sz w:val="20"/>
          <w:szCs w:val="20"/>
        </w:rPr>
        <w:t xml:space="preserve">. Los </w:t>
      </w:r>
      <w:r w:rsidRPr="00ED4C2C">
        <w:rPr>
          <w:rFonts w:ascii="Verdana" w:hAnsi="Verdana"/>
          <w:b/>
          <w:i/>
          <w:sz w:val="20"/>
          <w:szCs w:val="20"/>
        </w:rPr>
        <w:t>representantes</w:t>
      </w:r>
      <w:r w:rsidRPr="00ED4C2C">
        <w:rPr>
          <w:rFonts w:ascii="Verdana" w:hAnsi="Verdana"/>
          <w:sz w:val="20"/>
          <w:szCs w:val="20"/>
        </w:rPr>
        <w:t xml:space="preserve"> no se refirieron a esta medida.</w:t>
      </w:r>
      <w:r w:rsidR="001A24A9" w:rsidRPr="00ED4C2C">
        <w:rPr>
          <w:rFonts w:ascii="Verdana" w:hAnsi="Verdana"/>
          <w:sz w:val="20"/>
          <w:szCs w:val="20"/>
        </w:rPr>
        <w:t xml:space="preserve"> </w:t>
      </w:r>
      <w:r w:rsidRPr="00ED4C2C">
        <w:rPr>
          <w:rFonts w:ascii="Verdana" w:hAnsi="Verdana"/>
          <w:sz w:val="20"/>
          <w:szCs w:val="20"/>
        </w:rPr>
        <w:t xml:space="preserve">El </w:t>
      </w:r>
      <w:r w:rsidRPr="00ED4C2C">
        <w:rPr>
          <w:rFonts w:ascii="Verdana" w:hAnsi="Verdana"/>
          <w:b/>
          <w:i/>
          <w:sz w:val="20"/>
          <w:szCs w:val="20"/>
        </w:rPr>
        <w:t>Estado</w:t>
      </w:r>
      <w:r w:rsidR="00E447A0" w:rsidRPr="00ED4C2C">
        <w:rPr>
          <w:rFonts w:ascii="Verdana" w:hAnsi="Verdana"/>
          <w:sz w:val="20"/>
          <w:szCs w:val="20"/>
        </w:rPr>
        <w:t xml:space="preserve"> alegó que </w:t>
      </w:r>
      <w:r w:rsidRPr="00ED4C2C">
        <w:rPr>
          <w:rFonts w:ascii="Verdana" w:hAnsi="Verdana"/>
          <w:sz w:val="20"/>
          <w:szCs w:val="20"/>
        </w:rPr>
        <w:t>las medidas de reparación relativa al estado de salud del peticionario han devenido abstractas por haberse producido su fallecimiento</w:t>
      </w:r>
      <w:r w:rsidR="00E447A0" w:rsidRPr="00ED4C2C">
        <w:rPr>
          <w:rFonts w:ascii="Verdana" w:hAnsi="Verdana"/>
          <w:sz w:val="20"/>
          <w:szCs w:val="20"/>
        </w:rPr>
        <w:t xml:space="preserve">. Asimismo, destacó que </w:t>
      </w:r>
      <w:r w:rsidRPr="00ED4C2C">
        <w:rPr>
          <w:rFonts w:ascii="Verdana" w:hAnsi="Verdana"/>
          <w:sz w:val="20"/>
          <w:szCs w:val="20"/>
        </w:rPr>
        <w:t xml:space="preserve">esta circunstancia no </w:t>
      </w:r>
      <w:r w:rsidR="00E447A0" w:rsidRPr="00ED4C2C">
        <w:rPr>
          <w:rFonts w:ascii="Verdana" w:hAnsi="Verdana"/>
          <w:sz w:val="20"/>
          <w:szCs w:val="20"/>
        </w:rPr>
        <w:t>resultaba</w:t>
      </w:r>
      <w:r w:rsidRPr="00ED4C2C">
        <w:rPr>
          <w:rFonts w:ascii="Verdana" w:hAnsi="Verdana"/>
          <w:sz w:val="20"/>
          <w:szCs w:val="20"/>
        </w:rPr>
        <w:t xml:space="preserve"> imputable al Estado y </w:t>
      </w:r>
      <w:r w:rsidR="00E447A0" w:rsidRPr="00ED4C2C">
        <w:rPr>
          <w:rFonts w:ascii="Verdana" w:hAnsi="Verdana"/>
          <w:sz w:val="20"/>
          <w:szCs w:val="20"/>
        </w:rPr>
        <w:t>no</w:t>
      </w:r>
      <w:r w:rsidRPr="00ED4C2C">
        <w:rPr>
          <w:rFonts w:ascii="Verdana" w:hAnsi="Verdana"/>
          <w:sz w:val="20"/>
          <w:szCs w:val="20"/>
        </w:rPr>
        <w:t xml:space="preserve"> guarda relación con los hechos bajo análisis, pues estos han acont</w:t>
      </w:r>
      <w:r w:rsidR="003F3E9F">
        <w:rPr>
          <w:rFonts w:ascii="Verdana" w:hAnsi="Verdana"/>
          <w:sz w:val="20"/>
          <w:szCs w:val="20"/>
        </w:rPr>
        <w:t>ecido casi tres décadas después</w:t>
      </w:r>
      <w:r w:rsidR="00ED4C2C" w:rsidRPr="00ED4C2C">
        <w:rPr>
          <w:rFonts w:ascii="Verdana" w:hAnsi="Verdana"/>
          <w:sz w:val="20"/>
          <w:szCs w:val="20"/>
        </w:rPr>
        <w:t>.</w:t>
      </w:r>
      <w:r w:rsidR="00ED4C2C">
        <w:rPr>
          <w:rFonts w:ascii="Verdana" w:hAnsi="Verdana"/>
          <w:sz w:val="20"/>
          <w:szCs w:val="20"/>
        </w:rPr>
        <w:t xml:space="preserve"> </w:t>
      </w:r>
      <w:r w:rsidR="00ED4C2C" w:rsidRPr="00ED4C2C">
        <w:rPr>
          <w:rFonts w:ascii="Verdana" w:hAnsi="Verdana"/>
          <w:sz w:val="20"/>
          <w:szCs w:val="20"/>
        </w:rPr>
        <w:t>Al respecto, l</w:t>
      </w:r>
      <w:r w:rsidR="008009AA" w:rsidRPr="00ED4C2C">
        <w:rPr>
          <w:rFonts w:ascii="Verdana" w:hAnsi="Verdana"/>
          <w:sz w:val="20"/>
          <w:szCs w:val="20"/>
        </w:rPr>
        <w:t xml:space="preserve">a Corte </w:t>
      </w:r>
      <w:r w:rsidR="00ED4C2C">
        <w:rPr>
          <w:rFonts w:ascii="Verdana" w:hAnsi="Verdana"/>
          <w:sz w:val="20"/>
          <w:szCs w:val="20"/>
        </w:rPr>
        <w:t>constata que el señor Hernández falleció, por lo que</w:t>
      </w:r>
      <w:r w:rsidR="00E80242" w:rsidRPr="00ED4C2C">
        <w:rPr>
          <w:rFonts w:ascii="Verdana" w:hAnsi="Verdana"/>
          <w:sz w:val="20"/>
          <w:szCs w:val="20"/>
        </w:rPr>
        <w:t xml:space="preserve"> no procede ordenar </w:t>
      </w:r>
      <w:r w:rsidR="008009AA" w:rsidRPr="00ED4C2C">
        <w:rPr>
          <w:rFonts w:ascii="Verdana" w:hAnsi="Verdana"/>
          <w:sz w:val="20"/>
          <w:szCs w:val="20"/>
        </w:rPr>
        <w:t>medida</w:t>
      </w:r>
      <w:r w:rsidR="00E80242" w:rsidRPr="00ED4C2C">
        <w:rPr>
          <w:rFonts w:ascii="Verdana" w:hAnsi="Verdana"/>
          <w:sz w:val="20"/>
          <w:szCs w:val="20"/>
        </w:rPr>
        <w:t xml:space="preserve"> alguna</w:t>
      </w:r>
      <w:r w:rsidR="008009AA" w:rsidRPr="00ED4C2C">
        <w:rPr>
          <w:rFonts w:ascii="Verdana" w:hAnsi="Verdana"/>
          <w:sz w:val="20"/>
          <w:szCs w:val="20"/>
        </w:rPr>
        <w:t xml:space="preserve"> de rehabilita</w:t>
      </w:r>
      <w:r w:rsidR="00E80242" w:rsidRPr="00ED4C2C">
        <w:rPr>
          <w:rFonts w:ascii="Verdana" w:hAnsi="Verdana"/>
          <w:sz w:val="20"/>
          <w:szCs w:val="20"/>
        </w:rPr>
        <w:t>ción</w:t>
      </w:r>
      <w:r w:rsidR="00DE3427" w:rsidRPr="00ED4C2C">
        <w:rPr>
          <w:rFonts w:ascii="Verdana" w:hAnsi="Verdana"/>
          <w:sz w:val="20"/>
          <w:szCs w:val="20"/>
        </w:rPr>
        <w:t>.</w:t>
      </w:r>
    </w:p>
    <w:p w14:paraId="21C0AA4D" w14:textId="77777777" w:rsidR="00C97BC1" w:rsidRPr="001A24A9" w:rsidRDefault="00C97BC1" w:rsidP="00C97BC1">
      <w:pPr>
        <w:widowControl w:val="0"/>
        <w:tabs>
          <w:tab w:val="left" w:pos="567"/>
        </w:tabs>
        <w:adjustRightInd w:val="0"/>
        <w:spacing w:after="0" w:line="240" w:lineRule="auto"/>
        <w:jc w:val="both"/>
        <w:textAlignment w:val="baseline"/>
        <w:rPr>
          <w:rFonts w:ascii="Verdana" w:hAnsi="Verdana"/>
          <w:sz w:val="20"/>
          <w:szCs w:val="20"/>
        </w:rPr>
      </w:pPr>
    </w:p>
    <w:p w14:paraId="775221C3" w14:textId="1E1C44C7" w:rsidR="00F410FC" w:rsidRPr="009C7245" w:rsidRDefault="009C7245" w:rsidP="00C97BC1">
      <w:pPr>
        <w:pStyle w:val="Ttulo3"/>
        <w:numPr>
          <w:ilvl w:val="0"/>
          <w:numId w:val="0"/>
        </w:numPr>
        <w:ind w:left="1353"/>
      </w:pPr>
      <w:r>
        <w:rPr>
          <w:b w:val="0"/>
          <w:i w:val="0"/>
        </w:rPr>
        <w:tab/>
      </w:r>
      <w:bookmarkStart w:id="90" w:name="_Toc27509193"/>
      <w:r w:rsidR="006848BE">
        <w:t>B.3</w:t>
      </w:r>
      <w:r w:rsidR="00F410FC" w:rsidRPr="009C7245">
        <w:t>. Garantías de no repetición</w:t>
      </w:r>
      <w:bookmarkEnd w:id="90"/>
    </w:p>
    <w:p w14:paraId="24E63538" w14:textId="77777777" w:rsidR="00C97BC1" w:rsidRPr="00C97BC1" w:rsidRDefault="00C97BC1" w:rsidP="00C97BC1">
      <w:pPr>
        <w:widowControl w:val="0"/>
        <w:tabs>
          <w:tab w:val="left" w:pos="567"/>
        </w:tabs>
        <w:adjustRightInd w:val="0"/>
        <w:spacing w:after="0" w:line="240" w:lineRule="auto"/>
        <w:jc w:val="both"/>
        <w:textAlignment w:val="baseline"/>
        <w:rPr>
          <w:rFonts w:ascii="Verdana" w:hAnsi="Verdana"/>
          <w:b/>
          <w:sz w:val="20"/>
          <w:szCs w:val="20"/>
        </w:rPr>
      </w:pPr>
    </w:p>
    <w:p w14:paraId="2E947718" w14:textId="7AA371F6" w:rsidR="00E447A0" w:rsidRDefault="00F410FC"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b/>
          <w:sz w:val="20"/>
          <w:szCs w:val="20"/>
        </w:rPr>
      </w:pPr>
      <w:r w:rsidRPr="00FE27B2">
        <w:rPr>
          <w:rFonts w:ascii="Verdana" w:hAnsi="Verdana"/>
          <w:sz w:val="20"/>
          <w:szCs w:val="20"/>
        </w:rPr>
        <w:t xml:space="preserve">La </w:t>
      </w:r>
      <w:r w:rsidRPr="00FE27B2">
        <w:rPr>
          <w:rFonts w:ascii="Verdana" w:hAnsi="Verdana"/>
          <w:b/>
          <w:i/>
          <w:sz w:val="20"/>
          <w:szCs w:val="20"/>
        </w:rPr>
        <w:t>Comisión</w:t>
      </w:r>
      <w:r w:rsidRPr="00FE27B2">
        <w:rPr>
          <w:rFonts w:ascii="Verdana" w:hAnsi="Verdana"/>
          <w:sz w:val="20"/>
          <w:szCs w:val="20"/>
        </w:rPr>
        <w:t xml:space="preserve"> solicitó que el Estado </w:t>
      </w:r>
      <w:r w:rsidR="00E447A0">
        <w:rPr>
          <w:rFonts w:ascii="Verdana" w:hAnsi="Verdana"/>
          <w:sz w:val="20"/>
          <w:szCs w:val="20"/>
        </w:rPr>
        <w:t>disponga</w:t>
      </w:r>
      <w:r w:rsidRPr="00FE27B2">
        <w:rPr>
          <w:rFonts w:ascii="Verdana" w:hAnsi="Verdana"/>
          <w:sz w:val="20"/>
          <w:szCs w:val="20"/>
        </w:rPr>
        <w:t xml:space="preserve"> las medidas de no repetición necesarias para asegurar que las personas privadas de libertad en la Provincia de Buenos Aires cuenten con diagnósticos oportunos de su situación de salud, así como los tratamientos y atención especializada que requieran, conforme a los estándares establecidos en </w:t>
      </w:r>
      <w:r w:rsidR="00E447A0">
        <w:rPr>
          <w:rFonts w:ascii="Verdana" w:hAnsi="Verdana"/>
          <w:sz w:val="20"/>
          <w:szCs w:val="20"/>
        </w:rPr>
        <w:t xml:space="preserve">su </w:t>
      </w:r>
      <w:r w:rsidR="009E3377">
        <w:rPr>
          <w:rFonts w:ascii="Verdana" w:hAnsi="Verdana"/>
          <w:sz w:val="20"/>
          <w:szCs w:val="20"/>
        </w:rPr>
        <w:t>I</w:t>
      </w:r>
      <w:r w:rsidR="00E447A0">
        <w:rPr>
          <w:rFonts w:ascii="Verdana" w:hAnsi="Verdana"/>
          <w:sz w:val="20"/>
          <w:szCs w:val="20"/>
        </w:rPr>
        <w:t xml:space="preserve">nforme de </w:t>
      </w:r>
      <w:r w:rsidR="0038221A">
        <w:rPr>
          <w:rFonts w:ascii="Verdana" w:hAnsi="Verdana"/>
          <w:sz w:val="20"/>
          <w:szCs w:val="20"/>
        </w:rPr>
        <w:t>F</w:t>
      </w:r>
      <w:r w:rsidR="00E447A0">
        <w:rPr>
          <w:rFonts w:ascii="Verdana" w:hAnsi="Verdana"/>
          <w:sz w:val="20"/>
          <w:szCs w:val="20"/>
        </w:rPr>
        <w:t>ondo</w:t>
      </w:r>
      <w:r w:rsidRPr="00FE27B2">
        <w:rPr>
          <w:rFonts w:ascii="Verdana" w:hAnsi="Verdana"/>
          <w:sz w:val="20"/>
          <w:szCs w:val="20"/>
        </w:rPr>
        <w:t>, en particula</w:t>
      </w:r>
      <w:r w:rsidR="00E447A0">
        <w:rPr>
          <w:rFonts w:ascii="Verdana" w:hAnsi="Verdana"/>
          <w:sz w:val="20"/>
          <w:szCs w:val="20"/>
        </w:rPr>
        <w:t>r, el principio de equivalencia</w:t>
      </w:r>
      <w:r w:rsidR="00ED4C2C">
        <w:rPr>
          <w:rFonts w:ascii="Verdana" w:hAnsi="Verdana"/>
          <w:sz w:val="20"/>
          <w:szCs w:val="20"/>
        </w:rPr>
        <w:t>.</w:t>
      </w:r>
    </w:p>
    <w:p w14:paraId="10A98DB7" w14:textId="77777777" w:rsidR="00C97BC1" w:rsidRDefault="00C97BC1" w:rsidP="00C97BC1">
      <w:pPr>
        <w:widowControl w:val="0"/>
        <w:tabs>
          <w:tab w:val="left" w:pos="567"/>
        </w:tabs>
        <w:adjustRightInd w:val="0"/>
        <w:spacing w:after="0" w:line="240" w:lineRule="auto"/>
        <w:jc w:val="both"/>
        <w:textAlignment w:val="baseline"/>
        <w:rPr>
          <w:rFonts w:ascii="Verdana" w:hAnsi="Verdana"/>
          <w:b/>
          <w:sz w:val="20"/>
          <w:szCs w:val="20"/>
        </w:rPr>
      </w:pPr>
    </w:p>
    <w:p w14:paraId="53AE6F95" w14:textId="612F8171" w:rsidR="00165F40" w:rsidRPr="00C97BC1" w:rsidRDefault="00F410FC"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b/>
          <w:sz w:val="20"/>
          <w:szCs w:val="20"/>
        </w:rPr>
      </w:pPr>
      <w:r w:rsidRPr="00FE27B2">
        <w:rPr>
          <w:rFonts w:ascii="Verdana" w:hAnsi="Verdana"/>
          <w:sz w:val="20"/>
          <w:szCs w:val="20"/>
        </w:rPr>
        <w:t xml:space="preserve">Los </w:t>
      </w:r>
      <w:r w:rsidRPr="00FE27B2">
        <w:rPr>
          <w:rFonts w:ascii="Verdana" w:hAnsi="Verdana"/>
          <w:b/>
          <w:i/>
          <w:sz w:val="20"/>
          <w:szCs w:val="20"/>
        </w:rPr>
        <w:t>representantes</w:t>
      </w:r>
      <w:r w:rsidR="00165F40">
        <w:rPr>
          <w:rFonts w:ascii="Verdana" w:hAnsi="Verdana"/>
          <w:sz w:val="20"/>
          <w:szCs w:val="20"/>
        </w:rPr>
        <w:t xml:space="preserve"> señalaron que </w:t>
      </w:r>
      <w:r w:rsidRPr="00FE27B2">
        <w:rPr>
          <w:rFonts w:ascii="Verdana" w:hAnsi="Verdana"/>
          <w:sz w:val="20"/>
          <w:szCs w:val="20"/>
        </w:rPr>
        <w:t xml:space="preserve">en el marco </w:t>
      </w:r>
      <w:r w:rsidR="00165F40">
        <w:rPr>
          <w:rFonts w:ascii="Verdana" w:hAnsi="Verdana"/>
          <w:sz w:val="20"/>
          <w:szCs w:val="20"/>
        </w:rPr>
        <w:t>de un</w:t>
      </w:r>
      <w:r w:rsidRPr="00FE27B2">
        <w:rPr>
          <w:rFonts w:ascii="Verdana" w:hAnsi="Verdana"/>
          <w:sz w:val="20"/>
          <w:szCs w:val="20"/>
        </w:rPr>
        <w:t xml:space="preserve"> procedimiento de solución amistosa </w:t>
      </w:r>
      <w:r w:rsidR="00165F40">
        <w:rPr>
          <w:rFonts w:ascii="Verdana" w:hAnsi="Verdana"/>
          <w:sz w:val="20"/>
          <w:szCs w:val="20"/>
        </w:rPr>
        <w:t>plantearon</w:t>
      </w:r>
      <w:r w:rsidRPr="00FE27B2">
        <w:rPr>
          <w:rFonts w:ascii="Verdana" w:hAnsi="Verdana"/>
          <w:sz w:val="20"/>
          <w:szCs w:val="20"/>
        </w:rPr>
        <w:t xml:space="preserve"> una serie de prevenciones en el área de la salud que debían introducirse en el sistema penitenciario de la Provincia de Buenos Aires, que incluía especialmente previsiones en torno a la enfermedad adquirida por José Luis Hernández mientras se en</w:t>
      </w:r>
      <w:r w:rsidR="00D56587">
        <w:rPr>
          <w:rFonts w:ascii="Verdana" w:hAnsi="Verdana"/>
          <w:sz w:val="20"/>
          <w:szCs w:val="20"/>
        </w:rPr>
        <w:t>contraba privado de su libertad</w:t>
      </w:r>
      <w:r w:rsidR="00165F40" w:rsidRPr="00165F40">
        <w:rPr>
          <w:rFonts w:ascii="Verdana" w:hAnsi="Verdana"/>
          <w:sz w:val="20"/>
          <w:szCs w:val="20"/>
        </w:rPr>
        <w:t>.</w:t>
      </w:r>
      <w:r w:rsidR="00833BE9" w:rsidRPr="00FE27B2">
        <w:rPr>
          <w:rFonts w:ascii="Verdana" w:hAnsi="Verdana"/>
          <w:b/>
          <w:sz w:val="20"/>
          <w:szCs w:val="20"/>
        </w:rPr>
        <w:t xml:space="preserve"> </w:t>
      </w:r>
      <w:r w:rsidR="00FE27B2" w:rsidRPr="00FE27B2">
        <w:rPr>
          <w:rFonts w:ascii="Verdana" w:hAnsi="Verdana"/>
          <w:sz w:val="20"/>
          <w:szCs w:val="20"/>
        </w:rPr>
        <w:t>E</w:t>
      </w:r>
      <w:r w:rsidR="00E447A0">
        <w:rPr>
          <w:rFonts w:ascii="Verdana" w:hAnsi="Verdana"/>
          <w:sz w:val="20"/>
          <w:szCs w:val="20"/>
        </w:rPr>
        <w:t xml:space="preserve">n su escrito de alegatos finales </w:t>
      </w:r>
      <w:r w:rsidR="00FE27B2" w:rsidRPr="00FE27B2">
        <w:rPr>
          <w:rFonts w:ascii="Verdana" w:hAnsi="Verdana"/>
          <w:sz w:val="20"/>
          <w:szCs w:val="20"/>
        </w:rPr>
        <w:t>especificaron el contenido de dichas medidas</w:t>
      </w:r>
      <w:r w:rsidR="00165F40">
        <w:rPr>
          <w:rFonts w:ascii="Verdana" w:hAnsi="Verdana"/>
          <w:sz w:val="20"/>
          <w:szCs w:val="20"/>
        </w:rPr>
        <w:t>, las cuales incluyen la implementación de guardias médicas preventivas permanentes en las comisarías,</w:t>
      </w:r>
      <w:r w:rsidR="008B4370">
        <w:rPr>
          <w:rFonts w:ascii="Verdana" w:hAnsi="Verdana"/>
          <w:sz w:val="20"/>
          <w:szCs w:val="20"/>
        </w:rPr>
        <w:t xml:space="preserve"> que dichas guardias revisen periódica y exhaustivamente a los presos,</w:t>
      </w:r>
      <w:r w:rsidR="00165F40">
        <w:rPr>
          <w:rFonts w:ascii="Verdana" w:hAnsi="Verdana"/>
          <w:sz w:val="20"/>
          <w:szCs w:val="20"/>
        </w:rPr>
        <w:t xml:space="preserve"> la existencia de insumos, equipamiento y medicinas básicas, la existencia de medios adecuados de traslados urgentes, la existencia de centros de salud intramuros para atender la salud preventiva y curativa de los detenidos, la existencia de medios para el tratamiento inmediato de enfermedades de extraordinaria complejidad</w:t>
      </w:r>
      <w:r w:rsidR="008B4370">
        <w:rPr>
          <w:rFonts w:ascii="Verdana" w:hAnsi="Verdana"/>
          <w:sz w:val="20"/>
          <w:szCs w:val="20"/>
        </w:rPr>
        <w:t>, y la provisión de suficientes médicos y personal paramédico suficiente acorde con la cantidad de internos.</w:t>
      </w:r>
    </w:p>
    <w:p w14:paraId="65FB999E" w14:textId="77777777" w:rsidR="00C97BC1" w:rsidRPr="00165F40" w:rsidRDefault="00C97BC1" w:rsidP="00C97BC1">
      <w:pPr>
        <w:widowControl w:val="0"/>
        <w:tabs>
          <w:tab w:val="left" w:pos="567"/>
        </w:tabs>
        <w:adjustRightInd w:val="0"/>
        <w:spacing w:after="0" w:line="240" w:lineRule="auto"/>
        <w:jc w:val="both"/>
        <w:textAlignment w:val="baseline"/>
        <w:rPr>
          <w:rFonts w:ascii="Verdana" w:hAnsi="Verdana"/>
          <w:b/>
          <w:sz w:val="20"/>
          <w:szCs w:val="20"/>
        </w:rPr>
      </w:pPr>
    </w:p>
    <w:p w14:paraId="0DD47F8C" w14:textId="71AA0224" w:rsidR="00324461" w:rsidRDefault="003624B2" w:rsidP="0032446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b/>
          <w:sz w:val="20"/>
          <w:szCs w:val="20"/>
        </w:rPr>
      </w:pPr>
      <w:r>
        <w:rPr>
          <w:rFonts w:ascii="Verdana" w:hAnsi="Verdana"/>
          <w:sz w:val="20"/>
          <w:szCs w:val="20"/>
        </w:rPr>
        <w:t>E</w:t>
      </w:r>
      <w:r w:rsidR="00F410FC" w:rsidRPr="00FE27B2">
        <w:rPr>
          <w:rFonts w:ascii="Verdana" w:hAnsi="Verdana"/>
          <w:sz w:val="20"/>
          <w:szCs w:val="20"/>
        </w:rPr>
        <w:t xml:space="preserve">l </w:t>
      </w:r>
      <w:r w:rsidR="00A74EB9" w:rsidRPr="00FE27B2">
        <w:rPr>
          <w:rFonts w:ascii="Verdana" w:hAnsi="Verdana"/>
          <w:b/>
          <w:i/>
          <w:sz w:val="20"/>
          <w:szCs w:val="20"/>
        </w:rPr>
        <w:t>Estado</w:t>
      </w:r>
      <w:r w:rsidR="00A74EB9" w:rsidRPr="00FE27B2">
        <w:rPr>
          <w:rFonts w:ascii="Verdana" w:hAnsi="Verdana"/>
          <w:sz w:val="20"/>
          <w:szCs w:val="20"/>
        </w:rPr>
        <w:t xml:space="preserve"> </w:t>
      </w:r>
      <w:r w:rsidR="00ED4C2C">
        <w:rPr>
          <w:rFonts w:ascii="Verdana" w:hAnsi="Verdana"/>
          <w:sz w:val="20"/>
          <w:szCs w:val="20"/>
        </w:rPr>
        <w:t xml:space="preserve">sostuvo que las garantías de no repetición solicitadas por los representantes no se relacionan con los hechos ocurridos 24 años atrás. Manifestaron que ello es evidente respecto de la solicitud de la revisión del Sistema de Salud del Sistema Penitenciario de la Provincia de Buenos Aires debido a la enfermedad que puede afectar a cualquier ciudadano. Asimismo, manifestó que este caso no se relaciona con denuncias masivas de casos y que, por otro lado, se informó acerca de las medidas de atención a la salud del señor Hernández desde el 2 de agosto de 1990 hasta que fuera detectada su enfermedad. </w:t>
      </w:r>
      <w:r w:rsidR="008616D6">
        <w:rPr>
          <w:rFonts w:ascii="Verdana" w:hAnsi="Verdana"/>
          <w:sz w:val="20"/>
          <w:szCs w:val="20"/>
        </w:rPr>
        <w:t xml:space="preserve">En consecuencia, solicitaron que se declare </w:t>
      </w:r>
      <w:r w:rsidR="008616D6">
        <w:rPr>
          <w:rFonts w:ascii="Verdana" w:hAnsi="Verdana"/>
          <w:sz w:val="20"/>
          <w:szCs w:val="20"/>
        </w:rPr>
        <w:lastRenderedPageBreak/>
        <w:t>improcedente la solicitud de los representa</w:t>
      </w:r>
      <w:r w:rsidR="00D56587">
        <w:rPr>
          <w:rFonts w:ascii="Verdana" w:hAnsi="Verdana"/>
          <w:sz w:val="20"/>
          <w:szCs w:val="20"/>
        </w:rPr>
        <w:t>ntes</w:t>
      </w:r>
      <w:r w:rsidR="008616D6">
        <w:rPr>
          <w:rFonts w:ascii="Verdana" w:hAnsi="Verdana"/>
          <w:sz w:val="20"/>
          <w:szCs w:val="20"/>
        </w:rPr>
        <w:t>.</w:t>
      </w:r>
    </w:p>
    <w:p w14:paraId="0208D424" w14:textId="77777777" w:rsidR="00324461" w:rsidRDefault="00324461" w:rsidP="00324461">
      <w:pPr>
        <w:pStyle w:val="Prrafodelista"/>
        <w:spacing w:after="0" w:line="240" w:lineRule="auto"/>
        <w:rPr>
          <w:rFonts w:ascii="Verdana" w:hAnsi="Verdana" w:cs="Arial"/>
          <w:sz w:val="20"/>
          <w:szCs w:val="20"/>
          <w:lang w:val="es-CR"/>
        </w:rPr>
      </w:pPr>
    </w:p>
    <w:p w14:paraId="0EFB63DD" w14:textId="77777777" w:rsidR="00212569" w:rsidRPr="00230D8B" w:rsidRDefault="00324461" w:rsidP="00230D8B">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b/>
          <w:sz w:val="20"/>
          <w:szCs w:val="20"/>
        </w:rPr>
      </w:pPr>
      <w:r w:rsidRPr="007C33C3">
        <w:rPr>
          <w:rFonts w:ascii="Verdana" w:hAnsi="Verdana" w:cs="Arial"/>
          <w:sz w:val="20"/>
          <w:szCs w:val="20"/>
          <w:lang w:val="es-CR"/>
        </w:rPr>
        <w:t>La Corte toma nota y valora positivamente las medidas legislativas y de política pública que han sido adoptadas por el Estado para garantizar atención médica que resulte apropiada y oportuna para personas privadas de libertad</w:t>
      </w:r>
      <w:r w:rsidRPr="007C33C3">
        <w:rPr>
          <w:rStyle w:val="Refdenotaalpie"/>
          <w:rFonts w:cs="Arial"/>
          <w:lang w:val="es-CR"/>
        </w:rPr>
        <w:footnoteReference w:id="235"/>
      </w:r>
      <w:r w:rsidRPr="007C33C3">
        <w:rPr>
          <w:rFonts w:ascii="Verdana" w:hAnsi="Verdana" w:cs="Arial"/>
          <w:sz w:val="20"/>
          <w:szCs w:val="20"/>
          <w:lang w:val="es-CR"/>
        </w:rPr>
        <w:t>, así como las iniciativas encaminadas a reducir la transmisión de la tuberculosis, brindar adecuada asistencia médica a las personas que la padecen y disminuir su mortalidad</w:t>
      </w:r>
      <w:r w:rsidRPr="007C33C3">
        <w:rPr>
          <w:rStyle w:val="Refdenotaalpie"/>
          <w:rFonts w:cs="Arial"/>
          <w:lang w:val="es-CR"/>
        </w:rPr>
        <w:footnoteReference w:id="236"/>
      </w:r>
      <w:r w:rsidRPr="007C33C3">
        <w:rPr>
          <w:rFonts w:ascii="Verdana" w:hAnsi="Verdana" w:cs="Arial"/>
          <w:sz w:val="20"/>
          <w:szCs w:val="20"/>
          <w:lang w:val="es-CR"/>
        </w:rPr>
        <w:t>. Sin embargo, la Corte considera pertinente ordenar al Estado, como garantía de no repetición de las violaciones reconocidas en esta Sentencia, el diseño e implementación de un programa de capacitación para los funcionarios y servidores públicos de los centros penitenciarios de la Provincia de Buenos Aires, mediante el cual personal médico especializado en el tratamiento de la tuberculosis les capacite sobre: a) los síntomas tempranos y signos de alerta de la tuberculosis en sus primeras etapas; b) las precauciones y medidas a seguir ante un cuadro sintomático que, aun siendo asociado con infecciones, virus y enfermedades más comunes y menos graves, también pueda atribuirse a la tuberculosis, incluyendo el acceso a exámenes y pruebas médicas que permitan diagnosticar o descartar dicha enfermedad, y c) las medidas sanitarias para evitar, reducir y contener la transmisión de la enfermedad en la población carcelaria.</w:t>
      </w:r>
    </w:p>
    <w:p w14:paraId="7F894DDF" w14:textId="77777777" w:rsidR="00212569" w:rsidRDefault="00212569" w:rsidP="00230D8B">
      <w:pPr>
        <w:widowControl w:val="0"/>
        <w:tabs>
          <w:tab w:val="left" w:pos="567"/>
        </w:tabs>
        <w:adjustRightInd w:val="0"/>
        <w:spacing w:after="0" w:line="240" w:lineRule="auto"/>
        <w:jc w:val="both"/>
        <w:textAlignment w:val="baseline"/>
        <w:rPr>
          <w:rFonts w:ascii="Verdana" w:hAnsi="Verdana"/>
          <w:b/>
          <w:sz w:val="20"/>
          <w:szCs w:val="20"/>
        </w:rPr>
      </w:pPr>
    </w:p>
    <w:p w14:paraId="0EF14F06" w14:textId="16C81419" w:rsidR="00212569" w:rsidRPr="00D5137D" w:rsidRDefault="00212569" w:rsidP="00D5137D">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sz w:val="20"/>
          <w:szCs w:val="20"/>
        </w:rPr>
      </w:pPr>
      <w:r w:rsidRPr="00230D8B">
        <w:rPr>
          <w:rFonts w:ascii="Verdana" w:hAnsi="Verdana"/>
          <w:iCs/>
          <w:sz w:val="20"/>
          <w:szCs w:val="20"/>
          <w:lang w:val="es-DO"/>
        </w:rPr>
        <w:t xml:space="preserve">Asimismo, la Corte ordena al Estado que, una vez transcurridos </w:t>
      </w:r>
      <w:r w:rsidR="005A7E9E" w:rsidRPr="00230D8B">
        <w:rPr>
          <w:rFonts w:ascii="Verdana" w:hAnsi="Verdana"/>
          <w:iCs/>
          <w:sz w:val="20"/>
          <w:szCs w:val="20"/>
          <w:lang w:val="es-DO"/>
        </w:rPr>
        <w:t>seis</w:t>
      </w:r>
      <w:r w:rsidRPr="00230D8B">
        <w:rPr>
          <w:rFonts w:ascii="Verdana" w:hAnsi="Verdana"/>
          <w:iCs/>
          <w:sz w:val="20"/>
          <w:szCs w:val="20"/>
          <w:lang w:val="es-DO"/>
        </w:rPr>
        <w:t xml:space="preserve"> meses desde la notificación de la presente sentencia, presente un informe en el que detalle las medidas adoptadas, desde la fecha en que ocurrieron los hechos señalados en este caso, para mejorar las condiciones de las unidades carcelarias del Sistema Penitenciario de la Provincia de Buenos Aires. El Estado deberá demostrar que dichas acciones resulten compatibles con la dignidad humana, los estándares referidos en esta sentencia respecto al derecho a la integridad personal y la salud de las personas privadas de libertad, y los demás derechos consagrados en la Convención Americana. En particular, el Estado deberá especificar aquellas providencias adoptadas encaminadas a prevenir la tuberculosis y afecciones de similar naturaleza en la población carcelaria, así como aquellas dirigidas a brindar un diagnóstico y tratamiento oportuno y adecuado a las personas que la padecen.</w:t>
      </w:r>
    </w:p>
    <w:p w14:paraId="76885A38" w14:textId="77777777" w:rsidR="00324461" w:rsidRPr="007C33C3" w:rsidRDefault="00324461" w:rsidP="00324461">
      <w:pPr>
        <w:widowControl w:val="0"/>
        <w:tabs>
          <w:tab w:val="left" w:pos="567"/>
        </w:tabs>
        <w:adjustRightInd w:val="0"/>
        <w:spacing w:after="0" w:line="240" w:lineRule="auto"/>
        <w:jc w:val="both"/>
        <w:textAlignment w:val="baseline"/>
        <w:rPr>
          <w:rFonts w:ascii="Verdana" w:hAnsi="Verdana"/>
          <w:b/>
          <w:sz w:val="20"/>
          <w:szCs w:val="20"/>
        </w:rPr>
      </w:pPr>
    </w:p>
    <w:p w14:paraId="30A5943D" w14:textId="7792BA37" w:rsidR="002630BE" w:rsidRPr="007C33C3" w:rsidRDefault="00324461" w:rsidP="0032446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b/>
          <w:sz w:val="20"/>
          <w:szCs w:val="20"/>
        </w:rPr>
      </w:pPr>
      <w:r w:rsidRPr="007C33C3">
        <w:rPr>
          <w:rFonts w:ascii="Verdana" w:hAnsi="Verdana"/>
          <w:sz w:val="20"/>
          <w:szCs w:val="20"/>
        </w:rPr>
        <w:t xml:space="preserve">Por otra parte, la Corte no se referirá específicamente a las garantías de no repetición solicitadas por los representantes en sus alegatos finales escritos, debido a que las mismas no fueron planteadas en el momento procesal oportuno. </w:t>
      </w:r>
    </w:p>
    <w:p w14:paraId="5B34A440" w14:textId="77777777" w:rsidR="00C97BC1" w:rsidRPr="00E25884" w:rsidRDefault="00C97BC1" w:rsidP="00C97BC1">
      <w:pPr>
        <w:widowControl w:val="0"/>
        <w:tabs>
          <w:tab w:val="left" w:pos="567"/>
        </w:tabs>
        <w:adjustRightInd w:val="0"/>
        <w:spacing w:after="0" w:line="240" w:lineRule="auto"/>
        <w:jc w:val="both"/>
        <w:textAlignment w:val="baseline"/>
        <w:rPr>
          <w:rFonts w:ascii="Verdana" w:hAnsi="Verdana" w:cs="Arial"/>
          <w:b/>
          <w:sz w:val="20"/>
          <w:szCs w:val="20"/>
          <w:lang w:val="es-CR"/>
        </w:rPr>
      </w:pPr>
    </w:p>
    <w:p w14:paraId="0D8E1F05" w14:textId="4D7B5A46" w:rsidR="00F410FC" w:rsidRDefault="0029758A" w:rsidP="00C97BC1">
      <w:pPr>
        <w:pStyle w:val="Ttulo2"/>
        <w:numPr>
          <w:ilvl w:val="0"/>
          <w:numId w:val="0"/>
        </w:numPr>
        <w:ind w:left="928"/>
        <w:rPr>
          <w:i w:val="0"/>
        </w:rPr>
      </w:pPr>
      <w:bookmarkStart w:id="91" w:name="_Toc27509194"/>
      <w:r w:rsidRPr="004350D8">
        <w:rPr>
          <w:i w:val="0"/>
        </w:rPr>
        <w:t>C</w:t>
      </w:r>
      <w:r w:rsidR="00F410FC" w:rsidRPr="004350D8">
        <w:rPr>
          <w:i w:val="0"/>
        </w:rPr>
        <w:t>.</w:t>
      </w:r>
      <w:r w:rsidR="00F410FC" w:rsidRPr="004350D8">
        <w:rPr>
          <w:i w:val="0"/>
        </w:rPr>
        <w:tab/>
        <w:t>Indemnizaciones compensatorias</w:t>
      </w:r>
      <w:bookmarkEnd w:id="91"/>
    </w:p>
    <w:p w14:paraId="2048A848" w14:textId="77777777" w:rsidR="00C97BC1" w:rsidRPr="00C97BC1" w:rsidRDefault="00C97BC1" w:rsidP="00C97BC1">
      <w:pPr>
        <w:widowControl w:val="0"/>
        <w:tabs>
          <w:tab w:val="left" w:pos="567"/>
        </w:tabs>
        <w:adjustRightInd w:val="0"/>
        <w:spacing w:after="0" w:line="240" w:lineRule="auto"/>
        <w:jc w:val="both"/>
        <w:textAlignment w:val="baseline"/>
        <w:rPr>
          <w:rFonts w:ascii="Verdana" w:hAnsi="Verdana"/>
          <w:b/>
          <w:sz w:val="20"/>
          <w:szCs w:val="20"/>
        </w:rPr>
      </w:pPr>
    </w:p>
    <w:p w14:paraId="1E6CA51B" w14:textId="3C19077E" w:rsidR="00F410FC" w:rsidRPr="00C97BC1" w:rsidRDefault="00F410FC"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b/>
          <w:sz w:val="20"/>
          <w:szCs w:val="20"/>
        </w:rPr>
      </w:pPr>
      <w:r w:rsidRPr="00E25884">
        <w:rPr>
          <w:rFonts w:ascii="Verdana" w:hAnsi="Verdana"/>
          <w:sz w:val="20"/>
          <w:szCs w:val="20"/>
        </w:rPr>
        <w:t xml:space="preserve">La </w:t>
      </w:r>
      <w:r w:rsidRPr="00E25884">
        <w:rPr>
          <w:rFonts w:ascii="Verdana" w:hAnsi="Verdana"/>
          <w:b/>
          <w:i/>
          <w:sz w:val="20"/>
          <w:szCs w:val="20"/>
        </w:rPr>
        <w:t>Comisión</w:t>
      </w:r>
      <w:r w:rsidRPr="00E25884">
        <w:rPr>
          <w:rFonts w:ascii="Verdana" w:hAnsi="Verdana"/>
          <w:sz w:val="20"/>
          <w:szCs w:val="20"/>
        </w:rPr>
        <w:t xml:space="preserve"> solicitó que el Estado </w:t>
      </w:r>
      <w:r w:rsidR="001D0391">
        <w:rPr>
          <w:rFonts w:ascii="Verdana" w:hAnsi="Verdana"/>
          <w:sz w:val="20"/>
          <w:szCs w:val="20"/>
        </w:rPr>
        <w:t>repare</w:t>
      </w:r>
      <w:r w:rsidRPr="00E25884">
        <w:rPr>
          <w:rFonts w:ascii="Verdana" w:hAnsi="Verdana"/>
          <w:sz w:val="20"/>
          <w:szCs w:val="20"/>
        </w:rPr>
        <w:t xml:space="preserve"> integralmente a la víctima del presente caso mediante medidas de compensación pecuniaria y de satisfacción que incluyan el daño material e inmaterial ocasionado a la víctima como consecuencia de las violaciones declaradas en </w:t>
      </w:r>
      <w:r w:rsidR="001D0391">
        <w:rPr>
          <w:rFonts w:ascii="Verdana" w:hAnsi="Verdana"/>
          <w:sz w:val="20"/>
          <w:szCs w:val="20"/>
        </w:rPr>
        <w:t>su Informe de Fondo</w:t>
      </w:r>
      <w:r w:rsidR="001D0391" w:rsidRPr="001D0391">
        <w:rPr>
          <w:rFonts w:ascii="Verdana" w:hAnsi="Verdana"/>
          <w:sz w:val="20"/>
          <w:szCs w:val="20"/>
        </w:rPr>
        <w:t>.</w:t>
      </w:r>
    </w:p>
    <w:p w14:paraId="4906B335" w14:textId="77777777" w:rsidR="00C97BC1" w:rsidRPr="00E25884" w:rsidRDefault="00C97BC1" w:rsidP="00C97BC1">
      <w:pPr>
        <w:widowControl w:val="0"/>
        <w:tabs>
          <w:tab w:val="left" w:pos="567"/>
        </w:tabs>
        <w:adjustRightInd w:val="0"/>
        <w:spacing w:after="0" w:line="240" w:lineRule="auto"/>
        <w:jc w:val="both"/>
        <w:textAlignment w:val="baseline"/>
        <w:rPr>
          <w:rFonts w:ascii="Verdana" w:hAnsi="Verdana"/>
          <w:b/>
          <w:sz w:val="20"/>
          <w:szCs w:val="20"/>
        </w:rPr>
      </w:pPr>
    </w:p>
    <w:p w14:paraId="2115CD26" w14:textId="2633BEFD" w:rsidR="001D0391" w:rsidRDefault="00F410FC"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sz w:val="20"/>
          <w:szCs w:val="20"/>
        </w:rPr>
      </w:pPr>
      <w:r w:rsidRPr="00E25884">
        <w:rPr>
          <w:rFonts w:ascii="Verdana" w:hAnsi="Verdana"/>
          <w:sz w:val="20"/>
          <w:szCs w:val="20"/>
        </w:rPr>
        <w:t xml:space="preserve">Los </w:t>
      </w:r>
      <w:r w:rsidRPr="00E25884">
        <w:rPr>
          <w:rFonts w:ascii="Verdana" w:hAnsi="Verdana"/>
          <w:b/>
          <w:i/>
          <w:sz w:val="20"/>
          <w:szCs w:val="20"/>
        </w:rPr>
        <w:t>representantes</w:t>
      </w:r>
      <w:r w:rsidRPr="00E25884">
        <w:rPr>
          <w:rFonts w:ascii="Verdana" w:hAnsi="Verdana"/>
          <w:sz w:val="20"/>
          <w:szCs w:val="20"/>
        </w:rPr>
        <w:t xml:space="preserve"> se refirieron a los daños producidos a la integ</w:t>
      </w:r>
      <w:r w:rsidR="001D0391">
        <w:rPr>
          <w:rFonts w:ascii="Verdana" w:hAnsi="Verdana"/>
          <w:sz w:val="20"/>
          <w:szCs w:val="20"/>
        </w:rPr>
        <w:t>ridad física y el lucro cesante en perjuicio del señor Hernández</w:t>
      </w:r>
      <w:r w:rsidRPr="00E25884">
        <w:rPr>
          <w:rFonts w:ascii="Verdana" w:hAnsi="Verdana"/>
          <w:sz w:val="20"/>
          <w:szCs w:val="20"/>
        </w:rPr>
        <w:t xml:space="preserve">. </w:t>
      </w:r>
      <w:r w:rsidR="001D0391">
        <w:rPr>
          <w:rFonts w:ascii="Verdana" w:hAnsi="Verdana"/>
          <w:sz w:val="20"/>
          <w:szCs w:val="20"/>
        </w:rPr>
        <w:t xml:space="preserve">En ese sentido, alegaron que </w:t>
      </w:r>
      <w:proofErr w:type="gramStart"/>
      <w:r w:rsidR="001D0391">
        <w:rPr>
          <w:rFonts w:ascii="Verdana" w:hAnsi="Verdana"/>
          <w:sz w:val="20"/>
          <w:szCs w:val="20"/>
        </w:rPr>
        <w:t>las consecuencias a la</w:t>
      </w:r>
      <w:r w:rsidR="004A4784">
        <w:rPr>
          <w:rFonts w:ascii="Verdana" w:hAnsi="Verdana"/>
          <w:sz w:val="20"/>
          <w:szCs w:val="20"/>
        </w:rPr>
        <w:t xml:space="preserve"> </w:t>
      </w:r>
      <w:r w:rsidR="001D0391">
        <w:rPr>
          <w:rFonts w:ascii="Verdana" w:hAnsi="Verdana"/>
          <w:sz w:val="20"/>
          <w:szCs w:val="20"/>
        </w:rPr>
        <w:t>salud de la presunta víctima la imposibilitó totalmente</w:t>
      </w:r>
      <w:proofErr w:type="gramEnd"/>
      <w:r w:rsidR="0015328E">
        <w:rPr>
          <w:rFonts w:ascii="Verdana" w:hAnsi="Verdana"/>
          <w:sz w:val="20"/>
          <w:szCs w:val="20"/>
        </w:rPr>
        <w:t xml:space="preserve"> a</w:t>
      </w:r>
      <w:r w:rsidR="001D0391">
        <w:rPr>
          <w:rFonts w:ascii="Verdana" w:hAnsi="Verdana"/>
          <w:sz w:val="20"/>
          <w:szCs w:val="20"/>
        </w:rPr>
        <w:t xml:space="preserve"> continuar con sus estudios y lo limitó para conseguir algún trabajo hasta de “la menor jerarquía”</w:t>
      </w:r>
      <w:r w:rsidR="0015328E">
        <w:rPr>
          <w:rFonts w:ascii="Verdana" w:hAnsi="Verdana"/>
          <w:sz w:val="20"/>
          <w:szCs w:val="20"/>
        </w:rPr>
        <w:t>,</w:t>
      </w:r>
      <w:r w:rsidR="001D0391">
        <w:rPr>
          <w:rFonts w:ascii="Verdana" w:hAnsi="Verdana"/>
          <w:sz w:val="20"/>
          <w:szCs w:val="20"/>
        </w:rPr>
        <w:t xml:space="preserve"> por lo que tuvo que realizar trabajos de limpieza y sin ningún tipo de cobertura social o registro laboral. Asimismo, manifestaron respecto del daño psíquico que se vio totalmente privado de tener una vida social o establecer una relación de pareja. Respecto al cálculo de la suma que debía ser pagada, expresaron que debía ser calculada sobre el </w:t>
      </w:r>
      <w:r w:rsidR="00147CD9">
        <w:rPr>
          <w:rFonts w:ascii="Verdana" w:hAnsi="Verdana"/>
          <w:sz w:val="20"/>
          <w:szCs w:val="20"/>
        </w:rPr>
        <w:t xml:space="preserve">salario </w:t>
      </w:r>
      <w:r w:rsidR="001D0391">
        <w:rPr>
          <w:rFonts w:ascii="Verdana" w:hAnsi="Verdana"/>
          <w:sz w:val="20"/>
          <w:szCs w:val="20"/>
        </w:rPr>
        <w:t>mínimo vital</w:t>
      </w:r>
      <w:r w:rsidR="00147CD9">
        <w:rPr>
          <w:rFonts w:ascii="Verdana" w:hAnsi="Verdana"/>
          <w:sz w:val="20"/>
          <w:szCs w:val="20"/>
        </w:rPr>
        <w:t xml:space="preserve"> y de la forma en que debía ser pagado de conformidad con la legislación interna. Manifestaron que esta indemnización debe ser dirigida a su madre, quien a su vez sufrió afectaciones por daño moral.</w:t>
      </w:r>
    </w:p>
    <w:p w14:paraId="5C6BFCED" w14:textId="77777777" w:rsidR="00C97BC1" w:rsidRPr="001D0391" w:rsidRDefault="00C97BC1" w:rsidP="00C97BC1">
      <w:pPr>
        <w:widowControl w:val="0"/>
        <w:tabs>
          <w:tab w:val="left" w:pos="567"/>
        </w:tabs>
        <w:adjustRightInd w:val="0"/>
        <w:spacing w:after="0" w:line="240" w:lineRule="auto"/>
        <w:jc w:val="both"/>
        <w:textAlignment w:val="baseline"/>
        <w:rPr>
          <w:rFonts w:ascii="Verdana" w:hAnsi="Verdana"/>
          <w:sz w:val="20"/>
          <w:szCs w:val="20"/>
        </w:rPr>
      </w:pPr>
    </w:p>
    <w:p w14:paraId="35D2ECEF" w14:textId="1D900869" w:rsidR="005625D3" w:rsidRDefault="00147CD9" w:rsidP="005625D3">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b/>
          <w:sz w:val="20"/>
          <w:szCs w:val="20"/>
        </w:rPr>
      </w:pPr>
      <w:r w:rsidRPr="00EE0117">
        <w:rPr>
          <w:rFonts w:ascii="Verdana" w:hAnsi="Verdana"/>
          <w:sz w:val="20"/>
          <w:szCs w:val="20"/>
        </w:rPr>
        <w:t>E</w:t>
      </w:r>
      <w:r w:rsidR="00F410FC" w:rsidRPr="00EE0117">
        <w:rPr>
          <w:rFonts w:ascii="Verdana" w:hAnsi="Verdana"/>
          <w:sz w:val="20"/>
          <w:szCs w:val="20"/>
        </w:rPr>
        <w:t xml:space="preserve">l </w:t>
      </w:r>
      <w:r w:rsidR="00F410FC" w:rsidRPr="00EE0117">
        <w:rPr>
          <w:rFonts w:ascii="Verdana" w:hAnsi="Verdana"/>
          <w:b/>
          <w:i/>
          <w:sz w:val="20"/>
          <w:szCs w:val="20"/>
        </w:rPr>
        <w:t>Estado</w:t>
      </w:r>
      <w:r w:rsidR="00F410FC" w:rsidRPr="00EE0117">
        <w:rPr>
          <w:rFonts w:ascii="Verdana" w:hAnsi="Verdana"/>
          <w:sz w:val="20"/>
          <w:szCs w:val="20"/>
        </w:rPr>
        <w:t xml:space="preserve"> </w:t>
      </w:r>
      <w:r w:rsidRPr="00EE0117">
        <w:rPr>
          <w:rFonts w:ascii="Verdana" w:hAnsi="Verdana"/>
          <w:sz w:val="20"/>
          <w:szCs w:val="20"/>
        </w:rPr>
        <w:t xml:space="preserve">señaló que </w:t>
      </w:r>
      <w:r w:rsidR="00790ADD" w:rsidRPr="00EE0117">
        <w:rPr>
          <w:rFonts w:ascii="Verdana" w:hAnsi="Verdana"/>
          <w:sz w:val="20"/>
          <w:szCs w:val="20"/>
        </w:rPr>
        <w:t>la totalidad de las reparaciones pecuniarias solicitadas</w:t>
      </w:r>
      <w:r w:rsidRPr="00EE0117">
        <w:rPr>
          <w:rFonts w:ascii="Verdana" w:hAnsi="Verdana"/>
          <w:sz w:val="20"/>
          <w:szCs w:val="20"/>
        </w:rPr>
        <w:t xml:space="preserve"> no siguen criterios de razonabilidad, resultan exorbitantes y no están avaladas </w:t>
      </w:r>
      <w:r w:rsidR="00790ADD" w:rsidRPr="00EE0117">
        <w:rPr>
          <w:rFonts w:ascii="Verdana" w:hAnsi="Verdana"/>
          <w:sz w:val="20"/>
          <w:szCs w:val="20"/>
        </w:rPr>
        <w:t xml:space="preserve">por constancias fehacientes. </w:t>
      </w:r>
      <w:r w:rsidR="00BA2111" w:rsidRPr="00EE0117">
        <w:rPr>
          <w:rFonts w:ascii="Verdana" w:hAnsi="Verdana"/>
          <w:sz w:val="20"/>
          <w:szCs w:val="20"/>
        </w:rPr>
        <w:t xml:space="preserve">Adicionalmente, el Estado señaló que </w:t>
      </w:r>
      <w:r w:rsidR="00EE0117" w:rsidRPr="00EE0117">
        <w:rPr>
          <w:rFonts w:ascii="Verdana" w:hAnsi="Verdana"/>
          <w:sz w:val="20"/>
          <w:szCs w:val="20"/>
        </w:rPr>
        <w:t xml:space="preserve">el hecho de que el señor Hernández se haya visto sujeto a percances en su estado de salud con posterioridad al tiempo en que se vio privado de libertad constituyen elementos que escapan al objeto de análisis de estas actuaciones en la medida que no se ha demostrado que haya existido un nexo causal entre los efectos de la atención a su salud y los alegados padecimientos posteriores, </w:t>
      </w:r>
      <w:r w:rsidR="0015328E">
        <w:rPr>
          <w:rFonts w:ascii="Verdana" w:hAnsi="Verdana"/>
          <w:sz w:val="20"/>
          <w:szCs w:val="20"/>
        </w:rPr>
        <w:t>los cuales</w:t>
      </w:r>
      <w:r w:rsidR="00EE0117" w:rsidRPr="00EE0117">
        <w:rPr>
          <w:rFonts w:ascii="Verdana" w:hAnsi="Verdana"/>
          <w:sz w:val="20"/>
          <w:szCs w:val="20"/>
        </w:rPr>
        <w:t xml:space="preserve"> no han sido acreditados por medio alguno. De igual forma, señalaron que no existe medio probatorio alguno que acredite que haya sufrido una incapacidad laboral casi absoluta y que se haya visto impedido de formar una familia. Respecto a la madre, </w:t>
      </w:r>
      <w:r w:rsidR="0027201A" w:rsidRPr="00EE0117">
        <w:rPr>
          <w:rFonts w:ascii="Verdana" w:hAnsi="Verdana"/>
          <w:sz w:val="20"/>
          <w:szCs w:val="20"/>
        </w:rPr>
        <w:t xml:space="preserve">indicó que </w:t>
      </w:r>
      <w:r w:rsidRPr="00EE0117">
        <w:rPr>
          <w:rFonts w:ascii="Verdana" w:hAnsi="Verdana"/>
          <w:sz w:val="20"/>
          <w:szCs w:val="20"/>
        </w:rPr>
        <w:t>el</w:t>
      </w:r>
      <w:r w:rsidR="0027201A" w:rsidRPr="00EE0117">
        <w:rPr>
          <w:rFonts w:ascii="Verdana" w:hAnsi="Verdana"/>
          <w:sz w:val="20"/>
          <w:szCs w:val="20"/>
        </w:rPr>
        <w:t xml:space="preserve"> requerimiento de indemnización a la madre del señor</w:t>
      </w:r>
      <w:r w:rsidRPr="00EE0117">
        <w:rPr>
          <w:rFonts w:ascii="Verdana" w:hAnsi="Verdana"/>
          <w:sz w:val="20"/>
          <w:szCs w:val="20"/>
        </w:rPr>
        <w:t xml:space="preserve"> Hern</w:t>
      </w:r>
      <w:r w:rsidR="0027201A" w:rsidRPr="00EE0117">
        <w:rPr>
          <w:rFonts w:ascii="Verdana" w:hAnsi="Verdana"/>
          <w:sz w:val="20"/>
          <w:szCs w:val="20"/>
        </w:rPr>
        <w:t>ández por daño material e inmaterial causado a su hijo, quien falleciera 25 años después de los hechos</w:t>
      </w:r>
      <w:r w:rsidR="00BA2111" w:rsidRPr="00EE0117">
        <w:rPr>
          <w:rFonts w:ascii="Verdana" w:hAnsi="Verdana"/>
          <w:sz w:val="20"/>
          <w:szCs w:val="20"/>
        </w:rPr>
        <w:t>,</w:t>
      </w:r>
      <w:r w:rsidR="0027201A" w:rsidRPr="00EE0117">
        <w:rPr>
          <w:rFonts w:ascii="Verdana" w:hAnsi="Verdana"/>
          <w:sz w:val="20"/>
          <w:szCs w:val="20"/>
        </w:rPr>
        <w:t xml:space="preserve"> y por cuestiones que los propios representantes señalan en su alegato que tienen que ver con </w:t>
      </w:r>
      <w:r w:rsidR="00BA2111" w:rsidRPr="00EE0117">
        <w:rPr>
          <w:rFonts w:ascii="Verdana" w:hAnsi="Verdana"/>
          <w:sz w:val="20"/>
          <w:szCs w:val="20"/>
        </w:rPr>
        <w:t xml:space="preserve">su vida privada, </w:t>
      </w:r>
      <w:r w:rsidR="00EE0117" w:rsidRPr="00EE0117">
        <w:rPr>
          <w:rFonts w:ascii="Verdana" w:hAnsi="Verdana"/>
          <w:sz w:val="20"/>
          <w:szCs w:val="20"/>
        </w:rPr>
        <w:t>resultan desproporcionadas con las cuestiones que fueron debatidas en el proceso</w:t>
      </w:r>
      <w:r w:rsidR="005625D3" w:rsidRPr="00D56587">
        <w:rPr>
          <w:rFonts w:ascii="Verdana" w:hAnsi="Verdana"/>
          <w:sz w:val="20"/>
          <w:szCs w:val="20"/>
        </w:rPr>
        <w:t>.</w:t>
      </w:r>
    </w:p>
    <w:p w14:paraId="77D868AF" w14:textId="77777777" w:rsidR="005625D3" w:rsidRDefault="005625D3" w:rsidP="005625D3">
      <w:pPr>
        <w:widowControl w:val="0"/>
        <w:tabs>
          <w:tab w:val="left" w:pos="567"/>
        </w:tabs>
        <w:adjustRightInd w:val="0"/>
        <w:spacing w:after="0" w:line="240" w:lineRule="auto"/>
        <w:jc w:val="both"/>
        <w:textAlignment w:val="baseline"/>
        <w:rPr>
          <w:rFonts w:ascii="Verdana" w:hAnsi="Verdana"/>
          <w:b/>
          <w:sz w:val="20"/>
          <w:szCs w:val="20"/>
        </w:rPr>
      </w:pPr>
    </w:p>
    <w:p w14:paraId="4434F5F0" w14:textId="6175C19B" w:rsidR="005625D3" w:rsidRPr="005625D3" w:rsidRDefault="005625D3" w:rsidP="005625D3">
      <w:pPr>
        <w:widowControl w:val="0"/>
        <w:numPr>
          <w:ilvl w:val="0"/>
          <w:numId w:val="12"/>
        </w:numPr>
        <w:shd w:val="clear" w:color="auto" w:fill="FFFFFF" w:themeFill="background1"/>
        <w:tabs>
          <w:tab w:val="left" w:pos="567"/>
          <w:tab w:val="num" w:pos="12305"/>
        </w:tabs>
        <w:adjustRightInd w:val="0"/>
        <w:spacing w:after="0" w:line="240" w:lineRule="auto"/>
        <w:ind w:left="0" w:firstLine="0"/>
        <w:jc w:val="both"/>
        <w:textAlignment w:val="baseline"/>
        <w:rPr>
          <w:rFonts w:ascii="Verdana" w:hAnsi="Verdana"/>
          <w:b/>
          <w:sz w:val="20"/>
          <w:szCs w:val="20"/>
        </w:rPr>
      </w:pPr>
      <w:r w:rsidRPr="005625D3">
        <w:rPr>
          <w:rFonts w:ascii="Verdana" w:hAnsi="Verdana"/>
          <w:sz w:val="20"/>
          <w:szCs w:val="20"/>
        </w:rPr>
        <w:t>Respecto al daño material, este Tribunal ha desarrollado en su jurisprudencia que el mismo supone la pérdida o detrimento de los ingresos de las víctimas, los gastos efectuados con motivo de los hechos y las consecuencias de carácter pecuniario que tengan un nexo causal con los hechos del caso</w:t>
      </w:r>
      <w:r w:rsidRPr="005625D3">
        <w:rPr>
          <w:rStyle w:val="Refdenotaalpie"/>
        </w:rPr>
        <w:footnoteReference w:id="237"/>
      </w:r>
      <w:r w:rsidRPr="005625D3">
        <w:rPr>
          <w:rFonts w:ascii="Verdana" w:hAnsi="Verdana"/>
          <w:sz w:val="20"/>
          <w:szCs w:val="20"/>
        </w:rPr>
        <w:t>. En el presente caso, la Corte determinó que se violó el derecho del señor Hernández a la</w:t>
      </w:r>
      <w:r w:rsidR="0024556C">
        <w:rPr>
          <w:rFonts w:ascii="Verdana" w:hAnsi="Verdana"/>
          <w:sz w:val="20"/>
          <w:szCs w:val="20"/>
        </w:rPr>
        <w:t xml:space="preserve"> salud,</w:t>
      </w:r>
      <w:r w:rsidRPr="005625D3">
        <w:rPr>
          <w:rFonts w:ascii="Verdana" w:hAnsi="Verdana"/>
          <w:sz w:val="20"/>
          <w:szCs w:val="20"/>
        </w:rPr>
        <w:t xml:space="preserve"> integridad personal, libertad personal, garantías judiciales y protección judicial. </w:t>
      </w:r>
      <w:r w:rsidRPr="005625D3">
        <w:rPr>
          <w:rFonts w:ascii="Verdana" w:hAnsi="Verdana"/>
          <w:sz w:val="20"/>
          <w:szCs w:val="20"/>
          <w:shd w:val="clear" w:color="auto" w:fill="FFFFFF" w:themeFill="background1"/>
        </w:rPr>
        <w:t>Si bien los representantes no aportaron prueba concreta que permitiera determinar la cuantía del lucro cesante derivado de las violaciones reconocidas en esta Sentencia, ni establecer con certeza el salario mínimo vigente en la época de los hechos, la expectativa de vida ni el grado de incapacidad sufrido por el señor Hernández como consecuencia de la enfermedad que padeció durante su custodia por parte del Estado, la Corte advierte las afectaciones permanentes que las omisiones atribuibles al Estado ocasionaron a la salud e integridad física del señor Hernández, y la consecuente alteración que las mismas implicaron respecto a las condiciones materiales de su existencia</w:t>
      </w:r>
      <w:r>
        <w:rPr>
          <w:rFonts w:ascii="Verdana" w:hAnsi="Verdana"/>
          <w:sz w:val="20"/>
          <w:szCs w:val="20"/>
          <w:shd w:val="clear" w:color="auto" w:fill="FFFFFF" w:themeFill="background1"/>
        </w:rPr>
        <w:t>.</w:t>
      </w:r>
    </w:p>
    <w:p w14:paraId="3ECBD579" w14:textId="77777777" w:rsidR="005625D3" w:rsidRPr="005625D3" w:rsidRDefault="005625D3" w:rsidP="005625D3">
      <w:pPr>
        <w:widowControl w:val="0"/>
        <w:tabs>
          <w:tab w:val="left" w:pos="567"/>
        </w:tabs>
        <w:adjustRightInd w:val="0"/>
        <w:spacing w:after="0" w:line="240" w:lineRule="auto"/>
        <w:jc w:val="both"/>
        <w:textAlignment w:val="baseline"/>
        <w:rPr>
          <w:rFonts w:ascii="Verdana" w:hAnsi="Verdana"/>
          <w:b/>
          <w:sz w:val="20"/>
          <w:szCs w:val="20"/>
        </w:rPr>
      </w:pPr>
    </w:p>
    <w:p w14:paraId="2CC96244" w14:textId="77777777" w:rsidR="00D23C62" w:rsidRPr="005625D3" w:rsidRDefault="005625D3" w:rsidP="005625D3">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b/>
          <w:sz w:val="20"/>
          <w:szCs w:val="20"/>
        </w:rPr>
      </w:pPr>
      <w:r w:rsidRPr="005625D3">
        <w:rPr>
          <w:rFonts w:ascii="Verdana" w:hAnsi="Verdana"/>
          <w:sz w:val="20"/>
          <w:szCs w:val="20"/>
        </w:rPr>
        <w:t>Por consiguiente, la Corte juzga pertinente ordenar, en equidad, como lo ha hecho en casos de similar naturaleza</w:t>
      </w:r>
      <w:r w:rsidRPr="005625D3">
        <w:rPr>
          <w:rStyle w:val="Refdenotaalpie"/>
        </w:rPr>
        <w:footnoteReference w:id="238"/>
      </w:r>
      <w:r w:rsidRPr="005625D3">
        <w:rPr>
          <w:rFonts w:ascii="Verdana" w:hAnsi="Verdana"/>
          <w:sz w:val="20"/>
          <w:szCs w:val="20"/>
        </w:rPr>
        <w:t>, el pago de US$</w:t>
      </w:r>
      <w:r w:rsidRPr="005625D3">
        <w:rPr>
          <w:rFonts w:ascii="Verdana" w:eastAsia="Arial" w:hAnsi="Verdana" w:cs="Arial"/>
          <w:sz w:val="20"/>
          <w:szCs w:val="20"/>
          <w:lang w:val="es-ES"/>
        </w:rPr>
        <w:t xml:space="preserve">20.000 </w:t>
      </w:r>
      <w:r w:rsidRPr="005625D3">
        <w:rPr>
          <w:rFonts w:ascii="Verdana" w:hAnsi="Verdana"/>
          <w:sz w:val="20"/>
          <w:szCs w:val="20"/>
        </w:rPr>
        <w:t>(veinte mil dólares de los Estados Unidos de América) por concepto de daño material, suma que deberá ser entregada a la señora San Martín de Hernández, en calidad de beneficiaria del señor Hernández, en el plazo fijado más adelante en esta Sentencia.</w:t>
      </w:r>
    </w:p>
    <w:p w14:paraId="44CBA657" w14:textId="77777777" w:rsidR="00C97BC1" w:rsidRPr="00D23C62" w:rsidRDefault="00C97BC1" w:rsidP="00C97BC1">
      <w:pPr>
        <w:widowControl w:val="0"/>
        <w:tabs>
          <w:tab w:val="left" w:pos="567"/>
        </w:tabs>
        <w:adjustRightInd w:val="0"/>
        <w:spacing w:after="0" w:line="240" w:lineRule="auto"/>
        <w:jc w:val="both"/>
        <w:textAlignment w:val="baseline"/>
        <w:rPr>
          <w:rFonts w:ascii="Verdana" w:eastAsia="Arial" w:hAnsi="Verdana" w:cs="Arial"/>
          <w:b/>
          <w:sz w:val="20"/>
          <w:szCs w:val="20"/>
          <w:lang w:val="es-ES"/>
        </w:rPr>
      </w:pPr>
    </w:p>
    <w:p w14:paraId="38DE512E" w14:textId="6EFF7039" w:rsidR="0015328E" w:rsidRDefault="00175243" w:rsidP="0015328E">
      <w:pPr>
        <w:widowControl w:val="0"/>
        <w:numPr>
          <w:ilvl w:val="0"/>
          <w:numId w:val="12"/>
        </w:numPr>
        <w:shd w:val="clear" w:color="auto" w:fill="FFFFFF" w:themeFill="background1"/>
        <w:tabs>
          <w:tab w:val="left" w:pos="567"/>
          <w:tab w:val="num" w:pos="709"/>
          <w:tab w:val="num" w:pos="1569"/>
          <w:tab w:val="num" w:pos="12305"/>
        </w:tabs>
        <w:adjustRightInd w:val="0"/>
        <w:spacing w:after="0" w:line="240" w:lineRule="auto"/>
        <w:ind w:left="0" w:firstLine="0"/>
        <w:jc w:val="both"/>
        <w:textAlignment w:val="baseline"/>
        <w:rPr>
          <w:rFonts w:ascii="Verdana" w:eastAsia="Calibri" w:hAnsi="Verdana"/>
          <w:sz w:val="20"/>
          <w:szCs w:val="20"/>
          <w:lang w:val="es-ES" w:eastAsia="es-ES"/>
        </w:rPr>
      </w:pPr>
      <w:r w:rsidRPr="00193290">
        <w:rPr>
          <w:rFonts w:ascii="Verdana" w:eastAsia="Calibri" w:hAnsi="Verdana"/>
          <w:sz w:val="20"/>
          <w:szCs w:val="20"/>
          <w:lang w:val="es-ES" w:eastAsia="es-ES"/>
        </w:rPr>
        <w:t>En cuanto al daño inmaterial</w:t>
      </w:r>
      <w:r w:rsidR="0015328E">
        <w:rPr>
          <w:rFonts w:ascii="Verdana" w:eastAsia="Calibri" w:hAnsi="Verdana"/>
          <w:sz w:val="20"/>
          <w:szCs w:val="20"/>
          <w:lang w:val="es-ES" w:eastAsia="es-ES"/>
        </w:rPr>
        <w:t>,</w:t>
      </w:r>
      <w:r w:rsidRPr="00193290">
        <w:rPr>
          <w:rFonts w:ascii="Verdana" w:eastAsia="Calibri" w:hAnsi="Verdana"/>
          <w:sz w:val="20"/>
          <w:szCs w:val="20"/>
          <w:lang w:val="es-ES" w:eastAsia="es-ES"/>
        </w:rPr>
        <w:t xml:space="preserve"> este Tribunal ha determinado qu</w:t>
      </w:r>
      <w:r w:rsidR="0015328E">
        <w:rPr>
          <w:rFonts w:ascii="Verdana" w:eastAsia="Calibri" w:hAnsi="Verdana"/>
          <w:sz w:val="20"/>
          <w:szCs w:val="20"/>
          <w:lang w:val="es-ES" w:eastAsia="es-ES"/>
        </w:rPr>
        <w:t xml:space="preserve">e </w:t>
      </w:r>
      <w:r w:rsidRPr="00193290">
        <w:rPr>
          <w:rFonts w:ascii="Verdana" w:eastAsia="Calibri" w:hAnsi="Verdana"/>
          <w:sz w:val="20"/>
          <w:szCs w:val="20"/>
          <w:lang w:val="es-ES" w:eastAsia="es-ES"/>
        </w:rPr>
        <w:t xml:space="preserve">puede comprender tanto los </w:t>
      </w:r>
      <w:r w:rsidRPr="00193290">
        <w:rPr>
          <w:rFonts w:ascii="Verdana" w:eastAsia="Calibri" w:hAnsi="Verdana"/>
          <w:sz w:val="20"/>
          <w:szCs w:val="20"/>
          <w:lang w:val="es-ES" w:eastAsia="es-ES"/>
        </w:rPr>
        <w:lastRenderedPageBreak/>
        <w:t>sufrimientos y las aflicciones causados a la víctima directa y a sus allegados, el menoscabo de valores muy significativos para las personas, así como las alteraciones, de carácter no pecuniario, en las condiciones de existenc</w:t>
      </w:r>
      <w:r w:rsidR="0015328E">
        <w:rPr>
          <w:rFonts w:ascii="Verdana" w:eastAsia="Calibri" w:hAnsi="Verdana"/>
          <w:sz w:val="20"/>
          <w:szCs w:val="20"/>
          <w:lang w:val="es-ES" w:eastAsia="es-ES"/>
        </w:rPr>
        <w:t>ia de la víctima o su familia</w:t>
      </w:r>
      <w:r w:rsidRPr="00175243">
        <w:rPr>
          <w:rFonts w:ascii="Verdana" w:eastAsia="Calibri" w:hAnsi="Verdana"/>
          <w:sz w:val="20"/>
          <w:szCs w:val="20"/>
          <w:vertAlign w:val="superscript"/>
          <w:lang w:val="es-ES" w:eastAsia="es-ES"/>
        </w:rPr>
        <w:footnoteReference w:id="239"/>
      </w:r>
      <w:r w:rsidRPr="00193290">
        <w:rPr>
          <w:rFonts w:ascii="Verdana" w:eastAsia="Calibri" w:hAnsi="Verdana"/>
          <w:sz w:val="20"/>
          <w:szCs w:val="20"/>
          <w:lang w:val="es-ES" w:eastAsia="es-ES"/>
        </w:rPr>
        <w:t xml:space="preserve">. </w:t>
      </w:r>
      <w:r w:rsidR="00193290" w:rsidRPr="00193290">
        <w:rPr>
          <w:rFonts w:ascii="Verdana" w:hAnsi="Verdana"/>
          <w:sz w:val="20"/>
          <w:szCs w:val="20"/>
        </w:rPr>
        <w:t>En razón de lo anterior</w:t>
      </w:r>
      <w:r w:rsidR="00D23C62" w:rsidRPr="00193290">
        <w:rPr>
          <w:rFonts w:ascii="Verdana" w:hAnsi="Verdana"/>
          <w:sz w:val="20"/>
          <w:szCs w:val="20"/>
        </w:rPr>
        <w:t xml:space="preserve">, considerando las circunstancias del presente caso, los sufrimientos que las violaciones cometidas causaron </w:t>
      </w:r>
      <w:r w:rsidR="00193290" w:rsidRPr="00193290">
        <w:rPr>
          <w:rFonts w:ascii="Verdana" w:hAnsi="Verdana"/>
          <w:sz w:val="20"/>
          <w:szCs w:val="20"/>
        </w:rPr>
        <w:t>al señor Hernández</w:t>
      </w:r>
      <w:r w:rsidR="00D23C62" w:rsidRPr="00193290">
        <w:rPr>
          <w:rFonts w:ascii="Verdana" w:hAnsi="Verdana"/>
          <w:sz w:val="20"/>
          <w:szCs w:val="20"/>
        </w:rPr>
        <w:t>, así como las restantes consecuencias de orden inmaterial que sufrió, la Corte estima pertinente fijar</w:t>
      </w:r>
      <w:r w:rsidR="00193290" w:rsidRPr="00193290">
        <w:rPr>
          <w:rFonts w:ascii="Verdana" w:hAnsi="Verdana"/>
          <w:sz w:val="20"/>
          <w:szCs w:val="20"/>
        </w:rPr>
        <w:t>,</w:t>
      </w:r>
      <w:r w:rsidR="00D23C62" w:rsidRPr="00193290">
        <w:rPr>
          <w:rFonts w:ascii="Verdana" w:hAnsi="Verdana"/>
          <w:sz w:val="20"/>
          <w:szCs w:val="20"/>
        </w:rPr>
        <w:t xml:space="preserve"> en equidad, por concepto de daño inmaterial, una indemnización equivalente a </w:t>
      </w:r>
      <w:r w:rsidRPr="00193290">
        <w:rPr>
          <w:rFonts w:ascii="Verdana" w:hAnsi="Verdana"/>
          <w:sz w:val="20"/>
          <w:szCs w:val="20"/>
          <w:lang w:val="es-ES"/>
        </w:rPr>
        <w:t>US$30.000 (treinta mil dólares de los Estados Unidos de América) a favor del señor Hernández. Esta suma deberá ser entregada a la señora San Martín de Hernández como beneficiaria del señor Hernández.</w:t>
      </w:r>
      <w:r w:rsidR="00193290">
        <w:rPr>
          <w:rFonts w:ascii="Verdana" w:hAnsi="Verdana"/>
          <w:sz w:val="20"/>
          <w:szCs w:val="20"/>
          <w:lang w:val="es-ES"/>
        </w:rPr>
        <w:t xml:space="preserve"> </w:t>
      </w:r>
    </w:p>
    <w:p w14:paraId="5213614F" w14:textId="77777777" w:rsidR="0015328E" w:rsidRPr="0015328E" w:rsidRDefault="0015328E" w:rsidP="0015328E">
      <w:pPr>
        <w:widowControl w:val="0"/>
        <w:shd w:val="clear" w:color="auto" w:fill="FFFFFF" w:themeFill="background1"/>
        <w:tabs>
          <w:tab w:val="left" w:pos="567"/>
          <w:tab w:val="num" w:pos="1569"/>
          <w:tab w:val="num" w:pos="12305"/>
        </w:tabs>
        <w:adjustRightInd w:val="0"/>
        <w:spacing w:after="0" w:line="240" w:lineRule="auto"/>
        <w:jc w:val="both"/>
        <w:textAlignment w:val="baseline"/>
        <w:rPr>
          <w:rFonts w:ascii="Verdana" w:eastAsia="Calibri" w:hAnsi="Verdana"/>
          <w:sz w:val="20"/>
          <w:szCs w:val="20"/>
          <w:lang w:val="es-ES" w:eastAsia="es-ES"/>
        </w:rPr>
      </w:pPr>
    </w:p>
    <w:p w14:paraId="53B93710" w14:textId="5B3F3B90" w:rsidR="00175243" w:rsidRPr="00193290" w:rsidRDefault="00175243" w:rsidP="00CC4139">
      <w:pPr>
        <w:widowControl w:val="0"/>
        <w:numPr>
          <w:ilvl w:val="0"/>
          <w:numId w:val="12"/>
        </w:numPr>
        <w:shd w:val="clear" w:color="auto" w:fill="FFFFFF" w:themeFill="background1"/>
        <w:tabs>
          <w:tab w:val="left" w:pos="567"/>
          <w:tab w:val="num" w:pos="709"/>
          <w:tab w:val="num" w:pos="1569"/>
          <w:tab w:val="num" w:pos="12305"/>
        </w:tabs>
        <w:adjustRightInd w:val="0"/>
        <w:spacing w:after="0" w:line="240" w:lineRule="auto"/>
        <w:ind w:left="0" w:firstLine="0"/>
        <w:jc w:val="both"/>
        <w:textAlignment w:val="baseline"/>
        <w:rPr>
          <w:rFonts w:ascii="Verdana" w:eastAsia="Calibri" w:hAnsi="Verdana"/>
          <w:sz w:val="20"/>
          <w:szCs w:val="20"/>
          <w:lang w:val="es-ES" w:eastAsia="es-ES"/>
        </w:rPr>
      </w:pPr>
      <w:r w:rsidRPr="00193290">
        <w:rPr>
          <w:rFonts w:ascii="Verdana" w:eastAsia="Calibri" w:hAnsi="Verdana"/>
          <w:sz w:val="20"/>
          <w:szCs w:val="20"/>
          <w:lang w:val="es-ES" w:eastAsia="es-ES"/>
        </w:rPr>
        <w:t xml:space="preserve">Adicionalmente, en vista de la violación acreditada en perjuicio de la madre de la víctima, que derivaron en afectaciones </w:t>
      </w:r>
      <w:r w:rsidR="0015328E">
        <w:rPr>
          <w:rFonts w:ascii="Verdana" w:eastAsia="Calibri" w:hAnsi="Verdana"/>
          <w:sz w:val="20"/>
          <w:szCs w:val="20"/>
          <w:lang w:val="es-ES" w:eastAsia="es-ES"/>
        </w:rPr>
        <w:t>a su integridad personal</w:t>
      </w:r>
      <w:r w:rsidRPr="00193290">
        <w:rPr>
          <w:rFonts w:ascii="Verdana" w:eastAsia="Calibri" w:hAnsi="Verdana"/>
          <w:sz w:val="20"/>
          <w:szCs w:val="20"/>
          <w:lang w:val="es-ES" w:eastAsia="es-ES"/>
        </w:rPr>
        <w:t>, la Corte fija</w:t>
      </w:r>
      <w:r w:rsidR="0015328E">
        <w:rPr>
          <w:rFonts w:ascii="Verdana" w:eastAsia="Calibri" w:hAnsi="Verdana"/>
          <w:sz w:val="20"/>
          <w:szCs w:val="20"/>
          <w:lang w:val="es-ES" w:eastAsia="es-ES"/>
        </w:rPr>
        <w:t>,</w:t>
      </w:r>
      <w:r w:rsidRPr="00193290">
        <w:rPr>
          <w:rFonts w:ascii="Verdana" w:eastAsia="Calibri" w:hAnsi="Verdana"/>
          <w:sz w:val="20"/>
          <w:szCs w:val="20"/>
          <w:lang w:val="es-ES" w:eastAsia="es-ES"/>
        </w:rPr>
        <w:t xml:space="preserve"> en equidad, </w:t>
      </w:r>
      <w:r w:rsidRPr="00193290">
        <w:rPr>
          <w:rFonts w:ascii="Verdana" w:hAnsi="Verdana"/>
          <w:sz w:val="20"/>
          <w:szCs w:val="20"/>
          <w:lang w:val="es-ES"/>
        </w:rPr>
        <w:t>la suma de US$15.000 (quince mil dólares de los Estados Unidos de América) a favor de la señora Raquel San Martín de Hernández, por concepto de daño inmaterial.</w:t>
      </w:r>
    </w:p>
    <w:p w14:paraId="03824A64" w14:textId="77777777" w:rsidR="00C97BC1" w:rsidRPr="00D23C62" w:rsidRDefault="00C97BC1" w:rsidP="00C97BC1">
      <w:pPr>
        <w:widowControl w:val="0"/>
        <w:tabs>
          <w:tab w:val="left" w:pos="567"/>
        </w:tabs>
        <w:adjustRightInd w:val="0"/>
        <w:spacing w:after="0" w:line="240" w:lineRule="auto"/>
        <w:jc w:val="both"/>
        <w:textAlignment w:val="baseline"/>
        <w:rPr>
          <w:rFonts w:ascii="Verdana" w:eastAsia="Arial" w:hAnsi="Verdana" w:cs="Arial"/>
          <w:b/>
          <w:sz w:val="20"/>
          <w:szCs w:val="20"/>
          <w:lang w:val="es-ES"/>
        </w:rPr>
      </w:pPr>
    </w:p>
    <w:p w14:paraId="386C8F2F" w14:textId="5162559D" w:rsidR="00F410FC" w:rsidRPr="00E25884" w:rsidRDefault="0029758A" w:rsidP="00C97BC1">
      <w:pPr>
        <w:pStyle w:val="Ttulo2"/>
        <w:numPr>
          <w:ilvl w:val="0"/>
          <w:numId w:val="0"/>
        </w:numPr>
        <w:ind w:left="928"/>
        <w:rPr>
          <w:b w:val="0"/>
          <w:i w:val="0"/>
        </w:rPr>
      </w:pPr>
      <w:bookmarkStart w:id="92" w:name="_Toc27509195"/>
      <w:r w:rsidRPr="004350D8">
        <w:rPr>
          <w:i w:val="0"/>
        </w:rPr>
        <w:t>D</w:t>
      </w:r>
      <w:r w:rsidR="00F410FC" w:rsidRPr="004350D8">
        <w:rPr>
          <w:i w:val="0"/>
        </w:rPr>
        <w:t>.</w:t>
      </w:r>
      <w:r w:rsidR="00F410FC" w:rsidRPr="004350D8">
        <w:rPr>
          <w:i w:val="0"/>
        </w:rPr>
        <w:tab/>
        <w:t>Costas y gastos</w:t>
      </w:r>
      <w:bookmarkEnd w:id="92"/>
    </w:p>
    <w:p w14:paraId="37BDC209" w14:textId="77777777" w:rsidR="00C97BC1" w:rsidRDefault="00C97BC1" w:rsidP="00C97BC1">
      <w:pPr>
        <w:widowControl w:val="0"/>
        <w:tabs>
          <w:tab w:val="left" w:pos="567"/>
        </w:tabs>
        <w:adjustRightInd w:val="0"/>
        <w:spacing w:after="0" w:line="240" w:lineRule="auto"/>
        <w:jc w:val="both"/>
        <w:textAlignment w:val="baseline"/>
        <w:rPr>
          <w:rFonts w:ascii="Verdana" w:hAnsi="Verdana"/>
          <w:sz w:val="20"/>
          <w:szCs w:val="20"/>
        </w:rPr>
      </w:pPr>
    </w:p>
    <w:p w14:paraId="05C9A372" w14:textId="20FE304D" w:rsidR="00F410FC" w:rsidRDefault="00F410FC"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sz w:val="20"/>
          <w:szCs w:val="20"/>
        </w:rPr>
      </w:pPr>
      <w:r w:rsidRPr="00E25884">
        <w:rPr>
          <w:rFonts w:ascii="Verdana" w:hAnsi="Verdana"/>
          <w:sz w:val="20"/>
          <w:szCs w:val="20"/>
        </w:rPr>
        <w:t xml:space="preserve">Los </w:t>
      </w:r>
      <w:r w:rsidRPr="00E25884">
        <w:rPr>
          <w:rFonts w:ascii="Verdana" w:hAnsi="Verdana"/>
          <w:b/>
          <w:i/>
          <w:sz w:val="20"/>
          <w:szCs w:val="20"/>
        </w:rPr>
        <w:t>representantes</w:t>
      </w:r>
      <w:r w:rsidRPr="00E25884">
        <w:rPr>
          <w:rFonts w:ascii="Verdana" w:hAnsi="Verdana"/>
          <w:sz w:val="20"/>
          <w:szCs w:val="20"/>
        </w:rPr>
        <w:t xml:space="preserve"> señalaron que “[l]as costas que se reclaman corresponden a la labor profesional de los dos abogados intervinientes tanto ante la Comisión Interamericana como ante la Corte Interamericana”. </w:t>
      </w:r>
      <w:r w:rsidR="00800792" w:rsidRPr="00E25884">
        <w:rPr>
          <w:rFonts w:ascii="Verdana" w:hAnsi="Verdana"/>
          <w:sz w:val="20"/>
          <w:szCs w:val="20"/>
        </w:rPr>
        <w:t xml:space="preserve">Además de lo anterior, en su escrito de Alegatos Finales Escritos, solicitaron a la Corte que tenga en cuenta que “el caso ante la Comisión fue presentado en el año 1998”, y que después de esa fecha […] el peticionario ha incurrido en distintos tipos de fastos, incluidos honorarios profesionales de sus representantes legales”. </w:t>
      </w:r>
      <w:r w:rsidRPr="00E25884">
        <w:rPr>
          <w:rFonts w:ascii="Verdana" w:hAnsi="Verdana"/>
          <w:sz w:val="20"/>
          <w:szCs w:val="20"/>
        </w:rPr>
        <w:t xml:space="preserve">El </w:t>
      </w:r>
      <w:r w:rsidRPr="00E25884">
        <w:rPr>
          <w:rFonts w:ascii="Verdana" w:hAnsi="Verdana"/>
          <w:b/>
          <w:i/>
          <w:sz w:val="20"/>
          <w:szCs w:val="20"/>
        </w:rPr>
        <w:t>Estado</w:t>
      </w:r>
      <w:r w:rsidRPr="00E25884">
        <w:rPr>
          <w:rFonts w:ascii="Verdana" w:hAnsi="Verdana"/>
          <w:sz w:val="20"/>
          <w:szCs w:val="20"/>
        </w:rPr>
        <w:t xml:space="preserve"> no se refirió a esta medida.</w:t>
      </w:r>
    </w:p>
    <w:p w14:paraId="23900D87" w14:textId="77777777" w:rsidR="00C97BC1" w:rsidRPr="00E25884" w:rsidRDefault="00C97BC1" w:rsidP="00C97BC1">
      <w:pPr>
        <w:widowControl w:val="0"/>
        <w:tabs>
          <w:tab w:val="left" w:pos="567"/>
        </w:tabs>
        <w:adjustRightInd w:val="0"/>
        <w:spacing w:after="0" w:line="240" w:lineRule="auto"/>
        <w:jc w:val="both"/>
        <w:textAlignment w:val="baseline"/>
        <w:rPr>
          <w:rFonts w:ascii="Verdana" w:hAnsi="Verdana"/>
          <w:sz w:val="20"/>
          <w:szCs w:val="20"/>
        </w:rPr>
      </w:pPr>
    </w:p>
    <w:p w14:paraId="6863C7F6" w14:textId="77777777" w:rsidR="006520C4" w:rsidRPr="00C97BC1" w:rsidRDefault="006520C4"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cs="Arial"/>
          <w:b/>
          <w:sz w:val="20"/>
          <w:szCs w:val="20"/>
          <w:lang w:val="es-CR"/>
        </w:rPr>
      </w:pPr>
      <w:r w:rsidRPr="00E25884">
        <w:rPr>
          <w:rFonts w:ascii="Verdana" w:hAnsi="Verdana"/>
          <w:sz w:val="20"/>
          <w:szCs w:val="20"/>
        </w:rPr>
        <w:t>La Corte reitera que, conforme a su jurisprudencia</w:t>
      </w:r>
      <w:r w:rsidRPr="00E25884">
        <w:rPr>
          <w:rStyle w:val="Refdenotaalpie"/>
          <w:rFonts w:ascii="Verdana" w:hAnsi="Verdana"/>
          <w:sz w:val="20"/>
          <w:szCs w:val="20"/>
        </w:rPr>
        <w:footnoteReference w:id="240"/>
      </w:r>
      <w:r w:rsidRPr="00E25884">
        <w:rPr>
          <w:rFonts w:ascii="Verdana" w:hAnsi="Verdana"/>
          <w:sz w:val="20"/>
          <w:szCs w:val="20"/>
        </w:rPr>
        <w:t>, las costas y gastos hacen parte del concepto de reparación, toda vez que la actividad desplegada por las víctimas con el fin de obtener justicia, tanto a nivel nacional como internacional, implica erogaciones que deben ser compensadas cuando la responsabilidad internacional del Estado es declarada mediante una sentencia condenatoria. En cuanto al reembolso de las costas y gastos, corresponde al Tribunal apreciar prudentemente su alcance, el cual comprende los gastos generados ante las autoridades de la jurisdicción interna, así como los generados en el curso del proceso ante el Sistema Interamericano, teniendo en cuenta las circunstancias del caso concreto y la naturaleza de la jurisdicción internacional de protección de los derechos humanos. Esta apreciación puede ser realizada con base en el principio de equidad y tomando en cuenta los gastos señalados por las partes, siempre que su quantum sea razonable</w:t>
      </w:r>
      <w:r w:rsidRPr="00E25884">
        <w:rPr>
          <w:rStyle w:val="Refdenotaalpie"/>
          <w:rFonts w:ascii="Verdana" w:hAnsi="Verdana"/>
          <w:sz w:val="20"/>
          <w:szCs w:val="20"/>
        </w:rPr>
        <w:footnoteReference w:id="241"/>
      </w:r>
      <w:r w:rsidRPr="00E25884">
        <w:rPr>
          <w:rFonts w:ascii="Verdana" w:hAnsi="Verdana"/>
          <w:sz w:val="20"/>
          <w:szCs w:val="20"/>
        </w:rPr>
        <w:t>.</w:t>
      </w:r>
    </w:p>
    <w:p w14:paraId="56FB12FD" w14:textId="77777777" w:rsidR="00C97BC1" w:rsidRPr="00E25884" w:rsidRDefault="00C97BC1" w:rsidP="00C97BC1">
      <w:pPr>
        <w:widowControl w:val="0"/>
        <w:tabs>
          <w:tab w:val="left" w:pos="567"/>
        </w:tabs>
        <w:adjustRightInd w:val="0"/>
        <w:spacing w:after="0" w:line="240" w:lineRule="auto"/>
        <w:jc w:val="both"/>
        <w:textAlignment w:val="baseline"/>
        <w:rPr>
          <w:rFonts w:ascii="Verdana" w:hAnsi="Verdana" w:cs="Arial"/>
          <w:b/>
          <w:sz w:val="20"/>
          <w:szCs w:val="20"/>
          <w:lang w:val="es-CR"/>
        </w:rPr>
      </w:pPr>
    </w:p>
    <w:p w14:paraId="79145FF4" w14:textId="77777777" w:rsidR="006520C4" w:rsidRPr="00C97BC1" w:rsidRDefault="006520C4"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cs="Arial"/>
          <w:b/>
          <w:sz w:val="20"/>
          <w:szCs w:val="20"/>
          <w:lang w:val="es-CR"/>
        </w:rPr>
      </w:pPr>
      <w:r w:rsidRPr="00E25884">
        <w:rPr>
          <w:rFonts w:ascii="Verdana" w:hAnsi="Verdana"/>
          <w:sz w:val="20"/>
          <w:szCs w:val="20"/>
        </w:rPr>
        <w:t>Este Tribunal ha señalado que “las pretensiones de las víctimas o sus representantes en materia de costas y gastos, y las pruebas que las sustentan, deben presentarse a la Corte en el primer momento procesal que se les concede, esto es, en el escrito de solicitudes y argumentos, sin perjuicio de que tales pretensiones se actualicen en un momento posterior, conforme a las nuevas costas y gastos en que se haya incurrido con ocasión del procedimiento ante esta Corte”</w:t>
      </w:r>
      <w:r w:rsidRPr="00E25884">
        <w:rPr>
          <w:rStyle w:val="Refdenotaalpie"/>
          <w:rFonts w:ascii="Verdana" w:hAnsi="Verdana"/>
          <w:sz w:val="20"/>
          <w:szCs w:val="20"/>
        </w:rPr>
        <w:footnoteReference w:id="242"/>
      </w:r>
      <w:r w:rsidRPr="00E25884">
        <w:rPr>
          <w:rFonts w:ascii="Verdana" w:hAnsi="Verdana"/>
          <w:sz w:val="20"/>
          <w:szCs w:val="20"/>
        </w:rPr>
        <w:t xml:space="preserve">. </w:t>
      </w:r>
      <w:r w:rsidRPr="00E25884">
        <w:rPr>
          <w:rFonts w:ascii="Verdana" w:hAnsi="Verdana"/>
          <w:sz w:val="20"/>
          <w:szCs w:val="20"/>
        </w:rPr>
        <w:lastRenderedPageBreak/>
        <w:t>Asimismo, la Corte reitera que “no es suficiente la remisión de documentos probatorios, sino que se requiere que las partes hagan una argumentación que relacione la prueba con el hecho que se considera representado, y que, al tratarse de alegados desembolsos económicos, se establezcan con claridad los rubros y la justificación de los mismos”</w:t>
      </w:r>
      <w:r w:rsidRPr="00E25884">
        <w:rPr>
          <w:rStyle w:val="Refdenotaalpie"/>
          <w:rFonts w:ascii="Verdana" w:hAnsi="Verdana"/>
          <w:sz w:val="20"/>
          <w:szCs w:val="20"/>
        </w:rPr>
        <w:footnoteReference w:id="243"/>
      </w:r>
      <w:r w:rsidRPr="00E25884">
        <w:rPr>
          <w:rFonts w:ascii="Verdana" w:hAnsi="Verdana"/>
          <w:sz w:val="20"/>
          <w:szCs w:val="20"/>
        </w:rPr>
        <w:t>.</w:t>
      </w:r>
    </w:p>
    <w:p w14:paraId="1DB21100" w14:textId="77777777" w:rsidR="00C97BC1" w:rsidRPr="00E25884" w:rsidRDefault="00C97BC1" w:rsidP="00C97BC1">
      <w:pPr>
        <w:widowControl w:val="0"/>
        <w:tabs>
          <w:tab w:val="left" w:pos="567"/>
        </w:tabs>
        <w:adjustRightInd w:val="0"/>
        <w:spacing w:after="0" w:line="240" w:lineRule="auto"/>
        <w:jc w:val="both"/>
        <w:textAlignment w:val="baseline"/>
        <w:rPr>
          <w:rFonts w:ascii="Verdana" w:hAnsi="Verdana" w:cs="Arial"/>
          <w:b/>
          <w:sz w:val="20"/>
          <w:szCs w:val="20"/>
          <w:lang w:val="es-CR"/>
        </w:rPr>
      </w:pPr>
    </w:p>
    <w:p w14:paraId="5342DC21" w14:textId="63388426" w:rsidR="006520C4" w:rsidRPr="00C97BC1" w:rsidRDefault="006520C4" w:rsidP="00C97BC1">
      <w:pPr>
        <w:widowControl w:val="0"/>
        <w:numPr>
          <w:ilvl w:val="0"/>
          <w:numId w:val="12"/>
        </w:numPr>
        <w:tabs>
          <w:tab w:val="left" w:pos="567"/>
          <w:tab w:val="num" w:pos="12305"/>
        </w:tabs>
        <w:adjustRightInd w:val="0"/>
        <w:spacing w:after="0" w:line="240" w:lineRule="auto"/>
        <w:ind w:left="0" w:firstLine="0"/>
        <w:jc w:val="both"/>
        <w:textAlignment w:val="baseline"/>
        <w:rPr>
          <w:rFonts w:ascii="Verdana" w:hAnsi="Verdana" w:cs="Arial"/>
          <w:b/>
          <w:sz w:val="20"/>
          <w:szCs w:val="20"/>
          <w:lang w:val="es-CR"/>
        </w:rPr>
      </w:pPr>
      <w:r w:rsidRPr="00E25884">
        <w:rPr>
          <w:rFonts w:ascii="Verdana" w:hAnsi="Verdana"/>
          <w:sz w:val="20"/>
          <w:szCs w:val="20"/>
        </w:rPr>
        <w:t>En el presente caso, el Tribunal observa que no consta en el expediente respaldo probatorio preciso en relación con las costas y gastos en los cuales incurrió el señor Hernández o sus representantes respecto a la tramitación del caso ante la Comisión y la Corte.</w:t>
      </w:r>
      <w:r w:rsidR="00707C74" w:rsidRPr="00E25884">
        <w:rPr>
          <w:rFonts w:ascii="Verdana" w:hAnsi="Verdana"/>
          <w:sz w:val="20"/>
          <w:szCs w:val="20"/>
        </w:rPr>
        <w:t xml:space="preserve"> </w:t>
      </w:r>
      <w:r w:rsidRPr="00E25884">
        <w:rPr>
          <w:rFonts w:ascii="Verdana" w:hAnsi="Verdana"/>
          <w:sz w:val="20"/>
          <w:szCs w:val="20"/>
        </w:rPr>
        <w:t>Sin embargo, la Corte considera que tales trámites necesariamente implicaron erogaciones pecuniarias, por lo que determina que el Estado debe entregar a los representantes la cantidad de US$ 10.000,00 (</w:t>
      </w:r>
      <w:r w:rsidR="006418C1">
        <w:rPr>
          <w:rFonts w:ascii="Verdana" w:hAnsi="Verdana"/>
          <w:sz w:val="20"/>
          <w:szCs w:val="20"/>
        </w:rPr>
        <w:t>diez</w:t>
      </w:r>
      <w:r w:rsidRPr="00E25884">
        <w:rPr>
          <w:rFonts w:ascii="Verdana" w:hAnsi="Verdana"/>
          <w:sz w:val="20"/>
          <w:szCs w:val="20"/>
        </w:rPr>
        <w:t xml:space="preserve"> mil dólares de los Estados Unidos de América) por concepto de costas y gastos, cantidad que deberá dividirse entre los representantes. Dicha cantidad deberá ser entregada directamente a los representantes. En la etapa de supervisión de cumplimiento de la presente Sentencia, la Corte podrá disponer que el Estado reembolse a la víctima o sus representantes los gastos razonables en que incurran en dicha etapa procesal</w:t>
      </w:r>
      <w:r w:rsidRPr="00E25884">
        <w:rPr>
          <w:rStyle w:val="Refdenotaalpie"/>
          <w:rFonts w:ascii="Verdana" w:hAnsi="Verdana"/>
          <w:sz w:val="20"/>
          <w:szCs w:val="20"/>
        </w:rPr>
        <w:footnoteReference w:id="244"/>
      </w:r>
      <w:r w:rsidRPr="00E25884">
        <w:rPr>
          <w:rFonts w:ascii="Verdana" w:hAnsi="Verdana"/>
          <w:sz w:val="20"/>
          <w:szCs w:val="20"/>
        </w:rPr>
        <w:t>.</w:t>
      </w:r>
    </w:p>
    <w:p w14:paraId="4703C17E" w14:textId="77777777" w:rsidR="00C97BC1" w:rsidRPr="00E25884" w:rsidRDefault="00C97BC1" w:rsidP="00C97BC1">
      <w:pPr>
        <w:widowControl w:val="0"/>
        <w:tabs>
          <w:tab w:val="left" w:pos="567"/>
        </w:tabs>
        <w:adjustRightInd w:val="0"/>
        <w:spacing w:after="0" w:line="240" w:lineRule="auto"/>
        <w:jc w:val="both"/>
        <w:textAlignment w:val="baseline"/>
        <w:rPr>
          <w:rFonts w:ascii="Verdana" w:hAnsi="Verdana" w:cs="Arial"/>
          <w:b/>
          <w:sz w:val="20"/>
          <w:szCs w:val="20"/>
          <w:lang w:val="es-CR"/>
        </w:rPr>
      </w:pPr>
    </w:p>
    <w:p w14:paraId="7622E100" w14:textId="322CC573" w:rsidR="00F410FC" w:rsidRDefault="0029758A" w:rsidP="00C97BC1">
      <w:pPr>
        <w:pStyle w:val="Ttulo2"/>
        <w:numPr>
          <w:ilvl w:val="0"/>
          <w:numId w:val="0"/>
        </w:numPr>
        <w:ind w:left="928"/>
        <w:rPr>
          <w:i w:val="0"/>
        </w:rPr>
      </w:pPr>
      <w:bookmarkStart w:id="93" w:name="_Toc27509196"/>
      <w:r w:rsidRPr="004350D8">
        <w:rPr>
          <w:i w:val="0"/>
        </w:rPr>
        <w:t>E</w:t>
      </w:r>
      <w:r w:rsidR="00F410FC" w:rsidRPr="004350D8">
        <w:rPr>
          <w:i w:val="0"/>
        </w:rPr>
        <w:t>.</w:t>
      </w:r>
      <w:r w:rsidR="00F410FC" w:rsidRPr="004350D8">
        <w:rPr>
          <w:i w:val="0"/>
        </w:rPr>
        <w:tab/>
        <w:t>Modalidad de cumplimiento de los pagos ordenados</w:t>
      </w:r>
      <w:bookmarkEnd w:id="93"/>
    </w:p>
    <w:p w14:paraId="331EC239" w14:textId="77777777" w:rsidR="00943467" w:rsidRPr="00943467" w:rsidRDefault="00943467" w:rsidP="00C97BC1">
      <w:pPr>
        <w:tabs>
          <w:tab w:val="left" w:pos="709"/>
        </w:tabs>
        <w:spacing w:after="0" w:line="240" w:lineRule="auto"/>
        <w:jc w:val="both"/>
        <w:rPr>
          <w:rFonts w:ascii="Verdana" w:hAnsi="Verdana" w:cs="Vrinda"/>
          <w:lang w:bidi="en-US"/>
        </w:rPr>
      </w:pPr>
      <w:bookmarkStart w:id="94" w:name="_Ref512872975"/>
    </w:p>
    <w:p w14:paraId="3E0DDD0C" w14:textId="77777777" w:rsidR="00943467" w:rsidRPr="00F52E99" w:rsidRDefault="00943467" w:rsidP="00C97BC1">
      <w:pPr>
        <w:numPr>
          <w:ilvl w:val="0"/>
          <w:numId w:val="12"/>
        </w:numPr>
        <w:tabs>
          <w:tab w:val="left" w:pos="709"/>
        </w:tabs>
        <w:spacing w:after="0" w:line="240" w:lineRule="auto"/>
        <w:ind w:left="0" w:firstLine="0"/>
        <w:jc w:val="both"/>
        <w:rPr>
          <w:rFonts w:ascii="Verdana" w:hAnsi="Verdana" w:cs="Vrinda"/>
          <w:sz w:val="20"/>
          <w:szCs w:val="20"/>
          <w:lang w:bidi="en-US"/>
        </w:rPr>
      </w:pPr>
      <w:r w:rsidRPr="00F52E99">
        <w:rPr>
          <w:rFonts w:ascii="Verdana" w:hAnsi="Verdana"/>
          <w:sz w:val="20"/>
          <w:szCs w:val="20"/>
        </w:rPr>
        <w:t>El Estado deberá efectuar el pago de las indemnizaciones por concepto de daño material e inmaterial y el reintegro de costas y gastos establecidos en la presente Sentencia directamente a las personas indicadas en la misma, dentro del plazo de un año contado a partir de la notificación de la presente Sentencia</w:t>
      </w:r>
      <w:bookmarkStart w:id="95" w:name="_Ref469601153"/>
      <w:bookmarkEnd w:id="94"/>
      <w:r w:rsidRPr="00F52E99">
        <w:rPr>
          <w:rFonts w:ascii="Verdana" w:hAnsi="Verdana"/>
          <w:sz w:val="20"/>
          <w:szCs w:val="20"/>
        </w:rPr>
        <w:t>.</w:t>
      </w:r>
    </w:p>
    <w:p w14:paraId="34E5F51E" w14:textId="77777777" w:rsidR="00943467" w:rsidRPr="00F52E99" w:rsidRDefault="00943467" w:rsidP="00C97BC1">
      <w:pPr>
        <w:tabs>
          <w:tab w:val="left" w:pos="709"/>
        </w:tabs>
        <w:spacing w:after="0" w:line="240" w:lineRule="auto"/>
        <w:rPr>
          <w:rFonts w:ascii="Verdana" w:hAnsi="Verdana" w:cs="Vrinda"/>
          <w:sz w:val="20"/>
          <w:szCs w:val="20"/>
          <w:lang w:bidi="en-US"/>
        </w:rPr>
      </w:pPr>
    </w:p>
    <w:p w14:paraId="16D68057" w14:textId="77777777" w:rsidR="006418C1" w:rsidRDefault="00943467" w:rsidP="006418C1">
      <w:pPr>
        <w:numPr>
          <w:ilvl w:val="0"/>
          <w:numId w:val="12"/>
        </w:numPr>
        <w:tabs>
          <w:tab w:val="left" w:pos="709"/>
        </w:tabs>
        <w:spacing w:after="0" w:line="240" w:lineRule="auto"/>
        <w:ind w:left="0" w:firstLine="0"/>
        <w:jc w:val="both"/>
        <w:rPr>
          <w:rFonts w:ascii="Verdana" w:hAnsi="Verdana" w:cs="Vrinda"/>
          <w:sz w:val="20"/>
          <w:szCs w:val="20"/>
          <w:lang w:bidi="en-US"/>
        </w:rPr>
      </w:pPr>
      <w:r w:rsidRPr="00F52E99">
        <w:rPr>
          <w:rFonts w:ascii="Verdana" w:hAnsi="Verdana"/>
          <w:sz w:val="20"/>
          <w:szCs w:val="20"/>
        </w:rPr>
        <w:t>En caso de que los beneficiarios hayan fallecido o fallezcan antes de que les sea entregada la cantidad respectiva, esta se entregará directamente a sus derechohabientes, conforme al derecho interno aplicable.</w:t>
      </w:r>
      <w:bookmarkEnd w:id="95"/>
    </w:p>
    <w:p w14:paraId="708C330E" w14:textId="77777777" w:rsidR="006418C1" w:rsidRDefault="006418C1" w:rsidP="006418C1">
      <w:pPr>
        <w:pStyle w:val="Prrafodelista"/>
        <w:spacing w:after="0" w:line="240" w:lineRule="auto"/>
        <w:rPr>
          <w:rFonts w:ascii="Verdana" w:hAnsi="Verdana"/>
          <w:sz w:val="20"/>
          <w:szCs w:val="20"/>
        </w:rPr>
      </w:pPr>
    </w:p>
    <w:p w14:paraId="7CC085F9" w14:textId="50880DCF" w:rsidR="00212569" w:rsidRPr="005976A8" w:rsidRDefault="005976A8" w:rsidP="005976A8">
      <w:pPr>
        <w:widowControl w:val="0"/>
        <w:numPr>
          <w:ilvl w:val="0"/>
          <w:numId w:val="12"/>
        </w:numPr>
        <w:tabs>
          <w:tab w:val="left" w:pos="567"/>
          <w:tab w:val="num" w:pos="1569"/>
          <w:tab w:val="num" w:pos="12305"/>
        </w:tabs>
        <w:adjustRightInd w:val="0"/>
        <w:spacing w:after="0" w:line="240" w:lineRule="auto"/>
        <w:ind w:left="0" w:firstLine="0"/>
        <w:jc w:val="both"/>
        <w:textAlignment w:val="baseline"/>
        <w:rPr>
          <w:rFonts w:ascii="Verdana" w:eastAsia="MS Mincho" w:hAnsi="Verdana"/>
          <w:sz w:val="20"/>
          <w:szCs w:val="20"/>
          <w:lang w:bidi="en-US"/>
        </w:rPr>
      </w:pPr>
      <w:r w:rsidRPr="005976A8">
        <w:rPr>
          <w:rFonts w:ascii="Verdana" w:eastAsia="MS Mincho" w:hAnsi="Verdana"/>
          <w:sz w:val="20"/>
          <w:szCs w:val="20"/>
          <w:lang w:bidi="en-US"/>
        </w:rPr>
        <w:t xml:space="preserve">En lo que respecta a la moneda de pago de las indemnizaciones y reintegro de costas y gastos, el Estado debe cumplir sus obligaciones monetarias mediante el pago en dólares de los Estados Unidos de América o, de no ser esto posible, en su equivalente en moneda argentina, utilizando para el cálculo respectivo la tasa más alta y más beneficiosa para la víctima que permita su ordenamiento interno, </w:t>
      </w:r>
      <w:r w:rsidRPr="005976A8">
        <w:rPr>
          <w:rFonts w:ascii="Verdana" w:hAnsi="Verdana"/>
          <w:sz w:val="20"/>
          <w:szCs w:val="20"/>
        </w:rPr>
        <w:t>vigente</w:t>
      </w:r>
      <w:r w:rsidRPr="005976A8">
        <w:rPr>
          <w:rFonts w:ascii="Verdana" w:eastAsia="MS Mincho" w:hAnsi="Verdana"/>
          <w:sz w:val="20"/>
          <w:szCs w:val="20"/>
          <w:lang w:bidi="en-US"/>
        </w:rPr>
        <w:t xml:space="preserve"> al momento del pago. Durante la etapa de supervisión de cumplimiento de la sentencia, la Corte podrá reajustar prudentemente el equivalente de estas cifras en moneda argentina, con el objeto de evitar que las variaciones cambiarias afecten sustancialmente el valor adquisitivo de esos montos.</w:t>
      </w:r>
    </w:p>
    <w:p w14:paraId="5BF9A6CB" w14:textId="77777777" w:rsidR="00212569" w:rsidRPr="007D2F7E" w:rsidRDefault="00212569" w:rsidP="00230D8B">
      <w:pPr>
        <w:tabs>
          <w:tab w:val="left" w:pos="709"/>
        </w:tabs>
        <w:spacing w:after="0" w:line="240" w:lineRule="auto"/>
        <w:jc w:val="both"/>
        <w:rPr>
          <w:rFonts w:ascii="Verdana" w:hAnsi="Verdana" w:cs="Vrinda"/>
          <w:sz w:val="20"/>
          <w:szCs w:val="20"/>
          <w:lang w:bidi="en-US"/>
        </w:rPr>
      </w:pPr>
    </w:p>
    <w:p w14:paraId="44B1C873" w14:textId="75FFA3FE" w:rsidR="00212569" w:rsidRPr="00230D8B" w:rsidRDefault="00212569" w:rsidP="00230D8B">
      <w:pPr>
        <w:pStyle w:val="Prrafodelista"/>
        <w:numPr>
          <w:ilvl w:val="0"/>
          <w:numId w:val="12"/>
        </w:numPr>
        <w:spacing w:after="0" w:line="240" w:lineRule="auto"/>
        <w:ind w:left="0" w:firstLine="0"/>
        <w:jc w:val="both"/>
        <w:rPr>
          <w:rFonts w:ascii="Verdana" w:eastAsiaTheme="minorHAnsi" w:hAnsi="Verdana"/>
          <w:sz w:val="20"/>
          <w:szCs w:val="20"/>
          <w:lang w:val="es-DO"/>
        </w:rPr>
      </w:pPr>
      <w:r w:rsidRPr="00230D8B">
        <w:rPr>
          <w:rFonts w:ascii="Verdana" w:hAnsi="Verdana"/>
          <w:sz w:val="20"/>
          <w:szCs w:val="20"/>
          <w:lang w:val="es-DO"/>
        </w:rPr>
        <w:t>En lo que respecta a la moneda de pago de las indemnizaciones y reintegro de costas y gastos, el Estado debe cumplir sus obligaciones monetarias mediante el pago en dólares de los Estados Unidos de América o, de no ser esto posible, en su equivalente en moneda argentina, utilizando para el cálculo respectivo la tasa más alta y más beneficiosa para la víctima que permita su ordenamiento interno, vigente al momento del pago. Durante la etapa de supervisión de cumplimiento de la sentencia, la Corte podrá reajustar prudentemente el equivalente de estas cifras en moneda argentina, con el objeto de evitar que las variaciones cambiarias afecten sustancialmente el valor adquisitivo de esos montos.</w:t>
      </w:r>
    </w:p>
    <w:p w14:paraId="0D87206E" w14:textId="77777777" w:rsidR="00943467" w:rsidRPr="00F52E99" w:rsidRDefault="00943467" w:rsidP="00C97BC1">
      <w:pPr>
        <w:tabs>
          <w:tab w:val="left" w:pos="709"/>
        </w:tabs>
        <w:spacing w:after="0" w:line="240" w:lineRule="auto"/>
        <w:rPr>
          <w:rFonts w:ascii="Verdana" w:hAnsi="Verdana" w:cs="Vrinda"/>
          <w:sz w:val="20"/>
          <w:szCs w:val="20"/>
          <w:lang w:bidi="en-US"/>
        </w:rPr>
      </w:pPr>
    </w:p>
    <w:p w14:paraId="13F3E685" w14:textId="77777777" w:rsidR="00943467" w:rsidRPr="00F52E99" w:rsidRDefault="00943467" w:rsidP="00C97BC1">
      <w:pPr>
        <w:numPr>
          <w:ilvl w:val="0"/>
          <w:numId w:val="12"/>
        </w:numPr>
        <w:tabs>
          <w:tab w:val="left" w:pos="709"/>
        </w:tabs>
        <w:spacing w:after="0" w:line="240" w:lineRule="auto"/>
        <w:ind w:left="0" w:firstLine="0"/>
        <w:jc w:val="both"/>
        <w:rPr>
          <w:rFonts w:ascii="Verdana" w:hAnsi="Verdana" w:cs="Vrinda"/>
          <w:sz w:val="20"/>
          <w:szCs w:val="20"/>
          <w:lang w:bidi="en-US"/>
        </w:rPr>
      </w:pPr>
      <w:r w:rsidRPr="00F52E99">
        <w:rPr>
          <w:rFonts w:ascii="Verdana" w:hAnsi="Verdana"/>
          <w:sz w:val="20"/>
          <w:szCs w:val="20"/>
        </w:rPr>
        <w:t xml:space="preserve">Las cantidades asignadas en la presente Sentencia como indemnización por daños materiales e inmateriales, y como reintegro de costas y gastos, deberán ser entregadas a las </w:t>
      </w:r>
      <w:r w:rsidRPr="00F52E99">
        <w:rPr>
          <w:rFonts w:ascii="Verdana" w:hAnsi="Verdana"/>
          <w:sz w:val="20"/>
          <w:szCs w:val="20"/>
        </w:rPr>
        <w:lastRenderedPageBreak/>
        <w:t>personas indicadas en forma íntegra, conforme a lo establecido en esta Sentencia, sin reducciones derivadas de eventuales cargas fiscales.</w:t>
      </w:r>
      <w:bookmarkStart w:id="96" w:name="_Ref469940442"/>
    </w:p>
    <w:p w14:paraId="0EDF2588" w14:textId="77777777" w:rsidR="00943467" w:rsidRPr="00F52E99" w:rsidRDefault="00943467" w:rsidP="00C97BC1">
      <w:pPr>
        <w:tabs>
          <w:tab w:val="left" w:pos="709"/>
        </w:tabs>
        <w:spacing w:after="0" w:line="240" w:lineRule="auto"/>
        <w:rPr>
          <w:rFonts w:ascii="Verdana" w:hAnsi="Verdana" w:cs="Vrinda"/>
          <w:sz w:val="20"/>
          <w:szCs w:val="20"/>
          <w:lang w:bidi="en-US"/>
        </w:rPr>
      </w:pPr>
    </w:p>
    <w:p w14:paraId="21AF8223" w14:textId="06641EB9" w:rsidR="00F410FC" w:rsidRPr="00F52E99" w:rsidRDefault="00943467" w:rsidP="00C97BC1">
      <w:pPr>
        <w:widowControl w:val="0"/>
        <w:numPr>
          <w:ilvl w:val="0"/>
          <w:numId w:val="12"/>
        </w:numPr>
        <w:tabs>
          <w:tab w:val="left" w:pos="567"/>
        </w:tabs>
        <w:adjustRightInd w:val="0"/>
        <w:spacing w:after="0" w:line="240" w:lineRule="auto"/>
        <w:ind w:left="0" w:firstLine="0"/>
        <w:jc w:val="both"/>
        <w:textAlignment w:val="baseline"/>
        <w:rPr>
          <w:rFonts w:ascii="Verdana" w:hAnsi="Verdana"/>
          <w:sz w:val="20"/>
          <w:szCs w:val="20"/>
        </w:rPr>
      </w:pPr>
      <w:r w:rsidRPr="00F52E99">
        <w:rPr>
          <w:rFonts w:ascii="Verdana" w:hAnsi="Verdana"/>
          <w:sz w:val="20"/>
          <w:szCs w:val="20"/>
        </w:rPr>
        <w:t>En caso de que el Estado incurriera en mora</w:t>
      </w:r>
      <w:r w:rsidR="00C02A48">
        <w:rPr>
          <w:rFonts w:ascii="Verdana" w:hAnsi="Verdana"/>
          <w:sz w:val="20"/>
          <w:szCs w:val="20"/>
        </w:rPr>
        <w:t>,</w:t>
      </w:r>
      <w:r w:rsidRPr="00F52E99">
        <w:rPr>
          <w:rFonts w:ascii="Verdana" w:hAnsi="Verdana"/>
          <w:sz w:val="20"/>
          <w:szCs w:val="20"/>
        </w:rPr>
        <w:t xml:space="preserve"> deberá pagar un interés sobre la cantidad adeudada correspondiente al interés bancario moratorio en la República Argentina.</w:t>
      </w:r>
      <w:bookmarkEnd w:id="96"/>
    </w:p>
    <w:p w14:paraId="6520473D" w14:textId="77777777" w:rsidR="00C97BC1" w:rsidRPr="0002664D" w:rsidRDefault="00C97BC1" w:rsidP="0002664D">
      <w:pPr>
        <w:keepNext/>
        <w:keepLines/>
        <w:tabs>
          <w:tab w:val="left" w:pos="851"/>
        </w:tabs>
        <w:spacing w:after="0" w:line="240" w:lineRule="auto"/>
        <w:jc w:val="center"/>
        <w:outlineLvl w:val="0"/>
        <w:rPr>
          <w:rFonts w:ascii="Verdana" w:eastAsia="Times New Roman" w:hAnsi="Verdana" w:cs="Verdana"/>
          <w:b/>
          <w:bCs/>
          <w:caps/>
          <w:snapToGrid w:val="0"/>
          <w:sz w:val="20"/>
          <w:szCs w:val="20"/>
          <w:lang w:val="es-ES_tradnl"/>
        </w:rPr>
      </w:pPr>
      <w:bookmarkStart w:id="97" w:name="_Toc12726748"/>
    </w:p>
    <w:p w14:paraId="2259D6CA" w14:textId="77777777" w:rsidR="0002664D" w:rsidRPr="0002664D" w:rsidRDefault="0002664D" w:rsidP="0002664D">
      <w:pPr>
        <w:keepNext/>
        <w:keepLines/>
        <w:tabs>
          <w:tab w:val="left" w:pos="851"/>
        </w:tabs>
        <w:spacing w:after="0" w:line="240" w:lineRule="auto"/>
        <w:jc w:val="center"/>
        <w:outlineLvl w:val="0"/>
        <w:rPr>
          <w:rFonts w:ascii="Verdana" w:eastAsia="Times New Roman" w:hAnsi="Verdana" w:cs="Verdana"/>
          <w:b/>
          <w:bCs/>
          <w:caps/>
          <w:snapToGrid w:val="0"/>
          <w:sz w:val="20"/>
          <w:szCs w:val="20"/>
        </w:rPr>
      </w:pPr>
      <w:bookmarkStart w:id="98" w:name="_Toc27509197"/>
      <w:bookmarkEnd w:id="97"/>
      <w:r w:rsidRPr="0002664D">
        <w:rPr>
          <w:rFonts w:ascii="Verdana" w:eastAsia="Times New Roman" w:hAnsi="Verdana" w:cs="Verdana"/>
          <w:b/>
          <w:bCs/>
          <w:caps/>
          <w:snapToGrid w:val="0"/>
          <w:sz w:val="20"/>
          <w:szCs w:val="20"/>
        </w:rPr>
        <w:t>iX</w:t>
      </w:r>
      <w:r w:rsidRPr="0002664D">
        <w:rPr>
          <w:rFonts w:ascii="Verdana" w:eastAsia="Times New Roman" w:hAnsi="Verdana" w:cs="Verdana"/>
          <w:b/>
          <w:bCs/>
          <w:caps/>
          <w:snapToGrid w:val="0"/>
          <w:sz w:val="20"/>
          <w:szCs w:val="20"/>
        </w:rPr>
        <w:br/>
        <w:t>PUNTOS RESOLUTIVOS</w:t>
      </w:r>
      <w:bookmarkEnd w:id="98"/>
    </w:p>
    <w:p w14:paraId="6B91BEE0" w14:textId="77777777" w:rsidR="0002664D" w:rsidRPr="0002664D" w:rsidRDefault="0002664D" w:rsidP="0002664D">
      <w:pPr>
        <w:tabs>
          <w:tab w:val="left" w:pos="720"/>
        </w:tabs>
        <w:spacing w:after="0" w:line="240" w:lineRule="auto"/>
        <w:ind w:right="-90"/>
        <w:contextualSpacing/>
        <w:rPr>
          <w:rFonts w:ascii="Verdana" w:eastAsia="MS Mincho" w:hAnsi="Verdana"/>
          <w:b/>
          <w:bCs/>
          <w:sz w:val="20"/>
          <w:szCs w:val="20"/>
          <w:lang w:val="es-CR" w:bidi="en-US"/>
        </w:rPr>
      </w:pPr>
    </w:p>
    <w:p w14:paraId="515479C1" w14:textId="6FD1554E" w:rsidR="0002664D" w:rsidRPr="009B6F1B" w:rsidRDefault="0002664D" w:rsidP="009B6F1B">
      <w:pPr>
        <w:pStyle w:val="Prrafodelista"/>
        <w:numPr>
          <w:ilvl w:val="0"/>
          <w:numId w:val="12"/>
        </w:numPr>
        <w:tabs>
          <w:tab w:val="left" w:pos="720"/>
        </w:tabs>
        <w:spacing w:after="0" w:line="240" w:lineRule="auto"/>
        <w:ind w:left="0" w:right="-90" w:firstLine="0"/>
        <w:jc w:val="both"/>
        <w:rPr>
          <w:rFonts w:ascii="Verdana" w:eastAsia="MS Mincho" w:hAnsi="Verdana"/>
          <w:bCs/>
          <w:sz w:val="20"/>
          <w:szCs w:val="20"/>
          <w:lang w:val="es-CR" w:bidi="en-US"/>
        </w:rPr>
      </w:pPr>
      <w:r w:rsidRPr="009B6F1B">
        <w:rPr>
          <w:rFonts w:ascii="Verdana" w:eastAsia="MS Mincho" w:hAnsi="Verdana"/>
          <w:bCs/>
          <w:sz w:val="20"/>
          <w:szCs w:val="20"/>
          <w:lang w:val="es-CR" w:bidi="en-US"/>
        </w:rPr>
        <w:t xml:space="preserve">Por tanto, </w:t>
      </w:r>
    </w:p>
    <w:p w14:paraId="30CFCDFC" w14:textId="77777777" w:rsidR="0002664D" w:rsidRPr="0002664D" w:rsidRDefault="0002664D" w:rsidP="0002664D">
      <w:pPr>
        <w:tabs>
          <w:tab w:val="left" w:pos="720"/>
        </w:tabs>
        <w:spacing w:after="0" w:line="240" w:lineRule="auto"/>
        <w:ind w:right="-90"/>
        <w:contextualSpacing/>
        <w:jc w:val="both"/>
        <w:rPr>
          <w:rFonts w:ascii="Verdana" w:eastAsia="MS Mincho" w:hAnsi="Verdana"/>
          <w:b/>
          <w:bCs/>
          <w:sz w:val="20"/>
          <w:szCs w:val="20"/>
          <w:lang w:val="es-CR" w:bidi="en-US"/>
        </w:rPr>
      </w:pPr>
    </w:p>
    <w:p w14:paraId="2F1E1377" w14:textId="77777777" w:rsidR="0002664D" w:rsidRPr="0002664D" w:rsidRDefault="0002664D" w:rsidP="0002664D">
      <w:pPr>
        <w:tabs>
          <w:tab w:val="left" w:pos="720"/>
        </w:tabs>
        <w:spacing w:after="0" w:line="240" w:lineRule="auto"/>
        <w:ind w:right="-90"/>
        <w:contextualSpacing/>
        <w:jc w:val="both"/>
        <w:rPr>
          <w:rFonts w:ascii="Verdana" w:eastAsia="MS Mincho" w:hAnsi="Verdana"/>
          <w:sz w:val="20"/>
          <w:szCs w:val="20"/>
          <w:lang w:val="es-CR" w:bidi="en-US"/>
        </w:rPr>
      </w:pPr>
      <w:r w:rsidRPr="0002664D">
        <w:rPr>
          <w:rFonts w:ascii="Verdana" w:eastAsia="MS Mincho" w:hAnsi="Verdana"/>
          <w:b/>
          <w:bCs/>
          <w:sz w:val="20"/>
          <w:szCs w:val="20"/>
          <w:lang w:val="es-CR" w:bidi="en-US"/>
        </w:rPr>
        <w:t>LA CORTE,</w:t>
      </w:r>
    </w:p>
    <w:p w14:paraId="2FDD8AAF" w14:textId="77777777" w:rsidR="0002664D" w:rsidRPr="0002664D" w:rsidRDefault="0002664D" w:rsidP="0002664D">
      <w:pPr>
        <w:tabs>
          <w:tab w:val="left" w:pos="720"/>
        </w:tabs>
        <w:spacing w:after="0" w:line="240" w:lineRule="auto"/>
        <w:ind w:right="-90"/>
        <w:contextualSpacing/>
        <w:jc w:val="both"/>
        <w:rPr>
          <w:rFonts w:ascii="Verdana" w:hAnsi="Verdana"/>
          <w:sz w:val="20"/>
          <w:szCs w:val="20"/>
          <w:lang w:val="es-CR"/>
        </w:rPr>
      </w:pPr>
    </w:p>
    <w:p w14:paraId="611E15DE" w14:textId="77777777" w:rsidR="0002664D" w:rsidRPr="0002664D" w:rsidRDefault="0002664D" w:rsidP="0002664D">
      <w:pPr>
        <w:tabs>
          <w:tab w:val="left" w:pos="720"/>
        </w:tabs>
        <w:spacing w:after="0" w:line="240" w:lineRule="auto"/>
        <w:ind w:right="-90"/>
        <w:contextualSpacing/>
        <w:jc w:val="both"/>
        <w:rPr>
          <w:rFonts w:ascii="Verdana" w:hAnsi="Verdana"/>
          <w:b/>
          <w:sz w:val="20"/>
          <w:szCs w:val="20"/>
          <w:lang w:val="es-CR"/>
        </w:rPr>
      </w:pPr>
      <w:r w:rsidRPr="0002664D">
        <w:rPr>
          <w:rFonts w:ascii="Verdana" w:hAnsi="Verdana"/>
          <w:b/>
          <w:sz w:val="20"/>
          <w:szCs w:val="20"/>
          <w:lang w:val="es-CR"/>
        </w:rPr>
        <w:t xml:space="preserve">DECIDE: </w:t>
      </w:r>
    </w:p>
    <w:p w14:paraId="5A39CBA0" w14:textId="77777777" w:rsidR="0002664D" w:rsidRDefault="0002664D" w:rsidP="0002664D">
      <w:pPr>
        <w:tabs>
          <w:tab w:val="left" w:pos="720"/>
        </w:tabs>
        <w:spacing w:after="0" w:line="240" w:lineRule="auto"/>
        <w:ind w:right="-90"/>
        <w:contextualSpacing/>
        <w:jc w:val="both"/>
        <w:rPr>
          <w:rFonts w:ascii="Verdana" w:hAnsi="Verdana"/>
          <w:sz w:val="20"/>
          <w:szCs w:val="20"/>
          <w:lang w:val="es-CR"/>
        </w:rPr>
      </w:pPr>
    </w:p>
    <w:p w14:paraId="1F384558" w14:textId="757AD5B9" w:rsidR="00FC3417" w:rsidRDefault="00FC3417" w:rsidP="0002664D">
      <w:pPr>
        <w:tabs>
          <w:tab w:val="left" w:pos="720"/>
        </w:tabs>
        <w:spacing w:after="0" w:line="240" w:lineRule="auto"/>
        <w:ind w:right="-90"/>
        <w:contextualSpacing/>
        <w:jc w:val="both"/>
        <w:rPr>
          <w:rFonts w:ascii="Verdana" w:hAnsi="Verdana"/>
          <w:sz w:val="20"/>
          <w:szCs w:val="20"/>
          <w:lang w:val="es-CR"/>
        </w:rPr>
      </w:pPr>
      <w:r>
        <w:rPr>
          <w:rFonts w:ascii="Verdana" w:hAnsi="Verdana"/>
          <w:sz w:val="20"/>
          <w:szCs w:val="20"/>
          <w:lang w:val="es-CR"/>
        </w:rPr>
        <w:t>Por unanimidad,</w:t>
      </w:r>
    </w:p>
    <w:p w14:paraId="7C03B6EA" w14:textId="77777777" w:rsidR="00FC3417" w:rsidRPr="0002664D" w:rsidRDefault="00FC3417" w:rsidP="0002664D">
      <w:pPr>
        <w:tabs>
          <w:tab w:val="left" w:pos="720"/>
        </w:tabs>
        <w:spacing w:after="0" w:line="240" w:lineRule="auto"/>
        <w:ind w:right="-90"/>
        <w:contextualSpacing/>
        <w:jc w:val="both"/>
        <w:rPr>
          <w:rFonts w:ascii="Verdana" w:hAnsi="Verdana"/>
          <w:sz w:val="20"/>
          <w:szCs w:val="20"/>
          <w:lang w:val="es-CR"/>
        </w:rPr>
      </w:pPr>
    </w:p>
    <w:p w14:paraId="76459B21" w14:textId="77777777" w:rsidR="0002664D" w:rsidRPr="0002664D" w:rsidRDefault="0002664D" w:rsidP="0002664D">
      <w:pPr>
        <w:tabs>
          <w:tab w:val="left" w:pos="720"/>
        </w:tabs>
        <w:spacing w:after="0" w:line="240" w:lineRule="auto"/>
        <w:ind w:right="-90"/>
        <w:contextualSpacing/>
        <w:jc w:val="both"/>
        <w:rPr>
          <w:rFonts w:ascii="Verdana" w:hAnsi="Verdana"/>
          <w:sz w:val="20"/>
          <w:szCs w:val="20"/>
          <w:lang w:val="es-CR"/>
        </w:rPr>
      </w:pPr>
      <w:r w:rsidRPr="0002664D">
        <w:rPr>
          <w:rFonts w:ascii="Verdana" w:hAnsi="Verdana"/>
          <w:sz w:val="20"/>
          <w:szCs w:val="20"/>
          <w:lang w:val="es-CR"/>
        </w:rPr>
        <w:t xml:space="preserve">1. </w:t>
      </w:r>
      <w:r w:rsidRPr="0002664D">
        <w:rPr>
          <w:rFonts w:ascii="Verdana" w:hAnsi="Verdana"/>
          <w:sz w:val="20"/>
          <w:szCs w:val="20"/>
          <w:lang w:val="es-CR"/>
        </w:rPr>
        <w:tab/>
        <w:t>Desestimar l</w:t>
      </w:r>
      <w:r>
        <w:rPr>
          <w:rFonts w:ascii="Verdana" w:hAnsi="Verdana"/>
          <w:sz w:val="20"/>
          <w:szCs w:val="20"/>
          <w:lang w:val="es-CR"/>
        </w:rPr>
        <w:t>a excepción preliminar planteada</w:t>
      </w:r>
      <w:r w:rsidRPr="0002664D">
        <w:rPr>
          <w:rFonts w:ascii="Verdana" w:hAnsi="Verdana"/>
          <w:sz w:val="20"/>
          <w:szCs w:val="20"/>
          <w:lang w:val="es-CR"/>
        </w:rPr>
        <w:t xml:space="preserve"> por el Estado, por resultar extemporánea, de conformidad con los párrafos </w:t>
      </w:r>
      <w:r w:rsidRPr="00A36641">
        <w:rPr>
          <w:rFonts w:ascii="Verdana" w:hAnsi="Verdana"/>
          <w:sz w:val="20"/>
          <w:szCs w:val="20"/>
          <w:lang w:val="es-CR"/>
        </w:rPr>
        <w:t>15 a 20</w:t>
      </w:r>
      <w:r>
        <w:rPr>
          <w:rFonts w:ascii="Verdana" w:hAnsi="Verdana"/>
          <w:sz w:val="20"/>
          <w:szCs w:val="20"/>
          <w:lang w:val="es-CR"/>
        </w:rPr>
        <w:t xml:space="preserve"> de la presente Sentencia.</w:t>
      </w:r>
    </w:p>
    <w:p w14:paraId="675D314E" w14:textId="77777777" w:rsidR="0002664D" w:rsidRPr="0002664D" w:rsidRDefault="0002664D" w:rsidP="0002664D">
      <w:pPr>
        <w:tabs>
          <w:tab w:val="left" w:pos="720"/>
        </w:tabs>
        <w:spacing w:after="0" w:line="240" w:lineRule="auto"/>
        <w:ind w:right="-90"/>
        <w:contextualSpacing/>
        <w:jc w:val="both"/>
        <w:rPr>
          <w:rFonts w:ascii="Verdana" w:hAnsi="Verdana"/>
          <w:sz w:val="20"/>
          <w:szCs w:val="20"/>
          <w:lang w:val="es-CR"/>
        </w:rPr>
      </w:pPr>
    </w:p>
    <w:p w14:paraId="7D3961F6" w14:textId="77777777" w:rsidR="0002664D" w:rsidRPr="00FA2B61" w:rsidRDefault="0002664D" w:rsidP="0002664D">
      <w:pPr>
        <w:tabs>
          <w:tab w:val="left" w:pos="720"/>
        </w:tabs>
        <w:spacing w:after="0" w:line="240" w:lineRule="auto"/>
        <w:ind w:right="-90"/>
        <w:contextualSpacing/>
        <w:jc w:val="both"/>
        <w:rPr>
          <w:rFonts w:ascii="Verdana" w:eastAsia="MS Mincho" w:hAnsi="Verdana"/>
          <w:sz w:val="20"/>
          <w:szCs w:val="20"/>
          <w:lang w:val="es-CR" w:bidi="en-US"/>
        </w:rPr>
      </w:pPr>
      <w:r w:rsidRPr="00FA2B61">
        <w:rPr>
          <w:rFonts w:ascii="Verdana" w:eastAsia="MS Mincho" w:hAnsi="Verdana"/>
          <w:b/>
          <w:bCs/>
          <w:sz w:val="20"/>
          <w:szCs w:val="20"/>
          <w:lang w:val="es-CR" w:bidi="en-US"/>
        </w:rPr>
        <w:t>DECLARA:</w:t>
      </w:r>
    </w:p>
    <w:p w14:paraId="6570F46B" w14:textId="5E588C26" w:rsidR="0002664D" w:rsidRDefault="0002664D" w:rsidP="0002664D">
      <w:pPr>
        <w:spacing w:after="0" w:line="240" w:lineRule="auto"/>
        <w:ind w:right="-90"/>
        <w:contextualSpacing/>
        <w:jc w:val="both"/>
        <w:rPr>
          <w:rFonts w:ascii="Verdana" w:eastAsia="MS Mincho" w:hAnsi="Verdana"/>
          <w:sz w:val="20"/>
          <w:szCs w:val="20"/>
          <w:lang w:val="es-CR" w:bidi="en-US"/>
        </w:rPr>
      </w:pPr>
    </w:p>
    <w:p w14:paraId="5AE0AD6C" w14:textId="77777777" w:rsidR="009B6F1B" w:rsidRDefault="009B6F1B" w:rsidP="009B6F1B">
      <w:pPr>
        <w:widowControl w:val="0"/>
        <w:tabs>
          <w:tab w:val="left" w:pos="567"/>
          <w:tab w:val="num" w:pos="12305"/>
        </w:tabs>
        <w:adjustRightInd w:val="0"/>
        <w:spacing w:after="0" w:line="240" w:lineRule="auto"/>
        <w:ind w:right="-91"/>
        <w:jc w:val="both"/>
        <w:textAlignment w:val="baseline"/>
        <w:rPr>
          <w:rFonts w:ascii="Verdana" w:hAnsi="Verdana"/>
          <w:sz w:val="20"/>
          <w:szCs w:val="20"/>
          <w:lang w:val="es-CR"/>
        </w:rPr>
      </w:pPr>
      <w:r>
        <w:rPr>
          <w:rFonts w:ascii="Verdana" w:hAnsi="Verdana"/>
          <w:sz w:val="20"/>
          <w:szCs w:val="20"/>
          <w:lang w:val="es-CR"/>
        </w:rPr>
        <w:t>Por 5 votos a favor y uno en contra, que:</w:t>
      </w:r>
    </w:p>
    <w:p w14:paraId="7869DC60" w14:textId="77777777" w:rsidR="009B6F1B" w:rsidRDefault="009B6F1B" w:rsidP="009B6F1B">
      <w:pPr>
        <w:spacing w:after="0" w:line="240" w:lineRule="auto"/>
        <w:ind w:right="-90"/>
        <w:contextualSpacing/>
        <w:jc w:val="both"/>
        <w:rPr>
          <w:rFonts w:ascii="Verdana" w:eastAsia="MS Mincho" w:hAnsi="Verdana"/>
          <w:sz w:val="20"/>
          <w:szCs w:val="20"/>
          <w:lang w:val="es-CR" w:bidi="en-US"/>
        </w:rPr>
      </w:pPr>
    </w:p>
    <w:p w14:paraId="10384E68" w14:textId="653469D1" w:rsidR="009B6F1B" w:rsidRDefault="009B6F1B" w:rsidP="009B6F1B">
      <w:pPr>
        <w:spacing w:after="0" w:line="240" w:lineRule="auto"/>
        <w:ind w:right="-90"/>
        <w:contextualSpacing/>
        <w:jc w:val="both"/>
        <w:rPr>
          <w:rFonts w:ascii="Verdana" w:hAnsi="Verdana"/>
          <w:sz w:val="20"/>
          <w:szCs w:val="20"/>
          <w:lang w:val="es-CR"/>
        </w:rPr>
      </w:pPr>
      <w:r>
        <w:rPr>
          <w:rFonts w:ascii="Verdana" w:eastAsia="MS Mincho" w:hAnsi="Verdana"/>
          <w:sz w:val="20"/>
          <w:szCs w:val="20"/>
          <w:lang w:val="es-CR" w:bidi="en-US"/>
        </w:rPr>
        <w:t xml:space="preserve">2. </w:t>
      </w:r>
      <w:r w:rsidRPr="00230D8B">
        <w:rPr>
          <w:rFonts w:ascii="Verdana" w:eastAsia="MS Mincho" w:hAnsi="Verdana"/>
          <w:sz w:val="20"/>
          <w:szCs w:val="20"/>
          <w:lang w:val="es-CR" w:bidi="en-US"/>
        </w:rPr>
        <w:t xml:space="preserve">El Estado es responsable por la violación al derecho a la integridad personal en los artículos 5.1 y 5.2 de la Convención Americana sobre Derechos Humanos, en relación con el artículo 1.1 del mismo instrumento, en perjuicio </w:t>
      </w:r>
      <w:r w:rsidRPr="00230D8B">
        <w:rPr>
          <w:rFonts w:ascii="Verdana" w:hAnsi="Verdana"/>
          <w:sz w:val="20"/>
          <w:szCs w:val="20"/>
          <w:lang w:val="es-CR"/>
        </w:rPr>
        <w:t>del señor José Luis Hernández, en los t</w:t>
      </w:r>
      <w:r>
        <w:rPr>
          <w:rFonts w:ascii="Verdana" w:hAnsi="Verdana"/>
          <w:sz w:val="20"/>
          <w:szCs w:val="20"/>
          <w:lang w:val="es-CR"/>
        </w:rPr>
        <w:t>érminos de los párrafos 54 al 61</w:t>
      </w:r>
      <w:r w:rsidRPr="00230D8B">
        <w:rPr>
          <w:rFonts w:ascii="Verdana" w:hAnsi="Verdana"/>
          <w:sz w:val="20"/>
          <w:szCs w:val="20"/>
          <w:lang w:val="es-CR"/>
        </w:rPr>
        <w:t xml:space="preserve"> de la presente Sentencia.</w:t>
      </w:r>
    </w:p>
    <w:p w14:paraId="5B24A540" w14:textId="77777777" w:rsidR="009B6F1B" w:rsidRDefault="009B6F1B" w:rsidP="009B6F1B">
      <w:pPr>
        <w:spacing w:after="0" w:line="240" w:lineRule="auto"/>
        <w:ind w:right="-90"/>
        <w:contextualSpacing/>
        <w:jc w:val="both"/>
        <w:rPr>
          <w:rFonts w:ascii="Verdana" w:hAnsi="Verdana"/>
          <w:sz w:val="20"/>
          <w:szCs w:val="20"/>
          <w:lang w:val="es-CR"/>
        </w:rPr>
      </w:pPr>
    </w:p>
    <w:p w14:paraId="27E46E4E" w14:textId="70BCB928" w:rsidR="009B6F1B" w:rsidRPr="00D311D1" w:rsidRDefault="009B6F1B" w:rsidP="009B6F1B">
      <w:pPr>
        <w:pStyle w:val="Prrafodelista"/>
        <w:tabs>
          <w:tab w:val="left" w:pos="720"/>
        </w:tabs>
        <w:spacing w:after="0" w:line="240" w:lineRule="auto"/>
        <w:ind w:left="0" w:right="-90"/>
        <w:jc w:val="both"/>
        <w:rPr>
          <w:rFonts w:ascii="Verdana" w:hAnsi="Verdana"/>
          <w:sz w:val="20"/>
          <w:szCs w:val="20"/>
          <w:lang w:val="es-CR"/>
        </w:rPr>
      </w:pPr>
      <w:r>
        <w:rPr>
          <w:rFonts w:ascii="Verdana" w:hAnsi="Verdana"/>
          <w:sz w:val="20"/>
          <w:szCs w:val="20"/>
        </w:rPr>
        <w:t>Disiente el</w:t>
      </w:r>
      <w:r w:rsidRPr="00D311D1">
        <w:rPr>
          <w:rFonts w:ascii="Verdana" w:hAnsi="Verdana"/>
          <w:sz w:val="20"/>
          <w:szCs w:val="20"/>
        </w:rPr>
        <w:t xml:space="preserve"> </w:t>
      </w:r>
      <w:r>
        <w:rPr>
          <w:rFonts w:ascii="Verdana" w:hAnsi="Verdana"/>
          <w:sz w:val="20"/>
          <w:szCs w:val="20"/>
        </w:rPr>
        <w:t>juez</w:t>
      </w:r>
      <w:r w:rsidRPr="00D311D1">
        <w:rPr>
          <w:rFonts w:ascii="Verdana" w:hAnsi="Verdana"/>
          <w:sz w:val="20"/>
          <w:szCs w:val="20"/>
        </w:rPr>
        <w:t xml:space="preserve"> </w:t>
      </w:r>
      <w:r>
        <w:rPr>
          <w:rFonts w:ascii="Verdana" w:hAnsi="Verdana"/>
          <w:sz w:val="20"/>
          <w:szCs w:val="20"/>
        </w:rPr>
        <w:t>L. Patricio Pazmiño Freire</w:t>
      </w:r>
      <w:r w:rsidRPr="00D311D1">
        <w:rPr>
          <w:rFonts w:ascii="Verdana" w:hAnsi="Verdana"/>
          <w:sz w:val="20"/>
          <w:szCs w:val="20"/>
        </w:rPr>
        <w:t>.</w:t>
      </w:r>
    </w:p>
    <w:p w14:paraId="016868F4" w14:textId="77777777" w:rsidR="009B6F1B" w:rsidRDefault="009B6F1B" w:rsidP="009B6F1B">
      <w:pPr>
        <w:spacing w:after="0" w:line="240" w:lineRule="auto"/>
        <w:ind w:right="-90"/>
        <w:contextualSpacing/>
        <w:jc w:val="both"/>
        <w:rPr>
          <w:rFonts w:ascii="Verdana" w:hAnsi="Verdana"/>
          <w:sz w:val="20"/>
          <w:szCs w:val="20"/>
          <w:lang w:val="es-CR"/>
        </w:rPr>
      </w:pPr>
    </w:p>
    <w:p w14:paraId="1D8EF81D" w14:textId="77777777" w:rsidR="009B6F1B" w:rsidRDefault="009B6F1B" w:rsidP="009B6F1B">
      <w:pPr>
        <w:widowControl w:val="0"/>
        <w:tabs>
          <w:tab w:val="left" w:pos="567"/>
          <w:tab w:val="num" w:pos="12305"/>
        </w:tabs>
        <w:adjustRightInd w:val="0"/>
        <w:spacing w:after="0" w:line="240" w:lineRule="auto"/>
        <w:ind w:right="-91"/>
        <w:jc w:val="both"/>
        <w:textAlignment w:val="baseline"/>
        <w:rPr>
          <w:rFonts w:ascii="Verdana" w:hAnsi="Verdana"/>
          <w:sz w:val="20"/>
          <w:szCs w:val="20"/>
          <w:lang w:val="es-CR"/>
        </w:rPr>
      </w:pPr>
      <w:r>
        <w:rPr>
          <w:rFonts w:ascii="Verdana" w:hAnsi="Verdana"/>
          <w:sz w:val="20"/>
          <w:szCs w:val="20"/>
          <w:lang w:val="es-CR"/>
        </w:rPr>
        <w:t>Por 4 votos a favor y 2 en contra, que:</w:t>
      </w:r>
    </w:p>
    <w:p w14:paraId="10D12F1B" w14:textId="77777777" w:rsidR="009B6F1B" w:rsidRPr="00FA2B61" w:rsidRDefault="009B6F1B" w:rsidP="009B6F1B">
      <w:pPr>
        <w:spacing w:after="0" w:line="240" w:lineRule="auto"/>
        <w:ind w:right="-90"/>
        <w:contextualSpacing/>
        <w:jc w:val="both"/>
        <w:rPr>
          <w:rFonts w:ascii="Verdana" w:eastAsia="MS Mincho" w:hAnsi="Verdana"/>
          <w:sz w:val="20"/>
          <w:szCs w:val="20"/>
          <w:lang w:val="es-CR" w:bidi="en-US"/>
        </w:rPr>
      </w:pPr>
    </w:p>
    <w:p w14:paraId="4408D11F" w14:textId="0C962543" w:rsidR="009B6F1B" w:rsidRPr="00FA2B61" w:rsidRDefault="009B6F1B" w:rsidP="009B6F1B">
      <w:pPr>
        <w:widowControl w:val="0"/>
        <w:tabs>
          <w:tab w:val="left" w:pos="720"/>
        </w:tabs>
        <w:adjustRightInd w:val="0"/>
        <w:spacing w:after="0" w:line="240" w:lineRule="auto"/>
        <w:ind w:right="-91"/>
        <w:jc w:val="both"/>
        <w:textAlignment w:val="baseline"/>
        <w:rPr>
          <w:rFonts w:ascii="Verdana" w:hAnsi="Verdana"/>
          <w:sz w:val="20"/>
          <w:szCs w:val="20"/>
          <w:lang w:val="es-CR"/>
        </w:rPr>
      </w:pPr>
      <w:r>
        <w:rPr>
          <w:rFonts w:ascii="Verdana" w:hAnsi="Verdana"/>
          <w:sz w:val="20"/>
          <w:szCs w:val="20"/>
          <w:lang w:val="es-CR"/>
        </w:rPr>
        <w:t>3</w:t>
      </w:r>
      <w:r w:rsidRPr="00230D8B">
        <w:rPr>
          <w:rFonts w:ascii="Verdana" w:hAnsi="Verdana"/>
          <w:sz w:val="20"/>
          <w:szCs w:val="20"/>
          <w:lang w:val="es-CR"/>
        </w:rPr>
        <w:t>.</w:t>
      </w:r>
      <w:r w:rsidRPr="00230D8B">
        <w:rPr>
          <w:rFonts w:ascii="Verdana" w:hAnsi="Verdana"/>
          <w:sz w:val="20"/>
          <w:szCs w:val="20"/>
          <w:lang w:val="es-CR"/>
        </w:rPr>
        <w:tab/>
        <w:t>El Estado es responsable por la violación al derecho a la integridad personal y a</w:t>
      </w:r>
      <w:r w:rsidR="00093688">
        <w:rPr>
          <w:rFonts w:ascii="Verdana" w:hAnsi="Verdana"/>
          <w:sz w:val="20"/>
          <w:szCs w:val="20"/>
          <w:lang w:val="es-CR"/>
        </w:rPr>
        <w:t>l derecho a</w:t>
      </w:r>
      <w:r w:rsidRPr="00230D8B">
        <w:rPr>
          <w:rFonts w:ascii="Verdana" w:hAnsi="Verdana"/>
          <w:sz w:val="20"/>
          <w:szCs w:val="20"/>
          <w:lang w:val="es-CR"/>
        </w:rPr>
        <w:t xml:space="preserve"> la salud consagrados, respectivamente, en los artículos 5.1, 5.2 y 26 de la Convención Americana sobre Derechos Humanos, en relación con el artículo 1.1 del mismo instrumento, en perjuicio del señor José Luis Hernández, en los términos de los párrafos 54 al 96 de la presente Sentencia.</w:t>
      </w:r>
    </w:p>
    <w:p w14:paraId="214B7E33" w14:textId="77777777" w:rsidR="009B6F1B" w:rsidRDefault="009B6F1B" w:rsidP="009B6F1B">
      <w:pPr>
        <w:tabs>
          <w:tab w:val="left" w:pos="720"/>
        </w:tabs>
        <w:spacing w:after="0" w:line="240" w:lineRule="auto"/>
        <w:ind w:right="-90"/>
        <w:contextualSpacing/>
        <w:jc w:val="both"/>
        <w:rPr>
          <w:rFonts w:ascii="Verdana" w:hAnsi="Verdana"/>
          <w:sz w:val="20"/>
          <w:szCs w:val="20"/>
          <w:lang w:val="es-CR"/>
        </w:rPr>
      </w:pPr>
    </w:p>
    <w:p w14:paraId="5064DA54" w14:textId="683523EC" w:rsidR="009B6F1B" w:rsidRDefault="009B6F1B" w:rsidP="009B6F1B">
      <w:pPr>
        <w:spacing w:after="0" w:line="240" w:lineRule="auto"/>
        <w:ind w:right="-90"/>
        <w:contextualSpacing/>
        <w:jc w:val="both"/>
        <w:rPr>
          <w:rFonts w:ascii="Verdana" w:eastAsia="MS Mincho" w:hAnsi="Verdana"/>
          <w:sz w:val="20"/>
          <w:szCs w:val="20"/>
          <w:lang w:val="es-CR" w:bidi="en-US"/>
        </w:rPr>
      </w:pPr>
      <w:r>
        <w:rPr>
          <w:rFonts w:ascii="Verdana" w:hAnsi="Verdana"/>
          <w:sz w:val="20"/>
          <w:szCs w:val="20"/>
        </w:rPr>
        <w:t>Disienten los</w:t>
      </w:r>
      <w:r w:rsidRPr="00D311D1">
        <w:rPr>
          <w:rFonts w:ascii="Verdana" w:hAnsi="Verdana"/>
          <w:sz w:val="20"/>
          <w:szCs w:val="20"/>
        </w:rPr>
        <w:t xml:space="preserve"> </w:t>
      </w:r>
      <w:r>
        <w:rPr>
          <w:rFonts w:ascii="Verdana" w:hAnsi="Verdana"/>
          <w:sz w:val="20"/>
          <w:szCs w:val="20"/>
        </w:rPr>
        <w:t>jueces</w:t>
      </w:r>
      <w:r w:rsidRPr="00D311D1">
        <w:rPr>
          <w:rFonts w:ascii="Verdana" w:hAnsi="Verdana"/>
          <w:sz w:val="20"/>
          <w:szCs w:val="20"/>
        </w:rPr>
        <w:t xml:space="preserve"> Eduardo Vio Grossi</w:t>
      </w:r>
      <w:r>
        <w:rPr>
          <w:rFonts w:ascii="Verdana" w:hAnsi="Verdana"/>
          <w:sz w:val="20"/>
          <w:szCs w:val="20"/>
        </w:rPr>
        <w:t xml:space="preserve"> y Humberto Antonio Sierra Porto</w:t>
      </w:r>
      <w:r w:rsidRPr="00D311D1">
        <w:rPr>
          <w:rFonts w:ascii="Verdana" w:hAnsi="Verdana"/>
          <w:sz w:val="20"/>
          <w:szCs w:val="20"/>
        </w:rPr>
        <w:t>.</w:t>
      </w:r>
    </w:p>
    <w:p w14:paraId="04EBA4EB" w14:textId="0E86A30E" w:rsidR="009B6F1B" w:rsidRDefault="009B6F1B" w:rsidP="0002664D">
      <w:pPr>
        <w:spacing w:after="0" w:line="240" w:lineRule="auto"/>
        <w:ind w:right="-90"/>
        <w:contextualSpacing/>
        <w:jc w:val="both"/>
        <w:rPr>
          <w:rFonts w:ascii="Verdana" w:eastAsia="MS Mincho" w:hAnsi="Verdana"/>
          <w:sz w:val="20"/>
          <w:szCs w:val="20"/>
          <w:lang w:val="es-CR" w:bidi="en-US"/>
        </w:rPr>
      </w:pPr>
    </w:p>
    <w:p w14:paraId="5E2A164B" w14:textId="3D5C1C1D" w:rsidR="005976A8" w:rsidRDefault="005976A8" w:rsidP="0002664D">
      <w:pPr>
        <w:spacing w:after="0" w:line="240" w:lineRule="auto"/>
        <w:ind w:right="-90"/>
        <w:contextualSpacing/>
        <w:jc w:val="both"/>
        <w:rPr>
          <w:rFonts w:ascii="Verdana" w:eastAsia="MS Mincho" w:hAnsi="Verdana"/>
          <w:sz w:val="20"/>
          <w:szCs w:val="20"/>
          <w:lang w:val="es-CR" w:bidi="en-US"/>
        </w:rPr>
      </w:pPr>
      <w:r>
        <w:rPr>
          <w:rFonts w:ascii="Verdana" w:eastAsia="MS Mincho" w:hAnsi="Verdana"/>
          <w:sz w:val="20"/>
          <w:szCs w:val="20"/>
          <w:lang w:val="es-CR" w:bidi="en-US"/>
        </w:rPr>
        <w:t>Por unanimidad, que:</w:t>
      </w:r>
    </w:p>
    <w:p w14:paraId="72A61199" w14:textId="77777777" w:rsidR="005976A8" w:rsidRDefault="005976A8" w:rsidP="0002664D">
      <w:pPr>
        <w:spacing w:after="0" w:line="240" w:lineRule="auto"/>
        <w:ind w:right="-90"/>
        <w:contextualSpacing/>
        <w:jc w:val="both"/>
        <w:rPr>
          <w:rFonts w:ascii="Verdana" w:eastAsia="MS Mincho" w:hAnsi="Verdana"/>
          <w:sz w:val="20"/>
          <w:szCs w:val="20"/>
          <w:lang w:val="es-CR" w:bidi="en-US"/>
        </w:rPr>
      </w:pPr>
    </w:p>
    <w:p w14:paraId="491CB467" w14:textId="0872E610" w:rsidR="0002664D" w:rsidRPr="00FA2B61" w:rsidRDefault="00156A9A" w:rsidP="0002664D">
      <w:pPr>
        <w:widowControl w:val="0"/>
        <w:tabs>
          <w:tab w:val="left" w:pos="567"/>
          <w:tab w:val="num" w:pos="12305"/>
        </w:tabs>
        <w:adjustRightInd w:val="0"/>
        <w:spacing w:after="0" w:line="240" w:lineRule="auto"/>
        <w:ind w:right="-91"/>
        <w:jc w:val="both"/>
        <w:textAlignment w:val="baseline"/>
        <w:rPr>
          <w:rFonts w:ascii="Verdana" w:hAnsi="Verdana"/>
          <w:kern w:val="2"/>
          <w:sz w:val="20"/>
          <w:szCs w:val="20"/>
          <w:lang w:val="es-CR"/>
        </w:rPr>
      </w:pPr>
      <w:r>
        <w:rPr>
          <w:rFonts w:ascii="Verdana" w:hAnsi="Verdana"/>
          <w:kern w:val="2"/>
          <w:sz w:val="20"/>
          <w:szCs w:val="20"/>
          <w:lang w:val="es-CR"/>
        </w:rPr>
        <w:t>4</w:t>
      </w:r>
      <w:r w:rsidR="0002664D" w:rsidRPr="00FA2B61">
        <w:rPr>
          <w:rFonts w:ascii="Verdana" w:hAnsi="Verdana"/>
          <w:kern w:val="2"/>
          <w:sz w:val="20"/>
          <w:szCs w:val="20"/>
          <w:lang w:val="es-CR"/>
        </w:rPr>
        <w:t>.</w:t>
      </w:r>
      <w:r w:rsidR="0002664D" w:rsidRPr="00FA2B61">
        <w:rPr>
          <w:rFonts w:ascii="Verdana" w:hAnsi="Verdana"/>
          <w:kern w:val="2"/>
          <w:sz w:val="20"/>
          <w:szCs w:val="20"/>
          <w:lang w:val="es-CR"/>
        </w:rPr>
        <w:tab/>
        <w:t xml:space="preserve">El Estado es responsable </w:t>
      </w:r>
      <w:r w:rsidR="0002664D" w:rsidRPr="00FA2B61">
        <w:rPr>
          <w:rFonts w:ascii="Verdana" w:hAnsi="Verdana"/>
          <w:sz w:val="20"/>
          <w:szCs w:val="20"/>
        </w:rPr>
        <w:t>por la violación a</w:t>
      </w:r>
      <w:r w:rsidR="00093688">
        <w:rPr>
          <w:rFonts w:ascii="Verdana" w:hAnsi="Verdana"/>
          <w:sz w:val="20"/>
          <w:szCs w:val="20"/>
        </w:rPr>
        <w:t xml:space="preserve"> </w:t>
      </w:r>
      <w:r w:rsidR="0002664D" w:rsidRPr="00FA2B61">
        <w:rPr>
          <w:rFonts w:ascii="Verdana" w:hAnsi="Verdana"/>
          <w:sz w:val="20"/>
          <w:szCs w:val="20"/>
        </w:rPr>
        <w:t>l</w:t>
      </w:r>
      <w:r w:rsidR="00093688">
        <w:rPr>
          <w:rFonts w:ascii="Verdana" w:hAnsi="Verdana"/>
          <w:sz w:val="20"/>
          <w:szCs w:val="20"/>
        </w:rPr>
        <w:t>os</w:t>
      </w:r>
      <w:r w:rsidR="0002664D" w:rsidRPr="00FA2B61">
        <w:rPr>
          <w:rFonts w:ascii="Verdana" w:hAnsi="Verdana"/>
          <w:sz w:val="20"/>
          <w:szCs w:val="20"/>
        </w:rPr>
        <w:t xml:space="preserve"> derecho</w:t>
      </w:r>
      <w:r w:rsidR="00093688">
        <w:rPr>
          <w:rFonts w:ascii="Verdana" w:hAnsi="Verdana"/>
          <w:sz w:val="20"/>
          <w:szCs w:val="20"/>
        </w:rPr>
        <w:t>s</w:t>
      </w:r>
      <w:r w:rsidR="0002664D" w:rsidRPr="00FA2B61">
        <w:rPr>
          <w:rFonts w:ascii="Verdana" w:hAnsi="Verdana"/>
          <w:sz w:val="20"/>
          <w:szCs w:val="20"/>
        </w:rPr>
        <w:t xml:space="preserve"> a la libertad personal y </w:t>
      </w:r>
      <w:r w:rsidR="00093688">
        <w:rPr>
          <w:rFonts w:ascii="Verdana" w:hAnsi="Verdana"/>
          <w:sz w:val="20"/>
          <w:szCs w:val="20"/>
        </w:rPr>
        <w:t xml:space="preserve">la </w:t>
      </w:r>
      <w:r w:rsidR="0002664D" w:rsidRPr="00FA2B61">
        <w:rPr>
          <w:rFonts w:ascii="Verdana" w:hAnsi="Verdana"/>
          <w:sz w:val="20"/>
          <w:szCs w:val="20"/>
        </w:rPr>
        <w:t>presunción de inocencia, consagrados respectivamente en los artículos 7.1, 7.3 y 8.2 de la Convención Americana sobre Derechos Humanos, en relación con el artículo 1.1 del mismo instrumento,</w:t>
      </w:r>
      <w:r w:rsidR="0002664D" w:rsidRPr="00FA2B61">
        <w:rPr>
          <w:rFonts w:ascii="Verdana" w:hAnsi="Verdana"/>
          <w:sz w:val="20"/>
          <w:szCs w:val="20"/>
          <w:lang w:val="es-CR"/>
        </w:rPr>
        <w:t xml:space="preserve"> en perjuicio del señor José Luis Hernández</w:t>
      </w:r>
      <w:r w:rsidR="0002664D" w:rsidRPr="00FA2B61">
        <w:rPr>
          <w:rFonts w:ascii="Verdana" w:hAnsi="Verdana"/>
          <w:sz w:val="20"/>
          <w:szCs w:val="20"/>
        </w:rPr>
        <w:t xml:space="preserve">, </w:t>
      </w:r>
      <w:r w:rsidR="0002664D" w:rsidRPr="00FA2B61">
        <w:rPr>
          <w:rFonts w:ascii="Verdana" w:hAnsi="Verdana"/>
          <w:sz w:val="20"/>
          <w:szCs w:val="20"/>
          <w:lang w:val="es-CR"/>
        </w:rPr>
        <w:t xml:space="preserve">en los términos de los párrafos </w:t>
      </w:r>
      <w:r w:rsidR="00D5137D">
        <w:rPr>
          <w:rFonts w:ascii="Verdana" w:hAnsi="Verdana"/>
          <w:sz w:val="20"/>
          <w:szCs w:val="20"/>
          <w:lang w:val="es-CR"/>
        </w:rPr>
        <w:t>100</w:t>
      </w:r>
      <w:r w:rsidR="00B662B4" w:rsidRPr="00FA2B61">
        <w:rPr>
          <w:rFonts w:ascii="Verdana" w:hAnsi="Verdana"/>
          <w:sz w:val="20"/>
          <w:szCs w:val="20"/>
          <w:lang w:val="es-CR"/>
        </w:rPr>
        <w:t xml:space="preserve"> </w:t>
      </w:r>
      <w:r w:rsidR="00FA2B61" w:rsidRPr="00FA2B61">
        <w:rPr>
          <w:rFonts w:ascii="Verdana" w:hAnsi="Verdana"/>
          <w:sz w:val="20"/>
          <w:szCs w:val="20"/>
          <w:lang w:val="es-CR"/>
        </w:rPr>
        <w:t xml:space="preserve">a </w:t>
      </w:r>
      <w:r w:rsidR="00D5137D">
        <w:rPr>
          <w:rFonts w:ascii="Verdana" w:hAnsi="Verdana"/>
          <w:sz w:val="20"/>
          <w:szCs w:val="20"/>
          <w:lang w:val="es-CR"/>
        </w:rPr>
        <w:t>117</w:t>
      </w:r>
      <w:r w:rsidR="00B662B4" w:rsidRPr="00FA2B61">
        <w:rPr>
          <w:rFonts w:ascii="Verdana" w:hAnsi="Verdana"/>
          <w:sz w:val="20"/>
          <w:szCs w:val="20"/>
          <w:lang w:val="es-CR"/>
        </w:rPr>
        <w:t xml:space="preserve"> </w:t>
      </w:r>
      <w:r w:rsidR="0002664D" w:rsidRPr="00FA2B61">
        <w:rPr>
          <w:rFonts w:ascii="Verdana" w:hAnsi="Verdana"/>
          <w:sz w:val="20"/>
          <w:szCs w:val="20"/>
          <w:lang w:val="es-CR"/>
        </w:rPr>
        <w:t>de la presente Sentencia</w:t>
      </w:r>
      <w:r w:rsidR="0002664D" w:rsidRPr="00FA2B61">
        <w:rPr>
          <w:rFonts w:ascii="Verdana" w:hAnsi="Verdana"/>
          <w:kern w:val="2"/>
          <w:sz w:val="20"/>
          <w:szCs w:val="20"/>
          <w:lang w:val="es-CR"/>
        </w:rPr>
        <w:t>.</w:t>
      </w:r>
    </w:p>
    <w:p w14:paraId="6D41A23D" w14:textId="02992623" w:rsidR="0002664D" w:rsidRDefault="0002664D" w:rsidP="0002664D">
      <w:pPr>
        <w:widowControl w:val="0"/>
        <w:tabs>
          <w:tab w:val="left" w:pos="567"/>
          <w:tab w:val="num" w:pos="12305"/>
        </w:tabs>
        <w:adjustRightInd w:val="0"/>
        <w:spacing w:after="0" w:line="240" w:lineRule="auto"/>
        <w:ind w:right="-91"/>
        <w:jc w:val="both"/>
        <w:textAlignment w:val="baseline"/>
        <w:rPr>
          <w:rFonts w:ascii="Verdana" w:hAnsi="Verdana"/>
          <w:sz w:val="20"/>
          <w:szCs w:val="20"/>
          <w:lang w:val="es-CR"/>
        </w:rPr>
      </w:pPr>
    </w:p>
    <w:p w14:paraId="4858C356" w14:textId="1D5F9FB7" w:rsidR="008553C9" w:rsidRDefault="008553C9" w:rsidP="0002664D">
      <w:pPr>
        <w:widowControl w:val="0"/>
        <w:tabs>
          <w:tab w:val="left" w:pos="567"/>
          <w:tab w:val="num" w:pos="12305"/>
        </w:tabs>
        <w:adjustRightInd w:val="0"/>
        <w:spacing w:after="0" w:line="240" w:lineRule="auto"/>
        <w:ind w:right="-91"/>
        <w:jc w:val="both"/>
        <w:textAlignment w:val="baseline"/>
        <w:rPr>
          <w:rFonts w:ascii="Verdana" w:hAnsi="Verdana"/>
          <w:sz w:val="20"/>
          <w:szCs w:val="20"/>
          <w:lang w:val="es-CR"/>
        </w:rPr>
      </w:pPr>
      <w:r>
        <w:rPr>
          <w:rFonts w:ascii="Verdana" w:hAnsi="Verdana"/>
          <w:sz w:val="20"/>
          <w:szCs w:val="20"/>
          <w:lang w:val="es-CR"/>
        </w:rPr>
        <w:t>Por unanimidad, que:</w:t>
      </w:r>
    </w:p>
    <w:p w14:paraId="1A8416C3" w14:textId="77777777" w:rsidR="008553C9" w:rsidRPr="00FA2B61" w:rsidRDefault="008553C9" w:rsidP="0002664D">
      <w:pPr>
        <w:widowControl w:val="0"/>
        <w:tabs>
          <w:tab w:val="left" w:pos="567"/>
          <w:tab w:val="num" w:pos="12305"/>
        </w:tabs>
        <w:adjustRightInd w:val="0"/>
        <w:spacing w:after="0" w:line="240" w:lineRule="auto"/>
        <w:ind w:right="-91"/>
        <w:jc w:val="both"/>
        <w:textAlignment w:val="baseline"/>
        <w:rPr>
          <w:rFonts w:ascii="Verdana" w:hAnsi="Verdana"/>
          <w:sz w:val="20"/>
          <w:szCs w:val="20"/>
          <w:lang w:val="es-CR"/>
        </w:rPr>
      </w:pPr>
    </w:p>
    <w:p w14:paraId="09FA01AA" w14:textId="671B2D4E" w:rsidR="0002664D" w:rsidRPr="00FA2B61" w:rsidRDefault="00156A9A" w:rsidP="0002664D">
      <w:pPr>
        <w:widowControl w:val="0"/>
        <w:tabs>
          <w:tab w:val="left" w:pos="567"/>
          <w:tab w:val="num" w:pos="12305"/>
        </w:tabs>
        <w:adjustRightInd w:val="0"/>
        <w:spacing w:after="0" w:line="240" w:lineRule="auto"/>
        <w:ind w:right="-91"/>
        <w:jc w:val="both"/>
        <w:textAlignment w:val="baseline"/>
        <w:rPr>
          <w:rFonts w:ascii="Verdana" w:hAnsi="Verdana"/>
          <w:kern w:val="2"/>
          <w:sz w:val="20"/>
          <w:szCs w:val="20"/>
          <w:lang w:val="es-CR"/>
        </w:rPr>
      </w:pPr>
      <w:r>
        <w:rPr>
          <w:rFonts w:ascii="Verdana" w:hAnsi="Verdana"/>
          <w:sz w:val="20"/>
          <w:szCs w:val="20"/>
          <w:lang w:val="es-CR"/>
        </w:rPr>
        <w:t>5</w:t>
      </w:r>
      <w:r w:rsidR="0002664D" w:rsidRPr="00FA2B61">
        <w:rPr>
          <w:rFonts w:ascii="Verdana" w:hAnsi="Verdana"/>
          <w:sz w:val="20"/>
          <w:szCs w:val="20"/>
          <w:lang w:val="es-CR"/>
        </w:rPr>
        <w:t>.</w:t>
      </w:r>
      <w:r w:rsidR="0002664D" w:rsidRPr="00FA2B61">
        <w:rPr>
          <w:rFonts w:ascii="Verdana" w:hAnsi="Verdana"/>
          <w:sz w:val="20"/>
          <w:szCs w:val="20"/>
          <w:lang w:val="es-CR"/>
        </w:rPr>
        <w:tab/>
        <w:t>El Estado es responsable por la violación al derecho a la protección judicial, consagrado en el artículo 25 de la Convención</w:t>
      </w:r>
      <w:r w:rsidR="0002664D" w:rsidRPr="00FA2B61">
        <w:rPr>
          <w:rFonts w:ascii="Verdana" w:hAnsi="Verdana"/>
          <w:kern w:val="2"/>
          <w:sz w:val="20"/>
          <w:szCs w:val="20"/>
          <w:lang w:val="es-CR"/>
        </w:rPr>
        <w:t xml:space="preserve"> Americana sobre Derechos Humanos</w:t>
      </w:r>
      <w:r w:rsidR="0002664D" w:rsidRPr="00FA2B61">
        <w:rPr>
          <w:rFonts w:ascii="Verdana" w:hAnsi="Verdana"/>
          <w:sz w:val="20"/>
          <w:szCs w:val="20"/>
        </w:rPr>
        <w:t>, en relación con el artículo 1.1 del mismo instrumento,</w:t>
      </w:r>
      <w:r w:rsidR="0002664D" w:rsidRPr="00FA2B61">
        <w:rPr>
          <w:rFonts w:ascii="Verdana" w:hAnsi="Verdana"/>
          <w:sz w:val="20"/>
          <w:szCs w:val="20"/>
          <w:lang w:val="es-CR"/>
        </w:rPr>
        <w:t xml:space="preserve"> en perjuicio del señor José Luis Hernández</w:t>
      </w:r>
      <w:r w:rsidR="0002664D" w:rsidRPr="00FA2B61">
        <w:rPr>
          <w:rFonts w:ascii="Verdana" w:hAnsi="Verdana"/>
          <w:sz w:val="20"/>
          <w:szCs w:val="20"/>
        </w:rPr>
        <w:t xml:space="preserve">, </w:t>
      </w:r>
      <w:r w:rsidR="0002664D" w:rsidRPr="00FA2B61">
        <w:rPr>
          <w:rFonts w:ascii="Verdana" w:hAnsi="Verdana"/>
          <w:sz w:val="20"/>
          <w:szCs w:val="20"/>
          <w:lang w:val="es-CR"/>
        </w:rPr>
        <w:t>en</w:t>
      </w:r>
      <w:r w:rsidR="00B97B8F" w:rsidRPr="00FA2B61">
        <w:rPr>
          <w:rFonts w:ascii="Verdana" w:hAnsi="Verdana"/>
          <w:sz w:val="20"/>
          <w:szCs w:val="20"/>
          <w:lang w:val="es-CR"/>
        </w:rPr>
        <w:t xml:space="preserve"> los términos de los párrafos </w:t>
      </w:r>
      <w:r w:rsidR="00D5137D">
        <w:rPr>
          <w:rFonts w:ascii="Verdana" w:hAnsi="Verdana"/>
          <w:sz w:val="20"/>
          <w:szCs w:val="20"/>
          <w:lang w:val="es-CR"/>
        </w:rPr>
        <w:t>121</w:t>
      </w:r>
      <w:r w:rsidR="00B662B4" w:rsidRPr="00FA2B61">
        <w:rPr>
          <w:rFonts w:ascii="Verdana" w:hAnsi="Verdana"/>
          <w:sz w:val="20"/>
          <w:szCs w:val="20"/>
          <w:lang w:val="es-CR"/>
        </w:rPr>
        <w:t xml:space="preserve"> </w:t>
      </w:r>
      <w:r w:rsidR="00FA2B61" w:rsidRPr="00FA2B61">
        <w:rPr>
          <w:rFonts w:ascii="Verdana" w:hAnsi="Verdana"/>
          <w:sz w:val="20"/>
          <w:szCs w:val="20"/>
          <w:lang w:val="es-CR"/>
        </w:rPr>
        <w:t xml:space="preserve">a </w:t>
      </w:r>
      <w:r w:rsidR="00D5137D">
        <w:rPr>
          <w:rFonts w:ascii="Verdana" w:hAnsi="Verdana"/>
          <w:sz w:val="20"/>
          <w:szCs w:val="20"/>
          <w:lang w:val="es-CR"/>
        </w:rPr>
        <w:t>146</w:t>
      </w:r>
      <w:r w:rsidR="00B662B4" w:rsidRPr="00FA2B61">
        <w:rPr>
          <w:rFonts w:ascii="Verdana" w:hAnsi="Verdana"/>
          <w:sz w:val="20"/>
          <w:szCs w:val="20"/>
          <w:lang w:val="es-CR"/>
        </w:rPr>
        <w:t xml:space="preserve"> </w:t>
      </w:r>
      <w:r w:rsidR="0002664D" w:rsidRPr="00FA2B61">
        <w:rPr>
          <w:rFonts w:ascii="Verdana" w:hAnsi="Verdana"/>
          <w:sz w:val="20"/>
          <w:szCs w:val="20"/>
          <w:lang w:val="es-CR"/>
        </w:rPr>
        <w:t>de la presente Sentencia</w:t>
      </w:r>
      <w:r w:rsidR="0002664D" w:rsidRPr="00FA2B61">
        <w:rPr>
          <w:rFonts w:ascii="Verdana" w:hAnsi="Verdana"/>
          <w:kern w:val="2"/>
          <w:sz w:val="20"/>
          <w:szCs w:val="20"/>
          <w:lang w:val="es-CR"/>
        </w:rPr>
        <w:t>.</w:t>
      </w:r>
    </w:p>
    <w:p w14:paraId="571E81D7" w14:textId="787EEAD2" w:rsidR="0002664D" w:rsidRDefault="0002664D" w:rsidP="0002664D">
      <w:pPr>
        <w:widowControl w:val="0"/>
        <w:tabs>
          <w:tab w:val="left" w:pos="567"/>
          <w:tab w:val="num" w:pos="12305"/>
        </w:tabs>
        <w:adjustRightInd w:val="0"/>
        <w:spacing w:after="0" w:line="240" w:lineRule="auto"/>
        <w:ind w:right="-91"/>
        <w:jc w:val="both"/>
        <w:textAlignment w:val="baseline"/>
        <w:rPr>
          <w:rFonts w:ascii="Verdana" w:hAnsi="Verdana"/>
          <w:sz w:val="20"/>
          <w:szCs w:val="20"/>
          <w:lang w:val="es-CR"/>
        </w:rPr>
      </w:pPr>
    </w:p>
    <w:p w14:paraId="38037519" w14:textId="5F0FDD62" w:rsidR="008553C9" w:rsidRDefault="008553C9" w:rsidP="0002664D">
      <w:pPr>
        <w:widowControl w:val="0"/>
        <w:tabs>
          <w:tab w:val="left" w:pos="567"/>
          <w:tab w:val="num" w:pos="12305"/>
        </w:tabs>
        <w:adjustRightInd w:val="0"/>
        <w:spacing w:after="0" w:line="240" w:lineRule="auto"/>
        <w:ind w:right="-91"/>
        <w:jc w:val="both"/>
        <w:textAlignment w:val="baseline"/>
        <w:rPr>
          <w:rFonts w:ascii="Verdana" w:hAnsi="Verdana"/>
          <w:sz w:val="20"/>
          <w:szCs w:val="20"/>
          <w:lang w:val="es-CR"/>
        </w:rPr>
      </w:pPr>
      <w:r>
        <w:rPr>
          <w:rFonts w:ascii="Verdana" w:hAnsi="Verdana"/>
          <w:sz w:val="20"/>
          <w:szCs w:val="20"/>
          <w:lang w:val="es-CR"/>
        </w:rPr>
        <w:t>Por unanimidad, que:</w:t>
      </w:r>
    </w:p>
    <w:p w14:paraId="3835D78C" w14:textId="77777777" w:rsidR="008553C9" w:rsidRDefault="008553C9" w:rsidP="0002664D">
      <w:pPr>
        <w:widowControl w:val="0"/>
        <w:tabs>
          <w:tab w:val="left" w:pos="567"/>
          <w:tab w:val="num" w:pos="12305"/>
        </w:tabs>
        <w:adjustRightInd w:val="0"/>
        <w:spacing w:after="0" w:line="240" w:lineRule="auto"/>
        <w:ind w:right="-91"/>
        <w:jc w:val="both"/>
        <w:textAlignment w:val="baseline"/>
        <w:rPr>
          <w:rFonts w:ascii="Verdana" w:hAnsi="Verdana"/>
          <w:sz w:val="20"/>
          <w:szCs w:val="20"/>
          <w:lang w:val="es-CR"/>
        </w:rPr>
      </w:pPr>
    </w:p>
    <w:p w14:paraId="4867FFF4" w14:textId="0567E480" w:rsidR="0002664D" w:rsidRDefault="00156A9A" w:rsidP="0002664D">
      <w:pPr>
        <w:widowControl w:val="0"/>
        <w:tabs>
          <w:tab w:val="left" w:pos="720"/>
        </w:tabs>
        <w:adjustRightInd w:val="0"/>
        <w:spacing w:after="0" w:line="240" w:lineRule="auto"/>
        <w:ind w:right="-91"/>
        <w:jc w:val="both"/>
        <w:textAlignment w:val="baseline"/>
        <w:rPr>
          <w:rFonts w:ascii="Verdana" w:hAnsi="Verdana"/>
          <w:sz w:val="20"/>
          <w:szCs w:val="20"/>
          <w:lang w:val="es-CR"/>
        </w:rPr>
      </w:pPr>
      <w:r>
        <w:rPr>
          <w:rFonts w:ascii="Verdana" w:hAnsi="Verdana"/>
          <w:sz w:val="20"/>
          <w:szCs w:val="20"/>
          <w:lang w:val="es-CR"/>
        </w:rPr>
        <w:t>6</w:t>
      </w:r>
      <w:r w:rsidR="0002664D" w:rsidRPr="00FA2B61">
        <w:rPr>
          <w:rFonts w:ascii="Verdana" w:hAnsi="Verdana"/>
          <w:sz w:val="20"/>
          <w:szCs w:val="20"/>
          <w:lang w:val="es-CR"/>
        </w:rPr>
        <w:t>.</w:t>
      </w:r>
      <w:r w:rsidR="0002664D" w:rsidRPr="00FA2B61">
        <w:rPr>
          <w:rFonts w:ascii="Verdana" w:hAnsi="Verdana"/>
          <w:sz w:val="20"/>
          <w:szCs w:val="20"/>
          <w:lang w:val="es-CR"/>
        </w:rPr>
        <w:tab/>
        <w:t xml:space="preserve">El Estado es responsable por la violación al derecho a la integridad personal consagrado en el artículo 5.1 de la Convención Americana sobre Derechos Humanos, en relación con el artículo 1.1 del referido instrumento, en perjuicio de la señora Raquel San Martín de Hernández, en los términos de los párrafos </w:t>
      </w:r>
      <w:r w:rsidR="00D5137D">
        <w:rPr>
          <w:rFonts w:ascii="Verdana" w:hAnsi="Verdana"/>
          <w:sz w:val="20"/>
          <w:szCs w:val="20"/>
          <w:lang w:val="es-CR"/>
        </w:rPr>
        <w:t>148</w:t>
      </w:r>
      <w:r w:rsidR="00B662B4" w:rsidRPr="00FA2B61">
        <w:rPr>
          <w:rFonts w:ascii="Verdana" w:hAnsi="Verdana"/>
          <w:sz w:val="20"/>
          <w:szCs w:val="20"/>
          <w:lang w:val="es-CR"/>
        </w:rPr>
        <w:t xml:space="preserve"> </w:t>
      </w:r>
      <w:r w:rsidR="00FA2B61" w:rsidRPr="00FA2B61">
        <w:rPr>
          <w:rFonts w:ascii="Verdana" w:hAnsi="Verdana"/>
          <w:sz w:val="20"/>
          <w:szCs w:val="20"/>
          <w:lang w:val="es-CR"/>
        </w:rPr>
        <w:t xml:space="preserve">a </w:t>
      </w:r>
      <w:r w:rsidR="00A23984">
        <w:rPr>
          <w:rFonts w:ascii="Verdana" w:hAnsi="Verdana"/>
          <w:sz w:val="20"/>
          <w:szCs w:val="20"/>
          <w:lang w:val="es-CR"/>
        </w:rPr>
        <w:t>1</w:t>
      </w:r>
      <w:r w:rsidR="00D5137D">
        <w:rPr>
          <w:rFonts w:ascii="Verdana" w:hAnsi="Verdana"/>
          <w:sz w:val="20"/>
          <w:szCs w:val="20"/>
          <w:lang w:val="es-CR"/>
        </w:rPr>
        <w:t>51</w:t>
      </w:r>
      <w:r w:rsidR="00B662B4" w:rsidRPr="00FA2B61">
        <w:rPr>
          <w:rFonts w:ascii="Verdana" w:hAnsi="Verdana"/>
          <w:sz w:val="20"/>
          <w:szCs w:val="20"/>
          <w:lang w:val="es-CR"/>
        </w:rPr>
        <w:t xml:space="preserve"> </w:t>
      </w:r>
      <w:r w:rsidR="0002664D" w:rsidRPr="00FA2B61">
        <w:rPr>
          <w:rFonts w:ascii="Verdana" w:hAnsi="Verdana"/>
          <w:sz w:val="20"/>
          <w:szCs w:val="20"/>
          <w:lang w:val="es-CR"/>
        </w:rPr>
        <w:t>de la presente Sentencia.</w:t>
      </w:r>
    </w:p>
    <w:p w14:paraId="34AC6567" w14:textId="77777777" w:rsidR="00FC3417" w:rsidRDefault="00FC3417" w:rsidP="0002664D">
      <w:pPr>
        <w:widowControl w:val="0"/>
        <w:tabs>
          <w:tab w:val="left" w:pos="720"/>
        </w:tabs>
        <w:adjustRightInd w:val="0"/>
        <w:spacing w:after="0" w:line="240" w:lineRule="auto"/>
        <w:ind w:right="-91"/>
        <w:jc w:val="both"/>
        <w:textAlignment w:val="baseline"/>
        <w:rPr>
          <w:rFonts w:ascii="Verdana" w:hAnsi="Verdana"/>
          <w:sz w:val="20"/>
          <w:szCs w:val="20"/>
          <w:lang w:val="es-CR"/>
        </w:rPr>
      </w:pPr>
    </w:p>
    <w:p w14:paraId="33D5B810" w14:textId="77777777" w:rsidR="0002664D" w:rsidRPr="00FA2B61" w:rsidRDefault="0002664D" w:rsidP="0002664D">
      <w:pPr>
        <w:tabs>
          <w:tab w:val="left" w:pos="720"/>
        </w:tabs>
        <w:spacing w:after="0" w:line="240" w:lineRule="auto"/>
        <w:ind w:right="-90"/>
        <w:contextualSpacing/>
        <w:jc w:val="both"/>
        <w:rPr>
          <w:rFonts w:ascii="Verdana" w:eastAsia="MS Mincho" w:hAnsi="Verdana"/>
          <w:b/>
          <w:bCs/>
          <w:sz w:val="20"/>
          <w:szCs w:val="20"/>
          <w:lang w:val="es-CR" w:bidi="en-US"/>
        </w:rPr>
      </w:pPr>
      <w:r w:rsidRPr="00FA2B61">
        <w:rPr>
          <w:rFonts w:ascii="Verdana" w:eastAsia="MS Mincho" w:hAnsi="Verdana"/>
          <w:b/>
          <w:bCs/>
          <w:sz w:val="20"/>
          <w:szCs w:val="20"/>
          <w:lang w:val="es-CR" w:bidi="en-US"/>
        </w:rPr>
        <w:t>Y DISPONE:</w:t>
      </w:r>
    </w:p>
    <w:p w14:paraId="2903145B" w14:textId="77777777" w:rsidR="0002664D" w:rsidRPr="00FA2B61" w:rsidRDefault="0002664D" w:rsidP="0002664D">
      <w:pPr>
        <w:tabs>
          <w:tab w:val="left" w:pos="720"/>
        </w:tabs>
        <w:spacing w:after="0" w:line="240" w:lineRule="auto"/>
        <w:ind w:right="-90"/>
        <w:jc w:val="both"/>
        <w:rPr>
          <w:rFonts w:ascii="Verdana" w:eastAsia="MS Mincho" w:hAnsi="Verdana"/>
          <w:sz w:val="20"/>
          <w:szCs w:val="20"/>
          <w:lang w:val="es-CR" w:bidi="en-US"/>
        </w:rPr>
      </w:pPr>
    </w:p>
    <w:p w14:paraId="7630B907" w14:textId="407BC371" w:rsidR="0002664D" w:rsidRPr="00FA2B61" w:rsidRDefault="0002664D" w:rsidP="0002664D">
      <w:pPr>
        <w:tabs>
          <w:tab w:val="left" w:pos="720"/>
        </w:tabs>
        <w:spacing w:after="0" w:line="240" w:lineRule="auto"/>
        <w:ind w:right="-90"/>
        <w:jc w:val="both"/>
        <w:rPr>
          <w:rFonts w:ascii="Verdana" w:eastAsia="MS Mincho" w:hAnsi="Verdana"/>
          <w:sz w:val="20"/>
          <w:szCs w:val="20"/>
          <w:lang w:val="es-CR" w:bidi="en-US"/>
        </w:rPr>
      </w:pPr>
      <w:r w:rsidRPr="00FA2B61">
        <w:rPr>
          <w:rFonts w:ascii="Verdana" w:eastAsia="MS Mincho" w:hAnsi="Verdana"/>
          <w:sz w:val="20"/>
          <w:szCs w:val="20"/>
          <w:lang w:val="es-CR" w:bidi="en-US"/>
        </w:rPr>
        <w:t xml:space="preserve">Por </w:t>
      </w:r>
      <w:r w:rsidR="00FC3417">
        <w:rPr>
          <w:rFonts w:ascii="Verdana" w:eastAsia="MS Mincho" w:hAnsi="Verdana"/>
          <w:sz w:val="20"/>
          <w:szCs w:val="20"/>
          <w:lang w:val="es-CR" w:bidi="en-US"/>
        </w:rPr>
        <w:t>unanimidad</w:t>
      </w:r>
      <w:r w:rsidRPr="00FA2B61">
        <w:rPr>
          <w:rFonts w:ascii="Verdana" w:eastAsia="MS Mincho" w:hAnsi="Verdana"/>
          <w:sz w:val="20"/>
          <w:szCs w:val="20"/>
          <w:lang w:val="es-CR" w:bidi="en-US"/>
        </w:rPr>
        <w:t>, que</w:t>
      </w:r>
    </w:p>
    <w:p w14:paraId="6B67312F" w14:textId="77777777" w:rsidR="00A1774C" w:rsidRPr="00FA2B61" w:rsidRDefault="00A1774C" w:rsidP="0002664D">
      <w:pPr>
        <w:widowControl w:val="0"/>
        <w:tabs>
          <w:tab w:val="left" w:pos="567"/>
        </w:tabs>
        <w:adjustRightInd w:val="0"/>
        <w:spacing w:after="0" w:line="240" w:lineRule="auto"/>
        <w:jc w:val="both"/>
        <w:textAlignment w:val="baseline"/>
        <w:rPr>
          <w:rFonts w:ascii="Verdana" w:hAnsi="Verdana"/>
          <w:sz w:val="20"/>
          <w:szCs w:val="20"/>
        </w:rPr>
      </w:pPr>
    </w:p>
    <w:p w14:paraId="2FC53FA5" w14:textId="4C68B78E" w:rsidR="009508CF" w:rsidRPr="00FA2B61" w:rsidRDefault="000447D2" w:rsidP="0002664D">
      <w:pPr>
        <w:spacing w:after="0" w:line="240" w:lineRule="auto"/>
        <w:jc w:val="both"/>
        <w:rPr>
          <w:rFonts w:ascii="Verdana" w:hAnsi="Verdana"/>
          <w:sz w:val="20"/>
          <w:szCs w:val="20"/>
        </w:rPr>
      </w:pPr>
      <w:r>
        <w:rPr>
          <w:rFonts w:ascii="Verdana" w:hAnsi="Verdana"/>
          <w:sz w:val="20"/>
          <w:szCs w:val="20"/>
        </w:rPr>
        <w:t>7</w:t>
      </w:r>
      <w:r w:rsidR="0002664D" w:rsidRPr="00FA2B61">
        <w:rPr>
          <w:rFonts w:ascii="Verdana" w:hAnsi="Verdana"/>
          <w:sz w:val="20"/>
          <w:szCs w:val="20"/>
        </w:rPr>
        <w:t>.</w:t>
      </w:r>
      <w:r w:rsidR="0002664D" w:rsidRPr="00FA2B61">
        <w:rPr>
          <w:rFonts w:ascii="Verdana" w:hAnsi="Verdana"/>
          <w:sz w:val="20"/>
          <w:szCs w:val="20"/>
        </w:rPr>
        <w:tab/>
      </w:r>
      <w:r w:rsidR="003F18AD" w:rsidRPr="00FA2B61">
        <w:rPr>
          <w:rFonts w:ascii="Verdana" w:hAnsi="Verdana"/>
          <w:sz w:val="20"/>
          <w:szCs w:val="20"/>
        </w:rPr>
        <w:t xml:space="preserve">El Estado </w:t>
      </w:r>
      <w:r w:rsidR="005A7E9E">
        <w:rPr>
          <w:rFonts w:ascii="Verdana" w:hAnsi="Verdana"/>
          <w:sz w:val="20"/>
          <w:szCs w:val="20"/>
        </w:rPr>
        <w:t>realizará</w:t>
      </w:r>
      <w:r w:rsidR="003F18AD" w:rsidRPr="00FA2B61">
        <w:rPr>
          <w:rFonts w:ascii="Verdana" w:hAnsi="Verdana"/>
          <w:sz w:val="20"/>
          <w:szCs w:val="20"/>
        </w:rPr>
        <w:t xml:space="preserve"> las publicaciones indicadas en el párrafo </w:t>
      </w:r>
      <w:r w:rsidR="00D5137D">
        <w:rPr>
          <w:rFonts w:ascii="Verdana" w:hAnsi="Verdana"/>
          <w:sz w:val="20"/>
          <w:szCs w:val="20"/>
        </w:rPr>
        <w:t>158</w:t>
      </w:r>
      <w:r w:rsidR="00B662B4" w:rsidRPr="00FA2B61">
        <w:rPr>
          <w:rFonts w:ascii="Verdana" w:hAnsi="Verdana"/>
          <w:sz w:val="20"/>
          <w:szCs w:val="20"/>
        </w:rPr>
        <w:t xml:space="preserve"> </w:t>
      </w:r>
      <w:r w:rsidR="003F18AD" w:rsidRPr="00FA2B61">
        <w:rPr>
          <w:rFonts w:ascii="Verdana" w:hAnsi="Verdana"/>
          <w:sz w:val="20"/>
          <w:szCs w:val="20"/>
        </w:rPr>
        <w:t>de la presente Sentencia.</w:t>
      </w:r>
    </w:p>
    <w:p w14:paraId="29FAC833" w14:textId="77777777" w:rsidR="009508CF" w:rsidRPr="00FA2B61" w:rsidRDefault="009508CF" w:rsidP="0002664D">
      <w:pPr>
        <w:spacing w:after="0" w:line="240" w:lineRule="auto"/>
        <w:jc w:val="both"/>
        <w:rPr>
          <w:rFonts w:ascii="Verdana" w:hAnsi="Verdana"/>
          <w:sz w:val="20"/>
          <w:szCs w:val="20"/>
        </w:rPr>
      </w:pPr>
    </w:p>
    <w:p w14:paraId="0D07177D" w14:textId="5CD2FDBE" w:rsidR="0081160D" w:rsidRPr="00FA2B61" w:rsidRDefault="000447D2" w:rsidP="0002664D">
      <w:pPr>
        <w:spacing w:after="0" w:line="240" w:lineRule="auto"/>
        <w:jc w:val="both"/>
        <w:rPr>
          <w:rFonts w:ascii="Verdana" w:hAnsi="Verdana"/>
          <w:sz w:val="20"/>
          <w:szCs w:val="20"/>
        </w:rPr>
      </w:pPr>
      <w:r>
        <w:rPr>
          <w:rFonts w:ascii="Verdana" w:hAnsi="Verdana"/>
          <w:sz w:val="20"/>
          <w:szCs w:val="20"/>
        </w:rPr>
        <w:t>8</w:t>
      </w:r>
      <w:r w:rsidR="009508CF" w:rsidRPr="00230D8B">
        <w:rPr>
          <w:rFonts w:ascii="Verdana" w:hAnsi="Verdana"/>
          <w:sz w:val="20"/>
          <w:szCs w:val="20"/>
        </w:rPr>
        <w:t>.</w:t>
      </w:r>
      <w:r w:rsidR="009508CF" w:rsidRPr="00230D8B">
        <w:rPr>
          <w:rFonts w:ascii="Verdana" w:hAnsi="Verdana"/>
          <w:sz w:val="20"/>
          <w:szCs w:val="20"/>
        </w:rPr>
        <w:tab/>
      </w:r>
      <w:r w:rsidR="0081160D" w:rsidRPr="00230D8B">
        <w:rPr>
          <w:rFonts w:ascii="Verdana" w:hAnsi="Verdana"/>
          <w:sz w:val="20"/>
          <w:szCs w:val="20"/>
        </w:rPr>
        <w:t>El Estado realizar</w:t>
      </w:r>
      <w:r w:rsidR="005A7E9E" w:rsidRPr="00230D8B">
        <w:rPr>
          <w:rFonts w:ascii="Verdana" w:hAnsi="Verdana"/>
          <w:sz w:val="20"/>
          <w:szCs w:val="20"/>
        </w:rPr>
        <w:t>á</w:t>
      </w:r>
      <w:r w:rsidR="0081160D" w:rsidRPr="00230D8B">
        <w:rPr>
          <w:rFonts w:ascii="Verdana" w:hAnsi="Verdana"/>
          <w:sz w:val="20"/>
          <w:szCs w:val="20"/>
        </w:rPr>
        <w:t xml:space="preserve"> la capacit</w:t>
      </w:r>
      <w:r w:rsidR="00FA2B61" w:rsidRPr="00230D8B">
        <w:rPr>
          <w:rFonts w:ascii="Verdana" w:hAnsi="Verdana"/>
          <w:sz w:val="20"/>
          <w:szCs w:val="20"/>
        </w:rPr>
        <w:t xml:space="preserve">ación ordenada en el párrafo </w:t>
      </w:r>
      <w:r w:rsidR="00D5137D">
        <w:rPr>
          <w:rFonts w:ascii="Verdana" w:hAnsi="Verdana"/>
          <w:sz w:val="20"/>
          <w:szCs w:val="20"/>
        </w:rPr>
        <w:t>163</w:t>
      </w:r>
      <w:r w:rsidR="00B662B4" w:rsidRPr="00230D8B">
        <w:rPr>
          <w:rFonts w:ascii="Verdana" w:hAnsi="Verdana"/>
          <w:sz w:val="20"/>
          <w:szCs w:val="20"/>
        </w:rPr>
        <w:t xml:space="preserve"> </w:t>
      </w:r>
      <w:r w:rsidR="0081160D" w:rsidRPr="00230D8B">
        <w:rPr>
          <w:rFonts w:ascii="Verdana" w:hAnsi="Verdana"/>
          <w:sz w:val="20"/>
          <w:szCs w:val="20"/>
        </w:rPr>
        <w:t>de la misma,</w:t>
      </w:r>
      <w:r w:rsidR="00747A59" w:rsidRPr="00230D8B">
        <w:rPr>
          <w:rFonts w:ascii="Verdana" w:hAnsi="Verdana"/>
          <w:sz w:val="20"/>
          <w:szCs w:val="20"/>
        </w:rPr>
        <w:t xml:space="preserve"> dentro de los 6 meses siguientes a la </w:t>
      </w:r>
      <w:r w:rsidR="000E2911" w:rsidRPr="00230D8B">
        <w:rPr>
          <w:rFonts w:ascii="Verdana" w:hAnsi="Verdana"/>
          <w:sz w:val="20"/>
          <w:szCs w:val="20"/>
        </w:rPr>
        <w:t>notificación</w:t>
      </w:r>
      <w:r w:rsidR="00747A59" w:rsidRPr="00230D8B">
        <w:rPr>
          <w:rFonts w:ascii="Verdana" w:hAnsi="Verdana"/>
          <w:sz w:val="20"/>
          <w:szCs w:val="20"/>
        </w:rPr>
        <w:t xml:space="preserve"> de la Sentencia,</w:t>
      </w:r>
      <w:r w:rsidR="005A7E9E" w:rsidRPr="00230D8B">
        <w:rPr>
          <w:rFonts w:ascii="Verdana" w:hAnsi="Verdana"/>
          <w:sz w:val="20"/>
          <w:szCs w:val="20"/>
        </w:rPr>
        <w:t xml:space="preserve"> y presentará el i</w:t>
      </w:r>
      <w:r w:rsidR="00A23984">
        <w:rPr>
          <w:rFonts w:ascii="Verdana" w:hAnsi="Verdana"/>
          <w:sz w:val="20"/>
          <w:szCs w:val="20"/>
        </w:rPr>
        <w:t>n</w:t>
      </w:r>
      <w:r w:rsidR="00D5137D">
        <w:rPr>
          <w:rFonts w:ascii="Verdana" w:hAnsi="Verdana"/>
          <w:sz w:val="20"/>
          <w:szCs w:val="20"/>
        </w:rPr>
        <w:t>forme ordenado en el párrafo 164</w:t>
      </w:r>
      <w:r w:rsidR="005A7E9E" w:rsidRPr="00230D8B">
        <w:rPr>
          <w:rFonts w:ascii="Verdana" w:hAnsi="Verdana"/>
          <w:sz w:val="20"/>
          <w:szCs w:val="20"/>
        </w:rPr>
        <w:t>,</w:t>
      </w:r>
      <w:r w:rsidR="00A23984">
        <w:rPr>
          <w:rFonts w:ascii="Verdana" w:hAnsi="Verdana"/>
          <w:sz w:val="20"/>
          <w:szCs w:val="20"/>
        </w:rPr>
        <w:t xml:space="preserve"> dentro del plazo de un año</w:t>
      </w:r>
      <w:r w:rsidR="00747A59" w:rsidRPr="00230D8B">
        <w:rPr>
          <w:rFonts w:ascii="Verdana" w:hAnsi="Verdana"/>
          <w:sz w:val="20"/>
          <w:szCs w:val="20"/>
        </w:rPr>
        <w:t>,</w:t>
      </w:r>
      <w:r w:rsidR="005A7E9E" w:rsidRPr="00230D8B">
        <w:rPr>
          <w:rFonts w:ascii="Verdana" w:hAnsi="Verdana"/>
          <w:sz w:val="20"/>
          <w:szCs w:val="20"/>
        </w:rPr>
        <w:t xml:space="preserve"> </w:t>
      </w:r>
      <w:r w:rsidR="0081160D" w:rsidRPr="00230D8B">
        <w:rPr>
          <w:rFonts w:ascii="Verdana" w:hAnsi="Verdana"/>
          <w:sz w:val="20"/>
          <w:szCs w:val="20"/>
        </w:rPr>
        <w:t>en los términos fijados en dicho</w:t>
      </w:r>
      <w:r w:rsidR="005A7E9E" w:rsidRPr="00230D8B">
        <w:rPr>
          <w:rFonts w:ascii="Verdana" w:hAnsi="Verdana"/>
          <w:sz w:val="20"/>
          <w:szCs w:val="20"/>
        </w:rPr>
        <w:t>s</w:t>
      </w:r>
      <w:r w:rsidR="0081160D" w:rsidRPr="00230D8B">
        <w:rPr>
          <w:rFonts w:ascii="Verdana" w:hAnsi="Verdana"/>
          <w:sz w:val="20"/>
          <w:szCs w:val="20"/>
        </w:rPr>
        <w:t xml:space="preserve"> párrafo</w:t>
      </w:r>
      <w:r w:rsidR="005A7E9E" w:rsidRPr="00230D8B">
        <w:rPr>
          <w:rFonts w:ascii="Verdana" w:hAnsi="Verdana"/>
          <w:sz w:val="20"/>
          <w:szCs w:val="20"/>
        </w:rPr>
        <w:t>s</w:t>
      </w:r>
      <w:r w:rsidR="0081160D" w:rsidRPr="00230D8B">
        <w:rPr>
          <w:rFonts w:ascii="Verdana" w:hAnsi="Verdana"/>
          <w:sz w:val="20"/>
          <w:szCs w:val="20"/>
        </w:rPr>
        <w:t>.</w:t>
      </w:r>
    </w:p>
    <w:p w14:paraId="7E301332" w14:textId="77777777" w:rsidR="0081160D" w:rsidRPr="00FA2B61" w:rsidRDefault="0081160D" w:rsidP="0002664D">
      <w:pPr>
        <w:spacing w:after="0" w:line="240" w:lineRule="auto"/>
        <w:jc w:val="both"/>
        <w:rPr>
          <w:rFonts w:ascii="Verdana" w:hAnsi="Verdana"/>
          <w:sz w:val="20"/>
          <w:szCs w:val="20"/>
        </w:rPr>
      </w:pPr>
    </w:p>
    <w:p w14:paraId="271CAAAD" w14:textId="4A8D0A49" w:rsidR="0002664D" w:rsidRPr="00FA2B61" w:rsidRDefault="000447D2" w:rsidP="0002664D">
      <w:pPr>
        <w:spacing w:after="0" w:line="240" w:lineRule="auto"/>
        <w:jc w:val="both"/>
        <w:rPr>
          <w:rFonts w:ascii="Verdana" w:hAnsi="Verdana"/>
          <w:sz w:val="20"/>
          <w:szCs w:val="20"/>
        </w:rPr>
      </w:pPr>
      <w:r>
        <w:rPr>
          <w:rFonts w:ascii="Verdana" w:hAnsi="Verdana"/>
          <w:sz w:val="20"/>
          <w:szCs w:val="20"/>
        </w:rPr>
        <w:t>9</w:t>
      </w:r>
      <w:r w:rsidR="0081160D" w:rsidRPr="00FA2B61">
        <w:rPr>
          <w:rFonts w:ascii="Verdana" w:hAnsi="Verdana"/>
          <w:sz w:val="20"/>
          <w:szCs w:val="20"/>
        </w:rPr>
        <w:t xml:space="preserve">. </w:t>
      </w:r>
      <w:r w:rsidR="0081160D" w:rsidRPr="00FA2B61">
        <w:rPr>
          <w:rFonts w:ascii="Verdana" w:hAnsi="Verdana"/>
          <w:sz w:val="20"/>
          <w:szCs w:val="20"/>
        </w:rPr>
        <w:tab/>
      </w:r>
      <w:r w:rsidR="0002664D" w:rsidRPr="00FA2B61">
        <w:rPr>
          <w:rFonts w:ascii="Verdana" w:hAnsi="Verdana"/>
          <w:sz w:val="20"/>
          <w:szCs w:val="20"/>
        </w:rPr>
        <w:t>El Estado pagar</w:t>
      </w:r>
      <w:r w:rsidR="005A7E9E">
        <w:rPr>
          <w:rFonts w:ascii="Verdana" w:hAnsi="Verdana"/>
          <w:sz w:val="20"/>
          <w:szCs w:val="20"/>
        </w:rPr>
        <w:t>á</w:t>
      </w:r>
      <w:r w:rsidR="0002664D" w:rsidRPr="00FA2B61">
        <w:rPr>
          <w:rFonts w:ascii="Verdana" w:hAnsi="Verdana"/>
          <w:sz w:val="20"/>
          <w:szCs w:val="20"/>
        </w:rPr>
        <w:t xml:space="preserve">, dentro del plazo de un año a partir de la notificación de esta Sentencia, las cantidades fijadas en los párrafos </w:t>
      </w:r>
      <w:r w:rsidR="00D5137D" w:rsidRPr="00193EA4">
        <w:rPr>
          <w:rFonts w:ascii="Verdana" w:hAnsi="Verdana"/>
          <w:sz w:val="20"/>
          <w:szCs w:val="20"/>
        </w:rPr>
        <w:t>17</w:t>
      </w:r>
      <w:r w:rsidR="00193EA4" w:rsidRPr="00193EA4">
        <w:rPr>
          <w:rFonts w:ascii="Verdana" w:hAnsi="Verdana"/>
          <w:sz w:val="20"/>
          <w:szCs w:val="20"/>
        </w:rPr>
        <w:t>0</w:t>
      </w:r>
      <w:r w:rsidR="00C82E0C" w:rsidRPr="00193EA4">
        <w:rPr>
          <w:rFonts w:ascii="Verdana" w:hAnsi="Verdana"/>
          <w:sz w:val="20"/>
          <w:szCs w:val="20"/>
        </w:rPr>
        <w:t xml:space="preserve">, </w:t>
      </w:r>
      <w:r w:rsidR="00D5137D" w:rsidRPr="00193EA4">
        <w:rPr>
          <w:rFonts w:ascii="Verdana" w:hAnsi="Verdana"/>
          <w:sz w:val="20"/>
          <w:szCs w:val="20"/>
        </w:rPr>
        <w:t>17</w:t>
      </w:r>
      <w:r w:rsidR="00193EA4" w:rsidRPr="00193EA4">
        <w:rPr>
          <w:rFonts w:ascii="Verdana" w:hAnsi="Verdana"/>
          <w:sz w:val="20"/>
          <w:szCs w:val="20"/>
        </w:rPr>
        <w:t>1</w:t>
      </w:r>
      <w:r w:rsidR="00B662B4" w:rsidRPr="00193EA4">
        <w:rPr>
          <w:rFonts w:ascii="Verdana" w:hAnsi="Verdana"/>
          <w:sz w:val="20"/>
          <w:szCs w:val="20"/>
        </w:rPr>
        <w:t xml:space="preserve"> </w:t>
      </w:r>
      <w:r w:rsidR="00C82E0C" w:rsidRPr="00193EA4">
        <w:rPr>
          <w:rFonts w:ascii="Verdana" w:hAnsi="Verdana"/>
          <w:sz w:val="20"/>
          <w:szCs w:val="20"/>
        </w:rPr>
        <w:t xml:space="preserve">y </w:t>
      </w:r>
      <w:r w:rsidR="00D5137D" w:rsidRPr="00193EA4">
        <w:rPr>
          <w:rFonts w:ascii="Verdana" w:hAnsi="Verdana"/>
          <w:sz w:val="20"/>
          <w:szCs w:val="20"/>
        </w:rPr>
        <w:t>17</w:t>
      </w:r>
      <w:r w:rsidR="00193EA4" w:rsidRPr="00193EA4">
        <w:rPr>
          <w:rFonts w:ascii="Verdana" w:hAnsi="Verdana"/>
          <w:sz w:val="20"/>
          <w:szCs w:val="20"/>
        </w:rPr>
        <w:t>2</w:t>
      </w:r>
      <w:r w:rsidR="00B662B4" w:rsidRPr="00FA2B61">
        <w:rPr>
          <w:rFonts w:ascii="Verdana" w:hAnsi="Verdana"/>
          <w:sz w:val="20"/>
          <w:szCs w:val="20"/>
        </w:rPr>
        <w:t xml:space="preserve"> </w:t>
      </w:r>
      <w:r w:rsidR="0002664D" w:rsidRPr="00FA2B61">
        <w:rPr>
          <w:rFonts w:ascii="Verdana" w:hAnsi="Verdana"/>
          <w:sz w:val="20"/>
          <w:szCs w:val="20"/>
        </w:rPr>
        <w:t>de esta Sentencia, por concepto de indemnización por daño material e inmaterial, en los términos establecidos en dichos párrafos.</w:t>
      </w:r>
    </w:p>
    <w:p w14:paraId="11CC689F" w14:textId="77777777" w:rsidR="0002664D" w:rsidRPr="00FA2B61" w:rsidRDefault="0002664D" w:rsidP="0002664D">
      <w:pPr>
        <w:widowControl w:val="0"/>
        <w:tabs>
          <w:tab w:val="left" w:pos="567"/>
        </w:tabs>
        <w:adjustRightInd w:val="0"/>
        <w:spacing w:after="0" w:line="240" w:lineRule="auto"/>
        <w:jc w:val="both"/>
        <w:textAlignment w:val="baseline"/>
        <w:rPr>
          <w:rFonts w:ascii="Verdana" w:hAnsi="Verdana"/>
          <w:sz w:val="20"/>
          <w:szCs w:val="20"/>
        </w:rPr>
      </w:pPr>
    </w:p>
    <w:p w14:paraId="69D650F5" w14:textId="6A711260" w:rsidR="0002664D" w:rsidRPr="00FA2B61" w:rsidRDefault="0081160D" w:rsidP="0002664D">
      <w:pPr>
        <w:spacing w:after="0" w:line="240" w:lineRule="auto"/>
        <w:jc w:val="both"/>
        <w:rPr>
          <w:rFonts w:ascii="Verdana" w:hAnsi="Verdana"/>
          <w:sz w:val="20"/>
          <w:szCs w:val="20"/>
        </w:rPr>
      </w:pPr>
      <w:r w:rsidRPr="00FA2B61">
        <w:rPr>
          <w:rFonts w:ascii="Verdana" w:hAnsi="Verdana"/>
          <w:sz w:val="20"/>
          <w:szCs w:val="20"/>
        </w:rPr>
        <w:t>1</w:t>
      </w:r>
      <w:r w:rsidR="000447D2">
        <w:rPr>
          <w:rFonts w:ascii="Verdana" w:hAnsi="Verdana"/>
          <w:sz w:val="20"/>
          <w:szCs w:val="20"/>
        </w:rPr>
        <w:t>0</w:t>
      </w:r>
      <w:r w:rsidR="0002664D" w:rsidRPr="00FA2B61">
        <w:rPr>
          <w:rFonts w:ascii="Verdana" w:hAnsi="Verdana"/>
          <w:sz w:val="20"/>
          <w:szCs w:val="20"/>
        </w:rPr>
        <w:t xml:space="preserve">. </w:t>
      </w:r>
      <w:r w:rsidR="0002664D" w:rsidRPr="00FA2B61">
        <w:rPr>
          <w:rFonts w:ascii="Verdana" w:hAnsi="Verdana"/>
          <w:sz w:val="20"/>
          <w:szCs w:val="20"/>
        </w:rPr>
        <w:tab/>
        <w:t xml:space="preserve">El Estado </w:t>
      </w:r>
      <w:r w:rsidR="005A7E9E">
        <w:rPr>
          <w:rFonts w:ascii="Verdana" w:hAnsi="Verdana"/>
          <w:sz w:val="20"/>
          <w:szCs w:val="20"/>
        </w:rPr>
        <w:t>pagará</w:t>
      </w:r>
      <w:r w:rsidR="0002664D" w:rsidRPr="00FA2B61">
        <w:rPr>
          <w:rFonts w:ascii="Verdana" w:hAnsi="Verdana"/>
          <w:sz w:val="20"/>
          <w:szCs w:val="20"/>
        </w:rPr>
        <w:t xml:space="preserve">, dentro del plazo de un año a partir de la notificación de la presente Sentencia, la cantidad fijada en el párrafo </w:t>
      </w:r>
      <w:r w:rsidR="00D5137D">
        <w:rPr>
          <w:rFonts w:ascii="Verdana" w:hAnsi="Verdana"/>
          <w:sz w:val="20"/>
          <w:szCs w:val="20"/>
        </w:rPr>
        <w:t>176</w:t>
      </w:r>
      <w:r w:rsidR="00B662B4" w:rsidRPr="00FA2B61">
        <w:rPr>
          <w:rFonts w:ascii="Verdana" w:hAnsi="Verdana"/>
          <w:sz w:val="20"/>
          <w:szCs w:val="20"/>
        </w:rPr>
        <w:t xml:space="preserve"> </w:t>
      </w:r>
      <w:r w:rsidR="0002664D" w:rsidRPr="00FA2B61">
        <w:rPr>
          <w:rFonts w:ascii="Verdana" w:hAnsi="Verdana"/>
          <w:sz w:val="20"/>
          <w:szCs w:val="20"/>
        </w:rPr>
        <w:t>de esta Sentencia, por concepto de reintegro de costas y gastos, en los términos establecidos en dicho párrafo.</w:t>
      </w:r>
    </w:p>
    <w:p w14:paraId="5DECC5DB" w14:textId="77777777" w:rsidR="0002664D" w:rsidRPr="00FA2B61" w:rsidRDefault="0002664D" w:rsidP="0002664D">
      <w:pPr>
        <w:widowControl w:val="0"/>
        <w:tabs>
          <w:tab w:val="left" w:pos="567"/>
        </w:tabs>
        <w:adjustRightInd w:val="0"/>
        <w:spacing w:after="0" w:line="240" w:lineRule="auto"/>
        <w:jc w:val="both"/>
        <w:textAlignment w:val="baseline"/>
        <w:rPr>
          <w:rFonts w:ascii="Verdana" w:hAnsi="Verdana"/>
          <w:sz w:val="20"/>
          <w:szCs w:val="20"/>
        </w:rPr>
      </w:pPr>
    </w:p>
    <w:p w14:paraId="5F6F5041" w14:textId="7FFF6759" w:rsidR="0002664D" w:rsidRPr="00FA2B61" w:rsidRDefault="0081160D" w:rsidP="0002664D">
      <w:pPr>
        <w:widowControl w:val="0"/>
        <w:tabs>
          <w:tab w:val="left" w:pos="567"/>
        </w:tabs>
        <w:adjustRightInd w:val="0"/>
        <w:spacing w:after="0" w:line="240" w:lineRule="auto"/>
        <w:jc w:val="both"/>
        <w:textAlignment w:val="baseline"/>
        <w:rPr>
          <w:rFonts w:ascii="Verdana" w:hAnsi="Verdana"/>
          <w:sz w:val="20"/>
          <w:szCs w:val="20"/>
        </w:rPr>
      </w:pPr>
      <w:r w:rsidRPr="00FA2B61">
        <w:rPr>
          <w:rFonts w:ascii="Verdana" w:hAnsi="Verdana"/>
          <w:sz w:val="20"/>
          <w:szCs w:val="20"/>
        </w:rPr>
        <w:t>1</w:t>
      </w:r>
      <w:r w:rsidR="000447D2">
        <w:rPr>
          <w:rFonts w:ascii="Verdana" w:hAnsi="Verdana"/>
          <w:sz w:val="20"/>
          <w:szCs w:val="20"/>
        </w:rPr>
        <w:t>1</w:t>
      </w:r>
      <w:r w:rsidR="0002664D" w:rsidRPr="00FA2B61">
        <w:rPr>
          <w:rFonts w:ascii="Verdana" w:hAnsi="Verdana"/>
          <w:sz w:val="20"/>
          <w:szCs w:val="20"/>
        </w:rPr>
        <w:t xml:space="preserve">. </w:t>
      </w:r>
      <w:r w:rsidR="0002664D" w:rsidRPr="00FA2B61">
        <w:rPr>
          <w:rFonts w:ascii="Verdana" w:hAnsi="Verdana"/>
          <w:sz w:val="20"/>
          <w:szCs w:val="20"/>
        </w:rPr>
        <w:tab/>
        <w:t>El Estado, dentro del plazo de un año a partir de la notificación de esta Sentencia, rendir</w:t>
      </w:r>
      <w:r w:rsidR="005A7E9E">
        <w:rPr>
          <w:rFonts w:ascii="Verdana" w:hAnsi="Verdana"/>
          <w:sz w:val="20"/>
          <w:szCs w:val="20"/>
        </w:rPr>
        <w:t>á</w:t>
      </w:r>
      <w:r w:rsidR="0002664D" w:rsidRPr="00FA2B61">
        <w:rPr>
          <w:rFonts w:ascii="Verdana" w:hAnsi="Verdana"/>
          <w:sz w:val="20"/>
          <w:szCs w:val="20"/>
        </w:rPr>
        <w:t xml:space="preserve"> a la Corte un informe sobre las medidas adoptadas para cumplir con la misma. </w:t>
      </w:r>
    </w:p>
    <w:p w14:paraId="4C66A474" w14:textId="77777777" w:rsidR="0002664D" w:rsidRPr="00FA2B61" w:rsidRDefault="0002664D" w:rsidP="0002664D">
      <w:pPr>
        <w:widowControl w:val="0"/>
        <w:tabs>
          <w:tab w:val="left" w:pos="567"/>
        </w:tabs>
        <w:adjustRightInd w:val="0"/>
        <w:spacing w:after="0" w:line="240" w:lineRule="auto"/>
        <w:jc w:val="both"/>
        <w:textAlignment w:val="baseline"/>
        <w:rPr>
          <w:rFonts w:ascii="Verdana" w:hAnsi="Verdana"/>
          <w:sz w:val="20"/>
          <w:szCs w:val="20"/>
        </w:rPr>
      </w:pPr>
    </w:p>
    <w:p w14:paraId="18BFE3FD" w14:textId="431DC11F" w:rsidR="0002664D" w:rsidRPr="00FA2B61" w:rsidRDefault="0081160D" w:rsidP="0002664D">
      <w:pPr>
        <w:widowControl w:val="0"/>
        <w:tabs>
          <w:tab w:val="left" w:pos="567"/>
        </w:tabs>
        <w:adjustRightInd w:val="0"/>
        <w:spacing w:after="0" w:line="240" w:lineRule="auto"/>
        <w:jc w:val="both"/>
        <w:textAlignment w:val="baseline"/>
        <w:rPr>
          <w:rFonts w:ascii="Verdana" w:eastAsia="Arial" w:hAnsi="Verdana" w:cs="Arial"/>
          <w:b/>
          <w:sz w:val="20"/>
          <w:szCs w:val="20"/>
          <w:lang w:val="es-ES"/>
        </w:rPr>
      </w:pPr>
      <w:r w:rsidRPr="00FA2B61">
        <w:rPr>
          <w:rFonts w:ascii="Verdana" w:hAnsi="Verdana"/>
          <w:sz w:val="20"/>
          <w:szCs w:val="20"/>
        </w:rPr>
        <w:t>1</w:t>
      </w:r>
      <w:r w:rsidR="000447D2">
        <w:rPr>
          <w:rFonts w:ascii="Verdana" w:hAnsi="Verdana"/>
          <w:sz w:val="20"/>
          <w:szCs w:val="20"/>
        </w:rPr>
        <w:t>2</w:t>
      </w:r>
      <w:r w:rsidR="0002664D" w:rsidRPr="00FA2B61">
        <w:rPr>
          <w:rFonts w:ascii="Verdana" w:hAnsi="Verdana"/>
          <w:sz w:val="20"/>
          <w:szCs w:val="20"/>
        </w:rPr>
        <w:t xml:space="preserve">. </w:t>
      </w:r>
      <w:r w:rsidR="0002664D" w:rsidRPr="00FA2B61">
        <w:rPr>
          <w:rFonts w:ascii="Verdana" w:hAnsi="Verdana"/>
          <w:sz w:val="20"/>
          <w:szCs w:val="20"/>
        </w:rPr>
        <w:tab/>
        <w:t xml:space="preserve">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con ocasión del mismo. </w:t>
      </w:r>
    </w:p>
    <w:p w14:paraId="149A1F54" w14:textId="77777777" w:rsidR="0002664D" w:rsidRDefault="0002664D" w:rsidP="0002664D">
      <w:pPr>
        <w:spacing w:after="0" w:line="240" w:lineRule="auto"/>
        <w:jc w:val="both"/>
        <w:rPr>
          <w:rFonts w:ascii="Verdana" w:hAnsi="Verdana"/>
          <w:sz w:val="20"/>
          <w:szCs w:val="20"/>
          <w:lang w:val="es-ES"/>
        </w:rPr>
      </w:pPr>
    </w:p>
    <w:p w14:paraId="3CCB1BD3" w14:textId="55B4A1D0" w:rsidR="00FC3417" w:rsidRDefault="00BD1DD5" w:rsidP="0002664D">
      <w:pPr>
        <w:spacing w:after="0" w:line="240" w:lineRule="auto"/>
        <w:jc w:val="both"/>
        <w:rPr>
          <w:rFonts w:ascii="Verdana" w:hAnsi="Verdana"/>
          <w:sz w:val="20"/>
          <w:szCs w:val="20"/>
          <w:lang w:val="es-ES"/>
        </w:rPr>
      </w:pPr>
      <w:r>
        <w:rPr>
          <w:rFonts w:ascii="Verdana" w:hAnsi="Verdana"/>
          <w:sz w:val="20"/>
          <w:szCs w:val="20"/>
          <w:lang w:val="es-ES"/>
        </w:rPr>
        <w:t>Los jueces</w:t>
      </w:r>
      <w:r w:rsidR="00FC3417">
        <w:rPr>
          <w:rFonts w:ascii="Verdana" w:hAnsi="Verdana"/>
          <w:sz w:val="20"/>
          <w:szCs w:val="20"/>
          <w:lang w:val="es-ES"/>
        </w:rPr>
        <w:t xml:space="preserve"> Eduardo Ferrer Mac</w:t>
      </w:r>
      <w:r w:rsidR="0006536D">
        <w:rPr>
          <w:rFonts w:ascii="Verdana" w:hAnsi="Verdana"/>
          <w:sz w:val="20"/>
          <w:szCs w:val="20"/>
          <w:lang w:val="es-ES"/>
        </w:rPr>
        <w:t>-</w:t>
      </w:r>
      <w:proofErr w:type="spellStart"/>
      <w:r w:rsidR="00FC3417">
        <w:rPr>
          <w:rFonts w:ascii="Verdana" w:hAnsi="Verdana"/>
          <w:sz w:val="20"/>
          <w:szCs w:val="20"/>
          <w:lang w:val="es-ES"/>
        </w:rPr>
        <w:t>Gregor</w:t>
      </w:r>
      <w:proofErr w:type="spellEnd"/>
      <w:r w:rsidR="00FC3417">
        <w:rPr>
          <w:rFonts w:ascii="Verdana" w:hAnsi="Verdana"/>
          <w:sz w:val="20"/>
          <w:szCs w:val="20"/>
          <w:lang w:val="es-ES"/>
        </w:rPr>
        <w:t xml:space="preserve"> </w:t>
      </w:r>
      <w:proofErr w:type="spellStart"/>
      <w:r w:rsidR="00FC3417">
        <w:rPr>
          <w:rFonts w:ascii="Verdana" w:hAnsi="Verdana"/>
          <w:sz w:val="20"/>
          <w:szCs w:val="20"/>
          <w:lang w:val="es-ES"/>
        </w:rPr>
        <w:t>Poi</w:t>
      </w:r>
      <w:r w:rsidR="00C96159">
        <w:rPr>
          <w:rFonts w:ascii="Verdana" w:hAnsi="Verdana"/>
          <w:sz w:val="20"/>
          <w:szCs w:val="20"/>
          <w:lang w:val="es-ES"/>
        </w:rPr>
        <w:t>sot</w:t>
      </w:r>
      <w:proofErr w:type="spellEnd"/>
      <w:r w:rsidR="00C96159">
        <w:rPr>
          <w:rFonts w:ascii="Verdana" w:hAnsi="Verdana"/>
          <w:sz w:val="20"/>
          <w:szCs w:val="20"/>
          <w:lang w:val="es-ES"/>
        </w:rPr>
        <w:t xml:space="preserve"> y Ricardo Pérez Manrique</w:t>
      </w:r>
      <w:r w:rsidR="00323BF7">
        <w:rPr>
          <w:rFonts w:ascii="Verdana" w:hAnsi="Verdana"/>
          <w:sz w:val="20"/>
          <w:szCs w:val="20"/>
          <w:lang w:val="es-ES"/>
        </w:rPr>
        <w:t xml:space="preserve"> </w:t>
      </w:r>
      <w:r>
        <w:rPr>
          <w:rFonts w:ascii="Verdana" w:hAnsi="Verdana"/>
          <w:sz w:val="20"/>
          <w:szCs w:val="20"/>
          <w:lang w:val="es-ES"/>
        </w:rPr>
        <w:t>dieron</w:t>
      </w:r>
      <w:r w:rsidR="00FC3417">
        <w:rPr>
          <w:rFonts w:ascii="Verdana" w:hAnsi="Verdana"/>
          <w:sz w:val="20"/>
          <w:szCs w:val="20"/>
          <w:lang w:val="es-ES"/>
        </w:rPr>
        <w:t xml:space="preserve"> a conocer su</w:t>
      </w:r>
      <w:r>
        <w:rPr>
          <w:rFonts w:ascii="Verdana" w:hAnsi="Verdana"/>
          <w:sz w:val="20"/>
          <w:szCs w:val="20"/>
          <w:lang w:val="es-ES"/>
        </w:rPr>
        <w:t>s</w:t>
      </w:r>
      <w:r w:rsidR="00FC3417">
        <w:rPr>
          <w:rFonts w:ascii="Verdana" w:hAnsi="Verdana"/>
          <w:sz w:val="20"/>
          <w:szCs w:val="20"/>
          <w:lang w:val="es-ES"/>
        </w:rPr>
        <w:t xml:space="preserve"> voto</w:t>
      </w:r>
      <w:r>
        <w:rPr>
          <w:rFonts w:ascii="Verdana" w:hAnsi="Verdana"/>
          <w:sz w:val="20"/>
          <w:szCs w:val="20"/>
          <w:lang w:val="es-ES"/>
        </w:rPr>
        <w:t>s</w:t>
      </w:r>
      <w:r w:rsidR="00FC3417">
        <w:rPr>
          <w:rFonts w:ascii="Verdana" w:hAnsi="Verdana"/>
          <w:sz w:val="20"/>
          <w:szCs w:val="20"/>
          <w:lang w:val="es-ES"/>
        </w:rPr>
        <w:t xml:space="preserve"> individual</w:t>
      </w:r>
      <w:r>
        <w:rPr>
          <w:rFonts w:ascii="Verdana" w:hAnsi="Verdana"/>
          <w:sz w:val="20"/>
          <w:szCs w:val="20"/>
          <w:lang w:val="es-ES"/>
        </w:rPr>
        <w:t>es</w:t>
      </w:r>
      <w:r w:rsidR="00C96159">
        <w:rPr>
          <w:rFonts w:ascii="Verdana" w:hAnsi="Verdana"/>
          <w:sz w:val="20"/>
          <w:szCs w:val="20"/>
          <w:lang w:val="es-ES"/>
        </w:rPr>
        <w:t xml:space="preserve"> concurrentes</w:t>
      </w:r>
      <w:r w:rsidR="00323BF7">
        <w:rPr>
          <w:rFonts w:ascii="Verdana" w:hAnsi="Verdana"/>
          <w:sz w:val="20"/>
          <w:szCs w:val="20"/>
          <w:lang w:val="es-ES"/>
        </w:rPr>
        <w:t>.</w:t>
      </w:r>
      <w:r w:rsidR="00C96159">
        <w:rPr>
          <w:rFonts w:ascii="Verdana" w:hAnsi="Verdana"/>
          <w:sz w:val="20"/>
          <w:szCs w:val="20"/>
          <w:lang w:val="es-ES"/>
        </w:rPr>
        <w:t xml:space="preserve"> Los jueces Eduardo Vio Grossi, Humberto Sierra Porto,</w:t>
      </w:r>
      <w:r w:rsidR="009B6F1B">
        <w:rPr>
          <w:rFonts w:ascii="Verdana" w:hAnsi="Verdana"/>
          <w:sz w:val="20"/>
          <w:szCs w:val="20"/>
          <w:lang w:val="es-ES"/>
        </w:rPr>
        <w:t xml:space="preserve"> y</w:t>
      </w:r>
      <w:r w:rsidR="00C96159">
        <w:rPr>
          <w:rFonts w:ascii="Verdana" w:hAnsi="Verdana"/>
          <w:sz w:val="20"/>
          <w:szCs w:val="20"/>
          <w:lang w:val="es-ES"/>
        </w:rPr>
        <w:t xml:space="preserve"> </w:t>
      </w:r>
      <w:r w:rsidR="009B6F1B">
        <w:rPr>
          <w:rFonts w:ascii="Verdana" w:hAnsi="Verdana"/>
          <w:sz w:val="20"/>
          <w:szCs w:val="20"/>
          <w:lang w:val="es-ES"/>
        </w:rPr>
        <w:t xml:space="preserve">L. </w:t>
      </w:r>
      <w:r w:rsidR="00C96159">
        <w:rPr>
          <w:rFonts w:ascii="Verdana" w:hAnsi="Verdana"/>
          <w:sz w:val="20"/>
          <w:szCs w:val="20"/>
          <w:lang w:val="es-ES"/>
        </w:rPr>
        <w:t>Patricio Pazmiño Freire dieron a conocer sus votos p</w:t>
      </w:r>
      <w:r w:rsidR="009B6F1B">
        <w:rPr>
          <w:rFonts w:ascii="Verdana" w:hAnsi="Verdana"/>
          <w:sz w:val="20"/>
          <w:szCs w:val="20"/>
          <w:lang w:val="es-ES"/>
        </w:rPr>
        <w:t>arcialmente disidentes.</w:t>
      </w:r>
    </w:p>
    <w:p w14:paraId="2FC07246" w14:textId="77777777" w:rsidR="00FC3417" w:rsidRPr="00FA2B61" w:rsidRDefault="00FC3417" w:rsidP="0002664D">
      <w:pPr>
        <w:spacing w:after="0" w:line="240" w:lineRule="auto"/>
        <w:jc w:val="both"/>
        <w:rPr>
          <w:rFonts w:ascii="Verdana" w:hAnsi="Verdana"/>
          <w:sz w:val="20"/>
          <w:szCs w:val="20"/>
          <w:lang w:val="es-ES"/>
        </w:rPr>
      </w:pPr>
    </w:p>
    <w:p w14:paraId="77B098C1" w14:textId="03FEFEBF" w:rsidR="0002664D" w:rsidRDefault="0002664D" w:rsidP="0002664D">
      <w:pPr>
        <w:spacing w:after="0" w:line="240" w:lineRule="auto"/>
        <w:jc w:val="both"/>
        <w:rPr>
          <w:rFonts w:ascii="Verdana" w:hAnsi="Verdana"/>
          <w:sz w:val="20"/>
          <w:szCs w:val="20"/>
          <w:lang w:val="es-ES"/>
        </w:rPr>
      </w:pPr>
      <w:r w:rsidRPr="00FA2B61">
        <w:rPr>
          <w:rFonts w:ascii="Verdana" w:hAnsi="Verdana"/>
          <w:sz w:val="20"/>
          <w:szCs w:val="20"/>
          <w:lang w:val="es-ES"/>
        </w:rPr>
        <w:t xml:space="preserve">Redactada en San José, República de Costa Rica, el </w:t>
      </w:r>
      <w:r w:rsidR="00C8243A">
        <w:rPr>
          <w:rFonts w:ascii="Verdana" w:hAnsi="Verdana"/>
          <w:sz w:val="20"/>
          <w:szCs w:val="20"/>
          <w:lang w:val="es-ES"/>
        </w:rPr>
        <w:t>22</w:t>
      </w:r>
      <w:r w:rsidR="00C8243A" w:rsidRPr="00FA2B61">
        <w:rPr>
          <w:rFonts w:ascii="Verdana" w:hAnsi="Verdana"/>
          <w:sz w:val="20"/>
          <w:szCs w:val="20"/>
          <w:lang w:val="es-ES"/>
        </w:rPr>
        <w:t xml:space="preserve"> </w:t>
      </w:r>
      <w:r w:rsidRPr="00FA2B61">
        <w:rPr>
          <w:rFonts w:ascii="Verdana" w:hAnsi="Verdana"/>
          <w:sz w:val="20"/>
          <w:szCs w:val="20"/>
          <w:lang w:val="es-ES"/>
        </w:rPr>
        <w:t xml:space="preserve">de </w:t>
      </w:r>
      <w:r w:rsidR="00DE61A2" w:rsidRPr="00FA2B61">
        <w:rPr>
          <w:rFonts w:ascii="Verdana" w:hAnsi="Verdana"/>
          <w:sz w:val="20"/>
          <w:szCs w:val="20"/>
          <w:lang w:val="es-ES"/>
        </w:rPr>
        <w:t>noviembre</w:t>
      </w:r>
      <w:r w:rsidRPr="00FA2B61">
        <w:rPr>
          <w:rFonts w:ascii="Verdana" w:hAnsi="Verdana"/>
          <w:sz w:val="20"/>
          <w:szCs w:val="20"/>
          <w:lang w:val="es-ES"/>
        </w:rPr>
        <w:t xml:space="preserve"> de 2019.</w:t>
      </w:r>
      <w:r w:rsidRPr="0002664D">
        <w:rPr>
          <w:rFonts w:ascii="Verdana" w:hAnsi="Verdana"/>
          <w:sz w:val="20"/>
          <w:szCs w:val="20"/>
          <w:lang w:val="es-ES"/>
        </w:rPr>
        <w:t xml:space="preserve"> </w:t>
      </w:r>
    </w:p>
    <w:p w14:paraId="3D373AC3" w14:textId="77777777" w:rsidR="005166B5" w:rsidRDefault="005166B5" w:rsidP="0002664D">
      <w:pPr>
        <w:spacing w:after="0" w:line="240" w:lineRule="auto"/>
        <w:jc w:val="both"/>
        <w:rPr>
          <w:rFonts w:ascii="Verdana" w:hAnsi="Verdana"/>
          <w:sz w:val="20"/>
          <w:szCs w:val="20"/>
          <w:lang w:val="es-ES"/>
        </w:rPr>
      </w:pPr>
    </w:p>
    <w:p w14:paraId="0AD62941" w14:textId="77777777" w:rsidR="005166B5" w:rsidRDefault="005166B5" w:rsidP="0002664D">
      <w:pPr>
        <w:spacing w:after="0" w:line="240" w:lineRule="auto"/>
        <w:jc w:val="both"/>
        <w:rPr>
          <w:rFonts w:ascii="Verdana" w:hAnsi="Verdana"/>
          <w:sz w:val="20"/>
          <w:szCs w:val="20"/>
          <w:lang w:val="es-ES"/>
        </w:rPr>
      </w:pPr>
    </w:p>
    <w:p w14:paraId="54F950FE" w14:textId="77777777" w:rsidR="005166B5" w:rsidRDefault="005166B5" w:rsidP="0002664D">
      <w:pPr>
        <w:spacing w:after="0" w:line="240" w:lineRule="auto"/>
        <w:jc w:val="both"/>
        <w:rPr>
          <w:rFonts w:ascii="Verdana" w:hAnsi="Verdana"/>
          <w:sz w:val="20"/>
          <w:szCs w:val="20"/>
          <w:lang w:val="es-ES"/>
        </w:rPr>
      </w:pPr>
    </w:p>
    <w:p w14:paraId="7BA50AD1" w14:textId="77777777" w:rsidR="005166B5" w:rsidRDefault="005166B5" w:rsidP="0002664D">
      <w:pPr>
        <w:spacing w:after="0" w:line="240" w:lineRule="auto"/>
        <w:jc w:val="both"/>
        <w:rPr>
          <w:rFonts w:ascii="Verdana" w:hAnsi="Verdana"/>
          <w:sz w:val="20"/>
          <w:szCs w:val="20"/>
          <w:lang w:val="es-ES"/>
        </w:rPr>
      </w:pPr>
    </w:p>
    <w:p w14:paraId="059CFF5F" w14:textId="77777777" w:rsidR="005166B5" w:rsidRDefault="005166B5" w:rsidP="0002664D">
      <w:pPr>
        <w:spacing w:after="0" w:line="240" w:lineRule="auto"/>
        <w:jc w:val="both"/>
        <w:rPr>
          <w:rFonts w:ascii="Verdana" w:hAnsi="Verdana"/>
          <w:sz w:val="20"/>
          <w:szCs w:val="20"/>
          <w:lang w:val="es-ES"/>
        </w:rPr>
      </w:pPr>
    </w:p>
    <w:p w14:paraId="72FD9455" w14:textId="77777777" w:rsidR="005166B5" w:rsidRDefault="005166B5" w:rsidP="0002664D">
      <w:pPr>
        <w:spacing w:after="0" w:line="240" w:lineRule="auto"/>
        <w:jc w:val="both"/>
        <w:rPr>
          <w:rFonts w:ascii="Verdana" w:hAnsi="Verdana"/>
          <w:sz w:val="20"/>
          <w:szCs w:val="20"/>
          <w:lang w:val="es-ES"/>
        </w:rPr>
      </w:pPr>
    </w:p>
    <w:p w14:paraId="05308342" w14:textId="77777777" w:rsidR="005166B5" w:rsidRDefault="005166B5" w:rsidP="0002664D">
      <w:pPr>
        <w:spacing w:after="0" w:line="240" w:lineRule="auto"/>
        <w:jc w:val="both"/>
        <w:rPr>
          <w:rFonts w:ascii="Verdana" w:hAnsi="Verdana"/>
          <w:sz w:val="20"/>
          <w:szCs w:val="20"/>
          <w:lang w:val="es-ES"/>
        </w:rPr>
      </w:pPr>
    </w:p>
    <w:p w14:paraId="3128308D" w14:textId="77777777" w:rsidR="005166B5" w:rsidRDefault="005166B5" w:rsidP="0002664D">
      <w:pPr>
        <w:spacing w:after="0" w:line="240" w:lineRule="auto"/>
        <w:jc w:val="both"/>
        <w:rPr>
          <w:rFonts w:ascii="Verdana" w:hAnsi="Verdana"/>
          <w:sz w:val="20"/>
          <w:szCs w:val="20"/>
          <w:lang w:val="es-ES"/>
        </w:rPr>
      </w:pPr>
    </w:p>
    <w:p w14:paraId="6DDB6630" w14:textId="77777777" w:rsidR="005166B5" w:rsidRDefault="005166B5" w:rsidP="0002664D">
      <w:pPr>
        <w:spacing w:after="0" w:line="240" w:lineRule="auto"/>
        <w:jc w:val="both"/>
        <w:rPr>
          <w:rFonts w:ascii="Verdana" w:hAnsi="Verdana"/>
          <w:sz w:val="20"/>
          <w:szCs w:val="20"/>
          <w:lang w:val="es-ES"/>
        </w:rPr>
      </w:pPr>
    </w:p>
    <w:p w14:paraId="14EC3EE5" w14:textId="77777777" w:rsidR="005166B5" w:rsidRDefault="005166B5" w:rsidP="0002664D">
      <w:pPr>
        <w:spacing w:after="0" w:line="240" w:lineRule="auto"/>
        <w:jc w:val="both"/>
        <w:rPr>
          <w:rFonts w:ascii="Verdana" w:hAnsi="Verdana"/>
          <w:sz w:val="20"/>
          <w:szCs w:val="20"/>
          <w:lang w:val="es-ES"/>
        </w:rPr>
      </w:pPr>
    </w:p>
    <w:p w14:paraId="4635899E" w14:textId="77777777" w:rsidR="005166B5" w:rsidRDefault="005166B5" w:rsidP="0002664D">
      <w:pPr>
        <w:spacing w:after="0" w:line="240" w:lineRule="auto"/>
        <w:jc w:val="both"/>
        <w:rPr>
          <w:rFonts w:ascii="Verdana" w:hAnsi="Verdana"/>
          <w:sz w:val="20"/>
          <w:szCs w:val="20"/>
          <w:lang w:val="es-ES"/>
        </w:rPr>
      </w:pPr>
    </w:p>
    <w:p w14:paraId="0EED559B" w14:textId="77777777" w:rsidR="005166B5" w:rsidRDefault="005166B5" w:rsidP="0002664D">
      <w:pPr>
        <w:spacing w:after="0" w:line="240" w:lineRule="auto"/>
        <w:jc w:val="both"/>
        <w:rPr>
          <w:rFonts w:ascii="Verdana" w:hAnsi="Verdana"/>
          <w:sz w:val="20"/>
          <w:szCs w:val="20"/>
          <w:lang w:val="es-ES"/>
        </w:rPr>
      </w:pPr>
    </w:p>
    <w:p w14:paraId="41F9E1AB" w14:textId="77777777" w:rsidR="005166B5" w:rsidRDefault="005166B5" w:rsidP="0002664D">
      <w:pPr>
        <w:spacing w:after="0" w:line="240" w:lineRule="auto"/>
        <w:jc w:val="both"/>
        <w:rPr>
          <w:rFonts w:ascii="Verdana" w:hAnsi="Verdana"/>
          <w:sz w:val="20"/>
          <w:szCs w:val="20"/>
          <w:lang w:val="es-ES"/>
        </w:rPr>
      </w:pPr>
    </w:p>
    <w:p w14:paraId="2A53261A" w14:textId="77777777" w:rsidR="005166B5" w:rsidRDefault="005166B5" w:rsidP="0002664D">
      <w:pPr>
        <w:spacing w:after="0" w:line="240" w:lineRule="auto"/>
        <w:jc w:val="both"/>
        <w:rPr>
          <w:rFonts w:ascii="Verdana" w:hAnsi="Verdana"/>
          <w:sz w:val="20"/>
          <w:szCs w:val="20"/>
          <w:lang w:val="es-ES"/>
        </w:rPr>
      </w:pPr>
    </w:p>
    <w:p w14:paraId="52E98A23" w14:textId="77777777" w:rsidR="005166B5" w:rsidRDefault="005166B5" w:rsidP="0002664D">
      <w:pPr>
        <w:spacing w:after="0" w:line="240" w:lineRule="auto"/>
        <w:jc w:val="both"/>
        <w:rPr>
          <w:rFonts w:ascii="Verdana" w:hAnsi="Verdana"/>
          <w:sz w:val="20"/>
          <w:szCs w:val="20"/>
          <w:lang w:val="es-ES"/>
        </w:rPr>
      </w:pPr>
    </w:p>
    <w:p w14:paraId="75FEE828" w14:textId="4E52FB6A" w:rsidR="005166B5" w:rsidRDefault="005166B5" w:rsidP="005166B5">
      <w:pPr>
        <w:spacing w:after="0" w:line="240" w:lineRule="auto"/>
        <w:jc w:val="both"/>
        <w:rPr>
          <w:rFonts w:ascii="Verdana" w:hAnsi="Verdana"/>
          <w:sz w:val="20"/>
          <w:lang w:val="es-ES"/>
        </w:rPr>
      </w:pPr>
      <w:r>
        <w:rPr>
          <w:rFonts w:ascii="Verdana" w:hAnsi="Verdana"/>
          <w:sz w:val="20"/>
          <w:lang w:val="es-ES"/>
        </w:rPr>
        <w:lastRenderedPageBreak/>
        <w:t xml:space="preserve">Corte IDH. Caso </w:t>
      </w:r>
      <w:r>
        <w:rPr>
          <w:rFonts w:ascii="Verdana" w:hAnsi="Verdana"/>
          <w:i/>
          <w:sz w:val="20"/>
          <w:lang w:val="es-ES"/>
        </w:rPr>
        <w:t>Hernández Vs. Argentina</w:t>
      </w:r>
      <w:r>
        <w:rPr>
          <w:rFonts w:ascii="Verdana" w:hAnsi="Verdana"/>
          <w:sz w:val="20"/>
          <w:lang w:val="es-ES"/>
        </w:rPr>
        <w:t>. Excepción Preliminar, Fondo, Reparaciones y Costas. Sentencia de 22 de noviembre de 2019.</w:t>
      </w:r>
    </w:p>
    <w:p w14:paraId="4F1D2B3C" w14:textId="77777777" w:rsidR="005166B5" w:rsidRDefault="005166B5" w:rsidP="005166B5">
      <w:pPr>
        <w:spacing w:after="0" w:line="240" w:lineRule="auto"/>
        <w:jc w:val="center"/>
        <w:rPr>
          <w:rFonts w:ascii="Verdana" w:hAnsi="Verdana"/>
          <w:sz w:val="20"/>
          <w:lang w:val="pt-BR"/>
        </w:rPr>
      </w:pPr>
    </w:p>
    <w:p w14:paraId="2D107B6F" w14:textId="77777777" w:rsidR="005166B5" w:rsidRDefault="005166B5" w:rsidP="005166B5">
      <w:pPr>
        <w:spacing w:after="0" w:line="240" w:lineRule="auto"/>
        <w:jc w:val="center"/>
        <w:rPr>
          <w:rFonts w:ascii="Verdana" w:hAnsi="Verdana"/>
          <w:sz w:val="20"/>
          <w:lang w:val="pt-BR"/>
        </w:rPr>
      </w:pPr>
    </w:p>
    <w:p w14:paraId="6C5C149C" w14:textId="77777777" w:rsidR="005166B5" w:rsidRDefault="005166B5" w:rsidP="005166B5">
      <w:pPr>
        <w:spacing w:after="0" w:line="240" w:lineRule="auto"/>
        <w:jc w:val="center"/>
        <w:rPr>
          <w:rFonts w:ascii="Verdana" w:hAnsi="Verdana"/>
          <w:sz w:val="20"/>
          <w:lang w:val="pt-BR"/>
        </w:rPr>
      </w:pPr>
    </w:p>
    <w:p w14:paraId="539BF1D6" w14:textId="77777777" w:rsidR="005166B5" w:rsidRDefault="005166B5" w:rsidP="005166B5">
      <w:pPr>
        <w:spacing w:after="0" w:line="240" w:lineRule="auto"/>
        <w:jc w:val="center"/>
        <w:rPr>
          <w:rFonts w:ascii="Verdana" w:hAnsi="Verdana"/>
          <w:sz w:val="20"/>
          <w:lang w:val="pt-BR"/>
        </w:rPr>
      </w:pPr>
    </w:p>
    <w:p w14:paraId="20997643" w14:textId="77777777" w:rsidR="005166B5" w:rsidRDefault="005166B5" w:rsidP="005166B5">
      <w:pPr>
        <w:spacing w:after="0" w:line="240" w:lineRule="auto"/>
        <w:jc w:val="center"/>
        <w:rPr>
          <w:rFonts w:ascii="Verdana" w:hAnsi="Verdana"/>
          <w:sz w:val="20"/>
          <w:lang w:val="pt-BR"/>
        </w:rPr>
      </w:pPr>
    </w:p>
    <w:p w14:paraId="3A5AA1CF" w14:textId="77777777" w:rsidR="005166B5" w:rsidRPr="0019261A" w:rsidRDefault="005166B5" w:rsidP="005166B5">
      <w:pPr>
        <w:spacing w:after="0" w:line="240" w:lineRule="auto"/>
        <w:jc w:val="center"/>
        <w:rPr>
          <w:rFonts w:ascii="Verdana" w:hAnsi="Verdana"/>
          <w:sz w:val="20"/>
          <w:lang w:val="pt-BR"/>
        </w:rPr>
      </w:pPr>
      <w:r w:rsidRPr="0019261A">
        <w:rPr>
          <w:rFonts w:ascii="Verdana" w:hAnsi="Verdana"/>
          <w:sz w:val="20"/>
          <w:lang w:val="pt-BR"/>
        </w:rPr>
        <w:t xml:space="preserve">Eduardo Ferrer </w:t>
      </w:r>
      <w:proofErr w:type="spellStart"/>
      <w:r w:rsidRPr="0019261A">
        <w:rPr>
          <w:rFonts w:ascii="Verdana" w:hAnsi="Verdana"/>
          <w:sz w:val="20"/>
          <w:lang w:val="pt-BR"/>
        </w:rPr>
        <w:t>Mac-Gregor</w:t>
      </w:r>
      <w:proofErr w:type="spellEnd"/>
      <w:r w:rsidRPr="0019261A">
        <w:rPr>
          <w:rFonts w:ascii="Verdana" w:hAnsi="Verdana"/>
          <w:sz w:val="20"/>
          <w:lang w:val="pt-BR"/>
        </w:rPr>
        <w:t xml:space="preserve"> </w:t>
      </w:r>
      <w:proofErr w:type="spellStart"/>
      <w:r w:rsidRPr="0019261A">
        <w:rPr>
          <w:rFonts w:ascii="Verdana" w:hAnsi="Verdana"/>
          <w:sz w:val="20"/>
          <w:lang w:val="pt-BR"/>
        </w:rPr>
        <w:t>Poisot</w:t>
      </w:r>
      <w:proofErr w:type="spellEnd"/>
    </w:p>
    <w:p w14:paraId="41FE6840" w14:textId="77777777" w:rsidR="005166B5" w:rsidRDefault="005166B5" w:rsidP="005166B5">
      <w:pPr>
        <w:spacing w:after="0" w:line="240" w:lineRule="auto"/>
        <w:jc w:val="center"/>
        <w:rPr>
          <w:rFonts w:ascii="Verdana" w:hAnsi="Verdana"/>
          <w:sz w:val="20"/>
          <w:lang w:val="pt-BR"/>
        </w:rPr>
      </w:pPr>
      <w:r w:rsidRPr="0019261A">
        <w:rPr>
          <w:rFonts w:ascii="Verdana" w:hAnsi="Verdana"/>
          <w:sz w:val="20"/>
          <w:lang w:val="pt-BR"/>
        </w:rPr>
        <w:t xml:space="preserve">Presidente </w:t>
      </w:r>
    </w:p>
    <w:p w14:paraId="57F24839" w14:textId="77777777" w:rsidR="005166B5" w:rsidRPr="0019261A" w:rsidRDefault="005166B5" w:rsidP="005166B5">
      <w:pPr>
        <w:spacing w:after="0" w:line="240" w:lineRule="auto"/>
        <w:rPr>
          <w:rFonts w:ascii="Verdana" w:hAnsi="Verdana"/>
          <w:sz w:val="20"/>
          <w:lang w:val="pt-BR"/>
        </w:rPr>
      </w:pPr>
    </w:p>
    <w:p w14:paraId="04C99EE8" w14:textId="77777777" w:rsidR="005166B5" w:rsidRPr="0019261A" w:rsidRDefault="005166B5" w:rsidP="005166B5">
      <w:pPr>
        <w:spacing w:after="0" w:line="240" w:lineRule="auto"/>
        <w:rPr>
          <w:rFonts w:ascii="Verdana" w:hAnsi="Verdana"/>
          <w:sz w:val="20"/>
          <w:lang w:val="pt-BR"/>
        </w:rPr>
      </w:pPr>
    </w:p>
    <w:p w14:paraId="45E1E8D9" w14:textId="77777777" w:rsidR="005166B5" w:rsidRPr="0019261A" w:rsidRDefault="005166B5" w:rsidP="005166B5">
      <w:pPr>
        <w:spacing w:after="0" w:line="240" w:lineRule="auto"/>
        <w:rPr>
          <w:rFonts w:ascii="Verdana" w:hAnsi="Verdana"/>
          <w:sz w:val="20"/>
          <w:lang w:val="pt-BR"/>
        </w:rPr>
      </w:pPr>
    </w:p>
    <w:p w14:paraId="06AE9A03" w14:textId="77777777" w:rsidR="005166B5" w:rsidRPr="0019261A" w:rsidRDefault="005166B5" w:rsidP="005166B5">
      <w:pPr>
        <w:spacing w:after="0" w:line="240" w:lineRule="auto"/>
        <w:rPr>
          <w:rFonts w:ascii="Verdana" w:hAnsi="Verdana"/>
          <w:sz w:val="20"/>
          <w:lang w:val="pt-BR"/>
        </w:rPr>
      </w:pPr>
    </w:p>
    <w:p w14:paraId="73571C02" w14:textId="7039D829" w:rsidR="005166B5" w:rsidRDefault="005166B5" w:rsidP="005166B5">
      <w:pPr>
        <w:spacing w:after="0" w:line="240" w:lineRule="auto"/>
        <w:rPr>
          <w:rFonts w:ascii="Verdana" w:hAnsi="Verdana"/>
          <w:sz w:val="20"/>
          <w:lang w:val="pt-BR"/>
        </w:rPr>
      </w:pPr>
      <w:r w:rsidRPr="0019261A">
        <w:rPr>
          <w:rFonts w:ascii="Verdana" w:hAnsi="Verdana"/>
          <w:sz w:val="20"/>
          <w:lang w:val="pt-BR"/>
        </w:rPr>
        <w:t xml:space="preserve"> Eduardo </w:t>
      </w:r>
      <w:proofErr w:type="spellStart"/>
      <w:r w:rsidRPr="0019261A">
        <w:rPr>
          <w:rFonts w:ascii="Verdana" w:hAnsi="Verdana"/>
          <w:sz w:val="20"/>
          <w:lang w:val="pt-BR"/>
        </w:rPr>
        <w:t>Vio</w:t>
      </w:r>
      <w:proofErr w:type="spellEnd"/>
      <w:r w:rsidRPr="0019261A">
        <w:rPr>
          <w:rFonts w:ascii="Verdana" w:hAnsi="Verdana"/>
          <w:sz w:val="20"/>
          <w:lang w:val="pt-BR"/>
        </w:rPr>
        <w:t xml:space="preserve"> Grossi</w:t>
      </w:r>
      <w:r w:rsidRPr="0019261A">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t xml:space="preserve">   Humberto </w:t>
      </w:r>
      <w:proofErr w:type="spellStart"/>
      <w:r>
        <w:rPr>
          <w:rFonts w:ascii="Verdana" w:hAnsi="Verdana"/>
          <w:sz w:val="20"/>
          <w:lang w:val="pt-BR"/>
        </w:rPr>
        <w:t>Antonio</w:t>
      </w:r>
      <w:proofErr w:type="spellEnd"/>
      <w:r>
        <w:rPr>
          <w:rFonts w:ascii="Verdana" w:hAnsi="Verdana"/>
          <w:sz w:val="20"/>
          <w:lang w:val="pt-BR"/>
        </w:rPr>
        <w:t xml:space="preserve"> </w:t>
      </w:r>
      <w:proofErr w:type="spellStart"/>
      <w:r>
        <w:rPr>
          <w:rFonts w:ascii="Verdana" w:hAnsi="Verdana"/>
          <w:sz w:val="20"/>
          <w:lang w:val="pt-BR"/>
        </w:rPr>
        <w:t>Sierra</w:t>
      </w:r>
      <w:proofErr w:type="spellEnd"/>
      <w:r>
        <w:rPr>
          <w:rFonts w:ascii="Verdana" w:hAnsi="Verdana"/>
          <w:sz w:val="20"/>
          <w:lang w:val="pt-BR"/>
        </w:rPr>
        <w:t xml:space="preserve"> Porto</w:t>
      </w:r>
      <w:r w:rsidRPr="0019261A">
        <w:rPr>
          <w:rFonts w:ascii="Verdana" w:hAnsi="Verdana"/>
          <w:sz w:val="20"/>
          <w:lang w:val="pt-BR"/>
        </w:rPr>
        <w:tab/>
      </w:r>
      <w:r w:rsidRPr="0019261A">
        <w:rPr>
          <w:rFonts w:ascii="Verdana" w:hAnsi="Verdana"/>
          <w:sz w:val="20"/>
          <w:lang w:val="pt-BR"/>
        </w:rPr>
        <w:tab/>
      </w:r>
      <w:r w:rsidRPr="0019261A">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t xml:space="preserve">         </w:t>
      </w:r>
    </w:p>
    <w:p w14:paraId="6FDA7E65" w14:textId="77777777" w:rsidR="005166B5" w:rsidRDefault="005166B5" w:rsidP="005166B5">
      <w:pPr>
        <w:spacing w:after="0" w:line="240" w:lineRule="auto"/>
        <w:rPr>
          <w:rFonts w:ascii="Verdana" w:hAnsi="Verdana"/>
          <w:sz w:val="20"/>
          <w:lang w:val="pt-BR"/>
        </w:rPr>
      </w:pPr>
    </w:p>
    <w:p w14:paraId="2C2FEAB2" w14:textId="77777777" w:rsidR="005166B5" w:rsidRDefault="005166B5" w:rsidP="005166B5">
      <w:pPr>
        <w:spacing w:after="0" w:line="240" w:lineRule="auto"/>
        <w:rPr>
          <w:rFonts w:ascii="Verdana" w:hAnsi="Verdana"/>
          <w:sz w:val="20"/>
          <w:lang w:val="pt-BR"/>
        </w:rPr>
      </w:pPr>
    </w:p>
    <w:p w14:paraId="454B67D6" w14:textId="77777777" w:rsidR="005166B5" w:rsidRDefault="005166B5" w:rsidP="005166B5">
      <w:pPr>
        <w:spacing w:after="0" w:line="240" w:lineRule="auto"/>
        <w:rPr>
          <w:rFonts w:ascii="Verdana" w:hAnsi="Verdana"/>
          <w:sz w:val="20"/>
          <w:lang w:val="pt-BR"/>
        </w:rPr>
      </w:pPr>
    </w:p>
    <w:p w14:paraId="78DB46EB" w14:textId="77777777" w:rsidR="005166B5" w:rsidRDefault="005166B5" w:rsidP="005166B5">
      <w:pPr>
        <w:spacing w:after="0" w:line="240" w:lineRule="auto"/>
        <w:rPr>
          <w:rFonts w:ascii="Verdana" w:hAnsi="Verdana"/>
          <w:sz w:val="20"/>
          <w:lang w:val="pt-BR"/>
        </w:rPr>
      </w:pPr>
    </w:p>
    <w:p w14:paraId="3D14148A" w14:textId="6D1AC4FB" w:rsidR="005166B5" w:rsidRPr="0019261A" w:rsidRDefault="005166B5" w:rsidP="005166B5">
      <w:pPr>
        <w:spacing w:after="0" w:line="240" w:lineRule="auto"/>
        <w:rPr>
          <w:rFonts w:ascii="Verdana" w:hAnsi="Verdana"/>
          <w:sz w:val="20"/>
          <w:lang w:val="pt-BR"/>
        </w:rPr>
      </w:pPr>
      <w:r w:rsidRPr="00DA00D0">
        <w:rPr>
          <w:rFonts w:ascii="Verdana" w:hAnsi="Verdana"/>
          <w:sz w:val="20"/>
          <w:lang w:val="pt-BR"/>
        </w:rPr>
        <w:t>Eli</w:t>
      </w:r>
      <w:r>
        <w:rPr>
          <w:rFonts w:ascii="Verdana" w:hAnsi="Verdana"/>
          <w:sz w:val="20"/>
          <w:lang w:val="pt-BR"/>
        </w:rPr>
        <w:t xml:space="preserve">zabeth </w:t>
      </w:r>
      <w:proofErr w:type="spellStart"/>
      <w:r>
        <w:rPr>
          <w:rFonts w:ascii="Verdana" w:hAnsi="Verdana"/>
          <w:sz w:val="20"/>
          <w:lang w:val="pt-BR"/>
        </w:rPr>
        <w:t>Odio</w:t>
      </w:r>
      <w:proofErr w:type="spellEnd"/>
      <w:r>
        <w:rPr>
          <w:rFonts w:ascii="Verdana" w:hAnsi="Verdana"/>
          <w:sz w:val="20"/>
          <w:lang w:val="pt-BR"/>
        </w:rPr>
        <w:t xml:space="preserve"> Benito</w:t>
      </w:r>
      <w:r w:rsidRPr="0019261A">
        <w:rPr>
          <w:rFonts w:ascii="Verdana" w:hAnsi="Verdana"/>
          <w:sz w:val="20"/>
          <w:lang w:val="pt-BR"/>
        </w:rPr>
        <w:tab/>
      </w:r>
      <w:r>
        <w:rPr>
          <w:rFonts w:ascii="Verdana" w:hAnsi="Verdana"/>
          <w:sz w:val="20"/>
          <w:lang w:val="pt-BR"/>
        </w:rPr>
        <w:tab/>
        <w:t xml:space="preserve">      </w:t>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t>L. Patricio Pazmiño Frei</w:t>
      </w:r>
      <w:r w:rsidRPr="0019261A">
        <w:rPr>
          <w:rFonts w:ascii="Verdana" w:hAnsi="Verdana"/>
          <w:sz w:val="20"/>
          <w:lang w:val="pt-BR"/>
        </w:rPr>
        <w:t>re</w:t>
      </w:r>
    </w:p>
    <w:p w14:paraId="4664D0FE" w14:textId="77777777" w:rsidR="005166B5" w:rsidRPr="0019261A" w:rsidRDefault="005166B5" w:rsidP="005166B5">
      <w:pPr>
        <w:spacing w:after="0" w:line="240" w:lineRule="auto"/>
        <w:rPr>
          <w:rFonts w:ascii="Verdana" w:hAnsi="Verdana"/>
          <w:sz w:val="20"/>
          <w:lang w:val="pt-BR"/>
        </w:rPr>
      </w:pPr>
    </w:p>
    <w:p w14:paraId="24B27877" w14:textId="77777777" w:rsidR="005166B5" w:rsidRPr="0019261A" w:rsidRDefault="005166B5" w:rsidP="005166B5">
      <w:pPr>
        <w:spacing w:after="0" w:line="240" w:lineRule="auto"/>
        <w:rPr>
          <w:rFonts w:ascii="Verdana" w:hAnsi="Verdana"/>
          <w:sz w:val="20"/>
          <w:lang w:val="pt-BR"/>
        </w:rPr>
      </w:pPr>
    </w:p>
    <w:p w14:paraId="6DC43F0D" w14:textId="77777777" w:rsidR="005166B5" w:rsidRPr="0019261A" w:rsidRDefault="005166B5" w:rsidP="005166B5">
      <w:pPr>
        <w:spacing w:after="0" w:line="240" w:lineRule="auto"/>
        <w:jc w:val="both"/>
        <w:rPr>
          <w:rFonts w:ascii="Verdana" w:hAnsi="Verdana"/>
          <w:sz w:val="20"/>
          <w:lang w:val="pt-BR"/>
        </w:rPr>
      </w:pPr>
    </w:p>
    <w:p w14:paraId="1CB3BD0D" w14:textId="77777777" w:rsidR="005166B5" w:rsidRDefault="005166B5" w:rsidP="005166B5">
      <w:pPr>
        <w:spacing w:after="0" w:line="240" w:lineRule="auto"/>
        <w:jc w:val="both"/>
        <w:rPr>
          <w:rFonts w:ascii="Verdana" w:hAnsi="Verdana"/>
          <w:sz w:val="20"/>
          <w:lang w:val="pt-BR"/>
        </w:rPr>
      </w:pPr>
    </w:p>
    <w:p w14:paraId="3703B284" w14:textId="07F77F87" w:rsidR="005166B5" w:rsidRDefault="005166B5" w:rsidP="005166B5">
      <w:pPr>
        <w:spacing w:after="0" w:line="240" w:lineRule="auto"/>
        <w:jc w:val="center"/>
        <w:rPr>
          <w:rFonts w:ascii="Verdana" w:hAnsi="Verdana"/>
          <w:sz w:val="20"/>
          <w:lang w:val="pt-BR"/>
        </w:rPr>
      </w:pPr>
      <w:r>
        <w:rPr>
          <w:rFonts w:ascii="Verdana" w:hAnsi="Verdana"/>
          <w:sz w:val="20"/>
          <w:lang w:val="pt-BR"/>
        </w:rPr>
        <w:t>Ricardo C. Pérez Manrique</w:t>
      </w:r>
    </w:p>
    <w:p w14:paraId="366861C8" w14:textId="77777777" w:rsidR="005166B5" w:rsidRDefault="005166B5" w:rsidP="005166B5">
      <w:pPr>
        <w:spacing w:after="0" w:line="240" w:lineRule="auto"/>
        <w:jc w:val="both"/>
        <w:rPr>
          <w:rFonts w:ascii="Verdana" w:hAnsi="Verdana"/>
          <w:sz w:val="20"/>
          <w:lang w:val="pt-BR"/>
        </w:rPr>
      </w:pPr>
    </w:p>
    <w:p w14:paraId="5D7C0920" w14:textId="77777777" w:rsidR="005166B5" w:rsidRDefault="005166B5" w:rsidP="005166B5">
      <w:pPr>
        <w:spacing w:after="0" w:line="240" w:lineRule="auto"/>
        <w:jc w:val="both"/>
        <w:rPr>
          <w:rFonts w:ascii="Verdana" w:hAnsi="Verdana"/>
          <w:sz w:val="20"/>
          <w:lang w:val="pt-BR"/>
        </w:rPr>
      </w:pPr>
    </w:p>
    <w:p w14:paraId="3CE400E3" w14:textId="77777777" w:rsidR="005166B5" w:rsidRDefault="005166B5" w:rsidP="005166B5">
      <w:pPr>
        <w:spacing w:after="0" w:line="240" w:lineRule="auto"/>
        <w:jc w:val="both"/>
        <w:rPr>
          <w:rFonts w:ascii="Verdana" w:hAnsi="Verdana"/>
          <w:sz w:val="20"/>
          <w:lang w:val="pt-BR"/>
        </w:rPr>
      </w:pPr>
    </w:p>
    <w:p w14:paraId="1202C9B4" w14:textId="77777777" w:rsidR="005166B5" w:rsidRDefault="005166B5" w:rsidP="005166B5">
      <w:pPr>
        <w:spacing w:after="0" w:line="240" w:lineRule="auto"/>
        <w:jc w:val="both"/>
        <w:rPr>
          <w:rFonts w:ascii="Verdana" w:hAnsi="Verdana"/>
          <w:sz w:val="20"/>
          <w:lang w:val="pt-BR"/>
        </w:rPr>
      </w:pPr>
    </w:p>
    <w:p w14:paraId="1000AB93" w14:textId="77777777" w:rsidR="005166B5" w:rsidRPr="0019261A" w:rsidRDefault="005166B5" w:rsidP="005166B5">
      <w:pPr>
        <w:spacing w:after="0" w:line="240" w:lineRule="auto"/>
        <w:jc w:val="both"/>
        <w:rPr>
          <w:rFonts w:ascii="Verdana" w:hAnsi="Verdana"/>
          <w:sz w:val="20"/>
          <w:lang w:val="pt-BR"/>
        </w:rPr>
      </w:pPr>
    </w:p>
    <w:p w14:paraId="7A76F7CC" w14:textId="77777777" w:rsidR="005166B5" w:rsidRPr="0019261A" w:rsidRDefault="005166B5" w:rsidP="005166B5">
      <w:pPr>
        <w:spacing w:after="0" w:line="240" w:lineRule="auto"/>
        <w:jc w:val="both"/>
        <w:rPr>
          <w:rFonts w:ascii="Verdana" w:hAnsi="Verdana"/>
          <w:sz w:val="20"/>
          <w:lang w:val="pt-BR"/>
        </w:rPr>
      </w:pPr>
    </w:p>
    <w:p w14:paraId="410D51E2" w14:textId="77777777" w:rsidR="005166B5" w:rsidRPr="00FC4051" w:rsidRDefault="005166B5" w:rsidP="005166B5">
      <w:pPr>
        <w:spacing w:after="0" w:line="240" w:lineRule="auto"/>
        <w:jc w:val="center"/>
        <w:rPr>
          <w:rFonts w:ascii="Verdana" w:hAnsi="Verdana"/>
          <w:sz w:val="20"/>
          <w:lang w:val="pt-BR"/>
        </w:rPr>
      </w:pPr>
      <w:r w:rsidRPr="00FC4051">
        <w:rPr>
          <w:rFonts w:ascii="Verdana" w:hAnsi="Verdana"/>
          <w:sz w:val="20"/>
          <w:lang w:val="pt-BR"/>
        </w:rPr>
        <w:t xml:space="preserve">Pablo Saavedra </w:t>
      </w:r>
      <w:proofErr w:type="spellStart"/>
      <w:r w:rsidRPr="00FC4051">
        <w:rPr>
          <w:rFonts w:ascii="Verdana" w:hAnsi="Verdana"/>
          <w:sz w:val="20"/>
          <w:lang w:val="pt-BR"/>
        </w:rPr>
        <w:t>Alessandri</w:t>
      </w:r>
      <w:proofErr w:type="spellEnd"/>
    </w:p>
    <w:p w14:paraId="370B1FD9" w14:textId="77777777" w:rsidR="005166B5" w:rsidRDefault="005166B5" w:rsidP="005166B5">
      <w:pPr>
        <w:spacing w:after="0" w:line="240" w:lineRule="auto"/>
        <w:jc w:val="center"/>
        <w:rPr>
          <w:rFonts w:ascii="Verdana" w:hAnsi="Verdana"/>
          <w:sz w:val="20"/>
          <w:lang w:val="pt-BR"/>
        </w:rPr>
      </w:pPr>
      <w:r w:rsidRPr="00FC4051">
        <w:rPr>
          <w:rFonts w:ascii="Verdana" w:hAnsi="Verdana"/>
          <w:sz w:val="20"/>
          <w:lang w:val="pt-BR"/>
        </w:rPr>
        <w:t>Secret</w:t>
      </w:r>
      <w:r>
        <w:rPr>
          <w:rFonts w:ascii="Verdana" w:hAnsi="Verdana"/>
          <w:sz w:val="20"/>
          <w:lang w:val="pt-BR"/>
        </w:rPr>
        <w:t>a</w:t>
      </w:r>
      <w:r w:rsidRPr="00FC4051">
        <w:rPr>
          <w:rFonts w:ascii="Verdana" w:hAnsi="Verdana"/>
          <w:sz w:val="20"/>
          <w:lang w:val="pt-BR"/>
        </w:rPr>
        <w:t>rio</w:t>
      </w:r>
    </w:p>
    <w:p w14:paraId="40D18C04" w14:textId="77777777" w:rsidR="005166B5" w:rsidRPr="00FC4051" w:rsidRDefault="005166B5" w:rsidP="005166B5">
      <w:pPr>
        <w:pStyle w:val="Textonotapie"/>
        <w:rPr>
          <w:rFonts w:ascii="Verdana" w:hAnsi="Verdana"/>
          <w:lang w:val="pt-BR"/>
        </w:rPr>
      </w:pPr>
    </w:p>
    <w:p w14:paraId="41F55A88" w14:textId="77777777" w:rsidR="005166B5" w:rsidRDefault="005166B5" w:rsidP="005166B5">
      <w:pPr>
        <w:pStyle w:val="Textonotapie"/>
        <w:rPr>
          <w:rFonts w:ascii="Verdana" w:hAnsi="Verdana"/>
          <w:lang w:val="pt-BR"/>
        </w:rPr>
      </w:pPr>
    </w:p>
    <w:p w14:paraId="45385B5D" w14:textId="77777777" w:rsidR="005166B5" w:rsidRDefault="005166B5" w:rsidP="005166B5">
      <w:pPr>
        <w:pStyle w:val="Textonotapie"/>
        <w:rPr>
          <w:rFonts w:ascii="Verdana" w:hAnsi="Verdana"/>
          <w:lang w:val="pt-BR"/>
        </w:rPr>
      </w:pPr>
    </w:p>
    <w:p w14:paraId="1E15D3E8" w14:textId="77777777" w:rsidR="005166B5" w:rsidRPr="00FC4051" w:rsidRDefault="005166B5" w:rsidP="005166B5">
      <w:pPr>
        <w:pStyle w:val="Textonotapie"/>
        <w:rPr>
          <w:rFonts w:ascii="Verdana" w:hAnsi="Verdana"/>
          <w:lang w:val="pt-BR"/>
        </w:rPr>
      </w:pPr>
    </w:p>
    <w:p w14:paraId="7C9EEE84" w14:textId="77777777" w:rsidR="005166B5" w:rsidRPr="00FC4051" w:rsidRDefault="005166B5" w:rsidP="005166B5">
      <w:pPr>
        <w:spacing w:after="0" w:line="240" w:lineRule="auto"/>
        <w:jc w:val="both"/>
        <w:rPr>
          <w:rFonts w:ascii="Verdana" w:hAnsi="Verdana"/>
          <w:sz w:val="20"/>
          <w:lang w:val="pt-BR"/>
        </w:rPr>
      </w:pPr>
      <w:proofErr w:type="spellStart"/>
      <w:r>
        <w:rPr>
          <w:rFonts w:ascii="Verdana" w:hAnsi="Verdana"/>
          <w:sz w:val="20"/>
          <w:lang w:val="pt-BR"/>
        </w:rPr>
        <w:t>Comuníquese</w:t>
      </w:r>
      <w:proofErr w:type="spellEnd"/>
      <w:r>
        <w:rPr>
          <w:rFonts w:ascii="Verdana" w:hAnsi="Verdana"/>
          <w:sz w:val="20"/>
          <w:lang w:val="pt-BR"/>
        </w:rPr>
        <w:t xml:space="preserve"> y </w:t>
      </w:r>
      <w:proofErr w:type="spellStart"/>
      <w:r>
        <w:rPr>
          <w:rFonts w:ascii="Verdana" w:hAnsi="Verdana"/>
          <w:sz w:val="20"/>
          <w:lang w:val="pt-BR"/>
        </w:rPr>
        <w:t>ejecútese</w:t>
      </w:r>
      <w:proofErr w:type="spellEnd"/>
      <w:r w:rsidRPr="00FC4051">
        <w:rPr>
          <w:rFonts w:ascii="Verdana" w:hAnsi="Verdana"/>
          <w:sz w:val="20"/>
          <w:lang w:val="pt-BR"/>
        </w:rPr>
        <w:t>,</w:t>
      </w:r>
    </w:p>
    <w:p w14:paraId="7831395B" w14:textId="77777777" w:rsidR="005166B5" w:rsidRPr="00FC4051" w:rsidRDefault="005166B5" w:rsidP="005166B5">
      <w:pPr>
        <w:spacing w:after="0" w:line="240" w:lineRule="auto"/>
        <w:rPr>
          <w:rFonts w:ascii="Verdana" w:hAnsi="Verdana"/>
          <w:sz w:val="20"/>
          <w:lang w:val="pt-BR"/>
        </w:rPr>
      </w:pPr>
    </w:p>
    <w:p w14:paraId="13725E8F" w14:textId="77777777" w:rsidR="005166B5" w:rsidRPr="00FC4051" w:rsidRDefault="005166B5" w:rsidP="005166B5">
      <w:pPr>
        <w:spacing w:after="0" w:line="240" w:lineRule="auto"/>
        <w:rPr>
          <w:rFonts w:ascii="Verdana" w:hAnsi="Verdana"/>
          <w:sz w:val="20"/>
          <w:lang w:val="pt-BR"/>
        </w:rPr>
      </w:pPr>
    </w:p>
    <w:p w14:paraId="25A2493A" w14:textId="77777777" w:rsidR="005166B5" w:rsidRDefault="005166B5" w:rsidP="005166B5">
      <w:pPr>
        <w:spacing w:after="0" w:line="240" w:lineRule="auto"/>
        <w:jc w:val="right"/>
        <w:rPr>
          <w:rFonts w:ascii="Verdana" w:hAnsi="Verdana"/>
          <w:sz w:val="20"/>
          <w:lang w:val="pt-BR"/>
        </w:rPr>
      </w:pPr>
    </w:p>
    <w:p w14:paraId="5DDFEF2A" w14:textId="77777777" w:rsidR="005166B5" w:rsidRPr="00FC4051" w:rsidRDefault="005166B5" w:rsidP="005166B5">
      <w:pPr>
        <w:spacing w:after="0" w:line="240" w:lineRule="auto"/>
        <w:jc w:val="right"/>
        <w:rPr>
          <w:rFonts w:ascii="Verdana" w:hAnsi="Verdana"/>
          <w:sz w:val="20"/>
          <w:lang w:val="pt-BR"/>
        </w:rPr>
      </w:pPr>
    </w:p>
    <w:p w14:paraId="72E707D4" w14:textId="77777777" w:rsidR="005166B5" w:rsidRPr="00FC4051" w:rsidRDefault="005166B5" w:rsidP="005166B5">
      <w:pPr>
        <w:spacing w:after="0" w:line="240" w:lineRule="auto"/>
        <w:jc w:val="right"/>
        <w:rPr>
          <w:rFonts w:ascii="Verdana" w:hAnsi="Verdana"/>
          <w:sz w:val="20"/>
          <w:lang w:val="pt-BR"/>
        </w:rPr>
      </w:pPr>
    </w:p>
    <w:p w14:paraId="24244D99" w14:textId="77777777" w:rsidR="005166B5" w:rsidRPr="00FC4051" w:rsidRDefault="005166B5" w:rsidP="005166B5">
      <w:pPr>
        <w:spacing w:after="0" w:line="240" w:lineRule="auto"/>
        <w:jc w:val="center"/>
        <w:rPr>
          <w:rFonts w:ascii="Verdana" w:hAnsi="Verdana"/>
          <w:sz w:val="20"/>
          <w:lang w:val="pt-BR"/>
        </w:rPr>
      </w:pPr>
      <w:r>
        <w:rPr>
          <w:rFonts w:ascii="Verdana" w:hAnsi="Verdana"/>
          <w:sz w:val="20"/>
          <w:lang w:val="pt-BR"/>
        </w:rPr>
        <w:t xml:space="preserve">                                                                                    </w:t>
      </w:r>
      <w:r w:rsidRPr="0019261A">
        <w:rPr>
          <w:rFonts w:ascii="Verdana" w:hAnsi="Verdana"/>
          <w:sz w:val="20"/>
          <w:lang w:val="pt-BR"/>
        </w:rPr>
        <w:t xml:space="preserve">Eduardo Ferrer </w:t>
      </w:r>
      <w:proofErr w:type="spellStart"/>
      <w:r w:rsidRPr="0019261A">
        <w:rPr>
          <w:rFonts w:ascii="Verdana" w:hAnsi="Verdana"/>
          <w:sz w:val="20"/>
          <w:lang w:val="pt-BR"/>
        </w:rPr>
        <w:t>Mac-Gregor</w:t>
      </w:r>
      <w:proofErr w:type="spellEnd"/>
      <w:r w:rsidRPr="0019261A">
        <w:rPr>
          <w:rFonts w:ascii="Verdana" w:hAnsi="Verdana"/>
          <w:sz w:val="20"/>
          <w:lang w:val="pt-BR"/>
        </w:rPr>
        <w:t xml:space="preserve"> </w:t>
      </w:r>
      <w:proofErr w:type="spellStart"/>
      <w:r w:rsidRPr="0019261A">
        <w:rPr>
          <w:rFonts w:ascii="Verdana" w:hAnsi="Verdana"/>
          <w:sz w:val="20"/>
          <w:lang w:val="pt-BR"/>
        </w:rPr>
        <w:t>Poisot</w:t>
      </w:r>
      <w:proofErr w:type="spellEnd"/>
    </w:p>
    <w:p w14:paraId="1FC1AA8B" w14:textId="77777777" w:rsidR="005166B5" w:rsidRDefault="005166B5" w:rsidP="005166B5">
      <w:pPr>
        <w:spacing w:after="0" w:line="240" w:lineRule="auto"/>
        <w:ind w:left="6480"/>
        <w:rPr>
          <w:rFonts w:ascii="Verdana" w:hAnsi="Verdana"/>
          <w:sz w:val="20"/>
          <w:lang w:val="pt-BR"/>
        </w:rPr>
      </w:pPr>
      <w:r>
        <w:rPr>
          <w:rFonts w:ascii="Verdana" w:hAnsi="Verdana"/>
          <w:sz w:val="20"/>
          <w:lang w:val="pt-BR"/>
        </w:rPr>
        <w:t xml:space="preserve">          </w:t>
      </w:r>
      <w:r w:rsidRPr="0019261A">
        <w:rPr>
          <w:rFonts w:ascii="Verdana" w:hAnsi="Verdana"/>
          <w:sz w:val="20"/>
          <w:lang w:val="pt-BR"/>
        </w:rPr>
        <w:t xml:space="preserve">Presidente </w:t>
      </w:r>
    </w:p>
    <w:p w14:paraId="466F2BF2" w14:textId="77777777" w:rsidR="005166B5" w:rsidRDefault="005166B5" w:rsidP="005166B5">
      <w:pPr>
        <w:spacing w:after="0" w:line="240" w:lineRule="auto"/>
        <w:ind w:left="6480"/>
        <w:rPr>
          <w:rFonts w:ascii="Verdana" w:hAnsi="Verdana"/>
          <w:sz w:val="20"/>
          <w:lang w:val="pt-BR"/>
        </w:rPr>
      </w:pPr>
    </w:p>
    <w:p w14:paraId="63B866AB" w14:textId="77777777" w:rsidR="005166B5" w:rsidRPr="00FC4051" w:rsidRDefault="005166B5" w:rsidP="005166B5">
      <w:pPr>
        <w:spacing w:after="0" w:line="240" w:lineRule="auto"/>
        <w:jc w:val="both"/>
        <w:rPr>
          <w:rFonts w:ascii="Verdana" w:hAnsi="Verdana"/>
          <w:sz w:val="20"/>
          <w:lang w:val="pt-BR"/>
        </w:rPr>
      </w:pPr>
    </w:p>
    <w:p w14:paraId="34479599" w14:textId="77777777" w:rsidR="005166B5" w:rsidRPr="00FC4051" w:rsidRDefault="005166B5" w:rsidP="005166B5">
      <w:pPr>
        <w:spacing w:after="0" w:line="240" w:lineRule="auto"/>
        <w:jc w:val="both"/>
        <w:rPr>
          <w:rFonts w:ascii="Verdana" w:hAnsi="Verdana"/>
          <w:sz w:val="20"/>
          <w:lang w:val="pt-BR"/>
        </w:rPr>
      </w:pPr>
    </w:p>
    <w:p w14:paraId="3942E281" w14:textId="77777777" w:rsidR="005166B5" w:rsidRPr="00FC4051" w:rsidRDefault="005166B5" w:rsidP="005166B5">
      <w:pPr>
        <w:spacing w:after="0" w:line="240" w:lineRule="auto"/>
        <w:jc w:val="both"/>
        <w:rPr>
          <w:rFonts w:ascii="Verdana" w:hAnsi="Verdana"/>
          <w:sz w:val="20"/>
          <w:lang w:val="pt-BR"/>
        </w:rPr>
      </w:pPr>
      <w:r w:rsidRPr="00FC4051">
        <w:rPr>
          <w:rFonts w:ascii="Verdana" w:hAnsi="Verdana"/>
          <w:sz w:val="20"/>
          <w:lang w:val="pt-BR"/>
        </w:rPr>
        <w:t xml:space="preserve">Pablo Saavedra </w:t>
      </w:r>
      <w:proofErr w:type="spellStart"/>
      <w:r w:rsidRPr="00FC4051">
        <w:rPr>
          <w:rFonts w:ascii="Verdana" w:hAnsi="Verdana"/>
          <w:sz w:val="20"/>
          <w:lang w:val="pt-BR"/>
        </w:rPr>
        <w:t>Alessandri</w:t>
      </w:r>
      <w:proofErr w:type="spellEnd"/>
    </w:p>
    <w:p w14:paraId="703BB736" w14:textId="5946979F" w:rsidR="00C006CC" w:rsidRPr="00E25884" w:rsidRDefault="005166B5" w:rsidP="005166B5">
      <w:pPr>
        <w:spacing w:after="0" w:line="240" w:lineRule="auto"/>
        <w:rPr>
          <w:rFonts w:ascii="Verdana" w:eastAsia="Times New Roman" w:hAnsi="Verdana" w:cs="Verdana"/>
          <w:b/>
          <w:bCs/>
          <w:caps/>
          <w:snapToGrid w:val="0"/>
          <w:sz w:val="20"/>
          <w:szCs w:val="20"/>
          <w:lang w:val="es-ES_tradnl"/>
        </w:rPr>
      </w:pPr>
      <w:r w:rsidRPr="00FC4051">
        <w:rPr>
          <w:rFonts w:ascii="Verdana" w:hAnsi="Verdana"/>
          <w:sz w:val="20"/>
          <w:lang w:val="pt-BR"/>
        </w:rPr>
        <w:tab/>
      </w:r>
      <w:r w:rsidRPr="0019261A">
        <w:rPr>
          <w:rFonts w:ascii="Verdana" w:hAnsi="Verdana"/>
          <w:sz w:val="20"/>
          <w:lang w:val="es-ES"/>
        </w:rPr>
        <w:t>Secret</w:t>
      </w:r>
      <w:r>
        <w:rPr>
          <w:rFonts w:ascii="Verdana" w:hAnsi="Verdana"/>
          <w:sz w:val="20"/>
          <w:lang w:val="es-ES"/>
        </w:rPr>
        <w:t>ario</w:t>
      </w:r>
    </w:p>
    <w:sectPr w:rsidR="00C006CC" w:rsidRPr="00E25884" w:rsidSect="00842F43">
      <w:headerReference w:type="default" r:id="rId11"/>
      <w:footerReference w:type="default" r:id="rId12"/>
      <w:headerReference w:type="first" r:id="rId13"/>
      <w:type w:val="continuous"/>
      <w:pgSz w:w="12240" w:h="15840"/>
      <w:pgMar w:top="1247" w:right="1191" w:bottom="1191" w:left="124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44B86" w14:textId="77777777" w:rsidR="00BE2A68" w:rsidRDefault="00BE2A68" w:rsidP="001C05D8">
      <w:pPr>
        <w:spacing w:after="0" w:line="240" w:lineRule="auto"/>
      </w:pPr>
      <w:r>
        <w:separator/>
      </w:r>
    </w:p>
  </w:endnote>
  <w:endnote w:type="continuationSeparator" w:id="0">
    <w:p w14:paraId="5F0C85CA" w14:textId="77777777" w:rsidR="00BE2A68" w:rsidRDefault="00BE2A68" w:rsidP="001C05D8">
      <w:pPr>
        <w:spacing w:after="0" w:line="240" w:lineRule="auto"/>
      </w:pPr>
      <w:r>
        <w:continuationSeparator/>
      </w:r>
    </w:p>
  </w:endnote>
  <w:endnote w:type="continuationNotice" w:id="1">
    <w:p w14:paraId="7DF6E2FE" w14:textId="77777777" w:rsidR="00BE2A68" w:rsidRDefault="00BE2A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Palatino-Italic">
    <w:altName w:val="Segoe UI Historic"/>
    <w:charset w:val="4D"/>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24uhu">
    <w:panose1 w:val="00000000000000000000"/>
    <w:charset w:val="00"/>
    <w:family w:val="swiss"/>
    <w:notTrueType/>
    <w:pitch w:val="default"/>
    <w:sig w:usb0="00000003" w:usb1="00000000" w:usb2="00000000" w:usb3="00000000" w:csb0="00000001" w:csb1="00000000"/>
  </w:font>
  <w:font w:name="TimesNewRomanPS-BoldMT">
    <w:altName w:val="Arial"/>
    <w:charset w:val="00"/>
    <w:family w:val="roman"/>
    <w:pitch w:val="variable"/>
    <w:sig w:usb0="E0002AEF" w:usb1="C0007841" w:usb2="00000009" w:usb3="00000000" w:csb0="000001FF" w:csb1="00000000"/>
  </w:font>
  <w:font w:name="TimesNewRoman">
    <w:altName w:val="Cambria"/>
    <w:panose1 w:val="00000000000000000000"/>
    <w:charset w:val="00"/>
    <w:family w:val="roman"/>
    <w:notTrueType/>
    <w:pitch w:val="default"/>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6714817"/>
      <w:docPartObj>
        <w:docPartGallery w:val="Page Numbers (Bottom of Page)"/>
        <w:docPartUnique/>
      </w:docPartObj>
    </w:sdtPr>
    <w:sdtEndPr>
      <w:rPr>
        <w:noProof/>
      </w:rPr>
    </w:sdtEndPr>
    <w:sdtContent>
      <w:p w14:paraId="16BA7837" w14:textId="35DFA898" w:rsidR="00E46F1E" w:rsidRDefault="00E46F1E">
        <w:pPr>
          <w:pStyle w:val="Piedepgina"/>
          <w:jc w:val="center"/>
        </w:pPr>
        <w:r w:rsidRPr="00884D55">
          <w:rPr>
            <w:rFonts w:ascii="Verdana" w:hAnsi="Verdana"/>
            <w:sz w:val="20"/>
            <w:szCs w:val="20"/>
          </w:rPr>
          <w:fldChar w:fldCharType="begin"/>
        </w:r>
        <w:r w:rsidRPr="00884D55">
          <w:rPr>
            <w:rFonts w:ascii="Verdana" w:hAnsi="Verdana"/>
            <w:sz w:val="20"/>
            <w:szCs w:val="20"/>
          </w:rPr>
          <w:instrText xml:space="preserve"> PAGE   \* MERGEFORMAT </w:instrText>
        </w:r>
        <w:r w:rsidRPr="00884D55">
          <w:rPr>
            <w:rFonts w:ascii="Verdana" w:hAnsi="Verdana"/>
            <w:sz w:val="20"/>
            <w:szCs w:val="20"/>
          </w:rPr>
          <w:fldChar w:fldCharType="separate"/>
        </w:r>
        <w:r w:rsidR="005166B5">
          <w:rPr>
            <w:rFonts w:ascii="Verdana" w:hAnsi="Verdana"/>
            <w:noProof/>
            <w:sz w:val="20"/>
            <w:szCs w:val="20"/>
          </w:rPr>
          <w:t>60</w:t>
        </w:r>
        <w:r w:rsidRPr="00884D55">
          <w:rPr>
            <w:rFonts w:ascii="Verdana" w:hAnsi="Verdana"/>
            <w:noProof/>
            <w:sz w:val="20"/>
            <w:szCs w:val="20"/>
          </w:rPr>
          <w:fldChar w:fldCharType="end"/>
        </w:r>
      </w:p>
    </w:sdtContent>
  </w:sdt>
  <w:p w14:paraId="0AA29DD7" w14:textId="77777777" w:rsidR="00E46F1E" w:rsidRDefault="00E46F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31AB5" w14:textId="77777777" w:rsidR="00BE2A68" w:rsidRDefault="00BE2A68" w:rsidP="001C05D8">
      <w:pPr>
        <w:spacing w:after="0" w:line="240" w:lineRule="auto"/>
      </w:pPr>
      <w:r>
        <w:separator/>
      </w:r>
    </w:p>
  </w:footnote>
  <w:footnote w:type="continuationSeparator" w:id="0">
    <w:p w14:paraId="1752B607" w14:textId="77777777" w:rsidR="00BE2A68" w:rsidRDefault="00BE2A68" w:rsidP="001C05D8">
      <w:pPr>
        <w:spacing w:after="0" w:line="240" w:lineRule="auto"/>
      </w:pPr>
      <w:r>
        <w:continuationSeparator/>
      </w:r>
    </w:p>
  </w:footnote>
  <w:footnote w:type="continuationNotice" w:id="1">
    <w:p w14:paraId="23F51654" w14:textId="77777777" w:rsidR="00BE2A68" w:rsidRDefault="00BE2A68">
      <w:pPr>
        <w:spacing w:after="0" w:line="240" w:lineRule="auto"/>
      </w:pPr>
    </w:p>
  </w:footnote>
  <w:footnote w:id="2">
    <w:p w14:paraId="68CE4C7E" w14:textId="69AAF799" w:rsidR="00E46F1E" w:rsidRPr="001067EF" w:rsidRDefault="00E46F1E" w:rsidP="00C40460">
      <w:pPr>
        <w:pStyle w:val="Textonotapie"/>
        <w:spacing w:after="120"/>
        <w:jc w:val="both"/>
        <w:rPr>
          <w:rFonts w:ascii="Verdana" w:hAnsi="Verdana" w:cs="Times"/>
          <w:sz w:val="16"/>
          <w:szCs w:val="16"/>
        </w:rPr>
      </w:pPr>
      <w:r w:rsidRPr="001067EF">
        <w:rPr>
          <w:rFonts w:ascii="Verdana" w:hAnsi="Verdana"/>
          <w:sz w:val="16"/>
          <w:szCs w:val="16"/>
          <w:lang w:val="es-CR"/>
        </w:rPr>
        <w:tab/>
      </w:r>
      <w:r w:rsidRPr="001067EF">
        <w:rPr>
          <w:rFonts w:ascii="Verdana" w:hAnsi="Verdana"/>
          <w:sz w:val="16"/>
          <w:szCs w:val="16"/>
        </w:rPr>
        <w:t>El Juez Eugenio Raúl Zaffaroni, de nacionalidad argentina, no participó en la tramitación del presente caso ni en la deliberación y firma de esta Sentencia, de conformidad con lo dispuesto en el artículo19.1 del Reglamento de la Corte.</w:t>
      </w:r>
    </w:p>
  </w:footnote>
  <w:footnote w:id="3">
    <w:p w14:paraId="4D59768F" w14:textId="77777777" w:rsidR="00E46F1E" w:rsidRPr="001067EF" w:rsidRDefault="00E46F1E" w:rsidP="00C40460">
      <w:pPr>
        <w:pStyle w:val="Textonotapie"/>
        <w:spacing w:after="120"/>
        <w:jc w:val="both"/>
        <w:rPr>
          <w:rFonts w:ascii="Verdana" w:hAnsi="Verdana"/>
          <w:sz w:val="16"/>
          <w:szCs w:val="16"/>
          <w:lang w:val="es-CR"/>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lang w:val="es-CR"/>
        </w:rPr>
        <w:tab/>
        <w:t xml:space="preserve">El mismo fue notificado a las partes el 27 de julio de 2011. </w:t>
      </w:r>
    </w:p>
  </w:footnote>
  <w:footnote w:id="4">
    <w:p w14:paraId="7C261E4B" w14:textId="589835A7" w:rsidR="00E46F1E" w:rsidRPr="001067EF" w:rsidRDefault="00E46F1E" w:rsidP="00C40460">
      <w:pPr>
        <w:pStyle w:val="Textonotapie"/>
        <w:spacing w:after="120"/>
        <w:jc w:val="both"/>
        <w:rPr>
          <w:rFonts w:ascii="Verdana" w:eastAsiaTheme="minorHAnsi" w:hAnsi="Verdana" w:cs="Times New Roman"/>
          <w:color w:val="262626"/>
          <w:sz w:val="16"/>
          <w:szCs w:val="16"/>
          <w:lang w:val="es-CR"/>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eastAsia="Verdana" w:hAnsi="Verdana" w:cs="Verdana"/>
          <w:i/>
          <w:sz w:val="16"/>
          <w:szCs w:val="16"/>
          <w:lang w:val="es-ES" w:eastAsia="es-CR"/>
        </w:rPr>
        <w:t xml:space="preserve">Conclusiones. – </w:t>
      </w:r>
      <w:r w:rsidRPr="001067EF">
        <w:rPr>
          <w:rFonts w:ascii="Verdana" w:eastAsia="Verdana" w:hAnsi="Verdana" w:cs="Verdana"/>
          <w:sz w:val="16"/>
          <w:szCs w:val="16"/>
          <w:lang w:val="es-ES" w:eastAsia="es-CR"/>
        </w:rPr>
        <w:t>La Comisión concluyó que el Estado era responsable por la violación de los derechos establecidos en los artículos 5.1, 5.2, 7.1, 8.1, 8.2 y 25.1 de la Convención Americana, en relación con las obligaciones establecidos en los artículos 1.1 y 2 del mismo instrumento, en perjuicio del señor Hernández. Además, concluyó que el Estado violó el artículo 5.1 en perjuicio de Raquel San Martín de Hernández. Finalmente, la Comisión concluyó que el Estado no es responsable por la violación de los derechos establecidos en los artículos 8.1 y 25.1 de la Convención Americana, respecto de la demanda civil de daños y perjuicios</w:t>
      </w:r>
      <w:r>
        <w:rPr>
          <w:rFonts w:ascii="Verdana" w:eastAsia="Times New Roman" w:hAnsi="Verdana" w:cs="Times New Roman"/>
          <w:sz w:val="16"/>
          <w:szCs w:val="16"/>
          <w:lang w:val="es-ES" w:eastAsia="es-CR"/>
        </w:rPr>
        <w:t>.</w:t>
      </w:r>
    </w:p>
  </w:footnote>
  <w:footnote w:id="5">
    <w:p w14:paraId="5D6514FC" w14:textId="77777777" w:rsidR="00E46F1E" w:rsidRPr="001067EF" w:rsidRDefault="00E46F1E" w:rsidP="00C40460">
      <w:pPr>
        <w:pStyle w:val="Textonotapie"/>
        <w:spacing w:after="120"/>
        <w:jc w:val="both"/>
        <w:rPr>
          <w:rFonts w:ascii="Verdana" w:hAnsi="Verdana"/>
          <w:sz w:val="16"/>
          <w:szCs w:val="16"/>
          <w:lang w:val="es-CR"/>
        </w:rPr>
      </w:pPr>
      <w:r w:rsidRPr="001067EF">
        <w:rPr>
          <w:rStyle w:val="Refdenotaalpie"/>
          <w:rFonts w:ascii="Verdana" w:hAnsi="Verdana"/>
          <w:sz w:val="16"/>
          <w:szCs w:val="16"/>
          <w:lang w:val="es-CR"/>
        </w:rPr>
        <w:footnoteRef/>
      </w:r>
      <w:r w:rsidRPr="001067EF">
        <w:rPr>
          <w:rFonts w:ascii="Verdana" w:hAnsi="Verdana"/>
          <w:sz w:val="16"/>
          <w:szCs w:val="16"/>
          <w:lang w:val="es-CR"/>
        </w:rPr>
        <w:t xml:space="preserve"> </w:t>
      </w:r>
      <w:r w:rsidRPr="001067EF">
        <w:rPr>
          <w:rFonts w:ascii="Verdana" w:hAnsi="Verdana"/>
          <w:sz w:val="16"/>
          <w:szCs w:val="16"/>
          <w:lang w:val="es-CR"/>
        </w:rPr>
        <w:tab/>
        <w:t xml:space="preserve">La Comisión designó, como sus delegados ante la Corte, al Secretario Ejecutivo Paulo </w:t>
      </w:r>
      <w:proofErr w:type="spellStart"/>
      <w:r w:rsidRPr="001067EF">
        <w:rPr>
          <w:rFonts w:ascii="Verdana" w:hAnsi="Verdana"/>
          <w:sz w:val="16"/>
          <w:szCs w:val="16"/>
          <w:lang w:val="es-CR"/>
        </w:rPr>
        <w:t>Abrão</w:t>
      </w:r>
      <w:proofErr w:type="spellEnd"/>
      <w:r w:rsidRPr="001067EF">
        <w:rPr>
          <w:rFonts w:ascii="Verdana" w:hAnsi="Verdana"/>
          <w:sz w:val="16"/>
          <w:szCs w:val="16"/>
          <w:lang w:val="es-CR"/>
        </w:rPr>
        <w:t xml:space="preserve"> y al Comisionado Luis Ernesto Vargas Silva.</w:t>
      </w:r>
    </w:p>
  </w:footnote>
  <w:footnote w:id="6">
    <w:p w14:paraId="09E2FD90" w14:textId="72648E67" w:rsidR="00E46F1E" w:rsidRPr="001067EF" w:rsidRDefault="00E46F1E" w:rsidP="00C40460">
      <w:pPr>
        <w:pStyle w:val="Textonotapie"/>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t xml:space="preserve">La diferencia de fechas </w:t>
      </w:r>
      <w:r>
        <w:rPr>
          <w:rFonts w:ascii="Verdana" w:hAnsi="Verdana"/>
          <w:sz w:val="16"/>
          <w:szCs w:val="16"/>
        </w:rPr>
        <w:t>ocurre</w:t>
      </w:r>
      <w:r w:rsidRPr="001067EF">
        <w:rPr>
          <w:rFonts w:ascii="Verdana" w:hAnsi="Verdana"/>
          <w:sz w:val="16"/>
          <w:szCs w:val="16"/>
        </w:rPr>
        <w:t xml:space="preserve"> por el envío de documentos vía </w:t>
      </w:r>
      <w:r w:rsidRPr="001067EF">
        <w:rPr>
          <w:rFonts w:ascii="Verdana" w:hAnsi="Verdana"/>
          <w:i/>
          <w:sz w:val="16"/>
          <w:szCs w:val="16"/>
        </w:rPr>
        <w:t>Courier.</w:t>
      </w:r>
      <w:r w:rsidRPr="001067EF">
        <w:rPr>
          <w:rFonts w:ascii="Verdana" w:hAnsi="Verdana"/>
          <w:sz w:val="16"/>
          <w:szCs w:val="16"/>
        </w:rPr>
        <w:t xml:space="preserve"> </w:t>
      </w:r>
    </w:p>
  </w:footnote>
  <w:footnote w:id="7">
    <w:p w14:paraId="64263402" w14:textId="16B7EB06" w:rsidR="00E46F1E" w:rsidRPr="001067EF" w:rsidRDefault="00E46F1E" w:rsidP="00C40460">
      <w:pPr>
        <w:pStyle w:val="Textonotapie"/>
        <w:spacing w:after="120"/>
        <w:jc w:val="both"/>
        <w:rPr>
          <w:rFonts w:ascii="Verdana" w:hAnsi="Verdana"/>
          <w:sz w:val="16"/>
          <w:szCs w:val="16"/>
          <w:lang w:val="es-CR"/>
        </w:rPr>
      </w:pPr>
      <w:r w:rsidRPr="001067EF">
        <w:rPr>
          <w:rStyle w:val="Refdenotaalpie"/>
          <w:rFonts w:ascii="Verdana" w:hAnsi="Verdana"/>
          <w:sz w:val="16"/>
          <w:szCs w:val="16"/>
          <w:lang w:val="es-CR"/>
        </w:rPr>
        <w:footnoteRef/>
      </w:r>
      <w:r w:rsidRPr="001067EF">
        <w:rPr>
          <w:rFonts w:ascii="Verdana" w:hAnsi="Verdana"/>
          <w:sz w:val="16"/>
          <w:szCs w:val="16"/>
          <w:lang w:val="es-CR"/>
        </w:rPr>
        <w:t xml:space="preserve"> </w:t>
      </w:r>
      <w:r w:rsidRPr="001067EF">
        <w:rPr>
          <w:rFonts w:ascii="Verdana" w:hAnsi="Verdana"/>
          <w:sz w:val="16"/>
          <w:szCs w:val="16"/>
          <w:lang w:val="es-CR"/>
        </w:rPr>
        <w:tab/>
        <w:t xml:space="preserve">Mediante comunicación de 17 de mayo de 2018 el Estado designó como Agentes al señor Alberto Javier Salgado, Director de Contencioso Internacional en Materia de Derechos Humanos del Ministerio de Relaciones Exteriores y Culto, en carácter de agente titular, y al señor Ramiro Cristóbal Badía, Coordinador de Asuntos Internacionales en Materia de Derechos Humanos de la Secretaría de Derechos Humanos y Pluralismo Cultural de la Nación, en carácter de agente alterno. </w:t>
      </w:r>
    </w:p>
  </w:footnote>
  <w:footnote w:id="8">
    <w:p w14:paraId="085FC6C7" w14:textId="32610554" w:rsidR="00E46F1E" w:rsidRPr="001067EF" w:rsidRDefault="00E46F1E" w:rsidP="00C40460">
      <w:pPr>
        <w:pStyle w:val="Textonotapie"/>
        <w:spacing w:after="120"/>
        <w:jc w:val="both"/>
        <w:rPr>
          <w:rFonts w:ascii="Verdana" w:hAnsi="Verdana"/>
          <w:sz w:val="16"/>
          <w:szCs w:val="16"/>
          <w:lang w:val="es-CR"/>
        </w:rPr>
      </w:pPr>
      <w:r w:rsidRPr="001067EF">
        <w:rPr>
          <w:rStyle w:val="Refdenotaalpie"/>
          <w:rFonts w:ascii="Verdana" w:hAnsi="Verdana"/>
          <w:sz w:val="16"/>
          <w:szCs w:val="16"/>
          <w:lang w:val="es-CR"/>
        </w:rPr>
        <w:footnoteRef/>
      </w:r>
      <w:r w:rsidRPr="001067EF">
        <w:rPr>
          <w:rFonts w:ascii="Verdana" w:hAnsi="Verdana"/>
          <w:sz w:val="16"/>
          <w:szCs w:val="16"/>
          <w:lang w:val="es-CR"/>
        </w:rPr>
        <w:t xml:space="preserve"> </w:t>
      </w:r>
      <w:r w:rsidRPr="001067EF">
        <w:rPr>
          <w:rFonts w:ascii="Verdana" w:hAnsi="Verdana"/>
          <w:sz w:val="16"/>
          <w:szCs w:val="16"/>
          <w:lang w:val="es-CR"/>
        </w:rPr>
        <w:tab/>
      </w:r>
      <w:r w:rsidRPr="001067EF">
        <w:rPr>
          <w:rFonts w:ascii="Verdana" w:hAnsi="Verdana"/>
          <w:i/>
          <w:sz w:val="16"/>
          <w:szCs w:val="16"/>
          <w:lang w:val="es-CR"/>
        </w:rPr>
        <w:t xml:space="preserve">Cfr. </w:t>
      </w:r>
      <w:r w:rsidRPr="001067EF">
        <w:rPr>
          <w:rFonts w:ascii="Verdana" w:hAnsi="Verdana"/>
          <w:i/>
          <w:sz w:val="16"/>
          <w:szCs w:val="16"/>
        </w:rPr>
        <w:t>Caso Hernández Vs. Argentina. Convocatoria a audiencia</w:t>
      </w:r>
      <w:r w:rsidRPr="001067EF">
        <w:rPr>
          <w:rFonts w:ascii="Verdana" w:hAnsi="Verdana"/>
          <w:sz w:val="16"/>
          <w:szCs w:val="16"/>
        </w:rPr>
        <w:t xml:space="preserve">. Resolución del </w:t>
      </w:r>
      <w:proofErr w:type="gramStart"/>
      <w:r w:rsidRPr="001067EF">
        <w:rPr>
          <w:rFonts w:ascii="Verdana" w:hAnsi="Verdana"/>
          <w:sz w:val="16"/>
          <w:szCs w:val="16"/>
        </w:rPr>
        <w:t>Presidente</w:t>
      </w:r>
      <w:proofErr w:type="gramEnd"/>
      <w:r w:rsidRPr="001067EF">
        <w:rPr>
          <w:rFonts w:ascii="Verdana" w:hAnsi="Verdana"/>
          <w:sz w:val="16"/>
          <w:szCs w:val="16"/>
        </w:rPr>
        <w:t xml:space="preserve"> de la Corte Interamericana de Derechos Humanos de 20 de marzo de 2019</w:t>
      </w:r>
      <w:r w:rsidRPr="001067EF">
        <w:rPr>
          <w:rStyle w:val="Textoennegrita"/>
          <w:rFonts w:ascii="Verdana" w:hAnsi="Verdana"/>
          <w:b w:val="0"/>
          <w:i/>
          <w:color w:val="000000"/>
          <w:sz w:val="16"/>
          <w:szCs w:val="16"/>
          <w:shd w:val="clear" w:color="auto" w:fill="FFFFFF"/>
        </w:rPr>
        <w:t>.</w:t>
      </w:r>
      <w:r w:rsidRPr="001067EF">
        <w:rPr>
          <w:rFonts w:ascii="Verdana" w:hAnsi="Verdana"/>
          <w:sz w:val="16"/>
          <w:szCs w:val="16"/>
          <w:lang w:val="es-CR"/>
        </w:rPr>
        <w:t xml:space="preserve"> Disponible en:</w:t>
      </w:r>
      <w:r>
        <w:rPr>
          <w:rFonts w:ascii="Verdana" w:hAnsi="Verdana"/>
          <w:sz w:val="16"/>
          <w:szCs w:val="16"/>
          <w:lang w:val="es-CR"/>
        </w:rPr>
        <w:t xml:space="preserve"> </w:t>
      </w:r>
      <w:hyperlink r:id="rId1" w:history="1">
        <w:r w:rsidRPr="001067EF">
          <w:rPr>
            <w:rStyle w:val="Hipervnculo"/>
            <w:rFonts w:ascii="Verdana" w:hAnsi="Verdana"/>
            <w:sz w:val="16"/>
            <w:szCs w:val="16"/>
          </w:rPr>
          <w:t>http://www.corteidh.or.cr/docs/asuntos/hernandez_20_03_19.pdf</w:t>
        </w:r>
      </w:hyperlink>
      <w:r w:rsidRPr="001067EF">
        <w:rPr>
          <w:rFonts w:ascii="Verdana" w:hAnsi="Verdana"/>
          <w:sz w:val="16"/>
          <w:szCs w:val="16"/>
        </w:rPr>
        <w:t xml:space="preserve"> </w:t>
      </w:r>
    </w:p>
  </w:footnote>
  <w:footnote w:id="9">
    <w:p w14:paraId="5D597843" w14:textId="162A853B" w:rsidR="00E46F1E" w:rsidRPr="001067EF" w:rsidRDefault="00E46F1E" w:rsidP="00C40460">
      <w:pPr>
        <w:pStyle w:val="Textonotapie"/>
        <w:spacing w:after="120"/>
        <w:jc w:val="both"/>
        <w:rPr>
          <w:rFonts w:ascii="Verdana" w:hAnsi="Verdana"/>
          <w:sz w:val="16"/>
          <w:szCs w:val="16"/>
          <w:lang w:val="es-CR"/>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t>A esta audiencia comparecieron: a) por la Comisión Interamericana:</w:t>
      </w:r>
      <w:r w:rsidRPr="001067EF">
        <w:rPr>
          <w:rFonts w:ascii="Verdana" w:hAnsi="Verdana"/>
          <w:sz w:val="16"/>
          <w:szCs w:val="16"/>
          <w:lang w:eastAsia="es-ES"/>
        </w:rPr>
        <w:t xml:space="preserve"> el asesor Erick Acuña Pereda, y</w:t>
      </w:r>
      <w:r w:rsidRPr="001067EF">
        <w:rPr>
          <w:rFonts w:ascii="Verdana" w:hAnsi="Verdana"/>
          <w:sz w:val="16"/>
          <w:szCs w:val="16"/>
        </w:rPr>
        <w:t xml:space="preserve"> b) por el Estado de Argentina: los señores Ramiro Cristóbal Badía, Director Nacional de Asuntos Jurídicos Internacionales en Materia de Derechos Humanos de la Secretaría de Derechos Humanos y Pluralismo Cultural de la Nación y Gonzalo Bueno, </w:t>
      </w:r>
      <w:r w:rsidRPr="001067EF">
        <w:rPr>
          <w:rFonts w:ascii="Verdana" w:hAnsi="Verdana" w:cs="24uhu"/>
          <w:sz w:val="16"/>
          <w:szCs w:val="16"/>
          <w:lang w:val="es-CR" w:eastAsia="es-CR"/>
        </w:rPr>
        <w:t>Asesor Legal de la Dirección de Contencioso Internacional en Materia de Derechos Humanos del Ministerio de Relaciones Exteriores y Culto. Mediante escrito de 2 de mayo de 2019 los representantes comunicaron que no se presentarían a la audiencia por razones de índole personal.</w:t>
      </w:r>
    </w:p>
  </w:footnote>
  <w:footnote w:id="10">
    <w:p w14:paraId="4C67967A" w14:textId="602513B9" w:rsidR="00E46F1E" w:rsidRPr="00E46F1E" w:rsidRDefault="00E46F1E" w:rsidP="00C40460">
      <w:pPr>
        <w:pStyle w:val="Textonotapie"/>
        <w:tabs>
          <w:tab w:val="left" w:pos="709"/>
        </w:tabs>
        <w:spacing w:after="120"/>
        <w:jc w:val="both"/>
        <w:rPr>
          <w:rFonts w:ascii="Verdana" w:hAnsi="Verdana"/>
          <w:sz w:val="16"/>
          <w:szCs w:val="16"/>
          <w:lang w:val="es-ES"/>
        </w:rPr>
      </w:pPr>
      <w:r w:rsidRPr="00E46F1E">
        <w:rPr>
          <w:rStyle w:val="Refdenotaalpie"/>
          <w:rFonts w:ascii="Verdana" w:hAnsi="Verdana"/>
          <w:sz w:val="16"/>
          <w:szCs w:val="16"/>
          <w:lang w:val="es-ES"/>
        </w:rPr>
        <w:footnoteRef/>
      </w:r>
      <w:r w:rsidRPr="00E46F1E">
        <w:rPr>
          <w:rFonts w:ascii="Verdana" w:hAnsi="Verdana"/>
          <w:sz w:val="16"/>
          <w:szCs w:val="16"/>
          <w:lang w:val="es-ES"/>
        </w:rPr>
        <w:t xml:space="preserve"> </w:t>
      </w:r>
      <w:r w:rsidRPr="00E46F1E">
        <w:rPr>
          <w:rFonts w:ascii="Verdana" w:hAnsi="Verdana"/>
          <w:sz w:val="16"/>
          <w:szCs w:val="16"/>
          <w:lang w:val="es-ES"/>
        </w:rPr>
        <w:tab/>
      </w:r>
      <w:r w:rsidRPr="00E46F1E">
        <w:rPr>
          <w:rFonts w:ascii="Verdana" w:hAnsi="Verdana"/>
          <w:i/>
          <w:sz w:val="16"/>
          <w:szCs w:val="16"/>
          <w:lang w:val="es-ES"/>
        </w:rPr>
        <w:t>Cfr.</w:t>
      </w:r>
      <w:r w:rsidRPr="00E46F1E">
        <w:rPr>
          <w:rFonts w:ascii="Verdana" w:hAnsi="Verdana"/>
          <w:sz w:val="16"/>
          <w:szCs w:val="16"/>
        </w:rPr>
        <w:t xml:space="preserve"> </w:t>
      </w:r>
      <w:r w:rsidRPr="00E46F1E">
        <w:rPr>
          <w:rFonts w:ascii="Verdana" w:eastAsia="Calibri" w:hAnsi="Verdana"/>
          <w:bCs/>
          <w:i/>
          <w:sz w:val="16"/>
          <w:szCs w:val="16"/>
          <w:lang w:val="es-CR" w:eastAsia="es-CR"/>
        </w:rPr>
        <w:t>Caso Velásquez Rodríguez Vs. Honduras. Excepciones Preliminares</w:t>
      </w:r>
      <w:r w:rsidRPr="00E46F1E">
        <w:rPr>
          <w:rFonts w:ascii="Verdana" w:eastAsia="Calibri" w:hAnsi="Verdana"/>
          <w:bCs/>
          <w:sz w:val="16"/>
          <w:szCs w:val="16"/>
          <w:lang w:val="es-CR" w:eastAsia="es-CR"/>
        </w:rPr>
        <w:t>. Sentencia de 26 de junio de 1987. Serie C No. 1, párr. 63</w:t>
      </w:r>
      <w:r w:rsidRPr="00E46F1E">
        <w:rPr>
          <w:rStyle w:val="Textoennegrita"/>
          <w:rFonts w:ascii="Verdana" w:hAnsi="Verdana"/>
          <w:b w:val="0"/>
          <w:sz w:val="16"/>
          <w:szCs w:val="16"/>
        </w:rPr>
        <w:t xml:space="preserve">, y </w:t>
      </w:r>
      <w:r w:rsidRPr="00E46F1E">
        <w:rPr>
          <w:rStyle w:val="Textoennegrita"/>
          <w:rFonts w:ascii="Verdana" w:hAnsi="Verdana"/>
          <w:b w:val="0"/>
          <w:i/>
          <w:color w:val="000000"/>
          <w:sz w:val="16"/>
          <w:szCs w:val="16"/>
        </w:rPr>
        <w:t xml:space="preserve">Caso Perrone y </w:t>
      </w:r>
      <w:proofErr w:type="spellStart"/>
      <w:r w:rsidRPr="00E46F1E">
        <w:rPr>
          <w:rStyle w:val="Textoennegrita"/>
          <w:rFonts w:ascii="Verdana" w:hAnsi="Verdana"/>
          <w:b w:val="0"/>
          <w:i/>
          <w:color w:val="000000"/>
          <w:sz w:val="16"/>
          <w:szCs w:val="16"/>
        </w:rPr>
        <w:t>Preckel</w:t>
      </w:r>
      <w:proofErr w:type="spellEnd"/>
      <w:r w:rsidRPr="00E46F1E">
        <w:rPr>
          <w:rStyle w:val="Textoennegrita"/>
          <w:rFonts w:ascii="Verdana" w:hAnsi="Verdana"/>
          <w:b w:val="0"/>
          <w:i/>
          <w:color w:val="000000"/>
          <w:sz w:val="16"/>
          <w:szCs w:val="16"/>
        </w:rPr>
        <w:t xml:space="preserve"> Vs. Argentina. Excepciones Preliminares, Fondo, Reparaciones y Costas</w:t>
      </w:r>
      <w:r w:rsidRPr="00E46F1E">
        <w:rPr>
          <w:rStyle w:val="Textoennegrita"/>
          <w:rFonts w:ascii="Verdana" w:hAnsi="Verdana"/>
          <w:b w:val="0"/>
          <w:color w:val="000000"/>
          <w:sz w:val="16"/>
          <w:szCs w:val="16"/>
        </w:rPr>
        <w:t>. Sentencia de 8 de octubre de 2019. Serie C No. 384., párr. 33.</w:t>
      </w:r>
    </w:p>
  </w:footnote>
  <w:footnote w:id="11">
    <w:p w14:paraId="3D04B4FD" w14:textId="0AE3D54C" w:rsidR="00E46F1E" w:rsidRPr="00E46F1E" w:rsidRDefault="00E46F1E" w:rsidP="00C40460">
      <w:pPr>
        <w:pStyle w:val="Textonotapie"/>
        <w:tabs>
          <w:tab w:val="left" w:pos="709"/>
        </w:tabs>
        <w:spacing w:after="120"/>
        <w:jc w:val="both"/>
        <w:rPr>
          <w:rFonts w:ascii="Verdana" w:hAnsi="Verdana"/>
          <w:sz w:val="16"/>
          <w:szCs w:val="16"/>
          <w:lang w:val="es-ES"/>
        </w:rPr>
      </w:pPr>
      <w:r w:rsidRPr="00E46F1E">
        <w:rPr>
          <w:rStyle w:val="Refdenotaalpie"/>
          <w:rFonts w:ascii="Verdana" w:hAnsi="Verdana"/>
          <w:sz w:val="16"/>
          <w:szCs w:val="16"/>
          <w:lang w:val="es-ES"/>
        </w:rPr>
        <w:footnoteRef/>
      </w:r>
      <w:r w:rsidRPr="00E46F1E">
        <w:rPr>
          <w:rFonts w:ascii="Verdana" w:hAnsi="Verdana"/>
          <w:sz w:val="16"/>
          <w:szCs w:val="16"/>
          <w:lang w:val="es-ES"/>
        </w:rPr>
        <w:t xml:space="preserve"> </w:t>
      </w:r>
      <w:r w:rsidRPr="00E46F1E">
        <w:rPr>
          <w:rFonts w:ascii="Verdana" w:hAnsi="Verdana"/>
          <w:sz w:val="16"/>
          <w:szCs w:val="16"/>
          <w:lang w:val="es-ES"/>
        </w:rPr>
        <w:tab/>
      </w:r>
      <w:r w:rsidRPr="00E46F1E">
        <w:rPr>
          <w:rFonts w:ascii="Verdana" w:hAnsi="Verdana" w:cs="Verdana"/>
          <w:i/>
          <w:iCs/>
          <w:sz w:val="16"/>
          <w:szCs w:val="16"/>
          <w:lang w:val="es-ES"/>
        </w:rPr>
        <w:t xml:space="preserve">Cfr. </w:t>
      </w:r>
      <w:r w:rsidRPr="00E46F1E">
        <w:rPr>
          <w:rStyle w:val="Textoennegrita"/>
          <w:rFonts w:ascii="Verdana" w:hAnsi="Verdana"/>
          <w:b w:val="0"/>
          <w:i/>
          <w:sz w:val="16"/>
          <w:szCs w:val="16"/>
        </w:rPr>
        <w:t>Caso Velásquez Rodríguez Vs. Honduras. Excepciones Preliminares</w:t>
      </w:r>
      <w:r w:rsidRPr="00E46F1E">
        <w:rPr>
          <w:rFonts w:ascii="Verdana" w:hAnsi="Verdana" w:cs="Verdana"/>
          <w:i/>
          <w:sz w:val="16"/>
          <w:szCs w:val="16"/>
          <w:lang w:val="es-ES"/>
        </w:rPr>
        <w:t xml:space="preserve">, </w:t>
      </w:r>
      <w:r w:rsidRPr="00E46F1E">
        <w:rPr>
          <w:rStyle w:val="Textoennegrita"/>
          <w:rFonts w:ascii="Verdana" w:hAnsi="Verdana"/>
          <w:b w:val="0"/>
          <w:i/>
          <w:color w:val="000000"/>
          <w:sz w:val="16"/>
          <w:szCs w:val="16"/>
        </w:rPr>
        <w:t>Excepciones Preliminares.</w:t>
      </w:r>
      <w:r w:rsidRPr="00E46F1E">
        <w:rPr>
          <w:rStyle w:val="Textoennegrita"/>
          <w:rFonts w:ascii="Verdana" w:hAnsi="Verdana"/>
          <w:b w:val="0"/>
          <w:color w:val="000000"/>
          <w:sz w:val="16"/>
          <w:szCs w:val="16"/>
        </w:rPr>
        <w:t xml:space="preserve"> Sentencia de 26 de junio de 1987. Serie C No. 1, </w:t>
      </w:r>
      <w:r w:rsidRPr="00E46F1E">
        <w:rPr>
          <w:rFonts w:ascii="Verdana" w:hAnsi="Verdana" w:cs="Verdana"/>
          <w:sz w:val="16"/>
          <w:szCs w:val="16"/>
          <w:lang w:val="es-ES"/>
        </w:rPr>
        <w:t xml:space="preserve">párr. 88, y </w:t>
      </w:r>
      <w:r w:rsidRPr="00E46F1E">
        <w:rPr>
          <w:rStyle w:val="Textoennegrita"/>
          <w:rFonts w:ascii="Verdana" w:hAnsi="Verdana"/>
          <w:b w:val="0"/>
          <w:i/>
          <w:sz w:val="16"/>
          <w:szCs w:val="16"/>
        </w:rPr>
        <w:t xml:space="preserve">Caso Favela Nova </w:t>
      </w:r>
      <w:proofErr w:type="spellStart"/>
      <w:r w:rsidRPr="00E46F1E">
        <w:rPr>
          <w:rStyle w:val="Textoennegrita"/>
          <w:rFonts w:ascii="Verdana" w:hAnsi="Verdana"/>
          <w:b w:val="0"/>
          <w:i/>
          <w:sz w:val="16"/>
          <w:szCs w:val="16"/>
        </w:rPr>
        <w:t>Brasília</w:t>
      </w:r>
      <w:proofErr w:type="spellEnd"/>
      <w:r w:rsidRPr="00E46F1E">
        <w:rPr>
          <w:rStyle w:val="Textoennegrita"/>
          <w:rFonts w:ascii="Verdana" w:hAnsi="Verdana"/>
          <w:b w:val="0"/>
          <w:i/>
          <w:sz w:val="16"/>
          <w:szCs w:val="16"/>
        </w:rPr>
        <w:t xml:space="preserve"> Vs. Brasil, Excepciones Preliminares, Fondo, Reparaciones y Costas. </w:t>
      </w:r>
      <w:r w:rsidRPr="00E46F1E">
        <w:rPr>
          <w:rStyle w:val="Textoennegrita"/>
          <w:rFonts w:ascii="Verdana" w:hAnsi="Verdana"/>
          <w:b w:val="0"/>
          <w:sz w:val="16"/>
          <w:szCs w:val="16"/>
        </w:rPr>
        <w:t>Sentencia de 16 de febrero de 2017. Serie C No. 333, párr. 76.</w:t>
      </w:r>
    </w:p>
  </w:footnote>
  <w:footnote w:id="12">
    <w:p w14:paraId="78A0329C" w14:textId="61AAC8FE" w:rsidR="00E46F1E" w:rsidRPr="00E46F1E" w:rsidRDefault="00E46F1E" w:rsidP="00C40460">
      <w:pPr>
        <w:pStyle w:val="Textonotapie"/>
        <w:spacing w:after="120"/>
        <w:jc w:val="both"/>
        <w:rPr>
          <w:rFonts w:ascii="Verdana" w:hAnsi="Verdana" w:cs="Arial"/>
          <w:sz w:val="16"/>
          <w:szCs w:val="16"/>
          <w:lang w:val="es-ES"/>
        </w:rPr>
      </w:pPr>
      <w:r w:rsidRPr="00E46F1E">
        <w:rPr>
          <w:rStyle w:val="Refdenotaalpie"/>
          <w:rFonts w:ascii="Verdana" w:hAnsi="Verdana" w:cs="Arial"/>
          <w:sz w:val="16"/>
          <w:szCs w:val="16"/>
        </w:rPr>
        <w:footnoteRef/>
      </w:r>
      <w:r w:rsidRPr="00E46F1E">
        <w:rPr>
          <w:rFonts w:ascii="Verdana" w:hAnsi="Verdana" w:cs="Arial"/>
          <w:sz w:val="16"/>
          <w:szCs w:val="16"/>
        </w:rPr>
        <w:t xml:space="preserve"> </w:t>
      </w:r>
      <w:r w:rsidRPr="00E46F1E">
        <w:rPr>
          <w:rFonts w:ascii="Verdana" w:hAnsi="Verdana" w:cs="Arial"/>
          <w:sz w:val="16"/>
          <w:szCs w:val="16"/>
        </w:rPr>
        <w:tab/>
      </w:r>
      <w:r w:rsidRPr="00E46F1E">
        <w:rPr>
          <w:rFonts w:ascii="Verdana" w:hAnsi="Verdana" w:cs="Arial"/>
          <w:i/>
          <w:sz w:val="16"/>
          <w:szCs w:val="16"/>
        </w:rPr>
        <w:t xml:space="preserve">Cfr. Caso </w:t>
      </w:r>
      <w:proofErr w:type="spellStart"/>
      <w:r w:rsidRPr="00E46F1E">
        <w:rPr>
          <w:rFonts w:ascii="Verdana" w:hAnsi="Verdana" w:cs="Arial"/>
          <w:i/>
          <w:sz w:val="16"/>
          <w:szCs w:val="16"/>
        </w:rPr>
        <w:t>Brewer</w:t>
      </w:r>
      <w:proofErr w:type="spellEnd"/>
      <w:r w:rsidRPr="00E46F1E">
        <w:rPr>
          <w:rFonts w:ascii="Verdana" w:hAnsi="Verdana" w:cs="Arial"/>
          <w:i/>
          <w:sz w:val="16"/>
          <w:szCs w:val="16"/>
        </w:rPr>
        <w:t xml:space="preserve"> Carías Vs. Venezuela. Excepciones Preliminares.</w:t>
      </w:r>
      <w:r w:rsidRPr="00E46F1E">
        <w:rPr>
          <w:rFonts w:ascii="Verdana" w:hAnsi="Verdana" w:cs="Arial"/>
          <w:sz w:val="16"/>
          <w:szCs w:val="16"/>
        </w:rPr>
        <w:t xml:space="preserve"> Sentencia de 26 de mayo de 2014, párr. 77, y </w:t>
      </w:r>
      <w:r w:rsidRPr="00E46F1E">
        <w:rPr>
          <w:rStyle w:val="Textoennegrita"/>
          <w:rFonts w:ascii="Verdana" w:hAnsi="Verdana"/>
          <w:b w:val="0"/>
          <w:i/>
          <w:color w:val="000000"/>
          <w:sz w:val="16"/>
          <w:szCs w:val="16"/>
        </w:rPr>
        <w:t>Caso Herzog y otros Vs. Brasil. Excepciones Preliminares, Fondo, Reparaciones y Costas.</w:t>
      </w:r>
      <w:r w:rsidRPr="00E46F1E">
        <w:rPr>
          <w:rStyle w:val="Textoennegrita"/>
          <w:rFonts w:ascii="Verdana" w:hAnsi="Verdana"/>
          <w:b w:val="0"/>
          <w:color w:val="000000"/>
          <w:sz w:val="16"/>
          <w:szCs w:val="16"/>
        </w:rPr>
        <w:t xml:space="preserve"> Sentencia de 15 de marzo de 2018. Serie C No. 353., párr. 51.</w:t>
      </w:r>
    </w:p>
  </w:footnote>
  <w:footnote w:id="13">
    <w:p w14:paraId="34C28FAC" w14:textId="677F4C52" w:rsidR="00E46F1E" w:rsidRPr="00E46F1E" w:rsidRDefault="00E46F1E" w:rsidP="00C40460">
      <w:pPr>
        <w:pStyle w:val="Textonotapie"/>
        <w:spacing w:after="120"/>
        <w:jc w:val="both"/>
        <w:rPr>
          <w:rFonts w:ascii="Verdana" w:hAnsi="Verdana"/>
          <w:sz w:val="16"/>
          <w:szCs w:val="16"/>
        </w:rPr>
      </w:pPr>
      <w:r w:rsidRPr="00E46F1E">
        <w:rPr>
          <w:rStyle w:val="Refdenotaalpie"/>
          <w:rFonts w:ascii="Verdana" w:hAnsi="Verdana"/>
          <w:sz w:val="16"/>
          <w:szCs w:val="16"/>
        </w:rPr>
        <w:footnoteRef/>
      </w:r>
      <w:r w:rsidRPr="00E46F1E">
        <w:rPr>
          <w:rFonts w:ascii="Verdana" w:hAnsi="Verdana"/>
          <w:sz w:val="16"/>
          <w:szCs w:val="16"/>
        </w:rPr>
        <w:t xml:space="preserve"> </w:t>
      </w:r>
      <w:r w:rsidRPr="00E46F1E">
        <w:rPr>
          <w:rFonts w:ascii="Verdana" w:hAnsi="Verdana"/>
          <w:sz w:val="16"/>
          <w:szCs w:val="16"/>
        </w:rPr>
        <w:tab/>
      </w:r>
      <w:r w:rsidRPr="00E46F1E">
        <w:rPr>
          <w:rFonts w:ascii="Verdana" w:hAnsi="Verdana"/>
          <w:i/>
          <w:sz w:val="16"/>
          <w:szCs w:val="16"/>
        </w:rPr>
        <w:t xml:space="preserve">Cfr. Caso </w:t>
      </w:r>
      <w:proofErr w:type="spellStart"/>
      <w:r w:rsidRPr="00E46F1E">
        <w:rPr>
          <w:rFonts w:ascii="Verdana" w:hAnsi="Verdana"/>
          <w:i/>
          <w:sz w:val="16"/>
          <w:szCs w:val="16"/>
        </w:rPr>
        <w:t>Furlan</w:t>
      </w:r>
      <w:proofErr w:type="spellEnd"/>
      <w:r w:rsidRPr="00E46F1E">
        <w:rPr>
          <w:rFonts w:ascii="Verdana" w:hAnsi="Verdana"/>
          <w:i/>
          <w:sz w:val="16"/>
          <w:szCs w:val="16"/>
        </w:rPr>
        <w:t xml:space="preserve"> y Familiares Vs. Argentina. Excepciones Preliminares, Fondo, Reparaciones y Costas.</w:t>
      </w:r>
      <w:r w:rsidRPr="00E46F1E">
        <w:rPr>
          <w:rFonts w:ascii="Verdana" w:hAnsi="Verdana"/>
          <w:sz w:val="16"/>
          <w:szCs w:val="16"/>
        </w:rPr>
        <w:t xml:space="preserve"> </w:t>
      </w:r>
      <w:r w:rsidRPr="00E46F1E">
        <w:rPr>
          <w:rFonts w:ascii="Verdana" w:hAnsi="Verdana"/>
          <w:sz w:val="16"/>
          <w:szCs w:val="16"/>
          <w:lang w:val="pt-BR"/>
        </w:rPr>
        <w:t xml:space="preserve">Sentencia de </w:t>
      </w:r>
      <w:proofErr w:type="gramStart"/>
      <w:r w:rsidRPr="00E46F1E">
        <w:rPr>
          <w:rFonts w:ascii="Verdana" w:hAnsi="Verdana"/>
          <w:sz w:val="16"/>
          <w:szCs w:val="16"/>
          <w:lang w:val="pt-BR"/>
        </w:rPr>
        <w:t xml:space="preserve">31 de agosto de 2012 </w:t>
      </w:r>
      <w:proofErr w:type="spellStart"/>
      <w:r w:rsidRPr="00E46F1E">
        <w:rPr>
          <w:rFonts w:ascii="Verdana" w:hAnsi="Verdana"/>
          <w:sz w:val="16"/>
          <w:szCs w:val="16"/>
          <w:lang w:val="pt-BR"/>
        </w:rPr>
        <w:t>Serie</w:t>
      </w:r>
      <w:proofErr w:type="spellEnd"/>
      <w:proofErr w:type="gramEnd"/>
      <w:r w:rsidRPr="00E46F1E">
        <w:rPr>
          <w:rFonts w:ascii="Verdana" w:hAnsi="Verdana"/>
          <w:sz w:val="16"/>
          <w:szCs w:val="16"/>
          <w:lang w:val="pt-BR"/>
        </w:rPr>
        <w:t xml:space="preserve"> C No. 246, </w:t>
      </w:r>
      <w:proofErr w:type="spellStart"/>
      <w:r w:rsidRPr="00E46F1E">
        <w:rPr>
          <w:rFonts w:ascii="Verdana" w:hAnsi="Verdana"/>
          <w:sz w:val="16"/>
          <w:szCs w:val="16"/>
          <w:lang w:val="pt-BR"/>
        </w:rPr>
        <w:t>párr</w:t>
      </w:r>
      <w:proofErr w:type="spellEnd"/>
      <w:r w:rsidRPr="00E46F1E">
        <w:rPr>
          <w:rFonts w:ascii="Verdana" w:hAnsi="Verdana"/>
          <w:sz w:val="16"/>
          <w:szCs w:val="16"/>
          <w:lang w:val="pt-BR"/>
        </w:rPr>
        <w:t xml:space="preserve">. 29, y </w:t>
      </w:r>
      <w:r w:rsidRPr="00E46F1E">
        <w:rPr>
          <w:rStyle w:val="Textoennegrita"/>
          <w:rFonts w:ascii="Verdana" w:hAnsi="Verdana"/>
          <w:b w:val="0"/>
          <w:i/>
          <w:color w:val="000000"/>
          <w:sz w:val="16"/>
          <w:szCs w:val="16"/>
        </w:rPr>
        <w:t>Caso Herzog y otros Vs. Brasil. Excepciones Preliminares, Fondo, Reparaciones y Costas.</w:t>
      </w:r>
      <w:r w:rsidRPr="00E46F1E">
        <w:rPr>
          <w:rStyle w:val="Textoennegrita"/>
          <w:rFonts w:ascii="Verdana" w:hAnsi="Verdana"/>
          <w:b w:val="0"/>
          <w:color w:val="000000"/>
          <w:sz w:val="16"/>
          <w:szCs w:val="16"/>
        </w:rPr>
        <w:t xml:space="preserve"> Sentencia de 15 de marzo de 2018. Serie C No. 353., párr. 51.</w:t>
      </w:r>
    </w:p>
  </w:footnote>
  <w:footnote w:id="14">
    <w:p w14:paraId="270E7CD9" w14:textId="1176C2A9" w:rsidR="00E46F1E" w:rsidRPr="001067EF" w:rsidRDefault="00E46F1E" w:rsidP="00C40460">
      <w:pPr>
        <w:pStyle w:val="Textonotapie"/>
        <w:tabs>
          <w:tab w:val="left" w:pos="709"/>
        </w:tabs>
        <w:spacing w:after="120"/>
        <w:jc w:val="both"/>
        <w:rPr>
          <w:rFonts w:ascii="Verdana" w:hAnsi="Verdana"/>
          <w:sz w:val="16"/>
          <w:szCs w:val="16"/>
        </w:rPr>
      </w:pPr>
      <w:r w:rsidRPr="00E46F1E">
        <w:rPr>
          <w:rStyle w:val="Refdenotaalpie"/>
          <w:rFonts w:ascii="Verdana" w:hAnsi="Verdana"/>
          <w:sz w:val="16"/>
          <w:szCs w:val="16"/>
        </w:rPr>
        <w:footnoteRef/>
      </w:r>
      <w:r w:rsidRPr="00E46F1E">
        <w:rPr>
          <w:rFonts w:ascii="Verdana" w:hAnsi="Verdana"/>
          <w:sz w:val="16"/>
          <w:szCs w:val="16"/>
        </w:rPr>
        <w:t xml:space="preserve"> </w:t>
      </w:r>
      <w:r w:rsidRPr="00E46F1E">
        <w:rPr>
          <w:rFonts w:ascii="Verdana" w:hAnsi="Verdana"/>
          <w:sz w:val="16"/>
          <w:szCs w:val="16"/>
        </w:rPr>
        <w:tab/>
      </w:r>
      <w:r w:rsidRPr="00E46F1E">
        <w:rPr>
          <w:rFonts w:ascii="Verdana" w:hAnsi="Verdana"/>
          <w:i/>
          <w:sz w:val="16"/>
          <w:szCs w:val="16"/>
        </w:rPr>
        <w:t xml:space="preserve">Cfr. </w:t>
      </w:r>
      <w:r w:rsidRPr="00E46F1E">
        <w:rPr>
          <w:rStyle w:val="Textoennegrita"/>
          <w:rFonts w:ascii="Verdana" w:hAnsi="Verdana"/>
          <w:b w:val="0"/>
          <w:sz w:val="16"/>
          <w:szCs w:val="16"/>
        </w:rPr>
        <w:t xml:space="preserve">Caso </w:t>
      </w:r>
      <w:r w:rsidRPr="00E46F1E">
        <w:rPr>
          <w:rStyle w:val="Textoennegrita"/>
          <w:rFonts w:ascii="Verdana" w:hAnsi="Verdana"/>
          <w:b w:val="0"/>
          <w:i/>
          <w:sz w:val="16"/>
          <w:szCs w:val="16"/>
        </w:rPr>
        <w:t xml:space="preserve">Velásquez Rodríguez Vs. Honduras. </w:t>
      </w:r>
      <w:r w:rsidRPr="00E46F1E">
        <w:rPr>
          <w:rStyle w:val="Textoennegrita"/>
          <w:rFonts w:ascii="Verdana" w:hAnsi="Verdana"/>
          <w:b w:val="0"/>
          <w:i/>
          <w:color w:val="000000"/>
          <w:sz w:val="16"/>
          <w:szCs w:val="16"/>
        </w:rPr>
        <w:t>Excepciones Preliminares.</w:t>
      </w:r>
      <w:r w:rsidRPr="00E46F1E">
        <w:rPr>
          <w:rStyle w:val="Textoennegrita"/>
          <w:rFonts w:ascii="Verdana" w:hAnsi="Verdana"/>
          <w:b w:val="0"/>
          <w:color w:val="000000"/>
          <w:sz w:val="16"/>
          <w:szCs w:val="16"/>
        </w:rPr>
        <w:t xml:space="preserve"> Sentencia de 26 de junio de 1987. Serie</w:t>
      </w:r>
      <w:r w:rsidRPr="00E46F1E">
        <w:rPr>
          <w:rStyle w:val="Textoennegrita"/>
          <w:rFonts w:ascii="Verdana" w:hAnsi="Verdana"/>
          <w:b w:val="0"/>
          <w:color w:val="000000"/>
          <w:sz w:val="16"/>
          <w:szCs w:val="16"/>
          <w:shd w:val="clear" w:color="auto" w:fill="FFFFFF"/>
        </w:rPr>
        <w:t xml:space="preserve"> </w:t>
      </w:r>
      <w:r w:rsidRPr="00E46F1E">
        <w:rPr>
          <w:rStyle w:val="Textoennegrita"/>
          <w:rFonts w:ascii="Verdana" w:hAnsi="Verdana"/>
          <w:b w:val="0"/>
          <w:color w:val="000000"/>
          <w:sz w:val="16"/>
          <w:szCs w:val="16"/>
        </w:rPr>
        <w:t>C No. 1,</w:t>
      </w:r>
      <w:r w:rsidRPr="00E46F1E">
        <w:rPr>
          <w:rFonts w:ascii="Verdana" w:hAnsi="Verdana" w:cs="Verdana"/>
          <w:b/>
          <w:sz w:val="16"/>
          <w:szCs w:val="16"/>
          <w:lang w:val="es-ES"/>
        </w:rPr>
        <w:t xml:space="preserve"> </w:t>
      </w:r>
      <w:r w:rsidRPr="00E46F1E">
        <w:rPr>
          <w:rFonts w:ascii="Verdana" w:hAnsi="Verdana" w:cs="Verdana"/>
          <w:sz w:val="16"/>
          <w:szCs w:val="16"/>
          <w:lang w:val="es-ES"/>
        </w:rPr>
        <w:t>párr. 88</w:t>
      </w:r>
      <w:r w:rsidRPr="00E46F1E">
        <w:rPr>
          <w:rStyle w:val="Textoennegrita"/>
          <w:rFonts w:ascii="Verdana" w:hAnsi="Verdana"/>
          <w:b w:val="0"/>
          <w:sz w:val="16"/>
          <w:szCs w:val="16"/>
        </w:rPr>
        <w:t xml:space="preserve"> y</w:t>
      </w:r>
      <w:r w:rsidRPr="00E46F1E">
        <w:rPr>
          <w:rStyle w:val="Textoennegrita"/>
          <w:rFonts w:ascii="Verdana" w:hAnsi="Verdana"/>
          <w:b w:val="0"/>
          <w:i/>
          <w:sz w:val="16"/>
          <w:szCs w:val="16"/>
        </w:rPr>
        <w:t xml:space="preserve">, </w:t>
      </w:r>
      <w:r w:rsidRPr="00E46F1E">
        <w:rPr>
          <w:rStyle w:val="Textoennegrita"/>
          <w:rFonts w:ascii="Verdana" w:hAnsi="Verdana"/>
          <w:b w:val="0"/>
          <w:i/>
          <w:color w:val="000000"/>
          <w:sz w:val="16"/>
          <w:szCs w:val="16"/>
        </w:rPr>
        <w:t>Caso Muelle Flores Vs. Perú. Excepciones Preliminares, Fondo, Reparaciones y Costas.</w:t>
      </w:r>
      <w:r w:rsidRPr="00E46F1E">
        <w:rPr>
          <w:rStyle w:val="Textoennegrita"/>
          <w:rFonts w:ascii="Verdana" w:hAnsi="Verdana"/>
          <w:b w:val="0"/>
          <w:color w:val="000000"/>
          <w:sz w:val="16"/>
          <w:szCs w:val="16"/>
        </w:rPr>
        <w:t xml:space="preserve"> Sentencia de</w:t>
      </w:r>
      <w:r w:rsidRPr="00E46F1E">
        <w:rPr>
          <w:rStyle w:val="Textoennegrita"/>
          <w:rFonts w:ascii="Verdana" w:hAnsi="Verdana"/>
          <w:b w:val="0"/>
          <w:color w:val="000000"/>
          <w:sz w:val="16"/>
          <w:szCs w:val="16"/>
          <w:shd w:val="clear" w:color="auto" w:fill="FFFFFF"/>
        </w:rPr>
        <w:t xml:space="preserve"> </w:t>
      </w:r>
      <w:r w:rsidRPr="00E46F1E">
        <w:rPr>
          <w:rStyle w:val="Textoennegrita"/>
          <w:rFonts w:ascii="Verdana" w:hAnsi="Verdana"/>
          <w:b w:val="0"/>
          <w:color w:val="000000"/>
          <w:sz w:val="16"/>
          <w:szCs w:val="16"/>
        </w:rPr>
        <w:t>6 de marzo de 2019. Serie C No. 375., párr. 26.</w:t>
      </w:r>
    </w:p>
  </w:footnote>
  <w:footnote w:id="15">
    <w:p w14:paraId="127368D9" w14:textId="77777777" w:rsidR="00E46F1E" w:rsidRPr="001067EF" w:rsidRDefault="00E46F1E" w:rsidP="00C40460">
      <w:pPr>
        <w:pStyle w:val="Textonotapie"/>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t>Escrito de información adicional suscrito por el Estado dirigido a la Comisión de 6 de junio de 2003 (expediente de prueba, folios 261 y 262).</w:t>
      </w:r>
    </w:p>
  </w:footnote>
  <w:footnote w:id="16">
    <w:p w14:paraId="7089F777" w14:textId="4E0CF97D" w:rsidR="00E46F1E" w:rsidRPr="001067EF" w:rsidRDefault="00E46F1E" w:rsidP="00C40460">
      <w:pPr>
        <w:pStyle w:val="Textonotapie"/>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t>Escrito de información adicional suscrito por el Estado dirigido a la Comisión de 6 de junio de 2003 (expediente de prueba, folio 262).</w:t>
      </w:r>
    </w:p>
  </w:footnote>
  <w:footnote w:id="17">
    <w:p w14:paraId="77E777A1" w14:textId="77777777" w:rsidR="00E46F1E" w:rsidRPr="001067EF" w:rsidRDefault="00E46F1E" w:rsidP="00C40460">
      <w:pPr>
        <w:pStyle w:val="Textonotapie"/>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t>Dictamen de la Subsecretaría de Justicia de la Provincia de Buenos Aires dirigido al Ministerio de Relaciones Exteriores, Comercio Internacional y Culto de la Nación, de 21 de mayo de 2003. Anexo a la comunicación del Estado de 21 de julio de 2003 (expediente de prueba, folio 20).</w:t>
      </w:r>
    </w:p>
  </w:footnote>
  <w:footnote w:id="18">
    <w:p w14:paraId="05E54ECF" w14:textId="35DA5F45" w:rsidR="00E46F1E" w:rsidRPr="001067EF" w:rsidRDefault="00E46F1E" w:rsidP="00C40460">
      <w:pPr>
        <w:pStyle w:val="Textonotapie"/>
        <w:spacing w:after="120"/>
        <w:jc w:val="both"/>
        <w:rPr>
          <w:rFonts w:ascii="Verdana" w:hAnsi="Verdana"/>
          <w:sz w:val="16"/>
          <w:szCs w:val="16"/>
        </w:rPr>
      </w:pPr>
      <w:r w:rsidRPr="00E46F1E">
        <w:rPr>
          <w:rStyle w:val="Refdenotaalpie"/>
          <w:rFonts w:ascii="Verdana" w:hAnsi="Verdana"/>
          <w:sz w:val="16"/>
          <w:szCs w:val="16"/>
        </w:rPr>
        <w:footnoteRef/>
      </w:r>
      <w:r w:rsidRPr="00E46F1E">
        <w:rPr>
          <w:rFonts w:ascii="Verdana" w:hAnsi="Verdana"/>
          <w:sz w:val="16"/>
          <w:szCs w:val="16"/>
          <w:lang w:val="es-ES"/>
        </w:rPr>
        <w:t xml:space="preserve"> </w:t>
      </w:r>
      <w:r w:rsidRPr="00E46F1E">
        <w:rPr>
          <w:rFonts w:ascii="Verdana" w:hAnsi="Verdana"/>
          <w:sz w:val="16"/>
          <w:szCs w:val="16"/>
          <w:lang w:val="es-ES"/>
        </w:rPr>
        <w:tab/>
      </w:r>
      <w:r w:rsidRPr="00E46F1E">
        <w:rPr>
          <w:rFonts w:ascii="Verdana" w:hAnsi="Verdana"/>
          <w:i/>
          <w:sz w:val="16"/>
          <w:szCs w:val="16"/>
          <w:lang w:val="es-ES"/>
        </w:rPr>
        <w:t>Cfr.</w:t>
      </w:r>
      <w:r w:rsidRPr="00E46F1E">
        <w:rPr>
          <w:rFonts w:ascii="Verdana" w:hAnsi="Verdana"/>
          <w:sz w:val="16"/>
          <w:szCs w:val="16"/>
          <w:lang w:val="es-ES"/>
        </w:rPr>
        <w:t xml:space="preserve"> </w:t>
      </w:r>
      <w:r w:rsidRPr="00E46F1E">
        <w:rPr>
          <w:rFonts w:ascii="Verdana" w:hAnsi="Verdana"/>
          <w:i/>
          <w:sz w:val="16"/>
          <w:szCs w:val="16"/>
          <w:lang w:val="es-ES"/>
        </w:rPr>
        <w:t xml:space="preserve">Caso Velásquez Rodríguez Vs. Honduras. </w:t>
      </w:r>
      <w:r w:rsidRPr="00E46F1E">
        <w:rPr>
          <w:rStyle w:val="Textoennegrita"/>
          <w:rFonts w:ascii="Verdana" w:hAnsi="Verdana"/>
          <w:b w:val="0"/>
          <w:i/>
          <w:color w:val="000000"/>
          <w:sz w:val="16"/>
          <w:szCs w:val="16"/>
        </w:rPr>
        <w:t xml:space="preserve">Excepciones Preliminares. </w:t>
      </w:r>
      <w:r w:rsidRPr="00E46F1E">
        <w:rPr>
          <w:rStyle w:val="Textoennegrita"/>
          <w:rFonts w:ascii="Verdana" w:hAnsi="Verdana"/>
          <w:b w:val="0"/>
          <w:color w:val="000000"/>
          <w:sz w:val="16"/>
          <w:szCs w:val="16"/>
        </w:rPr>
        <w:t>Sentencia de 26 de junio de 1987. Serie C No. 1</w:t>
      </w:r>
      <w:r w:rsidRPr="00E46F1E">
        <w:rPr>
          <w:rFonts w:ascii="Verdana" w:hAnsi="Verdana"/>
          <w:sz w:val="16"/>
          <w:szCs w:val="16"/>
          <w:lang w:val="es-ES"/>
        </w:rPr>
        <w:t xml:space="preserve">, párr. 88, y </w:t>
      </w:r>
      <w:r w:rsidRPr="00E46F1E">
        <w:rPr>
          <w:rStyle w:val="Textoennegrita"/>
          <w:rFonts w:ascii="Verdana" w:hAnsi="Verdana"/>
          <w:b w:val="0"/>
          <w:i/>
          <w:sz w:val="16"/>
          <w:szCs w:val="16"/>
        </w:rPr>
        <w:t>Caso Terrones Silva y otros Vs. Perú. Excepciones Preliminares, Fondo, Reparaciones y Costas.</w:t>
      </w:r>
      <w:r w:rsidRPr="00E46F1E">
        <w:rPr>
          <w:rStyle w:val="Textoennegrita"/>
          <w:rFonts w:ascii="Verdana" w:hAnsi="Verdana"/>
          <w:b w:val="0"/>
          <w:sz w:val="16"/>
          <w:szCs w:val="16"/>
        </w:rPr>
        <w:t xml:space="preserve"> Sentencia de 26 de septiembre de 2018. Serie C No. 360, párr. 22</w:t>
      </w:r>
      <w:r w:rsidRPr="00E46F1E">
        <w:rPr>
          <w:rFonts w:ascii="Verdana" w:hAnsi="Verdana"/>
          <w:sz w:val="16"/>
          <w:szCs w:val="16"/>
          <w:lang w:val="es-ES"/>
        </w:rPr>
        <w:t xml:space="preserve">. </w:t>
      </w:r>
    </w:p>
  </w:footnote>
  <w:footnote w:id="19">
    <w:p w14:paraId="490CFD4B" w14:textId="77777777" w:rsidR="00E46F1E" w:rsidRPr="001067EF" w:rsidRDefault="00E46F1E" w:rsidP="00C40460">
      <w:pPr>
        <w:pStyle w:val="Textonotapie"/>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Cfr.</w:t>
      </w:r>
      <w:r w:rsidRPr="001067EF">
        <w:rPr>
          <w:rFonts w:ascii="Verdana" w:hAnsi="Verdana"/>
          <w:sz w:val="16"/>
          <w:szCs w:val="16"/>
        </w:rPr>
        <w:t xml:space="preserve"> Escrito de información adicional suscrito por el Estado dirigido a la Comisión de 6 de junio de 2003 (expediente de prueba, folio 262).</w:t>
      </w:r>
    </w:p>
  </w:footnote>
  <w:footnote w:id="20">
    <w:p w14:paraId="0F8EA400" w14:textId="77777777" w:rsidR="00E46F1E" w:rsidRPr="001067EF" w:rsidRDefault="00E46F1E" w:rsidP="00C40460">
      <w:pPr>
        <w:pStyle w:val="Textonotapie"/>
        <w:spacing w:after="120"/>
        <w:jc w:val="both"/>
        <w:rPr>
          <w:rFonts w:ascii="Verdana" w:hAnsi="Verdana"/>
          <w:sz w:val="16"/>
          <w:szCs w:val="16"/>
          <w:lang w:val="es-CR"/>
        </w:rPr>
      </w:pPr>
      <w:r w:rsidRPr="001067EF">
        <w:rPr>
          <w:rStyle w:val="Refdenotaalpie"/>
          <w:rFonts w:ascii="Verdana" w:hAnsi="Verdana"/>
          <w:sz w:val="16"/>
          <w:szCs w:val="16"/>
        </w:rPr>
        <w:footnoteRef/>
      </w:r>
      <w:r w:rsidRPr="001067EF">
        <w:rPr>
          <w:rFonts w:ascii="Verdana" w:hAnsi="Verdana"/>
          <w:sz w:val="16"/>
          <w:szCs w:val="16"/>
          <w:lang w:val="es-CR"/>
        </w:rPr>
        <w:tab/>
      </w:r>
      <w:r w:rsidRPr="001067EF">
        <w:rPr>
          <w:rFonts w:ascii="Verdana" w:hAnsi="Verdana"/>
          <w:i/>
          <w:sz w:val="16"/>
          <w:szCs w:val="16"/>
          <w:lang w:val="es-CR"/>
        </w:rPr>
        <w:t>Cfr. Caso Cepeda Vargas Vs. Colombia</w:t>
      </w:r>
      <w:r w:rsidRPr="001067EF">
        <w:rPr>
          <w:rFonts w:ascii="Verdana" w:hAnsi="Verdana"/>
          <w:sz w:val="16"/>
          <w:szCs w:val="16"/>
          <w:lang w:val="es-CR"/>
        </w:rPr>
        <w:t xml:space="preserve">. </w:t>
      </w:r>
      <w:r w:rsidRPr="001067EF">
        <w:rPr>
          <w:rFonts w:ascii="Verdana" w:hAnsi="Verdana"/>
          <w:i/>
          <w:sz w:val="16"/>
          <w:szCs w:val="16"/>
          <w:lang w:val="es-CR"/>
        </w:rPr>
        <w:t>Excepciones Preliminares, Fondo, Reparaciones y Costas</w:t>
      </w:r>
      <w:r w:rsidRPr="001067EF">
        <w:rPr>
          <w:rFonts w:ascii="Verdana" w:hAnsi="Verdana"/>
          <w:sz w:val="16"/>
          <w:szCs w:val="16"/>
          <w:lang w:val="es-CR"/>
        </w:rPr>
        <w:t xml:space="preserve">. Sentencia de 26 de mayo de 2010. Serie C No. 213, párr. 246; y </w:t>
      </w:r>
      <w:r w:rsidRPr="001067EF">
        <w:rPr>
          <w:rFonts w:ascii="Verdana" w:hAnsi="Verdana"/>
          <w:i/>
          <w:sz w:val="16"/>
          <w:szCs w:val="16"/>
          <w:lang w:val="es-CR"/>
        </w:rPr>
        <w:t xml:space="preserve">Caso García Ibarra y otros Vs. Ecuador. Excepciones Preliminares, Fondo, Reparaciones y Costas. </w:t>
      </w:r>
      <w:r w:rsidRPr="001067EF">
        <w:rPr>
          <w:rFonts w:ascii="Verdana" w:hAnsi="Verdana"/>
          <w:sz w:val="16"/>
          <w:szCs w:val="16"/>
          <w:lang w:val="es-CR"/>
        </w:rPr>
        <w:t>Sentencia de 17 de noviembre de 2015. Serie C No. 306, párr. 186</w:t>
      </w:r>
      <w:r w:rsidRPr="001067EF">
        <w:rPr>
          <w:rFonts w:ascii="Verdana" w:hAnsi="Verdana"/>
          <w:i/>
          <w:sz w:val="16"/>
          <w:szCs w:val="16"/>
          <w:lang w:val="es-CR"/>
        </w:rPr>
        <w:t>.</w:t>
      </w:r>
    </w:p>
  </w:footnote>
  <w:footnote w:id="21">
    <w:p w14:paraId="392DD513" w14:textId="0C80DDD7" w:rsidR="00E46F1E" w:rsidRPr="001067EF" w:rsidRDefault="00E46F1E" w:rsidP="00C40460">
      <w:pPr>
        <w:pStyle w:val="Textonotapie"/>
        <w:spacing w:after="120"/>
        <w:jc w:val="both"/>
        <w:rPr>
          <w:rFonts w:ascii="Verdana" w:hAnsi="Verdana"/>
          <w:sz w:val="16"/>
          <w:szCs w:val="16"/>
          <w:lang w:val="es-CR"/>
        </w:rPr>
      </w:pPr>
      <w:r w:rsidRPr="001067EF">
        <w:rPr>
          <w:rStyle w:val="Refdenotaalpie"/>
          <w:rFonts w:ascii="Verdana" w:hAnsi="Verdana"/>
          <w:sz w:val="16"/>
          <w:szCs w:val="16"/>
        </w:rPr>
        <w:footnoteRef/>
      </w:r>
      <w:r w:rsidRPr="001067EF">
        <w:rPr>
          <w:rFonts w:ascii="Verdana" w:hAnsi="Verdana"/>
          <w:sz w:val="16"/>
          <w:szCs w:val="16"/>
          <w:lang w:val="es-CR"/>
        </w:rPr>
        <w:tab/>
      </w:r>
      <w:r w:rsidRPr="001067EF">
        <w:rPr>
          <w:rFonts w:ascii="Verdana" w:hAnsi="Verdana"/>
          <w:i/>
          <w:sz w:val="16"/>
          <w:szCs w:val="16"/>
          <w:lang w:val="es-CR"/>
        </w:rPr>
        <w:t xml:space="preserve">Cfr. Caso de la Masacre de Mapiripán vs. Colombia. Fondo. </w:t>
      </w:r>
      <w:r w:rsidRPr="001067EF">
        <w:rPr>
          <w:rFonts w:ascii="Verdana" w:hAnsi="Verdana"/>
          <w:sz w:val="16"/>
          <w:szCs w:val="16"/>
          <w:lang w:val="es-CR"/>
        </w:rPr>
        <w:t xml:space="preserve">Sentencia de 15 de septiembre de 2005. Serie C No. 134, y </w:t>
      </w:r>
      <w:r w:rsidRPr="001067EF">
        <w:rPr>
          <w:rFonts w:ascii="Verdana" w:hAnsi="Verdana"/>
          <w:i/>
          <w:sz w:val="16"/>
          <w:szCs w:val="16"/>
          <w:lang w:val="es-CR"/>
        </w:rPr>
        <w:t>Caso Rodríguez Vera y otros (Desaparecidos del Palacio de Justicia) Vs. Colombia.</w:t>
      </w:r>
      <w:r w:rsidRPr="001067EF">
        <w:rPr>
          <w:rFonts w:ascii="Verdana" w:hAnsi="Verdana"/>
          <w:sz w:val="16"/>
          <w:szCs w:val="16"/>
          <w:lang w:val="es-CR"/>
        </w:rPr>
        <w:t xml:space="preserve"> </w:t>
      </w:r>
      <w:r w:rsidRPr="001067EF">
        <w:rPr>
          <w:rFonts w:ascii="Verdana" w:hAnsi="Verdana"/>
          <w:i/>
          <w:sz w:val="16"/>
          <w:szCs w:val="16"/>
          <w:lang w:val="es-CR"/>
        </w:rPr>
        <w:t>Excepciones Preliminares, Fondo, Reparaciones y Costas</w:t>
      </w:r>
      <w:r w:rsidRPr="001067EF">
        <w:rPr>
          <w:rFonts w:ascii="Verdana" w:hAnsi="Verdana"/>
          <w:sz w:val="16"/>
          <w:szCs w:val="16"/>
          <w:lang w:val="es-CR"/>
        </w:rPr>
        <w:t xml:space="preserve">. Sentencia de 14 de noviembre de 2014. Serie C No. 287, </w:t>
      </w:r>
      <w:proofErr w:type="spellStart"/>
      <w:r w:rsidRPr="001067EF">
        <w:rPr>
          <w:rFonts w:ascii="Verdana" w:hAnsi="Verdana"/>
          <w:sz w:val="16"/>
          <w:szCs w:val="16"/>
          <w:lang w:val="es-CR"/>
        </w:rPr>
        <w:t>párrs</w:t>
      </w:r>
      <w:proofErr w:type="spellEnd"/>
      <w:r w:rsidRPr="001067EF">
        <w:rPr>
          <w:rFonts w:ascii="Verdana" w:hAnsi="Verdana"/>
          <w:sz w:val="16"/>
          <w:szCs w:val="16"/>
          <w:lang w:val="es-CR"/>
        </w:rPr>
        <w:t>. 548 y 549</w:t>
      </w:r>
      <w:r w:rsidRPr="001067EF">
        <w:rPr>
          <w:rFonts w:ascii="Verdana" w:hAnsi="Verdana"/>
          <w:i/>
          <w:sz w:val="16"/>
          <w:szCs w:val="16"/>
          <w:lang w:val="es-CR"/>
        </w:rPr>
        <w:t>.</w:t>
      </w:r>
    </w:p>
  </w:footnote>
  <w:footnote w:id="22">
    <w:p w14:paraId="2E53FDF0" w14:textId="4E40F695" w:rsidR="00E46F1E" w:rsidRPr="001067EF" w:rsidRDefault="00E46F1E" w:rsidP="00C40460">
      <w:pPr>
        <w:pStyle w:val="Textonotapie"/>
        <w:spacing w:after="120"/>
        <w:jc w:val="both"/>
        <w:rPr>
          <w:rFonts w:ascii="Verdana" w:hAnsi="Verdana"/>
          <w:sz w:val="16"/>
          <w:szCs w:val="16"/>
          <w:lang w:val="es-CR"/>
        </w:rPr>
      </w:pPr>
      <w:r w:rsidRPr="00E46F1E">
        <w:rPr>
          <w:rStyle w:val="Refdenotaalpie"/>
          <w:rFonts w:ascii="Verdana" w:hAnsi="Verdana"/>
          <w:sz w:val="16"/>
          <w:szCs w:val="16"/>
        </w:rPr>
        <w:footnoteRef/>
      </w:r>
      <w:r w:rsidRPr="00E46F1E">
        <w:rPr>
          <w:rFonts w:ascii="Verdana" w:hAnsi="Verdana"/>
          <w:sz w:val="16"/>
          <w:szCs w:val="16"/>
          <w:lang w:val="es-CR"/>
        </w:rPr>
        <w:tab/>
      </w:r>
      <w:r w:rsidRPr="00E46F1E">
        <w:rPr>
          <w:rFonts w:ascii="Verdana" w:hAnsi="Verdana"/>
          <w:i/>
          <w:sz w:val="16"/>
          <w:szCs w:val="16"/>
          <w:lang w:val="es-CR"/>
        </w:rPr>
        <w:t>Cfr. Caso de la Masacre de Santo Domingo vs. Colombia</w:t>
      </w:r>
      <w:r w:rsidRPr="00E46F1E">
        <w:rPr>
          <w:rFonts w:ascii="Verdana" w:hAnsi="Verdana"/>
          <w:sz w:val="16"/>
          <w:szCs w:val="16"/>
          <w:lang w:val="es-CR"/>
        </w:rPr>
        <w:t xml:space="preserve">, </w:t>
      </w:r>
      <w:r w:rsidRPr="00E46F1E">
        <w:rPr>
          <w:rStyle w:val="Textoennegrita"/>
          <w:rFonts w:ascii="Verdana" w:hAnsi="Verdana"/>
          <w:b w:val="0"/>
          <w:i/>
          <w:color w:val="000000"/>
          <w:sz w:val="16"/>
          <w:szCs w:val="16"/>
        </w:rPr>
        <w:t>Excepciones Preliminares, Fondo y Reparaciones.</w:t>
      </w:r>
      <w:r w:rsidRPr="00E46F1E">
        <w:rPr>
          <w:rStyle w:val="Textoennegrita"/>
          <w:rFonts w:ascii="Verdana" w:hAnsi="Verdana"/>
          <w:b w:val="0"/>
          <w:color w:val="000000"/>
          <w:sz w:val="16"/>
          <w:szCs w:val="16"/>
        </w:rPr>
        <w:t xml:space="preserve"> Sentencia de 30 de noviembre de 2012. Serie C No. 259</w:t>
      </w:r>
      <w:r w:rsidRPr="00E46F1E">
        <w:rPr>
          <w:rFonts w:ascii="Verdana" w:hAnsi="Verdana"/>
          <w:sz w:val="16"/>
          <w:szCs w:val="16"/>
          <w:lang w:val="es-CR"/>
        </w:rPr>
        <w:t xml:space="preserve">, </w:t>
      </w:r>
      <w:proofErr w:type="spellStart"/>
      <w:r w:rsidRPr="00E46F1E">
        <w:rPr>
          <w:rFonts w:ascii="Verdana" w:hAnsi="Verdana"/>
          <w:sz w:val="16"/>
          <w:szCs w:val="16"/>
          <w:lang w:val="es-CR"/>
        </w:rPr>
        <w:t>párrs</w:t>
      </w:r>
      <w:proofErr w:type="spellEnd"/>
      <w:r w:rsidRPr="001067EF">
        <w:rPr>
          <w:rFonts w:ascii="Verdana" w:hAnsi="Verdana"/>
          <w:sz w:val="16"/>
          <w:szCs w:val="16"/>
          <w:lang w:val="es-CR"/>
        </w:rPr>
        <w:t xml:space="preserve">. 37 y 38; y </w:t>
      </w:r>
      <w:r w:rsidRPr="001067EF">
        <w:rPr>
          <w:rFonts w:ascii="Verdana" w:hAnsi="Verdana"/>
          <w:i/>
          <w:sz w:val="16"/>
          <w:szCs w:val="16"/>
          <w:lang w:val="es-CR"/>
        </w:rPr>
        <w:t>Caso García Ibarra y otros Vs. Ecuador</w:t>
      </w:r>
      <w:r w:rsidRPr="001067EF">
        <w:rPr>
          <w:rFonts w:ascii="Verdana" w:hAnsi="Verdana"/>
          <w:sz w:val="16"/>
          <w:szCs w:val="16"/>
          <w:lang w:val="es-CR"/>
        </w:rPr>
        <w:t xml:space="preserve">, </w:t>
      </w:r>
      <w:r w:rsidRPr="001067EF">
        <w:rPr>
          <w:rFonts w:ascii="Verdana" w:hAnsi="Verdana"/>
          <w:i/>
          <w:sz w:val="16"/>
          <w:szCs w:val="16"/>
          <w:lang w:val="es-CR"/>
        </w:rPr>
        <w:t xml:space="preserve">Excepciones Preliminares, Fondo, Reparaciones y Costas. </w:t>
      </w:r>
      <w:r w:rsidRPr="001067EF">
        <w:rPr>
          <w:rFonts w:ascii="Verdana" w:hAnsi="Verdana"/>
          <w:sz w:val="16"/>
          <w:szCs w:val="16"/>
          <w:lang w:val="es-CR"/>
        </w:rPr>
        <w:t>Sentencia de 17 de noviembre de 2015. Serie C No. 306, párr. 186.</w:t>
      </w:r>
    </w:p>
  </w:footnote>
  <w:footnote w:id="23">
    <w:p w14:paraId="6741B754" w14:textId="609A8B58" w:rsidR="00E46F1E" w:rsidRPr="001067EF" w:rsidRDefault="00E46F1E" w:rsidP="00C40460">
      <w:pPr>
        <w:pStyle w:val="Textonotapie"/>
        <w:spacing w:after="120"/>
        <w:jc w:val="both"/>
        <w:rPr>
          <w:rFonts w:ascii="Verdana" w:hAnsi="Verdana"/>
          <w:i/>
          <w:sz w:val="16"/>
          <w:szCs w:val="16"/>
          <w:lang w:val="es-CR"/>
        </w:rPr>
      </w:pPr>
      <w:r w:rsidRPr="001067EF">
        <w:rPr>
          <w:rStyle w:val="Refdenotaalpie"/>
          <w:rFonts w:ascii="Verdana" w:hAnsi="Verdana"/>
          <w:sz w:val="16"/>
          <w:szCs w:val="16"/>
        </w:rPr>
        <w:footnoteRef/>
      </w:r>
      <w:r w:rsidRPr="001067EF">
        <w:rPr>
          <w:rFonts w:ascii="Verdana" w:hAnsi="Verdana"/>
          <w:sz w:val="16"/>
          <w:szCs w:val="16"/>
          <w:lang w:val="es-CR"/>
        </w:rPr>
        <w:t xml:space="preserve"> </w:t>
      </w:r>
      <w:r w:rsidRPr="001067EF">
        <w:rPr>
          <w:rFonts w:ascii="Verdana" w:hAnsi="Verdana"/>
          <w:sz w:val="16"/>
          <w:szCs w:val="16"/>
          <w:lang w:val="es-CR"/>
        </w:rPr>
        <w:tab/>
      </w:r>
      <w:r w:rsidRPr="001067EF">
        <w:rPr>
          <w:rFonts w:ascii="Verdana" w:hAnsi="Verdana"/>
          <w:i/>
          <w:sz w:val="16"/>
          <w:szCs w:val="16"/>
          <w:lang w:val="es-CR"/>
        </w:rPr>
        <w:t xml:space="preserve">Cfr. Mutatis </w:t>
      </w:r>
      <w:proofErr w:type="spellStart"/>
      <w:r w:rsidRPr="001067EF">
        <w:rPr>
          <w:rFonts w:ascii="Verdana" w:hAnsi="Verdana"/>
          <w:i/>
          <w:sz w:val="16"/>
          <w:szCs w:val="16"/>
          <w:lang w:val="es-CR"/>
        </w:rPr>
        <w:t>mutandi</w:t>
      </w:r>
      <w:proofErr w:type="spellEnd"/>
      <w:r w:rsidRPr="001067EF">
        <w:rPr>
          <w:rFonts w:ascii="Verdana" w:hAnsi="Verdana"/>
          <w:i/>
          <w:sz w:val="16"/>
          <w:szCs w:val="16"/>
          <w:lang w:val="es-CR"/>
        </w:rPr>
        <w:t xml:space="preserve"> </w:t>
      </w:r>
      <w:r w:rsidRPr="001067EF">
        <w:rPr>
          <w:rFonts w:ascii="Verdana" w:hAnsi="Verdana"/>
          <w:bCs/>
          <w:i/>
          <w:sz w:val="16"/>
          <w:szCs w:val="16"/>
          <w:lang w:val="es-CR"/>
        </w:rPr>
        <w:t xml:space="preserve">Caso Velásquez Rodríguez Vs. Honduras. Fondo. </w:t>
      </w:r>
      <w:r w:rsidRPr="001067EF">
        <w:rPr>
          <w:rFonts w:ascii="Verdana" w:hAnsi="Verdana"/>
          <w:bCs/>
          <w:sz w:val="16"/>
          <w:szCs w:val="16"/>
          <w:lang w:val="es-CR"/>
        </w:rPr>
        <w:t>Sentencia de 29 de julio de 1988. Serie C No</w:t>
      </w:r>
      <w:r w:rsidRPr="00E46F1E">
        <w:rPr>
          <w:rFonts w:ascii="Verdana" w:hAnsi="Verdana"/>
          <w:bCs/>
          <w:sz w:val="16"/>
          <w:szCs w:val="16"/>
          <w:lang w:val="es-CR"/>
        </w:rPr>
        <w:t xml:space="preserve">. 4, párr. 64, </w:t>
      </w:r>
      <w:r w:rsidRPr="00E46F1E">
        <w:rPr>
          <w:rFonts w:ascii="Verdana" w:hAnsi="Verdana"/>
          <w:sz w:val="16"/>
          <w:szCs w:val="16"/>
          <w:lang w:val="es-CR"/>
        </w:rPr>
        <w:t xml:space="preserve">y </w:t>
      </w:r>
      <w:r w:rsidRPr="00E46F1E">
        <w:rPr>
          <w:rStyle w:val="Textoennegrita"/>
          <w:rFonts w:ascii="Verdana" w:hAnsi="Verdana"/>
          <w:b w:val="0"/>
          <w:i/>
          <w:color w:val="000000"/>
          <w:sz w:val="16"/>
          <w:szCs w:val="16"/>
          <w:lang w:val="es-CR"/>
        </w:rPr>
        <w:t>Caso Chinchilla Sandoval y otros Vs. Guatemala. Excepción Preliminar, Fondo, Reparaciones y Costas.</w:t>
      </w:r>
      <w:r w:rsidRPr="00E46F1E">
        <w:rPr>
          <w:rStyle w:val="Textoennegrita"/>
          <w:rFonts w:ascii="Verdana" w:hAnsi="Verdana"/>
          <w:b w:val="0"/>
          <w:color w:val="000000"/>
          <w:sz w:val="16"/>
          <w:szCs w:val="16"/>
          <w:lang w:val="es-CR"/>
        </w:rPr>
        <w:t xml:space="preserve"> Sentencia de 29 de febrero de 2016. Serie C No. 312, párr. 25.</w:t>
      </w:r>
    </w:p>
  </w:footnote>
  <w:footnote w:id="24">
    <w:p w14:paraId="5F22F4DE" w14:textId="73DFFC04" w:rsidR="00E46F1E" w:rsidRPr="001067EF" w:rsidRDefault="00E46F1E" w:rsidP="00C40460">
      <w:pPr>
        <w:pStyle w:val="Textonotapie"/>
        <w:spacing w:after="120"/>
        <w:jc w:val="both"/>
        <w:rPr>
          <w:rFonts w:ascii="Verdana" w:hAnsi="Verdana"/>
          <w:b/>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Cfr.</w:t>
      </w:r>
      <w:r w:rsidRPr="001067EF">
        <w:rPr>
          <w:rFonts w:ascii="Verdana" w:hAnsi="Verdana"/>
          <w:sz w:val="16"/>
          <w:szCs w:val="16"/>
        </w:rPr>
        <w:t xml:space="preserve"> Informe del </w:t>
      </w:r>
      <w:proofErr w:type="gramStart"/>
      <w:r w:rsidRPr="001067EF">
        <w:rPr>
          <w:rFonts w:ascii="Verdana" w:hAnsi="Verdana"/>
          <w:sz w:val="16"/>
          <w:szCs w:val="16"/>
        </w:rPr>
        <w:t>Secretario</w:t>
      </w:r>
      <w:proofErr w:type="gramEnd"/>
      <w:r w:rsidRPr="001067EF">
        <w:rPr>
          <w:rFonts w:ascii="Verdana" w:hAnsi="Verdana"/>
          <w:sz w:val="16"/>
          <w:szCs w:val="16"/>
        </w:rPr>
        <w:t xml:space="preserve"> del Juzgado en lo Criminal No. 4 de Lomas de Zamora de 6 de julio de 1989; </w:t>
      </w:r>
      <w:r w:rsidRPr="001067EF">
        <w:rPr>
          <w:rFonts w:ascii="Verdana" w:hAnsi="Verdana"/>
          <w:sz w:val="16"/>
          <w:szCs w:val="16"/>
          <w:lang w:val="es-CR"/>
        </w:rPr>
        <w:t>Escrito del abogado del señor Hernández dirigido al Juez en lo Criminal de 1 de agosto de 1990</w:t>
      </w:r>
      <w:r w:rsidRPr="001067EF">
        <w:rPr>
          <w:rFonts w:ascii="Verdana" w:hAnsi="Verdana"/>
          <w:sz w:val="16"/>
          <w:szCs w:val="16"/>
        </w:rPr>
        <w:t xml:space="preserve"> y Escrito del abogado del señor Hernández dirigido a la Cámara en lo Criminal de 12 de febrero de 1991 (</w:t>
      </w:r>
      <w:r>
        <w:rPr>
          <w:rFonts w:ascii="Verdana" w:hAnsi="Verdana"/>
          <w:sz w:val="16"/>
          <w:szCs w:val="16"/>
        </w:rPr>
        <w:t>prueba para mejor resolver</w:t>
      </w:r>
      <w:r w:rsidRPr="001067EF">
        <w:rPr>
          <w:rFonts w:ascii="Verdana" w:hAnsi="Verdana"/>
          <w:sz w:val="16"/>
          <w:szCs w:val="16"/>
        </w:rPr>
        <w:t xml:space="preserve">, folios 507, 576 y 339 y 340). Así como escrito de información adicional suscrito por el Estado dirigido a la Comisión de 6 de junio de 2003 (expediente de prueba, folio 258). </w:t>
      </w:r>
    </w:p>
  </w:footnote>
  <w:footnote w:id="25">
    <w:p w14:paraId="5B18E34E" w14:textId="4D346C8B" w:rsidR="00E46F1E" w:rsidRPr="001067EF" w:rsidRDefault="00E46F1E" w:rsidP="00C40460">
      <w:pPr>
        <w:pStyle w:val="Textonotapie"/>
        <w:spacing w:after="120"/>
        <w:jc w:val="both"/>
        <w:rPr>
          <w:rFonts w:ascii="Verdana" w:hAnsi="Verdana"/>
          <w:b/>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Cfr.</w:t>
      </w:r>
      <w:r w:rsidRPr="001067EF">
        <w:rPr>
          <w:rFonts w:ascii="Verdana" w:hAnsi="Verdana"/>
          <w:sz w:val="16"/>
          <w:szCs w:val="16"/>
        </w:rPr>
        <w:t xml:space="preserve"> Resolución de la Causa No. 15,494 emitida por la Cámara de Apelaciones en lo Criminal y Correccional Departamental de 19 de octubre de 1990 que desestimó de los recursos de apelación interpuestos por el abogado del señor Hernández y por el propio señor Hernandez y confirmó la diversa la resolución del incidente de excarcelación</w:t>
      </w:r>
      <w:r w:rsidRPr="001067EF">
        <w:rPr>
          <w:rFonts w:ascii="Verdana" w:hAnsi="Verdana"/>
          <w:strike/>
          <w:sz w:val="16"/>
          <w:szCs w:val="16"/>
        </w:rPr>
        <w:t xml:space="preserve"> </w:t>
      </w:r>
      <w:r w:rsidRPr="001067EF">
        <w:rPr>
          <w:rFonts w:ascii="Verdana" w:hAnsi="Verdana"/>
          <w:sz w:val="16"/>
          <w:szCs w:val="16"/>
        </w:rPr>
        <w:t xml:space="preserve">(prueba para mejor resolver, folios </w:t>
      </w:r>
      <w:r w:rsidRPr="001067EF">
        <w:rPr>
          <w:rFonts w:ascii="Verdana" w:hAnsi="Verdana"/>
          <w:sz w:val="16"/>
          <w:szCs w:val="16"/>
          <w:lang w:val="es-CR"/>
        </w:rPr>
        <w:t>640 y 641).</w:t>
      </w:r>
    </w:p>
  </w:footnote>
  <w:footnote w:id="26">
    <w:p w14:paraId="64D50E6F" w14:textId="559B0625" w:rsidR="00E46F1E" w:rsidRPr="001067EF" w:rsidRDefault="00E46F1E" w:rsidP="00C40460">
      <w:pPr>
        <w:pStyle w:val="Textonotapie"/>
        <w:spacing w:after="120"/>
        <w:jc w:val="both"/>
        <w:rPr>
          <w:rFonts w:ascii="Verdana" w:hAnsi="Verdana"/>
          <w:sz w:val="16"/>
          <w:szCs w:val="16"/>
          <w:lang w:eastAsia="es-ES"/>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t xml:space="preserve">La prueba documental puede ser presentada, en general y de conformidad con el artículo 57.2 del Reglamento, junto con los escritos de sometimiento del caso, de solicitudes y argumentos o de contestación, según corresponda, y no es admisible la prueba remitida fuera de esas oportunidades procesales, salvo en las excepciones establecidas en el referido artículo 57.2 del Reglamento (a saber, fuerza mayor, impedimento grave) o salvo si se tratara de un hecho superviniente, es decir, ocurrido con posterioridad a los citados momentos procesales. </w:t>
      </w:r>
      <w:r w:rsidRPr="001067EF">
        <w:rPr>
          <w:rFonts w:ascii="Verdana" w:hAnsi="Verdana"/>
          <w:i/>
          <w:sz w:val="16"/>
          <w:szCs w:val="16"/>
        </w:rPr>
        <w:t>Cfr.</w:t>
      </w:r>
      <w:r w:rsidRPr="001067EF">
        <w:rPr>
          <w:rFonts w:ascii="Verdana" w:hAnsi="Verdana"/>
          <w:sz w:val="16"/>
          <w:szCs w:val="16"/>
        </w:rPr>
        <w:t xml:space="preserve"> </w:t>
      </w:r>
      <w:r w:rsidRPr="001067EF">
        <w:rPr>
          <w:rFonts w:ascii="Verdana" w:hAnsi="Verdana"/>
          <w:i/>
          <w:sz w:val="16"/>
          <w:szCs w:val="16"/>
        </w:rPr>
        <w:t xml:space="preserve">Caso Familia Barrios Vs. </w:t>
      </w:r>
      <w:r w:rsidRPr="00E46F1E">
        <w:rPr>
          <w:rFonts w:ascii="Verdana" w:hAnsi="Verdana"/>
          <w:i/>
          <w:sz w:val="16"/>
          <w:szCs w:val="16"/>
        </w:rPr>
        <w:t xml:space="preserve">Venezuela. Fondo, Reparaciones y Costas. </w:t>
      </w:r>
      <w:r w:rsidRPr="00E46F1E">
        <w:rPr>
          <w:rFonts w:ascii="Verdana" w:hAnsi="Verdana"/>
          <w:sz w:val="16"/>
          <w:szCs w:val="16"/>
        </w:rPr>
        <w:t xml:space="preserve">Sentencia de 24 de noviembre de 2011. Serie C No. 237, </w:t>
      </w:r>
      <w:proofErr w:type="spellStart"/>
      <w:r w:rsidRPr="00E46F1E">
        <w:rPr>
          <w:rFonts w:ascii="Verdana" w:hAnsi="Verdana"/>
          <w:sz w:val="16"/>
          <w:szCs w:val="16"/>
        </w:rPr>
        <w:t>párrs</w:t>
      </w:r>
      <w:proofErr w:type="spellEnd"/>
      <w:r w:rsidRPr="00E46F1E">
        <w:rPr>
          <w:rFonts w:ascii="Verdana" w:hAnsi="Verdana"/>
          <w:sz w:val="16"/>
          <w:szCs w:val="16"/>
        </w:rPr>
        <w:t xml:space="preserve">. 17 y 18, y </w:t>
      </w:r>
      <w:r w:rsidRPr="00E46F1E">
        <w:rPr>
          <w:rStyle w:val="Textoennegrita"/>
          <w:rFonts w:ascii="Verdana" w:hAnsi="Verdana"/>
          <w:b w:val="0"/>
          <w:i/>
          <w:color w:val="000000"/>
          <w:sz w:val="16"/>
          <w:szCs w:val="16"/>
        </w:rPr>
        <w:t>Caso Rodríguez Revolorio y otros Vs. Guatemala. Excepción Preliminar, Fondo, Reparaciones y Costas.</w:t>
      </w:r>
      <w:r w:rsidRPr="00E46F1E">
        <w:rPr>
          <w:rStyle w:val="Textoennegrita"/>
          <w:rFonts w:ascii="Verdana" w:hAnsi="Verdana"/>
          <w:b w:val="0"/>
          <w:color w:val="000000"/>
          <w:sz w:val="16"/>
          <w:szCs w:val="16"/>
        </w:rPr>
        <w:t xml:space="preserve"> Sentencia de 14 de octubre de 2019. Serie C No. 387., párr. 26.</w:t>
      </w:r>
    </w:p>
  </w:footnote>
  <w:footnote w:id="27">
    <w:p w14:paraId="5C97B621" w14:textId="77C7F673" w:rsidR="00E46F1E" w:rsidRPr="001067EF" w:rsidRDefault="00E46F1E" w:rsidP="00C40460">
      <w:pPr>
        <w:pStyle w:val="Textonotapie"/>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t xml:space="preserve">La Corte acusó recibo del dictamen pericial rendido ante fedatario público por la señora Corina </w:t>
      </w:r>
      <w:proofErr w:type="spellStart"/>
      <w:r w:rsidRPr="001067EF">
        <w:rPr>
          <w:rFonts w:ascii="Verdana" w:hAnsi="Verdana"/>
          <w:sz w:val="16"/>
          <w:szCs w:val="16"/>
        </w:rPr>
        <w:t>Giacomello</w:t>
      </w:r>
      <w:proofErr w:type="spellEnd"/>
      <w:r w:rsidRPr="001067EF">
        <w:rPr>
          <w:rFonts w:ascii="Verdana" w:hAnsi="Verdana"/>
          <w:sz w:val="16"/>
          <w:szCs w:val="16"/>
        </w:rPr>
        <w:t>, el 30 de abril de 2019 (expediente de fondo, folios 419 y 395 a 418).</w:t>
      </w:r>
    </w:p>
  </w:footnote>
  <w:footnote w:id="28">
    <w:p w14:paraId="4332E8DA" w14:textId="4D46848D"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t>La Comisión Interamericana, a través de la Jefa de Gabinete de la Secretaría Ejecutiva</w:t>
      </w:r>
      <w:r>
        <w:rPr>
          <w:rFonts w:ascii="Verdana" w:hAnsi="Verdana"/>
          <w:sz w:val="16"/>
          <w:szCs w:val="16"/>
        </w:rPr>
        <w:t>,</w:t>
      </w:r>
      <w:r w:rsidRPr="001067EF">
        <w:rPr>
          <w:rFonts w:ascii="Verdana" w:hAnsi="Verdana"/>
          <w:sz w:val="16"/>
          <w:szCs w:val="16"/>
        </w:rPr>
        <w:t xml:space="preserve"> informó a la Corte el 29 de abril de 2019, que se desistió del ofrecimiento del peritaje del señor Manuel </w:t>
      </w:r>
      <w:proofErr w:type="spellStart"/>
      <w:r w:rsidRPr="001067EF">
        <w:rPr>
          <w:rFonts w:ascii="Verdana" w:hAnsi="Verdana"/>
          <w:sz w:val="16"/>
          <w:szCs w:val="16"/>
        </w:rPr>
        <w:t>Fruns</w:t>
      </w:r>
      <w:proofErr w:type="spellEnd"/>
      <w:r w:rsidRPr="001067EF">
        <w:rPr>
          <w:rFonts w:ascii="Verdana" w:hAnsi="Verdana"/>
          <w:sz w:val="16"/>
          <w:szCs w:val="16"/>
        </w:rPr>
        <w:t xml:space="preserve"> (expediente de fondo, folio 432).</w:t>
      </w:r>
    </w:p>
  </w:footnote>
  <w:footnote w:id="29">
    <w:p w14:paraId="131BDD5F" w14:textId="210253AE"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t>En las cartas suscritas por el Secretario de la Corte dirigidas a los señores agentes del Estado, a los abogados de las presuntas víctimas y a la Comisión Interamericana, todas emitidas de 5 de junio de 2019, se les informó que la declaración jurada de la señora Raquel San Martín de Hernández fue remitida junto con el escrito de alegatos finales de los representantes y no en el plazo establecido en la Resolución de Convocatoria del Presidente, por lo que resultaba extemporáneo, así que el Presidente determinó su inadmisibilidad (expediente de fondo, folios 519,</w:t>
      </w:r>
      <w:r>
        <w:rPr>
          <w:rFonts w:ascii="Verdana" w:hAnsi="Verdana"/>
          <w:sz w:val="16"/>
          <w:szCs w:val="16"/>
        </w:rPr>
        <w:t xml:space="preserve"> 522, 525 y 528</w:t>
      </w:r>
      <w:r w:rsidRPr="001067EF">
        <w:rPr>
          <w:rFonts w:ascii="Verdana" w:hAnsi="Verdana"/>
          <w:sz w:val="16"/>
          <w:szCs w:val="16"/>
        </w:rPr>
        <w:t>).</w:t>
      </w:r>
    </w:p>
  </w:footnote>
  <w:footnote w:id="30">
    <w:p w14:paraId="2F0847C0" w14:textId="5B68042E" w:rsidR="00E46F1E" w:rsidRPr="001067EF" w:rsidRDefault="00E46F1E" w:rsidP="00C40460">
      <w:pPr>
        <w:pStyle w:val="Textonotapie"/>
        <w:widowControl w:val="0"/>
        <w:spacing w:after="120"/>
        <w:jc w:val="both"/>
        <w:rPr>
          <w:rFonts w:ascii="Verdana" w:hAnsi="Verdana"/>
          <w:sz w:val="16"/>
          <w:szCs w:val="16"/>
          <w:lang w:val="es-CR"/>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Cfr.</w:t>
      </w:r>
      <w:r w:rsidRPr="001067EF">
        <w:rPr>
          <w:rFonts w:ascii="Verdana" w:hAnsi="Verdana"/>
          <w:sz w:val="16"/>
          <w:szCs w:val="16"/>
        </w:rPr>
        <w:t xml:space="preserve"> Resolución del Comisario de Monte Grande de 7 de febrero de 1989 y Audiencia del Juzgado en lo Criminal No. 5 de Monte Grande de 9 de febrero de 1989 (</w:t>
      </w:r>
      <w:r>
        <w:rPr>
          <w:rFonts w:ascii="Verdana" w:hAnsi="Verdana"/>
          <w:sz w:val="16"/>
          <w:szCs w:val="16"/>
        </w:rPr>
        <w:t>prueba para mejor resolver</w:t>
      </w:r>
      <w:r w:rsidRPr="001067EF">
        <w:rPr>
          <w:rFonts w:ascii="Verdana" w:hAnsi="Verdana"/>
          <w:sz w:val="16"/>
          <w:szCs w:val="16"/>
        </w:rPr>
        <w:t>, folios</w:t>
      </w:r>
      <w:r w:rsidRPr="001067EF">
        <w:rPr>
          <w:rFonts w:ascii="Verdana" w:hAnsi="Verdana"/>
          <w:sz w:val="16"/>
          <w:szCs w:val="16"/>
          <w:lang w:val="es-CR"/>
        </w:rPr>
        <w:t xml:space="preserve"> 361, 394 y 395).</w:t>
      </w:r>
    </w:p>
  </w:footnote>
  <w:footnote w:id="31">
    <w:p w14:paraId="6BB55A1A" w14:textId="62BCBE6B"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Cfr.</w:t>
      </w:r>
      <w:r w:rsidRPr="001067EF">
        <w:rPr>
          <w:rFonts w:ascii="Verdana" w:hAnsi="Verdana"/>
          <w:sz w:val="16"/>
          <w:szCs w:val="16"/>
        </w:rPr>
        <w:t xml:space="preserve"> Expediente penal sobre el delito de “Robo Calificado” contra José Luis Hernández, Causa No. 24498, Juzgado en lo Criminal y Correccional, Provincia de Buenos Aires, 1989 (</w:t>
      </w:r>
      <w:r>
        <w:rPr>
          <w:rFonts w:ascii="Verdana" w:hAnsi="Verdana"/>
          <w:sz w:val="16"/>
          <w:szCs w:val="16"/>
        </w:rPr>
        <w:t>prueba para mejor resolver</w:t>
      </w:r>
      <w:r w:rsidRPr="001067EF">
        <w:rPr>
          <w:rFonts w:ascii="Verdana" w:hAnsi="Verdana"/>
          <w:sz w:val="16"/>
          <w:szCs w:val="16"/>
        </w:rPr>
        <w:t>, folio 349).</w:t>
      </w:r>
    </w:p>
  </w:footnote>
  <w:footnote w:id="32">
    <w:p w14:paraId="0C1CB8A4" w14:textId="30B31885"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t>Resolución del Juzgado en lo Criminal No. 4 de Lomas de Zamora de 14 de febrero de 1989 (prueba para mejor resolver, folio 427).</w:t>
      </w:r>
    </w:p>
  </w:footnote>
  <w:footnote w:id="33">
    <w:p w14:paraId="44E41BAF" w14:textId="7C064662" w:rsidR="00E46F1E" w:rsidRPr="001067EF" w:rsidRDefault="00E46F1E" w:rsidP="00C40460">
      <w:pPr>
        <w:pStyle w:val="Textonotapie"/>
        <w:widowControl w:val="0"/>
        <w:spacing w:after="120"/>
        <w:jc w:val="both"/>
        <w:rPr>
          <w:rFonts w:ascii="Verdana" w:hAnsi="Verdana"/>
          <w:sz w:val="16"/>
          <w:szCs w:val="16"/>
          <w:lang w:val="es-CR"/>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Cfr.</w:t>
      </w:r>
      <w:r w:rsidRPr="001067EF">
        <w:rPr>
          <w:rFonts w:ascii="Verdana" w:hAnsi="Verdana"/>
          <w:sz w:val="16"/>
          <w:szCs w:val="16"/>
        </w:rPr>
        <w:t xml:space="preserve"> Resolución del Juzgado en lo Criminal No. 4 de Lomas de Zamora de 14 de febrero de 1989 (prueba para mejor resolver, folio 430).</w:t>
      </w:r>
    </w:p>
  </w:footnote>
  <w:footnote w:id="34">
    <w:p w14:paraId="7E06D393" w14:textId="19B6A78F" w:rsidR="00E46F1E" w:rsidRPr="001067EF" w:rsidRDefault="00E46F1E" w:rsidP="00C40460">
      <w:pPr>
        <w:pStyle w:val="Textonotapie"/>
        <w:widowControl w:val="0"/>
        <w:spacing w:after="120"/>
        <w:jc w:val="both"/>
        <w:rPr>
          <w:rFonts w:ascii="Verdana" w:hAnsi="Verdana"/>
          <w:sz w:val="16"/>
          <w:szCs w:val="16"/>
          <w:lang w:val="es-CR"/>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Cfr.</w:t>
      </w:r>
      <w:r w:rsidRPr="001067EF">
        <w:rPr>
          <w:rFonts w:ascii="Verdana" w:hAnsi="Verdana"/>
          <w:sz w:val="16"/>
          <w:szCs w:val="16"/>
        </w:rPr>
        <w:t xml:space="preserve"> Fallo del Juzgado en lo Criminal No. 4 de Lomas de Zamora de 28 de septiembre de 1990 (prueba para mejor resolver, folio </w:t>
      </w:r>
      <w:r w:rsidRPr="001067EF">
        <w:rPr>
          <w:rFonts w:ascii="Verdana" w:hAnsi="Verdana"/>
          <w:sz w:val="16"/>
          <w:szCs w:val="16"/>
          <w:lang w:val="es-CR"/>
        </w:rPr>
        <w:t>587).</w:t>
      </w:r>
    </w:p>
  </w:footnote>
  <w:footnote w:id="35">
    <w:p w14:paraId="66EFA7C9" w14:textId="2AB2BC8C" w:rsidR="00E46F1E" w:rsidRPr="001067EF" w:rsidRDefault="00E46F1E" w:rsidP="00C40460">
      <w:pPr>
        <w:pStyle w:val="Textonotapie"/>
        <w:widowControl w:val="0"/>
        <w:spacing w:after="120"/>
        <w:jc w:val="both"/>
        <w:rPr>
          <w:rFonts w:ascii="Verdana" w:hAnsi="Verdana"/>
          <w:sz w:val="16"/>
          <w:szCs w:val="16"/>
          <w:lang w:val="es-CR"/>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Cfr.</w:t>
      </w:r>
      <w:r w:rsidRPr="001067EF">
        <w:rPr>
          <w:rFonts w:ascii="Verdana" w:hAnsi="Verdana"/>
          <w:sz w:val="16"/>
          <w:szCs w:val="16"/>
        </w:rPr>
        <w:t xml:space="preserve"> Sentencia de la Sala Primera de la Cámara de Apelación en lo Criminal y Correccional Departamental de Lomas de Zamora de 21 de mayo de 1991 (prueba para mejor resolver, folios </w:t>
      </w:r>
      <w:r w:rsidRPr="001067EF">
        <w:rPr>
          <w:rFonts w:ascii="Verdana" w:hAnsi="Verdana"/>
          <w:sz w:val="16"/>
          <w:szCs w:val="16"/>
          <w:lang w:val="es-CR"/>
        </w:rPr>
        <w:t>682 y 683).</w:t>
      </w:r>
    </w:p>
  </w:footnote>
  <w:footnote w:id="36">
    <w:p w14:paraId="1304ADC1" w14:textId="379BAC46"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Cfr.</w:t>
      </w:r>
      <w:r w:rsidRPr="001067EF">
        <w:rPr>
          <w:rFonts w:ascii="Verdana" w:hAnsi="Verdana"/>
          <w:sz w:val="16"/>
          <w:szCs w:val="16"/>
        </w:rPr>
        <w:t xml:space="preserve"> Sentencia del Juez de la Causa de 29 de mayo de 1991 (prueba para mejor resolver, folio 752).</w:t>
      </w:r>
    </w:p>
  </w:footnote>
  <w:footnote w:id="37">
    <w:p w14:paraId="358A6F86" w14:textId="7407F51F"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Cfr.</w:t>
      </w:r>
      <w:r w:rsidRPr="001067EF">
        <w:rPr>
          <w:rFonts w:ascii="Verdana" w:hAnsi="Verdana"/>
          <w:sz w:val="16"/>
          <w:szCs w:val="16"/>
        </w:rPr>
        <w:t xml:space="preserve"> Resolución del Comisario de Monte Grande de 7 de febrero de 1989 sobre la detención del señor Hernández y Oficio del Prefecto de la Unidad Olmos, del Servicio Penitenciario de la Provincia de Buenos Aires de 3 de agosto de 1990 que informa su ingreso a la Unidad Carcelaria No. 1 (prueba para mejor resolver, folios 361 y 362 y 562).</w:t>
      </w:r>
    </w:p>
  </w:footnote>
  <w:footnote w:id="38">
    <w:p w14:paraId="1AE53A2E" w14:textId="0CD4A0A8"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t>Informe del Médico de Policía de la Comisaría de Monte Grande de 7 de febrero de 1989 (prueba para mejor resolver, folio 378).</w:t>
      </w:r>
    </w:p>
  </w:footnote>
  <w:footnote w:id="39">
    <w:p w14:paraId="66F5A9A9" w14:textId="6FDCE240"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t>Nota 319 del Comisario de Monte Grande dirigida al Juez en lo Criminal de Lomas de Zamora de 20 de marzo de 1989 (prueba para mejor resolver, folio 487).</w:t>
      </w:r>
    </w:p>
  </w:footnote>
  <w:footnote w:id="40">
    <w:p w14:paraId="797AA603" w14:textId="490B4A27"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Cfr.</w:t>
      </w:r>
      <w:r w:rsidRPr="001067EF">
        <w:rPr>
          <w:rFonts w:ascii="Verdana" w:hAnsi="Verdana"/>
          <w:sz w:val="16"/>
          <w:szCs w:val="16"/>
        </w:rPr>
        <w:t xml:space="preserve"> Comunicación de peticionarios de 19 de agosto de 1998 (expediente de prueba, folio 285) y acuerdo del Juez en lo Criminal No. 4 de Lomas de Zamora de 29 de marzo de 1989 (prueba para mejor resolver, folio 488).</w:t>
      </w:r>
    </w:p>
  </w:footnote>
  <w:footnote w:id="41">
    <w:p w14:paraId="713FB753" w14:textId="5923B0F1"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Cfr.</w:t>
      </w:r>
      <w:r w:rsidRPr="001067EF">
        <w:rPr>
          <w:rFonts w:ascii="Verdana" w:hAnsi="Verdana"/>
          <w:sz w:val="16"/>
          <w:szCs w:val="16"/>
        </w:rPr>
        <w:t xml:space="preserve"> Oficio del Prefecto de la Unidad de Olmos, del Servicio Penitenciario de la Provincia de Buenos Aires de 3 de agosto de 1990 (prueba para mejor resolver, folio 562).</w:t>
      </w:r>
    </w:p>
  </w:footnote>
  <w:footnote w:id="42">
    <w:p w14:paraId="3468DD45" w14:textId="659343DD"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Cfr.</w:t>
      </w:r>
      <w:r w:rsidRPr="001067EF">
        <w:rPr>
          <w:rFonts w:ascii="Verdana" w:hAnsi="Verdana"/>
          <w:sz w:val="16"/>
          <w:szCs w:val="16"/>
        </w:rPr>
        <w:t xml:space="preserve"> Informe del </w:t>
      </w:r>
      <w:proofErr w:type="gramStart"/>
      <w:r w:rsidRPr="001067EF">
        <w:rPr>
          <w:rFonts w:ascii="Verdana" w:hAnsi="Verdana"/>
          <w:sz w:val="16"/>
          <w:szCs w:val="16"/>
        </w:rPr>
        <w:t>Secretario</w:t>
      </w:r>
      <w:proofErr w:type="gramEnd"/>
      <w:r w:rsidRPr="001067EF">
        <w:rPr>
          <w:rFonts w:ascii="Verdana" w:hAnsi="Verdana"/>
          <w:sz w:val="16"/>
          <w:szCs w:val="16"/>
        </w:rPr>
        <w:t xml:space="preserve"> del Juzgado en los Criminal No. 4 de Lomas de Zamora de 6 de julio de 1989 (prueba para mejor resolver, folio 507) y Escrito de información adicional suscrito por el Estado dirigido a la Comisión de 6 de junio de 2003 (expediente de prueba, folio 258).</w:t>
      </w:r>
    </w:p>
  </w:footnote>
  <w:footnote w:id="43">
    <w:p w14:paraId="35FD6C1F" w14:textId="28D3693E"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Cfr.</w:t>
      </w:r>
      <w:r w:rsidRPr="001067EF">
        <w:rPr>
          <w:rFonts w:ascii="Verdana" w:hAnsi="Verdana"/>
          <w:sz w:val="16"/>
          <w:szCs w:val="16"/>
        </w:rPr>
        <w:t xml:space="preserve"> Determinación del Juez en lo Criminal No. 4 de Lomas de Zamora de 6 de julio de 1989 (expediente de prueba para mejor resolver, primera parte, folio 508).</w:t>
      </w:r>
    </w:p>
  </w:footnote>
  <w:footnote w:id="44">
    <w:p w14:paraId="5629A2BF" w14:textId="77777777" w:rsidR="00E46F1E" w:rsidRPr="001067EF" w:rsidRDefault="00E46F1E" w:rsidP="00C40460">
      <w:pPr>
        <w:pStyle w:val="Textonotapie"/>
        <w:widowControl w:val="0"/>
        <w:spacing w:after="120"/>
        <w:jc w:val="both"/>
        <w:rPr>
          <w:rFonts w:ascii="Verdana" w:hAnsi="Verdana"/>
          <w:sz w:val="16"/>
          <w:szCs w:val="16"/>
          <w:lang w:val="es-CR"/>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Cfr.</w:t>
      </w:r>
      <w:r w:rsidRPr="001067EF">
        <w:rPr>
          <w:rFonts w:ascii="Verdana" w:hAnsi="Verdana"/>
          <w:sz w:val="16"/>
          <w:szCs w:val="16"/>
        </w:rPr>
        <w:t xml:space="preserve"> Comunicación de peticionarios de 19 de agosto de 1998 (expediente de prueba, folio 286) y Escrito de información adicional suscrito por el Estado dirigido a la Comisión de 6 de junio de 2003 (expediente de prueba, folio 258).</w:t>
      </w:r>
    </w:p>
  </w:footnote>
  <w:footnote w:id="45">
    <w:p w14:paraId="16557027" w14:textId="60E9776C" w:rsidR="00E46F1E" w:rsidRPr="001067EF" w:rsidRDefault="00E46F1E" w:rsidP="00C40460">
      <w:pPr>
        <w:pStyle w:val="Textonotapie"/>
        <w:widowControl w:val="0"/>
        <w:spacing w:after="120"/>
        <w:jc w:val="both"/>
        <w:rPr>
          <w:rFonts w:ascii="Verdana" w:hAnsi="Verdana"/>
          <w:sz w:val="16"/>
          <w:szCs w:val="16"/>
          <w:lang w:val="es-CR"/>
        </w:rPr>
      </w:pPr>
      <w:r w:rsidRPr="001067EF">
        <w:rPr>
          <w:rStyle w:val="Refdenotaalpie"/>
          <w:rFonts w:ascii="Verdana" w:hAnsi="Verdana"/>
          <w:sz w:val="16"/>
          <w:szCs w:val="16"/>
        </w:rPr>
        <w:footnoteRef/>
      </w:r>
      <w:r w:rsidRPr="001067EF">
        <w:rPr>
          <w:rFonts w:ascii="Verdana" w:hAnsi="Verdana"/>
          <w:sz w:val="16"/>
          <w:szCs w:val="16"/>
          <w:lang w:val="es-CR"/>
        </w:rPr>
        <w:t xml:space="preserve"> </w:t>
      </w:r>
      <w:r w:rsidRPr="001067EF">
        <w:rPr>
          <w:rFonts w:ascii="Verdana" w:hAnsi="Verdana"/>
          <w:sz w:val="16"/>
          <w:szCs w:val="16"/>
          <w:lang w:val="es-CR"/>
        </w:rPr>
        <w:tab/>
        <w:t>Nota No. 01 del Comisario de Monte Grande de 16 de enero de 1990</w:t>
      </w:r>
      <w:r w:rsidRPr="001067EF">
        <w:rPr>
          <w:rFonts w:ascii="Verdana" w:hAnsi="Verdana"/>
          <w:sz w:val="16"/>
          <w:szCs w:val="16"/>
        </w:rPr>
        <w:t xml:space="preserve"> (expediente de prueba para mejor resolver, primera parte, folio 536).</w:t>
      </w:r>
    </w:p>
  </w:footnote>
  <w:footnote w:id="46">
    <w:p w14:paraId="66BC37D2" w14:textId="12110277"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lang w:val="es-CR"/>
        </w:rPr>
        <w:t xml:space="preserve"> </w:t>
      </w:r>
      <w:r w:rsidRPr="001067EF">
        <w:rPr>
          <w:rFonts w:ascii="Verdana" w:hAnsi="Verdana"/>
          <w:sz w:val="16"/>
          <w:szCs w:val="16"/>
          <w:lang w:val="es-CR"/>
        </w:rPr>
        <w:tab/>
      </w:r>
      <w:r w:rsidRPr="001067EF">
        <w:rPr>
          <w:rFonts w:ascii="Verdana" w:hAnsi="Verdana"/>
          <w:i/>
          <w:sz w:val="16"/>
          <w:szCs w:val="16"/>
          <w:lang w:val="es-CR"/>
        </w:rPr>
        <w:t>Cfr.</w:t>
      </w:r>
      <w:r w:rsidRPr="001067EF">
        <w:rPr>
          <w:rFonts w:ascii="Verdana" w:hAnsi="Verdana"/>
          <w:sz w:val="16"/>
          <w:szCs w:val="16"/>
          <w:lang w:val="es-CR"/>
        </w:rPr>
        <w:t xml:space="preserve"> Escrito del abogado del señor Hernández dirigido al Juez en lo Criminal de 1 de agosto de 1990</w:t>
      </w:r>
      <w:r w:rsidRPr="001067EF">
        <w:rPr>
          <w:rFonts w:ascii="Verdana" w:hAnsi="Verdana"/>
          <w:sz w:val="16"/>
          <w:szCs w:val="16"/>
        </w:rPr>
        <w:t xml:space="preserve"> (prueba para mejor resolver, folio 576) y Escrito de información adicional suscrito por el Estado dirigido a la Comisión de 6 de junio de 2003 (expediente de prueba, folio 258).</w:t>
      </w:r>
    </w:p>
  </w:footnote>
  <w:footnote w:id="47">
    <w:p w14:paraId="5DB66135" w14:textId="51F4CB08" w:rsidR="00E46F1E" w:rsidRPr="001067EF" w:rsidRDefault="00E46F1E" w:rsidP="00C40460">
      <w:pPr>
        <w:pStyle w:val="Textonotapie"/>
        <w:widowControl w:val="0"/>
        <w:spacing w:after="120"/>
        <w:jc w:val="both"/>
        <w:rPr>
          <w:rFonts w:ascii="Verdana" w:hAnsi="Verdana"/>
          <w:sz w:val="16"/>
          <w:szCs w:val="16"/>
          <w:lang w:val="es-CR"/>
        </w:rPr>
      </w:pPr>
      <w:r w:rsidRPr="001067EF">
        <w:rPr>
          <w:rStyle w:val="Refdenotaalpie"/>
          <w:rFonts w:ascii="Verdana" w:hAnsi="Verdana"/>
          <w:sz w:val="16"/>
          <w:szCs w:val="16"/>
        </w:rPr>
        <w:footnoteRef/>
      </w:r>
      <w:r w:rsidRPr="001067EF">
        <w:rPr>
          <w:rFonts w:ascii="Verdana" w:hAnsi="Verdana"/>
          <w:sz w:val="16"/>
          <w:szCs w:val="16"/>
          <w:lang w:val="es-CR"/>
        </w:rPr>
        <w:t xml:space="preserve"> </w:t>
      </w:r>
      <w:r w:rsidRPr="001067EF">
        <w:rPr>
          <w:rFonts w:ascii="Verdana" w:hAnsi="Verdana"/>
          <w:sz w:val="16"/>
          <w:szCs w:val="16"/>
          <w:lang w:val="es-CR"/>
        </w:rPr>
        <w:tab/>
        <w:t xml:space="preserve">Determinación del Juez en lo Criminal No. 4 de Lomas de Zamora de 1 de agosto de 1990 y oficio de la misma fecha del </w:t>
      </w:r>
      <w:proofErr w:type="gramStart"/>
      <w:r w:rsidRPr="001067EF">
        <w:rPr>
          <w:rFonts w:ascii="Verdana" w:hAnsi="Verdana"/>
          <w:sz w:val="16"/>
          <w:szCs w:val="16"/>
          <w:lang w:val="es-CR"/>
        </w:rPr>
        <w:t>Secretario</w:t>
      </w:r>
      <w:proofErr w:type="gramEnd"/>
      <w:r w:rsidRPr="001067EF">
        <w:rPr>
          <w:rFonts w:ascii="Verdana" w:hAnsi="Verdana"/>
          <w:sz w:val="16"/>
          <w:szCs w:val="16"/>
          <w:lang w:val="es-CR"/>
        </w:rPr>
        <w:t xml:space="preserve"> del referido Juzgado dirigido al Comisario de Monte Grande informando la orden del Juez de la Causa</w:t>
      </w:r>
      <w:r w:rsidRPr="001067EF">
        <w:rPr>
          <w:rFonts w:ascii="Verdana" w:hAnsi="Verdana"/>
          <w:strike/>
          <w:sz w:val="16"/>
          <w:szCs w:val="16"/>
          <w:lang w:val="es-CR"/>
        </w:rPr>
        <w:t xml:space="preserve">, </w:t>
      </w:r>
      <w:r w:rsidRPr="001067EF">
        <w:rPr>
          <w:rFonts w:ascii="Verdana" w:hAnsi="Verdana"/>
          <w:sz w:val="16"/>
          <w:szCs w:val="16"/>
        </w:rPr>
        <w:t>(prueba para mejor resolver, folios 577 y 578).</w:t>
      </w:r>
      <w:r w:rsidRPr="001067EF">
        <w:rPr>
          <w:rFonts w:ascii="Verdana" w:hAnsi="Verdana"/>
          <w:sz w:val="16"/>
          <w:szCs w:val="16"/>
          <w:lang w:val="es-CR"/>
        </w:rPr>
        <w:t xml:space="preserve"> </w:t>
      </w:r>
    </w:p>
  </w:footnote>
  <w:footnote w:id="48">
    <w:p w14:paraId="38BC1A00" w14:textId="78F249C1"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Cfr.</w:t>
      </w:r>
      <w:r w:rsidRPr="001067EF">
        <w:rPr>
          <w:rFonts w:ascii="Verdana" w:hAnsi="Verdana"/>
          <w:sz w:val="16"/>
          <w:szCs w:val="16"/>
        </w:rPr>
        <w:t xml:space="preserve"> Acuerdo del </w:t>
      </w:r>
      <w:proofErr w:type="gramStart"/>
      <w:r w:rsidRPr="001067EF">
        <w:rPr>
          <w:rFonts w:ascii="Verdana" w:hAnsi="Verdana"/>
          <w:sz w:val="16"/>
          <w:szCs w:val="16"/>
        </w:rPr>
        <w:t>Secretario</w:t>
      </w:r>
      <w:proofErr w:type="gramEnd"/>
      <w:r w:rsidRPr="001067EF">
        <w:rPr>
          <w:rFonts w:ascii="Verdana" w:hAnsi="Verdana"/>
          <w:sz w:val="16"/>
          <w:szCs w:val="16"/>
        </w:rPr>
        <w:t xml:space="preserve"> del Juzgado (prueba para mejor resolver, folio 556). </w:t>
      </w:r>
    </w:p>
  </w:footnote>
  <w:footnote w:id="49">
    <w:p w14:paraId="233E537C" w14:textId="0DE1D01E" w:rsidR="00E46F1E" w:rsidRPr="001067EF" w:rsidRDefault="00E46F1E" w:rsidP="00C40460">
      <w:pPr>
        <w:pStyle w:val="Textonotapie"/>
        <w:widowControl w:val="0"/>
        <w:spacing w:after="120"/>
        <w:jc w:val="both"/>
        <w:rPr>
          <w:rFonts w:ascii="Verdana" w:hAnsi="Verdana"/>
          <w:sz w:val="16"/>
          <w:szCs w:val="16"/>
          <w:lang w:val="es-CR"/>
        </w:rPr>
      </w:pPr>
      <w:r w:rsidRPr="001067EF">
        <w:rPr>
          <w:rStyle w:val="Refdenotaalpie"/>
          <w:rFonts w:ascii="Verdana" w:hAnsi="Verdana"/>
          <w:sz w:val="16"/>
          <w:szCs w:val="16"/>
        </w:rPr>
        <w:footnoteRef/>
      </w:r>
      <w:r w:rsidRPr="001067EF">
        <w:rPr>
          <w:rFonts w:ascii="Verdana" w:hAnsi="Verdana"/>
          <w:sz w:val="16"/>
          <w:szCs w:val="16"/>
          <w:lang w:val="es-CR"/>
        </w:rPr>
        <w:t xml:space="preserve"> </w:t>
      </w:r>
      <w:r w:rsidRPr="001067EF">
        <w:rPr>
          <w:rFonts w:ascii="Verdana" w:hAnsi="Verdana"/>
          <w:sz w:val="16"/>
          <w:szCs w:val="16"/>
          <w:lang w:val="es-CR"/>
        </w:rPr>
        <w:tab/>
        <w:t xml:space="preserve">Determinación del Juez en lo Criminal No. 4 de Lomas de Zamora de 2 de agosto de 1990 y oficio de la misma fecha del </w:t>
      </w:r>
      <w:proofErr w:type="gramStart"/>
      <w:r w:rsidRPr="001067EF">
        <w:rPr>
          <w:rFonts w:ascii="Verdana" w:hAnsi="Verdana"/>
          <w:sz w:val="16"/>
          <w:szCs w:val="16"/>
          <w:lang w:val="es-CR"/>
        </w:rPr>
        <w:t>Secretario</w:t>
      </w:r>
      <w:proofErr w:type="gramEnd"/>
      <w:r w:rsidRPr="001067EF">
        <w:rPr>
          <w:rFonts w:ascii="Verdana" w:hAnsi="Verdana"/>
          <w:sz w:val="16"/>
          <w:szCs w:val="16"/>
          <w:lang w:val="es-CR"/>
        </w:rPr>
        <w:t xml:space="preserve"> del referido Juzgado dirigido al Jefe del Servicio Penitenciario informando la orden del Juez de la Causa</w:t>
      </w:r>
      <w:r w:rsidRPr="001067EF">
        <w:rPr>
          <w:rFonts w:ascii="Verdana" w:hAnsi="Verdana"/>
          <w:sz w:val="16"/>
          <w:szCs w:val="16"/>
        </w:rPr>
        <w:t xml:space="preserve"> (prueba para mejor resolver, folios 556 y 557).</w:t>
      </w:r>
    </w:p>
  </w:footnote>
  <w:footnote w:id="50">
    <w:p w14:paraId="29157B96" w14:textId="201BD048"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lang w:val="es-CR"/>
        </w:rPr>
        <w:t xml:space="preserve"> </w:t>
      </w:r>
      <w:r w:rsidRPr="001067EF">
        <w:rPr>
          <w:rFonts w:ascii="Verdana" w:hAnsi="Verdana"/>
          <w:sz w:val="16"/>
          <w:szCs w:val="16"/>
          <w:lang w:val="es-CR"/>
        </w:rPr>
        <w:tab/>
      </w:r>
      <w:r w:rsidRPr="001067EF">
        <w:rPr>
          <w:rFonts w:ascii="Verdana" w:hAnsi="Verdana"/>
          <w:i/>
          <w:sz w:val="16"/>
          <w:szCs w:val="16"/>
          <w:lang w:val="es-CR"/>
        </w:rPr>
        <w:t>Cfr.</w:t>
      </w:r>
      <w:r w:rsidRPr="001067EF">
        <w:rPr>
          <w:rFonts w:ascii="Verdana" w:hAnsi="Verdana"/>
          <w:sz w:val="16"/>
          <w:szCs w:val="16"/>
          <w:lang w:val="es-CR"/>
        </w:rPr>
        <w:t xml:space="preserve"> </w:t>
      </w:r>
      <w:r w:rsidRPr="001067EF">
        <w:rPr>
          <w:rFonts w:ascii="Verdana" w:hAnsi="Verdana"/>
          <w:sz w:val="16"/>
          <w:szCs w:val="16"/>
        </w:rPr>
        <w:t>Oficio del Prefecto de la Unidad Olmos, del Servicio Penitenciario de la Provincia de Buenos Aires de 3 de agosto de 1990 que informa del ingreso del señor Hernánde</w:t>
      </w:r>
      <w:r>
        <w:rPr>
          <w:rFonts w:ascii="Verdana" w:hAnsi="Verdana"/>
          <w:sz w:val="16"/>
          <w:szCs w:val="16"/>
        </w:rPr>
        <w:t xml:space="preserve">z a la Unidad Carcelaria No. 1 </w:t>
      </w:r>
      <w:r w:rsidRPr="001067EF">
        <w:rPr>
          <w:rFonts w:ascii="Verdana" w:hAnsi="Verdana"/>
          <w:sz w:val="16"/>
          <w:szCs w:val="16"/>
        </w:rPr>
        <w:t>(prueba para mejor resolver, folio 562), y Escrito de información adicional suscrito por el Estado dirigido a la Comisión de 6 de junio de 2003 (expediente de prueba, folio 258).</w:t>
      </w:r>
    </w:p>
  </w:footnote>
  <w:footnote w:id="51">
    <w:p w14:paraId="38330488" w14:textId="795E6A71" w:rsidR="00E46F1E" w:rsidRPr="001067EF" w:rsidRDefault="00E46F1E" w:rsidP="00C40460">
      <w:pPr>
        <w:pStyle w:val="Textonotapie"/>
        <w:widowControl w:val="0"/>
        <w:spacing w:after="120"/>
        <w:jc w:val="both"/>
        <w:rPr>
          <w:rFonts w:ascii="Verdana" w:hAnsi="Verdana"/>
          <w:sz w:val="16"/>
          <w:szCs w:val="16"/>
          <w:lang w:val="es-CR"/>
        </w:rPr>
      </w:pPr>
      <w:r w:rsidRPr="001067EF">
        <w:rPr>
          <w:rStyle w:val="Refdenotaalpie"/>
          <w:rFonts w:ascii="Verdana" w:hAnsi="Verdana"/>
          <w:sz w:val="16"/>
          <w:szCs w:val="16"/>
        </w:rPr>
        <w:footnoteRef/>
      </w:r>
      <w:r w:rsidRPr="001067EF">
        <w:rPr>
          <w:rFonts w:ascii="Verdana" w:hAnsi="Verdana"/>
          <w:sz w:val="16"/>
          <w:szCs w:val="16"/>
          <w:lang w:val="es-CR"/>
        </w:rPr>
        <w:t xml:space="preserve"> </w:t>
      </w:r>
      <w:r w:rsidRPr="001067EF">
        <w:rPr>
          <w:rFonts w:ascii="Verdana" w:hAnsi="Verdana"/>
          <w:sz w:val="16"/>
          <w:szCs w:val="16"/>
          <w:lang w:val="es-CR"/>
        </w:rPr>
        <w:tab/>
      </w:r>
      <w:r w:rsidRPr="001067EF">
        <w:rPr>
          <w:rFonts w:ascii="Verdana" w:hAnsi="Verdana"/>
          <w:i/>
          <w:sz w:val="16"/>
          <w:szCs w:val="16"/>
          <w:lang w:val="es-CR"/>
        </w:rPr>
        <w:t>Cfr.</w:t>
      </w:r>
      <w:r w:rsidRPr="001067EF">
        <w:rPr>
          <w:rFonts w:ascii="Verdana" w:hAnsi="Verdana"/>
          <w:sz w:val="16"/>
          <w:szCs w:val="16"/>
          <w:lang w:val="es-CR"/>
        </w:rPr>
        <w:t xml:space="preserve"> Determinación del Juez en lo Criminal No. 4 de Lomas de Zamora de 14 de </w:t>
      </w:r>
      <w:proofErr w:type="gramStart"/>
      <w:r w:rsidRPr="001067EF">
        <w:rPr>
          <w:rFonts w:ascii="Verdana" w:hAnsi="Verdana"/>
          <w:sz w:val="16"/>
          <w:szCs w:val="16"/>
          <w:lang w:val="es-CR"/>
        </w:rPr>
        <w:t>Agosto</w:t>
      </w:r>
      <w:proofErr w:type="gramEnd"/>
      <w:r w:rsidRPr="001067EF">
        <w:rPr>
          <w:rFonts w:ascii="Verdana" w:hAnsi="Verdana"/>
          <w:sz w:val="16"/>
          <w:szCs w:val="16"/>
          <w:lang w:val="es-CR"/>
        </w:rPr>
        <w:t xml:space="preserve"> de 1990</w:t>
      </w:r>
      <w:r w:rsidRPr="001067EF">
        <w:rPr>
          <w:rFonts w:ascii="Verdana" w:hAnsi="Verdana"/>
          <w:sz w:val="16"/>
          <w:szCs w:val="16"/>
        </w:rPr>
        <w:t xml:space="preserve"> (</w:t>
      </w:r>
      <w:r>
        <w:rPr>
          <w:rFonts w:ascii="Verdana" w:hAnsi="Verdana"/>
          <w:sz w:val="16"/>
          <w:szCs w:val="16"/>
        </w:rPr>
        <w:t>prueba para mejor resolver</w:t>
      </w:r>
      <w:r w:rsidRPr="001067EF">
        <w:rPr>
          <w:rFonts w:ascii="Verdana" w:hAnsi="Verdana"/>
          <w:sz w:val="16"/>
          <w:szCs w:val="16"/>
        </w:rPr>
        <w:t>, primera parte, folio 563).</w:t>
      </w:r>
    </w:p>
  </w:footnote>
  <w:footnote w:id="52">
    <w:p w14:paraId="1841A37C" w14:textId="7AB1497E"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lang w:val="es-CR"/>
        </w:rPr>
        <w:t xml:space="preserve"> </w:t>
      </w:r>
      <w:r w:rsidRPr="001067EF">
        <w:rPr>
          <w:rFonts w:ascii="Verdana" w:hAnsi="Verdana"/>
          <w:sz w:val="16"/>
          <w:szCs w:val="16"/>
          <w:lang w:val="es-CR"/>
        </w:rPr>
        <w:tab/>
      </w:r>
      <w:r w:rsidRPr="001067EF">
        <w:rPr>
          <w:rFonts w:ascii="Verdana" w:hAnsi="Verdana"/>
          <w:sz w:val="16"/>
          <w:szCs w:val="16"/>
        </w:rPr>
        <w:t xml:space="preserve">Oficio del Prefecto de la Unidad Olmos, del Servicio Penitenciario de la Provincia de Buenos Aires de 15 de agosto de 1990 (prueba para mejor resolver, folio 566 y Decisión de 10 de octubre de 1995 emitida por el juez de primera instancia de La Plata, en autos caratulados: “Hernández José Luis c/Jefatura de Policía de la </w:t>
      </w:r>
      <w:proofErr w:type="spellStart"/>
      <w:r w:rsidRPr="001067EF">
        <w:rPr>
          <w:rFonts w:ascii="Verdana" w:hAnsi="Verdana"/>
          <w:sz w:val="16"/>
          <w:szCs w:val="16"/>
        </w:rPr>
        <w:t>Pcía</w:t>
      </w:r>
      <w:proofErr w:type="spellEnd"/>
      <w:r w:rsidRPr="001067EF">
        <w:rPr>
          <w:rFonts w:ascii="Verdana" w:hAnsi="Verdana"/>
          <w:sz w:val="16"/>
          <w:szCs w:val="16"/>
        </w:rPr>
        <w:t xml:space="preserve">. De Bs. As. y </w:t>
      </w:r>
      <w:proofErr w:type="spellStart"/>
      <w:proofErr w:type="gramStart"/>
      <w:r w:rsidRPr="001067EF">
        <w:rPr>
          <w:rFonts w:ascii="Verdana" w:hAnsi="Verdana"/>
          <w:sz w:val="16"/>
          <w:szCs w:val="16"/>
        </w:rPr>
        <w:t>otr.s</w:t>
      </w:r>
      <w:proofErr w:type="spellEnd"/>
      <w:proofErr w:type="gramEnd"/>
      <w:r w:rsidRPr="001067EF">
        <w:rPr>
          <w:rFonts w:ascii="Verdana" w:hAnsi="Verdana"/>
          <w:sz w:val="16"/>
          <w:szCs w:val="16"/>
        </w:rPr>
        <w:t>/Daños y Perjuicios. Juzgado no. 4 (B) P.C.”. Anexo a la comunicación de los peticionarios de 24 de julio de 2000 (expediente de prueba, folio 5).</w:t>
      </w:r>
    </w:p>
  </w:footnote>
  <w:footnote w:id="53">
    <w:p w14:paraId="399AB781" w14:textId="71AE6C3B" w:rsidR="00E46F1E" w:rsidRPr="001067EF" w:rsidRDefault="00E46F1E" w:rsidP="00C40460">
      <w:pPr>
        <w:pStyle w:val="Textonotapie"/>
        <w:widowControl w:val="0"/>
        <w:spacing w:after="120"/>
        <w:jc w:val="both"/>
        <w:rPr>
          <w:rFonts w:ascii="Verdana" w:hAnsi="Verdana"/>
          <w:sz w:val="16"/>
          <w:szCs w:val="16"/>
          <w:lang w:val="es-CR"/>
        </w:rPr>
      </w:pPr>
      <w:r w:rsidRPr="001067EF">
        <w:rPr>
          <w:rStyle w:val="Refdenotaalpie"/>
          <w:rFonts w:ascii="Verdana" w:hAnsi="Verdana"/>
          <w:sz w:val="16"/>
          <w:szCs w:val="16"/>
        </w:rPr>
        <w:footnoteRef/>
      </w:r>
      <w:r w:rsidRPr="001067EF">
        <w:rPr>
          <w:rFonts w:ascii="Verdana" w:hAnsi="Verdana"/>
          <w:sz w:val="16"/>
          <w:szCs w:val="16"/>
          <w:lang w:val="es-CR"/>
        </w:rPr>
        <w:t xml:space="preserve"> </w:t>
      </w:r>
      <w:r w:rsidRPr="001067EF">
        <w:rPr>
          <w:rFonts w:ascii="Verdana" w:hAnsi="Verdana"/>
          <w:sz w:val="16"/>
          <w:szCs w:val="16"/>
          <w:lang w:val="es-CR"/>
        </w:rPr>
        <w:tab/>
      </w:r>
      <w:r w:rsidRPr="001067EF">
        <w:rPr>
          <w:rFonts w:ascii="Verdana" w:hAnsi="Verdana"/>
          <w:sz w:val="16"/>
          <w:szCs w:val="16"/>
        </w:rPr>
        <w:t xml:space="preserve">Oficio del Prefecto de la Unidad Olmos, del Servicio Penitenciario de la Provincia de Buenos Aires de 29 de agosto de 1990 (expediente de prueba para mejor resolver, primera parte, folio 569) </w:t>
      </w:r>
      <w:proofErr w:type="gramStart"/>
      <w:r w:rsidRPr="001067EF">
        <w:rPr>
          <w:rFonts w:ascii="Verdana" w:hAnsi="Verdana"/>
          <w:sz w:val="16"/>
          <w:szCs w:val="16"/>
        </w:rPr>
        <w:t>y  Decisión</w:t>
      </w:r>
      <w:proofErr w:type="gramEnd"/>
      <w:r w:rsidRPr="001067EF">
        <w:rPr>
          <w:rFonts w:ascii="Verdana" w:hAnsi="Verdana"/>
          <w:sz w:val="16"/>
          <w:szCs w:val="16"/>
        </w:rPr>
        <w:t xml:space="preserve"> de 10 de octubre de 1995 emitida por el juez de primera instancia de La Plata, en autos caratulados: “Hernández José Luis c/Jefatura de Policía de la </w:t>
      </w:r>
      <w:proofErr w:type="spellStart"/>
      <w:r w:rsidRPr="001067EF">
        <w:rPr>
          <w:rFonts w:ascii="Verdana" w:hAnsi="Verdana"/>
          <w:sz w:val="16"/>
          <w:szCs w:val="16"/>
        </w:rPr>
        <w:t>Pcía</w:t>
      </w:r>
      <w:proofErr w:type="spellEnd"/>
      <w:r w:rsidRPr="001067EF">
        <w:rPr>
          <w:rFonts w:ascii="Verdana" w:hAnsi="Verdana"/>
          <w:sz w:val="16"/>
          <w:szCs w:val="16"/>
        </w:rPr>
        <w:t xml:space="preserve">. De Bs. As. y </w:t>
      </w:r>
      <w:proofErr w:type="spellStart"/>
      <w:proofErr w:type="gramStart"/>
      <w:r w:rsidRPr="001067EF">
        <w:rPr>
          <w:rFonts w:ascii="Verdana" w:hAnsi="Verdana"/>
          <w:sz w:val="16"/>
          <w:szCs w:val="16"/>
        </w:rPr>
        <w:t>otr.s</w:t>
      </w:r>
      <w:proofErr w:type="spellEnd"/>
      <w:proofErr w:type="gramEnd"/>
      <w:r w:rsidRPr="001067EF">
        <w:rPr>
          <w:rFonts w:ascii="Verdana" w:hAnsi="Verdana"/>
          <w:sz w:val="16"/>
          <w:szCs w:val="16"/>
        </w:rPr>
        <w:t>/Daños y Perjuicios. Juzgado no. 4 (B) P.C.”. Anexo a la comunicación de los peticionarios de 24 de julio de 2000 (expediente de prueba, folio 5)</w:t>
      </w:r>
      <w:r w:rsidRPr="001067EF">
        <w:rPr>
          <w:rFonts w:ascii="Verdana" w:hAnsi="Verdana"/>
          <w:sz w:val="16"/>
          <w:szCs w:val="16"/>
          <w:lang w:val="es-CR"/>
        </w:rPr>
        <w:t>.</w:t>
      </w:r>
    </w:p>
  </w:footnote>
  <w:footnote w:id="54">
    <w:p w14:paraId="7F7EAFFE" w14:textId="616C6952"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Cfr.</w:t>
      </w:r>
      <w:r w:rsidRPr="001067EF">
        <w:rPr>
          <w:rFonts w:ascii="Verdana" w:hAnsi="Verdana"/>
          <w:sz w:val="16"/>
          <w:szCs w:val="16"/>
        </w:rPr>
        <w:t xml:space="preserve"> Oficio del Prefecto de la Unidad Olmos, del Servicio Penitenciario de la Provincia de Buenos Aires de 30 de agosto de 1990 (prueba para mejor resolver, folio 570) y Escrito de información adicional suscrito por el Estado dirigido a la Comisión de 6 de junio de 2003 donde el Estado manifiesta que el traslado al Hospital Alejandro Korn fue para “el suministro de tratamiento específico de Meningitis aguda T.B.C. Hernández es trasladado del Hospital San Juan de Dios al Alejandro Korn, y el 18 de septiembre de 1990, reingresa a la Cárcel de Olmos” (expediente de prueba, folio 258).</w:t>
      </w:r>
    </w:p>
  </w:footnote>
  <w:footnote w:id="55">
    <w:p w14:paraId="3A32A533" w14:textId="272A06D4"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t>Oficio del Prefecto de la Unidad Olmos, del Servicio Penitenciario de la Provincia de Buenos Aires de 6 de septiembre de 1990 (prueba para mejor resolver, folio 571).</w:t>
      </w:r>
    </w:p>
  </w:footnote>
  <w:footnote w:id="56">
    <w:p w14:paraId="43F86E2B" w14:textId="59DF3AC2"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t>Oficio del Prefecto de la Unidad Olmos, del Servicio Penitenciario de la Provincia de Buenos Aires de 6 de septiembre de 1990 (prueba para mejor resolver, folio 571).</w:t>
      </w:r>
    </w:p>
  </w:footnote>
  <w:footnote w:id="57">
    <w:p w14:paraId="2CA73CE4" w14:textId="28733965"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Cfr.</w:t>
      </w:r>
      <w:r w:rsidRPr="001067EF">
        <w:rPr>
          <w:rFonts w:ascii="Verdana" w:hAnsi="Verdana"/>
          <w:sz w:val="16"/>
          <w:szCs w:val="16"/>
        </w:rPr>
        <w:t xml:space="preserve"> Decisión de 10 de octubre de 1995 emitida por el juez de primera instancia de La Plata, en autos caratulados: “Hernández José Luis c/Jefatura de Policía de la Policía. De Bs. </w:t>
      </w:r>
      <w:proofErr w:type="spellStart"/>
      <w:proofErr w:type="gramStart"/>
      <w:r w:rsidRPr="001067EF">
        <w:rPr>
          <w:rFonts w:ascii="Verdana" w:hAnsi="Verdana"/>
          <w:sz w:val="16"/>
          <w:szCs w:val="16"/>
        </w:rPr>
        <w:t>As.y</w:t>
      </w:r>
      <w:proofErr w:type="spellEnd"/>
      <w:proofErr w:type="gramEnd"/>
      <w:r w:rsidRPr="001067EF">
        <w:rPr>
          <w:rFonts w:ascii="Verdana" w:hAnsi="Verdana"/>
          <w:sz w:val="16"/>
          <w:szCs w:val="16"/>
        </w:rPr>
        <w:t xml:space="preserve"> </w:t>
      </w:r>
      <w:proofErr w:type="spellStart"/>
      <w:r w:rsidRPr="001067EF">
        <w:rPr>
          <w:rFonts w:ascii="Verdana" w:hAnsi="Verdana"/>
          <w:sz w:val="16"/>
          <w:szCs w:val="16"/>
        </w:rPr>
        <w:t>otr.s</w:t>
      </w:r>
      <w:proofErr w:type="spellEnd"/>
      <w:r w:rsidRPr="001067EF">
        <w:rPr>
          <w:rFonts w:ascii="Verdana" w:hAnsi="Verdana"/>
          <w:sz w:val="16"/>
          <w:szCs w:val="16"/>
        </w:rPr>
        <w:t>/Daños y Perjuicios. Juzgado no. 4 (B) P.C.”. Anexo a la comunicación de los peticionarios de 24 de julio de 2000; Comunicación de peticionarios de 19 de agosto de 1998 y Escrito de información adicional suscrito por el Estado dirigido a la Comisión de 6 de junio de 2003 (</w:t>
      </w:r>
      <w:r>
        <w:rPr>
          <w:rFonts w:ascii="Verdana" w:hAnsi="Verdana"/>
          <w:sz w:val="16"/>
          <w:szCs w:val="16"/>
        </w:rPr>
        <w:t>prueba para mejor resolver</w:t>
      </w:r>
      <w:r w:rsidRPr="001067EF">
        <w:rPr>
          <w:rFonts w:ascii="Verdana" w:hAnsi="Verdana"/>
          <w:sz w:val="16"/>
          <w:szCs w:val="16"/>
        </w:rPr>
        <w:t>, folios 5, 287 y 258).</w:t>
      </w:r>
    </w:p>
  </w:footnote>
  <w:footnote w:id="58">
    <w:p w14:paraId="26D7C56E" w14:textId="6886385D"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t xml:space="preserve">Determinación del Juez en lo Criminal No. 4 de Lomas de Zamora dirigida al </w:t>
      </w:r>
      <w:proofErr w:type="gramStart"/>
      <w:r w:rsidRPr="001067EF">
        <w:rPr>
          <w:rFonts w:ascii="Verdana" w:hAnsi="Verdana"/>
          <w:sz w:val="16"/>
          <w:szCs w:val="16"/>
        </w:rPr>
        <w:t>Director</w:t>
      </w:r>
      <w:proofErr w:type="gramEnd"/>
      <w:r w:rsidRPr="001067EF">
        <w:rPr>
          <w:rFonts w:ascii="Verdana" w:hAnsi="Verdana"/>
          <w:sz w:val="16"/>
          <w:szCs w:val="16"/>
        </w:rPr>
        <w:t xml:space="preserve"> del Hospital San Juan de Dios, de 27 de septiembre de 1990 (prueba para mejor resolver, folio 579).</w:t>
      </w:r>
    </w:p>
  </w:footnote>
  <w:footnote w:id="59">
    <w:p w14:paraId="13A8968A" w14:textId="603BB41A"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Cfr.</w:t>
      </w:r>
      <w:r w:rsidRPr="001067EF">
        <w:rPr>
          <w:rFonts w:ascii="Verdana" w:hAnsi="Verdana"/>
          <w:sz w:val="16"/>
          <w:szCs w:val="16"/>
        </w:rPr>
        <w:t xml:space="preserve"> Oficio del </w:t>
      </w:r>
      <w:proofErr w:type="gramStart"/>
      <w:r w:rsidRPr="001067EF">
        <w:rPr>
          <w:rFonts w:ascii="Verdana" w:hAnsi="Verdana"/>
          <w:sz w:val="16"/>
          <w:szCs w:val="16"/>
        </w:rPr>
        <w:t>Jefe</w:t>
      </w:r>
      <w:proofErr w:type="gramEnd"/>
      <w:r w:rsidRPr="001067EF">
        <w:rPr>
          <w:rFonts w:ascii="Verdana" w:hAnsi="Verdana"/>
          <w:sz w:val="16"/>
          <w:szCs w:val="16"/>
        </w:rPr>
        <w:t xml:space="preserve"> de la Unidad Olmos, del Servicio Penitenciario de Buenos Aires de 2 de octubre de 1990 (prueba para mejor resolver, folio 590).</w:t>
      </w:r>
    </w:p>
  </w:footnote>
  <w:footnote w:id="60">
    <w:p w14:paraId="45A3E886" w14:textId="5FE6128D"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Cfr.</w:t>
      </w:r>
      <w:r w:rsidRPr="001067EF">
        <w:rPr>
          <w:rFonts w:ascii="Verdana" w:hAnsi="Verdana"/>
          <w:sz w:val="16"/>
          <w:szCs w:val="16"/>
        </w:rPr>
        <w:t xml:space="preserve"> Oficio del </w:t>
      </w:r>
      <w:proofErr w:type="gramStart"/>
      <w:r w:rsidRPr="001067EF">
        <w:rPr>
          <w:rFonts w:ascii="Verdana" w:hAnsi="Verdana"/>
          <w:sz w:val="16"/>
          <w:szCs w:val="16"/>
        </w:rPr>
        <w:t>Jefe</w:t>
      </w:r>
      <w:proofErr w:type="gramEnd"/>
      <w:r w:rsidRPr="001067EF">
        <w:rPr>
          <w:rFonts w:ascii="Verdana" w:hAnsi="Verdana"/>
          <w:sz w:val="16"/>
          <w:szCs w:val="16"/>
        </w:rPr>
        <w:t xml:space="preserve"> de la Unidad Olmos, del Servicio Penitenciario de Buenos Aires de 2 de octubre de 1990 (prueba para mejor resolver, folio 590).</w:t>
      </w:r>
    </w:p>
  </w:footnote>
  <w:footnote w:id="61">
    <w:p w14:paraId="3C1C45F4" w14:textId="1B4ED22C"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t>Oficio del Prefecto Mayor Jefe</w:t>
      </w:r>
      <w:r w:rsidRPr="001067EF">
        <w:rPr>
          <w:rFonts w:ascii="Verdana" w:hAnsi="Verdana"/>
          <w:sz w:val="16"/>
          <w:szCs w:val="16"/>
          <w:lang w:val="es-CO"/>
        </w:rPr>
        <w:t xml:space="preserve"> de la </w:t>
      </w:r>
      <w:r w:rsidRPr="001067EF">
        <w:rPr>
          <w:rFonts w:ascii="Verdana" w:hAnsi="Verdana"/>
          <w:sz w:val="16"/>
          <w:szCs w:val="16"/>
        </w:rPr>
        <w:t>Unidad del área de Seguridad y Tratamiento de la Unidad Olmos del Servicio Penitenciario de la Provincia de Buenos Aires de 8 de octubre de 1990 (prueba para mejor resolver, folio 605).</w:t>
      </w:r>
    </w:p>
  </w:footnote>
  <w:footnote w:id="62">
    <w:p w14:paraId="23B48359" w14:textId="2C92442C"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t xml:space="preserve">Cédula de notificación dirigida al abogado del señor Hernández y Escrito de demanda de recurso de apelación dirigido al contra la </w:t>
      </w:r>
      <w:r>
        <w:rPr>
          <w:rFonts w:ascii="Verdana" w:hAnsi="Verdana"/>
          <w:sz w:val="16"/>
          <w:szCs w:val="16"/>
        </w:rPr>
        <w:t>providencia interlocutoria de 18</w:t>
      </w:r>
      <w:r w:rsidRPr="001067EF">
        <w:rPr>
          <w:rFonts w:ascii="Verdana" w:hAnsi="Verdana"/>
          <w:sz w:val="16"/>
          <w:szCs w:val="16"/>
        </w:rPr>
        <w:t xml:space="preserve"> de octubre de 1990 (prueba para mejor resolver, folios 634 y 614 a 617), </w:t>
      </w:r>
      <w:r w:rsidRPr="001067EF">
        <w:rPr>
          <w:rFonts w:ascii="Verdana" w:hAnsi="Verdana" w:cs="Calibri"/>
          <w:color w:val="000000" w:themeColor="text1"/>
          <w:sz w:val="16"/>
          <w:szCs w:val="16"/>
          <w:lang w:val="es-ES"/>
        </w:rPr>
        <w:t>y</w:t>
      </w:r>
      <w:r w:rsidRPr="001067EF">
        <w:rPr>
          <w:rFonts w:ascii="Verdana" w:hAnsi="Verdana"/>
          <w:sz w:val="16"/>
          <w:szCs w:val="16"/>
        </w:rPr>
        <w:t xml:space="preserve"> Anexo a la comunicación de los peticionarios de 19 de agosto de 1998 (expedie</w:t>
      </w:r>
      <w:r>
        <w:rPr>
          <w:rFonts w:ascii="Verdana" w:hAnsi="Verdana"/>
          <w:sz w:val="16"/>
          <w:szCs w:val="16"/>
        </w:rPr>
        <w:t>nte de prueba, folios 233 y 288</w:t>
      </w:r>
      <w:r w:rsidRPr="001067EF">
        <w:rPr>
          <w:rFonts w:ascii="Verdana" w:hAnsi="Verdana"/>
          <w:sz w:val="16"/>
          <w:szCs w:val="16"/>
        </w:rPr>
        <w:t xml:space="preserve">). </w:t>
      </w:r>
    </w:p>
  </w:footnote>
  <w:footnote w:id="63">
    <w:p w14:paraId="5F1FC1C6" w14:textId="3660B00C" w:rsidR="00E46F1E" w:rsidRPr="001067EF" w:rsidRDefault="00E46F1E" w:rsidP="00C40460">
      <w:pPr>
        <w:pStyle w:val="Textonotapie"/>
        <w:widowControl w:val="0"/>
        <w:spacing w:after="120"/>
        <w:jc w:val="both"/>
        <w:rPr>
          <w:rFonts w:ascii="Verdana" w:hAnsi="Verdana"/>
          <w:sz w:val="16"/>
          <w:szCs w:val="16"/>
          <w:lang w:val="es-CR"/>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t xml:space="preserve">Resolución de la Causa No. 15,494 emitida por la Cámara de Apelaciones en lo Criminal y Correccional Departamental de 19 de octubre de 1990 que desestimó de los recursos de apelación interpuestos por el abogado del señor Hernández y por el propio señor Hernandez y confirmó la diversa la resolución del incidente de excarcelación (prueba para mejor resolver, folios </w:t>
      </w:r>
      <w:r w:rsidRPr="001067EF">
        <w:rPr>
          <w:rFonts w:ascii="Verdana" w:hAnsi="Verdana"/>
          <w:sz w:val="16"/>
          <w:szCs w:val="16"/>
          <w:lang w:val="es-CR"/>
        </w:rPr>
        <w:t>640 y 641).</w:t>
      </w:r>
    </w:p>
  </w:footnote>
  <w:footnote w:id="64">
    <w:p w14:paraId="6059BDF7" w14:textId="6B0DDFE1"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t xml:space="preserve">Resolución de la Primera Sala de la Cámara de Apelaciones en lo Criminal y Correccional departamental de 23 de octubre de 1990 que rechazó la acción de </w:t>
      </w:r>
      <w:r w:rsidRPr="001067EF">
        <w:rPr>
          <w:rFonts w:ascii="Verdana" w:hAnsi="Verdana"/>
          <w:i/>
          <w:sz w:val="16"/>
          <w:szCs w:val="16"/>
        </w:rPr>
        <w:t>Habeas Corpus</w:t>
      </w:r>
      <w:r w:rsidRPr="001067EF">
        <w:rPr>
          <w:rFonts w:ascii="Verdana" w:hAnsi="Verdana"/>
          <w:sz w:val="16"/>
          <w:szCs w:val="16"/>
        </w:rPr>
        <w:t xml:space="preserve"> (expediente de prueba para mejor resolver, primera parte, folio 619).</w:t>
      </w:r>
    </w:p>
  </w:footnote>
  <w:footnote w:id="65">
    <w:p w14:paraId="6DD9A24A" w14:textId="17FC1448"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t>Escrito de la madre del señor Hernández dirigido al Juez de la Causa de 23 de octubre de 1990 (expediente de prueba para mejor resolver, primera parte, folio 622).</w:t>
      </w:r>
    </w:p>
  </w:footnote>
  <w:footnote w:id="66">
    <w:p w14:paraId="5133F0DC" w14:textId="0D340FF5"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Cfr.</w:t>
      </w:r>
      <w:r w:rsidRPr="001067EF">
        <w:rPr>
          <w:rFonts w:ascii="Verdana" w:hAnsi="Verdana"/>
          <w:sz w:val="16"/>
          <w:szCs w:val="16"/>
        </w:rPr>
        <w:t xml:space="preserve"> Oficio del Prefecto Mayor Jefe de Unidad de Seguridad y Tratamiento de la Unidad Olmos, del Servicio Penitenciario de la Provincia de Buenos Aires de 24 de octubre de 1990 (expediente de prueba para mejor resolver, primera parte, folio 623).</w:t>
      </w:r>
    </w:p>
  </w:footnote>
  <w:footnote w:id="67">
    <w:p w14:paraId="50AC0B0D" w14:textId="78C98022"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t>Oficio del Médico Forense de la oficina de asesoría pericial departamental, dirigido al Juez en lo Criminal</w:t>
      </w:r>
      <w:r>
        <w:rPr>
          <w:rFonts w:ascii="Verdana" w:hAnsi="Verdana"/>
          <w:sz w:val="16"/>
          <w:szCs w:val="16"/>
        </w:rPr>
        <w:t xml:space="preserve"> No. 4 de Lomas de Zamora, de 31</w:t>
      </w:r>
      <w:r w:rsidRPr="001067EF">
        <w:rPr>
          <w:rFonts w:ascii="Verdana" w:hAnsi="Verdana"/>
          <w:sz w:val="16"/>
          <w:szCs w:val="16"/>
        </w:rPr>
        <w:t xml:space="preserve"> de octubre de 1990 (expediente de prueba para mejor resolver, primera parte, folio 629).</w:t>
      </w:r>
    </w:p>
  </w:footnote>
  <w:footnote w:id="68">
    <w:p w14:paraId="7330D779" w14:textId="3612676D"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t>Oficio del Médico Forense de la oficina de asesoría pericial departamental, dirigido al Juez en lo Criminal No. 4 de Lomas de Zamora, de 30 de octubre de 1990 (expediente de prueba para mejor resolver, primera parte, folio 629).</w:t>
      </w:r>
    </w:p>
  </w:footnote>
  <w:footnote w:id="69">
    <w:p w14:paraId="33C7306C" w14:textId="0AE511EE"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Cfr.</w:t>
      </w:r>
      <w:r w:rsidRPr="001067EF">
        <w:rPr>
          <w:rFonts w:ascii="Verdana" w:hAnsi="Verdana"/>
          <w:sz w:val="16"/>
          <w:szCs w:val="16"/>
        </w:rPr>
        <w:t xml:space="preserve"> </w:t>
      </w:r>
      <w:r w:rsidRPr="001067EF">
        <w:rPr>
          <w:rFonts w:ascii="Verdana" w:hAnsi="Verdana"/>
          <w:sz w:val="16"/>
          <w:szCs w:val="16"/>
          <w:lang w:val="es-CR"/>
        </w:rPr>
        <w:t xml:space="preserve">Determinación del Juez en lo Criminal No. 4 de Lomas de Zamora de 30 de octubre de 1990 y oficio del referido juez dirigido al </w:t>
      </w:r>
      <w:proofErr w:type="gramStart"/>
      <w:r w:rsidRPr="001067EF">
        <w:rPr>
          <w:rFonts w:ascii="Verdana" w:hAnsi="Verdana"/>
          <w:sz w:val="16"/>
          <w:szCs w:val="16"/>
          <w:lang w:val="es-CR"/>
        </w:rPr>
        <w:t>Jefe</w:t>
      </w:r>
      <w:proofErr w:type="gramEnd"/>
      <w:r w:rsidRPr="001067EF">
        <w:rPr>
          <w:rFonts w:ascii="Verdana" w:hAnsi="Verdana"/>
          <w:sz w:val="16"/>
          <w:szCs w:val="16"/>
          <w:lang w:val="es-CR"/>
        </w:rPr>
        <w:t xml:space="preserve"> de la Unidad No. 1 del Servicio Penitenciario Provincial de 31 de octubre de 1990</w:t>
      </w:r>
      <w:r w:rsidRPr="001067EF">
        <w:rPr>
          <w:rFonts w:ascii="Verdana" w:hAnsi="Verdana"/>
          <w:sz w:val="16"/>
          <w:szCs w:val="16"/>
        </w:rPr>
        <w:t xml:space="preserve"> (expediente de prueba para mejor resolver, primera parte, folios 630 y 631).</w:t>
      </w:r>
    </w:p>
  </w:footnote>
  <w:footnote w:id="70">
    <w:p w14:paraId="7B9975A0" w14:textId="39B84169"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t>Oficio del Juez en lo Criminal No. 4 de Lomas de Zamora de 31 de octubre de 1990 (expediente de prueba para mejor resolver, primera parte, folio 632).</w:t>
      </w:r>
    </w:p>
  </w:footnote>
  <w:footnote w:id="71">
    <w:p w14:paraId="49426586" w14:textId="77777777"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Cfr.</w:t>
      </w:r>
      <w:r w:rsidRPr="001067EF">
        <w:rPr>
          <w:rFonts w:ascii="Verdana" w:hAnsi="Verdana"/>
          <w:sz w:val="16"/>
          <w:szCs w:val="16"/>
        </w:rPr>
        <w:t xml:space="preserve"> Comunicación de peticionarios de 19 de agosto de 1998 (expediente de prueba, folio 290).</w:t>
      </w:r>
    </w:p>
  </w:footnote>
  <w:footnote w:id="72">
    <w:p w14:paraId="133D9CD3" w14:textId="079E9A36"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Cfr.</w:t>
      </w:r>
      <w:r w:rsidRPr="001067EF">
        <w:rPr>
          <w:rFonts w:ascii="Verdana" w:hAnsi="Verdana"/>
          <w:sz w:val="16"/>
          <w:szCs w:val="16"/>
        </w:rPr>
        <w:t xml:space="preserve"> Oficio del Juez en lo Criminal No. 4 de Lomas de Zamora, de 6 de diciembre de 1990 (prueba para mejor resolver, folio 335).</w:t>
      </w:r>
    </w:p>
  </w:footnote>
  <w:footnote w:id="73">
    <w:p w14:paraId="3DB607A5" w14:textId="6B282D99"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t>Oficio del Prefecto de la Unidad Carcelaria dirigido al Juez de la Causa, de 12 de diciembre de 1990 (prueba para mejor resolver, folio 338).</w:t>
      </w:r>
    </w:p>
  </w:footnote>
  <w:footnote w:id="74">
    <w:p w14:paraId="0B50193D" w14:textId="27368C4A"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Cfr.</w:t>
      </w:r>
      <w:r w:rsidRPr="001067EF">
        <w:rPr>
          <w:rFonts w:ascii="Verdana" w:hAnsi="Verdana"/>
          <w:sz w:val="16"/>
          <w:szCs w:val="16"/>
        </w:rPr>
        <w:t xml:space="preserve"> Escrito del abogado del señor Hernández dirigido a la Cámara en lo Criminal de 12 de febrero de 1991 (prueba para mejor resolver, folio 339-340).</w:t>
      </w:r>
    </w:p>
  </w:footnote>
  <w:footnote w:id="75">
    <w:p w14:paraId="1AE4F9E7" w14:textId="2BD81061"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t xml:space="preserve">Oficio del titular del Juzgado en lo Criminal No. 4 de Lomas de Zamora dirigido al </w:t>
      </w:r>
      <w:proofErr w:type="gramStart"/>
      <w:r w:rsidRPr="001067EF">
        <w:rPr>
          <w:rFonts w:ascii="Verdana" w:hAnsi="Verdana"/>
          <w:sz w:val="16"/>
          <w:szCs w:val="16"/>
        </w:rPr>
        <w:t>Director</w:t>
      </w:r>
      <w:proofErr w:type="gramEnd"/>
      <w:r w:rsidRPr="001067EF">
        <w:rPr>
          <w:rFonts w:ascii="Verdana" w:hAnsi="Verdana"/>
          <w:sz w:val="16"/>
          <w:szCs w:val="16"/>
        </w:rPr>
        <w:t xml:space="preserve"> de la Unidad No. 1 del Servicio penitenciario Provincial, de 27 de febrero de 1991 (prueba para mejor resolver, folio 343).</w:t>
      </w:r>
    </w:p>
  </w:footnote>
  <w:footnote w:id="76">
    <w:p w14:paraId="5D53C3FF" w14:textId="22A330A0"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Cfr.</w:t>
      </w:r>
      <w:r w:rsidRPr="001067EF">
        <w:rPr>
          <w:rFonts w:ascii="Verdana" w:hAnsi="Verdana"/>
          <w:sz w:val="16"/>
          <w:szCs w:val="16"/>
        </w:rPr>
        <w:t xml:space="preserve"> Oficio del titular del Juzgado en lo Criminal No. 4 de Lomas de Zamora dirigido al </w:t>
      </w:r>
      <w:proofErr w:type="gramStart"/>
      <w:r w:rsidRPr="001067EF">
        <w:rPr>
          <w:rFonts w:ascii="Verdana" w:hAnsi="Verdana"/>
          <w:sz w:val="16"/>
          <w:szCs w:val="16"/>
        </w:rPr>
        <w:t>Director</w:t>
      </w:r>
      <w:proofErr w:type="gramEnd"/>
      <w:r w:rsidRPr="001067EF">
        <w:rPr>
          <w:rFonts w:ascii="Verdana" w:hAnsi="Verdana"/>
          <w:sz w:val="16"/>
          <w:szCs w:val="16"/>
        </w:rPr>
        <w:t xml:space="preserve"> de la Unidad No. 1 del Servicio penitenciario Provincial, de 1 de abril de 1991 (prueba para mejor resolver, folio 345).</w:t>
      </w:r>
    </w:p>
  </w:footnote>
  <w:footnote w:id="77">
    <w:p w14:paraId="7192E680" w14:textId="77777777"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Cfr.</w:t>
      </w:r>
      <w:r w:rsidRPr="001067EF">
        <w:rPr>
          <w:rFonts w:ascii="Verdana" w:hAnsi="Verdana"/>
          <w:sz w:val="16"/>
          <w:szCs w:val="16"/>
        </w:rPr>
        <w:t xml:space="preserve"> Alegato de la defensa del señor Hernández sobre la excepción de prescripción interpuesta en su momento por el </w:t>
      </w:r>
      <w:proofErr w:type="gramStart"/>
      <w:r w:rsidRPr="001067EF">
        <w:rPr>
          <w:rFonts w:ascii="Verdana" w:hAnsi="Verdana"/>
          <w:sz w:val="16"/>
          <w:szCs w:val="16"/>
        </w:rPr>
        <w:t>Jefe</w:t>
      </w:r>
      <w:proofErr w:type="gramEnd"/>
      <w:r w:rsidRPr="001067EF">
        <w:rPr>
          <w:rFonts w:ascii="Verdana" w:hAnsi="Verdana"/>
          <w:sz w:val="16"/>
          <w:szCs w:val="16"/>
        </w:rPr>
        <w:t xml:space="preserve"> de la Unidad Carcelaria Olmos (expediente de prueba, folio 31).</w:t>
      </w:r>
    </w:p>
  </w:footnote>
  <w:footnote w:id="78">
    <w:p w14:paraId="2BA1A6AD" w14:textId="0FF70EB1"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t>Oficio del Oficio del Prefecto de la Unidad Carcelaria dirigido al Juez de la Causa, de 3 de abril de 1991 (expediente de prueba para mejor resolver, primera parte, folio 346) y Comunicación de peticionarios de 19 de agosto de 1998 (expediente de prueba, folio 289).</w:t>
      </w:r>
    </w:p>
  </w:footnote>
  <w:footnote w:id="79">
    <w:p w14:paraId="7383FD28" w14:textId="1316F14D"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t xml:space="preserve">Informe del </w:t>
      </w:r>
      <w:proofErr w:type="gramStart"/>
      <w:r w:rsidRPr="001067EF">
        <w:rPr>
          <w:rFonts w:ascii="Verdana" w:hAnsi="Verdana"/>
          <w:sz w:val="16"/>
          <w:szCs w:val="16"/>
        </w:rPr>
        <w:t>Secretario</w:t>
      </w:r>
      <w:proofErr w:type="gramEnd"/>
      <w:r w:rsidRPr="001067EF">
        <w:rPr>
          <w:rFonts w:ascii="Verdana" w:hAnsi="Verdana"/>
          <w:sz w:val="16"/>
          <w:szCs w:val="16"/>
        </w:rPr>
        <w:t xml:space="preserve"> del juzgado de la causa dirigido al Juez de 12 de abril de 1991, Oficio del Prefecto de la Unidad Carcelaria dirigido al Juez de la Causa, de 12 de diciembre de 1990 (prueba para mejor resolver, folio 348).</w:t>
      </w:r>
    </w:p>
  </w:footnote>
  <w:footnote w:id="80">
    <w:p w14:paraId="2993DE38" w14:textId="1C345717"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Cfr.</w:t>
      </w:r>
      <w:r w:rsidRPr="001067EF">
        <w:rPr>
          <w:rFonts w:ascii="Verdana" w:hAnsi="Verdana"/>
          <w:sz w:val="16"/>
          <w:szCs w:val="16"/>
        </w:rPr>
        <w:t xml:space="preserve"> Resolución del Juez de la Causa de 29 de mayo de 1991, (prueba para mejor resolver, folio 752).</w:t>
      </w:r>
    </w:p>
  </w:footnote>
  <w:footnote w:id="81">
    <w:p w14:paraId="28C0D965" w14:textId="52745AE6"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Cfr</w:t>
      </w:r>
      <w:r w:rsidRPr="001067EF">
        <w:rPr>
          <w:rFonts w:ascii="Verdana" w:hAnsi="Verdana"/>
          <w:sz w:val="16"/>
          <w:szCs w:val="16"/>
        </w:rPr>
        <w:t xml:space="preserve">. Decisión de 10 de octubre de 1995 emitida por el juez de primera instancia de La Plata, en autos caratulados: “Hernández José Luis c/Jefatura de Policía de la </w:t>
      </w:r>
      <w:proofErr w:type="spellStart"/>
      <w:r w:rsidRPr="001067EF">
        <w:rPr>
          <w:rFonts w:ascii="Verdana" w:hAnsi="Verdana"/>
          <w:sz w:val="16"/>
          <w:szCs w:val="16"/>
        </w:rPr>
        <w:t>Pcía</w:t>
      </w:r>
      <w:proofErr w:type="spellEnd"/>
      <w:r w:rsidRPr="001067EF">
        <w:rPr>
          <w:rFonts w:ascii="Verdana" w:hAnsi="Verdana"/>
          <w:sz w:val="16"/>
          <w:szCs w:val="16"/>
        </w:rPr>
        <w:t xml:space="preserve">. De Bs. As. y </w:t>
      </w:r>
      <w:proofErr w:type="spellStart"/>
      <w:proofErr w:type="gramStart"/>
      <w:r w:rsidRPr="001067EF">
        <w:rPr>
          <w:rFonts w:ascii="Verdana" w:hAnsi="Verdana"/>
          <w:sz w:val="16"/>
          <w:szCs w:val="16"/>
        </w:rPr>
        <w:t>otr.s</w:t>
      </w:r>
      <w:proofErr w:type="spellEnd"/>
      <w:proofErr w:type="gramEnd"/>
      <w:r w:rsidRPr="001067EF">
        <w:rPr>
          <w:rFonts w:ascii="Verdana" w:hAnsi="Verdana"/>
          <w:sz w:val="16"/>
          <w:szCs w:val="16"/>
        </w:rPr>
        <w:t>/Daños y Perjuicios. Juzgado no. 4 (B) P.C.”. Anexo a la comunicación de los peticionarios de 24 de julio de 2000, y Escrito de petición inicial presentado ante la Comisión de 19 de agosto de 2008 (expediente de prueba, folios 5 a 9 y 290).</w:t>
      </w:r>
    </w:p>
  </w:footnote>
  <w:footnote w:id="82">
    <w:p w14:paraId="0960C35F" w14:textId="7C1F297A"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Cfr.</w:t>
      </w:r>
      <w:r w:rsidRPr="001067EF">
        <w:rPr>
          <w:rFonts w:ascii="Verdana" w:hAnsi="Verdana"/>
          <w:sz w:val="16"/>
          <w:szCs w:val="16"/>
        </w:rPr>
        <w:t xml:space="preserve"> </w:t>
      </w:r>
      <w:r>
        <w:rPr>
          <w:rFonts w:ascii="Verdana" w:hAnsi="Verdana"/>
          <w:sz w:val="16"/>
          <w:szCs w:val="16"/>
        </w:rPr>
        <w:t>Escrito de argumentos y pruebas (expediente de fondo, folio 117).</w:t>
      </w:r>
    </w:p>
  </w:footnote>
  <w:footnote w:id="83">
    <w:p w14:paraId="6033D885" w14:textId="3D550777"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 xml:space="preserve">Cfr. </w:t>
      </w:r>
      <w:r w:rsidRPr="001067EF">
        <w:rPr>
          <w:rFonts w:ascii="Verdana" w:hAnsi="Verdana"/>
          <w:sz w:val="16"/>
          <w:szCs w:val="16"/>
        </w:rPr>
        <w:t>Dictamen de la Subsecretaría de Justicia de la Provincia de Buenos Aires dirigido al Ministerio de Relaciones Exteriores, Comercio Internacional y Culto de la Nación, de 21 de mayo de 2003. Anexo a la comunicación del Estado de 21 de julio de 2003, y Escrito de petición inicial presentado ante la Comisión de 19 de agosto de 2008 (expediente de prueba, folios 20 y 290).</w:t>
      </w:r>
    </w:p>
  </w:footnote>
  <w:footnote w:id="84">
    <w:p w14:paraId="40064B52" w14:textId="26CC9C5D"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Cfr.</w:t>
      </w:r>
      <w:r w:rsidRPr="001067EF">
        <w:rPr>
          <w:rFonts w:ascii="Verdana" w:hAnsi="Verdana"/>
          <w:sz w:val="16"/>
          <w:szCs w:val="16"/>
        </w:rPr>
        <w:t xml:space="preserve"> Decisión de 10 de octubre de 1995 emitida por el juez de primera instancia de La Plata, en autos caratulados: “Hernández José Luis c/Jefatura de Policía de la </w:t>
      </w:r>
      <w:proofErr w:type="spellStart"/>
      <w:r w:rsidRPr="001067EF">
        <w:rPr>
          <w:rFonts w:ascii="Verdana" w:hAnsi="Verdana"/>
          <w:sz w:val="16"/>
          <w:szCs w:val="16"/>
        </w:rPr>
        <w:t>Pcía</w:t>
      </w:r>
      <w:proofErr w:type="spellEnd"/>
      <w:r w:rsidRPr="001067EF">
        <w:rPr>
          <w:rFonts w:ascii="Verdana" w:hAnsi="Verdana"/>
          <w:sz w:val="16"/>
          <w:szCs w:val="16"/>
        </w:rPr>
        <w:t xml:space="preserve">. De Bs. As. y </w:t>
      </w:r>
      <w:proofErr w:type="spellStart"/>
      <w:proofErr w:type="gramStart"/>
      <w:r w:rsidRPr="001067EF">
        <w:rPr>
          <w:rFonts w:ascii="Verdana" w:hAnsi="Verdana"/>
          <w:sz w:val="16"/>
          <w:szCs w:val="16"/>
        </w:rPr>
        <w:t>otr.s</w:t>
      </w:r>
      <w:proofErr w:type="spellEnd"/>
      <w:proofErr w:type="gramEnd"/>
      <w:r w:rsidRPr="001067EF">
        <w:rPr>
          <w:rFonts w:ascii="Verdana" w:hAnsi="Verdana"/>
          <w:sz w:val="16"/>
          <w:szCs w:val="16"/>
        </w:rPr>
        <w:t>/Daños y Perjuicios. Juzgado no. 4 (B) P.C.”. Anexo a la comunicación de los peticionarios de 24 de julio de 2000, y Escrito de petición inicial presentado ante la Comisión de 19 de agosto de 2008 (expediente de prueba, folios 9 y 290).</w:t>
      </w:r>
    </w:p>
  </w:footnote>
  <w:footnote w:id="85">
    <w:p w14:paraId="4C845CEF" w14:textId="24AAB619"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Cfr.</w:t>
      </w:r>
      <w:r w:rsidRPr="001067EF">
        <w:rPr>
          <w:rFonts w:ascii="Verdana" w:hAnsi="Verdana"/>
          <w:sz w:val="16"/>
          <w:szCs w:val="16"/>
        </w:rPr>
        <w:t xml:space="preserve"> Decisión de 10 de octubre de 1995 emitida por el juez de primera instancia de La Plata, en autos caratulados: “Hernández José Luis c/Jefatura de Policía de la </w:t>
      </w:r>
      <w:proofErr w:type="spellStart"/>
      <w:r w:rsidRPr="001067EF">
        <w:rPr>
          <w:rFonts w:ascii="Verdana" w:hAnsi="Verdana"/>
          <w:sz w:val="16"/>
          <w:szCs w:val="16"/>
        </w:rPr>
        <w:t>Pcía</w:t>
      </w:r>
      <w:proofErr w:type="spellEnd"/>
      <w:r w:rsidRPr="001067EF">
        <w:rPr>
          <w:rFonts w:ascii="Verdana" w:hAnsi="Verdana"/>
          <w:sz w:val="16"/>
          <w:szCs w:val="16"/>
        </w:rPr>
        <w:t xml:space="preserve">. De Bs. As. y </w:t>
      </w:r>
      <w:proofErr w:type="spellStart"/>
      <w:proofErr w:type="gramStart"/>
      <w:r w:rsidRPr="001067EF">
        <w:rPr>
          <w:rFonts w:ascii="Verdana" w:hAnsi="Verdana"/>
          <w:sz w:val="16"/>
          <w:szCs w:val="16"/>
        </w:rPr>
        <w:t>otr.s</w:t>
      </w:r>
      <w:proofErr w:type="spellEnd"/>
      <w:proofErr w:type="gramEnd"/>
      <w:r w:rsidRPr="001067EF">
        <w:rPr>
          <w:rFonts w:ascii="Verdana" w:hAnsi="Verdana"/>
          <w:sz w:val="16"/>
          <w:szCs w:val="16"/>
        </w:rPr>
        <w:t>/Daños y Perjuicios. Juzgado no. 4 (B) P.C.”. Anexo a la comunicación de los peticionarios de 24 de julio de 2000 (expediente de prueba, folio 7).</w:t>
      </w:r>
    </w:p>
  </w:footnote>
  <w:footnote w:id="86">
    <w:p w14:paraId="0CEE15FE" w14:textId="454EEC29"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t xml:space="preserve">Decisión de 10 de octubre de 1995 emitida por el juez de primera instancia de La Plata, en autos caratulados: “Hernández José Luis c/Jefatura de Policía de la </w:t>
      </w:r>
      <w:proofErr w:type="spellStart"/>
      <w:r w:rsidRPr="001067EF">
        <w:rPr>
          <w:rFonts w:ascii="Verdana" w:hAnsi="Verdana"/>
          <w:sz w:val="16"/>
          <w:szCs w:val="16"/>
        </w:rPr>
        <w:t>Pcía</w:t>
      </w:r>
      <w:proofErr w:type="spellEnd"/>
      <w:r w:rsidRPr="001067EF">
        <w:rPr>
          <w:rFonts w:ascii="Verdana" w:hAnsi="Verdana"/>
          <w:sz w:val="16"/>
          <w:szCs w:val="16"/>
        </w:rPr>
        <w:t xml:space="preserve">. De Bs. As. y </w:t>
      </w:r>
      <w:proofErr w:type="spellStart"/>
      <w:proofErr w:type="gramStart"/>
      <w:r w:rsidRPr="001067EF">
        <w:rPr>
          <w:rFonts w:ascii="Verdana" w:hAnsi="Verdana"/>
          <w:sz w:val="16"/>
          <w:szCs w:val="16"/>
        </w:rPr>
        <w:t>otr.s</w:t>
      </w:r>
      <w:proofErr w:type="spellEnd"/>
      <w:proofErr w:type="gramEnd"/>
      <w:r w:rsidRPr="001067EF">
        <w:rPr>
          <w:rFonts w:ascii="Verdana" w:hAnsi="Verdana"/>
          <w:sz w:val="16"/>
          <w:szCs w:val="16"/>
        </w:rPr>
        <w:t xml:space="preserve">/Daños y Perjuicios. Juzgado no. 4 (B) P.C.”. Anexo a la comunicación de los peticionarios de 24 de julio de 2000, y Escrito de petición inicial presentado ante la Comisión de 19 de agosto de 2008 (expediente de prueba, </w:t>
      </w:r>
      <w:r>
        <w:rPr>
          <w:rFonts w:ascii="Verdana" w:hAnsi="Verdana"/>
          <w:sz w:val="16"/>
          <w:szCs w:val="16"/>
        </w:rPr>
        <w:t>folio</w:t>
      </w:r>
      <w:r w:rsidRPr="001067EF">
        <w:rPr>
          <w:rFonts w:ascii="Verdana" w:hAnsi="Verdana"/>
          <w:sz w:val="16"/>
          <w:szCs w:val="16"/>
        </w:rPr>
        <w:t xml:space="preserve"> 290).</w:t>
      </w:r>
    </w:p>
  </w:footnote>
  <w:footnote w:id="87">
    <w:p w14:paraId="24CE6A98" w14:textId="60E21110"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Cfr.</w:t>
      </w:r>
      <w:r w:rsidRPr="001067EF">
        <w:rPr>
          <w:rFonts w:ascii="Verdana" w:hAnsi="Verdana"/>
          <w:sz w:val="16"/>
          <w:szCs w:val="16"/>
        </w:rPr>
        <w:t xml:space="preserve"> Escrito de petición inicial presentado ante la Comisión de 19 de agosto de </w:t>
      </w:r>
      <w:proofErr w:type="gramStart"/>
      <w:r w:rsidRPr="001067EF">
        <w:rPr>
          <w:rFonts w:ascii="Verdana" w:hAnsi="Verdana"/>
          <w:sz w:val="16"/>
          <w:szCs w:val="16"/>
        </w:rPr>
        <w:t>2008  y</w:t>
      </w:r>
      <w:proofErr w:type="gramEnd"/>
      <w:r w:rsidRPr="001067EF">
        <w:rPr>
          <w:rFonts w:ascii="Verdana" w:hAnsi="Verdana"/>
          <w:sz w:val="16"/>
          <w:szCs w:val="16"/>
        </w:rPr>
        <w:t xml:space="preserve"> Escrito de información adicional suscrito por el Estado dirigido a la Comisión de 6 de junio de 2003 (expediente de prueba, folios 291</w:t>
      </w:r>
      <w:r>
        <w:rPr>
          <w:rFonts w:ascii="Verdana" w:hAnsi="Verdana"/>
          <w:sz w:val="16"/>
          <w:szCs w:val="16"/>
        </w:rPr>
        <w:t xml:space="preserve"> y 259</w:t>
      </w:r>
      <w:r w:rsidRPr="001067EF">
        <w:rPr>
          <w:rFonts w:ascii="Verdana" w:hAnsi="Verdana"/>
          <w:sz w:val="16"/>
          <w:szCs w:val="16"/>
        </w:rPr>
        <w:t>).</w:t>
      </w:r>
    </w:p>
  </w:footnote>
  <w:footnote w:id="88">
    <w:p w14:paraId="1DDC2156" w14:textId="36C3F35A"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Cfr.</w:t>
      </w:r>
      <w:r w:rsidRPr="001067EF">
        <w:rPr>
          <w:rFonts w:ascii="Verdana" w:hAnsi="Verdana"/>
          <w:sz w:val="16"/>
          <w:szCs w:val="16"/>
        </w:rPr>
        <w:t xml:space="preserve"> Escrito de petición inicial presentado ante la Comisión de 19 de agosto de 2008 y Escrito de información adicional suscrito por el Estado dirigido a la Comisión de 6 de junio de 2003 (expediente de prueba, f</w:t>
      </w:r>
      <w:r>
        <w:rPr>
          <w:rFonts w:ascii="Verdana" w:hAnsi="Verdana"/>
          <w:sz w:val="16"/>
          <w:szCs w:val="16"/>
        </w:rPr>
        <w:t>olios 291 y 259</w:t>
      </w:r>
      <w:r w:rsidRPr="001067EF">
        <w:rPr>
          <w:rFonts w:ascii="Verdana" w:hAnsi="Verdana"/>
          <w:sz w:val="16"/>
          <w:szCs w:val="16"/>
        </w:rPr>
        <w:t>).</w:t>
      </w:r>
    </w:p>
  </w:footnote>
  <w:footnote w:id="89">
    <w:p w14:paraId="20F7AB19" w14:textId="10B0193A"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Cfr.</w:t>
      </w:r>
      <w:r w:rsidRPr="001067EF">
        <w:rPr>
          <w:rFonts w:ascii="Verdana" w:hAnsi="Verdana"/>
          <w:sz w:val="16"/>
          <w:szCs w:val="16"/>
        </w:rPr>
        <w:t xml:space="preserve"> Escrito de petición inicial presentado ante la Comisión de 19 de agosto de 2008 y Escrito de información adicional suscrito por el Estado dirigido a la Comisión de 6 de junio de 2003 (expediente de prueba, f</w:t>
      </w:r>
      <w:r>
        <w:rPr>
          <w:rFonts w:ascii="Verdana" w:hAnsi="Verdana"/>
          <w:sz w:val="16"/>
          <w:szCs w:val="16"/>
        </w:rPr>
        <w:t>olios 291 y 259</w:t>
      </w:r>
      <w:r w:rsidRPr="001067EF">
        <w:rPr>
          <w:rFonts w:ascii="Verdana" w:hAnsi="Verdana"/>
          <w:sz w:val="16"/>
          <w:szCs w:val="16"/>
        </w:rPr>
        <w:t>).</w:t>
      </w:r>
    </w:p>
  </w:footnote>
  <w:footnote w:id="90">
    <w:p w14:paraId="197EE12F" w14:textId="77777777" w:rsidR="00E46F1E" w:rsidRPr="001067EF" w:rsidRDefault="00E46F1E" w:rsidP="00C40460">
      <w:pPr>
        <w:pStyle w:val="NormalWeb"/>
        <w:widowControl w:val="0"/>
        <w:spacing w:after="120" w:line="240" w:lineRule="auto"/>
        <w:ind w:right="74"/>
        <w:jc w:val="both"/>
        <w:rPr>
          <w:rFonts w:ascii="Verdana" w:hAnsi="Verdana" w:cs="Tahoma"/>
          <w:color w:val="000000"/>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lang w:val="es-CR"/>
        </w:rPr>
        <w:tab/>
      </w:r>
      <w:r w:rsidRPr="001067EF">
        <w:rPr>
          <w:rFonts w:ascii="Verdana" w:hAnsi="Verdana" w:cs="Tahoma"/>
          <w:bCs/>
          <w:color w:val="000000"/>
          <w:sz w:val="16"/>
          <w:szCs w:val="16"/>
        </w:rPr>
        <w:t>Artículo 5 de la Convención Americana.</w:t>
      </w:r>
    </w:p>
  </w:footnote>
  <w:footnote w:id="91">
    <w:p w14:paraId="3D2FD707" w14:textId="77777777" w:rsidR="00E46F1E" w:rsidRPr="001067EF" w:rsidRDefault="00E46F1E" w:rsidP="00C40460">
      <w:pPr>
        <w:pStyle w:val="Textonotapie"/>
        <w:spacing w:after="120"/>
        <w:jc w:val="both"/>
        <w:rPr>
          <w:rFonts w:ascii="Verdana" w:hAnsi="Verdana"/>
          <w:sz w:val="16"/>
          <w:szCs w:val="16"/>
          <w:lang w:val="es-CR"/>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lang w:val="es-CR"/>
        </w:rPr>
        <w:tab/>
        <w:t>Artículo 26 de la Convención Americana.</w:t>
      </w:r>
    </w:p>
  </w:footnote>
  <w:footnote w:id="92">
    <w:p w14:paraId="068ECB19" w14:textId="4467F633" w:rsidR="00E46F1E" w:rsidRPr="00D9204B" w:rsidRDefault="00E46F1E" w:rsidP="00C40460">
      <w:pPr>
        <w:pStyle w:val="Textonotapie"/>
        <w:spacing w:after="120"/>
        <w:jc w:val="both"/>
        <w:rPr>
          <w:rFonts w:ascii="Verdana" w:hAnsi="Verdana"/>
          <w:b/>
          <w:sz w:val="16"/>
          <w:szCs w:val="16"/>
          <w:lang w:eastAsia="es-ES"/>
        </w:rPr>
      </w:pPr>
      <w:r w:rsidRPr="001067EF">
        <w:rPr>
          <w:rStyle w:val="Refdenotaalpie"/>
          <w:rFonts w:ascii="Verdana" w:hAnsi="Verdana"/>
          <w:sz w:val="16"/>
          <w:szCs w:val="16"/>
        </w:rPr>
        <w:footnoteRef/>
      </w:r>
      <w:r w:rsidRPr="001067EF">
        <w:rPr>
          <w:rFonts w:ascii="Verdana" w:hAnsi="Verdana"/>
          <w:sz w:val="16"/>
          <w:szCs w:val="16"/>
          <w:lang w:val="es-DO"/>
        </w:rPr>
        <w:t xml:space="preserve"> </w:t>
      </w:r>
      <w:r>
        <w:rPr>
          <w:rFonts w:ascii="Verdana" w:hAnsi="Verdana"/>
          <w:sz w:val="16"/>
          <w:szCs w:val="16"/>
          <w:lang w:val="es-DO"/>
        </w:rPr>
        <w:tab/>
      </w:r>
      <w:r w:rsidRPr="001067EF">
        <w:rPr>
          <w:rFonts w:ascii="Verdana" w:hAnsi="Verdana"/>
          <w:i/>
          <w:sz w:val="16"/>
          <w:szCs w:val="16"/>
          <w:lang w:val="es-DO"/>
        </w:rPr>
        <w:t>Cfr</w:t>
      </w:r>
      <w:r w:rsidRPr="001067EF">
        <w:rPr>
          <w:rFonts w:ascii="Verdana" w:hAnsi="Verdana"/>
          <w:sz w:val="16"/>
          <w:szCs w:val="16"/>
          <w:lang w:val="es-DO"/>
        </w:rPr>
        <w:t xml:space="preserve">. </w:t>
      </w:r>
      <w:r w:rsidRPr="001067EF">
        <w:rPr>
          <w:rFonts w:ascii="Verdana" w:hAnsi="Verdana"/>
          <w:i/>
          <w:sz w:val="16"/>
          <w:szCs w:val="16"/>
          <w:lang w:val="es-DO"/>
        </w:rPr>
        <w:t>Caso Velásquez Rodríguez Vs. Honduras. Fondo</w:t>
      </w:r>
      <w:r w:rsidRPr="001067EF">
        <w:rPr>
          <w:rFonts w:ascii="Verdana" w:hAnsi="Verdana"/>
          <w:sz w:val="16"/>
          <w:szCs w:val="16"/>
          <w:lang w:val="es-DO"/>
        </w:rPr>
        <w:t>. Sentencia de 29 de julio de 1988. Serie C No. 4, párr. 163, y</w:t>
      </w:r>
      <w:r w:rsidRPr="001067EF">
        <w:rPr>
          <w:rFonts w:ascii="Verdana" w:hAnsi="Verdana"/>
          <w:b/>
          <w:sz w:val="16"/>
          <w:szCs w:val="16"/>
          <w:lang w:val="es-DO"/>
        </w:rPr>
        <w:t xml:space="preserve"> </w:t>
      </w:r>
      <w:r w:rsidRPr="00E46F1E">
        <w:rPr>
          <w:rStyle w:val="Textoennegrita"/>
          <w:rFonts w:ascii="Verdana" w:hAnsi="Verdana"/>
          <w:b w:val="0"/>
          <w:i/>
          <w:color w:val="000000"/>
          <w:sz w:val="16"/>
          <w:szCs w:val="16"/>
          <w:lang w:val="es-DO"/>
        </w:rPr>
        <w:t xml:space="preserve">Caso Muelle Flores Vs. Perú. Excepciones Preliminares, Fondo, Reparaciones y Costas. </w:t>
      </w:r>
      <w:r w:rsidRPr="00E46F1E">
        <w:rPr>
          <w:rStyle w:val="Textoennegrita"/>
          <w:rFonts w:ascii="Verdana" w:hAnsi="Verdana"/>
          <w:b w:val="0"/>
          <w:color w:val="000000"/>
          <w:sz w:val="16"/>
          <w:szCs w:val="16"/>
          <w:lang w:val="es-DO"/>
        </w:rPr>
        <w:t xml:space="preserve">Sentencia de 6 de marzo de 2019. </w:t>
      </w:r>
      <w:r w:rsidRPr="00E46F1E">
        <w:rPr>
          <w:rStyle w:val="Textoennegrita"/>
          <w:rFonts w:ascii="Verdana" w:hAnsi="Verdana"/>
          <w:b w:val="0"/>
          <w:color w:val="000000"/>
          <w:sz w:val="16"/>
          <w:szCs w:val="16"/>
        </w:rPr>
        <w:t>Serie C No. 375, párr. 204.</w:t>
      </w:r>
    </w:p>
  </w:footnote>
  <w:footnote w:id="93">
    <w:p w14:paraId="7239E6EF" w14:textId="31582E4C" w:rsidR="00E46F1E" w:rsidRPr="001067EF" w:rsidRDefault="00E46F1E" w:rsidP="00C40460">
      <w:pPr>
        <w:widowControl w:val="0"/>
        <w:tabs>
          <w:tab w:val="left" w:pos="567"/>
          <w:tab w:val="left" w:pos="2265"/>
        </w:tabs>
        <w:spacing w:after="120" w:line="240" w:lineRule="auto"/>
        <w:ind w:right="51"/>
        <w:jc w:val="both"/>
        <w:rPr>
          <w:rFonts w:ascii="Verdana" w:hAnsi="Verdana"/>
          <w:b/>
          <w:sz w:val="16"/>
          <w:szCs w:val="16"/>
          <w:lang w:val="es-CR"/>
        </w:rPr>
      </w:pPr>
      <w:r w:rsidRPr="00E46F1E">
        <w:rPr>
          <w:rStyle w:val="Refdenotaalpie"/>
          <w:rFonts w:ascii="Verdana" w:eastAsia="Times" w:hAnsi="Verdana"/>
          <w:sz w:val="16"/>
          <w:szCs w:val="16"/>
        </w:rPr>
        <w:footnoteRef/>
      </w:r>
      <w:r w:rsidRPr="00E46F1E">
        <w:rPr>
          <w:rFonts w:ascii="Verdana" w:hAnsi="Verdana"/>
          <w:bCs/>
          <w:iCs/>
          <w:sz w:val="16"/>
          <w:szCs w:val="16"/>
          <w:lang w:val="es-CR"/>
        </w:rPr>
        <w:tab/>
      </w:r>
      <w:r w:rsidRPr="00E46F1E">
        <w:rPr>
          <w:rFonts w:ascii="Verdana" w:hAnsi="Verdana"/>
          <w:bCs/>
          <w:i/>
          <w:iCs/>
          <w:sz w:val="16"/>
          <w:szCs w:val="16"/>
          <w:lang w:val="es-CR"/>
        </w:rPr>
        <w:t>Cfr. Caso Loayza Tamayo Vs. Perú. Fondo. Sentencia de 17 de septiembre de 1997.</w:t>
      </w:r>
      <w:r w:rsidRPr="00E46F1E">
        <w:rPr>
          <w:rFonts w:ascii="Verdana" w:hAnsi="Verdana"/>
          <w:bCs/>
          <w:iCs/>
          <w:sz w:val="16"/>
          <w:szCs w:val="16"/>
          <w:lang w:val="es-CR"/>
        </w:rPr>
        <w:t xml:space="preserve"> Serie C No. 33, párr. 57, y </w:t>
      </w:r>
      <w:r w:rsidRPr="00E46F1E">
        <w:rPr>
          <w:rStyle w:val="Textoennegrita"/>
          <w:rFonts w:ascii="Verdana" w:hAnsi="Verdana"/>
          <w:b w:val="0"/>
          <w:i/>
          <w:color w:val="000000"/>
          <w:sz w:val="16"/>
          <w:szCs w:val="16"/>
        </w:rPr>
        <w:t>Caso Girón y otro Vs. Guatemala. Excepción Preliminar, Fondo, Reparaciones y Costas.</w:t>
      </w:r>
      <w:r w:rsidRPr="00E46F1E">
        <w:rPr>
          <w:rStyle w:val="Textoennegrita"/>
          <w:rFonts w:ascii="Verdana" w:hAnsi="Verdana"/>
          <w:b w:val="0"/>
          <w:color w:val="000000"/>
          <w:sz w:val="16"/>
          <w:szCs w:val="16"/>
        </w:rPr>
        <w:t xml:space="preserve"> Sentencia de 15 de octubre de 2019. Serie C No. 390., párr. 78.</w:t>
      </w:r>
    </w:p>
  </w:footnote>
  <w:footnote w:id="94">
    <w:p w14:paraId="325D5789" w14:textId="77777777" w:rsidR="00E46F1E" w:rsidRPr="001067EF" w:rsidRDefault="00E46F1E" w:rsidP="00C40460">
      <w:pPr>
        <w:pStyle w:val="Textonotapie1"/>
        <w:widowControl w:val="0"/>
        <w:spacing w:after="120"/>
        <w:jc w:val="both"/>
        <w:rPr>
          <w:rFonts w:ascii="Verdana" w:hAnsi="Verdana"/>
          <w:b/>
          <w:sz w:val="16"/>
          <w:szCs w:val="16"/>
          <w:lang w:val="es-CR"/>
        </w:rPr>
      </w:pPr>
      <w:r w:rsidRPr="001067EF">
        <w:rPr>
          <w:rStyle w:val="Refdenotaalpie"/>
          <w:rFonts w:ascii="Verdana" w:eastAsia="Times" w:hAnsi="Verdana"/>
          <w:sz w:val="16"/>
          <w:szCs w:val="16"/>
          <w:lang w:eastAsia="x-none"/>
        </w:rPr>
        <w:footnoteRef/>
      </w:r>
      <w:r w:rsidRPr="001067EF">
        <w:rPr>
          <w:rFonts w:ascii="Verdana" w:hAnsi="Verdana" w:cs="Verdana"/>
          <w:bCs/>
          <w:iCs/>
          <w:sz w:val="16"/>
          <w:szCs w:val="16"/>
          <w:lang w:val="es-MX"/>
        </w:rPr>
        <w:tab/>
      </w:r>
      <w:r w:rsidRPr="001067EF">
        <w:rPr>
          <w:rFonts w:ascii="Verdana" w:hAnsi="Verdana" w:cs="Verdana"/>
          <w:bCs/>
          <w:i/>
          <w:iCs/>
          <w:sz w:val="16"/>
          <w:szCs w:val="16"/>
          <w:lang w:val="es-MX"/>
        </w:rPr>
        <w:t>Cfr.</w:t>
      </w:r>
      <w:r w:rsidRPr="001067EF">
        <w:rPr>
          <w:rFonts w:ascii="Verdana" w:hAnsi="Verdana" w:cs="Tahoma"/>
          <w:bCs/>
          <w:iCs/>
          <w:sz w:val="16"/>
          <w:szCs w:val="16"/>
          <w:lang w:val="es-MX"/>
        </w:rPr>
        <w:t xml:space="preserve"> </w:t>
      </w:r>
      <w:r w:rsidRPr="001067EF">
        <w:rPr>
          <w:rFonts w:ascii="Verdana" w:hAnsi="Verdana" w:cs="Verdana"/>
          <w:i/>
          <w:sz w:val="16"/>
          <w:szCs w:val="16"/>
          <w:lang w:val="es-MX"/>
        </w:rPr>
        <w:t xml:space="preserve">Caso “Instituto de Reeducación del Menor” Vs. Paraguay. </w:t>
      </w:r>
      <w:r w:rsidRPr="001067EF">
        <w:rPr>
          <w:rFonts w:ascii="Verdana" w:hAnsi="Verdana" w:cs="Verdana"/>
          <w:bCs/>
          <w:i/>
          <w:iCs/>
          <w:sz w:val="16"/>
          <w:szCs w:val="16"/>
          <w:lang w:val="es-MX"/>
        </w:rPr>
        <w:t xml:space="preserve">Excepciones Preliminares, Fondo, Reparaciones y Costas. </w:t>
      </w:r>
      <w:r w:rsidRPr="001067EF">
        <w:rPr>
          <w:rFonts w:ascii="Verdana" w:hAnsi="Verdana" w:cs="Verdana"/>
          <w:bCs/>
          <w:iCs/>
          <w:sz w:val="16"/>
          <w:szCs w:val="16"/>
          <w:lang w:val="es-MX"/>
        </w:rPr>
        <w:t xml:space="preserve">Sentencia de 2 de septiembre de 2004. Serie C No. 112, párr. 157, y </w:t>
      </w:r>
      <w:r w:rsidRPr="00E46F1E">
        <w:rPr>
          <w:rStyle w:val="Textoennegrita"/>
          <w:rFonts w:ascii="Verdana" w:eastAsiaTheme="majorEastAsia" w:hAnsi="Verdana"/>
          <w:b w:val="0"/>
          <w:i/>
          <w:sz w:val="16"/>
          <w:szCs w:val="16"/>
          <w:lang w:val="es-CR"/>
        </w:rPr>
        <w:t>Caso Chinchilla Sandoval y otros Vs.</w:t>
      </w:r>
      <w:r w:rsidRPr="001067EF">
        <w:rPr>
          <w:rStyle w:val="Textoennegrita"/>
          <w:rFonts w:ascii="Verdana" w:eastAsiaTheme="majorEastAsia" w:hAnsi="Verdana"/>
          <w:b w:val="0"/>
          <w:i/>
          <w:sz w:val="16"/>
          <w:szCs w:val="16"/>
          <w:shd w:val="clear" w:color="auto" w:fill="FFFFFF"/>
          <w:lang w:val="es-CR"/>
        </w:rPr>
        <w:t xml:space="preserve"> </w:t>
      </w:r>
      <w:r w:rsidRPr="00E46F1E">
        <w:rPr>
          <w:rStyle w:val="Textoennegrita"/>
          <w:rFonts w:ascii="Verdana" w:eastAsiaTheme="majorEastAsia" w:hAnsi="Verdana"/>
          <w:b w:val="0"/>
          <w:i/>
          <w:sz w:val="16"/>
          <w:szCs w:val="16"/>
          <w:lang w:val="es-CR"/>
        </w:rPr>
        <w:t>Guatemala. Excepción Preliminar, Fondo, Reparaciones y Costas.</w:t>
      </w:r>
      <w:r w:rsidRPr="00E46F1E">
        <w:rPr>
          <w:rStyle w:val="Textoennegrita"/>
          <w:rFonts w:ascii="Verdana" w:eastAsiaTheme="majorEastAsia" w:hAnsi="Verdana"/>
          <w:b w:val="0"/>
          <w:sz w:val="16"/>
          <w:szCs w:val="16"/>
          <w:lang w:val="es-CR"/>
        </w:rPr>
        <w:t xml:space="preserve"> Sentencia de 29 de febrero de 2016. Serie C No. 312, párr. 167.</w:t>
      </w:r>
    </w:p>
  </w:footnote>
  <w:footnote w:id="95">
    <w:p w14:paraId="41F3EE39" w14:textId="77777777" w:rsidR="00E46F1E" w:rsidRPr="001067EF" w:rsidRDefault="00E46F1E" w:rsidP="00C40460">
      <w:pPr>
        <w:pStyle w:val="Textonotapie"/>
        <w:widowControl w:val="0"/>
        <w:spacing w:after="120"/>
        <w:jc w:val="both"/>
        <w:rPr>
          <w:rFonts w:ascii="Verdana" w:hAnsi="Verdana"/>
          <w:sz w:val="16"/>
          <w:szCs w:val="16"/>
          <w:lang w:val="es-CR"/>
        </w:rPr>
      </w:pPr>
      <w:r w:rsidRPr="001067EF">
        <w:rPr>
          <w:rStyle w:val="Refdenotaalpie"/>
          <w:rFonts w:ascii="Verdana" w:hAnsi="Verdana"/>
          <w:sz w:val="16"/>
          <w:szCs w:val="16"/>
        </w:rPr>
        <w:footnoteRef/>
      </w:r>
      <w:r w:rsidRPr="001067EF">
        <w:rPr>
          <w:rFonts w:ascii="Verdana" w:hAnsi="Verdana"/>
          <w:sz w:val="16"/>
          <w:szCs w:val="16"/>
          <w:lang w:val="es-CR"/>
        </w:rPr>
        <w:tab/>
      </w:r>
      <w:r w:rsidRPr="00E46F1E">
        <w:rPr>
          <w:rFonts w:ascii="Verdana" w:hAnsi="Verdana"/>
          <w:i/>
          <w:sz w:val="16"/>
          <w:szCs w:val="16"/>
          <w:lang w:val="es-CR"/>
        </w:rPr>
        <w:t xml:space="preserve">Cfr. Caso de la Masacre de Pueblo Bello Vs. Colombia, </w:t>
      </w:r>
      <w:r w:rsidRPr="00E46F1E">
        <w:rPr>
          <w:rStyle w:val="Textoennegrita"/>
          <w:rFonts w:ascii="Verdana" w:hAnsi="Verdana"/>
          <w:b w:val="0"/>
          <w:color w:val="000000"/>
          <w:sz w:val="16"/>
          <w:szCs w:val="16"/>
        </w:rPr>
        <w:t>Sentencia de 31 de enero de 2006. Serie C No. 140</w:t>
      </w:r>
      <w:r w:rsidRPr="00E46F1E">
        <w:rPr>
          <w:rFonts w:ascii="Verdana" w:hAnsi="Verdana"/>
          <w:sz w:val="16"/>
          <w:szCs w:val="16"/>
          <w:lang w:val="es-CR"/>
        </w:rPr>
        <w:t xml:space="preserve">, párr. 111; </w:t>
      </w:r>
      <w:r w:rsidRPr="00E46F1E">
        <w:rPr>
          <w:rFonts w:ascii="Verdana" w:hAnsi="Verdana" w:cs="Verdana"/>
          <w:bCs/>
          <w:sz w:val="16"/>
          <w:szCs w:val="16"/>
          <w:lang w:val="es-CR"/>
        </w:rPr>
        <w:t xml:space="preserve">y </w:t>
      </w:r>
      <w:r w:rsidRPr="00E46F1E">
        <w:rPr>
          <w:rStyle w:val="Textoennegrita"/>
          <w:rFonts w:ascii="Verdana" w:hAnsi="Verdana"/>
          <w:b w:val="0"/>
          <w:sz w:val="16"/>
          <w:szCs w:val="16"/>
          <w:lang w:val="es-CR"/>
        </w:rPr>
        <w:t>Caso Chinchilla Sandoval y otros Vs. Guatemala. Excepción Preliminar, Fondo, Reparaciones y Costas. Sentencia de 29 de f</w:t>
      </w:r>
      <w:r w:rsidRPr="00E46F1E">
        <w:rPr>
          <w:rStyle w:val="Textoennegrita"/>
          <w:rFonts w:ascii="Verdana" w:eastAsiaTheme="majorEastAsia" w:hAnsi="Verdana"/>
          <w:b w:val="0"/>
          <w:sz w:val="16"/>
          <w:szCs w:val="16"/>
          <w:lang w:val="es-CR"/>
        </w:rPr>
        <w:t>ebrero de 2016. Serie C No. 312, párr. 168.</w:t>
      </w:r>
    </w:p>
  </w:footnote>
  <w:footnote w:id="96">
    <w:p w14:paraId="4606D72D" w14:textId="77777777" w:rsidR="00E46F1E" w:rsidRPr="001067EF" w:rsidRDefault="00E46F1E" w:rsidP="00C40460">
      <w:pPr>
        <w:pStyle w:val="Textonotapie"/>
        <w:widowControl w:val="0"/>
        <w:spacing w:after="120"/>
        <w:jc w:val="both"/>
        <w:rPr>
          <w:rFonts w:ascii="Verdana" w:hAnsi="Verdana"/>
          <w:sz w:val="16"/>
          <w:szCs w:val="16"/>
          <w:lang w:val="es-CR"/>
        </w:rPr>
      </w:pPr>
      <w:r w:rsidRPr="001067EF">
        <w:rPr>
          <w:rStyle w:val="Refdenotaalpie"/>
          <w:rFonts w:ascii="Verdana" w:hAnsi="Verdana"/>
          <w:sz w:val="16"/>
          <w:szCs w:val="16"/>
        </w:rPr>
        <w:footnoteRef/>
      </w:r>
      <w:r w:rsidRPr="001067EF">
        <w:rPr>
          <w:rFonts w:ascii="Verdana" w:hAnsi="Verdana"/>
          <w:sz w:val="16"/>
          <w:szCs w:val="16"/>
        </w:rPr>
        <w:tab/>
      </w:r>
      <w:r w:rsidRPr="001067EF">
        <w:rPr>
          <w:rFonts w:ascii="Verdana" w:hAnsi="Verdana"/>
          <w:i/>
          <w:sz w:val="16"/>
          <w:szCs w:val="16"/>
        </w:rPr>
        <w:t>Cfr. Caso Neira Alegría y otros Vs. Perú. Fondo</w:t>
      </w:r>
      <w:r w:rsidRPr="001067EF">
        <w:rPr>
          <w:rFonts w:ascii="Verdana" w:hAnsi="Verdana"/>
          <w:sz w:val="16"/>
          <w:szCs w:val="16"/>
        </w:rPr>
        <w:t>. Sentencia de 19 de enero de 1995. Serie C No. 20, párr. 60,</w:t>
      </w:r>
      <w:r w:rsidRPr="001067EF">
        <w:rPr>
          <w:rFonts w:ascii="Verdana" w:hAnsi="Verdana" w:cs="Verdana"/>
          <w:bCs/>
          <w:sz w:val="16"/>
          <w:szCs w:val="16"/>
          <w:lang w:val="es-CR"/>
        </w:rPr>
        <w:t xml:space="preserve"> y </w:t>
      </w:r>
      <w:r w:rsidRPr="00E46F1E">
        <w:rPr>
          <w:rStyle w:val="Textoennegrita"/>
          <w:rFonts w:ascii="Verdana" w:hAnsi="Verdana"/>
          <w:b w:val="0"/>
          <w:i/>
          <w:sz w:val="16"/>
          <w:szCs w:val="16"/>
          <w:lang w:val="es-CR"/>
        </w:rPr>
        <w:t>Caso Chinchilla Sandoval y otros Vs. Guatemala. Excepción Preliminar, Fondo, Reparaciones y Costas.</w:t>
      </w:r>
      <w:r w:rsidRPr="00E46F1E">
        <w:rPr>
          <w:rStyle w:val="Textoennegrita"/>
          <w:rFonts w:ascii="Verdana" w:hAnsi="Verdana"/>
          <w:b w:val="0"/>
          <w:sz w:val="16"/>
          <w:szCs w:val="16"/>
          <w:lang w:val="es-CR"/>
        </w:rPr>
        <w:t xml:space="preserve"> Sentencia de 29 de f</w:t>
      </w:r>
      <w:r w:rsidRPr="00E46F1E">
        <w:rPr>
          <w:rStyle w:val="Textoennegrita"/>
          <w:rFonts w:ascii="Verdana" w:eastAsiaTheme="majorEastAsia" w:hAnsi="Verdana"/>
          <w:b w:val="0"/>
          <w:sz w:val="16"/>
          <w:szCs w:val="16"/>
          <w:lang w:val="es-CR"/>
        </w:rPr>
        <w:t>ebrero de 2016. Serie C No. 312, párr. 168.</w:t>
      </w:r>
    </w:p>
  </w:footnote>
  <w:footnote w:id="97">
    <w:p w14:paraId="0F79A45B" w14:textId="77777777" w:rsidR="00E46F1E" w:rsidRPr="001067EF" w:rsidRDefault="00E46F1E" w:rsidP="00C40460">
      <w:pPr>
        <w:widowControl w:val="0"/>
        <w:spacing w:after="120" w:line="240" w:lineRule="auto"/>
        <w:jc w:val="both"/>
        <w:rPr>
          <w:rFonts w:ascii="Verdana" w:hAnsi="Verdana"/>
          <w:sz w:val="16"/>
          <w:szCs w:val="16"/>
          <w:lang w:val="es-CR"/>
        </w:rPr>
      </w:pPr>
      <w:r w:rsidRPr="001067EF">
        <w:rPr>
          <w:rStyle w:val="Refdenotaalpie"/>
          <w:rFonts w:ascii="Verdana" w:eastAsia="Times" w:hAnsi="Verdana"/>
          <w:sz w:val="16"/>
          <w:szCs w:val="16"/>
          <w:lang w:eastAsia="x-none"/>
        </w:rPr>
        <w:footnoteRef/>
      </w:r>
      <w:r w:rsidRPr="001067EF">
        <w:rPr>
          <w:rFonts w:ascii="Verdana" w:hAnsi="Verdana" w:cs="Arial"/>
          <w:sz w:val="16"/>
          <w:szCs w:val="16"/>
          <w:lang w:val="es-CR"/>
        </w:rPr>
        <w:tab/>
      </w:r>
      <w:r w:rsidRPr="001067EF">
        <w:rPr>
          <w:rFonts w:ascii="Verdana" w:hAnsi="Verdana" w:cs="Arial"/>
          <w:i/>
          <w:sz w:val="16"/>
          <w:szCs w:val="16"/>
          <w:lang w:val="es-CR"/>
        </w:rPr>
        <w:t xml:space="preserve">Cfr. Caso “Instituto de Reeducación del Menor” Vs. Paraguay, </w:t>
      </w:r>
      <w:r w:rsidRPr="00E46F1E">
        <w:rPr>
          <w:rFonts w:ascii="Verdana" w:hAnsi="Verdana"/>
          <w:i/>
          <w:sz w:val="16"/>
          <w:szCs w:val="16"/>
        </w:rPr>
        <w:t>Excepciones Preliminares, Fondo, Reparaciones y Costas</w:t>
      </w:r>
      <w:r w:rsidRPr="00E46F1E">
        <w:rPr>
          <w:rFonts w:ascii="Verdana" w:hAnsi="Verdana"/>
          <w:sz w:val="16"/>
          <w:szCs w:val="16"/>
        </w:rPr>
        <w:t>. Sentencia de 2 de septiembre de 2004. Serie C No. 112,</w:t>
      </w:r>
      <w:r w:rsidRPr="00E46F1E">
        <w:rPr>
          <w:rFonts w:ascii="Verdana" w:hAnsi="Verdana" w:cs="Arial"/>
          <w:i/>
          <w:sz w:val="16"/>
          <w:szCs w:val="16"/>
          <w:lang w:val="es-CR"/>
        </w:rPr>
        <w:t xml:space="preserve"> </w:t>
      </w:r>
      <w:r w:rsidRPr="00E46F1E">
        <w:rPr>
          <w:rFonts w:ascii="Verdana" w:hAnsi="Verdana" w:cs="Arial"/>
          <w:sz w:val="16"/>
          <w:szCs w:val="16"/>
          <w:lang w:val="es-CR"/>
        </w:rPr>
        <w:t xml:space="preserve">párr. 152, y </w:t>
      </w:r>
      <w:r w:rsidRPr="00E46F1E">
        <w:rPr>
          <w:rStyle w:val="Textoennegrita"/>
          <w:rFonts w:ascii="Verdana" w:eastAsiaTheme="majorEastAsia" w:hAnsi="Verdana"/>
          <w:b w:val="0"/>
          <w:i/>
          <w:sz w:val="16"/>
          <w:szCs w:val="16"/>
          <w:lang w:val="es-CR"/>
        </w:rPr>
        <w:t>Caso Chinchilla Sandoval y otros Vs.</w:t>
      </w:r>
      <w:r w:rsidRPr="001067EF">
        <w:rPr>
          <w:rStyle w:val="Textoennegrita"/>
          <w:rFonts w:ascii="Verdana" w:eastAsiaTheme="majorEastAsia" w:hAnsi="Verdana"/>
          <w:b w:val="0"/>
          <w:i/>
          <w:sz w:val="16"/>
          <w:szCs w:val="16"/>
          <w:shd w:val="clear" w:color="auto" w:fill="FFFFFF"/>
          <w:lang w:val="es-CR"/>
        </w:rPr>
        <w:t xml:space="preserve"> </w:t>
      </w:r>
      <w:r w:rsidRPr="00E46F1E">
        <w:rPr>
          <w:rStyle w:val="Textoennegrita"/>
          <w:rFonts w:ascii="Verdana" w:eastAsiaTheme="majorEastAsia" w:hAnsi="Verdana"/>
          <w:b w:val="0"/>
          <w:i/>
          <w:sz w:val="16"/>
          <w:szCs w:val="16"/>
          <w:lang w:val="es-CR"/>
        </w:rPr>
        <w:t>Guatemala. Excepción Preliminar, Fondo, Reparaciones y Costas.</w:t>
      </w:r>
      <w:r w:rsidRPr="00E46F1E">
        <w:rPr>
          <w:rStyle w:val="Textoennegrita"/>
          <w:rFonts w:ascii="Verdana" w:eastAsiaTheme="majorEastAsia" w:hAnsi="Verdana"/>
          <w:b w:val="0"/>
          <w:sz w:val="16"/>
          <w:szCs w:val="16"/>
          <w:lang w:val="es-CR"/>
        </w:rPr>
        <w:t xml:space="preserve"> Sentencia de 29 de febrero de 2016. Serie C No. 312, párr. 168.</w:t>
      </w:r>
    </w:p>
  </w:footnote>
  <w:footnote w:id="98">
    <w:p w14:paraId="48A2E3B7" w14:textId="77777777" w:rsidR="00E46F1E" w:rsidRPr="001067EF" w:rsidRDefault="00E46F1E" w:rsidP="00C40460">
      <w:pPr>
        <w:pStyle w:val="Textonotapie"/>
        <w:widowControl w:val="0"/>
        <w:spacing w:after="120"/>
        <w:jc w:val="both"/>
        <w:rPr>
          <w:rFonts w:ascii="Verdana" w:hAnsi="Verdana"/>
          <w:sz w:val="16"/>
          <w:szCs w:val="16"/>
          <w:lang w:val="es-CR"/>
        </w:rPr>
      </w:pPr>
      <w:r w:rsidRPr="001067EF">
        <w:rPr>
          <w:rStyle w:val="Refdenotaalpie"/>
          <w:rFonts w:ascii="Verdana" w:hAnsi="Verdana"/>
          <w:sz w:val="16"/>
          <w:szCs w:val="16"/>
        </w:rPr>
        <w:footnoteRef/>
      </w:r>
      <w:r w:rsidRPr="001067EF">
        <w:rPr>
          <w:rFonts w:ascii="Verdana" w:hAnsi="Verdana"/>
          <w:sz w:val="16"/>
          <w:szCs w:val="16"/>
        </w:rPr>
        <w:tab/>
      </w:r>
      <w:r w:rsidRPr="001067EF">
        <w:rPr>
          <w:rFonts w:ascii="Verdana" w:hAnsi="Verdana"/>
          <w:i/>
          <w:sz w:val="16"/>
          <w:szCs w:val="16"/>
        </w:rPr>
        <w:t xml:space="preserve">Cfr. Caso “Instituto de Reeducación del Menor” Vs. Paraguay, Excepciones Preliminares, Fondo, Reparaciones y </w:t>
      </w:r>
      <w:r w:rsidRPr="00E46F1E">
        <w:rPr>
          <w:rFonts w:ascii="Verdana" w:hAnsi="Verdana"/>
          <w:i/>
          <w:sz w:val="16"/>
          <w:szCs w:val="16"/>
        </w:rPr>
        <w:t>Costas</w:t>
      </w:r>
      <w:r w:rsidRPr="00E46F1E">
        <w:rPr>
          <w:rFonts w:ascii="Verdana" w:hAnsi="Verdana"/>
          <w:sz w:val="16"/>
          <w:szCs w:val="16"/>
        </w:rPr>
        <w:t xml:space="preserve">. Sentencia de 2 de septiembre de 2004. Serie C No. 112, párr. 159, y </w:t>
      </w:r>
      <w:r w:rsidRPr="00E46F1E">
        <w:rPr>
          <w:rStyle w:val="Textoennegrita"/>
          <w:rFonts w:ascii="Verdana" w:hAnsi="Verdana"/>
          <w:b w:val="0"/>
          <w:i/>
          <w:sz w:val="16"/>
          <w:szCs w:val="16"/>
          <w:lang w:val="es-CR"/>
        </w:rPr>
        <w:t>Caso Chinchilla Sandoval y otros Vs. Guatemala. Excepción Preliminar, Fondo, Reparaciones y Costas.</w:t>
      </w:r>
      <w:r w:rsidRPr="00E46F1E">
        <w:rPr>
          <w:rStyle w:val="Textoennegrita"/>
          <w:rFonts w:ascii="Verdana" w:hAnsi="Verdana"/>
          <w:b w:val="0"/>
          <w:sz w:val="16"/>
          <w:szCs w:val="16"/>
          <w:lang w:val="es-CR"/>
        </w:rPr>
        <w:t xml:space="preserve"> Sentencia de 29 de f</w:t>
      </w:r>
      <w:r w:rsidRPr="00E46F1E">
        <w:rPr>
          <w:rStyle w:val="Textoennegrita"/>
          <w:rFonts w:ascii="Verdana" w:eastAsiaTheme="majorEastAsia" w:hAnsi="Verdana"/>
          <w:b w:val="0"/>
          <w:sz w:val="16"/>
          <w:szCs w:val="16"/>
          <w:lang w:val="es-CR"/>
        </w:rPr>
        <w:t>ebrero de 2016. Serie C No. 312, párr. 169</w:t>
      </w:r>
      <w:r w:rsidRPr="00E46F1E">
        <w:rPr>
          <w:rFonts w:ascii="Verdana" w:hAnsi="Verdana" w:cs="Verdana"/>
          <w:b/>
          <w:bCs/>
          <w:sz w:val="16"/>
          <w:szCs w:val="16"/>
          <w:lang w:val="es-CR"/>
        </w:rPr>
        <w:t>.</w:t>
      </w:r>
    </w:p>
  </w:footnote>
  <w:footnote w:id="99">
    <w:p w14:paraId="2C06C736" w14:textId="56D603C2" w:rsidR="00E46F1E" w:rsidRPr="001067EF" w:rsidRDefault="00E46F1E" w:rsidP="00C40460">
      <w:pPr>
        <w:pStyle w:val="Textonotapie"/>
        <w:widowControl w:val="0"/>
        <w:spacing w:after="120"/>
        <w:jc w:val="both"/>
        <w:rPr>
          <w:rFonts w:ascii="Verdana" w:hAnsi="Verdana"/>
          <w:sz w:val="16"/>
          <w:szCs w:val="16"/>
          <w:lang w:val="es-CR"/>
        </w:rPr>
      </w:pPr>
      <w:r w:rsidRPr="00E46F1E">
        <w:rPr>
          <w:rStyle w:val="Refdenotaalpie"/>
          <w:rFonts w:ascii="Verdana" w:hAnsi="Verdana"/>
          <w:sz w:val="16"/>
          <w:szCs w:val="16"/>
        </w:rPr>
        <w:footnoteRef/>
      </w:r>
      <w:r w:rsidRPr="00E46F1E">
        <w:rPr>
          <w:rFonts w:ascii="Verdana" w:hAnsi="Verdana"/>
          <w:sz w:val="16"/>
          <w:szCs w:val="16"/>
          <w:lang w:val="es-CR"/>
        </w:rPr>
        <w:tab/>
      </w:r>
      <w:r w:rsidRPr="00E46F1E">
        <w:rPr>
          <w:rFonts w:ascii="Verdana" w:hAnsi="Verdana"/>
          <w:i/>
          <w:sz w:val="16"/>
          <w:szCs w:val="16"/>
          <w:lang w:val="es-CR"/>
        </w:rPr>
        <w:t>Cfr. Caso Albán Cornejo y otros Vs. Ecuador. Fondo, Reparaciones y Costas.</w:t>
      </w:r>
      <w:r w:rsidRPr="00E46F1E">
        <w:rPr>
          <w:rFonts w:ascii="Verdana" w:hAnsi="Verdana"/>
          <w:sz w:val="16"/>
          <w:szCs w:val="16"/>
          <w:lang w:val="es-CR"/>
        </w:rPr>
        <w:t xml:space="preserve"> Sentencia de 22 de noviembre de 2007. Serie C No. 171, párr. 117, y </w:t>
      </w:r>
      <w:r w:rsidRPr="00E46F1E">
        <w:rPr>
          <w:rStyle w:val="Textoennegrita"/>
          <w:rFonts w:ascii="Verdana" w:hAnsi="Verdana"/>
          <w:b w:val="0"/>
          <w:i/>
          <w:color w:val="000000"/>
          <w:sz w:val="16"/>
          <w:szCs w:val="16"/>
        </w:rPr>
        <w:t>Caso Rodríguez Revolorio y otros Vs. Guatemala. Excepción Preliminar, Fondo, Reparaciones y Costas.</w:t>
      </w:r>
      <w:r w:rsidRPr="00E46F1E">
        <w:rPr>
          <w:rStyle w:val="Textoennegrita"/>
          <w:rFonts w:ascii="Verdana" w:hAnsi="Verdana"/>
          <w:b w:val="0"/>
          <w:color w:val="000000"/>
          <w:sz w:val="16"/>
          <w:szCs w:val="16"/>
        </w:rPr>
        <w:t xml:space="preserve"> Sentencia de 14 de octubre de 2019. Serie C No. 387., párr. 90.</w:t>
      </w:r>
    </w:p>
  </w:footnote>
  <w:footnote w:id="100">
    <w:p w14:paraId="1B153364" w14:textId="418B86CF" w:rsidR="00E46F1E" w:rsidRPr="001067EF" w:rsidRDefault="00E46F1E" w:rsidP="00C40460">
      <w:pPr>
        <w:pStyle w:val="Textonotapie"/>
        <w:widowControl w:val="0"/>
        <w:spacing w:after="120"/>
        <w:jc w:val="both"/>
        <w:rPr>
          <w:rFonts w:ascii="Verdana" w:hAnsi="Verdana"/>
          <w:sz w:val="16"/>
          <w:szCs w:val="16"/>
          <w:lang w:val="es-CR"/>
        </w:rPr>
      </w:pPr>
      <w:r w:rsidRPr="001067EF">
        <w:rPr>
          <w:rStyle w:val="Refdenotaalpie"/>
          <w:rFonts w:ascii="Verdana" w:hAnsi="Verdana"/>
          <w:sz w:val="16"/>
          <w:szCs w:val="16"/>
        </w:rPr>
        <w:footnoteRef/>
      </w:r>
      <w:r w:rsidRPr="001067EF">
        <w:rPr>
          <w:rFonts w:ascii="Verdana" w:hAnsi="Verdana"/>
          <w:sz w:val="16"/>
          <w:szCs w:val="16"/>
          <w:lang w:val="es-CR"/>
        </w:rPr>
        <w:tab/>
      </w:r>
      <w:r w:rsidRPr="001067EF">
        <w:rPr>
          <w:rFonts w:ascii="Verdana" w:hAnsi="Verdana"/>
          <w:i/>
          <w:sz w:val="16"/>
          <w:szCs w:val="16"/>
          <w:lang w:val="es-CR"/>
        </w:rPr>
        <w:t>Cfr. Caso Tibi Vs. Ecuador. Excepciones Preliminares, Fondo, Reparaciones y Costas.</w:t>
      </w:r>
      <w:r w:rsidRPr="001067EF">
        <w:rPr>
          <w:rFonts w:ascii="Verdana" w:hAnsi="Verdana"/>
          <w:sz w:val="16"/>
          <w:szCs w:val="16"/>
          <w:lang w:val="es-CR"/>
        </w:rPr>
        <w:t xml:space="preserve"> Sentencia de 7 de septiembre de </w:t>
      </w:r>
      <w:r w:rsidRPr="00E46F1E">
        <w:rPr>
          <w:rFonts w:ascii="Verdana" w:hAnsi="Verdana"/>
          <w:sz w:val="16"/>
          <w:szCs w:val="16"/>
          <w:lang w:val="es-CR"/>
        </w:rPr>
        <w:t xml:space="preserve">2004. Serie C No. 114, </w:t>
      </w:r>
      <w:proofErr w:type="spellStart"/>
      <w:r w:rsidRPr="00E46F1E">
        <w:rPr>
          <w:rFonts w:ascii="Verdana" w:hAnsi="Verdana"/>
          <w:sz w:val="16"/>
          <w:szCs w:val="16"/>
          <w:lang w:val="es-CR"/>
        </w:rPr>
        <w:t>párrs</w:t>
      </w:r>
      <w:proofErr w:type="spellEnd"/>
      <w:r w:rsidRPr="00E46F1E">
        <w:rPr>
          <w:rFonts w:ascii="Verdana" w:hAnsi="Verdana"/>
          <w:sz w:val="16"/>
          <w:szCs w:val="16"/>
          <w:lang w:val="es-CR"/>
        </w:rPr>
        <w:t xml:space="preserve">. 156 y 157, y </w:t>
      </w:r>
      <w:r w:rsidRPr="00E46F1E">
        <w:rPr>
          <w:rStyle w:val="Textoennegrita"/>
          <w:rFonts w:ascii="Verdana" w:hAnsi="Verdana"/>
          <w:b w:val="0"/>
          <w:i/>
          <w:color w:val="000000"/>
          <w:sz w:val="16"/>
          <w:szCs w:val="16"/>
        </w:rPr>
        <w:t>Caso Rodríguez Revolorio y otros Vs. Guatemala. Excepción Preliminar, Fondo, Reparaciones y Costas.</w:t>
      </w:r>
      <w:r w:rsidRPr="00E46F1E">
        <w:rPr>
          <w:rStyle w:val="Textoennegrita"/>
          <w:rFonts w:ascii="Verdana" w:hAnsi="Verdana"/>
          <w:b w:val="0"/>
          <w:color w:val="000000"/>
          <w:sz w:val="16"/>
          <w:szCs w:val="16"/>
        </w:rPr>
        <w:t xml:space="preserve"> Sentencia de 14 de octubre de 2019. Serie C No. 387., párr. 90.</w:t>
      </w:r>
    </w:p>
  </w:footnote>
  <w:footnote w:id="101">
    <w:p w14:paraId="176155D4" w14:textId="251EECCC"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lang w:val="es-PR"/>
        </w:rPr>
        <w:tab/>
      </w:r>
      <w:r w:rsidRPr="001067EF">
        <w:rPr>
          <w:rFonts w:ascii="Verdana" w:hAnsi="Verdana"/>
          <w:i/>
          <w:sz w:val="16"/>
          <w:szCs w:val="16"/>
          <w:lang w:val="es-PR"/>
        </w:rPr>
        <w:t>Cfr.</w:t>
      </w:r>
      <w:r w:rsidRPr="001067EF">
        <w:rPr>
          <w:rFonts w:ascii="Verdana" w:hAnsi="Verdana"/>
          <w:b/>
          <w:sz w:val="16"/>
          <w:szCs w:val="16"/>
          <w:lang w:val="es-PR"/>
        </w:rPr>
        <w:t xml:space="preserve"> </w:t>
      </w:r>
      <w:r w:rsidRPr="001067EF">
        <w:rPr>
          <w:rFonts w:ascii="Verdana" w:hAnsi="Verdana"/>
          <w:i/>
          <w:sz w:val="16"/>
          <w:szCs w:val="16"/>
          <w:lang w:val="es-PR"/>
        </w:rPr>
        <w:t>Caso Montero Aranguren y otros (Retén de Catia)</w:t>
      </w:r>
      <w:r w:rsidRPr="001067EF">
        <w:rPr>
          <w:rFonts w:ascii="Verdana" w:hAnsi="Verdana"/>
          <w:i/>
          <w:sz w:val="16"/>
          <w:szCs w:val="16"/>
        </w:rPr>
        <w:t xml:space="preserve"> Vs. Venezuela, Excepción Preliminar, Fondo, </w:t>
      </w:r>
      <w:r w:rsidRPr="00E46F1E">
        <w:rPr>
          <w:rFonts w:ascii="Verdana" w:hAnsi="Verdana"/>
          <w:i/>
          <w:sz w:val="16"/>
          <w:szCs w:val="16"/>
        </w:rPr>
        <w:t>Reparaciones y Costas.</w:t>
      </w:r>
      <w:r w:rsidRPr="00E46F1E">
        <w:rPr>
          <w:rFonts w:ascii="Verdana" w:hAnsi="Verdana"/>
          <w:sz w:val="16"/>
          <w:szCs w:val="16"/>
        </w:rPr>
        <w:t xml:space="preserve"> Sentencia de 5 de julio de 2006. Serie C No. 150, </w:t>
      </w:r>
      <w:r w:rsidRPr="00E46F1E">
        <w:rPr>
          <w:rFonts w:ascii="Verdana" w:hAnsi="Verdana"/>
          <w:sz w:val="16"/>
          <w:szCs w:val="16"/>
          <w:lang w:val="es-PR"/>
        </w:rPr>
        <w:t>párr. 103, y</w:t>
      </w:r>
      <w:r w:rsidRPr="00E46F1E">
        <w:rPr>
          <w:rFonts w:ascii="Verdana" w:hAnsi="Verdana"/>
          <w:sz w:val="16"/>
          <w:szCs w:val="16"/>
          <w:lang w:val="es-CR"/>
        </w:rPr>
        <w:t xml:space="preserve"> </w:t>
      </w:r>
      <w:r w:rsidRPr="00E46F1E">
        <w:rPr>
          <w:rStyle w:val="Textoennegrita"/>
          <w:rFonts w:ascii="Verdana" w:hAnsi="Verdana"/>
          <w:b w:val="0"/>
          <w:i/>
          <w:color w:val="000000"/>
          <w:sz w:val="16"/>
          <w:szCs w:val="16"/>
        </w:rPr>
        <w:t>Caso Rodríguez Revolorio y otros Vs. Guatemala. Excepción Preliminar, Fondo, Reparaciones y Costas.</w:t>
      </w:r>
      <w:r w:rsidRPr="00E46F1E">
        <w:rPr>
          <w:rStyle w:val="Textoennegrita"/>
          <w:rFonts w:ascii="Verdana" w:hAnsi="Verdana"/>
          <w:b w:val="0"/>
          <w:color w:val="000000"/>
          <w:sz w:val="16"/>
          <w:szCs w:val="16"/>
        </w:rPr>
        <w:t xml:space="preserve"> Sentencia de 14 de octubre de 2019. Serie C No. 387., párr. 90.</w:t>
      </w:r>
    </w:p>
  </w:footnote>
  <w:footnote w:id="102">
    <w:p w14:paraId="0C2658F8" w14:textId="043CE6AB" w:rsidR="00E46F1E" w:rsidRPr="001067EF" w:rsidRDefault="00E46F1E" w:rsidP="00C40460">
      <w:pPr>
        <w:widowControl w:val="0"/>
        <w:spacing w:after="120" w:line="240" w:lineRule="auto"/>
        <w:jc w:val="both"/>
        <w:rPr>
          <w:rFonts w:ascii="Verdana" w:hAnsi="Verdana"/>
          <w:b/>
          <w:sz w:val="16"/>
          <w:szCs w:val="16"/>
          <w:lang w:val="es-CR"/>
        </w:rPr>
      </w:pPr>
      <w:r w:rsidRPr="001067EF">
        <w:rPr>
          <w:rStyle w:val="Refdenotaalpie"/>
          <w:rFonts w:ascii="Verdana" w:eastAsia="Times" w:hAnsi="Verdana"/>
          <w:sz w:val="16"/>
          <w:szCs w:val="16"/>
          <w:lang w:eastAsia="x-none"/>
        </w:rPr>
        <w:footnoteRef/>
      </w:r>
      <w:r w:rsidRPr="00E46F1E">
        <w:rPr>
          <w:rFonts w:ascii="Verdana" w:hAnsi="Verdana"/>
          <w:i/>
          <w:sz w:val="16"/>
          <w:szCs w:val="16"/>
          <w:lang w:val="es-PR"/>
        </w:rPr>
        <w:tab/>
        <w:t xml:space="preserve">Cfr. </w:t>
      </w:r>
      <w:r w:rsidRPr="00E46F1E">
        <w:rPr>
          <w:rFonts w:ascii="Verdana" w:hAnsi="Verdana" w:cs="Verdana"/>
          <w:i/>
          <w:iCs/>
          <w:sz w:val="16"/>
          <w:szCs w:val="16"/>
        </w:rPr>
        <w:t xml:space="preserve">Caso de los “Niños de la Calle” (Villagrán Morales y otros) Vs. Guatemala, </w:t>
      </w:r>
      <w:r w:rsidRPr="00E46F1E">
        <w:rPr>
          <w:rStyle w:val="Textoennegrita"/>
          <w:rFonts w:ascii="Verdana" w:hAnsi="Verdana"/>
          <w:b w:val="0"/>
          <w:color w:val="000000"/>
          <w:sz w:val="16"/>
          <w:szCs w:val="16"/>
        </w:rPr>
        <w:t>Fondo. Sentencia de 19 de noviembre de 1999. Serie C No. 63</w:t>
      </w:r>
      <w:r w:rsidRPr="00E46F1E">
        <w:rPr>
          <w:rFonts w:ascii="Verdana" w:hAnsi="Verdana"/>
          <w:sz w:val="16"/>
          <w:szCs w:val="16"/>
        </w:rPr>
        <w:t>, párr. 74</w:t>
      </w:r>
      <w:r w:rsidRPr="00E46F1E">
        <w:rPr>
          <w:rFonts w:ascii="Verdana" w:hAnsi="Verdana" w:cs="Verdana"/>
          <w:sz w:val="16"/>
          <w:szCs w:val="16"/>
        </w:rPr>
        <w:t>, y</w:t>
      </w:r>
      <w:r w:rsidRPr="00E46F1E">
        <w:rPr>
          <w:rFonts w:ascii="Verdana" w:hAnsi="Verdana"/>
          <w:sz w:val="16"/>
          <w:szCs w:val="16"/>
          <w:lang w:val="es-CR"/>
        </w:rPr>
        <w:t xml:space="preserve"> </w:t>
      </w:r>
      <w:r w:rsidRPr="00E46F1E">
        <w:rPr>
          <w:rStyle w:val="Textoennegrita"/>
          <w:rFonts w:ascii="Verdana" w:hAnsi="Verdana"/>
          <w:b w:val="0"/>
          <w:i/>
          <w:color w:val="000000"/>
          <w:sz w:val="16"/>
          <w:szCs w:val="16"/>
        </w:rPr>
        <w:t>Caso Rodríguez Revolorio y otros Vs. Guatemala. Excepción Preliminar, Fondo, Reparaciones y Costas.</w:t>
      </w:r>
      <w:r w:rsidRPr="00E46F1E">
        <w:rPr>
          <w:rStyle w:val="Textoennegrita"/>
          <w:rFonts w:ascii="Verdana" w:hAnsi="Verdana"/>
          <w:b w:val="0"/>
          <w:color w:val="000000"/>
          <w:sz w:val="16"/>
          <w:szCs w:val="16"/>
        </w:rPr>
        <w:t xml:space="preserve"> Sentencia de 14 de octubre de 2019. Serie C No. 387., párr. 90.</w:t>
      </w:r>
    </w:p>
  </w:footnote>
  <w:footnote w:id="103">
    <w:p w14:paraId="362FE95A" w14:textId="77777777" w:rsidR="00E46F1E" w:rsidRPr="001067EF" w:rsidRDefault="00E46F1E" w:rsidP="00C40460">
      <w:pPr>
        <w:widowControl w:val="0"/>
        <w:spacing w:after="120" w:line="240" w:lineRule="auto"/>
        <w:jc w:val="both"/>
        <w:rPr>
          <w:rFonts w:ascii="Verdana" w:hAnsi="Verdana"/>
          <w:sz w:val="16"/>
          <w:szCs w:val="16"/>
          <w:lang w:val="es-CR"/>
        </w:rPr>
      </w:pPr>
      <w:r w:rsidRPr="001067EF">
        <w:rPr>
          <w:rStyle w:val="Refdenotaalpie"/>
          <w:rFonts w:ascii="Verdana" w:eastAsia="Times" w:hAnsi="Verdana"/>
          <w:sz w:val="16"/>
          <w:szCs w:val="16"/>
          <w:lang w:eastAsia="x-none"/>
        </w:rPr>
        <w:footnoteRef/>
      </w:r>
      <w:r w:rsidRPr="001067EF">
        <w:rPr>
          <w:rFonts w:ascii="Verdana" w:hAnsi="Verdana"/>
          <w:i/>
          <w:sz w:val="16"/>
          <w:szCs w:val="16"/>
        </w:rPr>
        <w:tab/>
        <w:t>Cfr.</w:t>
      </w:r>
      <w:r w:rsidRPr="001067EF">
        <w:rPr>
          <w:rFonts w:ascii="Verdana" w:hAnsi="Verdana"/>
          <w:sz w:val="16"/>
          <w:szCs w:val="16"/>
        </w:rPr>
        <w:t xml:space="preserve"> </w:t>
      </w:r>
      <w:r w:rsidRPr="001067EF">
        <w:rPr>
          <w:rFonts w:ascii="Verdana" w:hAnsi="Verdana"/>
          <w:bCs/>
          <w:i/>
          <w:sz w:val="16"/>
          <w:szCs w:val="16"/>
        </w:rPr>
        <w:t xml:space="preserve">Caso </w:t>
      </w:r>
      <w:proofErr w:type="spellStart"/>
      <w:r w:rsidRPr="001067EF">
        <w:rPr>
          <w:rFonts w:ascii="Verdana" w:hAnsi="Verdana"/>
          <w:bCs/>
          <w:i/>
          <w:sz w:val="16"/>
          <w:szCs w:val="16"/>
        </w:rPr>
        <w:t>Raxcacó</w:t>
      </w:r>
      <w:proofErr w:type="spellEnd"/>
      <w:r w:rsidRPr="001067EF">
        <w:rPr>
          <w:rFonts w:ascii="Verdana" w:hAnsi="Verdana"/>
          <w:bCs/>
          <w:i/>
          <w:sz w:val="16"/>
          <w:szCs w:val="16"/>
        </w:rPr>
        <w:t xml:space="preserve"> Reyes Vs. Guatemala.</w:t>
      </w:r>
      <w:r w:rsidRPr="001067EF">
        <w:rPr>
          <w:rFonts w:ascii="Verdana" w:hAnsi="Verdana"/>
          <w:b/>
          <w:bCs/>
          <w:i/>
          <w:sz w:val="16"/>
          <w:szCs w:val="16"/>
        </w:rPr>
        <w:t xml:space="preserve"> </w:t>
      </w:r>
      <w:r w:rsidRPr="001067EF">
        <w:rPr>
          <w:rFonts w:ascii="Verdana" w:hAnsi="Verdana"/>
          <w:i/>
          <w:sz w:val="16"/>
          <w:szCs w:val="16"/>
        </w:rPr>
        <w:t xml:space="preserve">Fondo, Reparaciones y Costas. </w:t>
      </w:r>
      <w:r w:rsidRPr="001067EF">
        <w:rPr>
          <w:rFonts w:ascii="Verdana" w:hAnsi="Verdana"/>
          <w:sz w:val="16"/>
          <w:szCs w:val="16"/>
        </w:rPr>
        <w:t>Sentencia de 15 de septiembre de 2005. Serie C No. 133</w:t>
      </w:r>
      <w:r w:rsidRPr="00E46F1E">
        <w:rPr>
          <w:rFonts w:ascii="Verdana" w:hAnsi="Verdana"/>
          <w:sz w:val="16"/>
          <w:szCs w:val="16"/>
        </w:rPr>
        <w:t xml:space="preserve">, párr. 99; y </w:t>
      </w:r>
      <w:r w:rsidRPr="00E46F1E">
        <w:rPr>
          <w:rStyle w:val="Textoennegrita"/>
          <w:rFonts w:ascii="Verdana" w:hAnsi="Verdana"/>
          <w:b w:val="0"/>
          <w:i/>
          <w:sz w:val="16"/>
          <w:szCs w:val="16"/>
          <w:lang w:val="es-CR"/>
        </w:rPr>
        <w:t>Caso Chinchilla Sandoval y otros Vs. Guatemala. Excepción Preliminar, Fondo, Reparaciones y Costas.</w:t>
      </w:r>
      <w:r w:rsidRPr="00E46F1E">
        <w:rPr>
          <w:rStyle w:val="Textoennegrita"/>
          <w:rFonts w:ascii="Verdana" w:hAnsi="Verdana"/>
          <w:b w:val="0"/>
          <w:sz w:val="16"/>
          <w:szCs w:val="16"/>
          <w:lang w:val="es-CR"/>
        </w:rPr>
        <w:t xml:space="preserve"> Sentencia de 29 de f</w:t>
      </w:r>
      <w:r w:rsidRPr="00E46F1E">
        <w:rPr>
          <w:rStyle w:val="Textoennegrita"/>
          <w:rFonts w:ascii="Verdana" w:eastAsiaTheme="majorEastAsia" w:hAnsi="Verdana"/>
          <w:b w:val="0"/>
          <w:sz w:val="16"/>
          <w:szCs w:val="16"/>
          <w:lang w:val="es-CR"/>
        </w:rPr>
        <w:t>ebrero de 2016. Serie C No. 312, párr. 174</w:t>
      </w:r>
      <w:r w:rsidRPr="00E46F1E">
        <w:rPr>
          <w:rFonts w:ascii="Verdana" w:hAnsi="Verdana"/>
          <w:b/>
          <w:sz w:val="16"/>
          <w:szCs w:val="16"/>
        </w:rPr>
        <w:t>.</w:t>
      </w:r>
      <w:r w:rsidRPr="00E46F1E">
        <w:rPr>
          <w:rFonts w:ascii="Verdana" w:hAnsi="Verdana"/>
          <w:sz w:val="16"/>
          <w:szCs w:val="16"/>
        </w:rPr>
        <w:t xml:space="preserve"> </w:t>
      </w:r>
      <w:r w:rsidRPr="00E46F1E">
        <w:rPr>
          <w:rFonts w:ascii="Verdana" w:hAnsi="Verdana" w:cs="Arial"/>
          <w:sz w:val="16"/>
          <w:szCs w:val="16"/>
          <w:lang w:val="es-CR"/>
        </w:rPr>
        <w:t>Reglas</w:t>
      </w:r>
      <w:r w:rsidRPr="001067EF">
        <w:rPr>
          <w:rFonts w:ascii="Verdana" w:hAnsi="Verdana" w:cs="Arial"/>
          <w:sz w:val="16"/>
          <w:szCs w:val="16"/>
          <w:lang w:val="es-CR"/>
        </w:rPr>
        <w:t xml:space="preserve"> Mínimas de las Naciones Unidas para el Tratamiento de Reclusos, adoptadas por el Primer Congreso de las Naciones Unidas sobre Prevención del Delito y Tratamiento del Delincuente, celebrado en Ginebra en 1995, y aprobadas por el Consejo Económico y Social en sus resoluciones 663C (XXIV) de 31 de julio de 1957 y 2076 (LXVII) de 13 de mayo de 1977. </w:t>
      </w:r>
    </w:p>
  </w:footnote>
  <w:footnote w:id="104">
    <w:p w14:paraId="7BDF4C4C" w14:textId="77777777"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E46F1E">
        <w:rPr>
          <w:rFonts w:ascii="Verdana" w:hAnsi="Verdana"/>
          <w:sz w:val="16"/>
          <w:szCs w:val="16"/>
        </w:rPr>
        <w:tab/>
      </w:r>
      <w:r w:rsidRPr="00E46F1E">
        <w:rPr>
          <w:rFonts w:ascii="Verdana" w:hAnsi="Verdana"/>
          <w:i/>
          <w:sz w:val="16"/>
          <w:szCs w:val="16"/>
        </w:rPr>
        <w:t xml:space="preserve">Cfr. </w:t>
      </w:r>
      <w:r w:rsidRPr="00E46F1E">
        <w:rPr>
          <w:rStyle w:val="Textoennegrita"/>
          <w:rFonts w:ascii="Verdana" w:hAnsi="Verdana"/>
          <w:b w:val="0"/>
          <w:i/>
          <w:color w:val="000000"/>
          <w:sz w:val="16"/>
          <w:szCs w:val="16"/>
        </w:rPr>
        <w:t>Caso Lori Berenson Mejía Vs. Perú. Fondo, Reparaciones y Costas.</w:t>
      </w:r>
      <w:r w:rsidRPr="00E46F1E">
        <w:rPr>
          <w:rStyle w:val="Textoennegrita"/>
          <w:rFonts w:ascii="Verdana" w:hAnsi="Verdana"/>
          <w:b w:val="0"/>
          <w:color w:val="000000"/>
          <w:sz w:val="16"/>
          <w:szCs w:val="16"/>
        </w:rPr>
        <w:t xml:space="preserve"> Sentencia de 25 de noviembre de 2004. Serie C No. 119, párr. 101 y</w:t>
      </w:r>
      <w:r w:rsidRPr="001067EF">
        <w:rPr>
          <w:rStyle w:val="Textoennegrita"/>
          <w:rFonts w:ascii="Verdana" w:hAnsi="Verdana"/>
          <w:color w:val="000000"/>
          <w:sz w:val="16"/>
          <w:szCs w:val="16"/>
          <w:shd w:val="clear" w:color="auto" w:fill="FFFFFF"/>
        </w:rPr>
        <w:t xml:space="preserve"> </w:t>
      </w:r>
      <w:r w:rsidRPr="001067EF">
        <w:rPr>
          <w:rFonts w:ascii="Verdana" w:hAnsi="Verdana"/>
          <w:i/>
          <w:sz w:val="16"/>
          <w:szCs w:val="16"/>
        </w:rPr>
        <w:t>Caso del Penal Miguel Castro Vs. Perú. Fondo, Reparaciones y Costas.</w:t>
      </w:r>
      <w:r w:rsidRPr="001067EF">
        <w:rPr>
          <w:rFonts w:ascii="Verdana" w:hAnsi="Verdana"/>
          <w:sz w:val="16"/>
          <w:szCs w:val="16"/>
        </w:rPr>
        <w:t xml:space="preserve"> Sentencia de 25 de noviembre de 2005. Serie C No. 160</w:t>
      </w:r>
      <w:r w:rsidRPr="001067EF">
        <w:rPr>
          <w:rFonts w:ascii="Verdana" w:hAnsi="Verdana"/>
          <w:i/>
          <w:sz w:val="16"/>
          <w:szCs w:val="16"/>
        </w:rPr>
        <w:t>,</w:t>
      </w:r>
      <w:r w:rsidRPr="001067EF">
        <w:rPr>
          <w:rFonts w:ascii="Verdana" w:hAnsi="Verdana"/>
          <w:sz w:val="16"/>
          <w:szCs w:val="16"/>
        </w:rPr>
        <w:t xml:space="preserve"> párr. 314.</w:t>
      </w:r>
    </w:p>
  </w:footnote>
  <w:footnote w:id="105">
    <w:p w14:paraId="407EF52C" w14:textId="77777777"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Cfr. Caso Tibi Vs. Ecuador. Excepciones Preliminares, Fondo, Reparaciones y Costas.</w:t>
      </w:r>
      <w:r w:rsidRPr="001067EF">
        <w:rPr>
          <w:rFonts w:ascii="Verdana" w:hAnsi="Verdana"/>
          <w:sz w:val="16"/>
          <w:szCs w:val="16"/>
        </w:rPr>
        <w:t xml:space="preserve"> Sentencia de 7 de septiembre de 2004, párr. 150 y </w:t>
      </w:r>
      <w:r w:rsidRPr="001067EF">
        <w:rPr>
          <w:rFonts w:ascii="Verdana" w:hAnsi="Verdana"/>
          <w:i/>
          <w:sz w:val="16"/>
          <w:szCs w:val="16"/>
        </w:rPr>
        <w:t>Caso del Penal Miguel Castro Vs. Perú. Fondo, Reparaciones y Costas</w:t>
      </w:r>
      <w:r w:rsidRPr="001067EF">
        <w:rPr>
          <w:rFonts w:ascii="Verdana" w:hAnsi="Verdana"/>
          <w:sz w:val="16"/>
          <w:szCs w:val="16"/>
        </w:rPr>
        <w:t>. Sentencia de 25 de noviembre de 2006, párr. 315.</w:t>
      </w:r>
    </w:p>
  </w:footnote>
  <w:footnote w:id="106">
    <w:p w14:paraId="619072AC" w14:textId="36D08F3A" w:rsidR="00E46F1E" w:rsidRPr="001067EF" w:rsidRDefault="00E46F1E" w:rsidP="00C40460">
      <w:pPr>
        <w:pStyle w:val="Textonotapie"/>
        <w:widowControl w:val="0"/>
        <w:spacing w:after="120"/>
        <w:jc w:val="both"/>
        <w:rPr>
          <w:rFonts w:ascii="Verdana" w:hAnsi="Verdana"/>
          <w:b/>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 xml:space="preserve">Cfr. </w:t>
      </w:r>
      <w:r w:rsidRPr="00E46F1E">
        <w:rPr>
          <w:rStyle w:val="Textoennegrita"/>
          <w:rFonts w:ascii="Verdana" w:hAnsi="Verdana"/>
          <w:b w:val="0"/>
          <w:i/>
          <w:color w:val="000000"/>
          <w:sz w:val="16"/>
          <w:szCs w:val="16"/>
        </w:rPr>
        <w:t xml:space="preserve">Caso García </w:t>
      </w:r>
      <w:proofErr w:type="spellStart"/>
      <w:r w:rsidRPr="00E46F1E">
        <w:rPr>
          <w:rStyle w:val="Textoennegrita"/>
          <w:rFonts w:ascii="Verdana" w:hAnsi="Verdana"/>
          <w:b w:val="0"/>
          <w:i/>
          <w:color w:val="000000"/>
          <w:sz w:val="16"/>
          <w:szCs w:val="16"/>
        </w:rPr>
        <w:t>Asto</w:t>
      </w:r>
      <w:proofErr w:type="spellEnd"/>
      <w:r w:rsidRPr="00E46F1E">
        <w:rPr>
          <w:rStyle w:val="Textoennegrita"/>
          <w:rFonts w:ascii="Verdana" w:hAnsi="Verdana"/>
          <w:b w:val="0"/>
          <w:i/>
          <w:color w:val="000000"/>
          <w:sz w:val="16"/>
          <w:szCs w:val="16"/>
        </w:rPr>
        <w:t xml:space="preserve"> y Ramírez Rojas Vs. Perú. </w:t>
      </w:r>
      <w:r w:rsidRPr="00E46F1E">
        <w:rPr>
          <w:rStyle w:val="Textoennegrita"/>
          <w:rFonts w:ascii="Verdana" w:hAnsi="Verdana"/>
          <w:b w:val="0"/>
          <w:color w:val="000000"/>
          <w:sz w:val="16"/>
          <w:szCs w:val="16"/>
        </w:rPr>
        <w:t>Sentencia de 25 de noviembre de 2005. Serie C No. 137, párr.</w:t>
      </w:r>
      <w:r w:rsidRPr="001067EF">
        <w:rPr>
          <w:rStyle w:val="Textoennegrita"/>
          <w:rFonts w:ascii="Verdana" w:hAnsi="Verdana"/>
          <w:b w:val="0"/>
          <w:color w:val="000000"/>
          <w:sz w:val="16"/>
          <w:szCs w:val="16"/>
          <w:shd w:val="clear" w:color="auto" w:fill="FFFFFF"/>
        </w:rPr>
        <w:t xml:space="preserve"> </w:t>
      </w:r>
      <w:r w:rsidRPr="00E46F1E">
        <w:rPr>
          <w:rStyle w:val="Textoennegrita"/>
          <w:rFonts w:ascii="Verdana" w:hAnsi="Verdana"/>
          <w:b w:val="0"/>
          <w:color w:val="000000"/>
          <w:sz w:val="16"/>
          <w:szCs w:val="16"/>
        </w:rPr>
        <w:t xml:space="preserve">223, y </w:t>
      </w:r>
      <w:r w:rsidRPr="00E46F1E">
        <w:rPr>
          <w:rFonts w:ascii="Verdana" w:hAnsi="Verdana"/>
          <w:i/>
          <w:sz w:val="16"/>
          <w:szCs w:val="16"/>
        </w:rPr>
        <w:t>Caso del Penal Miguel Castro Vs. Perú. Fondo, Reparaciones y Costas.</w:t>
      </w:r>
      <w:r w:rsidRPr="00E46F1E">
        <w:rPr>
          <w:rFonts w:ascii="Verdana" w:hAnsi="Verdana"/>
          <w:sz w:val="16"/>
          <w:szCs w:val="16"/>
        </w:rPr>
        <w:t xml:space="preserve"> Sentencia de 25 de noviembre de 2006. Serie C No. 160, </w:t>
      </w:r>
      <w:r w:rsidRPr="00E46F1E">
        <w:rPr>
          <w:rStyle w:val="Textoennegrita"/>
          <w:rFonts w:ascii="Verdana" w:hAnsi="Verdana"/>
          <w:b w:val="0"/>
          <w:color w:val="000000"/>
          <w:sz w:val="16"/>
          <w:szCs w:val="16"/>
        </w:rPr>
        <w:t>párr. 315.</w:t>
      </w:r>
    </w:p>
  </w:footnote>
  <w:footnote w:id="107">
    <w:p w14:paraId="1B620014" w14:textId="425962DD" w:rsidR="00E46F1E" w:rsidRPr="00E46F1E" w:rsidRDefault="00E46F1E" w:rsidP="00C40460">
      <w:pPr>
        <w:spacing w:after="120" w:line="240" w:lineRule="auto"/>
        <w:jc w:val="both"/>
        <w:rPr>
          <w:rFonts w:ascii="Verdana" w:hAnsi="Verdana"/>
          <w:sz w:val="16"/>
          <w:szCs w:val="16"/>
          <w:lang w:val="es-CR"/>
        </w:rPr>
      </w:pPr>
      <w:r w:rsidRPr="00E46F1E">
        <w:rPr>
          <w:rStyle w:val="Refdenotaalpie"/>
          <w:rFonts w:ascii="Verdana" w:hAnsi="Verdana"/>
          <w:sz w:val="16"/>
          <w:szCs w:val="16"/>
        </w:rPr>
        <w:footnoteRef/>
      </w:r>
      <w:r w:rsidRPr="00E46F1E">
        <w:rPr>
          <w:rFonts w:ascii="Verdana" w:hAnsi="Verdana"/>
          <w:sz w:val="16"/>
          <w:szCs w:val="16"/>
          <w:lang w:val="es-CR"/>
        </w:rPr>
        <w:tab/>
      </w:r>
      <w:r w:rsidRPr="00E46F1E">
        <w:rPr>
          <w:rFonts w:ascii="Verdana" w:hAnsi="Verdana"/>
          <w:i/>
          <w:sz w:val="16"/>
          <w:szCs w:val="16"/>
          <w:lang w:val="es-CR"/>
        </w:rPr>
        <w:t xml:space="preserve">Cfr. </w:t>
      </w:r>
      <w:r w:rsidRPr="00E46F1E">
        <w:rPr>
          <w:rStyle w:val="Textoennegrita"/>
          <w:rFonts w:ascii="Verdana" w:hAnsi="Verdana"/>
          <w:b w:val="0"/>
          <w:i/>
          <w:color w:val="000000"/>
          <w:sz w:val="16"/>
          <w:szCs w:val="16"/>
        </w:rPr>
        <w:t>Caso Lagos del Campo Vs. Perú. Excepciones Preliminares, Fondo, Reparaciones y Costas.</w:t>
      </w:r>
      <w:r w:rsidRPr="00E46F1E">
        <w:rPr>
          <w:rStyle w:val="Textoennegrita"/>
          <w:rFonts w:ascii="Verdana" w:hAnsi="Verdana"/>
          <w:b w:val="0"/>
          <w:color w:val="000000"/>
          <w:sz w:val="16"/>
          <w:szCs w:val="16"/>
        </w:rPr>
        <w:t xml:space="preserve"> Sentencia de 31 de agosto de 2017. Serie C No. 340., </w:t>
      </w:r>
      <w:proofErr w:type="spellStart"/>
      <w:r w:rsidRPr="00E46F1E">
        <w:rPr>
          <w:rStyle w:val="Textoennegrita"/>
          <w:rFonts w:ascii="Verdana" w:hAnsi="Verdana"/>
          <w:b w:val="0"/>
          <w:color w:val="000000"/>
          <w:sz w:val="16"/>
          <w:szCs w:val="16"/>
        </w:rPr>
        <w:t>párrs</w:t>
      </w:r>
      <w:proofErr w:type="spellEnd"/>
      <w:r w:rsidRPr="00E46F1E">
        <w:rPr>
          <w:rStyle w:val="Textoennegrita"/>
          <w:rFonts w:ascii="Verdana" w:hAnsi="Verdana"/>
          <w:b w:val="0"/>
          <w:color w:val="000000"/>
          <w:sz w:val="16"/>
          <w:szCs w:val="16"/>
        </w:rPr>
        <w:t>.</w:t>
      </w:r>
      <w:r w:rsidRPr="00E46F1E">
        <w:rPr>
          <w:rFonts w:ascii="Verdana" w:hAnsi="Verdana"/>
          <w:sz w:val="16"/>
          <w:szCs w:val="16"/>
          <w:lang w:val="es-CR"/>
        </w:rPr>
        <w:t xml:space="preserve"> 141–150 y 154.</w:t>
      </w:r>
    </w:p>
  </w:footnote>
  <w:footnote w:id="108">
    <w:p w14:paraId="19A9CEA8" w14:textId="7C007F58" w:rsidR="00E46F1E" w:rsidRPr="00E46F1E" w:rsidRDefault="00E46F1E" w:rsidP="00C40460">
      <w:pPr>
        <w:pStyle w:val="Textonotapie"/>
        <w:spacing w:after="120"/>
        <w:jc w:val="both"/>
        <w:rPr>
          <w:rFonts w:ascii="Verdana" w:hAnsi="Verdana"/>
          <w:sz w:val="16"/>
          <w:szCs w:val="16"/>
          <w:lang w:val="es-PE"/>
        </w:rPr>
      </w:pPr>
      <w:r w:rsidRPr="00E46F1E">
        <w:rPr>
          <w:rStyle w:val="Refdenotaalpie"/>
          <w:rFonts w:ascii="Verdana" w:hAnsi="Verdana"/>
          <w:sz w:val="16"/>
          <w:szCs w:val="16"/>
        </w:rPr>
        <w:footnoteRef/>
      </w:r>
      <w:r w:rsidRPr="00E46F1E">
        <w:rPr>
          <w:rFonts w:ascii="Verdana" w:hAnsi="Verdana"/>
          <w:sz w:val="16"/>
          <w:szCs w:val="16"/>
          <w:lang w:val="es-PE"/>
        </w:rPr>
        <w:tab/>
      </w:r>
      <w:r w:rsidRPr="00E46F1E">
        <w:rPr>
          <w:rFonts w:ascii="Verdana" w:hAnsi="Verdana"/>
          <w:i/>
          <w:sz w:val="16"/>
          <w:szCs w:val="16"/>
          <w:lang w:val="es-PE"/>
        </w:rPr>
        <w:t>Cfr.</w:t>
      </w:r>
      <w:r w:rsidRPr="00E46F1E">
        <w:rPr>
          <w:rFonts w:ascii="Verdana" w:hAnsi="Verdana"/>
          <w:sz w:val="16"/>
          <w:szCs w:val="16"/>
          <w:lang w:val="es-PE"/>
        </w:rPr>
        <w:t xml:space="preserve"> </w:t>
      </w:r>
      <w:r w:rsidRPr="00E46F1E">
        <w:rPr>
          <w:rStyle w:val="Textoennegrita"/>
          <w:rFonts w:ascii="Verdana" w:hAnsi="Verdana"/>
          <w:b w:val="0"/>
          <w:i/>
          <w:color w:val="000000"/>
          <w:sz w:val="16"/>
          <w:szCs w:val="16"/>
        </w:rPr>
        <w:t>Caso Trabajadores Cesados de Petroperú y otros Vs. Perú. Excepciones Preliminares, Fondo, Reparaciones y Costas.</w:t>
      </w:r>
      <w:r w:rsidRPr="00E46F1E">
        <w:rPr>
          <w:rStyle w:val="Textoennegrita"/>
          <w:rFonts w:ascii="Verdana" w:hAnsi="Verdana"/>
          <w:b w:val="0"/>
          <w:color w:val="000000"/>
          <w:sz w:val="16"/>
          <w:szCs w:val="16"/>
        </w:rPr>
        <w:t xml:space="preserve"> Sentencia de 23 de noviembre de 2017. Serie C No. 344.</w:t>
      </w:r>
      <w:r w:rsidRPr="00E46F1E">
        <w:rPr>
          <w:rFonts w:ascii="Verdana" w:hAnsi="Verdana"/>
          <w:i/>
          <w:sz w:val="16"/>
          <w:szCs w:val="16"/>
          <w:lang w:val="es-PE"/>
        </w:rPr>
        <w:t>,</w:t>
      </w:r>
      <w:r w:rsidRPr="00E46F1E">
        <w:rPr>
          <w:rFonts w:ascii="Verdana" w:hAnsi="Verdana"/>
          <w:sz w:val="16"/>
          <w:szCs w:val="16"/>
          <w:lang w:val="es-PE"/>
        </w:rPr>
        <w:t xml:space="preserve"> párr. 192; </w:t>
      </w:r>
      <w:r w:rsidRPr="00E46F1E">
        <w:rPr>
          <w:rStyle w:val="Textoennegrita"/>
          <w:rFonts w:ascii="Verdana" w:hAnsi="Verdana"/>
          <w:b w:val="0"/>
          <w:i/>
          <w:color w:val="000000"/>
          <w:sz w:val="16"/>
          <w:szCs w:val="16"/>
        </w:rPr>
        <w:t>Caso San Miguel Sosa y otras Vs. Venezuela. Fondo, Reparaciones y Costas.</w:t>
      </w:r>
      <w:r w:rsidRPr="00E46F1E">
        <w:rPr>
          <w:rStyle w:val="Textoennegrita"/>
          <w:rFonts w:ascii="Verdana" w:hAnsi="Verdana"/>
          <w:b w:val="0"/>
          <w:color w:val="000000"/>
          <w:sz w:val="16"/>
          <w:szCs w:val="16"/>
        </w:rPr>
        <w:t xml:space="preserve"> Sentencia de 8 de febrero de 2018. Serie C No. 348.</w:t>
      </w:r>
      <w:r w:rsidRPr="00E46F1E">
        <w:rPr>
          <w:rFonts w:ascii="Verdana" w:hAnsi="Verdana"/>
          <w:sz w:val="16"/>
          <w:szCs w:val="16"/>
          <w:lang w:val="es-PE"/>
        </w:rPr>
        <w:t xml:space="preserve">, párr. 220; </w:t>
      </w:r>
      <w:r w:rsidRPr="00E46F1E">
        <w:rPr>
          <w:rStyle w:val="Textoennegrita"/>
          <w:rFonts w:ascii="Verdana" w:hAnsi="Verdana"/>
          <w:b w:val="0"/>
          <w:i/>
          <w:color w:val="000000"/>
          <w:sz w:val="16"/>
          <w:szCs w:val="16"/>
        </w:rPr>
        <w:t>Caso Poblete Vilches y otros Vs. Chile. Fondo, Reparaciones y Costas.</w:t>
      </w:r>
      <w:r w:rsidRPr="00E46F1E">
        <w:rPr>
          <w:rStyle w:val="Textoennegrita"/>
          <w:rFonts w:ascii="Verdana" w:hAnsi="Verdana"/>
          <w:b w:val="0"/>
          <w:color w:val="000000"/>
          <w:sz w:val="16"/>
          <w:szCs w:val="16"/>
        </w:rPr>
        <w:t xml:space="preserve"> Sentencia de 8 de marzo de 2018. Serie C No. 349.</w:t>
      </w:r>
      <w:r w:rsidRPr="00E46F1E">
        <w:rPr>
          <w:rFonts w:ascii="Verdana" w:hAnsi="Verdana"/>
          <w:i/>
          <w:sz w:val="16"/>
          <w:szCs w:val="16"/>
          <w:lang w:val="es-PE"/>
        </w:rPr>
        <w:t>,</w:t>
      </w:r>
      <w:r w:rsidRPr="00E46F1E">
        <w:rPr>
          <w:rFonts w:ascii="Verdana" w:hAnsi="Verdana"/>
          <w:sz w:val="16"/>
          <w:szCs w:val="16"/>
          <w:lang w:val="es-PE"/>
        </w:rPr>
        <w:t xml:space="preserve"> párr. 100, </w:t>
      </w:r>
      <w:r w:rsidRPr="00E46F1E">
        <w:rPr>
          <w:rStyle w:val="Textoennegrita"/>
          <w:rFonts w:ascii="Verdana" w:hAnsi="Verdana"/>
          <w:b w:val="0"/>
          <w:i/>
          <w:color w:val="000000"/>
          <w:sz w:val="16"/>
          <w:szCs w:val="16"/>
        </w:rPr>
        <w:t xml:space="preserve">Caso </w:t>
      </w:r>
      <w:proofErr w:type="spellStart"/>
      <w:r w:rsidRPr="00E46F1E">
        <w:rPr>
          <w:rStyle w:val="Textoennegrita"/>
          <w:rFonts w:ascii="Verdana" w:hAnsi="Verdana"/>
          <w:b w:val="0"/>
          <w:i/>
          <w:color w:val="000000"/>
          <w:sz w:val="16"/>
          <w:szCs w:val="16"/>
        </w:rPr>
        <w:t>Cuscul</w:t>
      </w:r>
      <w:proofErr w:type="spellEnd"/>
      <w:r w:rsidRPr="00E46F1E">
        <w:rPr>
          <w:rStyle w:val="Textoennegrita"/>
          <w:rFonts w:ascii="Verdana" w:hAnsi="Verdana"/>
          <w:b w:val="0"/>
          <w:i/>
          <w:color w:val="000000"/>
          <w:sz w:val="16"/>
          <w:szCs w:val="16"/>
        </w:rPr>
        <w:t xml:space="preserve"> Pivaral y otros Vs. Guatemala. Excepción Preliminar, Fondo, Reparaciones y Costas.</w:t>
      </w:r>
      <w:r w:rsidRPr="00E46F1E">
        <w:rPr>
          <w:rStyle w:val="Textoennegrita"/>
          <w:rFonts w:ascii="Verdana" w:hAnsi="Verdana"/>
          <w:b w:val="0"/>
          <w:color w:val="000000"/>
          <w:sz w:val="16"/>
          <w:szCs w:val="16"/>
        </w:rPr>
        <w:t xml:space="preserve"> Sentencia de 23 de agosto de 2018. Serie C No. 359.</w:t>
      </w:r>
      <w:r w:rsidRPr="00E46F1E">
        <w:rPr>
          <w:rFonts w:ascii="Verdana" w:hAnsi="Verdana"/>
          <w:i/>
          <w:sz w:val="16"/>
          <w:szCs w:val="16"/>
          <w:lang w:val="es-PE"/>
        </w:rPr>
        <w:t xml:space="preserve">, </w:t>
      </w:r>
      <w:r w:rsidRPr="00E46F1E">
        <w:rPr>
          <w:rFonts w:ascii="Verdana" w:hAnsi="Verdana"/>
          <w:sz w:val="16"/>
          <w:szCs w:val="16"/>
          <w:lang w:val="es-PE"/>
        </w:rPr>
        <w:t>párr. 73</w:t>
      </w:r>
      <w:r w:rsidRPr="00E46F1E">
        <w:rPr>
          <w:rFonts w:ascii="Verdana" w:hAnsi="Verdana"/>
          <w:i/>
          <w:sz w:val="16"/>
          <w:szCs w:val="16"/>
          <w:lang w:val="es-PE"/>
        </w:rPr>
        <w:t xml:space="preserve">, </w:t>
      </w:r>
      <w:r w:rsidRPr="00E46F1E">
        <w:rPr>
          <w:rStyle w:val="Textoennegrita"/>
          <w:rFonts w:ascii="Verdana" w:hAnsi="Verdana"/>
          <w:b w:val="0"/>
          <w:i/>
          <w:color w:val="000000"/>
          <w:sz w:val="16"/>
          <w:szCs w:val="16"/>
        </w:rPr>
        <w:t>Caso Muelle Flores Vs. Perú. Excepciones Preliminares, Fondo, Reparaciones y Costas.</w:t>
      </w:r>
      <w:r w:rsidRPr="00E46F1E">
        <w:rPr>
          <w:rStyle w:val="Textoennegrita"/>
          <w:rFonts w:ascii="Verdana" w:hAnsi="Verdana"/>
          <w:b w:val="0"/>
          <w:color w:val="000000"/>
          <w:sz w:val="16"/>
          <w:szCs w:val="16"/>
        </w:rPr>
        <w:t xml:space="preserve"> Sentencia de 6 de marzo de 2019. Serie C No. 375.</w:t>
      </w:r>
      <w:r w:rsidRPr="00E46F1E">
        <w:rPr>
          <w:rStyle w:val="Textoennegrita"/>
          <w:rFonts w:ascii="Verdana" w:hAnsi="Verdana"/>
          <w:b w:val="0"/>
          <w:color w:val="000000"/>
          <w:sz w:val="16"/>
          <w:szCs w:val="16"/>
          <w:lang w:val="es-CR"/>
        </w:rPr>
        <w:t>, párr. 175</w:t>
      </w:r>
      <w:r w:rsidRPr="00E46F1E">
        <w:rPr>
          <w:rFonts w:ascii="Verdana" w:hAnsi="Verdana"/>
          <w:sz w:val="16"/>
          <w:szCs w:val="16"/>
          <w:lang w:val="es-PE"/>
        </w:rPr>
        <w:t>.</w:t>
      </w:r>
    </w:p>
  </w:footnote>
  <w:footnote w:id="109">
    <w:p w14:paraId="2269B486" w14:textId="56B5620F" w:rsidR="00E46F1E" w:rsidRPr="001067EF" w:rsidRDefault="00E46F1E" w:rsidP="00C40460">
      <w:pPr>
        <w:pStyle w:val="Textonotapie"/>
        <w:spacing w:after="120"/>
        <w:jc w:val="both"/>
        <w:rPr>
          <w:rFonts w:ascii="Verdana" w:hAnsi="Verdana"/>
          <w:sz w:val="16"/>
          <w:szCs w:val="16"/>
          <w:lang w:val="es-PE"/>
        </w:rPr>
      </w:pPr>
      <w:r w:rsidRPr="00E46F1E">
        <w:rPr>
          <w:rStyle w:val="Refdenotaalpie"/>
          <w:rFonts w:ascii="Verdana" w:hAnsi="Verdana"/>
          <w:sz w:val="16"/>
          <w:szCs w:val="16"/>
        </w:rPr>
        <w:footnoteRef/>
      </w:r>
      <w:r w:rsidRPr="00E46F1E">
        <w:rPr>
          <w:rFonts w:ascii="Verdana" w:hAnsi="Verdana"/>
          <w:sz w:val="16"/>
          <w:szCs w:val="16"/>
          <w:lang w:val="es-PE"/>
        </w:rPr>
        <w:t xml:space="preserve"> </w:t>
      </w:r>
      <w:r w:rsidRPr="00E46F1E">
        <w:rPr>
          <w:rFonts w:ascii="Verdana" w:hAnsi="Verdana"/>
          <w:sz w:val="16"/>
          <w:szCs w:val="16"/>
          <w:lang w:val="es-PE"/>
        </w:rPr>
        <w:tab/>
      </w:r>
      <w:r w:rsidRPr="00E46F1E">
        <w:rPr>
          <w:rFonts w:ascii="Verdana" w:hAnsi="Verdana"/>
          <w:i/>
          <w:sz w:val="16"/>
          <w:szCs w:val="16"/>
          <w:lang w:val="es-PE"/>
        </w:rPr>
        <w:t>Cfr</w:t>
      </w:r>
      <w:r w:rsidRPr="00E46F1E">
        <w:rPr>
          <w:rFonts w:ascii="Verdana" w:hAnsi="Verdana"/>
          <w:sz w:val="16"/>
          <w:szCs w:val="16"/>
          <w:lang w:val="es-PE"/>
        </w:rPr>
        <w:t xml:space="preserve">. </w:t>
      </w:r>
      <w:r w:rsidRPr="00E46F1E">
        <w:rPr>
          <w:rStyle w:val="Textoennegrita"/>
          <w:rFonts w:ascii="Verdana" w:hAnsi="Verdana"/>
          <w:b w:val="0"/>
          <w:i/>
          <w:color w:val="000000"/>
          <w:sz w:val="16"/>
          <w:szCs w:val="16"/>
        </w:rPr>
        <w:t>Caso Poblete Vilches y otros Vs. Chile. Fondo, Reparaciones y Costas.</w:t>
      </w:r>
      <w:r w:rsidRPr="00E46F1E">
        <w:rPr>
          <w:rStyle w:val="Textoennegrita"/>
          <w:rFonts w:ascii="Verdana" w:hAnsi="Verdana"/>
          <w:b w:val="0"/>
          <w:color w:val="000000"/>
          <w:sz w:val="16"/>
          <w:szCs w:val="16"/>
        </w:rPr>
        <w:t xml:space="preserve"> Sentencia de 8 de marzo de 2018. Serie C No. 349.</w:t>
      </w:r>
      <w:r w:rsidRPr="00E46F1E">
        <w:rPr>
          <w:rStyle w:val="Textoennegrita"/>
          <w:rFonts w:ascii="Verdana" w:hAnsi="Verdana"/>
          <w:b w:val="0"/>
          <w:color w:val="000000"/>
          <w:sz w:val="16"/>
          <w:szCs w:val="16"/>
          <w:lang w:val="es-CR"/>
        </w:rPr>
        <w:t xml:space="preserve">, párr. 103, </w:t>
      </w:r>
      <w:r w:rsidRPr="00E46F1E">
        <w:rPr>
          <w:rFonts w:ascii="Verdana" w:hAnsi="Verdana"/>
          <w:sz w:val="16"/>
          <w:szCs w:val="16"/>
          <w:lang w:val="es-PE"/>
        </w:rPr>
        <w:t xml:space="preserve">y </w:t>
      </w:r>
      <w:r w:rsidRPr="00E46F1E">
        <w:rPr>
          <w:rStyle w:val="Textoennegrita"/>
          <w:rFonts w:ascii="Verdana" w:hAnsi="Verdana"/>
          <w:b w:val="0"/>
          <w:i/>
          <w:color w:val="000000"/>
          <w:sz w:val="16"/>
          <w:szCs w:val="16"/>
        </w:rPr>
        <w:t>Caso Muelle Flores Vs. Perú. Excepciones Preliminares, Fondo, Reparaciones y Costas.</w:t>
      </w:r>
      <w:r w:rsidRPr="00E46F1E">
        <w:rPr>
          <w:rStyle w:val="Textoennegrita"/>
          <w:rFonts w:ascii="Verdana" w:hAnsi="Verdana"/>
          <w:b w:val="0"/>
          <w:color w:val="000000"/>
          <w:sz w:val="16"/>
          <w:szCs w:val="16"/>
        </w:rPr>
        <w:t xml:space="preserve"> Sentencia de 6 de marzo de 2019. Serie C No. 375</w:t>
      </w:r>
      <w:r w:rsidRPr="00E46F1E">
        <w:rPr>
          <w:rStyle w:val="Textoennegrita"/>
          <w:rFonts w:ascii="Verdana" w:hAnsi="Verdana"/>
          <w:b w:val="0"/>
          <w:color w:val="000000"/>
          <w:sz w:val="16"/>
          <w:szCs w:val="16"/>
          <w:lang w:val="es-CR"/>
        </w:rPr>
        <w:t>, párr. 170</w:t>
      </w:r>
      <w:r w:rsidRPr="00E46F1E">
        <w:rPr>
          <w:rFonts w:ascii="Verdana" w:hAnsi="Verdana"/>
          <w:sz w:val="16"/>
          <w:szCs w:val="16"/>
          <w:lang w:val="es-PE"/>
        </w:rPr>
        <w:t>.</w:t>
      </w:r>
    </w:p>
  </w:footnote>
  <w:footnote w:id="110">
    <w:p w14:paraId="4C3F3E53" w14:textId="77777777" w:rsidR="00E46F1E" w:rsidRPr="001067EF" w:rsidRDefault="00E46F1E" w:rsidP="00C40460">
      <w:pPr>
        <w:pStyle w:val="Textonotapie"/>
        <w:spacing w:after="120"/>
        <w:jc w:val="both"/>
        <w:rPr>
          <w:rFonts w:ascii="Verdana" w:hAnsi="Verdana"/>
          <w:sz w:val="16"/>
          <w:szCs w:val="16"/>
          <w:lang w:val="es-CR"/>
        </w:rPr>
      </w:pPr>
      <w:r w:rsidRPr="001067EF">
        <w:rPr>
          <w:rStyle w:val="Refdenotaalpie"/>
          <w:rFonts w:ascii="Verdana" w:hAnsi="Verdana"/>
          <w:sz w:val="16"/>
          <w:szCs w:val="16"/>
          <w:lang w:val="es-CR"/>
        </w:rPr>
        <w:footnoteRef/>
      </w:r>
      <w:r w:rsidRPr="001067EF">
        <w:rPr>
          <w:rFonts w:ascii="Verdana" w:hAnsi="Verdana"/>
          <w:sz w:val="16"/>
          <w:szCs w:val="16"/>
          <w:lang w:val="es-CR"/>
        </w:rPr>
        <w:t xml:space="preserve"> </w:t>
      </w:r>
      <w:r w:rsidRPr="001067EF">
        <w:rPr>
          <w:rFonts w:ascii="Verdana" w:hAnsi="Verdana"/>
          <w:sz w:val="16"/>
          <w:szCs w:val="16"/>
          <w:lang w:val="es-CR"/>
        </w:rPr>
        <w:tab/>
        <w:t xml:space="preserve">El artículo 34.i de la Carta de la OEA establece: “[l]os Estados miembros convienen en que la igualdad de oportunidades, la eliminación de la pobreza crítica y la distribución equitativa de la riqueza y del ingreso, así como la plena participación de sus pueblos en las decisiones relativas a su propio desarrollo, son, entre otros, objetivos básicos del desarrollo integral. Para lograrlos, convienen asimismo en dedicar sus máximos esfuerzos a la consecución de las siguientes metas básicas: […] i) Defensa del potencial humano mediante la extensión y aplicación de los modernos conocimientos de la ciencia médica”. </w:t>
      </w:r>
    </w:p>
  </w:footnote>
  <w:footnote w:id="111">
    <w:p w14:paraId="3146DCD8" w14:textId="77777777" w:rsidR="00E46F1E" w:rsidRPr="001067EF" w:rsidRDefault="00E46F1E" w:rsidP="00C40460">
      <w:pPr>
        <w:pStyle w:val="Textonotapie"/>
        <w:spacing w:after="120"/>
        <w:jc w:val="both"/>
        <w:rPr>
          <w:rFonts w:ascii="Verdana" w:hAnsi="Verdana"/>
          <w:sz w:val="16"/>
          <w:szCs w:val="16"/>
          <w:lang w:val="es-CR"/>
        </w:rPr>
      </w:pPr>
      <w:r w:rsidRPr="001067EF">
        <w:rPr>
          <w:rStyle w:val="Refdenotaalpie"/>
          <w:rFonts w:ascii="Verdana" w:hAnsi="Verdana"/>
          <w:sz w:val="16"/>
          <w:szCs w:val="16"/>
          <w:lang w:val="es-CR"/>
        </w:rPr>
        <w:footnoteRef/>
      </w:r>
      <w:r w:rsidRPr="001067EF">
        <w:rPr>
          <w:rFonts w:ascii="Verdana" w:hAnsi="Verdana"/>
          <w:sz w:val="16"/>
          <w:szCs w:val="16"/>
          <w:lang w:val="es-CR"/>
        </w:rPr>
        <w:t xml:space="preserve"> </w:t>
      </w:r>
      <w:r w:rsidRPr="001067EF">
        <w:rPr>
          <w:rFonts w:ascii="Verdana" w:hAnsi="Verdana"/>
          <w:sz w:val="16"/>
          <w:szCs w:val="16"/>
          <w:lang w:val="es-CR"/>
        </w:rPr>
        <w:tab/>
        <w:t xml:space="preserve">El artículo 34.l de la Carta de la OEA establece: “[l]os Estados miembros convienen en que la igualdad de oportunidades, la eliminación de la pobreza crítica y la distribución equitativa de la riqueza y del ingreso, así como la plena participación de sus pueblos en las decisiones relativas a su propio desarrollo, son, entre otros, objetivos básicos del desarrollo integral. Para lograrlos, convienen asimismo en dedicar sus máximos esfuerzos a la consecución de las siguientes metas básicas: […] l) Condiciones urbanas que hagan posible una vida sana, productiva y digna”. </w:t>
      </w:r>
    </w:p>
  </w:footnote>
  <w:footnote w:id="112">
    <w:p w14:paraId="06930ECF" w14:textId="77777777" w:rsidR="00E46F1E" w:rsidRPr="001067EF" w:rsidRDefault="00E46F1E" w:rsidP="00C40460">
      <w:pPr>
        <w:pStyle w:val="Textonotapie"/>
        <w:spacing w:after="120"/>
        <w:jc w:val="both"/>
        <w:rPr>
          <w:rFonts w:ascii="Verdana" w:hAnsi="Verdana"/>
          <w:sz w:val="16"/>
          <w:szCs w:val="16"/>
          <w:lang w:val="es-CR"/>
        </w:rPr>
      </w:pPr>
      <w:r w:rsidRPr="001067EF">
        <w:rPr>
          <w:rStyle w:val="Refdenotaalpie"/>
          <w:rFonts w:ascii="Verdana" w:hAnsi="Verdana"/>
          <w:sz w:val="16"/>
          <w:szCs w:val="16"/>
          <w:lang w:val="es-CR"/>
        </w:rPr>
        <w:footnoteRef/>
      </w:r>
      <w:r w:rsidRPr="001067EF">
        <w:rPr>
          <w:rFonts w:ascii="Verdana" w:hAnsi="Verdana"/>
          <w:sz w:val="16"/>
          <w:szCs w:val="16"/>
          <w:lang w:val="es-CR"/>
        </w:rPr>
        <w:t xml:space="preserve"> </w:t>
      </w:r>
      <w:r w:rsidRPr="001067EF">
        <w:rPr>
          <w:rFonts w:ascii="Verdana" w:hAnsi="Verdana"/>
          <w:sz w:val="16"/>
          <w:szCs w:val="16"/>
          <w:lang w:val="es-CR"/>
        </w:rPr>
        <w:tab/>
        <w:t>El artículo 45.h de la Carta de la OEA establece: “[l]os Estados miembros, convencidos de que el hombre sólo puede alcanzar la plena realización de sus aspiraciones dentro de un orden social justo, acompañado de desarrollo económico y verdadera paz, convienen en dedicar sus máximos esfuerzos a la aplicación de los siguientes principios y mecanismos: h) Desarrollo de una política eficiente de seguridad social”.</w:t>
      </w:r>
    </w:p>
  </w:footnote>
  <w:footnote w:id="113">
    <w:p w14:paraId="52ABC17D" w14:textId="14C902C6" w:rsidR="00E46F1E" w:rsidRPr="001067EF" w:rsidRDefault="00E46F1E" w:rsidP="00C40460">
      <w:pPr>
        <w:pStyle w:val="Textonotapie"/>
        <w:spacing w:after="120"/>
        <w:jc w:val="both"/>
        <w:rPr>
          <w:rFonts w:ascii="Verdana" w:hAnsi="Verdana"/>
          <w:sz w:val="16"/>
          <w:szCs w:val="16"/>
          <w:lang w:val="es-CR"/>
        </w:rPr>
      </w:pPr>
      <w:r w:rsidRPr="001067EF">
        <w:rPr>
          <w:rStyle w:val="Refdenotaalpie"/>
          <w:rFonts w:ascii="Verdana" w:hAnsi="Verdana"/>
          <w:sz w:val="16"/>
          <w:szCs w:val="16"/>
        </w:rPr>
        <w:footnoteRef/>
      </w:r>
      <w:r w:rsidRPr="001067EF">
        <w:rPr>
          <w:rFonts w:ascii="Verdana" w:hAnsi="Verdana"/>
          <w:sz w:val="16"/>
          <w:szCs w:val="16"/>
          <w:lang w:val="es-CR"/>
        </w:rPr>
        <w:t xml:space="preserve"> </w:t>
      </w:r>
      <w:r w:rsidRPr="00E46F1E">
        <w:rPr>
          <w:rFonts w:ascii="Verdana" w:hAnsi="Verdana"/>
          <w:sz w:val="16"/>
          <w:szCs w:val="16"/>
          <w:lang w:val="es-CR"/>
        </w:rPr>
        <w:tab/>
      </w:r>
      <w:r w:rsidRPr="00E46F1E">
        <w:rPr>
          <w:rFonts w:ascii="Verdana" w:hAnsi="Verdana"/>
          <w:i/>
          <w:sz w:val="16"/>
          <w:szCs w:val="16"/>
          <w:lang w:val="es-CR"/>
        </w:rPr>
        <w:t xml:space="preserve">Cfr. </w:t>
      </w:r>
      <w:r w:rsidRPr="00E46F1E">
        <w:rPr>
          <w:rStyle w:val="Textoennegrita"/>
          <w:rFonts w:ascii="Verdana" w:hAnsi="Verdana"/>
          <w:b w:val="0"/>
          <w:i/>
          <w:color w:val="000000"/>
          <w:sz w:val="16"/>
          <w:szCs w:val="16"/>
        </w:rPr>
        <w:t xml:space="preserve">Caso Poblete Vilches y otros Vs. Chile. Fondo, Reparaciones y Costas. Sentencia de 8 de marzo de 2018. </w:t>
      </w:r>
      <w:r w:rsidRPr="00E46F1E">
        <w:rPr>
          <w:rStyle w:val="Textoennegrita"/>
          <w:rFonts w:ascii="Verdana" w:hAnsi="Verdana"/>
          <w:b w:val="0"/>
          <w:color w:val="000000"/>
          <w:sz w:val="16"/>
          <w:szCs w:val="16"/>
        </w:rPr>
        <w:t xml:space="preserve">Serie C No. 349, párr. 106, y </w:t>
      </w:r>
      <w:r w:rsidRPr="00E46F1E">
        <w:rPr>
          <w:rStyle w:val="Textoennegrita"/>
          <w:rFonts w:ascii="Verdana" w:hAnsi="Verdana"/>
          <w:b w:val="0"/>
          <w:i/>
          <w:color w:val="000000"/>
          <w:sz w:val="16"/>
          <w:szCs w:val="16"/>
        </w:rPr>
        <w:t xml:space="preserve">Caso </w:t>
      </w:r>
      <w:proofErr w:type="spellStart"/>
      <w:r w:rsidRPr="00E46F1E">
        <w:rPr>
          <w:rStyle w:val="Textoennegrita"/>
          <w:rFonts w:ascii="Verdana" w:hAnsi="Verdana"/>
          <w:b w:val="0"/>
          <w:i/>
          <w:color w:val="000000"/>
          <w:sz w:val="16"/>
          <w:szCs w:val="16"/>
        </w:rPr>
        <w:t>Cuscul</w:t>
      </w:r>
      <w:proofErr w:type="spellEnd"/>
      <w:r w:rsidRPr="00E46F1E">
        <w:rPr>
          <w:rStyle w:val="Textoennegrita"/>
          <w:rFonts w:ascii="Verdana" w:hAnsi="Verdana"/>
          <w:b w:val="0"/>
          <w:i/>
          <w:color w:val="000000"/>
          <w:sz w:val="16"/>
          <w:szCs w:val="16"/>
        </w:rPr>
        <w:t xml:space="preserve"> Pivaral y otros Vs. Guatemala. Excepción Preliminar, Fondo, Reparaciones y Costas.</w:t>
      </w:r>
      <w:r w:rsidRPr="00E46F1E">
        <w:rPr>
          <w:rStyle w:val="Textoennegrita"/>
          <w:rFonts w:ascii="Verdana" w:hAnsi="Verdana"/>
          <w:b w:val="0"/>
          <w:color w:val="000000"/>
          <w:sz w:val="16"/>
          <w:szCs w:val="16"/>
        </w:rPr>
        <w:t xml:space="preserve"> Sentencia de 23 de agosto de 2018. Serie C No. 359, párr. 99.</w:t>
      </w:r>
    </w:p>
  </w:footnote>
  <w:footnote w:id="114">
    <w:p w14:paraId="222AAB48" w14:textId="77777777" w:rsidR="00E46F1E" w:rsidRPr="001067EF" w:rsidRDefault="00E46F1E" w:rsidP="00C40460">
      <w:pPr>
        <w:pStyle w:val="Textonotapie"/>
        <w:spacing w:after="120"/>
        <w:jc w:val="both"/>
        <w:rPr>
          <w:rFonts w:ascii="Verdana" w:hAnsi="Verdana"/>
          <w:sz w:val="16"/>
          <w:szCs w:val="16"/>
          <w:lang w:val="es-CR"/>
        </w:rPr>
      </w:pPr>
      <w:r w:rsidRPr="001067EF">
        <w:rPr>
          <w:rStyle w:val="Refdenotaalpie"/>
          <w:rFonts w:ascii="Verdana" w:hAnsi="Verdana"/>
          <w:sz w:val="16"/>
          <w:szCs w:val="16"/>
        </w:rPr>
        <w:footnoteRef/>
      </w:r>
      <w:r w:rsidRPr="001067EF">
        <w:rPr>
          <w:rFonts w:ascii="Verdana" w:hAnsi="Verdana"/>
          <w:sz w:val="16"/>
          <w:szCs w:val="16"/>
          <w:lang w:val="es-CR"/>
        </w:rPr>
        <w:tab/>
      </w:r>
      <w:r w:rsidRPr="001067EF">
        <w:rPr>
          <w:rFonts w:ascii="Verdana" w:hAnsi="Verdana"/>
          <w:i/>
          <w:sz w:val="16"/>
          <w:szCs w:val="16"/>
          <w:lang w:val="es-CR"/>
        </w:rPr>
        <w:t>Cfr. Caso de la "Masacre de Mapiripán" Vs. Colombia</w:t>
      </w:r>
      <w:r w:rsidRPr="001067EF">
        <w:rPr>
          <w:rFonts w:ascii="Verdana" w:hAnsi="Verdana"/>
          <w:sz w:val="16"/>
          <w:szCs w:val="16"/>
          <w:lang w:val="es-CR"/>
        </w:rPr>
        <w:t>. Sentencia de 15 de septiembre de 2005. Serie C No. 134, párr. 107</w:t>
      </w:r>
      <w:r w:rsidRPr="00E46F1E">
        <w:rPr>
          <w:rFonts w:ascii="Verdana" w:hAnsi="Verdana"/>
          <w:sz w:val="16"/>
          <w:szCs w:val="16"/>
          <w:lang w:val="es-CR"/>
        </w:rPr>
        <w:t xml:space="preserve">, y </w:t>
      </w:r>
      <w:r w:rsidRPr="00E46F1E">
        <w:rPr>
          <w:rStyle w:val="Textoennegrita"/>
          <w:rFonts w:ascii="Verdana" w:hAnsi="Verdana"/>
          <w:b w:val="0"/>
          <w:i/>
          <w:color w:val="000000"/>
          <w:sz w:val="16"/>
          <w:szCs w:val="16"/>
          <w:lang w:val="es-CR"/>
        </w:rPr>
        <w:t>Caso Muelle Flores Vs. Perú. Excepciones Preliminares, Fondo, Reparaciones y Costas</w:t>
      </w:r>
      <w:r w:rsidRPr="00E46F1E">
        <w:rPr>
          <w:rStyle w:val="Textoennegrita"/>
          <w:rFonts w:ascii="Verdana" w:hAnsi="Verdana"/>
          <w:b w:val="0"/>
          <w:color w:val="000000"/>
          <w:sz w:val="16"/>
          <w:szCs w:val="16"/>
          <w:lang w:val="es-CR"/>
        </w:rPr>
        <w:t>. Sentencia de 6 de marzo de 2019. Serie C No. 375, párr. 174</w:t>
      </w:r>
      <w:r w:rsidRPr="00E46F1E">
        <w:rPr>
          <w:rFonts w:ascii="Verdana" w:hAnsi="Verdana"/>
          <w:sz w:val="16"/>
          <w:szCs w:val="16"/>
          <w:lang w:val="es-CR"/>
        </w:rPr>
        <w:t>.</w:t>
      </w:r>
    </w:p>
  </w:footnote>
  <w:footnote w:id="115">
    <w:p w14:paraId="59F9BEF3" w14:textId="77777777" w:rsidR="00E46F1E" w:rsidRPr="001067EF" w:rsidRDefault="00E46F1E" w:rsidP="00C40460">
      <w:pPr>
        <w:pStyle w:val="Textonotapie"/>
        <w:spacing w:after="120"/>
        <w:jc w:val="both"/>
        <w:rPr>
          <w:rFonts w:ascii="Verdana" w:hAnsi="Verdana"/>
          <w:sz w:val="16"/>
          <w:szCs w:val="16"/>
          <w:lang w:val="es-CR"/>
        </w:rPr>
      </w:pPr>
      <w:r w:rsidRPr="00E46F1E">
        <w:rPr>
          <w:rStyle w:val="Refdenotaalpie"/>
          <w:rFonts w:ascii="Verdana" w:hAnsi="Verdana"/>
          <w:sz w:val="16"/>
          <w:szCs w:val="16"/>
        </w:rPr>
        <w:footnoteRef/>
      </w:r>
      <w:r w:rsidRPr="00E46F1E">
        <w:rPr>
          <w:rFonts w:ascii="Verdana" w:hAnsi="Verdana"/>
          <w:sz w:val="16"/>
          <w:szCs w:val="16"/>
          <w:lang w:val="es-CR"/>
        </w:rPr>
        <w:tab/>
      </w:r>
      <w:r w:rsidRPr="00E46F1E">
        <w:rPr>
          <w:rFonts w:ascii="Verdana" w:hAnsi="Verdana"/>
          <w:i/>
          <w:sz w:val="16"/>
          <w:szCs w:val="16"/>
          <w:lang w:val="es-CR"/>
        </w:rPr>
        <w:t>Cfr. Caso familia Pacheco Tineo Vs. Bolivia. Excepciones Preliminares, Fondo, Reparaciones y Costas</w:t>
      </w:r>
      <w:r w:rsidRPr="00E46F1E">
        <w:rPr>
          <w:rFonts w:ascii="Verdana" w:hAnsi="Verdana"/>
          <w:sz w:val="16"/>
          <w:szCs w:val="16"/>
          <w:lang w:val="es-CR"/>
        </w:rPr>
        <w:t xml:space="preserve">. Sentencia de 25 de noviembre de 2013. Serie C No. 272, párr. 143, y </w:t>
      </w:r>
      <w:r w:rsidRPr="00E46F1E">
        <w:rPr>
          <w:rStyle w:val="Textoennegrita"/>
          <w:rFonts w:ascii="Verdana" w:hAnsi="Verdana"/>
          <w:b w:val="0"/>
          <w:i/>
          <w:color w:val="000000"/>
          <w:sz w:val="16"/>
          <w:szCs w:val="16"/>
          <w:lang w:val="es-CR"/>
        </w:rPr>
        <w:t>Caso Muelle Flores Vs. Perú. Excepciones Preliminares, Fondo, Reparaciones y Costas</w:t>
      </w:r>
      <w:r w:rsidRPr="00E46F1E">
        <w:rPr>
          <w:rStyle w:val="Textoennegrita"/>
          <w:rFonts w:ascii="Verdana" w:hAnsi="Verdana"/>
          <w:b w:val="0"/>
          <w:color w:val="000000"/>
          <w:sz w:val="16"/>
          <w:szCs w:val="16"/>
          <w:lang w:val="es-CR"/>
        </w:rPr>
        <w:t>. Sentencia de 6 de marzo de 2019. Serie C No. 375, párr. 174</w:t>
      </w:r>
      <w:r w:rsidRPr="00E46F1E">
        <w:rPr>
          <w:rFonts w:ascii="Verdana" w:hAnsi="Verdana"/>
          <w:b/>
          <w:sz w:val="16"/>
          <w:szCs w:val="16"/>
          <w:lang w:val="es-PE"/>
        </w:rPr>
        <w:t>.</w:t>
      </w:r>
    </w:p>
  </w:footnote>
  <w:footnote w:id="116">
    <w:p w14:paraId="5D1F494A" w14:textId="2D55F7C7" w:rsidR="00E46F1E" w:rsidRPr="001067EF" w:rsidRDefault="00E46F1E" w:rsidP="00C40460">
      <w:pPr>
        <w:pStyle w:val="Textonotapie"/>
        <w:spacing w:after="120"/>
        <w:jc w:val="both"/>
        <w:rPr>
          <w:rFonts w:ascii="Verdana" w:hAnsi="Verdana"/>
          <w:sz w:val="16"/>
          <w:szCs w:val="16"/>
          <w:lang w:val="es-CR"/>
        </w:rPr>
      </w:pPr>
      <w:r w:rsidRPr="001067EF">
        <w:rPr>
          <w:rStyle w:val="Refdenotaalpie"/>
          <w:rFonts w:ascii="Verdana" w:hAnsi="Verdana"/>
          <w:sz w:val="16"/>
          <w:szCs w:val="16"/>
        </w:rPr>
        <w:footnoteRef/>
      </w:r>
      <w:r w:rsidRPr="001067EF">
        <w:rPr>
          <w:rFonts w:ascii="Verdana" w:hAnsi="Verdana"/>
          <w:sz w:val="16"/>
          <w:szCs w:val="16"/>
          <w:lang w:val="es-CR"/>
        </w:rPr>
        <w:tab/>
      </w:r>
      <w:r w:rsidRPr="00E46F1E">
        <w:rPr>
          <w:rFonts w:ascii="Verdana" w:hAnsi="Verdana"/>
          <w:i/>
          <w:sz w:val="16"/>
          <w:szCs w:val="16"/>
          <w:lang w:val="es-CR"/>
        </w:rPr>
        <w:t xml:space="preserve">Cfr. </w:t>
      </w:r>
      <w:r w:rsidRPr="00E46F1E">
        <w:rPr>
          <w:rStyle w:val="Textoennegrita"/>
          <w:rFonts w:ascii="Verdana" w:hAnsi="Verdana"/>
          <w:b w:val="0"/>
          <w:i/>
          <w:color w:val="000000"/>
          <w:sz w:val="16"/>
          <w:szCs w:val="16"/>
        </w:rPr>
        <w:t xml:space="preserve">Caso Poblete Vilches y otros Vs. Chile. Fondo, Reparaciones y Costas. Sentencia de 8 de marzo de 2018. </w:t>
      </w:r>
      <w:r w:rsidRPr="00E46F1E">
        <w:rPr>
          <w:rStyle w:val="Textoennegrita"/>
          <w:rFonts w:ascii="Verdana" w:hAnsi="Verdana"/>
          <w:b w:val="0"/>
          <w:color w:val="000000"/>
          <w:sz w:val="16"/>
          <w:szCs w:val="16"/>
        </w:rPr>
        <w:t xml:space="preserve">Serie C No. 349, </w:t>
      </w:r>
      <w:r w:rsidRPr="00E46F1E">
        <w:rPr>
          <w:rFonts w:ascii="Verdana" w:hAnsi="Verdana"/>
          <w:sz w:val="16"/>
          <w:szCs w:val="16"/>
          <w:lang w:val="es-CR"/>
        </w:rPr>
        <w:t xml:space="preserve">párr. 103; </w:t>
      </w:r>
      <w:r w:rsidRPr="00E46F1E">
        <w:rPr>
          <w:rFonts w:ascii="Verdana" w:hAnsi="Verdana"/>
          <w:i/>
          <w:sz w:val="16"/>
          <w:szCs w:val="16"/>
          <w:lang w:val="es-ES"/>
        </w:rPr>
        <w:t xml:space="preserve">Caso I.V. Vs. Bolivia. </w:t>
      </w:r>
      <w:r w:rsidRPr="00E46F1E">
        <w:rPr>
          <w:rFonts w:ascii="Verdana" w:hAnsi="Verdana"/>
          <w:i/>
          <w:sz w:val="16"/>
          <w:szCs w:val="16"/>
          <w:lang w:val="es-CR"/>
        </w:rPr>
        <w:t>Excepciones Preliminares, Fondo, Reparaciones y Costas.</w:t>
      </w:r>
      <w:r w:rsidRPr="00E46F1E">
        <w:rPr>
          <w:rFonts w:ascii="Verdana" w:hAnsi="Verdana"/>
          <w:sz w:val="16"/>
          <w:szCs w:val="16"/>
          <w:lang w:val="es-CR"/>
        </w:rPr>
        <w:t xml:space="preserve"> Sentencia de 30 de noviembre de 2016. Serie C No. 329, párr. 168; </w:t>
      </w:r>
      <w:r w:rsidRPr="00E46F1E">
        <w:rPr>
          <w:rStyle w:val="Textoennegrita"/>
          <w:rFonts w:ascii="Verdana" w:hAnsi="Verdana"/>
          <w:b w:val="0"/>
          <w:i/>
          <w:color w:val="000000"/>
          <w:sz w:val="16"/>
          <w:szCs w:val="16"/>
        </w:rPr>
        <w:t>Caso Familia Pacheco Tineo Vs. Bolivia. Excepciones Preliminares, Fondo, Reparaciones y Costas.</w:t>
      </w:r>
      <w:r w:rsidRPr="00E46F1E">
        <w:rPr>
          <w:rStyle w:val="Textoennegrita"/>
          <w:rFonts w:ascii="Verdana" w:hAnsi="Verdana"/>
          <w:b w:val="0"/>
          <w:color w:val="000000"/>
          <w:sz w:val="16"/>
          <w:szCs w:val="16"/>
        </w:rPr>
        <w:t xml:space="preserve"> Sentencia de 25 de noviembre de 2013. Serie C No. 272</w:t>
      </w:r>
      <w:r w:rsidRPr="00E46F1E">
        <w:rPr>
          <w:rFonts w:ascii="Verdana" w:hAnsi="Verdana"/>
          <w:i/>
          <w:sz w:val="16"/>
          <w:szCs w:val="16"/>
          <w:lang w:val="es-CR"/>
        </w:rPr>
        <w:t>,</w:t>
      </w:r>
      <w:r w:rsidRPr="00E46F1E">
        <w:rPr>
          <w:rFonts w:ascii="Verdana" w:hAnsi="Verdana"/>
          <w:sz w:val="16"/>
          <w:szCs w:val="16"/>
          <w:lang w:val="es-CR"/>
        </w:rPr>
        <w:t xml:space="preserve"> párr</w:t>
      </w:r>
      <w:r w:rsidRPr="001067EF">
        <w:rPr>
          <w:rFonts w:ascii="Verdana" w:hAnsi="Verdana"/>
          <w:sz w:val="16"/>
          <w:szCs w:val="16"/>
          <w:lang w:val="es-CR"/>
        </w:rPr>
        <w:t xml:space="preserve">. 129; </w:t>
      </w:r>
      <w:r w:rsidRPr="001067EF">
        <w:rPr>
          <w:rFonts w:ascii="Verdana" w:hAnsi="Verdana"/>
          <w:i/>
          <w:sz w:val="16"/>
          <w:szCs w:val="16"/>
          <w:lang w:val="es-CR"/>
        </w:rPr>
        <w:t xml:space="preserve">Caso </w:t>
      </w:r>
      <w:proofErr w:type="spellStart"/>
      <w:r w:rsidRPr="001067EF">
        <w:rPr>
          <w:rFonts w:ascii="Verdana" w:hAnsi="Verdana"/>
          <w:i/>
          <w:sz w:val="16"/>
          <w:szCs w:val="16"/>
          <w:lang w:val="es-CR"/>
        </w:rPr>
        <w:t>Atala</w:t>
      </w:r>
      <w:proofErr w:type="spellEnd"/>
      <w:r w:rsidRPr="001067EF">
        <w:rPr>
          <w:rFonts w:ascii="Verdana" w:hAnsi="Verdana"/>
          <w:i/>
          <w:sz w:val="16"/>
          <w:szCs w:val="16"/>
          <w:lang w:val="es-CR"/>
        </w:rPr>
        <w:t xml:space="preserve"> Riffo y niñas Vs. </w:t>
      </w:r>
      <w:r w:rsidRPr="001067EF">
        <w:rPr>
          <w:rFonts w:ascii="Verdana" w:hAnsi="Verdana"/>
          <w:i/>
          <w:sz w:val="16"/>
          <w:szCs w:val="16"/>
          <w:lang w:val="es-ES"/>
        </w:rPr>
        <w:t xml:space="preserve">Chile. </w:t>
      </w:r>
      <w:r w:rsidRPr="001067EF">
        <w:rPr>
          <w:rFonts w:ascii="Verdana" w:hAnsi="Verdana"/>
          <w:i/>
          <w:sz w:val="16"/>
          <w:szCs w:val="16"/>
          <w:lang w:val="es-CR"/>
        </w:rPr>
        <w:t>Fondo, Reparaciones y Costas</w:t>
      </w:r>
      <w:r w:rsidRPr="001067EF">
        <w:rPr>
          <w:rFonts w:ascii="Verdana" w:hAnsi="Verdana"/>
          <w:sz w:val="16"/>
          <w:szCs w:val="16"/>
          <w:lang w:val="es-CR"/>
        </w:rPr>
        <w:t xml:space="preserve">. Sentencia de 24 de febrero de 2012. Serie C No. 239, párr. 83; </w:t>
      </w:r>
      <w:r w:rsidRPr="001067EF">
        <w:rPr>
          <w:rFonts w:ascii="Verdana" w:hAnsi="Verdana"/>
          <w:i/>
          <w:sz w:val="16"/>
          <w:szCs w:val="16"/>
          <w:lang w:val="es-CR"/>
        </w:rPr>
        <w:t>Caso Gelman Vs. Uruguay. Fondo y Reparaciones</w:t>
      </w:r>
      <w:r w:rsidRPr="001067EF">
        <w:rPr>
          <w:rFonts w:ascii="Verdana" w:hAnsi="Verdana"/>
          <w:sz w:val="16"/>
          <w:szCs w:val="16"/>
          <w:lang w:val="es-CR"/>
        </w:rPr>
        <w:t xml:space="preserve">. Sentencia de 24 de febrero de 2011. Serie C No. 221, párr. 78 y 121, y </w:t>
      </w:r>
      <w:r w:rsidRPr="00E46F1E">
        <w:rPr>
          <w:rStyle w:val="Textoennegrita"/>
          <w:rFonts w:ascii="Verdana" w:hAnsi="Verdana"/>
          <w:b w:val="0"/>
          <w:i/>
          <w:color w:val="000000"/>
          <w:sz w:val="16"/>
          <w:szCs w:val="16"/>
        </w:rPr>
        <w:t xml:space="preserve">Caso </w:t>
      </w:r>
      <w:proofErr w:type="spellStart"/>
      <w:r w:rsidRPr="00E46F1E">
        <w:rPr>
          <w:rStyle w:val="Textoennegrita"/>
          <w:rFonts w:ascii="Verdana" w:hAnsi="Verdana"/>
          <w:b w:val="0"/>
          <w:i/>
          <w:color w:val="000000"/>
          <w:sz w:val="16"/>
          <w:szCs w:val="16"/>
        </w:rPr>
        <w:t>Cuscul</w:t>
      </w:r>
      <w:proofErr w:type="spellEnd"/>
      <w:r w:rsidRPr="00E46F1E">
        <w:rPr>
          <w:rStyle w:val="Textoennegrita"/>
          <w:rFonts w:ascii="Verdana" w:hAnsi="Verdana"/>
          <w:b w:val="0"/>
          <w:i/>
          <w:color w:val="000000"/>
          <w:sz w:val="16"/>
          <w:szCs w:val="16"/>
        </w:rPr>
        <w:t xml:space="preserve"> Pivaral y otros Vs. Guatemala. Excepción Preliminar, Fondo, Reparaciones y Costas.</w:t>
      </w:r>
      <w:r w:rsidRPr="00E46F1E">
        <w:rPr>
          <w:rStyle w:val="Textoennegrita"/>
          <w:rFonts w:ascii="Verdana" w:hAnsi="Verdana"/>
          <w:b w:val="0"/>
          <w:color w:val="000000"/>
          <w:sz w:val="16"/>
          <w:szCs w:val="16"/>
        </w:rPr>
        <w:t xml:space="preserve"> Sentencia de 23 de agosto de 2018. Serie C No. 359, párr.</w:t>
      </w:r>
      <w:r w:rsidRPr="00E46F1E">
        <w:rPr>
          <w:rFonts w:ascii="Verdana" w:hAnsi="Verdana"/>
          <w:sz w:val="16"/>
          <w:szCs w:val="16"/>
          <w:lang w:val="es-CR"/>
        </w:rPr>
        <w:t xml:space="preserve"> 100</w:t>
      </w:r>
      <w:r w:rsidRPr="001067EF">
        <w:rPr>
          <w:rFonts w:ascii="Verdana" w:hAnsi="Verdana"/>
          <w:sz w:val="16"/>
          <w:szCs w:val="16"/>
          <w:lang w:val="es-CR"/>
        </w:rPr>
        <w:t>.</w:t>
      </w:r>
    </w:p>
  </w:footnote>
  <w:footnote w:id="117">
    <w:p w14:paraId="144B93FF" w14:textId="33B01023" w:rsidR="00E46F1E" w:rsidRPr="001067EF" w:rsidRDefault="00E46F1E" w:rsidP="00C40460">
      <w:pPr>
        <w:pStyle w:val="Textonotapie"/>
        <w:spacing w:after="120"/>
        <w:jc w:val="both"/>
        <w:rPr>
          <w:rFonts w:ascii="Verdana" w:hAnsi="Verdana"/>
          <w:sz w:val="16"/>
          <w:szCs w:val="16"/>
          <w:lang w:val="es-CR"/>
        </w:rPr>
      </w:pPr>
      <w:r w:rsidRPr="001067EF">
        <w:rPr>
          <w:rStyle w:val="Refdenotaalpie"/>
          <w:rFonts w:ascii="Verdana" w:hAnsi="Verdana"/>
          <w:sz w:val="16"/>
          <w:szCs w:val="16"/>
        </w:rPr>
        <w:footnoteRef/>
      </w:r>
      <w:r w:rsidRPr="001067EF">
        <w:rPr>
          <w:rFonts w:ascii="Verdana" w:hAnsi="Verdana"/>
          <w:sz w:val="16"/>
          <w:szCs w:val="16"/>
          <w:lang w:val="es-CR"/>
        </w:rPr>
        <w:t xml:space="preserve"> </w:t>
      </w:r>
      <w:r w:rsidRPr="001067EF">
        <w:rPr>
          <w:rFonts w:ascii="Verdana" w:hAnsi="Verdana"/>
          <w:sz w:val="16"/>
          <w:szCs w:val="16"/>
          <w:lang w:val="es-CR"/>
        </w:rPr>
        <w:tab/>
      </w:r>
      <w:r w:rsidRPr="00E46F1E">
        <w:rPr>
          <w:rFonts w:ascii="Verdana" w:hAnsi="Verdana"/>
          <w:i/>
          <w:sz w:val="16"/>
          <w:szCs w:val="16"/>
          <w:lang w:val="es-CR"/>
        </w:rPr>
        <w:t xml:space="preserve">Cfr. </w:t>
      </w:r>
      <w:r w:rsidRPr="00E46F1E">
        <w:rPr>
          <w:rStyle w:val="Textoennegrita"/>
          <w:rFonts w:ascii="Verdana" w:hAnsi="Verdana"/>
          <w:b w:val="0"/>
          <w:i/>
          <w:color w:val="000000"/>
          <w:sz w:val="16"/>
          <w:szCs w:val="16"/>
          <w:lang w:val="es-CR"/>
        </w:rPr>
        <w:t>Caso Muelle Flores Vs. Perú. Excepciones Preliminares, Fondo, Reparaciones y Costas.</w:t>
      </w:r>
      <w:r w:rsidRPr="00E46F1E">
        <w:rPr>
          <w:rStyle w:val="Textoennegrita"/>
          <w:rFonts w:ascii="Verdana" w:hAnsi="Verdana"/>
          <w:b w:val="0"/>
          <w:color w:val="000000"/>
          <w:sz w:val="16"/>
          <w:szCs w:val="16"/>
          <w:lang w:val="es-CR"/>
        </w:rPr>
        <w:t xml:space="preserve"> Sentencia de 6 de marzo de 2019. Serie C No. 375, párr. 176</w:t>
      </w:r>
      <w:r w:rsidRPr="00E46F1E">
        <w:rPr>
          <w:rFonts w:ascii="Verdana" w:hAnsi="Verdana"/>
          <w:sz w:val="16"/>
          <w:szCs w:val="16"/>
          <w:lang w:val="es-PE"/>
        </w:rPr>
        <w:t>.</w:t>
      </w:r>
    </w:p>
  </w:footnote>
  <w:footnote w:id="118">
    <w:p w14:paraId="327957A2" w14:textId="7FF0BEE2" w:rsidR="00E46F1E" w:rsidRPr="001067EF" w:rsidRDefault="00E46F1E" w:rsidP="00C40460">
      <w:pPr>
        <w:pStyle w:val="Textonotapie"/>
        <w:spacing w:after="120"/>
        <w:jc w:val="both"/>
        <w:rPr>
          <w:rFonts w:ascii="Verdana" w:hAnsi="Verdana"/>
          <w:sz w:val="16"/>
          <w:szCs w:val="16"/>
          <w:lang w:val="es-CR"/>
        </w:rPr>
      </w:pPr>
      <w:r w:rsidRPr="001067EF">
        <w:rPr>
          <w:rStyle w:val="Refdenotaalpie"/>
          <w:rFonts w:ascii="Verdana" w:hAnsi="Verdana"/>
          <w:sz w:val="16"/>
          <w:szCs w:val="16"/>
        </w:rPr>
        <w:footnoteRef/>
      </w:r>
      <w:r w:rsidRPr="001067EF">
        <w:rPr>
          <w:rFonts w:ascii="Verdana" w:hAnsi="Verdana"/>
          <w:sz w:val="16"/>
          <w:szCs w:val="16"/>
          <w:lang w:val="es-CR"/>
        </w:rPr>
        <w:tab/>
      </w:r>
      <w:r w:rsidRPr="001067EF">
        <w:rPr>
          <w:rFonts w:ascii="Verdana" w:hAnsi="Verdana"/>
          <w:i/>
          <w:sz w:val="16"/>
          <w:szCs w:val="16"/>
          <w:lang w:val="es-CR"/>
        </w:rPr>
        <w:t>Cfr. Caso familia Pacheco Tineo Vs. Bolivia. Excepciones Preliminares, Fondo, Reparaciones y Costas</w:t>
      </w:r>
      <w:r w:rsidRPr="001067EF">
        <w:rPr>
          <w:rFonts w:ascii="Verdana" w:hAnsi="Verdana"/>
          <w:sz w:val="16"/>
          <w:szCs w:val="16"/>
          <w:lang w:val="es-CR"/>
        </w:rPr>
        <w:t xml:space="preserve">. Sentencia de 25 </w:t>
      </w:r>
      <w:r w:rsidRPr="00E46F1E">
        <w:rPr>
          <w:rFonts w:ascii="Verdana" w:hAnsi="Verdana"/>
          <w:sz w:val="16"/>
          <w:szCs w:val="16"/>
          <w:lang w:val="es-CR"/>
        </w:rPr>
        <w:t xml:space="preserve">de noviembre de 2013. Serie C No. 272, párr. 143 y </w:t>
      </w:r>
      <w:r w:rsidRPr="00E46F1E">
        <w:rPr>
          <w:rStyle w:val="Textoennegrita"/>
          <w:rFonts w:ascii="Verdana" w:hAnsi="Verdana"/>
          <w:b w:val="0"/>
          <w:i/>
          <w:color w:val="000000"/>
          <w:sz w:val="16"/>
          <w:szCs w:val="16"/>
        </w:rPr>
        <w:t xml:space="preserve">Caso </w:t>
      </w:r>
      <w:proofErr w:type="spellStart"/>
      <w:r w:rsidRPr="00E46F1E">
        <w:rPr>
          <w:rStyle w:val="Textoennegrita"/>
          <w:rFonts w:ascii="Verdana" w:hAnsi="Verdana"/>
          <w:b w:val="0"/>
          <w:i/>
          <w:color w:val="000000"/>
          <w:sz w:val="16"/>
          <w:szCs w:val="16"/>
        </w:rPr>
        <w:t>Cuscul</w:t>
      </w:r>
      <w:proofErr w:type="spellEnd"/>
      <w:r w:rsidRPr="00E46F1E">
        <w:rPr>
          <w:rStyle w:val="Textoennegrita"/>
          <w:rFonts w:ascii="Verdana" w:hAnsi="Verdana"/>
          <w:b w:val="0"/>
          <w:i/>
          <w:color w:val="000000"/>
          <w:sz w:val="16"/>
          <w:szCs w:val="16"/>
        </w:rPr>
        <w:t xml:space="preserve"> Pivaral y otros Vs. Guatemala. Excepción Preliminar, Fondo, Reparaciones y Costas.</w:t>
      </w:r>
      <w:r w:rsidRPr="00E46F1E">
        <w:rPr>
          <w:rStyle w:val="Textoennegrita"/>
          <w:rFonts w:ascii="Verdana" w:hAnsi="Verdana"/>
          <w:b w:val="0"/>
          <w:color w:val="000000"/>
          <w:sz w:val="16"/>
          <w:szCs w:val="16"/>
        </w:rPr>
        <w:t xml:space="preserve"> Sentencia de 23 de agosto de 2018. Serie C No. 359, párr.</w:t>
      </w:r>
      <w:r w:rsidRPr="00E46F1E">
        <w:rPr>
          <w:rStyle w:val="Textoennegrita"/>
          <w:rFonts w:ascii="Verdana" w:hAnsi="Verdana"/>
          <w:b w:val="0"/>
          <w:color w:val="000000"/>
          <w:sz w:val="16"/>
          <w:szCs w:val="16"/>
          <w:lang w:val="es-CR"/>
        </w:rPr>
        <w:t xml:space="preserve"> 175</w:t>
      </w:r>
      <w:r w:rsidRPr="00E46F1E">
        <w:rPr>
          <w:rFonts w:ascii="Verdana" w:hAnsi="Verdana"/>
          <w:sz w:val="16"/>
          <w:szCs w:val="16"/>
          <w:lang w:val="es-PE"/>
        </w:rPr>
        <w:t>.</w:t>
      </w:r>
    </w:p>
  </w:footnote>
  <w:footnote w:id="119">
    <w:p w14:paraId="7423ABF4" w14:textId="77777777" w:rsidR="00E46F1E" w:rsidRPr="001067EF" w:rsidRDefault="00E46F1E" w:rsidP="00C40460">
      <w:pPr>
        <w:pStyle w:val="Textonotapie"/>
        <w:spacing w:after="120"/>
        <w:jc w:val="both"/>
        <w:rPr>
          <w:rFonts w:ascii="Verdana" w:hAnsi="Verdana"/>
          <w:sz w:val="16"/>
          <w:szCs w:val="16"/>
          <w:lang w:val="es-CR"/>
        </w:rPr>
      </w:pPr>
      <w:r w:rsidRPr="001067EF">
        <w:rPr>
          <w:rStyle w:val="Refdenotaalpie"/>
          <w:rFonts w:ascii="Verdana" w:hAnsi="Verdana"/>
          <w:sz w:val="16"/>
          <w:szCs w:val="16"/>
        </w:rPr>
        <w:footnoteRef/>
      </w:r>
      <w:r w:rsidRPr="001067EF">
        <w:rPr>
          <w:rFonts w:ascii="Verdana" w:hAnsi="Verdana"/>
          <w:sz w:val="16"/>
          <w:szCs w:val="16"/>
          <w:lang w:val="es-CR"/>
        </w:rPr>
        <w:tab/>
      </w:r>
      <w:r w:rsidRPr="001067EF">
        <w:rPr>
          <w:rFonts w:ascii="Verdana" w:hAnsi="Verdana"/>
          <w:i/>
          <w:sz w:val="16"/>
          <w:szCs w:val="16"/>
          <w:lang w:val="es-CR"/>
        </w:rPr>
        <w:t>Cfr.</w:t>
      </w:r>
      <w:r w:rsidRPr="001067EF">
        <w:rPr>
          <w:rFonts w:ascii="Verdana" w:hAnsi="Verdana"/>
          <w:sz w:val="16"/>
          <w:szCs w:val="16"/>
          <w:lang w:val="es-CR"/>
        </w:rPr>
        <w:t xml:space="preserve"> Interpretación de la Declaración Americana de los Derechos y Deberes del Hombre, en el marco del artículo 64 de la </w:t>
      </w:r>
      <w:r w:rsidRPr="00E46F1E">
        <w:rPr>
          <w:rFonts w:ascii="Verdana" w:hAnsi="Verdana"/>
          <w:sz w:val="16"/>
          <w:szCs w:val="16"/>
          <w:lang w:val="es-CR"/>
        </w:rPr>
        <w:t xml:space="preserve">Convención Americana sobre Derechos Humanos. </w:t>
      </w:r>
      <w:r w:rsidRPr="00E46F1E">
        <w:rPr>
          <w:rFonts w:ascii="Verdana" w:hAnsi="Verdana"/>
          <w:i/>
          <w:sz w:val="16"/>
          <w:szCs w:val="16"/>
          <w:lang w:val="es-CR"/>
        </w:rPr>
        <w:t>Opinión Consultiva OC-10/89</w:t>
      </w:r>
      <w:r w:rsidRPr="00E46F1E">
        <w:rPr>
          <w:rFonts w:ascii="Verdana" w:hAnsi="Verdana"/>
          <w:sz w:val="16"/>
          <w:szCs w:val="16"/>
          <w:lang w:val="es-CR"/>
        </w:rPr>
        <w:t xml:space="preserve"> de 14 de julio de 1989. Serie A No. 10. párr. 43, y </w:t>
      </w:r>
      <w:r w:rsidRPr="00E46F1E">
        <w:rPr>
          <w:rStyle w:val="Textoennegrita"/>
          <w:rFonts w:ascii="Verdana" w:hAnsi="Verdana"/>
          <w:b w:val="0"/>
          <w:i/>
          <w:color w:val="000000"/>
          <w:sz w:val="16"/>
          <w:szCs w:val="16"/>
          <w:lang w:val="es-CR"/>
        </w:rPr>
        <w:t>Caso Muelle Flores Vs. Perú. Excepciones Preliminares, Fondo, Reparaciones y Costas.</w:t>
      </w:r>
      <w:r w:rsidRPr="00E46F1E">
        <w:rPr>
          <w:rStyle w:val="Textoennegrita"/>
          <w:rFonts w:ascii="Verdana" w:hAnsi="Verdana"/>
          <w:b w:val="0"/>
          <w:color w:val="000000"/>
          <w:sz w:val="16"/>
          <w:szCs w:val="16"/>
          <w:lang w:val="es-CR"/>
        </w:rPr>
        <w:t xml:space="preserve"> Sentencia de 6 de marzo de 2019. Serie C No. 375, párr. 175</w:t>
      </w:r>
      <w:r w:rsidRPr="00E46F1E">
        <w:rPr>
          <w:rFonts w:ascii="Verdana" w:hAnsi="Verdana"/>
          <w:sz w:val="16"/>
          <w:szCs w:val="16"/>
          <w:lang w:val="es-PE"/>
        </w:rPr>
        <w:t>.</w:t>
      </w:r>
    </w:p>
  </w:footnote>
  <w:footnote w:id="120">
    <w:p w14:paraId="1788A222" w14:textId="77777777" w:rsidR="00E46F1E" w:rsidRPr="001067EF" w:rsidRDefault="00E46F1E" w:rsidP="00C40460">
      <w:pPr>
        <w:pStyle w:val="Textonotapie"/>
        <w:spacing w:after="120"/>
        <w:jc w:val="both"/>
        <w:rPr>
          <w:rFonts w:ascii="Verdana" w:hAnsi="Verdana"/>
          <w:sz w:val="16"/>
          <w:szCs w:val="16"/>
          <w:lang w:val="es-CR"/>
        </w:rPr>
      </w:pPr>
      <w:r w:rsidRPr="001067EF">
        <w:rPr>
          <w:rStyle w:val="Refdenotaalpie"/>
          <w:rFonts w:ascii="Verdana" w:hAnsi="Verdana"/>
          <w:sz w:val="16"/>
          <w:szCs w:val="16"/>
        </w:rPr>
        <w:footnoteRef/>
      </w:r>
      <w:r w:rsidRPr="001067EF">
        <w:rPr>
          <w:rFonts w:ascii="Verdana" w:hAnsi="Verdana"/>
          <w:sz w:val="16"/>
          <w:szCs w:val="16"/>
          <w:lang w:val="es-CR"/>
        </w:rPr>
        <w:tab/>
      </w:r>
      <w:r w:rsidRPr="001067EF">
        <w:rPr>
          <w:rFonts w:ascii="Verdana" w:hAnsi="Verdana"/>
          <w:i/>
          <w:sz w:val="16"/>
          <w:szCs w:val="16"/>
          <w:lang w:val="es-CR"/>
        </w:rPr>
        <w:t>Cfr</w:t>
      </w:r>
      <w:r w:rsidRPr="001067EF">
        <w:rPr>
          <w:rFonts w:ascii="Verdana" w:hAnsi="Verdana"/>
          <w:sz w:val="16"/>
          <w:szCs w:val="16"/>
          <w:lang w:val="es-CR"/>
        </w:rPr>
        <w:t xml:space="preserve">. El Derecho a la Información sobre la Asistencia Consular en el Marco de las Garantías del Debido Proceso Legal. </w:t>
      </w:r>
      <w:r w:rsidRPr="001067EF">
        <w:rPr>
          <w:rFonts w:ascii="Verdana" w:hAnsi="Verdana"/>
          <w:i/>
          <w:sz w:val="16"/>
          <w:szCs w:val="16"/>
          <w:lang w:val="es-CR"/>
        </w:rPr>
        <w:t>Opinión Consultiva OC-16/99</w:t>
      </w:r>
      <w:r w:rsidRPr="001067EF">
        <w:rPr>
          <w:rFonts w:ascii="Verdana" w:hAnsi="Verdana"/>
          <w:sz w:val="16"/>
          <w:szCs w:val="16"/>
          <w:lang w:val="es-CR"/>
        </w:rPr>
        <w:t xml:space="preserve"> de 1 </w:t>
      </w:r>
      <w:r w:rsidRPr="00E46F1E">
        <w:rPr>
          <w:rFonts w:ascii="Verdana" w:hAnsi="Verdana"/>
          <w:sz w:val="16"/>
          <w:szCs w:val="16"/>
          <w:lang w:val="es-CR"/>
        </w:rPr>
        <w:t xml:space="preserve">de octubre de 1999. Serie A No. 16, párr. 114, y </w:t>
      </w:r>
      <w:r w:rsidRPr="00E46F1E">
        <w:rPr>
          <w:rStyle w:val="Textoennegrita"/>
          <w:rFonts w:ascii="Verdana" w:hAnsi="Verdana"/>
          <w:b w:val="0"/>
          <w:i/>
          <w:color w:val="000000"/>
          <w:sz w:val="16"/>
          <w:szCs w:val="16"/>
          <w:lang w:val="es-CR"/>
        </w:rPr>
        <w:t>Caso Muelle Flores Vs. Perú. Excepciones Preliminares, Fondo, Reparaciones y Costas.</w:t>
      </w:r>
      <w:r w:rsidRPr="00E46F1E">
        <w:rPr>
          <w:rStyle w:val="Textoennegrita"/>
          <w:rFonts w:ascii="Verdana" w:hAnsi="Verdana"/>
          <w:b w:val="0"/>
          <w:color w:val="000000"/>
          <w:sz w:val="16"/>
          <w:szCs w:val="16"/>
          <w:lang w:val="es-CR"/>
        </w:rPr>
        <w:t xml:space="preserve"> Sentencia de 6 de marzo de 2019. Serie C No. 375, párr. 176</w:t>
      </w:r>
      <w:r w:rsidRPr="001067EF">
        <w:rPr>
          <w:rFonts w:ascii="Verdana" w:hAnsi="Verdana"/>
          <w:sz w:val="16"/>
          <w:szCs w:val="16"/>
          <w:lang w:val="es-PE"/>
        </w:rPr>
        <w:t>.</w:t>
      </w:r>
    </w:p>
  </w:footnote>
  <w:footnote w:id="121">
    <w:p w14:paraId="48B415DD" w14:textId="77777777" w:rsidR="00E46F1E" w:rsidRPr="001067EF" w:rsidRDefault="00E46F1E" w:rsidP="00C40460">
      <w:pPr>
        <w:pStyle w:val="Textonotapie"/>
        <w:spacing w:after="120"/>
        <w:jc w:val="both"/>
        <w:rPr>
          <w:rFonts w:ascii="Verdana" w:hAnsi="Verdana"/>
          <w:sz w:val="16"/>
          <w:szCs w:val="16"/>
          <w:lang w:val="es-CR"/>
        </w:rPr>
      </w:pPr>
      <w:r w:rsidRPr="001067EF">
        <w:rPr>
          <w:rStyle w:val="Refdenotaalpie"/>
          <w:rFonts w:ascii="Verdana" w:hAnsi="Verdana"/>
          <w:sz w:val="16"/>
          <w:szCs w:val="16"/>
          <w:lang w:val="es-CR"/>
        </w:rPr>
        <w:footnoteRef/>
      </w:r>
      <w:r w:rsidRPr="001067EF">
        <w:rPr>
          <w:rFonts w:ascii="Verdana" w:hAnsi="Verdana"/>
          <w:sz w:val="16"/>
          <w:szCs w:val="16"/>
          <w:lang w:val="es-CR"/>
        </w:rPr>
        <w:t xml:space="preserve"> </w:t>
      </w:r>
      <w:r w:rsidRPr="001067EF">
        <w:rPr>
          <w:rFonts w:ascii="Verdana" w:hAnsi="Verdana"/>
          <w:sz w:val="16"/>
          <w:szCs w:val="16"/>
          <w:lang w:val="es-CR"/>
        </w:rPr>
        <w:tab/>
        <w:t>El artículo 45.h de la Carta de la OEA establece: “[l]os Estados miembros, convencidos de que el hombre sólo puede alcanzar la plena realización de sus aspiraciones dentro de un orden social justo, acompañado de desarrollo económico y verdadera paz, convienen en dedicar sus máximos esfuerzos a la aplicación de los siguientes principios y mecanismos: h) Desarrollo de una política eficiente de seguridad social”.</w:t>
      </w:r>
    </w:p>
  </w:footnote>
  <w:footnote w:id="122">
    <w:p w14:paraId="3FB79142" w14:textId="77777777" w:rsidR="00E46F1E" w:rsidRPr="001067EF" w:rsidRDefault="00E46F1E" w:rsidP="00C40460">
      <w:pPr>
        <w:pStyle w:val="Textonotapie"/>
        <w:spacing w:after="120"/>
        <w:jc w:val="both"/>
        <w:rPr>
          <w:rFonts w:ascii="Verdana" w:hAnsi="Verdana"/>
          <w:sz w:val="16"/>
          <w:szCs w:val="16"/>
          <w:lang w:val="es-CR"/>
        </w:rPr>
      </w:pPr>
      <w:r w:rsidRPr="001067EF">
        <w:rPr>
          <w:rStyle w:val="Refdenotaalpie"/>
          <w:rFonts w:ascii="Verdana" w:hAnsi="Verdana"/>
          <w:sz w:val="16"/>
          <w:szCs w:val="16"/>
        </w:rPr>
        <w:footnoteRef/>
      </w:r>
      <w:r w:rsidRPr="001067EF">
        <w:rPr>
          <w:rFonts w:ascii="Verdana" w:hAnsi="Verdana"/>
          <w:sz w:val="16"/>
          <w:szCs w:val="16"/>
          <w:lang w:val="es-CR"/>
        </w:rPr>
        <w:t xml:space="preserve"> </w:t>
      </w:r>
      <w:r w:rsidRPr="001067EF">
        <w:rPr>
          <w:rFonts w:ascii="Verdana" w:hAnsi="Verdana"/>
          <w:sz w:val="16"/>
          <w:szCs w:val="16"/>
          <w:lang w:val="es-CR"/>
        </w:rPr>
        <w:tab/>
        <w:t>Aprobada en la Novena Conferencia Panamericana celebrada en Bogotá, Colombia, 1948.</w:t>
      </w:r>
    </w:p>
  </w:footnote>
  <w:footnote w:id="123">
    <w:p w14:paraId="004C5FE1" w14:textId="77777777" w:rsidR="00E46F1E" w:rsidRPr="001067EF" w:rsidRDefault="00E46F1E" w:rsidP="00C40460">
      <w:pPr>
        <w:pStyle w:val="Textonotapie"/>
        <w:spacing w:after="120"/>
        <w:jc w:val="both"/>
        <w:rPr>
          <w:rFonts w:ascii="Verdana" w:hAnsi="Verdana"/>
          <w:sz w:val="16"/>
          <w:szCs w:val="16"/>
          <w:lang w:val="es-CR"/>
        </w:rPr>
      </w:pPr>
      <w:r w:rsidRPr="001067EF">
        <w:rPr>
          <w:rStyle w:val="Refdenotaalpie"/>
          <w:rFonts w:ascii="Verdana" w:hAnsi="Verdana"/>
          <w:sz w:val="16"/>
          <w:szCs w:val="16"/>
          <w:lang w:val="es-CR"/>
        </w:rPr>
        <w:footnoteRef/>
      </w:r>
      <w:r w:rsidRPr="001067EF">
        <w:rPr>
          <w:rFonts w:ascii="Verdana" w:hAnsi="Verdana"/>
          <w:sz w:val="16"/>
          <w:szCs w:val="16"/>
          <w:lang w:val="es-CR"/>
        </w:rPr>
        <w:tab/>
        <w:t>El artículo 10.1 del Protocolo de San Salvador establece: “[t]oda persona tiene derecho a la salud, entendida como el disfrute del más alto nivel de bienestar físico, mental y social. 2. Con el fin de hacer efectivo el derecho a la salud los Estados partes se comprometen a reconocer la salud como un bien público y particularmente a adoptar las siguientes medidas para garantizar este derecho: a. la atención primaria de la salud, entendiendo como tal la asistencia sanitaria esencial puesta al alcance de todos los individuos y familiares de la comunidad; [y] b. la extensión de los beneficios de los servicios de salud a todos los individuos sujetos a la jurisdicción del Estado”.</w:t>
      </w:r>
    </w:p>
  </w:footnote>
  <w:footnote w:id="124">
    <w:p w14:paraId="0D06F87C" w14:textId="77777777" w:rsidR="00E46F1E" w:rsidRPr="001067EF" w:rsidRDefault="00E46F1E" w:rsidP="00C40460">
      <w:pPr>
        <w:spacing w:after="120" w:line="240" w:lineRule="auto"/>
        <w:jc w:val="both"/>
        <w:rPr>
          <w:rFonts w:ascii="Verdana" w:eastAsia="Times" w:hAnsi="Verdana" w:cs="Arial"/>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t>Adoptada y proclamada por la Resolución de la Asamblea General 217 A (</w:t>
      </w:r>
      <w:proofErr w:type="spellStart"/>
      <w:r w:rsidRPr="001067EF">
        <w:rPr>
          <w:rFonts w:ascii="Verdana" w:hAnsi="Verdana"/>
          <w:sz w:val="16"/>
          <w:szCs w:val="16"/>
        </w:rPr>
        <w:t>iii</w:t>
      </w:r>
      <w:proofErr w:type="spellEnd"/>
      <w:r w:rsidRPr="001067EF">
        <w:rPr>
          <w:rFonts w:ascii="Verdana" w:hAnsi="Verdana"/>
          <w:sz w:val="16"/>
          <w:szCs w:val="16"/>
        </w:rPr>
        <w:t xml:space="preserve">) del 10 de diciembre de 1948 en París. El artículo 25 </w:t>
      </w:r>
      <w:r w:rsidRPr="00E46F1E">
        <w:rPr>
          <w:rFonts w:ascii="Verdana" w:hAnsi="Verdana"/>
          <w:sz w:val="16"/>
          <w:szCs w:val="16"/>
        </w:rPr>
        <w:t>establece que: “1. 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u otros casos de pérdida de sus medios de subsistencia por circunstancias independientes de su voluntad. 2. La maternidad y la infancia tienen derecho a cuidados y asistencia especiales. Todos los niños, nacidos de matrimonio o fuera de matrimonio, tienen derecho a igual protección social”.</w:t>
      </w:r>
    </w:p>
  </w:footnote>
  <w:footnote w:id="125">
    <w:p w14:paraId="5F7753EF" w14:textId="77777777" w:rsidR="00E46F1E" w:rsidRPr="001067EF" w:rsidRDefault="00E46F1E" w:rsidP="00C40460">
      <w:pPr>
        <w:pStyle w:val="Textonotapie"/>
        <w:spacing w:after="120"/>
        <w:jc w:val="both"/>
        <w:rPr>
          <w:rFonts w:ascii="Verdana" w:hAnsi="Verdana"/>
          <w:sz w:val="16"/>
          <w:szCs w:val="16"/>
          <w:lang w:val="es-AR"/>
        </w:rPr>
      </w:pPr>
      <w:r w:rsidRPr="001067EF">
        <w:rPr>
          <w:rStyle w:val="Refdenotaalpie"/>
          <w:rFonts w:ascii="Verdana" w:hAnsi="Verdana"/>
          <w:sz w:val="16"/>
          <w:szCs w:val="16"/>
        </w:rPr>
        <w:footnoteRef/>
      </w:r>
      <w:r w:rsidRPr="001067EF">
        <w:rPr>
          <w:rFonts w:ascii="Verdana" w:hAnsi="Verdana"/>
          <w:sz w:val="16"/>
          <w:szCs w:val="16"/>
          <w:lang w:val="es-AR"/>
        </w:rPr>
        <w:t xml:space="preserve"> </w:t>
      </w:r>
      <w:r w:rsidRPr="001067EF">
        <w:rPr>
          <w:rFonts w:ascii="Verdana" w:hAnsi="Verdana"/>
          <w:sz w:val="16"/>
          <w:szCs w:val="16"/>
          <w:lang w:val="es-AR"/>
        </w:rPr>
        <w:tab/>
        <w:t>Adoptada por la Asamblea General de la ONU en su Resolución 2106 A (XX), de 21 de diciembre de 1965. Entrada en vigor el 4 de enero de 1969. Entrada en vigor internacional para Chile el 19 de noviembre de 1971. Artículo 5. En conformidad con las obligaciones fundamentales estipuladas en el artículo 2 de la presente Convención, los Estados partes se comprometen a prohibir y eliminar la discriminación racial en todas sus formas y a garantizar el derecho de toda persona a la igualdad ante la ley, sin distinción de raza, color y origen nacional o étnico, particularmente en el goce de los derechos siguientes:</w:t>
      </w:r>
    </w:p>
    <w:p w14:paraId="7FDBEA74" w14:textId="77777777" w:rsidR="00E46F1E" w:rsidRPr="001067EF" w:rsidRDefault="00E46F1E" w:rsidP="00C40460">
      <w:pPr>
        <w:pStyle w:val="Textonotapie"/>
        <w:spacing w:after="120"/>
        <w:jc w:val="both"/>
        <w:rPr>
          <w:rFonts w:ascii="Verdana" w:hAnsi="Verdana"/>
          <w:sz w:val="16"/>
          <w:szCs w:val="16"/>
          <w:lang w:val="es-AR"/>
        </w:rPr>
      </w:pPr>
      <w:r w:rsidRPr="001067EF">
        <w:rPr>
          <w:rFonts w:ascii="Verdana" w:hAnsi="Verdana"/>
          <w:sz w:val="16"/>
          <w:szCs w:val="16"/>
          <w:lang w:val="es-AR"/>
        </w:rPr>
        <w:t>[…] e) Los derechos económicos, sociales y culturales, en particular:</w:t>
      </w:r>
    </w:p>
    <w:p w14:paraId="32BE519D" w14:textId="77777777" w:rsidR="00E46F1E" w:rsidRPr="001067EF" w:rsidRDefault="00E46F1E" w:rsidP="00C40460">
      <w:pPr>
        <w:pStyle w:val="Textonotapie"/>
        <w:spacing w:after="120"/>
        <w:jc w:val="both"/>
        <w:rPr>
          <w:rFonts w:ascii="Verdana" w:hAnsi="Verdana"/>
          <w:sz w:val="16"/>
          <w:szCs w:val="16"/>
          <w:lang w:val="es-AR"/>
        </w:rPr>
      </w:pPr>
      <w:r w:rsidRPr="001067EF">
        <w:rPr>
          <w:rFonts w:ascii="Verdana" w:hAnsi="Verdana"/>
          <w:sz w:val="16"/>
          <w:szCs w:val="16"/>
          <w:lang w:val="es-AR"/>
        </w:rPr>
        <w:t xml:space="preserve">[…] </w:t>
      </w:r>
      <w:proofErr w:type="spellStart"/>
      <w:r w:rsidRPr="001067EF">
        <w:rPr>
          <w:rFonts w:ascii="Verdana" w:hAnsi="Verdana"/>
          <w:sz w:val="16"/>
          <w:szCs w:val="16"/>
        </w:rPr>
        <w:t>iv</w:t>
      </w:r>
      <w:proofErr w:type="spellEnd"/>
      <w:r w:rsidRPr="001067EF">
        <w:rPr>
          <w:rFonts w:ascii="Verdana" w:hAnsi="Verdana"/>
          <w:sz w:val="16"/>
          <w:szCs w:val="16"/>
        </w:rPr>
        <w:t>) El derecho a la salud pública, la asistencia médica, la seguridad social y los servicios sociales […]</w:t>
      </w:r>
    </w:p>
  </w:footnote>
  <w:footnote w:id="126">
    <w:p w14:paraId="4A4DB60C" w14:textId="77777777" w:rsidR="00E46F1E" w:rsidRPr="001067EF" w:rsidRDefault="00E46F1E" w:rsidP="00C40460">
      <w:pPr>
        <w:pStyle w:val="Textonotapie"/>
        <w:spacing w:after="120"/>
        <w:jc w:val="both"/>
        <w:rPr>
          <w:rFonts w:ascii="Verdana" w:hAnsi="Verdana"/>
          <w:sz w:val="16"/>
          <w:szCs w:val="16"/>
          <w:lang w:val="es-AR"/>
        </w:rPr>
      </w:pPr>
      <w:r w:rsidRPr="001067EF">
        <w:rPr>
          <w:rStyle w:val="Refdenotaalpie"/>
          <w:rFonts w:ascii="Verdana" w:hAnsi="Verdana"/>
          <w:sz w:val="16"/>
          <w:szCs w:val="16"/>
        </w:rPr>
        <w:footnoteRef/>
      </w:r>
      <w:r w:rsidRPr="001067EF">
        <w:rPr>
          <w:rStyle w:val="Refdenotaalpie"/>
          <w:rFonts w:ascii="Verdana" w:hAnsi="Verdana"/>
          <w:sz w:val="16"/>
          <w:szCs w:val="16"/>
          <w:lang w:val="es-CR"/>
        </w:rPr>
        <w:t xml:space="preserve"> </w:t>
      </w:r>
      <w:r w:rsidRPr="001067EF">
        <w:rPr>
          <w:rStyle w:val="Refdenotaalpie"/>
          <w:rFonts w:ascii="Verdana" w:hAnsi="Verdana"/>
          <w:sz w:val="16"/>
          <w:szCs w:val="16"/>
          <w:lang w:val="es-CR"/>
        </w:rPr>
        <w:tab/>
      </w:r>
      <w:r w:rsidRPr="001067EF">
        <w:rPr>
          <w:rFonts w:ascii="Verdana" w:hAnsi="Verdana"/>
          <w:sz w:val="16"/>
          <w:szCs w:val="16"/>
          <w:lang w:val="es-CR"/>
        </w:rPr>
        <w:t xml:space="preserve">Aprobada por la Asamblea General </w:t>
      </w:r>
      <w:r w:rsidRPr="001067EF">
        <w:rPr>
          <w:rFonts w:ascii="Verdana" w:hAnsi="Verdana"/>
          <w:sz w:val="16"/>
          <w:szCs w:val="16"/>
          <w:lang w:val="es-AR"/>
        </w:rPr>
        <w:t xml:space="preserve">de la ONU </w:t>
      </w:r>
      <w:r w:rsidRPr="001067EF">
        <w:rPr>
          <w:rFonts w:ascii="Verdana" w:hAnsi="Verdana"/>
          <w:sz w:val="16"/>
          <w:szCs w:val="16"/>
          <w:lang w:val="es-CR"/>
        </w:rPr>
        <w:t>el 18 de diciembre de 1979. Entrada en vigencia el 3 de septiembre de 1981.</w:t>
      </w:r>
      <w:r w:rsidRPr="001067EF">
        <w:rPr>
          <w:rFonts w:ascii="Verdana" w:hAnsi="Verdana"/>
          <w:sz w:val="16"/>
          <w:szCs w:val="16"/>
          <w:lang w:val="es-AR"/>
        </w:rPr>
        <w:t xml:space="preserve"> Artículo 12. 1. Los Estados Partes adoptarán todas las medidas apropiadas para eliminar la discriminación contra la mujer en la esfera de la atención médica a fin de asegurar, en condiciones de igualdad entre hombres y mujeres, el acceso a servicios de atención médica, inclusive los que se refieren a la planificación de la familia.</w:t>
      </w:r>
    </w:p>
  </w:footnote>
  <w:footnote w:id="127">
    <w:p w14:paraId="224DC52D" w14:textId="77777777" w:rsidR="00E46F1E" w:rsidRPr="001067EF" w:rsidRDefault="00E46F1E" w:rsidP="00C40460">
      <w:pPr>
        <w:pStyle w:val="Textonotapie"/>
        <w:spacing w:after="120"/>
        <w:jc w:val="both"/>
        <w:rPr>
          <w:rFonts w:ascii="Verdana" w:hAnsi="Verdana"/>
          <w:sz w:val="16"/>
          <w:szCs w:val="16"/>
          <w:lang w:val="es-AR"/>
        </w:rPr>
      </w:pPr>
      <w:r w:rsidRPr="001067EF">
        <w:rPr>
          <w:rStyle w:val="Refdenotaalpie"/>
          <w:rFonts w:ascii="Verdana" w:hAnsi="Verdana"/>
          <w:sz w:val="16"/>
          <w:szCs w:val="16"/>
        </w:rPr>
        <w:footnoteRef/>
      </w:r>
      <w:r w:rsidRPr="001067EF">
        <w:rPr>
          <w:rFonts w:ascii="Verdana" w:hAnsi="Verdana"/>
          <w:sz w:val="16"/>
          <w:szCs w:val="16"/>
          <w:lang w:val="es-AR"/>
        </w:rPr>
        <w:t xml:space="preserve"> </w:t>
      </w:r>
      <w:r w:rsidRPr="001067EF">
        <w:rPr>
          <w:rFonts w:ascii="Verdana" w:hAnsi="Verdana"/>
          <w:sz w:val="16"/>
          <w:szCs w:val="16"/>
          <w:lang w:val="es-AR"/>
        </w:rPr>
        <w:tab/>
        <w:t xml:space="preserve">Adoptada por la Asamblea General de la ONU en su Resolución 44/25, de 20 de noviembre de 1989. Entrada en vigor el 2 de septiembre de 1990. Ratificado por Chile el 14 de agosto de 1990. Artículo 24. 1. Los Estados Partes reconocen el derecho del niño al disfrute del más alto nivel posible de salud y a servicios para el tratamiento de las enfermedades y la rehabilitación de la salud. Los Estados Partes se esforzarán por asegurar que ningún niño sea privado de su derecho al disfrute de esos servicios sanitarios [...] </w:t>
      </w:r>
    </w:p>
  </w:footnote>
  <w:footnote w:id="128">
    <w:p w14:paraId="1C920885" w14:textId="77777777" w:rsidR="00E46F1E" w:rsidRPr="001067EF" w:rsidRDefault="00E46F1E" w:rsidP="00C40460">
      <w:pPr>
        <w:pStyle w:val="Textonotapie"/>
        <w:spacing w:after="120"/>
        <w:jc w:val="both"/>
        <w:rPr>
          <w:rFonts w:ascii="Verdana" w:hAnsi="Verdana"/>
          <w:sz w:val="16"/>
          <w:szCs w:val="16"/>
          <w:lang w:val="es-AR"/>
        </w:rPr>
      </w:pPr>
      <w:r w:rsidRPr="001067EF">
        <w:rPr>
          <w:rStyle w:val="Refdenotaalpie"/>
          <w:rFonts w:ascii="Verdana" w:hAnsi="Verdana"/>
          <w:sz w:val="16"/>
          <w:szCs w:val="16"/>
        </w:rPr>
        <w:footnoteRef/>
      </w:r>
      <w:r w:rsidRPr="001067EF">
        <w:rPr>
          <w:rFonts w:ascii="Verdana" w:hAnsi="Verdana"/>
          <w:sz w:val="16"/>
          <w:szCs w:val="16"/>
          <w:lang w:val="es-AR"/>
        </w:rPr>
        <w:t xml:space="preserve"> </w:t>
      </w:r>
      <w:r w:rsidRPr="001067EF">
        <w:rPr>
          <w:rFonts w:ascii="Verdana" w:hAnsi="Verdana"/>
          <w:sz w:val="16"/>
          <w:szCs w:val="16"/>
          <w:lang w:val="es-AR"/>
        </w:rPr>
        <w:tab/>
        <w:t xml:space="preserve">Adoptada por la Asamblea General de la ONU en su Resolución 45/158, de 18 de diciembre de 1990. Ratificado por Chile el 12 de abril de 2005. Artículo 28. Los trabajadores migratorios y sus familiares tendrán derecho a recibir cualquier tipo de atención médica urgente que resulte necesaria para preservar su vida o para evitar daños irreparables a su salud en condiciones de igualdad de trato con los nacionales del Estado de que se trate. Esa atención médica de urgencia no podrá negarse por motivos de irregularidad en lo que respecta a la permanencia o al empleo. </w:t>
      </w:r>
    </w:p>
  </w:footnote>
  <w:footnote w:id="129">
    <w:p w14:paraId="295DA07F" w14:textId="5501BB32" w:rsidR="00E46F1E" w:rsidRPr="001067EF" w:rsidRDefault="00E46F1E" w:rsidP="00C40460">
      <w:pPr>
        <w:pStyle w:val="Textonotapie"/>
        <w:spacing w:after="120"/>
        <w:jc w:val="both"/>
        <w:rPr>
          <w:rFonts w:ascii="Verdana" w:hAnsi="Verdana"/>
          <w:sz w:val="16"/>
          <w:szCs w:val="16"/>
          <w:lang w:val="es-AR"/>
        </w:rPr>
      </w:pPr>
      <w:r w:rsidRPr="001067EF">
        <w:rPr>
          <w:rStyle w:val="Refdenotaalpie"/>
          <w:rFonts w:ascii="Verdana" w:hAnsi="Verdana"/>
          <w:sz w:val="16"/>
          <w:szCs w:val="16"/>
        </w:rPr>
        <w:footnoteRef/>
      </w:r>
      <w:r w:rsidRPr="001067EF">
        <w:rPr>
          <w:rFonts w:ascii="Verdana" w:hAnsi="Verdana"/>
          <w:sz w:val="16"/>
          <w:szCs w:val="16"/>
          <w:lang w:val="es-AR"/>
        </w:rPr>
        <w:t xml:space="preserve"> </w:t>
      </w:r>
      <w:r w:rsidRPr="001067EF">
        <w:rPr>
          <w:rFonts w:ascii="Verdana" w:hAnsi="Verdana"/>
          <w:sz w:val="16"/>
          <w:szCs w:val="16"/>
          <w:lang w:val="es-AR"/>
        </w:rPr>
        <w:tab/>
        <w:t>Aprobada por la Asamblea General de la ONU el 13 de diciembre de 2006. Entrada en vigor el 3 de mayo de 2008.  Ratificada por Chile el 25 de agosto de 2008. Artículo 25. Los Estados Partes reconocen que las personas con discapacidad tienen derecho a gozar del más alto nivel posible de salud sin discriminación por motivos de discapacidad. Los Estados Partes adoptarán las medidas pertinentes para asegurar el acceso de las personas con discapacidad a servicios de salud que tengan en cuenta las cuestiones de género, incluida la rehabilita</w:t>
      </w:r>
      <w:r>
        <w:rPr>
          <w:rFonts w:ascii="Verdana" w:hAnsi="Verdana"/>
          <w:sz w:val="16"/>
          <w:szCs w:val="16"/>
          <w:lang w:val="es-AR"/>
        </w:rPr>
        <w:t>ción relacionada con la salud.</w:t>
      </w:r>
    </w:p>
  </w:footnote>
  <w:footnote w:id="130">
    <w:p w14:paraId="07E2FB3C" w14:textId="77777777" w:rsidR="00E46F1E" w:rsidRPr="001067EF" w:rsidRDefault="00E46F1E" w:rsidP="00C40460">
      <w:pPr>
        <w:pStyle w:val="Textonotapie"/>
        <w:spacing w:after="120"/>
        <w:jc w:val="both"/>
        <w:rPr>
          <w:rFonts w:ascii="Verdana" w:hAnsi="Verdana"/>
          <w:sz w:val="16"/>
          <w:szCs w:val="16"/>
          <w:lang w:val="es-CR"/>
        </w:rPr>
      </w:pPr>
      <w:r w:rsidRPr="001067EF">
        <w:rPr>
          <w:rStyle w:val="Refdenotaalpie"/>
          <w:rFonts w:ascii="Verdana" w:hAnsi="Verdana"/>
          <w:sz w:val="16"/>
          <w:szCs w:val="16"/>
        </w:rPr>
        <w:footnoteRef/>
      </w:r>
      <w:r w:rsidRPr="001067EF">
        <w:rPr>
          <w:rFonts w:ascii="Verdana" w:hAnsi="Verdana"/>
          <w:sz w:val="16"/>
          <w:szCs w:val="16"/>
          <w:lang w:val="es-CR"/>
        </w:rPr>
        <w:t xml:space="preserve">   </w:t>
      </w:r>
      <w:r w:rsidRPr="001067EF">
        <w:rPr>
          <w:rFonts w:ascii="Verdana" w:hAnsi="Verdana"/>
          <w:sz w:val="16"/>
          <w:szCs w:val="16"/>
          <w:lang w:val="es-CR"/>
        </w:rPr>
        <w:tab/>
        <w:t>Aprobada en la Segunda Sesión Plenaria de la Asamblea General de la OEA, celebrada el 4 de junio de 2012. En su artículo 17 contempla la reafirmación de los Estados de que el goce del grado máximo de salud que se pueda lograr es uno de los derechos fundamentales de todo ser humano sin discriminación y su reconocimiento de que la salud es una condición fundamental para la inclusión y cohesión social, el desarrollo integral y el crecimiento económico con equidad. A su vez, por lo que respecta al desarrollo integral, prevé en el artículo 33, segundo párrafo, la mención expresa al campo de la salud.</w:t>
      </w:r>
    </w:p>
  </w:footnote>
  <w:footnote w:id="131">
    <w:p w14:paraId="29CCF122" w14:textId="77777777" w:rsidR="00E46F1E" w:rsidRPr="001067EF" w:rsidRDefault="00E46F1E" w:rsidP="00C40460">
      <w:pPr>
        <w:pStyle w:val="Textonotapie"/>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sz w:val="16"/>
          <w:szCs w:val="16"/>
          <w:lang w:val="es-AR"/>
        </w:rPr>
        <w:t xml:space="preserve">Consejo de Europa (Estrasburgo). Aprobada en Turín el 18 de octubre de </w:t>
      </w:r>
      <w:proofErr w:type="gramStart"/>
      <w:r w:rsidRPr="001067EF">
        <w:rPr>
          <w:rFonts w:ascii="Verdana" w:hAnsi="Verdana"/>
          <w:sz w:val="16"/>
          <w:szCs w:val="16"/>
          <w:lang w:val="es-AR"/>
        </w:rPr>
        <w:t>1961..</w:t>
      </w:r>
      <w:proofErr w:type="gramEnd"/>
      <w:r w:rsidRPr="001067EF">
        <w:rPr>
          <w:rFonts w:ascii="Verdana" w:hAnsi="Verdana"/>
          <w:sz w:val="16"/>
          <w:szCs w:val="16"/>
          <w:lang w:val="es-AR"/>
        </w:rPr>
        <w:t xml:space="preserve"> Artículo 11: Derecho a la protección de la salud. Para garantizar el ejercicio efectivo del derecho a la protección de la salud, las partes contratantes se comprometen a adoptar, directamente o en cooperación con organizaciones públicas o privadas, medidas adecuadas para entre otros fines: 1) Eliminar, en lo posible, las causas de una salud </w:t>
      </w:r>
      <w:proofErr w:type="gramStart"/>
      <w:r w:rsidRPr="001067EF">
        <w:rPr>
          <w:rFonts w:ascii="Verdana" w:hAnsi="Verdana"/>
          <w:sz w:val="16"/>
          <w:szCs w:val="16"/>
          <w:lang w:val="es-AR"/>
        </w:rPr>
        <w:t>deficiente;.</w:t>
      </w:r>
      <w:proofErr w:type="gramEnd"/>
      <w:r w:rsidRPr="001067EF">
        <w:rPr>
          <w:rFonts w:ascii="Verdana" w:hAnsi="Verdana"/>
          <w:sz w:val="16"/>
          <w:szCs w:val="16"/>
          <w:lang w:val="es-AR"/>
        </w:rPr>
        <w:t xml:space="preserve"> 2) Establecer servicios educacionales y de consulta dirigidos a la mejora de la salud y a estimular el sentido de responsabilidad individual en lo concerniente a la misma, [y].  3) Prevenir, en lo posible, las enfermedades epidérmicas, endémicas y otras.</w:t>
      </w:r>
    </w:p>
  </w:footnote>
  <w:footnote w:id="132">
    <w:p w14:paraId="364B7201" w14:textId="77777777" w:rsidR="00E46F1E" w:rsidRPr="001067EF" w:rsidRDefault="00E46F1E" w:rsidP="00C40460">
      <w:pPr>
        <w:pStyle w:val="Textonotapie"/>
        <w:spacing w:after="120"/>
        <w:jc w:val="both"/>
        <w:rPr>
          <w:rFonts w:ascii="Verdana" w:hAnsi="Verdana"/>
          <w:sz w:val="16"/>
          <w:szCs w:val="16"/>
          <w:lang w:val="es-AR"/>
        </w:rPr>
      </w:pPr>
      <w:r w:rsidRPr="001067EF">
        <w:rPr>
          <w:rStyle w:val="Refdenotaalpie"/>
          <w:rFonts w:ascii="Verdana" w:hAnsi="Verdana"/>
          <w:sz w:val="16"/>
          <w:szCs w:val="16"/>
        </w:rPr>
        <w:footnoteRef/>
      </w:r>
      <w:r w:rsidRPr="001067EF">
        <w:rPr>
          <w:rFonts w:ascii="Verdana" w:hAnsi="Verdana"/>
          <w:sz w:val="16"/>
          <w:szCs w:val="16"/>
          <w:lang w:val="es-AR"/>
        </w:rPr>
        <w:t xml:space="preserve">    </w:t>
      </w:r>
      <w:r w:rsidRPr="001067EF">
        <w:rPr>
          <w:rFonts w:ascii="Verdana" w:hAnsi="Verdana"/>
          <w:sz w:val="16"/>
          <w:szCs w:val="16"/>
          <w:lang w:val="es-AR"/>
        </w:rPr>
        <w:tab/>
        <w:t xml:space="preserve">Aprobada durante la XVIII Asamblea de Jefes de Estado y Gobierno de la Organización de la Unidad Africana, reunida en Nairobi, </w:t>
      </w:r>
      <w:proofErr w:type="spellStart"/>
      <w:r w:rsidRPr="001067EF">
        <w:rPr>
          <w:rFonts w:ascii="Verdana" w:hAnsi="Verdana"/>
          <w:sz w:val="16"/>
          <w:szCs w:val="16"/>
          <w:lang w:val="es-AR"/>
        </w:rPr>
        <w:t>Kenya</w:t>
      </w:r>
      <w:proofErr w:type="spellEnd"/>
      <w:r w:rsidRPr="001067EF">
        <w:rPr>
          <w:rFonts w:ascii="Verdana" w:hAnsi="Verdana"/>
          <w:sz w:val="16"/>
          <w:szCs w:val="16"/>
          <w:lang w:val="es-AR"/>
        </w:rPr>
        <w:t xml:space="preserve">, el 27 de julio de 1981. Artículo 16. 1. Todo individuo tendrá derecho a disfrutar del mejor estado físico y mental posible, [y] 2. </w:t>
      </w:r>
      <w:proofErr w:type="gramStart"/>
      <w:r w:rsidRPr="001067EF">
        <w:rPr>
          <w:rFonts w:ascii="Verdana" w:hAnsi="Verdana"/>
          <w:sz w:val="16"/>
          <w:szCs w:val="16"/>
          <w:lang w:val="es-AR"/>
        </w:rPr>
        <w:t>Los  Estados</w:t>
      </w:r>
      <w:proofErr w:type="gramEnd"/>
      <w:r w:rsidRPr="001067EF">
        <w:rPr>
          <w:rFonts w:ascii="Verdana" w:hAnsi="Verdana"/>
          <w:sz w:val="16"/>
          <w:szCs w:val="16"/>
          <w:lang w:val="es-AR"/>
        </w:rPr>
        <w:t xml:space="preserve">  firmantes  de  la  presente  Carta  tomarán  las  medidas  necesarias  para  proteger  la  salud  de  su pueblo y asegurarse de que reciben asistencia médica cuando están enfermos.</w:t>
      </w:r>
    </w:p>
  </w:footnote>
  <w:footnote w:id="133">
    <w:p w14:paraId="0761633D" w14:textId="77777777" w:rsidR="00E46F1E" w:rsidRPr="001067EF" w:rsidRDefault="00E46F1E" w:rsidP="00C40460">
      <w:pPr>
        <w:pStyle w:val="Textonotapie"/>
        <w:spacing w:after="120"/>
        <w:jc w:val="both"/>
        <w:rPr>
          <w:rFonts w:ascii="Verdana" w:hAnsi="Verdana"/>
          <w:sz w:val="16"/>
          <w:szCs w:val="16"/>
          <w:lang w:val="es-AR"/>
        </w:rPr>
      </w:pPr>
      <w:r w:rsidRPr="001067EF">
        <w:rPr>
          <w:rStyle w:val="Refdenotaalpie"/>
          <w:rFonts w:ascii="Verdana" w:hAnsi="Verdana"/>
          <w:sz w:val="16"/>
          <w:szCs w:val="16"/>
        </w:rPr>
        <w:footnoteRef/>
      </w:r>
      <w:r w:rsidRPr="001067EF">
        <w:rPr>
          <w:rStyle w:val="Refdenotaalpie"/>
          <w:rFonts w:ascii="Verdana" w:hAnsi="Verdana"/>
          <w:sz w:val="16"/>
          <w:szCs w:val="16"/>
        </w:rPr>
        <w:t xml:space="preserve">  </w:t>
      </w:r>
      <w:r w:rsidRPr="001067EF">
        <w:rPr>
          <w:rFonts w:ascii="Verdana" w:hAnsi="Verdana"/>
          <w:sz w:val="16"/>
          <w:szCs w:val="16"/>
        </w:rPr>
        <w:t xml:space="preserve">  </w:t>
      </w:r>
      <w:r w:rsidRPr="001067EF">
        <w:rPr>
          <w:rFonts w:ascii="Verdana" w:hAnsi="Verdana"/>
          <w:sz w:val="16"/>
          <w:szCs w:val="16"/>
          <w:lang w:val="es-AR"/>
        </w:rPr>
        <w:t xml:space="preserve"> </w:t>
      </w:r>
      <w:r w:rsidRPr="001067EF">
        <w:rPr>
          <w:rFonts w:ascii="Verdana" w:hAnsi="Verdana"/>
          <w:sz w:val="16"/>
          <w:szCs w:val="16"/>
          <w:lang w:val="es-AR"/>
        </w:rPr>
        <w:tab/>
        <w:t>Adoptada en el Quinto Período Ordinario de Sesiones de la Asamblea General de la OEA en Washington, D.C., el 15 de junio de 2015. Entrada en vigencia el 11 de enero de 2017. Ratificada por Chile el 7 de noviembre de 2017. Artículo 19. Derecho a la salud. La persona mayor tiene derecho a su salud física y mental, sin ningún tipo de discriminación. Los Estados Parte deberán diseñar e implementar políticas públicas intersectoriales de salud orientadas a una atención integral que incluya la promoción de la salud, la prevención y la atención de la enfermedad en todas las etapas, y la rehabilitación y los cuidados paliativos de la persona mayor a fin de propiciar el disfrute del más alto nivel de bienestar, físico, mental y social […]. Por lo que al presente análisis atañe, cabe señalar que en el citado dispositivo no resulta exigible al momento de acaecer los hechos del caso.</w:t>
      </w:r>
    </w:p>
  </w:footnote>
  <w:footnote w:id="134">
    <w:p w14:paraId="3E28CA97" w14:textId="77777777" w:rsidR="00E46F1E" w:rsidRPr="001067EF" w:rsidRDefault="00E46F1E" w:rsidP="00C40460">
      <w:pPr>
        <w:pStyle w:val="Textonotapie"/>
        <w:spacing w:after="120"/>
        <w:jc w:val="both"/>
        <w:rPr>
          <w:rFonts w:ascii="Verdana" w:hAnsi="Verdana"/>
          <w:sz w:val="16"/>
          <w:szCs w:val="16"/>
          <w:lang w:val="es-AR"/>
        </w:rPr>
      </w:pPr>
      <w:r w:rsidRPr="001067EF">
        <w:rPr>
          <w:rStyle w:val="Refdenotaalpie"/>
          <w:rFonts w:ascii="Verdana" w:hAnsi="Verdana"/>
          <w:sz w:val="16"/>
          <w:szCs w:val="16"/>
        </w:rPr>
        <w:footnoteRef/>
      </w:r>
      <w:r w:rsidRPr="001067EF">
        <w:rPr>
          <w:rStyle w:val="Refdenotaalpie"/>
          <w:rFonts w:ascii="Verdana" w:hAnsi="Verdana"/>
          <w:sz w:val="16"/>
          <w:szCs w:val="16"/>
          <w:lang w:val="es-AR"/>
        </w:rPr>
        <w:t xml:space="preserve">  </w:t>
      </w:r>
      <w:r w:rsidRPr="001067EF">
        <w:rPr>
          <w:rFonts w:ascii="Verdana" w:hAnsi="Verdana"/>
          <w:sz w:val="16"/>
          <w:szCs w:val="16"/>
          <w:lang w:val="es-AR"/>
        </w:rPr>
        <w:t xml:space="preserve">   </w:t>
      </w:r>
      <w:r w:rsidRPr="001067EF">
        <w:rPr>
          <w:rFonts w:ascii="Verdana" w:hAnsi="Verdana"/>
          <w:sz w:val="16"/>
          <w:szCs w:val="16"/>
          <w:lang w:val="es-AR"/>
        </w:rPr>
        <w:tab/>
        <w:t>Conferencia Mundial de Derechos Humanos, aprobados el 25 de junio de 1993, Viena. Apartado 41. La Conferencia Mundial de Derechos Humanos reconoce la importancia del disfrute por la mujer del más alto nivel de salud física y mental durante toda su vida. En el contexto de la Conferencia Mundial sobre la Mujer y de la Convención sobre la Eliminación de Todas las Formas de Discriminación contra la Mujer, así como de la Proclamación de Teherán de 1968, la Conferencia reafirma, sobre la base de la igualdad entre hombres y mujeres, el derecho de la mujer a tener acceso a una atención de salud adecuada y a la más amplia gama de servicios de planificación familiar, así como a la igualdad de acceso a la educación a todos los niveles.</w:t>
      </w:r>
    </w:p>
  </w:footnote>
  <w:footnote w:id="135">
    <w:p w14:paraId="3DF0DBDF" w14:textId="77777777" w:rsidR="00E46F1E" w:rsidRPr="001067EF" w:rsidRDefault="00E46F1E" w:rsidP="00C40460">
      <w:pPr>
        <w:pStyle w:val="Textonotapie"/>
        <w:spacing w:after="120"/>
        <w:jc w:val="both"/>
        <w:rPr>
          <w:rFonts w:ascii="Verdana" w:hAnsi="Verdana"/>
          <w:sz w:val="16"/>
          <w:szCs w:val="16"/>
          <w:lang w:val="es-AR"/>
        </w:rPr>
      </w:pPr>
      <w:r w:rsidRPr="001067EF">
        <w:rPr>
          <w:rStyle w:val="Refdenotaalpie"/>
          <w:rFonts w:ascii="Verdana" w:hAnsi="Verdana"/>
          <w:sz w:val="16"/>
          <w:szCs w:val="16"/>
        </w:rPr>
        <w:footnoteRef/>
      </w:r>
      <w:r w:rsidRPr="001067EF">
        <w:rPr>
          <w:rStyle w:val="Refdenotaalpie"/>
          <w:rFonts w:ascii="Verdana" w:hAnsi="Verdana"/>
          <w:sz w:val="16"/>
          <w:szCs w:val="16"/>
          <w:lang w:val="es-AR"/>
        </w:rPr>
        <w:t xml:space="preserve"> </w:t>
      </w:r>
      <w:r w:rsidRPr="001067EF">
        <w:rPr>
          <w:rFonts w:ascii="Verdana" w:hAnsi="Verdana"/>
          <w:sz w:val="16"/>
          <w:szCs w:val="16"/>
          <w:lang w:val="es-AR"/>
        </w:rPr>
        <w:t xml:space="preserve">   </w:t>
      </w:r>
      <w:r w:rsidRPr="001067EF">
        <w:rPr>
          <w:rFonts w:ascii="Verdana" w:hAnsi="Verdana"/>
          <w:sz w:val="16"/>
          <w:szCs w:val="16"/>
          <w:lang w:val="es-AR"/>
        </w:rPr>
        <w:tab/>
        <w:t xml:space="preserve">Resulta relevante para el análisis del derecho a la salud, la </w:t>
      </w:r>
      <w:r w:rsidRPr="001067EF">
        <w:rPr>
          <w:rFonts w:ascii="Verdana" w:hAnsi="Verdana"/>
          <w:i/>
          <w:sz w:val="16"/>
          <w:szCs w:val="16"/>
          <w:lang w:val="es-AR"/>
        </w:rPr>
        <w:t>Observación General No. 14: “El derecho al disfrute del más alto nivel posible de salud”</w:t>
      </w:r>
      <w:r w:rsidRPr="001067EF">
        <w:rPr>
          <w:rFonts w:ascii="Verdana" w:hAnsi="Verdana"/>
          <w:sz w:val="16"/>
          <w:szCs w:val="16"/>
          <w:lang w:val="es-AR"/>
        </w:rPr>
        <w:t xml:space="preserve">, del Comité DESC, la cual será abordada </w:t>
      </w:r>
      <w:r w:rsidRPr="001067EF">
        <w:rPr>
          <w:rFonts w:ascii="Verdana" w:hAnsi="Verdana"/>
          <w:i/>
          <w:sz w:val="16"/>
          <w:szCs w:val="16"/>
          <w:lang w:val="es-AR"/>
        </w:rPr>
        <w:t>infra</w:t>
      </w:r>
      <w:r w:rsidRPr="001067EF">
        <w:rPr>
          <w:rFonts w:ascii="Verdana" w:hAnsi="Verdana"/>
          <w:sz w:val="16"/>
          <w:szCs w:val="16"/>
          <w:lang w:val="es-AR"/>
        </w:rPr>
        <w:t xml:space="preserve">. Revisten también utilidad las Observaciones del Comité de los Derechos del Niño, en particular la </w:t>
      </w:r>
      <w:r w:rsidRPr="001067EF">
        <w:rPr>
          <w:rFonts w:ascii="Verdana" w:hAnsi="Verdana"/>
          <w:i/>
          <w:sz w:val="16"/>
          <w:szCs w:val="16"/>
          <w:lang w:val="es-AR"/>
        </w:rPr>
        <w:t>Observación General No. 3: “El VIH/SIDA y los derechos del niño”,</w:t>
      </w:r>
      <w:r w:rsidRPr="001067EF">
        <w:rPr>
          <w:rFonts w:ascii="Verdana" w:hAnsi="Verdana"/>
          <w:sz w:val="16"/>
          <w:szCs w:val="16"/>
          <w:lang w:val="es-AR"/>
        </w:rPr>
        <w:t xml:space="preserve"> CRC/GC/2003/3 (2003), así como la </w:t>
      </w:r>
      <w:r w:rsidRPr="001067EF">
        <w:rPr>
          <w:rFonts w:ascii="Verdana" w:hAnsi="Verdana"/>
          <w:i/>
          <w:sz w:val="16"/>
          <w:szCs w:val="16"/>
          <w:lang w:val="es-AR"/>
        </w:rPr>
        <w:t>Observación General No. 4: “La salud y el desarrollo de los adolescentes en el contexto de la Convención sobre los Derechos del Niño”</w:t>
      </w:r>
      <w:r w:rsidRPr="001067EF">
        <w:rPr>
          <w:rFonts w:ascii="Verdana" w:hAnsi="Verdana"/>
          <w:sz w:val="16"/>
          <w:szCs w:val="16"/>
          <w:lang w:val="es-AR"/>
        </w:rPr>
        <w:t xml:space="preserve">, CRC/GC/2003/4 (2003). Asimismo, la </w:t>
      </w:r>
      <w:r w:rsidRPr="001067EF">
        <w:rPr>
          <w:rFonts w:ascii="Verdana" w:hAnsi="Verdana"/>
          <w:i/>
          <w:sz w:val="16"/>
          <w:szCs w:val="16"/>
          <w:lang w:val="es-AR"/>
        </w:rPr>
        <w:t>Recomendación General No. 24</w:t>
      </w:r>
      <w:r w:rsidRPr="001067EF">
        <w:rPr>
          <w:rFonts w:ascii="Verdana" w:hAnsi="Verdana"/>
          <w:sz w:val="16"/>
          <w:szCs w:val="16"/>
          <w:lang w:val="es-AR"/>
        </w:rPr>
        <w:t xml:space="preserve"> del Comité sobre la Eliminación de la Discriminación contra la Mujer, </w:t>
      </w:r>
      <w:r w:rsidRPr="001067EF">
        <w:rPr>
          <w:rFonts w:ascii="Verdana" w:hAnsi="Verdana"/>
          <w:i/>
          <w:sz w:val="16"/>
          <w:szCs w:val="16"/>
          <w:lang w:val="es-AR"/>
        </w:rPr>
        <w:t>“Artículo 12 de la Convención sobre la Eliminación de Todas las Formas de Discriminación contra la Mujer - La mujer y la salud”</w:t>
      </w:r>
      <w:r w:rsidRPr="001067EF">
        <w:rPr>
          <w:rFonts w:ascii="Verdana" w:hAnsi="Verdana"/>
          <w:sz w:val="16"/>
          <w:szCs w:val="16"/>
          <w:lang w:val="es-AR"/>
        </w:rPr>
        <w:t xml:space="preserve"> de 2 de febrero de 1999, A/54/38/Rev.1, y los Informes de Relatores Especiales de la Comisión de Derechos Humanos sobre el Derecho a la Salud. ONU. </w:t>
      </w:r>
      <w:r w:rsidRPr="001067EF">
        <w:rPr>
          <w:rFonts w:ascii="Verdana" w:hAnsi="Verdana"/>
          <w:sz w:val="16"/>
          <w:szCs w:val="16"/>
        </w:rPr>
        <w:t>Comisión de Derechos Humanos,</w:t>
      </w:r>
      <w:r w:rsidRPr="001067EF">
        <w:rPr>
          <w:rFonts w:ascii="Verdana" w:eastAsia="Calibri" w:hAnsi="Verdana"/>
          <w:sz w:val="16"/>
          <w:szCs w:val="16"/>
          <w:lang w:val="es-AR"/>
        </w:rPr>
        <w:t xml:space="preserve"> “</w:t>
      </w:r>
      <w:r w:rsidRPr="001067EF">
        <w:rPr>
          <w:rFonts w:ascii="Verdana" w:hAnsi="Verdana"/>
          <w:i/>
          <w:sz w:val="16"/>
          <w:szCs w:val="16"/>
          <w:lang w:val="es-AR"/>
        </w:rPr>
        <w:t>La no Discriminación en la esfera de la Salud”,</w:t>
      </w:r>
      <w:r w:rsidRPr="001067EF">
        <w:rPr>
          <w:rFonts w:ascii="Verdana" w:hAnsi="Verdana"/>
          <w:sz w:val="16"/>
          <w:szCs w:val="16"/>
          <w:lang w:val="es-AR"/>
        </w:rPr>
        <w:t xml:space="preserve"> Resolución 1989/11. Aprobada en la 46ª Sesión de 2 de marzo de 1989. </w:t>
      </w:r>
    </w:p>
  </w:footnote>
  <w:footnote w:id="136">
    <w:p w14:paraId="30A8B1D6" w14:textId="1871B4A6" w:rsidR="00E46F1E" w:rsidRPr="001067EF" w:rsidRDefault="00E46F1E" w:rsidP="00C40460">
      <w:pPr>
        <w:pStyle w:val="NormalWeb"/>
        <w:spacing w:after="120" w:line="240" w:lineRule="auto"/>
        <w:jc w:val="both"/>
        <w:rPr>
          <w:rFonts w:ascii="Verdana" w:hAnsi="Verdana" w:cs="Arial"/>
          <w:color w:val="000000"/>
          <w:sz w:val="16"/>
          <w:szCs w:val="16"/>
          <w:lang w:val="es-PE"/>
        </w:rPr>
      </w:pPr>
      <w:r w:rsidRPr="001067EF">
        <w:rPr>
          <w:rStyle w:val="Refdenotaalpie"/>
          <w:rFonts w:ascii="Verdana" w:eastAsia="Calibri" w:hAnsi="Verdana"/>
          <w:sz w:val="16"/>
          <w:szCs w:val="16"/>
        </w:rPr>
        <w:footnoteRef/>
      </w:r>
      <w:r w:rsidRPr="001067EF">
        <w:rPr>
          <w:rFonts w:ascii="Verdana" w:hAnsi="Verdana"/>
          <w:sz w:val="16"/>
          <w:szCs w:val="16"/>
          <w:lang w:val="es-PE"/>
        </w:rPr>
        <w:t xml:space="preserve"> </w:t>
      </w:r>
      <w:r w:rsidRPr="001067EF">
        <w:rPr>
          <w:rFonts w:ascii="Verdana" w:hAnsi="Verdana"/>
          <w:sz w:val="16"/>
          <w:szCs w:val="16"/>
          <w:lang w:val="es-PE"/>
        </w:rPr>
        <w:tab/>
        <w:t>El artículo 10 establece que: “</w:t>
      </w:r>
      <w:r w:rsidRPr="001067EF">
        <w:rPr>
          <w:rFonts w:ascii="Verdana" w:hAnsi="Verdana" w:cs="Arial"/>
          <w:bCs/>
          <w:color w:val="000000"/>
          <w:sz w:val="16"/>
          <w:szCs w:val="16"/>
          <w:lang w:val="es-PE"/>
        </w:rPr>
        <w:t>Derecho a la Seguridad Socia</w:t>
      </w:r>
      <w:bookmarkStart w:id="63" w:name="JD_salas1530"/>
      <w:bookmarkEnd w:id="63"/>
      <w:r>
        <w:rPr>
          <w:rFonts w:ascii="Verdana" w:hAnsi="Verdana" w:cs="Arial"/>
          <w:bCs/>
          <w:color w:val="000000"/>
          <w:sz w:val="16"/>
          <w:szCs w:val="16"/>
          <w:lang w:val="es-PE"/>
        </w:rPr>
        <w:t xml:space="preserve">l. Artículo 10.- </w:t>
      </w:r>
      <w:r w:rsidRPr="001067EF">
        <w:rPr>
          <w:rFonts w:ascii="Verdana" w:hAnsi="Verdana" w:cs="Arial"/>
          <w:color w:val="000000"/>
          <w:sz w:val="16"/>
          <w:szCs w:val="16"/>
          <w:lang w:val="es-PE"/>
        </w:rPr>
        <w:t>El Estado reconoce el derecho universal y progresivo de toda persona a la seguridad social, para su protección frente a las contingencias que precise la ley y para la elevación de su calidad de vida. El artículo 11 establece que: “</w:t>
      </w:r>
      <w:r w:rsidRPr="001067EF">
        <w:rPr>
          <w:rFonts w:ascii="Verdana" w:hAnsi="Verdana" w:cs="Arial"/>
          <w:bCs/>
          <w:color w:val="000000"/>
          <w:sz w:val="16"/>
          <w:szCs w:val="16"/>
          <w:lang w:val="es-PE"/>
        </w:rPr>
        <w:t>Libre acceso a las prestaciones de salud y pensione</w:t>
      </w:r>
      <w:bookmarkStart w:id="64" w:name="JD_Const.1993_A11"/>
      <w:bookmarkEnd w:id="64"/>
      <w:r w:rsidRPr="001067EF">
        <w:rPr>
          <w:rFonts w:ascii="Verdana" w:hAnsi="Verdana" w:cs="Arial"/>
          <w:bCs/>
          <w:color w:val="000000"/>
          <w:sz w:val="16"/>
          <w:szCs w:val="16"/>
          <w:lang w:val="es-PE"/>
        </w:rPr>
        <w:t>s. Artículo 11.-</w:t>
      </w:r>
      <w:r w:rsidRPr="001067EF">
        <w:rPr>
          <w:rFonts w:ascii="Verdana" w:hAnsi="Verdana" w:cs="Arial"/>
          <w:color w:val="000000"/>
          <w:sz w:val="16"/>
          <w:szCs w:val="16"/>
          <w:lang w:val="es-PE"/>
        </w:rPr>
        <w:t xml:space="preserve">El Estado garantiza el libre acceso a prestaciones de salud y a pensiones, </w:t>
      </w:r>
      <w:r>
        <w:rPr>
          <w:rFonts w:ascii="Verdana" w:hAnsi="Verdana" w:cs="Arial"/>
          <w:color w:val="000000"/>
          <w:sz w:val="16"/>
          <w:szCs w:val="16"/>
          <w:lang w:val="es-PE"/>
        </w:rPr>
        <w:t xml:space="preserve">a través de entidades </w:t>
      </w:r>
      <w:r w:rsidRPr="001067EF">
        <w:rPr>
          <w:rFonts w:ascii="Verdana" w:hAnsi="Verdana" w:cs="Arial"/>
          <w:color w:val="000000"/>
          <w:sz w:val="16"/>
          <w:szCs w:val="16"/>
          <w:lang w:val="es-PE"/>
        </w:rPr>
        <w:t>públicas, privadas o mixtas. Supervisa asimismo su eficaz funcionamiento.</w:t>
      </w:r>
      <w:r>
        <w:rPr>
          <w:rFonts w:ascii="Verdana" w:hAnsi="Verdana" w:cs="Arial"/>
          <w:color w:val="000000"/>
          <w:sz w:val="16"/>
          <w:szCs w:val="16"/>
          <w:lang w:val="es-PE"/>
        </w:rPr>
        <w:t>”</w:t>
      </w:r>
    </w:p>
  </w:footnote>
  <w:footnote w:id="137">
    <w:p w14:paraId="52BB28D8" w14:textId="77777777" w:rsidR="00E46F1E" w:rsidRPr="001067EF" w:rsidRDefault="00E46F1E" w:rsidP="00C40460">
      <w:pPr>
        <w:pStyle w:val="Textonotapie"/>
        <w:spacing w:after="120"/>
        <w:jc w:val="both"/>
        <w:rPr>
          <w:rStyle w:val="Refdenotaalpie"/>
          <w:rFonts w:ascii="Verdana" w:hAnsi="Verdana"/>
          <w:sz w:val="16"/>
          <w:szCs w:val="16"/>
        </w:rPr>
      </w:pPr>
      <w:r w:rsidRPr="001067EF">
        <w:rPr>
          <w:rStyle w:val="Refdenotaalpie"/>
          <w:rFonts w:ascii="Verdana" w:hAnsi="Verdana"/>
          <w:sz w:val="16"/>
          <w:szCs w:val="16"/>
        </w:rPr>
        <w:footnoteRef/>
      </w:r>
      <w:r w:rsidRPr="001067EF">
        <w:rPr>
          <w:rStyle w:val="Refdenotaalpie"/>
          <w:rFonts w:ascii="Verdana" w:hAnsi="Verdana"/>
          <w:sz w:val="16"/>
          <w:szCs w:val="16"/>
        </w:rPr>
        <w:t xml:space="preserve"> </w:t>
      </w:r>
      <w:r w:rsidRPr="001067EF">
        <w:rPr>
          <w:rFonts w:ascii="Verdana" w:hAnsi="Verdana"/>
          <w:b/>
          <w:sz w:val="16"/>
          <w:szCs w:val="16"/>
        </w:rPr>
        <w:tab/>
      </w:r>
      <w:r w:rsidRPr="001067EF">
        <w:rPr>
          <w:rFonts w:ascii="Verdana" w:hAnsi="Verdana"/>
          <w:sz w:val="16"/>
          <w:szCs w:val="16"/>
          <w:lang w:eastAsia="es-ES"/>
        </w:rPr>
        <w:t xml:space="preserve">Entre las normas constitucionales de los Estados Partes de la Convención Americana, se encuentran: Barbados (art. </w:t>
      </w:r>
      <w:r w:rsidRPr="001067EF">
        <w:rPr>
          <w:rFonts w:ascii="Verdana" w:hAnsi="Verdana"/>
          <w:iCs/>
          <w:sz w:val="16"/>
          <w:szCs w:val="16"/>
          <w:lang w:eastAsia="es-ES"/>
        </w:rPr>
        <w:t xml:space="preserve">17.2.A); </w:t>
      </w:r>
      <w:r w:rsidRPr="001067EF">
        <w:rPr>
          <w:rFonts w:ascii="Verdana" w:hAnsi="Verdana"/>
          <w:sz w:val="16"/>
          <w:szCs w:val="16"/>
          <w:lang w:eastAsia="es-ES"/>
        </w:rPr>
        <w:t xml:space="preserve">Bolivia (art. 35); Brasil (art. 196); Chile (art. 19) Colombia (art. 49); Costa Rica (art. 46); Ecuador (art. 32); El Salvador (art. 65); Guatemala (arts. 93 y 94); Haití (art. 19); Honduras (art. 145); México (art. 4); Nicaragua (art. 59); Panamá (art. 109); Paraguay (art. 68); Perú (art. 70); República Dominicana (art. 61); </w:t>
      </w:r>
      <w:proofErr w:type="spellStart"/>
      <w:r w:rsidRPr="001067EF">
        <w:rPr>
          <w:rFonts w:ascii="Verdana" w:hAnsi="Verdana"/>
          <w:sz w:val="16"/>
          <w:szCs w:val="16"/>
          <w:lang w:eastAsia="es-ES"/>
        </w:rPr>
        <w:t>Suriname</w:t>
      </w:r>
      <w:proofErr w:type="spellEnd"/>
      <w:r w:rsidRPr="001067EF">
        <w:rPr>
          <w:rFonts w:ascii="Verdana" w:hAnsi="Verdana"/>
          <w:sz w:val="16"/>
          <w:szCs w:val="16"/>
          <w:lang w:eastAsia="es-ES"/>
        </w:rPr>
        <w:t xml:space="preserve"> (art. 36); Uruguay (art. 44), </w:t>
      </w:r>
      <w:r w:rsidRPr="001067EF">
        <w:rPr>
          <w:rFonts w:ascii="Verdana" w:hAnsi="Verdana"/>
          <w:iCs/>
          <w:sz w:val="16"/>
          <w:szCs w:val="16"/>
          <w:lang w:eastAsia="es-ES"/>
        </w:rPr>
        <w:t xml:space="preserve">y </w:t>
      </w:r>
      <w:r w:rsidRPr="001067EF">
        <w:rPr>
          <w:rFonts w:ascii="Verdana" w:hAnsi="Verdana"/>
          <w:sz w:val="16"/>
          <w:szCs w:val="16"/>
          <w:lang w:eastAsia="es-ES"/>
        </w:rPr>
        <w:t>Venezuela (art. 83).</w:t>
      </w:r>
    </w:p>
  </w:footnote>
  <w:footnote w:id="138">
    <w:p w14:paraId="711AD8F5" w14:textId="77777777" w:rsidR="00E46F1E" w:rsidRPr="001067EF" w:rsidRDefault="00E46F1E" w:rsidP="00C40460">
      <w:pPr>
        <w:pStyle w:val="Textonotapie"/>
        <w:spacing w:after="120"/>
        <w:jc w:val="both"/>
        <w:rPr>
          <w:rFonts w:ascii="Verdana" w:hAnsi="Verdana"/>
          <w:sz w:val="16"/>
          <w:szCs w:val="16"/>
          <w:lang w:val="es-CR"/>
        </w:rPr>
      </w:pPr>
      <w:r w:rsidRPr="001067EF">
        <w:rPr>
          <w:rStyle w:val="Refdenotaalpie"/>
          <w:rFonts w:ascii="Verdana" w:hAnsi="Verdana"/>
          <w:sz w:val="16"/>
          <w:szCs w:val="16"/>
          <w:lang w:val="es-CR"/>
        </w:rPr>
        <w:footnoteRef/>
      </w:r>
      <w:r w:rsidRPr="001067EF">
        <w:rPr>
          <w:rFonts w:ascii="Verdana" w:hAnsi="Verdana"/>
          <w:sz w:val="16"/>
          <w:szCs w:val="16"/>
          <w:lang w:val="es-CR"/>
        </w:rPr>
        <w:tab/>
      </w:r>
      <w:r w:rsidRPr="001067EF">
        <w:rPr>
          <w:rFonts w:ascii="Verdana" w:hAnsi="Verdana"/>
          <w:i/>
          <w:sz w:val="16"/>
          <w:szCs w:val="16"/>
          <w:lang w:val="es-CR"/>
        </w:rPr>
        <w:t>Cfr. Caso Poblete Vilches y otros Vs. Chile. Fondo, Reparaciones y Costas.</w:t>
      </w:r>
      <w:r w:rsidRPr="001067EF">
        <w:rPr>
          <w:rFonts w:ascii="Verdana" w:hAnsi="Verdana"/>
          <w:sz w:val="16"/>
          <w:szCs w:val="16"/>
          <w:lang w:val="es-CR"/>
        </w:rPr>
        <w:t xml:space="preserve"> Sentencia de 8 de marzo de 2018. Serie C No. </w:t>
      </w:r>
      <w:r w:rsidRPr="00E46F1E">
        <w:rPr>
          <w:rFonts w:ascii="Verdana" w:hAnsi="Verdana"/>
          <w:sz w:val="16"/>
          <w:szCs w:val="16"/>
          <w:lang w:val="es-CR"/>
        </w:rPr>
        <w:t xml:space="preserve">349, párr. 118, </w:t>
      </w:r>
      <w:r w:rsidRPr="00E46F1E">
        <w:rPr>
          <w:rStyle w:val="Textoennegrita"/>
          <w:rFonts w:ascii="Verdana" w:hAnsi="Verdana"/>
          <w:b w:val="0"/>
          <w:i/>
          <w:color w:val="000000"/>
          <w:sz w:val="16"/>
          <w:szCs w:val="16"/>
        </w:rPr>
        <w:t xml:space="preserve">Caso </w:t>
      </w:r>
      <w:proofErr w:type="spellStart"/>
      <w:r w:rsidRPr="00E46F1E">
        <w:rPr>
          <w:rStyle w:val="Textoennegrita"/>
          <w:rFonts w:ascii="Verdana" w:hAnsi="Verdana"/>
          <w:b w:val="0"/>
          <w:i/>
          <w:color w:val="000000"/>
          <w:sz w:val="16"/>
          <w:szCs w:val="16"/>
        </w:rPr>
        <w:t>Cuscul</w:t>
      </w:r>
      <w:proofErr w:type="spellEnd"/>
      <w:r w:rsidRPr="00E46F1E">
        <w:rPr>
          <w:rStyle w:val="Textoennegrita"/>
          <w:rFonts w:ascii="Verdana" w:hAnsi="Verdana"/>
          <w:b w:val="0"/>
          <w:i/>
          <w:color w:val="000000"/>
          <w:sz w:val="16"/>
          <w:szCs w:val="16"/>
        </w:rPr>
        <w:t xml:space="preserve"> Pivaral y otros Vs. Guatemala. Excepción Preliminar, Fondo, Reparaciones y Costas.</w:t>
      </w:r>
      <w:r w:rsidRPr="00E46F1E">
        <w:rPr>
          <w:rStyle w:val="Textoennegrita"/>
          <w:rFonts w:ascii="Verdana" w:hAnsi="Verdana"/>
          <w:b w:val="0"/>
          <w:color w:val="000000"/>
          <w:sz w:val="16"/>
          <w:szCs w:val="16"/>
        </w:rPr>
        <w:t xml:space="preserve"> Sentencia de 23 de agosto de 2018. Serie C No. 359., párr. 105.</w:t>
      </w:r>
    </w:p>
  </w:footnote>
  <w:footnote w:id="139">
    <w:p w14:paraId="2E021DD3" w14:textId="77777777" w:rsidR="00E46F1E" w:rsidRPr="001067EF" w:rsidRDefault="00E46F1E" w:rsidP="00C40460">
      <w:pPr>
        <w:pStyle w:val="Textonotapie"/>
        <w:spacing w:after="120"/>
        <w:jc w:val="both"/>
        <w:rPr>
          <w:rFonts w:ascii="Verdana" w:hAnsi="Verdana"/>
          <w:sz w:val="16"/>
          <w:szCs w:val="16"/>
          <w:lang w:val="es-CR"/>
        </w:rPr>
      </w:pPr>
      <w:r w:rsidRPr="001067EF">
        <w:rPr>
          <w:rStyle w:val="Refdenotaalpie"/>
          <w:rFonts w:ascii="Verdana" w:hAnsi="Verdana"/>
          <w:sz w:val="16"/>
          <w:szCs w:val="16"/>
          <w:lang w:val="es-CR"/>
        </w:rPr>
        <w:footnoteRef/>
      </w:r>
      <w:r w:rsidRPr="001067EF">
        <w:rPr>
          <w:rFonts w:ascii="Verdana" w:hAnsi="Verdana"/>
          <w:sz w:val="16"/>
          <w:szCs w:val="16"/>
          <w:lang w:val="es-CR"/>
        </w:rPr>
        <w:tab/>
      </w:r>
      <w:r w:rsidRPr="001067EF">
        <w:rPr>
          <w:rFonts w:ascii="Verdana" w:hAnsi="Verdana"/>
          <w:i/>
          <w:sz w:val="16"/>
          <w:szCs w:val="16"/>
          <w:lang w:val="es-CR"/>
        </w:rPr>
        <w:t xml:space="preserve">Cfr. </w:t>
      </w:r>
      <w:r w:rsidRPr="00E46F1E">
        <w:rPr>
          <w:rStyle w:val="Textoennegrita"/>
          <w:rFonts w:ascii="Verdana" w:hAnsi="Verdana"/>
          <w:b w:val="0"/>
          <w:i/>
          <w:color w:val="000000"/>
          <w:sz w:val="16"/>
          <w:szCs w:val="16"/>
          <w:lang w:val="es-CR"/>
        </w:rPr>
        <w:t>Caso Suárez Peralta Vs. Ecuador. Excepciones Preliminares, Fondo, Reparaciones y Costas.</w:t>
      </w:r>
      <w:r w:rsidRPr="00E46F1E">
        <w:rPr>
          <w:rStyle w:val="Textoennegrita"/>
          <w:rFonts w:ascii="Verdana" w:hAnsi="Verdana"/>
          <w:b w:val="0"/>
          <w:color w:val="000000"/>
          <w:sz w:val="16"/>
          <w:szCs w:val="16"/>
          <w:lang w:val="es-CR"/>
        </w:rPr>
        <w:t xml:space="preserve"> Sentencia de 21 de mayo de 2013. Serie C No. 261., párr. 134, y</w:t>
      </w:r>
      <w:r w:rsidRPr="00E46F1E">
        <w:rPr>
          <w:rStyle w:val="Textoennegrita"/>
          <w:rFonts w:ascii="Verdana" w:hAnsi="Verdana"/>
          <w:color w:val="000000"/>
          <w:sz w:val="16"/>
          <w:szCs w:val="16"/>
          <w:lang w:val="es-CR"/>
        </w:rPr>
        <w:t xml:space="preserve"> </w:t>
      </w:r>
      <w:r w:rsidRPr="00E46F1E">
        <w:rPr>
          <w:rStyle w:val="Textoennegrita"/>
          <w:rFonts w:ascii="Verdana" w:hAnsi="Verdana"/>
          <w:b w:val="0"/>
          <w:i/>
          <w:color w:val="000000"/>
          <w:sz w:val="16"/>
          <w:szCs w:val="16"/>
        </w:rPr>
        <w:t xml:space="preserve">Caso </w:t>
      </w:r>
      <w:proofErr w:type="spellStart"/>
      <w:r w:rsidRPr="00E46F1E">
        <w:rPr>
          <w:rStyle w:val="Textoennegrita"/>
          <w:rFonts w:ascii="Verdana" w:hAnsi="Verdana"/>
          <w:b w:val="0"/>
          <w:i/>
          <w:color w:val="000000"/>
          <w:sz w:val="16"/>
          <w:szCs w:val="16"/>
        </w:rPr>
        <w:t>Cuscul</w:t>
      </w:r>
      <w:proofErr w:type="spellEnd"/>
      <w:r w:rsidRPr="00E46F1E">
        <w:rPr>
          <w:rStyle w:val="Textoennegrita"/>
          <w:rFonts w:ascii="Verdana" w:hAnsi="Verdana"/>
          <w:b w:val="0"/>
          <w:i/>
          <w:color w:val="000000"/>
          <w:sz w:val="16"/>
          <w:szCs w:val="16"/>
        </w:rPr>
        <w:t xml:space="preserve"> Pivaral y otros Vs. Guatemala. Excepción Preliminar, Fondo, Reparaciones y Costas.</w:t>
      </w:r>
      <w:r w:rsidRPr="00E46F1E">
        <w:rPr>
          <w:rStyle w:val="Textoennegrita"/>
          <w:rFonts w:ascii="Verdana" w:hAnsi="Verdana"/>
          <w:b w:val="0"/>
          <w:color w:val="000000"/>
          <w:sz w:val="16"/>
          <w:szCs w:val="16"/>
        </w:rPr>
        <w:t xml:space="preserve"> Sentencia de 23 de agosto de 2018. Serie C No. 359., párr. 106.</w:t>
      </w:r>
    </w:p>
  </w:footnote>
  <w:footnote w:id="140">
    <w:p w14:paraId="223EF402" w14:textId="77777777" w:rsidR="00E46F1E" w:rsidRPr="001067EF" w:rsidRDefault="00E46F1E" w:rsidP="00C40460">
      <w:pPr>
        <w:pStyle w:val="Textonotapie"/>
        <w:spacing w:after="120"/>
        <w:jc w:val="both"/>
        <w:rPr>
          <w:rFonts w:ascii="Verdana" w:hAnsi="Verdana"/>
          <w:sz w:val="16"/>
          <w:szCs w:val="16"/>
          <w:lang w:val="es-CR"/>
        </w:rPr>
      </w:pPr>
      <w:r w:rsidRPr="001067EF">
        <w:rPr>
          <w:rStyle w:val="Refdenotaalpie"/>
          <w:rFonts w:ascii="Verdana" w:eastAsia="Calibri" w:hAnsi="Verdana"/>
          <w:sz w:val="16"/>
          <w:szCs w:val="16"/>
          <w:lang w:val="es-CR"/>
        </w:rPr>
        <w:footnoteRef/>
      </w:r>
      <w:r w:rsidRPr="001067EF">
        <w:rPr>
          <w:rFonts w:ascii="Verdana" w:hAnsi="Verdana"/>
          <w:sz w:val="16"/>
          <w:szCs w:val="16"/>
          <w:lang w:val="es-CR"/>
        </w:rPr>
        <w:tab/>
      </w:r>
      <w:r w:rsidRPr="001067EF">
        <w:rPr>
          <w:rFonts w:ascii="Verdana" w:hAnsi="Verdana"/>
          <w:i/>
          <w:sz w:val="16"/>
          <w:szCs w:val="16"/>
          <w:lang w:val="es-CR"/>
        </w:rPr>
        <w:t xml:space="preserve">Cfr. Caso Poblete </w:t>
      </w:r>
      <w:r w:rsidRPr="00E46F1E">
        <w:rPr>
          <w:rFonts w:ascii="Verdana" w:hAnsi="Verdana"/>
          <w:i/>
          <w:sz w:val="16"/>
          <w:szCs w:val="16"/>
          <w:lang w:val="es-CR"/>
        </w:rPr>
        <w:t>Vilches y otros Vs. Chile. Fondo, Reparaciones y Costas.</w:t>
      </w:r>
      <w:r w:rsidRPr="00E46F1E">
        <w:rPr>
          <w:rFonts w:ascii="Verdana" w:hAnsi="Verdana"/>
          <w:sz w:val="16"/>
          <w:szCs w:val="16"/>
          <w:lang w:val="es-CR"/>
        </w:rPr>
        <w:t xml:space="preserve"> Sentencia de 8 de marzo de 2018. Serie C No. 349, párr. 118, y </w:t>
      </w:r>
      <w:r w:rsidRPr="00E46F1E">
        <w:rPr>
          <w:rStyle w:val="Textoennegrita"/>
          <w:rFonts w:ascii="Verdana" w:hAnsi="Verdana"/>
          <w:b w:val="0"/>
          <w:i/>
          <w:color w:val="000000"/>
          <w:sz w:val="16"/>
          <w:szCs w:val="16"/>
        </w:rPr>
        <w:t xml:space="preserve">Caso </w:t>
      </w:r>
      <w:proofErr w:type="spellStart"/>
      <w:r w:rsidRPr="00E46F1E">
        <w:rPr>
          <w:rStyle w:val="Textoennegrita"/>
          <w:rFonts w:ascii="Verdana" w:hAnsi="Verdana"/>
          <w:b w:val="0"/>
          <w:i/>
          <w:color w:val="000000"/>
          <w:sz w:val="16"/>
          <w:szCs w:val="16"/>
        </w:rPr>
        <w:t>Cuscul</w:t>
      </w:r>
      <w:proofErr w:type="spellEnd"/>
      <w:r w:rsidRPr="00E46F1E">
        <w:rPr>
          <w:rStyle w:val="Textoennegrita"/>
          <w:rFonts w:ascii="Verdana" w:hAnsi="Verdana"/>
          <w:b w:val="0"/>
          <w:i/>
          <w:color w:val="000000"/>
          <w:sz w:val="16"/>
          <w:szCs w:val="16"/>
        </w:rPr>
        <w:t xml:space="preserve"> Pivaral y otros Vs. Guatemala. Excepción Preliminar, Fondo, Reparaciones y Costas.</w:t>
      </w:r>
      <w:r w:rsidRPr="00E46F1E">
        <w:rPr>
          <w:rStyle w:val="Textoennegrita"/>
          <w:rFonts w:ascii="Verdana" w:hAnsi="Verdana"/>
          <w:b w:val="0"/>
          <w:color w:val="000000"/>
          <w:sz w:val="16"/>
          <w:szCs w:val="16"/>
        </w:rPr>
        <w:t xml:space="preserve"> Sentencia de 23 de agosto de 2018. Serie C No. 359., párr. 106.</w:t>
      </w:r>
    </w:p>
  </w:footnote>
  <w:footnote w:id="141">
    <w:p w14:paraId="6423A7B9" w14:textId="77777777" w:rsidR="00E46F1E" w:rsidRPr="001067EF" w:rsidRDefault="00E46F1E" w:rsidP="00C40460">
      <w:pPr>
        <w:pStyle w:val="Textonotapie"/>
        <w:spacing w:after="120"/>
        <w:jc w:val="both"/>
        <w:rPr>
          <w:rFonts w:ascii="Verdana" w:hAnsi="Verdana"/>
          <w:sz w:val="16"/>
          <w:szCs w:val="16"/>
          <w:lang w:val="es-CR"/>
        </w:rPr>
      </w:pPr>
      <w:r w:rsidRPr="00E46F1E">
        <w:rPr>
          <w:rStyle w:val="Refdenotaalpie"/>
          <w:rFonts w:ascii="Verdana" w:hAnsi="Verdana"/>
          <w:sz w:val="16"/>
          <w:szCs w:val="16"/>
          <w:lang w:val="es-CR"/>
        </w:rPr>
        <w:footnoteRef/>
      </w:r>
      <w:r w:rsidRPr="00E46F1E">
        <w:rPr>
          <w:rFonts w:ascii="Verdana" w:hAnsi="Verdana"/>
          <w:sz w:val="16"/>
          <w:szCs w:val="16"/>
          <w:lang w:val="es-CR"/>
        </w:rPr>
        <w:t xml:space="preserve"> </w:t>
      </w:r>
      <w:r w:rsidRPr="00E46F1E">
        <w:rPr>
          <w:rFonts w:ascii="Verdana" w:hAnsi="Verdana"/>
          <w:sz w:val="16"/>
          <w:szCs w:val="16"/>
          <w:lang w:val="es-CR"/>
        </w:rPr>
        <w:tab/>
      </w:r>
      <w:r w:rsidRPr="00E46F1E">
        <w:rPr>
          <w:rFonts w:ascii="Verdana" w:hAnsi="Verdana"/>
          <w:i/>
          <w:sz w:val="16"/>
          <w:szCs w:val="16"/>
          <w:lang w:val="es-CR"/>
        </w:rPr>
        <w:t xml:space="preserve">Cfr. </w:t>
      </w:r>
      <w:r w:rsidRPr="00E46F1E">
        <w:rPr>
          <w:rStyle w:val="Textoennegrita"/>
          <w:rFonts w:ascii="Verdana" w:hAnsi="Verdana"/>
          <w:b w:val="0"/>
          <w:i/>
          <w:color w:val="000000"/>
          <w:sz w:val="16"/>
          <w:szCs w:val="16"/>
          <w:lang w:val="es-CR"/>
        </w:rPr>
        <w:t>Caso Poblete Vilches y otros Vs. Chile. Fondo, Reparaciones y Costas</w:t>
      </w:r>
      <w:r w:rsidRPr="00E46F1E">
        <w:rPr>
          <w:rStyle w:val="Textoennegrita"/>
          <w:rFonts w:ascii="Verdana" w:hAnsi="Verdana"/>
          <w:b w:val="0"/>
          <w:color w:val="000000"/>
          <w:sz w:val="16"/>
          <w:szCs w:val="16"/>
          <w:lang w:val="es-CR"/>
        </w:rPr>
        <w:t>. Sentencia de 8 de marzo de 2018.</w:t>
      </w:r>
      <w:r w:rsidRPr="001067EF">
        <w:rPr>
          <w:rStyle w:val="Textoennegrita"/>
          <w:rFonts w:ascii="Verdana" w:hAnsi="Verdana"/>
          <w:b w:val="0"/>
          <w:color w:val="000000"/>
          <w:sz w:val="16"/>
          <w:szCs w:val="16"/>
          <w:shd w:val="clear" w:color="auto" w:fill="FFFFFF"/>
          <w:lang w:val="es-CR"/>
        </w:rPr>
        <w:t xml:space="preserve"> </w:t>
      </w:r>
      <w:r w:rsidRPr="00E46F1E">
        <w:rPr>
          <w:rStyle w:val="Textoennegrita"/>
          <w:rFonts w:ascii="Verdana" w:hAnsi="Verdana"/>
          <w:b w:val="0"/>
          <w:color w:val="000000"/>
          <w:sz w:val="16"/>
          <w:szCs w:val="16"/>
          <w:lang w:val="es-CR"/>
        </w:rPr>
        <w:t xml:space="preserve">Serie C No. 349, </w:t>
      </w:r>
      <w:proofErr w:type="spellStart"/>
      <w:r w:rsidRPr="00E46F1E">
        <w:rPr>
          <w:rStyle w:val="Textoennegrita"/>
          <w:rFonts w:ascii="Verdana" w:hAnsi="Verdana"/>
          <w:b w:val="0"/>
          <w:color w:val="000000"/>
          <w:sz w:val="16"/>
          <w:szCs w:val="16"/>
          <w:lang w:val="es-CR"/>
        </w:rPr>
        <w:t>párrs</w:t>
      </w:r>
      <w:proofErr w:type="spellEnd"/>
      <w:r w:rsidRPr="00E46F1E">
        <w:rPr>
          <w:rStyle w:val="Textoennegrita"/>
          <w:rFonts w:ascii="Verdana" w:hAnsi="Verdana"/>
          <w:b w:val="0"/>
          <w:color w:val="000000"/>
          <w:sz w:val="16"/>
          <w:szCs w:val="16"/>
          <w:lang w:val="es-CR"/>
        </w:rPr>
        <w:t>. 120 y 121, y</w:t>
      </w:r>
      <w:r w:rsidRPr="00E46F1E">
        <w:rPr>
          <w:rStyle w:val="Textoennegrita"/>
          <w:rFonts w:ascii="Verdana" w:hAnsi="Verdana"/>
          <w:color w:val="000000"/>
          <w:sz w:val="16"/>
          <w:szCs w:val="16"/>
          <w:lang w:val="es-CR"/>
        </w:rPr>
        <w:t xml:space="preserve"> </w:t>
      </w:r>
      <w:r w:rsidRPr="00E46F1E">
        <w:rPr>
          <w:rFonts w:ascii="Verdana" w:hAnsi="Verdana"/>
          <w:sz w:val="16"/>
          <w:szCs w:val="16"/>
          <w:lang w:val="es-CR"/>
        </w:rPr>
        <w:t>Comité de Derechos Económicos, Sociales y Culturales, Observación General No.</w:t>
      </w:r>
      <w:r w:rsidRPr="001067EF">
        <w:rPr>
          <w:rFonts w:ascii="Verdana" w:hAnsi="Verdana"/>
          <w:sz w:val="16"/>
          <w:szCs w:val="16"/>
          <w:lang w:val="es-CR"/>
        </w:rPr>
        <w:t xml:space="preserve"> 14: El derecho al disfrute del más alto nivel posible de salud, 11 de agosto de 2000, U.N. Doc. E/C.12/2000/</w:t>
      </w:r>
      <w:r w:rsidRPr="00E46F1E">
        <w:rPr>
          <w:rFonts w:ascii="Verdana" w:hAnsi="Verdana"/>
          <w:sz w:val="16"/>
          <w:szCs w:val="16"/>
          <w:lang w:val="es-CR"/>
        </w:rPr>
        <w:t>4</w:t>
      </w:r>
      <w:r w:rsidRPr="00E46F1E">
        <w:rPr>
          <w:rStyle w:val="Textoennegrita"/>
          <w:rFonts w:ascii="Verdana" w:hAnsi="Verdana"/>
          <w:b w:val="0"/>
          <w:color w:val="000000"/>
          <w:sz w:val="16"/>
          <w:szCs w:val="16"/>
          <w:lang w:val="es-CR"/>
        </w:rPr>
        <w:t>, párr. 12.</w:t>
      </w:r>
    </w:p>
  </w:footnote>
  <w:footnote w:id="142">
    <w:p w14:paraId="46E64A7C" w14:textId="77777777" w:rsidR="00E46F1E" w:rsidRPr="001067EF" w:rsidRDefault="00E46F1E" w:rsidP="00C40460">
      <w:pPr>
        <w:pStyle w:val="Textonotapie"/>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 xml:space="preserve">Cfr. </w:t>
      </w:r>
      <w:r w:rsidRPr="00E46F1E">
        <w:rPr>
          <w:rStyle w:val="Textoennegrita"/>
          <w:rFonts w:ascii="Verdana" w:hAnsi="Verdana"/>
          <w:b w:val="0"/>
          <w:sz w:val="16"/>
          <w:szCs w:val="16"/>
        </w:rPr>
        <w:t>C</w:t>
      </w:r>
      <w:r w:rsidRPr="00E46F1E">
        <w:rPr>
          <w:rStyle w:val="Textoennegrita"/>
          <w:rFonts w:ascii="Verdana" w:hAnsi="Verdana"/>
          <w:b w:val="0"/>
          <w:i/>
          <w:sz w:val="16"/>
          <w:szCs w:val="16"/>
        </w:rPr>
        <w:t xml:space="preserve">aso </w:t>
      </w:r>
      <w:proofErr w:type="spellStart"/>
      <w:r w:rsidRPr="00E46F1E">
        <w:rPr>
          <w:rStyle w:val="Textoennegrita"/>
          <w:rFonts w:ascii="Verdana" w:hAnsi="Verdana"/>
          <w:b w:val="0"/>
          <w:i/>
          <w:sz w:val="16"/>
          <w:szCs w:val="16"/>
        </w:rPr>
        <w:t>Cuscul</w:t>
      </w:r>
      <w:proofErr w:type="spellEnd"/>
      <w:r w:rsidRPr="00E46F1E">
        <w:rPr>
          <w:rStyle w:val="Textoennegrita"/>
          <w:rFonts w:ascii="Verdana" w:hAnsi="Verdana"/>
          <w:b w:val="0"/>
          <w:i/>
          <w:sz w:val="16"/>
          <w:szCs w:val="16"/>
        </w:rPr>
        <w:t xml:space="preserve"> Pivaral y otros Vs. Guatemala. Excepción Preliminar, Fondo, Reparaciones y Costas.</w:t>
      </w:r>
      <w:r w:rsidRPr="00E46F1E">
        <w:rPr>
          <w:rStyle w:val="Textoennegrita"/>
          <w:rFonts w:ascii="Verdana" w:hAnsi="Verdana"/>
          <w:b w:val="0"/>
          <w:sz w:val="16"/>
          <w:szCs w:val="16"/>
        </w:rPr>
        <w:t xml:space="preserve"> Sentencia de 23 de agosto de 2018. Serie C No. 359., párr. 39.</w:t>
      </w:r>
    </w:p>
  </w:footnote>
  <w:footnote w:id="143">
    <w:p w14:paraId="0BC44E91" w14:textId="77777777" w:rsidR="00E46F1E" w:rsidRPr="001067EF" w:rsidRDefault="00E46F1E" w:rsidP="00C40460">
      <w:pPr>
        <w:spacing w:after="120" w:line="240" w:lineRule="auto"/>
        <w:jc w:val="both"/>
        <w:rPr>
          <w:rFonts w:ascii="Verdana" w:hAnsi="Verdana" w:cs="Arial"/>
          <w:sz w:val="16"/>
          <w:szCs w:val="16"/>
          <w:lang w:eastAsia="es-ES_tradnl"/>
        </w:rPr>
      </w:pPr>
      <w:r w:rsidRPr="001067EF">
        <w:rPr>
          <w:rStyle w:val="Refdenotaalpie"/>
          <w:rFonts w:ascii="Verdana" w:hAnsi="Verdana" w:cs="Arial"/>
          <w:sz w:val="16"/>
          <w:szCs w:val="16"/>
        </w:rPr>
        <w:footnoteRef/>
      </w:r>
      <w:r w:rsidRPr="001067EF">
        <w:rPr>
          <w:rFonts w:ascii="Verdana" w:hAnsi="Verdana" w:cs="Arial"/>
          <w:sz w:val="16"/>
          <w:szCs w:val="16"/>
        </w:rPr>
        <w:t xml:space="preserve"> </w:t>
      </w:r>
      <w:r w:rsidRPr="001067EF">
        <w:rPr>
          <w:rFonts w:ascii="Verdana" w:hAnsi="Verdana" w:cs="Arial"/>
          <w:sz w:val="16"/>
          <w:szCs w:val="16"/>
        </w:rPr>
        <w:tab/>
      </w:r>
      <w:r w:rsidRPr="001067EF">
        <w:rPr>
          <w:rFonts w:ascii="Verdana" w:hAnsi="Verdana" w:cs="Arial"/>
          <w:i/>
          <w:sz w:val="16"/>
          <w:szCs w:val="16"/>
        </w:rPr>
        <w:t xml:space="preserve">Cfr. </w:t>
      </w:r>
      <w:r w:rsidRPr="001067EF">
        <w:rPr>
          <w:rFonts w:ascii="Verdana" w:hAnsi="Verdana" w:cs="Arial"/>
          <w:sz w:val="16"/>
          <w:szCs w:val="16"/>
          <w:lang w:eastAsia="es-ES_tradnl"/>
        </w:rPr>
        <w:t>Coalición Antituberculosa para la Asistencia Técnica. Normas Internacionales para la Asistencia Antituberculosa (NIAA). La Haya: Coalición Antituberculosa para la Asistencia Técnica, 2006, pág. 5</w:t>
      </w:r>
    </w:p>
  </w:footnote>
  <w:footnote w:id="144">
    <w:p w14:paraId="0506CA26" w14:textId="77777777" w:rsidR="00E46F1E" w:rsidRPr="001067EF" w:rsidRDefault="00E46F1E" w:rsidP="00C40460">
      <w:pPr>
        <w:pStyle w:val="Textonotapie"/>
        <w:spacing w:after="120"/>
        <w:jc w:val="both"/>
        <w:rPr>
          <w:rFonts w:ascii="Verdana" w:hAnsi="Verdana"/>
          <w:sz w:val="16"/>
          <w:szCs w:val="16"/>
          <w:lang w:val="es-CL"/>
        </w:rPr>
      </w:pPr>
      <w:r w:rsidRPr="001067EF">
        <w:rPr>
          <w:rStyle w:val="Refdenotaalpie"/>
          <w:rFonts w:ascii="Verdana" w:hAnsi="Verdana"/>
          <w:sz w:val="16"/>
          <w:szCs w:val="16"/>
        </w:rPr>
        <w:footnoteRef/>
      </w:r>
      <w:r w:rsidRPr="001067EF">
        <w:rPr>
          <w:rFonts w:ascii="Verdana" w:hAnsi="Verdana"/>
          <w:sz w:val="16"/>
          <w:szCs w:val="16"/>
          <w:lang w:val="es-CL"/>
        </w:rPr>
        <w:t xml:space="preserve"> </w:t>
      </w:r>
      <w:r w:rsidRPr="001067EF">
        <w:rPr>
          <w:rFonts w:ascii="Verdana" w:hAnsi="Verdana"/>
          <w:sz w:val="16"/>
          <w:szCs w:val="16"/>
          <w:lang w:val="es-CL"/>
        </w:rPr>
        <w:tab/>
      </w:r>
      <w:r w:rsidRPr="001067EF">
        <w:rPr>
          <w:rFonts w:ascii="Verdana" w:hAnsi="Verdana"/>
          <w:i/>
          <w:sz w:val="16"/>
          <w:szCs w:val="16"/>
          <w:lang w:val="es-CL"/>
        </w:rPr>
        <w:t xml:space="preserve">Cfr. </w:t>
      </w:r>
      <w:r w:rsidRPr="001067EF">
        <w:rPr>
          <w:rFonts w:ascii="Verdana" w:hAnsi="Verdana" w:cs="Arial"/>
          <w:sz w:val="16"/>
          <w:szCs w:val="16"/>
          <w:lang w:val="es-CL" w:eastAsia="es-ES_tradnl"/>
        </w:rPr>
        <w:t xml:space="preserve">Coalición Antituberculosa para la Asistencia Técnica. Normas Internacionales para la Asistencia Antituberculosa (NIAA). La Haya: Coalición Antituberculosa para la Asistencia Técnica, 2006, norma 1. </w:t>
      </w:r>
      <w:r w:rsidRPr="001067EF">
        <w:rPr>
          <w:rFonts w:ascii="Verdana" w:hAnsi="Verdana"/>
          <w:i/>
          <w:sz w:val="16"/>
          <w:szCs w:val="16"/>
          <w:lang w:val="es-CL"/>
        </w:rPr>
        <w:t>Manual de Procedimiento del Programa de Tuberculosis para Poblaciones Privadas de Libertad en Gendarmería de Chile</w:t>
      </w:r>
      <w:r w:rsidRPr="001067EF">
        <w:rPr>
          <w:rFonts w:ascii="Verdana" w:hAnsi="Verdana"/>
          <w:sz w:val="16"/>
          <w:szCs w:val="16"/>
          <w:lang w:val="es-CL"/>
        </w:rPr>
        <w:t xml:space="preserve">, Ministerio de Salud, pág. 17. Atención y Cuidado de la Salud de las Personas Privadas de su Libertad. </w:t>
      </w:r>
      <w:r w:rsidRPr="001067EF">
        <w:rPr>
          <w:rFonts w:ascii="Verdana" w:hAnsi="Verdana"/>
          <w:i/>
          <w:sz w:val="16"/>
          <w:szCs w:val="16"/>
          <w:lang w:val="es-CL"/>
        </w:rPr>
        <w:t xml:space="preserve"> Atención y Cuidado de la Salud de las Personas Privadas de su Libertad</w:t>
      </w:r>
      <w:r w:rsidRPr="001067EF">
        <w:rPr>
          <w:rFonts w:ascii="Verdana" w:hAnsi="Verdana"/>
          <w:sz w:val="16"/>
          <w:szCs w:val="16"/>
          <w:lang w:val="es-CL"/>
        </w:rPr>
        <w:t xml:space="preserve">. Plan estratégico de salud integral en el servicio penitenciario federal 2012-2015, Ministerio de Justicia y Derechos Humanos de la Nación, 2013, pág. 57. </w:t>
      </w:r>
      <w:r w:rsidRPr="001067EF">
        <w:rPr>
          <w:rFonts w:ascii="Verdana" w:hAnsi="Verdana"/>
          <w:i/>
          <w:sz w:val="16"/>
          <w:szCs w:val="16"/>
          <w:lang w:val="es-CL"/>
        </w:rPr>
        <w:t>Guía para el control de la tuberculosis en población privada de libertad, Ministerio de Salud</w:t>
      </w:r>
      <w:r w:rsidRPr="001067EF">
        <w:rPr>
          <w:rFonts w:ascii="Verdana" w:hAnsi="Verdana"/>
          <w:sz w:val="16"/>
          <w:szCs w:val="16"/>
          <w:lang w:val="es-CL"/>
        </w:rPr>
        <w:t xml:space="preserve">, marzo 2012, pág. 9. </w:t>
      </w:r>
    </w:p>
  </w:footnote>
  <w:footnote w:id="145">
    <w:p w14:paraId="7085D37E" w14:textId="16DDB66C" w:rsidR="00E46F1E" w:rsidRPr="001067EF" w:rsidRDefault="00E46F1E" w:rsidP="00C40460">
      <w:pPr>
        <w:pStyle w:val="Textonotapie"/>
        <w:spacing w:after="120"/>
        <w:jc w:val="both"/>
        <w:rPr>
          <w:rFonts w:ascii="Verdana" w:hAnsi="Verdana"/>
          <w:sz w:val="16"/>
          <w:szCs w:val="16"/>
          <w:lang w:val="es-CL"/>
        </w:rPr>
      </w:pPr>
      <w:r w:rsidRPr="001067EF">
        <w:rPr>
          <w:rStyle w:val="Refdenotaalpie"/>
          <w:rFonts w:ascii="Verdana" w:hAnsi="Verdana"/>
          <w:sz w:val="16"/>
          <w:szCs w:val="16"/>
        </w:rPr>
        <w:footnoteRef/>
      </w:r>
      <w:r w:rsidRPr="001067EF">
        <w:rPr>
          <w:rFonts w:ascii="Verdana" w:hAnsi="Verdana"/>
          <w:sz w:val="16"/>
          <w:szCs w:val="16"/>
          <w:lang w:val="es-CL"/>
        </w:rPr>
        <w:t xml:space="preserve"> </w:t>
      </w:r>
      <w:r w:rsidRPr="001067EF">
        <w:rPr>
          <w:rFonts w:ascii="Verdana" w:hAnsi="Verdana"/>
          <w:sz w:val="16"/>
          <w:szCs w:val="16"/>
          <w:lang w:val="es-CL"/>
        </w:rPr>
        <w:tab/>
      </w:r>
      <w:r w:rsidRPr="001067EF">
        <w:rPr>
          <w:rFonts w:ascii="Verdana" w:hAnsi="Verdana"/>
          <w:i/>
          <w:sz w:val="16"/>
          <w:szCs w:val="16"/>
          <w:lang w:val="es-CL"/>
        </w:rPr>
        <w:t xml:space="preserve">Cfr. </w:t>
      </w:r>
      <w:r w:rsidRPr="001067EF">
        <w:rPr>
          <w:rFonts w:ascii="Verdana" w:hAnsi="Verdana" w:cs="Arial"/>
          <w:sz w:val="16"/>
          <w:szCs w:val="16"/>
          <w:lang w:val="es-CL" w:eastAsia="es-ES_tradnl"/>
        </w:rPr>
        <w:t xml:space="preserve">Coalición Antituberculosa para la Asistencia Técnica. Normas Internacionales para la Asistencia Antituberculosa (NIAA). La Haya: Coalición Antituberculosa para la Asistencia Técnica, 2006, norma 8. </w:t>
      </w:r>
      <w:r w:rsidRPr="001067EF">
        <w:rPr>
          <w:rFonts w:ascii="Verdana" w:hAnsi="Verdana"/>
          <w:i/>
          <w:sz w:val="16"/>
          <w:szCs w:val="16"/>
          <w:lang w:val="es-CL"/>
        </w:rPr>
        <w:t>Guía para el control de la tuberculosis en población privada de libertad, Ministerio de Salud de El Salvador</w:t>
      </w:r>
      <w:r w:rsidRPr="001067EF">
        <w:rPr>
          <w:rFonts w:ascii="Verdana" w:hAnsi="Verdana"/>
          <w:sz w:val="16"/>
          <w:szCs w:val="16"/>
          <w:lang w:val="es-CL"/>
        </w:rPr>
        <w:t xml:space="preserve">, marzo 2012, pág. 16. </w:t>
      </w:r>
      <w:r w:rsidRPr="001067EF">
        <w:rPr>
          <w:rFonts w:ascii="Verdana" w:hAnsi="Verdana"/>
          <w:i/>
          <w:sz w:val="16"/>
          <w:szCs w:val="16"/>
          <w:lang w:val="es-CL"/>
        </w:rPr>
        <w:t>Cfr. Artículo 6.6.1 de la Norma Oficial Mexicana NOM-006-SSA2-2013 Para la prevención y control de la tuberculosis, Secretaría de Salud</w:t>
      </w:r>
      <w:r w:rsidRPr="001067EF">
        <w:rPr>
          <w:rFonts w:ascii="Verdana" w:hAnsi="Verdana"/>
          <w:sz w:val="16"/>
          <w:szCs w:val="16"/>
          <w:lang w:val="es-CL"/>
        </w:rPr>
        <w:t>, 13 de noviembre de 2013.</w:t>
      </w:r>
    </w:p>
  </w:footnote>
  <w:footnote w:id="146">
    <w:p w14:paraId="590F71BF" w14:textId="77777777" w:rsidR="00E46F1E" w:rsidRPr="001067EF" w:rsidRDefault="00E46F1E" w:rsidP="00C40460">
      <w:pPr>
        <w:pStyle w:val="Textonotapie"/>
        <w:spacing w:after="120"/>
        <w:jc w:val="both"/>
        <w:rPr>
          <w:rFonts w:ascii="Verdana" w:hAnsi="Verdana"/>
          <w:sz w:val="16"/>
          <w:szCs w:val="16"/>
          <w:lang w:val="es-CL"/>
        </w:rPr>
      </w:pPr>
      <w:r w:rsidRPr="001067EF">
        <w:rPr>
          <w:rStyle w:val="Refdenotaalpie"/>
          <w:rFonts w:ascii="Verdana" w:hAnsi="Verdana"/>
          <w:sz w:val="16"/>
          <w:szCs w:val="16"/>
        </w:rPr>
        <w:footnoteRef/>
      </w:r>
      <w:r w:rsidRPr="001067EF">
        <w:rPr>
          <w:rFonts w:ascii="Verdana" w:hAnsi="Verdana"/>
          <w:sz w:val="16"/>
          <w:szCs w:val="16"/>
          <w:lang w:val="es-CL"/>
        </w:rPr>
        <w:t xml:space="preserve"> </w:t>
      </w:r>
      <w:r w:rsidRPr="001067EF">
        <w:rPr>
          <w:rFonts w:ascii="Verdana" w:hAnsi="Verdana"/>
          <w:sz w:val="16"/>
          <w:szCs w:val="16"/>
          <w:lang w:val="es-CL"/>
        </w:rPr>
        <w:tab/>
      </w:r>
      <w:r w:rsidRPr="001067EF">
        <w:rPr>
          <w:rFonts w:ascii="Verdana" w:hAnsi="Verdana"/>
          <w:i/>
          <w:sz w:val="16"/>
          <w:szCs w:val="16"/>
          <w:lang w:val="es-CL"/>
        </w:rPr>
        <w:t xml:space="preserve">Cfr. </w:t>
      </w:r>
      <w:r w:rsidRPr="001067EF">
        <w:rPr>
          <w:rFonts w:ascii="Verdana" w:hAnsi="Verdana" w:cs="Arial"/>
          <w:sz w:val="16"/>
          <w:szCs w:val="16"/>
          <w:lang w:val="es-CL" w:eastAsia="es-ES_tradnl"/>
        </w:rPr>
        <w:t xml:space="preserve">Coalición Antituberculosa para la Asistencia Técnica. Normas Internacionales para la Asistencia Antituberculosa (NIAA). La Haya: Coalición Antituberculosa para la Asistencia Técnica, 2006, normas 10 y 11. </w:t>
      </w:r>
      <w:r w:rsidRPr="001067EF">
        <w:rPr>
          <w:rFonts w:ascii="Verdana" w:hAnsi="Verdana"/>
          <w:i/>
          <w:sz w:val="16"/>
          <w:szCs w:val="16"/>
          <w:lang w:val="es-CL"/>
        </w:rPr>
        <w:t xml:space="preserve"> Atención y Cuidado de la Salud de las Personas Privadas de su Libertad. Plan estratégico de salud integral en el servicio penitenciario federal 2012-2015, Ministerio de Justicia y Derechos Humanos de la Nación</w:t>
      </w:r>
      <w:r w:rsidRPr="001067EF">
        <w:rPr>
          <w:rFonts w:ascii="Verdana" w:hAnsi="Verdana"/>
          <w:sz w:val="16"/>
          <w:szCs w:val="16"/>
          <w:lang w:val="es-CL"/>
        </w:rPr>
        <w:t xml:space="preserve">, 2013, pág. 72. </w:t>
      </w:r>
      <w:r w:rsidRPr="001067EF">
        <w:rPr>
          <w:rFonts w:ascii="Verdana" w:hAnsi="Verdana"/>
          <w:i/>
          <w:sz w:val="16"/>
          <w:szCs w:val="16"/>
          <w:lang w:val="es-CL"/>
        </w:rPr>
        <w:t>Guía de Práctica Clínica. Prevención, diagnóstico, tratamiento y control de la tuberculosis, Ministerio de Salud Pública de Ecuador</w:t>
      </w:r>
      <w:r w:rsidRPr="001067EF">
        <w:rPr>
          <w:rFonts w:ascii="Verdana" w:hAnsi="Verdana"/>
          <w:sz w:val="16"/>
          <w:szCs w:val="16"/>
          <w:lang w:val="es-CL"/>
        </w:rPr>
        <w:t xml:space="preserve">, marzo de 2018, pág. 75. </w:t>
      </w:r>
      <w:r w:rsidRPr="001067EF">
        <w:rPr>
          <w:rFonts w:ascii="Verdana" w:hAnsi="Verdana"/>
          <w:i/>
          <w:sz w:val="16"/>
          <w:szCs w:val="16"/>
          <w:lang w:val="es-CL"/>
        </w:rPr>
        <w:t>Manual de Procedimiento del Programa de Tuberculosis para Poblaciones Privadas de Libertad en Gendarmería de Chile</w:t>
      </w:r>
      <w:r w:rsidRPr="001067EF">
        <w:rPr>
          <w:rFonts w:ascii="Verdana" w:hAnsi="Verdana"/>
          <w:sz w:val="16"/>
          <w:szCs w:val="16"/>
          <w:lang w:val="es-CL"/>
        </w:rPr>
        <w:t>, Ministerio de salud, pág. 33.</w:t>
      </w:r>
    </w:p>
  </w:footnote>
  <w:footnote w:id="147">
    <w:p w14:paraId="408B98A9" w14:textId="77777777" w:rsidR="00E46F1E" w:rsidRPr="001067EF" w:rsidRDefault="00E46F1E" w:rsidP="00C40460">
      <w:pPr>
        <w:pStyle w:val="Textonotapie"/>
        <w:spacing w:after="120"/>
        <w:jc w:val="both"/>
        <w:rPr>
          <w:rFonts w:ascii="Verdana" w:hAnsi="Verdana"/>
          <w:sz w:val="16"/>
          <w:szCs w:val="16"/>
          <w:lang w:val="es-CL"/>
        </w:rPr>
      </w:pPr>
      <w:r w:rsidRPr="001067EF">
        <w:rPr>
          <w:rStyle w:val="Refdenotaalpie"/>
          <w:rFonts w:ascii="Verdana" w:hAnsi="Verdana"/>
          <w:sz w:val="16"/>
          <w:szCs w:val="16"/>
        </w:rPr>
        <w:footnoteRef/>
      </w:r>
      <w:r w:rsidRPr="001067EF">
        <w:rPr>
          <w:rFonts w:ascii="Verdana" w:hAnsi="Verdana"/>
          <w:sz w:val="16"/>
          <w:szCs w:val="16"/>
          <w:lang w:val="es-CL"/>
        </w:rPr>
        <w:t xml:space="preserve"> </w:t>
      </w:r>
      <w:r w:rsidRPr="001067EF">
        <w:rPr>
          <w:rFonts w:ascii="Verdana" w:hAnsi="Verdana"/>
          <w:sz w:val="16"/>
          <w:szCs w:val="16"/>
          <w:lang w:val="es-CL"/>
        </w:rPr>
        <w:tab/>
      </w:r>
      <w:r w:rsidRPr="001067EF">
        <w:rPr>
          <w:rFonts w:ascii="Verdana" w:hAnsi="Verdana"/>
          <w:i/>
          <w:sz w:val="16"/>
          <w:szCs w:val="16"/>
          <w:lang w:val="es-CL"/>
        </w:rPr>
        <w:t xml:space="preserve">Cfr. </w:t>
      </w:r>
      <w:r w:rsidRPr="001067EF">
        <w:rPr>
          <w:rFonts w:ascii="Verdana" w:hAnsi="Verdana" w:cs="Arial"/>
          <w:sz w:val="16"/>
          <w:szCs w:val="16"/>
          <w:lang w:val="es-CL" w:eastAsia="es-ES_tradnl"/>
        </w:rPr>
        <w:t xml:space="preserve">Coalición Antituberculosa para la Asistencia Técnica. Normas Internacionales para la Asistencia Antituberculosa (NIAA). La Haya: Coalición Antituberculosa para la Asistencia Técnica, 2006, norma 16. </w:t>
      </w:r>
      <w:r w:rsidRPr="001067EF">
        <w:rPr>
          <w:rFonts w:ascii="Verdana" w:hAnsi="Verdana"/>
          <w:i/>
          <w:sz w:val="16"/>
          <w:szCs w:val="16"/>
          <w:lang w:val="es-CL"/>
        </w:rPr>
        <w:t>Guía para el control de la tuberculosis en población privada de libertad, Ministerio de Salud, marzo de 2012</w:t>
      </w:r>
      <w:r w:rsidRPr="001067EF">
        <w:rPr>
          <w:rFonts w:ascii="Verdana" w:hAnsi="Verdana"/>
          <w:sz w:val="16"/>
          <w:szCs w:val="16"/>
          <w:lang w:val="es-CL"/>
        </w:rPr>
        <w:t xml:space="preserve">, pág. 18. </w:t>
      </w:r>
      <w:r w:rsidRPr="001067EF">
        <w:rPr>
          <w:rFonts w:ascii="Verdana" w:hAnsi="Verdana"/>
          <w:i/>
          <w:sz w:val="16"/>
          <w:szCs w:val="16"/>
          <w:lang w:val="es-CL"/>
        </w:rPr>
        <w:t>Atención y Cuidado de la Salud de las Personas Privadas de su Libertad. Plan estratégico de salud integral en el servicio penitenciario federal 2012-2015, Ministerio de Justicia y Derechos Humanos de la Nación</w:t>
      </w:r>
      <w:r w:rsidRPr="001067EF">
        <w:rPr>
          <w:rFonts w:ascii="Verdana" w:hAnsi="Verdana"/>
          <w:sz w:val="16"/>
          <w:szCs w:val="16"/>
          <w:lang w:val="es-CL"/>
        </w:rPr>
        <w:t xml:space="preserve">, 2013, pág. 65. </w:t>
      </w:r>
      <w:r w:rsidRPr="001067EF">
        <w:rPr>
          <w:rFonts w:ascii="Verdana" w:hAnsi="Verdana"/>
          <w:i/>
          <w:sz w:val="16"/>
          <w:szCs w:val="16"/>
          <w:lang w:val="es-CL"/>
        </w:rPr>
        <w:t>Manual Técnico Administrativo para la atención e intervención en salud pública a la población privada de la libertad a cargo del Instituto Nacional Penitenciario y Carcelario</w:t>
      </w:r>
      <w:r w:rsidRPr="001067EF">
        <w:rPr>
          <w:rFonts w:ascii="Verdana" w:hAnsi="Verdana"/>
          <w:sz w:val="16"/>
          <w:szCs w:val="16"/>
          <w:lang w:val="es-CL"/>
        </w:rPr>
        <w:t>, 15 de diciembre de 2015, pág. 50.</w:t>
      </w:r>
    </w:p>
  </w:footnote>
  <w:footnote w:id="148">
    <w:p w14:paraId="466C50EE" w14:textId="3530D66E" w:rsidR="00E46F1E" w:rsidRPr="00A90FA7" w:rsidRDefault="00E46F1E" w:rsidP="00C40460">
      <w:pPr>
        <w:pStyle w:val="Textonotapie"/>
        <w:spacing w:after="120"/>
        <w:jc w:val="both"/>
        <w:rPr>
          <w:rFonts w:ascii="Verdana" w:hAnsi="Verdana"/>
          <w:sz w:val="16"/>
          <w:szCs w:val="16"/>
          <w:lang w:val="es-CR"/>
        </w:rPr>
      </w:pPr>
      <w:r w:rsidRPr="00E46F1E">
        <w:rPr>
          <w:rStyle w:val="Refdenotaalpie"/>
          <w:rFonts w:ascii="Verdana" w:hAnsi="Verdana"/>
          <w:sz w:val="16"/>
          <w:szCs w:val="16"/>
        </w:rPr>
        <w:footnoteRef/>
      </w:r>
      <w:r w:rsidRPr="00E46F1E">
        <w:rPr>
          <w:rFonts w:ascii="Verdana" w:hAnsi="Verdana"/>
          <w:sz w:val="16"/>
          <w:szCs w:val="16"/>
          <w:lang w:val="es-CR"/>
        </w:rPr>
        <w:tab/>
      </w:r>
      <w:r w:rsidRPr="00E46F1E">
        <w:rPr>
          <w:rFonts w:ascii="Verdana" w:hAnsi="Verdana"/>
          <w:i/>
          <w:sz w:val="16"/>
          <w:szCs w:val="16"/>
          <w:lang w:val="es-CR"/>
        </w:rPr>
        <w:t>Cfr.</w:t>
      </w:r>
      <w:r>
        <w:rPr>
          <w:rStyle w:val="Textoennegrita"/>
          <w:rFonts w:ascii="Verdana" w:hAnsi="Verdana"/>
          <w:b w:val="0"/>
          <w:color w:val="000000"/>
          <w:sz w:val="16"/>
          <w:szCs w:val="16"/>
          <w:shd w:val="clear" w:color="auto" w:fill="FFFFFF"/>
          <w:lang w:val="es-CR"/>
        </w:rPr>
        <w:t xml:space="preserve"> </w:t>
      </w:r>
      <w:r w:rsidRPr="00E46F1E">
        <w:rPr>
          <w:rFonts w:ascii="Verdana" w:hAnsi="Verdana"/>
          <w:i/>
          <w:sz w:val="16"/>
          <w:szCs w:val="16"/>
          <w:lang w:val="es-CR"/>
        </w:rPr>
        <w:t>Caso Poblete Vilches y otros Vs. Chile. Fondo, Reparaciones y Costas</w:t>
      </w:r>
      <w:r w:rsidRPr="00E46F1E">
        <w:rPr>
          <w:rFonts w:ascii="Verdana" w:hAnsi="Verdana"/>
          <w:sz w:val="16"/>
          <w:szCs w:val="16"/>
          <w:lang w:val="es-CR"/>
        </w:rPr>
        <w:t xml:space="preserve">. Sentencia de 8 de marzo de 2018. Serie C No. 349, párr. 104 y </w:t>
      </w:r>
      <w:r w:rsidRPr="00E46F1E">
        <w:rPr>
          <w:rStyle w:val="Textoennegrita"/>
          <w:rFonts w:ascii="Verdana" w:hAnsi="Verdana"/>
          <w:b w:val="0"/>
          <w:i/>
          <w:color w:val="000000"/>
          <w:sz w:val="16"/>
          <w:szCs w:val="16"/>
        </w:rPr>
        <w:t xml:space="preserve">Caso </w:t>
      </w:r>
      <w:proofErr w:type="spellStart"/>
      <w:r w:rsidRPr="00E46F1E">
        <w:rPr>
          <w:rStyle w:val="Textoennegrita"/>
          <w:rFonts w:ascii="Verdana" w:hAnsi="Verdana"/>
          <w:b w:val="0"/>
          <w:i/>
          <w:color w:val="000000"/>
          <w:sz w:val="16"/>
          <w:szCs w:val="16"/>
        </w:rPr>
        <w:t>Cuscul</w:t>
      </w:r>
      <w:proofErr w:type="spellEnd"/>
      <w:r w:rsidRPr="00E46F1E">
        <w:rPr>
          <w:rStyle w:val="Textoennegrita"/>
          <w:rFonts w:ascii="Verdana" w:hAnsi="Verdana"/>
          <w:b w:val="0"/>
          <w:i/>
          <w:color w:val="000000"/>
          <w:sz w:val="16"/>
          <w:szCs w:val="16"/>
        </w:rPr>
        <w:t xml:space="preserve"> Pivaral y otros Vs. Guatemala. Excepción Preliminar, Fondo, Reparaciones y Costas.</w:t>
      </w:r>
      <w:r w:rsidRPr="00E46F1E">
        <w:rPr>
          <w:rStyle w:val="Textoennegrita"/>
          <w:rFonts w:ascii="Verdana" w:hAnsi="Verdana"/>
          <w:b w:val="0"/>
          <w:color w:val="000000"/>
          <w:sz w:val="16"/>
          <w:szCs w:val="16"/>
        </w:rPr>
        <w:t xml:space="preserve"> Sentencia de 23 de agosto de 2018. Serie C No. 359.</w:t>
      </w:r>
      <w:r w:rsidRPr="00E46F1E">
        <w:rPr>
          <w:rFonts w:ascii="Verdana" w:hAnsi="Verdana"/>
          <w:sz w:val="16"/>
          <w:szCs w:val="16"/>
          <w:lang w:val="es-CR"/>
        </w:rPr>
        <w:t xml:space="preserve">, párr. 98, y </w:t>
      </w:r>
      <w:r w:rsidRPr="00E46F1E">
        <w:rPr>
          <w:rFonts w:ascii="Verdana" w:hAnsi="Verdana"/>
          <w:i/>
          <w:sz w:val="16"/>
          <w:szCs w:val="16"/>
          <w:lang w:val="es-CR"/>
        </w:rPr>
        <w:t xml:space="preserve">mutatis </w:t>
      </w:r>
      <w:proofErr w:type="spellStart"/>
      <w:r w:rsidRPr="00E46F1E">
        <w:rPr>
          <w:rFonts w:ascii="Verdana" w:hAnsi="Verdana"/>
          <w:i/>
          <w:sz w:val="16"/>
          <w:szCs w:val="16"/>
          <w:lang w:val="es-CR"/>
        </w:rPr>
        <w:t>mutandi</w:t>
      </w:r>
      <w:proofErr w:type="spellEnd"/>
      <w:r w:rsidRPr="00E46F1E">
        <w:rPr>
          <w:rFonts w:ascii="Verdana" w:hAnsi="Verdana"/>
          <w:i/>
          <w:sz w:val="16"/>
          <w:szCs w:val="16"/>
          <w:lang w:val="es-CR"/>
        </w:rPr>
        <w:t xml:space="preserve">, </w:t>
      </w:r>
      <w:r w:rsidRPr="00E46F1E">
        <w:rPr>
          <w:rStyle w:val="Textoennegrita"/>
          <w:rFonts w:ascii="Verdana" w:hAnsi="Verdana"/>
          <w:b w:val="0"/>
          <w:i/>
          <w:color w:val="000000"/>
          <w:sz w:val="16"/>
          <w:szCs w:val="16"/>
          <w:lang w:val="es-CR"/>
        </w:rPr>
        <w:t>Caso Muelle Flores Vs. Perú. Excepciones Preliminares, Fondo, Reparaciones y Costas</w:t>
      </w:r>
      <w:r w:rsidRPr="00E46F1E">
        <w:rPr>
          <w:rStyle w:val="Textoennegrita"/>
          <w:rFonts w:ascii="Verdana" w:hAnsi="Verdana"/>
          <w:b w:val="0"/>
          <w:color w:val="000000"/>
          <w:sz w:val="16"/>
          <w:szCs w:val="16"/>
          <w:lang w:val="es-CR"/>
        </w:rPr>
        <w:t>. Sentencia de 6 de marzo de 2019. Serie C No. 375, párr. 190</w:t>
      </w:r>
    </w:p>
  </w:footnote>
  <w:footnote w:id="149">
    <w:p w14:paraId="44698384" w14:textId="77777777" w:rsidR="00E46F1E" w:rsidRPr="001067EF" w:rsidRDefault="00E46F1E" w:rsidP="00C40460">
      <w:pPr>
        <w:pStyle w:val="Textonotapie"/>
        <w:spacing w:after="120"/>
        <w:jc w:val="both"/>
        <w:rPr>
          <w:rFonts w:ascii="Verdana" w:hAnsi="Verdana"/>
          <w:sz w:val="16"/>
          <w:szCs w:val="16"/>
          <w:lang w:val="es-CR"/>
        </w:rPr>
      </w:pPr>
      <w:r w:rsidRPr="001067EF">
        <w:rPr>
          <w:rStyle w:val="Refdenotaalpie"/>
          <w:rFonts w:ascii="Verdana" w:hAnsi="Verdana"/>
          <w:sz w:val="16"/>
          <w:szCs w:val="16"/>
        </w:rPr>
        <w:footnoteRef/>
      </w:r>
      <w:r w:rsidRPr="001067EF">
        <w:rPr>
          <w:rFonts w:ascii="Verdana" w:hAnsi="Verdana"/>
          <w:sz w:val="16"/>
          <w:szCs w:val="16"/>
          <w:lang w:val="es-CR"/>
        </w:rPr>
        <w:t xml:space="preserve"> </w:t>
      </w:r>
      <w:r w:rsidRPr="001067EF">
        <w:rPr>
          <w:rFonts w:ascii="Verdana" w:hAnsi="Verdana"/>
          <w:sz w:val="16"/>
          <w:szCs w:val="16"/>
          <w:lang w:val="es-CR"/>
        </w:rPr>
        <w:tab/>
      </w:r>
      <w:r w:rsidRPr="001067EF">
        <w:rPr>
          <w:rFonts w:ascii="Verdana" w:hAnsi="Verdana"/>
          <w:i/>
          <w:sz w:val="16"/>
          <w:szCs w:val="16"/>
          <w:lang w:val="es-CR"/>
        </w:rPr>
        <w:t xml:space="preserve">Cfr. </w:t>
      </w:r>
      <w:r w:rsidRPr="00E46F1E">
        <w:rPr>
          <w:rStyle w:val="Textoennegrita"/>
          <w:rFonts w:ascii="Verdana" w:hAnsi="Verdana"/>
          <w:b w:val="0"/>
          <w:i/>
          <w:color w:val="000000"/>
          <w:sz w:val="16"/>
          <w:szCs w:val="16"/>
          <w:lang w:val="es-CR"/>
        </w:rPr>
        <w:t>Caso Muelle Flores Vs. Perú. Excepciones Preliminares, Fondo, Reparaciones y Costas.</w:t>
      </w:r>
      <w:r w:rsidRPr="00E46F1E">
        <w:rPr>
          <w:rStyle w:val="Textoennegrita"/>
          <w:rFonts w:ascii="Verdana" w:hAnsi="Verdana"/>
          <w:b w:val="0"/>
          <w:color w:val="000000"/>
          <w:sz w:val="16"/>
          <w:szCs w:val="16"/>
          <w:lang w:val="es-CR"/>
        </w:rPr>
        <w:t xml:space="preserve"> Sentencia de 6 de marzo de 2019. Serie C No. 375, párr. 190.</w:t>
      </w:r>
    </w:p>
  </w:footnote>
  <w:footnote w:id="150">
    <w:p w14:paraId="57FDCB5E" w14:textId="1AEE932E" w:rsidR="00E46F1E" w:rsidRPr="001067EF" w:rsidRDefault="00E46F1E" w:rsidP="00C40460">
      <w:pPr>
        <w:spacing w:after="120" w:line="240" w:lineRule="auto"/>
        <w:jc w:val="both"/>
        <w:rPr>
          <w:rFonts w:ascii="Verdana" w:hAnsi="Verdana"/>
          <w:sz w:val="16"/>
          <w:szCs w:val="16"/>
          <w:lang w:eastAsia="es-ES_tradnl"/>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Cfr.</w:t>
      </w:r>
      <w:r w:rsidRPr="001067EF">
        <w:rPr>
          <w:rFonts w:ascii="Verdana" w:hAnsi="Verdana"/>
          <w:sz w:val="16"/>
          <w:szCs w:val="16"/>
        </w:rPr>
        <w:t xml:space="preserve"> </w:t>
      </w:r>
      <w:r w:rsidRPr="001067EF">
        <w:rPr>
          <w:rFonts w:ascii="Verdana" w:hAnsi="Verdana"/>
          <w:i/>
          <w:sz w:val="16"/>
          <w:szCs w:val="16"/>
        </w:rPr>
        <w:t xml:space="preserve">Caso Gonzales </w:t>
      </w:r>
      <w:proofErr w:type="spellStart"/>
      <w:r w:rsidRPr="001067EF">
        <w:rPr>
          <w:rFonts w:ascii="Verdana" w:hAnsi="Verdana"/>
          <w:i/>
          <w:sz w:val="16"/>
          <w:szCs w:val="16"/>
        </w:rPr>
        <w:t>Lluy</w:t>
      </w:r>
      <w:proofErr w:type="spellEnd"/>
      <w:r w:rsidRPr="001067EF">
        <w:rPr>
          <w:rFonts w:ascii="Verdana" w:hAnsi="Verdana"/>
          <w:i/>
          <w:sz w:val="16"/>
          <w:szCs w:val="16"/>
        </w:rPr>
        <w:t xml:space="preserve"> y otros Vs. Ecuador. Excepciones Preliminares, Fondo, Reparaciones y Costas</w:t>
      </w:r>
      <w:r w:rsidRPr="001067EF">
        <w:rPr>
          <w:rFonts w:ascii="Verdana" w:hAnsi="Verdana"/>
          <w:sz w:val="16"/>
          <w:szCs w:val="16"/>
        </w:rPr>
        <w:t>. Sentencia de 1</w:t>
      </w:r>
      <w:r w:rsidRPr="001067EF">
        <w:rPr>
          <w:rFonts w:ascii="Verdana" w:hAnsi="Verdana"/>
          <w:sz w:val="16"/>
          <w:szCs w:val="16"/>
          <w:vertAlign w:val="superscript"/>
        </w:rPr>
        <w:t xml:space="preserve"> </w:t>
      </w:r>
      <w:r w:rsidRPr="001067EF">
        <w:rPr>
          <w:rFonts w:ascii="Verdana" w:hAnsi="Verdana"/>
          <w:sz w:val="16"/>
          <w:szCs w:val="16"/>
        </w:rPr>
        <w:t xml:space="preserve">de septiembre de 2015. Serie C No. 298, párr. 171, y </w:t>
      </w:r>
      <w:r w:rsidRPr="001067EF">
        <w:rPr>
          <w:rFonts w:ascii="Verdana" w:hAnsi="Verdana"/>
          <w:bCs/>
          <w:i/>
          <w:color w:val="000000"/>
          <w:sz w:val="16"/>
          <w:szCs w:val="16"/>
          <w:lang w:eastAsia="es-ES_tradnl"/>
        </w:rPr>
        <w:t xml:space="preserve">Caso </w:t>
      </w:r>
      <w:proofErr w:type="spellStart"/>
      <w:r w:rsidRPr="001067EF">
        <w:rPr>
          <w:rFonts w:ascii="Verdana" w:hAnsi="Verdana"/>
          <w:bCs/>
          <w:i/>
          <w:color w:val="000000"/>
          <w:sz w:val="16"/>
          <w:szCs w:val="16"/>
          <w:lang w:eastAsia="es-ES_tradnl"/>
        </w:rPr>
        <w:t>Cuscul</w:t>
      </w:r>
      <w:proofErr w:type="spellEnd"/>
      <w:r w:rsidRPr="001067EF">
        <w:rPr>
          <w:rFonts w:ascii="Verdana" w:hAnsi="Verdana"/>
          <w:bCs/>
          <w:i/>
          <w:color w:val="000000"/>
          <w:sz w:val="16"/>
          <w:szCs w:val="16"/>
          <w:lang w:eastAsia="es-ES_tradnl"/>
        </w:rPr>
        <w:t xml:space="preserve"> Pivaral y otros Vs. Guatemala. Excepción Preliminar, Fondo, Reparaciones y Costas.</w:t>
      </w:r>
      <w:r w:rsidRPr="001067EF">
        <w:rPr>
          <w:rFonts w:ascii="Verdana" w:hAnsi="Verdana"/>
          <w:bCs/>
          <w:color w:val="000000"/>
          <w:sz w:val="16"/>
          <w:szCs w:val="16"/>
          <w:lang w:eastAsia="es-ES_tradnl"/>
        </w:rPr>
        <w:t xml:space="preserve"> Sentencia de 23 de agosto de 2018. Serie C No. 359., párr. 115.</w:t>
      </w:r>
    </w:p>
  </w:footnote>
  <w:footnote w:id="151">
    <w:p w14:paraId="749B71BA" w14:textId="56505222" w:rsidR="00E46F1E" w:rsidRPr="008A5944" w:rsidRDefault="00E46F1E" w:rsidP="008A5944">
      <w:pPr>
        <w:spacing w:after="0" w:line="240" w:lineRule="auto"/>
        <w:jc w:val="both"/>
        <w:rPr>
          <w:rFonts w:ascii="Verdana" w:eastAsiaTheme="minorHAnsi" w:hAnsi="Verdana"/>
          <w:sz w:val="16"/>
          <w:szCs w:val="16"/>
          <w:lang w:val="es-CO"/>
        </w:rPr>
      </w:pPr>
      <w:r w:rsidRPr="008A5944">
        <w:rPr>
          <w:rStyle w:val="Refdenotaalpie"/>
          <w:rFonts w:ascii="Verdana" w:hAnsi="Verdana"/>
          <w:sz w:val="16"/>
          <w:szCs w:val="16"/>
        </w:rPr>
        <w:footnoteRef/>
      </w:r>
      <w:r w:rsidRPr="008A5944">
        <w:rPr>
          <w:rFonts w:ascii="Verdana" w:hAnsi="Verdana"/>
          <w:sz w:val="16"/>
          <w:szCs w:val="16"/>
        </w:rPr>
        <w:t xml:space="preserve"> </w:t>
      </w:r>
      <w:r w:rsidRPr="008A5944">
        <w:rPr>
          <w:rFonts w:ascii="Verdana" w:hAnsi="Verdana"/>
          <w:sz w:val="16"/>
          <w:szCs w:val="16"/>
        </w:rPr>
        <w:tab/>
        <w:t xml:space="preserve">a) La Ley Penitenciaria Federal, No. 412/58, de 14 de enero de 1958; b) el Código de Ejecución Penal para la Provincia de Buenos Aires, No. 5619, de 5 de octubre de 1950;  c) la </w:t>
      </w:r>
      <w:r w:rsidRPr="008A5944">
        <w:rPr>
          <w:rFonts w:ascii="Verdana" w:hAnsi="Verdana"/>
          <w:sz w:val="16"/>
          <w:szCs w:val="16"/>
          <w:lang w:val="es-CO"/>
        </w:rPr>
        <w:t xml:space="preserve">Ley No. 1373/1962 contentiva de las </w:t>
      </w:r>
      <w:r w:rsidRPr="008A5944">
        <w:rPr>
          <w:rFonts w:ascii="Verdana" w:hAnsi="Verdana"/>
          <w:color w:val="000000"/>
          <w:sz w:val="16"/>
          <w:szCs w:val="16"/>
          <w:lang w:val="es-CO"/>
        </w:rPr>
        <w:t xml:space="preserve">Normas Reglamentarias del Código de Ejecución Penal y de Estructuración Orgánica de </w:t>
      </w:r>
      <w:r w:rsidRPr="008A5944">
        <w:rPr>
          <w:rFonts w:ascii="Verdana" w:hAnsi="Verdana"/>
          <w:sz w:val="16"/>
          <w:szCs w:val="16"/>
          <w:lang w:val="es-CO"/>
        </w:rPr>
        <w:t xml:space="preserve">la Dirección General </w:t>
      </w:r>
      <w:r w:rsidRPr="008A5944">
        <w:rPr>
          <w:rFonts w:ascii="Verdana" w:hAnsi="Verdana"/>
          <w:color w:val="000000"/>
          <w:sz w:val="16"/>
          <w:szCs w:val="16"/>
          <w:lang w:val="es-CO"/>
        </w:rPr>
        <w:t xml:space="preserve">de Establecimientos Penales, de 19 de febrero de 1962; d) la </w:t>
      </w:r>
      <w:r w:rsidRPr="008A5944">
        <w:rPr>
          <w:rFonts w:ascii="Verdana" w:hAnsi="Verdana"/>
          <w:sz w:val="16"/>
          <w:szCs w:val="16"/>
          <w:lang w:val="es-CO"/>
        </w:rPr>
        <w:t xml:space="preserve">Ley No. 9079/1978, Orgánica del Servicio Penitenciario de la Provincia de Buenos Aires, de 9 de junio de 1978, y </w:t>
      </w:r>
      <w:proofErr w:type="spellStart"/>
      <w:r w:rsidRPr="008A5944">
        <w:rPr>
          <w:rFonts w:ascii="Verdana" w:hAnsi="Verdana"/>
          <w:sz w:val="16"/>
          <w:szCs w:val="16"/>
          <w:lang w:val="es-CO"/>
        </w:rPr>
        <w:t>e</w:t>
      </w:r>
      <w:proofErr w:type="spellEnd"/>
      <w:r w:rsidRPr="008A5944">
        <w:rPr>
          <w:rFonts w:ascii="Verdana" w:hAnsi="Verdana"/>
          <w:sz w:val="16"/>
          <w:szCs w:val="16"/>
          <w:lang w:val="es-CO"/>
        </w:rPr>
        <w:t>) el Decreto No. 1300/1980, Reglamentario de la Ley Orgánica del Servicio Penitenciario de la Provincia de Buenos</w:t>
      </w:r>
      <w:r>
        <w:rPr>
          <w:rFonts w:ascii="Verdana" w:hAnsi="Verdana"/>
          <w:sz w:val="16"/>
          <w:szCs w:val="16"/>
          <w:lang w:val="es-CO"/>
        </w:rPr>
        <w:t xml:space="preserve"> Aires, de 1 de agosto de 1980.</w:t>
      </w:r>
    </w:p>
  </w:footnote>
  <w:footnote w:id="152">
    <w:p w14:paraId="4E29B1BA" w14:textId="443C020D" w:rsidR="00E46F1E" w:rsidRPr="00E46F1E" w:rsidRDefault="00E46F1E" w:rsidP="00C40460">
      <w:pPr>
        <w:pStyle w:val="Textonotapie"/>
        <w:widowControl w:val="0"/>
        <w:spacing w:after="120"/>
        <w:jc w:val="both"/>
        <w:rPr>
          <w:rFonts w:ascii="Verdana" w:hAnsi="Verdana"/>
          <w:sz w:val="16"/>
          <w:szCs w:val="16"/>
        </w:rPr>
      </w:pPr>
      <w:r w:rsidRPr="00E46F1E">
        <w:rPr>
          <w:rStyle w:val="Refdenotaalpie"/>
          <w:rFonts w:ascii="Verdana" w:hAnsi="Verdana"/>
          <w:sz w:val="16"/>
          <w:szCs w:val="16"/>
        </w:rPr>
        <w:footnoteRef/>
      </w:r>
      <w:r w:rsidRPr="00E46F1E">
        <w:rPr>
          <w:rFonts w:ascii="Verdana" w:hAnsi="Verdana"/>
          <w:sz w:val="16"/>
          <w:szCs w:val="16"/>
        </w:rPr>
        <w:t xml:space="preserve"> </w:t>
      </w:r>
      <w:r w:rsidRPr="00E46F1E">
        <w:rPr>
          <w:rFonts w:ascii="Verdana" w:hAnsi="Verdana"/>
          <w:sz w:val="16"/>
          <w:szCs w:val="16"/>
        </w:rPr>
        <w:tab/>
      </w:r>
      <w:r w:rsidRPr="00E46F1E">
        <w:rPr>
          <w:rFonts w:ascii="Verdana" w:hAnsi="Verdana"/>
          <w:i/>
          <w:sz w:val="16"/>
          <w:szCs w:val="16"/>
          <w:lang w:val="es-CR"/>
        </w:rPr>
        <w:t>Cfr. Caso Tibi Vs. Ecuador. Excepciones Preliminares, Fondo, Reparaciones y Costas.</w:t>
      </w:r>
      <w:r w:rsidRPr="00E46F1E">
        <w:rPr>
          <w:rFonts w:ascii="Verdana" w:hAnsi="Verdana"/>
          <w:sz w:val="16"/>
          <w:szCs w:val="16"/>
          <w:lang w:val="es-CR"/>
        </w:rPr>
        <w:t xml:space="preserve"> Sentencia de 7 de septiembre de 2004. Serie C No. 114</w:t>
      </w:r>
      <w:r w:rsidRPr="00E46F1E">
        <w:rPr>
          <w:rFonts w:ascii="Verdana" w:hAnsi="Verdana"/>
          <w:sz w:val="16"/>
          <w:szCs w:val="16"/>
        </w:rPr>
        <w:t xml:space="preserve">, párr. 150, y </w:t>
      </w:r>
      <w:r w:rsidRPr="00E46F1E">
        <w:rPr>
          <w:rStyle w:val="Textoennegrita"/>
          <w:rFonts w:ascii="Verdana" w:hAnsi="Verdana"/>
          <w:b w:val="0"/>
          <w:i/>
          <w:color w:val="000000"/>
          <w:sz w:val="16"/>
          <w:szCs w:val="16"/>
        </w:rPr>
        <w:t>Caso De La Cruz Flores Vs. Perú. Fondo, Reparaciones y Costas.</w:t>
      </w:r>
      <w:r w:rsidRPr="00E46F1E">
        <w:rPr>
          <w:rStyle w:val="Textoennegrita"/>
          <w:rFonts w:ascii="Verdana" w:hAnsi="Verdana"/>
          <w:b w:val="0"/>
          <w:color w:val="000000"/>
          <w:sz w:val="16"/>
          <w:szCs w:val="16"/>
        </w:rPr>
        <w:t xml:space="preserve"> Sentencia de 18 de noviembre de 2004. Serie C No. 115,</w:t>
      </w:r>
      <w:r w:rsidRPr="00E46F1E">
        <w:rPr>
          <w:rStyle w:val="Textoennegrita"/>
          <w:rFonts w:ascii="Verdana" w:hAnsi="Verdana"/>
          <w:color w:val="000000"/>
          <w:sz w:val="16"/>
          <w:szCs w:val="16"/>
        </w:rPr>
        <w:t xml:space="preserve"> </w:t>
      </w:r>
      <w:r w:rsidRPr="00E46F1E">
        <w:rPr>
          <w:rFonts w:ascii="Verdana" w:hAnsi="Verdana"/>
          <w:sz w:val="16"/>
          <w:szCs w:val="16"/>
        </w:rPr>
        <w:t>párr. 124.</w:t>
      </w:r>
    </w:p>
  </w:footnote>
  <w:footnote w:id="153">
    <w:p w14:paraId="3094086F" w14:textId="77777777" w:rsidR="00E46F1E" w:rsidRPr="00E46F1E" w:rsidRDefault="00E46F1E" w:rsidP="00C40460">
      <w:pPr>
        <w:pStyle w:val="Textonotapie"/>
        <w:widowControl w:val="0"/>
        <w:spacing w:after="120"/>
        <w:jc w:val="both"/>
        <w:rPr>
          <w:rFonts w:ascii="Verdana" w:hAnsi="Verdana"/>
          <w:sz w:val="16"/>
          <w:szCs w:val="16"/>
        </w:rPr>
      </w:pPr>
      <w:r w:rsidRPr="00E46F1E">
        <w:rPr>
          <w:rStyle w:val="Refdenotaalpie"/>
          <w:rFonts w:ascii="Verdana" w:hAnsi="Verdana"/>
          <w:sz w:val="16"/>
          <w:szCs w:val="16"/>
        </w:rPr>
        <w:footnoteRef/>
      </w:r>
      <w:r w:rsidRPr="00E46F1E">
        <w:rPr>
          <w:rFonts w:ascii="Verdana" w:hAnsi="Verdana"/>
          <w:sz w:val="16"/>
          <w:szCs w:val="16"/>
        </w:rPr>
        <w:t xml:space="preserve"> </w:t>
      </w:r>
      <w:r w:rsidRPr="00E46F1E">
        <w:rPr>
          <w:rFonts w:ascii="Verdana" w:hAnsi="Verdana"/>
          <w:sz w:val="16"/>
          <w:szCs w:val="16"/>
        </w:rPr>
        <w:tab/>
      </w:r>
      <w:r w:rsidRPr="00E46F1E">
        <w:rPr>
          <w:rFonts w:ascii="Verdana" w:hAnsi="Verdana"/>
          <w:i/>
          <w:sz w:val="16"/>
          <w:szCs w:val="16"/>
          <w:lang w:val="es-CR"/>
        </w:rPr>
        <w:t>Cfr. Caso Tibi Vs. Ecuador. Excepciones Preliminares, Fondo, Reparaciones y Costas.</w:t>
      </w:r>
      <w:r w:rsidRPr="00E46F1E">
        <w:rPr>
          <w:rFonts w:ascii="Verdana" w:hAnsi="Verdana"/>
          <w:sz w:val="16"/>
          <w:szCs w:val="16"/>
          <w:lang w:val="es-CR"/>
        </w:rPr>
        <w:t xml:space="preserve"> Sentencia de 7 de septiembre de 2004. Serie C No. 114</w:t>
      </w:r>
      <w:r w:rsidRPr="00E46F1E">
        <w:rPr>
          <w:rFonts w:ascii="Verdana" w:hAnsi="Verdana"/>
          <w:sz w:val="16"/>
          <w:szCs w:val="16"/>
        </w:rPr>
        <w:t xml:space="preserve">, párr. 150, y </w:t>
      </w:r>
      <w:r w:rsidRPr="00E46F1E">
        <w:rPr>
          <w:rStyle w:val="Textoennegrita"/>
          <w:rFonts w:ascii="Verdana" w:hAnsi="Verdana"/>
          <w:b w:val="0"/>
          <w:i/>
          <w:color w:val="000000"/>
          <w:sz w:val="16"/>
          <w:szCs w:val="16"/>
        </w:rPr>
        <w:t>Caso De La Cruz Flores Vs. Perú. Fondo, Reparaciones y Costas.</w:t>
      </w:r>
      <w:r w:rsidRPr="00E46F1E">
        <w:rPr>
          <w:rStyle w:val="Textoennegrita"/>
          <w:rFonts w:ascii="Verdana" w:hAnsi="Verdana"/>
          <w:b w:val="0"/>
          <w:color w:val="000000"/>
          <w:sz w:val="16"/>
          <w:szCs w:val="16"/>
        </w:rPr>
        <w:t xml:space="preserve"> Sentencia de 18 de noviembre de 2004. Serie C No. 115</w:t>
      </w:r>
      <w:r w:rsidRPr="00E46F1E">
        <w:rPr>
          <w:rFonts w:ascii="Verdana" w:hAnsi="Verdana"/>
          <w:b/>
          <w:sz w:val="16"/>
          <w:szCs w:val="16"/>
        </w:rPr>
        <w:t>,</w:t>
      </w:r>
      <w:r w:rsidRPr="00E46F1E">
        <w:rPr>
          <w:rFonts w:ascii="Verdana" w:hAnsi="Verdana"/>
          <w:sz w:val="16"/>
          <w:szCs w:val="16"/>
        </w:rPr>
        <w:t xml:space="preserve"> párr. 124.</w:t>
      </w:r>
    </w:p>
  </w:footnote>
  <w:footnote w:id="154">
    <w:p w14:paraId="3A145853" w14:textId="77777777" w:rsidR="00E46F1E" w:rsidRPr="00E46F1E" w:rsidRDefault="00E46F1E" w:rsidP="00C40460">
      <w:pPr>
        <w:pStyle w:val="Textonotapie"/>
        <w:spacing w:after="120"/>
        <w:jc w:val="both"/>
        <w:rPr>
          <w:rFonts w:ascii="Verdana" w:hAnsi="Verdana"/>
          <w:sz w:val="16"/>
          <w:szCs w:val="16"/>
        </w:rPr>
      </w:pPr>
      <w:r w:rsidRPr="00E46F1E">
        <w:rPr>
          <w:rStyle w:val="Refdenotaalpie"/>
          <w:rFonts w:ascii="Verdana" w:hAnsi="Verdana"/>
          <w:sz w:val="16"/>
          <w:szCs w:val="16"/>
        </w:rPr>
        <w:footnoteRef/>
      </w:r>
      <w:r w:rsidRPr="00E46F1E">
        <w:rPr>
          <w:rFonts w:ascii="Verdana" w:hAnsi="Verdana"/>
          <w:sz w:val="16"/>
          <w:szCs w:val="16"/>
        </w:rPr>
        <w:t xml:space="preserve"> </w:t>
      </w:r>
      <w:r w:rsidRPr="00E46F1E">
        <w:rPr>
          <w:rFonts w:ascii="Verdana" w:hAnsi="Verdana"/>
          <w:sz w:val="16"/>
          <w:szCs w:val="16"/>
        </w:rPr>
        <w:tab/>
      </w:r>
      <w:r w:rsidRPr="00E46F1E">
        <w:rPr>
          <w:rFonts w:ascii="Verdana" w:hAnsi="Verdana"/>
          <w:i/>
          <w:sz w:val="16"/>
          <w:szCs w:val="16"/>
        </w:rPr>
        <w:t xml:space="preserve">Cfr. </w:t>
      </w:r>
      <w:r w:rsidRPr="00E46F1E">
        <w:rPr>
          <w:rFonts w:ascii="Verdana" w:hAnsi="Verdana"/>
          <w:sz w:val="16"/>
          <w:szCs w:val="16"/>
          <w:lang w:val="es-CR"/>
        </w:rPr>
        <w:t>Comité de Derechos Económicos, Sociales y Culturales, Observación General No. 14: El derecho al disfrute del más alto nivel posible de salud, 11 de agosto de 2000, U.N. Doc. E/C.12/2000/4</w:t>
      </w:r>
      <w:r w:rsidRPr="00E46F1E">
        <w:rPr>
          <w:rStyle w:val="Textoennegrita"/>
          <w:rFonts w:ascii="Verdana" w:hAnsi="Verdana"/>
          <w:b w:val="0"/>
          <w:color w:val="000000"/>
          <w:sz w:val="16"/>
          <w:szCs w:val="16"/>
          <w:lang w:val="es-CR"/>
        </w:rPr>
        <w:t>, párr. 12.</w:t>
      </w:r>
    </w:p>
  </w:footnote>
  <w:footnote w:id="155">
    <w:p w14:paraId="398D455D" w14:textId="0294EE24" w:rsidR="00E46F1E" w:rsidRPr="00E46F1E" w:rsidRDefault="00E46F1E" w:rsidP="00C40460">
      <w:pPr>
        <w:widowControl w:val="0"/>
        <w:spacing w:after="120" w:line="240" w:lineRule="auto"/>
        <w:jc w:val="both"/>
        <w:rPr>
          <w:rFonts w:ascii="Verdana" w:hAnsi="Verdana"/>
          <w:sz w:val="16"/>
          <w:szCs w:val="16"/>
          <w:lang w:val="es-CR"/>
        </w:rPr>
      </w:pPr>
      <w:r w:rsidRPr="00E46F1E">
        <w:rPr>
          <w:rStyle w:val="Refdenotaalpie"/>
          <w:rFonts w:ascii="Verdana" w:eastAsia="Times" w:hAnsi="Verdana"/>
          <w:sz w:val="16"/>
          <w:szCs w:val="16"/>
          <w:lang w:eastAsia="x-none"/>
        </w:rPr>
        <w:footnoteRef/>
      </w:r>
      <w:r w:rsidRPr="00E46F1E">
        <w:rPr>
          <w:rFonts w:ascii="Verdana" w:hAnsi="Verdana"/>
          <w:i/>
          <w:sz w:val="16"/>
          <w:szCs w:val="16"/>
        </w:rPr>
        <w:tab/>
        <w:t>Cfr.</w:t>
      </w:r>
      <w:r w:rsidRPr="00E46F1E">
        <w:rPr>
          <w:rFonts w:ascii="Verdana" w:hAnsi="Verdana"/>
          <w:sz w:val="16"/>
          <w:szCs w:val="16"/>
        </w:rPr>
        <w:t xml:space="preserve"> </w:t>
      </w:r>
      <w:r w:rsidRPr="00E46F1E">
        <w:rPr>
          <w:rFonts w:ascii="Verdana" w:hAnsi="Verdana"/>
          <w:bCs/>
          <w:i/>
          <w:sz w:val="16"/>
          <w:szCs w:val="16"/>
        </w:rPr>
        <w:t xml:space="preserve">Caso </w:t>
      </w:r>
      <w:proofErr w:type="spellStart"/>
      <w:r w:rsidRPr="00E46F1E">
        <w:rPr>
          <w:rFonts w:ascii="Verdana" w:hAnsi="Verdana"/>
          <w:bCs/>
          <w:i/>
          <w:sz w:val="16"/>
          <w:szCs w:val="16"/>
        </w:rPr>
        <w:t>Raxcacó</w:t>
      </w:r>
      <w:proofErr w:type="spellEnd"/>
      <w:r w:rsidRPr="00E46F1E">
        <w:rPr>
          <w:rFonts w:ascii="Verdana" w:hAnsi="Verdana"/>
          <w:bCs/>
          <w:i/>
          <w:sz w:val="16"/>
          <w:szCs w:val="16"/>
        </w:rPr>
        <w:t xml:space="preserve"> Reyes Vs. Guatemala.</w:t>
      </w:r>
      <w:r w:rsidRPr="00E46F1E">
        <w:rPr>
          <w:rFonts w:ascii="Verdana" w:hAnsi="Verdana"/>
          <w:b/>
          <w:bCs/>
          <w:i/>
          <w:sz w:val="16"/>
          <w:szCs w:val="16"/>
        </w:rPr>
        <w:t xml:space="preserve"> </w:t>
      </w:r>
      <w:r w:rsidRPr="00E46F1E">
        <w:rPr>
          <w:rFonts w:ascii="Verdana" w:hAnsi="Verdana"/>
          <w:i/>
          <w:sz w:val="16"/>
          <w:szCs w:val="16"/>
        </w:rPr>
        <w:t xml:space="preserve">Fondo, Reparaciones y Costas. </w:t>
      </w:r>
      <w:r w:rsidRPr="00E46F1E">
        <w:rPr>
          <w:rFonts w:ascii="Verdana" w:hAnsi="Verdana"/>
          <w:sz w:val="16"/>
          <w:szCs w:val="16"/>
        </w:rPr>
        <w:t xml:space="preserve">Sentencia de 15 de septiembre de 2005. Serie C No. 133, párr. 99, y </w:t>
      </w:r>
      <w:r w:rsidRPr="00E46F1E">
        <w:rPr>
          <w:rStyle w:val="Textoennegrita"/>
          <w:rFonts w:ascii="Verdana" w:hAnsi="Verdana"/>
          <w:b w:val="0"/>
          <w:i/>
          <w:color w:val="000000"/>
          <w:sz w:val="16"/>
          <w:szCs w:val="16"/>
        </w:rPr>
        <w:t>Caso Chinchilla Sandoval y otros Vs. Guatemala. Excepción Preliminar, Fondo, Reparaciones y Costas.</w:t>
      </w:r>
      <w:r w:rsidRPr="00E46F1E">
        <w:rPr>
          <w:rStyle w:val="Textoennegrita"/>
          <w:rFonts w:ascii="Verdana" w:hAnsi="Verdana"/>
          <w:b w:val="0"/>
          <w:color w:val="000000"/>
          <w:sz w:val="16"/>
          <w:szCs w:val="16"/>
        </w:rPr>
        <w:t xml:space="preserve"> Sentencia de 29 de febrero de 2016. Serie C No. 312., párr. 174</w:t>
      </w:r>
      <w:r w:rsidRPr="00E46F1E">
        <w:rPr>
          <w:rFonts w:ascii="Verdana" w:hAnsi="Verdana"/>
          <w:b/>
          <w:sz w:val="16"/>
          <w:szCs w:val="16"/>
        </w:rPr>
        <w:t>.</w:t>
      </w:r>
      <w:r w:rsidRPr="00E46F1E">
        <w:rPr>
          <w:rFonts w:ascii="Verdana" w:hAnsi="Verdana"/>
          <w:sz w:val="16"/>
          <w:szCs w:val="16"/>
        </w:rPr>
        <w:t xml:space="preserve"> </w:t>
      </w:r>
      <w:r w:rsidRPr="00E46F1E">
        <w:rPr>
          <w:rFonts w:ascii="Verdana" w:hAnsi="Verdana" w:cs="Arial"/>
          <w:sz w:val="16"/>
          <w:szCs w:val="16"/>
          <w:lang w:val="es-CR"/>
        </w:rPr>
        <w:t>Reglas Mínimas de las Naciones Unidas para el Tratamiento de Reclusos, adoptadas por el Primer Congreso de las Naciones Unidas sobre Prevención del Delito y Tratamiento del Delincuente, celebrado en Ginebra en 1995, y aprobadas por el Consejo Económico y Social en sus resoluciones 663C (XXIV) de 31 de julio de 1957 y 2076 (LXVII) de 13 de mayo de 1977.</w:t>
      </w:r>
    </w:p>
  </w:footnote>
  <w:footnote w:id="156">
    <w:p w14:paraId="7BAAD91F" w14:textId="77777777" w:rsidR="00E46F1E" w:rsidRPr="001067EF" w:rsidRDefault="00E46F1E" w:rsidP="00C40460">
      <w:pPr>
        <w:pStyle w:val="Textonotapie"/>
        <w:widowControl w:val="0"/>
        <w:spacing w:after="120"/>
        <w:jc w:val="both"/>
        <w:rPr>
          <w:rFonts w:ascii="Verdana" w:hAnsi="Verdana"/>
          <w:sz w:val="16"/>
          <w:szCs w:val="16"/>
          <w:lang w:val="es-CR"/>
        </w:rPr>
      </w:pPr>
      <w:r w:rsidRPr="00E46F1E">
        <w:rPr>
          <w:rStyle w:val="Refdenotaalpie"/>
          <w:rFonts w:ascii="Verdana" w:hAnsi="Verdana"/>
          <w:sz w:val="16"/>
          <w:szCs w:val="16"/>
        </w:rPr>
        <w:footnoteRef/>
      </w:r>
      <w:r w:rsidRPr="00E46F1E">
        <w:rPr>
          <w:rFonts w:ascii="Verdana" w:hAnsi="Verdana"/>
          <w:sz w:val="16"/>
          <w:szCs w:val="16"/>
          <w:lang w:val="es-CR"/>
        </w:rPr>
        <w:tab/>
      </w:r>
      <w:r w:rsidRPr="00E46F1E">
        <w:rPr>
          <w:rFonts w:ascii="Verdana" w:hAnsi="Verdana"/>
          <w:i/>
          <w:sz w:val="16"/>
          <w:szCs w:val="16"/>
          <w:lang w:val="es-CR"/>
        </w:rPr>
        <w:t xml:space="preserve">Cfr. </w:t>
      </w:r>
      <w:r w:rsidRPr="00E46F1E">
        <w:rPr>
          <w:rFonts w:ascii="Verdana" w:hAnsi="Verdana"/>
          <w:sz w:val="16"/>
          <w:szCs w:val="16"/>
          <w:lang w:val="es-CR"/>
        </w:rPr>
        <w:t xml:space="preserve">Reglas Mínimas para el Tratamiento de Reclusos, </w:t>
      </w:r>
      <w:r w:rsidRPr="00E46F1E">
        <w:rPr>
          <w:rFonts w:ascii="Verdana" w:hAnsi="Verdana"/>
          <w:color w:val="000000"/>
          <w:sz w:val="16"/>
          <w:szCs w:val="16"/>
        </w:rPr>
        <w:t>Adoptadas por el Primer Congreso de las Naciones Unidas sobre Prevención del Delito y Tratamiento del Delincuente, celebrado en Ginebra en 1955, y aprobadas por el Consejo Económico y Social en sus resoluciones 663C (XXIV) de 31 de julio de 1957 y 2076 (LXII) de 13 de mayo de 1977</w:t>
      </w:r>
      <w:r w:rsidRPr="00E46F1E">
        <w:rPr>
          <w:rFonts w:ascii="Verdana" w:hAnsi="Verdana"/>
          <w:sz w:val="16"/>
          <w:szCs w:val="16"/>
          <w:lang w:val="es-CR"/>
        </w:rPr>
        <w:t xml:space="preserve">, Reglas 22.1, 24 y 25, </w:t>
      </w:r>
      <w:r w:rsidRPr="00E46F1E">
        <w:rPr>
          <w:rFonts w:ascii="Verdana" w:hAnsi="Verdana" w:cs="Arial"/>
          <w:sz w:val="16"/>
          <w:szCs w:val="16"/>
          <w:lang w:val="es-CL" w:eastAsia="es-ES_tradnl"/>
        </w:rPr>
        <w:t>Coalición Antituberculosa para la Asistencia Técnica. Normas Internacionales para la Asistencia</w:t>
      </w:r>
      <w:r w:rsidRPr="001067EF">
        <w:rPr>
          <w:rFonts w:ascii="Verdana" w:hAnsi="Verdana" w:cs="Arial"/>
          <w:sz w:val="16"/>
          <w:szCs w:val="16"/>
          <w:lang w:val="es-CL" w:eastAsia="es-ES_tradnl"/>
        </w:rPr>
        <w:t xml:space="preserve"> Antituberculosa (NIAA). La Haya: Coalición Antituberculosa para la Asistencia Técnica, 2006, norma 1. </w:t>
      </w:r>
      <w:r w:rsidRPr="001067EF">
        <w:rPr>
          <w:rFonts w:ascii="Verdana" w:hAnsi="Verdana"/>
          <w:i/>
          <w:sz w:val="16"/>
          <w:szCs w:val="16"/>
          <w:lang w:val="es-CL"/>
        </w:rPr>
        <w:t>Cfr. Manual de Procedimiento del Programa de Tuberculosis para Poblaciones Privadas de Libertad en Gendarmería de Chile</w:t>
      </w:r>
      <w:r w:rsidRPr="001067EF">
        <w:rPr>
          <w:rFonts w:ascii="Verdana" w:hAnsi="Verdana"/>
          <w:sz w:val="16"/>
          <w:szCs w:val="16"/>
          <w:lang w:val="es-CL"/>
        </w:rPr>
        <w:t xml:space="preserve">, Ministerio de Salud, p. 17. </w:t>
      </w:r>
      <w:r w:rsidRPr="001067EF">
        <w:rPr>
          <w:rFonts w:ascii="Verdana" w:hAnsi="Verdana"/>
          <w:i/>
          <w:sz w:val="16"/>
          <w:szCs w:val="16"/>
          <w:lang w:val="es-CL"/>
        </w:rPr>
        <w:t>Atención y Cuidado de la Salud de las Personas Privadas de su Libertad</w:t>
      </w:r>
      <w:r w:rsidRPr="001067EF">
        <w:rPr>
          <w:rFonts w:ascii="Verdana" w:hAnsi="Verdana"/>
          <w:sz w:val="16"/>
          <w:szCs w:val="16"/>
          <w:lang w:val="es-CL"/>
        </w:rPr>
        <w:t>. Plan estratégico de salud integral en el servicio penitenciario federal 2012-2015, Ministerio de Justicia y Derechos Humanos de la Nación, 2013, p. 57.</w:t>
      </w:r>
      <w:r w:rsidRPr="001067EF">
        <w:rPr>
          <w:rFonts w:ascii="Verdana" w:hAnsi="Verdana"/>
          <w:i/>
          <w:sz w:val="16"/>
          <w:szCs w:val="16"/>
          <w:lang w:val="es-CL"/>
        </w:rPr>
        <w:t xml:space="preserve"> Guía para el control de la tuberculosis en población privada de libertad, Ministerio de Salud</w:t>
      </w:r>
      <w:r w:rsidRPr="001067EF">
        <w:rPr>
          <w:rFonts w:ascii="Verdana" w:hAnsi="Verdana"/>
          <w:sz w:val="16"/>
          <w:szCs w:val="16"/>
          <w:lang w:val="es-CL"/>
        </w:rPr>
        <w:t>, marzo 2012, p. 9.</w:t>
      </w:r>
    </w:p>
  </w:footnote>
  <w:footnote w:id="157">
    <w:p w14:paraId="64588062" w14:textId="77777777" w:rsidR="00E46F1E" w:rsidRPr="001067EF" w:rsidRDefault="00E46F1E" w:rsidP="00C40460">
      <w:pPr>
        <w:widowControl w:val="0"/>
        <w:tabs>
          <w:tab w:val="left" w:pos="0"/>
        </w:tabs>
        <w:spacing w:after="120" w:line="240" w:lineRule="auto"/>
        <w:jc w:val="both"/>
        <w:rPr>
          <w:rFonts w:ascii="Verdana" w:eastAsia="Calibri" w:hAnsi="Verdana"/>
          <w:sz w:val="16"/>
          <w:szCs w:val="16"/>
          <w:lang w:eastAsia="es-ES"/>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t>La Corte recuerda que el 1 de abril de 2019 y el 4 de julio de 2019, con fundamento en el artículo 58.b del reglamento de la Corte, se le solicitó al Estado, como prueba para mejor resolver, que aportara l</w:t>
      </w:r>
      <w:r w:rsidRPr="001067EF">
        <w:rPr>
          <w:rFonts w:ascii="Verdana" w:eastAsia="Calibri" w:hAnsi="Verdana"/>
          <w:sz w:val="16"/>
          <w:szCs w:val="16"/>
          <w:lang w:eastAsia="es-ES"/>
        </w:rPr>
        <w:t xml:space="preserve">os expedientes médicos completos del señor José Luis Hernández y en los cuales se brindó el servicio de salud en: i) la Comisaría de Monte Grande; </w:t>
      </w:r>
      <w:proofErr w:type="spellStart"/>
      <w:r w:rsidRPr="001067EF">
        <w:rPr>
          <w:rFonts w:ascii="Verdana" w:eastAsia="Calibri" w:hAnsi="Verdana"/>
          <w:sz w:val="16"/>
          <w:szCs w:val="16"/>
          <w:lang w:eastAsia="es-ES"/>
        </w:rPr>
        <w:t>ii</w:t>
      </w:r>
      <w:proofErr w:type="spellEnd"/>
      <w:r w:rsidRPr="001067EF">
        <w:rPr>
          <w:rFonts w:ascii="Verdana" w:eastAsia="Calibri" w:hAnsi="Verdana"/>
          <w:sz w:val="16"/>
          <w:szCs w:val="16"/>
          <w:lang w:eastAsia="es-ES"/>
        </w:rPr>
        <w:t xml:space="preserve">) la Unidad </w:t>
      </w:r>
      <w:proofErr w:type="spellStart"/>
      <w:r w:rsidRPr="001067EF">
        <w:rPr>
          <w:rFonts w:ascii="Verdana" w:eastAsia="Calibri" w:hAnsi="Verdana"/>
          <w:sz w:val="16"/>
          <w:szCs w:val="16"/>
          <w:lang w:eastAsia="es-ES"/>
        </w:rPr>
        <w:t>N°</w:t>
      </w:r>
      <w:proofErr w:type="spellEnd"/>
      <w:r w:rsidRPr="001067EF">
        <w:rPr>
          <w:rFonts w:ascii="Verdana" w:eastAsia="Calibri" w:hAnsi="Verdana"/>
          <w:sz w:val="16"/>
          <w:szCs w:val="16"/>
          <w:lang w:eastAsia="es-ES"/>
        </w:rPr>
        <w:t xml:space="preserve"> 1; </w:t>
      </w:r>
      <w:proofErr w:type="spellStart"/>
      <w:r w:rsidRPr="001067EF">
        <w:rPr>
          <w:rFonts w:ascii="Verdana" w:eastAsia="Calibri" w:hAnsi="Verdana"/>
          <w:sz w:val="16"/>
          <w:szCs w:val="16"/>
          <w:lang w:eastAsia="es-ES"/>
        </w:rPr>
        <w:t>iii</w:t>
      </w:r>
      <w:proofErr w:type="spellEnd"/>
      <w:r w:rsidRPr="001067EF">
        <w:rPr>
          <w:rFonts w:ascii="Verdana" w:eastAsia="Calibri" w:hAnsi="Verdana"/>
          <w:sz w:val="16"/>
          <w:szCs w:val="16"/>
          <w:lang w:eastAsia="es-ES"/>
        </w:rPr>
        <w:t xml:space="preserve">) los hospitales San Juan de Dios; </w:t>
      </w:r>
      <w:proofErr w:type="spellStart"/>
      <w:r w:rsidRPr="001067EF">
        <w:rPr>
          <w:rFonts w:ascii="Verdana" w:eastAsia="Calibri" w:hAnsi="Verdana"/>
          <w:sz w:val="16"/>
          <w:szCs w:val="16"/>
          <w:lang w:eastAsia="es-ES"/>
        </w:rPr>
        <w:t>iv</w:t>
      </w:r>
      <w:proofErr w:type="spellEnd"/>
      <w:r w:rsidRPr="001067EF">
        <w:rPr>
          <w:rFonts w:ascii="Verdana" w:eastAsia="Calibri" w:hAnsi="Verdana"/>
          <w:sz w:val="16"/>
          <w:szCs w:val="16"/>
          <w:lang w:eastAsia="es-ES"/>
        </w:rPr>
        <w:t>) San Martín de la Plata y v) Alejandro Korn de Melchor Romero. El Estado no remitió dicha información y se limitó a enviar diversas actuaciones que ocurrieron durante el proceso penal del señor Hernández.</w:t>
      </w:r>
    </w:p>
  </w:footnote>
  <w:footnote w:id="158">
    <w:p w14:paraId="32420ED6" w14:textId="7FD52C33" w:rsidR="00E46F1E" w:rsidRPr="001067EF" w:rsidRDefault="00E46F1E" w:rsidP="00C40460">
      <w:pPr>
        <w:widowControl w:val="0"/>
        <w:spacing w:after="120" w:line="240" w:lineRule="auto"/>
        <w:jc w:val="both"/>
        <w:rPr>
          <w:rFonts w:ascii="Verdana" w:eastAsia="Times New Roman" w:hAnsi="Verdana" w:cs="Times New Roman"/>
          <w:color w:val="000000"/>
          <w:sz w:val="16"/>
          <w:szCs w:val="16"/>
          <w:lang w:eastAsia="es-MX"/>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 xml:space="preserve">Cfr. Caso Bulacio Vs. Argentina. Fondo, Reparaciones y Costas. </w:t>
      </w:r>
      <w:r w:rsidRPr="001067EF">
        <w:rPr>
          <w:rFonts w:ascii="Verdana" w:hAnsi="Verdana"/>
          <w:sz w:val="16"/>
          <w:szCs w:val="16"/>
        </w:rPr>
        <w:t>Sentencia de 18 de septiembre de 2003. Serie C No. 100, párr.</w:t>
      </w:r>
      <w:r>
        <w:rPr>
          <w:rFonts w:ascii="Verdana" w:hAnsi="Verdana"/>
          <w:sz w:val="16"/>
          <w:szCs w:val="16"/>
        </w:rPr>
        <w:t xml:space="preserve"> </w:t>
      </w:r>
      <w:r w:rsidRPr="001067EF">
        <w:rPr>
          <w:rFonts w:ascii="Verdana" w:hAnsi="Verdana"/>
          <w:sz w:val="16"/>
          <w:szCs w:val="16"/>
        </w:rPr>
        <w:t>138</w:t>
      </w:r>
      <w:r>
        <w:rPr>
          <w:rFonts w:ascii="Verdana" w:hAnsi="Verdana"/>
          <w:sz w:val="16"/>
          <w:szCs w:val="16"/>
        </w:rPr>
        <w:t>,</w:t>
      </w:r>
      <w:r w:rsidRPr="001067EF">
        <w:rPr>
          <w:rFonts w:ascii="Verdana" w:hAnsi="Verdana"/>
          <w:i/>
          <w:sz w:val="16"/>
          <w:szCs w:val="16"/>
        </w:rPr>
        <w:t xml:space="preserve"> </w:t>
      </w:r>
      <w:r w:rsidRPr="001067EF">
        <w:rPr>
          <w:rFonts w:ascii="Verdana" w:hAnsi="Verdana"/>
          <w:sz w:val="16"/>
          <w:szCs w:val="16"/>
        </w:rPr>
        <w:t xml:space="preserve">y </w:t>
      </w:r>
      <w:r w:rsidRPr="001067EF">
        <w:rPr>
          <w:rFonts w:ascii="Verdana" w:eastAsia="Times New Roman" w:hAnsi="Verdana" w:cs="Times New Roman"/>
          <w:bCs/>
          <w:i/>
          <w:color w:val="000000"/>
          <w:sz w:val="16"/>
          <w:szCs w:val="16"/>
          <w:lang w:eastAsia="es-MX"/>
        </w:rPr>
        <w:t xml:space="preserve">Caso </w:t>
      </w:r>
      <w:proofErr w:type="spellStart"/>
      <w:r w:rsidRPr="001067EF">
        <w:rPr>
          <w:rFonts w:ascii="Verdana" w:eastAsia="Times New Roman" w:hAnsi="Verdana" w:cs="Times New Roman"/>
          <w:bCs/>
          <w:i/>
          <w:color w:val="000000"/>
          <w:sz w:val="16"/>
          <w:szCs w:val="16"/>
          <w:lang w:eastAsia="es-MX"/>
        </w:rPr>
        <w:t>Quispialaya</w:t>
      </w:r>
      <w:proofErr w:type="spellEnd"/>
      <w:r w:rsidRPr="001067EF">
        <w:rPr>
          <w:rFonts w:ascii="Verdana" w:eastAsia="Times New Roman" w:hAnsi="Verdana" w:cs="Times New Roman"/>
          <w:bCs/>
          <w:i/>
          <w:color w:val="000000"/>
          <w:sz w:val="16"/>
          <w:szCs w:val="16"/>
          <w:lang w:eastAsia="es-MX"/>
        </w:rPr>
        <w:t xml:space="preserve"> Vilcapoma Vs. Perú. Excepciones Preliminares, Fondo, Reparaciones y Costas.</w:t>
      </w:r>
      <w:r w:rsidRPr="001067EF">
        <w:rPr>
          <w:rFonts w:ascii="Verdana" w:eastAsia="Times New Roman" w:hAnsi="Verdana" w:cs="Times New Roman"/>
          <w:bCs/>
          <w:color w:val="000000"/>
          <w:sz w:val="16"/>
          <w:szCs w:val="16"/>
          <w:lang w:eastAsia="es-MX"/>
        </w:rPr>
        <w:t xml:space="preserve"> Sentencia de 23 de noviembre de 2015. Serie C No. 308, párr. 118.</w:t>
      </w:r>
    </w:p>
  </w:footnote>
  <w:footnote w:id="159">
    <w:p w14:paraId="2B3FFC6A" w14:textId="163513C0"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 xml:space="preserve">Cfr. Cfr. Caso Bulacio Vs. Argentina. </w:t>
      </w:r>
      <w:r w:rsidRPr="00E46F1E">
        <w:rPr>
          <w:rFonts w:ascii="Verdana" w:hAnsi="Verdana"/>
          <w:i/>
          <w:sz w:val="16"/>
          <w:szCs w:val="16"/>
        </w:rPr>
        <w:t xml:space="preserve">Fondo, Reparaciones y Costas. </w:t>
      </w:r>
      <w:r w:rsidRPr="00E46F1E">
        <w:rPr>
          <w:rFonts w:ascii="Verdana" w:hAnsi="Verdana"/>
          <w:sz w:val="16"/>
          <w:szCs w:val="16"/>
        </w:rPr>
        <w:t>Sentencia de 18 de septiembre de 2003. Serie C No. 100, párr. 138,</w:t>
      </w:r>
      <w:r w:rsidRPr="00E46F1E">
        <w:rPr>
          <w:rFonts w:ascii="Verdana" w:hAnsi="Verdana"/>
          <w:i/>
          <w:sz w:val="16"/>
          <w:szCs w:val="16"/>
        </w:rPr>
        <w:t xml:space="preserve"> </w:t>
      </w:r>
      <w:r w:rsidRPr="00E46F1E">
        <w:rPr>
          <w:rFonts w:ascii="Verdana" w:hAnsi="Verdana"/>
          <w:sz w:val="16"/>
          <w:szCs w:val="16"/>
        </w:rPr>
        <w:t xml:space="preserve">y </w:t>
      </w:r>
      <w:r w:rsidRPr="00E46F1E">
        <w:rPr>
          <w:rStyle w:val="Textoennegrita"/>
          <w:rFonts w:ascii="Verdana" w:hAnsi="Verdana"/>
          <w:b w:val="0"/>
          <w:i/>
          <w:color w:val="000000"/>
          <w:sz w:val="16"/>
          <w:szCs w:val="16"/>
        </w:rPr>
        <w:t>Caso Chinchilla Sandoval y otros Vs. Guatemala. Excepción Preliminar, Fondo, Reparaciones y Costas.</w:t>
      </w:r>
      <w:r w:rsidRPr="00E46F1E">
        <w:rPr>
          <w:rStyle w:val="Textoennegrita"/>
          <w:rFonts w:ascii="Verdana" w:hAnsi="Verdana"/>
          <w:b w:val="0"/>
          <w:color w:val="000000"/>
          <w:sz w:val="16"/>
          <w:szCs w:val="16"/>
        </w:rPr>
        <w:t xml:space="preserve"> Sentencia de 29 de febrero de 2016. Serie C No. 312, párr. 173.</w:t>
      </w:r>
    </w:p>
  </w:footnote>
  <w:footnote w:id="160">
    <w:p w14:paraId="38F81373" w14:textId="6A0B599D" w:rsidR="00E46F1E" w:rsidRPr="001067EF" w:rsidRDefault="00E46F1E" w:rsidP="00C40460">
      <w:pPr>
        <w:pStyle w:val="Textonotapie"/>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cs="Tahoma"/>
          <w:bCs/>
          <w:color w:val="000000"/>
          <w:sz w:val="16"/>
          <w:szCs w:val="16"/>
        </w:rPr>
        <w:t>Artículo 7 de la Convención Americana.</w:t>
      </w:r>
    </w:p>
  </w:footnote>
  <w:footnote w:id="161">
    <w:p w14:paraId="41528D2F" w14:textId="1076E248" w:rsidR="00E46F1E" w:rsidRPr="001067EF" w:rsidRDefault="00E46F1E" w:rsidP="00C40460">
      <w:pPr>
        <w:pStyle w:val="Textonotapie"/>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cs="Tahoma"/>
          <w:bCs/>
          <w:color w:val="000000"/>
          <w:sz w:val="16"/>
          <w:szCs w:val="16"/>
        </w:rPr>
        <w:t>Artículo 8 de la Convención Americana.</w:t>
      </w:r>
    </w:p>
  </w:footnote>
  <w:footnote w:id="162">
    <w:p w14:paraId="4CF2D62F" w14:textId="246674DD" w:rsidR="00E46F1E" w:rsidRPr="00E46F1E" w:rsidRDefault="00E46F1E" w:rsidP="00C40460">
      <w:pPr>
        <w:pStyle w:val="Textonotapie"/>
        <w:spacing w:after="120"/>
        <w:jc w:val="both"/>
        <w:rPr>
          <w:rFonts w:ascii="Verdana" w:hAnsi="Verdana"/>
          <w:sz w:val="16"/>
          <w:szCs w:val="16"/>
        </w:rPr>
      </w:pPr>
      <w:r w:rsidRPr="00E46F1E">
        <w:rPr>
          <w:rStyle w:val="Refdenotaalpie"/>
          <w:rFonts w:ascii="Verdana" w:hAnsi="Verdana"/>
          <w:sz w:val="16"/>
          <w:szCs w:val="16"/>
        </w:rPr>
        <w:footnoteRef/>
      </w:r>
      <w:r w:rsidRPr="00E46F1E">
        <w:rPr>
          <w:rFonts w:ascii="Verdana" w:hAnsi="Verdana"/>
          <w:sz w:val="16"/>
          <w:szCs w:val="16"/>
        </w:rPr>
        <w:t xml:space="preserve"> </w:t>
      </w:r>
      <w:r w:rsidRPr="00E46F1E">
        <w:rPr>
          <w:rFonts w:ascii="Verdana" w:hAnsi="Verdana"/>
          <w:sz w:val="16"/>
          <w:szCs w:val="16"/>
        </w:rPr>
        <w:tab/>
      </w:r>
      <w:r w:rsidRPr="00E46F1E">
        <w:rPr>
          <w:rFonts w:ascii="Verdana" w:hAnsi="Verdana"/>
          <w:i/>
          <w:sz w:val="16"/>
          <w:szCs w:val="16"/>
        </w:rPr>
        <w:t>Cfr. Caso "Instituto de Reeducación del Menor" Vs. Paraguay. Excepciones Preliminares, Fondo, Reparaciones y Costas</w:t>
      </w:r>
      <w:r w:rsidRPr="00E46F1E">
        <w:rPr>
          <w:rFonts w:ascii="Verdana" w:hAnsi="Verdana"/>
          <w:sz w:val="16"/>
          <w:szCs w:val="16"/>
        </w:rPr>
        <w:t xml:space="preserve">. Sentencia de 2 de septiembre de 2004. Serie C No. 112, párr. 223, y </w:t>
      </w:r>
      <w:r w:rsidRPr="00E46F1E">
        <w:rPr>
          <w:rStyle w:val="Textoennegrita"/>
          <w:rFonts w:ascii="Verdana" w:hAnsi="Verdana"/>
          <w:b w:val="0"/>
          <w:i/>
          <w:color w:val="000000"/>
          <w:sz w:val="16"/>
          <w:szCs w:val="16"/>
        </w:rPr>
        <w:t xml:space="preserve">Caso Romero </w:t>
      </w:r>
      <w:proofErr w:type="spellStart"/>
      <w:r w:rsidRPr="00E46F1E">
        <w:rPr>
          <w:rStyle w:val="Textoennegrita"/>
          <w:rFonts w:ascii="Verdana" w:hAnsi="Verdana"/>
          <w:b w:val="0"/>
          <w:i/>
          <w:color w:val="000000"/>
          <w:sz w:val="16"/>
          <w:szCs w:val="16"/>
        </w:rPr>
        <w:t>Feris</w:t>
      </w:r>
      <w:proofErr w:type="spellEnd"/>
      <w:r w:rsidRPr="00E46F1E">
        <w:rPr>
          <w:rStyle w:val="Textoennegrita"/>
          <w:rFonts w:ascii="Verdana" w:hAnsi="Verdana"/>
          <w:b w:val="0"/>
          <w:i/>
          <w:color w:val="000000"/>
          <w:sz w:val="16"/>
          <w:szCs w:val="16"/>
        </w:rPr>
        <w:t xml:space="preserve"> Vs. Argentina. Fondo, Reparaciones y Costas.</w:t>
      </w:r>
      <w:r w:rsidRPr="00E46F1E">
        <w:rPr>
          <w:rStyle w:val="Textoennegrita"/>
          <w:rFonts w:ascii="Verdana" w:hAnsi="Verdana"/>
          <w:b w:val="0"/>
          <w:color w:val="000000"/>
          <w:sz w:val="16"/>
          <w:szCs w:val="16"/>
        </w:rPr>
        <w:t xml:space="preserve"> Sentencia de 15 de octubre de 2019. Serie C No. 391., párr. 76.</w:t>
      </w:r>
    </w:p>
  </w:footnote>
  <w:footnote w:id="163">
    <w:p w14:paraId="1B0FA876" w14:textId="6A989AD1" w:rsidR="00E46F1E" w:rsidRPr="00E46F1E" w:rsidRDefault="00E46F1E" w:rsidP="00C40460">
      <w:pPr>
        <w:pStyle w:val="Textonotapie"/>
        <w:spacing w:after="120"/>
        <w:jc w:val="both"/>
        <w:rPr>
          <w:rFonts w:ascii="Verdana" w:hAnsi="Verdana"/>
          <w:sz w:val="16"/>
          <w:szCs w:val="16"/>
        </w:rPr>
      </w:pPr>
      <w:r w:rsidRPr="00E46F1E">
        <w:rPr>
          <w:rStyle w:val="Refdenotaalpie"/>
          <w:rFonts w:ascii="Verdana" w:hAnsi="Verdana"/>
          <w:sz w:val="16"/>
          <w:szCs w:val="16"/>
        </w:rPr>
        <w:footnoteRef/>
      </w:r>
      <w:r w:rsidRPr="00E46F1E">
        <w:rPr>
          <w:rFonts w:ascii="Verdana" w:hAnsi="Verdana"/>
          <w:sz w:val="16"/>
          <w:szCs w:val="16"/>
        </w:rPr>
        <w:t xml:space="preserve"> </w:t>
      </w:r>
      <w:r w:rsidRPr="00E46F1E">
        <w:rPr>
          <w:rFonts w:ascii="Verdana" w:hAnsi="Verdana"/>
          <w:sz w:val="16"/>
          <w:szCs w:val="16"/>
        </w:rPr>
        <w:tab/>
      </w:r>
      <w:r w:rsidRPr="00E46F1E">
        <w:rPr>
          <w:rFonts w:ascii="Verdana" w:hAnsi="Verdana"/>
          <w:i/>
          <w:sz w:val="16"/>
          <w:szCs w:val="16"/>
        </w:rPr>
        <w:t>Cfr. Caso Chaparro Álvarez y Lapo Íñiguez Vs. Ecuador. Excepciones Preliminares, Fondo, Reparaciones y Costas</w:t>
      </w:r>
      <w:r w:rsidRPr="00E46F1E">
        <w:rPr>
          <w:rFonts w:ascii="Verdana" w:hAnsi="Verdana"/>
          <w:sz w:val="16"/>
          <w:szCs w:val="16"/>
        </w:rPr>
        <w:t xml:space="preserve">. Sentencia de 21 de noviembre de 2007. Serie C No. 170, párr. 51, y </w:t>
      </w:r>
      <w:r w:rsidRPr="00E46F1E">
        <w:rPr>
          <w:rStyle w:val="Textoennegrita"/>
          <w:rFonts w:ascii="Verdana" w:hAnsi="Verdana"/>
          <w:b w:val="0"/>
          <w:i/>
          <w:color w:val="000000"/>
          <w:sz w:val="16"/>
          <w:szCs w:val="16"/>
        </w:rPr>
        <w:t xml:space="preserve">Caso Romero </w:t>
      </w:r>
      <w:proofErr w:type="spellStart"/>
      <w:r w:rsidRPr="00E46F1E">
        <w:rPr>
          <w:rStyle w:val="Textoennegrita"/>
          <w:rFonts w:ascii="Verdana" w:hAnsi="Verdana"/>
          <w:b w:val="0"/>
          <w:i/>
          <w:color w:val="000000"/>
          <w:sz w:val="16"/>
          <w:szCs w:val="16"/>
        </w:rPr>
        <w:t>Feris</w:t>
      </w:r>
      <w:proofErr w:type="spellEnd"/>
      <w:r w:rsidRPr="00E46F1E">
        <w:rPr>
          <w:rStyle w:val="Textoennegrita"/>
          <w:rFonts w:ascii="Verdana" w:hAnsi="Verdana"/>
          <w:b w:val="0"/>
          <w:i/>
          <w:color w:val="000000"/>
          <w:sz w:val="16"/>
          <w:szCs w:val="16"/>
        </w:rPr>
        <w:t xml:space="preserve"> Vs. Argentina. Fondo, Reparaciones y Costas.</w:t>
      </w:r>
      <w:r w:rsidRPr="00E46F1E">
        <w:rPr>
          <w:rStyle w:val="Textoennegrita"/>
          <w:rFonts w:ascii="Verdana" w:hAnsi="Verdana"/>
          <w:b w:val="0"/>
          <w:color w:val="000000"/>
          <w:sz w:val="16"/>
          <w:szCs w:val="16"/>
        </w:rPr>
        <w:t xml:space="preserve"> Sentencia de 15 de octubre de 2019. Serie C No. 391., párr. 76.</w:t>
      </w:r>
      <w:r w:rsidRPr="00E46F1E">
        <w:rPr>
          <w:rFonts w:ascii="Verdana" w:hAnsi="Verdana"/>
          <w:sz w:val="16"/>
          <w:szCs w:val="16"/>
        </w:rPr>
        <w:t xml:space="preserve"> </w:t>
      </w:r>
    </w:p>
  </w:footnote>
  <w:footnote w:id="164">
    <w:p w14:paraId="42BE731C" w14:textId="39028F34" w:rsidR="00E46F1E" w:rsidRPr="001067EF" w:rsidRDefault="00E46F1E" w:rsidP="00C40460">
      <w:pPr>
        <w:pStyle w:val="Textonotapie"/>
        <w:spacing w:after="120"/>
        <w:jc w:val="both"/>
        <w:rPr>
          <w:rFonts w:ascii="Verdana" w:hAnsi="Verdana"/>
          <w:sz w:val="16"/>
          <w:szCs w:val="16"/>
        </w:rPr>
      </w:pPr>
      <w:r w:rsidRPr="00E46F1E">
        <w:rPr>
          <w:rStyle w:val="Refdenotaalpie"/>
          <w:rFonts w:ascii="Verdana" w:hAnsi="Verdana"/>
          <w:sz w:val="16"/>
          <w:szCs w:val="16"/>
        </w:rPr>
        <w:footnoteRef/>
      </w:r>
      <w:r w:rsidRPr="00E46F1E">
        <w:rPr>
          <w:rFonts w:ascii="Verdana" w:hAnsi="Verdana"/>
          <w:sz w:val="16"/>
          <w:szCs w:val="16"/>
        </w:rPr>
        <w:t xml:space="preserve"> </w:t>
      </w:r>
      <w:r w:rsidRPr="00E46F1E">
        <w:rPr>
          <w:rFonts w:ascii="Verdana" w:hAnsi="Verdana"/>
          <w:sz w:val="16"/>
          <w:szCs w:val="16"/>
        </w:rPr>
        <w:tab/>
      </w:r>
      <w:r w:rsidRPr="00E46F1E">
        <w:rPr>
          <w:rFonts w:ascii="Verdana" w:hAnsi="Verdana"/>
          <w:i/>
          <w:sz w:val="16"/>
          <w:szCs w:val="16"/>
        </w:rPr>
        <w:t>Cfr. Caso Chaparro Álvarez y Lapo Íñiguez Vs. Ecuador. Excepciones Preliminares, Fondo, Reparaciones y Costas</w:t>
      </w:r>
      <w:r w:rsidRPr="00E46F1E">
        <w:rPr>
          <w:rFonts w:ascii="Verdana" w:hAnsi="Verdana"/>
          <w:sz w:val="16"/>
          <w:szCs w:val="16"/>
        </w:rPr>
        <w:t xml:space="preserve">. Sentencia de 21 de noviembre de 2007. Serie C No. 170, párr. 55, y </w:t>
      </w:r>
      <w:r w:rsidRPr="00E46F1E">
        <w:rPr>
          <w:rStyle w:val="Textoennegrita"/>
          <w:rFonts w:ascii="Verdana" w:hAnsi="Verdana"/>
          <w:b w:val="0"/>
          <w:i/>
          <w:color w:val="000000"/>
          <w:sz w:val="16"/>
          <w:szCs w:val="16"/>
        </w:rPr>
        <w:t xml:space="preserve">Caso Romero </w:t>
      </w:r>
      <w:proofErr w:type="spellStart"/>
      <w:r w:rsidRPr="00E46F1E">
        <w:rPr>
          <w:rStyle w:val="Textoennegrita"/>
          <w:rFonts w:ascii="Verdana" w:hAnsi="Verdana"/>
          <w:b w:val="0"/>
          <w:i/>
          <w:color w:val="000000"/>
          <w:sz w:val="16"/>
          <w:szCs w:val="16"/>
        </w:rPr>
        <w:t>Feris</w:t>
      </w:r>
      <w:proofErr w:type="spellEnd"/>
      <w:r w:rsidRPr="00E46F1E">
        <w:rPr>
          <w:rStyle w:val="Textoennegrita"/>
          <w:rFonts w:ascii="Verdana" w:hAnsi="Verdana"/>
          <w:b w:val="0"/>
          <w:i/>
          <w:color w:val="000000"/>
          <w:sz w:val="16"/>
          <w:szCs w:val="16"/>
        </w:rPr>
        <w:t xml:space="preserve"> Vs. Argentina. Fondo, Reparaciones y Costas.</w:t>
      </w:r>
      <w:r w:rsidRPr="00E46F1E">
        <w:rPr>
          <w:rStyle w:val="Textoennegrita"/>
          <w:rFonts w:ascii="Verdana" w:hAnsi="Verdana"/>
          <w:b w:val="0"/>
          <w:color w:val="000000"/>
          <w:sz w:val="16"/>
          <w:szCs w:val="16"/>
        </w:rPr>
        <w:t xml:space="preserve"> Sentencia de 15 de octubre de 2019. Serie C No. 391., párr. 77.</w:t>
      </w:r>
      <w:r w:rsidRPr="001067EF">
        <w:rPr>
          <w:rFonts w:ascii="Verdana" w:hAnsi="Verdana"/>
          <w:sz w:val="16"/>
          <w:szCs w:val="16"/>
        </w:rPr>
        <w:t xml:space="preserve"> </w:t>
      </w:r>
    </w:p>
  </w:footnote>
  <w:footnote w:id="165">
    <w:p w14:paraId="1F52D483" w14:textId="6F6D0A2C" w:rsidR="00E46F1E" w:rsidRPr="001067EF" w:rsidRDefault="00E46F1E" w:rsidP="00C40460">
      <w:pPr>
        <w:pStyle w:val="Textonotapie"/>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Cfr. Caso Pollo Rivera y otros Vs. Perú. Fondo, Reparaciones y Costas</w:t>
      </w:r>
      <w:r w:rsidRPr="001067EF">
        <w:rPr>
          <w:rFonts w:ascii="Verdana" w:hAnsi="Verdana"/>
          <w:sz w:val="16"/>
          <w:szCs w:val="16"/>
        </w:rPr>
        <w:t xml:space="preserve">. Sentencia de 21 de octubre de 2016. Serie C No. 319, párr. 98, </w:t>
      </w:r>
      <w:r w:rsidRPr="00E46F1E">
        <w:rPr>
          <w:rFonts w:ascii="Verdana" w:hAnsi="Verdana"/>
          <w:sz w:val="16"/>
          <w:szCs w:val="16"/>
        </w:rPr>
        <w:t xml:space="preserve">y </w:t>
      </w:r>
      <w:r w:rsidRPr="00E46F1E">
        <w:rPr>
          <w:rStyle w:val="Textoennegrita"/>
          <w:rFonts w:ascii="Verdana" w:hAnsi="Verdana"/>
          <w:b w:val="0"/>
          <w:i/>
          <w:color w:val="000000"/>
          <w:sz w:val="16"/>
          <w:szCs w:val="16"/>
        </w:rPr>
        <w:t xml:space="preserve">Caso Romero </w:t>
      </w:r>
      <w:proofErr w:type="spellStart"/>
      <w:r w:rsidRPr="00E46F1E">
        <w:rPr>
          <w:rStyle w:val="Textoennegrita"/>
          <w:rFonts w:ascii="Verdana" w:hAnsi="Verdana"/>
          <w:b w:val="0"/>
          <w:i/>
          <w:color w:val="000000"/>
          <w:sz w:val="16"/>
          <w:szCs w:val="16"/>
        </w:rPr>
        <w:t>Feris</w:t>
      </w:r>
      <w:proofErr w:type="spellEnd"/>
      <w:r w:rsidRPr="00E46F1E">
        <w:rPr>
          <w:rStyle w:val="Textoennegrita"/>
          <w:rFonts w:ascii="Verdana" w:hAnsi="Verdana"/>
          <w:b w:val="0"/>
          <w:i/>
          <w:color w:val="000000"/>
          <w:sz w:val="16"/>
          <w:szCs w:val="16"/>
        </w:rPr>
        <w:t xml:space="preserve"> Vs. Argentina. Fondo, Reparaciones y Costas.</w:t>
      </w:r>
      <w:r w:rsidRPr="00E46F1E">
        <w:rPr>
          <w:rStyle w:val="Textoennegrita"/>
          <w:rFonts w:ascii="Verdana" w:hAnsi="Verdana"/>
          <w:b w:val="0"/>
          <w:color w:val="000000"/>
          <w:sz w:val="16"/>
          <w:szCs w:val="16"/>
        </w:rPr>
        <w:t xml:space="preserve"> Sentencia de 15 de octubre de 2019. Serie C No. 391., párr. 77</w:t>
      </w:r>
      <w:r w:rsidRPr="00E46F1E">
        <w:rPr>
          <w:rFonts w:ascii="Verdana" w:hAnsi="Verdana"/>
          <w:sz w:val="16"/>
          <w:szCs w:val="16"/>
        </w:rPr>
        <w:t>.</w:t>
      </w:r>
    </w:p>
  </w:footnote>
  <w:footnote w:id="166">
    <w:p w14:paraId="47AF692D" w14:textId="6B09F25F" w:rsidR="00E46F1E" w:rsidRPr="001067EF" w:rsidRDefault="00E46F1E" w:rsidP="00C40460">
      <w:pPr>
        <w:pStyle w:val="Textonotapie"/>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 xml:space="preserve">Cfr. Caso Chaparro Álvarez y Lapo </w:t>
      </w:r>
      <w:r w:rsidRPr="00E46F1E">
        <w:rPr>
          <w:rFonts w:ascii="Verdana" w:hAnsi="Verdana"/>
          <w:i/>
          <w:sz w:val="16"/>
          <w:szCs w:val="16"/>
        </w:rPr>
        <w:t>Íñiguez Vs. Ecuador. Excepciones Preliminares, Fondo, Reparaciones y Costas</w:t>
      </w:r>
      <w:r w:rsidRPr="00E46F1E">
        <w:rPr>
          <w:rFonts w:ascii="Verdana" w:hAnsi="Verdana"/>
          <w:sz w:val="16"/>
          <w:szCs w:val="16"/>
        </w:rPr>
        <w:t xml:space="preserve">. Sentencia de 21 de noviembre de 2007. Serie C No. 170, párr. 57, y </w:t>
      </w:r>
      <w:r w:rsidRPr="00E46F1E">
        <w:rPr>
          <w:rStyle w:val="Textoennegrita"/>
          <w:rFonts w:ascii="Verdana" w:hAnsi="Verdana"/>
          <w:b w:val="0"/>
          <w:i/>
          <w:color w:val="000000"/>
          <w:sz w:val="16"/>
          <w:szCs w:val="16"/>
        </w:rPr>
        <w:t xml:space="preserve">Caso Romero </w:t>
      </w:r>
      <w:proofErr w:type="spellStart"/>
      <w:r w:rsidRPr="00E46F1E">
        <w:rPr>
          <w:rStyle w:val="Textoennegrita"/>
          <w:rFonts w:ascii="Verdana" w:hAnsi="Verdana"/>
          <w:b w:val="0"/>
          <w:i/>
          <w:color w:val="000000"/>
          <w:sz w:val="16"/>
          <w:szCs w:val="16"/>
        </w:rPr>
        <w:t>Feris</w:t>
      </w:r>
      <w:proofErr w:type="spellEnd"/>
      <w:r w:rsidRPr="00E46F1E">
        <w:rPr>
          <w:rStyle w:val="Textoennegrita"/>
          <w:rFonts w:ascii="Verdana" w:hAnsi="Verdana"/>
          <w:b w:val="0"/>
          <w:i/>
          <w:color w:val="000000"/>
          <w:sz w:val="16"/>
          <w:szCs w:val="16"/>
        </w:rPr>
        <w:t xml:space="preserve"> Vs. Argentina. Fondo, Reparaciones y Costas.</w:t>
      </w:r>
      <w:r w:rsidRPr="00E46F1E">
        <w:rPr>
          <w:rStyle w:val="Textoennegrita"/>
          <w:rFonts w:ascii="Verdana" w:hAnsi="Verdana"/>
          <w:b w:val="0"/>
          <w:color w:val="000000"/>
          <w:sz w:val="16"/>
          <w:szCs w:val="16"/>
        </w:rPr>
        <w:t xml:space="preserve"> Sentencia de 15 de octubre de 2019. Serie C No. 391., párr.</w:t>
      </w:r>
      <w:r w:rsidRPr="00E46F1E">
        <w:rPr>
          <w:rFonts w:ascii="Verdana" w:hAnsi="Verdana"/>
          <w:sz w:val="16"/>
          <w:szCs w:val="16"/>
        </w:rPr>
        <w:t xml:space="preserve"> 77</w:t>
      </w:r>
      <w:r w:rsidRPr="001067EF">
        <w:rPr>
          <w:rFonts w:ascii="Verdana" w:hAnsi="Verdana"/>
          <w:sz w:val="16"/>
          <w:szCs w:val="16"/>
        </w:rPr>
        <w:t>.</w:t>
      </w:r>
    </w:p>
  </w:footnote>
  <w:footnote w:id="167">
    <w:p w14:paraId="5AC99ECF" w14:textId="406B19EB" w:rsidR="00E46F1E" w:rsidRPr="001067EF" w:rsidRDefault="00E46F1E" w:rsidP="00C40460">
      <w:pPr>
        <w:pStyle w:val="Textonotapie"/>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 xml:space="preserve">Cfr. Caso </w:t>
      </w:r>
      <w:proofErr w:type="spellStart"/>
      <w:r w:rsidRPr="001067EF">
        <w:rPr>
          <w:rFonts w:ascii="Verdana" w:hAnsi="Verdana"/>
          <w:i/>
          <w:sz w:val="16"/>
          <w:szCs w:val="16"/>
        </w:rPr>
        <w:t>Gangaram</w:t>
      </w:r>
      <w:proofErr w:type="spellEnd"/>
      <w:r w:rsidRPr="001067EF">
        <w:rPr>
          <w:rFonts w:ascii="Verdana" w:hAnsi="Verdana"/>
          <w:i/>
          <w:sz w:val="16"/>
          <w:szCs w:val="16"/>
        </w:rPr>
        <w:t xml:space="preserve"> </w:t>
      </w:r>
      <w:proofErr w:type="spellStart"/>
      <w:r w:rsidRPr="001067EF">
        <w:rPr>
          <w:rFonts w:ascii="Verdana" w:hAnsi="Verdana"/>
          <w:i/>
          <w:sz w:val="16"/>
          <w:szCs w:val="16"/>
        </w:rPr>
        <w:t>Panday</w:t>
      </w:r>
      <w:proofErr w:type="spellEnd"/>
      <w:r w:rsidRPr="001067EF">
        <w:rPr>
          <w:rFonts w:ascii="Verdana" w:hAnsi="Verdana"/>
          <w:i/>
          <w:sz w:val="16"/>
          <w:szCs w:val="16"/>
        </w:rPr>
        <w:t xml:space="preserve"> Vs. Surinam. Fondo, Reparaciones y Costas.</w:t>
      </w:r>
      <w:r w:rsidRPr="001067EF">
        <w:rPr>
          <w:rFonts w:ascii="Verdana" w:hAnsi="Verdana"/>
          <w:sz w:val="16"/>
          <w:szCs w:val="16"/>
        </w:rPr>
        <w:t xml:space="preserve"> Sentencia de 21 de enero de 1994. Serie C No. 16, párr. 47, </w:t>
      </w:r>
      <w:r w:rsidRPr="00E46F1E">
        <w:rPr>
          <w:rFonts w:ascii="Verdana" w:hAnsi="Verdana"/>
          <w:sz w:val="16"/>
          <w:szCs w:val="16"/>
        </w:rPr>
        <w:t xml:space="preserve">y </w:t>
      </w:r>
      <w:r w:rsidRPr="00E46F1E">
        <w:rPr>
          <w:rStyle w:val="Textoennegrita"/>
          <w:rFonts w:ascii="Verdana" w:hAnsi="Verdana"/>
          <w:b w:val="0"/>
          <w:i/>
          <w:color w:val="000000"/>
          <w:sz w:val="16"/>
          <w:szCs w:val="16"/>
        </w:rPr>
        <w:t xml:space="preserve">Caso Romero </w:t>
      </w:r>
      <w:proofErr w:type="spellStart"/>
      <w:r w:rsidRPr="00E46F1E">
        <w:rPr>
          <w:rStyle w:val="Textoennegrita"/>
          <w:rFonts w:ascii="Verdana" w:hAnsi="Verdana"/>
          <w:b w:val="0"/>
          <w:i/>
          <w:color w:val="000000"/>
          <w:sz w:val="16"/>
          <w:szCs w:val="16"/>
        </w:rPr>
        <w:t>Feris</w:t>
      </w:r>
      <w:proofErr w:type="spellEnd"/>
      <w:r w:rsidRPr="00E46F1E">
        <w:rPr>
          <w:rStyle w:val="Textoennegrita"/>
          <w:rFonts w:ascii="Verdana" w:hAnsi="Verdana"/>
          <w:b w:val="0"/>
          <w:i/>
          <w:color w:val="000000"/>
          <w:sz w:val="16"/>
          <w:szCs w:val="16"/>
        </w:rPr>
        <w:t xml:space="preserve"> Vs. Argentina. Fondo, Reparaciones y Costas.</w:t>
      </w:r>
      <w:r w:rsidRPr="00E46F1E">
        <w:rPr>
          <w:rStyle w:val="Textoennegrita"/>
          <w:rFonts w:ascii="Verdana" w:hAnsi="Verdana"/>
          <w:b w:val="0"/>
          <w:color w:val="000000"/>
          <w:sz w:val="16"/>
          <w:szCs w:val="16"/>
        </w:rPr>
        <w:t xml:space="preserve"> Sentencia de 15 de octubre de 2019. Serie C No. 391., párr. 91.</w:t>
      </w:r>
    </w:p>
  </w:footnote>
  <w:footnote w:id="168">
    <w:p w14:paraId="03DE3ED3" w14:textId="1DFAB7D2" w:rsidR="00E46F1E" w:rsidRPr="001067EF" w:rsidRDefault="00E46F1E" w:rsidP="00C40460">
      <w:pPr>
        <w:pStyle w:val="Textonotapie"/>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Cfr. Caso Chaparro Álvarez y Lapo Íñiguez Vs. Ecuador. Excepciones Preliminares, Fondo, Reparaciones y Costas</w:t>
      </w:r>
      <w:r w:rsidRPr="001067EF">
        <w:rPr>
          <w:rFonts w:ascii="Verdana" w:hAnsi="Verdana"/>
          <w:sz w:val="16"/>
          <w:szCs w:val="16"/>
        </w:rPr>
        <w:t xml:space="preserve">. Sentencia de 21 de noviembre de 2007. Serie C No. 170, </w:t>
      </w:r>
      <w:r w:rsidRPr="00E46F1E">
        <w:rPr>
          <w:rFonts w:ascii="Verdana" w:hAnsi="Verdana"/>
          <w:sz w:val="16"/>
          <w:szCs w:val="16"/>
        </w:rPr>
        <w:t xml:space="preserve">párr. 92, y </w:t>
      </w:r>
      <w:r w:rsidRPr="00E46F1E">
        <w:rPr>
          <w:rStyle w:val="Textoennegrita"/>
          <w:rFonts w:ascii="Verdana" w:hAnsi="Verdana"/>
          <w:b w:val="0"/>
          <w:i/>
          <w:color w:val="000000"/>
          <w:sz w:val="16"/>
          <w:szCs w:val="16"/>
        </w:rPr>
        <w:t xml:space="preserve">Caso Romero </w:t>
      </w:r>
      <w:proofErr w:type="spellStart"/>
      <w:r w:rsidRPr="00E46F1E">
        <w:rPr>
          <w:rStyle w:val="Textoennegrita"/>
          <w:rFonts w:ascii="Verdana" w:hAnsi="Verdana"/>
          <w:b w:val="0"/>
          <w:i/>
          <w:color w:val="000000"/>
          <w:sz w:val="16"/>
          <w:szCs w:val="16"/>
        </w:rPr>
        <w:t>Feris</w:t>
      </w:r>
      <w:proofErr w:type="spellEnd"/>
      <w:r w:rsidRPr="00E46F1E">
        <w:rPr>
          <w:rStyle w:val="Textoennegrita"/>
          <w:rFonts w:ascii="Verdana" w:hAnsi="Verdana"/>
          <w:b w:val="0"/>
          <w:i/>
          <w:color w:val="000000"/>
          <w:sz w:val="16"/>
          <w:szCs w:val="16"/>
        </w:rPr>
        <w:t xml:space="preserve"> Vs. Argentina. Fondo, Reparaciones y Costas.</w:t>
      </w:r>
      <w:r w:rsidRPr="00E46F1E">
        <w:rPr>
          <w:rStyle w:val="Textoennegrita"/>
          <w:rFonts w:ascii="Verdana" w:hAnsi="Verdana"/>
          <w:b w:val="0"/>
          <w:color w:val="000000"/>
          <w:sz w:val="16"/>
          <w:szCs w:val="16"/>
        </w:rPr>
        <w:t xml:space="preserve"> Sentencia de 15 de octubre de 2019. Serie C No. 391., párr. 91</w:t>
      </w:r>
      <w:r>
        <w:rPr>
          <w:rStyle w:val="Textoennegrita"/>
          <w:rFonts w:ascii="Verdana" w:hAnsi="Verdana"/>
          <w:b w:val="0"/>
          <w:color w:val="000000"/>
          <w:sz w:val="16"/>
          <w:szCs w:val="16"/>
          <w:shd w:val="clear" w:color="auto" w:fill="FFFFFF"/>
        </w:rPr>
        <w:t>.</w:t>
      </w:r>
    </w:p>
  </w:footnote>
  <w:footnote w:id="169">
    <w:p w14:paraId="001CCD0B" w14:textId="1AF90EBF" w:rsidR="00E46F1E" w:rsidRPr="001067EF" w:rsidRDefault="00E46F1E" w:rsidP="00C40460">
      <w:pPr>
        <w:pStyle w:val="Textonotapie"/>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 xml:space="preserve">Cfr. Caso Servellón García y otros Vs. Honduras. </w:t>
      </w:r>
      <w:r w:rsidRPr="00E46F1E">
        <w:rPr>
          <w:rFonts w:ascii="Verdana" w:hAnsi="Verdana"/>
          <w:i/>
          <w:sz w:val="16"/>
          <w:szCs w:val="16"/>
        </w:rPr>
        <w:t>Excepción Preliminar, Fondo, Reparaciones y Costas.</w:t>
      </w:r>
      <w:r w:rsidRPr="00E46F1E">
        <w:rPr>
          <w:rFonts w:ascii="Verdana" w:hAnsi="Verdana"/>
          <w:sz w:val="16"/>
          <w:szCs w:val="16"/>
        </w:rPr>
        <w:t xml:space="preserve"> Sentencia de 21 de septiembre de 2006. Serie C No. 152, párr. 89, y </w:t>
      </w:r>
      <w:r w:rsidRPr="00E46F1E">
        <w:rPr>
          <w:rStyle w:val="Textoennegrita"/>
          <w:rFonts w:ascii="Verdana" w:hAnsi="Verdana"/>
          <w:b w:val="0"/>
          <w:i/>
          <w:color w:val="000000"/>
          <w:sz w:val="16"/>
          <w:szCs w:val="16"/>
        </w:rPr>
        <w:t xml:space="preserve">Caso Romero </w:t>
      </w:r>
      <w:proofErr w:type="spellStart"/>
      <w:r w:rsidRPr="00E46F1E">
        <w:rPr>
          <w:rStyle w:val="Textoennegrita"/>
          <w:rFonts w:ascii="Verdana" w:hAnsi="Verdana"/>
          <w:b w:val="0"/>
          <w:i/>
          <w:color w:val="000000"/>
          <w:sz w:val="16"/>
          <w:szCs w:val="16"/>
        </w:rPr>
        <w:t>Feris</w:t>
      </w:r>
      <w:proofErr w:type="spellEnd"/>
      <w:r w:rsidRPr="00E46F1E">
        <w:rPr>
          <w:rStyle w:val="Textoennegrita"/>
          <w:rFonts w:ascii="Verdana" w:hAnsi="Verdana"/>
          <w:b w:val="0"/>
          <w:i/>
          <w:color w:val="000000"/>
          <w:sz w:val="16"/>
          <w:szCs w:val="16"/>
        </w:rPr>
        <w:t xml:space="preserve"> Vs. Argentina. Fondo, Reparaciones y Costas.</w:t>
      </w:r>
      <w:r w:rsidRPr="00E46F1E">
        <w:rPr>
          <w:rStyle w:val="Textoennegrita"/>
          <w:rFonts w:ascii="Verdana" w:hAnsi="Verdana"/>
          <w:b w:val="0"/>
          <w:color w:val="000000"/>
          <w:sz w:val="16"/>
          <w:szCs w:val="16"/>
        </w:rPr>
        <w:t xml:space="preserve"> Sentencia de 15 de octubre de 2019. Serie C No. 391., párr. 92.</w:t>
      </w:r>
      <w:r w:rsidRPr="001067EF">
        <w:rPr>
          <w:rFonts w:ascii="Verdana" w:hAnsi="Verdana"/>
          <w:sz w:val="16"/>
          <w:szCs w:val="16"/>
        </w:rPr>
        <w:t xml:space="preserve"> </w:t>
      </w:r>
    </w:p>
  </w:footnote>
  <w:footnote w:id="170">
    <w:p w14:paraId="6BF2CECC" w14:textId="5926A2A9" w:rsidR="00E46F1E" w:rsidRPr="001067EF" w:rsidRDefault="00E46F1E" w:rsidP="00C40460">
      <w:pPr>
        <w:pStyle w:val="Textonotapie"/>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 xml:space="preserve">Cfr. Caso </w:t>
      </w:r>
      <w:proofErr w:type="spellStart"/>
      <w:r w:rsidRPr="001067EF">
        <w:rPr>
          <w:rFonts w:ascii="Verdana" w:hAnsi="Verdana"/>
          <w:i/>
          <w:sz w:val="16"/>
          <w:szCs w:val="16"/>
        </w:rPr>
        <w:t>Palamara</w:t>
      </w:r>
      <w:proofErr w:type="spellEnd"/>
      <w:r w:rsidRPr="001067EF">
        <w:rPr>
          <w:rFonts w:ascii="Verdana" w:hAnsi="Verdana"/>
          <w:i/>
          <w:sz w:val="16"/>
          <w:szCs w:val="16"/>
        </w:rPr>
        <w:t xml:space="preserve"> Iribarne Vs. Chile. Fondo, Reparaciones y Costas</w:t>
      </w:r>
      <w:r w:rsidRPr="001067EF">
        <w:rPr>
          <w:rFonts w:ascii="Verdana" w:hAnsi="Verdana"/>
          <w:sz w:val="16"/>
          <w:szCs w:val="16"/>
        </w:rPr>
        <w:t xml:space="preserve">. Sentencia de 22 de noviembre de 2005. Serie C No. 135, párr. 197, y </w:t>
      </w:r>
      <w:r w:rsidRPr="00E46F1E">
        <w:rPr>
          <w:rStyle w:val="Textoennegrita"/>
          <w:rFonts w:ascii="Verdana" w:hAnsi="Verdana"/>
          <w:b w:val="0"/>
          <w:i/>
          <w:color w:val="000000"/>
          <w:sz w:val="16"/>
          <w:szCs w:val="16"/>
        </w:rPr>
        <w:t xml:space="preserve">Caso Romero </w:t>
      </w:r>
      <w:proofErr w:type="spellStart"/>
      <w:r w:rsidRPr="00E46F1E">
        <w:rPr>
          <w:rStyle w:val="Textoennegrita"/>
          <w:rFonts w:ascii="Verdana" w:hAnsi="Verdana"/>
          <w:b w:val="0"/>
          <w:i/>
          <w:color w:val="000000"/>
          <w:sz w:val="16"/>
          <w:szCs w:val="16"/>
        </w:rPr>
        <w:t>Feris</w:t>
      </w:r>
      <w:proofErr w:type="spellEnd"/>
      <w:r w:rsidRPr="00E46F1E">
        <w:rPr>
          <w:rStyle w:val="Textoennegrita"/>
          <w:rFonts w:ascii="Verdana" w:hAnsi="Verdana"/>
          <w:b w:val="0"/>
          <w:i/>
          <w:color w:val="000000"/>
          <w:sz w:val="16"/>
          <w:szCs w:val="16"/>
        </w:rPr>
        <w:t xml:space="preserve"> Vs. Argentina. Fondo, Reparaciones y Costas.</w:t>
      </w:r>
      <w:r w:rsidRPr="00E46F1E">
        <w:rPr>
          <w:rStyle w:val="Textoennegrita"/>
          <w:rFonts w:ascii="Verdana" w:hAnsi="Verdana"/>
          <w:b w:val="0"/>
          <w:color w:val="000000"/>
          <w:sz w:val="16"/>
          <w:szCs w:val="16"/>
        </w:rPr>
        <w:t xml:space="preserve"> Sentencia de 15 de octubre de 2019. Serie C No. 391., párr. 92.</w:t>
      </w:r>
    </w:p>
  </w:footnote>
  <w:footnote w:id="171">
    <w:p w14:paraId="5CF463F7" w14:textId="56A088B8" w:rsidR="00E46F1E" w:rsidRPr="001067EF" w:rsidRDefault="00E46F1E" w:rsidP="00C40460">
      <w:pPr>
        <w:pStyle w:val="Textonotapie"/>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 xml:space="preserve">Cfr. Caso García </w:t>
      </w:r>
      <w:proofErr w:type="spellStart"/>
      <w:r w:rsidRPr="001067EF">
        <w:rPr>
          <w:rFonts w:ascii="Verdana" w:hAnsi="Verdana"/>
          <w:i/>
          <w:sz w:val="16"/>
          <w:szCs w:val="16"/>
        </w:rPr>
        <w:t>Asto</w:t>
      </w:r>
      <w:proofErr w:type="spellEnd"/>
      <w:r w:rsidRPr="001067EF">
        <w:rPr>
          <w:rFonts w:ascii="Verdana" w:hAnsi="Verdana"/>
          <w:i/>
          <w:sz w:val="16"/>
          <w:szCs w:val="16"/>
        </w:rPr>
        <w:t xml:space="preserve"> y Ramírez Rojas Vs. Perú. Excepción Preliminar, Fondo, Reparaciones y Costas. </w:t>
      </w:r>
      <w:r w:rsidRPr="001067EF">
        <w:rPr>
          <w:rFonts w:ascii="Verdana" w:hAnsi="Verdana"/>
          <w:sz w:val="16"/>
          <w:szCs w:val="16"/>
        </w:rPr>
        <w:t xml:space="preserve">Sentencia de 25 de noviembre de 2005. Serie C No. 137, párr. 128, </w:t>
      </w:r>
      <w:r w:rsidRPr="00E46F1E">
        <w:rPr>
          <w:rFonts w:ascii="Verdana" w:hAnsi="Verdana"/>
          <w:sz w:val="16"/>
          <w:szCs w:val="16"/>
        </w:rPr>
        <w:t xml:space="preserve">y </w:t>
      </w:r>
      <w:r w:rsidRPr="00E46F1E">
        <w:rPr>
          <w:rStyle w:val="Textoennegrita"/>
          <w:rFonts w:ascii="Verdana" w:hAnsi="Verdana"/>
          <w:b w:val="0"/>
          <w:i/>
          <w:color w:val="000000"/>
          <w:sz w:val="16"/>
          <w:szCs w:val="16"/>
        </w:rPr>
        <w:t xml:space="preserve">Caso Romero </w:t>
      </w:r>
      <w:proofErr w:type="spellStart"/>
      <w:r w:rsidRPr="00E46F1E">
        <w:rPr>
          <w:rStyle w:val="Textoennegrita"/>
          <w:rFonts w:ascii="Verdana" w:hAnsi="Verdana"/>
          <w:b w:val="0"/>
          <w:i/>
          <w:color w:val="000000"/>
          <w:sz w:val="16"/>
          <w:szCs w:val="16"/>
        </w:rPr>
        <w:t>Feris</w:t>
      </w:r>
      <w:proofErr w:type="spellEnd"/>
      <w:r w:rsidRPr="00E46F1E">
        <w:rPr>
          <w:rStyle w:val="Textoennegrita"/>
          <w:rFonts w:ascii="Verdana" w:hAnsi="Verdana"/>
          <w:b w:val="0"/>
          <w:i/>
          <w:color w:val="000000"/>
          <w:sz w:val="16"/>
          <w:szCs w:val="16"/>
        </w:rPr>
        <w:t xml:space="preserve"> Vs. Argentina. Fondo, Reparaciones y Costas.</w:t>
      </w:r>
      <w:r w:rsidRPr="00E46F1E">
        <w:rPr>
          <w:rStyle w:val="Textoennegrita"/>
          <w:rFonts w:ascii="Verdana" w:hAnsi="Verdana"/>
          <w:b w:val="0"/>
          <w:color w:val="000000"/>
          <w:sz w:val="16"/>
          <w:szCs w:val="16"/>
        </w:rPr>
        <w:t xml:space="preserve"> Sentencia de 15 de octubre de 2019. Serie C No. 391., párr. 92.</w:t>
      </w:r>
      <w:r w:rsidRPr="001067EF">
        <w:rPr>
          <w:rFonts w:ascii="Verdana" w:hAnsi="Verdana"/>
          <w:sz w:val="16"/>
          <w:szCs w:val="16"/>
        </w:rPr>
        <w:t xml:space="preserve"> </w:t>
      </w:r>
    </w:p>
  </w:footnote>
  <w:footnote w:id="172">
    <w:p w14:paraId="3A7988A8" w14:textId="575EDB80" w:rsidR="00E46F1E" w:rsidRPr="001067EF" w:rsidRDefault="00E46F1E" w:rsidP="00C40460">
      <w:pPr>
        <w:pStyle w:val="Textonotapie"/>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Cfr</w:t>
      </w:r>
      <w:r w:rsidRPr="001067EF">
        <w:rPr>
          <w:rFonts w:ascii="Verdana" w:hAnsi="Verdana"/>
          <w:sz w:val="16"/>
          <w:szCs w:val="16"/>
        </w:rPr>
        <w:t xml:space="preserve">. </w:t>
      </w:r>
      <w:r w:rsidRPr="00E46F1E">
        <w:rPr>
          <w:rStyle w:val="Textoennegrita"/>
          <w:rFonts w:ascii="Verdana" w:hAnsi="Verdana"/>
          <w:b w:val="0"/>
          <w:i/>
          <w:color w:val="000000"/>
          <w:sz w:val="16"/>
          <w:szCs w:val="16"/>
        </w:rPr>
        <w:t>Caso Servellón García y otros Vs. Honduras. Sentencia de 21 de septiembre de 2006.</w:t>
      </w:r>
      <w:r w:rsidRPr="00E46F1E">
        <w:rPr>
          <w:rStyle w:val="Textoennegrita"/>
          <w:rFonts w:ascii="Verdana" w:hAnsi="Verdana"/>
          <w:b w:val="0"/>
          <w:color w:val="000000"/>
          <w:sz w:val="16"/>
          <w:szCs w:val="16"/>
        </w:rPr>
        <w:t xml:space="preserve"> Serie C No. 152.</w:t>
      </w:r>
      <w:r w:rsidRPr="00E46F1E">
        <w:rPr>
          <w:rFonts w:ascii="Verdana" w:hAnsi="Verdana"/>
          <w:bCs/>
          <w:sz w:val="16"/>
          <w:szCs w:val="16"/>
        </w:rPr>
        <w:t>, párr. 90 y</w:t>
      </w:r>
      <w:r w:rsidRPr="00E46F1E">
        <w:rPr>
          <w:rFonts w:ascii="Verdana" w:hAnsi="Verdana"/>
          <w:b/>
          <w:bCs/>
          <w:sz w:val="16"/>
          <w:szCs w:val="16"/>
        </w:rPr>
        <w:t xml:space="preserve"> </w:t>
      </w:r>
      <w:r w:rsidRPr="00E46F1E">
        <w:rPr>
          <w:rStyle w:val="Textoennegrita"/>
          <w:rFonts w:ascii="Verdana" w:hAnsi="Verdana"/>
          <w:b w:val="0"/>
          <w:i/>
          <w:color w:val="000000"/>
          <w:sz w:val="16"/>
          <w:szCs w:val="16"/>
        </w:rPr>
        <w:t xml:space="preserve">Caso Romero </w:t>
      </w:r>
      <w:proofErr w:type="spellStart"/>
      <w:r w:rsidRPr="00E46F1E">
        <w:rPr>
          <w:rStyle w:val="Textoennegrita"/>
          <w:rFonts w:ascii="Verdana" w:hAnsi="Verdana"/>
          <w:b w:val="0"/>
          <w:i/>
          <w:color w:val="000000"/>
          <w:sz w:val="16"/>
          <w:szCs w:val="16"/>
        </w:rPr>
        <w:t>Feris</w:t>
      </w:r>
      <w:proofErr w:type="spellEnd"/>
      <w:r w:rsidRPr="00E46F1E">
        <w:rPr>
          <w:rStyle w:val="Textoennegrita"/>
          <w:rFonts w:ascii="Verdana" w:hAnsi="Verdana"/>
          <w:b w:val="0"/>
          <w:i/>
          <w:color w:val="000000"/>
          <w:sz w:val="16"/>
          <w:szCs w:val="16"/>
        </w:rPr>
        <w:t xml:space="preserve"> Vs. Argentina. Fondo, Reparaciones y Costas.</w:t>
      </w:r>
      <w:r w:rsidRPr="00E46F1E">
        <w:rPr>
          <w:rStyle w:val="Textoennegrita"/>
          <w:rFonts w:ascii="Verdana" w:hAnsi="Verdana"/>
          <w:b w:val="0"/>
          <w:color w:val="000000"/>
          <w:sz w:val="16"/>
          <w:szCs w:val="16"/>
        </w:rPr>
        <w:t xml:space="preserve"> Sentencia de 15 de octubre de 2019. Serie C No. 391., párr. 93.</w:t>
      </w:r>
    </w:p>
  </w:footnote>
  <w:footnote w:id="173">
    <w:p w14:paraId="3121BF78" w14:textId="150AA7C0" w:rsidR="00E46F1E" w:rsidRPr="001067EF" w:rsidRDefault="00E46F1E" w:rsidP="00C40460">
      <w:pPr>
        <w:pStyle w:val="Textonotapie"/>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Pr>
          <w:rFonts w:ascii="Verdana" w:hAnsi="Verdana"/>
          <w:i/>
          <w:sz w:val="16"/>
          <w:szCs w:val="16"/>
        </w:rPr>
        <w:t xml:space="preserve">Cfr. </w:t>
      </w:r>
      <w:r w:rsidRPr="00E46F1E">
        <w:rPr>
          <w:rStyle w:val="Textoennegrita"/>
          <w:rFonts w:ascii="Verdana" w:hAnsi="Verdana"/>
          <w:b w:val="0"/>
          <w:i/>
          <w:color w:val="000000"/>
          <w:sz w:val="16"/>
          <w:szCs w:val="16"/>
        </w:rPr>
        <w:t xml:space="preserve">Caso Romero </w:t>
      </w:r>
      <w:proofErr w:type="spellStart"/>
      <w:r w:rsidRPr="00E46F1E">
        <w:rPr>
          <w:rStyle w:val="Textoennegrita"/>
          <w:rFonts w:ascii="Verdana" w:hAnsi="Verdana"/>
          <w:b w:val="0"/>
          <w:i/>
          <w:color w:val="000000"/>
          <w:sz w:val="16"/>
          <w:szCs w:val="16"/>
        </w:rPr>
        <w:t>Feris</w:t>
      </w:r>
      <w:proofErr w:type="spellEnd"/>
      <w:r w:rsidRPr="00E46F1E">
        <w:rPr>
          <w:rStyle w:val="Textoennegrita"/>
          <w:rFonts w:ascii="Verdana" w:hAnsi="Verdana"/>
          <w:b w:val="0"/>
          <w:i/>
          <w:color w:val="000000"/>
          <w:sz w:val="16"/>
          <w:szCs w:val="16"/>
        </w:rPr>
        <w:t xml:space="preserve"> Vs. Argentina. Fondo, Reparaciones y Costas.</w:t>
      </w:r>
      <w:r w:rsidRPr="00E46F1E">
        <w:rPr>
          <w:rStyle w:val="Textoennegrita"/>
          <w:rFonts w:ascii="Verdana" w:hAnsi="Verdana"/>
          <w:b w:val="0"/>
          <w:color w:val="000000"/>
          <w:sz w:val="16"/>
          <w:szCs w:val="16"/>
        </w:rPr>
        <w:t xml:space="preserve"> Sentencia de 15 de octubre de 2019. Serie C No. 391., párr. 95, y </w:t>
      </w:r>
      <w:r>
        <w:rPr>
          <w:rFonts w:ascii="Verdana" w:hAnsi="Verdana"/>
          <w:i/>
          <w:sz w:val="16"/>
          <w:szCs w:val="16"/>
        </w:rPr>
        <w:t>m</w:t>
      </w:r>
      <w:r w:rsidRPr="001067EF">
        <w:rPr>
          <w:rFonts w:ascii="Verdana" w:hAnsi="Verdana"/>
          <w:i/>
          <w:sz w:val="16"/>
          <w:szCs w:val="16"/>
        </w:rPr>
        <w:t>utatis mutandis. Caso Herrera Ulloa Vs. Costa Rica. Excepciones Preliminares, Fondo, Reparaciones y Costas</w:t>
      </w:r>
      <w:r w:rsidRPr="001067EF">
        <w:rPr>
          <w:rFonts w:ascii="Verdana" w:hAnsi="Verdana"/>
          <w:sz w:val="16"/>
          <w:szCs w:val="16"/>
        </w:rPr>
        <w:t xml:space="preserve">. Sentencia de 2 de julio de 2004. Serie C No. 107, párr. 174. </w:t>
      </w:r>
    </w:p>
  </w:footnote>
  <w:footnote w:id="174">
    <w:p w14:paraId="76BB2074" w14:textId="6B8E666C" w:rsidR="00E46F1E" w:rsidRPr="001067EF" w:rsidRDefault="00E46F1E" w:rsidP="00C40460">
      <w:pPr>
        <w:pStyle w:val="Textonotapie"/>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Cfr</w:t>
      </w:r>
      <w:r w:rsidRPr="001067EF">
        <w:rPr>
          <w:rFonts w:ascii="Verdana" w:hAnsi="Verdana"/>
          <w:sz w:val="16"/>
          <w:szCs w:val="16"/>
        </w:rPr>
        <w:t xml:space="preserve">. </w:t>
      </w:r>
      <w:r w:rsidRPr="001067EF">
        <w:rPr>
          <w:rFonts w:ascii="Verdana" w:hAnsi="Verdana"/>
          <w:i/>
          <w:sz w:val="16"/>
          <w:szCs w:val="16"/>
        </w:rPr>
        <w:t xml:space="preserve">Caso </w:t>
      </w:r>
      <w:proofErr w:type="spellStart"/>
      <w:r w:rsidRPr="001067EF">
        <w:rPr>
          <w:rFonts w:ascii="Verdana" w:hAnsi="Verdana"/>
          <w:i/>
          <w:sz w:val="16"/>
          <w:szCs w:val="16"/>
        </w:rPr>
        <w:t>Norín</w:t>
      </w:r>
      <w:proofErr w:type="spellEnd"/>
      <w:r w:rsidRPr="001067EF">
        <w:rPr>
          <w:rFonts w:ascii="Verdana" w:hAnsi="Verdana"/>
          <w:i/>
          <w:sz w:val="16"/>
          <w:szCs w:val="16"/>
        </w:rPr>
        <w:t xml:space="preserve"> </w:t>
      </w:r>
      <w:proofErr w:type="spellStart"/>
      <w:r w:rsidRPr="001067EF">
        <w:rPr>
          <w:rFonts w:ascii="Verdana" w:hAnsi="Verdana"/>
          <w:i/>
          <w:sz w:val="16"/>
          <w:szCs w:val="16"/>
        </w:rPr>
        <w:t>Catrimán</w:t>
      </w:r>
      <w:proofErr w:type="spellEnd"/>
      <w:r w:rsidRPr="001067EF">
        <w:rPr>
          <w:rFonts w:ascii="Verdana" w:hAnsi="Verdana"/>
          <w:i/>
          <w:sz w:val="16"/>
          <w:szCs w:val="16"/>
        </w:rPr>
        <w:t xml:space="preserve"> y otros (Dirigentes, Miembros y Activista del Pueblo Indígena Mapuche) Vs. Chile. Fondo, Reparaciones y Costas</w:t>
      </w:r>
      <w:r w:rsidRPr="001067EF">
        <w:rPr>
          <w:rFonts w:ascii="Verdana" w:hAnsi="Verdana"/>
          <w:sz w:val="16"/>
          <w:szCs w:val="16"/>
        </w:rPr>
        <w:t>. Sentencia de 29 de mayo de 2014. Serie C No. 279</w:t>
      </w:r>
      <w:r w:rsidRPr="001067EF">
        <w:rPr>
          <w:rFonts w:ascii="Verdana" w:hAnsi="Verdana"/>
          <w:bCs/>
          <w:sz w:val="16"/>
          <w:szCs w:val="16"/>
        </w:rPr>
        <w:t xml:space="preserve">, párr. 311, </w:t>
      </w:r>
      <w:r w:rsidRPr="00E46F1E">
        <w:rPr>
          <w:rFonts w:ascii="Verdana" w:hAnsi="Verdana"/>
          <w:bCs/>
          <w:sz w:val="16"/>
          <w:szCs w:val="16"/>
        </w:rPr>
        <w:t>y</w:t>
      </w:r>
      <w:r w:rsidRPr="00E46F1E">
        <w:rPr>
          <w:rFonts w:ascii="Verdana" w:hAnsi="Verdana"/>
          <w:b/>
          <w:bCs/>
          <w:sz w:val="16"/>
          <w:szCs w:val="16"/>
        </w:rPr>
        <w:t xml:space="preserve"> </w:t>
      </w:r>
      <w:r w:rsidRPr="00E46F1E">
        <w:rPr>
          <w:rStyle w:val="Textoennegrita"/>
          <w:rFonts w:ascii="Verdana" w:hAnsi="Verdana"/>
          <w:b w:val="0"/>
          <w:i/>
          <w:color w:val="000000"/>
          <w:sz w:val="16"/>
          <w:szCs w:val="16"/>
        </w:rPr>
        <w:t xml:space="preserve">Caso Romero </w:t>
      </w:r>
      <w:proofErr w:type="spellStart"/>
      <w:r w:rsidRPr="00E46F1E">
        <w:rPr>
          <w:rStyle w:val="Textoennegrita"/>
          <w:rFonts w:ascii="Verdana" w:hAnsi="Verdana"/>
          <w:b w:val="0"/>
          <w:i/>
          <w:color w:val="000000"/>
          <w:sz w:val="16"/>
          <w:szCs w:val="16"/>
        </w:rPr>
        <w:t>Feris</w:t>
      </w:r>
      <w:proofErr w:type="spellEnd"/>
      <w:r w:rsidRPr="00E46F1E">
        <w:rPr>
          <w:rStyle w:val="Textoennegrita"/>
          <w:rFonts w:ascii="Verdana" w:hAnsi="Verdana"/>
          <w:b w:val="0"/>
          <w:i/>
          <w:color w:val="000000"/>
          <w:sz w:val="16"/>
          <w:szCs w:val="16"/>
        </w:rPr>
        <w:t xml:space="preserve"> Vs. Argentina. Fondo, Reparaciones y Costas.</w:t>
      </w:r>
      <w:r w:rsidRPr="00E46F1E">
        <w:rPr>
          <w:rStyle w:val="Textoennegrita"/>
          <w:rFonts w:ascii="Verdana" w:hAnsi="Verdana"/>
          <w:b w:val="0"/>
          <w:color w:val="000000"/>
          <w:sz w:val="16"/>
          <w:szCs w:val="16"/>
        </w:rPr>
        <w:t xml:space="preserve"> Sentencia de 15 de octubre de 2019. Serie C No. 391., párr. 96</w:t>
      </w:r>
      <w:r>
        <w:rPr>
          <w:rStyle w:val="Textoennegrita"/>
          <w:rFonts w:ascii="Verdana" w:hAnsi="Verdana"/>
          <w:b w:val="0"/>
          <w:color w:val="000000"/>
          <w:sz w:val="16"/>
          <w:szCs w:val="16"/>
          <w:shd w:val="clear" w:color="auto" w:fill="FFFFFF"/>
        </w:rPr>
        <w:t>.</w:t>
      </w:r>
    </w:p>
  </w:footnote>
  <w:footnote w:id="175">
    <w:p w14:paraId="354A722A" w14:textId="38225CC1" w:rsidR="00E46F1E" w:rsidRPr="001067EF" w:rsidRDefault="00E46F1E" w:rsidP="00C40460">
      <w:pPr>
        <w:pStyle w:val="Textonotapie"/>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 xml:space="preserve">Cfr. </w:t>
      </w:r>
      <w:r w:rsidRPr="00E46F1E">
        <w:rPr>
          <w:rStyle w:val="Textoennegrita"/>
          <w:rFonts w:ascii="Verdana" w:hAnsi="Verdana"/>
          <w:b w:val="0"/>
          <w:i/>
          <w:color w:val="000000"/>
          <w:sz w:val="16"/>
          <w:szCs w:val="16"/>
        </w:rPr>
        <w:t>Caso Pollo Rivera y otros Vs. Perú. Fondo, Reparaciones y Costas.</w:t>
      </w:r>
      <w:r w:rsidRPr="00E46F1E">
        <w:rPr>
          <w:rStyle w:val="Textoennegrita"/>
          <w:rFonts w:ascii="Verdana" w:hAnsi="Verdana"/>
          <w:b w:val="0"/>
          <w:color w:val="000000"/>
          <w:sz w:val="16"/>
          <w:szCs w:val="16"/>
        </w:rPr>
        <w:t xml:space="preserve"> Sentencia de 21 de octubre de 2016. Serie C No. 319.</w:t>
      </w:r>
      <w:r w:rsidRPr="00E46F1E">
        <w:rPr>
          <w:rFonts w:ascii="Verdana" w:hAnsi="Verdana"/>
          <w:sz w:val="16"/>
          <w:szCs w:val="16"/>
        </w:rPr>
        <w:t>,</w:t>
      </w:r>
      <w:r w:rsidRPr="00E46F1E">
        <w:rPr>
          <w:rFonts w:ascii="Verdana" w:hAnsi="Verdana"/>
          <w:i/>
          <w:sz w:val="16"/>
          <w:szCs w:val="16"/>
        </w:rPr>
        <w:t xml:space="preserve"> </w:t>
      </w:r>
      <w:r w:rsidRPr="00E46F1E">
        <w:rPr>
          <w:rFonts w:ascii="Verdana" w:hAnsi="Verdana"/>
          <w:sz w:val="16"/>
          <w:szCs w:val="16"/>
        </w:rPr>
        <w:t xml:space="preserve">párr. 122, y </w:t>
      </w:r>
      <w:r w:rsidRPr="00E46F1E">
        <w:rPr>
          <w:rStyle w:val="Textoennegrita"/>
          <w:rFonts w:ascii="Verdana" w:hAnsi="Verdana"/>
          <w:b w:val="0"/>
          <w:i/>
          <w:color w:val="000000"/>
          <w:sz w:val="16"/>
          <w:szCs w:val="16"/>
        </w:rPr>
        <w:t xml:space="preserve">Caso Romero </w:t>
      </w:r>
      <w:proofErr w:type="spellStart"/>
      <w:r w:rsidRPr="00E46F1E">
        <w:rPr>
          <w:rStyle w:val="Textoennegrita"/>
          <w:rFonts w:ascii="Verdana" w:hAnsi="Verdana"/>
          <w:b w:val="0"/>
          <w:i/>
          <w:color w:val="000000"/>
          <w:sz w:val="16"/>
          <w:szCs w:val="16"/>
        </w:rPr>
        <w:t>Feris</w:t>
      </w:r>
      <w:proofErr w:type="spellEnd"/>
      <w:r w:rsidRPr="00E46F1E">
        <w:rPr>
          <w:rStyle w:val="Textoennegrita"/>
          <w:rFonts w:ascii="Verdana" w:hAnsi="Verdana"/>
          <w:b w:val="0"/>
          <w:i/>
          <w:color w:val="000000"/>
          <w:sz w:val="16"/>
          <w:szCs w:val="16"/>
        </w:rPr>
        <w:t xml:space="preserve"> Vs. Argentina. Fondo, Reparaciones y Costas.</w:t>
      </w:r>
      <w:r w:rsidRPr="00E46F1E">
        <w:rPr>
          <w:rStyle w:val="Textoennegrita"/>
          <w:rFonts w:ascii="Verdana" w:hAnsi="Verdana"/>
          <w:b w:val="0"/>
          <w:color w:val="000000"/>
          <w:sz w:val="16"/>
          <w:szCs w:val="16"/>
        </w:rPr>
        <w:t xml:space="preserve"> Sentencia de 15 de octubre de 2019. Serie C No. 391., párr. 97.</w:t>
      </w:r>
      <w:r w:rsidRPr="001067EF">
        <w:rPr>
          <w:rFonts w:ascii="Verdana" w:hAnsi="Verdana"/>
          <w:sz w:val="16"/>
          <w:szCs w:val="16"/>
        </w:rPr>
        <w:t xml:space="preserve"> </w:t>
      </w:r>
    </w:p>
  </w:footnote>
  <w:footnote w:id="176">
    <w:p w14:paraId="040A8CA1" w14:textId="0C2CAE1D" w:rsidR="00E46F1E" w:rsidRPr="001067EF" w:rsidRDefault="00E46F1E" w:rsidP="00C40460">
      <w:pPr>
        <w:pStyle w:val="Textonotapie"/>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Cfr. Caso Tibi Vs. Ecuador, Excepciones Preliminares, Fondo, Reparaciones y Costas.</w:t>
      </w:r>
      <w:r w:rsidRPr="001067EF">
        <w:rPr>
          <w:rFonts w:ascii="Verdana" w:hAnsi="Verdana"/>
          <w:sz w:val="16"/>
          <w:szCs w:val="16"/>
        </w:rPr>
        <w:t xml:space="preserve"> Sentencia de 7 de septiembre de 2004. Serie C No. 114, párr. 106, y </w:t>
      </w:r>
      <w:r w:rsidRPr="00E46F1E">
        <w:rPr>
          <w:rStyle w:val="Textoennegrita"/>
          <w:rFonts w:ascii="Verdana" w:hAnsi="Verdana"/>
          <w:b w:val="0"/>
          <w:i/>
          <w:color w:val="000000"/>
          <w:sz w:val="16"/>
          <w:szCs w:val="16"/>
        </w:rPr>
        <w:t xml:space="preserve">Caso Romero </w:t>
      </w:r>
      <w:proofErr w:type="spellStart"/>
      <w:r w:rsidRPr="00E46F1E">
        <w:rPr>
          <w:rStyle w:val="Textoennegrita"/>
          <w:rFonts w:ascii="Verdana" w:hAnsi="Verdana"/>
          <w:b w:val="0"/>
          <w:i/>
          <w:color w:val="000000"/>
          <w:sz w:val="16"/>
          <w:szCs w:val="16"/>
        </w:rPr>
        <w:t>Feris</w:t>
      </w:r>
      <w:proofErr w:type="spellEnd"/>
      <w:r w:rsidRPr="00E46F1E">
        <w:rPr>
          <w:rStyle w:val="Textoennegrita"/>
          <w:rFonts w:ascii="Verdana" w:hAnsi="Verdana"/>
          <w:b w:val="0"/>
          <w:i/>
          <w:color w:val="000000"/>
          <w:sz w:val="16"/>
          <w:szCs w:val="16"/>
        </w:rPr>
        <w:t xml:space="preserve"> Vs. Argentina. Fondo, Reparaciones y Costas.</w:t>
      </w:r>
      <w:r w:rsidRPr="00E46F1E">
        <w:rPr>
          <w:rStyle w:val="Textoennegrita"/>
          <w:rFonts w:ascii="Verdana" w:hAnsi="Verdana"/>
          <w:b w:val="0"/>
          <w:color w:val="000000"/>
          <w:sz w:val="16"/>
          <w:szCs w:val="16"/>
        </w:rPr>
        <w:t xml:space="preserve"> Sentencia de 15 de octubre de 2019. Serie C No. 391., párr. 97.</w:t>
      </w:r>
      <w:r w:rsidRPr="001067EF">
        <w:rPr>
          <w:rFonts w:ascii="Verdana" w:hAnsi="Verdana"/>
          <w:sz w:val="16"/>
          <w:szCs w:val="16"/>
        </w:rPr>
        <w:t xml:space="preserve"> </w:t>
      </w:r>
    </w:p>
  </w:footnote>
  <w:footnote w:id="177">
    <w:p w14:paraId="23C1A806" w14:textId="128F39CC" w:rsidR="00E46F1E" w:rsidRPr="001067EF" w:rsidRDefault="00E46F1E" w:rsidP="00C40460">
      <w:pPr>
        <w:pStyle w:val="Textonotapie"/>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Cfr. Caso Chaparro Álvarez y Lapo Íñiguez Vs. Ecuador. Excepciones Preliminares, Fondo, Reparaciones y Costas</w:t>
      </w:r>
      <w:r w:rsidRPr="001067EF">
        <w:rPr>
          <w:rFonts w:ascii="Verdana" w:hAnsi="Verdana"/>
          <w:sz w:val="16"/>
          <w:szCs w:val="16"/>
        </w:rPr>
        <w:t>. Sentencia de 21 de noviembre de 2007. Serie C No. 170, párr.</w:t>
      </w:r>
      <w:r>
        <w:rPr>
          <w:rFonts w:ascii="Verdana" w:hAnsi="Verdana"/>
          <w:sz w:val="16"/>
          <w:szCs w:val="16"/>
          <w:lang w:val="es-CR"/>
        </w:rPr>
        <w:t xml:space="preserve"> 103, y </w:t>
      </w:r>
      <w:r w:rsidRPr="00E46F1E">
        <w:rPr>
          <w:rStyle w:val="Textoennegrita"/>
          <w:rFonts w:ascii="Verdana" w:hAnsi="Verdana"/>
          <w:b w:val="0"/>
          <w:i/>
          <w:color w:val="000000"/>
          <w:sz w:val="16"/>
          <w:szCs w:val="16"/>
        </w:rPr>
        <w:t xml:space="preserve">Caso Romero </w:t>
      </w:r>
      <w:proofErr w:type="spellStart"/>
      <w:r w:rsidRPr="00E46F1E">
        <w:rPr>
          <w:rStyle w:val="Textoennegrita"/>
          <w:rFonts w:ascii="Verdana" w:hAnsi="Verdana"/>
          <w:b w:val="0"/>
          <w:i/>
          <w:color w:val="000000"/>
          <w:sz w:val="16"/>
          <w:szCs w:val="16"/>
        </w:rPr>
        <w:t>Feris</w:t>
      </w:r>
      <w:proofErr w:type="spellEnd"/>
      <w:r w:rsidRPr="00E46F1E">
        <w:rPr>
          <w:rStyle w:val="Textoennegrita"/>
          <w:rFonts w:ascii="Verdana" w:hAnsi="Verdana"/>
          <w:b w:val="0"/>
          <w:i/>
          <w:color w:val="000000"/>
          <w:sz w:val="16"/>
          <w:szCs w:val="16"/>
        </w:rPr>
        <w:t xml:space="preserve"> Vs. Argentina. Fondo, Reparaciones y Costas.</w:t>
      </w:r>
      <w:r w:rsidRPr="00E46F1E">
        <w:rPr>
          <w:rStyle w:val="Textoennegrita"/>
          <w:rFonts w:ascii="Verdana" w:hAnsi="Verdana"/>
          <w:b w:val="0"/>
          <w:color w:val="000000"/>
          <w:sz w:val="16"/>
          <w:szCs w:val="16"/>
        </w:rPr>
        <w:t xml:space="preserve"> Sentencia de 15 de octubre de 2019. Serie C No. 391., párr. 97.</w:t>
      </w:r>
    </w:p>
  </w:footnote>
  <w:footnote w:id="178">
    <w:p w14:paraId="5757B61C" w14:textId="25883DBF" w:rsidR="00E46F1E" w:rsidRPr="001067EF" w:rsidRDefault="00E46F1E" w:rsidP="00C40460">
      <w:pPr>
        <w:pStyle w:val="Textonotapie"/>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 xml:space="preserve">Cfr. </w:t>
      </w:r>
      <w:r w:rsidRPr="00E46F1E">
        <w:rPr>
          <w:rStyle w:val="Textoennegrita"/>
          <w:rFonts w:ascii="Verdana" w:hAnsi="Verdana"/>
          <w:b w:val="0"/>
          <w:i/>
          <w:color w:val="000000"/>
          <w:sz w:val="16"/>
          <w:szCs w:val="16"/>
        </w:rPr>
        <w:t>Caso López Álvarez Vs. Honduras. Fondo, Reparaciones y Costas.</w:t>
      </w:r>
      <w:r w:rsidRPr="00E46F1E">
        <w:rPr>
          <w:rStyle w:val="Textoennegrita"/>
          <w:rFonts w:ascii="Verdana" w:hAnsi="Verdana"/>
          <w:b w:val="0"/>
          <w:color w:val="000000"/>
          <w:sz w:val="16"/>
          <w:szCs w:val="16"/>
        </w:rPr>
        <w:t xml:space="preserve"> Sentencia de 1 de febrero de 2006. Serie C No. 141.</w:t>
      </w:r>
      <w:r w:rsidRPr="00E46F1E">
        <w:rPr>
          <w:rFonts w:ascii="Verdana" w:hAnsi="Verdana"/>
          <w:sz w:val="16"/>
          <w:szCs w:val="16"/>
        </w:rPr>
        <w:t xml:space="preserve">, párr. 67, y </w:t>
      </w:r>
      <w:r w:rsidRPr="00E46F1E">
        <w:rPr>
          <w:rStyle w:val="Textoennegrita"/>
          <w:rFonts w:ascii="Verdana" w:hAnsi="Verdana"/>
          <w:b w:val="0"/>
          <w:i/>
          <w:color w:val="000000"/>
          <w:sz w:val="16"/>
          <w:szCs w:val="16"/>
        </w:rPr>
        <w:t xml:space="preserve">Caso Romero </w:t>
      </w:r>
      <w:proofErr w:type="spellStart"/>
      <w:r w:rsidRPr="00E46F1E">
        <w:rPr>
          <w:rStyle w:val="Textoennegrita"/>
          <w:rFonts w:ascii="Verdana" w:hAnsi="Verdana"/>
          <w:b w:val="0"/>
          <w:i/>
          <w:color w:val="000000"/>
          <w:sz w:val="16"/>
          <w:szCs w:val="16"/>
        </w:rPr>
        <w:t>Feris</w:t>
      </w:r>
      <w:proofErr w:type="spellEnd"/>
      <w:r w:rsidRPr="00E46F1E">
        <w:rPr>
          <w:rStyle w:val="Textoennegrita"/>
          <w:rFonts w:ascii="Verdana" w:hAnsi="Verdana"/>
          <w:b w:val="0"/>
          <w:i/>
          <w:color w:val="000000"/>
          <w:sz w:val="16"/>
          <w:szCs w:val="16"/>
        </w:rPr>
        <w:t xml:space="preserve"> Vs. Argentina. Fondo, Reparaciones y Costas.</w:t>
      </w:r>
      <w:r w:rsidRPr="00E46F1E">
        <w:rPr>
          <w:rStyle w:val="Textoennegrita"/>
          <w:rFonts w:ascii="Verdana" w:hAnsi="Verdana"/>
          <w:b w:val="0"/>
          <w:color w:val="000000"/>
          <w:sz w:val="16"/>
          <w:szCs w:val="16"/>
        </w:rPr>
        <w:t xml:space="preserve"> Sentencia de 15 de octubre de 2019. Serie C No. 391., párr. 98.</w:t>
      </w:r>
    </w:p>
  </w:footnote>
  <w:footnote w:id="179">
    <w:p w14:paraId="5AF23865" w14:textId="50289024" w:rsidR="00E46F1E" w:rsidRPr="00E46F1E" w:rsidRDefault="00E46F1E" w:rsidP="00C40460">
      <w:pPr>
        <w:pStyle w:val="Textonotapie"/>
        <w:spacing w:after="120"/>
        <w:jc w:val="both"/>
        <w:rPr>
          <w:rFonts w:ascii="Verdana" w:hAnsi="Verdana"/>
          <w:sz w:val="16"/>
          <w:szCs w:val="16"/>
        </w:rPr>
      </w:pPr>
      <w:r w:rsidRPr="00E46F1E">
        <w:rPr>
          <w:rStyle w:val="Refdenotaalpie"/>
          <w:rFonts w:ascii="Verdana" w:hAnsi="Verdana"/>
          <w:sz w:val="16"/>
          <w:szCs w:val="16"/>
        </w:rPr>
        <w:footnoteRef/>
      </w:r>
      <w:r w:rsidRPr="00E46F1E">
        <w:rPr>
          <w:rFonts w:ascii="Verdana" w:hAnsi="Verdana"/>
          <w:sz w:val="16"/>
          <w:szCs w:val="16"/>
        </w:rPr>
        <w:t xml:space="preserve"> </w:t>
      </w:r>
      <w:r w:rsidRPr="00E46F1E">
        <w:rPr>
          <w:rFonts w:ascii="Verdana" w:hAnsi="Verdana"/>
          <w:sz w:val="16"/>
          <w:szCs w:val="16"/>
        </w:rPr>
        <w:tab/>
      </w:r>
      <w:r w:rsidRPr="00E46F1E">
        <w:rPr>
          <w:rFonts w:ascii="Verdana" w:hAnsi="Verdana"/>
          <w:i/>
          <w:sz w:val="16"/>
          <w:szCs w:val="16"/>
        </w:rPr>
        <w:t>Cfr. Caso Chaparro Álvarez y Lapo Íñiguez Vs. Ecuador. Excepciones Preliminares, Fondo, Reparaciones y Costas</w:t>
      </w:r>
      <w:r w:rsidRPr="00E46F1E">
        <w:rPr>
          <w:rFonts w:ascii="Verdana" w:hAnsi="Verdana"/>
          <w:sz w:val="16"/>
          <w:szCs w:val="16"/>
        </w:rPr>
        <w:t>. Sentencia de 21 de noviembre de 2007. Serie C No. 170, párr.</w:t>
      </w:r>
      <w:r w:rsidRPr="00E46F1E">
        <w:rPr>
          <w:rFonts w:ascii="Verdana" w:hAnsi="Verdana"/>
          <w:sz w:val="16"/>
          <w:szCs w:val="16"/>
          <w:lang w:val="es-CR"/>
        </w:rPr>
        <w:t xml:space="preserve"> 92, y </w:t>
      </w:r>
      <w:r w:rsidRPr="00E46F1E">
        <w:rPr>
          <w:rStyle w:val="Textoennegrita"/>
          <w:rFonts w:ascii="Verdana" w:hAnsi="Verdana"/>
          <w:b w:val="0"/>
          <w:i/>
          <w:color w:val="000000"/>
          <w:sz w:val="16"/>
          <w:szCs w:val="16"/>
        </w:rPr>
        <w:t xml:space="preserve">Caso Romero </w:t>
      </w:r>
      <w:proofErr w:type="spellStart"/>
      <w:r w:rsidRPr="00E46F1E">
        <w:rPr>
          <w:rStyle w:val="Textoennegrita"/>
          <w:rFonts w:ascii="Verdana" w:hAnsi="Verdana"/>
          <w:b w:val="0"/>
          <w:i/>
          <w:color w:val="000000"/>
          <w:sz w:val="16"/>
          <w:szCs w:val="16"/>
        </w:rPr>
        <w:t>Feris</w:t>
      </w:r>
      <w:proofErr w:type="spellEnd"/>
      <w:r w:rsidRPr="00E46F1E">
        <w:rPr>
          <w:rStyle w:val="Textoennegrita"/>
          <w:rFonts w:ascii="Verdana" w:hAnsi="Verdana"/>
          <w:b w:val="0"/>
          <w:i/>
          <w:color w:val="000000"/>
          <w:sz w:val="16"/>
          <w:szCs w:val="16"/>
        </w:rPr>
        <w:t xml:space="preserve"> Vs. Argentina. Fondo, Reparaciones y Costas.</w:t>
      </w:r>
      <w:r w:rsidRPr="00E46F1E">
        <w:rPr>
          <w:rStyle w:val="Textoennegrita"/>
          <w:rFonts w:ascii="Verdana" w:hAnsi="Verdana"/>
          <w:b w:val="0"/>
          <w:color w:val="000000"/>
          <w:sz w:val="16"/>
          <w:szCs w:val="16"/>
        </w:rPr>
        <w:t xml:space="preserve"> Sentencia de 15 de octubre de 2019. Serie C No. 391., párr. 98.</w:t>
      </w:r>
    </w:p>
  </w:footnote>
  <w:footnote w:id="180">
    <w:p w14:paraId="196A6DEF" w14:textId="00EDA057" w:rsidR="00E46F1E" w:rsidRPr="00E46F1E" w:rsidRDefault="00E46F1E" w:rsidP="00C40460">
      <w:pPr>
        <w:pStyle w:val="Textonotapie"/>
        <w:spacing w:after="120"/>
        <w:jc w:val="both"/>
        <w:rPr>
          <w:rFonts w:ascii="Verdana" w:hAnsi="Verdana"/>
          <w:sz w:val="16"/>
          <w:szCs w:val="16"/>
        </w:rPr>
      </w:pPr>
      <w:r w:rsidRPr="00E46F1E">
        <w:rPr>
          <w:rStyle w:val="Refdenotaalpie"/>
          <w:rFonts w:ascii="Verdana" w:hAnsi="Verdana"/>
          <w:sz w:val="16"/>
          <w:szCs w:val="16"/>
        </w:rPr>
        <w:footnoteRef/>
      </w:r>
      <w:r w:rsidRPr="00E46F1E">
        <w:rPr>
          <w:rFonts w:ascii="Verdana" w:hAnsi="Verdana"/>
          <w:sz w:val="16"/>
          <w:szCs w:val="16"/>
        </w:rPr>
        <w:t xml:space="preserve"> </w:t>
      </w:r>
      <w:r w:rsidRPr="00E46F1E">
        <w:rPr>
          <w:rFonts w:ascii="Verdana" w:hAnsi="Verdana"/>
          <w:sz w:val="16"/>
          <w:szCs w:val="16"/>
        </w:rPr>
        <w:tab/>
      </w:r>
      <w:r w:rsidRPr="00E46F1E">
        <w:rPr>
          <w:rFonts w:ascii="Verdana" w:hAnsi="Verdana"/>
          <w:i/>
          <w:sz w:val="16"/>
          <w:szCs w:val="16"/>
        </w:rPr>
        <w:t>Cfr</w:t>
      </w:r>
      <w:r w:rsidRPr="00E46F1E">
        <w:rPr>
          <w:rFonts w:ascii="Verdana" w:hAnsi="Verdana"/>
          <w:sz w:val="16"/>
          <w:szCs w:val="16"/>
        </w:rPr>
        <w:t xml:space="preserve">. </w:t>
      </w:r>
      <w:r w:rsidRPr="00E46F1E">
        <w:rPr>
          <w:rFonts w:ascii="Verdana" w:hAnsi="Verdana"/>
          <w:i/>
          <w:sz w:val="16"/>
          <w:szCs w:val="16"/>
        </w:rPr>
        <w:t xml:space="preserve">Caso Suárez Rosero Vs. Ecuador. Fondo. </w:t>
      </w:r>
      <w:r w:rsidRPr="00E46F1E">
        <w:rPr>
          <w:rFonts w:ascii="Verdana" w:hAnsi="Verdana"/>
          <w:sz w:val="16"/>
          <w:szCs w:val="16"/>
        </w:rPr>
        <w:t>Sentencia de 12 de noviembre de 1997. Serie C No. 35, párr. 77, y</w:t>
      </w:r>
      <w:r w:rsidRPr="00E46F1E">
        <w:rPr>
          <w:rFonts w:ascii="Verdana" w:hAnsi="Verdana"/>
          <w:i/>
          <w:sz w:val="16"/>
          <w:szCs w:val="16"/>
        </w:rPr>
        <w:t xml:space="preserve"> </w:t>
      </w:r>
      <w:r w:rsidRPr="00E46F1E">
        <w:rPr>
          <w:rStyle w:val="Textoennegrita"/>
          <w:rFonts w:ascii="Verdana" w:hAnsi="Verdana"/>
          <w:b w:val="0"/>
          <w:i/>
          <w:color w:val="000000"/>
          <w:sz w:val="16"/>
          <w:szCs w:val="16"/>
        </w:rPr>
        <w:t xml:space="preserve">Caso Romero </w:t>
      </w:r>
      <w:proofErr w:type="spellStart"/>
      <w:r w:rsidRPr="00E46F1E">
        <w:rPr>
          <w:rStyle w:val="Textoennegrita"/>
          <w:rFonts w:ascii="Verdana" w:hAnsi="Verdana"/>
          <w:b w:val="0"/>
          <w:i/>
          <w:color w:val="000000"/>
          <w:sz w:val="16"/>
          <w:szCs w:val="16"/>
        </w:rPr>
        <w:t>Feris</w:t>
      </w:r>
      <w:proofErr w:type="spellEnd"/>
      <w:r w:rsidRPr="00E46F1E">
        <w:rPr>
          <w:rStyle w:val="Textoennegrita"/>
          <w:rFonts w:ascii="Verdana" w:hAnsi="Verdana"/>
          <w:b w:val="0"/>
          <w:i/>
          <w:color w:val="000000"/>
          <w:sz w:val="16"/>
          <w:szCs w:val="16"/>
        </w:rPr>
        <w:t xml:space="preserve"> Vs. Argentina. Fondo, Reparaciones y Costas.</w:t>
      </w:r>
      <w:r w:rsidRPr="00E46F1E">
        <w:rPr>
          <w:rStyle w:val="Textoennegrita"/>
          <w:rFonts w:ascii="Verdana" w:hAnsi="Verdana"/>
          <w:b w:val="0"/>
          <w:color w:val="000000"/>
          <w:sz w:val="16"/>
          <w:szCs w:val="16"/>
        </w:rPr>
        <w:t xml:space="preserve"> Sentencia de 15 de octubre de 2019. Serie C No. 391., párr. 99.</w:t>
      </w:r>
    </w:p>
  </w:footnote>
  <w:footnote w:id="181">
    <w:p w14:paraId="23082B3D" w14:textId="65640461" w:rsidR="00E46F1E" w:rsidRPr="00E46F1E" w:rsidRDefault="00E46F1E" w:rsidP="00C40460">
      <w:pPr>
        <w:pStyle w:val="Textonotapie"/>
        <w:spacing w:after="120"/>
        <w:jc w:val="both"/>
        <w:rPr>
          <w:rFonts w:ascii="Verdana" w:hAnsi="Verdana"/>
          <w:sz w:val="16"/>
          <w:szCs w:val="16"/>
        </w:rPr>
      </w:pPr>
      <w:r w:rsidRPr="00E46F1E">
        <w:rPr>
          <w:rStyle w:val="Refdenotaalpie"/>
          <w:rFonts w:ascii="Verdana" w:hAnsi="Verdana"/>
          <w:sz w:val="16"/>
          <w:szCs w:val="16"/>
        </w:rPr>
        <w:footnoteRef/>
      </w:r>
      <w:r w:rsidRPr="00E46F1E">
        <w:rPr>
          <w:rFonts w:ascii="Verdana" w:hAnsi="Verdana"/>
          <w:sz w:val="16"/>
          <w:szCs w:val="16"/>
        </w:rPr>
        <w:t xml:space="preserve"> </w:t>
      </w:r>
      <w:r w:rsidRPr="00E46F1E">
        <w:rPr>
          <w:rFonts w:ascii="Verdana" w:hAnsi="Verdana"/>
          <w:sz w:val="16"/>
          <w:szCs w:val="16"/>
        </w:rPr>
        <w:tab/>
      </w:r>
      <w:r w:rsidRPr="00E46F1E">
        <w:rPr>
          <w:rFonts w:ascii="Verdana" w:hAnsi="Verdana"/>
          <w:i/>
          <w:sz w:val="16"/>
          <w:szCs w:val="16"/>
        </w:rPr>
        <w:t xml:space="preserve">Cfr. </w:t>
      </w:r>
      <w:r w:rsidRPr="00E46F1E">
        <w:rPr>
          <w:rStyle w:val="Textoennegrita"/>
          <w:rFonts w:ascii="Verdana" w:hAnsi="Verdana"/>
          <w:b w:val="0"/>
          <w:i/>
          <w:color w:val="000000"/>
          <w:sz w:val="16"/>
          <w:szCs w:val="16"/>
        </w:rPr>
        <w:t xml:space="preserve">Caso </w:t>
      </w:r>
      <w:proofErr w:type="spellStart"/>
      <w:r w:rsidRPr="00E46F1E">
        <w:rPr>
          <w:rStyle w:val="Textoennegrita"/>
          <w:rFonts w:ascii="Verdana" w:hAnsi="Verdana"/>
          <w:b w:val="0"/>
          <w:i/>
          <w:color w:val="000000"/>
          <w:sz w:val="16"/>
          <w:szCs w:val="16"/>
        </w:rPr>
        <w:t>Amrhein</w:t>
      </w:r>
      <w:proofErr w:type="spellEnd"/>
      <w:r w:rsidRPr="00E46F1E">
        <w:rPr>
          <w:rStyle w:val="Textoennegrita"/>
          <w:rFonts w:ascii="Verdana" w:hAnsi="Verdana"/>
          <w:b w:val="0"/>
          <w:i/>
          <w:color w:val="000000"/>
          <w:sz w:val="16"/>
          <w:szCs w:val="16"/>
        </w:rPr>
        <w:t xml:space="preserve"> y otros Vs. Costa Rica. Excepciones Preliminares, Fondo, Reparaciones y Costas.</w:t>
      </w:r>
      <w:r w:rsidRPr="00E46F1E">
        <w:rPr>
          <w:rStyle w:val="Textoennegrita"/>
          <w:rFonts w:ascii="Verdana" w:hAnsi="Verdana"/>
          <w:b w:val="0"/>
          <w:color w:val="000000"/>
          <w:sz w:val="16"/>
          <w:szCs w:val="16"/>
        </w:rPr>
        <w:t xml:space="preserve"> Sentencia de 25 de abril de 2018. Serie C No. 354.</w:t>
      </w:r>
      <w:r w:rsidRPr="00E46F1E">
        <w:rPr>
          <w:rFonts w:ascii="Verdana" w:hAnsi="Verdana"/>
          <w:sz w:val="16"/>
          <w:szCs w:val="16"/>
        </w:rPr>
        <w:t xml:space="preserve">, párr. 357, y </w:t>
      </w:r>
      <w:r w:rsidRPr="00E46F1E">
        <w:rPr>
          <w:rStyle w:val="Textoennegrita"/>
          <w:rFonts w:ascii="Verdana" w:hAnsi="Verdana"/>
          <w:b w:val="0"/>
          <w:i/>
          <w:color w:val="000000"/>
          <w:sz w:val="16"/>
          <w:szCs w:val="16"/>
        </w:rPr>
        <w:t xml:space="preserve">Caso Romero </w:t>
      </w:r>
      <w:proofErr w:type="spellStart"/>
      <w:r w:rsidRPr="00E46F1E">
        <w:rPr>
          <w:rStyle w:val="Textoennegrita"/>
          <w:rFonts w:ascii="Verdana" w:hAnsi="Verdana"/>
          <w:b w:val="0"/>
          <w:i/>
          <w:color w:val="000000"/>
          <w:sz w:val="16"/>
          <w:szCs w:val="16"/>
        </w:rPr>
        <w:t>Feris</w:t>
      </w:r>
      <w:proofErr w:type="spellEnd"/>
      <w:r w:rsidRPr="00E46F1E">
        <w:rPr>
          <w:rStyle w:val="Textoennegrita"/>
          <w:rFonts w:ascii="Verdana" w:hAnsi="Verdana"/>
          <w:b w:val="0"/>
          <w:i/>
          <w:color w:val="000000"/>
          <w:sz w:val="16"/>
          <w:szCs w:val="16"/>
        </w:rPr>
        <w:t xml:space="preserve"> Vs. Argentina. Fondo, Reparaciones y Costas.</w:t>
      </w:r>
      <w:r w:rsidRPr="00E46F1E">
        <w:rPr>
          <w:rStyle w:val="Textoennegrita"/>
          <w:rFonts w:ascii="Verdana" w:hAnsi="Verdana"/>
          <w:b w:val="0"/>
          <w:color w:val="000000"/>
          <w:sz w:val="16"/>
          <w:szCs w:val="16"/>
        </w:rPr>
        <w:t xml:space="preserve"> Sentencia de 15 de octubre de 2019. Serie C No. 391., párr. 99.</w:t>
      </w:r>
    </w:p>
  </w:footnote>
  <w:footnote w:id="182">
    <w:p w14:paraId="0B6F8C98" w14:textId="5853095E" w:rsidR="00E46F1E" w:rsidRPr="00E46F1E" w:rsidRDefault="00E46F1E" w:rsidP="00C40460">
      <w:pPr>
        <w:pStyle w:val="Textonotapie"/>
        <w:spacing w:after="120"/>
        <w:jc w:val="both"/>
        <w:rPr>
          <w:rFonts w:ascii="Verdana" w:hAnsi="Verdana"/>
          <w:sz w:val="16"/>
          <w:szCs w:val="16"/>
        </w:rPr>
      </w:pPr>
      <w:r w:rsidRPr="00E46F1E">
        <w:rPr>
          <w:rStyle w:val="Refdenotaalpie"/>
          <w:rFonts w:ascii="Verdana" w:hAnsi="Verdana"/>
          <w:sz w:val="16"/>
          <w:szCs w:val="16"/>
        </w:rPr>
        <w:footnoteRef/>
      </w:r>
      <w:r w:rsidRPr="00E46F1E">
        <w:rPr>
          <w:rFonts w:ascii="Verdana" w:hAnsi="Verdana"/>
          <w:sz w:val="16"/>
          <w:szCs w:val="16"/>
          <w:vertAlign w:val="superscript"/>
        </w:rPr>
        <w:t xml:space="preserve"> </w:t>
      </w:r>
      <w:r w:rsidRPr="00E46F1E">
        <w:rPr>
          <w:rFonts w:ascii="Verdana" w:hAnsi="Verdana"/>
          <w:sz w:val="16"/>
          <w:szCs w:val="16"/>
        </w:rPr>
        <w:tab/>
      </w:r>
      <w:r w:rsidRPr="00E46F1E">
        <w:rPr>
          <w:rFonts w:ascii="Verdana" w:hAnsi="Verdana"/>
          <w:i/>
          <w:sz w:val="16"/>
          <w:szCs w:val="16"/>
        </w:rPr>
        <w:t xml:space="preserve">Cfr. </w:t>
      </w:r>
      <w:r w:rsidRPr="00E46F1E">
        <w:rPr>
          <w:rStyle w:val="Textoennegrita"/>
          <w:rFonts w:ascii="Verdana" w:hAnsi="Verdana"/>
          <w:b w:val="0"/>
          <w:i/>
          <w:color w:val="000000"/>
          <w:sz w:val="16"/>
          <w:szCs w:val="16"/>
        </w:rPr>
        <w:t xml:space="preserve">Caso </w:t>
      </w:r>
      <w:proofErr w:type="spellStart"/>
      <w:r w:rsidRPr="00E46F1E">
        <w:rPr>
          <w:rStyle w:val="Textoennegrita"/>
          <w:rFonts w:ascii="Verdana" w:hAnsi="Verdana"/>
          <w:b w:val="0"/>
          <w:i/>
          <w:color w:val="000000"/>
          <w:sz w:val="16"/>
          <w:szCs w:val="16"/>
        </w:rPr>
        <w:t>Amrhein</w:t>
      </w:r>
      <w:proofErr w:type="spellEnd"/>
      <w:r w:rsidRPr="00E46F1E">
        <w:rPr>
          <w:rStyle w:val="Textoennegrita"/>
          <w:rFonts w:ascii="Verdana" w:hAnsi="Verdana"/>
          <w:b w:val="0"/>
          <w:i/>
          <w:color w:val="000000"/>
          <w:sz w:val="16"/>
          <w:szCs w:val="16"/>
        </w:rPr>
        <w:t xml:space="preserve"> y otros Vs. Costa Rica. Excepciones Preliminares, Fondo, Reparaciones y Costas.</w:t>
      </w:r>
      <w:r w:rsidRPr="00E46F1E">
        <w:rPr>
          <w:rStyle w:val="Textoennegrita"/>
          <w:rFonts w:ascii="Verdana" w:hAnsi="Verdana"/>
          <w:b w:val="0"/>
          <w:color w:val="000000"/>
          <w:sz w:val="16"/>
          <w:szCs w:val="16"/>
        </w:rPr>
        <w:t xml:space="preserve"> Sentencia de 25 de abril de 2018. Serie C No. 354.</w:t>
      </w:r>
      <w:r w:rsidRPr="00E46F1E">
        <w:rPr>
          <w:rFonts w:ascii="Verdana" w:hAnsi="Verdana"/>
          <w:sz w:val="16"/>
          <w:szCs w:val="16"/>
        </w:rPr>
        <w:t xml:space="preserve">, párr. 357, y </w:t>
      </w:r>
      <w:r w:rsidRPr="00E46F1E">
        <w:rPr>
          <w:rStyle w:val="Textoennegrita"/>
          <w:rFonts w:ascii="Verdana" w:hAnsi="Verdana"/>
          <w:b w:val="0"/>
          <w:i/>
          <w:color w:val="000000"/>
          <w:sz w:val="16"/>
          <w:szCs w:val="16"/>
        </w:rPr>
        <w:t xml:space="preserve">Caso Romero </w:t>
      </w:r>
      <w:proofErr w:type="spellStart"/>
      <w:r w:rsidRPr="00E46F1E">
        <w:rPr>
          <w:rStyle w:val="Textoennegrita"/>
          <w:rFonts w:ascii="Verdana" w:hAnsi="Verdana"/>
          <w:b w:val="0"/>
          <w:i/>
          <w:color w:val="000000"/>
          <w:sz w:val="16"/>
          <w:szCs w:val="16"/>
        </w:rPr>
        <w:t>Feris</w:t>
      </w:r>
      <w:proofErr w:type="spellEnd"/>
      <w:r w:rsidRPr="00E46F1E">
        <w:rPr>
          <w:rStyle w:val="Textoennegrita"/>
          <w:rFonts w:ascii="Verdana" w:hAnsi="Verdana"/>
          <w:b w:val="0"/>
          <w:i/>
          <w:color w:val="000000"/>
          <w:sz w:val="16"/>
          <w:szCs w:val="16"/>
        </w:rPr>
        <w:t xml:space="preserve"> Vs. Argentina. Fondo, Reparaciones y Costas.</w:t>
      </w:r>
      <w:r w:rsidRPr="00E46F1E">
        <w:rPr>
          <w:rStyle w:val="Textoennegrita"/>
          <w:rFonts w:ascii="Verdana" w:hAnsi="Verdana"/>
          <w:b w:val="0"/>
          <w:color w:val="000000"/>
          <w:sz w:val="16"/>
          <w:szCs w:val="16"/>
        </w:rPr>
        <w:t xml:space="preserve"> Sentencia de 15 de octubre de 2019. Serie C No. 391., párr. 101.</w:t>
      </w:r>
    </w:p>
  </w:footnote>
  <w:footnote w:id="183">
    <w:p w14:paraId="517156FE" w14:textId="4C893448" w:rsidR="00E46F1E" w:rsidRPr="00E46F1E" w:rsidRDefault="00E46F1E" w:rsidP="00C40460">
      <w:pPr>
        <w:pStyle w:val="Textonotapie"/>
        <w:spacing w:after="120"/>
        <w:jc w:val="both"/>
        <w:rPr>
          <w:rFonts w:ascii="Verdana" w:hAnsi="Verdana"/>
          <w:sz w:val="16"/>
          <w:szCs w:val="16"/>
        </w:rPr>
      </w:pPr>
      <w:r w:rsidRPr="00E46F1E">
        <w:rPr>
          <w:rStyle w:val="Refdenotaalpie"/>
          <w:rFonts w:ascii="Verdana" w:hAnsi="Verdana"/>
          <w:sz w:val="16"/>
          <w:szCs w:val="16"/>
        </w:rPr>
        <w:footnoteRef/>
      </w:r>
      <w:r w:rsidRPr="00E46F1E">
        <w:rPr>
          <w:rFonts w:ascii="Verdana" w:hAnsi="Verdana"/>
          <w:sz w:val="16"/>
          <w:szCs w:val="16"/>
        </w:rPr>
        <w:t xml:space="preserve"> </w:t>
      </w:r>
      <w:r w:rsidRPr="00E46F1E">
        <w:rPr>
          <w:rFonts w:ascii="Verdana" w:hAnsi="Verdana"/>
          <w:sz w:val="16"/>
          <w:szCs w:val="16"/>
        </w:rPr>
        <w:tab/>
      </w:r>
      <w:r w:rsidRPr="00E46F1E">
        <w:rPr>
          <w:rFonts w:ascii="Verdana" w:hAnsi="Verdana"/>
          <w:i/>
          <w:sz w:val="16"/>
          <w:szCs w:val="16"/>
        </w:rPr>
        <w:t xml:space="preserve">Cfr. </w:t>
      </w:r>
      <w:r w:rsidRPr="00E46F1E">
        <w:rPr>
          <w:rStyle w:val="Textoennegrita"/>
          <w:rFonts w:ascii="Verdana" w:hAnsi="Verdana"/>
          <w:b w:val="0"/>
          <w:i/>
          <w:color w:val="000000"/>
          <w:sz w:val="16"/>
          <w:szCs w:val="16"/>
        </w:rPr>
        <w:t xml:space="preserve">Caso Romero </w:t>
      </w:r>
      <w:proofErr w:type="spellStart"/>
      <w:r w:rsidRPr="00E46F1E">
        <w:rPr>
          <w:rStyle w:val="Textoennegrita"/>
          <w:rFonts w:ascii="Verdana" w:hAnsi="Verdana"/>
          <w:b w:val="0"/>
          <w:i/>
          <w:color w:val="000000"/>
          <w:sz w:val="16"/>
          <w:szCs w:val="16"/>
        </w:rPr>
        <w:t>Feris</w:t>
      </w:r>
      <w:proofErr w:type="spellEnd"/>
      <w:r w:rsidRPr="00E46F1E">
        <w:rPr>
          <w:rStyle w:val="Textoennegrita"/>
          <w:rFonts w:ascii="Verdana" w:hAnsi="Verdana"/>
          <w:b w:val="0"/>
          <w:i/>
          <w:color w:val="000000"/>
          <w:sz w:val="16"/>
          <w:szCs w:val="16"/>
        </w:rPr>
        <w:t xml:space="preserve"> Vs. Argentina. Fondo, Reparaciones y Costas.</w:t>
      </w:r>
      <w:r w:rsidRPr="00E46F1E">
        <w:rPr>
          <w:rStyle w:val="Textoennegrita"/>
          <w:rFonts w:ascii="Verdana" w:hAnsi="Verdana"/>
          <w:b w:val="0"/>
          <w:color w:val="000000"/>
          <w:sz w:val="16"/>
          <w:szCs w:val="16"/>
        </w:rPr>
        <w:t xml:space="preserve"> Sentencia de 15 de octubre de 2019. Serie C No. 391., párr. 101, y </w:t>
      </w:r>
      <w:r w:rsidRPr="00E46F1E">
        <w:rPr>
          <w:rFonts w:ascii="Verdana" w:hAnsi="Verdana"/>
          <w:sz w:val="16"/>
          <w:szCs w:val="16"/>
        </w:rPr>
        <w:t xml:space="preserve">TEDH. Caso </w:t>
      </w:r>
      <w:proofErr w:type="spellStart"/>
      <w:r w:rsidRPr="00E46F1E">
        <w:rPr>
          <w:rFonts w:ascii="Verdana" w:hAnsi="Verdana"/>
          <w:sz w:val="16"/>
          <w:szCs w:val="16"/>
        </w:rPr>
        <w:t>Ilijkov</w:t>
      </w:r>
      <w:proofErr w:type="spellEnd"/>
      <w:r w:rsidRPr="00E46F1E">
        <w:rPr>
          <w:rFonts w:ascii="Verdana" w:hAnsi="Verdana"/>
          <w:sz w:val="16"/>
          <w:szCs w:val="16"/>
        </w:rPr>
        <w:t xml:space="preserve"> Vs. Bulgaria, Sentencia de 26 de julio de 2001, aplicación </w:t>
      </w:r>
      <w:proofErr w:type="spellStart"/>
      <w:r w:rsidRPr="00E46F1E">
        <w:rPr>
          <w:rFonts w:ascii="Verdana" w:hAnsi="Verdana"/>
          <w:sz w:val="16"/>
          <w:szCs w:val="16"/>
        </w:rPr>
        <w:t>N°</w:t>
      </w:r>
      <w:proofErr w:type="spellEnd"/>
      <w:r w:rsidRPr="00E46F1E">
        <w:rPr>
          <w:rFonts w:ascii="Verdana" w:hAnsi="Verdana"/>
          <w:sz w:val="16"/>
          <w:szCs w:val="16"/>
        </w:rPr>
        <w:t xml:space="preserve"> 33977/96, párr. 85</w:t>
      </w:r>
    </w:p>
  </w:footnote>
  <w:footnote w:id="184">
    <w:p w14:paraId="04233BD3" w14:textId="0FE01A39" w:rsidR="00E46F1E" w:rsidRPr="001067EF" w:rsidRDefault="00E46F1E" w:rsidP="00C40460">
      <w:pPr>
        <w:pStyle w:val="Textonotapie"/>
        <w:spacing w:after="120"/>
        <w:jc w:val="both"/>
        <w:rPr>
          <w:rFonts w:ascii="Verdana" w:hAnsi="Verdana"/>
          <w:sz w:val="16"/>
          <w:szCs w:val="16"/>
        </w:rPr>
      </w:pPr>
      <w:r w:rsidRPr="00E46F1E">
        <w:rPr>
          <w:rStyle w:val="Refdenotaalpie"/>
          <w:rFonts w:ascii="Verdana" w:hAnsi="Verdana"/>
          <w:sz w:val="16"/>
          <w:szCs w:val="16"/>
        </w:rPr>
        <w:footnoteRef/>
      </w:r>
      <w:r w:rsidRPr="00E46F1E">
        <w:rPr>
          <w:rFonts w:ascii="Verdana" w:hAnsi="Verdana"/>
          <w:sz w:val="16"/>
          <w:szCs w:val="16"/>
        </w:rPr>
        <w:t xml:space="preserve"> </w:t>
      </w:r>
      <w:r w:rsidRPr="00E46F1E">
        <w:rPr>
          <w:rFonts w:ascii="Verdana" w:hAnsi="Verdana"/>
          <w:sz w:val="16"/>
          <w:szCs w:val="16"/>
        </w:rPr>
        <w:tab/>
      </w:r>
      <w:r w:rsidRPr="00E46F1E">
        <w:rPr>
          <w:rFonts w:ascii="Verdana" w:hAnsi="Verdana"/>
          <w:i/>
          <w:sz w:val="16"/>
          <w:szCs w:val="16"/>
        </w:rPr>
        <w:t xml:space="preserve">Cfr. Caso Bayarri Vs. Argentina. Excepción Preliminar, Fondo, Reparaciones y Costas. </w:t>
      </w:r>
      <w:r w:rsidRPr="00E46F1E">
        <w:rPr>
          <w:rFonts w:ascii="Verdana" w:hAnsi="Verdana"/>
          <w:sz w:val="16"/>
          <w:szCs w:val="16"/>
        </w:rPr>
        <w:t>Sentencia de 30 de octubre de 2008. Serie C No. 187</w:t>
      </w:r>
      <w:r w:rsidRPr="00E46F1E">
        <w:rPr>
          <w:rFonts w:ascii="Verdana" w:hAnsi="Verdana" w:cs="Calibri"/>
          <w:sz w:val="16"/>
          <w:szCs w:val="16"/>
        </w:rPr>
        <w:t xml:space="preserve">, párr. 74, y </w:t>
      </w:r>
      <w:r w:rsidRPr="00E46F1E">
        <w:rPr>
          <w:rStyle w:val="Textoennegrita"/>
          <w:rFonts w:ascii="Verdana" w:hAnsi="Verdana"/>
          <w:b w:val="0"/>
          <w:i/>
          <w:color w:val="000000"/>
          <w:sz w:val="16"/>
          <w:szCs w:val="16"/>
        </w:rPr>
        <w:t xml:space="preserve">Caso Romero </w:t>
      </w:r>
      <w:proofErr w:type="spellStart"/>
      <w:r w:rsidRPr="00E46F1E">
        <w:rPr>
          <w:rStyle w:val="Textoennegrita"/>
          <w:rFonts w:ascii="Verdana" w:hAnsi="Verdana"/>
          <w:b w:val="0"/>
          <w:i/>
          <w:color w:val="000000"/>
          <w:sz w:val="16"/>
          <w:szCs w:val="16"/>
        </w:rPr>
        <w:t>Feris</w:t>
      </w:r>
      <w:proofErr w:type="spellEnd"/>
      <w:r w:rsidRPr="00E46F1E">
        <w:rPr>
          <w:rStyle w:val="Textoennegrita"/>
          <w:rFonts w:ascii="Verdana" w:hAnsi="Verdana"/>
          <w:b w:val="0"/>
          <w:i/>
          <w:color w:val="000000"/>
          <w:sz w:val="16"/>
          <w:szCs w:val="16"/>
        </w:rPr>
        <w:t xml:space="preserve"> Vs. Argentina. Fondo, Reparaciones y Costas.</w:t>
      </w:r>
      <w:r w:rsidRPr="00E46F1E">
        <w:rPr>
          <w:rStyle w:val="Textoennegrita"/>
          <w:rFonts w:ascii="Verdana" w:hAnsi="Verdana"/>
          <w:b w:val="0"/>
          <w:color w:val="000000"/>
          <w:sz w:val="16"/>
          <w:szCs w:val="16"/>
        </w:rPr>
        <w:t xml:space="preserve"> Sentencia de 15 de octubre de 2019. Serie C No. 391., párr. 101.</w:t>
      </w:r>
    </w:p>
  </w:footnote>
  <w:footnote w:id="185">
    <w:p w14:paraId="56F41FCA" w14:textId="14C10759" w:rsidR="00E46F1E" w:rsidRPr="001067EF" w:rsidRDefault="00E46F1E" w:rsidP="00E46F1E">
      <w:pPr>
        <w:pStyle w:val="Textonotapie"/>
        <w:widowControl w:val="0"/>
        <w:spacing w:after="120"/>
        <w:jc w:val="both"/>
        <w:rPr>
          <w:rFonts w:ascii="Verdana" w:hAnsi="Verdana"/>
          <w:sz w:val="16"/>
          <w:szCs w:val="16"/>
          <w:lang w:val="es-CR"/>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t>Resolución del Juzgado en lo Criminal No. 4 de Lomas de Zamora de 14 de febrero de 1989 (expediente de fondo, folios 169 a 174 y prueba para mejor resolver, folios 427 a 432).</w:t>
      </w:r>
    </w:p>
  </w:footnote>
  <w:footnote w:id="186">
    <w:p w14:paraId="6E74660A" w14:textId="50BD9DCE" w:rsidR="00E46F1E" w:rsidRPr="001067EF" w:rsidRDefault="00E46F1E" w:rsidP="00E46F1E">
      <w:pPr>
        <w:widowControl w:val="0"/>
        <w:spacing w:after="120" w:line="240" w:lineRule="auto"/>
        <w:jc w:val="both"/>
        <w:rPr>
          <w:rFonts w:ascii="Verdana" w:eastAsia="Times New Roman" w:hAnsi="Verdana" w:cs="Arial"/>
          <w:color w:val="222222"/>
          <w:sz w:val="16"/>
          <w:szCs w:val="16"/>
          <w:lang w:eastAsia="es-MX"/>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Cfr.</w:t>
      </w:r>
      <w:r w:rsidRPr="001067EF">
        <w:rPr>
          <w:rFonts w:ascii="Verdana" w:hAnsi="Verdana"/>
          <w:sz w:val="16"/>
          <w:szCs w:val="16"/>
        </w:rPr>
        <w:t xml:space="preserve"> Argentina. Código de Procedimientos Penales de la Provincia de Buenos Aires, Ley 3.589 de </w:t>
      </w:r>
      <w:r w:rsidRPr="001067EF">
        <w:rPr>
          <w:rFonts w:ascii="Verdana" w:eastAsia="Times New Roman" w:hAnsi="Verdana" w:cs="Arial"/>
          <w:color w:val="222222"/>
          <w:sz w:val="16"/>
          <w:szCs w:val="16"/>
          <w:lang w:eastAsia="es-MX"/>
        </w:rPr>
        <w:t xml:space="preserve">6 de </w:t>
      </w:r>
      <w:proofErr w:type="gramStart"/>
      <w:r w:rsidRPr="001067EF">
        <w:rPr>
          <w:rFonts w:ascii="Verdana" w:eastAsia="Times New Roman" w:hAnsi="Verdana" w:cs="Arial"/>
          <w:color w:val="222222"/>
          <w:sz w:val="16"/>
          <w:szCs w:val="16"/>
          <w:lang w:eastAsia="es-MX"/>
        </w:rPr>
        <w:t>Marzo</w:t>
      </w:r>
      <w:proofErr w:type="gramEnd"/>
      <w:r w:rsidRPr="001067EF">
        <w:rPr>
          <w:rFonts w:ascii="Verdana" w:eastAsia="Times New Roman" w:hAnsi="Verdana" w:cs="Arial"/>
          <w:color w:val="222222"/>
          <w:sz w:val="16"/>
          <w:szCs w:val="16"/>
          <w:lang w:eastAsia="es-MX"/>
        </w:rPr>
        <w:t xml:space="preserve"> de 1986. Boletín Oficial 18 de </w:t>
      </w:r>
      <w:proofErr w:type="gramStart"/>
      <w:r w:rsidRPr="001067EF">
        <w:rPr>
          <w:rFonts w:ascii="Verdana" w:eastAsia="Times New Roman" w:hAnsi="Verdana" w:cs="Arial"/>
          <w:color w:val="222222"/>
          <w:sz w:val="16"/>
          <w:szCs w:val="16"/>
          <w:lang w:eastAsia="es-MX"/>
        </w:rPr>
        <w:t>Abril</w:t>
      </w:r>
      <w:proofErr w:type="gramEnd"/>
      <w:r w:rsidRPr="001067EF">
        <w:rPr>
          <w:rFonts w:ascii="Verdana" w:eastAsia="Times New Roman" w:hAnsi="Verdana" w:cs="Arial"/>
          <w:color w:val="222222"/>
          <w:sz w:val="16"/>
          <w:szCs w:val="16"/>
          <w:lang w:eastAsia="es-MX"/>
        </w:rPr>
        <w:t xml:space="preserve"> de 1986</w:t>
      </w:r>
    </w:p>
  </w:footnote>
  <w:footnote w:id="187">
    <w:p w14:paraId="027B8FCA" w14:textId="09574B23" w:rsidR="00E46F1E" w:rsidRPr="001067EF" w:rsidRDefault="00E46F1E" w:rsidP="00C40460">
      <w:pPr>
        <w:pStyle w:val="Textonotapie"/>
        <w:widowControl w:val="0"/>
        <w:tabs>
          <w:tab w:val="left" w:pos="426"/>
        </w:tabs>
        <w:spacing w:after="120"/>
        <w:jc w:val="both"/>
        <w:rPr>
          <w:rFonts w:ascii="Verdana" w:hAnsi="Verdana"/>
          <w:sz w:val="16"/>
          <w:szCs w:val="16"/>
          <w:lang w:val="es-AR"/>
        </w:rPr>
      </w:pPr>
      <w:r w:rsidRPr="001067EF">
        <w:rPr>
          <w:rStyle w:val="Refdenotaalpie"/>
          <w:rFonts w:ascii="Verdana" w:hAnsi="Verdana"/>
          <w:sz w:val="16"/>
          <w:szCs w:val="16"/>
        </w:rPr>
        <w:footnoteRef/>
      </w:r>
      <w:r w:rsidRPr="001067EF">
        <w:rPr>
          <w:rFonts w:ascii="Verdana" w:hAnsi="Verdana"/>
          <w:sz w:val="16"/>
          <w:szCs w:val="16"/>
          <w:lang w:val="es-AR"/>
        </w:rPr>
        <w:t xml:space="preserve"> </w:t>
      </w:r>
      <w:r w:rsidRPr="001067EF">
        <w:rPr>
          <w:rFonts w:ascii="Verdana" w:hAnsi="Verdana"/>
          <w:sz w:val="16"/>
          <w:szCs w:val="16"/>
          <w:lang w:val="es-AR"/>
        </w:rPr>
        <w:tab/>
      </w:r>
      <w:r w:rsidRPr="001067EF">
        <w:rPr>
          <w:rFonts w:ascii="Verdana" w:hAnsi="Verdana"/>
          <w:sz w:val="16"/>
          <w:szCs w:val="16"/>
          <w:lang w:val="es-AR"/>
        </w:rPr>
        <w:tab/>
      </w:r>
      <w:r w:rsidRPr="001067EF">
        <w:rPr>
          <w:rFonts w:ascii="Verdana" w:hAnsi="Verdana"/>
          <w:i/>
          <w:sz w:val="16"/>
          <w:szCs w:val="16"/>
          <w:lang w:val="es-ES"/>
        </w:rPr>
        <w:t>Cfr. Caso Servellón García</w:t>
      </w:r>
      <w:r w:rsidRPr="001067EF">
        <w:rPr>
          <w:rFonts w:ascii="Verdana" w:hAnsi="Verdana"/>
          <w:sz w:val="16"/>
          <w:szCs w:val="16"/>
          <w:lang w:val="es-ES"/>
        </w:rPr>
        <w:t xml:space="preserve">. Sentencia de 21 de septiembre de 2006. Serie C No. 152, </w:t>
      </w:r>
      <w:r w:rsidRPr="00E46F1E">
        <w:rPr>
          <w:rFonts w:ascii="Verdana" w:hAnsi="Verdana"/>
          <w:sz w:val="16"/>
          <w:szCs w:val="16"/>
          <w:lang w:val="es-ES"/>
        </w:rPr>
        <w:t xml:space="preserve">párr. 90, y </w:t>
      </w:r>
      <w:r w:rsidRPr="00E46F1E">
        <w:rPr>
          <w:rStyle w:val="Textoennegrita"/>
          <w:rFonts w:ascii="Verdana" w:hAnsi="Verdana"/>
          <w:b w:val="0"/>
          <w:i/>
          <w:color w:val="000000"/>
          <w:sz w:val="16"/>
          <w:szCs w:val="16"/>
        </w:rPr>
        <w:t xml:space="preserve">Caso Romero </w:t>
      </w:r>
      <w:proofErr w:type="spellStart"/>
      <w:r w:rsidRPr="00E46F1E">
        <w:rPr>
          <w:rStyle w:val="Textoennegrita"/>
          <w:rFonts w:ascii="Verdana" w:hAnsi="Verdana"/>
          <w:b w:val="0"/>
          <w:i/>
          <w:color w:val="000000"/>
          <w:sz w:val="16"/>
          <w:szCs w:val="16"/>
        </w:rPr>
        <w:t>Feris</w:t>
      </w:r>
      <w:proofErr w:type="spellEnd"/>
      <w:r w:rsidRPr="00E46F1E">
        <w:rPr>
          <w:rStyle w:val="Textoennegrita"/>
          <w:rFonts w:ascii="Verdana" w:hAnsi="Verdana"/>
          <w:b w:val="0"/>
          <w:i/>
          <w:color w:val="000000"/>
          <w:sz w:val="16"/>
          <w:szCs w:val="16"/>
        </w:rPr>
        <w:t xml:space="preserve"> Vs. Argentina. Fondo, Reparaciones y Costas.</w:t>
      </w:r>
      <w:r w:rsidRPr="00E46F1E">
        <w:rPr>
          <w:rStyle w:val="Textoennegrita"/>
          <w:rFonts w:ascii="Verdana" w:hAnsi="Verdana"/>
          <w:b w:val="0"/>
          <w:color w:val="000000"/>
          <w:sz w:val="16"/>
          <w:szCs w:val="16"/>
        </w:rPr>
        <w:t xml:space="preserve"> Sentencia de 15 de octubre de 2019. Serie C No. 391., párr. 99.</w:t>
      </w:r>
    </w:p>
  </w:footnote>
  <w:footnote w:id="188">
    <w:p w14:paraId="5947D920" w14:textId="5A7BD34B" w:rsidR="00E46F1E" w:rsidRPr="001067EF" w:rsidRDefault="00E46F1E" w:rsidP="00C40460">
      <w:pPr>
        <w:pStyle w:val="Textonotapie"/>
        <w:widowControl w:val="0"/>
        <w:tabs>
          <w:tab w:val="left" w:pos="426"/>
        </w:tabs>
        <w:spacing w:after="120"/>
        <w:jc w:val="both"/>
        <w:rPr>
          <w:rFonts w:ascii="Verdana" w:hAnsi="Verdana"/>
          <w:sz w:val="16"/>
          <w:szCs w:val="16"/>
          <w:lang w:val="es-AR"/>
        </w:rPr>
      </w:pPr>
      <w:r w:rsidRPr="001067EF">
        <w:rPr>
          <w:rStyle w:val="Refdenotaalpie"/>
          <w:rFonts w:ascii="Verdana" w:hAnsi="Verdana"/>
          <w:sz w:val="16"/>
          <w:szCs w:val="16"/>
        </w:rPr>
        <w:footnoteRef/>
      </w:r>
      <w:r w:rsidRPr="001067EF">
        <w:rPr>
          <w:rFonts w:ascii="Verdana" w:hAnsi="Verdana"/>
          <w:sz w:val="16"/>
          <w:szCs w:val="16"/>
          <w:lang w:val="es-AR"/>
        </w:rPr>
        <w:t xml:space="preserve"> </w:t>
      </w:r>
      <w:r w:rsidRPr="001067EF">
        <w:rPr>
          <w:rFonts w:ascii="Verdana" w:hAnsi="Verdana"/>
          <w:sz w:val="16"/>
          <w:szCs w:val="16"/>
          <w:lang w:val="es-AR"/>
        </w:rPr>
        <w:tab/>
      </w:r>
      <w:r w:rsidRPr="001067EF">
        <w:rPr>
          <w:rFonts w:ascii="Verdana" w:hAnsi="Verdana"/>
          <w:sz w:val="16"/>
          <w:szCs w:val="16"/>
          <w:lang w:val="es-AR"/>
        </w:rPr>
        <w:tab/>
      </w:r>
      <w:r w:rsidRPr="001067EF">
        <w:rPr>
          <w:rFonts w:ascii="Verdana" w:hAnsi="Verdana"/>
          <w:i/>
          <w:sz w:val="16"/>
          <w:szCs w:val="16"/>
          <w:lang w:val="es-ES"/>
        </w:rPr>
        <w:t>Cfr. Caso Barreto Leiva Vs. Venezuela. Fondo, Reparaciones y Costas.</w:t>
      </w:r>
      <w:r w:rsidRPr="001067EF">
        <w:rPr>
          <w:rFonts w:ascii="Verdana" w:hAnsi="Verdana"/>
          <w:sz w:val="16"/>
          <w:szCs w:val="16"/>
          <w:lang w:val="es-ES"/>
        </w:rPr>
        <w:t xml:space="preserve"> Sentencia de 17 de noviembre de 2009. Serie C No. 206, párr. 115, y </w:t>
      </w:r>
      <w:r w:rsidRPr="00E46F1E">
        <w:rPr>
          <w:rStyle w:val="Textoennegrita"/>
          <w:rFonts w:ascii="Verdana" w:hAnsi="Verdana"/>
          <w:b w:val="0"/>
          <w:i/>
          <w:color w:val="000000"/>
          <w:sz w:val="16"/>
          <w:szCs w:val="16"/>
        </w:rPr>
        <w:t xml:space="preserve">Caso Romero </w:t>
      </w:r>
      <w:proofErr w:type="spellStart"/>
      <w:r w:rsidRPr="00E46F1E">
        <w:rPr>
          <w:rStyle w:val="Textoennegrita"/>
          <w:rFonts w:ascii="Verdana" w:hAnsi="Verdana"/>
          <w:b w:val="0"/>
          <w:i/>
          <w:color w:val="000000"/>
          <w:sz w:val="16"/>
          <w:szCs w:val="16"/>
        </w:rPr>
        <w:t>Feris</w:t>
      </w:r>
      <w:proofErr w:type="spellEnd"/>
      <w:r w:rsidRPr="00E46F1E">
        <w:rPr>
          <w:rStyle w:val="Textoennegrita"/>
          <w:rFonts w:ascii="Verdana" w:hAnsi="Verdana"/>
          <w:b w:val="0"/>
          <w:i/>
          <w:color w:val="000000"/>
          <w:sz w:val="16"/>
          <w:szCs w:val="16"/>
        </w:rPr>
        <w:t xml:space="preserve"> Vs. Argentina. Fondo, Reparaciones y Costas.</w:t>
      </w:r>
      <w:r w:rsidRPr="00E46F1E">
        <w:rPr>
          <w:rStyle w:val="Textoennegrita"/>
          <w:rFonts w:ascii="Verdana" w:hAnsi="Verdana"/>
          <w:b w:val="0"/>
          <w:color w:val="000000"/>
          <w:sz w:val="16"/>
          <w:szCs w:val="16"/>
        </w:rPr>
        <w:t xml:space="preserve"> Sentencia de 15 de octubre de 2019. Serie C No. 391., párr. 99.</w:t>
      </w:r>
      <w:r w:rsidRPr="001067EF">
        <w:rPr>
          <w:rFonts w:ascii="Verdana" w:hAnsi="Verdana"/>
          <w:sz w:val="16"/>
          <w:szCs w:val="16"/>
        </w:rPr>
        <w:t xml:space="preserve"> </w:t>
      </w:r>
    </w:p>
  </w:footnote>
  <w:footnote w:id="189">
    <w:p w14:paraId="346188EE" w14:textId="6B6BE233"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vertAlign w:val="superscript"/>
        </w:rPr>
        <w:t xml:space="preserve"> </w:t>
      </w:r>
      <w:r w:rsidRPr="001067EF">
        <w:rPr>
          <w:rFonts w:ascii="Verdana" w:hAnsi="Verdana"/>
          <w:sz w:val="16"/>
          <w:szCs w:val="16"/>
        </w:rPr>
        <w:tab/>
      </w:r>
      <w:r w:rsidRPr="001067EF">
        <w:rPr>
          <w:rFonts w:ascii="Verdana" w:hAnsi="Verdana"/>
          <w:i/>
          <w:sz w:val="16"/>
          <w:szCs w:val="16"/>
          <w:lang w:val="es-PR"/>
        </w:rPr>
        <w:t>Cfr.</w:t>
      </w:r>
      <w:r w:rsidRPr="001067EF">
        <w:rPr>
          <w:rFonts w:ascii="Verdana" w:hAnsi="Verdana"/>
          <w:sz w:val="16"/>
          <w:szCs w:val="16"/>
        </w:rPr>
        <w:t xml:space="preserve"> </w:t>
      </w:r>
      <w:r w:rsidRPr="001067EF">
        <w:rPr>
          <w:rFonts w:ascii="Verdana" w:hAnsi="Verdana"/>
          <w:i/>
          <w:sz w:val="16"/>
          <w:szCs w:val="16"/>
        </w:rPr>
        <w:t xml:space="preserve">Caso </w:t>
      </w:r>
      <w:proofErr w:type="spellStart"/>
      <w:r w:rsidRPr="00E46F1E">
        <w:rPr>
          <w:rFonts w:ascii="Verdana" w:hAnsi="Verdana"/>
          <w:i/>
          <w:sz w:val="16"/>
          <w:szCs w:val="16"/>
        </w:rPr>
        <w:t>Amrhein</w:t>
      </w:r>
      <w:proofErr w:type="spellEnd"/>
      <w:r w:rsidRPr="00E46F1E">
        <w:rPr>
          <w:rFonts w:ascii="Verdana" w:hAnsi="Verdana"/>
          <w:i/>
          <w:sz w:val="16"/>
          <w:szCs w:val="16"/>
        </w:rPr>
        <w:t xml:space="preserve"> y otros Vs. Costa Rica. Excepciones Preliminares, Fondo, Reparaciones y Costas</w:t>
      </w:r>
      <w:r w:rsidRPr="00E46F1E">
        <w:rPr>
          <w:rFonts w:ascii="Verdana" w:hAnsi="Verdana"/>
          <w:sz w:val="16"/>
          <w:szCs w:val="16"/>
        </w:rPr>
        <w:t xml:space="preserve">. Sentencia de 25 de abril de 2018, párr. 357, y </w:t>
      </w:r>
      <w:r w:rsidRPr="00E46F1E">
        <w:rPr>
          <w:rStyle w:val="Textoennegrita"/>
          <w:rFonts w:ascii="Verdana" w:hAnsi="Verdana"/>
          <w:b w:val="0"/>
          <w:i/>
          <w:color w:val="000000"/>
          <w:sz w:val="16"/>
          <w:szCs w:val="16"/>
        </w:rPr>
        <w:t xml:space="preserve">Caso Romero </w:t>
      </w:r>
      <w:proofErr w:type="spellStart"/>
      <w:r w:rsidRPr="00E46F1E">
        <w:rPr>
          <w:rStyle w:val="Textoennegrita"/>
          <w:rFonts w:ascii="Verdana" w:hAnsi="Verdana"/>
          <w:b w:val="0"/>
          <w:i/>
          <w:color w:val="000000"/>
          <w:sz w:val="16"/>
          <w:szCs w:val="16"/>
        </w:rPr>
        <w:t>Feris</w:t>
      </w:r>
      <w:proofErr w:type="spellEnd"/>
      <w:r w:rsidRPr="00E46F1E">
        <w:rPr>
          <w:rStyle w:val="Textoennegrita"/>
          <w:rFonts w:ascii="Verdana" w:hAnsi="Verdana"/>
          <w:b w:val="0"/>
          <w:i/>
          <w:color w:val="000000"/>
          <w:sz w:val="16"/>
          <w:szCs w:val="16"/>
        </w:rPr>
        <w:t xml:space="preserve"> Vs. Argentina. Fondo, Reparaciones y Costas.</w:t>
      </w:r>
      <w:r w:rsidRPr="00E46F1E">
        <w:rPr>
          <w:rStyle w:val="Textoennegrita"/>
          <w:rFonts w:ascii="Verdana" w:hAnsi="Verdana"/>
          <w:b w:val="0"/>
          <w:color w:val="000000"/>
          <w:sz w:val="16"/>
          <w:szCs w:val="16"/>
        </w:rPr>
        <w:t xml:space="preserve"> Sentencia de 15 de octubre de 2019. Serie C No. 391., párr. 99</w:t>
      </w:r>
      <w:r w:rsidRPr="00E46F1E">
        <w:rPr>
          <w:rFonts w:ascii="Verdana" w:hAnsi="Verdana"/>
          <w:sz w:val="16"/>
          <w:szCs w:val="16"/>
        </w:rPr>
        <w:t>.</w:t>
      </w:r>
    </w:p>
  </w:footnote>
  <w:footnote w:id="190">
    <w:p w14:paraId="1CCED6F3" w14:textId="08DE30D7" w:rsidR="00E46F1E" w:rsidRPr="002F64E3" w:rsidRDefault="00E46F1E" w:rsidP="00C40460">
      <w:pPr>
        <w:pStyle w:val="Textonotapie"/>
        <w:widowControl w:val="0"/>
        <w:spacing w:after="120"/>
        <w:jc w:val="both"/>
        <w:rPr>
          <w:rFonts w:ascii="Verdana" w:hAnsi="Verdana"/>
          <w:sz w:val="16"/>
          <w:szCs w:val="16"/>
        </w:rPr>
      </w:pPr>
      <w:r w:rsidRPr="002F64E3">
        <w:rPr>
          <w:rStyle w:val="Refdenotaalpie"/>
          <w:rFonts w:ascii="Verdana" w:hAnsi="Verdana"/>
          <w:sz w:val="16"/>
          <w:szCs w:val="16"/>
        </w:rPr>
        <w:footnoteRef/>
      </w:r>
      <w:r w:rsidRPr="002F64E3">
        <w:rPr>
          <w:rFonts w:ascii="Verdana" w:hAnsi="Verdana"/>
          <w:sz w:val="16"/>
          <w:szCs w:val="16"/>
        </w:rPr>
        <w:t xml:space="preserve"> </w:t>
      </w:r>
      <w:r w:rsidRPr="002F64E3">
        <w:rPr>
          <w:rFonts w:ascii="Verdana" w:hAnsi="Verdana"/>
          <w:sz w:val="16"/>
          <w:szCs w:val="16"/>
        </w:rPr>
        <w:tab/>
      </w:r>
      <w:r w:rsidRPr="002F64E3">
        <w:rPr>
          <w:rFonts w:ascii="Verdana" w:hAnsi="Verdana"/>
          <w:i/>
          <w:sz w:val="16"/>
          <w:szCs w:val="16"/>
        </w:rPr>
        <w:t>Cfr</w:t>
      </w:r>
      <w:r w:rsidRPr="00E46F1E">
        <w:rPr>
          <w:rFonts w:ascii="Verdana" w:hAnsi="Verdana"/>
          <w:i/>
          <w:sz w:val="16"/>
          <w:szCs w:val="16"/>
        </w:rPr>
        <w:t>.</w:t>
      </w:r>
      <w:r w:rsidRPr="00E46F1E">
        <w:rPr>
          <w:rFonts w:ascii="Verdana" w:hAnsi="Verdana"/>
          <w:sz w:val="16"/>
          <w:szCs w:val="16"/>
        </w:rPr>
        <w:t xml:space="preserve"> </w:t>
      </w:r>
      <w:r w:rsidRPr="00E46F1E">
        <w:rPr>
          <w:rStyle w:val="Textoennegrita"/>
          <w:rFonts w:ascii="Verdana" w:hAnsi="Verdana"/>
          <w:b w:val="0"/>
          <w:i/>
          <w:color w:val="000000"/>
          <w:sz w:val="16"/>
          <w:szCs w:val="16"/>
        </w:rPr>
        <w:t xml:space="preserve">Caso Romero </w:t>
      </w:r>
      <w:proofErr w:type="spellStart"/>
      <w:r w:rsidRPr="00E46F1E">
        <w:rPr>
          <w:rStyle w:val="Textoennegrita"/>
          <w:rFonts w:ascii="Verdana" w:hAnsi="Verdana"/>
          <w:b w:val="0"/>
          <w:i/>
          <w:color w:val="000000"/>
          <w:sz w:val="16"/>
          <w:szCs w:val="16"/>
        </w:rPr>
        <w:t>Feris</w:t>
      </w:r>
      <w:proofErr w:type="spellEnd"/>
      <w:r w:rsidRPr="00E46F1E">
        <w:rPr>
          <w:rStyle w:val="Textoennegrita"/>
          <w:rFonts w:ascii="Verdana" w:hAnsi="Verdana"/>
          <w:b w:val="0"/>
          <w:i/>
          <w:color w:val="000000"/>
          <w:sz w:val="16"/>
          <w:szCs w:val="16"/>
        </w:rPr>
        <w:t xml:space="preserve"> Vs. Argentina. Fondo, Reparaciones y Costas.</w:t>
      </w:r>
      <w:r w:rsidRPr="00E46F1E">
        <w:rPr>
          <w:rStyle w:val="Textoennegrita"/>
          <w:rFonts w:ascii="Verdana" w:hAnsi="Verdana"/>
          <w:b w:val="0"/>
          <w:color w:val="000000"/>
          <w:sz w:val="16"/>
          <w:szCs w:val="16"/>
        </w:rPr>
        <w:t xml:space="preserve"> Sentencia de 15 de octubre de 2019. Serie C No. 391., párr. 101, y </w:t>
      </w:r>
      <w:r w:rsidRPr="00E46F1E">
        <w:rPr>
          <w:rFonts w:ascii="Verdana" w:hAnsi="Verdana"/>
          <w:sz w:val="16"/>
          <w:szCs w:val="16"/>
        </w:rPr>
        <w:t>TEDH</w:t>
      </w:r>
      <w:r w:rsidRPr="002F64E3">
        <w:rPr>
          <w:rFonts w:ascii="Verdana" w:hAnsi="Verdana"/>
          <w:sz w:val="16"/>
          <w:szCs w:val="16"/>
        </w:rPr>
        <w:t xml:space="preserve">. Caso </w:t>
      </w:r>
      <w:proofErr w:type="spellStart"/>
      <w:r w:rsidRPr="002F64E3">
        <w:rPr>
          <w:rFonts w:ascii="Verdana" w:hAnsi="Verdana"/>
          <w:sz w:val="16"/>
          <w:szCs w:val="16"/>
        </w:rPr>
        <w:t>Ilijkov</w:t>
      </w:r>
      <w:proofErr w:type="spellEnd"/>
      <w:r w:rsidRPr="002F64E3">
        <w:rPr>
          <w:rFonts w:ascii="Verdana" w:hAnsi="Verdana"/>
          <w:sz w:val="16"/>
          <w:szCs w:val="16"/>
        </w:rPr>
        <w:t xml:space="preserve"> Vs. Bulgaria, Sentencia de 26 de julio de 2001, ap</w:t>
      </w:r>
      <w:r>
        <w:rPr>
          <w:rFonts w:ascii="Verdana" w:hAnsi="Verdana"/>
          <w:sz w:val="16"/>
          <w:szCs w:val="16"/>
        </w:rPr>
        <w:t xml:space="preserve">licación </w:t>
      </w:r>
      <w:proofErr w:type="spellStart"/>
      <w:r>
        <w:rPr>
          <w:rFonts w:ascii="Verdana" w:hAnsi="Verdana"/>
          <w:sz w:val="16"/>
          <w:szCs w:val="16"/>
        </w:rPr>
        <w:t>N°</w:t>
      </w:r>
      <w:proofErr w:type="spellEnd"/>
      <w:r>
        <w:rPr>
          <w:rFonts w:ascii="Verdana" w:hAnsi="Verdana"/>
          <w:sz w:val="16"/>
          <w:szCs w:val="16"/>
        </w:rPr>
        <w:t xml:space="preserve"> 33977/96, párr. 85.</w:t>
      </w:r>
    </w:p>
  </w:footnote>
  <w:footnote w:id="191">
    <w:p w14:paraId="4618DC81" w14:textId="03CB0116" w:rsidR="00E46F1E" w:rsidRPr="006E448D" w:rsidRDefault="00E46F1E" w:rsidP="00C40460">
      <w:pPr>
        <w:pStyle w:val="Textonotapie"/>
        <w:widowControl w:val="0"/>
        <w:spacing w:after="120"/>
        <w:jc w:val="both"/>
        <w:rPr>
          <w:rFonts w:ascii="Verdana" w:hAnsi="Verdana"/>
          <w:sz w:val="16"/>
          <w:szCs w:val="16"/>
        </w:rPr>
      </w:pPr>
      <w:r w:rsidRPr="006E448D">
        <w:rPr>
          <w:rStyle w:val="Refdenotaalpie"/>
          <w:rFonts w:ascii="Verdana" w:hAnsi="Verdana"/>
          <w:sz w:val="16"/>
          <w:szCs w:val="16"/>
        </w:rPr>
        <w:footnoteRef/>
      </w:r>
      <w:r w:rsidRPr="006E448D">
        <w:rPr>
          <w:rFonts w:ascii="Verdana" w:hAnsi="Verdana"/>
          <w:sz w:val="16"/>
          <w:szCs w:val="16"/>
        </w:rPr>
        <w:t xml:space="preserve"> </w:t>
      </w:r>
      <w:r w:rsidRPr="006E448D">
        <w:rPr>
          <w:rFonts w:ascii="Verdana" w:hAnsi="Verdana"/>
          <w:sz w:val="16"/>
          <w:szCs w:val="16"/>
        </w:rPr>
        <w:tab/>
      </w:r>
      <w:r w:rsidRPr="006E448D">
        <w:rPr>
          <w:rFonts w:ascii="Verdana" w:hAnsi="Verdana"/>
          <w:i/>
          <w:sz w:val="16"/>
          <w:szCs w:val="16"/>
        </w:rPr>
        <w:t>Cfr. Caso Bayarri Vs. Argentina. Excepción Preliminar, Fondo, Reparaciones y Costas.</w:t>
      </w:r>
      <w:r w:rsidRPr="006E448D">
        <w:rPr>
          <w:rFonts w:ascii="Verdana" w:hAnsi="Verdana"/>
          <w:sz w:val="16"/>
          <w:szCs w:val="16"/>
        </w:rPr>
        <w:t xml:space="preserve"> Sentencia de 30 de octubre de 2008. Serie C No. 187, párr. 74, y </w:t>
      </w:r>
      <w:r w:rsidRPr="00E46F1E">
        <w:rPr>
          <w:rFonts w:ascii="Verdana" w:hAnsi="Verdana"/>
          <w:i/>
          <w:sz w:val="16"/>
          <w:szCs w:val="16"/>
        </w:rPr>
        <w:t>Cfr.</w:t>
      </w:r>
      <w:r w:rsidRPr="00E46F1E">
        <w:rPr>
          <w:rFonts w:ascii="Verdana" w:hAnsi="Verdana"/>
          <w:sz w:val="16"/>
          <w:szCs w:val="16"/>
        </w:rPr>
        <w:t xml:space="preserve"> </w:t>
      </w:r>
      <w:r w:rsidRPr="00E46F1E">
        <w:rPr>
          <w:rStyle w:val="Textoennegrita"/>
          <w:rFonts w:ascii="Verdana" w:hAnsi="Verdana"/>
          <w:b w:val="0"/>
          <w:i/>
          <w:color w:val="000000"/>
          <w:sz w:val="16"/>
          <w:szCs w:val="16"/>
        </w:rPr>
        <w:t xml:space="preserve">Caso Romero </w:t>
      </w:r>
      <w:proofErr w:type="spellStart"/>
      <w:r w:rsidRPr="00E46F1E">
        <w:rPr>
          <w:rStyle w:val="Textoennegrita"/>
          <w:rFonts w:ascii="Verdana" w:hAnsi="Verdana"/>
          <w:b w:val="0"/>
          <w:i/>
          <w:color w:val="000000"/>
          <w:sz w:val="16"/>
          <w:szCs w:val="16"/>
        </w:rPr>
        <w:t>Feris</w:t>
      </w:r>
      <w:proofErr w:type="spellEnd"/>
      <w:r w:rsidRPr="00E46F1E">
        <w:rPr>
          <w:rStyle w:val="Textoennegrita"/>
          <w:rFonts w:ascii="Verdana" w:hAnsi="Verdana"/>
          <w:b w:val="0"/>
          <w:i/>
          <w:color w:val="000000"/>
          <w:sz w:val="16"/>
          <w:szCs w:val="16"/>
        </w:rPr>
        <w:t xml:space="preserve"> Vs. Argentina. Fondo, Reparaciones y Costas.</w:t>
      </w:r>
      <w:r w:rsidRPr="00E46F1E">
        <w:rPr>
          <w:rStyle w:val="Textoennegrita"/>
          <w:rFonts w:ascii="Verdana" w:hAnsi="Verdana"/>
          <w:b w:val="0"/>
          <w:color w:val="000000"/>
          <w:sz w:val="16"/>
          <w:szCs w:val="16"/>
        </w:rPr>
        <w:t xml:space="preserve"> Sentencia de 15 de octubre de 2019. Serie C No. 391., párr. 101</w:t>
      </w:r>
      <w:r w:rsidRPr="00E46F1E">
        <w:rPr>
          <w:rFonts w:ascii="Verdana" w:hAnsi="Verdana"/>
          <w:sz w:val="16"/>
          <w:szCs w:val="16"/>
        </w:rPr>
        <w:t>.</w:t>
      </w:r>
    </w:p>
  </w:footnote>
  <w:footnote w:id="192">
    <w:p w14:paraId="05F8DB22" w14:textId="5DF2127D" w:rsidR="00E46F1E" w:rsidRPr="001067EF" w:rsidRDefault="00E46F1E" w:rsidP="00C40460">
      <w:pPr>
        <w:pStyle w:val="Textonotapie"/>
        <w:widowControl w:val="0"/>
        <w:spacing w:after="120"/>
        <w:jc w:val="both"/>
        <w:rPr>
          <w:rFonts w:ascii="Verdana" w:hAnsi="Verdana"/>
          <w:sz w:val="16"/>
          <w:szCs w:val="16"/>
          <w:lang w:val="es-CR"/>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cs="Tahoma"/>
          <w:bCs/>
          <w:color w:val="000000"/>
          <w:sz w:val="16"/>
          <w:szCs w:val="16"/>
        </w:rPr>
        <w:t>Artículo 8 de la Convención Americana.</w:t>
      </w:r>
    </w:p>
  </w:footnote>
  <w:footnote w:id="193">
    <w:p w14:paraId="4255B751" w14:textId="62B1F3B7" w:rsidR="00E46F1E" w:rsidRPr="001067EF" w:rsidRDefault="00E46F1E" w:rsidP="00C40460">
      <w:pPr>
        <w:pStyle w:val="Textonotapie"/>
        <w:widowControl w:val="0"/>
        <w:spacing w:after="120"/>
        <w:jc w:val="both"/>
        <w:rPr>
          <w:rFonts w:ascii="Verdana" w:hAnsi="Verdana"/>
          <w:sz w:val="16"/>
          <w:szCs w:val="16"/>
          <w:lang w:val="es-CR"/>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cs="Tahoma"/>
          <w:bCs/>
          <w:color w:val="000000"/>
          <w:sz w:val="16"/>
          <w:szCs w:val="16"/>
        </w:rPr>
        <w:t>Artículo 25 de la Convención Americana.</w:t>
      </w:r>
    </w:p>
  </w:footnote>
  <w:footnote w:id="194">
    <w:p w14:paraId="35EDBFD2" w14:textId="0A8E32EF" w:rsidR="00E46F1E" w:rsidRPr="001067EF" w:rsidRDefault="00E46F1E" w:rsidP="00C40460">
      <w:pPr>
        <w:pStyle w:val="Sinespaciado"/>
        <w:widowControl w:val="0"/>
        <w:spacing w:after="120"/>
        <w:jc w:val="both"/>
        <w:rPr>
          <w:rFonts w:ascii="Verdana" w:hAnsi="Verdana" w:cstheme="minorHAnsi"/>
          <w:iCs/>
          <w:sz w:val="16"/>
          <w:szCs w:val="16"/>
        </w:rPr>
      </w:pPr>
      <w:r w:rsidRPr="001067EF">
        <w:rPr>
          <w:rStyle w:val="Refdenotaalpie"/>
          <w:rFonts w:ascii="Verdana" w:hAnsi="Verdana"/>
          <w:sz w:val="16"/>
          <w:szCs w:val="16"/>
        </w:rPr>
        <w:footnoteRef/>
      </w:r>
      <w:r w:rsidRPr="001067EF">
        <w:rPr>
          <w:rFonts w:ascii="Verdana" w:hAnsi="Verdana"/>
          <w:bCs/>
          <w:i/>
          <w:sz w:val="16"/>
          <w:szCs w:val="16"/>
        </w:rPr>
        <w:tab/>
        <w:t xml:space="preserve">Cfr. Caso Velásquez Rodríguez Vs. Honduras. Excepciones Preliminares. </w:t>
      </w:r>
      <w:r w:rsidRPr="001067EF">
        <w:rPr>
          <w:rFonts w:ascii="Verdana" w:hAnsi="Verdana"/>
          <w:bCs/>
          <w:sz w:val="16"/>
          <w:szCs w:val="16"/>
        </w:rPr>
        <w:t>Sentencia de 26 de junio de 1987. Serie C No. 1, párr. 91</w:t>
      </w:r>
      <w:r w:rsidRPr="00E46F1E">
        <w:rPr>
          <w:rFonts w:ascii="Verdana" w:hAnsi="Verdana"/>
          <w:bCs/>
          <w:sz w:val="16"/>
          <w:szCs w:val="16"/>
        </w:rPr>
        <w:t>, y</w:t>
      </w:r>
      <w:r w:rsidRPr="00E46F1E">
        <w:rPr>
          <w:rFonts w:ascii="Verdana" w:hAnsi="Verdana"/>
          <w:bCs/>
          <w:i/>
          <w:sz w:val="16"/>
          <w:szCs w:val="16"/>
        </w:rPr>
        <w:t xml:space="preserve"> </w:t>
      </w:r>
      <w:r w:rsidRPr="00E46F1E">
        <w:rPr>
          <w:rStyle w:val="Textoennegrita"/>
          <w:rFonts w:ascii="Verdana" w:hAnsi="Verdana"/>
          <w:b w:val="0"/>
          <w:i/>
          <w:color w:val="000000"/>
          <w:sz w:val="16"/>
          <w:szCs w:val="16"/>
        </w:rPr>
        <w:t xml:space="preserve">Caso Romero </w:t>
      </w:r>
      <w:proofErr w:type="spellStart"/>
      <w:r w:rsidRPr="00E46F1E">
        <w:rPr>
          <w:rStyle w:val="Textoennegrita"/>
          <w:rFonts w:ascii="Verdana" w:hAnsi="Verdana"/>
          <w:b w:val="0"/>
          <w:i/>
          <w:color w:val="000000"/>
          <w:sz w:val="16"/>
          <w:szCs w:val="16"/>
        </w:rPr>
        <w:t>Feris</w:t>
      </w:r>
      <w:proofErr w:type="spellEnd"/>
      <w:r w:rsidRPr="00E46F1E">
        <w:rPr>
          <w:rStyle w:val="Textoennegrita"/>
          <w:rFonts w:ascii="Verdana" w:hAnsi="Verdana"/>
          <w:b w:val="0"/>
          <w:i/>
          <w:color w:val="000000"/>
          <w:sz w:val="16"/>
          <w:szCs w:val="16"/>
        </w:rPr>
        <w:t xml:space="preserve"> Vs. Argentina. Fondo, Reparaciones y Costas.</w:t>
      </w:r>
      <w:r w:rsidRPr="00E46F1E">
        <w:rPr>
          <w:rStyle w:val="Textoennegrita"/>
          <w:rFonts w:ascii="Verdana" w:hAnsi="Verdana"/>
          <w:b w:val="0"/>
          <w:color w:val="000000"/>
          <w:sz w:val="16"/>
          <w:szCs w:val="16"/>
        </w:rPr>
        <w:t xml:space="preserve"> Sentencia de 15 de octubre de 2019. Serie C No. 391., párr. 134</w:t>
      </w:r>
      <w:r w:rsidRPr="00E46F1E">
        <w:rPr>
          <w:rFonts w:ascii="Verdana" w:hAnsi="Verdana"/>
          <w:sz w:val="16"/>
          <w:szCs w:val="16"/>
        </w:rPr>
        <w:t>.</w:t>
      </w:r>
    </w:p>
  </w:footnote>
  <w:footnote w:id="195">
    <w:p w14:paraId="7CE4AF81" w14:textId="432E7C3C" w:rsidR="00E46F1E" w:rsidRPr="00E20E38" w:rsidRDefault="00E46F1E" w:rsidP="00C40460">
      <w:pPr>
        <w:pStyle w:val="Textonotapie"/>
        <w:widowControl w:val="0"/>
        <w:spacing w:after="120"/>
        <w:jc w:val="both"/>
        <w:rPr>
          <w:rFonts w:ascii="Verdana" w:hAnsi="Verdana" w:cstheme="minorHAnsi"/>
          <w:sz w:val="16"/>
          <w:szCs w:val="16"/>
          <w:lang w:val="es-CR"/>
        </w:rPr>
      </w:pPr>
      <w:r w:rsidRPr="00E20E38">
        <w:rPr>
          <w:rStyle w:val="Refdenotaalpie"/>
          <w:rFonts w:ascii="Verdana" w:hAnsi="Verdana" w:cstheme="minorHAnsi"/>
          <w:sz w:val="16"/>
          <w:szCs w:val="16"/>
        </w:rPr>
        <w:footnoteRef/>
      </w:r>
      <w:r w:rsidRPr="00E20E38">
        <w:rPr>
          <w:rFonts w:ascii="Verdana" w:hAnsi="Verdana" w:cstheme="minorHAnsi"/>
          <w:i/>
          <w:sz w:val="16"/>
          <w:szCs w:val="16"/>
          <w:lang w:val="es-CR"/>
        </w:rPr>
        <w:tab/>
      </w:r>
      <w:r w:rsidRPr="00E20E38">
        <w:rPr>
          <w:rFonts w:ascii="Verdana" w:hAnsi="Verdana"/>
          <w:bCs/>
          <w:i/>
          <w:sz w:val="16"/>
          <w:szCs w:val="16"/>
          <w:lang w:val="es-CR"/>
        </w:rPr>
        <w:t xml:space="preserve">Cfr. </w:t>
      </w:r>
      <w:r w:rsidRPr="00E46F1E">
        <w:rPr>
          <w:rStyle w:val="Textoennegrita"/>
          <w:rFonts w:ascii="Verdana" w:hAnsi="Verdana"/>
          <w:b w:val="0"/>
          <w:i/>
          <w:color w:val="000000"/>
          <w:sz w:val="16"/>
          <w:szCs w:val="16"/>
        </w:rPr>
        <w:t>Garantías judiciales en estados de emergencia (Arts. 27.2, 25 y 8 Convención Americana sobre Derechos Humanos)</w:t>
      </w:r>
      <w:r w:rsidRPr="00E46F1E">
        <w:rPr>
          <w:rStyle w:val="Textoennegrita"/>
          <w:rFonts w:ascii="Verdana" w:hAnsi="Verdana"/>
          <w:b w:val="0"/>
          <w:color w:val="000000"/>
          <w:sz w:val="16"/>
          <w:szCs w:val="16"/>
        </w:rPr>
        <w:t>. Opinión Consultiva OC-9/87 de 6 de octubre de 1987. Serie A No. 9., párr. 24</w:t>
      </w:r>
      <w:r w:rsidRPr="00E46F1E">
        <w:rPr>
          <w:rFonts w:ascii="Verdana" w:hAnsi="Verdana"/>
          <w:bCs/>
          <w:sz w:val="16"/>
          <w:szCs w:val="16"/>
          <w:lang w:val="es-CR"/>
        </w:rPr>
        <w:t>,</w:t>
      </w:r>
      <w:r w:rsidRPr="00E46F1E">
        <w:rPr>
          <w:rFonts w:ascii="Verdana" w:hAnsi="Verdana"/>
          <w:sz w:val="16"/>
          <w:szCs w:val="16"/>
          <w:lang w:val="es-CR"/>
        </w:rPr>
        <w:t xml:space="preserve"> </w:t>
      </w:r>
      <w:r w:rsidRPr="00E46F1E">
        <w:rPr>
          <w:rFonts w:ascii="Verdana" w:hAnsi="Verdana" w:cstheme="minorHAnsi"/>
          <w:spacing w:val="-12"/>
          <w:sz w:val="16"/>
          <w:szCs w:val="16"/>
          <w:lang w:val="es-CR"/>
        </w:rPr>
        <w:t xml:space="preserve">y </w:t>
      </w:r>
      <w:r w:rsidRPr="00E46F1E">
        <w:rPr>
          <w:rStyle w:val="Textoennegrita"/>
          <w:rFonts w:ascii="Verdana" w:hAnsi="Verdana"/>
          <w:b w:val="0"/>
          <w:i/>
          <w:color w:val="000000"/>
          <w:sz w:val="16"/>
          <w:szCs w:val="16"/>
        </w:rPr>
        <w:t>Caso Rico Vs. Argentina. Excepción Preliminar y Fondo.</w:t>
      </w:r>
      <w:r w:rsidRPr="00E46F1E">
        <w:rPr>
          <w:rStyle w:val="Textoennegrita"/>
          <w:rFonts w:ascii="Verdana" w:hAnsi="Verdana"/>
          <w:b w:val="0"/>
          <w:color w:val="000000"/>
          <w:sz w:val="16"/>
          <w:szCs w:val="16"/>
        </w:rPr>
        <w:t xml:space="preserve"> Sentencia de 2 de septiembre de 2019. Serie C No. 383., párr. 88.</w:t>
      </w:r>
    </w:p>
  </w:footnote>
  <w:footnote w:id="196">
    <w:p w14:paraId="6C2DEE5B" w14:textId="23EB8D56" w:rsidR="00E46F1E" w:rsidRPr="001067EF" w:rsidRDefault="00E46F1E" w:rsidP="00C40460">
      <w:pPr>
        <w:pStyle w:val="Textonotapie"/>
        <w:widowControl w:val="0"/>
        <w:tabs>
          <w:tab w:val="left" w:pos="709"/>
        </w:tabs>
        <w:spacing w:after="120"/>
        <w:jc w:val="both"/>
        <w:rPr>
          <w:rFonts w:ascii="Verdana" w:hAnsi="Verdana"/>
          <w:sz w:val="16"/>
          <w:szCs w:val="16"/>
          <w:lang w:val="es-CR"/>
        </w:rPr>
      </w:pPr>
      <w:r w:rsidRPr="001067EF">
        <w:rPr>
          <w:rStyle w:val="Refdenotaalpie"/>
          <w:rFonts w:ascii="Verdana" w:eastAsiaTheme="majorEastAsia" w:hAnsi="Verdana"/>
          <w:sz w:val="16"/>
          <w:szCs w:val="16"/>
        </w:rPr>
        <w:footnoteRef/>
      </w:r>
      <w:r w:rsidRPr="001067EF">
        <w:rPr>
          <w:rFonts w:ascii="Verdana" w:hAnsi="Verdana"/>
          <w:sz w:val="16"/>
          <w:szCs w:val="16"/>
          <w:lang w:val="es-CR"/>
        </w:rPr>
        <w:tab/>
      </w:r>
      <w:r w:rsidRPr="001067EF">
        <w:rPr>
          <w:rFonts w:ascii="Verdana" w:hAnsi="Verdana"/>
          <w:i/>
          <w:sz w:val="16"/>
          <w:szCs w:val="16"/>
          <w:lang w:val="es-CR"/>
        </w:rPr>
        <w:t xml:space="preserve">Cfr. </w:t>
      </w:r>
      <w:r w:rsidRPr="00E46F1E">
        <w:rPr>
          <w:rStyle w:val="Textoennegrita"/>
          <w:rFonts w:ascii="Verdana" w:hAnsi="Verdana"/>
          <w:b w:val="0"/>
          <w:i/>
          <w:color w:val="000000"/>
          <w:sz w:val="16"/>
          <w:szCs w:val="16"/>
        </w:rPr>
        <w:t>Garantías judiciales en estados de emergencia (Arts. 27.2, 25 y 8 Convención Americana sobre Derechos Humanos)</w:t>
      </w:r>
      <w:r w:rsidRPr="00E46F1E">
        <w:rPr>
          <w:rStyle w:val="Textoennegrita"/>
          <w:rFonts w:ascii="Verdana" w:hAnsi="Verdana"/>
          <w:b w:val="0"/>
          <w:color w:val="000000"/>
          <w:sz w:val="16"/>
          <w:szCs w:val="16"/>
        </w:rPr>
        <w:t>. Opinión Consultiva OC-9/87 de 6 de octubre de 1987. Serie A No. 9., párr. 24</w:t>
      </w:r>
      <w:r w:rsidRPr="00E46F1E">
        <w:rPr>
          <w:rFonts w:ascii="Verdana" w:hAnsi="Verdana"/>
          <w:bCs/>
          <w:sz w:val="16"/>
          <w:szCs w:val="16"/>
          <w:lang w:val="es-CR"/>
        </w:rPr>
        <w:t xml:space="preserve">, y </w:t>
      </w:r>
      <w:r w:rsidRPr="00E46F1E">
        <w:rPr>
          <w:rStyle w:val="Textoennegrita"/>
          <w:rFonts w:ascii="Verdana" w:hAnsi="Verdana"/>
          <w:b w:val="0"/>
          <w:i/>
          <w:color w:val="000000"/>
          <w:sz w:val="16"/>
          <w:szCs w:val="16"/>
        </w:rPr>
        <w:t>Caso Rico Vs. Argentina. Excepción Preliminar y Fondo.</w:t>
      </w:r>
      <w:r w:rsidRPr="00E46F1E">
        <w:rPr>
          <w:rStyle w:val="Textoennegrita"/>
          <w:rFonts w:ascii="Verdana" w:hAnsi="Verdana"/>
          <w:b w:val="0"/>
          <w:color w:val="000000"/>
          <w:sz w:val="16"/>
          <w:szCs w:val="16"/>
        </w:rPr>
        <w:t xml:space="preserve"> Sentencia de 2 de septiembre de 2019. Serie C No. 383., párr. 88.</w:t>
      </w:r>
    </w:p>
  </w:footnote>
  <w:footnote w:id="197">
    <w:p w14:paraId="391E1B0F" w14:textId="77777777" w:rsidR="00E46F1E" w:rsidRPr="001067EF" w:rsidRDefault="00E46F1E" w:rsidP="00C40460">
      <w:pPr>
        <w:pStyle w:val="Textonotapie"/>
        <w:widowControl w:val="0"/>
        <w:tabs>
          <w:tab w:val="left" w:pos="709"/>
        </w:tabs>
        <w:spacing w:after="120"/>
        <w:jc w:val="both"/>
        <w:rPr>
          <w:rFonts w:ascii="Verdana" w:hAnsi="Verdana"/>
          <w:sz w:val="16"/>
          <w:szCs w:val="16"/>
          <w:lang w:val="es-CR"/>
        </w:rPr>
      </w:pPr>
      <w:r w:rsidRPr="001067EF">
        <w:rPr>
          <w:rStyle w:val="Refdenotaalpie"/>
          <w:rFonts w:ascii="Verdana" w:eastAsiaTheme="majorEastAsia" w:hAnsi="Verdana"/>
          <w:sz w:val="16"/>
          <w:szCs w:val="16"/>
        </w:rPr>
        <w:footnoteRef/>
      </w:r>
      <w:r w:rsidRPr="001067EF">
        <w:rPr>
          <w:rFonts w:ascii="Verdana" w:hAnsi="Verdana"/>
          <w:sz w:val="16"/>
          <w:szCs w:val="16"/>
          <w:lang w:val="es-CR"/>
        </w:rPr>
        <w:tab/>
      </w:r>
      <w:r w:rsidRPr="001067EF">
        <w:rPr>
          <w:rFonts w:ascii="Verdana" w:hAnsi="Verdana"/>
          <w:i/>
          <w:sz w:val="16"/>
          <w:szCs w:val="16"/>
          <w:lang w:val="es-CR"/>
        </w:rPr>
        <w:t xml:space="preserve">Cfr. </w:t>
      </w:r>
      <w:r w:rsidRPr="00E46F1E">
        <w:rPr>
          <w:rStyle w:val="Textoennegrita"/>
          <w:rFonts w:ascii="Verdana" w:hAnsi="Verdana"/>
          <w:b w:val="0"/>
          <w:i/>
          <w:sz w:val="16"/>
          <w:szCs w:val="16"/>
          <w:lang w:val="es-CR"/>
        </w:rPr>
        <w:t xml:space="preserve">Caso López Álvarez Vs. Honduras. Fondo, Reparaciones y Costas. </w:t>
      </w:r>
      <w:r w:rsidRPr="00E46F1E">
        <w:rPr>
          <w:rStyle w:val="Textoennegrita"/>
          <w:rFonts w:ascii="Verdana" w:hAnsi="Verdana"/>
          <w:b w:val="0"/>
          <w:sz w:val="16"/>
          <w:szCs w:val="16"/>
          <w:lang w:val="es-CR"/>
        </w:rPr>
        <w:t xml:space="preserve">Sentencia de 1 de febrero de 2006. Serie C No. 141, párr. 96, y </w:t>
      </w:r>
      <w:r w:rsidRPr="00E46F1E">
        <w:rPr>
          <w:rFonts w:ascii="Verdana" w:hAnsi="Verdana"/>
          <w:bCs/>
          <w:i/>
          <w:sz w:val="16"/>
          <w:szCs w:val="16"/>
          <w:lang w:val="es-CR"/>
        </w:rPr>
        <w:t xml:space="preserve">Caso </w:t>
      </w:r>
      <w:proofErr w:type="spellStart"/>
      <w:r w:rsidRPr="00E46F1E">
        <w:rPr>
          <w:rFonts w:ascii="Verdana" w:hAnsi="Verdana"/>
          <w:bCs/>
          <w:i/>
          <w:sz w:val="16"/>
          <w:szCs w:val="16"/>
          <w:lang w:val="es-CR"/>
        </w:rPr>
        <w:t>Amrhein</w:t>
      </w:r>
      <w:proofErr w:type="spellEnd"/>
      <w:r w:rsidRPr="00E46F1E">
        <w:rPr>
          <w:rFonts w:ascii="Verdana" w:hAnsi="Verdana"/>
          <w:bCs/>
          <w:i/>
          <w:sz w:val="16"/>
          <w:szCs w:val="16"/>
          <w:lang w:val="es-CR"/>
        </w:rPr>
        <w:t xml:space="preserve"> y otros Vs. Costa Rica. Excepciones Preliminares, Fondo, Reparaciones y Costas</w:t>
      </w:r>
      <w:r w:rsidRPr="00E46F1E">
        <w:rPr>
          <w:rFonts w:ascii="Verdana" w:hAnsi="Verdana"/>
          <w:bCs/>
          <w:sz w:val="16"/>
          <w:szCs w:val="16"/>
          <w:lang w:val="es-CR"/>
        </w:rPr>
        <w:t>. Sentencia de 25 de abril de 2018. Serie C No. 354, párr. 267</w:t>
      </w:r>
      <w:r w:rsidRPr="001067EF">
        <w:rPr>
          <w:rFonts w:ascii="Verdana" w:hAnsi="Verdana"/>
          <w:bCs/>
          <w:sz w:val="16"/>
          <w:szCs w:val="16"/>
          <w:shd w:val="clear" w:color="auto" w:fill="FFFFFF"/>
          <w:lang w:val="es-CR"/>
        </w:rPr>
        <w:t>.</w:t>
      </w:r>
    </w:p>
  </w:footnote>
  <w:footnote w:id="198">
    <w:p w14:paraId="5300EDFB" w14:textId="3FA34A7F" w:rsidR="00E46F1E" w:rsidRPr="001067EF" w:rsidRDefault="00E46F1E" w:rsidP="00C40460">
      <w:pPr>
        <w:pStyle w:val="Textonotapie"/>
        <w:widowControl w:val="0"/>
        <w:tabs>
          <w:tab w:val="left" w:pos="709"/>
        </w:tabs>
        <w:spacing w:after="120"/>
        <w:jc w:val="both"/>
        <w:rPr>
          <w:rFonts w:ascii="Verdana" w:hAnsi="Verdana"/>
          <w:sz w:val="16"/>
          <w:szCs w:val="16"/>
          <w:lang w:val="es-CR"/>
        </w:rPr>
      </w:pPr>
      <w:r w:rsidRPr="001067EF">
        <w:rPr>
          <w:rStyle w:val="Refdenotaalpie"/>
          <w:rFonts w:ascii="Verdana" w:eastAsiaTheme="majorEastAsia" w:hAnsi="Verdana"/>
          <w:sz w:val="16"/>
          <w:szCs w:val="16"/>
        </w:rPr>
        <w:footnoteRef/>
      </w:r>
      <w:r w:rsidRPr="00E46F1E">
        <w:rPr>
          <w:rFonts w:ascii="Verdana" w:hAnsi="Verdana"/>
          <w:i/>
          <w:sz w:val="16"/>
          <w:szCs w:val="16"/>
          <w:lang w:val="es-CR"/>
        </w:rPr>
        <w:tab/>
        <w:t xml:space="preserve">Cfr. </w:t>
      </w:r>
      <w:r w:rsidRPr="00E46F1E">
        <w:rPr>
          <w:rFonts w:ascii="Verdana" w:hAnsi="Verdana"/>
          <w:bCs/>
          <w:i/>
          <w:sz w:val="16"/>
          <w:szCs w:val="16"/>
          <w:lang w:val="es-CR"/>
        </w:rPr>
        <w:t xml:space="preserve">Caso Velásquez Rodríguez Vs. Honduras. Fondo. </w:t>
      </w:r>
      <w:r w:rsidRPr="00E46F1E">
        <w:rPr>
          <w:rFonts w:ascii="Verdana" w:hAnsi="Verdana"/>
          <w:bCs/>
          <w:sz w:val="16"/>
          <w:szCs w:val="16"/>
          <w:lang w:val="es-CR"/>
        </w:rPr>
        <w:t xml:space="preserve">Sentencia de 29 de julio de 1988. Serie C No. 4, párr. 67, y </w:t>
      </w:r>
      <w:r w:rsidRPr="00E46F1E">
        <w:rPr>
          <w:rStyle w:val="Textoennegrita"/>
          <w:rFonts w:ascii="Verdana" w:hAnsi="Verdana"/>
          <w:b w:val="0"/>
          <w:i/>
          <w:color w:val="000000"/>
          <w:sz w:val="16"/>
          <w:szCs w:val="16"/>
        </w:rPr>
        <w:t xml:space="preserve">Caso Romero </w:t>
      </w:r>
      <w:proofErr w:type="spellStart"/>
      <w:r w:rsidRPr="00E46F1E">
        <w:rPr>
          <w:rStyle w:val="Textoennegrita"/>
          <w:rFonts w:ascii="Verdana" w:hAnsi="Verdana"/>
          <w:b w:val="0"/>
          <w:i/>
          <w:color w:val="000000"/>
          <w:sz w:val="16"/>
          <w:szCs w:val="16"/>
        </w:rPr>
        <w:t>Feris</w:t>
      </w:r>
      <w:proofErr w:type="spellEnd"/>
      <w:r w:rsidRPr="00E46F1E">
        <w:rPr>
          <w:rStyle w:val="Textoennegrita"/>
          <w:rFonts w:ascii="Verdana" w:hAnsi="Verdana"/>
          <w:b w:val="0"/>
          <w:i/>
          <w:color w:val="000000"/>
          <w:sz w:val="16"/>
          <w:szCs w:val="16"/>
        </w:rPr>
        <w:t xml:space="preserve"> Vs. Argentina. Fondo, Reparaciones y Costas.</w:t>
      </w:r>
      <w:r w:rsidRPr="00E46F1E">
        <w:rPr>
          <w:rStyle w:val="Textoennegrita"/>
          <w:rFonts w:ascii="Verdana" w:hAnsi="Verdana"/>
          <w:b w:val="0"/>
          <w:color w:val="000000"/>
          <w:sz w:val="16"/>
          <w:szCs w:val="16"/>
        </w:rPr>
        <w:t xml:space="preserve"> Sentencia de 15 de octubre de 2019. Serie C No. 391., párr. 135</w:t>
      </w:r>
      <w:r w:rsidRPr="00E46F1E">
        <w:rPr>
          <w:rFonts w:ascii="Verdana" w:hAnsi="Verdana"/>
          <w:sz w:val="16"/>
          <w:szCs w:val="16"/>
        </w:rPr>
        <w:t>.</w:t>
      </w:r>
    </w:p>
  </w:footnote>
  <w:footnote w:id="199">
    <w:p w14:paraId="65B6A6B9" w14:textId="77777777" w:rsidR="00E46F1E" w:rsidRPr="001067EF" w:rsidRDefault="00E46F1E" w:rsidP="00C40460">
      <w:pPr>
        <w:pStyle w:val="Textonotapie"/>
        <w:widowControl w:val="0"/>
        <w:tabs>
          <w:tab w:val="left" w:pos="426"/>
          <w:tab w:val="left" w:pos="567"/>
        </w:tabs>
        <w:spacing w:after="120"/>
        <w:jc w:val="both"/>
        <w:rPr>
          <w:rFonts w:ascii="Verdana" w:hAnsi="Verdana"/>
          <w:spacing w:val="-4"/>
          <w:sz w:val="16"/>
          <w:szCs w:val="16"/>
          <w:lang w:val="es-CR"/>
        </w:rPr>
      </w:pPr>
      <w:r w:rsidRPr="001067EF">
        <w:rPr>
          <w:rStyle w:val="Refdenotaalpie"/>
          <w:rFonts w:ascii="Verdana" w:eastAsiaTheme="majorEastAsia" w:hAnsi="Verdana"/>
          <w:spacing w:val="-4"/>
          <w:sz w:val="16"/>
          <w:szCs w:val="16"/>
        </w:rPr>
        <w:footnoteRef/>
      </w:r>
      <w:r w:rsidRPr="001067EF">
        <w:rPr>
          <w:rFonts w:ascii="Verdana" w:hAnsi="Verdana"/>
          <w:spacing w:val="-4"/>
          <w:sz w:val="16"/>
          <w:szCs w:val="16"/>
          <w:lang w:val="es-CR"/>
        </w:rPr>
        <w:tab/>
      </w:r>
      <w:r w:rsidRPr="001067EF">
        <w:rPr>
          <w:rFonts w:ascii="Verdana" w:hAnsi="Verdana"/>
          <w:spacing w:val="-4"/>
          <w:sz w:val="16"/>
          <w:szCs w:val="16"/>
          <w:lang w:val="es-CR"/>
        </w:rPr>
        <w:tab/>
      </w:r>
      <w:r w:rsidRPr="001067EF">
        <w:rPr>
          <w:rFonts w:ascii="Verdana" w:hAnsi="Verdana"/>
          <w:spacing w:val="-4"/>
          <w:sz w:val="16"/>
          <w:szCs w:val="16"/>
          <w:lang w:val="es-CR"/>
        </w:rPr>
        <w:tab/>
      </w:r>
      <w:r w:rsidRPr="001067EF">
        <w:rPr>
          <w:rFonts w:ascii="Verdana" w:hAnsi="Verdana"/>
          <w:i/>
          <w:iCs/>
          <w:spacing w:val="-4"/>
          <w:sz w:val="16"/>
          <w:szCs w:val="16"/>
          <w:lang w:val="es-CR"/>
        </w:rPr>
        <w:t xml:space="preserve">Cfr. </w:t>
      </w:r>
      <w:r w:rsidRPr="001067EF">
        <w:rPr>
          <w:rFonts w:ascii="Verdana" w:hAnsi="Verdana"/>
          <w:bCs/>
          <w:i/>
          <w:iCs/>
          <w:spacing w:val="-4"/>
          <w:sz w:val="16"/>
          <w:szCs w:val="16"/>
          <w:lang w:val="es-CR"/>
        </w:rPr>
        <w:t xml:space="preserve">Caso </w:t>
      </w:r>
      <w:proofErr w:type="spellStart"/>
      <w:r w:rsidRPr="001067EF">
        <w:rPr>
          <w:rFonts w:ascii="Verdana" w:hAnsi="Verdana"/>
          <w:bCs/>
          <w:i/>
          <w:iCs/>
          <w:spacing w:val="-4"/>
          <w:sz w:val="16"/>
          <w:szCs w:val="16"/>
          <w:lang w:val="es-CR"/>
        </w:rPr>
        <w:t>Apitz</w:t>
      </w:r>
      <w:proofErr w:type="spellEnd"/>
      <w:r w:rsidRPr="001067EF">
        <w:rPr>
          <w:rFonts w:ascii="Verdana" w:hAnsi="Verdana"/>
          <w:bCs/>
          <w:i/>
          <w:iCs/>
          <w:spacing w:val="-4"/>
          <w:sz w:val="16"/>
          <w:szCs w:val="16"/>
          <w:lang w:val="es-CR"/>
        </w:rPr>
        <w:t xml:space="preserve"> Barbera y otros (“Corte Primera de lo Contencioso Administrativo”) Vs. Venezuela. Excepción </w:t>
      </w:r>
      <w:r w:rsidRPr="00E46F1E">
        <w:rPr>
          <w:rFonts w:ascii="Verdana" w:hAnsi="Verdana"/>
          <w:bCs/>
          <w:i/>
          <w:iCs/>
          <w:spacing w:val="-4"/>
          <w:sz w:val="16"/>
          <w:szCs w:val="16"/>
          <w:lang w:val="es-CR"/>
        </w:rPr>
        <w:t xml:space="preserve">Preliminar, Fondo, Reparaciones y Costas. </w:t>
      </w:r>
      <w:r w:rsidRPr="00E46F1E">
        <w:rPr>
          <w:rFonts w:ascii="Verdana" w:hAnsi="Verdana"/>
          <w:bCs/>
          <w:iCs/>
          <w:spacing w:val="-4"/>
          <w:sz w:val="16"/>
          <w:szCs w:val="16"/>
          <w:lang w:val="es-CR"/>
        </w:rPr>
        <w:t>Sentencia de 5 de agosto de 2008. Serie C No. 182</w:t>
      </w:r>
      <w:r w:rsidRPr="00E46F1E">
        <w:rPr>
          <w:rFonts w:ascii="Verdana" w:eastAsia="Calibri" w:hAnsi="Verdana"/>
          <w:bCs/>
          <w:sz w:val="16"/>
          <w:szCs w:val="16"/>
          <w:lang w:val="es-CR"/>
        </w:rPr>
        <w:t>,</w:t>
      </w:r>
      <w:r w:rsidRPr="00E46F1E">
        <w:rPr>
          <w:rFonts w:ascii="Verdana" w:hAnsi="Verdana"/>
          <w:spacing w:val="-4"/>
          <w:sz w:val="16"/>
          <w:szCs w:val="16"/>
          <w:lang w:val="es-CR"/>
        </w:rPr>
        <w:t xml:space="preserve"> párr. 78, y</w:t>
      </w:r>
      <w:r w:rsidRPr="00E46F1E">
        <w:rPr>
          <w:rFonts w:ascii="Verdana" w:hAnsi="Verdana" w:cs="Verdana"/>
          <w:bCs/>
          <w:i/>
          <w:spacing w:val="-4"/>
          <w:sz w:val="16"/>
          <w:szCs w:val="16"/>
          <w:lang w:val="es-CR"/>
        </w:rPr>
        <w:t xml:space="preserve"> </w:t>
      </w:r>
      <w:r w:rsidRPr="00E46F1E">
        <w:rPr>
          <w:rFonts w:ascii="Verdana" w:hAnsi="Verdana"/>
          <w:bCs/>
          <w:i/>
          <w:sz w:val="16"/>
          <w:szCs w:val="16"/>
          <w:lang w:val="es-CR"/>
        </w:rPr>
        <w:t xml:space="preserve">Caso </w:t>
      </w:r>
      <w:proofErr w:type="spellStart"/>
      <w:r w:rsidRPr="00E46F1E">
        <w:rPr>
          <w:rFonts w:ascii="Verdana" w:hAnsi="Verdana"/>
          <w:bCs/>
          <w:i/>
          <w:sz w:val="16"/>
          <w:szCs w:val="16"/>
          <w:lang w:val="es-CR"/>
        </w:rPr>
        <w:t>Amrhein</w:t>
      </w:r>
      <w:proofErr w:type="spellEnd"/>
      <w:r w:rsidRPr="00E46F1E">
        <w:rPr>
          <w:rFonts w:ascii="Verdana" w:hAnsi="Verdana"/>
          <w:bCs/>
          <w:i/>
          <w:sz w:val="16"/>
          <w:szCs w:val="16"/>
          <w:lang w:val="es-CR"/>
        </w:rPr>
        <w:t xml:space="preserve"> y otros Vs. Costa Rica. Excepciones Preliminares, Fondo, Reparaciones y Costas</w:t>
      </w:r>
      <w:r w:rsidRPr="00E46F1E">
        <w:rPr>
          <w:rFonts w:ascii="Verdana" w:hAnsi="Verdana"/>
          <w:bCs/>
          <w:sz w:val="16"/>
          <w:szCs w:val="16"/>
          <w:lang w:val="es-CR"/>
        </w:rPr>
        <w:t>. Sentencia de 25 de abril de 2018. Serie C No. 354, párr. 268.</w:t>
      </w:r>
    </w:p>
  </w:footnote>
  <w:footnote w:id="200">
    <w:p w14:paraId="2B2700AB" w14:textId="77777777" w:rsidR="00E46F1E" w:rsidRPr="001067EF" w:rsidRDefault="00E46F1E" w:rsidP="00C40460">
      <w:pPr>
        <w:widowControl w:val="0"/>
        <w:tabs>
          <w:tab w:val="left" w:pos="426"/>
          <w:tab w:val="left" w:pos="567"/>
        </w:tabs>
        <w:autoSpaceDE w:val="0"/>
        <w:autoSpaceDN w:val="0"/>
        <w:spacing w:after="120" w:line="240" w:lineRule="auto"/>
        <w:jc w:val="both"/>
        <w:rPr>
          <w:rFonts w:ascii="Verdana" w:hAnsi="Verdana" w:cs="Verdana"/>
          <w:i/>
          <w:iCs/>
          <w:spacing w:val="-4"/>
          <w:sz w:val="16"/>
          <w:szCs w:val="16"/>
          <w:lang w:val="es-CR"/>
        </w:rPr>
      </w:pPr>
      <w:r w:rsidRPr="001067EF">
        <w:rPr>
          <w:rStyle w:val="Refdenotaalpie"/>
          <w:rFonts w:ascii="Verdana" w:hAnsi="Verdana"/>
          <w:spacing w:val="-4"/>
          <w:sz w:val="16"/>
          <w:szCs w:val="16"/>
        </w:rPr>
        <w:footnoteRef/>
      </w:r>
      <w:r w:rsidRPr="001067EF">
        <w:rPr>
          <w:rFonts w:ascii="Verdana" w:hAnsi="Verdana"/>
          <w:spacing w:val="-4"/>
          <w:sz w:val="16"/>
          <w:szCs w:val="16"/>
          <w:lang w:val="es-CR"/>
        </w:rPr>
        <w:tab/>
      </w:r>
      <w:r w:rsidRPr="001067EF">
        <w:rPr>
          <w:rFonts w:ascii="Verdana" w:hAnsi="Verdana"/>
          <w:spacing w:val="-4"/>
          <w:sz w:val="16"/>
          <w:szCs w:val="16"/>
          <w:lang w:val="es-CR"/>
        </w:rPr>
        <w:tab/>
      </w:r>
      <w:r w:rsidRPr="001067EF">
        <w:rPr>
          <w:rFonts w:ascii="Verdana" w:hAnsi="Verdana"/>
          <w:spacing w:val="-4"/>
          <w:sz w:val="16"/>
          <w:szCs w:val="16"/>
          <w:lang w:val="es-CR"/>
        </w:rPr>
        <w:tab/>
      </w:r>
      <w:r w:rsidRPr="001067EF">
        <w:rPr>
          <w:rFonts w:ascii="Verdana" w:hAnsi="Verdana"/>
          <w:i/>
          <w:spacing w:val="-4"/>
          <w:sz w:val="16"/>
          <w:szCs w:val="16"/>
          <w:lang w:val="es-CR"/>
        </w:rPr>
        <w:t>Cfr.</w:t>
      </w:r>
      <w:r w:rsidRPr="001067EF">
        <w:rPr>
          <w:rFonts w:ascii="Verdana" w:hAnsi="Verdana"/>
          <w:spacing w:val="-4"/>
          <w:sz w:val="16"/>
          <w:szCs w:val="16"/>
          <w:lang w:val="es-CR"/>
        </w:rPr>
        <w:t xml:space="preserve"> </w:t>
      </w:r>
      <w:r w:rsidRPr="001067EF">
        <w:rPr>
          <w:rFonts w:ascii="Verdana" w:hAnsi="Verdana" w:cs="Verdana"/>
          <w:i/>
          <w:iCs/>
          <w:spacing w:val="-4"/>
          <w:sz w:val="16"/>
          <w:szCs w:val="16"/>
          <w:lang w:val="es-CR"/>
        </w:rPr>
        <w:t>Caso Chaparro Álvarez y Lapo Íñiguez Vs. Ecuador. Excepciones Preliminares, Fondo, Reparaciones y Costas</w:t>
      </w:r>
      <w:r w:rsidRPr="001067EF">
        <w:rPr>
          <w:rFonts w:ascii="Verdana" w:hAnsi="Verdana" w:cs="Verdana"/>
          <w:iCs/>
          <w:spacing w:val="-4"/>
          <w:sz w:val="16"/>
          <w:szCs w:val="16"/>
          <w:lang w:val="es-CR"/>
        </w:rPr>
        <w:t xml:space="preserve">. Sentencia de 21 de </w:t>
      </w:r>
      <w:r w:rsidRPr="00E46F1E">
        <w:rPr>
          <w:rFonts w:ascii="Verdana" w:hAnsi="Verdana" w:cs="Verdana"/>
          <w:iCs/>
          <w:spacing w:val="-4"/>
          <w:sz w:val="16"/>
          <w:szCs w:val="16"/>
          <w:lang w:val="es-CR"/>
        </w:rPr>
        <w:t>noviembre de 2007. Serie C No. 170</w:t>
      </w:r>
      <w:r w:rsidRPr="00E46F1E">
        <w:rPr>
          <w:rFonts w:ascii="Verdana" w:hAnsi="Verdana" w:cs="Verdana"/>
          <w:spacing w:val="-4"/>
          <w:sz w:val="16"/>
          <w:szCs w:val="16"/>
          <w:lang w:val="es-CR"/>
        </w:rPr>
        <w:t>, párr. 107</w:t>
      </w:r>
      <w:r w:rsidRPr="00E46F1E">
        <w:rPr>
          <w:rFonts w:ascii="Verdana" w:hAnsi="Verdana"/>
          <w:spacing w:val="-4"/>
          <w:sz w:val="16"/>
          <w:szCs w:val="16"/>
          <w:lang w:val="es-CR"/>
        </w:rPr>
        <w:t xml:space="preserve">, y </w:t>
      </w:r>
      <w:r w:rsidRPr="00E46F1E">
        <w:rPr>
          <w:rFonts w:ascii="Verdana" w:hAnsi="Verdana"/>
          <w:i/>
          <w:spacing w:val="-4"/>
          <w:sz w:val="16"/>
          <w:szCs w:val="16"/>
          <w:lang w:val="es-CR"/>
        </w:rPr>
        <w:t>Caso</w:t>
      </w:r>
      <w:r w:rsidRPr="00E46F1E">
        <w:rPr>
          <w:rFonts w:ascii="Verdana" w:hAnsi="Verdana"/>
          <w:spacing w:val="-4"/>
          <w:sz w:val="16"/>
          <w:szCs w:val="16"/>
          <w:lang w:val="es-CR"/>
        </w:rPr>
        <w:t xml:space="preserve"> </w:t>
      </w:r>
      <w:proofErr w:type="spellStart"/>
      <w:r w:rsidRPr="00E46F1E">
        <w:rPr>
          <w:rFonts w:ascii="Verdana" w:hAnsi="Verdana"/>
          <w:bCs/>
          <w:i/>
          <w:sz w:val="16"/>
          <w:szCs w:val="16"/>
          <w:lang w:val="es-CR"/>
        </w:rPr>
        <w:t>Amrhein</w:t>
      </w:r>
      <w:proofErr w:type="spellEnd"/>
      <w:r w:rsidRPr="00E46F1E">
        <w:rPr>
          <w:rFonts w:ascii="Verdana" w:hAnsi="Verdana"/>
          <w:bCs/>
          <w:i/>
          <w:sz w:val="16"/>
          <w:szCs w:val="16"/>
          <w:lang w:val="es-CR"/>
        </w:rPr>
        <w:t xml:space="preserve"> y otros Vs. Costa Rica. Excepciones Preliminares, Fondo, Reparaciones y Costas</w:t>
      </w:r>
      <w:r w:rsidRPr="00E46F1E">
        <w:rPr>
          <w:rFonts w:ascii="Verdana" w:hAnsi="Verdana"/>
          <w:bCs/>
          <w:sz w:val="16"/>
          <w:szCs w:val="16"/>
          <w:lang w:val="es-CR"/>
        </w:rPr>
        <w:t>. Sentencia de 25 de abril de 2018. Serie C No. 354, párr. 268.</w:t>
      </w:r>
    </w:p>
  </w:footnote>
  <w:footnote w:id="201">
    <w:p w14:paraId="12516475" w14:textId="77777777" w:rsidR="00E46F1E" w:rsidRPr="001067EF" w:rsidRDefault="00E46F1E" w:rsidP="00C40460">
      <w:pPr>
        <w:pStyle w:val="Textonotapie"/>
        <w:widowControl w:val="0"/>
        <w:tabs>
          <w:tab w:val="left" w:pos="426"/>
          <w:tab w:val="left" w:pos="567"/>
        </w:tabs>
        <w:spacing w:after="120"/>
        <w:jc w:val="both"/>
        <w:rPr>
          <w:rFonts w:ascii="Verdana" w:hAnsi="Verdana"/>
          <w:spacing w:val="-4"/>
          <w:sz w:val="16"/>
          <w:szCs w:val="16"/>
          <w:lang w:val="es-CR"/>
        </w:rPr>
      </w:pPr>
      <w:r w:rsidRPr="001067EF">
        <w:rPr>
          <w:rStyle w:val="Refdenotaalpie"/>
          <w:rFonts w:ascii="Verdana" w:eastAsiaTheme="majorEastAsia" w:hAnsi="Verdana"/>
          <w:spacing w:val="-4"/>
          <w:sz w:val="16"/>
          <w:szCs w:val="16"/>
        </w:rPr>
        <w:footnoteRef/>
      </w:r>
      <w:r w:rsidRPr="001067EF">
        <w:rPr>
          <w:rFonts w:ascii="Verdana" w:hAnsi="Verdana"/>
          <w:spacing w:val="-4"/>
          <w:sz w:val="16"/>
          <w:szCs w:val="16"/>
          <w:lang w:val="es-CR"/>
        </w:rPr>
        <w:tab/>
      </w:r>
      <w:r w:rsidRPr="001067EF">
        <w:rPr>
          <w:rFonts w:ascii="Verdana" w:hAnsi="Verdana"/>
          <w:spacing w:val="-4"/>
          <w:sz w:val="16"/>
          <w:szCs w:val="16"/>
          <w:lang w:val="es-CR"/>
        </w:rPr>
        <w:tab/>
      </w:r>
      <w:r w:rsidRPr="001067EF">
        <w:rPr>
          <w:rFonts w:ascii="Verdana" w:hAnsi="Verdana"/>
          <w:spacing w:val="-4"/>
          <w:sz w:val="16"/>
          <w:szCs w:val="16"/>
          <w:lang w:val="es-CR"/>
        </w:rPr>
        <w:tab/>
      </w:r>
      <w:r w:rsidRPr="001067EF">
        <w:rPr>
          <w:rFonts w:ascii="Verdana" w:hAnsi="Verdana"/>
          <w:i/>
          <w:spacing w:val="-4"/>
          <w:sz w:val="16"/>
          <w:szCs w:val="16"/>
          <w:lang w:val="es-CR"/>
        </w:rPr>
        <w:t>Cfr.</w:t>
      </w:r>
      <w:r w:rsidRPr="001067EF">
        <w:rPr>
          <w:rFonts w:ascii="Verdana" w:hAnsi="Verdana"/>
          <w:spacing w:val="-4"/>
          <w:sz w:val="16"/>
          <w:szCs w:val="16"/>
          <w:lang w:val="es-CR"/>
        </w:rPr>
        <w:t xml:space="preserve"> </w:t>
      </w:r>
      <w:r w:rsidRPr="00E46F1E">
        <w:rPr>
          <w:rFonts w:ascii="Verdana" w:hAnsi="Verdana" w:cs="Tahoma"/>
          <w:i/>
          <w:sz w:val="16"/>
          <w:szCs w:val="16"/>
          <w:lang w:val="es-CR"/>
        </w:rPr>
        <w:t xml:space="preserve">Caso </w:t>
      </w:r>
      <w:proofErr w:type="spellStart"/>
      <w:r w:rsidRPr="00E46F1E">
        <w:rPr>
          <w:rFonts w:ascii="Verdana" w:hAnsi="Verdana" w:cs="Tahoma"/>
          <w:i/>
          <w:sz w:val="16"/>
          <w:szCs w:val="16"/>
          <w:lang w:val="es-CR"/>
        </w:rPr>
        <w:t>Apitz</w:t>
      </w:r>
      <w:proofErr w:type="spellEnd"/>
      <w:r w:rsidRPr="00E46F1E">
        <w:rPr>
          <w:rFonts w:ascii="Verdana" w:hAnsi="Verdana" w:cs="Tahoma"/>
          <w:i/>
          <w:sz w:val="16"/>
          <w:szCs w:val="16"/>
          <w:lang w:val="es-CR"/>
        </w:rPr>
        <w:t xml:space="preserve"> Barbera y otros (“Corte Primera de lo Contencioso Administrativo”) Vs. Venezuela. Excepción Preliminar, Fondo, Reparaciones y Costas. </w:t>
      </w:r>
      <w:r w:rsidRPr="00E46F1E">
        <w:rPr>
          <w:rFonts w:ascii="Verdana" w:hAnsi="Verdana" w:cs="Tahoma"/>
          <w:sz w:val="16"/>
          <w:szCs w:val="16"/>
          <w:lang w:val="es-CR"/>
        </w:rPr>
        <w:t>Sentencia de 5 de agosto de 2008. Serie C No. 182</w:t>
      </w:r>
      <w:r w:rsidRPr="00E46F1E">
        <w:rPr>
          <w:rFonts w:ascii="Verdana" w:hAnsi="Verdana"/>
          <w:i/>
          <w:spacing w:val="-4"/>
          <w:sz w:val="16"/>
          <w:szCs w:val="16"/>
          <w:lang w:val="es-CR"/>
        </w:rPr>
        <w:t xml:space="preserve">, </w:t>
      </w:r>
      <w:r w:rsidRPr="00E46F1E">
        <w:rPr>
          <w:rFonts w:ascii="Verdana" w:hAnsi="Verdana"/>
          <w:spacing w:val="-4"/>
          <w:sz w:val="16"/>
          <w:szCs w:val="16"/>
          <w:lang w:val="es-CR"/>
        </w:rPr>
        <w:t xml:space="preserve">párr. 77, y </w:t>
      </w:r>
      <w:r w:rsidRPr="00E46F1E">
        <w:rPr>
          <w:rFonts w:ascii="Verdana" w:hAnsi="Verdana"/>
          <w:bCs/>
          <w:i/>
          <w:sz w:val="16"/>
          <w:szCs w:val="16"/>
          <w:lang w:val="es-CR"/>
        </w:rPr>
        <w:t xml:space="preserve">Caso </w:t>
      </w:r>
      <w:proofErr w:type="spellStart"/>
      <w:r w:rsidRPr="00E46F1E">
        <w:rPr>
          <w:rFonts w:ascii="Verdana" w:hAnsi="Verdana"/>
          <w:bCs/>
          <w:i/>
          <w:sz w:val="16"/>
          <w:szCs w:val="16"/>
          <w:lang w:val="es-CR"/>
        </w:rPr>
        <w:t>Amrhein</w:t>
      </w:r>
      <w:proofErr w:type="spellEnd"/>
      <w:r w:rsidRPr="00E46F1E">
        <w:rPr>
          <w:rFonts w:ascii="Verdana" w:hAnsi="Verdana"/>
          <w:bCs/>
          <w:i/>
          <w:sz w:val="16"/>
          <w:szCs w:val="16"/>
          <w:lang w:val="es-CR"/>
        </w:rPr>
        <w:t xml:space="preserve"> y otros Vs. Costa Rica. Excepciones Preliminares, Fondo, Reparaciones y Costas</w:t>
      </w:r>
      <w:r w:rsidRPr="00E46F1E">
        <w:rPr>
          <w:rFonts w:ascii="Verdana" w:hAnsi="Verdana"/>
          <w:bCs/>
          <w:sz w:val="16"/>
          <w:szCs w:val="16"/>
          <w:lang w:val="es-CR"/>
        </w:rPr>
        <w:t>. Sentencia de 25 de abril de 2018. Serie C No. 354, párr. 268.</w:t>
      </w:r>
    </w:p>
  </w:footnote>
  <w:footnote w:id="202">
    <w:p w14:paraId="5787A928" w14:textId="77777777" w:rsidR="00E46F1E" w:rsidRPr="001067EF" w:rsidRDefault="00E46F1E" w:rsidP="00C40460">
      <w:pPr>
        <w:pStyle w:val="Textonotapie"/>
        <w:widowControl w:val="0"/>
        <w:tabs>
          <w:tab w:val="left" w:pos="426"/>
          <w:tab w:val="left" w:pos="567"/>
          <w:tab w:val="left" w:pos="8085"/>
        </w:tabs>
        <w:spacing w:after="120"/>
        <w:jc w:val="both"/>
        <w:rPr>
          <w:rFonts w:ascii="Verdana" w:hAnsi="Verdana"/>
          <w:spacing w:val="-4"/>
          <w:sz w:val="16"/>
          <w:szCs w:val="16"/>
          <w:lang w:val="es-CR"/>
        </w:rPr>
      </w:pPr>
      <w:r w:rsidRPr="001067EF">
        <w:rPr>
          <w:rStyle w:val="Refdenotaalpie"/>
          <w:rFonts w:ascii="Verdana" w:eastAsiaTheme="majorEastAsia" w:hAnsi="Verdana"/>
          <w:spacing w:val="-4"/>
          <w:sz w:val="16"/>
          <w:szCs w:val="16"/>
        </w:rPr>
        <w:footnoteRef/>
      </w:r>
      <w:r w:rsidRPr="00E46F1E">
        <w:rPr>
          <w:rFonts w:ascii="Verdana" w:hAnsi="Verdana"/>
          <w:i/>
          <w:spacing w:val="-4"/>
          <w:sz w:val="16"/>
          <w:szCs w:val="16"/>
          <w:lang w:val="es-CR"/>
        </w:rPr>
        <w:tab/>
      </w:r>
      <w:r w:rsidRPr="00E46F1E">
        <w:rPr>
          <w:rFonts w:ascii="Verdana" w:hAnsi="Verdana"/>
          <w:i/>
          <w:spacing w:val="-4"/>
          <w:sz w:val="16"/>
          <w:szCs w:val="16"/>
          <w:lang w:val="es-CR"/>
        </w:rPr>
        <w:tab/>
        <w:t xml:space="preserve">  Cfr</w:t>
      </w:r>
      <w:r w:rsidRPr="00E46F1E">
        <w:rPr>
          <w:rFonts w:ascii="Verdana" w:hAnsi="Verdana"/>
          <w:spacing w:val="-4"/>
          <w:sz w:val="16"/>
          <w:szCs w:val="16"/>
          <w:lang w:val="es-CR"/>
        </w:rPr>
        <w:t xml:space="preserve">. </w:t>
      </w:r>
      <w:r w:rsidRPr="00E46F1E">
        <w:rPr>
          <w:rFonts w:ascii="Verdana" w:hAnsi="Verdana" w:cs="Tahoma"/>
          <w:i/>
          <w:sz w:val="16"/>
          <w:szCs w:val="16"/>
          <w:lang w:val="es-CR"/>
        </w:rPr>
        <w:t xml:space="preserve">Caso </w:t>
      </w:r>
      <w:proofErr w:type="spellStart"/>
      <w:r w:rsidRPr="00E46F1E">
        <w:rPr>
          <w:rFonts w:ascii="Verdana" w:hAnsi="Verdana" w:cs="Tahoma"/>
          <w:i/>
          <w:sz w:val="16"/>
          <w:szCs w:val="16"/>
          <w:lang w:val="es-CR"/>
        </w:rPr>
        <w:t>Apitz</w:t>
      </w:r>
      <w:proofErr w:type="spellEnd"/>
      <w:r w:rsidRPr="00E46F1E">
        <w:rPr>
          <w:rFonts w:ascii="Verdana" w:hAnsi="Verdana" w:cs="Tahoma"/>
          <w:i/>
          <w:sz w:val="16"/>
          <w:szCs w:val="16"/>
          <w:lang w:val="es-CR"/>
        </w:rPr>
        <w:t xml:space="preserve"> Barbera y otros (“Corte Primera de lo Contencioso Administrativo”) Vs. Venezuela. Excepción Preliminar, Fondo, Reparaciones y Costas. </w:t>
      </w:r>
      <w:r w:rsidRPr="00E46F1E">
        <w:rPr>
          <w:rFonts w:ascii="Verdana" w:hAnsi="Verdana" w:cs="Tahoma"/>
          <w:sz w:val="16"/>
          <w:szCs w:val="16"/>
          <w:lang w:val="es-CR"/>
        </w:rPr>
        <w:t>Sentencia de 5 de agosto de 2008. Serie C No. 182</w:t>
      </w:r>
      <w:r w:rsidRPr="00E46F1E">
        <w:rPr>
          <w:rFonts w:ascii="Verdana" w:hAnsi="Verdana"/>
          <w:spacing w:val="-4"/>
          <w:sz w:val="16"/>
          <w:szCs w:val="16"/>
          <w:lang w:val="es-CR"/>
        </w:rPr>
        <w:t xml:space="preserve">, párr. 78, y </w:t>
      </w:r>
      <w:r w:rsidRPr="00E46F1E">
        <w:rPr>
          <w:rStyle w:val="Textoennegrita"/>
          <w:rFonts w:ascii="Verdana" w:hAnsi="Verdana"/>
          <w:b w:val="0"/>
          <w:i/>
          <w:color w:val="000000"/>
          <w:sz w:val="16"/>
          <w:szCs w:val="16"/>
          <w:lang w:val="es-CR"/>
        </w:rPr>
        <w:t>Caso Ramírez Escobar y otros Vs. Guatemala. Fondo, Reparaciones y Costas</w:t>
      </w:r>
      <w:r w:rsidRPr="00E46F1E">
        <w:rPr>
          <w:rStyle w:val="Textoennegrita"/>
          <w:rFonts w:ascii="Verdana" w:hAnsi="Verdana"/>
          <w:b w:val="0"/>
          <w:color w:val="000000"/>
          <w:sz w:val="16"/>
          <w:szCs w:val="16"/>
          <w:lang w:val="es-CR"/>
        </w:rPr>
        <w:t>. Sentencia de 9 de marzo de 2018. Serie C No. 351, párr. 187.</w:t>
      </w:r>
    </w:p>
  </w:footnote>
  <w:footnote w:id="203">
    <w:p w14:paraId="3440E336" w14:textId="503EFEB2" w:rsidR="00E46F1E" w:rsidRPr="001067EF" w:rsidRDefault="00E46F1E" w:rsidP="00C40460">
      <w:pPr>
        <w:widowControl w:val="0"/>
        <w:autoSpaceDE w:val="0"/>
        <w:autoSpaceDN w:val="0"/>
        <w:adjustRightInd w:val="0"/>
        <w:spacing w:after="120" w:line="240" w:lineRule="auto"/>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t xml:space="preserve">Artículo 141. </w:t>
      </w:r>
      <w:r w:rsidRPr="001067EF">
        <w:rPr>
          <w:rFonts w:ascii="Verdana" w:eastAsia="Verdana" w:hAnsi="Verdana" w:cs="Cambria"/>
          <w:bCs/>
          <w:color w:val="000000"/>
          <w:sz w:val="16"/>
          <w:szCs w:val="16"/>
          <w:u w:color="000000"/>
          <w:lang w:eastAsia="x-none"/>
        </w:rPr>
        <w:t>“</w:t>
      </w:r>
      <w:r w:rsidRPr="001067EF">
        <w:rPr>
          <w:rFonts w:ascii="Verdana" w:hAnsi="Verdana" w:cs="Arial"/>
          <w:color w:val="26282A"/>
          <w:sz w:val="16"/>
          <w:szCs w:val="16"/>
        </w:rPr>
        <w:t xml:space="preserve">El juez de la causa </w:t>
      </w:r>
      <w:proofErr w:type="spellStart"/>
      <w:r w:rsidRPr="001067EF">
        <w:rPr>
          <w:rFonts w:ascii="Verdana" w:hAnsi="Verdana" w:cs="Arial"/>
          <w:color w:val="26282A"/>
          <w:sz w:val="16"/>
          <w:szCs w:val="16"/>
        </w:rPr>
        <w:t>dispondr</w:t>
      </w:r>
      <w:proofErr w:type="spellEnd"/>
      <w:r w:rsidRPr="001067EF">
        <w:rPr>
          <w:rFonts w:ascii="Verdana" w:hAnsi="Verdana" w:cs="Arial"/>
          <w:color w:val="26282A"/>
          <w:sz w:val="16"/>
          <w:szCs w:val="16"/>
        </w:rPr>
        <w:t>[</w:t>
      </w:r>
      <w:proofErr w:type="spellStart"/>
      <w:r w:rsidRPr="001067EF">
        <w:rPr>
          <w:rFonts w:ascii="Verdana" w:hAnsi="Verdana" w:cs="Arial"/>
          <w:color w:val="26282A"/>
          <w:sz w:val="16"/>
          <w:szCs w:val="16"/>
        </w:rPr>
        <w:t>ía</w:t>
      </w:r>
      <w:proofErr w:type="spellEnd"/>
      <w:r w:rsidRPr="001067EF">
        <w:rPr>
          <w:rFonts w:ascii="Verdana" w:hAnsi="Verdana" w:cs="Arial"/>
          <w:color w:val="26282A"/>
          <w:sz w:val="16"/>
          <w:szCs w:val="16"/>
        </w:rPr>
        <w:t>] en general sobre la situación del encausado, y cualquier hecho significativo para la misma le ser[</w:t>
      </w:r>
      <w:proofErr w:type="spellStart"/>
      <w:r w:rsidRPr="001067EF">
        <w:rPr>
          <w:rFonts w:ascii="Verdana" w:hAnsi="Verdana" w:cs="Arial"/>
          <w:color w:val="26282A"/>
          <w:sz w:val="16"/>
          <w:szCs w:val="16"/>
        </w:rPr>
        <w:t>ía</w:t>
      </w:r>
      <w:proofErr w:type="spellEnd"/>
      <w:r w:rsidRPr="001067EF">
        <w:rPr>
          <w:rFonts w:ascii="Verdana" w:hAnsi="Verdana" w:cs="Arial"/>
          <w:color w:val="26282A"/>
          <w:sz w:val="16"/>
          <w:szCs w:val="16"/>
        </w:rPr>
        <w:t>] comunicado Inmediatamente”</w:t>
      </w:r>
    </w:p>
  </w:footnote>
  <w:footnote w:id="204">
    <w:p w14:paraId="58E98399" w14:textId="77777777" w:rsidR="00E46F1E" w:rsidRPr="001067EF" w:rsidRDefault="00E46F1E" w:rsidP="00C40460">
      <w:pPr>
        <w:pStyle w:val="Textonotapie"/>
        <w:widowControl w:val="0"/>
        <w:spacing w:after="120"/>
        <w:jc w:val="both"/>
        <w:rPr>
          <w:rFonts w:ascii="Verdana" w:hAnsi="Verdana"/>
          <w:sz w:val="16"/>
          <w:szCs w:val="16"/>
          <w:lang w:val="es-CR"/>
        </w:rPr>
      </w:pPr>
      <w:r w:rsidRPr="001067EF">
        <w:rPr>
          <w:rStyle w:val="Refdenotaalpie"/>
          <w:rFonts w:ascii="Verdana" w:hAnsi="Verdana"/>
          <w:sz w:val="16"/>
          <w:szCs w:val="16"/>
        </w:rPr>
        <w:footnoteRef/>
      </w:r>
      <w:r w:rsidRPr="001067EF">
        <w:rPr>
          <w:rFonts w:ascii="Verdana" w:hAnsi="Verdana"/>
          <w:sz w:val="16"/>
          <w:szCs w:val="16"/>
          <w:lang w:val="es-CR"/>
        </w:rPr>
        <w:tab/>
      </w:r>
      <w:r w:rsidRPr="001067EF">
        <w:rPr>
          <w:rFonts w:ascii="Verdana" w:hAnsi="Verdana"/>
          <w:i/>
          <w:sz w:val="16"/>
          <w:szCs w:val="16"/>
          <w:lang w:val="es-CR"/>
        </w:rPr>
        <w:t xml:space="preserve">Cfr. </w:t>
      </w:r>
      <w:r w:rsidRPr="00E46F1E">
        <w:rPr>
          <w:rStyle w:val="Textoennegrita"/>
          <w:rFonts w:ascii="Verdana" w:hAnsi="Verdana"/>
          <w:b w:val="0"/>
          <w:i/>
          <w:color w:val="000000"/>
          <w:sz w:val="16"/>
          <w:szCs w:val="16"/>
        </w:rPr>
        <w:t>Caso Chinchilla Sandoval y otros Vs. Guatemala. Excepción Preliminar, Fondo, Reparaciones y Costas.</w:t>
      </w:r>
      <w:r w:rsidRPr="00E46F1E">
        <w:rPr>
          <w:rStyle w:val="Textoennegrita"/>
          <w:rFonts w:ascii="Verdana" w:hAnsi="Verdana"/>
          <w:b w:val="0"/>
          <w:color w:val="000000"/>
          <w:sz w:val="16"/>
          <w:szCs w:val="16"/>
        </w:rPr>
        <w:t xml:space="preserve"> Sentencia de 29 de febrero de 2016. Serie C No. 312., párr. 236, y </w:t>
      </w:r>
      <w:r w:rsidRPr="00E46F1E">
        <w:rPr>
          <w:rFonts w:ascii="Verdana" w:hAnsi="Verdana"/>
          <w:sz w:val="16"/>
          <w:szCs w:val="16"/>
          <w:lang w:val="es-CR"/>
        </w:rPr>
        <w:t>CIDH, Informe sobre los Derechos Humanos de las Personas Privadas de la Libertad en las Américas, 31 de diciembre</w:t>
      </w:r>
      <w:r w:rsidRPr="001067EF">
        <w:rPr>
          <w:rFonts w:ascii="Verdana" w:hAnsi="Verdana"/>
          <w:sz w:val="16"/>
          <w:szCs w:val="16"/>
          <w:lang w:val="es-CR"/>
        </w:rPr>
        <w:t xml:space="preserve"> de 2011, párr. 300.</w:t>
      </w:r>
    </w:p>
  </w:footnote>
  <w:footnote w:id="205">
    <w:p w14:paraId="39AF3BA8" w14:textId="189FEDDF" w:rsidR="00E46F1E" w:rsidRPr="00C116EE" w:rsidRDefault="00E46F1E" w:rsidP="00C40460">
      <w:pPr>
        <w:pStyle w:val="Textonotapie"/>
        <w:widowControl w:val="0"/>
        <w:spacing w:after="120"/>
        <w:jc w:val="both"/>
        <w:rPr>
          <w:rFonts w:ascii="Verdana" w:hAnsi="Verdana"/>
          <w:b/>
          <w:sz w:val="16"/>
          <w:szCs w:val="16"/>
          <w:lang w:val="es-CR"/>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Cfr.</w:t>
      </w:r>
      <w:r w:rsidRPr="001067EF">
        <w:rPr>
          <w:rFonts w:ascii="Verdana" w:hAnsi="Verdana"/>
          <w:sz w:val="16"/>
          <w:szCs w:val="16"/>
        </w:rPr>
        <w:t xml:space="preserve"> </w:t>
      </w:r>
      <w:r w:rsidRPr="001067EF">
        <w:rPr>
          <w:rFonts w:ascii="Verdana" w:hAnsi="Verdana" w:cstheme="minorHAnsi"/>
          <w:bCs/>
          <w:i/>
          <w:sz w:val="16"/>
          <w:szCs w:val="16"/>
          <w:lang w:val="es-CR"/>
        </w:rPr>
        <w:t>Caso San Miguel Sosa y otras Vs. Venezuela. Fondo, Reparaciones y Costas.</w:t>
      </w:r>
      <w:r w:rsidRPr="001067EF">
        <w:rPr>
          <w:rFonts w:ascii="Verdana" w:hAnsi="Verdana" w:cstheme="minorHAnsi"/>
          <w:bCs/>
          <w:sz w:val="16"/>
          <w:szCs w:val="16"/>
          <w:lang w:val="es-CR"/>
        </w:rPr>
        <w:t xml:space="preserve"> Sentencia de 8 de febrero de 2018. Serie C No. 348. párr. 208 y </w:t>
      </w:r>
      <w:r w:rsidRPr="00E46F1E">
        <w:rPr>
          <w:rStyle w:val="Textoennegrita"/>
          <w:rFonts w:ascii="Verdana" w:hAnsi="Verdana"/>
          <w:b w:val="0"/>
          <w:i/>
          <w:color w:val="000000"/>
          <w:sz w:val="16"/>
          <w:szCs w:val="16"/>
        </w:rPr>
        <w:t>Caso Muelle Flores Vs. Perú. Excepciones Preliminares, Fondo, Reparaciones y Costas.</w:t>
      </w:r>
      <w:r w:rsidRPr="00E46F1E">
        <w:rPr>
          <w:rStyle w:val="Textoennegrita"/>
          <w:rFonts w:ascii="Verdana" w:hAnsi="Verdana"/>
          <w:b w:val="0"/>
          <w:color w:val="000000"/>
          <w:sz w:val="16"/>
          <w:szCs w:val="16"/>
        </w:rPr>
        <w:t xml:space="preserve"> Sentencia de 6 de marzo de 2019. Serie C No. 375., párr. 125.</w:t>
      </w:r>
    </w:p>
  </w:footnote>
  <w:footnote w:id="206">
    <w:p w14:paraId="085209FA" w14:textId="77777777"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E46F1E">
        <w:rPr>
          <w:rFonts w:ascii="Verdana" w:hAnsi="Verdana"/>
          <w:i/>
          <w:sz w:val="16"/>
          <w:szCs w:val="16"/>
        </w:rPr>
        <w:t xml:space="preserve">Cfr. </w:t>
      </w:r>
      <w:r w:rsidRPr="00E46F1E">
        <w:rPr>
          <w:rStyle w:val="Textoennegrita"/>
          <w:rFonts w:ascii="Verdana" w:hAnsi="Verdana"/>
          <w:b w:val="0"/>
          <w:i/>
          <w:color w:val="000000"/>
          <w:sz w:val="16"/>
          <w:szCs w:val="16"/>
        </w:rPr>
        <w:t xml:space="preserve">Caso </w:t>
      </w:r>
      <w:proofErr w:type="spellStart"/>
      <w:r w:rsidRPr="00E46F1E">
        <w:rPr>
          <w:rStyle w:val="Textoennegrita"/>
          <w:rFonts w:ascii="Verdana" w:hAnsi="Verdana"/>
          <w:b w:val="0"/>
          <w:i/>
          <w:color w:val="000000"/>
          <w:sz w:val="16"/>
          <w:szCs w:val="16"/>
        </w:rPr>
        <w:t>Cuscul</w:t>
      </w:r>
      <w:proofErr w:type="spellEnd"/>
      <w:r w:rsidRPr="00E46F1E">
        <w:rPr>
          <w:rStyle w:val="Textoennegrita"/>
          <w:rFonts w:ascii="Verdana" w:hAnsi="Verdana"/>
          <w:b w:val="0"/>
          <w:i/>
          <w:color w:val="000000"/>
          <w:sz w:val="16"/>
          <w:szCs w:val="16"/>
        </w:rPr>
        <w:t xml:space="preserve"> Pivaral y otros Vs. Guatemala. Excepción Preliminar, Fondo, Reparaciones y Costas.</w:t>
      </w:r>
      <w:r w:rsidRPr="00E46F1E">
        <w:rPr>
          <w:rStyle w:val="Textoennegrita"/>
          <w:rFonts w:ascii="Verdana" w:hAnsi="Verdana"/>
          <w:b w:val="0"/>
          <w:color w:val="000000"/>
          <w:sz w:val="16"/>
          <w:szCs w:val="16"/>
        </w:rPr>
        <w:t xml:space="preserve"> Sentencia de 23 de agosto de 2018. Serie C No. 359</w:t>
      </w:r>
      <w:r w:rsidRPr="00E46F1E">
        <w:rPr>
          <w:rFonts w:ascii="Verdana" w:hAnsi="Verdana"/>
          <w:sz w:val="16"/>
          <w:szCs w:val="16"/>
        </w:rPr>
        <w:t>, párr. 185</w:t>
      </w:r>
    </w:p>
  </w:footnote>
  <w:footnote w:id="207">
    <w:p w14:paraId="3E174E3B" w14:textId="575127AD" w:rsidR="00E46F1E" w:rsidRPr="001067EF" w:rsidRDefault="00E46F1E" w:rsidP="00C40460">
      <w:pPr>
        <w:widowControl w:val="0"/>
        <w:autoSpaceDE w:val="0"/>
        <w:autoSpaceDN w:val="0"/>
        <w:adjustRightInd w:val="0"/>
        <w:spacing w:after="120" w:line="240" w:lineRule="auto"/>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t xml:space="preserve">La Ley 10.484 denominada Ley de Excarcelación y Eximición de Prisión fue promulgada en 1987, en </w:t>
      </w:r>
      <w:r w:rsidRPr="001067EF">
        <w:rPr>
          <w:rFonts w:ascii="Verdana" w:hAnsi="Verdana" w:cs="Arial"/>
          <w:color w:val="000000"/>
          <w:sz w:val="16"/>
          <w:szCs w:val="16"/>
        </w:rPr>
        <w:t>el mismo año tuvo algunas modificaciones introducidas mediante la Ley 10.594 y en el año de 1990 fueron promulgadas otras modificaciones mediante la Ley 10.933, entre ellas, las del artículo 2º vigente al momento de los hechos</w:t>
      </w:r>
      <w:r w:rsidRPr="001067EF">
        <w:rPr>
          <w:rFonts w:ascii="Verdana" w:hAnsi="Verdana"/>
          <w:sz w:val="16"/>
          <w:szCs w:val="16"/>
        </w:rPr>
        <w:t>, que prescribía lo siguiente: “</w:t>
      </w:r>
      <w:r w:rsidRPr="001067EF">
        <w:rPr>
          <w:rFonts w:ascii="Verdana" w:hAnsi="Verdana" w:cs="Times New Roman"/>
          <w:sz w:val="16"/>
          <w:szCs w:val="16"/>
        </w:rPr>
        <w:t>En los casos que conforme las previsiones de los incisos a) y b) del artículo anterior y del artículo 4° no correspondiere la excarcelación, el Juez o Tribunal podrá concederla cuando por la objetiva valoración de las características del o los hechos atribuidos, de las condiciones personales del imputado, y de otras circunstancias que se consideren relevantes, pudiera presumir que el mismo no procurará eludir u obstaculizar la investigación, ni burlar la acción de la Justicia. En estos casos el Juez o Tribunal podrá, de acuerdo a las circunstancias y a la personalidad del detenido, someterlo al cumplimiento de reglas especiales de vigilancia y/o cuidado asistencial, sin perjuicio de lo dispuesto en el artículo 13”.</w:t>
      </w:r>
    </w:p>
  </w:footnote>
  <w:footnote w:id="208">
    <w:p w14:paraId="1F210494" w14:textId="7F477F13"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t>Incidente de excarcelación extraordinaria interpuesto por la defensa del señor Hernández en octubre de 1990 (prueba para mejor resolver,</w:t>
      </w:r>
      <w:r>
        <w:rPr>
          <w:rFonts w:ascii="Verdana" w:hAnsi="Verdana"/>
          <w:sz w:val="16"/>
          <w:szCs w:val="16"/>
        </w:rPr>
        <w:t xml:space="preserve"> folio</w:t>
      </w:r>
      <w:r w:rsidRPr="001067EF">
        <w:rPr>
          <w:rFonts w:ascii="Verdana" w:hAnsi="Verdana"/>
          <w:sz w:val="16"/>
          <w:szCs w:val="16"/>
        </w:rPr>
        <w:t xml:space="preserve"> </w:t>
      </w:r>
      <w:r w:rsidRPr="001067EF">
        <w:rPr>
          <w:rFonts w:ascii="Verdana" w:hAnsi="Verdana"/>
          <w:sz w:val="16"/>
          <w:szCs w:val="16"/>
          <w:lang w:val="es-CR"/>
        </w:rPr>
        <w:t>6</w:t>
      </w:r>
      <w:r w:rsidRPr="001067EF">
        <w:rPr>
          <w:rFonts w:ascii="Verdana" w:hAnsi="Verdana"/>
          <w:sz w:val="16"/>
          <w:szCs w:val="16"/>
        </w:rPr>
        <w:t>14).</w:t>
      </w:r>
    </w:p>
  </w:footnote>
  <w:footnote w:id="209">
    <w:p w14:paraId="50B95EC2" w14:textId="7C0C5AE1" w:rsidR="00E46F1E" w:rsidRPr="001067EF" w:rsidRDefault="00E46F1E" w:rsidP="00C40460">
      <w:pPr>
        <w:pStyle w:val="Textonotapie"/>
        <w:widowControl w:val="0"/>
        <w:spacing w:after="120"/>
        <w:jc w:val="both"/>
        <w:rPr>
          <w:rFonts w:ascii="Verdana" w:hAnsi="Verdana"/>
          <w:color w:val="000000" w:themeColor="text1"/>
          <w:sz w:val="16"/>
          <w:szCs w:val="16"/>
          <w:highlight w:val="yellow"/>
          <w:lang w:val="es-ES"/>
        </w:rPr>
      </w:pPr>
      <w:r w:rsidRPr="001067EF">
        <w:rPr>
          <w:rStyle w:val="Refdenotaalpie"/>
          <w:rFonts w:ascii="Verdana" w:hAnsi="Verdana" w:cs="Calibri"/>
          <w:color w:val="000000" w:themeColor="text1"/>
          <w:sz w:val="16"/>
          <w:szCs w:val="16"/>
        </w:rPr>
        <w:footnoteRef/>
      </w:r>
      <w:r w:rsidRPr="001067EF">
        <w:rPr>
          <w:rFonts w:ascii="Verdana" w:hAnsi="Verdana" w:cs="Calibri"/>
          <w:color w:val="000000" w:themeColor="text1"/>
          <w:sz w:val="16"/>
          <w:szCs w:val="16"/>
          <w:lang w:val="es-ES"/>
        </w:rPr>
        <w:t xml:space="preserve"> </w:t>
      </w:r>
      <w:r w:rsidRPr="001067EF">
        <w:rPr>
          <w:rFonts w:ascii="Verdana" w:hAnsi="Verdana" w:cs="Calibri"/>
          <w:color w:val="000000" w:themeColor="text1"/>
          <w:sz w:val="16"/>
          <w:szCs w:val="16"/>
          <w:lang w:val="es-ES"/>
        </w:rPr>
        <w:tab/>
        <w:t xml:space="preserve">Resolución del Juez de la Causa recaída al incidente de excarcelación extraordinaria emitida el 17 de octubre de 1990 </w:t>
      </w:r>
      <w:r w:rsidRPr="001067EF">
        <w:rPr>
          <w:rFonts w:ascii="Verdana" w:hAnsi="Verdana"/>
          <w:sz w:val="16"/>
          <w:szCs w:val="16"/>
        </w:rPr>
        <w:t xml:space="preserve">(prueba para mejor resolver, </w:t>
      </w:r>
      <w:r>
        <w:rPr>
          <w:rFonts w:ascii="Verdana" w:hAnsi="Verdana"/>
          <w:sz w:val="16"/>
          <w:szCs w:val="16"/>
        </w:rPr>
        <w:t>folios 614 y 634</w:t>
      </w:r>
      <w:r w:rsidRPr="001067EF">
        <w:rPr>
          <w:rFonts w:ascii="Verdana" w:hAnsi="Verdana" w:cs="Calibri"/>
          <w:color w:val="000000" w:themeColor="text1"/>
          <w:sz w:val="16"/>
          <w:szCs w:val="16"/>
          <w:lang w:val="es-ES"/>
        </w:rPr>
        <w:t>).</w:t>
      </w:r>
    </w:p>
  </w:footnote>
  <w:footnote w:id="210">
    <w:p w14:paraId="72750CC5" w14:textId="5BBDDC80" w:rsidR="00E46F1E" w:rsidRPr="001067EF" w:rsidRDefault="00E46F1E" w:rsidP="00C40460">
      <w:pPr>
        <w:pStyle w:val="Textonotapie"/>
        <w:widowControl w:val="0"/>
        <w:spacing w:after="120"/>
        <w:jc w:val="both"/>
        <w:rPr>
          <w:rFonts w:ascii="Verdana" w:hAnsi="Verdana"/>
          <w:color w:val="000000" w:themeColor="text1"/>
          <w:sz w:val="16"/>
          <w:szCs w:val="16"/>
          <w:highlight w:val="yellow"/>
          <w:lang w:val="es-ES"/>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cs="Calibri"/>
          <w:color w:val="000000" w:themeColor="text1"/>
          <w:sz w:val="16"/>
          <w:szCs w:val="16"/>
          <w:lang w:val="es-ES"/>
        </w:rPr>
        <w:t xml:space="preserve">Resolución de la Sala Primera de la Cámara de Apelación en lo Criminal y Correccional de la Provincia de Buenos Aires de 29 de octubre de 1990 </w:t>
      </w:r>
      <w:r w:rsidRPr="001067EF">
        <w:rPr>
          <w:rFonts w:ascii="Verdana" w:hAnsi="Verdana"/>
          <w:sz w:val="16"/>
          <w:szCs w:val="16"/>
        </w:rPr>
        <w:t>(expediente de prueba para mejor resolver, primera parte, folios 640 y 641</w:t>
      </w:r>
      <w:r w:rsidRPr="001067EF">
        <w:rPr>
          <w:rFonts w:ascii="Verdana" w:hAnsi="Verdana" w:cs="Calibri"/>
          <w:color w:val="000000" w:themeColor="text1"/>
          <w:sz w:val="16"/>
          <w:szCs w:val="16"/>
          <w:lang w:val="es-ES"/>
        </w:rPr>
        <w:t>).</w:t>
      </w:r>
    </w:p>
  </w:footnote>
  <w:footnote w:id="211">
    <w:p w14:paraId="0F77C8AC" w14:textId="77777777"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Cfr.</w:t>
      </w:r>
      <w:r w:rsidRPr="001067EF">
        <w:rPr>
          <w:rFonts w:ascii="Verdana" w:hAnsi="Verdana"/>
          <w:sz w:val="16"/>
          <w:szCs w:val="16"/>
        </w:rPr>
        <w:t xml:space="preserve"> Oficios de 2 y 8 de octubre emitidos por el </w:t>
      </w:r>
      <w:proofErr w:type="gramStart"/>
      <w:r w:rsidRPr="001067EF">
        <w:rPr>
          <w:rFonts w:ascii="Verdana" w:hAnsi="Verdana"/>
          <w:sz w:val="16"/>
          <w:szCs w:val="16"/>
        </w:rPr>
        <w:t>Jefe</w:t>
      </w:r>
      <w:proofErr w:type="gramEnd"/>
      <w:r w:rsidRPr="001067EF">
        <w:rPr>
          <w:rFonts w:ascii="Verdana" w:hAnsi="Verdana"/>
          <w:sz w:val="16"/>
          <w:szCs w:val="16"/>
        </w:rPr>
        <w:t xml:space="preserve"> de la Unidad Carcelaria, que avisaban, entre otras cosas, sobre la </w:t>
      </w:r>
      <w:r w:rsidRPr="001067EF">
        <w:rPr>
          <w:rFonts w:ascii="Verdana" w:hAnsi="Verdana"/>
          <w:color w:val="000000" w:themeColor="text1"/>
          <w:sz w:val="16"/>
          <w:szCs w:val="16"/>
          <w:lang w:val="es-ES"/>
        </w:rPr>
        <w:t>imposibilidad de reingresar al señor Hernández al Hospital de la Unidad Carcelaria por falta de camas y ambulancia para su traslado y también informaban sobre los partes médicos que daban cuenta de la mala condición de salud del señor Hernández derivado de la meningitis que padecía.</w:t>
      </w:r>
    </w:p>
  </w:footnote>
  <w:footnote w:id="212">
    <w:p w14:paraId="015A1F91" w14:textId="12A90E65"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t xml:space="preserve">Esos supuestos se referían a </w:t>
      </w:r>
      <w:r w:rsidRPr="001067EF">
        <w:rPr>
          <w:rFonts w:ascii="Verdana" w:hAnsi="Verdana" w:cs="Verdana"/>
          <w:color w:val="000000" w:themeColor="text1"/>
          <w:sz w:val="16"/>
          <w:szCs w:val="16"/>
          <w:lang w:val="es-ES"/>
        </w:rPr>
        <w:t>cuando por la valoración de los hechos, las condiciones personales del imputado u otras circunstancias relevantes, pudiera presumirse que no eludiría u obstaculizaría la investigación ni se burlaría la acción de la justicia de conformidad con el artículo 2º de la Ley 10.484.</w:t>
      </w:r>
    </w:p>
  </w:footnote>
  <w:footnote w:id="213">
    <w:p w14:paraId="7979B02D" w14:textId="4A46F262" w:rsidR="00E46F1E" w:rsidRPr="001067EF" w:rsidRDefault="00E46F1E" w:rsidP="00C40460">
      <w:pPr>
        <w:pStyle w:val="Textonotapie"/>
        <w:widowControl w:val="0"/>
        <w:tabs>
          <w:tab w:val="left" w:pos="709"/>
        </w:tabs>
        <w:spacing w:after="120"/>
        <w:jc w:val="both"/>
        <w:rPr>
          <w:rFonts w:ascii="Verdana" w:hAnsi="Verdana"/>
          <w:sz w:val="16"/>
          <w:szCs w:val="16"/>
          <w:lang w:val="es-CR"/>
        </w:rPr>
      </w:pPr>
      <w:r w:rsidRPr="001067EF">
        <w:rPr>
          <w:rStyle w:val="Refdenotaalpie"/>
          <w:rFonts w:ascii="Verdana" w:hAnsi="Verdana" w:cs="Arial"/>
          <w:sz w:val="16"/>
          <w:szCs w:val="16"/>
        </w:rPr>
        <w:footnoteRef/>
      </w:r>
      <w:r w:rsidRPr="001067EF">
        <w:rPr>
          <w:rFonts w:ascii="Verdana" w:hAnsi="Verdana" w:cs="Arial"/>
          <w:sz w:val="16"/>
          <w:szCs w:val="16"/>
          <w:lang w:val="es-CR"/>
        </w:rPr>
        <w:t xml:space="preserve"> </w:t>
      </w:r>
      <w:r w:rsidRPr="001067EF">
        <w:rPr>
          <w:rFonts w:ascii="Verdana" w:hAnsi="Verdana" w:cs="Arial"/>
          <w:sz w:val="16"/>
          <w:szCs w:val="16"/>
          <w:lang w:val="es-CR"/>
        </w:rPr>
        <w:tab/>
      </w:r>
      <w:r w:rsidRPr="001067EF">
        <w:rPr>
          <w:rFonts w:ascii="Verdana" w:hAnsi="Verdana" w:cs="Arial"/>
          <w:i/>
          <w:sz w:val="16"/>
          <w:szCs w:val="16"/>
          <w:lang w:val="es-CR"/>
        </w:rPr>
        <w:t xml:space="preserve">Cfr. Caso Castañeda Gutman Vs. </w:t>
      </w:r>
      <w:r w:rsidRPr="00E46F1E">
        <w:rPr>
          <w:rFonts w:ascii="Verdana" w:hAnsi="Verdana" w:cs="Arial"/>
          <w:i/>
          <w:sz w:val="16"/>
          <w:szCs w:val="16"/>
          <w:lang w:val="es-CR"/>
        </w:rPr>
        <w:t>México. Excepciones Preliminares, Fondo, Reparaciones y Costas.</w:t>
      </w:r>
      <w:r w:rsidRPr="00E46F1E">
        <w:rPr>
          <w:rFonts w:ascii="Verdana" w:hAnsi="Verdana" w:cs="Arial"/>
          <w:sz w:val="16"/>
          <w:szCs w:val="16"/>
          <w:lang w:val="es-CR"/>
        </w:rPr>
        <w:t xml:space="preserve"> Sentencia de 6 de agosto de 2008. Serie C No. 184, párr. 94, y </w:t>
      </w:r>
      <w:r w:rsidRPr="00E46F1E">
        <w:rPr>
          <w:rStyle w:val="Textoennegrita"/>
          <w:rFonts w:ascii="Verdana" w:hAnsi="Verdana"/>
          <w:b w:val="0"/>
          <w:i/>
          <w:color w:val="000000"/>
          <w:sz w:val="16"/>
          <w:szCs w:val="16"/>
        </w:rPr>
        <w:t>Caso Rico Vs. Argentina. Excepción Preliminar y Fondo.</w:t>
      </w:r>
      <w:r w:rsidRPr="00E46F1E">
        <w:rPr>
          <w:rStyle w:val="Textoennegrita"/>
          <w:rFonts w:ascii="Verdana" w:hAnsi="Verdana"/>
          <w:b w:val="0"/>
          <w:color w:val="000000"/>
          <w:sz w:val="16"/>
          <w:szCs w:val="16"/>
        </w:rPr>
        <w:t xml:space="preserve"> Sentencia de 2 de septiembre de 2019. Serie C No. 383., párr. 75.</w:t>
      </w:r>
    </w:p>
  </w:footnote>
  <w:footnote w:id="214">
    <w:p w14:paraId="4C689886" w14:textId="2B95C8AD"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Cfr.</w:t>
      </w:r>
      <w:r w:rsidRPr="001067EF">
        <w:rPr>
          <w:rFonts w:ascii="Verdana" w:hAnsi="Verdana"/>
          <w:sz w:val="16"/>
          <w:szCs w:val="16"/>
        </w:rPr>
        <w:t xml:space="preserve"> Artículo 2º de la Ley 10.484. Ley de Excarcelación y Eximición de la Pena (Texto según ley 10.933). Así también puede verse el artículo 166.2 de la Ley 11.170.l Código Penal de la Nación Argentina de 1984, vigente al momento de los hechos</w:t>
      </w:r>
      <w:r>
        <w:rPr>
          <w:rFonts w:ascii="Verdana" w:hAnsi="Verdana"/>
          <w:sz w:val="16"/>
          <w:szCs w:val="16"/>
        </w:rPr>
        <w:t>,</w:t>
      </w:r>
      <w:r w:rsidRPr="001067EF">
        <w:rPr>
          <w:rFonts w:ascii="Verdana" w:hAnsi="Verdana"/>
          <w:sz w:val="16"/>
          <w:szCs w:val="16"/>
        </w:rPr>
        <w:t xml:space="preserve"> que establecía una pena de prisión de cinco a quince años para el delito de robo con arma de fuego, lo que de entrada impedía la excarcelación ordinaria, pues ésta, en términos del artículo 1º de la citada Ley 10.484</w:t>
      </w:r>
      <w:r>
        <w:rPr>
          <w:rFonts w:ascii="Verdana" w:hAnsi="Verdana"/>
          <w:sz w:val="16"/>
          <w:szCs w:val="16"/>
        </w:rPr>
        <w:t>,</w:t>
      </w:r>
      <w:r w:rsidRPr="001067EF">
        <w:rPr>
          <w:rFonts w:ascii="Verdana" w:hAnsi="Verdana"/>
          <w:sz w:val="16"/>
          <w:szCs w:val="16"/>
        </w:rPr>
        <w:t xml:space="preserve"> requería que el delito tuviera una pena máxima de prisión que no superara los 6 años de prisión. </w:t>
      </w:r>
    </w:p>
  </w:footnote>
  <w:footnote w:id="215">
    <w:p w14:paraId="75F6A2AD" w14:textId="65E267BD"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cs="Verdana"/>
          <w:color w:val="000000" w:themeColor="text1"/>
          <w:sz w:val="16"/>
          <w:szCs w:val="16"/>
          <w:lang w:val="es-ES"/>
        </w:rPr>
        <w:t>El juez desestimó el dicho de la defensa del señor Hernández en cuanto a que fue hasta el 3 de abril de 1991 – fecha en la que el Juez de la Causa recibió el informe del Servicio Penitenciario Provincial sobre el diagnóstico y secuelas de la enfermedad que padecía el señor Hernández- que conoció de las consecuencias físicas causadas por su afectación de salud</w:t>
      </w:r>
      <w:r>
        <w:rPr>
          <w:rFonts w:ascii="Verdana" w:hAnsi="Verdana" w:cs="Verdana"/>
          <w:color w:val="000000" w:themeColor="text1"/>
          <w:sz w:val="16"/>
          <w:szCs w:val="16"/>
          <w:lang w:val="es-ES"/>
        </w:rPr>
        <w:t>.</w:t>
      </w:r>
    </w:p>
  </w:footnote>
  <w:footnote w:id="216">
    <w:p w14:paraId="11CBCDCC" w14:textId="5549D7AC" w:rsidR="00E46F1E" w:rsidRPr="001067EF" w:rsidRDefault="00E46F1E" w:rsidP="00C40460">
      <w:pPr>
        <w:pStyle w:val="Textonotapie"/>
        <w:widowControl w:val="0"/>
        <w:spacing w:after="120"/>
        <w:jc w:val="both"/>
        <w:rPr>
          <w:rFonts w:ascii="Verdana" w:hAnsi="Verdana"/>
          <w:sz w:val="16"/>
          <w:szCs w:val="16"/>
          <w:highlight w:val="lightGray"/>
          <w:lang w:val="es-CR"/>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lang w:val="es-CR"/>
        </w:rPr>
        <w:tab/>
      </w:r>
      <w:r w:rsidRPr="001067EF">
        <w:rPr>
          <w:rFonts w:ascii="Verdana" w:hAnsi="Verdana"/>
          <w:i/>
          <w:sz w:val="16"/>
          <w:szCs w:val="16"/>
          <w:lang w:val="es-CR"/>
        </w:rPr>
        <w:t xml:space="preserve">Cfr. </w:t>
      </w:r>
      <w:r w:rsidRPr="00E46F1E">
        <w:rPr>
          <w:rStyle w:val="Textoennegrita"/>
          <w:rFonts w:ascii="Verdana" w:hAnsi="Verdana"/>
          <w:b w:val="0"/>
          <w:i/>
          <w:color w:val="000000"/>
          <w:sz w:val="16"/>
          <w:szCs w:val="16"/>
        </w:rPr>
        <w:t>Caso Trabajadores Cesados del Congreso (Aguado Alfaro y otros) Vs. Perú. Excepciones Preliminares, Fondo, Reparaciones y Costas.</w:t>
      </w:r>
      <w:r w:rsidRPr="00E46F1E">
        <w:rPr>
          <w:rStyle w:val="Textoennegrita"/>
          <w:rFonts w:ascii="Verdana" w:hAnsi="Verdana"/>
          <w:b w:val="0"/>
          <w:color w:val="000000"/>
          <w:sz w:val="16"/>
          <w:szCs w:val="16"/>
        </w:rPr>
        <w:t xml:space="preserve"> Sentencia de 24 de noviembre de 2006. Serie C No. 158, párr. 126.</w:t>
      </w:r>
    </w:p>
  </w:footnote>
  <w:footnote w:id="217">
    <w:p w14:paraId="52A2C3D4" w14:textId="3FB93412" w:rsidR="00E46F1E" w:rsidRPr="001067EF" w:rsidRDefault="00E46F1E" w:rsidP="00C40460">
      <w:pPr>
        <w:pStyle w:val="Textonotapie"/>
        <w:widowControl w:val="0"/>
        <w:spacing w:after="120"/>
        <w:jc w:val="both"/>
        <w:rPr>
          <w:rFonts w:ascii="Verdana" w:hAnsi="Verdana"/>
          <w:sz w:val="16"/>
          <w:szCs w:val="16"/>
          <w:lang w:val="es-CO"/>
        </w:rPr>
      </w:pPr>
      <w:r w:rsidRPr="001067EF">
        <w:rPr>
          <w:rStyle w:val="Refdenotaalpie"/>
          <w:rFonts w:ascii="Verdana" w:hAnsi="Verdana"/>
          <w:sz w:val="16"/>
          <w:szCs w:val="16"/>
        </w:rPr>
        <w:footnoteRef/>
      </w:r>
      <w:r w:rsidRPr="001067EF">
        <w:rPr>
          <w:rFonts w:ascii="Verdana" w:hAnsi="Verdana"/>
          <w:sz w:val="16"/>
          <w:szCs w:val="16"/>
          <w:lang w:val="es-CO"/>
        </w:rPr>
        <w:t xml:space="preserve"> </w:t>
      </w:r>
      <w:r w:rsidRPr="001067EF">
        <w:rPr>
          <w:rFonts w:ascii="Verdana" w:hAnsi="Verdana"/>
          <w:sz w:val="16"/>
          <w:szCs w:val="16"/>
          <w:lang w:val="es-CO"/>
        </w:rPr>
        <w:tab/>
      </w:r>
      <w:r w:rsidRPr="001067EF">
        <w:rPr>
          <w:rFonts w:ascii="Verdana" w:hAnsi="Verdana"/>
          <w:i/>
          <w:sz w:val="16"/>
          <w:szCs w:val="16"/>
          <w:lang w:val="es-CO"/>
        </w:rPr>
        <w:t xml:space="preserve">Cfr. </w:t>
      </w:r>
      <w:r w:rsidRPr="00E46F1E">
        <w:rPr>
          <w:rStyle w:val="Textoennegrita"/>
          <w:rFonts w:ascii="Verdana" w:hAnsi="Verdana"/>
          <w:b w:val="0"/>
          <w:i/>
          <w:sz w:val="16"/>
          <w:szCs w:val="16"/>
          <w:lang w:val="es-CO"/>
        </w:rPr>
        <w:t>Caso Castañeda Gutman Vs. México. Excepciones Preliminares, Fondo, Reparaciones y Costas.</w:t>
      </w:r>
      <w:r w:rsidRPr="00E46F1E">
        <w:rPr>
          <w:rStyle w:val="Textoennegrita"/>
          <w:rFonts w:ascii="Verdana" w:hAnsi="Verdana"/>
          <w:b w:val="0"/>
          <w:i/>
          <w:sz w:val="16"/>
          <w:szCs w:val="16"/>
          <w:lang w:val="es-AR"/>
        </w:rPr>
        <w:t xml:space="preserve"> </w:t>
      </w:r>
      <w:r w:rsidRPr="00E46F1E">
        <w:rPr>
          <w:rStyle w:val="Textoennegrita"/>
          <w:rFonts w:ascii="Verdana" w:hAnsi="Verdana"/>
          <w:b w:val="0"/>
          <w:sz w:val="16"/>
          <w:szCs w:val="16"/>
          <w:lang w:val="es-AR"/>
        </w:rPr>
        <w:t>Sentencia</w:t>
      </w:r>
      <w:r w:rsidRPr="00E46F1E">
        <w:rPr>
          <w:rStyle w:val="Textoennegrita"/>
          <w:rFonts w:ascii="Verdana" w:hAnsi="Verdana"/>
          <w:b w:val="0"/>
          <w:sz w:val="16"/>
          <w:szCs w:val="16"/>
          <w:lang w:val="es-CO"/>
        </w:rPr>
        <w:t xml:space="preserve"> de 6 de</w:t>
      </w:r>
      <w:r w:rsidRPr="00E46F1E">
        <w:rPr>
          <w:rStyle w:val="Textoennegrita"/>
          <w:rFonts w:ascii="Verdana" w:hAnsi="Verdana"/>
          <w:b w:val="0"/>
          <w:sz w:val="16"/>
          <w:szCs w:val="16"/>
          <w:lang w:val="es-AR"/>
        </w:rPr>
        <w:t xml:space="preserve"> agosto</w:t>
      </w:r>
      <w:r w:rsidRPr="00E46F1E">
        <w:rPr>
          <w:rStyle w:val="Textoennegrita"/>
          <w:rFonts w:ascii="Verdana" w:hAnsi="Verdana"/>
          <w:b w:val="0"/>
          <w:sz w:val="16"/>
          <w:szCs w:val="16"/>
          <w:lang w:val="es-CO"/>
        </w:rPr>
        <w:t xml:space="preserve"> de 2008. Serie C No. 184, párr. 94.</w:t>
      </w:r>
    </w:p>
  </w:footnote>
  <w:footnote w:id="218">
    <w:p w14:paraId="493F891C" w14:textId="77777777" w:rsidR="00E46F1E" w:rsidRPr="001067EF" w:rsidRDefault="00E46F1E" w:rsidP="00C40460">
      <w:pPr>
        <w:pStyle w:val="Textonotapie"/>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Cfr.</w:t>
      </w:r>
      <w:r w:rsidRPr="001067EF">
        <w:rPr>
          <w:rFonts w:ascii="Verdana" w:hAnsi="Verdana"/>
          <w:sz w:val="16"/>
          <w:szCs w:val="16"/>
        </w:rPr>
        <w:t xml:space="preserve"> Artículo 4037 del Código Civil de Argentina vigente al momento de los hechos.</w:t>
      </w:r>
    </w:p>
  </w:footnote>
  <w:footnote w:id="219">
    <w:p w14:paraId="257BE2FF" w14:textId="5C1104FA" w:rsidR="00E46F1E" w:rsidRPr="001067EF" w:rsidRDefault="00E46F1E" w:rsidP="00C40460">
      <w:pPr>
        <w:pStyle w:val="Textonotapie"/>
        <w:widowControl w:val="0"/>
        <w:spacing w:after="120"/>
        <w:jc w:val="both"/>
        <w:rPr>
          <w:rFonts w:ascii="Verdana" w:hAnsi="Verdana"/>
          <w:sz w:val="16"/>
          <w:szCs w:val="16"/>
          <w:lang w:val="es-CR"/>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cs="Tahoma"/>
          <w:bCs/>
          <w:color w:val="000000"/>
          <w:sz w:val="16"/>
          <w:szCs w:val="16"/>
        </w:rPr>
        <w:t>Artículo 5 de la Convención Americana.</w:t>
      </w:r>
    </w:p>
  </w:footnote>
  <w:footnote w:id="220">
    <w:p w14:paraId="0F9B24FE" w14:textId="22697BF5" w:rsidR="00E46F1E" w:rsidRPr="001067EF" w:rsidRDefault="00E46F1E" w:rsidP="00C40460">
      <w:pPr>
        <w:pStyle w:val="Textonotapie"/>
        <w:widowControl w:val="0"/>
        <w:spacing w:after="120"/>
        <w:jc w:val="both"/>
        <w:rPr>
          <w:rFonts w:ascii="Verdana" w:hAnsi="Verdana"/>
          <w:sz w:val="16"/>
          <w:szCs w:val="16"/>
          <w:lang w:val="es-CR"/>
        </w:rPr>
      </w:pPr>
      <w:r w:rsidRPr="001067EF">
        <w:rPr>
          <w:rStyle w:val="Refdenotaalpie"/>
          <w:rFonts w:ascii="Verdana" w:hAnsi="Verdana"/>
          <w:sz w:val="16"/>
          <w:szCs w:val="16"/>
        </w:rPr>
        <w:footnoteRef/>
      </w:r>
      <w:r w:rsidRPr="001067EF">
        <w:rPr>
          <w:rFonts w:ascii="Verdana" w:hAnsi="Verdana"/>
          <w:sz w:val="16"/>
          <w:szCs w:val="16"/>
          <w:lang w:val="es-CR"/>
        </w:rPr>
        <w:tab/>
      </w:r>
      <w:r w:rsidRPr="00E46F1E">
        <w:rPr>
          <w:rFonts w:ascii="Verdana" w:hAnsi="Verdana"/>
          <w:i/>
          <w:sz w:val="16"/>
          <w:szCs w:val="16"/>
          <w:lang w:val="es-CR"/>
        </w:rPr>
        <w:t>Cfr. Caso Castillo Páez Vs. Perú. Fondo.</w:t>
      </w:r>
      <w:r w:rsidRPr="00E46F1E">
        <w:rPr>
          <w:rFonts w:ascii="Verdana" w:hAnsi="Verdana"/>
          <w:sz w:val="16"/>
          <w:szCs w:val="16"/>
          <w:lang w:val="es-CR"/>
        </w:rPr>
        <w:t xml:space="preserve"> Sentencia de 3 de noviembre de 1997. Serie C No. 34, punto resolutivo cuarto, y </w:t>
      </w:r>
      <w:r w:rsidRPr="00E46F1E">
        <w:rPr>
          <w:rStyle w:val="Textoennegrita"/>
          <w:rFonts w:ascii="Verdana" w:hAnsi="Verdana"/>
          <w:b w:val="0"/>
          <w:i/>
          <w:color w:val="000000"/>
          <w:sz w:val="16"/>
          <w:szCs w:val="16"/>
        </w:rPr>
        <w:t>Caso Ruiz Fuentes y otra Vs. Guatemala. Excepción Preliminar, Fondo, Reparaciones y Costas.</w:t>
      </w:r>
      <w:r w:rsidRPr="00E46F1E">
        <w:rPr>
          <w:rStyle w:val="Textoennegrita"/>
          <w:rFonts w:ascii="Verdana" w:hAnsi="Verdana"/>
          <w:b w:val="0"/>
          <w:color w:val="000000"/>
          <w:sz w:val="16"/>
          <w:szCs w:val="16"/>
        </w:rPr>
        <w:t xml:space="preserve"> Sentencia de 10 de octubre de 2019. Serie C No. 385., párr. 188.</w:t>
      </w:r>
    </w:p>
  </w:footnote>
  <w:footnote w:id="221">
    <w:p w14:paraId="4DE6D952" w14:textId="4A5A0701" w:rsidR="00E46F1E" w:rsidRPr="001067EF" w:rsidRDefault="00E46F1E" w:rsidP="00C40460">
      <w:pPr>
        <w:pStyle w:val="Textonotapie"/>
        <w:widowControl w:val="0"/>
        <w:spacing w:after="120"/>
        <w:jc w:val="both"/>
        <w:rPr>
          <w:rFonts w:ascii="Verdana" w:hAnsi="Verdana"/>
          <w:sz w:val="16"/>
          <w:szCs w:val="16"/>
          <w:lang w:val="es-CR"/>
        </w:rPr>
      </w:pPr>
      <w:r w:rsidRPr="001067EF">
        <w:rPr>
          <w:rStyle w:val="Refdenotaalpie"/>
          <w:rFonts w:ascii="Verdana" w:hAnsi="Verdana"/>
          <w:sz w:val="16"/>
          <w:szCs w:val="16"/>
        </w:rPr>
        <w:footnoteRef/>
      </w:r>
      <w:r w:rsidRPr="001067EF">
        <w:rPr>
          <w:rFonts w:ascii="Verdana" w:hAnsi="Verdana"/>
          <w:sz w:val="16"/>
          <w:szCs w:val="16"/>
          <w:lang w:val="es-CR"/>
        </w:rPr>
        <w:tab/>
      </w:r>
      <w:r w:rsidRPr="00E46F1E">
        <w:rPr>
          <w:rFonts w:ascii="Verdana" w:hAnsi="Verdana"/>
          <w:i/>
          <w:sz w:val="16"/>
          <w:szCs w:val="16"/>
          <w:lang w:val="es-CR"/>
        </w:rPr>
        <w:t xml:space="preserve">Cfr. Caso Blake Vs. Guatemala. Fondo. </w:t>
      </w:r>
      <w:r w:rsidRPr="00E46F1E">
        <w:rPr>
          <w:rFonts w:ascii="Verdana" w:hAnsi="Verdana"/>
          <w:sz w:val="16"/>
          <w:szCs w:val="16"/>
          <w:lang w:val="es-CR"/>
        </w:rPr>
        <w:t xml:space="preserve">Sentencia de 24 de enero de 1998. Serie C No. 36, párr. 114, y </w:t>
      </w:r>
      <w:r w:rsidRPr="00E46F1E">
        <w:rPr>
          <w:rStyle w:val="Textoennegrita"/>
          <w:rFonts w:ascii="Verdana" w:hAnsi="Verdana"/>
          <w:b w:val="0"/>
          <w:i/>
          <w:color w:val="000000"/>
          <w:sz w:val="16"/>
          <w:szCs w:val="16"/>
        </w:rPr>
        <w:t>Caso Ruiz Fuentes y otra Vs. Guatemala. Excepción Preliminar, Fondo, Reparaciones y Costas.</w:t>
      </w:r>
      <w:r w:rsidRPr="00E46F1E">
        <w:rPr>
          <w:rStyle w:val="Textoennegrita"/>
          <w:rFonts w:ascii="Verdana" w:hAnsi="Verdana"/>
          <w:b w:val="0"/>
          <w:color w:val="000000"/>
          <w:sz w:val="16"/>
          <w:szCs w:val="16"/>
        </w:rPr>
        <w:t xml:space="preserve"> Sentencia de 10 de octubre de 2019. Serie C No. 385., párr. 188.</w:t>
      </w:r>
      <w:r w:rsidRPr="001067EF">
        <w:rPr>
          <w:rFonts w:ascii="Verdana" w:hAnsi="Verdana"/>
          <w:sz w:val="16"/>
          <w:szCs w:val="16"/>
          <w:lang w:val="es-CR"/>
        </w:rPr>
        <w:t xml:space="preserve"> </w:t>
      </w:r>
    </w:p>
  </w:footnote>
  <w:footnote w:id="222">
    <w:p w14:paraId="2C2C0FB5" w14:textId="166EDF09" w:rsidR="00E46F1E" w:rsidRPr="001067EF" w:rsidRDefault="00E46F1E" w:rsidP="00C40460">
      <w:pPr>
        <w:pStyle w:val="Textonotapie"/>
        <w:widowControl w:val="0"/>
        <w:spacing w:after="120"/>
        <w:jc w:val="both"/>
        <w:rPr>
          <w:rFonts w:ascii="Verdana" w:hAnsi="Verdana"/>
          <w:sz w:val="16"/>
          <w:szCs w:val="16"/>
          <w:lang w:val="es-CR"/>
        </w:rPr>
      </w:pPr>
      <w:r w:rsidRPr="001067EF">
        <w:rPr>
          <w:rStyle w:val="Refdenotaalpie"/>
          <w:rFonts w:ascii="Verdana" w:hAnsi="Verdana"/>
          <w:sz w:val="16"/>
          <w:szCs w:val="16"/>
        </w:rPr>
        <w:footnoteRef/>
      </w:r>
      <w:r w:rsidRPr="001067EF">
        <w:rPr>
          <w:rFonts w:ascii="Verdana" w:hAnsi="Verdana"/>
          <w:sz w:val="16"/>
          <w:szCs w:val="16"/>
          <w:lang w:val="es-CR"/>
        </w:rPr>
        <w:tab/>
      </w:r>
      <w:r w:rsidRPr="001067EF">
        <w:rPr>
          <w:rFonts w:ascii="Verdana" w:hAnsi="Verdana"/>
          <w:i/>
          <w:sz w:val="16"/>
          <w:szCs w:val="16"/>
          <w:lang w:val="es-CR"/>
        </w:rPr>
        <w:t>Cfr</w:t>
      </w:r>
      <w:r w:rsidRPr="00E46F1E">
        <w:rPr>
          <w:rFonts w:ascii="Verdana" w:hAnsi="Verdana"/>
          <w:i/>
          <w:sz w:val="16"/>
          <w:szCs w:val="16"/>
          <w:lang w:val="es-CR"/>
        </w:rPr>
        <w:t>. Caso Blake Vs. Guatemala. Fondo.</w:t>
      </w:r>
      <w:r w:rsidRPr="00E46F1E">
        <w:rPr>
          <w:rFonts w:ascii="Verdana" w:hAnsi="Verdana"/>
          <w:sz w:val="16"/>
          <w:szCs w:val="16"/>
          <w:lang w:val="es-CR"/>
        </w:rPr>
        <w:t xml:space="preserve"> Sentencia de 24 de enero de 1998. Serie C No. 36, párr. 114, y </w:t>
      </w:r>
      <w:r w:rsidRPr="00E46F1E">
        <w:rPr>
          <w:rStyle w:val="Textoennegrita"/>
          <w:rFonts w:ascii="Verdana" w:hAnsi="Verdana"/>
          <w:b w:val="0"/>
          <w:i/>
          <w:sz w:val="16"/>
          <w:szCs w:val="16"/>
        </w:rPr>
        <w:t xml:space="preserve">Caso </w:t>
      </w:r>
      <w:proofErr w:type="spellStart"/>
      <w:r w:rsidRPr="00E46F1E">
        <w:rPr>
          <w:rStyle w:val="Textoennegrita"/>
          <w:rFonts w:ascii="Verdana" w:hAnsi="Verdana"/>
          <w:b w:val="0"/>
          <w:i/>
          <w:sz w:val="16"/>
          <w:szCs w:val="16"/>
        </w:rPr>
        <w:t>Cuscul</w:t>
      </w:r>
      <w:proofErr w:type="spellEnd"/>
      <w:r w:rsidRPr="00E46F1E">
        <w:rPr>
          <w:rStyle w:val="Textoennegrita"/>
          <w:rFonts w:ascii="Verdana" w:hAnsi="Verdana"/>
          <w:b w:val="0"/>
          <w:i/>
          <w:sz w:val="16"/>
          <w:szCs w:val="16"/>
        </w:rPr>
        <w:t xml:space="preserve"> Pivaral y otros Vs. Guatemala. Excepción Preliminar, Fondo, Reparaciones y Costas.</w:t>
      </w:r>
      <w:r w:rsidRPr="00E46F1E">
        <w:rPr>
          <w:rStyle w:val="Textoennegrita"/>
          <w:rFonts w:ascii="Verdana" w:hAnsi="Verdana"/>
          <w:b w:val="0"/>
          <w:sz w:val="16"/>
          <w:szCs w:val="16"/>
        </w:rPr>
        <w:t xml:space="preserve"> Sentencia de 23 de agosto de 2018. Serie C No. 359, párr. 191.</w:t>
      </w:r>
    </w:p>
  </w:footnote>
  <w:footnote w:id="223">
    <w:p w14:paraId="31636254" w14:textId="366F0B7A" w:rsidR="00E46F1E" w:rsidRPr="001067EF" w:rsidRDefault="00E46F1E" w:rsidP="00C40460">
      <w:pPr>
        <w:pStyle w:val="Textonotapie"/>
        <w:widowControl w:val="0"/>
        <w:spacing w:after="120"/>
        <w:jc w:val="both"/>
        <w:rPr>
          <w:rFonts w:ascii="Verdana" w:hAnsi="Verdana"/>
          <w:sz w:val="16"/>
          <w:szCs w:val="16"/>
          <w:lang w:val="es-CR"/>
        </w:rPr>
      </w:pPr>
      <w:r w:rsidRPr="001067EF">
        <w:rPr>
          <w:rStyle w:val="Refdenotaalpie"/>
          <w:rFonts w:ascii="Verdana" w:hAnsi="Verdana"/>
          <w:sz w:val="16"/>
          <w:szCs w:val="16"/>
        </w:rPr>
        <w:footnoteRef/>
      </w:r>
      <w:r w:rsidRPr="001067EF">
        <w:rPr>
          <w:rFonts w:ascii="Verdana" w:hAnsi="Verdana"/>
          <w:sz w:val="16"/>
          <w:szCs w:val="16"/>
        </w:rPr>
        <w:t xml:space="preserve"> </w:t>
      </w:r>
      <w:r w:rsidRPr="00E46F1E">
        <w:rPr>
          <w:rFonts w:ascii="Verdana" w:hAnsi="Verdana"/>
          <w:sz w:val="16"/>
          <w:szCs w:val="16"/>
          <w:lang w:val="es-CR"/>
        </w:rPr>
        <w:tab/>
      </w:r>
      <w:r w:rsidRPr="00E46F1E">
        <w:rPr>
          <w:rFonts w:ascii="Verdana" w:hAnsi="Verdana"/>
          <w:i/>
          <w:sz w:val="16"/>
          <w:szCs w:val="16"/>
        </w:rPr>
        <w:t>Cfr. Caso Blake Vs. Guatemala. Fondo. Sentencia de 24 de enero de 1998.</w:t>
      </w:r>
      <w:r w:rsidRPr="00E46F1E">
        <w:rPr>
          <w:rFonts w:ascii="Verdana" w:hAnsi="Verdana"/>
          <w:sz w:val="16"/>
          <w:szCs w:val="16"/>
        </w:rPr>
        <w:t xml:space="preserve"> Serie C No. 36, párr. 114, y </w:t>
      </w:r>
      <w:r w:rsidRPr="00E46F1E">
        <w:rPr>
          <w:rStyle w:val="Textoennegrita"/>
          <w:rFonts w:ascii="Verdana" w:hAnsi="Verdana"/>
          <w:b w:val="0"/>
          <w:i/>
          <w:sz w:val="16"/>
          <w:szCs w:val="16"/>
        </w:rPr>
        <w:t>Caso Poblete Vilches y otros Vs. Chile. Fondo, Reparaciones y Costas.</w:t>
      </w:r>
      <w:r w:rsidRPr="00E46F1E">
        <w:rPr>
          <w:rStyle w:val="Textoennegrita"/>
          <w:rFonts w:ascii="Verdana" w:hAnsi="Verdana"/>
          <w:b w:val="0"/>
          <w:sz w:val="16"/>
          <w:szCs w:val="16"/>
        </w:rPr>
        <w:t xml:space="preserve"> Sentencia de 8 de marzo de 2018. Serie C No. 349, párr. 204.</w:t>
      </w:r>
    </w:p>
  </w:footnote>
  <w:footnote w:id="224">
    <w:p w14:paraId="4CC0069C" w14:textId="5D14E6C5" w:rsidR="00E46F1E" w:rsidRPr="001067EF" w:rsidRDefault="00E46F1E" w:rsidP="00C40460">
      <w:pPr>
        <w:pStyle w:val="Textonotapie"/>
        <w:widowControl w:val="0"/>
        <w:spacing w:after="120"/>
        <w:jc w:val="both"/>
        <w:rPr>
          <w:rFonts w:ascii="Verdana" w:hAnsi="Verdana"/>
          <w:sz w:val="16"/>
          <w:szCs w:val="16"/>
          <w:lang w:val="es-CR"/>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lang w:val="es-CR"/>
        </w:rPr>
        <w:tab/>
      </w:r>
      <w:r w:rsidRPr="001067EF">
        <w:rPr>
          <w:rFonts w:ascii="Verdana" w:hAnsi="Verdana"/>
          <w:i/>
          <w:sz w:val="16"/>
          <w:szCs w:val="16"/>
          <w:lang w:val="es-CR"/>
        </w:rPr>
        <w:t xml:space="preserve">Cfr. </w:t>
      </w:r>
      <w:r w:rsidRPr="00E46F1E">
        <w:rPr>
          <w:rStyle w:val="Textoennegrita"/>
          <w:rFonts w:ascii="Verdana" w:hAnsi="Verdana"/>
          <w:b w:val="0"/>
          <w:i/>
          <w:sz w:val="16"/>
          <w:szCs w:val="16"/>
        </w:rPr>
        <w:t>Caso Suárez Peralta Vs. Ecuador. Excepciones Preliminares, Fondo, Reparaciones y Costas</w:t>
      </w:r>
      <w:r w:rsidRPr="00E46F1E">
        <w:rPr>
          <w:rStyle w:val="Textoennegrita"/>
          <w:rFonts w:ascii="Verdana" w:hAnsi="Verdana"/>
          <w:b w:val="0"/>
          <w:sz w:val="16"/>
          <w:szCs w:val="16"/>
        </w:rPr>
        <w:t xml:space="preserve">. Sentencia de 21 de mayo de 2013. Serie C No. 261., párr. 158, y </w:t>
      </w:r>
      <w:r w:rsidRPr="00E46F1E">
        <w:rPr>
          <w:rStyle w:val="Textoennegrita"/>
          <w:rFonts w:ascii="Verdana" w:hAnsi="Verdana"/>
          <w:b w:val="0"/>
          <w:i/>
          <w:sz w:val="16"/>
          <w:szCs w:val="16"/>
        </w:rPr>
        <w:t>Caso Poblete Vilches y otros Vs. Chile. Fondo, Reparaciones y Costas.</w:t>
      </w:r>
      <w:r w:rsidRPr="00E46F1E">
        <w:rPr>
          <w:rStyle w:val="Textoennegrita"/>
          <w:rFonts w:ascii="Verdana" w:hAnsi="Verdana"/>
          <w:b w:val="0"/>
          <w:sz w:val="16"/>
          <w:szCs w:val="16"/>
        </w:rPr>
        <w:t xml:space="preserve"> Sentencia de 8 de marzo de 2018. Serie C No. 349, párr. 204.</w:t>
      </w:r>
    </w:p>
  </w:footnote>
  <w:footnote w:id="225">
    <w:p w14:paraId="7DCA5D31" w14:textId="5803415E"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t>Carta dirigida al juez por la señora Raquel San Martín de Hernández, de 23 de octubre de 1990 (prueba para mejor resolver, folios 621-622).</w:t>
      </w:r>
    </w:p>
  </w:footnote>
  <w:footnote w:id="226">
    <w:p w14:paraId="061DDD51" w14:textId="0FEF89C5" w:rsidR="00E46F1E" w:rsidRPr="001067EF" w:rsidRDefault="00E46F1E" w:rsidP="00C40460">
      <w:pPr>
        <w:pStyle w:val="Textonotapie"/>
        <w:widowControl w:val="0"/>
        <w:spacing w:after="120"/>
        <w:jc w:val="both"/>
        <w:rPr>
          <w:rFonts w:ascii="Verdana" w:hAnsi="Verdana"/>
          <w:sz w:val="16"/>
          <w:szCs w:val="16"/>
          <w:lang w:val="es-CO"/>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sz w:val="16"/>
          <w:szCs w:val="16"/>
          <w:lang w:val="es-CO"/>
        </w:rPr>
        <w:t>Carta dirigida al juez por la señora Raquel San Martín de Hernández, de 23 de octubre de 1990 (prueba para mejor resolver, folios 621-622).</w:t>
      </w:r>
    </w:p>
  </w:footnote>
  <w:footnote w:id="227">
    <w:p w14:paraId="42C02F69" w14:textId="2E5B021F" w:rsidR="00E46F1E" w:rsidRPr="001067EF" w:rsidRDefault="00E46F1E" w:rsidP="00C40460">
      <w:pPr>
        <w:pStyle w:val="Textonotapie"/>
        <w:widowControl w:val="0"/>
        <w:spacing w:after="120"/>
        <w:jc w:val="both"/>
        <w:rPr>
          <w:rFonts w:ascii="Verdana" w:hAnsi="Verdana"/>
          <w:b/>
          <w:sz w:val="16"/>
          <w:szCs w:val="16"/>
        </w:rPr>
      </w:pPr>
      <w:r w:rsidRPr="001067EF">
        <w:rPr>
          <w:rStyle w:val="Refdenotaalpie"/>
          <w:rFonts w:ascii="Verdana" w:hAnsi="Verdana"/>
          <w:sz w:val="16"/>
          <w:szCs w:val="16"/>
        </w:rPr>
        <w:footnoteRef/>
      </w:r>
      <w:r w:rsidRPr="001067EF">
        <w:rPr>
          <w:rFonts w:ascii="Verdana" w:hAnsi="Verdana"/>
          <w:sz w:val="16"/>
          <w:szCs w:val="16"/>
        </w:rPr>
        <w:tab/>
      </w:r>
      <w:r w:rsidRPr="001067EF">
        <w:rPr>
          <w:rFonts w:ascii="Verdana" w:hAnsi="Verdana"/>
          <w:i/>
          <w:sz w:val="16"/>
          <w:szCs w:val="16"/>
        </w:rPr>
        <w:t>Cfr. Caso Velásquez Rodríguez Vs. Honduras. Reparaciones y Costas</w:t>
      </w:r>
      <w:r w:rsidRPr="001067EF">
        <w:rPr>
          <w:rFonts w:ascii="Verdana" w:hAnsi="Verdana"/>
          <w:sz w:val="16"/>
          <w:szCs w:val="16"/>
        </w:rPr>
        <w:t xml:space="preserve">. Sentencia de 21 de julio de 1989. Serie C No. 7, </w:t>
      </w:r>
      <w:r w:rsidRPr="00E46F1E">
        <w:rPr>
          <w:rFonts w:ascii="Verdana" w:hAnsi="Verdana"/>
          <w:sz w:val="16"/>
          <w:szCs w:val="16"/>
        </w:rPr>
        <w:t xml:space="preserve">párr. 26, y </w:t>
      </w:r>
      <w:r w:rsidRPr="00E46F1E">
        <w:rPr>
          <w:rStyle w:val="Textoennegrita"/>
          <w:rFonts w:ascii="Verdana" w:hAnsi="Verdana"/>
          <w:b w:val="0"/>
          <w:i/>
          <w:color w:val="000000"/>
          <w:sz w:val="16"/>
          <w:szCs w:val="16"/>
        </w:rPr>
        <w:t xml:space="preserve">Caso Romero </w:t>
      </w:r>
      <w:proofErr w:type="spellStart"/>
      <w:r w:rsidRPr="00E46F1E">
        <w:rPr>
          <w:rStyle w:val="Textoennegrita"/>
          <w:rFonts w:ascii="Verdana" w:hAnsi="Verdana"/>
          <w:b w:val="0"/>
          <w:i/>
          <w:color w:val="000000"/>
          <w:sz w:val="16"/>
          <w:szCs w:val="16"/>
        </w:rPr>
        <w:t>Feris</w:t>
      </w:r>
      <w:proofErr w:type="spellEnd"/>
      <w:r w:rsidRPr="00E46F1E">
        <w:rPr>
          <w:rStyle w:val="Textoennegrita"/>
          <w:rFonts w:ascii="Verdana" w:hAnsi="Verdana"/>
          <w:b w:val="0"/>
          <w:i/>
          <w:color w:val="000000"/>
          <w:sz w:val="16"/>
          <w:szCs w:val="16"/>
        </w:rPr>
        <w:t xml:space="preserve"> Vs. Argentina. Fondo, Reparaciones y Costas.</w:t>
      </w:r>
      <w:r w:rsidRPr="00E46F1E">
        <w:rPr>
          <w:rStyle w:val="Textoennegrita"/>
          <w:rFonts w:ascii="Verdana" w:hAnsi="Verdana"/>
          <w:b w:val="0"/>
          <w:color w:val="000000"/>
          <w:sz w:val="16"/>
          <w:szCs w:val="16"/>
        </w:rPr>
        <w:t xml:space="preserve"> Sentencia de 15 de octubre de 2019. Serie C No. 391., párr. 176.</w:t>
      </w:r>
    </w:p>
  </w:footnote>
  <w:footnote w:id="228">
    <w:p w14:paraId="61E7B7D1" w14:textId="19C2BE72" w:rsidR="00E46F1E" w:rsidRPr="001067EF" w:rsidRDefault="00E46F1E" w:rsidP="00C40460">
      <w:pPr>
        <w:pStyle w:val="Textonotapie"/>
        <w:widowControl w:val="0"/>
        <w:spacing w:after="120"/>
        <w:jc w:val="both"/>
        <w:rPr>
          <w:rFonts w:ascii="Verdana" w:hAnsi="Verdana"/>
          <w:b/>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Cfr. Caso Velásquez Rodríguez Vs. Honduras. Reparaciones y Costas</w:t>
      </w:r>
      <w:r w:rsidRPr="001067EF">
        <w:rPr>
          <w:rFonts w:ascii="Verdana" w:hAnsi="Verdana"/>
          <w:sz w:val="16"/>
          <w:szCs w:val="16"/>
        </w:rPr>
        <w:t>. Sentencia de 21 de julio de 1989. Serie C No. 7, párr. 26</w:t>
      </w:r>
      <w:r w:rsidRPr="00E46F1E">
        <w:rPr>
          <w:rFonts w:ascii="Verdana" w:hAnsi="Verdana"/>
          <w:sz w:val="16"/>
          <w:szCs w:val="16"/>
        </w:rPr>
        <w:t xml:space="preserve">, y </w:t>
      </w:r>
      <w:r w:rsidRPr="00E46F1E">
        <w:rPr>
          <w:rStyle w:val="Textoennegrita"/>
          <w:rFonts w:ascii="Verdana" w:hAnsi="Verdana"/>
          <w:b w:val="0"/>
          <w:i/>
          <w:color w:val="000000"/>
          <w:sz w:val="16"/>
          <w:szCs w:val="16"/>
        </w:rPr>
        <w:t xml:space="preserve">Caso Romero </w:t>
      </w:r>
      <w:proofErr w:type="spellStart"/>
      <w:r w:rsidRPr="00E46F1E">
        <w:rPr>
          <w:rStyle w:val="Textoennegrita"/>
          <w:rFonts w:ascii="Verdana" w:hAnsi="Verdana"/>
          <w:b w:val="0"/>
          <w:i/>
          <w:color w:val="000000"/>
          <w:sz w:val="16"/>
          <w:szCs w:val="16"/>
        </w:rPr>
        <w:t>Feris</w:t>
      </w:r>
      <w:proofErr w:type="spellEnd"/>
      <w:r w:rsidRPr="00E46F1E">
        <w:rPr>
          <w:rStyle w:val="Textoennegrita"/>
          <w:rFonts w:ascii="Verdana" w:hAnsi="Verdana"/>
          <w:b w:val="0"/>
          <w:i/>
          <w:color w:val="000000"/>
          <w:sz w:val="16"/>
          <w:szCs w:val="16"/>
        </w:rPr>
        <w:t xml:space="preserve"> Vs. Argentina. Fondo, Reparaciones y Costas.</w:t>
      </w:r>
      <w:r w:rsidRPr="00E46F1E">
        <w:rPr>
          <w:rStyle w:val="Textoennegrita"/>
          <w:rFonts w:ascii="Verdana" w:hAnsi="Verdana"/>
          <w:b w:val="0"/>
          <w:color w:val="000000"/>
          <w:sz w:val="16"/>
          <w:szCs w:val="16"/>
        </w:rPr>
        <w:t xml:space="preserve"> Sentencia de 15 de octubre de 2019. Serie C No. 391., párr. 177.</w:t>
      </w:r>
      <w:r w:rsidRPr="001067EF" w:rsidDel="004A4784">
        <w:rPr>
          <w:rFonts w:ascii="Verdana" w:hAnsi="Verdana"/>
          <w:b/>
          <w:sz w:val="16"/>
          <w:szCs w:val="16"/>
        </w:rPr>
        <w:t xml:space="preserve"> </w:t>
      </w:r>
    </w:p>
  </w:footnote>
  <w:footnote w:id="229">
    <w:p w14:paraId="1183C39E" w14:textId="196460DD" w:rsidR="00E46F1E" w:rsidRPr="001067EF" w:rsidRDefault="00E46F1E" w:rsidP="00C40460">
      <w:pPr>
        <w:pStyle w:val="Textonotapie"/>
        <w:widowControl w:val="0"/>
        <w:spacing w:after="120"/>
        <w:jc w:val="both"/>
        <w:rPr>
          <w:rFonts w:ascii="Verdana" w:hAnsi="Verdana"/>
          <w:b/>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 xml:space="preserve">Cfr. </w:t>
      </w:r>
      <w:r w:rsidRPr="00E46F1E">
        <w:rPr>
          <w:rFonts w:ascii="Verdana" w:hAnsi="Verdana"/>
          <w:i/>
          <w:sz w:val="16"/>
          <w:szCs w:val="16"/>
        </w:rPr>
        <w:t>Caso Velásquez Rodríguez Vs. Honduras. Reparaciones y Costas</w:t>
      </w:r>
      <w:r w:rsidRPr="00E46F1E">
        <w:rPr>
          <w:rFonts w:ascii="Verdana" w:hAnsi="Verdana"/>
          <w:sz w:val="16"/>
          <w:szCs w:val="16"/>
        </w:rPr>
        <w:t xml:space="preserve">. Sentencia de 21 de julio de 1989. Serie C No. 7, párr. 26, y </w:t>
      </w:r>
      <w:r w:rsidRPr="00E46F1E">
        <w:rPr>
          <w:rStyle w:val="Textoennegrita"/>
          <w:rFonts w:ascii="Verdana" w:hAnsi="Verdana"/>
          <w:b w:val="0"/>
          <w:i/>
          <w:color w:val="000000"/>
          <w:sz w:val="16"/>
          <w:szCs w:val="16"/>
        </w:rPr>
        <w:t xml:space="preserve">Caso Romero </w:t>
      </w:r>
      <w:proofErr w:type="spellStart"/>
      <w:r w:rsidRPr="00E46F1E">
        <w:rPr>
          <w:rStyle w:val="Textoennegrita"/>
          <w:rFonts w:ascii="Verdana" w:hAnsi="Verdana"/>
          <w:b w:val="0"/>
          <w:i/>
          <w:color w:val="000000"/>
          <w:sz w:val="16"/>
          <w:szCs w:val="16"/>
        </w:rPr>
        <w:t>Feris</w:t>
      </w:r>
      <w:proofErr w:type="spellEnd"/>
      <w:r w:rsidRPr="00E46F1E">
        <w:rPr>
          <w:rStyle w:val="Textoennegrita"/>
          <w:rFonts w:ascii="Verdana" w:hAnsi="Verdana"/>
          <w:b w:val="0"/>
          <w:i/>
          <w:color w:val="000000"/>
          <w:sz w:val="16"/>
          <w:szCs w:val="16"/>
        </w:rPr>
        <w:t xml:space="preserve"> Vs. Argentina. Fondo, Reparaciones y Costas.</w:t>
      </w:r>
      <w:r w:rsidRPr="00E46F1E">
        <w:rPr>
          <w:rStyle w:val="Textoennegrita"/>
          <w:rFonts w:ascii="Verdana" w:hAnsi="Verdana"/>
          <w:b w:val="0"/>
          <w:color w:val="000000"/>
          <w:sz w:val="16"/>
          <w:szCs w:val="16"/>
        </w:rPr>
        <w:t xml:space="preserve"> Sentencia de 15 de octubre de 2019. Serie C No. 391., párr. 177.</w:t>
      </w:r>
      <w:r w:rsidRPr="001067EF" w:rsidDel="004A4784">
        <w:rPr>
          <w:rFonts w:ascii="Verdana" w:hAnsi="Verdana"/>
          <w:b/>
          <w:sz w:val="16"/>
          <w:szCs w:val="16"/>
        </w:rPr>
        <w:t xml:space="preserve"> </w:t>
      </w:r>
    </w:p>
  </w:footnote>
  <w:footnote w:id="230">
    <w:p w14:paraId="06F42D17" w14:textId="762D6D59" w:rsidR="00E46F1E" w:rsidRPr="001067EF" w:rsidRDefault="00E46F1E" w:rsidP="00C40460">
      <w:pPr>
        <w:pStyle w:val="Textonotapie"/>
        <w:widowControl w:val="0"/>
        <w:spacing w:after="120"/>
        <w:jc w:val="both"/>
        <w:rPr>
          <w:rFonts w:ascii="Verdana" w:hAnsi="Verdana"/>
          <w:b/>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Cfr. Caso de la Masacre de Las Dos Erres Vs. Guatemala, Excepción Preliminar, Fondo, Reparaciones y Costas</w:t>
      </w:r>
      <w:r w:rsidRPr="001067EF">
        <w:rPr>
          <w:rFonts w:ascii="Verdana" w:hAnsi="Verdana"/>
          <w:sz w:val="16"/>
          <w:szCs w:val="16"/>
        </w:rPr>
        <w:t xml:space="preserve">. Sentencia de 24 de noviembre de 2009. Serie C </w:t>
      </w:r>
      <w:r w:rsidRPr="00E46F1E">
        <w:rPr>
          <w:rFonts w:ascii="Verdana" w:hAnsi="Verdana"/>
          <w:sz w:val="16"/>
          <w:szCs w:val="16"/>
        </w:rPr>
        <w:t xml:space="preserve">No. 211, párr. 226, y </w:t>
      </w:r>
      <w:r w:rsidRPr="00E46F1E">
        <w:rPr>
          <w:rStyle w:val="Textoennegrita"/>
          <w:rFonts w:ascii="Verdana" w:hAnsi="Verdana"/>
          <w:b w:val="0"/>
          <w:i/>
          <w:color w:val="000000"/>
          <w:sz w:val="16"/>
          <w:szCs w:val="16"/>
        </w:rPr>
        <w:t xml:space="preserve">Caso Romero </w:t>
      </w:r>
      <w:proofErr w:type="spellStart"/>
      <w:r w:rsidRPr="00E46F1E">
        <w:rPr>
          <w:rStyle w:val="Textoennegrita"/>
          <w:rFonts w:ascii="Verdana" w:hAnsi="Verdana"/>
          <w:b w:val="0"/>
          <w:i/>
          <w:color w:val="000000"/>
          <w:sz w:val="16"/>
          <w:szCs w:val="16"/>
        </w:rPr>
        <w:t>Feris</w:t>
      </w:r>
      <w:proofErr w:type="spellEnd"/>
      <w:r w:rsidRPr="00E46F1E">
        <w:rPr>
          <w:rStyle w:val="Textoennegrita"/>
          <w:rFonts w:ascii="Verdana" w:hAnsi="Verdana"/>
          <w:b w:val="0"/>
          <w:i/>
          <w:color w:val="000000"/>
          <w:sz w:val="16"/>
          <w:szCs w:val="16"/>
        </w:rPr>
        <w:t xml:space="preserve"> Vs. Argentina. Fondo, Reparaciones y Costas.</w:t>
      </w:r>
      <w:r w:rsidRPr="00E46F1E">
        <w:rPr>
          <w:rStyle w:val="Textoennegrita"/>
          <w:rFonts w:ascii="Verdana" w:hAnsi="Verdana"/>
          <w:b w:val="0"/>
          <w:color w:val="000000"/>
          <w:sz w:val="16"/>
          <w:szCs w:val="16"/>
        </w:rPr>
        <w:t xml:space="preserve"> Sentencia de 15 de octubre de 2019. Serie C No. 391., párr. 177.</w:t>
      </w:r>
    </w:p>
  </w:footnote>
  <w:footnote w:id="231">
    <w:p w14:paraId="607270AB" w14:textId="149FDA9E" w:rsidR="00E46F1E" w:rsidRPr="001067EF" w:rsidRDefault="00E46F1E" w:rsidP="00C40460">
      <w:pPr>
        <w:pStyle w:val="Textonotapie"/>
        <w:widowControl w:val="0"/>
        <w:spacing w:after="120"/>
        <w:jc w:val="both"/>
        <w:rPr>
          <w:rFonts w:ascii="Verdana" w:hAnsi="Verdana"/>
          <w:b/>
          <w:sz w:val="16"/>
          <w:szCs w:val="16"/>
        </w:rPr>
      </w:pPr>
      <w:r w:rsidRPr="001067EF">
        <w:rPr>
          <w:rStyle w:val="Refdenotaalpie"/>
          <w:rFonts w:ascii="Verdana" w:hAnsi="Verdana"/>
          <w:sz w:val="16"/>
          <w:szCs w:val="16"/>
        </w:rPr>
        <w:footnoteRef/>
      </w:r>
      <w:r w:rsidRPr="001067EF">
        <w:rPr>
          <w:rFonts w:ascii="Verdana" w:hAnsi="Verdana"/>
          <w:sz w:val="16"/>
          <w:szCs w:val="16"/>
        </w:rPr>
        <w:tab/>
      </w:r>
      <w:r w:rsidRPr="001067EF">
        <w:rPr>
          <w:rFonts w:ascii="Verdana" w:hAnsi="Verdana"/>
          <w:i/>
          <w:sz w:val="16"/>
          <w:szCs w:val="16"/>
        </w:rPr>
        <w:t>Cfr. Caso Ticona Estrada y otros Vs. Bolivia. Fondo, Reparaciones y Costas</w:t>
      </w:r>
      <w:r w:rsidRPr="001067EF">
        <w:rPr>
          <w:rFonts w:ascii="Verdana" w:hAnsi="Verdana"/>
          <w:sz w:val="16"/>
          <w:szCs w:val="16"/>
        </w:rPr>
        <w:t xml:space="preserve">. Sentencia de 27 de noviembre de 2008. Serie C No. 191, párr. 110, y </w:t>
      </w:r>
      <w:r w:rsidRPr="00E46F1E">
        <w:rPr>
          <w:rStyle w:val="Textoennegrita"/>
          <w:rFonts w:ascii="Verdana" w:hAnsi="Verdana"/>
          <w:b w:val="0"/>
          <w:i/>
          <w:color w:val="000000"/>
          <w:sz w:val="16"/>
          <w:szCs w:val="16"/>
        </w:rPr>
        <w:t xml:space="preserve">Caso Romero </w:t>
      </w:r>
      <w:proofErr w:type="spellStart"/>
      <w:r w:rsidRPr="00E46F1E">
        <w:rPr>
          <w:rStyle w:val="Textoennegrita"/>
          <w:rFonts w:ascii="Verdana" w:hAnsi="Verdana"/>
          <w:b w:val="0"/>
          <w:i/>
          <w:color w:val="000000"/>
          <w:sz w:val="16"/>
          <w:szCs w:val="16"/>
        </w:rPr>
        <w:t>Feris</w:t>
      </w:r>
      <w:proofErr w:type="spellEnd"/>
      <w:r w:rsidRPr="00E46F1E">
        <w:rPr>
          <w:rStyle w:val="Textoennegrita"/>
          <w:rFonts w:ascii="Verdana" w:hAnsi="Verdana"/>
          <w:b w:val="0"/>
          <w:i/>
          <w:color w:val="000000"/>
          <w:sz w:val="16"/>
          <w:szCs w:val="16"/>
        </w:rPr>
        <w:t xml:space="preserve"> Vs. Argentina. Fondo, Reparaciones y Costas.</w:t>
      </w:r>
      <w:r w:rsidRPr="00E46F1E">
        <w:rPr>
          <w:rStyle w:val="Textoennegrita"/>
          <w:rFonts w:ascii="Verdana" w:hAnsi="Verdana"/>
          <w:b w:val="0"/>
          <w:color w:val="000000"/>
          <w:sz w:val="16"/>
          <w:szCs w:val="16"/>
        </w:rPr>
        <w:t xml:space="preserve"> Sentencia de 15 de octubre de 2019. Serie C No. 391., párr. 178.</w:t>
      </w:r>
      <w:r w:rsidRPr="001067EF" w:rsidDel="004A4784">
        <w:rPr>
          <w:rFonts w:ascii="Verdana" w:hAnsi="Verdana"/>
          <w:b/>
          <w:sz w:val="16"/>
          <w:szCs w:val="16"/>
        </w:rPr>
        <w:t xml:space="preserve"> </w:t>
      </w:r>
    </w:p>
  </w:footnote>
  <w:footnote w:id="232">
    <w:p w14:paraId="21593B7F" w14:textId="1E065396"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E46F1E">
        <w:rPr>
          <w:rFonts w:ascii="Verdana" w:hAnsi="Verdana"/>
          <w:sz w:val="16"/>
          <w:szCs w:val="16"/>
        </w:rPr>
        <w:tab/>
      </w:r>
      <w:r w:rsidRPr="00E46F1E">
        <w:rPr>
          <w:rFonts w:ascii="Verdana" w:hAnsi="Verdana"/>
          <w:i/>
          <w:sz w:val="16"/>
          <w:szCs w:val="16"/>
        </w:rPr>
        <w:t>Cfr. Caso Andrade Salmón Vs. Bolivia. Fondo, Reparaciones y Costas</w:t>
      </w:r>
      <w:r w:rsidRPr="00E46F1E">
        <w:rPr>
          <w:rFonts w:ascii="Verdana" w:hAnsi="Verdana"/>
          <w:sz w:val="16"/>
          <w:szCs w:val="16"/>
        </w:rPr>
        <w:t xml:space="preserve">. Sentencia de 1 de diciembre de 2016. Serie C No. 330, párr. 189, y </w:t>
      </w:r>
      <w:r w:rsidRPr="00E46F1E">
        <w:rPr>
          <w:rStyle w:val="Textoennegrita"/>
          <w:rFonts w:ascii="Verdana" w:hAnsi="Verdana"/>
          <w:b w:val="0"/>
          <w:i/>
          <w:color w:val="000000"/>
          <w:sz w:val="16"/>
          <w:szCs w:val="16"/>
        </w:rPr>
        <w:t xml:space="preserve">Caso Romero </w:t>
      </w:r>
      <w:proofErr w:type="spellStart"/>
      <w:r w:rsidRPr="00E46F1E">
        <w:rPr>
          <w:rStyle w:val="Textoennegrita"/>
          <w:rFonts w:ascii="Verdana" w:hAnsi="Verdana"/>
          <w:b w:val="0"/>
          <w:i/>
          <w:color w:val="000000"/>
          <w:sz w:val="16"/>
          <w:szCs w:val="16"/>
        </w:rPr>
        <w:t>Feris</w:t>
      </w:r>
      <w:proofErr w:type="spellEnd"/>
      <w:r w:rsidRPr="00E46F1E">
        <w:rPr>
          <w:rStyle w:val="Textoennegrita"/>
          <w:rFonts w:ascii="Verdana" w:hAnsi="Verdana"/>
          <w:b w:val="0"/>
          <w:i/>
          <w:color w:val="000000"/>
          <w:sz w:val="16"/>
          <w:szCs w:val="16"/>
        </w:rPr>
        <w:t xml:space="preserve"> Vs. Argentina. Fondo, Reparaciones y Costas.</w:t>
      </w:r>
      <w:r w:rsidRPr="00E46F1E">
        <w:rPr>
          <w:rStyle w:val="Textoennegrita"/>
          <w:rFonts w:ascii="Verdana" w:hAnsi="Verdana"/>
          <w:b w:val="0"/>
          <w:color w:val="000000"/>
          <w:sz w:val="16"/>
          <w:szCs w:val="16"/>
        </w:rPr>
        <w:t xml:space="preserve"> Sentencia de 15 de octubre de 2019. Serie C No. 391., párr. 179.</w:t>
      </w:r>
      <w:r w:rsidRPr="001067EF" w:rsidDel="004A4784">
        <w:rPr>
          <w:rFonts w:ascii="Verdana" w:hAnsi="Verdana"/>
          <w:b/>
          <w:sz w:val="16"/>
          <w:szCs w:val="16"/>
        </w:rPr>
        <w:t xml:space="preserve"> </w:t>
      </w:r>
    </w:p>
  </w:footnote>
  <w:footnote w:id="233">
    <w:p w14:paraId="774C35C6" w14:textId="0D19D284"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 xml:space="preserve">Cfr. Caso </w:t>
      </w:r>
      <w:r w:rsidRPr="00E46F1E">
        <w:rPr>
          <w:rFonts w:ascii="Verdana" w:hAnsi="Verdana"/>
          <w:i/>
          <w:sz w:val="16"/>
          <w:szCs w:val="16"/>
        </w:rPr>
        <w:t>Neira Alegría y otros Vs. Perú. Reparaciones y Costas</w:t>
      </w:r>
      <w:r w:rsidRPr="00E46F1E">
        <w:rPr>
          <w:rFonts w:ascii="Verdana" w:hAnsi="Verdana"/>
          <w:sz w:val="16"/>
          <w:szCs w:val="16"/>
        </w:rPr>
        <w:t xml:space="preserve">. Sentencia de 19 de septiembre de 1996. Serie C No. 29, párr. 56, y </w:t>
      </w:r>
      <w:r w:rsidRPr="00E46F1E">
        <w:rPr>
          <w:rStyle w:val="Textoennegrita"/>
          <w:rFonts w:ascii="Verdana" w:hAnsi="Verdana"/>
          <w:b w:val="0"/>
          <w:i/>
          <w:color w:val="000000"/>
          <w:sz w:val="16"/>
          <w:szCs w:val="16"/>
        </w:rPr>
        <w:t xml:space="preserve">Caso Romero </w:t>
      </w:r>
      <w:proofErr w:type="spellStart"/>
      <w:r w:rsidRPr="00E46F1E">
        <w:rPr>
          <w:rStyle w:val="Textoennegrita"/>
          <w:rFonts w:ascii="Verdana" w:hAnsi="Verdana"/>
          <w:b w:val="0"/>
          <w:i/>
          <w:color w:val="000000"/>
          <w:sz w:val="16"/>
          <w:szCs w:val="16"/>
        </w:rPr>
        <w:t>Feris</w:t>
      </w:r>
      <w:proofErr w:type="spellEnd"/>
      <w:r w:rsidRPr="00E46F1E">
        <w:rPr>
          <w:rStyle w:val="Textoennegrita"/>
          <w:rFonts w:ascii="Verdana" w:hAnsi="Verdana"/>
          <w:b w:val="0"/>
          <w:i/>
          <w:color w:val="000000"/>
          <w:sz w:val="16"/>
          <w:szCs w:val="16"/>
        </w:rPr>
        <w:t xml:space="preserve"> Vs. Argentina. Fondo, Reparaciones y Costas.</w:t>
      </w:r>
      <w:r w:rsidRPr="00E46F1E">
        <w:rPr>
          <w:rStyle w:val="Textoennegrita"/>
          <w:rFonts w:ascii="Verdana" w:hAnsi="Verdana"/>
          <w:b w:val="0"/>
          <w:color w:val="000000"/>
          <w:sz w:val="16"/>
          <w:szCs w:val="16"/>
        </w:rPr>
        <w:t xml:space="preserve"> Sentencia de 15 de octubre de 2019. Serie C No. 391., párr. 180</w:t>
      </w:r>
      <w:r w:rsidRPr="00E46F1E">
        <w:rPr>
          <w:rFonts w:ascii="Verdana" w:hAnsi="Verdana"/>
          <w:sz w:val="16"/>
          <w:szCs w:val="16"/>
        </w:rPr>
        <w:t>.</w:t>
      </w:r>
    </w:p>
  </w:footnote>
  <w:footnote w:id="234">
    <w:p w14:paraId="125D1970" w14:textId="20583861" w:rsidR="00E46F1E" w:rsidRPr="001067EF" w:rsidRDefault="00E46F1E" w:rsidP="00C40460">
      <w:pPr>
        <w:spacing w:after="120" w:line="240" w:lineRule="auto"/>
        <w:jc w:val="both"/>
        <w:rPr>
          <w:rFonts w:ascii="Verdana" w:hAnsi="Verdana"/>
          <w:sz w:val="16"/>
          <w:szCs w:val="16"/>
          <w:lang w:val="es-CR"/>
        </w:rPr>
      </w:pPr>
      <w:r w:rsidRPr="001067EF">
        <w:rPr>
          <w:rStyle w:val="Refdenotaalpie"/>
          <w:rFonts w:ascii="Verdana" w:hAnsi="Verdana"/>
          <w:sz w:val="16"/>
          <w:szCs w:val="16"/>
          <w:lang w:eastAsia="x-none"/>
        </w:rPr>
        <w:footnoteRef/>
      </w:r>
      <w:r w:rsidRPr="001067EF">
        <w:rPr>
          <w:rFonts w:ascii="Verdana" w:hAnsi="Verdana"/>
          <w:sz w:val="16"/>
          <w:szCs w:val="16"/>
          <w:lang w:val="es-CR"/>
        </w:rPr>
        <w:t xml:space="preserve"> </w:t>
      </w:r>
      <w:r>
        <w:rPr>
          <w:rFonts w:ascii="Verdana" w:hAnsi="Verdana"/>
          <w:sz w:val="16"/>
          <w:szCs w:val="16"/>
          <w:lang w:val="es-CR"/>
        </w:rPr>
        <w:tab/>
      </w:r>
      <w:r w:rsidRPr="001067EF">
        <w:rPr>
          <w:rFonts w:ascii="Verdana" w:hAnsi="Verdana"/>
          <w:sz w:val="16"/>
          <w:szCs w:val="16"/>
          <w:lang w:val="es-CR"/>
        </w:rPr>
        <w:t>Inclusive en ausencia de solicitud expresa (</w:t>
      </w:r>
      <w:r w:rsidRPr="001067EF">
        <w:rPr>
          <w:rFonts w:ascii="Verdana" w:hAnsi="Verdana"/>
          <w:i/>
          <w:sz w:val="16"/>
          <w:szCs w:val="16"/>
          <w:lang w:val="es-CR"/>
        </w:rPr>
        <w:t>c</w:t>
      </w:r>
      <w:r w:rsidRPr="001067EF">
        <w:rPr>
          <w:rFonts w:ascii="Verdana" w:eastAsia="MS Mincho" w:hAnsi="Verdana"/>
          <w:i/>
          <w:sz w:val="16"/>
          <w:szCs w:val="16"/>
          <w:lang w:val="es-ES_tradnl"/>
        </w:rPr>
        <w:t xml:space="preserve">fr. </w:t>
      </w:r>
      <w:r w:rsidRPr="00E46F1E">
        <w:rPr>
          <w:rFonts w:ascii="Verdana" w:eastAsia="MS Mincho" w:hAnsi="Verdana"/>
          <w:i/>
          <w:sz w:val="16"/>
          <w:szCs w:val="16"/>
          <w:lang w:val="es-ES_tradnl"/>
        </w:rPr>
        <w:t>Caso Cantoral Benavides Vs. Perú. Reparaciones y Costas.</w:t>
      </w:r>
      <w:r w:rsidRPr="00E46F1E">
        <w:rPr>
          <w:rFonts w:ascii="Verdana" w:eastAsia="MS Mincho" w:hAnsi="Verdana"/>
          <w:sz w:val="16"/>
          <w:szCs w:val="16"/>
          <w:lang w:val="es-ES_tradnl"/>
        </w:rPr>
        <w:t xml:space="preserve"> Sentencia de 3 de diciembre de 2001. Serie C No. 88, </w:t>
      </w:r>
      <w:proofErr w:type="spellStart"/>
      <w:r w:rsidRPr="00E46F1E">
        <w:rPr>
          <w:rFonts w:ascii="Verdana" w:eastAsia="MS Mincho" w:hAnsi="Verdana"/>
          <w:sz w:val="16"/>
          <w:szCs w:val="16"/>
          <w:lang w:val="es-ES_tradnl"/>
        </w:rPr>
        <w:t>párr</w:t>
      </w:r>
      <w:proofErr w:type="spellEnd"/>
      <w:r w:rsidRPr="00E46F1E">
        <w:rPr>
          <w:rFonts w:ascii="Verdana" w:eastAsia="MS Mincho" w:hAnsi="Verdana"/>
          <w:sz w:val="16"/>
          <w:szCs w:val="16"/>
          <w:lang w:val="es-ES_tradnl"/>
        </w:rPr>
        <w:t xml:space="preserve">, 79 y </w:t>
      </w:r>
      <w:r w:rsidRPr="00E46F1E">
        <w:rPr>
          <w:rStyle w:val="Textoennegrita"/>
          <w:rFonts w:ascii="Verdana" w:hAnsi="Verdana"/>
          <w:b w:val="0"/>
          <w:i/>
          <w:color w:val="000000"/>
          <w:sz w:val="16"/>
          <w:szCs w:val="16"/>
        </w:rPr>
        <w:t>Caso Villaseñor Velarde y otros Vs. Guatemala. Fondo, Reparaciones y Costas.</w:t>
      </w:r>
      <w:r w:rsidRPr="00E46F1E">
        <w:rPr>
          <w:rStyle w:val="Textoennegrita"/>
          <w:rFonts w:ascii="Verdana" w:hAnsi="Verdana"/>
          <w:b w:val="0"/>
          <w:color w:val="000000"/>
          <w:sz w:val="16"/>
          <w:szCs w:val="16"/>
        </w:rPr>
        <w:t xml:space="preserve"> Sentencia de 5 de febrero de 2019. Serie C No. 374., párr. 157</w:t>
      </w:r>
      <w:r w:rsidRPr="00E46F1E">
        <w:rPr>
          <w:rFonts w:ascii="Verdana" w:hAnsi="Verdana"/>
          <w:sz w:val="16"/>
          <w:szCs w:val="16"/>
          <w:lang w:val="es-PR"/>
        </w:rPr>
        <w:t>).</w:t>
      </w:r>
      <w:r w:rsidRPr="001067EF">
        <w:rPr>
          <w:rFonts w:ascii="Verdana" w:hAnsi="Verdana"/>
          <w:sz w:val="16"/>
          <w:szCs w:val="16"/>
          <w:lang w:val="es-PR"/>
        </w:rPr>
        <w:t xml:space="preserve"> En el presente caso, las representantes se refirieron a la publicación de la sentencia en sus alegatos finales escritos, por lo que la solicitud fue extemporánea. </w:t>
      </w:r>
    </w:p>
  </w:footnote>
  <w:footnote w:id="235">
    <w:p w14:paraId="26357C08" w14:textId="04BC7DB0" w:rsidR="00E46F1E" w:rsidRPr="001067EF" w:rsidRDefault="00E46F1E" w:rsidP="00C40460">
      <w:pPr>
        <w:pStyle w:val="Textonotapie"/>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Pr>
          <w:rFonts w:ascii="Verdana" w:hAnsi="Verdana"/>
          <w:sz w:val="16"/>
          <w:szCs w:val="16"/>
        </w:rPr>
        <w:tab/>
      </w:r>
      <w:r w:rsidRPr="001067EF">
        <w:rPr>
          <w:rFonts w:ascii="Verdana" w:hAnsi="Verdana"/>
          <w:sz w:val="16"/>
          <w:szCs w:val="16"/>
        </w:rPr>
        <w:t xml:space="preserve">Argentina. </w:t>
      </w:r>
      <w:r w:rsidRPr="001067EF">
        <w:rPr>
          <w:rFonts w:ascii="Verdana" w:hAnsi="Verdana" w:cstheme="minorHAnsi"/>
          <w:sz w:val="16"/>
          <w:szCs w:val="16"/>
        </w:rPr>
        <w:t xml:space="preserve">Ley Nacional sobre Ejecución de la Pena Privativa de Libertad, número 24.660. Promulgada el 8 de julio de 1996; </w:t>
      </w:r>
      <w:r w:rsidRPr="001067EF">
        <w:rPr>
          <w:rFonts w:ascii="Verdana" w:hAnsi="Verdana"/>
          <w:sz w:val="16"/>
          <w:szCs w:val="16"/>
        </w:rPr>
        <w:t xml:space="preserve">Ley de Ejecución Penal Bonaerense, número 12.256. Boletín Oficial de fecha 25 de enero de 1999; Gobernador de la Provincia de Buenos Aires. Decreto número 950 de fecha 10 de mayo de 2005 (prueba para mejor resolver, folio 955); </w:t>
      </w:r>
      <w:r w:rsidRPr="001067EF">
        <w:rPr>
          <w:rFonts w:ascii="Verdana" w:hAnsi="Verdana"/>
          <w:sz w:val="16"/>
          <w:szCs w:val="16"/>
          <w:lang w:val="es-CO"/>
        </w:rPr>
        <w:t>Ministerio de Salud. Resolución Ministerial número 1009/2012 de fecha 4 de julio de 2012 (prueba para mejor resolver, folios 1608-1609).</w:t>
      </w:r>
    </w:p>
  </w:footnote>
  <w:footnote w:id="236">
    <w:p w14:paraId="6CE407F5" w14:textId="4BB59FE9" w:rsidR="00E46F1E" w:rsidRPr="001067EF" w:rsidRDefault="00E46F1E" w:rsidP="00C40460">
      <w:pPr>
        <w:pStyle w:val="Textonotapie"/>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Pr>
          <w:rFonts w:ascii="Verdana" w:hAnsi="Verdana"/>
          <w:sz w:val="16"/>
          <w:szCs w:val="16"/>
        </w:rPr>
        <w:tab/>
      </w:r>
      <w:r w:rsidRPr="001067EF">
        <w:rPr>
          <w:rFonts w:ascii="Verdana" w:hAnsi="Verdana"/>
          <w:sz w:val="16"/>
          <w:szCs w:val="16"/>
        </w:rPr>
        <w:t xml:space="preserve">Argentina. Ministerio de Salud. Resolución Ministerial número 678/08 de fecha 1º de julio de 2008; </w:t>
      </w:r>
      <w:r w:rsidRPr="001067EF">
        <w:rPr>
          <w:rFonts w:ascii="Verdana" w:hAnsi="Verdana"/>
          <w:sz w:val="16"/>
          <w:szCs w:val="16"/>
          <w:lang w:val="es-CO"/>
        </w:rPr>
        <w:t xml:space="preserve">Servicio Penitenciario Federal Argentino. Resolución D.N. número 1944 de fecha 4 de octubre de 2011 (prueba para mejor resolver, folios 1579-1580); </w:t>
      </w:r>
      <w:r w:rsidRPr="001067EF">
        <w:rPr>
          <w:rFonts w:ascii="Verdana" w:hAnsi="Verdana"/>
          <w:sz w:val="16"/>
          <w:szCs w:val="16"/>
        </w:rPr>
        <w:t xml:space="preserve">Ministerio de Salud. Programa Nacional de Control de la Tuberculosis: Normas Técnicas 2013, 4ta edición. Santa Fe, Argentina: Instituto Nacional de Enfermedades Respiratorias (INER) “Dr. E. </w:t>
      </w:r>
      <w:proofErr w:type="spellStart"/>
      <w:r w:rsidRPr="001067EF">
        <w:rPr>
          <w:rFonts w:ascii="Verdana" w:hAnsi="Verdana"/>
          <w:sz w:val="16"/>
          <w:szCs w:val="16"/>
        </w:rPr>
        <w:t>Coni</w:t>
      </w:r>
      <w:proofErr w:type="spellEnd"/>
      <w:r w:rsidRPr="001067EF">
        <w:rPr>
          <w:rFonts w:ascii="Verdana" w:hAnsi="Verdana"/>
          <w:sz w:val="16"/>
          <w:szCs w:val="16"/>
        </w:rPr>
        <w:t xml:space="preserve">”, 2013. ISBN 978-987-29970-0-7 (prueba para mejor resolver, folios 1300-1541); Ministerio de Salud. Resolución Ministerial 583/2014 de fecha 6 de mayo de 2014. Boletín Oficial del 13 de mayo de 2014; Secretaría de Gobierno de Salud y Ministerio de Salud. Plan Estratégico Nacional para el Control de la Tuberculosis en la Argentina 2018-2021. </w:t>
      </w:r>
    </w:p>
    <w:p w14:paraId="03124608" w14:textId="77777777" w:rsidR="00E46F1E" w:rsidRPr="001067EF" w:rsidRDefault="00E46F1E" w:rsidP="00C40460">
      <w:pPr>
        <w:pStyle w:val="Textonotapie"/>
        <w:spacing w:after="120"/>
        <w:jc w:val="both"/>
        <w:rPr>
          <w:rFonts w:ascii="Verdana" w:hAnsi="Verdana"/>
          <w:sz w:val="16"/>
          <w:szCs w:val="16"/>
          <w:lang w:val="es-CO"/>
        </w:rPr>
      </w:pPr>
    </w:p>
    <w:p w14:paraId="6F15567A" w14:textId="77777777" w:rsidR="00E46F1E" w:rsidRPr="001067EF" w:rsidRDefault="00E46F1E" w:rsidP="00C40460">
      <w:pPr>
        <w:pStyle w:val="Textonotapie"/>
        <w:spacing w:after="120"/>
        <w:jc w:val="both"/>
        <w:rPr>
          <w:rFonts w:ascii="Verdana" w:hAnsi="Verdana"/>
          <w:sz w:val="16"/>
          <w:szCs w:val="16"/>
          <w:lang w:val="es-CO"/>
        </w:rPr>
      </w:pPr>
    </w:p>
  </w:footnote>
  <w:footnote w:id="237">
    <w:p w14:paraId="1E286FF7" w14:textId="3F0D4476" w:rsidR="00E46F1E" w:rsidRPr="001067EF" w:rsidRDefault="00E46F1E" w:rsidP="00C40460">
      <w:pPr>
        <w:widowControl w:val="0"/>
        <w:spacing w:after="120" w:line="240" w:lineRule="auto"/>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Cfr.</w:t>
      </w:r>
      <w:r w:rsidRPr="001067EF">
        <w:rPr>
          <w:rFonts w:ascii="Verdana" w:hAnsi="Verdana"/>
          <w:sz w:val="16"/>
          <w:szCs w:val="16"/>
        </w:rPr>
        <w:t xml:space="preserve"> </w:t>
      </w:r>
      <w:r w:rsidRPr="00E46F1E">
        <w:rPr>
          <w:rFonts w:ascii="Verdana" w:hAnsi="Verdana"/>
          <w:i/>
          <w:sz w:val="16"/>
          <w:szCs w:val="16"/>
        </w:rPr>
        <w:t>Caso Bámaca Velásquez Vs. Guatemala. Reparaciones y Costas.</w:t>
      </w:r>
      <w:r w:rsidRPr="00E46F1E">
        <w:rPr>
          <w:rFonts w:ascii="Verdana" w:hAnsi="Verdana"/>
          <w:sz w:val="16"/>
          <w:szCs w:val="16"/>
        </w:rPr>
        <w:t xml:space="preserve"> Sentencia de 22 de febrero de 2002. Serie C No. 91, párr. 43 y </w:t>
      </w:r>
      <w:r w:rsidRPr="00E46F1E">
        <w:rPr>
          <w:rStyle w:val="Textoennegrita"/>
          <w:rFonts w:ascii="Verdana" w:hAnsi="Verdana"/>
          <w:b w:val="0"/>
          <w:i/>
          <w:color w:val="000000"/>
          <w:sz w:val="16"/>
          <w:szCs w:val="16"/>
        </w:rPr>
        <w:t xml:space="preserve">Caso Romero </w:t>
      </w:r>
      <w:proofErr w:type="spellStart"/>
      <w:r w:rsidRPr="00E46F1E">
        <w:rPr>
          <w:rStyle w:val="Textoennegrita"/>
          <w:rFonts w:ascii="Verdana" w:hAnsi="Verdana"/>
          <w:b w:val="0"/>
          <w:i/>
          <w:color w:val="000000"/>
          <w:sz w:val="16"/>
          <w:szCs w:val="16"/>
        </w:rPr>
        <w:t>Feris</w:t>
      </w:r>
      <w:proofErr w:type="spellEnd"/>
      <w:r w:rsidRPr="00E46F1E">
        <w:rPr>
          <w:rStyle w:val="Textoennegrita"/>
          <w:rFonts w:ascii="Verdana" w:hAnsi="Verdana"/>
          <w:b w:val="0"/>
          <w:i/>
          <w:color w:val="000000"/>
          <w:sz w:val="16"/>
          <w:szCs w:val="16"/>
        </w:rPr>
        <w:t xml:space="preserve"> Vs. Argentina. Fondo, Reparaciones y Costas.</w:t>
      </w:r>
      <w:r w:rsidRPr="00E46F1E">
        <w:rPr>
          <w:rStyle w:val="Textoennegrita"/>
          <w:rFonts w:ascii="Verdana" w:hAnsi="Verdana"/>
          <w:b w:val="0"/>
          <w:color w:val="000000"/>
          <w:sz w:val="16"/>
          <w:szCs w:val="16"/>
        </w:rPr>
        <w:t xml:space="preserve"> Sentencia de 15 de octubre de 2019. Serie C No. 391., párr. 189.</w:t>
      </w:r>
    </w:p>
  </w:footnote>
  <w:footnote w:id="238">
    <w:p w14:paraId="105C07BD" w14:textId="0705395B" w:rsidR="00E46F1E" w:rsidRPr="001067EF" w:rsidRDefault="00E46F1E" w:rsidP="00C40460">
      <w:pPr>
        <w:pStyle w:val="Textonotapie"/>
        <w:widowControl w:val="0"/>
        <w:spacing w:after="120"/>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Cfr</w:t>
      </w:r>
      <w:r w:rsidRPr="001067EF">
        <w:rPr>
          <w:rFonts w:ascii="Verdana" w:hAnsi="Verdana"/>
          <w:sz w:val="16"/>
          <w:szCs w:val="16"/>
        </w:rPr>
        <w:t>.</w:t>
      </w:r>
      <w:r>
        <w:rPr>
          <w:rFonts w:ascii="Verdana" w:hAnsi="Verdana"/>
          <w:sz w:val="16"/>
          <w:szCs w:val="16"/>
        </w:rPr>
        <w:t xml:space="preserve"> </w:t>
      </w:r>
      <w:r w:rsidRPr="001067EF">
        <w:rPr>
          <w:rFonts w:ascii="Verdana" w:hAnsi="Verdana"/>
          <w:i/>
          <w:sz w:val="16"/>
          <w:szCs w:val="16"/>
        </w:rPr>
        <w:t>Caso del Penal Miguel Castro Vs. Perú. Fondo, Reparaciones y Costas.</w:t>
      </w:r>
      <w:r w:rsidRPr="001067EF">
        <w:rPr>
          <w:rFonts w:ascii="Verdana" w:hAnsi="Verdana"/>
          <w:sz w:val="16"/>
          <w:szCs w:val="16"/>
        </w:rPr>
        <w:t xml:space="preserve"> Sentencia de 25 de noviembre de 2</w:t>
      </w:r>
      <w:r>
        <w:rPr>
          <w:rFonts w:ascii="Verdana" w:hAnsi="Verdana"/>
          <w:sz w:val="16"/>
          <w:szCs w:val="16"/>
        </w:rPr>
        <w:t>005. Serie C No. 160, párr. 425, y</w:t>
      </w:r>
      <w:r w:rsidRPr="001067EF">
        <w:rPr>
          <w:rFonts w:ascii="Verdana" w:hAnsi="Verdana"/>
          <w:sz w:val="16"/>
          <w:szCs w:val="16"/>
        </w:rPr>
        <w:t xml:space="preserve"> </w:t>
      </w:r>
      <w:r w:rsidRPr="001067EF">
        <w:rPr>
          <w:rFonts w:ascii="Verdana" w:hAnsi="Verdana"/>
          <w:i/>
          <w:sz w:val="16"/>
          <w:szCs w:val="16"/>
        </w:rPr>
        <w:t>Caso Vera y Otra Vs. Ecuador. Excepción preliminar, Fondo, Reparaciones y Costas</w:t>
      </w:r>
      <w:r w:rsidRPr="001067EF">
        <w:rPr>
          <w:rFonts w:ascii="Verdana" w:hAnsi="Verdana"/>
          <w:sz w:val="16"/>
          <w:szCs w:val="16"/>
        </w:rPr>
        <w:t>. Sentencia de 19 de mayo de 2011</w:t>
      </w:r>
      <w:r>
        <w:rPr>
          <w:rFonts w:ascii="Verdana" w:hAnsi="Verdana"/>
          <w:sz w:val="16"/>
          <w:szCs w:val="16"/>
        </w:rPr>
        <w:t>. Serie C No. 226, párr. 131.</w:t>
      </w:r>
    </w:p>
  </w:footnote>
  <w:footnote w:id="239">
    <w:p w14:paraId="35A18932" w14:textId="397C6A1D" w:rsidR="00E46F1E" w:rsidRPr="001067EF" w:rsidRDefault="00E46F1E" w:rsidP="00C40460">
      <w:pPr>
        <w:pStyle w:val="Textonotapie"/>
        <w:widowControl w:val="0"/>
        <w:spacing w:after="120"/>
        <w:jc w:val="both"/>
        <w:rPr>
          <w:rFonts w:ascii="Verdana" w:hAnsi="Verdana"/>
          <w:sz w:val="16"/>
          <w:szCs w:val="16"/>
          <w:lang w:val="es-HN"/>
        </w:rPr>
      </w:pPr>
      <w:r w:rsidRPr="001067EF">
        <w:rPr>
          <w:rStyle w:val="Refdenotaalpie"/>
          <w:rFonts w:ascii="Verdana" w:hAnsi="Verdana"/>
          <w:sz w:val="16"/>
          <w:szCs w:val="16"/>
        </w:rPr>
        <w:footnoteRef/>
      </w:r>
      <w:r w:rsidRPr="001067EF">
        <w:rPr>
          <w:rFonts w:ascii="Verdana" w:hAnsi="Verdana"/>
          <w:i/>
          <w:sz w:val="16"/>
          <w:szCs w:val="16"/>
        </w:rPr>
        <w:t xml:space="preserve"> </w:t>
      </w:r>
      <w:r w:rsidRPr="001067EF">
        <w:rPr>
          <w:rFonts w:ascii="Verdana" w:hAnsi="Verdana"/>
          <w:i/>
          <w:sz w:val="16"/>
          <w:szCs w:val="16"/>
        </w:rPr>
        <w:tab/>
        <w:t xml:space="preserve">Cfr. Caso de los Niños de la Calle </w:t>
      </w:r>
      <w:r w:rsidRPr="00E46F1E">
        <w:rPr>
          <w:rFonts w:ascii="Verdana" w:hAnsi="Verdana"/>
          <w:i/>
          <w:sz w:val="16"/>
          <w:szCs w:val="16"/>
        </w:rPr>
        <w:t>(Villagrán Morales y otros) Vs. Guatemala. Reparaciones y Costas</w:t>
      </w:r>
      <w:r w:rsidRPr="00E46F1E">
        <w:rPr>
          <w:rFonts w:ascii="Verdana" w:hAnsi="Verdana"/>
          <w:sz w:val="16"/>
          <w:szCs w:val="16"/>
        </w:rPr>
        <w:t xml:space="preserve">. Sentencia de 26 de mayo de 2001. Serie C No. 77, párr. 84 y </w:t>
      </w:r>
      <w:r w:rsidRPr="00E46F1E">
        <w:rPr>
          <w:rStyle w:val="Textoennegrita"/>
          <w:rFonts w:ascii="Verdana" w:hAnsi="Verdana"/>
          <w:b w:val="0"/>
          <w:i/>
          <w:color w:val="000000"/>
          <w:sz w:val="16"/>
          <w:szCs w:val="16"/>
        </w:rPr>
        <w:t xml:space="preserve">Caso Romero </w:t>
      </w:r>
      <w:proofErr w:type="spellStart"/>
      <w:r w:rsidRPr="00E46F1E">
        <w:rPr>
          <w:rStyle w:val="Textoennegrita"/>
          <w:rFonts w:ascii="Verdana" w:hAnsi="Verdana"/>
          <w:b w:val="0"/>
          <w:i/>
          <w:color w:val="000000"/>
          <w:sz w:val="16"/>
          <w:szCs w:val="16"/>
        </w:rPr>
        <w:t>Feris</w:t>
      </w:r>
      <w:proofErr w:type="spellEnd"/>
      <w:r w:rsidRPr="00E46F1E">
        <w:rPr>
          <w:rStyle w:val="Textoennegrita"/>
          <w:rFonts w:ascii="Verdana" w:hAnsi="Verdana"/>
          <w:b w:val="0"/>
          <w:i/>
          <w:color w:val="000000"/>
          <w:sz w:val="16"/>
          <w:szCs w:val="16"/>
        </w:rPr>
        <w:t xml:space="preserve"> Vs. Argentina. Fondo, Reparaciones y Costas.</w:t>
      </w:r>
      <w:r w:rsidRPr="00E46F1E">
        <w:rPr>
          <w:rStyle w:val="Textoennegrita"/>
          <w:rFonts w:ascii="Verdana" w:hAnsi="Verdana"/>
          <w:b w:val="0"/>
          <w:color w:val="000000"/>
          <w:sz w:val="16"/>
          <w:szCs w:val="16"/>
        </w:rPr>
        <w:t xml:space="preserve"> Sentencia de 15 de octubre de 2019. Serie C No. 391., párr. 190.</w:t>
      </w:r>
    </w:p>
  </w:footnote>
  <w:footnote w:id="240">
    <w:p w14:paraId="11190B19" w14:textId="77527655" w:rsidR="00E46F1E" w:rsidRPr="001067EF" w:rsidRDefault="00E46F1E" w:rsidP="00C40460">
      <w:pPr>
        <w:widowControl w:val="0"/>
        <w:spacing w:after="120" w:line="240" w:lineRule="auto"/>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Cfr. Caso Garrido y Baigorria Vs. Argentina. Reparaciones y Costas</w:t>
      </w:r>
      <w:r w:rsidRPr="001067EF">
        <w:rPr>
          <w:rFonts w:ascii="Verdana" w:hAnsi="Verdana"/>
          <w:sz w:val="16"/>
          <w:szCs w:val="16"/>
        </w:rPr>
        <w:t xml:space="preserve">. Sentencia de 27 de agosto de 1998. Serie C No. 39, párr. 79 </w:t>
      </w:r>
      <w:r w:rsidRPr="00E46F1E">
        <w:rPr>
          <w:rFonts w:ascii="Verdana" w:hAnsi="Verdana"/>
          <w:i/>
          <w:sz w:val="16"/>
          <w:szCs w:val="16"/>
        </w:rPr>
        <w:t xml:space="preserve">y </w:t>
      </w:r>
      <w:r w:rsidRPr="00E46F1E">
        <w:rPr>
          <w:rStyle w:val="Textoennegrita"/>
          <w:rFonts w:ascii="Verdana" w:hAnsi="Verdana"/>
          <w:b w:val="0"/>
          <w:i/>
          <w:color w:val="000000"/>
          <w:sz w:val="16"/>
          <w:szCs w:val="16"/>
        </w:rPr>
        <w:t xml:space="preserve">Caso Romero </w:t>
      </w:r>
      <w:proofErr w:type="spellStart"/>
      <w:r w:rsidRPr="00E46F1E">
        <w:rPr>
          <w:rStyle w:val="Textoennegrita"/>
          <w:rFonts w:ascii="Verdana" w:hAnsi="Verdana"/>
          <w:b w:val="0"/>
          <w:i/>
          <w:color w:val="000000"/>
          <w:sz w:val="16"/>
          <w:szCs w:val="16"/>
        </w:rPr>
        <w:t>Feris</w:t>
      </w:r>
      <w:proofErr w:type="spellEnd"/>
      <w:r w:rsidRPr="00E46F1E">
        <w:rPr>
          <w:rStyle w:val="Textoennegrita"/>
          <w:rFonts w:ascii="Verdana" w:hAnsi="Verdana"/>
          <w:b w:val="0"/>
          <w:i/>
          <w:color w:val="000000"/>
          <w:sz w:val="16"/>
          <w:szCs w:val="16"/>
        </w:rPr>
        <w:t xml:space="preserve"> Vs. Argentina. Fondo, Reparaciones y Costas.</w:t>
      </w:r>
      <w:r w:rsidRPr="00E46F1E">
        <w:rPr>
          <w:rStyle w:val="Textoennegrita"/>
          <w:rFonts w:ascii="Verdana" w:hAnsi="Verdana"/>
          <w:b w:val="0"/>
          <w:color w:val="000000"/>
          <w:sz w:val="16"/>
          <w:szCs w:val="16"/>
        </w:rPr>
        <w:t xml:space="preserve"> Sentencia de 15 de octubre de 2019. Serie C No. 391., párr. 196.</w:t>
      </w:r>
    </w:p>
  </w:footnote>
  <w:footnote w:id="241">
    <w:p w14:paraId="08CB7FF3" w14:textId="7941F6F5" w:rsidR="00E46F1E" w:rsidRPr="001067EF" w:rsidRDefault="00E46F1E" w:rsidP="00C40460">
      <w:pPr>
        <w:widowControl w:val="0"/>
        <w:spacing w:after="120" w:line="240" w:lineRule="auto"/>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 xml:space="preserve">Cfr. </w:t>
      </w:r>
      <w:r w:rsidRPr="00E46F1E">
        <w:rPr>
          <w:rFonts w:ascii="Verdana" w:hAnsi="Verdana"/>
          <w:i/>
          <w:sz w:val="16"/>
          <w:szCs w:val="16"/>
        </w:rPr>
        <w:t>Caso Garrido y Baigorria Vs. Argentina. Reparaciones y Costas</w:t>
      </w:r>
      <w:r w:rsidRPr="00E46F1E">
        <w:rPr>
          <w:rFonts w:ascii="Verdana" w:hAnsi="Verdana"/>
          <w:sz w:val="16"/>
          <w:szCs w:val="16"/>
        </w:rPr>
        <w:t xml:space="preserve">. Sentencia de 27 de agosto de 1998. Serie C No. 39, párr. 82 y </w:t>
      </w:r>
      <w:r w:rsidRPr="00E46F1E">
        <w:rPr>
          <w:rStyle w:val="Textoennegrita"/>
          <w:rFonts w:ascii="Verdana" w:hAnsi="Verdana"/>
          <w:b w:val="0"/>
          <w:i/>
          <w:color w:val="000000"/>
          <w:sz w:val="16"/>
          <w:szCs w:val="16"/>
        </w:rPr>
        <w:t xml:space="preserve">Caso Romero </w:t>
      </w:r>
      <w:proofErr w:type="spellStart"/>
      <w:r w:rsidRPr="00E46F1E">
        <w:rPr>
          <w:rStyle w:val="Textoennegrita"/>
          <w:rFonts w:ascii="Verdana" w:hAnsi="Verdana"/>
          <w:b w:val="0"/>
          <w:i/>
          <w:color w:val="000000"/>
          <w:sz w:val="16"/>
          <w:szCs w:val="16"/>
        </w:rPr>
        <w:t>Feris</w:t>
      </w:r>
      <w:proofErr w:type="spellEnd"/>
      <w:r w:rsidRPr="00E46F1E">
        <w:rPr>
          <w:rStyle w:val="Textoennegrita"/>
          <w:rFonts w:ascii="Verdana" w:hAnsi="Verdana"/>
          <w:b w:val="0"/>
          <w:i/>
          <w:color w:val="000000"/>
          <w:sz w:val="16"/>
          <w:szCs w:val="16"/>
        </w:rPr>
        <w:t xml:space="preserve"> Vs. Argentina. Fondo, Reparaciones y Costas.</w:t>
      </w:r>
      <w:r w:rsidRPr="00E46F1E">
        <w:rPr>
          <w:rStyle w:val="Textoennegrita"/>
          <w:rFonts w:ascii="Verdana" w:hAnsi="Verdana"/>
          <w:b w:val="0"/>
          <w:color w:val="000000"/>
          <w:sz w:val="16"/>
          <w:szCs w:val="16"/>
        </w:rPr>
        <w:t xml:space="preserve"> Sentencia de 15 de octubre de 2019. Serie C No. 391., párr. 196.</w:t>
      </w:r>
    </w:p>
  </w:footnote>
  <w:footnote w:id="242">
    <w:p w14:paraId="01F833CB" w14:textId="7DC27FEA" w:rsidR="00E46F1E" w:rsidRPr="001067EF" w:rsidRDefault="00E46F1E" w:rsidP="00C40460">
      <w:pPr>
        <w:widowControl w:val="0"/>
        <w:spacing w:after="120" w:line="240" w:lineRule="auto"/>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eastAsia="Verdana" w:hAnsi="Verdana" w:cs="Verdana"/>
          <w:i/>
          <w:sz w:val="16"/>
          <w:szCs w:val="16"/>
          <w:lang w:val="es-ES"/>
        </w:rPr>
        <w:t xml:space="preserve">Cfr. Caso Chaparro Álvarez y Lapo Íñiguez Vs. Ecuador. Excepciones Preliminares, Fondo, Reparaciones y Costas. </w:t>
      </w:r>
      <w:r w:rsidRPr="001067EF">
        <w:rPr>
          <w:rFonts w:ascii="Verdana" w:eastAsia="Verdana" w:hAnsi="Verdana" w:cs="Verdana"/>
          <w:iCs/>
          <w:sz w:val="16"/>
          <w:szCs w:val="16"/>
          <w:lang w:val="es-ES"/>
        </w:rPr>
        <w:t>Sentencia de 21 de noviembre de 2007. Serie C No. 170</w:t>
      </w:r>
      <w:r w:rsidRPr="001067EF">
        <w:rPr>
          <w:rFonts w:ascii="Verdana" w:eastAsia="Verdana" w:hAnsi="Verdana" w:cs="Verdana"/>
          <w:sz w:val="16"/>
          <w:szCs w:val="16"/>
          <w:lang w:val="es-ES"/>
        </w:rPr>
        <w:t xml:space="preserve">, párr. 275 y </w:t>
      </w:r>
      <w:r w:rsidRPr="00E46F1E">
        <w:rPr>
          <w:rStyle w:val="Textoennegrita"/>
          <w:rFonts w:ascii="Verdana" w:hAnsi="Verdana"/>
          <w:b w:val="0"/>
          <w:i/>
          <w:color w:val="000000"/>
          <w:sz w:val="16"/>
          <w:szCs w:val="16"/>
        </w:rPr>
        <w:t xml:space="preserve">Caso Romero </w:t>
      </w:r>
      <w:proofErr w:type="spellStart"/>
      <w:r w:rsidRPr="00E46F1E">
        <w:rPr>
          <w:rStyle w:val="Textoennegrita"/>
          <w:rFonts w:ascii="Verdana" w:hAnsi="Verdana"/>
          <w:b w:val="0"/>
          <w:i/>
          <w:color w:val="000000"/>
          <w:sz w:val="16"/>
          <w:szCs w:val="16"/>
        </w:rPr>
        <w:t>Feris</w:t>
      </w:r>
      <w:proofErr w:type="spellEnd"/>
      <w:r w:rsidRPr="00E46F1E">
        <w:rPr>
          <w:rStyle w:val="Textoennegrita"/>
          <w:rFonts w:ascii="Verdana" w:hAnsi="Verdana"/>
          <w:b w:val="0"/>
          <w:i/>
          <w:color w:val="000000"/>
          <w:sz w:val="16"/>
          <w:szCs w:val="16"/>
        </w:rPr>
        <w:t xml:space="preserve"> Vs. Argentina. Fondo, Reparaciones y Costas.</w:t>
      </w:r>
      <w:r w:rsidRPr="00E46F1E">
        <w:rPr>
          <w:rStyle w:val="Textoennegrita"/>
          <w:rFonts w:ascii="Verdana" w:hAnsi="Verdana"/>
          <w:b w:val="0"/>
          <w:color w:val="000000"/>
          <w:sz w:val="16"/>
          <w:szCs w:val="16"/>
        </w:rPr>
        <w:t xml:space="preserve"> Sentencia de 15 de octubre de 2019. Serie C No. 391., párr. 197.</w:t>
      </w:r>
    </w:p>
  </w:footnote>
  <w:footnote w:id="243">
    <w:p w14:paraId="29E7B429" w14:textId="5EB9D4D6" w:rsidR="00E46F1E" w:rsidRPr="001067EF" w:rsidRDefault="00E46F1E" w:rsidP="00C40460">
      <w:pPr>
        <w:widowControl w:val="0"/>
        <w:spacing w:after="120" w:line="240" w:lineRule="auto"/>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rPr>
        <w:tab/>
      </w:r>
      <w:r w:rsidRPr="001067EF">
        <w:rPr>
          <w:rFonts w:ascii="Verdana" w:hAnsi="Verdana"/>
          <w:i/>
          <w:sz w:val="16"/>
          <w:szCs w:val="16"/>
        </w:rPr>
        <w:t>Cfr.</w:t>
      </w:r>
      <w:r w:rsidRPr="001067EF">
        <w:rPr>
          <w:rFonts w:ascii="Verdana" w:hAnsi="Verdana"/>
          <w:sz w:val="16"/>
          <w:szCs w:val="16"/>
        </w:rPr>
        <w:t xml:space="preserve"> </w:t>
      </w:r>
      <w:r w:rsidRPr="001067EF">
        <w:rPr>
          <w:rFonts w:ascii="Verdana" w:hAnsi="Verdana"/>
          <w:i/>
          <w:sz w:val="16"/>
          <w:szCs w:val="16"/>
        </w:rPr>
        <w:t xml:space="preserve">Caso Chaparro Álvarez y Lapo Íñiguez Vs. Ecuador. </w:t>
      </w:r>
      <w:r w:rsidRPr="00E46F1E">
        <w:rPr>
          <w:rFonts w:ascii="Verdana" w:hAnsi="Verdana"/>
          <w:i/>
          <w:sz w:val="16"/>
          <w:szCs w:val="16"/>
        </w:rPr>
        <w:t>Excepciones Preliminares, Fondo, Reparaciones y Costas.</w:t>
      </w:r>
      <w:r w:rsidRPr="00E46F1E">
        <w:rPr>
          <w:rFonts w:ascii="Verdana" w:hAnsi="Verdana"/>
          <w:sz w:val="16"/>
          <w:szCs w:val="16"/>
        </w:rPr>
        <w:t xml:space="preserve"> Sentencia de 21 de noviembre de 2007. Serie C No. 170, párr. 277 y </w:t>
      </w:r>
      <w:r w:rsidRPr="00E46F1E">
        <w:rPr>
          <w:rStyle w:val="Textoennegrita"/>
          <w:rFonts w:ascii="Verdana" w:hAnsi="Verdana"/>
          <w:b w:val="0"/>
          <w:i/>
          <w:color w:val="000000"/>
          <w:sz w:val="16"/>
          <w:szCs w:val="16"/>
        </w:rPr>
        <w:t xml:space="preserve">Caso Romero </w:t>
      </w:r>
      <w:proofErr w:type="spellStart"/>
      <w:r w:rsidRPr="00E46F1E">
        <w:rPr>
          <w:rStyle w:val="Textoennegrita"/>
          <w:rFonts w:ascii="Verdana" w:hAnsi="Verdana"/>
          <w:b w:val="0"/>
          <w:i/>
          <w:color w:val="000000"/>
          <w:sz w:val="16"/>
          <w:szCs w:val="16"/>
        </w:rPr>
        <w:t>Feris</w:t>
      </w:r>
      <w:proofErr w:type="spellEnd"/>
      <w:r w:rsidRPr="00E46F1E">
        <w:rPr>
          <w:rStyle w:val="Textoennegrita"/>
          <w:rFonts w:ascii="Verdana" w:hAnsi="Verdana"/>
          <w:b w:val="0"/>
          <w:i/>
          <w:color w:val="000000"/>
          <w:sz w:val="16"/>
          <w:szCs w:val="16"/>
        </w:rPr>
        <w:t xml:space="preserve"> Vs. Argentina. Fondo, Reparaciones y Costas.</w:t>
      </w:r>
      <w:r w:rsidRPr="00E46F1E">
        <w:rPr>
          <w:rStyle w:val="Textoennegrita"/>
          <w:rFonts w:ascii="Verdana" w:hAnsi="Verdana"/>
          <w:b w:val="0"/>
          <w:color w:val="000000"/>
          <w:sz w:val="16"/>
          <w:szCs w:val="16"/>
        </w:rPr>
        <w:t xml:space="preserve"> Sentencia de 15 de octubre de 2019. Serie C No. 391., párr. 197</w:t>
      </w:r>
      <w:r w:rsidRPr="00E46F1E">
        <w:rPr>
          <w:rFonts w:ascii="Verdana" w:hAnsi="Verdana"/>
          <w:sz w:val="16"/>
          <w:szCs w:val="16"/>
        </w:rPr>
        <w:t>.</w:t>
      </w:r>
    </w:p>
  </w:footnote>
  <w:footnote w:id="244">
    <w:p w14:paraId="38F75254" w14:textId="4631C979" w:rsidR="00E46F1E" w:rsidRPr="001067EF" w:rsidRDefault="00E46F1E" w:rsidP="00C40460">
      <w:pPr>
        <w:widowControl w:val="0"/>
        <w:spacing w:after="120" w:line="240" w:lineRule="auto"/>
        <w:jc w:val="both"/>
        <w:rPr>
          <w:rFonts w:ascii="Verdana" w:hAnsi="Verdana"/>
          <w:sz w:val="16"/>
          <w:szCs w:val="16"/>
        </w:rPr>
      </w:pPr>
      <w:r w:rsidRPr="001067EF">
        <w:rPr>
          <w:rStyle w:val="Refdenotaalpie"/>
          <w:rFonts w:ascii="Verdana" w:hAnsi="Verdana"/>
          <w:sz w:val="16"/>
          <w:szCs w:val="16"/>
        </w:rPr>
        <w:footnoteRef/>
      </w:r>
      <w:r w:rsidRPr="001067EF">
        <w:rPr>
          <w:rFonts w:ascii="Verdana" w:hAnsi="Verdana"/>
          <w:sz w:val="16"/>
          <w:szCs w:val="16"/>
        </w:rPr>
        <w:t xml:space="preserve"> </w:t>
      </w:r>
      <w:r w:rsidRPr="001067EF">
        <w:rPr>
          <w:rFonts w:ascii="Verdana" w:hAnsi="Verdana"/>
          <w:sz w:val="16"/>
          <w:szCs w:val="16"/>
          <w:lang w:val="es-ES"/>
        </w:rPr>
        <w:tab/>
      </w:r>
      <w:r w:rsidRPr="001067EF">
        <w:rPr>
          <w:rFonts w:ascii="Verdana" w:hAnsi="Verdana"/>
          <w:i/>
          <w:sz w:val="16"/>
          <w:szCs w:val="16"/>
        </w:rPr>
        <w:t xml:space="preserve">Cfr. Caso Gudiel Álvarez y otros (Diario </w:t>
      </w:r>
      <w:r w:rsidRPr="00E46F1E">
        <w:rPr>
          <w:rFonts w:ascii="Verdana" w:hAnsi="Verdana"/>
          <w:i/>
          <w:sz w:val="16"/>
          <w:szCs w:val="16"/>
        </w:rPr>
        <w:t>Militar) Vs. Guatemala. Interpretación de la Sentencia de Fondo, Reparaciones y Costas</w:t>
      </w:r>
      <w:r w:rsidRPr="00E46F1E">
        <w:rPr>
          <w:rFonts w:ascii="Verdana" w:hAnsi="Verdana"/>
          <w:sz w:val="16"/>
          <w:szCs w:val="16"/>
        </w:rPr>
        <w:t xml:space="preserve">. Sentencia de 19 de agosto de 2013. Serie C No. 262, párr. 62 y </w:t>
      </w:r>
      <w:r w:rsidRPr="00E46F1E">
        <w:rPr>
          <w:rStyle w:val="Textoennegrita"/>
          <w:rFonts w:ascii="Verdana" w:hAnsi="Verdana"/>
          <w:b w:val="0"/>
          <w:i/>
          <w:color w:val="000000"/>
          <w:sz w:val="16"/>
          <w:szCs w:val="16"/>
        </w:rPr>
        <w:t xml:space="preserve">Caso Romero </w:t>
      </w:r>
      <w:proofErr w:type="spellStart"/>
      <w:r w:rsidRPr="00E46F1E">
        <w:rPr>
          <w:rStyle w:val="Textoennegrita"/>
          <w:rFonts w:ascii="Verdana" w:hAnsi="Verdana"/>
          <w:b w:val="0"/>
          <w:i/>
          <w:color w:val="000000"/>
          <w:sz w:val="16"/>
          <w:szCs w:val="16"/>
        </w:rPr>
        <w:t>Feris</w:t>
      </w:r>
      <w:proofErr w:type="spellEnd"/>
      <w:r w:rsidRPr="00E46F1E">
        <w:rPr>
          <w:rStyle w:val="Textoennegrita"/>
          <w:rFonts w:ascii="Verdana" w:hAnsi="Verdana"/>
          <w:b w:val="0"/>
          <w:i/>
          <w:color w:val="000000"/>
          <w:sz w:val="16"/>
          <w:szCs w:val="16"/>
        </w:rPr>
        <w:t xml:space="preserve"> Vs. Argentina. Fondo, Reparaciones y Costas.</w:t>
      </w:r>
      <w:r w:rsidRPr="00E46F1E">
        <w:rPr>
          <w:rStyle w:val="Textoennegrita"/>
          <w:rFonts w:ascii="Verdana" w:hAnsi="Verdana"/>
          <w:b w:val="0"/>
          <w:color w:val="000000"/>
          <w:sz w:val="16"/>
          <w:szCs w:val="16"/>
        </w:rPr>
        <w:t xml:space="preserve"> Sentencia de 15 de octubre de 2019. Serie C No. 391., párr. 198.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877DE" w14:textId="77777777" w:rsidR="00E46F1E" w:rsidRPr="003155BE" w:rsidRDefault="00E46F1E" w:rsidP="00FE4657">
    <w:pPr>
      <w:pStyle w:val="Encabezado"/>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6AEAF" w14:textId="24A2261B" w:rsidR="00E46F1E" w:rsidRDefault="00E46F1E" w:rsidP="00D64AF7">
    <w:pPr>
      <w:pStyle w:val="Encabezado"/>
      <w:tabs>
        <w:tab w:val="center" w:pos="9498"/>
        <w:tab w:val="left" w:pos="9639"/>
        <w:tab w:val="right" w:pos="10065"/>
      </w:tabs>
      <w:jc w:val="right"/>
      <w:rPr>
        <w:rFonts w:ascii="Verdana" w:hAnsi="Verdana"/>
        <w:i/>
        <w:sz w:val="16"/>
        <w:szCs w:val="16"/>
        <w:lang w:val="es-CR"/>
      </w:rPr>
    </w:pPr>
  </w:p>
  <w:p w14:paraId="19D84A17" w14:textId="77777777" w:rsidR="00E46F1E" w:rsidRPr="00F83241" w:rsidRDefault="00E46F1E" w:rsidP="00FE4657">
    <w:pPr>
      <w:pStyle w:val="Encabezado"/>
      <w:tabs>
        <w:tab w:val="center" w:pos="8931"/>
        <w:tab w:val="left" w:pos="9498"/>
        <w:tab w:val="left" w:pos="9639"/>
        <w:tab w:val="right" w:pos="10065"/>
      </w:tabs>
      <w:jc w:val="right"/>
      <w:rPr>
        <w:rFonts w:ascii="Verdana" w:hAnsi="Verdana"/>
        <w:i/>
        <w:sz w:val="16"/>
        <w:szCs w:val="16"/>
        <w:lang w:val="es-C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9376C"/>
    <w:multiLevelType w:val="hybridMultilevel"/>
    <w:tmpl w:val="0B40E2A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FE30BBC"/>
    <w:multiLevelType w:val="hybridMultilevel"/>
    <w:tmpl w:val="DAB00F72"/>
    <w:lvl w:ilvl="0" w:tplc="0F3CB792">
      <w:start w:val="1"/>
      <w:numFmt w:val="decimal"/>
      <w:pStyle w:val="Ttulo9"/>
      <w:lvlText w:val="B.2.%1."/>
      <w:lvlJc w:val="left"/>
      <w:pPr>
        <w:ind w:left="2496"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48E27BF"/>
    <w:multiLevelType w:val="hybridMultilevel"/>
    <w:tmpl w:val="C1A8BF66"/>
    <w:lvl w:ilvl="0" w:tplc="2AE2873E">
      <w:start w:val="1"/>
      <w:numFmt w:val="decimal"/>
      <w:pStyle w:val="Ttulo8"/>
      <w:lvlText w:val="D.6.%1."/>
      <w:lvlJc w:val="left"/>
      <w:pPr>
        <w:ind w:left="2496"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7F22572"/>
    <w:multiLevelType w:val="hybridMultilevel"/>
    <w:tmpl w:val="5B7E4BFA"/>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F237F54"/>
    <w:multiLevelType w:val="hybridMultilevel"/>
    <w:tmpl w:val="492A677A"/>
    <w:lvl w:ilvl="0" w:tplc="76261A50">
      <w:start w:val="1"/>
      <w:numFmt w:val="upperLetter"/>
      <w:lvlText w:val="%1."/>
      <w:lvlJc w:val="left"/>
      <w:pPr>
        <w:ind w:left="1068" w:hanging="360"/>
      </w:pPr>
      <w:rPr>
        <w:rFonts w:hint="default"/>
      </w:rPr>
    </w:lvl>
    <w:lvl w:ilvl="1" w:tplc="140A0019">
      <w:start w:val="1"/>
      <w:numFmt w:val="lowerLetter"/>
      <w:lvlText w:val="%2."/>
      <w:lvlJc w:val="left"/>
      <w:pPr>
        <w:ind w:left="-5592" w:hanging="360"/>
      </w:pPr>
    </w:lvl>
    <w:lvl w:ilvl="2" w:tplc="140A001B" w:tentative="1">
      <w:start w:val="1"/>
      <w:numFmt w:val="lowerRoman"/>
      <w:lvlText w:val="%3."/>
      <w:lvlJc w:val="right"/>
      <w:pPr>
        <w:ind w:left="-4872" w:hanging="180"/>
      </w:pPr>
    </w:lvl>
    <w:lvl w:ilvl="3" w:tplc="140A000F" w:tentative="1">
      <w:start w:val="1"/>
      <w:numFmt w:val="decimal"/>
      <w:lvlText w:val="%4."/>
      <w:lvlJc w:val="left"/>
      <w:pPr>
        <w:ind w:left="-4152" w:hanging="360"/>
      </w:pPr>
    </w:lvl>
    <w:lvl w:ilvl="4" w:tplc="140A0019" w:tentative="1">
      <w:start w:val="1"/>
      <w:numFmt w:val="lowerLetter"/>
      <w:lvlText w:val="%5."/>
      <w:lvlJc w:val="left"/>
      <w:pPr>
        <w:ind w:left="-3432" w:hanging="360"/>
      </w:pPr>
    </w:lvl>
    <w:lvl w:ilvl="5" w:tplc="140A001B" w:tentative="1">
      <w:start w:val="1"/>
      <w:numFmt w:val="lowerRoman"/>
      <w:lvlText w:val="%6."/>
      <w:lvlJc w:val="right"/>
      <w:pPr>
        <w:ind w:left="-2712" w:hanging="180"/>
      </w:pPr>
    </w:lvl>
    <w:lvl w:ilvl="6" w:tplc="140A000F" w:tentative="1">
      <w:start w:val="1"/>
      <w:numFmt w:val="decimal"/>
      <w:lvlText w:val="%7."/>
      <w:lvlJc w:val="left"/>
      <w:pPr>
        <w:ind w:left="-1992" w:hanging="360"/>
      </w:pPr>
    </w:lvl>
    <w:lvl w:ilvl="7" w:tplc="140A0019" w:tentative="1">
      <w:start w:val="1"/>
      <w:numFmt w:val="lowerLetter"/>
      <w:lvlText w:val="%8."/>
      <w:lvlJc w:val="left"/>
      <w:pPr>
        <w:ind w:left="-1272" w:hanging="360"/>
      </w:pPr>
    </w:lvl>
    <w:lvl w:ilvl="8" w:tplc="140A001B" w:tentative="1">
      <w:start w:val="1"/>
      <w:numFmt w:val="lowerRoman"/>
      <w:lvlText w:val="%9."/>
      <w:lvlJc w:val="right"/>
      <w:pPr>
        <w:ind w:left="-552" w:hanging="180"/>
      </w:pPr>
    </w:lvl>
  </w:abstractNum>
  <w:abstractNum w:abstractNumId="5" w15:restartNumberingAfterBreak="0">
    <w:nsid w:val="36A7656C"/>
    <w:multiLevelType w:val="hybridMultilevel"/>
    <w:tmpl w:val="10AE620E"/>
    <w:lvl w:ilvl="0" w:tplc="3BD24E3A">
      <w:start w:val="1"/>
      <w:numFmt w:val="decimal"/>
      <w:pStyle w:val="Ttulo3"/>
      <w:lvlText w:val="A.%1."/>
      <w:lvlJc w:val="left"/>
      <w:pPr>
        <w:ind w:left="1353" w:hanging="360"/>
      </w:pPr>
      <w:rPr>
        <w:rFonts w:hint="default"/>
        <w:b/>
        <w:i w:val="0"/>
      </w:rPr>
    </w:lvl>
    <w:lvl w:ilvl="1" w:tplc="B1BE33EE">
      <w:start w:val="1"/>
      <w:numFmt w:val="lowerRoman"/>
      <w:lvlText w:val="%2."/>
      <w:lvlJc w:val="left"/>
      <w:pPr>
        <w:ind w:left="786" w:hanging="360"/>
      </w:pPr>
      <w:rPr>
        <w:rFonts w:ascii="Verdana" w:eastAsia="Batang" w:hAnsi="Verdana" w:cstheme="minorBidi"/>
      </w:rPr>
    </w:lvl>
    <w:lvl w:ilvl="2" w:tplc="0409001B">
      <w:start w:val="1"/>
      <w:numFmt w:val="lowerRoman"/>
      <w:lvlText w:val="%3."/>
      <w:lvlJc w:val="right"/>
      <w:pPr>
        <w:ind w:left="1876" w:hanging="180"/>
      </w:pPr>
    </w:lvl>
    <w:lvl w:ilvl="3" w:tplc="B50ACB34">
      <w:start w:val="1"/>
      <w:numFmt w:val="decimal"/>
      <w:lvlText w:val="%4."/>
      <w:lvlJc w:val="left"/>
      <w:pPr>
        <w:ind w:left="2596" w:hanging="360"/>
      </w:pPr>
      <w:rPr>
        <w:rFonts w:ascii="Verdana" w:hAnsi="Verdana" w:hint="default"/>
        <w:i w:val="0"/>
        <w:sz w:val="20"/>
        <w:szCs w:val="20"/>
      </w:r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6" w15:restartNumberingAfterBreak="0">
    <w:nsid w:val="38C05B06"/>
    <w:multiLevelType w:val="hybridMultilevel"/>
    <w:tmpl w:val="E2D24F04"/>
    <w:lvl w:ilvl="0" w:tplc="F1BE891E">
      <w:start w:val="1"/>
      <w:numFmt w:val="decimal"/>
      <w:lvlText w:val="A.%1"/>
      <w:lvlJc w:val="left"/>
      <w:pPr>
        <w:ind w:left="1080" w:hanging="360"/>
      </w:pPr>
      <w:rPr>
        <w:rFonts w:hint="default"/>
        <w:b w:val="0"/>
        <w:i/>
      </w:rPr>
    </w:lvl>
    <w:lvl w:ilvl="1" w:tplc="D8E67496">
      <w:start w:val="1"/>
      <w:numFmt w:val="decimal"/>
      <w:pStyle w:val="Ttulo5"/>
      <w:lvlText w:val="A.1.%2."/>
      <w:lvlJc w:val="left"/>
      <w:pPr>
        <w:ind w:left="347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D3C2673C">
      <w:start w:val="1"/>
      <w:numFmt w:val="upperLetter"/>
      <w:lvlText w:val="%3."/>
      <w:lvlJc w:val="left"/>
      <w:pPr>
        <w:ind w:left="1070" w:hanging="360"/>
      </w:pPr>
      <w:rPr>
        <w:rFont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7" w15:restartNumberingAfterBreak="0">
    <w:nsid w:val="3A8C5AAE"/>
    <w:multiLevelType w:val="hybridMultilevel"/>
    <w:tmpl w:val="C32E5DF8"/>
    <w:lvl w:ilvl="0" w:tplc="722EF180">
      <w:start w:val="1"/>
      <w:numFmt w:val="upperLetter"/>
      <w:pStyle w:val="Ttulo"/>
      <w:lvlText w:val="%1."/>
      <w:lvlJc w:val="left"/>
      <w:pPr>
        <w:ind w:left="720" w:hanging="360"/>
      </w:pPr>
      <w:rPr>
        <w:rFonts w:hint="default"/>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F9B713D"/>
    <w:multiLevelType w:val="hybridMultilevel"/>
    <w:tmpl w:val="9704209E"/>
    <w:lvl w:ilvl="0" w:tplc="7E8E8A74">
      <w:start w:val="1"/>
      <w:numFmt w:val="decimal"/>
      <w:pStyle w:val="NormalNumbered"/>
      <w:lvlText w:val="%1."/>
      <w:lvlJc w:val="left"/>
      <w:pPr>
        <w:ind w:left="720" w:hanging="720"/>
      </w:pPr>
      <w:rPr>
        <w:rFonts w:ascii="Verdana" w:hAnsi="Verdana" w:hint="default"/>
        <w:b w:val="0"/>
        <w:i w:val="0"/>
        <w:strike w:val="0"/>
        <w:color w:val="auto"/>
        <w:sz w:val="20"/>
        <w:szCs w:val="2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CFAC7540">
      <w:start w:val="1"/>
      <w:numFmt w:val="decimal"/>
      <w:lvlText w:val="%4."/>
      <w:lvlJc w:val="left"/>
      <w:pPr>
        <w:ind w:left="2520" w:hanging="360"/>
      </w:pPr>
      <w:rPr>
        <w:b/>
        <w:i/>
      </w:r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484F45A4"/>
    <w:multiLevelType w:val="hybridMultilevel"/>
    <w:tmpl w:val="2892B620"/>
    <w:lvl w:ilvl="0" w:tplc="0E924352">
      <w:start w:val="1"/>
      <w:numFmt w:val="decimal"/>
      <w:pStyle w:val="Ttulo7"/>
      <w:lvlText w:val="D.%1."/>
      <w:lvlJc w:val="left"/>
      <w:pPr>
        <w:ind w:left="1776" w:hanging="360"/>
      </w:pPr>
      <w:rPr>
        <w:rFonts w:hint="default"/>
      </w:rPr>
    </w:lvl>
    <w:lvl w:ilvl="1" w:tplc="140A0003" w:tentative="1">
      <w:start w:val="1"/>
      <w:numFmt w:val="bullet"/>
      <w:lvlText w:val="o"/>
      <w:lvlJc w:val="left"/>
      <w:pPr>
        <w:ind w:left="2496" w:hanging="360"/>
      </w:pPr>
      <w:rPr>
        <w:rFonts w:ascii="Courier New" w:hAnsi="Courier New" w:cs="Courier New" w:hint="default"/>
      </w:rPr>
    </w:lvl>
    <w:lvl w:ilvl="2" w:tplc="140A0005" w:tentative="1">
      <w:start w:val="1"/>
      <w:numFmt w:val="bullet"/>
      <w:lvlText w:val=""/>
      <w:lvlJc w:val="left"/>
      <w:pPr>
        <w:ind w:left="3216" w:hanging="360"/>
      </w:pPr>
      <w:rPr>
        <w:rFonts w:ascii="Wingdings" w:hAnsi="Wingdings" w:hint="default"/>
      </w:rPr>
    </w:lvl>
    <w:lvl w:ilvl="3" w:tplc="140A0001" w:tentative="1">
      <w:start w:val="1"/>
      <w:numFmt w:val="bullet"/>
      <w:lvlText w:val=""/>
      <w:lvlJc w:val="left"/>
      <w:pPr>
        <w:ind w:left="3936" w:hanging="360"/>
      </w:pPr>
      <w:rPr>
        <w:rFonts w:ascii="Symbol" w:hAnsi="Symbol" w:hint="default"/>
      </w:rPr>
    </w:lvl>
    <w:lvl w:ilvl="4" w:tplc="140A0003" w:tentative="1">
      <w:start w:val="1"/>
      <w:numFmt w:val="bullet"/>
      <w:lvlText w:val="o"/>
      <w:lvlJc w:val="left"/>
      <w:pPr>
        <w:ind w:left="4656" w:hanging="360"/>
      </w:pPr>
      <w:rPr>
        <w:rFonts w:ascii="Courier New" w:hAnsi="Courier New" w:cs="Courier New" w:hint="default"/>
      </w:rPr>
    </w:lvl>
    <w:lvl w:ilvl="5" w:tplc="140A0005" w:tentative="1">
      <w:start w:val="1"/>
      <w:numFmt w:val="bullet"/>
      <w:lvlText w:val=""/>
      <w:lvlJc w:val="left"/>
      <w:pPr>
        <w:ind w:left="5376" w:hanging="360"/>
      </w:pPr>
      <w:rPr>
        <w:rFonts w:ascii="Wingdings" w:hAnsi="Wingdings" w:hint="default"/>
      </w:rPr>
    </w:lvl>
    <w:lvl w:ilvl="6" w:tplc="140A0001" w:tentative="1">
      <w:start w:val="1"/>
      <w:numFmt w:val="bullet"/>
      <w:lvlText w:val=""/>
      <w:lvlJc w:val="left"/>
      <w:pPr>
        <w:ind w:left="6096" w:hanging="360"/>
      </w:pPr>
      <w:rPr>
        <w:rFonts w:ascii="Symbol" w:hAnsi="Symbol" w:hint="default"/>
      </w:rPr>
    </w:lvl>
    <w:lvl w:ilvl="7" w:tplc="140A0003" w:tentative="1">
      <w:start w:val="1"/>
      <w:numFmt w:val="bullet"/>
      <w:lvlText w:val="o"/>
      <w:lvlJc w:val="left"/>
      <w:pPr>
        <w:ind w:left="6816" w:hanging="360"/>
      </w:pPr>
      <w:rPr>
        <w:rFonts w:ascii="Courier New" w:hAnsi="Courier New" w:cs="Courier New" w:hint="default"/>
      </w:rPr>
    </w:lvl>
    <w:lvl w:ilvl="8" w:tplc="140A0005" w:tentative="1">
      <w:start w:val="1"/>
      <w:numFmt w:val="bullet"/>
      <w:lvlText w:val=""/>
      <w:lvlJc w:val="left"/>
      <w:pPr>
        <w:ind w:left="7536" w:hanging="360"/>
      </w:pPr>
      <w:rPr>
        <w:rFonts w:ascii="Wingdings" w:hAnsi="Wingdings" w:hint="default"/>
      </w:rPr>
    </w:lvl>
  </w:abstractNum>
  <w:abstractNum w:abstractNumId="10" w15:restartNumberingAfterBreak="0">
    <w:nsid w:val="4C5469CD"/>
    <w:multiLevelType w:val="hybridMultilevel"/>
    <w:tmpl w:val="D7FED382"/>
    <w:lvl w:ilvl="0" w:tplc="264CB88E">
      <w:start w:val="1"/>
      <w:numFmt w:val="decimal"/>
      <w:lvlText w:val="%1."/>
      <w:lvlJc w:val="left"/>
      <w:pPr>
        <w:ind w:left="720" w:hanging="360"/>
      </w:pPr>
      <w:rPr>
        <w:rFonts w:ascii="Verdana" w:eastAsia="Calibri" w:hAnsi="Verdana" w:cs="Times New Roman" w:hint="default"/>
        <w:b w:val="0"/>
        <w:i w:val="0"/>
        <w:strike w:val="0"/>
        <w:color w:val="auto"/>
        <w:sz w:val="20"/>
        <w:szCs w:val="20"/>
      </w:rPr>
    </w:lvl>
    <w:lvl w:ilvl="1" w:tplc="9B3E45F0">
      <w:start w:val="1"/>
      <w:numFmt w:val="lowerLetter"/>
      <w:pStyle w:val="Estilo4"/>
      <w:lvlText w:val="%2)"/>
      <w:lvlJc w:val="left"/>
      <w:pPr>
        <w:ind w:left="1440" w:hanging="360"/>
      </w:pPr>
      <w:rPr>
        <w:rFonts w:ascii="Verdana" w:hAnsi="Verdana" w:cs="Times New Roman" w:hint="default"/>
        <w:b w:val="0"/>
        <w:i/>
        <w:caps w:val="0"/>
        <w:strike w:val="0"/>
        <w:dstrike w:val="0"/>
        <w:vanish w:val="0"/>
        <w:color w:val="auto"/>
        <w:sz w:val="20"/>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CD1B5F"/>
    <w:multiLevelType w:val="hybridMultilevel"/>
    <w:tmpl w:val="A7B675EA"/>
    <w:lvl w:ilvl="0" w:tplc="987A0574">
      <w:start w:val="1"/>
      <w:numFmt w:val="decimal"/>
      <w:lvlText w:val="%1."/>
      <w:lvlJc w:val="left"/>
      <w:pPr>
        <w:ind w:left="928" w:hanging="360"/>
      </w:pPr>
      <w:rPr>
        <w:rFonts w:ascii="Verdana" w:eastAsia="Batang" w:hAnsi="Verdana" w:cs="Times"/>
        <w:b w:val="0"/>
        <w:i w:val="0"/>
        <w:color w:val="auto"/>
        <w:sz w:val="20"/>
        <w:szCs w:val="20"/>
      </w:rPr>
    </w:lvl>
    <w:lvl w:ilvl="1" w:tplc="62A25344">
      <w:start w:val="1"/>
      <w:numFmt w:val="lowerLetter"/>
      <w:lvlText w:val="%2)"/>
      <w:lvlJc w:val="left"/>
      <w:pPr>
        <w:ind w:left="1080" w:hanging="360"/>
      </w:pPr>
      <w:rPr>
        <w:rFonts w:ascii="Verdana" w:eastAsia="Batang" w:hAnsi="Verdana" w:cs="Times"/>
      </w:rPr>
    </w:lvl>
    <w:lvl w:ilvl="2" w:tplc="487AF94A">
      <w:start w:val="1"/>
      <w:numFmt w:val="upperLetter"/>
      <w:lvlText w:val="%3."/>
      <w:lvlJc w:val="left"/>
      <w:pPr>
        <w:ind w:left="1980" w:hanging="360"/>
      </w:pPr>
      <w:rPr>
        <w:rFonts w:cs="Tahoma" w:hint="default"/>
      </w:rPr>
    </w:lvl>
    <w:lvl w:ilvl="3" w:tplc="F50C6474">
      <w:start w:val="1"/>
      <w:numFmt w:val="lowerLetter"/>
      <w:lvlText w:val="%4)"/>
      <w:lvlJc w:val="left"/>
      <w:pPr>
        <w:ind w:left="2520" w:hanging="360"/>
      </w:pPr>
      <w:rPr>
        <w:rFonts w:hint="default"/>
      </w:rPr>
    </w:lvl>
    <w:lvl w:ilvl="4" w:tplc="86144CC8">
      <w:start w:val="7"/>
      <w:numFmt w:val="decimal"/>
      <w:lvlText w:val="%5"/>
      <w:lvlJc w:val="left"/>
      <w:pPr>
        <w:ind w:left="3240" w:hanging="360"/>
      </w:pPr>
      <w:rPr>
        <w:rFonts w:hint="default"/>
        <w:i/>
      </w:r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4F746E4E"/>
    <w:multiLevelType w:val="hybridMultilevel"/>
    <w:tmpl w:val="2F5C6BF8"/>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56164B7C"/>
    <w:multiLevelType w:val="hybridMultilevel"/>
    <w:tmpl w:val="8CC26DFC"/>
    <w:lvl w:ilvl="0" w:tplc="CF9AFCBE">
      <w:start w:val="1"/>
      <w:numFmt w:val="lowerLetter"/>
      <w:lvlText w:val="%1)"/>
      <w:lvlJc w:val="left"/>
      <w:pPr>
        <w:ind w:left="818" w:hanging="360"/>
      </w:pPr>
      <w:rPr>
        <w:color w:val="auto"/>
      </w:rPr>
    </w:lvl>
    <w:lvl w:ilvl="1" w:tplc="140A0019">
      <w:start w:val="1"/>
      <w:numFmt w:val="lowerLetter"/>
      <w:lvlText w:val="%2."/>
      <w:lvlJc w:val="left"/>
      <w:pPr>
        <w:ind w:left="1538" w:hanging="360"/>
      </w:pPr>
    </w:lvl>
    <w:lvl w:ilvl="2" w:tplc="140A001B">
      <w:start w:val="1"/>
      <w:numFmt w:val="lowerRoman"/>
      <w:lvlText w:val="%3."/>
      <w:lvlJc w:val="right"/>
      <w:pPr>
        <w:ind w:left="2258" w:hanging="180"/>
      </w:pPr>
    </w:lvl>
    <w:lvl w:ilvl="3" w:tplc="140A000F">
      <w:start w:val="1"/>
      <w:numFmt w:val="decimal"/>
      <w:lvlText w:val="%4."/>
      <w:lvlJc w:val="left"/>
      <w:pPr>
        <w:ind w:left="2978" w:hanging="360"/>
      </w:pPr>
    </w:lvl>
    <w:lvl w:ilvl="4" w:tplc="140A0019">
      <w:start w:val="1"/>
      <w:numFmt w:val="lowerLetter"/>
      <w:lvlText w:val="%5."/>
      <w:lvlJc w:val="left"/>
      <w:pPr>
        <w:ind w:left="3698" w:hanging="360"/>
      </w:pPr>
    </w:lvl>
    <w:lvl w:ilvl="5" w:tplc="140A001B">
      <w:start w:val="1"/>
      <w:numFmt w:val="lowerRoman"/>
      <w:lvlText w:val="%6."/>
      <w:lvlJc w:val="right"/>
      <w:pPr>
        <w:ind w:left="4418" w:hanging="180"/>
      </w:pPr>
    </w:lvl>
    <w:lvl w:ilvl="6" w:tplc="140A000F">
      <w:start w:val="1"/>
      <w:numFmt w:val="decimal"/>
      <w:lvlText w:val="%7."/>
      <w:lvlJc w:val="left"/>
      <w:pPr>
        <w:ind w:left="5138" w:hanging="360"/>
      </w:pPr>
    </w:lvl>
    <w:lvl w:ilvl="7" w:tplc="140A0019">
      <w:start w:val="1"/>
      <w:numFmt w:val="lowerLetter"/>
      <w:lvlText w:val="%8."/>
      <w:lvlJc w:val="left"/>
      <w:pPr>
        <w:ind w:left="5858" w:hanging="360"/>
      </w:pPr>
    </w:lvl>
    <w:lvl w:ilvl="8" w:tplc="140A001B">
      <w:start w:val="1"/>
      <w:numFmt w:val="lowerRoman"/>
      <w:lvlText w:val="%9."/>
      <w:lvlJc w:val="right"/>
      <w:pPr>
        <w:ind w:left="6578" w:hanging="180"/>
      </w:pPr>
    </w:lvl>
  </w:abstractNum>
  <w:abstractNum w:abstractNumId="14" w15:restartNumberingAfterBreak="0">
    <w:nsid w:val="5C3C36E1"/>
    <w:multiLevelType w:val="hybridMultilevel"/>
    <w:tmpl w:val="972C1810"/>
    <w:lvl w:ilvl="0" w:tplc="CC86E8C6">
      <w:start w:val="1"/>
      <w:numFmt w:val="upperLetter"/>
      <w:lvlText w:val="%1."/>
      <w:lvlJc w:val="left"/>
      <w:pPr>
        <w:ind w:left="1438" w:hanging="510"/>
      </w:pPr>
      <w:rPr>
        <w:rFonts w:hint="default"/>
      </w:rPr>
    </w:lvl>
    <w:lvl w:ilvl="1" w:tplc="140A0019" w:tentative="1">
      <w:start w:val="1"/>
      <w:numFmt w:val="lowerLetter"/>
      <w:lvlText w:val="%2."/>
      <w:lvlJc w:val="left"/>
      <w:pPr>
        <w:ind w:left="2008" w:hanging="360"/>
      </w:pPr>
    </w:lvl>
    <w:lvl w:ilvl="2" w:tplc="140A001B" w:tentative="1">
      <w:start w:val="1"/>
      <w:numFmt w:val="lowerRoman"/>
      <w:lvlText w:val="%3."/>
      <w:lvlJc w:val="right"/>
      <w:pPr>
        <w:ind w:left="2728" w:hanging="180"/>
      </w:pPr>
    </w:lvl>
    <w:lvl w:ilvl="3" w:tplc="140A000F" w:tentative="1">
      <w:start w:val="1"/>
      <w:numFmt w:val="decimal"/>
      <w:lvlText w:val="%4."/>
      <w:lvlJc w:val="left"/>
      <w:pPr>
        <w:ind w:left="3448" w:hanging="360"/>
      </w:pPr>
    </w:lvl>
    <w:lvl w:ilvl="4" w:tplc="140A0019" w:tentative="1">
      <w:start w:val="1"/>
      <w:numFmt w:val="lowerLetter"/>
      <w:lvlText w:val="%5."/>
      <w:lvlJc w:val="left"/>
      <w:pPr>
        <w:ind w:left="4168" w:hanging="360"/>
      </w:pPr>
    </w:lvl>
    <w:lvl w:ilvl="5" w:tplc="140A001B" w:tentative="1">
      <w:start w:val="1"/>
      <w:numFmt w:val="lowerRoman"/>
      <w:lvlText w:val="%6."/>
      <w:lvlJc w:val="right"/>
      <w:pPr>
        <w:ind w:left="4888" w:hanging="180"/>
      </w:pPr>
    </w:lvl>
    <w:lvl w:ilvl="6" w:tplc="140A000F" w:tentative="1">
      <w:start w:val="1"/>
      <w:numFmt w:val="decimal"/>
      <w:lvlText w:val="%7."/>
      <w:lvlJc w:val="left"/>
      <w:pPr>
        <w:ind w:left="5608" w:hanging="360"/>
      </w:pPr>
    </w:lvl>
    <w:lvl w:ilvl="7" w:tplc="140A0019" w:tentative="1">
      <w:start w:val="1"/>
      <w:numFmt w:val="lowerLetter"/>
      <w:lvlText w:val="%8."/>
      <w:lvlJc w:val="left"/>
      <w:pPr>
        <w:ind w:left="6328" w:hanging="360"/>
      </w:pPr>
    </w:lvl>
    <w:lvl w:ilvl="8" w:tplc="140A001B" w:tentative="1">
      <w:start w:val="1"/>
      <w:numFmt w:val="lowerRoman"/>
      <w:lvlText w:val="%9."/>
      <w:lvlJc w:val="right"/>
      <w:pPr>
        <w:ind w:left="7048" w:hanging="180"/>
      </w:pPr>
    </w:lvl>
  </w:abstractNum>
  <w:abstractNum w:abstractNumId="15" w15:restartNumberingAfterBreak="0">
    <w:nsid w:val="64402BA7"/>
    <w:multiLevelType w:val="hybridMultilevel"/>
    <w:tmpl w:val="279E4D6A"/>
    <w:lvl w:ilvl="0" w:tplc="6A664822">
      <w:start w:val="1"/>
      <w:numFmt w:val="upperLetter"/>
      <w:pStyle w:val="Ttulo2"/>
      <w:lvlText w:val="%1."/>
      <w:lvlJc w:val="left"/>
      <w:pPr>
        <w:ind w:left="928" w:hanging="360"/>
      </w:pPr>
      <w:rPr>
        <w:b/>
        <w:i/>
      </w:rPr>
    </w:lvl>
    <w:lvl w:ilvl="1" w:tplc="04090019">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6" w15:restartNumberingAfterBreak="0">
    <w:nsid w:val="66342309"/>
    <w:multiLevelType w:val="hybridMultilevel"/>
    <w:tmpl w:val="56DE160C"/>
    <w:lvl w:ilvl="0" w:tplc="95CADDD2">
      <w:start w:val="1"/>
      <w:numFmt w:val="decimal"/>
      <w:pStyle w:val="Ttulo6"/>
      <w:lvlText w:val="C.3.%1."/>
      <w:lvlJc w:val="left"/>
      <w:pPr>
        <w:ind w:left="2484" w:hanging="360"/>
      </w:pPr>
      <w:rPr>
        <w:rFonts w:hint="default"/>
        <w:b w:val="0"/>
      </w:rPr>
    </w:lvl>
    <w:lvl w:ilvl="1" w:tplc="140A0003" w:tentative="1">
      <w:start w:val="1"/>
      <w:numFmt w:val="bullet"/>
      <w:lvlText w:val="o"/>
      <w:lvlJc w:val="left"/>
      <w:pPr>
        <w:ind w:left="3204" w:hanging="360"/>
      </w:pPr>
      <w:rPr>
        <w:rFonts w:ascii="Courier New" w:hAnsi="Courier New" w:cs="Courier New" w:hint="default"/>
      </w:rPr>
    </w:lvl>
    <w:lvl w:ilvl="2" w:tplc="140A0005" w:tentative="1">
      <w:start w:val="1"/>
      <w:numFmt w:val="bullet"/>
      <w:lvlText w:val=""/>
      <w:lvlJc w:val="left"/>
      <w:pPr>
        <w:ind w:left="3924" w:hanging="360"/>
      </w:pPr>
      <w:rPr>
        <w:rFonts w:ascii="Wingdings" w:hAnsi="Wingdings" w:hint="default"/>
      </w:rPr>
    </w:lvl>
    <w:lvl w:ilvl="3" w:tplc="140A0001" w:tentative="1">
      <w:start w:val="1"/>
      <w:numFmt w:val="bullet"/>
      <w:lvlText w:val=""/>
      <w:lvlJc w:val="left"/>
      <w:pPr>
        <w:ind w:left="4644" w:hanging="360"/>
      </w:pPr>
      <w:rPr>
        <w:rFonts w:ascii="Symbol" w:hAnsi="Symbol" w:hint="default"/>
      </w:rPr>
    </w:lvl>
    <w:lvl w:ilvl="4" w:tplc="140A0003" w:tentative="1">
      <w:start w:val="1"/>
      <w:numFmt w:val="bullet"/>
      <w:lvlText w:val="o"/>
      <w:lvlJc w:val="left"/>
      <w:pPr>
        <w:ind w:left="5364" w:hanging="360"/>
      </w:pPr>
      <w:rPr>
        <w:rFonts w:ascii="Courier New" w:hAnsi="Courier New" w:cs="Courier New" w:hint="default"/>
      </w:rPr>
    </w:lvl>
    <w:lvl w:ilvl="5" w:tplc="140A0005" w:tentative="1">
      <w:start w:val="1"/>
      <w:numFmt w:val="bullet"/>
      <w:lvlText w:val=""/>
      <w:lvlJc w:val="left"/>
      <w:pPr>
        <w:ind w:left="6084" w:hanging="360"/>
      </w:pPr>
      <w:rPr>
        <w:rFonts w:ascii="Wingdings" w:hAnsi="Wingdings" w:hint="default"/>
      </w:rPr>
    </w:lvl>
    <w:lvl w:ilvl="6" w:tplc="140A0001" w:tentative="1">
      <w:start w:val="1"/>
      <w:numFmt w:val="bullet"/>
      <w:lvlText w:val=""/>
      <w:lvlJc w:val="left"/>
      <w:pPr>
        <w:ind w:left="6804" w:hanging="360"/>
      </w:pPr>
      <w:rPr>
        <w:rFonts w:ascii="Symbol" w:hAnsi="Symbol" w:hint="default"/>
      </w:rPr>
    </w:lvl>
    <w:lvl w:ilvl="7" w:tplc="140A0003" w:tentative="1">
      <w:start w:val="1"/>
      <w:numFmt w:val="bullet"/>
      <w:lvlText w:val="o"/>
      <w:lvlJc w:val="left"/>
      <w:pPr>
        <w:ind w:left="7524" w:hanging="360"/>
      </w:pPr>
      <w:rPr>
        <w:rFonts w:ascii="Courier New" w:hAnsi="Courier New" w:cs="Courier New" w:hint="default"/>
      </w:rPr>
    </w:lvl>
    <w:lvl w:ilvl="8" w:tplc="140A0005" w:tentative="1">
      <w:start w:val="1"/>
      <w:numFmt w:val="bullet"/>
      <w:lvlText w:val=""/>
      <w:lvlJc w:val="left"/>
      <w:pPr>
        <w:ind w:left="8244" w:hanging="360"/>
      </w:pPr>
      <w:rPr>
        <w:rFonts w:ascii="Wingdings" w:hAnsi="Wingdings" w:hint="default"/>
      </w:rPr>
    </w:lvl>
  </w:abstractNum>
  <w:abstractNum w:abstractNumId="17" w15:restartNumberingAfterBreak="0">
    <w:nsid w:val="6C5B3CD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05A6F5C"/>
    <w:multiLevelType w:val="hybridMultilevel"/>
    <w:tmpl w:val="554EE8C4"/>
    <w:lvl w:ilvl="0" w:tplc="6722D962">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AR"/>
      </w:rPr>
    </w:lvl>
    <w:lvl w:ilvl="1" w:tplc="5C6C0158">
      <w:start w:val="7"/>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69C045C"/>
    <w:multiLevelType w:val="hybridMultilevel"/>
    <w:tmpl w:val="EE689438"/>
    <w:lvl w:ilvl="0" w:tplc="8E4224E8">
      <w:start w:val="1"/>
      <w:numFmt w:val="decimal"/>
      <w:pStyle w:val="Ttulo4"/>
      <w:lvlText w:val="A.2.%1."/>
      <w:lvlJc w:val="left"/>
      <w:pPr>
        <w:ind w:left="1068"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77E5500F"/>
    <w:multiLevelType w:val="hybridMultilevel"/>
    <w:tmpl w:val="2F5C6BF8"/>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79354707"/>
    <w:multiLevelType w:val="hybridMultilevel"/>
    <w:tmpl w:val="DEFACD16"/>
    <w:lvl w:ilvl="0" w:tplc="98A461BC">
      <w:start w:val="1"/>
      <w:numFmt w:val="decimal"/>
      <w:lvlText w:val="%1."/>
      <w:lvlJc w:val="left"/>
      <w:pPr>
        <w:ind w:left="967" w:hanging="825"/>
      </w:pPr>
      <w:rPr>
        <w:rFonts w:ascii="Verdana" w:eastAsia="Verdana" w:hAnsi="Verdana" w:cs="Verdana" w:hint="default"/>
        <w:b w:val="0"/>
        <w:i w:val="0"/>
        <w:strike w:val="0"/>
        <w:color w:val="auto"/>
        <w:sz w:val="20"/>
        <w:szCs w:val="20"/>
        <w:lang w:val="es-MX"/>
      </w:rPr>
    </w:lvl>
    <w:lvl w:ilvl="1" w:tplc="140A001B">
      <w:start w:val="1"/>
      <w:numFmt w:val="lowerRoman"/>
      <w:lvlText w:val="%2."/>
      <w:lvlJc w:val="right"/>
      <w:pPr>
        <w:ind w:left="1440" w:hanging="360"/>
      </w:pPr>
    </w:lvl>
    <w:lvl w:ilvl="2" w:tplc="811CA528">
      <w:start w:val="1"/>
      <w:numFmt w:val="lowerRoman"/>
      <w:lvlText w:val="%3."/>
      <w:lvlJc w:val="right"/>
      <w:pPr>
        <w:ind w:left="1031" w:hanging="180"/>
      </w:pPr>
      <w:rPr>
        <w:rFonts w:ascii="Verdana" w:eastAsia="Batang" w:hAnsi="Verdana" w:cstheme="minorBidi"/>
        <w:i w:val="0"/>
      </w:rPr>
    </w:lvl>
    <w:lvl w:ilvl="3" w:tplc="664CD6A6">
      <w:start w:val="1"/>
      <w:numFmt w:val="decimal"/>
      <w:lvlText w:val="D.7.%4."/>
      <w:lvlJc w:val="left"/>
      <w:pPr>
        <w:ind w:left="2880" w:hanging="360"/>
      </w:pPr>
      <w:rPr>
        <w:rFonts w:hint="default"/>
        <w:lang w:val="es-AR"/>
      </w:r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5B9ABF92">
      <w:start w:val="1"/>
      <w:numFmt w:val="decimal"/>
      <w:lvlText w:val="A.%7."/>
      <w:lvlJc w:val="left"/>
      <w:pPr>
        <w:ind w:left="1778" w:hanging="360"/>
      </w:pPr>
      <w:rPr>
        <w:rFonts w:hint="default"/>
        <w:b w:val="0"/>
        <w:i/>
      </w:r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2" w15:restartNumberingAfterBreak="0">
    <w:nsid w:val="7A1E203B"/>
    <w:multiLevelType w:val="hybridMultilevel"/>
    <w:tmpl w:val="FEA6C406"/>
    <w:lvl w:ilvl="0" w:tplc="DA684398">
      <w:start w:val="1"/>
      <w:numFmt w:val="upperLetter"/>
      <w:lvlText w:val="%1."/>
      <w:lvlJc w:val="left"/>
      <w:pPr>
        <w:ind w:left="9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5"/>
  </w:num>
  <w:num w:numId="3">
    <w:abstractNumId w:val="6"/>
  </w:num>
  <w:num w:numId="4">
    <w:abstractNumId w:val="16"/>
  </w:num>
  <w:num w:numId="5">
    <w:abstractNumId w:val="9"/>
  </w:num>
  <w:num w:numId="6">
    <w:abstractNumId w:val="19"/>
  </w:num>
  <w:num w:numId="7">
    <w:abstractNumId w:val="2"/>
  </w:num>
  <w:num w:numId="8">
    <w:abstractNumId w:val="1"/>
  </w:num>
  <w:num w:numId="9">
    <w:abstractNumId w:val="17"/>
  </w:num>
  <w:num w:numId="10">
    <w:abstractNumId w:val="7"/>
  </w:num>
  <w:num w:numId="11">
    <w:abstractNumId w:val="8"/>
  </w:num>
  <w:num w:numId="12">
    <w:abstractNumId w:val="2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0"/>
  </w:num>
  <w:num w:numId="16">
    <w:abstractNumId w:val="15"/>
    <w:lvlOverride w:ilvl="0">
      <w:startOverride w:val="1"/>
    </w:lvlOverride>
  </w:num>
  <w:num w:numId="17">
    <w:abstractNumId w:val="4"/>
    <w:lvlOverride w:ilvl="0">
      <w:startOverride w:val="1"/>
    </w:lvlOverride>
  </w:num>
  <w:num w:numId="18">
    <w:abstractNumId w:val="20"/>
  </w:num>
  <w:num w:numId="19">
    <w:abstractNumId w:val="12"/>
  </w:num>
  <w:num w:numId="20">
    <w:abstractNumId w:val="3"/>
  </w:num>
  <w:num w:numId="21">
    <w:abstractNumId w:val="18"/>
  </w:num>
  <w:num w:numId="22">
    <w:abstractNumId w:val="10"/>
  </w:num>
  <w:num w:numId="23">
    <w:abstractNumId w:val="14"/>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PR" w:vendorID="64" w:dllVersion="6" w:nlCheck="1" w:checkStyle="1"/>
  <w:activeWritingStyle w:appName="MSWord" w:lang="es-CR" w:vendorID="64" w:dllVersion="6" w:nlCheck="1" w:checkStyle="1"/>
  <w:activeWritingStyle w:appName="MSWord" w:lang="es-CO" w:vendorID="64" w:dllVersion="6" w:nlCheck="1" w:checkStyle="0"/>
  <w:activeWritingStyle w:appName="MSWord" w:lang="es-AR" w:vendorID="64" w:dllVersion="6" w:nlCheck="1" w:checkStyle="0"/>
  <w:activeWritingStyle w:appName="MSWord" w:lang="es-ES_tradnl" w:vendorID="64" w:dllVersion="6" w:nlCheck="1" w:checkStyle="1"/>
  <w:activeWritingStyle w:appName="MSWord" w:lang="en-US" w:vendorID="64" w:dllVersion="6" w:nlCheck="1" w:checkStyle="1"/>
  <w:activeWritingStyle w:appName="MSWord" w:lang="es-CL" w:vendorID="64" w:dllVersion="6" w:nlCheck="1" w:checkStyle="1"/>
  <w:activeWritingStyle w:appName="MSWord" w:lang="es-ES" w:vendorID="64" w:dllVersion="0" w:nlCheck="1" w:checkStyle="0"/>
  <w:activeWritingStyle w:appName="MSWord" w:lang="es-CR"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CO" w:vendorID="64" w:dllVersion="0" w:nlCheck="1" w:checkStyle="0"/>
  <w:activeWritingStyle w:appName="MSWord" w:lang="es-PR" w:vendorID="64" w:dllVersion="0" w:nlCheck="1" w:checkStyle="0"/>
  <w:activeWritingStyle w:appName="MSWord" w:lang="es-CL" w:vendorID="64" w:dllVersion="0" w:nlCheck="1" w:checkStyle="0"/>
  <w:activeWritingStyle w:appName="MSWord" w:lang="es-AR" w:vendorID="64" w:dllVersion="0" w:nlCheck="1" w:checkStyle="0"/>
  <w:activeWritingStyle w:appName="MSWord" w:lang="pt-BR" w:vendorID="64" w:dllVersion="0" w:nlCheck="1" w:checkStyle="0"/>
  <w:activeWritingStyle w:appName="MSWord" w:lang="en-US" w:vendorID="64" w:dllVersion="0" w:nlCheck="1" w:checkStyle="0"/>
  <w:activeWritingStyle w:appName="MSWord" w:lang="es-PE" w:vendorID="64" w:dllVersion="6" w:nlCheck="1" w:checkStyle="0"/>
  <w:activeWritingStyle w:appName="MSWord" w:lang="es-DO"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CR" w:vendorID="64" w:dllVersion="4096" w:nlCheck="1" w:checkStyle="0"/>
  <w:activeWritingStyle w:appName="MSWord" w:lang="es-MX" w:vendorID="64" w:dllVersion="4096" w:nlCheck="1" w:checkStyle="0"/>
  <w:activeWritingStyle w:appName="MSWord" w:lang="es-CO" w:vendorID="64" w:dllVersion="4096" w:nlCheck="1" w:checkStyle="0"/>
  <w:activeWritingStyle w:appName="MSWord" w:lang="es-PE" w:vendorID="64" w:dllVersion="4096" w:nlCheck="1" w:checkStyle="0"/>
  <w:activeWritingStyle w:appName="MSWord" w:lang="es-CL" w:vendorID="64" w:dllVersion="4096" w:nlCheck="1" w:checkStyle="0"/>
  <w:activeWritingStyle w:appName="MSWord" w:lang="es-DO" w:vendorID="64" w:dllVersion="4096" w:nlCheck="1" w:checkStyle="0"/>
  <w:activeWritingStyle w:appName="MSWord" w:lang="es-PR" w:vendorID="64" w:dllVersion="4096" w:nlCheck="1" w:checkStyle="0"/>
  <w:activeWritingStyle w:appName="MSWord" w:lang="es-AR"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5D8"/>
    <w:rsid w:val="00002A1A"/>
    <w:rsid w:val="00002AE9"/>
    <w:rsid w:val="000051FF"/>
    <w:rsid w:val="00005499"/>
    <w:rsid w:val="00005691"/>
    <w:rsid w:val="00005E5E"/>
    <w:rsid w:val="000065A8"/>
    <w:rsid w:val="0000708B"/>
    <w:rsid w:val="00010512"/>
    <w:rsid w:val="0001109E"/>
    <w:rsid w:val="00013AAA"/>
    <w:rsid w:val="00016116"/>
    <w:rsid w:val="0001711B"/>
    <w:rsid w:val="00023F97"/>
    <w:rsid w:val="0002664D"/>
    <w:rsid w:val="00032FB7"/>
    <w:rsid w:val="0003409F"/>
    <w:rsid w:val="00035528"/>
    <w:rsid w:val="000437B4"/>
    <w:rsid w:val="000447D2"/>
    <w:rsid w:val="00051ED2"/>
    <w:rsid w:val="00052609"/>
    <w:rsid w:val="00055A51"/>
    <w:rsid w:val="0005613B"/>
    <w:rsid w:val="000578B1"/>
    <w:rsid w:val="0006055E"/>
    <w:rsid w:val="0006508C"/>
    <w:rsid w:val="0006536D"/>
    <w:rsid w:val="0006544D"/>
    <w:rsid w:val="00066C06"/>
    <w:rsid w:val="00067313"/>
    <w:rsid w:val="00070585"/>
    <w:rsid w:val="00075419"/>
    <w:rsid w:val="00076BF5"/>
    <w:rsid w:val="0008039A"/>
    <w:rsid w:val="00081D5B"/>
    <w:rsid w:val="000852B9"/>
    <w:rsid w:val="00090CC8"/>
    <w:rsid w:val="00093688"/>
    <w:rsid w:val="00095FC2"/>
    <w:rsid w:val="000965F4"/>
    <w:rsid w:val="000A37E2"/>
    <w:rsid w:val="000A5ACC"/>
    <w:rsid w:val="000B0439"/>
    <w:rsid w:val="000B58B4"/>
    <w:rsid w:val="000B6357"/>
    <w:rsid w:val="000C088D"/>
    <w:rsid w:val="000C41A8"/>
    <w:rsid w:val="000C585F"/>
    <w:rsid w:val="000D0A3E"/>
    <w:rsid w:val="000E2911"/>
    <w:rsid w:val="000E3998"/>
    <w:rsid w:val="000F1113"/>
    <w:rsid w:val="000F7541"/>
    <w:rsid w:val="00104080"/>
    <w:rsid w:val="001067EF"/>
    <w:rsid w:val="00107B04"/>
    <w:rsid w:val="00111152"/>
    <w:rsid w:val="001133F4"/>
    <w:rsid w:val="001200AE"/>
    <w:rsid w:val="0012229F"/>
    <w:rsid w:val="0012316A"/>
    <w:rsid w:val="00123617"/>
    <w:rsid w:val="001243EC"/>
    <w:rsid w:val="00125068"/>
    <w:rsid w:val="00127005"/>
    <w:rsid w:val="00130BEF"/>
    <w:rsid w:val="00131E81"/>
    <w:rsid w:val="00133E9D"/>
    <w:rsid w:val="00137E8B"/>
    <w:rsid w:val="00142C64"/>
    <w:rsid w:val="00144E1D"/>
    <w:rsid w:val="00146232"/>
    <w:rsid w:val="00146A54"/>
    <w:rsid w:val="00146EFE"/>
    <w:rsid w:val="0014792E"/>
    <w:rsid w:val="001479AB"/>
    <w:rsid w:val="00147CD9"/>
    <w:rsid w:val="00151008"/>
    <w:rsid w:val="0015328E"/>
    <w:rsid w:val="00156A9A"/>
    <w:rsid w:val="00164038"/>
    <w:rsid w:val="00165945"/>
    <w:rsid w:val="00165F40"/>
    <w:rsid w:val="00170656"/>
    <w:rsid w:val="00172DD1"/>
    <w:rsid w:val="00173B56"/>
    <w:rsid w:val="00175243"/>
    <w:rsid w:val="0017719F"/>
    <w:rsid w:val="00180EB9"/>
    <w:rsid w:val="00192244"/>
    <w:rsid w:val="00193290"/>
    <w:rsid w:val="00193EA4"/>
    <w:rsid w:val="001975B4"/>
    <w:rsid w:val="00197E27"/>
    <w:rsid w:val="001A24A9"/>
    <w:rsid w:val="001A6146"/>
    <w:rsid w:val="001A6B43"/>
    <w:rsid w:val="001B0711"/>
    <w:rsid w:val="001B0987"/>
    <w:rsid w:val="001B2A48"/>
    <w:rsid w:val="001B6EC3"/>
    <w:rsid w:val="001C05D8"/>
    <w:rsid w:val="001C3B78"/>
    <w:rsid w:val="001D0391"/>
    <w:rsid w:val="001D09A3"/>
    <w:rsid w:val="001E3851"/>
    <w:rsid w:val="001E6E2E"/>
    <w:rsid w:val="001F2CEA"/>
    <w:rsid w:val="001F35FA"/>
    <w:rsid w:val="002022BC"/>
    <w:rsid w:val="00202F41"/>
    <w:rsid w:val="00205D45"/>
    <w:rsid w:val="00212569"/>
    <w:rsid w:val="00222CAA"/>
    <w:rsid w:val="0022707F"/>
    <w:rsid w:val="00230D8B"/>
    <w:rsid w:val="00232EAD"/>
    <w:rsid w:val="00234705"/>
    <w:rsid w:val="00236670"/>
    <w:rsid w:val="00236792"/>
    <w:rsid w:val="0024211C"/>
    <w:rsid w:val="00243386"/>
    <w:rsid w:val="0024556C"/>
    <w:rsid w:val="00251AB4"/>
    <w:rsid w:val="002549B7"/>
    <w:rsid w:val="00255266"/>
    <w:rsid w:val="002574F3"/>
    <w:rsid w:val="00257882"/>
    <w:rsid w:val="002630BE"/>
    <w:rsid w:val="00264131"/>
    <w:rsid w:val="00265133"/>
    <w:rsid w:val="00266B1A"/>
    <w:rsid w:val="0027201A"/>
    <w:rsid w:val="00275B7F"/>
    <w:rsid w:val="00283375"/>
    <w:rsid w:val="00290A75"/>
    <w:rsid w:val="00292477"/>
    <w:rsid w:val="00293C8E"/>
    <w:rsid w:val="0029758A"/>
    <w:rsid w:val="002A2023"/>
    <w:rsid w:val="002A2F2C"/>
    <w:rsid w:val="002B4DBB"/>
    <w:rsid w:val="002B6281"/>
    <w:rsid w:val="002B648D"/>
    <w:rsid w:val="002B6BD5"/>
    <w:rsid w:val="002C07C3"/>
    <w:rsid w:val="002C47FC"/>
    <w:rsid w:val="002D1492"/>
    <w:rsid w:val="002D31A4"/>
    <w:rsid w:val="002D424D"/>
    <w:rsid w:val="002D4962"/>
    <w:rsid w:val="002D6147"/>
    <w:rsid w:val="002E1421"/>
    <w:rsid w:val="002E395F"/>
    <w:rsid w:val="002E4BB4"/>
    <w:rsid w:val="002E5C7E"/>
    <w:rsid w:val="002E61C6"/>
    <w:rsid w:val="002E797F"/>
    <w:rsid w:val="002F20D8"/>
    <w:rsid w:val="002F581A"/>
    <w:rsid w:val="002F64E3"/>
    <w:rsid w:val="003011C1"/>
    <w:rsid w:val="003024F9"/>
    <w:rsid w:val="00302E1A"/>
    <w:rsid w:val="003043AA"/>
    <w:rsid w:val="00307931"/>
    <w:rsid w:val="0031608B"/>
    <w:rsid w:val="003163CE"/>
    <w:rsid w:val="00316B8F"/>
    <w:rsid w:val="00321B3E"/>
    <w:rsid w:val="00321EF4"/>
    <w:rsid w:val="00323BF7"/>
    <w:rsid w:val="00324461"/>
    <w:rsid w:val="003245EB"/>
    <w:rsid w:val="00324D97"/>
    <w:rsid w:val="003256D6"/>
    <w:rsid w:val="0032620D"/>
    <w:rsid w:val="00327F03"/>
    <w:rsid w:val="00333E09"/>
    <w:rsid w:val="003420AD"/>
    <w:rsid w:val="00342E65"/>
    <w:rsid w:val="00354A98"/>
    <w:rsid w:val="00357F62"/>
    <w:rsid w:val="003624B2"/>
    <w:rsid w:val="003636FF"/>
    <w:rsid w:val="00363DB4"/>
    <w:rsid w:val="003646AC"/>
    <w:rsid w:val="00367426"/>
    <w:rsid w:val="00370AFA"/>
    <w:rsid w:val="00371794"/>
    <w:rsid w:val="0037184D"/>
    <w:rsid w:val="00376A29"/>
    <w:rsid w:val="0038221A"/>
    <w:rsid w:val="00395EC9"/>
    <w:rsid w:val="00396986"/>
    <w:rsid w:val="00397A38"/>
    <w:rsid w:val="003A0415"/>
    <w:rsid w:val="003A421C"/>
    <w:rsid w:val="003B42BE"/>
    <w:rsid w:val="003B7162"/>
    <w:rsid w:val="003C358D"/>
    <w:rsid w:val="003D4C9F"/>
    <w:rsid w:val="003E758F"/>
    <w:rsid w:val="003F18AD"/>
    <w:rsid w:val="003F1C55"/>
    <w:rsid w:val="003F33A5"/>
    <w:rsid w:val="003F3E9F"/>
    <w:rsid w:val="004025A2"/>
    <w:rsid w:val="00405F42"/>
    <w:rsid w:val="00406718"/>
    <w:rsid w:val="00413C4C"/>
    <w:rsid w:val="00414121"/>
    <w:rsid w:val="00414D6F"/>
    <w:rsid w:val="004166EF"/>
    <w:rsid w:val="00416F39"/>
    <w:rsid w:val="00425643"/>
    <w:rsid w:val="0042798D"/>
    <w:rsid w:val="00430A6C"/>
    <w:rsid w:val="00430C9B"/>
    <w:rsid w:val="00431290"/>
    <w:rsid w:val="004320E9"/>
    <w:rsid w:val="004350D8"/>
    <w:rsid w:val="004420AB"/>
    <w:rsid w:val="0044278E"/>
    <w:rsid w:val="00442A42"/>
    <w:rsid w:val="00442BF9"/>
    <w:rsid w:val="00444481"/>
    <w:rsid w:val="00447940"/>
    <w:rsid w:val="004531B9"/>
    <w:rsid w:val="004639D8"/>
    <w:rsid w:val="00470049"/>
    <w:rsid w:val="004707F0"/>
    <w:rsid w:val="00473E02"/>
    <w:rsid w:val="00474F89"/>
    <w:rsid w:val="00481985"/>
    <w:rsid w:val="0048629B"/>
    <w:rsid w:val="00487B84"/>
    <w:rsid w:val="00487C80"/>
    <w:rsid w:val="00491BD3"/>
    <w:rsid w:val="00492D33"/>
    <w:rsid w:val="004931A7"/>
    <w:rsid w:val="0049586E"/>
    <w:rsid w:val="00496510"/>
    <w:rsid w:val="004A3E0F"/>
    <w:rsid w:val="004A4784"/>
    <w:rsid w:val="004A4E67"/>
    <w:rsid w:val="004B0896"/>
    <w:rsid w:val="004B3A93"/>
    <w:rsid w:val="004B600A"/>
    <w:rsid w:val="004C30F9"/>
    <w:rsid w:val="004C6B5F"/>
    <w:rsid w:val="004D3CC5"/>
    <w:rsid w:val="004D6BD1"/>
    <w:rsid w:val="004E00F7"/>
    <w:rsid w:val="004E0B3D"/>
    <w:rsid w:val="004E13EF"/>
    <w:rsid w:val="004F14E8"/>
    <w:rsid w:val="004F2EF8"/>
    <w:rsid w:val="004F3285"/>
    <w:rsid w:val="00500A60"/>
    <w:rsid w:val="0050700E"/>
    <w:rsid w:val="005104AB"/>
    <w:rsid w:val="0051591E"/>
    <w:rsid w:val="005166B5"/>
    <w:rsid w:val="00516B35"/>
    <w:rsid w:val="005177EB"/>
    <w:rsid w:val="0052180A"/>
    <w:rsid w:val="00521DE6"/>
    <w:rsid w:val="00522626"/>
    <w:rsid w:val="0053518E"/>
    <w:rsid w:val="00536467"/>
    <w:rsid w:val="00536736"/>
    <w:rsid w:val="005406D8"/>
    <w:rsid w:val="0054533D"/>
    <w:rsid w:val="00547521"/>
    <w:rsid w:val="005558B7"/>
    <w:rsid w:val="00555F8D"/>
    <w:rsid w:val="005625D3"/>
    <w:rsid w:val="005638C3"/>
    <w:rsid w:val="005661BE"/>
    <w:rsid w:val="00571804"/>
    <w:rsid w:val="005723DC"/>
    <w:rsid w:val="00574DFE"/>
    <w:rsid w:val="005754AB"/>
    <w:rsid w:val="00576FE8"/>
    <w:rsid w:val="005833AA"/>
    <w:rsid w:val="005852A6"/>
    <w:rsid w:val="00590819"/>
    <w:rsid w:val="005932B0"/>
    <w:rsid w:val="00595E1A"/>
    <w:rsid w:val="005976A8"/>
    <w:rsid w:val="005A1BD1"/>
    <w:rsid w:val="005A1F43"/>
    <w:rsid w:val="005A7E9E"/>
    <w:rsid w:val="005B0214"/>
    <w:rsid w:val="005B4813"/>
    <w:rsid w:val="005B5586"/>
    <w:rsid w:val="005B7324"/>
    <w:rsid w:val="005C22EE"/>
    <w:rsid w:val="005C3EE9"/>
    <w:rsid w:val="005C420A"/>
    <w:rsid w:val="005C4B19"/>
    <w:rsid w:val="005C5C77"/>
    <w:rsid w:val="005D1D0B"/>
    <w:rsid w:val="005D2025"/>
    <w:rsid w:val="005D2C4E"/>
    <w:rsid w:val="005D3777"/>
    <w:rsid w:val="005D5ED8"/>
    <w:rsid w:val="005D78D5"/>
    <w:rsid w:val="005D78FA"/>
    <w:rsid w:val="005E1B89"/>
    <w:rsid w:val="005E3160"/>
    <w:rsid w:val="005E3712"/>
    <w:rsid w:val="005E51F2"/>
    <w:rsid w:val="005E5302"/>
    <w:rsid w:val="005E536B"/>
    <w:rsid w:val="005E6948"/>
    <w:rsid w:val="005F02C0"/>
    <w:rsid w:val="00601C6B"/>
    <w:rsid w:val="00604B8A"/>
    <w:rsid w:val="00607E6D"/>
    <w:rsid w:val="00610A33"/>
    <w:rsid w:val="00610C44"/>
    <w:rsid w:val="00614C94"/>
    <w:rsid w:val="006150C6"/>
    <w:rsid w:val="006161CF"/>
    <w:rsid w:val="00617C76"/>
    <w:rsid w:val="00620446"/>
    <w:rsid w:val="0062061F"/>
    <w:rsid w:val="00625EDC"/>
    <w:rsid w:val="00626FF4"/>
    <w:rsid w:val="00630DAC"/>
    <w:rsid w:val="00631F69"/>
    <w:rsid w:val="00636809"/>
    <w:rsid w:val="00636AEF"/>
    <w:rsid w:val="00636CCB"/>
    <w:rsid w:val="006418C1"/>
    <w:rsid w:val="006512B6"/>
    <w:rsid w:val="006520C4"/>
    <w:rsid w:val="00655B32"/>
    <w:rsid w:val="00661093"/>
    <w:rsid w:val="0066704A"/>
    <w:rsid w:val="00667115"/>
    <w:rsid w:val="00671A0B"/>
    <w:rsid w:val="00674FA0"/>
    <w:rsid w:val="00677765"/>
    <w:rsid w:val="006848BE"/>
    <w:rsid w:val="00684CCE"/>
    <w:rsid w:val="00687A58"/>
    <w:rsid w:val="0069034C"/>
    <w:rsid w:val="006911A2"/>
    <w:rsid w:val="00692DEA"/>
    <w:rsid w:val="00694879"/>
    <w:rsid w:val="00696F2D"/>
    <w:rsid w:val="006A318D"/>
    <w:rsid w:val="006A64D8"/>
    <w:rsid w:val="006B0067"/>
    <w:rsid w:val="006B1EA7"/>
    <w:rsid w:val="006B40EE"/>
    <w:rsid w:val="006B706E"/>
    <w:rsid w:val="006C3BC4"/>
    <w:rsid w:val="006C4709"/>
    <w:rsid w:val="006D1138"/>
    <w:rsid w:val="006D3E16"/>
    <w:rsid w:val="006D74A9"/>
    <w:rsid w:val="006E413C"/>
    <w:rsid w:val="006E41A8"/>
    <w:rsid w:val="006E448D"/>
    <w:rsid w:val="006E489E"/>
    <w:rsid w:val="006E4A9C"/>
    <w:rsid w:val="006E5D2E"/>
    <w:rsid w:val="006F14DB"/>
    <w:rsid w:val="006F56FD"/>
    <w:rsid w:val="006F5D6E"/>
    <w:rsid w:val="006F60B2"/>
    <w:rsid w:val="006F6919"/>
    <w:rsid w:val="00702D98"/>
    <w:rsid w:val="00707C74"/>
    <w:rsid w:val="00711754"/>
    <w:rsid w:val="00713D43"/>
    <w:rsid w:val="00713E16"/>
    <w:rsid w:val="0072322A"/>
    <w:rsid w:val="00731DB8"/>
    <w:rsid w:val="0073300F"/>
    <w:rsid w:val="00734C23"/>
    <w:rsid w:val="00745BB5"/>
    <w:rsid w:val="00747A59"/>
    <w:rsid w:val="00751226"/>
    <w:rsid w:val="007562DD"/>
    <w:rsid w:val="0076289A"/>
    <w:rsid w:val="00775A04"/>
    <w:rsid w:val="00775B23"/>
    <w:rsid w:val="00786C3D"/>
    <w:rsid w:val="00790ADD"/>
    <w:rsid w:val="007931BD"/>
    <w:rsid w:val="00797903"/>
    <w:rsid w:val="007A2EAC"/>
    <w:rsid w:val="007A385D"/>
    <w:rsid w:val="007A4B21"/>
    <w:rsid w:val="007A5487"/>
    <w:rsid w:val="007A7D61"/>
    <w:rsid w:val="007B2B25"/>
    <w:rsid w:val="007B37E0"/>
    <w:rsid w:val="007C1026"/>
    <w:rsid w:val="007C15F4"/>
    <w:rsid w:val="007C33C3"/>
    <w:rsid w:val="007C4209"/>
    <w:rsid w:val="007C5FB7"/>
    <w:rsid w:val="007C7F95"/>
    <w:rsid w:val="007D227B"/>
    <w:rsid w:val="007D2F7E"/>
    <w:rsid w:val="007D3C55"/>
    <w:rsid w:val="007D5FD9"/>
    <w:rsid w:val="007D6AE1"/>
    <w:rsid w:val="007E3340"/>
    <w:rsid w:val="007E667B"/>
    <w:rsid w:val="007F1865"/>
    <w:rsid w:val="007F3D1C"/>
    <w:rsid w:val="007F5CD0"/>
    <w:rsid w:val="00800792"/>
    <w:rsid w:val="008009AA"/>
    <w:rsid w:val="00801D28"/>
    <w:rsid w:val="00801E19"/>
    <w:rsid w:val="00802163"/>
    <w:rsid w:val="00802B50"/>
    <w:rsid w:val="00803F92"/>
    <w:rsid w:val="00806C5F"/>
    <w:rsid w:val="0081160D"/>
    <w:rsid w:val="008120E3"/>
    <w:rsid w:val="00812ACA"/>
    <w:rsid w:val="00815402"/>
    <w:rsid w:val="0081565D"/>
    <w:rsid w:val="008165D6"/>
    <w:rsid w:val="008168F2"/>
    <w:rsid w:val="0082670E"/>
    <w:rsid w:val="0083239C"/>
    <w:rsid w:val="00833BE9"/>
    <w:rsid w:val="008344B1"/>
    <w:rsid w:val="00834814"/>
    <w:rsid w:val="008360EB"/>
    <w:rsid w:val="008379B6"/>
    <w:rsid w:val="0084247E"/>
    <w:rsid w:val="00842F43"/>
    <w:rsid w:val="00843376"/>
    <w:rsid w:val="00847314"/>
    <w:rsid w:val="00851BFC"/>
    <w:rsid w:val="00853037"/>
    <w:rsid w:val="008549CC"/>
    <w:rsid w:val="008553C9"/>
    <w:rsid w:val="00860F91"/>
    <w:rsid w:val="008616D6"/>
    <w:rsid w:val="00861F08"/>
    <w:rsid w:val="00863505"/>
    <w:rsid w:val="008644A7"/>
    <w:rsid w:val="008646F3"/>
    <w:rsid w:val="008670D5"/>
    <w:rsid w:val="0087526C"/>
    <w:rsid w:val="0087742A"/>
    <w:rsid w:val="00877A41"/>
    <w:rsid w:val="0088184E"/>
    <w:rsid w:val="008820AF"/>
    <w:rsid w:val="00883F51"/>
    <w:rsid w:val="00884D55"/>
    <w:rsid w:val="0088503B"/>
    <w:rsid w:val="00885563"/>
    <w:rsid w:val="00894D63"/>
    <w:rsid w:val="008A351B"/>
    <w:rsid w:val="008A4331"/>
    <w:rsid w:val="008A5944"/>
    <w:rsid w:val="008A747E"/>
    <w:rsid w:val="008A76A8"/>
    <w:rsid w:val="008B16B6"/>
    <w:rsid w:val="008B1905"/>
    <w:rsid w:val="008B4370"/>
    <w:rsid w:val="008C1ED0"/>
    <w:rsid w:val="008C28DA"/>
    <w:rsid w:val="008C6864"/>
    <w:rsid w:val="008D0CC2"/>
    <w:rsid w:val="008D202F"/>
    <w:rsid w:val="008E0EDB"/>
    <w:rsid w:val="008E160E"/>
    <w:rsid w:val="008E45D0"/>
    <w:rsid w:val="008F18D9"/>
    <w:rsid w:val="008F1BD4"/>
    <w:rsid w:val="008F7AFD"/>
    <w:rsid w:val="00904755"/>
    <w:rsid w:val="00906EE8"/>
    <w:rsid w:val="009109ED"/>
    <w:rsid w:val="0091465D"/>
    <w:rsid w:val="00916DEB"/>
    <w:rsid w:val="00917BB0"/>
    <w:rsid w:val="00922848"/>
    <w:rsid w:val="00932941"/>
    <w:rsid w:val="00942DC1"/>
    <w:rsid w:val="00943467"/>
    <w:rsid w:val="00947BE0"/>
    <w:rsid w:val="00947E32"/>
    <w:rsid w:val="009508CF"/>
    <w:rsid w:val="00950B75"/>
    <w:rsid w:val="00952ADE"/>
    <w:rsid w:val="009552DF"/>
    <w:rsid w:val="0096005C"/>
    <w:rsid w:val="009642A0"/>
    <w:rsid w:val="00966ADD"/>
    <w:rsid w:val="00967966"/>
    <w:rsid w:val="00973FFF"/>
    <w:rsid w:val="00975B3F"/>
    <w:rsid w:val="0097754C"/>
    <w:rsid w:val="00977ACB"/>
    <w:rsid w:val="00980B4E"/>
    <w:rsid w:val="0098189A"/>
    <w:rsid w:val="009820F0"/>
    <w:rsid w:val="00984230"/>
    <w:rsid w:val="0098473C"/>
    <w:rsid w:val="00986EA4"/>
    <w:rsid w:val="00987A80"/>
    <w:rsid w:val="009925B8"/>
    <w:rsid w:val="009962F7"/>
    <w:rsid w:val="00996EEB"/>
    <w:rsid w:val="009A1066"/>
    <w:rsid w:val="009A4D72"/>
    <w:rsid w:val="009A787C"/>
    <w:rsid w:val="009B570B"/>
    <w:rsid w:val="009B573F"/>
    <w:rsid w:val="009B6F1B"/>
    <w:rsid w:val="009C21A1"/>
    <w:rsid w:val="009C600B"/>
    <w:rsid w:val="009C7245"/>
    <w:rsid w:val="009C7595"/>
    <w:rsid w:val="009D3559"/>
    <w:rsid w:val="009D4877"/>
    <w:rsid w:val="009E3377"/>
    <w:rsid w:val="009E35FC"/>
    <w:rsid w:val="009E3A45"/>
    <w:rsid w:val="009E5158"/>
    <w:rsid w:val="009F1D9A"/>
    <w:rsid w:val="009F1ED9"/>
    <w:rsid w:val="009F37CB"/>
    <w:rsid w:val="009F3CAA"/>
    <w:rsid w:val="009F3E87"/>
    <w:rsid w:val="009F55DF"/>
    <w:rsid w:val="00A006BB"/>
    <w:rsid w:val="00A007F5"/>
    <w:rsid w:val="00A01D26"/>
    <w:rsid w:val="00A021A0"/>
    <w:rsid w:val="00A055A7"/>
    <w:rsid w:val="00A05E9F"/>
    <w:rsid w:val="00A11305"/>
    <w:rsid w:val="00A12D78"/>
    <w:rsid w:val="00A139B7"/>
    <w:rsid w:val="00A1774C"/>
    <w:rsid w:val="00A23984"/>
    <w:rsid w:val="00A355A1"/>
    <w:rsid w:val="00A357EB"/>
    <w:rsid w:val="00A36487"/>
    <w:rsid w:val="00A36641"/>
    <w:rsid w:val="00A4003C"/>
    <w:rsid w:val="00A4210A"/>
    <w:rsid w:val="00A47665"/>
    <w:rsid w:val="00A533E5"/>
    <w:rsid w:val="00A555B9"/>
    <w:rsid w:val="00A56FBC"/>
    <w:rsid w:val="00A577C0"/>
    <w:rsid w:val="00A61F28"/>
    <w:rsid w:val="00A65210"/>
    <w:rsid w:val="00A6683A"/>
    <w:rsid w:val="00A66F44"/>
    <w:rsid w:val="00A675EC"/>
    <w:rsid w:val="00A7367D"/>
    <w:rsid w:val="00A74EB9"/>
    <w:rsid w:val="00A7522C"/>
    <w:rsid w:val="00A90E5F"/>
    <w:rsid w:val="00A90F81"/>
    <w:rsid w:val="00A90FA7"/>
    <w:rsid w:val="00A97868"/>
    <w:rsid w:val="00AA3FFF"/>
    <w:rsid w:val="00AA5948"/>
    <w:rsid w:val="00AB0FF3"/>
    <w:rsid w:val="00AC1C2A"/>
    <w:rsid w:val="00AC3042"/>
    <w:rsid w:val="00AD0CDF"/>
    <w:rsid w:val="00AD35E6"/>
    <w:rsid w:val="00AD6B72"/>
    <w:rsid w:val="00AE266E"/>
    <w:rsid w:val="00AE5F81"/>
    <w:rsid w:val="00AF0B74"/>
    <w:rsid w:val="00AF1D36"/>
    <w:rsid w:val="00AF2EBB"/>
    <w:rsid w:val="00B059F3"/>
    <w:rsid w:val="00B06106"/>
    <w:rsid w:val="00B06AD2"/>
    <w:rsid w:val="00B0702A"/>
    <w:rsid w:val="00B075C4"/>
    <w:rsid w:val="00B10023"/>
    <w:rsid w:val="00B107CB"/>
    <w:rsid w:val="00B1167A"/>
    <w:rsid w:val="00B1500C"/>
    <w:rsid w:val="00B22D15"/>
    <w:rsid w:val="00B231C1"/>
    <w:rsid w:val="00B2704E"/>
    <w:rsid w:val="00B31D4A"/>
    <w:rsid w:val="00B34ED3"/>
    <w:rsid w:val="00B40679"/>
    <w:rsid w:val="00B502CB"/>
    <w:rsid w:val="00B53A55"/>
    <w:rsid w:val="00B54C2C"/>
    <w:rsid w:val="00B552FF"/>
    <w:rsid w:val="00B55651"/>
    <w:rsid w:val="00B5653E"/>
    <w:rsid w:val="00B56FC1"/>
    <w:rsid w:val="00B577E7"/>
    <w:rsid w:val="00B61799"/>
    <w:rsid w:val="00B641DA"/>
    <w:rsid w:val="00B65EE8"/>
    <w:rsid w:val="00B662B4"/>
    <w:rsid w:val="00B67C33"/>
    <w:rsid w:val="00B712E3"/>
    <w:rsid w:val="00B81C19"/>
    <w:rsid w:val="00B835A6"/>
    <w:rsid w:val="00B8593A"/>
    <w:rsid w:val="00B933EA"/>
    <w:rsid w:val="00B93B17"/>
    <w:rsid w:val="00B96B3B"/>
    <w:rsid w:val="00B97B8F"/>
    <w:rsid w:val="00BA2111"/>
    <w:rsid w:val="00BA2CC7"/>
    <w:rsid w:val="00BB0006"/>
    <w:rsid w:val="00BB0BC9"/>
    <w:rsid w:val="00BB2501"/>
    <w:rsid w:val="00BB407F"/>
    <w:rsid w:val="00BB5287"/>
    <w:rsid w:val="00BB6280"/>
    <w:rsid w:val="00BB7B9E"/>
    <w:rsid w:val="00BC07BA"/>
    <w:rsid w:val="00BC2217"/>
    <w:rsid w:val="00BC239B"/>
    <w:rsid w:val="00BC2760"/>
    <w:rsid w:val="00BC388F"/>
    <w:rsid w:val="00BD1163"/>
    <w:rsid w:val="00BD1786"/>
    <w:rsid w:val="00BD1DD5"/>
    <w:rsid w:val="00BD5F12"/>
    <w:rsid w:val="00BE2403"/>
    <w:rsid w:val="00BE2A68"/>
    <w:rsid w:val="00BE3A86"/>
    <w:rsid w:val="00BE3D38"/>
    <w:rsid w:val="00BE43E9"/>
    <w:rsid w:val="00BE4448"/>
    <w:rsid w:val="00BE6054"/>
    <w:rsid w:val="00BF0761"/>
    <w:rsid w:val="00C006CC"/>
    <w:rsid w:val="00C022DE"/>
    <w:rsid w:val="00C02A48"/>
    <w:rsid w:val="00C02C5A"/>
    <w:rsid w:val="00C06400"/>
    <w:rsid w:val="00C06D77"/>
    <w:rsid w:val="00C07961"/>
    <w:rsid w:val="00C116EE"/>
    <w:rsid w:val="00C13C58"/>
    <w:rsid w:val="00C14F2F"/>
    <w:rsid w:val="00C166ED"/>
    <w:rsid w:val="00C27554"/>
    <w:rsid w:val="00C2779B"/>
    <w:rsid w:val="00C27C71"/>
    <w:rsid w:val="00C30A25"/>
    <w:rsid w:val="00C336F6"/>
    <w:rsid w:val="00C40460"/>
    <w:rsid w:val="00C41E32"/>
    <w:rsid w:val="00C43012"/>
    <w:rsid w:val="00C52AD5"/>
    <w:rsid w:val="00C52FC0"/>
    <w:rsid w:val="00C5477C"/>
    <w:rsid w:val="00C56BBA"/>
    <w:rsid w:val="00C60113"/>
    <w:rsid w:val="00C6241F"/>
    <w:rsid w:val="00C62D28"/>
    <w:rsid w:val="00C62EA1"/>
    <w:rsid w:val="00C63177"/>
    <w:rsid w:val="00C632EE"/>
    <w:rsid w:val="00C643B7"/>
    <w:rsid w:val="00C70633"/>
    <w:rsid w:val="00C717A6"/>
    <w:rsid w:val="00C732B3"/>
    <w:rsid w:val="00C76A55"/>
    <w:rsid w:val="00C77A2E"/>
    <w:rsid w:val="00C8243A"/>
    <w:rsid w:val="00C82E0C"/>
    <w:rsid w:val="00C82EC8"/>
    <w:rsid w:val="00C84826"/>
    <w:rsid w:val="00C86BCD"/>
    <w:rsid w:val="00C90B11"/>
    <w:rsid w:val="00C93045"/>
    <w:rsid w:val="00C96159"/>
    <w:rsid w:val="00C96225"/>
    <w:rsid w:val="00C9790F"/>
    <w:rsid w:val="00C97BC1"/>
    <w:rsid w:val="00CA0CD8"/>
    <w:rsid w:val="00CA7237"/>
    <w:rsid w:val="00CB02C7"/>
    <w:rsid w:val="00CB2656"/>
    <w:rsid w:val="00CB297F"/>
    <w:rsid w:val="00CB2D51"/>
    <w:rsid w:val="00CB5F3B"/>
    <w:rsid w:val="00CC03A1"/>
    <w:rsid w:val="00CC11BE"/>
    <w:rsid w:val="00CC4139"/>
    <w:rsid w:val="00CC60F6"/>
    <w:rsid w:val="00CC6E22"/>
    <w:rsid w:val="00CD0B3A"/>
    <w:rsid w:val="00CD21A4"/>
    <w:rsid w:val="00CD27B6"/>
    <w:rsid w:val="00CD2D3D"/>
    <w:rsid w:val="00CD5A02"/>
    <w:rsid w:val="00CE4648"/>
    <w:rsid w:val="00CE4CDC"/>
    <w:rsid w:val="00CE4F03"/>
    <w:rsid w:val="00CE6201"/>
    <w:rsid w:val="00CE6C26"/>
    <w:rsid w:val="00CF0F81"/>
    <w:rsid w:val="00CF374A"/>
    <w:rsid w:val="00CF45A6"/>
    <w:rsid w:val="00D009BC"/>
    <w:rsid w:val="00D101F5"/>
    <w:rsid w:val="00D10C09"/>
    <w:rsid w:val="00D1499D"/>
    <w:rsid w:val="00D17218"/>
    <w:rsid w:val="00D21A2D"/>
    <w:rsid w:val="00D23C62"/>
    <w:rsid w:val="00D247CE"/>
    <w:rsid w:val="00D3501C"/>
    <w:rsid w:val="00D352D0"/>
    <w:rsid w:val="00D3709E"/>
    <w:rsid w:val="00D40398"/>
    <w:rsid w:val="00D40FF4"/>
    <w:rsid w:val="00D44F0E"/>
    <w:rsid w:val="00D45E21"/>
    <w:rsid w:val="00D46BB8"/>
    <w:rsid w:val="00D47335"/>
    <w:rsid w:val="00D5137D"/>
    <w:rsid w:val="00D523D2"/>
    <w:rsid w:val="00D52DFE"/>
    <w:rsid w:val="00D53E60"/>
    <w:rsid w:val="00D56587"/>
    <w:rsid w:val="00D57AAE"/>
    <w:rsid w:val="00D6067E"/>
    <w:rsid w:val="00D6354B"/>
    <w:rsid w:val="00D64AF7"/>
    <w:rsid w:val="00D66117"/>
    <w:rsid w:val="00D72138"/>
    <w:rsid w:val="00D84B9E"/>
    <w:rsid w:val="00D85462"/>
    <w:rsid w:val="00D9204B"/>
    <w:rsid w:val="00D9505B"/>
    <w:rsid w:val="00D9684A"/>
    <w:rsid w:val="00DA0F66"/>
    <w:rsid w:val="00DA1C22"/>
    <w:rsid w:val="00DA5453"/>
    <w:rsid w:val="00DA6263"/>
    <w:rsid w:val="00DB32E4"/>
    <w:rsid w:val="00DC0211"/>
    <w:rsid w:val="00DC06E0"/>
    <w:rsid w:val="00DC1341"/>
    <w:rsid w:val="00DC1B51"/>
    <w:rsid w:val="00DC29ED"/>
    <w:rsid w:val="00DC483F"/>
    <w:rsid w:val="00DD0020"/>
    <w:rsid w:val="00DD21B9"/>
    <w:rsid w:val="00DD3701"/>
    <w:rsid w:val="00DD3C33"/>
    <w:rsid w:val="00DD518A"/>
    <w:rsid w:val="00DD59BC"/>
    <w:rsid w:val="00DD6BF2"/>
    <w:rsid w:val="00DD6C38"/>
    <w:rsid w:val="00DD7C51"/>
    <w:rsid w:val="00DE1081"/>
    <w:rsid w:val="00DE2093"/>
    <w:rsid w:val="00DE3427"/>
    <w:rsid w:val="00DE46FD"/>
    <w:rsid w:val="00DE61A2"/>
    <w:rsid w:val="00DF242D"/>
    <w:rsid w:val="00DF60B0"/>
    <w:rsid w:val="00E01829"/>
    <w:rsid w:val="00E0198C"/>
    <w:rsid w:val="00E05FB3"/>
    <w:rsid w:val="00E1296F"/>
    <w:rsid w:val="00E12AFE"/>
    <w:rsid w:val="00E20E38"/>
    <w:rsid w:val="00E226C5"/>
    <w:rsid w:val="00E23FAD"/>
    <w:rsid w:val="00E25884"/>
    <w:rsid w:val="00E25C71"/>
    <w:rsid w:val="00E32879"/>
    <w:rsid w:val="00E33DF4"/>
    <w:rsid w:val="00E34486"/>
    <w:rsid w:val="00E416C9"/>
    <w:rsid w:val="00E43282"/>
    <w:rsid w:val="00E438AB"/>
    <w:rsid w:val="00E447A0"/>
    <w:rsid w:val="00E448E6"/>
    <w:rsid w:val="00E45D11"/>
    <w:rsid w:val="00E46F1E"/>
    <w:rsid w:val="00E53DA0"/>
    <w:rsid w:val="00E62C2B"/>
    <w:rsid w:val="00E64E75"/>
    <w:rsid w:val="00E65FF6"/>
    <w:rsid w:val="00E67FD9"/>
    <w:rsid w:val="00E715DE"/>
    <w:rsid w:val="00E71E3F"/>
    <w:rsid w:val="00E80242"/>
    <w:rsid w:val="00E8398F"/>
    <w:rsid w:val="00E846EA"/>
    <w:rsid w:val="00E85E5D"/>
    <w:rsid w:val="00E8677F"/>
    <w:rsid w:val="00E907AB"/>
    <w:rsid w:val="00EA1402"/>
    <w:rsid w:val="00EA2FBB"/>
    <w:rsid w:val="00EA32EE"/>
    <w:rsid w:val="00EA368D"/>
    <w:rsid w:val="00EB61F4"/>
    <w:rsid w:val="00EB774C"/>
    <w:rsid w:val="00EC35DB"/>
    <w:rsid w:val="00EC5AAA"/>
    <w:rsid w:val="00ED4C2C"/>
    <w:rsid w:val="00ED7074"/>
    <w:rsid w:val="00EE0117"/>
    <w:rsid w:val="00EE1C37"/>
    <w:rsid w:val="00EE5179"/>
    <w:rsid w:val="00EE634C"/>
    <w:rsid w:val="00EE69C2"/>
    <w:rsid w:val="00EF0B35"/>
    <w:rsid w:val="00EF137B"/>
    <w:rsid w:val="00EF2453"/>
    <w:rsid w:val="00EF446E"/>
    <w:rsid w:val="00EF72ED"/>
    <w:rsid w:val="00EF7E33"/>
    <w:rsid w:val="00F02BCC"/>
    <w:rsid w:val="00F064D1"/>
    <w:rsid w:val="00F11983"/>
    <w:rsid w:val="00F11CC4"/>
    <w:rsid w:val="00F12172"/>
    <w:rsid w:val="00F15425"/>
    <w:rsid w:val="00F17558"/>
    <w:rsid w:val="00F17E77"/>
    <w:rsid w:val="00F3194F"/>
    <w:rsid w:val="00F31BAA"/>
    <w:rsid w:val="00F34A49"/>
    <w:rsid w:val="00F366F4"/>
    <w:rsid w:val="00F410FC"/>
    <w:rsid w:val="00F47E2D"/>
    <w:rsid w:val="00F47F22"/>
    <w:rsid w:val="00F5189F"/>
    <w:rsid w:val="00F52E99"/>
    <w:rsid w:val="00F559E6"/>
    <w:rsid w:val="00F6206F"/>
    <w:rsid w:val="00F62A80"/>
    <w:rsid w:val="00F66294"/>
    <w:rsid w:val="00F67A10"/>
    <w:rsid w:val="00F8530D"/>
    <w:rsid w:val="00F914D6"/>
    <w:rsid w:val="00FA0460"/>
    <w:rsid w:val="00FA20E7"/>
    <w:rsid w:val="00FA2B61"/>
    <w:rsid w:val="00FA301B"/>
    <w:rsid w:val="00FA42F7"/>
    <w:rsid w:val="00FA511D"/>
    <w:rsid w:val="00FB18B0"/>
    <w:rsid w:val="00FB2A16"/>
    <w:rsid w:val="00FB4DFD"/>
    <w:rsid w:val="00FC1345"/>
    <w:rsid w:val="00FC269F"/>
    <w:rsid w:val="00FC3417"/>
    <w:rsid w:val="00FD1B46"/>
    <w:rsid w:val="00FD5489"/>
    <w:rsid w:val="00FD6E28"/>
    <w:rsid w:val="00FD76E2"/>
    <w:rsid w:val="00FE0980"/>
    <w:rsid w:val="00FE27B2"/>
    <w:rsid w:val="00FE4657"/>
    <w:rsid w:val="00FE7CAA"/>
    <w:rsid w:val="00FF2D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1694D"/>
  <w15:docId w15:val="{480964B8-7A9C-426A-A22C-F4B0FAF9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5D8"/>
    <w:rPr>
      <w:rFonts w:eastAsia="Batang"/>
      <w:lang w:val="es-MX"/>
    </w:rPr>
  </w:style>
  <w:style w:type="paragraph" w:styleId="Ttulo1">
    <w:name w:val="heading 1"/>
    <w:aliases w:val="Título Verdana"/>
    <w:basedOn w:val="Normal"/>
    <w:next w:val="Normal"/>
    <w:link w:val="Ttulo1Car"/>
    <w:qFormat/>
    <w:rsid w:val="001C05D8"/>
    <w:pPr>
      <w:spacing w:after="0" w:line="240" w:lineRule="auto"/>
      <w:ind w:right="6"/>
      <w:jc w:val="center"/>
      <w:outlineLvl w:val="0"/>
    </w:pPr>
    <w:rPr>
      <w:rFonts w:ascii="Verdana" w:hAnsi="Verdana"/>
      <w:b/>
      <w:sz w:val="20"/>
      <w:szCs w:val="20"/>
    </w:rPr>
  </w:style>
  <w:style w:type="paragraph" w:styleId="Ttulo2">
    <w:name w:val="heading 2"/>
    <w:basedOn w:val="Normal"/>
    <w:next w:val="Normal"/>
    <w:link w:val="Ttulo2Car"/>
    <w:uiPriority w:val="9"/>
    <w:unhideWhenUsed/>
    <w:qFormat/>
    <w:rsid w:val="001C05D8"/>
    <w:pPr>
      <w:keepNext/>
      <w:keepLines/>
      <w:widowControl w:val="0"/>
      <w:numPr>
        <w:numId w:val="2"/>
      </w:numPr>
      <w:adjustRightInd w:val="0"/>
      <w:spacing w:after="0" w:line="240" w:lineRule="auto"/>
      <w:jc w:val="both"/>
      <w:textAlignment w:val="baseline"/>
      <w:outlineLvl w:val="1"/>
    </w:pPr>
    <w:rPr>
      <w:rFonts w:ascii="Verdana" w:eastAsia="MS Mincho" w:hAnsi="Verdana" w:cs="Times New Roman"/>
      <w:b/>
      <w:i/>
      <w:sz w:val="20"/>
      <w:szCs w:val="20"/>
      <w:lang w:val="es-CR" w:eastAsia="es-CR"/>
    </w:rPr>
  </w:style>
  <w:style w:type="paragraph" w:styleId="Ttulo3">
    <w:name w:val="heading 3"/>
    <w:basedOn w:val="Prrafodelista"/>
    <w:next w:val="Normal"/>
    <w:link w:val="Ttulo3Car"/>
    <w:unhideWhenUsed/>
    <w:qFormat/>
    <w:rsid w:val="001C05D8"/>
    <w:pPr>
      <w:numPr>
        <w:numId w:val="1"/>
      </w:numPr>
      <w:tabs>
        <w:tab w:val="left" w:pos="1276"/>
      </w:tabs>
      <w:spacing w:after="0" w:line="240" w:lineRule="auto"/>
      <w:jc w:val="both"/>
      <w:outlineLvl w:val="2"/>
    </w:pPr>
    <w:rPr>
      <w:rFonts w:ascii="Verdana" w:hAnsi="Verdana"/>
      <w:b/>
      <w:i/>
      <w:sz w:val="20"/>
      <w:szCs w:val="20"/>
    </w:rPr>
  </w:style>
  <w:style w:type="paragraph" w:styleId="Ttulo4">
    <w:name w:val="heading 4"/>
    <w:basedOn w:val="Prrafodelista"/>
    <w:next w:val="Normal"/>
    <w:link w:val="Ttulo4Car"/>
    <w:uiPriority w:val="9"/>
    <w:unhideWhenUsed/>
    <w:qFormat/>
    <w:rsid w:val="001C05D8"/>
    <w:pPr>
      <w:numPr>
        <w:numId w:val="6"/>
      </w:numPr>
      <w:tabs>
        <w:tab w:val="left" w:pos="1418"/>
      </w:tabs>
      <w:spacing w:after="0" w:line="240" w:lineRule="auto"/>
      <w:jc w:val="both"/>
      <w:outlineLvl w:val="3"/>
    </w:pPr>
    <w:rPr>
      <w:rFonts w:ascii="Verdana" w:hAnsi="Verdana"/>
      <w:i/>
      <w:sz w:val="20"/>
      <w:szCs w:val="20"/>
      <w:u w:val="single"/>
    </w:rPr>
  </w:style>
  <w:style w:type="paragraph" w:styleId="Ttulo5">
    <w:name w:val="heading 5"/>
    <w:basedOn w:val="Prrafodelista"/>
    <w:link w:val="Ttulo5Car"/>
    <w:uiPriority w:val="9"/>
    <w:qFormat/>
    <w:rsid w:val="001C05D8"/>
    <w:pPr>
      <w:numPr>
        <w:ilvl w:val="1"/>
        <w:numId w:val="3"/>
      </w:numPr>
      <w:tabs>
        <w:tab w:val="left" w:pos="1418"/>
      </w:tabs>
      <w:spacing w:after="0" w:line="240" w:lineRule="auto"/>
      <w:jc w:val="both"/>
      <w:outlineLvl w:val="4"/>
    </w:pPr>
    <w:rPr>
      <w:rFonts w:ascii="Verdana" w:hAnsi="Verdana"/>
      <w:i/>
      <w:sz w:val="20"/>
      <w:szCs w:val="20"/>
    </w:rPr>
  </w:style>
  <w:style w:type="paragraph" w:styleId="Ttulo6">
    <w:name w:val="heading 6"/>
    <w:basedOn w:val="Prrafodelista"/>
    <w:next w:val="Normal"/>
    <w:link w:val="Ttulo6Car"/>
    <w:uiPriority w:val="9"/>
    <w:unhideWhenUsed/>
    <w:rsid w:val="001C05D8"/>
    <w:pPr>
      <w:numPr>
        <w:numId w:val="4"/>
      </w:numPr>
      <w:jc w:val="both"/>
      <w:outlineLvl w:val="5"/>
    </w:pPr>
    <w:rPr>
      <w:rFonts w:ascii="Verdana" w:hAnsi="Verdana"/>
      <w:i/>
      <w:sz w:val="20"/>
      <w:szCs w:val="20"/>
      <w:lang w:val="es-CR"/>
    </w:rPr>
  </w:style>
  <w:style w:type="paragraph" w:styleId="Ttulo7">
    <w:name w:val="heading 7"/>
    <w:basedOn w:val="Prrafodelista"/>
    <w:next w:val="Normal"/>
    <w:link w:val="Ttulo7Car"/>
    <w:uiPriority w:val="9"/>
    <w:unhideWhenUsed/>
    <w:rsid w:val="001C05D8"/>
    <w:pPr>
      <w:numPr>
        <w:numId w:val="5"/>
      </w:numPr>
      <w:spacing w:after="0" w:line="240" w:lineRule="auto"/>
      <w:jc w:val="both"/>
      <w:outlineLvl w:val="6"/>
    </w:pPr>
    <w:rPr>
      <w:rFonts w:ascii="Verdana" w:hAnsi="Verdana"/>
      <w:i/>
      <w:sz w:val="20"/>
      <w:szCs w:val="20"/>
      <w:u w:val="single"/>
      <w:lang w:val="es-AR"/>
    </w:rPr>
  </w:style>
  <w:style w:type="paragraph" w:styleId="Ttulo8">
    <w:name w:val="heading 8"/>
    <w:basedOn w:val="Prrafodelista"/>
    <w:next w:val="Normal"/>
    <w:link w:val="Ttulo8Car"/>
    <w:uiPriority w:val="9"/>
    <w:unhideWhenUsed/>
    <w:rsid w:val="001C05D8"/>
    <w:pPr>
      <w:numPr>
        <w:numId w:val="7"/>
      </w:numPr>
      <w:spacing w:after="0" w:line="240" w:lineRule="auto"/>
      <w:jc w:val="both"/>
      <w:outlineLvl w:val="7"/>
    </w:pPr>
    <w:rPr>
      <w:rFonts w:ascii="Verdana" w:hAnsi="Verdana" w:cs="Cambria"/>
      <w:i/>
      <w:sz w:val="20"/>
      <w:szCs w:val="20"/>
    </w:rPr>
  </w:style>
  <w:style w:type="paragraph" w:styleId="Ttulo9">
    <w:name w:val="heading 9"/>
    <w:basedOn w:val="Prrafodelista"/>
    <w:next w:val="Normal"/>
    <w:link w:val="Ttulo9Car"/>
    <w:uiPriority w:val="9"/>
    <w:unhideWhenUsed/>
    <w:rsid w:val="001C05D8"/>
    <w:pPr>
      <w:numPr>
        <w:numId w:val="8"/>
      </w:numPr>
      <w:autoSpaceDE w:val="0"/>
      <w:autoSpaceDN w:val="0"/>
      <w:adjustRightInd w:val="0"/>
      <w:spacing w:after="0" w:line="240" w:lineRule="auto"/>
      <w:jc w:val="both"/>
      <w:outlineLvl w:val="8"/>
    </w:pPr>
    <w:rPr>
      <w:rFonts w:ascii="Verdana" w:eastAsiaTheme="minorHAnsi" w:hAnsi="Verdana"/>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Verdana Car"/>
    <w:basedOn w:val="Fuentedeprrafopredeter"/>
    <w:link w:val="Ttulo1"/>
    <w:rsid w:val="001C05D8"/>
    <w:rPr>
      <w:rFonts w:ascii="Verdana" w:eastAsia="Batang" w:hAnsi="Verdana"/>
      <w:b/>
      <w:sz w:val="20"/>
      <w:szCs w:val="20"/>
      <w:lang w:val="es-MX"/>
    </w:rPr>
  </w:style>
  <w:style w:type="character" w:customStyle="1" w:styleId="Ttulo2Car">
    <w:name w:val="Título 2 Car"/>
    <w:basedOn w:val="Fuentedeprrafopredeter"/>
    <w:link w:val="Ttulo2"/>
    <w:rsid w:val="001C05D8"/>
    <w:rPr>
      <w:rFonts w:ascii="Verdana" w:eastAsia="MS Mincho" w:hAnsi="Verdana" w:cs="Times New Roman"/>
      <w:b/>
      <w:i/>
      <w:sz w:val="20"/>
      <w:szCs w:val="20"/>
      <w:lang w:val="es-CR" w:eastAsia="es-CR"/>
    </w:rPr>
  </w:style>
  <w:style w:type="character" w:customStyle="1" w:styleId="Ttulo3Car">
    <w:name w:val="Título 3 Car"/>
    <w:basedOn w:val="Fuentedeprrafopredeter"/>
    <w:link w:val="Ttulo3"/>
    <w:rsid w:val="001C05D8"/>
    <w:rPr>
      <w:rFonts w:ascii="Verdana" w:eastAsia="Batang" w:hAnsi="Verdana"/>
      <w:b/>
      <w:i/>
      <w:sz w:val="20"/>
      <w:szCs w:val="20"/>
      <w:lang w:val="es-MX"/>
    </w:rPr>
  </w:style>
  <w:style w:type="character" w:customStyle="1" w:styleId="Ttulo4Car">
    <w:name w:val="Título 4 Car"/>
    <w:basedOn w:val="Fuentedeprrafopredeter"/>
    <w:link w:val="Ttulo4"/>
    <w:uiPriority w:val="9"/>
    <w:rsid w:val="001C05D8"/>
    <w:rPr>
      <w:rFonts w:ascii="Verdana" w:eastAsia="Batang" w:hAnsi="Verdana"/>
      <w:i/>
      <w:sz w:val="20"/>
      <w:szCs w:val="20"/>
      <w:u w:val="single"/>
      <w:lang w:val="es-MX"/>
    </w:rPr>
  </w:style>
  <w:style w:type="character" w:customStyle="1" w:styleId="Ttulo5Car">
    <w:name w:val="Título 5 Car"/>
    <w:basedOn w:val="Fuentedeprrafopredeter"/>
    <w:link w:val="Ttulo5"/>
    <w:uiPriority w:val="9"/>
    <w:rsid w:val="001C05D8"/>
    <w:rPr>
      <w:rFonts w:ascii="Verdana" w:eastAsia="Batang" w:hAnsi="Verdana"/>
      <w:i/>
      <w:sz w:val="20"/>
      <w:szCs w:val="20"/>
      <w:lang w:val="es-MX"/>
    </w:rPr>
  </w:style>
  <w:style w:type="character" w:customStyle="1" w:styleId="Ttulo6Car">
    <w:name w:val="Título 6 Car"/>
    <w:basedOn w:val="Fuentedeprrafopredeter"/>
    <w:link w:val="Ttulo6"/>
    <w:uiPriority w:val="9"/>
    <w:rsid w:val="001C05D8"/>
    <w:rPr>
      <w:rFonts w:ascii="Verdana" w:eastAsia="Batang" w:hAnsi="Verdana"/>
      <w:i/>
      <w:sz w:val="20"/>
      <w:szCs w:val="20"/>
      <w:lang w:val="es-CR"/>
    </w:rPr>
  </w:style>
  <w:style w:type="character" w:customStyle="1" w:styleId="Ttulo7Car">
    <w:name w:val="Título 7 Car"/>
    <w:basedOn w:val="Fuentedeprrafopredeter"/>
    <w:link w:val="Ttulo7"/>
    <w:uiPriority w:val="9"/>
    <w:rsid w:val="001C05D8"/>
    <w:rPr>
      <w:rFonts w:ascii="Verdana" w:eastAsia="Batang" w:hAnsi="Verdana"/>
      <w:i/>
      <w:sz w:val="20"/>
      <w:szCs w:val="20"/>
      <w:u w:val="single"/>
      <w:lang w:val="es-AR"/>
    </w:rPr>
  </w:style>
  <w:style w:type="character" w:customStyle="1" w:styleId="Ttulo8Car">
    <w:name w:val="Título 8 Car"/>
    <w:basedOn w:val="Fuentedeprrafopredeter"/>
    <w:link w:val="Ttulo8"/>
    <w:uiPriority w:val="9"/>
    <w:rsid w:val="001C05D8"/>
    <w:rPr>
      <w:rFonts w:ascii="Verdana" w:eastAsia="Batang" w:hAnsi="Verdana" w:cs="Cambria"/>
      <w:i/>
      <w:sz w:val="20"/>
      <w:szCs w:val="20"/>
      <w:lang w:val="es-MX"/>
    </w:rPr>
  </w:style>
  <w:style w:type="character" w:customStyle="1" w:styleId="Ttulo9Car">
    <w:name w:val="Título 9 Car"/>
    <w:basedOn w:val="Fuentedeprrafopredeter"/>
    <w:link w:val="Ttulo9"/>
    <w:uiPriority w:val="9"/>
    <w:rsid w:val="001C05D8"/>
    <w:rPr>
      <w:rFonts w:ascii="Verdana" w:hAnsi="Verdana"/>
      <w:i/>
      <w:sz w:val="20"/>
      <w:szCs w:val="20"/>
      <w:lang w:val="es-MX"/>
    </w:rPr>
  </w:style>
  <w:style w:type="paragraph" w:styleId="Prrafodelista">
    <w:name w:val="List Paragraph"/>
    <w:aliases w:val="List Paragraph1,Colorful List - Accent 11,Párrafo de lista1,List Paragraph2,Lista vistosa - Énfasis 11,Footnote,Subtle Emphasis1,Footnote1"/>
    <w:basedOn w:val="Normal"/>
    <w:link w:val="PrrafodelistaCar"/>
    <w:uiPriority w:val="99"/>
    <w:qFormat/>
    <w:rsid w:val="001C05D8"/>
    <w:pPr>
      <w:ind w:left="720"/>
      <w:contextualSpacing/>
    </w:pPr>
  </w:style>
  <w:style w:type="character" w:styleId="Refdecomentario">
    <w:name w:val="annotation reference"/>
    <w:basedOn w:val="Fuentedeprrafopredeter"/>
    <w:uiPriority w:val="99"/>
    <w:unhideWhenUsed/>
    <w:rsid w:val="001C05D8"/>
    <w:rPr>
      <w:sz w:val="16"/>
      <w:szCs w:val="16"/>
    </w:rPr>
  </w:style>
  <w:style w:type="paragraph" w:styleId="Textocomentario">
    <w:name w:val="annotation text"/>
    <w:basedOn w:val="Normal"/>
    <w:link w:val="TextocomentarioCar"/>
    <w:uiPriority w:val="99"/>
    <w:unhideWhenUsed/>
    <w:rsid w:val="001C05D8"/>
    <w:pPr>
      <w:spacing w:line="240" w:lineRule="auto"/>
    </w:pPr>
    <w:rPr>
      <w:sz w:val="20"/>
      <w:szCs w:val="20"/>
    </w:rPr>
  </w:style>
  <w:style w:type="character" w:customStyle="1" w:styleId="TextocomentarioCar">
    <w:name w:val="Texto comentario Car"/>
    <w:basedOn w:val="Fuentedeprrafopredeter"/>
    <w:link w:val="Textocomentario"/>
    <w:uiPriority w:val="99"/>
    <w:rsid w:val="001C05D8"/>
    <w:rPr>
      <w:rFonts w:eastAsia="Batang"/>
      <w:sz w:val="20"/>
      <w:szCs w:val="20"/>
      <w:lang w:val="es-MX"/>
    </w:rPr>
  </w:style>
  <w:style w:type="paragraph" w:styleId="Textodeglobo">
    <w:name w:val="Balloon Text"/>
    <w:basedOn w:val="Normal"/>
    <w:link w:val="TextodegloboCar"/>
    <w:uiPriority w:val="99"/>
    <w:semiHidden/>
    <w:unhideWhenUsed/>
    <w:rsid w:val="001C05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05D8"/>
    <w:rPr>
      <w:rFonts w:ascii="Tahoma" w:eastAsia="Batang" w:hAnsi="Tahoma" w:cs="Tahoma"/>
      <w:sz w:val="16"/>
      <w:szCs w:val="16"/>
      <w:lang w:val="es-MX"/>
    </w:rPr>
  </w:style>
  <w:style w:type="paragraph" w:styleId="Textonotapie">
    <w:name w:val="footnote text"/>
    <w:aliases w:val="Footnote Text Char Char Char Char Char,Footnote Text Char Char Char Char,Footnote reference,FA Fu,FA Fußnotentext,FA Fu§notentext,FA Fu?notentext,?notentext,Footnote Text Char Char Char,§notentext,FA,Footnote Text Char Char,?notent,ft,C,5"/>
    <w:basedOn w:val="Normal"/>
    <w:link w:val="TextonotapieCar"/>
    <w:unhideWhenUsed/>
    <w:qFormat/>
    <w:rsid w:val="001C05D8"/>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A Fußnotentext Car,FA Fu§notentext Car,FA Fu?notentext Car,?notentext Car,Footnote Text Char Char Char Car,FA Car1"/>
    <w:basedOn w:val="Fuentedeprrafopredeter"/>
    <w:link w:val="Textonotapie"/>
    <w:qFormat/>
    <w:rsid w:val="001C05D8"/>
    <w:rPr>
      <w:rFonts w:eastAsia="Batang"/>
      <w:sz w:val="20"/>
      <w:szCs w:val="20"/>
      <w:lang w:val="es-MX"/>
    </w:rPr>
  </w:style>
  <w:style w:type="character" w:styleId="Refdenotaalpie">
    <w:name w:val="footnote reference"/>
    <w:aliases w:val="Appel note de bas de page,Footnotes refss,Footnote number,referencia nota al pie,BVI fnr,f,4_G,16 Point,Superscript 6 Point,Texto nota al pie,Footnote Reference Char3,Footnote Reference Char1 Char,Ref. de nota al,Ref. de nota al pi"/>
    <w:basedOn w:val="Fuentedeprrafopredeter"/>
    <w:link w:val="4GChar"/>
    <w:uiPriority w:val="99"/>
    <w:unhideWhenUsed/>
    <w:qFormat/>
    <w:rsid w:val="001C05D8"/>
    <w:rPr>
      <w:vertAlign w:val="superscript"/>
    </w:rPr>
  </w:style>
  <w:style w:type="character" w:styleId="Hipervnculo">
    <w:name w:val="Hyperlink"/>
    <w:aliases w:val="Heading 3 caso"/>
    <w:basedOn w:val="Fuentedeprrafopredeter"/>
    <w:uiPriority w:val="99"/>
    <w:unhideWhenUsed/>
    <w:rsid w:val="001C05D8"/>
    <w:rPr>
      <w:color w:val="0000FF"/>
      <w:u w:val="single"/>
    </w:rPr>
  </w:style>
  <w:style w:type="paragraph" w:styleId="Asuntodelcomentario">
    <w:name w:val="annotation subject"/>
    <w:basedOn w:val="Textocomentario"/>
    <w:next w:val="Textocomentario"/>
    <w:link w:val="AsuntodelcomentarioCar"/>
    <w:uiPriority w:val="99"/>
    <w:semiHidden/>
    <w:unhideWhenUsed/>
    <w:rsid w:val="001C05D8"/>
    <w:rPr>
      <w:b/>
      <w:bCs/>
    </w:rPr>
  </w:style>
  <w:style w:type="character" w:customStyle="1" w:styleId="AsuntodelcomentarioCar">
    <w:name w:val="Asunto del comentario Car"/>
    <w:basedOn w:val="TextocomentarioCar"/>
    <w:link w:val="Asuntodelcomentario"/>
    <w:uiPriority w:val="99"/>
    <w:semiHidden/>
    <w:rsid w:val="001C05D8"/>
    <w:rPr>
      <w:rFonts w:eastAsia="Batang"/>
      <w:b/>
      <w:bCs/>
      <w:sz w:val="20"/>
      <w:szCs w:val="20"/>
      <w:lang w:val="es-MX"/>
    </w:rPr>
  </w:style>
  <w:style w:type="paragraph" w:styleId="Encabezado">
    <w:name w:val="header"/>
    <w:aliases w:val="encabezado"/>
    <w:basedOn w:val="Normal"/>
    <w:link w:val="EncabezadoCar"/>
    <w:uiPriority w:val="99"/>
    <w:unhideWhenUsed/>
    <w:rsid w:val="001C05D8"/>
    <w:pPr>
      <w:tabs>
        <w:tab w:val="center" w:pos="4680"/>
        <w:tab w:val="right" w:pos="9360"/>
      </w:tabs>
      <w:spacing w:after="0" w:line="240" w:lineRule="auto"/>
    </w:pPr>
  </w:style>
  <w:style w:type="character" w:customStyle="1" w:styleId="EncabezadoCar">
    <w:name w:val="Encabezado Car"/>
    <w:aliases w:val="encabezado Car"/>
    <w:basedOn w:val="Fuentedeprrafopredeter"/>
    <w:link w:val="Encabezado"/>
    <w:uiPriority w:val="99"/>
    <w:rsid w:val="001C05D8"/>
    <w:rPr>
      <w:rFonts w:eastAsia="Batang"/>
      <w:lang w:val="es-MX"/>
    </w:rPr>
  </w:style>
  <w:style w:type="paragraph" w:styleId="Piedepgina">
    <w:name w:val="footer"/>
    <w:basedOn w:val="Normal"/>
    <w:link w:val="PiedepginaCar"/>
    <w:uiPriority w:val="99"/>
    <w:unhideWhenUsed/>
    <w:rsid w:val="001C05D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C05D8"/>
    <w:rPr>
      <w:rFonts w:eastAsia="Batang"/>
      <w:lang w:val="es-MX"/>
    </w:rPr>
  </w:style>
  <w:style w:type="character" w:styleId="Hipervnculovisitado">
    <w:name w:val="FollowedHyperlink"/>
    <w:basedOn w:val="Fuentedeprrafopredeter"/>
    <w:uiPriority w:val="99"/>
    <w:semiHidden/>
    <w:unhideWhenUsed/>
    <w:rsid w:val="001C05D8"/>
    <w:rPr>
      <w:color w:val="800080" w:themeColor="followedHyperlink"/>
      <w:u w:val="single"/>
    </w:rPr>
  </w:style>
  <w:style w:type="character" w:styleId="Textoennegrita">
    <w:name w:val="Strong"/>
    <w:aliases w:val="Heading 2.1"/>
    <w:basedOn w:val="Fuentedeprrafopredeter"/>
    <w:uiPriority w:val="22"/>
    <w:qFormat/>
    <w:rsid w:val="001C05D8"/>
    <w:rPr>
      <w:b/>
      <w:bCs/>
    </w:rPr>
  </w:style>
  <w:style w:type="paragraph" w:styleId="Textonotaalfinal">
    <w:name w:val="endnote text"/>
    <w:basedOn w:val="Normal"/>
    <w:link w:val="TextonotaalfinalCar"/>
    <w:unhideWhenUsed/>
    <w:rsid w:val="001C05D8"/>
    <w:pPr>
      <w:spacing w:after="0" w:line="240" w:lineRule="auto"/>
    </w:pPr>
    <w:rPr>
      <w:sz w:val="20"/>
      <w:szCs w:val="20"/>
    </w:rPr>
  </w:style>
  <w:style w:type="character" w:customStyle="1" w:styleId="TextonotaalfinalCar">
    <w:name w:val="Texto nota al final Car"/>
    <w:basedOn w:val="Fuentedeprrafopredeter"/>
    <w:link w:val="Textonotaalfinal"/>
    <w:rsid w:val="001C05D8"/>
    <w:rPr>
      <w:rFonts w:eastAsia="Batang"/>
      <w:sz w:val="20"/>
      <w:szCs w:val="20"/>
      <w:lang w:val="es-MX"/>
    </w:rPr>
  </w:style>
  <w:style w:type="character" w:styleId="Refdenotaalfinal">
    <w:name w:val="endnote reference"/>
    <w:basedOn w:val="Fuentedeprrafopredeter"/>
    <w:uiPriority w:val="99"/>
    <w:semiHidden/>
    <w:unhideWhenUsed/>
    <w:rsid w:val="001C05D8"/>
    <w:rPr>
      <w:vertAlign w:val="superscript"/>
    </w:rPr>
  </w:style>
  <w:style w:type="paragraph" w:customStyle="1" w:styleId="Default">
    <w:name w:val="Default"/>
    <w:rsid w:val="001C05D8"/>
    <w:pPr>
      <w:autoSpaceDE w:val="0"/>
      <w:autoSpaceDN w:val="0"/>
      <w:adjustRightInd w:val="0"/>
      <w:spacing w:after="0" w:line="240" w:lineRule="auto"/>
    </w:pPr>
    <w:rPr>
      <w:rFonts w:ascii="Verdana" w:hAnsi="Verdana" w:cs="Verdana"/>
      <w:color w:val="000000"/>
      <w:sz w:val="24"/>
      <w:szCs w:val="24"/>
      <w:lang w:val="es-MX"/>
    </w:rPr>
  </w:style>
  <w:style w:type="paragraph" w:styleId="Revisin">
    <w:name w:val="Revision"/>
    <w:hidden/>
    <w:uiPriority w:val="99"/>
    <w:semiHidden/>
    <w:rsid w:val="001C05D8"/>
    <w:pPr>
      <w:spacing w:after="0" w:line="240" w:lineRule="auto"/>
    </w:pPr>
    <w:rPr>
      <w:rFonts w:eastAsia="Batang"/>
      <w:lang w:val="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C05D8"/>
    <w:pPr>
      <w:spacing w:after="0" w:line="240" w:lineRule="auto"/>
      <w:jc w:val="both"/>
    </w:pPr>
    <w:rPr>
      <w:rFonts w:eastAsiaTheme="minorHAnsi"/>
      <w:vertAlign w:val="superscript"/>
      <w:lang w:val="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1C05D8"/>
    <w:pPr>
      <w:spacing w:before="200" w:after="160" w:line="240" w:lineRule="exact"/>
      <w:ind w:left="357" w:right="51" w:hanging="357"/>
      <w:jc w:val="both"/>
    </w:pPr>
    <w:rPr>
      <w:rFonts w:eastAsiaTheme="minorHAnsi"/>
      <w:vertAlign w:val="superscript"/>
      <w:lang w:val="es-CR"/>
    </w:rPr>
  </w:style>
  <w:style w:type="character" w:customStyle="1" w:styleId="lblnewsfulltext">
    <w:name w:val="lblnewsfulltext"/>
    <w:basedOn w:val="Fuentedeprrafopredeter"/>
    <w:rsid w:val="001C05D8"/>
  </w:style>
  <w:style w:type="character" w:customStyle="1" w:styleId="PrrafodelistaCar">
    <w:name w:val="Párrafo de lista Car"/>
    <w:aliases w:val="List Paragraph1 Car,Colorful List - Accent 11 Car,Párrafo de lista1 Car,List Paragraph2 Car,Lista vistosa - Énfasis 11 Car,Footnote Car,Subtle Emphasis1 Car,Footnote1 Car"/>
    <w:basedOn w:val="Fuentedeprrafopredeter"/>
    <w:link w:val="Prrafodelista"/>
    <w:uiPriority w:val="34"/>
    <w:locked/>
    <w:rsid w:val="001C05D8"/>
    <w:rPr>
      <w:rFonts w:eastAsia="Batang"/>
      <w:lang w:val="es-MX"/>
    </w:rPr>
  </w:style>
  <w:style w:type="character" w:customStyle="1" w:styleId="lblnewstitle">
    <w:name w:val="lblnewstitle"/>
    <w:basedOn w:val="Fuentedeprrafopredeter"/>
    <w:rsid w:val="001C05D8"/>
  </w:style>
  <w:style w:type="character" w:customStyle="1" w:styleId="apple-converted-space">
    <w:name w:val="apple-converted-space"/>
    <w:basedOn w:val="Fuentedeprrafopredeter"/>
    <w:rsid w:val="001C05D8"/>
  </w:style>
  <w:style w:type="paragraph" w:customStyle="1" w:styleId="Style1">
    <w:name w:val="Style1"/>
    <w:basedOn w:val="Textonotapie"/>
    <w:rsid w:val="001C05D8"/>
    <w:pPr>
      <w:ind w:left="357" w:right="51" w:hanging="357"/>
      <w:jc w:val="both"/>
    </w:pPr>
    <w:rPr>
      <w:rFonts w:ascii="Times New Roman" w:eastAsia="Times" w:hAnsi="Times New Roman" w:cs="Times New Roman"/>
      <w:position w:val="6"/>
      <w:sz w:val="18"/>
      <w:lang w:val="es-ES_tradnl" w:bidi="en-US"/>
    </w:rPr>
  </w:style>
  <w:style w:type="paragraph" w:styleId="HTMLconformatoprevio">
    <w:name w:val="HTML Preformatted"/>
    <w:basedOn w:val="Normal"/>
    <w:link w:val="HTMLconformatoprevioCar"/>
    <w:uiPriority w:val="99"/>
    <w:unhideWhenUsed/>
    <w:rsid w:val="001C05D8"/>
    <w:pPr>
      <w:spacing w:after="0" w:line="240" w:lineRule="auto"/>
    </w:pPr>
    <w:rPr>
      <w:rFonts w:ascii="Consolas" w:eastAsiaTheme="minorHAnsi" w:hAnsi="Consolas" w:cs="Consolas"/>
      <w:sz w:val="20"/>
      <w:szCs w:val="20"/>
      <w:lang w:val="es-CR"/>
    </w:rPr>
  </w:style>
  <w:style w:type="character" w:customStyle="1" w:styleId="HTMLconformatoprevioCar">
    <w:name w:val="HTML con formato previo Car"/>
    <w:basedOn w:val="Fuentedeprrafopredeter"/>
    <w:link w:val="HTMLconformatoprevio"/>
    <w:uiPriority w:val="99"/>
    <w:rsid w:val="001C05D8"/>
    <w:rPr>
      <w:rFonts w:ascii="Consolas" w:hAnsi="Consolas" w:cs="Consolas"/>
      <w:sz w:val="20"/>
      <w:szCs w:val="20"/>
      <w:lang w:val="es-CR"/>
    </w:rPr>
  </w:style>
  <w:style w:type="paragraph" w:customStyle="1" w:styleId="style10">
    <w:name w:val="style1"/>
    <w:basedOn w:val="Normal"/>
    <w:rsid w:val="001C05D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lign-justify">
    <w:name w:val="align-justify"/>
    <w:basedOn w:val="Normal"/>
    <w:rsid w:val="001C05D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aliases w:val="Normal (Web) Char1,Normal (Web) Char Char,Normal (Web) Char1 Char,Normal (Web) Char Char Char"/>
    <w:basedOn w:val="Normal"/>
    <w:uiPriority w:val="99"/>
    <w:unhideWhenUsed/>
    <w:rsid w:val="001C05D8"/>
    <w:rPr>
      <w:rFonts w:ascii="Times New Roman" w:eastAsiaTheme="minorHAnsi" w:hAnsi="Times New Roman" w:cs="Times New Roman"/>
      <w:sz w:val="24"/>
      <w:szCs w:val="24"/>
    </w:rPr>
  </w:style>
  <w:style w:type="paragraph" w:customStyle="1" w:styleId="Footnotes">
    <w:name w:val="**. Footnotes"/>
    <w:basedOn w:val="Textonotapie"/>
    <w:link w:val="FootnotesChar"/>
    <w:autoRedefine/>
    <w:qFormat/>
    <w:rsid w:val="001C05D8"/>
    <w:pPr>
      <w:widowControl w:val="0"/>
      <w:tabs>
        <w:tab w:val="left" w:pos="567"/>
      </w:tabs>
      <w:spacing w:before="120" w:after="40"/>
      <w:jc w:val="both"/>
    </w:pPr>
    <w:rPr>
      <w:rFonts w:ascii="Verdana" w:hAnsi="Verdana" w:cs="Palatino-Italic"/>
      <w:i/>
      <w:iCs/>
      <w:sz w:val="16"/>
      <w:szCs w:val="16"/>
      <w:lang w:val="en-US"/>
    </w:rPr>
  </w:style>
  <w:style w:type="character" w:customStyle="1" w:styleId="FootnotesChar">
    <w:name w:val="**. Footnotes Char"/>
    <w:basedOn w:val="Fuentedeprrafopredeter"/>
    <w:link w:val="Footnotes"/>
    <w:rsid w:val="001C05D8"/>
    <w:rPr>
      <w:rFonts w:ascii="Verdana" w:eastAsia="Batang" w:hAnsi="Verdana" w:cs="Palatino-Italic"/>
      <w:i/>
      <w:iCs/>
      <w:sz w:val="16"/>
      <w:szCs w:val="16"/>
    </w:rPr>
  </w:style>
  <w:style w:type="character" w:customStyle="1" w:styleId="Smbolodenotaalpie">
    <w:name w:val="Símbolo de nota al pie"/>
    <w:rsid w:val="001C05D8"/>
    <w:rPr>
      <w:rFonts w:cs="Times New Roman"/>
      <w:szCs w:val="20"/>
      <w:vertAlign w:val="superscript"/>
    </w:rPr>
  </w:style>
  <w:style w:type="numbering" w:styleId="111111">
    <w:name w:val="Outline List 2"/>
    <w:basedOn w:val="Sinlista"/>
    <w:uiPriority w:val="99"/>
    <w:semiHidden/>
    <w:unhideWhenUsed/>
    <w:rsid w:val="001C05D8"/>
    <w:pPr>
      <w:numPr>
        <w:numId w:val="9"/>
      </w:numPr>
    </w:pPr>
  </w:style>
  <w:style w:type="character" w:customStyle="1" w:styleId="Estilo1Car">
    <w:name w:val="Estilo1 Car"/>
    <w:link w:val="Estilo1"/>
    <w:locked/>
    <w:rsid w:val="001C05D8"/>
    <w:rPr>
      <w:rFonts w:ascii="Verdana" w:hAnsi="Verdana"/>
    </w:rPr>
  </w:style>
  <w:style w:type="paragraph" w:customStyle="1" w:styleId="Estilo1">
    <w:name w:val="Estilo1"/>
    <w:basedOn w:val="Normal"/>
    <w:link w:val="Estilo1Car"/>
    <w:qFormat/>
    <w:rsid w:val="001C05D8"/>
    <w:pPr>
      <w:tabs>
        <w:tab w:val="left" w:pos="567"/>
        <w:tab w:val="left" w:pos="1134"/>
        <w:tab w:val="num" w:pos="6042"/>
      </w:tabs>
      <w:spacing w:after="120" w:line="240" w:lineRule="auto"/>
      <w:jc w:val="both"/>
    </w:pPr>
    <w:rPr>
      <w:rFonts w:ascii="Verdana" w:eastAsiaTheme="minorHAnsi" w:hAnsi="Verdana"/>
      <w:lang w:val="en-US"/>
    </w:rPr>
  </w:style>
  <w:style w:type="character" w:customStyle="1" w:styleId="Caracteresdenotaalpie">
    <w:name w:val="Caracteres de nota al pie"/>
    <w:rsid w:val="001C05D8"/>
    <w:rPr>
      <w:vertAlign w:val="superscript"/>
    </w:rPr>
  </w:style>
  <w:style w:type="paragraph" w:customStyle="1" w:styleId="Prrafodelista2">
    <w:name w:val="Párrafo de lista2"/>
    <w:basedOn w:val="Normal"/>
    <w:uiPriority w:val="99"/>
    <w:rsid w:val="001C05D8"/>
    <w:pPr>
      <w:spacing w:after="0" w:line="240" w:lineRule="auto"/>
      <w:ind w:left="720"/>
    </w:pPr>
    <w:rPr>
      <w:rFonts w:ascii="Verdana" w:eastAsia="MS Mincho" w:hAnsi="Verdana" w:cs="Times New Roman"/>
      <w:sz w:val="20"/>
      <w:szCs w:val="20"/>
      <w:lang w:val="es-ES_tradnl" w:bidi="en-US"/>
    </w:rPr>
  </w:style>
  <w:style w:type="character" w:customStyle="1" w:styleId="Caracteresdenotafinal">
    <w:name w:val="Caracteres de nota final"/>
    <w:rsid w:val="001C05D8"/>
    <w:rPr>
      <w:vertAlign w:val="superscript"/>
    </w:rPr>
  </w:style>
  <w:style w:type="character" w:styleId="Nmerodelnea">
    <w:name w:val="line number"/>
    <w:basedOn w:val="Fuentedeprrafopredeter"/>
    <w:uiPriority w:val="99"/>
    <w:unhideWhenUsed/>
    <w:rsid w:val="001C05D8"/>
  </w:style>
  <w:style w:type="character" w:customStyle="1" w:styleId="TextonotapieCar1">
    <w:name w:val="Texto nota pie Car1"/>
    <w:aliases w:val="Footnote Text Char Char Char Char Char Car1,Footnote Text Char Char Char Char Car1,Footnote reference Car1,FA Fu Car1,Footnote Text Char Char Char Car1,Footnote Text Cha Car1,FA Fußnotentext Car1,FA Fuﬂnotentext Car1,Ca Car,C Car"/>
    <w:basedOn w:val="Fuentedeprrafopredeter"/>
    <w:uiPriority w:val="99"/>
    <w:qFormat/>
    <w:locked/>
    <w:rsid w:val="001C05D8"/>
    <w:rPr>
      <w:rFonts w:ascii="Verdana" w:eastAsia="MS Mincho" w:hAnsi="Verdana" w:cs="Times"/>
      <w:sz w:val="16"/>
      <w:szCs w:val="24"/>
      <w:lang w:val="es-ES_tradnl"/>
    </w:rPr>
  </w:style>
  <w:style w:type="paragraph" w:styleId="Sinespaciado">
    <w:name w:val="No Spacing"/>
    <w:link w:val="SinespaciadoCar"/>
    <w:uiPriority w:val="1"/>
    <w:qFormat/>
    <w:rsid w:val="001C05D8"/>
    <w:pPr>
      <w:spacing w:after="0" w:line="240" w:lineRule="auto"/>
    </w:pPr>
    <w:rPr>
      <w:lang w:val="es-CR"/>
    </w:rPr>
  </w:style>
  <w:style w:type="paragraph" w:styleId="TtuloTDC">
    <w:name w:val="TOC Heading"/>
    <w:basedOn w:val="Ttulo1"/>
    <w:next w:val="Normal"/>
    <w:uiPriority w:val="39"/>
    <w:unhideWhenUsed/>
    <w:qFormat/>
    <w:rsid w:val="001C05D8"/>
    <w:pPr>
      <w:spacing w:line="276" w:lineRule="auto"/>
      <w:outlineLvl w:val="9"/>
    </w:pPr>
    <w:rPr>
      <w:lang w:val="en-US" w:eastAsia="ja-JP"/>
    </w:rPr>
  </w:style>
  <w:style w:type="paragraph" w:styleId="TDC2">
    <w:name w:val="toc 2"/>
    <w:basedOn w:val="Normal"/>
    <w:next w:val="Normal"/>
    <w:autoRedefine/>
    <w:uiPriority w:val="39"/>
    <w:unhideWhenUsed/>
    <w:qFormat/>
    <w:rsid w:val="00A357EB"/>
    <w:pPr>
      <w:tabs>
        <w:tab w:val="left" w:pos="880"/>
        <w:tab w:val="right" w:leader="dot" w:pos="9792"/>
      </w:tabs>
      <w:spacing w:after="0" w:line="240" w:lineRule="auto"/>
      <w:ind w:left="220"/>
      <w:jc w:val="both"/>
    </w:pPr>
    <w:rPr>
      <w:rFonts w:ascii="Verdana" w:eastAsia="MS Mincho" w:hAnsi="Verdana" w:cs="Times New Roman"/>
      <w:b/>
      <w:bCs/>
      <w:i/>
      <w:smallCaps/>
      <w:noProof/>
      <w:sz w:val="18"/>
      <w:szCs w:val="18"/>
      <w:lang w:eastAsia="es-CR"/>
    </w:rPr>
  </w:style>
  <w:style w:type="paragraph" w:styleId="TDC1">
    <w:name w:val="toc 1"/>
    <w:basedOn w:val="Normal"/>
    <w:next w:val="Normal"/>
    <w:autoRedefine/>
    <w:uiPriority w:val="39"/>
    <w:unhideWhenUsed/>
    <w:qFormat/>
    <w:rsid w:val="0002664D"/>
    <w:pPr>
      <w:tabs>
        <w:tab w:val="right" w:leader="dot" w:pos="9792"/>
      </w:tabs>
      <w:spacing w:after="0" w:line="240" w:lineRule="auto"/>
    </w:pPr>
    <w:rPr>
      <w:rFonts w:ascii="Verdana" w:eastAsia="Times New Roman" w:hAnsi="Verdana" w:cs="Verdana"/>
      <w:b/>
      <w:bCs/>
      <w:caps/>
      <w:noProof/>
      <w:snapToGrid w:val="0"/>
      <w:sz w:val="18"/>
      <w:szCs w:val="18"/>
      <w:lang w:val="es-ES_tradnl"/>
    </w:rPr>
  </w:style>
  <w:style w:type="paragraph" w:styleId="TDC3">
    <w:name w:val="toc 3"/>
    <w:basedOn w:val="Normal"/>
    <w:next w:val="Normal"/>
    <w:autoRedefine/>
    <w:uiPriority w:val="39"/>
    <w:unhideWhenUsed/>
    <w:qFormat/>
    <w:rsid w:val="00A357EB"/>
    <w:pPr>
      <w:tabs>
        <w:tab w:val="left" w:pos="1100"/>
        <w:tab w:val="right" w:leader="dot" w:pos="9792"/>
      </w:tabs>
      <w:spacing w:after="0"/>
      <w:ind w:left="440"/>
    </w:pPr>
    <w:rPr>
      <w:rFonts w:ascii="Verdana" w:hAnsi="Verdana"/>
      <w:b/>
      <w:i/>
      <w:iCs/>
      <w:noProof/>
      <w:sz w:val="18"/>
      <w:szCs w:val="18"/>
      <w:lang w:eastAsia="es-MX"/>
    </w:rPr>
  </w:style>
  <w:style w:type="paragraph" w:styleId="Ttulo">
    <w:name w:val="Title"/>
    <w:basedOn w:val="Prrafodelista"/>
    <w:next w:val="Normal"/>
    <w:link w:val="TtuloCar"/>
    <w:uiPriority w:val="10"/>
    <w:qFormat/>
    <w:rsid w:val="001C05D8"/>
    <w:pPr>
      <w:keepNext/>
      <w:keepLines/>
      <w:widowControl w:val="0"/>
      <w:numPr>
        <w:numId w:val="10"/>
      </w:numPr>
      <w:adjustRightInd w:val="0"/>
      <w:spacing w:before="120" w:after="120" w:line="240" w:lineRule="auto"/>
      <w:jc w:val="both"/>
      <w:textAlignment w:val="baseline"/>
      <w:outlineLvl w:val="1"/>
    </w:pPr>
    <w:rPr>
      <w:rFonts w:ascii="Verdana" w:hAnsi="Verdana"/>
      <w:b/>
      <w:i/>
      <w:sz w:val="20"/>
      <w:szCs w:val="20"/>
    </w:rPr>
  </w:style>
  <w:style w:type="character" w:customStyle="1" w:styleId="TtuloCar">
    <w:name w:val="Título Car"/>
    <w:basedOn w:val="Fuentedeprrafopredeter"/>
    <w:link w:val="Ttulo"/>
    <w:uiPriority w:val="10"/>
    <w:rsid w:val="001C05D8"/>
    <w:rPr>
      <w:rFonts w:ascii="Verdana" w:eastAsia="Batang" w:hAnsi="Verdana"/>
      <w:b/>
      <w:i/>
      <w:sz w:val="20"/>
      <w:szCs w:val="20"/>
      <w:lang w:val="es-MX"/>
    </w:rPr>
  </w:style>
  <w:style w:type="paragraph" w:styleId="Subttulo">
    <w:name w:val="Subtitle"/>
    <w:basedOn w:val="Ttulo"/>
    <w:next w:val="Normal"/>
    <w:link w:val="SubttuloCar"/>
    <w:uiPriority w:val="11"/>
    <w:qFormat/>
    <w:rsid w:val="001C05D8"/>
    <w:pPr>
      <w:numPr>
        <w:numId w:val="0"/>
      </w:numPr>
    </w:pPr>
  </w:style>
  <w:style w:type="character" w:customStyle="1" w:styleId="SubttuloCar">
    <w:name w:val="Subtítulo Car"/>
    <w:basedOn w:val="Fuentedeprrafopredeter"/>
    <w:link w:val="Subttulo"/>
    <w:uiPriority w:val="11"/>
    <w:rsid w:val="001C05D8"/>
    <w:rPr>
      <w:rFonts w:ascii="Verdana" w:eastAsia="Batang" w:hAnsi="Verdana"/>
      <w:b/>
      <w:i/>
      <w:sz w:val="20"/>
      <w:szCs w:val="20"/>
      <w:lang w:val="es-MX"/>
    </w:rPr>
  </w:style>
  <w:style w:type="character" w:styleId="nfasissutil">
    <w:name w:val="Subtle Emphasis"/>
    <w:uiPriority w:val="19"/>
    <w:qFormat/>
    <w:rsid w:val="001C05D8"/>
  </w:style>
  <w:style w:type="character" w:styleId="nfasis">
    <w:name w:val="Emphasis"/>
    <w:basedOn w:val="nfasissutil"/>
    <w:uiPriority w:val="20"/>
    <w:qFormat/>
    <w:rsid w:val="001C05D8"/>
  </w:style>
  <w:style w:type="paragraph" w:styleId="TDC5">
    <w:name w:val="toc 5"/>
    <w:basedOn w:val="Normal"/>
    <w:next w:val="Normal"/>
    <w:autoRedefine/>
    <w:uiPriority w:val="39"/>
    <w:unhideWhenUsed/>
    <w:rsid w:val="001C05D8"/>
    <w:pPr>
      <w:spacing w:after="0"/>
      <w:ind w:left="880"/>
    </w:pPr>
    <w:rPr>
      <w:sz w:val="18"/>
      <w:szCs w:val="18"/>
    </w:rPr>
  </w:style>
  <w:style w:type="paragraph" w:styleId="TDC6">
    <w:name w:val="toc 6"/>
    <w:basedOn w:val="Normal"/>
    <w:next w:val="Normal"/>
    <w:autoRedefine/>
    <w:uiPriority w:val="39"/>
    <w:unhideWhenUsed/>
    <w:rsid w:val="001C05D8"/>
    <w:pPr>
      <w:spacing w:after="0"/>
      <w:ind w:left="1100"/>
    </w:pPr>
    <w:rPr>
      <w:sz w:val="18"/>
      <w:szCs w:val="18"/>
    </w:rPr>
  </w:style>
  <w:style w:type="paragraph" w:styleId="TDC7">
    <w:name w:val="toc 7"/>
    <w:basedOn w:val="Normal"/>
    <w:next w:val="Normal"/>
    <w:autoRedefine/>
    <w:uiPriority w:val="39"/>
    <w:unhideWhenUsed/>
    <w:rsid w:val="001C05D8"/>
    <w:pPr>
      <w:spacing w:after="0"/>
      <w:ind w:left="1320"/>
    </w:pPr>
    <w:rPr>
      <w:sz w:val="18"/>
      <w:szCs w:val="18"/>
    </w:rPr>
  </w:style>
  <w:style w:type="paragraph" w:styleId="TDC4">
    <w:name w:val="toc 4"/>
    <w:basedOn w:val="Normal"/>
    <w:next w:val="Normal"/>
    <w:autoRedefine/>
    <w:uiPriority w:val="39"/>
    <w:unhideWhenUsed/>
    <w:rsid w:val="001C05D8"/>
    <w:pPr>
      <w:spacing w:after="0"/>
      <w:ind w:left="660"/>
    </w:pPr>
    <w:rPr>
      <w:sz w:val="18"/>
      <w:szCs w:val="18"/>
    </w:rPr>
  </w:style>
  <w:style w:type="paragraph" w:styleId="TDC8">
    <w:name w:val="toc 8"/>
    <w:basedOn w:val="Normal"/>
    <w:next w:val="Normal"/>
    <w:autoRedefine/>
    <w:uiPriority w:val="39"/>
    <w:unhideWhenUsed/>
    <w:rsid w:val="001C05D8"/>
    <w:pPr>
      <w:spacing w:after="0"/>
      <w:ind w:left="1540"/>
    </w:pPr>
    <w:rPr>
      <w:sz w:val="18"/>
      <w:szCs w:val="18"/>
    </w:rPr>
  </w:style>
  <w:style w:type="paragraph" w:styleId="TDC9">
    <w:name w:val="toc 9"/>
    <w:basedOn w:val="Normal"/>
    <w:next w:val="Normal"/>
    <w:autoRedefine/>
    <w:uiPriority w:val="39"/>
    <w:unhideWhenUsed/>
    <w:rsid w:val="001C05D8"/>
    <w:pPr>
      <w:spacing w:after="0"/>
      <w:ind w:left="1760"/>
    </w:pPr>
    <w:rPr>
      <w:sz w:val="18"/>
      <w:szCs w:val="18"/>
    </w:rPr>
  </w:style>
  <w:style w:type="character" w:customStyle="1" w:styleId="PrrafodeSentenciaChar">
    <w:name w:val="*. Párrafo de Sentencia Char"/>
    <w:link w:val="PrrafodeSentencia"/>
    <w:locked/>
    <w:rsid w:val="001C05D8"/>
    <w:rPr>
      <w:rFonts w:ascii="Verdana" w:eastAsia="Batang" w:hAnsi="Verdana"/>
      <w:spacing w:val="-4"/>
      <w:sz w:val="20"/>
      <w:lang w:eastAsia="es-MX"/>
    </w:rPr>
  </w:style>
  <w:style w:type="paragraph" w:customStyle="1" w:styleId="PrrafodeSentencia">
    <w:name w:val="*. Párrafo de Sentencia"/>
    <w:basedOn w:val="Normal"/>
    <w:next w:val="Normal"/>
    <w:link w:val="PrrafodeSentenciaChar"/>
    <w:qFormat/>
    <w:rsid w:val="001C05D8"/>
    <w:pPr>
      <w:tabs>
        <w:tab w:val="left" w:pos="567"/>
      </w:tabs>
      <w:spacing w:after="0" w:line="240" w:lineRule="auto"/>
      <w:jc w:val="both"/>
    </w:pPr>
    <w:rPr>
      <w:rFonts w:ascii="Verdana" w:hAnsi="Verdana"/>
      <w:spacing w:val="-4"/>
      <w:sz w:val="20"/>
      <w:lang w:val="en-US" w:eastAsia="es-MX"/>
    </w:rPr>
  </w:style>
  <w:style w:type="numbering" w:customStyle="1" w:styleId="NoList1">
    <w:name w:val="No List1"/>
    <w:next w:val="Sinlista"/>
    <w:uiPriority w:val="99"/>
    <w:semiHidden/>
    <w:unhideWhenUsed/>
    <w:rsid w:val="001C05D8"/>
  </w:style>
  <w:style w:type="character" w:customStyle="1" w:styleId="CommentTextChar1">
    <w:name w:val="Comment Text Char1"/>
    <w:basedOn w:val="Fuentedeprrafopredeter"/>
    <w:uiPriority w:val="99"/>
    <w:semiHidden/>
    <w:rsid w:val="001C05D8"/>
    <w:rPr>
      <w:rFonts w:ascii="Times New Roman" w:eastAsia="Calibri" w:hAnsi="Times New Roman" w:cs="Times New Roman"/>
      <w:sz w:val="20"/>
      <w:szCs w:val="20"/>
      <w:lang w:val="es-ES_tradnl"/>
    </w:rPr>
  </w:style>
  <w:style w:type="character" w:customStyle="1" w:styleId="BalloonTextChar1">
    <w:name w:val="Balloon Text Char1"/>
    <w:basedOn w:val="Fuentedeprrafopredeter"/>
    <w:uiPriority w:val="99"/>
    <w:semiHidden/>
    <w:rsid w:val="001C05D8"/>
    <w:rPr>
      <w:rFonts w:ascii="Tahoma" w:eastAsia="Calibri" w:hAnsi="Tahoma" w:cs="Tahoma"/>
      <w:sz w:val="16"/>
      <w:szCs w:val="16"/>
      <w:lang w:val="es-ES_tradnl"/>
    </w:rPr>
  </w:style>
  <w:style w:type="character" w:customStyle="1" w:styleId="apple-style-span">
    <w:name w:val="apple-style-span"/>
    <w:basedOn w:val="Fuentedeprrafopredeter"/>
    <w:rsid w:val="001C05D8"/>
    <w:rPr>
      <w:rFonts w:cs="Times New Roman"/>
    </w:rPr>
  </w:style>
  <w:style w:type="character" w:customStyle="1" w:styleId="Ttulo10">
    <w:name w:val="Título1"/>
    <w:basedOn w:val="Fuentedeprrafopredeter"/>
    <w:rsid w:val="001C05D8"/>
  </w:style>
  <w:style w:type="character" w:customStyle="1" w:styleId="hps">
    <w:name w:val="hps"/>
    <w:basedOn w:val="Fuentedeprrafopredeter"/>
    <w:rsid w:val="001C05D8"/>
  </w:style>
  <w:style w:type="paragraph" w:customStyle="1" w:styleId="2Footnotes">
    <w:name w:val="2. Footnotes"/>
    <w:basedOn w:val="Textonotapie"/>
    <w:link w:val="2FootnotesChar"/>
    <w:autoRedefine/>
    <w:qFormat/>
    <w:rsid w:val="001C05D8"/>
    <w:pPr>
      <w:widowControl w:val="0"/>
      <w:spacing w:before="120" w:after="40"/>
      <w:jc w:val="both"/>
    </w:pPr>
    <w:rPr>
      <w:rFonts w:ascii="Verdana" w:eastAsia="Times New Roman" w:hAnsi="Verdana" w:cs="Palatino-Italic"/>
      <w:iCs/>
      <w:noProof/>
      <w:sz w:val="16"/>
      <w:szCs w:val="18"/>
      <w:lang w:val="en-US"/>
    </w:rPr>
  </w:style>
  <w:style w:type="character" w:customStyle="1" w:styleId="2FootnotesChar">
    <w:name w:val="2. Footnotes Char"/>
    <w:link w:val="2Footnotes"/>
    <w:rsid w:val="001C05D8"/>
    <w:rPr>
      <w:rFonts w:ascii="Verdana" w:eastAsia="Times New Roman" w:hAnsi="Verdana" w:cs="Palatino-Italic"/>
      <w:iCs/>
      <w:noProof/>
      <w:sz w:val="16"/>
      <w:szCs w:val="18"/>
    </w:rPr>
  </w:style>
  <w:style w:type="paragraph" w:customStyle="1" w:styleId="xmsonormal">
    <w:name w:val="x_msonormal"/>
    <w:basedOn w:val="Normal"/>
    <w:rsid w:val="001C05D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ChG">
    <w:name w:val="_ H _Ch_G"/>
    <w:basedOn w:val="Normal"/>
    <w:next w:val="Normal"/>
    <w:rsid w:val="001C05D8"/>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s-ES" w:eastAsia="es-ES"/>
    </w:rPr>
  </w:style>
  <w:style w:type="paragraph" w:customStyle="1" w:styleId="H1G">
    <w:name w:val="_ H_1_G"/>
    <w:basedOn w:val="Normal"/>
    <w:next w:val="Normal"/>
    <w:rsid w:val="001C05D8"/>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s-ES" w:eastAsia="es-ES"/>
    </w:rPr>
  </w:style>
  <w:style w:type="paragraph" w:styleId="Textoindependiente">
    <w:name w:val="Body Text"/>
    <w:basedOn w:val="Normal"/>
    <w:link w:val="TextoindependienteCar"/>
    <w:uiPriority w:val="99"/>
    <w:unhideWhenUsed/>
    <w:rsid w:val="001C05D8"/>
    <w:pPr>
      <w:spacing w:after="0" w:line="240" w:lineRule="auto"/>
      <w:jc w:val="both"/>
    </w:pPr>
    <w:rPr>
      <w:rFonts w:ascii="Garamond" w:eastAsia="Times" w:hAnsi="Garamond" w:cs="Times New Roman"/>
      <w:noProof/>
      <w:szCs w:val="20"/>
      <w:lang w:val="es-ES_tradnl"/>
    </w:rPr>
  </w:style>
  <w:style w:type="character" w:customStyle="1" w:styleId="TextoindependienteCar">
    <w:name w:val="Texto independiente Car"/>
    <w:basedOn w:val="Fuentedeprrafopredeter"/>
    <w:link w:val="Textoindependiente"/>
    <w:uiPriority w:val="99"/>
    <w:rsid w:val="001C05D8"/>
    <w:rPr>
      <w:rFonts w:ascii="Garamond" w:eastAsia="Times" w:hAnsi="Garamond" w:cs="Times New Roman"/>
      <w:noProof/>
      <w:szCs w:val="20"/>
      <w:lang w:val="es-ES_tradnl"/>
    </w:rPr>
  </w:style>
  <w:style w:type="character" w:customStyle="1" w:styleId="SangradetextonormalCar">
    <w:name w:val="Sangría de texto normal Car"/>
    <w:basedOn w:val="Fuentedeprrafopredeter"/>
    <w:link w:val="Sangradetextonormal"/>
    <w:uiPriority w:val="99"/>
    <w:semiHidden/>
    <w:rsid w:val="001C05D8"/>
    <w:rPr>
      <w:rFonts w:ascii="Times New Roman" w:eastAsia="Calibri" w:hAnsi="Times New Roman" w:cs="Times New Roman"/>
      <w:sz w:val="24"/>
      <w:szCs w:val="24"/>
      <w:lang w:val="es-ES_tradnl"/>
    </w:rPr>
  </w:style>
  <w:style w:type="paragraph" w:styleId="Sangradetextonormal">
    <w:name w:val="Body Text Indent"/>
    <w:basedOn w:val="Normal"/>
    <w:link w:val="SangradetextonormalCar"/>
    <w:uiPriority w:val="99"/>
    <w:semiHidden/>
    <w:unhideWhenUsed/>
    <w:rsid w:val="001C05D8"/>
    <w:pPr>
      <w:spacing w:after="120" w:line="240" w:lineRule="auto"/>
      <w:ind w:left="283"/>
    </w:pPr>
    <w:rPr>
      <w:rFonts w:ascii="Times New Roman" w:eastAsia="Calibri" w:hAnsi="Times New Roman" w:cs="Times New Roman"/>
      <w:sz w:val="24"/>
      <w:szCs w:val="24"/>
      <w:lang w:val="es-ES_tradnl"/>
    </w:rPr>
  </w:style>
  <w:style w:type="character" w:customStyle="1" w:styleId="BodyTextIndentChar1">
    <w:name w:val="Body Text Indent Char1"/>
    <w:basedOn w:val="Fuentedeprrafopredeter"/>
    <w:uiPriority w:val="99"/>
    <w:semiHidden/>
    <w:rsid w:val="001C05D8"/>
    <w:rPr>
      <w:rFonts w:eastAsia="Batang"/>
      <w:lang w:val="es-MX"/>
    </w:rPr>
  </w:style>
  <w:style w:type="character" w:customStyle="1" w:styleId="Estilo1Char">
    <w:name w:val="Estilo1 Char"/>
    <w:rsid w:val="001C05D8"/>
    <w:rPr>
      <w:rFonts w:ascii="Verdana" w:eastAsia="Calibri" w:hAnsi="Verdana" w:cs="Times New Roman"/>
      <w:sz w:val="20"/>
      <w:szCs w:val="20"/>
      <w:lang w:val="es-ES"/>
    </w:rPr>
  </w:style>
  <w:style w:type="paragraph" w:customStyle="1" w:styleId="Estilo2">
    <w:name w:val="Estilo2"/>
    <w:basedOn w:val="Normal"/>
    <w:qFormat/>
    <w:rsid w:val="001C05D8"/>
    <w:pPr>
      <w:tabs>
        <w:tab w:val="left" w:pos="567"/>
        <w:tab w:val="left" w:pos="1134"/>
        <w:tab w:val="num" w:pos="4767"/>
      </w:tabs>
      <w:spacing w:after="120" w:line="240" w:lineRule="auto"/>
      <w:ind w:left="4767" w:hanging="360"/>
      <w:jc w:val="both"/>
    </w:pPr>
    <w:rPr>
      <w:rFonts w:ascii="Verdana" w:eastAsia="Calibri" w:hAnsi="Verdana" w:cs="Times New Roman"/>
      <w:sz w:val="20"/>
      <w:szCs w:val="20"/>
      <w:lang w:val="es-ES"/>
    </w:rPr>
  </w:style>
  <w:style w:type="paragraph" w:styleId="Sangra3detindependiente">
    <w:name w:val="Body Text Indent 3"/>
    <w:basedOn w:val="Normal"/>
    <w:link w:val="Sangra3detindependienteCar"/>
    <w:rsid w:val="001C05D8"/>
    <w:pPr>
      <w:spacing w:after="0" w:line="240" w:lineRule="auto"/>
      <w:ind w:left="720"/>
      <w:jc w:val="both"/>
    </w:pPr>
    <w:rPr>
      <w:rFonts w:ascii="Verdana" w:eastAsia="Times" w:hAnsi="Verdana" w:cs="Times New Roman"/>
      <w:b/>
      <w:szCs w:val="20"/>
      <w:lang w:val="es-ES_tradnl" w:eastAsia="es-ES"/>
    </w:rPr>
  </w:style>
  <w:style w:type="character" w:customStyle="1" w:styleId="Sangra3detindependienteCar">
    <w:name w:val="Sangría 3 de t. independiente Car"/>
    <w:basedOn w:val="Fuentedeprrafopredeter"/>
    <w:link w:val="Sangra3detindependiente"/>
    <w:rsid w:val="001C05D8"/>
    <w:rPr>
      <w:rFonts w:ascii="Verdana" w:eastAsia="Times" w:hAnsi="Verdana" w:cs="Times New Roman"/>
      <w:b/>
      <w:szCs w:val="20"/>
      <w:lang w:val="es-ES_tradnl" w:eastAsia="es-ES"/>
    </w:rPr>
  </w:style>
  <w:style w:type="paragraph" w:customStyle="1" w:styleId="Estilo7">
    <w:name w:val="Estilo7"/>
    <w:basedOn w:val="Normal"/>
    <w:qFormat/>
    <w:rsid w:val="001C05D8"/>
    <w:pPr>
      <w:tabs>
        <w:tab w:val="left" w:pos="567"/>
        <w:tab w:val="left" w:pos="851"/>
        <w:tab w:val="num" w:pos="2160"/>
      </w:tabs>
      <w:spacing w:before="120" w:after="120" w:line="240" w:lineRule="auto"/>
      <w:ind w:left="2160" w:hanging="180"/>
      <w:jc w:val="both"/>
    </w:pPr>
    <w:rPr>
      <w:rFonts w:ascii="Verdana" w:hAnsi="Verdana" w:cs="Times New Roman"/>
      <w:b/>
      <w:i/>
      <w:sz w:val="20"/>
      <w:szCs w:val="20"/>
      <w:lang w:val="es-ES_tradnl" w:eastAsia="es-MX"/>
    </w:rPr>
  </w:style>
  <w:style w:type="paragraph" w:customStyle="1" w:styleId="Sangradetindependiente">
    <w:name w:val="Sangr’a de t. independiente"/>
    <w:basedOn w:val="Normal"/>
    <w:rsid w:val="001C05D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eastAsia="es-ES"/>
    </w:rPr>
  </w:style>
  <w:style w:type="character" w:customStyle="1" w:styleId="normalchar1">
    <w:name w:val="normal__char1"/>
    <w:basedOn w:val="Fuentedeprrafopredeter"/>
    <w:rsid w:val="001C05D8"/>
    <w:rPr>
      <w:rFonts w:ascii="Verdana" w:hAnsi="Verdana" w:hint="default"/>
      <w:sz w:val="20"/>
      <w:szCs w:val="20"/>
    </w:rPr>
  </w:style>
  <w:style w:type="character" w:customStyle="1" w:styleId="FootnoteTextCharCar">
    <w:name w:val="Footnote Text Char Car"/>
    <w:aliases w:val="FA Car,Note de bas de page Car Car Car"/>
    <w:basedOn w:val="Fuentedeprrafopredeter"/>
    <w:uiPriority w:val="99"/>
    <w:locked/>
    <w:rsid w:val="001C05D8"/>
  </w:style>
  <w:style w:type="character" w:customStyle="1" w:styleId="sb8d990e2">
    <w:name w:val="sb8d990e2"/>
    <w:uiPriority w:val="99"/>
    <w:rsid w:val="001C05D8"/>
  </w:style>
  <w:style w:type="character" w:customStyle="1" w:styleId="st1">
    <w:name w:val="st1"/>
    <w:basedOn w:val="Fuentedeprrafopredeter"/>
    <w:rsid w:val="001C05D8"/>
  </w:style>
  <w:style w:type="paragraph" w:customStyle="1" w:styleId="NormalNumbered">
    <w:name w:val="Normal Numbered"/>
    <w:basedOn w:val="Normal"/>
    <w:qFormat/>
    <w:rsid w:val="001C05D8"/>
    <w:pPr>
      <w:numPr>
        <w:numId w:val="11"/>
      </w:numPr>
      <w:spacing w:after="0" w:line="240" w:lineRule="auto"/>
      <w:ind w:left="0" w:firstLine="0"/>
      <w:jc w:val="both"/>
    </w:pPr>
    <w:rPr>
      <w:rFonts w:ascii="Verdana" w:eastAsia="Times New Roman" w:hAnsi="Verdana" w:cs="Times New Roman"/>
      <w:sz w:val="20"/>
      <w:szCs w:val="20"/>
    </w:rPr>
  </w:style>
  <w:style w:type="numbering" w:customStyle="1" w:styleId="NoList11">
    <w:name w:val="No List11"/>
    <w:next w:val="Sinlista"/>
    <w:uiPriority w:val="99"/>
    <w:semiHidden/>
    <w:unhideWhenUsed/>
    <w:rsid w:val="001C05D8"/>
  </w:style>
  <w:style w:type="paragraph" w:customStyle="1" w:styleId="ju-005fpara-002cleft-002cfirst-0020line-003a-0020-00200-0020cm">
    <w:name w:val="ju-005fpara-002cleft-002cfirst-0020line-003a-0020-00200-0020cm"/>
    <w:basedOn w:val="Normal"/>
    <w:rsid w:val="001C05D8"/>
    <w:pPr>
      <w:spacing w:after="135" w:line="240" w:lineRule="auto"/>
    </w:pPr>
    <w:rPr>
      <w:rFonts w:ascii="Times New Roman" w:eastAsia="Times New Roman" w:hAnsi="Times New Roman" w:cs="Times New Roman"/>
      <w:sz w:val="24"/>
      <w:szCs w:val="24"/>
      <w:lang w:eastAsia="es-MX"/>
    </w:rPr>
  </w:style>
  <w:style w:type="character" w:customStyle="1" w:styleId="ju-005fpara-002cleft-002cfirst-0020line-003a-0020-00200-0020cm--char">
    <w:name w:val="ju-005fpara-002cleft-002cfirst-0020line-003a-0020-00200-0020cm--char"/>
    <w:rsid w:val="001C05D8"/>
  </w:style>
  <w:style w:type="character" w:customStyle="1" w:styleId="PrrafodelistaCar1">
    <w:name w:val="Párrafo de lista Car1"/>
    <w:basedOn w:val="Fuentedeprrafopredeter"/>
    <w:uiPriority w:val="99"/>
    <w:locked/>
    <w:rsid w:val="001C05D8"/>
    <w:rPr>
      <w:rFonts w:ascii="Verdana" w:hAnsi="Verdana" w:cs="Verdana"/>
      <w:lang w:eastAsia="en-US"/>
    </w:rPr>
  </w:style>
  <w:style w:type="character" w:customStyle="1" w:styleId="TextocomentarioCar1">
    <w:name w:val="Texto comentario Car1"/>
    <w:basedOn w:val="Fuentedeprrafopredeter"/>
    <w:uiPriority w:val="99"/>
    <w:semiHidden/>
    <w:rsid w:val="001C05D8"/>
    <w:rPr>
      <w:sz w:val="20"/>
      <w:szCs w:val="20"/>
    </w:rPr>
  </w:style>
  <w:style w:type="paragraph" w:customStyle="1" w:styleId="Body1">
    <w:name w:val="Body 1"/>
    <w:link w:val="Body1Char"/>
    <w:rsid w:val="001C05D8"/>
    <w:pPr>
      <w:outlineLvl w:val="0"/>
    </w:pPr>
    <w:rPr>
      <w:rFonts w:ascii="Helvetica" w:eastAsia="ヒラギノ角ゴ Pro W3" w:hAnsi="Helvetica" w:cs="Times New Roman"/>
      <w:color w:val="000000"/>
      <w:szCs w:val="20"/>
      <w:lang w:eastAsia="es-CR"/>
    </w:rPr>
  </w:style>
  <w:style w:type="character" w:customStyle="1" w:styleId="Body1Char">
    <w:name w:val="Body 1 Char"/>
    <w:link w:val="Body1"/>
    <w:rsid w:val="001C05D8"/>
    <w:rPr>
      <w:rFonts w:ascii="Helvetica" w:eastAsia="ヒラギノ角ゴ Pro W3" w:hAnsi="Helvetica" w:cs="Times New Roman"/>
      <w:color w:val="000000"/>
      <w:szCs w:val="20"/>
      <w:lang w:eastAsia="es-CR"/>
    </w:rPr>
  </w:style>
  <w:style w:type="paragraph" w:customStyle="1" w:styleId="style11">
    <w:name w:val="style11"/>
    <w:basedOn w:val="Normal"/>
    <w:rsid w:val="001C05D8"/>
    <w:pPr>
      <w:spacing w:before="192" w:after="192" w:line="240" w:lineRule="auto"/>
      <w:ind w:left="120" w:right="144"/>
      <w:jc w:val="both"/>
    </w:pPr>
    <w:rPr>
      <w:rFonts w:ascii="Times New Roman" w:eastAsia="Times New Roman" w:hAnsi="Times New Roman" w:cs="Times New Roman"/>
      <w:sz w:val="24"/>
      <w:szCs w:val="24"/>
      <w:lang w:eastAsia="es-MX"/>
    </w:rPr>
  </w:style>
  <w:style w:type="character" w:customStyle="1" w:styleId="SinespaciadoCar">
    <w:name w:val="Sin espaciado Car"/>
    <w:basedOn w:val="Fuentedeprrafopredeter"/>
    <w:link w:val="Sinespaciado"/>
    <w:uiPriority w:val="1"/>
    <w:rsid w:val="00574DFE"/>
    <w:rPr>
      <w:lang w:val="es-CR"/>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uiPriority w:val="99"/>
    <w:qFormat/>
    <w:rsid w:val="00500A60"/>
    <w:pPr>
      <w:spacing w:after="160" w:line="240" w:lineRule="exact"/>
    </w:pPr>
    <w:rPr>
      <w:rFonts w:ascii="Verdana" w:eastAsiaTheme="minorHAnsi" w:hAnsi="Verdana"/>
      <w:sz w:val="20"/>
      <w:szCs w:val="20"/>
      <w:vertAlign w:val="superscript"/>
      <w:lang w:val="en-US"/>
    </w:rPr>
  </w:style>
  <w:style w:type="character" w:customStyle="1" w:styleId="ColorfulList-Accent1Char1">
    <w:name w:val="Colorful List - Accent 1 Char1"/>
    <w:aliases w:val="Párrafo de lista1 Char,List Paragraph1 Char,Colorful List - Accent 11 Char,List Paragraph Char,Footnote Char,Colorful List - Accent 1 Char"/>
    <w:uiPriority w:val="99"/>
    <w:locked/>
    <w:rsid w:val="00F410FC"/>
    <w:rPr>
      <w:sz w:val="24"/>
      <w:szCs w:val="24"/>
      <w:lang w:val="es-MX"/>
    </w:rPr>
  </w:style>
  <w:style w:type="paragraph" w:customStyle="1" w:styleId="1">
    <w:name w:val="1"/>
    <w:basedOn w:val="Normal"/>
    <w:rsid w:val="005F02C0"/>
    <w:pPr>
      <w:spacing w:after="160" w:line="240" w:lineRule="exact"/>
    </w:pPr>
    <w:rPr>
      <w:rFonts w:ascii="Verdana" w:eastAsia="Times New Roman" w:hAnsi="Verdana" w:cs="Times New Roman"/>
      <w:sz w:val="16"/>
      <w:vertAlign w:val="superscript"/>
      <w:lang w:val="es-CR"/>
    </w:rPr>
  </w:style>
  <w:style w:type="character" w:customStyle="1" w:styleId="Refdenotaalpie1">
    <w:name w:val="Ref. de nota al pie1"/>
    <w:rsid w:val="005F02C0"/>
    <w:rPr>
      <w:sz w:val="20"/>
      <w:vertAlign w:val="superscript"/>
    </w:rPr>
  </w:style>
  <w:style w:type="paragraph" w:styleId="Textoindependiente3">
    <w:name w:val="Body Text 3"/>
    <w:basedOn w:val="Normal"/>
    <w:link w:val="Textoindependiente3Car"/>
    <w:uiPriority w:val="99"/>
    <w:semiHidden/>
    <w:unhideWhenUsed/>
    <w:rsid w:val="005F02C0"/>
    <w:pPr>
      <w:spacing w:after="120" w:line="240" w:lineRule="auto"/>
    </w:pPr>
    <w:rPr>
      <w:rFonts w:ascii="Verdana" w:eastAsia="Times New Roman" w:hAnsi="Verdana" w:cs="Times New Roman"/>
      <w:sz w:val="16"/>
      <w:szCs w:val="16"/>
    </w:rPr>
  </w:style>
  <w:style w:type="character" w:customStyle="1" w:styleId="Textoindependiente3Car">
    <w:name w:val="Texto independiente 3 Car"/>
    <w:basedOn w:val="Fuentedeprrafopredeter"/>
    <w:link w:val="Textoindependiente3"/>
    <w:uiPriority w:val="99"/>
    <w:semiHidden/>
    <w:rsid w:val="005F02C0"/>
    <w:rPr>
      <w:rFonts w:ascii="Verdana" w:eastAsia="Times New Roman" w:hAnsi="Verdana" w:cs="Times New Roman"/>
      <w:sz w:val="16"/>
      <w:szCs w:val="16"/>
      <w:lang w:val="es-MX"/>
    </w:rPr>
  </w:style>
  <w:style w:type="paragraph" w:styleId="Textodebloque">
    <w:name w:val="Block Text"/>
    <w:basedOn w:val="Normal"/>
    <w:uiPriority w:val="99"/>
    <w:unhideWhenUsed/>
    <w:rsid w:val="005F02C0"/>
    <w:pPr>
      <w:spacing w:after="0" w:line="240" w:lineRule="auto"/>
      <w:ind w:left="562" w:right="615"/>
      <w:jc w:val="both"/>
    </w:pPr>
    <w:rPr>
      <w:rFonts w:ascii="Verdana" w:eastAsia="MS Mincho" w:hAnsi="Verdana" w:cs="Times New Roman"/>
      <w:sz w:val="18"/>
      <w:szCs w:val="18"/>
      <w:lang w:val="es-CR"/>
    </w:rPr>
  </w:style>
  <w:style w:type="character" w:customStyle="1" w:styleId="Mencinsinresolver1">
    <w:name w:val="Mención sin resolver1"/>
    <w:basedOn w:val="Fuentedeprrafopredeter"/>
    <w:uiPriority w:val="99"/>
    <w:semiHidden/>
    <w:unhideWhenUsed/>
    <w:rsid w:val="005F02C0"/>
    <w:rPr>
      <w:color w:val="808080"/>
      <w:shd w:val="clear" w:color="auto" w:fill="E6E6E6"/>
    </w:rPr>
  </w:style>
  <w:style w:type="paragraph" w:customStyle="1" w:styleId="Heading23">
    <w:name w:val="Heading 2.3"/>
    <w:basedOn w:val="Normal"/>
    <w:uiPriority w:val="99"/>
    <w:qFormat/>
    <w:rsid w:val="005F02C0"/>
    <w:pPr>
      <w:spacing w:after="0" w:line="240" w:lineRule="auto"/>
      <w:jc w:val="both"/>
    </w:pPr>
    <w:rPr>
      <w:rFonts w:ascii="Verdana" w:eastAsia="Calibri" w:hAnsi="Verdana" w:cs="Times New Roman"/>
      <w:sz w:val="16"/>
      <w:szCs w:val="16"/>
      <w:vertAlign w:val="superscript"/>
      <w:lang w:val="x-none" w:eastAsia="x-none"/>
    </w:rPr>
  </w:style>
  <w:style w:type="character" w:customStyle="1" w:styleId="FootnoteAnchor">
    <w:name w:val="Footnote Anchor"/>
    <w:rsid w:val="005F02C0"/>
    <w:rPr>
      <w:vertAlign w:val="superscript"/>
    </w:rPr>
  </w:style>
  <w:style w:type="character" w:customStyle="1" w:styleId="skypepnhprintcontainer">
    <w:name w:val="skype_pnh_print_container"/>
    <w:basedOn w:val="Fuentedeprrafopredeter"/>
    <w:rsid w:val="005F02C0"/>
  </w:style>
  <w:style w:type="character" w:customStyle="1" w:styleId="s6b621b36">
    <w:name w:val="s6b621b36"/>
    <w:basedOn w:val="Fuentedeprrafopredeter"/>
    <w:rsid w:val="005F02C0"/>
  </w:style>
  <w:style w:type="character" w:customStyle="1" w:styleId="skypepnhcontainer">
    <w:name w:val="skype_pnh_container"/>
    <w:rsid w:val="005F02C0"/>
    <w:rPr>
      <w:rFonts w:cs="Times New Roman"/>
    </w:rPr>
  </w:style>
  <w:style w:type="character" w:customStyle="1" w:styleId="InternetLink">
    <w:name w:val="Internet Link"/>
    <w:rsid w:val="005F02C0"/>
    <w:rPr>
      <w:color w:val="0000FF"/>
      <w:u w:val="single"/>
    </w:rPr>
  </w:style>
  <w:style w:type="paragraph" w:customStyle="1" w:styleId="ColorfulList-Accent12">
    <w:name w:val="Colorful List - Accent 12"/>
    <w:basedOn w:val="Normal"/>
    <w:uiPriority w:val="34"/>
    <w:qFormat/>
    <w:rsid w:val="005F02C0"/>
    <w:pPr>
      <w:spacing w:after="0" w:line="240" w:lineRule="auto"/>
      <w:ind w:left="708"/>
      <w:jc w:val="both"/>
    </w:pPr>
    <w:rPr>
      <w:rFonts w:ascii="Verdana" w:eastAsia="Times New Roman" w:hAnsi="Verdana" w:cs="Times New Roman"/>
      <w:sz w:val="20"/>
      <w:szCs w:val="24"/>
      <w:lang w:val="en-US"/>
    </w:rPr>
  </w:style>
  <w:style w:type="paragraph" w:customStyle="1" w:styleId="Textonotapie1">
    <w:name w:val="Texto nota pie1"/>
    <w:basedOn w:val="Normal"/>
    <w:qFormat/>
    <w:rsid w:val="005F02C0"/>
    <w:pPr>
      <w:spacing w:after="0" w:line="240" w:lineRule="auto"/>
    </w:pPr>
    <w:rPr>
      <w:rFonts w:ascii="Times New Roman" w:eastAsia="Times New Roman" w:hAnsi="Times New Roman" w:cs="Times New Roman"/>
      <w:sz w:val="20"/>
      <w:szCs w:val="20"/>
      <w:lang w:val="en-US" w:eastAsia="es-ES"/>
    </w:rPr>
  </w:style>
  <w:style w:type="character" w:customStyle="1" w:styleId="Mencinsinresolver2">
    <w:name w:val="Mención sin resolver2"/>
    <w:basedOn w:val="Fuentedeprrafopredeter"/>
    <w:uiPriority w:val="99"/>
    <w:semiHidden/>
    <w:unhideWhenUsed/>
    <w:rsid w:val="005F02C0"/>
    <w:rPr>
      <w:color w:val="808080"/>
      <w:shd w:val="clear" w:color="auto" w:fill="E6E6E6"/>
    </w:rPr>
  </w:style>
  <w:style w:type="character" w:customStyle="1" w:styleId="Ttulodelibro">
    <w:name w:val="Título de libro"/>
    <w:uiPriority w:val="33"/>
    <w:qFormat/>
    <w:rsid w:val="005F02C0"/>
    <w:rPr>
      <w:b/>
      <w:bCs/>
      <w:smallCaps/>
      <w:spacing w:val="5"/>
    </w:rPr>
  </w:style>
  <w:style w:type="paragraph" w:customStyle="1" w:styleId="Numberedparagraphs">
    <w:name w:val="Numbered paragraphs"/>
    <w:basedOn w:val="Normal"/>
    <w:qFormat/>
    <w:rsid w:val="005F02C0"/>
    <w:pPr>
      <w:numPr>
        <w:numId w:val="21"/>
      </w:numPr>
      <w:spacing w:after="0" w:line="240" w:lineRule="auto"/>
      <w:jc w:val="both"/>
    </w:pPr>
    <w:rPr>
      <w:rFonts w:ascii="Verdana" w:eastAsia="MS Mincho" w:hAnsi="Verdana" w:cs="Times New Roman"/>
      <w:color w:val="000000"/>
      <w:sz w:val="20"/>
      <w:szCs w:val="20"/>
      <w:lang w:val="es-ES_tradnl"/>
    </w:rPr>
  </w:style>
  <w:style w:type="paragraph" w:customStyle="1" w:styleId="Estilo4">
    <w:name w:val="Estilo4"/>
    <w:basedOn w:val="Prrafodelista"/>
    <w:qFormat/>
    <w:rsid w:val="005F02C0"/>
    <w:pPr>
      <w:numPr>
        <w:ilvl w:val="1"/>
        <w:numId w:val="22"/>
      </w:numPr>
      <w:spacing w:after="120" w:line="240" w:lineRule="auto"/>
      <w:ind w:left="0" w:firstLine="357"/>
      <w:contextualSpacing w:val="0"/>
      <w:jc w:val="both"/>
    </w:pPr>
    <w:rPr>
      <w:rFonts w:ascii="Verdana" w:eastAsia="Times New Roman" w:hAnsi="Verdana" w:cs="Times New Roman"/>
      <w:spacing w:val="-2"/>
      <w:sz w:val="20"/>
      <w:szCs w:val="20"/>
      <w:lang w:val="es-CR"/>
    </w:rPr>
  </w:style>
  <w:style w:type="character" w:customStyle="1" w:styleId="elsevierstylesup">
    <w:name w:val="elsevierstylesup"/>
    <w:basedOn w:val="Fuentedeprrafopredeter"/>
    <w:rsid w:val="005F02C0"/>
  </w:style>
  <w:style w:type="character" w:customStyle="1" w:styleId="elsevierstylesectiontitle">
    <w:name w:val="elsevierstylesectiontitle"/>
    <w:basedOn w:val="Fuentedeprrafopredeter"/>
    <w:rsid w:val="005F02C0"/>
  </w:style>
  <w:style w:type="paragraph" w:customStyle="1" w:styleId="elsevierstylepara">
    <w:name w:val="elsevierstylepara"/>
    <w:basedOn w:val="Normal"/>
    <w:rsid w:val="005F02C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lsevierstylesection">
    <w:name w:val="elsevierstylesection"/>
    <w:basedOn w:val="Fuentedeprrafopredeter"/>
    <w:rsid w:val="005F02C0"/>
  </w:style>
  <w:style w:type="character" w:customStyle="1" w:styleId="titart">
    <w:name w:val="titart"/>
    <w:basedOn w:val="Fuentedeprrafopredeter"/>
    <w:rsid w:val="005F02C0"/>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basedOn w:val="Fuentedeprrafopredeter"/>
    <w:uiPriority w:val="99"/>
    <w:qFormat/>
    <w:rsid w:val="005F02C0"/>
    <w:rPr>
      <w:rFonts w:ascii="Verdana" w:eastAsia="MS Mincho" w:hAnsi="Verdana" w:cs="Times New Roman"/>
      <w:sz w:val="16"/>
      <w:szCs w:val="20"/>
      <w:lang w:val="es-ES_tradnl" w:eastAsia="es-ES"/>
    </w:rPr>
  </w:style>
  <w:style w:type="character" w:customStyle="1" w:styleId="Mencinsinresolver3">
    <w:name w:val="Mención sin resolver3"/>
    <w:basedOn w:val="Fuentedeprrafopredeter"/>
    <w:uiPriority w:val="99"/>
    <w:semiHidden/>
    <w:unhideWhenUsed/>
    <w:rsid w:val="004A4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59877">
      <w:bodyDiv w:val="1"/>
      <w:marLeft w:val="0"/>
      <w:marRight w:val="0"/>
      <w:marTop w:val="0"/>
      <w:marBottom w:val="0"/>
      <w:divBdr>
        <w:top w:val="none" w:sz="0" w:space="0" w:color="auto"/>
        <w:left w:val="none" w:sz="0" w:space="0" w:color="auto"/>
        <w:bottom w:val="none" w:sz="0" w:space="0" w:color="auto"/>
        <w:right w:val="none" w:sz="0" w:space="0" w:color="auto"/>
      </w:divBdr>
    </w:div>
    <w:div w:id="59980975">
      <w:bodyDiv w:val="1"/>
      <w:marLeft w:val="0"/>
      <w:marRight w:val="0"/>
      <w:marTop w:val="0"/>
      <w:marBottom w:val="0"/>
      <w:divBdr>
        <w:top w:val="none" w:sz="0" w:space="0" w:color="auto"/>
        <w:left w:val="none" w:sz="0" w:space="0" w:color="auto"/>
        <w:bottom w:val="none" w:sz="0" w:space="0" w:color="auto"/>
        <w:right w:val="none" w:sz="0" w:space="0" w:color="auto"/>
      </w:divBdr>
    </w:div>
    <w:div w:id="71054178">
      <w:bodyDiv w:val="1"/>
      <w:marLeft w:val="0"/>
      <w:marRight w:val="0"/>
      <w:marTop w:val="0"/>
      <w:marBottom w:val="0"/>
      <w:divBdr>
        <w:top w:val="none" w:sz="0" w:space="0" w:color="auto"/>
        <w:left w:val="none" w:sz="0" w:space="0" w:color="auto"/>
        <w:bottom w:val="none" w:sz="0" w:space="0" w:color="auto"/>
        <w:right w:val="none" w:sz="0" w:space="0" w:color="auto"/>
      </w:divBdr>
    </w:div>
    <w:div w:id="127019200">
      <w:bodyDiv w:val="1"/>
      <w:marLeft w:val="0"/>
      <w:marRight w:val="0"/>
      <w:marTop w:val="0"/>
      <w:marBottom w:val="0"/>
      <w:divBdr>
        <w:top w:val="none" w:sz="0" w:space="0" w:color="auto"/>
        <w:left w:val="none" w:sz="0" w:space="0" w:color="auto"/>
        <w:bottom w:val="none" w:sz="0" w:space="0" w:color="auto"/>
        <w:right w:val="none" w:sz="0" w:space="0" w:color="auto"/>
      </w:divBdr>
    </w:div>
    <w:div w:id="135725634">
      <w:bodyDiv w:val="1"/>
      <w:marLeft w:val="0"/>
      <w:marRight w:val="0"/>
      <w:marTop w:val="0"/>
      <w:marBottom w:val="0"/>
      <w:divBdr>
        <w:top w:val="none" w:sz="0" w:space="0" w:color="auto"/>
        <w:left w:val="none" w:sz="0" w:space="0" w:color="auto"/>
        <w:bottom w:val="none" w:sz="0" w:space="0" w:color="auto"/>
        <w:right w:val="none" w:sz="0" w:space="0" w:color="auto"/>
      </w:divBdr>
    </w:div>
    <w:div w:id="329989529">
      <w:bodyDiv w:val="1"/>
      <w:marLeft w:val="0"/>
      <w:marRight w:val="0"/>
      <w:marTop w:val="0"/>
      <w:marBottom w:val="0"/>
      <w:divBdr>
        <w:top w:val="none" w:sz="0" w:space="0" w:color="auto"/>
        <w:left w:val="none" w:sz="0" w:space="0" w:color="auto"/>
        <w:bottom w:val="none" w:sz="0" w:space="0" w:color="auto"/>
        <w:right w:val="none" w:sz="0" w:space="0" w:color="auto"/>
      </w:divBdr>
    </w:div>
    <w:div w:id="402412278">
      <w:bodyDiv w:val="1"/>
      <w:marLeft w:val="0"/>
      <w:marRight w:val="0"/>
      <w:marTop w:val="0"/>
      <w:marBottom w:val="0"/>
      <w:divBdr>
        <w:top w:val="none" w:sz="0" w:space="0" w:color="auto"/>
        <w:left w:val="none" w:sz="0" w:space="0" w:color="auto"/>
        <w:bottom w:val="none" w:sz="0" w:space="0" w:color="auto"/>
        <w:right w:val="none" w:sz="0" w:space="0" w:color="auto"/>
      </w:divBdr>
    </w:div>
    <w:div w:id="481459649">
      <w:bodyDiv w:val="1"/>
      <w:marLeft w:val="0"/>
      <w:marRight w:val="0"/>
      <w:marTop w:val="0"/>
      <w:marBottom w:val="0"/>
      <w:divBdr>
        <w:top w:val="none" w:sz="0" w:space="0" w:color="auto"/>
        <w:left w:val="none" w:sz="0" w:space="0" w:color="auto"/>
        <w:bottom w:val="none" w:sz="0" w:space="0" w:color="auto"/>
        <w:right w:val="none" w:sz="0" w:space="0" w:color="auto"/>
      </w:divBdr>
    </w:div>
    <w:div w:id="533276630">
      <w:bodyDiv w:val="1"/>
      <w:marLeft w:val="0"/>
      <w:marRight w:val="0"/>
      <w:marTop w:val="0"/>
      <w:marBottom w:val="0"/>
      <w:divBdr>
        <w:top w:val="none" w:sz="0" w:space="0" w:color="auto"/>
        <w:left w:val="none" w:sz="0" w:space="0" w:color="auto"/>
        <w:bottom w:val="none" w:sz="0" w:space="0" w:color="auto"/>
        <w:right w:val="none" w:sz="0" w:space="0" w:color="auto"/>
      </w:divBdr>
    </w:div>
    <w:div w:id="645625438">
      <w:bodyDiv w:val="1"/>
      <w:marLeft w:val="0"/>
      <w:marRight w:val="0"/>
      <w:marTop w:val="0"/>
      <w:marBottom w:val="0"/>
      <w:divBdr>
        <w:top w:val="none" w:sz="0" w:space="0" w:color="auto"/>
        <w:left w:val="none" w:sz="0" w:space="0" w:color="auto"/>
        <w:bottom w:val="none" w:sz="0" w:space="0" w:color="auto"/>
        <w:right w:val="none" w:sz="0" w:space="0" w:color="auto"/>
      </w:divBdr>
    </w:div>
    <w:div w:id="720398249">
      <w:bodyDiv w:val="1"/>
      <w:marLeft w:val="0"/>
      <w:marRight w:val="0"/>
      <w:marTop w:val="0"/>
      <w:marBottom w:val="0"/>
      <w:divBdr>
        <w:top w:val="none" w:sz="0" w:space="0" w:color="auto"/>
        <w:left w:val="none" w:sz="0" w:space="0" w:color="auto"/>
        <w:bottom w:val="none" w:sz="0" w:space="0" w:color="auto"/>
        <w:right w:val="none" w:sz="0" w:space="0" w:color="auto"/>
      </w:divBdr>
    </w:div>
    <w:div w:id="757866255">
      <w:bodyDiv w:val="1"/>
      <w:marLeft w:val="0"/>
      <w:marRight w:val="0"/>
      <w:marTop w:val="0"/>
      <w:marBottom w:val="0"/>
      <w:divBdr>
        <w:top w:val="none" w:sz="0" w:space="0" w:color="auto"/>
        <w:left w:val="none" w:sz="0" w:space="0" w:color="auto"/>
        <w:bottom w:val="none" w:sz="0" w:space="0" w:color="auto"/>
        <w:right w:val="none" w:sz="0" w:space="0" w:color="auto"/>
      </w:divBdr>
    </w:div>
    <w:div w:id="764886416">
      <w:bodyDiv w:val="1"/>
      <w:marLeft w:val="0"/>
      <w:marRight w:val="0"/>
      <w:marTop w:val="0"/>
      <w:marBottom w:val="0"/>
      <w:divBdr>
        <w:top w:val="none" w:sz="0" w:space="0" w:color="auto"/>
        <w:left w:val="none" w:sz="0" w:space="0" w:color="auto"/>
        <w:bottom w:val="none" w:sz="0" w:space="0" w:color="auto"/>
        <w:right w:val="none" w:sz="0" w:space="0" w:color="auto"/>
      </w:divBdr>
    </w:div>
    <w:div w:id="780028280">
      <w:bodyDiv w:val="1"/>
      <w:marLeft w:val="0"/>
      <w:marRight w:val="0"/>
      <w:marTop w:val="0"/>
      <w:marBottom w:val="0"/>
      <w:divBdr>
        <w:top w:val="none" w:sz="0" w:space="0" w:color="auto"/>
        <w:left w:val="none" w:sz="0" w:space="0" w:color="auto"/>
        <w:bottom w:val="none" w:sz="0" w:space="0" w:color="auto"/>
        <w:right w:val="none" w:sz="0" w:space="0" w:color="auto"/>
      </w:divBdr>
    </w:div>
    <w:div w:id="797260138">
      <w:bodyDiv w:val="1"/>
      <w:marLeft w:val="0"/>
      <w:marRight w:val="0"/>
      <w:marTop w:val="0"/>
      <w:marBottom w:val="0"/>
      <w:divBdr>
        <w:top w:val="none" w:sz="0" w:space="0" w:color="auto"/>
        <w:left w:val="none" w:sz="0" w:space="0" w:color="auto"/>
        <w:bottom w:val="none" w:sz="0" w:space="0" w:color="auto"/>
        <w:right w:val="none" w:sz="0" w:space="0" w:color="auto"/>
      </w:divBdr>
    </w:div>
    <w:div w:id="941105201">
      <w:bodyDiv w:val="1"/>
      <w:marLeft w:val="0"/>
      <w:marRight w:val="0"/>
      <w:marTop w:val="0"/>
      <w:marBottom w:val="0"/>
      <w:divBdr>
        <w:top w:val="none" w:sz="0" w:space="0" w:color="auto"/>
        <w:left w:val="none" w:sz="0" w:space="0" w:color="auto"/>
        <w:bottom w:val="none" w:sz="0" w:space="0" w:color="auto"/>
        <w:right w:val="none" w:sz="0" w:space="0" w:color="auto"/>
      </w:divBdr>
    </w:div>
    <w:div w:id="1097561632">
      <w:bodyDiv w:val="1"/>
      <w:marLeft w:val="0"/>
      <w:marRight w:val="0"/>
      <w:marTop w:val="0"/>
      <w:marBottom w:val="0"/>
      <w:divBdr>
        <w:top w:val="none" w:sz="0" w:space="0" w:color="auto"/>
        <w:left w:val="none" w:sz="0" w:space="0" w:color="auto"/>
        <w:bottom w:val="none" w:sz="0" w:space="0" w:color="auto"/>
        <w:right w:val="none" w:sz="0" w:space="0" w:color="auto"/>
      </w:divBdr>
    </w:div>
    <w:div w:id="1152718611">
      <w:bodyDiv w:val="1"/>
      <w:marLeft w:val="0"/>
      <w:marRight w:val="0"/>
      <w:marTop w:val="0"/>
      <w:marBottom w:val="0"/>
      <w:divBdr>
        <w:top w:val="none" w:sz="0" w:space="0" w:color="auto"/>
        <w:left w:val="none" w:sz="0" w:space="0" w:color="auto"/>
        <w:bottom w:val="none" w:sz="0" w:space="0" w:color="auto"/>
        <w:right w:val="none" w:sz="0" w:space="0" w:color="auto"/>
      </w:divBdr>
    </w:div>
    <w:div w:id="1251231783">
      <w:bodyDiv w:val="1"/>
      <w:marLeft w:val="0"/>
      <w:marRight w:val="0"/>
      <w:marTop w:val="0"/>
      <w:marBottom w:val="0"/>
      <w:divBdr>
        <w:top w:val="none" w:sz="0" w:space="0" w:color="auto"/>
        <w:left w:val="none" w:sz="0" w:space="0" w:color="auto"/>
        <w:bottom w:val="none" w:sz="0" w:space="0" w:color="auto"/>
        <w:right w:val="none" w:sz="0" w:space="0" w:color="auto"/>
      </w:divBdr>
    </w:div>
    <w:div w:id="1305506499">
      <w:bodyDiv w:val="1"/>
      <w:marLeft w:val="0"/>
      <w:marRight w:val="0"/>
      <w:marTop w:val="0"/>
      <w:marBottom w:val="0"/>
      <w:divBdr>
        <w:top w:val="none" w:sz="0" w:space="0" w:color="auto"/>
        <w:left w:val="none" w:sz="0" w:space="0" w:color="auto"/>
        <w:bottom w:val="none" w:sz="0" w:space="0" w:color="auto"/>
        <w:right w:val="none" w:sz="0" w:space="0" w:color="auto"/>
      </w:divBdr>
    </w:div>
    <w:div w:id="1320234791">
      <w:bodyDiv w:val="1"/>
      <w:marLeft w:val="0"/>
      <w:marRight w:val="0"/>
      <w:marTop w:val="0"/>
      <w:marBottom w:val="0"/>
      <w:divBdr>
        <w:top w:val="none" w:sz="0" w:space="0" w:color="auto"/>
        <w:left w:val="none" w:sz="0" w:space="0" w:color="auto"/>
        <w:bottom w:val="none" w:sz="0" w:space="0" w:color="auto"/>
        <w:right w:val="none" w:sz="0" w:space="0" w:color="auto"/>
      </w:divBdr>
    </w:div>
    <w:div w:id="1423136902">
      <w:bodyDiv w:val="1"/>
      <w:marLeft w:val="0"/>
      <w:marRight w:val="0"/>
      <w:marTop w:val="0"/>
      <w:marBottom w:val="0"/>
      <w:divBdr>
        <w:top w:val="none" w:sz="0" w:space="0" w:color="auto"/>
        <w:left w:val="none" w:sz="0" w:space="0" w:color="auto"/>
        <w:bottom w:val="none" w:sz="0" w:space="0" w:color="auto"/>
        <w:right w:val="none" w:sz="0" w:space="0" w:color="auto"/>
      </w:divBdr>
    </w:div>
    <w:div w:id="1572231183">
      <w:bodyDiv w:val="1"/>
      <w:marLeft w:val="0"/>
      <w:marRight w:val="0"/>
      <w:marTop w:val="0"/>
      <w:marBottom w:val="0"/>
      <w:divBdr>
        <w:top w:val="none" w:sz="0" w:space="0" w:color="auto"/>
        <w:left w:val="none" w:sz="0" w:space="0" w:color="auto"/>
        <w:bottom w:val="none" w:sz="0" w:space="0" w:color="auto"/>
        <w:right w:val="none" w:sz="0" w:space="0" w:color="auto"/>
      </w:divBdr>
    </w:div>
    <w:div w:id="1707365597">
      <w:bodyDiv w:val="1"/>
      <w:marLeft w:val="0"/>
      <w:marRight w:val="0"/>
      <w:marTop w:val="0"/>
      <w:marBottom w:val="0"/>
      <w:divBdr>
        <w:top w:val="none" w:sz="0" w:space="0" w:color="auto"/>
        <w:left w:val="none" w:sz="0" w:space="0" w:color="auto"/>
        <w:bottom w:val="none" w:sz="0" w:space="0" w:color="auto"/>
        <w:right w:val="none" w:sz="0" w:space="0" w:color="auto"/>
      </w:divBdr>
    </w:div>
    <w:div w:id="1940986051">
      <w:bodyDiv w:val="1"/>
      <w:marLeft w:val="0"/>
      <w:marRight w:val="0"/>
      <w:marTop w:val="0"/>
      <w:marBottom w:val="0"/>
      <w:divBdr>
        <w:top w:val="none" w:sz="0" w:space="0" w:color="auto"/>
        <w:left w:val="none" w:sz="0" w:space="0" w:color="auto"/>
        <w:bottom w:val="none" w:sz="0" w:space="0" w:color="auto"/>
        <w:right w:val="none" w:sz="0" w:space="0" w:color="auto"/>
      </w:divBdr>
    </w:div>
    <w:div w:id="2091274701">
      <w:bodyDiv w:val="1"/>
      <w:marLeft w:val="0"/>
      <w:marRight w:val="0"/>
      <w:marTop w:val="0"/>
      <w:marBottom w:val="0"/>
      <w:divBdr>
        <w:top w:val="none" w:sz="0" w:space="0" w:color="auto"/>
        <w:left w:val="none" w:sz="0" w:space="0" w:color="auto"/>
        <w:bottom w:val="none" w:sz="0" w:space="0" w:color="auto"/>
        <w:right w:val="none" w:sz="0" w:space="0" w:color="auto"/>
      </w:divBdr>
    </w:div>
    <w:div w:id="210753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orteidh.or.cr/docs/asuntos/hernandez_20_03_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15BEBE2BF87F40A76A9C926EBECC0C" ma:contentTypeVersion="0" ma:contentTypeDescription="Create a new document." ma:contentTypeScope="" ma:versionID="ad8069bb81a7b5dc5c766ad6aa2648b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FE6B023-BFF4-419A-8130-A678AFB2BE1D}">
  <ds:schemaRefs>
    <ds:schemaRef ds:uri="http://schemas.openxmlformats.org/officeDocument/2006/bibliography"/>
  </ds:schemaRefs>
</ds:datastoreItem>
</file>

<file path=customXml/itemProps2.xml><?xml version="1.0" encoding="utf-8"?>
<ds:datastoreItem xmlns:ds="http://schemas.openxmlformats.org/officeDocument/2006/customXml" ds:itemID="{43E56079-6B69-4AB3-87FF-DFB4CE62FE03}">
  <ds:schemaRefs>
    <ds:schemaRef ds:uri="http://schemas.microsoft.com/office/2006/metadata/properties"/>
  </ds:schemaRefs>
</ds:datastoreItem>
</file>

<file path=customXml/itemProps3.xml><?xml version="1.0" encoding="utf-8"?>
<ds:datastoreItem xmlns:ds="http://schemas.openxmlformats.org/officeDocument/2006/customXml" ds:itemID="{83F0BB85-7482-48C8-BADC-80C002D9A8B1}">
  <ds:schemaRefs>
    <ds:schemaRef ds:uri="http://schemas.microsoft.com/sharepoint/v3/contenttype/forms"/>
  </ds:schemaRefs>
</ds:datastoreItem>
</file>

<file path=customXml/itemProps4.xml><?xml version="1.0" encoding="utf-8"?>
<ds:datastoreItem xmlns:ds="http://schemas.openxmlformats.org/officeDocument/2006/customXml" ds:itemID="{68BE8408-19C7-40FC-8770-CA62BBD0B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60</Pages>
  <Words>27625</Words>
  <Characters>151938</Characters>
  <Application>Microsoft Office Word</Application>
  <DocSecurity>0</DocSecurity>
  <Lines>1266</Lines>
  <Paragraphs>358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Corte IDH</vt:lpstr>
      <vt:lpstr/>
    </vt:vector>
  </TitlesOfParts>
  <Company/>
  <LinksUpToDate>false</LinksUpToDate>
  <CharactersWithSpaces>179205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Corte IDH</dc:title>
  <dc:creator>Corte IDH</dc:creator>
  <cp:lastModifiedBy>Ana Rita Ramirez</cp:lastModifiedBy>
  <cp:revision>2</cp:revision>
  <cp:lastPrinted>2020-07-03T20:07:00Z</cp:lastPrinted>
  <dcterms:created xsi:type="dcterms:W3CDTF">2020-07-24T18:47:00Z</dcterms:created>
  <dcterms:modified xsi:type="dcterms:W3CDTF">2020-07-24T18:47:00Z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0x010100D015BEBE2BF87F40A76A9C926EBECC0C</vt:lpwstr>
  </property>
</Properties>
</file>